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3E" w:rsidRDefault="009146C8">
      <w:pPr>
        <w:spacing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Termes de référence</w:t>
      </w:r>
    </w:p>
    <w:tbl>
      <w:tblPr>
        <w:tblStyle w:val="a3"/>
        <w:tblpPr w:leftFromText="141" w:rightFromText="141" w:vertAnchor="text" w:tblpY="13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087"/>
      </w:tblGrid>
      <w:tr w:rsidR="009D343E">
        <w:trPr>
          <w:trHeight w:val="393"/>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Intitulé de la mission</w:t>
            </w:r>
          </w:p>
        </w:tc>
        <w:tc>
          <w:tcPr>
            <w:tcW w:w="7087" w:type="dxa"/>
            <w:vAlign w:val="center"/>
          </w:tcPr>
          <w:p w:rsidR="009D343E" w:rsidRDefault="009146C8">
            <w:pPr>
              <w:jc w:val="both"/>
              <w:rPr>
                <w:rFonts w:ascii="Times New Roman" w:eastAsia="Times New Roman" w:hAnsi="Times New Roman" w:cs="Times New Roman"/>
                <w:smallCaps/>
              </w:rPr>
            </w:pPr>
            <w:r>
              <w:rPr>
                <w:rFonts w:ascii="Times New Roman" w:eastAsia="Times New Roman" w:hAnsi="Times New Roman" w:cs="Times New Roman"/>
                <w:smallCaps/>
              </w:rPr>
              <w:t xml:space="preserve">Renforcement des Capacités du centre technique de la chimie en matière de réglementation </w:t>
            </w:r>
            <w:proofErr w:type="spellStart"/>
            <w:r>
              <w:rPr>
                <w:rFonts w:ascii="Times New Roman" w:eastAsia="Times New Roman" w:hAnsi="Times New Roman" w:cs="Times New Roman"/>
                <w:smallCaps/>
              </w:rPr>
              <w:t>bpf</w:t>
            </w:r>
            <w:proofErr w:type="spellEnd"/>
            <w:r>
              <w:rPr>
                <w:rFonts w:ascii="Times New Roman" w:eastAsia="Times New Roman" w:hAnsi="Times New Roman" w:cs="Times New Roman"/>
                <w:smallCaps/>
              </w:rPr>
              <w:t>/</w:t>
            </w:r>
            <w:proofErr w:type="spellStart"/>
            <w:r>
              <w:rPr>
                <w:rFonts w:ascii="Times New Roman" w:eastAsia="Times New Roman" w:hAnsi="Times New Roman" w:cs="Times New Roman"/>
                <w:smallCaps/>
              </w:rPr>
              <w:t>gmp</w:t>
            </w:r>
            <w:proofErr w:type="spellEnd"/>
            <w:r>
              <w:rPr>
                <w:rFonts w:ascii="Times New Roman" w:eastAsia="Times New Roman" w:hAnsi="Times New Roman" w:cs="Times New Roman"/>
                <w:smallCaps/>
              </w:rPr>
              <w:t xml:space="preserve"> </w:t>
            </w:r>
          </w:p>
        </w:tc>
      </w:tr>
      <w:tr w:rsidR="009D343E">
        <w:trPr>
          <w:trHeight w:val="347"/>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Nom du projet</w:t>
            </w:r>
          </w:p>
        </w:tc>
        <w:tc>
          <w:tcPr>
            <w:tcW w:w="7087" w:type="dxa"/>
            <w:vAlign w:val="center"/>
          </w:tcPr>
          <w:p w:rsidR="009D343E" w:rsidRDefault="009146C8">
            <w:pPr>
              <w:jc w:val="both"/>
              <w:rPr>
                <w:rFonts w:ascii="Times New Roman" w:eastAsia="Times New Roman" w:hAnsi="Times New Roman" w:cs="Times New Roman"/>
                <w:smallCaps/>
              </w:rPr>
            </w:pPr>
            <w:r>
              <w:rPr>
                <w:rFonts w:ascii="Times New Roman" w:eastAsia="Times New Roman" w:hAnsi="Times New Roman" w:cs="Times New Roman"/>
                <w:smallCaps/>
              </w:rPr>
              <w:t>Qawafel – Export Tunisia</w:t>
            </w:r>
          </w:p>
        </w:tc>
      </w:tr>
      <w:tr w:rsidR="009D343E">
        <w:trPr>
          <w:trHeight w:val="347"/>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Composante </w:t>
            </w:r>
          </w:p>
        </w:tc>
        <w:tc>
          <w:tcPr>
            <w:tcW w:w="7087" w:type="dxa"/>
            <w:vAlign w:val="center"/>
          </w:tcPr>
          <w:p w:rsidR="009D343E" w:rsidRDefault="009146C8">
            <w:pPr>
              <w:jc w:val="both"/>
              <w:rPr>
                <w:rFonts w:ascii="Times New Roman" w:eastAsia="Times New Roman" w:hAnsi="Times New Roman" w:cs="Times New Roman"/>
                <w:smallCaps/>
              </w:rPr>
            </w:pPr>
            <w:r>
              <w:rPr>
                <w:rFonts w:ascii="Times New Roman" w:eastAsia="Times New Roman" w:hAnsi="Times New Roman" w:cs="Times New Roman"/>
                <w:smallCaps/>
              </w:rPr>
              <w:t xml:space="preserve">Composante 3 « </w:t>
            </w:r>
            <w:r>
              <w:t xml:space="preserve"> </w:t>
            </w:r>
            <w:r>
              <w:rPr>
                <w:rFonts w:ascii="Times New Roman" w:eastAsia="Times New Roman" w:hAnsi="Times New Roman" w:cs="Times New Roman"/>
                <w:smallCaps/>
              </w:rPr>
              <w:t>Cadre réglementaire et institutionnel tunisien »</w:t>
            </w:r>
          </w:p>
        </w:tc>
      </w:tr>
      <w:tr w:rsidR="009D343E">
        <w:trPr>
          <w:trHeight w:val="376"/>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Dates </w:t>
            </w:r>
          </w:p>
        </w:tc>
        <w:tc>
          <w:tcPr>
            <w:tcW w:w="7087" w:type="dxa"/>
            <w:vAlign w:val="center"/>
          </w:tcPr>
          <w:p w:rsidR="009D343E" w:rsidRDefault="0055338D" w:rsidP="007A3FAB">
            <w:pPr>
              <w:jc w:val="both"/>
              <w:rPr>
                <w:rFonts w:ascii="Times New Roman" w:eastAsia="Times New Roman" w:hAnsi="Times New Roman" w:cs="Times New Roman"/>
                <w:smallCaps/>
              </w:rPr>
            </w:pPr>
            <w:r>
              <w:rPr>
                <w:rFonts w:ascii="Times New Roman" w:eastAsia="Times New Roman" w:hAnsi="Times New Roman" w:cs="Times New Roman"/>
                <w:smallCaps/>
              </w:rPr>
              <w:t xml:space="preserve">Janvier </w:t>
            </w:r>
            <w:r w:rsidR="009146C8">
              <w:rPr>
                <w:rFonts w:ascii="Times New Roman" w:eastAsia="Times New Roman" w:hAnsi="Times New Roman" w:cs="Times New Roman"/>
                <w:smallCaps/>
              </w:rPr>
              <w:t xml:space="preserve">à </w:t>
            </w:r>
            <w:r>
              <w:rPr>
                <w:rFonts w:ascii="Times New Roman" w:eastAsia="Times New Roman" w:hAnsi="Times New Roman" w:cs="Times New Roman"/>
                <w:smallCaps/>
              </w:rPr>
              <w:t>MAI</w:t>
            </w:r>
            <w:r w:rsidR="003B4425">
              <w:rPr>
                <w:rFonts w:ascii="Times New Roman" w:eastAsia="Times New Roman" w:hAnsi="Times New Roman" w:cs="Times New Roman"/>
                <w:smallCaps/>
              </w:rPr>
              <w:t xml:space="preserve"> </w:t>
            </w:r>
            <w:r w:rsidR="009146C8">
              <w:rPr>
                <w:rFonts w:ascii="Times New Roman" w:eastAsia="Times New Roman" w:hAnsi="Times New Roman" w:cs="Times New Roman"/>
                <w:smallCaps/>
              </w:rPr>
              <w:t>2025</w:t>
            </w:r>
          </w:p>
        </w:tc>
      </w:tr>
      <w:tr w:rsidR="009D343E">
        <w:trPr>
          <w:trHeight w:val="410"/>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Nombre de jours </w:t>
            </w:r>
          </w:p>
        </w:tc>
        <w:tc>
          <w:tcPr>
            <w:tcW w:w="7087" w:type="dxa"/>
            <w:vAlign w:val="center"/>
          </w:tcPr>
          <w:p w:rsidR="009D343E" w:rsidRDefault="009146C8">
            <w:pPr>
              <w:jc w:val="both"/>
              <w:rPr>
                <w:rFonts w:ascii="Times New Roman" w:eastAsia="Times New Roman" w:hAnsi="Times New Roman" w:cs="Times New Roman"/>
              </w:rPr>
            </w:pPr>
            <w:r>
              <w:rPr>
                <w:rFonts w:ascii="Times New Roman" w:eastAsia="Times New Roman" w:hAnsi="Times New Roman" w:cs="Times New Roman"/>
                <w:smallCaps/>
              </w:rPr>
              <w:t>23 hommes/J</w:t>
            </w:r>
          </w:p>
        </w:tc>
      </w:tr>
      <w:tr w:rsidR="009D343E">
        <w:trPr>
          <w:trHeight w:val="416"/>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Profil de l’expert.e</w:t>
            </w:r>
          </w:p>
        </w:tc>
        <w:tc>
          <w:tcPr>
            <w:tcW w:w="7087" w:type="dxa"/>
            <w:vAlign w:val="center"/>
          </w:tcPr>
          <w:p w:rsidR="009D343E" w:rsidRDefault="009146C8">
            <w:pPr>
              <w:jc w:val="both"/>
              <w:rPr>
                <w:rFonts w:ascii="Times New Roman" w:eastAsia="Times New Roman" w:hAnsi="Times New Roman" w:cs="Times New Roman"/>
              </w:rPr>
            </w:pPr>
            <w:r>
              <w:rPr>
                <w:rFonts w:ascii="Times New Roman" w:eastAsia="Times New Roman" w:hAnsi="Times New Roman" w:cs="Times New Roman"/>
              </w:rPr>
              <w:t>Expert.e en accompagnement des entreprises opérant dans le secteur pharmaceutique</w:t>
            </w:r>
          </w:p>
        </w:tc>
      </w:tr>
    </w:tbl>
    <w:p w:rsidR="009D343E" w:rsidRDefault="009D343E">
      <w:pPr>
        <w:spacing w:after="0" w:line="240" w:lineRule="auto"/>
        <w:jc w:val="both"/>
        <w:rPr>
          <w:rFonts w:ascii="Times New Roman" w:eastAsia="Times New Roman" w:hAnsi="Times New Roman" w:cs="Times New Roman"/>
          <w:b/>
        </w:rPr>
      </w:pPr>
    </w:p>
    <w:p w:rsidR="009D343E" w:rsidRDefault="009146C8">
      <w:pPr>
        <w:numPr>
          <w:ilvl w:val="0"/>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Contexte du projet</w:t>
      </w:r>
    </w:p>
    <w:p w:rsidR="009D343E" w:rsidRDefault="009146C8">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compétitive sur les marchés africains. L’objectif du projet Qawafel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 </w:t>
      </w:r>
    </w:p>
    <w:p w:rsidR="009D343E" w:rsidRDefault="009146C8">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Qawafel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Qawafel intervient dans trois composantes complémentaires : </w:t>
      </w:r>
    </w:p>
    <w:p w:rsidR="009D343E" w:rsidRDefault="009146C8">
      <w:pPr>
        <w:numPr>
          <w:ilvl w:val="0"/>
          <w:numId w:val="7"/>
        </w:numPr>
        <w:spacing w:before="28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1 : « Accompagnement de l’internationalisation des entreprises tunisiennes vers le continent africain » pour renforcer les mécanismes d’accompagnement et les offres de services des structures intermédiaires privées qui ont vocation à soutenir les entreprises et start-ups tunisiennes dans leur projet d’expansion en Afrique. </w:t>
      </w:r>
      <w:r>
        <w:rPr>
          <w:rFonts w:ascii="Times New Roman" w:eastAsia="Times New Roman" w:hAnsi="Times New Roman" w:cs="Times New Roman"/>
          <w:color w:val="000000"/>
        </w:rPr>
        <w:tab/>
      </w:r>
      <w:r>
        <w:rPr>
          <w:rFonts w:ascii="Times New Roman" w:eastAsia="Times New Roman" w:hAnsi="Times New Roman" w:cs="Times New Roman"/>
          <w:color w:val="000000"/>
        </w:rPr>
        <w:br/>
      </w:r>
      <w:r>
        <w:rPr>
          <w:rFonts w:ascii="Times New Roman" w:eastAsia="Times New Roman" w:hAnsi="Times New Roman" w:cs="Times New Roman"/>
          <w:color w:val="000000"/>
        </w:rPr>
        <w:tab/>
      </w:r>
    </w:p>
    <w:p w:rsidR="009D343E" w:rsidRDefault="009146C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2 : « Visibilité et diplomatie économique de la Tunisie sur les marchés prioritaires » pour améliorer l’attractivité de la Tunisie en tant que destination d’investissement et déployer une stratégie de diplomatie économique active dans les pays africains cibles.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9D343E" w:rsidRDefault="009146C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3 : « Cadre réglementaire et institutionnel tunisien » pour créer un environnement plus propice à l’internationalisation des entreprises en Afrique par la révision de certaines réglementations et la mise en place de mécanismes de dialogue public-privé et de collaborations régionales entre pairs (Tunisie/pays </w:t>
      </w:r>
      <w:proofErr w:type="gramStart"/>
      <w:r>
        <w:rPr>
          <w:rFonts w:ascii="Times New Roman" w:eastAsia="Times New Roman" w:hAnsi="Times New Roman" w:cs="Times New Roman"/>
          <w:color w:val="000000"/>
        </w:rPr>
        <w:t>cibles</w:t>
      </w:r>
      <w:proofErr w:type="gramEnd"/>
      <w:r>
        <w:rPr>
          <w:rFonts w:ascii="Times New Roman" w:eastAsia="Times New Roman" w:hAnsi="Times New Roman" w:cs="Times New Roman"/>
          <w:color w:val="000000"/>
        </w:rPr>
        <w:t xml:space="preserve">). </w:t>
      </w:r>
    </w:p>
    <w:p w:rsidR="009D343E" w:rsidRDefault="009D343E">
      <w:pPr>
        <w:spacing w:after="0" w:line="240" w:lineRule="auto"/>
        <w:ind w:left="720"/>
        <w:jc w:val="both"/>
        <w:rPr>
          <w:rFonts w:ascii="Times New Roman" w:eastAsia="Times New Roman" w:hAnsi="Times New Roman" w:cs="Times New Roman"/>
          <w:color w:val="000000"/>
        </w:rPr>
      </w:pPr>
    </w:p>
    <w:p w:rsidR="009D343E" w:rsidRDefault="009146C8">
      <w:pP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présente mission s’inscrit dans le cadre de la mise en œuvre des activités de la Facilité d’assistance technique de la composante 3 du projet. </w:t>
      </w:r>
    </w:p>
    <w:p w:rsidR="00627D4B" w:rsidRDefault="00627D4B">
      <w:pPr>
        <w:spacing w:after="280"/>
        <w:jc w:val="both"/>
        <w:rPr>
          <w:rFonts w:ascii="Times New Roman" w:eastAsia="Times New Roman" w:hAnsi="Times New Roman" w:cs="Times New Roman"/>
        </w:rPr>
      </w:pPr>
    </w:p>
    <w:p w:rsidR="009D343E" w:rsidRDefault="009146C8">
      <w:pPr>
        <w:numPr>
          <w:ilvl w:val="0"/>
          <w:numId w:val="8"/>
        </w:numPr>
        <w:pBdr>
          <w:top w:val="nil"/>
          <w:left w:val="nil"/>
          <w:bottom w:val="nil"/>
          <w:right w:val="nil"/>
          <w:between w:val="nil"/>
        </w:pBdr>
        <w:spacing w:before="280"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Contexte de la mission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b/>
          <w:color w:val="000000"/>
        </w:rPr>
      </w:pPr>
    </w:p>
    <w:p w:rsidR="009D343E" w:rsidRDefault="009146C8">
      <w:pPr>
        <w:numPr>
          <w:ilvl w:val="1"/>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 général </w:t>
      </w:r>
    </w:p>
    <w:p w:rsidR="009D343E" w:rsidRDefault="009146C8">
      <w:pPr>
        <w:pBdr>
          <w:top w:val="nil"/>
          <w:left w:val="nil"/>
          <w:bottom w:val="nil"/>
          <w:right w:val="nil"/>
          <w:between w:val="nil"/>
        </w:pBdr>
        <w:spacing w:after="280"/>
        <w:jc w:val="both"/>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rPr>
        <w:t xml:space="preserve">La Facilité d’assistance technique du projet Qawafel fournit une assistance technique auprès des structures publiques </w:t>
      </w:r>
      <w:r>
        <w:rPr>
          <w:rFonts w:ascii="Times New Roman" w:eastAsia="Times New Roman" w:hAnsi="Times New Roman" w:cs="Times New Roman"/>
          <w:color w:val="000000"/>
        </w:rPr>
        <w:t>qui ont vocation à accompagner les entreprises dans leurs projets d’expansion à l’international, en particulier vers les marchés africains. Le Centre Technique de la Chimie (CTC) a sollicité cette assistance technique pour renforcer ses capacités à soutenir les entreprises du secteur chimique, notamment celles qui fabriquent des médicaments, dans leurs démarches d’accès à de nouveaux marchés.</w:t>
      </w:r>
      <w:r>
        <w:t xml:space="preserve"> </w:t>
      </w:r>
    </w:p>
    <w:p w:rsidR="009D343E" w:rsidRDefault="009146C8">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L'objectif principal de cette mission est de former les collaborateurs.trices du CTC aux réglementations BPF/GMP</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d'améliorer les systèmes qualité des entreprises et de faciliter l’enregistrement de leurs produits à l’échelle internationale, et notamment à l’échelle du continent.  </w:t>
      </w:r>
    </w:p>
    <w:p w:rsidR="009D343E" w:rsidRDefault="009146C8">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Bien que ni la ZLECAF ni le COMESA n’aient établi de réglementation spécifique aux BPF/GMP pour le secteur pharmaceutique, les pays membres s'alignent généralement sur les normes internationales, celles définies par l’OMS (Organisation </w:t>
      </w:r>
      <w:r>
        <w:rPr>
          <w:rFonts w:ascii="Times New Roman" w:eastAsia="Times New Roman" w:hAnsi="Times New Roman" w:cs="Times New Roman"/>
        </w:rPr>
        <w:t>mondiale de la santé</w:t>
      </w:r>
      <w:r>
        <w:rPr>
          <w:rFonts w:ascii="Times New Roman" w:eastAsia="Times New Roman" w:hAnsi="Times New Roman" w:cs="Times New Roman"/>
          <w:color w:val="000000"/>
        </w:rPr>
        <w:t>). Le CTC souhaite ainsi renforcer ses compétences en matière de BPF/GMP pour mieux accompagner les entreprises dans leur expansion sur le continent. Le CTC, établissement public sous tutelle du Ministère de l'Industrie, de l'Énergie et des Mines, soutient</w:t>
      </w:r>
      <w:r>
        <w:rPr>
          <w:rFonts w:ascii="Times New Roman" w:eastAsia="Times New Roman" w:hAnsi="Times New Roman" w:cs="Times New Roman"/>
        </w:rPr>
        <w:t xml:space="preserve"> le développement du secteur chimique en offrant des services d’assistance technique, de conseil, et de formation. Le Centre appuie les entreprises à optimiser leurs procédés de production, à intégrer des technologies innovantes et à se conformer aux normes internationales, contribuant ainsi à leur compétitivité et à leur expansion internationale.</w:t>
      </w:r>
    </w:p>
    <w:p w:rsidR="009D343E" w:rsidRDefault="009146C8">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rPr>
        <w:t xml:space="preserve">Le projet Qawafel lance ainsi une consultation pour recruter </w:t>
      </w:r>
      <w:proofErr w:type="spellStart"/>
      <w:proofErr w:type="gramStart"/>
      <w:r>
        <w:rPr>
          <w:rFonts w:ascii="Times New Roman" w:eastAsia="Times New Roman" w:hAnsi="Times New Roman" w:cs="Times New Roman"/>
        </w:rPr>
        <w:t>un.e</w:t>
      </w:r>
      <w:proofErr w:type="spellEnd"/>
      <w:proofErr w:type="gramEnd"/>
      <w:r>
        <w:rPr>
          <w:rFonts w:ascii="Times New Roman" w:eastAsia="Times New Roman" w:hAnsi="Times New Roman" w:cs="Times New Roman"/>
        </w:rPr>
        <w:t xml:space="preserve"> expert.e </w:t>
      </w:r>
      <w:proofErr w:type="spellStart"/>
      <w:r>
        <w:rPr>
          <w:rFonts w:ascii="Times New Roman" w:eastAsia="Times New Roman" w:hAnsi="Times New Roman" w:cs="Times New Roman"/>
        </w:rPr>
        <w:t>chargé.e</w:t>
      </w:r>
      <w:proofErr w:type="spellEnd"/>
      <w:r>
        <w:rPr>
          <w:rFonts w:ascii="Times New Roman" w:eastAsia="Times New Roman" w:hAnsi="Times New Roman" w:cs="Times New Roman"/>
        </w:rPr>
        <w:t xml:space="preserve"> de :</w:t>
      </w:r>
    </w:p>
    <w:p w:rsidR="009D343E" w:rsidRDefault="009146C8">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Former les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du CTC à accompagner les entreprises vers une meilleure conformité aux normes BPF/GMP pour les médicaments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9D343E" w:rsidRDefault="009146C8">
      <w:pPr>
        <w:numPr>
          <w:ilvl w:val="0"/>
          <w:numId w:val="5"/>
        </w:num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Appuyer ces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dans la mise en œuvre des BPF/GMP et l’accompagnement aux entreprises dans leurs démarches d’enregistrement des médicaments à l’international. </w:t>
      </w:r>
    </w:p>
    <w:p w:rsidR="009D343E" w:rsidRDefault="009146C8">
      <w:pPr>
        <w:numPr>
          <w:ilvl w:val="1"/>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Objectifs spécifiques </w:t>
      </w:r>
    </w:p>
    <w:p w:rsidR="009D343E" w:rsidRDefault="009146C8">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rPr>
        <w:t xml:space="preserve">La présente mission est double. Dans un premier temps, il s’agira de former les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du CTC aux normes de conformité, aux audits, au diagnostic et aux certifications BPF/GMP pour les médicaments. Dans un second temps, il s’agira, pendant une phase expérimentale, de coacher les cadres du CTC pour soutenir trois entreprises pour les accompagner à adopter les bonnes pratiques de fabrication, à se conformer aux normes internationales BPF/GMP, et à faciliter les procédures d’enregistrement de leurs produits dans les pays cibles du projet Qawafel (Kenya, Mauritanie, Sénégal et République Démocratique du Congo). </w:t>
      </w:r>
    </w:p>
    <w:p w:rsidR="009D343E" w:rsidRDefault="009146C8">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rPr>
        <w:t xml:space="preserve">L’expert.e est donc </w:t>
      </w:r>
      <w:proofErr w:type="spellStart"/>
      <w:proofErr w:type="gramStart"/>
      <w:r>
        <w:rPr>
          <w:rFonts w:ascii="Times New Roman" w:eastAsia="Times New Roman" w:hAnsi="Times New Roman" w:cs="Times New Roman"/>
        </w:rPr>
        <w:t>amené.e</w:t>
      </w:r>
      <w:proofErr w:type="spellEnd"/>
      <w:proofErr w:type="gramEnd"/>
      <w:r>
        <w:rPr>
          <w:rFonts w:ascii="Times New Roman" w:eastAsia="Times New Roman" w:hAnsi="Times New Roman" w:cs="Times New Roman"/>
        </w:rPr>
        <w:t xml:space="preserve"> à atteindre les résultats suivants :</w:t>
      </w: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Évaluer les besoins de formation</w:t>
      </w:r>
      <w:r>
        <w:rPr>
          <w:rFonts w:ascii="Times New Roman" w:eastAsia="Times New Roman" w:hAnsi="Times New Roman" w:cs="Times New Roman"/>
          <w:color w:val="000000"/>
        </w:rPr>
        <w:t xml:space="preserve"> : réaliser un diagnostic des compétences actuelles des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du CTC en matière de réglementations BPF/GMP pour les médicaments. Ce diagnostic sera effectué à l’aide d’un questionnaire et d’entretiens individuels avec les membres du CTC afin de déterminer les besoins spécifiques.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rPr>
      </w:pP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Développer le contenu de la formation</w:t>
      </w:r>
      <w:r>
        <w:rPr>
          <w:rFonts w:ascii="Times New Roman" w:eastAsia="Times New Roman" w:hAnsi="Times New Roman" w:cs="Times New Roman"/>
          <w:color w:val="000000"/>
        </w:rPr>
        <w:t xml:space="preserve"> : concevoir un programme de formation basé sur les résultats du diagnostic, sur les réglementations BPF/GMP et incluant les normes internationales pour les médicaments. La formation pourra s’étendra jusqu’à 3 jours maximum. La formation devra couvrir les aspects essentiels de la conformité BPF/GMP et inclure des sessions pratiques pour faciliter la compréhension et l'application des normes.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Animer les sessions de formation au</w:t>
      </w:r>
      <w:r w:rsidR="008F53DE">
        <w:rPr>
          <w:rFonts w:ascii="Times New Roman" w:eastAsia="Times New Roman" w:hAnsi="Times New Roman" w:cs="Times New Roman"/>
          <w:color w:val="000000"/>
          <w:u w:val="single"/>
        </w:rPr>
        <w:t xml:space="preserve">près de </w:t>
      </w:r>
      <w:r w:rsidR="005F50C7">
        <w:rPr>
          <w:rFonts w:ascii="Times New Roman" w:eastAsia="Times New Roman" w:hAnsi="Times New Roman" w:cs="Times New Roman"/>
          <w:color w:val="000000"/>
          <w:u w:val="single"/>
        </w:rPr>
        <w:t>10</w:t>
      </w:r>
      <w:r>
        <w:rPr>
          <w:rFonts w:ascii="Times New Roman" w:eastAsia="Times New Roman" w:hAnsi="Times New Roman" w:cs="Times New Roman"/>
          <w:color w:val="000000"/>
          <w:u w:val="single"/>
        </w:rPr>
        <w:t xml:space="preserve"> de </w:t>
      </w:r>
      <w:proofErr w:type="gramStart"/>
      <w:r>
        <w:rPr>
          <w:rFonts w:ascii="Times New Roman" w:eastAsia="Times New Roman" w:hAnsi="Times New Roman" w:cs="Times New Roman"/>
          <w:color w:val="000000"/>
          <w:u w:val="single"/>
        </w:rPr>
        <w:t>collaborateurs.trices</w:t>
      </w:r>
      <w:proofErr w:type="gramEnd"/>
      <w:r>
        <w:rPr>
          <w:rFonts w:ascii="Times New Roman" w:eastAsia="Times New Roman" w:hAnsi="Times New Roman" w:cs="Times New Roman"/>
          <w:color w:val="000000"/>
          <w:u w:val="single"/>
        </w:rPr>
        <w:t xml:space="preserve"> du CTC</w:t>
      </w:r>
      <w:r>
        <w:rPr>
          <w:rFonts w:ascii="Times New Roman" w:eastAsia="Times New Roman" w:hAnsi="Times New Roman" w:cs="Times New Roman"/>
          <w:color w:val="000000"/>
        </w:rPr>
        <w:t xml:space="preserve">, en utilisant une approche interactive qui combine des présentations théoriques, des études de cas pratiques, et des ateliers de travail en groupe. La formation devra permettre aux </w:t>
      </w:r>
      <w:proofErr w:type="spellStart"/>
      <w:r>
        <w:rPr>
          <w:rFonts w:ascii="Times New Roman" w:eastAsia="Times New Roman" w:hAnsi="Times New Roman" w:cs="Times New Roman"/>
          <w:color w:val="000000"/>
        </w:rPr>
        <w:t>participant.</w:t>
      </w:r>
      <w:proofErr w:type="gramStart"/>
      <w:r>
        <w:rPr>
          <w:rFonts w:ascii="Times New Roman" w:eastAsia="Times New Roman" w:hAnsi="Times New Roman" w:cs="Times New Roman"/>
          <w:color w:val="000000"/>
        </w:rPr>
        <w:t>e.s</w:t>
      </w:r>
      <w:proofErr w:type="spellEnd"/>
      <w:proofErr w:type="gramEnd"/>
      <w:r>
        <w:rPr>
          <w:rFonts w:ascii="Times New Roman" w:eastAsia="Times New Roman" w:hAnsi="Times New Roman" w:cs="Times New Roman"/>
          <w:color w:val="000000"/>
        </w:rPr>
        <w:t xml:space="preserve"> de maîtriser les exigences BPF/GMP et de les appliquer efficacement.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Développer un guide pratique et </w:t>
      </w:r>
      <w:r>
        <w:rPr>
          <w:rFonts w:ascii="Times New Roman" w:eastAsia="Times New Roman" w:hAnsi="Times New Roman" w:cs="Times New Roman"/>
          <w:u w:val="single"/>
        </w:rPr>
        <w:t>coacher</w:t>
      </w:r>
      <w:r>
        <w:rPr>
          <w:rFonts w:ascii="Times New Roman" w:eastAsia="Times New Roman" w:hAnsi="Times New Roman" w:cs="Times New Roman"/>
          <w:color w:val="000000"/>
          <w:u w:val="single"/>
        </w:rPr>
        <w:t xml:space="preserve"> la mise en œuvre pilote des BPF/GMP</w:t>
      </w:r>
      <w:r>
        <w:rPr>
          <w:rFonts w:ascii="Times New Roman" w:eastAsia="Times New Roman" w:hAnsi="Times New Roman" w:cs="Times New Roman"/>
          <w:color w:val="000000"/>
        </w:rPr>
        <w:t xml:space="preserve"> : élaborer un guide méthodologique pour le CTC, incluant des étapes claires pour soutenir les entreprises dans la mise en œuvre des BPF/GMP et l’internationalisation de leurs produits. L’expert.e fournira un appui pratique aux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du CTC, en les coachant dans l’accompagnement des entreprises et la préparation des dossiers d’enregistrement pour les marchés cibles.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9D343E" w:rsidRDefault="009146C8">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Élaborer des recommandations</w:t>
      </w:r>
      <w:r>
        <w:rPr>
          <w:rFonts w:ascii="Times New Roman" w:eastAsia="Times New Roman" w:hAnsi="Times New Roman" w:cs="Times New Roman"/>
          <w:color w:val="000000"/>
        </w:rPr>
        <w:t xml:space="preserve"> : formuler des recommandations pour intégrer durablement la formation sur les réglementations BPF/GMP au sein du CTC. Cela pourrait inclure la mise en place de procédures permettant aux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d’accompagner de façon continue les entreprises pharmaceutiques dans leur conformité aux normes et leurs démarches d’exportation vers le continent africain.</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Élaborer des outils de suivi post-formation</w:t>
      </w:r>
      <w:r>
        <w:rPr>
          <w:rFonts w:ascii="Times New Roman" w:eastAsia="Times New Roman" w:hAnsi="Times New Roman" w:cs="Times New Roman"/>
          <w:color w:val="000000"/>
        </w:rPr>
        <w:t xml:space="preserve"> : développer des outils pour évaluer l'efficacité de la formation et mesurer l'application des compétences acquises par les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formé.e.s</w:t>
      </w:r>
      <w:proofErr w:type="spellEnd"/>
      <w:r>
        <w:rPr>
          <w:rFonts w:ascii="Times New Roman" w:eastAsia="Times New Roman" w:hAnsi="Times New Roman" w:cs="Times New Roman"/>
          <w:color w:val="000000"/>
        </w:rPr>
        <w:t xml:space="preserve"> du CTC dans leurs missions de soutien aux entreprises</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9D343E" w:rsidRDefault="009146C8">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Produire le rapport de fin de mission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9D343E" w:rsidRDefault="009146C8">
      <w:pPr>
        <w:numPr>
          <w:ilvl w:val="0"/>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Méthodologie de la mission</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L’expert.e </w:t>
      </w:r>
      <w:r>
        <w:rPr>
          <w:rFonts w:ascii="Times New Roman" w:eastAsia="Times New Roman" w:hAnsi="Times New Roman" w:cs="Times New Roman"/>
          <w:color w:val="000000"/>
        </w:rPr>
        <w:t xml:space="preserve">devra mener à bien cette mission en coordination étroite avec le </w:t>
      </w:r>
      <w:r>
        <w:rPr>
          <w:rFonts w:ascii="Times New Roman" w:eastAsia="Times New Roman" w:hAnsi="Times New Roman" w:cs="Times New Roman"/>
        </w:rPr>
        <w:t xml:space="preserve">CTC et Qawafel. </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La formation aura un caractère théorique-pratique, combinant des modules interactifs et des études de cas concrets adaptés au secteur pharmaceutique. La formation suivra des approches interactives d'apprentissage actif des adultes (andragogie) pour générer une participation optimale de tous les </w:t>
      </w:r>
      <w:proofErr w:type="spellStart"/>
      <w:r>
        <w:rPr>
          <w:rFonts w:ascii="Times New Roman" w:eastAsia="Times New Roman" w:hAnsi="Times New Roman" w:cs="Times New Roman"/>
        </w:rPr>
        <w:t>participant.</w:t>
      </w:r>
      <w:proofErr w:type="gramStart"/>
      <w:r>
        <w:rPr>
          <w:rFonts w:ascii="Times New Roman" w:eastAsia="Times New Roman" w:hAnsi="Times New Roman" w:cs="Times New Roman"/>
        </w:rPr>
        <w:t>e.s</w:t>
      </w:r>
      <w:proofErr w:type="spellEnd"/>
      <w:proofErr w:type="gramEnd"/>
      <w:r>
        <w:rPr>
          <w:rFonts w:ascii="Times New Roman" w:eastAsia="Times New Roman" w:hAnsi="Times New Roman" w:cs="Times New Roman"/>
        </w:rPr>
        <w:t xml:space="preserve">, des échanges fructueux entre le formateur et les </w:t>
      </w:r>
      <w:proofErr w:type="spellStart"/>
      <w:r>
        <w:rPr>
          <w:rFonts w:ascii="Times New Roman" w:eastAsia="Times New Roman" w:hAnsi="Times New Roman" w:cs="Times New Roman"/>
        </w:rPr>
        <w:t>participant.e.s</w:t>
      </w:r>
      <w:proofErr w:type="spellEnd"/>
      <w:r>
        <w:rPr>
          <w:rFonts w:ascii="Times New Roman" w:eastAsia="Times New Roman" w:hAnsi="Times New Roman" w:cs="Times New Roman"/>
        </w:rPr>
        <w:t xml:space="preserve">, et pour optimiser les résultats en termes de processus d'apprentissage. La méthodologie sera basée sur les principes et les pratiques de l'éducation des adultes, notamment :  </w:t>
      </w:r>
      <w:r>
        <w:rPr>
          <w:rFonts w:ascii="Times New Roman" w:eastAsia="Times New Roman" w:hAnsi="Times New Roman" w:cs="Times New Roman"/>
        </w:rPr>
        <w:tab/>
      </w:r>
    </w:p>
    <w:p w:rsidR="009D343E" w:rsidRDefault="009146C8">
      <w:pPr>
        <w:numPr>
          <w:ilvl w:val="0"/>
          <w:numId w:val="1"/>
        </w:numPr>
        <w:pBdr>
          <w:top w:val="nil"/>
          <w:left w:val="nil"/>
          <w:bottom w:val="nil"/>
          <w:right w:val="nil"/>
          <w:between w:val="nil"/>
        </w:pBdr>
        <w:spacing w:before="28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Présenter de nouvelles idées de manière respectueuse et en complémentarité avec l’expertise et les connaissances des </w:t>
      </w:r>
      <w:proofErr w:type="spellStart"/>
      <w:r>
        <w:rPr>
          <w:rFonts w:ascii="Times New Roman" w:eastAsia="Times New Roman" w:hAnsi="Times New Roman" w:cs="Times New Roman"/>
          <w:color w:val="000000"/>
        </w:rPr>
        <w:t>participant.</w:t>
      </w:r>
      <w:proofErr w:type="gramStart"/>
      <w:r>
        <w:rPr>
          <w:rFonts w:ascii="Times New Roman" w:eastAsia="Times New Roman" w:hAnsi="Times New Roman" w:cs="Times New Roman"/>
          <w:color w:val="000000"/>
        </w:rPr>
        <w:t>e.s</w:t>
      </w:r>
      <w:proofErr w:type="spellEnd"/>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rsidR="009D343E" w:rsidRDefault="009146C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Permettre à tous les </w:t>
      </w:r>
      <w:proofErr w:type="spellStart"/>
      <w:r>
        <w:rPr>
          <w:rFonts w:ascii="Times New Roman" w:eastAsia="Times New Roman" w:hAnsi="Times New Roman" w:cs="Times New Roman"/>
          <w:color w:val="000000"/>
        </w:rPr>
        <w:t>participant.</w:t>
      </w:r>
      <w:proofErr w:type="gramStart"/>
      <w:r>
        <w:rPr>
          <w:rFonts w:ascii="Times New Roman" w:eastAsia="Times New Roman" w:hAnsi="Times New Roman" w:cs="Times New Roman"/>
          <w:color w:val="000000"/>
        </w:rPr>
        <w:t>e.s</w:t>
      </w:r>
      <w:proofErr w:type="spellEnd"/>
      <w:proofErr w:type="gramEnd"/>
      <w:r>
        <w:rPr>
          <w:rFonts w:ascii="Times New Roman" w:eastAsia="Times New Roman" w:hAnsi="Times New Roman" w:cs="Times New Roman"/>
          <w:color w:val="000000"/>
        </w:rPr>
        <w:t xml:space="preserve"> de s’exprimer et de discuter les acquis de la formation </w:t>
      </w:r>
    </w:p>
    <w:p w:rsidR="009D343E" w:rsidRDefault="009146C8">
      <w:pPr>
        <w:numPr>
          <w:ilvl w:val="0"/>
          <w:numId w:val="1"/>
        </w:num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Appuyer les </w:t>
      </w:r>
      <w:proofErr w:type="spellStart"/>
      <w:r>
        <w:rPr>
          <w:rFonts w:ascii="Times New Roman" w:eastAsia="Times New Roman" w:hAnsi="Times New Roman" w:cs="Times New Roman"/>
          <w:color w:val="000000"/>
        </w:rPr>
        <w:t>participant.</w:t>
      </w:r>
      <w:proofErr w:type="gramStart"/>
      <w:r>
        <w:rPr>
          <w:rFonts w:ascii="Times New Roman" w:eastAsia="Times New Roman" w:hAnsi="Times New Roman" w:cs="Times New Roman"/>
          <w:color w:val="000000"/>
        </w:rPr>
        <w:t>e.s</w:t>
      </w:r>
      <w:proofErr w:type="spellEnd"/>
      <w:proofErr w:type="gramEnd"/>
      <w:r>
        <w:rPr>
          <w:rFonts w:ascii="Times New Roman" w:eastAsia="Times New Roman" w:hAnsi="Times New Roman" w:cs="Times New Roman"/>
          <w:color w:val="000000"/>
        </w:rPr>
        <w:t xml:space="preserve"> dans l’identification des problématiques et des solutions pertinentes pour agir en conséquence.</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La formation sera dispensée en présentiel. L'expert.e proposera également des options en ligne pour s'adapter aux contraintes des </w:t>
      </w:r>
      <w:proofErr w:type="spellStart"/>
      <w:r>
        <w:rPr>
          <w:rFonts w:ascii="Times New Roman" w:eastAsia="Times New Roman" w:hAnsi="Times New Roman" w:cs="Times New Roman"/>
        </w:rPr>
        <w:t>participant.</w:t>
      </w:r>
      <w:proofErr w:type="gramStart"/>
      <w:r>
        <w:rPr>
          <w:rFonts w:ascii="Times New Roman" w:eastAsia="Times New Roman" w:hAnsi="Times New Roman" w:cs="Times New Roman"/>
        </w:rPr>
        <w:t>e.s</w:t>
      </w:r>
      <w:proofErr w:type="spellEnd"/>
      <w:proofErr w:type="gramEnd"/>
      <w:r>
        <w:rPr>
          <w:rFonts w:ascii="Times New Roman" w:eastAsia="Times New Roman" w:hAnsi="Times New Roman" w:cs="Times New Roman"/>
        </w:rPr>
        <w:t xml:space="preserve"> et garantir une participation optimale. </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rPr>
        <w:lastRenderedPageBreak/>
        <w:t xml:space="preserve">La formation pourra s'étendre sur une période maximale </w:t>
      </w:r>
      <w:r w:rsidR="008F53DE">
        <w:rPr>
          <w:rFonts w:ascii="Times New Roman" w:eastAsia="Times New Roman" w:hAnsi="Times New Roman" w:cs="Times New Roman"/>
        </w:rPr>
        <w:t>de 3 jours pour un maximum de 1</w:t>
      </w:r>
      <w:r w:rsidR="005F50C7">
        <w:rPr>
          <w:rFonts w:ascii="Times New Roman" w:eastAsia="Times New Roman" w:hAnsi="Times New Roman" w:cs="Times New Roman"/>
        </w:rPr>
        <w:t>0</w:t>
      </w:r>
      <w:r>
        <w:rPr>
          <w:rFonts w:ascii="Times New Roman" w:eastAsia="Times New Roman" w:hAnsi="Times New Roman" w:cs="Times New Roman"/>
        </w:rPr>
        <w:t xml:space="preserve"> cadres. L'expert.e devra proposer une répartition du volume horaire, qui devra être validée par le CTC et Qawafel. </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u w:val="single"/>
        </w:rPr>
        <w:t>Appui post-formation</w:t>
      </w:r>
      <w:r>
        <w:rPr>
          <w:rFonts w:ascii="Times New Roman" w:eastAsia="Times New Roman" w:hAnsi="Times New Roman" w:cs="Times New Roman"/>
        </w:rPr>
        <w:t xml:space="preserve"> : </w:t>
      </w:r>
      <w:proofErr w:type="gramStart"/>
      <w:r>
        <w:rPr>
          <w:rFonts w:ascii="Times New Roman" w:eastAsia="Times New Roman" w:hAnsi="Times New Roman" w:cs="Times New Roman"/>
        </w:rPr>
        <w:t>l’expert.e</w:t>
      </w:r>
      <w:proofErr w:type="gramEnd"/>
      <w:r>
        <w:rPr>
          <w:rFonts w:ascii="Times New Roman" w:eastAsia="Times New Roman" w:hAnsi="Times New Roman" w:cs="Times New Roman"/>
        </w:rPr>
        <w:t xml:space="preserve"> apportera un soutien technique continu aux collaborateurs.trices du CTC dans leur accompagnement des entreprises chimiques. Cela inclura des consultations sur demande pour les aider à appliquer les normes BPF/GMP au sein des entreprises et à préparer les dossiers d'enregistrement des produits pharmaceutiques pour les marchés cibles. Ce soutien pourra se faire à distance ou au sein du CTC, selon les besoins, avec un maximum de 5 jours d'expertise alloués pour ces interventions post-formation. </w:t>
      </w:r>
    </w:p>
    <w:p w:rsidR="009D343E" w:rsidRDefault="009146C8">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Tâches à réaliser </w:t>
      </w:r>
    </w:p>
    <w:p w:rsidR="009D343E" w:rsidRDefault="009146C8">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Pour atteindre l’objectif et les résultats de la mission, </w:t>
      </w:r>
      <w:proofErr w:type="gramStart"/>
      <w:r>
        <w:rPr>
          <w:rFonts w:ascii="Times New Roman" w:eastAsia="Times New Roman" w:hAnsi="Times New Roman" w:cs="Times New Roman"/>
        </w:rPr>
        <w:t>l’expert.e</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est </w:t>
      </w:r>
      <w:proofErr w:type="spellStart"/>
      <w:r>
        <w:rPr>
          <w:rFonts w:ascii="Times New Roman" w:eastAsia="Times New Roman" w:hAnsi="Times New Roman" w:cs="Times New Roman"/>
          <w:color w:val="000000"/>
        </w:rPr>
        <w:t>appelé.e</w:t>
      </w:r>
      <w:proofErr w:type="spellEnd"/>
      <w:r>
        <w:rPr>
          <w:rFonts w:ascii="Times New Roman" w:eastAsia="Times New Roman" w:hAnsi="Times New Roman" w:cs="Times New Roman"/>
          <w:color w:val="000000"/>
        </w:rPr>
        <w:t xml:space="preserve"> à mener les tâches suivantes :</w:t>
      </w:r>
    </w:p>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
        <w:gridCol w:w="7754"/>
        <w:gridCol w:w="850"/>
      </w:tblGrid>
      <w:tr w:rsidR="009D343E">
        <w:tc>
          <w:tcPr>
            <w:tcW w:w="463" w:type="dxa"/>
            <w:shd w:val="clear" w:color="auto" w:fill="D9D9D9"/>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w:t>
            </w:r>
          </w:p>
        </w:tc>
        <w:tc>
          <w:tcPr>
            <w:tcW w:w="7754" w:type="dxa"/>
            <w:shd w:val="clear" w:color="auto" w:fill="D9D9D9"/>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Activités</w:t>
            </w:r>
          </w:p>
        </w:tc>
        <w:tc>
          <w:tcPr>
            <w:tcW w:w="850" w:type="dxa"/>
            <w:shd w:val="clear" w:color="auto" w:fill="D9D9D9"/>
            <w:vAlign w:val="center"/>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H/J</w:t>
            </w:r>
          </w:p>
        </w:tc>
      </w:tr>
      <w:tr w:rsidR="009D343E">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Tenir des réunions de cadrage avec le CTC et Qawafel (à distance ou en présentiel)</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9D343E">
        <w:trPr>
          <w:trHeight w:val="237"/>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Produire une note méthodologie et un chronogramme de la mission</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9D343E">
        <w:trPr>
          <w:trHeight w:val="402"/>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Réaliser un diagnostic des compétences des collaborateurs.trices du CTC en matière de normes BPF/GMP</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9D343E">
        <w:trPr>
          <w:trHeight w:val="278"/>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Développer le contenu et les supports de formation sur les normes BPF/GMP</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9D343E">
        <w:trPr>
          <w:trHeight w:val="106"/>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w:t>
            </w:r>
          </w:p>
        </w:tc>
        <w:tc>
          <w:tcPr>
            <w:tcW w:w="7754" w:type="dxa"/>
            <w:vAlign w:val="center"/>
          </w:tcPr>
          <w:p w:rsidR="009D343E" w:rsidRDefault="009146C8">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Animer la formation en présentiel, en tenant compte de la période maximale de 3 jours</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9D343E">
        <w:trPr>
          <w:trHeight w:val="106"/>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Élaborer un guide de mise en œuvre pour le CTC, incluant les méthodologies et processus de suivi </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9D343E">
        <w:trPr>
          <w:trHeight w:val="106"/>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Appuyer les collaborateurs.trices du CTC dans l’accompagnement des entreprises sur la mise en œuvre des BPF/GMP</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9D343E">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Elaborer des outils de suivi et d’évaluation de la formation et d’application des connaissances</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9D343E">
        <w:trPr>
          <w:trHeight w:val="285"/>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Rédiger le rapport de fin de mission, incluant des recommandations pour pérenniser les acquis de la formation au sein du CTC</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9D343E">
        <w:tc>
          <w:tcPr>
            <w:tcW w:w="8217" w:type="dxa"/>
            <w:gridSpan w:val="2"/>
            <w:shd w:val="clear" w:color="auto" w:fill="D9D9D9"/>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Nombre total de jours</w:t>
            </w:r>
          </w:p>
        </w:tc>
        <w:tc>
          <w:tcPr>
            <w:tcW w:w="850" w:type="dxa"/>
            <w:shd w:val="clear" w:color="auto" w:fill="D9D9D9"/>
            <w:vAlign w:val="center"/>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r>
    </w:tbl>
    <w:p w:rsidR="009D343E" w:rsidRDefault="009146C8">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Livrables de la mission et modalités de validation </w:t>
      </w:r>
    </w:p>
    <w:p w:rsidR="009D343E" w:rsidRDefault="009146C8">
      <w:pPr>
        <w:spacing w:before="280" w:after="280"/>
        <w:jc w:val="both"/>
        <w:rPr>
          <w:rFonts w:ascii="Times New Roman" w:eastAsia="Times New Roman" w:hAnsi="Times New Roman" w:cs="Times New Roman"/>
          <w:b/>
        </w:rPr>
      </w:pPr>
      <w:r>
        <w:rPr>
          <w:rFonts w:ascii="Times New Roman" w:eastAsia="Times New Roman" w:hAnsi="Times New Roman" w:cs="Times New Roman"/>
        </w:rPr>
        <w:t xml:space="preserve">L’expert.e est </w:t>
      </w:r>
      <w:proofErr w:type="spellStart"/>
      <w:proofErr w:type="gramStart"/>
      <w:r>
        <w:rPr>
          <w:rFonts w:ascii="Times New Roman" w:eastAsia="Times New Roman" w:hAnsi="Times New Roman" w:cs="Times New Roman"/>
        </w:rPr>
        <w:t>appelé.e</w:t>
      </w:r>
      <w:proofErr w:type="spellEnd"/>
      <w:proofErr w:type="gramEnd"/>
      <w:r>
        <w:rPr>
          <w:rFonts w:ascii="Times New Roman" w:eastAsia="Times New Roman" w:hAnsi="Times New Roman" w:cs="Times New Roman"/>
        </w:rPr>
        <w:t xml:space="preserve"> à fournir les documents suivants au fur et à mesure de la conduite de la mission:</w:t>
      </w:r>
    </w:p>
    <w:tbl>
      <w:tblPr>
        <w:tblStyle w:val="a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045"/>
        <w:gridCol w:w="1334"/>
        <w:gridCol w:w="2126"/>
      </w:tblGrid>
      <w:tr w:rsidR="009D343E">
        <w:tc>
          <w:tcPr>
            <w:tcW w:w="567" w:type="dxa"/>
            <w:shd w:val="clear" w:color="auto" w:fill="D9D9D9"/>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w:t>
            </w:r>
          </w:p>
        </w:tc>
        <w:tc>
          <w:tcPr>
            <w:tcW w:w="5045" w:type="dxa"/>
            <w:shd w:val="clear" w:color="auto" w:fill="D9D9D9"/>
          </w:tcPr>
          <w:p w:rsidR="009D343E" w:rsidRDefault="009146C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Livrables </w:t>
            </w:r>
          </w:p>
        </w:tc>
        <w:tc>
          <w:tcPr>
            <w:tcW w:w="1334" w:type="dxa"/>
            <w:shd w:val="clear" w:color="auto" w:fill="D9D9D9"/>
          </w:tcPr>
          <w:p w:rsidR="009D343E" w:rsidRDefault="009146C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Volume </w:t>
            </w:r>
            <w:r>
              <w:rPr>
                <w:rFonts w:ascii="Times New Roman" w:eastAsia="Times New Roman" w:hAnsi="Times New Roman" w:cs="Times New Roman"/>
                <w:color w:val="000000"/>
                <w:sz w:val="22"/>
                <w:szCs w:val="22"/>
              </w:rPr>
              <w:t>(maximum)</w:t>
            </w:r>
          </w:p>
        </w:tc>
        <w:tc>
          <w:tcPr>
            <w:tcW w:w="2126" w:type="dxa"/>
            <w:shd w:val="clear" w:color="auto" w:fill="D9D9D9"/>
          </w:tcPr>
          <w:p w:rsidR="009D343E" w:rsidRDefault="009146C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Echéance</w:t>
            </w:r>
          </w:p>
        </w:tc>
      </w:tr>
      <w:tr w:rsidR="009D343E">
        <w:trPr>
          <w:trHeight w:val="547"/>
        </w:trPr>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Note méthodologique et chronogramme de la mission</w:t>
            </w:r>
          </w:p>
        </w:tc>
        <w:tc>
          <w:tcPr>
            <w:tcW w:w="1334"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pages </w:t>
            </w:r>
          </w:p>
        </w:tc>
        <w:tc>
          <w:tcPr>
            <w:tcW w:w="2126"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jours après le début de la mission</w:t>
            </w:r>
          </w:p>
        </w:tc>
      </w:tr>
      <w:tr w:rsidR="009D343E">
        <w:trPr>
          <w:trHeight w:val="398"/>
        </w:trPr>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Rapport de diagnostic des compétences des collaborateurs.trices du CTC en matière de normes BPF/GMP</w:t>
            </w:r>
          </w:p>
        </w:tc>
        <w:tc>
          <w:tcPr>
            <w:tcW w:w="1334"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pages</w:t>
            </w:r>
          </w:p>
        </w:tc>
        <w:tc>
          <w:tcPr>
            <w:tcW w:w="2126" w:type="dxa"/>
          </w:tcPr>
          <w:p w:rsidR="009D343E" w:rsidRDefault="009E3EE9" w:rsidP="009E3EE9">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 jours après le début de la formation</w:t>
            </w:r>
          </w:p>
        </w:tc>
      </w:tr>
      <w:tr w:rsidR="009D343E">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Supports de formation (contenu, présentations, documents de référence, exercices)</w:t>
            </w:r>
          </w:p>
        </w:tc>
        <w:tc>
          <w:tcPr>
            <w:tcW w:w="1334" w:type="dxa"/>
          </w:tcPr>
          <w:p w:rsidR="009D343E" w:rsidRDefault="009D343E">
            <w:pPr>
              <w:jc w:val="both"/>
              <w:rPr>
                <w:rFonts w:ascii="Times New Roman" w:eastAsia="Times New Roman" w:hAnsi="Times New Roman" w:cs="Times New Roman"/>
                <w:color w:val="000000"/>
                <w:sz w:val="22"/>
                <w:szCs w:val="22"/>
              </w:rPr>
            </w:pPr>
          </w:p>
        </w:tc>
        <w:tc>
          <w:tcPr>
            <w:tcW w:w="2126"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jours avant le début de la formation</w:t>
            </w:r>
          </w:p>
        </w:tc>
      </w:tr>
      <w:tr w:rsidR="009D343E">
        <w:trPr>
          <w:trHeight w:val="509"/>
        </w:trPr>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Guide de mise en œuvre pour le CTC (incluant méthodologies et processus de suivi)</w:t>
            </w:r>
          </w:p>
        </w:tc>
        <w:tc>
          <w:tcPr>
            <w:tcW w:w="1334" w:type="dxa"/>
          </w:tcPr>
          <w:p w:rsidR="009D343E" w:rsidRDefault="009D343E">
            <w:pPr>
              <w:jc w:val="both"/>
              <w:rPr>
                <w:rFonts w:ascii="Times New Roman" w:eastAsia="Times New Roman" w:hAnsi="Times New Roman" w:cs="Times New Roman"/>
                <w:color w:val="000000"/>
                <w:sz w:val="22"/>
                <w:szCs w:val="22"/>
              </w:rPr>
            </w:pPr>
          </w:p>
        </w:tc>
        <w:tc>
          <w:tcPr>
            <w:tcW w:w="2126"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jours après la fin de la formation</w:t>
            </w:r>
          </w:p>
        </w:tc>
      </w:tr>
      <w:tr w:rsidR="009D343E">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Rapport de fin de mission (incluant l’évaluation des résultats, recommandations pour pérenniser les acquis et analyse des impacts</w:t>
            </w:r>
          </w:p>
        </w:tc>
        <w:tc>
          <w:tcPr>
            <w:tcW w:w="1334" w:type="dxa"/>
          </w:tcPr>
          <w:p w:rsidR="009D343E" w:rsidRDefault="009D343E">
            <w:pPr>
              <w:jc w:val="both"/>
              <w:rPr>
                <w:rFonts w:ascii="Times New Roman" w:eastAsia="Times New Roman" w:hAnsi="Times New Roman" w:cs="Times New Roman"/>
                <w:color w:val="000000"/>
                <w:sz w:val="22"/>
                <w:szCs w:val="22"/>
              </w:rPr>
            </w:pPr>
          </w:p>
        </w:tc>
        <w:tc>
          <w:tcPr>
            <w:tcW w:w="2126"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mois après la fin de la formation</w:t>
            </w:r>
          </w:p>
        </w:tc>
      </w:tr>
    </w:tbl>
    <w:p w:rsidR="009D343E" w:rsidRDefault="009146C8">
      <w:pP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Les livrables de la mission seront à discuter et à valider en parfaite collaboration avec le CTC et Qawafel. Chaque partie fera l’objet d’une validation par l’équipe du projet :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color w:val="000000"/>
        </w:rPr>
        <w:t>- 1</w:t>
      </w:r>
      <w:r>
        <w:rPr>
          <w:rFonts w:ascii="Times New Roman" w:eastAsia="Times New Roman" w:hAnsi="Times New Roman" w:cs="Times New Roman"/>
          <w:color w:val="000000"/>
          <w:vertAlign w:val="superscript"/>
        </w:rPr>
        <w:t>ère</w:t>
      </w:r>
      <w:r>
        <w:rPr>
          <w:rFonts w:ascii="Times New Roman" w:eastAsia="Times New Roman" w:hAnsi="Times New Roman" w:cs="Times New Roman"/>
          <w:color w:val="000000"/>
        </w:rPr>
        <w:t xml:space="preserve"> ébauche par l’expert.e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color w:val="000000"/>
        </w:rPr>
        <w:t>- 2</w:t>
      </w:r>
      <w:r>
        <w:rPr>
          <w:rFonts w:ascii="Times New Roman" w:eastAsia="Times New Roman" w:hAnsi="Times New Roman" w:cs="Times New Roman"/>
          <w:color w:val="000000"/>
          <w:vertAlign w:val="superscript"/>
        </w:rPr>
        <w:t>ème</w:t>
      </w:r>
      <w:r>
        <w:rPr>
          <w:rFonts w:ascii="Times New Roman" w:eastAsia="Times New Roman" w:hAnsi="Times New Roman" w:cs="Times New Roman"/>
          <w:color w:val="000000"/>
        </w:rPr>
        <w:t xml:space="preserve"> ébauche avec intégration des commentaires ; </w:t>
      </w:r>
      <w:r>
        <w:rPr>
          <w:rFonts w:ascii="Times New Roman" w:eastAsia="Times New Roman" w:hAnsi="Times New Roman" w:cs="Times New Roman"/>
          <w:color w:val="000000"/>
        </w:rPr>
        <w:tab/>
      </w:r>
      <w:r>
        <w:rPr>
          <w:rFonts w:ascii="Times New Roman" w:eastAsia="Times New Roman" w:hAnsi="Times New Roman" w:cs="Times New Roman"/>
          <w:color w:val="000000"/>
        </w:rPr>
        <w:br/>
        <w:t xml:space="preserve">- version finale validée par le chef de projet. </w:t>
      </w:r>
    </w:p>
    <w:p w:rsidR="009D343E" w:rsidRDefault="009146C8">
      <w:pP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L’expert.e reportera au chef de projet M. Mazen Al Kassem. Pour toute question technique, </w:t>
      </w:r>
      <w:proofErr w:type="gramStart"/>
      <w:r>
        <w:rPr>
          <w:rFonts w:ascii="Times New Roman" w:eastAsia="Times New Roman" w:hAnsi="Times New Roman" w:cs="Times New Roman"/>
          <w:color w:val="000000"/>
        </w:rPr>
        <w:t>l’expert.e</w:t>
      </w:r>
      <w:proofErr w:type="gramEnd"/>
      <w:r>
        <w:rPr>
          <w:rFonts w:ascii="Times New Roman" w:eastAsia="Times New Roman" w:hAnsi="Times New Roman" w:cs="Times New Roman"/>
          <w:color w:val="000000"/>
        </w:rPr>
        <w:t xml:space="preserve"> s’adressera à Mme Amel Benredjem, Chargée de la Facilité d’assistance technique.</w:t>
      </w:r>
    </w:p>
    <w:p w:rsidR="009D343E" w:rsidRDefault="009146C8">
      <w:pPr>
        <w:numPr>
          <w:ilvl w:val="0"/>
          <w:numId w:val="8"/>
        </w:numPr>
        <w:pBdr>
          <w:top w:val="nil"/>
          <w:left w:val="nil"/>
          <w:bottom w:val="nil"/>
          <w:right w:val="nil"/>
          <w:between w:val="nil"/>
        </w:pBdr>
        <w:spacing w:after="28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Calendrier prévisionnel et lieux d’exécution de la mission</w:t>
      </w:r>
    </w:p>
    <w:p w:rsidR="009D343E" w:rsidRDefault="009146C8">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La mission se déroulera</w:t>
      </w:r>
      <w:r w:rsidR="0010590E">
        <w:rPr>
          <w:rFonts w:ascii="Times New Roman" w:eastAsia="Times New Roman" w:hAnsi="Times New Roman" w:cs="Times New Roman"/>
        </w:rPr>
        <w:t xml:space="preserve"> sur la période de </w:t>
      </w:r>
      <w:r w:rsidR="0055338D">
        <w:rPr>
          <w:rFonts w:ascii="Times New Roman" w:eastAsia="Times New Roman" w:hAnsi="Times New Roman" w:cs="Times New Roman"/>
        </w:rPr>
        <w:t>janvier</w:t>
      </w:r>
      <w:r>
        <w:rPr>
          <w:rFonts w:ascii="Times New Roman" w:eastAsia="Times New Roman" w:hAnsi="Times New Roman" w:cs="Times New Roman"/>
        </w:rPr>
        <w:t xml:space="preserve"> à </w:t>
      </w:r>
      <w:r w:rsidR="0055338D">
        <w:rPr>
          <w:rFonts w:ascii="Times New Roman" w:eastAsia="Times New Roman" w:hAnsi="Times New Roman" w:cs="Times New Roman"/>
        </w:rPr>
        <w:t xml:space="preserve">mai </w:t>
      </w:r>
      <w:r>
        <w:rPr>
          <w:rFonts w:ascii="Times New Roman" w:eastAsia="Times New Roman" w:hAnsi="Times New Roman" w:cs="Times New Roman"/>
        </w:rPr>
        <w:t xml:space="preserve">2025, avec un total de 23 jours de travail. La mission sera réalisée à Tunis. </w:t>
      </w:r>
    </w:p>
    <w:p w:rsidR="009D343E" w:rsidRDefault="009146C8">
      <w:p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calendrier détaillé sera proposé par </w:t>
      </w:r>
      <w:proofErr w:type="gramStart"/>
      <w:r>
        <w:rPr>
          <w:rFonts w:ascii="Times New Roman" w:eastAsia="Times New Roman" w:hAnsi="Times New Roman" w:cs="Times New Roman"/>
        </w:rPr>
        <w:t>l'expert.e</w:t>
      </w:r>
      <w:proofErr w:type="gramEnd"/>
      <w:r>
        <w:rPr>
          <w:rFonts w:ascii="Times New Roman" w:eastAsia="Times New Roman" w:hAnsi="Times New Roman" w:cs="Times New Roman"/>
        </w:rPr>
        <w:t xml:space="preserve"> et validé en concertation avec le CTC et Qawafel. </w:t>
      </w:r>
    </w:p>
    <w:tbl>
      <w:tblPr>
        <w:tblStyle w:val="a6"/>
        <w:tblW w:w="89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50"/>
        <w:gridCol w:w="1575"/>
      </w:tblGrid>
      <w:tr w:rsidR="009D343E" w:rsidTr="005F50C7">
        <w:tc>
          <w:tcPr>
            <w:tcW w:w="7350" w:type="dxa"/>
            <w:shd w:val="clear" w:color="auto" w:fill="D9D9D9"/>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Activités</w:t>
            </w:r>
          </w:p>
        </w:tc>
        <w:tc>
          <w:tcPr>
            <w:tcW w:w="1575" w:type="dxa"/>
            <w:shd w:val="clear" w:color="auto" w:fill="D9D9D9"/>
          </w:tcPr>
          <w:p w:rsidR="009D343E" w:rsidRDefault="009146C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Dates</w:t>
            </w:r>
          </w:p>
        </w:tc>
      </w:tr>
      <w:tr w:rsidR="00B62DD0" w:rsidTr="004C7C8E">
        <w:tc>
          <w:tcPr>
            <w:tcW w:w="7350" w:type="dxa"/>
            <w:vAlign w:val="center"/>
          </w:tcPr>
          <w:p w:rsidR="00B62DD0" w:rsidRDefault="00B62DD0" w:rsidP="00B62DD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Tenir des réunion de cadrage avec le </w:t>
            </w:r>
            <w:r>
              <w:rPr>
                <w:rFonts w:ascii="Times New Roman" w:eastAsia="Times New Roman" w:hAnsi="Times New Roman" w:cs="Times New Roman"/>
                <w:sz w:val="22"/>
                <w:szCs w:val="22"/>
              </w:rPr>
              <w:t>CTC</w:t>
            </w:r>
            <w:r>
              <w:rPr>
                <w:rFonts w:ascii="Times New Roman" w:eastAsia="Times New Roman" w:hAnsi="Times New Roman" w:cs="Times New Roman"/>
                <w:color w:val="000000"/>
                <w:sz w:val="22"/>
                <w:szCs w:val="22"/>
              </w:rPr>
              <w:t xml:space="preserve"> et Qawafel (à distance ou en présentiel)</w:t>
            </w:r>
          </w:p>
        </w:tc>
        <w:tc>
          <w:tcPr>
            <w:tcW w:w="1575" w:type="dxa"/>
            <w:vAlign w:val="center"/>
          </w:tcPr>
          <w:p w:rsidR="00B62DD0" w:rsidRPr="00B514EC" w:rsidRDefault="00B62DD0" w:rsidP="004C7C8E">
            <w:pPr>
              <w:jc w:val="center"/>
            </w:pPr>
            <w:r w:rsidRPr="00B514EC">
              <w:t>Semaine du 13.01.2025</w:t>
            </w:r>
          </w:p>
        </w:tc>
      </w:tr>
      <w:tr w:rsidR="00B62DD0" w:rsidTr="004C7C8E">
        <w:tc>
          <w:tcPr>
            <w:tcW w:w="7350" w:type="dxa"/>
            <w:vAlign w:val="center"/>
          </w:tcPr>
          <w:p w:rsidR="00B62DD0" w:rsidRDefault="00B62DD0" w:rsidP="00B62DD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Produire une note conceptuelle et le calendrier de la formation</w:t>
            </w:r>
          </w:p>
        </w:tc>
        <w:tc>
          <w:tcPr>
            <w:tcW w:w="1575" w:type="dxa"/>
            <w:vAlign w:val="center"/>
          </w:tcPr>
          <w:p w:rsidR="00B62DD0" w:rsidRDefault="00B62DD0" w:rsidP="004C7C8E">
            <w:pPr>
              <w:jc w:val="center"/>
            </w:pPr>
            <w:r w:rsidRPr="00B514EC">
              <w:t>Semaine du 20.01.2025</w:t>
            </w:r>
          </w:p>
        </w:tc>
      </w:tr>
      <w:tr w:rsidR="009D343E" w:rsidTr="004C7C8E">
        <w:trPr>
          <w:trHeight w:val="402"/>
        </w:trPr>
        <w:tc>
          <w:tcPr>
            <w:tcW w:w="7350"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Réaliser un diagnostic des compétences des collaborateurs.trices du CTC en matière de normes BPF/GMP</w:t>
            </w:r>
          </w:p>
        </w:tc>
        <w:tc>
          <w:tcPr>
            <w:tcW w:w="1575" w:type="dxa"/>
            <w:vMerge w:val="restart"/>
            <w:vAlign w:val="center"/>
          </w:tcPr>
          <w:p w:rsidR="009D343E" w:rsidRDefault="009F2D8C" w:rsidP="004C7C8E">
            <w:pPr>
              <w:jc w:val="center"/>
              <w:rPr>
                <w:rFonts w:ascii="Times New Roman" w:eastAsia="Times New Roman" w:hAnsi="Times New Roman" w:cs="Times New Roman"/>
                <w:color w:val="000000"/>
              </w:rPr>
            </w:pPr>
            <w:r>
              <w:rPr>
                <w:rFonts w:ascii="Times New Roman" w:eastAsia="Times New Roman" w:hAnsi="Times New Roman" w:cs="Times New Roman"/>
              </w:rPr>
              <w:t xml:space="preserve">Entre le </w:t>
            </w:r>
            <w:r w:rsidR="00F35EAA" w:rsidRPr="00F35EAA">
              <w:rPr>
                <w:rFonts w:ascii="Times New Roman" w:eastAsia="Times New Roman" w:hAnsi="Times New Roman" w:cs="Times New Roman"/>
              </w:rPr>
              <w:t xml:space="preserve">27.01.2025 </w:t>
            </w:r>
            <w:r w:rsidR="000144ED">
              <w:rPr>
                <w:rFonts w:ascii="Times New Roman" w:eastAsia="Times New Roman" w:hAnsi="Times New Roman" w:cs="Times New Roman"/>
              </w:rPr>
              <w:t xml:space="preserve">et le </w:t>
            </w:r>
            <w:r w:rsidR="00F35EAA" w:rsidRPr="00F35EAA">
              <w:rPr>
                <w:rFonts w:ascii="Times New Roman" w:eastAsia="Times New Roman" w:hAnsi="Times New Roman" w:cs="Times New Roman"/>
              </w:rPr>
              <w:t>28.02.2025</w:t>
            </w:r>
          </w:p>
        </w:tc>
      </w:tr>
      <w:tr w:rsidR="009D343E" w:rsidTr="004C7C8E">
        <w:trPr>
          <w:trHeight w:val="279"/>
        </w:trPr>
        <w:tc>
          <w:tcPr>
            <w:tcW w:w="7350" w:type="dxa"/>
            <w:tcMar>
              <w:top w:w="0" w:type="dxa"/>
              <w:left w:w="100" w:type="dxa"/>
              <w:bottom w:w="0" w:type="dxa"/>
              <w:right w:w="100" w:type="dxa"/>
            </w:tcMar>
          </w:tcPr>
          <w:p w:rsidR="009D343E" w:rsidRPr="005F50C7" w:rsidRDefault="009146C8" w:rsidP="005F50C7">
            <w:pPr>
              <w:rPr>
                <w:rFonts w:ascii="Times New Roman" w:eastAsia="Times New Roman" w:hAnsi="Times New Roman" w:cs="Times New Roman"/>
                <w:color w:val="000000"/>
                <w:sz w:val="22"/>
                <w:szCs w:val="22"/>
              </w:rPr>
            </w:pPr>
            <w:r w:rsidRPr="005F50C7">
              <w:rPr>
                <w:rFonts w:ascii="Times New Roman" w:eastAsia="Times New Roman" w:hAnsi="Times New Roman" w:cs="Times New Roman"/>
                <w:color w:val="000000"/>
                <w:sz w:val="22"/>
                <w:szCs w:val="22"/>
              </w:rPr>
              <w:t>Développer le contenu et les supports de formation sur les normes BPF/GMP</w:t>
            </w:r>
          </w:p>
        </w:tc>
        <w:tc>
          <w:tcPr>
            <w:tcW w:w="1575" w:type="dxa"/>
            <w:vMerge/>
            <w:vAlign w:val="center"/>
          </w:tcPr>
          <w:p w:rsidR="009D343E" w:rsidRDefault="009D343E" w:rsidP="004C7C8E">
            <w:pPr>
              <w:jc w:val="center"/>
              <w:rPr>
                <w:rFonts w:ascii="Times New Roman" w:eastAsia="Times New Roman" w:hAnsi="Times New Roman" w:cs="Times New Roman"/>
                <w:color w:val="000000"/>
              </w:rPr>
            </w:pPr>
          </w:p>
        </w:tc>
      </w:tr>
      <w:tr w:rsidR="009D343E" w:rsidTr="004C7C8E">
        <w:trPr>
          <w:trHeight w:val="670"/>
        </w:trPr>
        <w:tc>
          <w:tcPr>
            <w:tcW w:w="7350" w:type="dxa"/>
            <w:vAlign w:val="center"/>
          </w:tcPr>
          <w:p w:rsidR="009D343E" w:rsidRDefault="009146C8">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Animer la formation en présentiel, en tenant compte de la période maximale de </w:t>
            </w:r>
            <w:r>
              <w:rPr>
                <w:rFonts w:ascii="Times New Roman" w:eastAsia="Times New Roman" w:hAnsi="Times New Roman" w:cs="Times New Roman"/>
                <w:sz w:val="22"/>
                <w:szCs w:val="22"/>
              </w:rPr>
              <w:t>3</w:t>
            </w:r>
            <w:r w:rsidR="005F50C7">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jours</w:t>
            </w:r>
          </w:p>
        </w:tc>
        <w:tc>
          <w:tcPr>
            <w:tcW w:w="1575" w:type="dxa"/>
            <w:vAlign w:val="center"/>
          </w:tcPr>
          <w:p w:rsidR="009D343E" w:rsidRDefault="00A740AB" w:rsidP="004C7C8E">
            <w:pPr>
              <w:jc w:val="center"/>
              <w:rPr>
                <w:rFonts w:ascii="Times New Roman" w:eastAsia="Times New Roman" w:hAnsi="Times New Roman" w:cs="Times New Roman"/>
                <w:color w:val="000000"/>
              </w:rPr>
            </w:pPr>
            <w:r w:rsidRPr="00A740AB">
              <w:rPr>
                <w:rFonts w:ascii="Times New Roman" w:eastAsia="Times New Roman" w:hAnsi="Times New Roman" w:cs="Times New Roman"/>
              </w:rPr>
              <w:t>Semaine du 03.03.2025</w:t>
            </w:r>
          </w:p>
        </w:tc>
      </w:tr>
      <w:tr w:rsidR="009D343E" w:rsidTr="004C7C8E">
        <w:trPr>
          <w:trHeight w:val="106"/>
        </w:trPr>
        <w:tc>
          <w:tcPr>
            <w:tcW w:w="7350"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Élaborer un guide de mise en œuvre pour le CTC, incluant les méthodologies et processus de suivi </w:t>
            </w:r>
          </w:p>
        </w:tc>
        <w:tc>
          <w:tcPr>
            <w:tcW w:w="1575" w:type="dxa"/>
            <w:vAlign w:val="center"/>
          </w:tcPr>
          <w:p w:rsidR="009D343E" w:rsidRDefault="00935381" w:rsidP="004C7C8E">
            <w:pPr>
              <w:jc w:val="center"/>
              <w:rPr>
                <w:rFonts w:ascii="Times New Roman" w:eastAsia="Times New Roman" w:hAnsi="Times New Roman" w:cs="Times New Roman"/>
                <w:color w:val="000000"/>
              </w:rPr>
            </w:pPr>
            <w:r>
              <w:rPr>
                <w:rFonts w:ascii="Times New Roman" w:eastAsia="Times New Roman" w:hAnsi="Times New Roman" w:cs="Times New Roman"/>
              </w:rPr>
              <w:t xml:space="preserve">Entre le </w:t>
            </w:r>
            <w:r w:rsidR="004C7C8E">
              <w:rPr>
                <w:rFonts w:ascii="Times New Roman" w:eastAsia="Times New Roman" w:hAnsi="Times New Roman" w:cs="Times New Roman"/>
              </w:rPr>
              <w:t>10.03.2025 et le</w:t>
            </w:r>
            <w:r w:rsidR="004C7C8E" w:rsidRPr="004C7C8E">
              <w:rPr>
                <w:rFonts w:ascii="Times New Roman" w:eastAsia="Times New Roman" w:hAnsi="Times New Roman" w:cs="Times New Roman"/>
              </w:rPr>
              <w:t xml:space="preserve"> 21.03.2025</w:t>
            </w:r>
          </w:p>
        </w:tc>
      </w:tr>
      <w:tr w:rsidR="009D343E" w:rsidTr="004C7C8E">
        <w:trPr>
          <w:trHeight w:val="200"/>
        </w:trPr>
        <w:tc>
          <w:tcPr>
            <w:tcW w:w="7350"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Appuyer les collaborateurs.trices du CTC dans l’accompagnement des entreprises sur la mise en œuvre des BPF/GMP</w:t>
            </w:r>
          </w:p>
        </w:tc>
        <w:tc>
          <w:tcPr>
            <w:tcW w:w="1575" w:type="dxa"/>
            <w:vAlign w:val="center"/>
          </w:tcPr>
          <w:p w:rsidR="009D343E" w:rsidRDefault="00F134FE" w:rsidP="004C7C8E">
            <w:pPr>
              <w:jc w:val="center"/>
              <w:rPr>
                <w:rFonts w:ascii="Times New Roman" w:eastAsia="Times New Roman" w:hAnsi="Times New Roman" w:cs="Times New Roman"/>
                <w:color w:val="000000"/>
              </w:rPr>
            </w:pPr>
            <w:r>
              <w:rPr>
                <w:rFonts w:ascii="Times New Roman" w:eastAsia="Times New Roman" w:hAnsi="Times New Roman" w:cs="Times New Roman"/>
              </w:rPr>
              <w:t xml:space="preserve">Entre le </w:t>
            </w:r>
            <w:r w:rsidR="004C7C8E">
              <w:rPr>
                <w:rFonts w:ascii="Times New Roman" w:eastAsia="Times New Roman" w:hAnsi="Times New Roman" w:cs="Times New Roman"/>
              </w:rPr>
              <w:t>24.03.2025 et le</w:t>
            </w:r>
            <w:r w:rsidR="004C7C8E" w:rsidRPr="004C7C8E">
              <w:rPr>
                <w:rFonts w:ascii="Times New Roman" w:eastAsia="Times New Roman" w:hAnsi="Times New Roman" w:cs="Times New Roman"/>
              </w:rPr>
              <w:t xml:space="preserve"> 28.04.2025</w:t>
            </w:r>
          </w:p>
        </w:tc>
        <w:bookmarkStart w:id="0" w:name="_GoBack"/>
        <w:bookmarkEnd w:id="0"/>
      </w:tr>
      <w:tr w:rsidR="004C7C8E" w:rsidTr="004C7C8E">
        <w:trPr>
          <w:trHeight w:val="745"/>
        </w:trPr>
        <w:tc>
          <w:tcPr>
            <w:tcW w:w="7350" w:type="dxa"/>
            <w:vAlign w:val="center"/>
          </w:tcPr>
          <w:p w:rsidR="004C7C8E" w:rsidRDefault="004C7C8E">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Elaborer des outils de suivi et d’évaluation de la formation et d’application des connaissances</w:t>
            </w:r>
          </w:p>
        </w:tc>
        <w:tc>
          <w:tcPr>
            <w:tcW w:w="1575" w:type="dxa"/>
            <w:vMerge w:val="restart"/>
            <w:vAlign w:val="center"/>
          </w:tcPr>
          <w:p w:rsidR="004C7C8E" w:rsidRDefault="004C7C8E" w:rsidP="004C7C8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Entre le 05.05.2025 et le</w:t>
            </w:r>
            <w:r w:rsidRPr="004C7C8E">
              <w:rPr>
                <w:rFonts w:ascii="Times New Roman" w:eastAsia="Times New Roman" w:hAnsi="Times New Roman" w:cs="Times New Roman"/>
                <w:color w:val="000000"/>
              </w:rPr>
              <w:t xml:space="preserve"> 16.05.2025</w:t>
            </w:r>
          </w:p>
        </w:tc>
      </w:tr>
      <w:tr w:rsidR="004C7C8E" w:rsidTr="005F50C7">
        <w:trPr>
          <w:trHeight w:val="506"/>
        </w:trPr>
        <w:tc>
          <w:tcPr>
            <w:tcW w:w="7350" w:type="dxa"/>
            <w:tcMar>
              <w:top w:w="0" w:type="dxa"/>
              <w:left w:w="100" w:type="dxa"/>
              <w:bottom w:w="0" w:type="dxa"/>
              <w:right w:w="100" w:type="dxa"/>
            </w:tcMar>
          </w:tcPr>
          <w:p w:rsidR="004C7C8E" w:rsidRDefault="004C7C8E" w:rsidP="005F50C7">
            <w:pPr>
              <w:rPr>
                <w:rFonts w:ascii="Times New Roman" w:eastAsia="Times New Roman" w:hAnsi="Times New Roman" w:cs="Times New Roman"/>
                <w:sz w:val="22"/>
                <w:szCs w:val="22"/>
              </w:rPr>
            </w:pPr>
            <w:r>
              <w:rPr>
                <w:rFonts w:ascii="Times New Roman" w:eastAsia="Times New Roman" w:hAnsi="Times New Roman" w:cs="Times New Roman"/>
                <w:sz w:val="22"/>
                <w:szCs w:val="22"/>
              </w:rPr>
              <w:t>Rédiger le rapport de fin de mission, incluant des recommandations pour pérenniser les acquis de la formation au sein du CTC</w:t>
            </w:r>
          </w:p>
        </w:tc>
        <w:tc>
          <w:tcPr>
            <w:tcW w:w="1575" w:type="dxa"/>
            <w:vMerge/>
          </w:tcPr>
          <w:p w:rsidR="004C7C8E" w:rsidRDefault="004C7C8E">
            <w:pPr>
              <w:jc w:val="center"/>
              <w:rPr>
                <w:rFonts w:ascii="Times New Roman" w:eastAsia="Times New Roman" w:hAnsi="Times New Roman" w:cs="Times New Roman"/>
                <w:color w:val="000000"/>
              </w:rPr>
            </w:pPr>
          </w:p>
        </w:tc>
      </w:tr>
    </w:tbl>
    <w:p w:rsidR="009D343E" w:rsidRDefault="009D343E">
      <w:pPr>
        <w:spacing w:after="280" w:line="240" w:lineRule="auto"/>
        <w:rPr>
          <w:rFonts w:ascii="Times New Roman" w:eastAsia="Times New Roman" w:hAnsi="Times New Roman" w:cs="Times New Roman"/>
          <w:b/>
        </w:rPr>
      </w:pPr>
    </w:p>
    <w:p w:rsidR="009D343E" w:rsidRDefault="009146C8">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Profil recherché</w:t>
      </w:r>
    </w:p>
    <w:p w:rsidR="009D343E" w:rsidRDefault="009146C8">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L’expert.e devra disposer des requis suivants :</w:t>
      </w:r>
    </w:p>
    <w:p w:rsidR="009D343E" w:rsidRDefault="00A90711" w:rsidP="00A90711">
      <w:pPr>
        <w:numPr>
          <w:ilvl w:val="0"/>
          <w:numId w:val="3"/>
        </w:numPr>
        <w:spacing w:before="280" w:after="0" w:line="240" w:lineRule="auto"/>
        <w:jc w:val="both"/>
        <w:rPr>
          <w:rFonts w:ascii="Times New Roman" w:eastAsia="Times New Roman" w:hAnsi="Times New Roman" w:cs="Times New Roman"/>
        </w:rPr>
      </w:pPr>
      <w:r w:rsidRPr="00A90711">
        <w:rPr>
          <w:rFonts w:ascii="Times New Roman" w:eastAsia="Times New Roman" w:hAnsi="Times New Roman" w:cs="Times New Roman"/>
        </w:rPr>
        <w:t>Avoir un diplôme de pharmacien industriel</w:t>
      </w:r>
      <w:r>
        <w:rPr>
          <w:rFonts w:ascii="Times New Roman" w:eastAsia="Times New Roman" w:hAnsi="Times New Roman" w:cs="Times New Roman"/>
        </w:rPr>
        <w:t xml:space="preserve"> </w:t>
      </w:r>
      <w:r w:rsidR="009146C8">
        <w:rPr>
          <w:rFonts w:ascii="Times New Roman" w:eastAsia="Times New Roman" w:hAnsi="Times New Roman" w:cs="Times New Roman"/>
        </w:rPr>
        <w:t>;</w:t>
      </w:r>
    </w:p>
    <w:p w:rsidR="009D343E" w:rsidRDefault="009146C8">
      <w:pPr>
        <w:numPr>
          <w:ilvl w:val="0"/>
          <w:numId w:val="2"/>
        </w:numPr>
        <w:pBdr>
          <w:top w:val="nil"/>
          <w:left w:val="nil"/>
          <w:bottom w:val="nil"/>
          <w:right w:val="nil"/>
          <w:between w:val="nil"/>
        </w:pBdr>
        <w:spacing w:before="28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Avoir une expérience d’au moins </w:t>
      </w:r>
      <w:r w:rsidR="00A90711">
        <w:rPr>
          <w:rFonts w:ascii="Times New Roman" w:eastAsia="Times New Roman" w:hAnsi="Times New Roman" w:cs="Times New Roman"/>
          <w:color w:val="000000"/>
        </w:rPr>
        <w:t>1</w:t>
      </w:r>
      <w:r>
        <w:rPr>
          <w:rFonts w:ascii="Times New Roman" w:eastAsia="Times New Roman" w:hAnsi="Times New Roman" w:cs="Times New Roman"/>
          <w:color w:val="000000"/>
        </w:rPr>
        <w:t>5 années dans le secteur pharmaceutique ; expérience avérée dans l'accompagnement des entreprises chimiques vers leur</w:t>
      </w:r>
      <w:r w:rsidR="00A90711">
        <w:rPr>
          <w:rFonts w:ascii="Times New Roman" w:eastAsia="Times New Roman" w:hAnsi="Times New Roman" w:cs="Times New Roman"/>
          <w:color w:val="000000"/>
        </w:rPr>
        <w:t xml:space="preserve"> conformité aux normes BPF/GMP et dans l’élaboration des dossiers d’enregistrements des médicaments.</w:t>
      </w:r>
    </w:p>
    <w:p w:rsidR="009D343E" w:rsidRDefault="009D343E">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D343E" w:rsidRDefault="009146C8">
      <w:pPr>
        <w:numPr>
          <w:ilvl w:val="0"/>
          <w:numId w:val="3"/>
        </w:numPr>
        <w:pBdr>
          <w:top w:val="nil"/>
          <w:left w:val="nil"/>
          <w:bottom w:val="nil"/>
          <w:right w:val="nil"/>
          <w:between w:val="nil"/>
        </w:pBdr>
        <w:spacing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Avoir une bonne connaissance des dynamiques du secteur pharmaceutique en Afrique et des défis liés à l’exportation. Une expérience spécifique dans les marchés africains est un atout, </w:t>
      </w:r>
      <w:r>
        <w:rPr>
          <w:rFonts w:ascii="Times New Roman" w:eastAsia="Times New Roman" w:hAnsi="Times New Roman" w:cs="Times New Roman"/>
          <w:color w:val="000000"/>
        </w:rPr>
        <w:lastRenderedPageBreak/>
        <w:t>notamment dans les pays cibles du projet (Kenya, Mauritanie, Sénégal et République Démocratique du Congo).</w:t>
      </w:r>
    </w:p>
    <w:p w:rsidR="009D343E" w:rsidRDefault="009146C8">
      <w:pPr>
        <w:numPr>
          <w:ilvl w:val="0"/>
          <w:numId w:val="3"/>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Avoir une expérience avérée dans la conduite de formation auprès des institutions publiques ;</w:t>
      </w:r>
      <w:r>
        <w:rPr>
          <w:rFonts w:ascii="Times New Roman" w:eastAsia="Times New Roman" w:hAnsi="Times New Roman" w:cs="Times New Roman"/>
        </w:rPr>
        <w:tab/>
      </w:r>
    </w:p>
    <w:p w:rsidR="009D343E" w:rsidRDefault="009146C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une bonne connaissance de l’environnement politique et économique tunisien ;</w:t>
      </w:r>
      <w:r>
        <w:rPr>
          <w:rFonts w:ascii="Times New Roman" w:eastAsia="Times New Roman" w:hAnsi="Times New Roman" w:cs="Times New Roman"/>
        </w:rPr>
        <w:tab/>
      </w:r>
      <w:r>
        <w:rPr>
          <w:rFonts w:ascii="Times New Roman" w:eastAsia="Times New Roman" w:hAnsi="Times New Roman" w:cs="Times New Roman"/>
        </w:rPr>
        <w:br/>
      </w:r>
    </w:p>
    <w:p w:rsidR="009D343E" w:rsidRDefault="009146C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préférablement, une expérience similaire d’assistance technique dans la coopération internationale au développement ;</w:t>
      </w:r>
      <w:r>
        <w:rPr>
          <w:rFonts w:ascii="Times New Roman" w:eastAsia="Times New Roman" w:hAnsi="Times New Roman" w:cs="Times New Roman"/>
        </w:rPr>
        <w:tab/>
      </w:r>
    </w:p>
    <w:p w:rsidR="009D343E" w:rsidRDefault="009146C8">
      <w:pPr>
        <w:numPr>
          <w:ilvl w:val="0"/>
          <w:numId w:val="2"/>
        </w:numPr>
        <w:pBdr>
          <w:top w:val="nil"/>
          <w:left w:val="nil"/>
          <w:bottom w:val="nil"/>
          <w:right w:val="nil"/>
          <w:between w:val="nil"/>
        </w:pBdr>
        <w:spacing w:before="280" w:after="280" w:line="240" w:lineRule="auto"/>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 xml:space="preserve">Maîtrise du français. L’arabe constitue un atout. </w:t>
      </w:r>
    </w:p>
    <w:p w:rsidR="009D343E" w:rsidRDefault="009146C8">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Procédures de sélection</w:t>
      </w:r>
    </w:p>
    <w:p w:rsidR="009D343E" w:rsidRDefault="009146C8">
      <w:pPr>
        <w:spacing w:before="280" w:after="280" w:line="276" w:lineRule="auto"/>
        <w:rPr>
          <w:rFonts w:ascii="Times New Roman" w:eastAsia="Times New Roman" w:hAnsi="Times New Roman" w:cs="Times New Roman"/>
        </w:rPr>
      </w:pPr>
      <w:r>
        <w:rPr>
          <w:rFonts w:ascii="Times New Roman" w:eastAsia="Times New Roman" w:hAnsi="Times New Roman" w:cs="Times New Roman"/>
        </w:rPr>
        <w:t xml:space="preserve">Les </w:t>
      </w:r>
      <w:proofErr w:type="spellStart"/>
      <w:r>
        <w:rPr>
          <w:rFonts w:ascii="Times New Roman" w:eastAsia="Times New Roman" w:hAnsi="Times New Roman" w:cs="Times New Roman"/>
        </w:rPr>
        <w:t>candidat.</w:t>
      </w:r>
      <w:proofErr w:type="gramStart"/>
      <w:r>
        <w:rPr>
          <w:rFonts w:ascii="Times New Roman" w:eastAsia="Times New Roman" w:hAnsi="Times New Roman" w:cs="Times New Roman"/>
        </w:rPr>
        <w:t>e.s</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intéressé.e.s</w:t>
      </w:r>
      <w:proofErr w:type="spellEnd"/>
      <w:r>
        <w:rPr>
          <w:rFonts w:ascii="Times New Roman" w:eastAsia="Times New Roman" w:hAnsi="Times New Roman" w:cs="Times New Roman"/>
        </w:rPr>
        <w:t xml:space="preserve"> devront soumettre :</w:t>
      </w:r>
    </w:p>
    <w:p w:rsidR="009D343E" w:rsidRDefault="00D32DA9">
      <w:pPr>
        <w:numPr>
          <w:ilvl w:val="0"/>
          <w:numId w:val="4"/>
        </w:numPr>
        <w:spacing w:before="280" w:after="0" w:line="276" w:lineRule="auto"/>
        <w:rPr>
          <w:rFonts w:ascii="Times New Roman" w:eastAsia="Times New Roman" w:hAnsi="Times New Roman" w:cs="Times New Roman"/>
        </w:rPr>
      </w:pPr>
      <w:r>
        <w:rPr>
          <w:rFonts w:ascii="Times New Roman" w:eastAsia="Times New Roman" w:hAnsi="Times New Roman" w:cs="Times New Roman"/>
        </w:rPr>
        <w:t xml:space="preserve">Une note méthodologique de la mission ; </w:t>
      </w:r>
    </w:p>
    <w:p w:rsidR="009D343E" w:rsidRDefault="009146C8">
      <w:pPr>
        <w:numPr>
          <w:ilvl w:val="0"/>
          <w:numId w:val="4"/>
        </w:numPr>
        <w:spacing w:line="276" w:lineRule="auto"/>
        <w:rPr>
          <w:rFonts w:ascii="Times New Roman" w:eastAsia="Times New Roman" w:hAnsi="Times New Roman" w:cs="Times New Roman"/>
        </w:rPr>
      </w:pPr>
      <w:bookmarkStart w:id="2" w:name="_heading=h.gjdgxs" w:colFirst="0" w:colLast="0"/>
      <w:bookmarkEnd w:id="2"/>
      <w:r>
        <w:rPr>
          <w:rFonts w:ascii="Times New Roman" w:eastAsia="Times New Roman" w:hAnsi="Times New Roman" w:cs="Times New Roman"/>
        </w:rPr>
        <w:t>Une offre financiè</w:t>
      </w:r>
      <w:r w:rsidR="00D32DA9">
        <w:rPr>
          <w:rFonts w:ascii="Times New Roman" w:eastAsia="Times New Roman" w:hAnsi="Times New Roman" w:cs="Times New Roman"/>
        </w:rPr>
        <w:t xml:space="preserve">re en euros ou dinars tunisiens de la mission. </w:t>
      </w:r>
    </w:p>
    <w:p w:rsidR="009D343E" w:rsidRDefault="009D343E">
      <w:pPr>
        <w:jc w:val="both"/>
      </w:pPr>
    </w:p>
    <w:p w:rsidR="009D343E" w:rsidRDefault="009D343E">
      <w:pPr>
        <w:spacing w:line="276" w:lineRule="auto"/>
        <w:rPr>
          <w:rFonts w:ascii="Times New Roman" w:eastAsia="Times New Roman" w:hAnsi="Times New Roman" w:cs="Times New Roman"/>
        </w:rPr>
      </w:pPr>
    </w:p>
    <w:sectPr w:rsidR="009D343E">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6E" w:rsidRDefault="009A5A6E">
      <w:pPr>
        <w:spacing w:after="0" w:line="240" w:lineRule="auto"/>
      </w:pPr>
      <w:r>
        <w:separator/>
      </w:r>
    </w:p>
  </w:endnote>
  <w:endnote w:type="continuationSeparator" w:id="0">
    <w:p w:rsidR="009A5A6E" w:rsidRDefault="009A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3E" w:rsidRDefault="009146C8">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4C7C8E">
      <w:rPr>
        <w:rFonts w:ascii="Times New Roman" w:eastAsia="Times New Roman" w:hAnsi="Times New Roman" w:cs="Times New Roman"/>
        <w:noProof/>
        <w:color w:val="000000"/>
        <w:sz w:val="16"/>
        <w:szCs w:val="16"/>
      </w:rPr>
      <w:t>6</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/6</w:t>
    </w:r>
    <w:r>
      <w:rPr>
        <w:noProof/>
      </w:rPr>
      <mc:AlternateContent>
        <mc:Choice Requires="wpg">
          <w:drawing>
            <wp:anchor distT="0" distB="0" distL="0" distR="0" simplePos="0" relativeHeight="251659264" behindDoc="1" locked="0" layoutInCell="1" hidden="0" allowOverlap="1">
              <wp:simplePos x="0" y="0"/>
              <wp:positionH relativeFrom="column">
                <wp:posOffset>-114299</wp:posOffset>
              </wp:positionH>
              <wp:positionV relativeFrom="paragraph">
                <wp:posOffset>-88899</wp:posOffset>
              </wp:positionV>
              <wp:extent cx="5441950" cy="229870"/>
              <wp:effectExtent l="0" t="0" r="0" b="0"/>
              <wp:wrapNone/>
              <wp:docPr id="220" name="Rectangle 220"/>
              <wp:cNvGraphicFramePr/>
              <a:graphic xmlns:a="http://schemas.openxmlformats.org/drawingml/2006/main">
                <a:graphicData uri="http://schemas.microsoft.com/office/word/2010/wordprocessingShape">
                  <wps:wsp>
                    <wps:cNvSpPr/>
                    <wps:spPr>
                      <a:xfrm>
                        <a:off x="2634550" y="3674590"/>
                        <a:ext cx="5422900" cy="210820"/>
                      </a:xfrm>
                      <a:prstGeom prst="rect">
                        <a:avLst/>
                      </a:prstGeom>
                      <a:solidFill>
                        <a:srgbClr val="FFFFFF"/>
                      </a:solidFill>
                      <a:ln>
                        <a:noFill/>
                      </a:ln>
                    </wps:spPr>
                    <wps:txbx>
                      <w:txbxContent>
                        <w:p w:rsidR="009D343E" w:rsidRDefault="009146C8">
                          <w:pPr>
                            <w:spacing w:after="0" w:line="240" w:lineRule="auto"/>
                            <w:textDirection w:val="btLr"/>
                          </w:pPr>
                          <w:r>
                            <w:rPr>
                              <w:rFonts w:ascii="Times New Roman" w:eastAsia="Times New Roman" w:hAnsi="Times New Roman" w:cs="Times New Roman"/>
                              <w:color w:val="000000"/>
                              <w:sz w:val="16"/>
                            </w:rPr>
                            <w:t>Termes de référence : Renforcement des capacités du CTC en matière de réglementations BFP/GMP</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-114299</wp:posOffset>
              </wp:positionH>
              <wp:positionV relativeFrom="paragraph">
                <wp:posOffset>-88899</wp:posOffset>
              </wp:positionV>
              <wp:extent cx="5441950" cy="229870"/>
              <wp:effectExtent b="0" l="0" r="0" t="0"/>
              <wp:wrapNone/>
              <wp:docPr id="22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41950" cy="229870"/>
                      </a:xfrm>
                      <a:prstGeom prst="rect"/>
                      <a:ln/>
                    </pic:spPr>
                  </pic:pic>
                </a:graphicData>
              </a:graphic>
            </wp:anchor>
          </w:drawing>
        </mc:Fallback>
      </mc:AlternateContent>
    </w:r>
  </w:p>
  <w:p w:rsidR="009D343E" w:rsidRDefault="009D343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6E" w:rsidRDefault="009A5A6E">
      <w:pPr>
        <w:spacing w:after="0" w:line="240" w:lineRule="auto"/>
      </w:pPr>
      <w:r>
        <w:separator/>
      </w:r>
    </w:p>
  </w:footnote>
  <w:footnote w:type="continuationSeparator" w:id="0">
    <w:p w:rsidR="009A5A6E" w:rsidRDefault="009A5A6E">
      <w:pPr>
        <w:spacing w:after="0" w:line="240" w:lineRule="auto"/>
      </w:pPr>
      <w:r>
        <w:continuationSeparator/>
      </w:r>
    </w:p>
  </w:footnote>
  <w:footnote w:id="1">
    <w:p w:rsidR="009D343E" w:rsidRDefault="009146C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Bonnes pratiques de fabrication/ Good </w:t>
      </w:r>
      <w:proofErr w:type="spellStart"/>
      <w:r>
        <w:rPr>
          <w:rFonts w:ascii="Times New Roman" w:eastAsia="Times New Roman" w:hAnsi="Times New Roman" w:cs="Times New Roman"/>
          <w:color w:val="000000"/>
          <w:sz w:val="20"/>
          <w:szCs w:val="20"/>
        </w:rPr>
        <w:t>Manufacturing</w:t>
      </w:r>
      <w:proofErr w:type="spellEnd"/>
      <w:r>
        <w:rPr>
          <w:rFonts w:ascii="Times New Roman" w:eastAsia="Times New Roman" w:hAnsi="Times New Roman" w:cs="Times New Roman"/>
          <w:color w:val="000000"/>
          <w:sz w:val="20"/>
          <w:szCs w:val="20"/>
        </w:rPr>
        <w:t xml:space="preserve"> Practice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3E" w:rsidRDefault="009146C8">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2819400</wp:posOffset>
              </wp:positionH>
              <wp:positionV relativeFrom="paragraph">
                <wp:posOffset>-177799</wp:posOffset>
              </wp:positionV>
              <wp:extent cx="2908935" cy="390725"/>
              <wp:effectExtent l="0" t="0" r="0" b="0"/>
              <wp:wrapNone/>
              <wp:docPr id="221" name="Groupe 221"/>
              <wp:cNvGraphicFramePr/>
              <a:graphic xmlns:a="http://schemas.openxmlformats.org/drawingml/2006/main">
                <a:graphicData uri="http://schemas.microsoft.com/office/word/2010/wordprocessingGroup">
                  <wpg:wgp>
                    <wpg:cNvGrpSpPr/>
                    <wpg:grpSpPr>
                      <a:xfrm>
                        <a:off x="0" y="0"/>
                        <a:ext cx="2908935" cy="390725"/>
                        <a:chOff x="3891525" y="3584625"/>
                        <a:chExt cx="2908950" cy="390750"/>
                      </a:xfrm>
                    </wpg:grpSpPr>
                    <wpg:grpSp>
                      <wpg:cNvPr id="1" name="Groupe 1"/>
                      <wpg:cNvGrpSpPr/>
                      <wpg:grpSpPr>
                        <a:xfrm>
                          <a:off x="3891533" y="3584638"/>
                          <a:ext cx="2908935" cy="390725"/>
                          <a:chOff x="3891525" y="3584625"/>
                          <a:chExt cx="2908950" cy="390750"/>
                        </a:xfrm>
                      </wpg:grpSpPr>
                      <wps:wsp>
                        <wps:cNvPr id="2" name="Rectangle 2"/>
                        <wps:cNvSpPr/>
                        <wps:spPr>
                          <a:xfrm>
                            <a:off x="3891525" y="3584625"/>
                            <a:ext cx="2908950" cy="390750"/>
                          </a:xfrm>
                          <a:prstGeom prst="rect">
                            <a:avLst/>
                          </a:prstGeom>
                          <a:noFill/>
                          <a:ln>
                            <a:noFill/>
                          </a:ln>
                        </wps:spPr>
                        <wps:txbx>
                          <w:txbxContent>
                            <w:p w:rsidR="009D343E" w:rsidRDefault="009D343E">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3891533" y="3584638"/>
                            <a:ext cx="2908935" cy="390725"/>
                            <a:chOff x="0" y="0"/>
                            <a:chExt cx="2908935" cy="390725"/>
                          </a:xfrm>
                        </wpg:grpSpPr>
                        <wps:wsp>
                          <wps:cNvPr id="4" name="Rectangle 4"/>
                          <wps:cNvSpPr/>
                          <wps:spPr>
                            <a:xfrm>
                              <a:off x="0" y="0"/>
                              <a:ext cx="2908925" cy="390725"/>
                            </a:xfrm>
                            <a:prstGeom prst="rect">
                              <a:avLst/>
                            </a:prstGeom>
                            <a:noFill/>
                            <a:ln>
                              <a:noFill/>
                            </a:ln>
                          </wps:spPr>
                          <wps:txbx>
                            <w:txbxContent>
                              <w:p w:rsidR="009D343E" w:rsidRDefault="009D343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1828800" y="19250"/>
                              <a:ext cx="1080135" cy="371475"/>
                            </a:xfrm>
                            <a:prstGeom prst="rect">
                              <a:avLst/>
                            </a:prstGeom>
                            <a:noFill/>
                            <a:ln>
                              <a:noFill/>
                            </a:ln>
                          </pic:spPr>
                        </pic:pic>
                        <pic:pic xmlns:pic="http://schemas.openxmlformats.org/drawingml/2006/picture">
                          <pic:nvPicPr>
                            <pic:cNvPr id="8" name="Shape 8"/>
                            <pic:cNvPicPr preferRelativeResize="0"/>
                          </pic:nvPicPr>
                          <pic:blipFill rotWithShape="1">
                            <a:blip r:embed="rId2">
                              <a:alphaModFix/>
                            </a:blip>
                            <a:srcRect/>
                            <a:stretch/>
                          </pic:blipFill>
                          <pic:spPr>
                            <a:xfrm>
                              <a:off x="972152" y="28876"/>
                              <a:ext cx="914400" cy="314960"/>
                            </a:xfrm>
                            <a:prstGeom prst="rect">
                              <a:avLst/>
                            </a:prstGeom>
                            <a:noFill/>
                            <a:ln>
                              <a:noFill/>
                            </a:ln>
                          </pic:spPr>
                        </pic:pic>
                        <pic:pic xmlns:pic="http://schemas.openxmlformats.org/drawingml/2006/picture">
                          <pic:nvPicPr>
                            <pic:cNvPr id="9" name="Shape 9"/>
                            <pic:cNvPicPr preferRelativeResize="0"/>
                          </pic:nvPicPr>
                          <pic:blipFill rotWithShape="1">
                            <a:blip r:embed="rId3">
                              <a:alphaModFix/>
                            </a:blip>
                            <a:srcRect/>
                            <a:stretch/>
                          </pic:blipFill>
                          <pic:spPr>
                            <a:xfrm>
                              <a:off x="0" y="0"/>
                              <a:ext cx="857250" cy="374650"/>
                            </a:xfrm>
                            <a:prstGeom prst="rect">
                              <a:avLst/>
                            </a:prstGeom>
                            <a:noFill/>
                            <a:ln>
                              <a:noFill/>
                            </a:ln>
                          </pic:spPr>
                        </pic:pic>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-177799</wp:posOffset>
              </wp:positionV>
              <wp:extent cx="2908935" cy="390725"/>
              <wp:effectExtent b="0" l="0" r="0" t="0"/>
              <wp:wrapNone/>
              <wp:docPr id="221"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2908935" cy="3907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3762F"/>
    <w:multiLevelType w:val="multilevel"/>
    <w:tmpl w:val="7A9E797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6F7FAB"/>
    <w:multiLevelType w:val="multilevel"/>
    <w:tmpl w:val="313E892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522430"/>
    <w:multiLevelType w:val="multilevel"/>
    <w:tmpl w:val="03EE17F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6E32DF"/>
    <w:multiLevelType w:val="multilevel"/>
    <w:tmpl w:val="A0F20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8B4F22"/>
    <w:multiLevelType w:val="multilevel"/>
    <w:tmpl w:val="0320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A3478D"/>
    <w:multiLevelType w:val="multilevel"/>
    <w:tmpl w:val="7A86C7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F77750"/>
    <w:multiLevelType w:val="multilevel"/>
    <w:tmpl w:val="212873F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F323040"/>
    <w:multiLevelType w:val="multilevel"/>
    <w:tmpl w:val="8736A1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0"/>
  </w:num>
  <w:num w:numId="4">
    <w:abstractNumId w:val="6"/>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3E"/>
    <w:rsid w:val="000144ED"/>
    <w:rsid w:val="0010590E"/>
    <w:rsid w:val="00132CF2"/>
    <w:rsid w:val="001551F5"/>
    <w:rsid w:val="00325546"/>
    <w:rsid w:val="00343264"/>
    <w:rsid w:val="003B2995"/>
    <w:rsid w:val="003B4425"/>
    <w:rsid w:val="003C3BF1"/>
    <w:rsid w:val="00444AB1"/>
    <w:rsid w:val="004877A8"/>
    <w:rsid w:val="004A7271"/>
    <w:rsid w:val="004B6854"/>
    <w:rsid w:val="004C1461"/>
    <w:rsid w:val="004C33A5"/>
    <w:rsid w:val="004C7C8E"/>
    <w:rsid w:val="0055338D"/>
    <w:rsid w:val="005B6098"/>
    <w:rsid w:val="005F50C7"/>
    <w:rsid w:val="006010C1"/>
    <w:rsid w:val="00627D4B"/>
    <w:rsid w:val="00691461"/>
    <w:rsid w:val="007A3FAB"/>
    <w:rsid w:val="008F25F1"/>
    <w:rsid w:val="008F53DE"/>
    <w:rsid w:val="009146C8"/>
    <w:rsid w:val="00935381"/>
    <w:rsid w:val="009A5A6E"/>
    <w:rsid w:val="009C294E"/>
    <w:rsid w:val="009D343E"/>
    <w:rsid w:val="009E3EE9"/>
    <w:rsid w:val="009F2D8C"/>
    <w:rsid w:val="009F4A14"/>
    <w:rsid w:val="00A740AB"/>
    <w:rsid w:val="00A90711"/>
    <w:rsid w:val="00AA0F1F"/>
    <w:rsid w:val="00AA1428"/>
    <w:rsid w:val="00B54543"/>
    <w:rsid w:val="00B54CF4"/>
    <w:rsid w:val="00B62DD0"/>
    <w:rsid w:val="00B8409C"/>
    <w:rsid w:val="00C466BB"/>
    <w:rsid w:val="00D32DA9"/>
    <w:rsid w:val="00D62C35"/>
    <w:rsid w:val="00DF4E4E"/>
    <w:rsid w:val="00EA1D1D"/>
    <w:rsid w:val="00EB1E21"/>
    <w:rsid w:val="00EB7020"/>
    <w:rsid w:val="00F134FE"/>
    <w:rsid w:val="00F35EAA"/>
    <w:rsid w:val="00F81397"/>
    <w:rsid w:val="00FB4E1E"/>
    <w:rsid w:val="00FF4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0C09"/>
  <w15:docId w15:val="{460C2169-C0B5-44E4-998B-45BBA15F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0C5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3Car">
    <w:name w:val="Titre 3 Car"/>
    <w:basedOn w:val="Policepardfaut"/>
    <w:link w:val="Titre3"/>
    <w:uiPriority w:val="9"/>
    <w:rsid w:val="000C597F"/>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C597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C597F"/>
    <w:rPr>
      <w:b/>
      <w:bCs/>
    </w:rPr>
  </w:style>
  <w:style w:type="paragraph" w:styleId="En-tte">
    <w:name w:val="header"/>
    <w:basedOn w:val="Normal"/>
    <w:link w:val="En-tteCar"/>
    <w:uiPriority w:val="99"/>
    <w:unhideWhenUsed/>
    <w:rsid w:val="000C597F"/>
    <w:pPr>
      <w:tabs>
        <w:tab w:val="center" w:pos="4536"/>
        <w:tab w:val="right" w:pos="9072"/>
      </w:tabs>
      <w:spacing w:after="0" w:line="240" w:lineRule="auto"/>
    </w:pPr>
  </w:style>
  <w:style w:type="character" w:customStyle="1" w:styleId="En-tteCar">
    <w:name w:val="En-tête Car"/>
    <w:basedOn w:val="Policepardfaut"/>
    <w:link w:val="En-tte"/>
    <w:uiPriority w:val="99"/>
    <w:rsid w:val="000C597F"/>
  </w:style>
  <w:style w:type="paragraph" w:styleId="Pieddepage">
    <w:name w:val="footer"/>
    <w:basedOn w:val="Normal"/>
    <w:link w:val="PieddepageCar"/>
    <w:uiPriority w:val="99"/>
    <w:unhideWhenUsed/>
    <w:rsid w:val="000C59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97F"/>
  </w:style>
  <w:style w:type="paragraph" w:styleId="Paragraphedeliste">
    <w:name w:val="List Paragraph"/>
    <w:aliases w:val="List Paragraph (numbered (a)),List Paragraph nowy,Bullets,Numbered List Paragraph,Liste 1,Aufzählung Spiegelstrich,Paragraphe de liste num,Paragraphe de liste 1,Lettre d'introduction,Liste niveau 1,Normal bullet 2,Resume Title,Listes"/>
    <w:basedOn w:val="Normal"/>
    <w:link w:val="ParagraphedelisteCar"/>
    <w:uiPriority w:val="34"/>
    <w:qFormat/>
    <w:rsid w:val="006D4976"/>
    <w:pPr>
      <w:ind w:left="720"/>
      <w:contextualSpacing/>
    </w:pPr>
  </w:style>
  <w:style w:type="paragraph" w:customStyle="1" w:styleId="Default">
    <w:name w:val="Default"/>
    <w:rsid w:val="004817B7"/>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D827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27C2"/>
    <w:rPr>
      <w:sz w:val="20"/>
      <w:szCs w:val="20"/>
    </w:rPr>
  </w:style>
  <w:style w:type="character" w:styleId="Appelnotedebasdep">
    <w:name w:val="footnote reference"/>
    <w:basedOn w:val="Policepardfaut"/>
    <w:uiPriority w:val="99"/>
    <w:semiHidden/>
    <w:unhideWhenUsed/>
    <w:rsid w:val="00D827C2"/>
    <w:rPr>
      <w:vertAlign w:val="superscript"/>
    </w:rPr>
  </w:style>
  <w:style w:type="table" w:styleId="Grilledutableau">
    <w:name w:val="Table Grid"/>
    <w:basedOn w:val="TableauNormal"/>
    <w:uiPriority w:val="39"/>
    <w:rsid w:val="0011625C"/>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C415A"/>
    <w:rPr>
      <w:sz w:val="16"/>
      <w:szCs w:val="16"/>
    </w:rPr>
  </w:style>
  <w:style w:type="paragraph" w:styleId="Commentaire">
    <w:name w:val="annotation text"/>
    <w:basedOn w:val="Normal"/>
    <w:link w:val="CommentaireCar"/>
    <w:uiPriority w:val="99"/>
    <w:unhideWhenUsed/>
    <w:rsid w:val="000C415A"/>
    <w:pPr>
      <w:spacing w:line="240" w:lineRule="auto"/>
    </w:pPr>
    <w:rPr>
      <w:rFonts w:ascii="Arial" w:hAnsi="Arial"/>
      <w:sz w:val="20"/>
      <w:szCs w:val="20"/>
    </w:rPr>
  </w:style>
  <w:style w:type="character" w:customStyle="1" w:styleId="CommentaireCar">
    <w:name w:val="Commentaire Car"/>
    <w:basedOn w:val="Policepardfaut"/>
    <w:link w:val="Commentaire"/>
    <w:uiPriority w:val="99"/>
    <w:rsid w:val="000C415A"/>
    <w:rPr>
      <w:rFonts w:ascii="Arial" w:hAnsi="Arial"/>
      <w:sz w:val="20"/>
      <w:szCs w:val="20"/>
    </w:rPr>
  </w:style>
  <w:style w:type="paragraph" w:styleId="Textedebulles">
    <w:name w:val="Balloon Text"/>
    <w:basedOn w:val="Normal"/>
    <w:link w:val="TextedebullesCar"/>
    <w:uiPriority w:val="99"/>
    <w:semiHidden/>
    <w:unhideWhenUsed/>
    <w:rsid w:val="000C41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415A"/>
    <w:rPr>
      <w:rFonts w:ascii="Segoe UI" w:hAnsi="Segoe UI" w:cs="Segoe UI"/>
      <w:sz w:val="18"/>
      <w:szCs w:val="18"/>
    </w:rPr>
  </w:style>
  <w:style w:type="character" w:customStyle="1" w:styleId="ParagraphedelisteCar">
    <w:name w:val="Paragraphe de liste Car"/>
    <w:aliases w:val="List Paragraph (numbered (a)) Car,List Paragraph nowy Car,Bullets Car,Numbered List Paragraph Car,Liste 1 Car,Aufzählung Spiegelstrich Car,Paragraphe de liste num Car,Paragraphe de liste 1 Car,Lettre d'introduction Car,Listes Car"/>
    <w:link w:val="Paragraphedeliste"/>
    <w:uiPriority w:val="34"/>
    <w:qFormat/>
    <w:rsid w:val="009C4370"/>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D648F0"/>
    <w:rPr>
      <w:color w:val="0563C1" w:themeColor="hyperlink"/>
      <w:u w:val="single"/>
    </w:rPr>
  </w:style>
  <w:style w:type="character" w:customStyle="1" w:styleId="overflow-hidden">
    <w:name w:val="overflow-hidden"/>
    <w:basedOn w:val="Policepardfaut"/>
    <w:rsid w:val="00AD4D65"/>
  </w:style>
  <w:style w:type="character" w:styleId="Accentuation">
    <w:name w:val="Emphasis"/>
    <w:basedOn w:val="Policepardfaut"/>
    <w:uiPriority w:val="20"/>
    <w:qFormat/>
    <w:rsid w:val="00CD7E0B"/>
    <w:rPr>
      <w:i/>
      <w:iCs/>
    </w:rPr>
  </w:style>
  <w:style w:type="table" w:customStyle="1" w:styleId="a3">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pcUjYKgy49vRmrcnLo4C+Ph0g==">CgMxLjAyCWguMzBqMHpsbDIIaC5namRneHM4AHIhMUM2VnM4aXhyNllpVVRLQWtpb25naFlqT1d5UTJBVjd4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2342</Words>
  <Characters>12881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 BEN REDJEM</dc:creator>
  <cp:lastModifiedBy>Amel BEN REDJEM</cp:lastModifiedBy>
  <cp:revision>91</cp:revision>
  <dcterms:created xsi:type="dcterms:W3CDTF">2024-09-18T15:22:00Z</dcterms:created>
  <dcterms:modified xsi:type="dcterms:W3CDTF">2024-12-11T15:07:00Z</dcterms:modified>
</cp:coreProperties>
</file>