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DEE7D" w14:textId="77777777" w:rsidR="00EE544F" w:rsidRPr="006F4D4F" w:rsidRDefault="00EE544F" w:rsidP="00EE544F">
      <w:pPr>
        <w:pStyle w:val="BTCContentsheading"/>
        <w:rPr>
          <w:lang w:val="fr-FR"/>
        </w:rPr>
      </w:pPr>
      <w:bookmarkStart w:id="0" w:name="_GoBack"/>
      <w:bookmarkEnd w:id="0"/>
    </w:p>
    <w:p w14:paraId="6A232001" w14:textId="15563EB2" w:rsidR="00EE544F" w:rsidRPr="006F4D4F" w:rsidRDefault="00EE544F" w:rsidP="00EE544F">
      <w:pPr>
        <w:pStyle w:val="BTCContentsheading"/>
        <w:rPr>
          <w:lang w:val="fr-FR"/>
        </w:rPr>
      </w:pPr>
      <w:r w:rsidRPr="006F4D4F">
        <w:rPr>
          <w:lang w:val="fr-FR"/>
        </w:rPr>
        <w:t>ANNEX</w:t>
      </w:r>
      <w:r w:rsidR="007604BE" w:rsidRPr="006F4D4F">
        <w:rPr>
          <w:lang w:val="fr-FR"/>
        </w:rPr>
        <w:t>E</w:t>
      </w:r>
      <w:r w:rsidRPr="006F4D4F">
        <w:rPr>
          <w:lang w:val="fr-FR"/>
        </w:rPr>
        <w:t xml:space="preserve"> 1</w:t>
      </w:r>
      <w:r w:rsidR="007604BE" w:rsidRPr="006F4D4F">
        <w:rPr>
          <w:lang w:val="fr-FR"/>
        </w:rPr>
        <w:t> </w:t>
      </w:r>
      <w:r w:rsidRPr="006F4D4F">
        <w:rPr>
          <w:lang w:val="fr-FR"/>
        </w:rPr>
        <w:t xml:space="preserve">: Description </w:t>
      </w:r>
      <w:r w:rsidR="007604BE" w:rsidRPr="006F4D4F">
        <w:rPr>
          <w:lang w:val="fr-FR"/>
        </w:rPr>
        <w:t>DE L’</w:t>
      </w:r>
      <w:r w:rsidRPr="006F4D4F">
        <w:rPr>
          <w:lang w:val="fr-FR"/>
        </w:rPr>
        <w:t>action</w:t>
      </w:r>
    </w:p>
    <w:p w14:paraId="019735D7" w14:textId="77777777" w:rsidR="00D653F5" w:rsidRPr="006F4D4F" w:rsidRDefault="00D653F5" w:rsidP="001369AA">
      <w:pPr>
        <w:pStyle w:val="BTCSubheading"/>
        <w:spacing w:line="280" w:lineRule="exact"/>
        <w:rPr>
          <w:lang w:val="fr-FR"/>
        </w:rPr>
      </w:pPr>
    </w:p>
    <w:p w14:paraId="2EA8EDE6" w14:textId="77777777" w:rsidR="00077B0B" w:rsidRPr="006F4D4F" w:rsidRDefault="00077B0B" w:rsidP="004F242E">
      <w:pPr>
        <w:pStyle w:val="BTCSubheading"/>
        <w:jc w:val="left"/>
        <w:rPr>
          <w:lang w:val="fr-FR"/>
        </w:rPr>
      </w:pPr>
    </w:p>
    <w:p w14:paraId="2DD0B7A8" w14:textId="1A5BEF66" w:rsidR="00077B0B" w:rsidRPr="006F4D4F" w:rsidRDefault="00077B0B" w:rsidP="004F242E">
      <w:pPr>
        <w:pStyle w:val="BTCSubheading"/>
        <w:jc w:val="left"/>
        <w:rPr>
          <w:sz w:val="72"/>
          <w:szCs w:val="32"/>
          <w:lang w:val="fr-FR"/>
        </w:rPr>
      </w:pPr>
      <w:r w:rsidRPr="006F4D4F">
        <w:rPr>
          <w:sz w:val="72"/>
          <w:szCs w:val="32"/>
          <w:lang w:val="fr-FR"/>
        </w:rPr>
        <w:t>dossier technique et financier</w:t>
      </w:r>
    </w:p>
    <w:p w14:paraId="3639158C" w14:textId="77777777" w:rsidR="00077B0B" w:rsidRPr="006F4D4F" w:rsidRDefault="00077B0B" w:rsidP="004F242E">
      <w:pPr>
        <w:pStyle w:val="BTCSubheading"/>
        <w:jc w:val="left"/>
        <w:rPr>
          <w:lang w:val="fr-FR"/>
        </w:rPr>
      </w:pPr>
    </w:p>
    <w:p w14:paraId="20F93C05" w14:textId="215DFC0E" w:rsidR="00BA79BA" w:rsidRPr="006F4D4F" w:rsidRDefault="006B14AB" w:rsidP="004F242E">
      <w:pPr>
        <w:pStyle w:val="BTCSubheading"/>
        <w:jc w:val="left"/>
        <w:rPr>
          <w:lang w:val="fr-FR"/>
        </w:rPr>
      </w:pPr>
      <w:r w:rsidRPr="006F4D4F">
        <w:rPr>
          <w:lang w:val="fr-FR"/>
        </w:rPr>
        <w:t xml:space="preserve">VET Toolbox </w:t>
      </w:r>
      <w:r w:rsidR="00E845D3" w:rsidRPr="006F4D4F">
        <w:rPr>
          <w:lang w:val="fr-FR"/>
        </w:rPr>
        <w:t>2</w:t>
      </w:r>
      <w:r w:rsidR="007604BE" w:rsidRPr="006F4D4F">
        <w:rPr>
          <w:lang w:val="fr-FR"/>
        </w:rPr>
        <w:t> </w:t>
      </w:r>
      <w:r w:rsidRPr="006F4D4F">
        <w:rPr>
          <w:lang w:val="fr-FR"/>
        </w:rPr>
        <w:t xml:space="preserve">: </w:t>
      </w:r>
      <w:r w:rsidR="0068294B">
        <w:rPr>
          <w:lang w:val="fr-FR"/>
        </w:rPr>
        <w:t>développement</w:t>
      </w:r>
      <w:r w:rsidR="0041091C">
        <w:rPr>
          <w:lang w:val="fr-FR"/>
        </w:rPr>
        <w:t xml:space="preserve"> des </w:t>
      </w:r>
      <w:r w:rsidR="00077B0B" w:rsidRPr="006F4D4F">
        <w:rPr>
          <w:lang w:val="fr-FR"/>
        </w:rPr>
        <w:t xml:space="preserve">compétences axé sur la demande </w:t>
      </w:r>
      <w:r w:rsidR="007C0281">
        <w:rPr>
          <w:lang w:val="fr-FR"/>
        </w:rPr>
        <w:t>renforcé</w:t>
      </w:r>
      <w:r w:rsidR="0041091C">
        <w:rPr>
          <w:lang w:val="fr-FR"/>
        </w:rPr>
        <w:t xml:space="preserve"> </w:t>
      </w:r>
      <w:r w:rsidR="00077B0B" w:rsidRPr="006F4D4F">
        <w:rPr>
          <w:lang w:val="fr-FR"/>
        </w:rPr>
        <w:t>pour les investissements en afrique</w:t>
      </w:r>
    </w:p>
    <w:p w14:paraId="1480472A" w14:textId="77777777" w:rsidR="00E109B0" w:rsidRPr="006F4D4F" w:rsidRDefault="00E109B0" w:rsidP="00E109B0">
      <w:pPr>
        <w:pStyle w:val="BTCSubheading"/>
        <w:rPr>
          <w:lang w:val="fr-FR"/>
        </w:rPr>
      </w:pPr>
    </w:p>
    <w:p w14:paraId="1836CFD8" w14:textId="2973BE6A" w:rsidR="00BA79BA" w:rsidRPr="006F4D4F" w:rsidRDefault="007B4B7B" w:rsidP="00E109B0">
      <w:pPr>
        <w:pStyle w:val="BTCContentsheading"/>
        <w:rPr>
          <w:lang w:val="fr-FR"/>
        </w:rPr>
      </w:pPr>
      <w:r w:rsidRPr="006F4D4F">
        <w:rPr>
          <w:lang w:val="fr-FR"/>
        </w:rPr>
        <w:t>Multi-</w:t>
      </w:r>
      <w:r w:rsidR="00077B0B" w:rsidRPr="006F4D4F">
        <w:rPr>
          <w:lang w:val="fr-FR"/>
        </w:rPr>
        <w:t>pays</w:t>
      </w:r>
    </w:p>
    <w:p w14:paraId="09D0486F" w14:textId="77777777" w:rsidR="00A71BDD" w:rsidRPr="006F4D4F" w:rsidRDefault="00A71BDD" w:rsidP="001369AA">
      <w:pPr>
        <w:pStyle w:val="BTCSub-subheading"/>
        <w:spacing w:line="280" w:lineRule="exact"/>
        <w:rPr>
          <w:lang w:val="fr-FR"/>
        </w:rPr>
      </w:pPr>
    </w:p>
    <w:p w14:paraId="16777393" w14:textId="6F74D1BC" w:rsidR="007B4B7B" w:rsidRPr="006F4D4F" w:rsidRDefault="007B4B7B" w:rsidP="00791E4E">
      <w:pPr>
        <w:pStyle w:val="BTCSub-subheading"/>
        <w:spacing w:line="276" w:lineRule="auto"/>
        <w:rPr>
          <w:lang w:val="fr-FR"/>
        </w:rPr>
      </w:pPr>
      <w:r w:rsidRPr="006F4D4F">
        <w:rPr>
          <w:lang w:val="fr-FR"/>
        </w:rPr>
        <w:t>DEVCO</w:t>
      </w:r>
      <w:r w:rsidR="00077B0B" w:rsidRPr="006F4D4F">
        <w:rPr>
          <w:lang w:val="fr-FR"/>
        </w:rPr>
        <w:t> </w:t>
      </w:r>
      <w:r w:rsidR="00BA79BA" w:rsidRPr="006F4D4F">
        <w:rPr>
          <w:lang w:val="fr-FR"/>
        </w:rPr>
        <w:t>:</w:t>
      </w:r>
    </w:p>
    <w:p w14:paraId="7F9994CB" w14:textId="3F4B5B8E" w:rsidR="007B4B7B" w:rsidRPr="006F4D4F" w:rsidRDefault="00077B0B" w:rsidP="00791E4E">
      <w:pPr>
        <w:pStyle w:val="BTCSub-subheading"/>
        <w:spacing w:line="276" w:lineRule="auto"/>
        <w:rPr>
          <w:caps w:val="0"/>
          <w:lang w:val="fr-FR"/>
        </w:rPr>
      </w:pPr>
      <w:r w:rsidRPr="006F4D4F">
        <w:rPr>
          <w:caps w:val="0"/>
          <w:lang w:val="fr-FR"/>
        </w:rPr>
        <w:t>FINANCÉ DANS LE CADRE DE L’INSTRUMENT DE COOPÉRATION AU DÉVELOPPEMENT</w:t>
      </w:r>
    </w:p>
    <w:p w14:paraId="41EE35C1" w14:textId="77777777" w:rsidR="00BC0C11" w:rsidRPr="006F4D4F" w:rsidRDefault="00BC0C11" w:rsidP="001369AA">
      <w:pPr>
        <w:pStyle w:val="BTCBodyText"/>
        <w:spacing w:line="280" w:lineRule="exact"/>
        <w:rPr>
          <w:lang w:val="fr-FR"/>
        </w:rPr>
      </w:pPr>
    </w:p>
    <w:p w14:paraId="6A911509" w14:textId="77777777" w:rsidR="0009780D" w:rsidRPr="006F4D4F" w:rsidRDefault="0009780D" w:rsidP="001369AA">
      <w:pPr>
        <w:pStyle w:val="BTCBodyText"/>
        <w:spacing w:line="280" w:lineRule="exact"/>
        <w:rPr>
          <w:rFonts w:cs="Arial"/>
          <w:b/>
          <w:color w:val="FF0000"/>
          <w:lang w:val="fr-FR"/>
        </w:rPr>
      </w:pPr>
    </w:p>
    <w:p w14:paraId="5AE0F7FF" w14:textId="77777777" w:rsidR="0009780D" w:rsidRPr="006F4D4F" w:rsidRDefault="0009780D" w:rsidP="001369AA">
      <w:pPr>
        <w:pStyle w:val="BTCBodyText"/>
        <w:spacing w:line="280" w:lineRule="exact"/>
        <w:rPr>
          <w:rFonts w:cs="Arial"/>
          <w:b/>
          <w:color w:val="FF0000"/>
          <w:lang w:val="fr-FR"/>
        </w:rPr>
      </w:pPr>
    </w:p>
    <w:p w14:paraId="0396E9E7" w14:textId="77777777" w:rsidR="00494C4B" w:rsidRPr="006F4D4F" w:rsidRDefault="00494C4B" w:rsidP="001369AA">
      <w:pPr>
        <w:pStyle w:val="BTCBodyText"/>
        <w:spacing w:line="280" w:lineRule="exact"/>
        <w:rPr>
          <w:rFonts w:cs="Arial"/>
          <w:b/>
          <w:color w:val="FF0000"/>
          <w:lang w:val="fr-FR"/>
        </w:rPr>
      </w:pPr>
    </w:p>
    <w:p w14:paraId="4F97E47C" w14:textId="77777777" w:rsidR="00494C4B" w:rsidRPr="006F4D4F" w:rsidRDefault="00494C4B" w:rsidP="001369AA">
      <w:pPr>
        <w:pStyle w:val="BTCBodyText"/>
        <w:spacing w:line="280" w:lineRule="exact"/>
        <w:rPr>
          <w:rFonts w:cs="Arial"/>
          <w:b/>
          <w:color w:val="FF0000"/>
          <w:lang w:val="fr-FR"/>
        </w:rPr>
      </w:pPr>
    </w:p>
    <w:p w14:paraId="11255146" w14:textId="1415B15E" w:rsidR="00EE544F" w:rsidRPr="006F4D4F" w:rsidRDefault="00DC4C2D" w:rsidP="001369AA">
      <w:pPr>
        <w:pStyle w:val="BTCBodyText"/>
        <w:spacing w:line="280" w:lineRule="exact"/>
        <w:rPr>
          <w:rFonts w:cs="Arial"/>
          <w:b/>
          <w:i/>
          <w:lang w:val="fr-FR"/>
        </w:rPr>
      </w:pPr>
      <w:r w:rsidRPr="006F4D4F">
        <w:rPr>
          <w:rFonts w:cs="Arial"/>
          <w:b/>
          <w:lang w:val="fr-FR"/>
        </w:rPr>
        <w:t xml:space="preserve">Version </w:t>
      </w:r>
      <w:r w:rsidR="00077B0B" w:rsidRPr="006F4D4F">
        <w:rPr>
          <w:rFonts w:cs="Arial"/>
          <w:b/>
          <w:lang w:val="fr-FR"/>
        </w:rPr>
        <w:t xml:space="preserve">du 14 juillet </w:t>
      </w:r>
      <w:r w:rsidR="0064094E" w:rsidRPr="006F4D4F">
        <w:rPr>
          <w:rFonts w:cs="Arial"/>
          <w:b/>
          <w:lang w:val="fr-FR"/>
        </w:rPr>
        <w:t>2020</w:t>
      </w:r>
    </w:p>
    <w:p w14:paraId="5FABB74E" w14:textId="2607C20A" w:rsidR="00FD32F3" w:rsidRPr="006F4D4F" w:rsidRDefault="00FD32F3" w:rsidP="00FD32F3">
      <w:pPr>
        <w:tabs>
          <w:tab w:val="left" w:pos="2040"/>
        </w:tabs>
        <w:rPr>
          <w:lang w:val="fr-FR"/>
        </w:rPr>
        <w:sectPr w:rsidR="00FD32F3" w:rsidRPr="006F4D4F" w:rsidSect="001369AA">
          <w:footerReference w:type="even" r:id="rId11"/>
          <w:footerReference w:type="default" r:id="rId12"/>
          <w:headerReference w:type="first" r:id="rId13"/>
          <w:type w:val="nextColumn"/>
          <w:pgSz w:w="11907" w:h="16839" w:code="9"/>
          <w:pgMar w:top="1531" w:right="1418" w:bottom="1871" w:left="1531" w:header="567" w:footer="720" w:gutter="0"/>
          <w:cols w:space="708"/>
          <w:titlePg/>
          <w:docGrid w:linePitch="360"/>
        </w:sectPr>
      </w:pPr>
    </w:p>
    <w:p w14:paraId="1683BF25" w14:textId="29C839EF" w:rsidR="00145A97" w:rsidRPr="006F4D4F" w:rsidRDefault="00BA79BA" w:rsidP="00D17A31">
      <w:pPr>
        <w:pStyle w:val="BTCContentsheading"/>
        <w:spacing w:line="280" w:lineRule="exact"/>
        <w:rPr>
          <w:lang w:val="fr-FR"/>
        </w:rPr>
      </w:pPr>
      <w:r w:rsidRPr="006F4D4F">
        <w:rPr>
          <w:lang w:val="fr-FR"/>
        </w:rPr>
        <w:lastRenderedPageBreak/>
        <w:t>Table</w:t>
      </w:r>
      <w:r w:rsidR="00077B0B" w:rsidRPr="006F4D4F">
        <w:rPr>
          <w:lang w:val="fr-FR"/>
        </w:rPr>
        <w:t xml:space="preserve"> des matières</w:t>
      </w:r>
    </w:p>
    <w:sdt>
      <w:sdtPr>
        <w:rPr>
          <w:rFonts w:ascii="Arial" w:eastAsia="Times New Roman" w:hAnsi="Arial" w:cs="Arial"/>
          <w:color w:val="4F81BD"/>
          <w:sz w:val="20"/>
          <w:szCs w:val="20"/>
          <w:lang w:val="fr-FR" w:eastAsia="en-US"/>
        </w:rPr>
        <w:id w:val="-1283196114"/>
        <w:docPartObj>
          <w:docPartGallery w:val="Table of Contents"/>
          <w:docPartUnique/>
        </w:docPartObj>
      </w:sdtPr>
      <w:sdtEndPr>
        <w:rPr>
          <w:b/>
          <w:bCs/>
          <w:lang w:val="en-GB"/>
        </w:rPr>
      </w:sdtEndPr>
      <w:sdtContent>
        <w:p w14:paraId="347E7C75" w14:textId="00309EC4" w:rsidR="009F72D7" w:rsidRDefault="009F72D7">
          <w:pPr>
            <w:pStyle w:val="En-ttedetabledesmatires"/>
          </w:pPr>
        </w:p>
        <w:p w14:paraId="1F79F446" w14:textId="719458E3" w:rsidR="00340D3F" w:rsidRDefault="009F72D7">
          <w:pPr>
            <w:pStyle w:val="TM1"/>
            <w:tabs>
              <w:tab w:val="right" w:leader="dot" w:pos="8495"/>
            </w:tabs>
            <w:rPr>
              <w:rFonts w:eastAsiaTheme="minorEastAsia" w:cstheme="minorBidi"/>
              <w:b w:val="0"/>
              <w:bCs w:val="0"/>
              <w:caps w:val="0"/>
              <w:noProof/>
              <w:color w:val="auto"/>
              <w:sz w:val="22"/>
              <w:szCs w:val="22"/>
              <w:lang w:val="fr-FR" w:eastAsia="fr-FR"/>
            </w:rPr>
          </w:pPr>
          <w:r>
            <w:fldChar w:fldCharType="begin"/>
          </w:r>
          <w:r>
            <w:instrText xml:space="preserve"> TOC \o "1-3" \h \z \u </w:instrText>
          </w:r>
          <w:r>
            <w:fldChar w:fldCharType="separate"/>
          </w:r>
          <w:hyperlink w:anchor="_Toc54336668" w:history="1">
            <w:r w:rsidR="00340D3F" w:rsidRPr="009839B3">
              <w:rPr>
                <w:rStyle w:val="Lienhypertexte"/>
                <w:noProof/>
              </w:rPr>
              <w:t>Abréviations</w:t>
            </w:r>
            <w:r w:rsidR="00340D3F">
              <w:rPr>
                <w:noProof/>
                <w:webHidden/>
              </w:rPr>
              <w:tab/>
            </w:r>
            <w:r w:rsidR="00340D3F">
              <w:rPr>
                <w:noProof/>
                <w:webHidden/>
              </w:rPr>
              <w:fldChar w:fldCharType="begin"/>
            </w:r>
            <w:r w:rsidR="00340D3F">
              <w:rPr>
                <w:noProof/>
                <w:webHidden/>
              </w:rPr>
              <w:instrText xml:space="preserve"> PAGEREF _Toc54336668 \h </w:instrText>
            </w:r>
            <w:r w:rsidR="00340D3F">
              <w:rPr>
                <w:noProof/>
                <w:webHidden/>
              </w:rPr>
            </w:r>
            <w:r w:rsidR="00340D3F">
              <w:rPr>
                <w:noProof/>
                <w:webHidden/>
              </w:rPr>
              <w:fldChar w:fldCharType="separate"/>
            </w:r>
            <w:r w:rsidR="001F1DE0">
              <w:rPr>
                <w:noProof/>
                <w:webHidden/>
              </w:rPr>
              <w:t>3</w:t>
            </w:r>
            <w:r w:rsidR="00340D3F">
              <w:rPr>
                <w:noProof/>
                <w:webHidden/>
              </w:rPr>
              <w:fldChar w:fldCharType="end"/>
            </w:r>
          </w:hyperlink>
        </w:p>
        <w:p w14:paraId="249CEC83" w14:textId="4DF99840" w:rsidR="00340D3F" w:rsidRDefault="00F27BCC">
          <w:pPr>
            <w:pStyle w:val="TM1"/>
            <w:tabs>
              <w:tab w:val="right" w:leader="dot" w:pos="8495"/>
            </w:tabs>
            <w:rPr>
              <w:rFonts w:eastAsiaTheme="minorEastAsia" w:cstheme="minorBidi"/>
              <w:b w:val="0"/>
              <w:bCs w:val="0"/>
              <w:caps w:val="0"/>
              <w:noProof/>
              <w:color w:val="auto"/>
              <w:sz w:val="22"/>
              <w:szCs w:val="22"/>
              <w:lang w:val="fr-FR" w:eastAsia="fr-FR"/>
            </w:rPr>
          </w:pPr>
          <w:hyperlink w:anchor="_Toc54336669" w:history="1">
            <w:r w:rsidR="00340D3F" w:rsidRPr="009839B3">
              <w:rPr>
                <w:rStyle w:val="Lienhypertexte"/>
                <w:noProof/>
              </w:rPr>
              <w:t>Résumé analytique</w:t>
            </w:r>
            <w:r w:rsidR="00340D3F">
              <w:rPr>
                <w:noProof/>
                <w:webHidden/>
              </w:rPr>
              <w:tab/>
            </w:r>
            <w:r w:rsidR="00340D3F">
              <w:rPr>
                <w:noProof/>
                <w:webHidden/>
              </w:rPr>
              <w:fldChar w:fldCharType="begin"/>
            </w:r>
            <w:r w:rsidR="00340D3F">
              <w:rPr>
                <w:noProof/>
                <w:webHidden/>
              </w:rPr>
              <w:instrText xml:space="preserve"> PAGEREF _Toc54336669 \h </w:instrText>
            </w:r>
            <w:r w:rsidR="00340D3F">
              <w:rPr>
                <w:noProof/>
                <w:webHidden/>
              </w:rPr>
            </w:r>
            <w:r w:rsidR="00340D3F">
              <w:rPr>
                <w:noProof/>
                <w:webHidden/>
              </w:rPr>
              <w:fldChar w:fldCharType="separate"/>
            </w:r>
            <w:r w:rsidR="001F1DE0">
              <w:rPr>
                <w:noProof/>
                <w:webHidden/>
              </w:rPr>
              <w:t>5</w:t>
            </w:r>
            <w:r w:rsidR="00340D3F">
              <w:rPr>
                <w:noProof/>
                <w:webHidden/>
              </w:rPr>
              <w:fldChar w:fldCharType="end"/>
            </w:r>
          </w:hyperlink>
        </w:p>
        <w:p w14:paraId="332A1137" w14:textId="2DA94378" w:rsidR="00340D3F" w:rsidRDefault="00F27BCC">
          <w:pPr>
            <w:pStyle w:val="TM1"/>
            <w:tabs>
              <w:tab w:val="right" w:leader="dot" w:pos="8495"/>
            </w:tabs>
            <w:rPr>
              <w:rFonts w:eastAsiaTheme="minorEastAsia" w:cstheme="minorBidi"/>
              <w:b w:val="0"/>
              <w:bCs w:val="0"/>
              <w:caps w:val="0"/>
              <w:noProof/>
              <w:color w:val="auto"/>
              <w:sz w:val="22"/>
              <w:szCs w:val="22"/>
              <w:lang w:val="fr-FR" w:eastAsia="fr-FR"/>
            </w:rPr>
          </w:pPr>
          <w:hyperlink w:anchor="_Toc54336670" w:history="1">
            <w:r w:rsidR="00340D3F" w:rsidRPr="009839B3">
              <w:rPr>
                <w:rStyle w:val="Lienhypertexte"/>
                <w:noProof/>
              </w:rPr>
              <w:t>Fiche analytique de l’action</w:t>
            </w:r>
            <w:r w:rsidR="00340D3F">
              <w:rPr>
                <w:noProof/>
                <w:webHidden/>
              </w:rPr>
              <w:tab/>
            </w:r>
            <w:r w:rsidR="00340D3F">
              <w:rPr>
                <w:noProof/>
                <w:webHidden/>
              </w:rPr>
              <w:fldChar w:fldCharType="begin"/>
            </w:r>
            <w:r w:rsidR="00340D3F">
              <w:rPr>
                <w:noProof/>
                <w:webHidden/>
              </w:rPr>
              <w:instrText xml:space="preserve"> PAGEREF _Toc54336670 \h </w:instrText>
            </w:r>
            <w:r w:rsidR="00340D3F">
              <w:rPr>
                <w:noProof/>
                <w:webHidden/>
              </w:rPr>
            </w:r>
            <w:r w:rsidR="00340D3F">
              <w:rPr>
                <w:noProof/>
                <w:webHidden/>
              </w:rPr>
              <w:fldChar w:fldCharType="separate"/>
            </w:r>
            <w:r w:rsidR="001F1DE0">
              <w:rPr>
                <w:noProof/>
                <w:webHidden/>
              </w:rPr>
              <w:t>6</w:t>
            </w:r>
            <w:r w:rsidR="00340D3F">
              <w:rPr>
                <w:noProof/>
                <w:webHidden/>
              </w:rPr>
              <w:fldChar w:fldCharType="end"/>
            </w:r>
          </w:hyperlink>
        </w:p>
        <w:p w14:paraId="6FE34A96" w14:textId="52ADD9A3" w:rsidR="00340D3F" w:rsidRDefault="00F27BCC">
          <w:pPr>
            <w:pStyle w:val="TM1"/>
            <w:tabs>
              <w:tab w:val="right" w:leader="dot" w:pos="8495"/>
            </w:tabs>
            <w:rPr>
              <w:rFonts w:eastAsiaTheme="minorEastAsia" w:cstheme="minorBidi"/>
              <w:b w:val="0"/>
              <w:bCs w:val="0"/>
              <w:caps w:val="0"/>
              <w:noProof/>
              <w:color w:val="auto"/>
              <w:sz w:val="22"/>
              <w:szCs w:val="22"/>
              <w:lang w:val="fr-FR" w:eastAsia="fr-FR"/>
            </w:rPr>
          </w:pPr>
          <w:hyperlink w:anchor="_Toc54336671" w:history="1">
            <w:r w:rsidR="00340D3F" w:rsidRPr="009839B3">
              <w:rPr>
                <w:rStyle w:val="Lienhypertexte"/>
                <w:noProof/>
              </w:rPr>
              <w:t>1. Contexte</w:t>
            </w:r>
            <w:r w:rsidR="00340D3F">
              <w:rPr>
                <w:noProof/>
                <w:webHidden/>
              </w:rPr>
              <w:tab/>
            </w:r>
            <w:r w:rsidR="00340D3F">
              <w:rPr>
                <w:noProof/>
                <w:webHidden/>
              </w:rPr>
              <w:fldChar w:fldCharType="begin"/>
            </w:r>
            <w:r w:rsidR="00340D3F">
              <w:rPr>
                <w:noProof/>
                <w:webHidden/>
              </w:rPr>
              <w:instrText xml:space="preserve"> PAGEREF _Toc54336671 \h </w:instrText>
            </w:r>
            <w:r w:rsidR="00340D3F">
              <w:rPr>
                <w:noProof/>
                <w:webHidden/>
              </w:rPr>
            </w:r>
            <w:r w:rsidR="00340D3F">
              <w:rPr>
                <w:noProof/>
                <w:webHidden/>
              </w:rPr>
              <w:fldChar w:fldCharType="separate"/>
            </w:r>
            <w:r w:rsidR="001F1DE0">
              <w:rPr>
                <w:noProof/>
                <w:webHidden/>
              </w:rPr>
              <w:t>7</w:t>
            </w:r>
            <w:r w:rsidR="00340D3F">
              <w:rPr>
                <w:noProof/>
                <w:webHidden/>
              </w:rPr>
              <w:fldChar w:fldCharType="end"/>
            </w:r>
          </w:hyperlink>
        </w:p>
        <w:p w14:paraId="7DB15400" w14:textId="2E2AF07B"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72" w:history="1">
            <w:r w:rsidR="00340D3F" w:rsidRPr="009839B3">
              <w:rPr>
                <w:rStyle w:val="Lienhypertexte"/>
                <w:noProof/>
                <w:lang w:val="fr-FR"/>
              </w:rPr>
              <w:t>1.1 Informations générales</w:t>
            </w:r>
            <w:r w:rsidR="00340D3F">
              <w:rPr>
                <w:noProof/>
                <w:webHidden/>
              </w:rPr>
              <w:tab/>
            </w:r>
            <w:r w:rsidR="00340D3F">
              <w:rPr>
                <w:noProof/>
                <w:webHidden/>
              </w:rPr>
              <w:fldChar w:fldCharType="begin"/>
            </w:r>
            <w:r w:rsidR="00340D3F">
              <w:rPr>
                <w:noProof/>
                <w:webHidden/>
              </w:rPr>
              <w:instrText xml:space="preserve"> PAGEREF _Toc54336672 \h </w:instrText>
            </w:r>
            <w:r w:rsidR="00340D3F">
              <w:rPr>
                <w:noProof/>
                <w:webHidden/>
              </w:rPr>
            </w:r>
            <w:r w:rsidR="00340D3F">
              <w:rPr>
                <w:noProof/>
                <w:webHidden/>
              </w:rPr>
              <w:fldChar w:fldCharType="separate"/>
            </w:r>
            <w:r w:rsidR="001F1DE0">
              <w:rPr>
                <w:noProof/>
                <w:webHidden/>
              </w:rPr>
              <w:t>7</w:t>
            </w:r>
            <w:r w:rsidR="00340D3F">
              <w:rPr>
                <w:noProof/>
                <w:webHidden/>
              </w:rPr>
              <w:fldChar w:fldCharType="end"/>
            </w:r>
          </w:hyperlink>
        </w:p>
        <w:p w14:paraId="16F0796A" w14:textId="187433A3"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73" w:history="1">
            <w:r w:rsidR="00340D3F" w:rsidRPr="009839B3">
              <w:rPr>
                <w:rStyle w:val="Lienhypertexte"/>
                <w:noProof/>
                <w:lang w:val="fr-FR"/>
              </w:rPr>
              <w:t>1.2 Problématique</w:t>
            </w:r>
            <w:r w:rsidR="00340D3F">
              <w:rPr>
                <w:noProof/>
                <w:webHidden/>
              </w:rPr>
              <w:tab/>
            </w:r>
            <w:r w:rsidR="00340D3F">
              <w:rPr>
                <w:noProof/>
                <w:webHidden/>
              </w:rPr>
              <w:fldChar w:fldCharType="begin"/>
            </w:r>
            <w:r w:rsidR="00340D3F">
              <w:rPr>
                <w:noProof/>
                <w:webHidden/>
              </w:rPr>
              <w:instrText xml:space="preserve"> PAGEREF _Toc54336673 \h </w:instrText>
            </w:r>
            <w:r w:rsidR="00340D3F">
              <w:rPr>
                <w:noProof/>
                <w:webHidden/>
              </w:rPr>
            </w:r>
            <w:r w:rsidR="00340D3F">
              <w:rPr>
                <w:noProof/>
                <w:webHidden/>
              </w:rPr>
              <w:fldChar w:fldCharType="separate"/>
            </w:r>
            <w:r w:rsidR="001F1DE0">
              <w:rPr>
                <w:noProof/>
                <w:webHidden/>
              </w:rPr>
              <w:t>8</w:t>
            </w:r>
            <w:r w:rsidR="00340D3F">
              <w:rPr>
                <w:noProof/>
                <w:webHidden/>
              </w:rPr>
              <w:fldChar w:fldCharType="end"/>
            </w:r>
          </w:hyperlink>
        </w:p>
        <w:p w14:paraId="226EA343" w14:textId="05B132AE"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74" w:history="1">
            <w:r w:rsidR="00340D3F" w:rsidRPr="009839B3">
              <w:rPr>
                <w:rStyle w:val="Lienhypertexte"/>
                <w:noProof/>
                <w:lang w:val="fr-FR"/>
              </w:rPr>
              <w:t>1.3 Pertinence de l’action</w:t>
            </w:r>
            <w:r w:rsidR="00340D3F">
              <w:rPr>
                <w:noProof/>
                <w:webHidden/>
              </w:rPr>
              <w:tab/>
            </w:r>
            <w:r w:rsidR="00340D3F">
              <w:rPr>
                <w:noProof/>
                <w:webHidden/>
              </w:rPr>
              <w:fldChar w:fldCharType="begin"/>
            </w:r>
            <w:r w:rsidR="00340D3F">
              <w:rPr>
                <w:noProof/>
                <w:webHidden/>
              </w:rPr>
              <w:instrText xml:space="preserve"> PAGEREF _Toc54336674 \h </w:instrText>
            </w:r>
            <w:r w:rsidR="00340D3F">
              <w:rPr>
                <w:noProof/>
                <w:webHidden/>
              </w:rPr>
            </w:r>
            <w:r w:rsidR="00340D3F">
              <w:rPr>
                <w:noProof/>
                <w:webHidden/>
              </w:rPr>
              <w:fldChar w:fldCharType="separate"/>
            </w:r>
            <w:r w:rsidR="001F1DE0">
              <w:rPr>
                <w:noProof/>
                <w:webHidden/>
              </w:rPr>
              <w:t>10</w:t>
            </w:r>
            <w:r w:rsidR="00340D3F">
              <w:rPr>
                <w:noProof/>
                <w:webHidden/>
              </w:rPr>
              <w:fldChar w:fldCharType="end"/>
            </w:r>
          </w:hyperlink>
        </w:p>
        <w:p w14:paraId="097A0D52" w14:textId="5446439B"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75" w:history="1">
            <w:r w:rsidR="00340D3F" w:rsidRPr="009839B3">
              <w:rPr>
                <w:rStyle w:val="Lienhypertexte"/>
                <w:noProof/>
                <w:lang w:val="fr-FR"/>
              </w:rPr>
              <w:t>1.4 Objectifs et résultats</w:t>
            </w:r>
            <w:r w:rsidR="00340D3F">
              <w:rPr>
                <w:noProof/>
                <w:webHidden/>
              </w:rPr>
              <w:tab/>
            </w:r>
            <w:r w:rsidR="00340D3F">
              <w:rPr>
                <w:noProof/>
                <w:webHidden/>
              </w:rPr>
              <w:fldChar w:fldCharType="begin"/>
            </w:r>
            <w:r w:rsidR="00340D3F">
              <w:rPr>
                <w:noProof/>
                <w:webHidden/>
              </w:rPr>
              <w:instrText xml:space="preserve"> PAGEREF _Toc54336675 \h </w:instrText>
            </w:r>
            <w:r w:rsidR="00340D3F">
              <w:rPr>
                <w:noProof/>
                <w:webHidden/>
              </w:rPr>
            </w:r>
            <w:r w:rsidR="00340D3F">
              <w:rPr>
                <w:noProof/>
                <w:webHidden/>
              </w:rPr>
              <w:fldChar w:fldCharType="separate"/>
            </w:r>
            <w:r w:rsidR="001F1DE0">
              <w:rPr>
                <w:noProof/>
                <w:webHidden/>
              </w:rPr>
              <w:t>12</w:t>
            </w:r>
            <w:r w:rsidR="00340D3F">
              <w:rPr>
                <w:noProof/>
                <w:webHidden/>
              </w:rPr>
              <w:fldChar w:fldCharType="end"/>
            </w:r>
          </w:hyperlink>
        </w:p>
        <w:p w14:paraId="2A5DBD4F" w14:textId="5A2EDDD2"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76" w:history="1">
            <w:r w:rsidR="00340D3F" w:rsidRPr="009839B3">
              <w:rPr>
                <w:rStyle w:val="Lienhypertexte"/>
                <w:noProof/>
                <w:lang w:val="fr-FR"/>
              </w:rPr>
              <w:t>1.5 Logique de l’intervention / méthodes de mise en œuvre, orientations stratégiques</w:t>
            </w:r>
            <w:r w:rsidR="00340D3F">
              <w:rPr>
                <w:noProof/>
                <w:webHidden/>
              </w:rPr>
              <w:tab/>
            </w:r>
            <w:r w:rsidR="00340D3F">
              <w:rPr>
                <w:noProof/>
                <w:webHidden/>
              </w:rPr>
              <w:fldChar w:fldCharType="begin"/>
            </w:r>
            <w:r w:rsidR="00340D3F">
              <w:rPr>
                <w:noProof/>
                <w:webHidden/>
              </w:rPr>
              <w:instrText xml:space="preserve"> PAGEREF _Toc54336676 \h </w:instrText>
            </w:r>
            <w:r w:rsidR="00340D3F">
              <w:rPr>
                <w:noProof/>
                <w:webHidden/>
              </w:rPr>
            </w:r>
            <w:r w:rsidR="00340D3F">
              <w:rPr>
                <w:noProof/>
                <w:webHidden/>
              </w:rPr>
              <w:fldChar w:fldCharType="separate"/>
            </w:r>
            <w:r w:rsidR="001F1DE0">
              <w:rPr>
                <w:noProof/>
                <w:webHidden/>
              </w:rPr>
              <w:t>14</w:t>
            </w:r>
            <w:r w:rsidR="00340D3F">
              <w:rPr>
                <w:noProof/>
                <w:webHidden/>
              </w:rPr>
              <w:fldChar w:fldCharType="end"/>
            </w:r>
          </w:hyperlink>
        </w:p>
        <w:p w14:paraId="69345437" w14:textId="59FE4AA4"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77" w:history="1">
            <w:r w:rsidR="00340D3F" w:rsidRPr="009839B3">
              <w:rPr>
                <w:rStyle w:val="Lienhypertexte"/>
                <w:noProof/>
              </w:rPr>
              <w:t>1.5.1 Théorie du changement</w:t>
            </w:r>
            <w:r w:rsidR="00340D3F">
              <w:rPr>
                <w:noProof/>
                <w:webHidden/>
              </w:rPr>
              <w:tab/>
            </w:r>
            <w:r w:rsidR="00340D3F">
              <w:rPr>
                <w:noProof/>
                <w:webHidden/>
              </w:rPr>
              <w:fldChar w:fldCharType="begin"/>
            </w:r>
            <w:r w:rsidR="00340D3F">
              <w:rPr>
                <w:noProof/>
                <w:webHidden/>
              </w:rPr>
              <w:instrText xml:space="preserve"> PAGEREF _Toc54336677 \h </w:instrText>
            </w:r>
            <w:r w:rsidR="00340D3F">
              <w:rPr>
                <w:noProof/>
                <w:webHidden/>
              </w:rPr>
            </w:r>
            <w:r w:rsidR="00340D3F">
              <w:rPr>
                <w:noProof/>
                <w:webHidden/>
              </w:rPr>
              <w:fldChar w:fldCharType="separate"/>
            </w:r>
            <w:r w:rsidR="001F1DE0">
              <w:rPr>
                <w:noProof/>
                <w:webHidden/>
              </w:rPr>
              <w:t>14</w:t>
            </w:r>
            <w:r w:rsidR="00340D3F">
              <w:rPr>
                <w:noProof/>
                <w:webHidden/>
              </w:rPr>
              <w:fldChar w:fldCharType="end"/>
            </w:r>
          </w:hyperlink>
        </w:p>
        <w:p w14:paraId="178FBDFD" w14:textId="231077D1"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78" w:history="1">
            <w:r w:rsidR="00340D3F" w:rsidRPr="009839B3">
              <w:rPr>
                <w:rStyle w:val="Lienhypertexte"/>
                <w:noProof/>
              </w:rPr>
              <w:t>1.5.2 Modes de prestation des services</w:t>
            </w:r>
            <w:r w:rsidR="00340D3F">
              <w:rPr>
                <w:noProof/>
                <w:webHidden/>
              </w:rPr>
              <w:tab/>
            </w:r>
            <w:r w:rsidR="00340D3F">
              <w:rPr>
                <w:noProof/>
                <w:webHidden/>
              </w:rPr>
              <w:fldChar w:fldCharType="begin"/>
            </w:r>
            <w:r w:rsidR="00340D3F">
              <w:rPr>
                <w:noProof/>
                <w:webHidden/>
              </w:rPr>
              <w:instrText xml:space="preserve"> PAGEREF _Toc54336678 \h </w:instrText>
            </w:r>
            <w:r w:rsidR="00340D3F">
              <w:rPr>
                <w:noProof/>
                <w:webHidden/>
              </w:rPr>
            </w:r>
            <w:r w:rsidR="00340D3F">
              <w:rPr>
                <w:noProof/>
                <w:webHidden/>
              </w:rPr>
              <w:fldChar w:fldCharType="separate"/>
            </w:r>
            <w:r w:rsidR="001F1DE0">
              <w:rPr>
                <w:noProof/>
                <w:webHidden/>
              </w:rPr>
              <w:t>19</w:t>
            </w:r>
            <w:r w:rsidR="00340D3F">
              <w:rPr>
                <w:noProof/>
                <w:webHidden/>
              </w:rPr>
              <w:fldChar w:fldCharType="end"/>
            </w:r>
          </w:hyperlink>
        </w:p>
        <w:p w14:paraId="00785DFE" w14:textId="010A02C2"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79" w:history="1">
            <w:r w:rsidR="00340D3F" w:rsidRPr="009839B3">
              <w:rPr>
                <w:rStyle w:val="Lienhypertexte"/>
                <w:noProof/>
              </w:rPr>
              <w:t>1.5.3 Principes d’exécution des projets</w:t>
            </w:r>
            <w:r w:rsidR="00340D3F">
              <w:rPr>
                <w:noProof/>
                <w:webHidden/>
              </w:rPr>
              <w:tab/>
            </w:r>
            <w:r w:rsidR="00340D3F">
              <w:rPr>
                <w:noProof/>
                <w:webHidden/>
              </w:rPr>
              <w:fldChar w:fldCharType="begin"/>
            </w:r>
            <w:r w:rsidR="00340D3F">
              <w:rPr>
                <w:noProof/>
                <w:webHidden/>
              </w:rPr>
              <w:instrText xml:space="preserve"> PAGEREF _Toc54336679 \h </w:instrText>
            </w:r>
            <w:r w:rsidR="00340D3F">
              <w:rPr>
                <w:noProof/>
                <w:webHidden/>
              </w:rPr>
            </w:r>
            <w:r w:rsidR="00340D3F">
              <w:rPr>
                <w:noProof/>
                <w:webHidden/>
              </w:rPr>
              <w:fldChar w:fldCharType="separate"/>
            </w:r>
            <w:r w:rsidR="001F1DE0">
              <w:rPr>
                <w:noProof/>
                <w:webHidden/>
              </w:rPr>
              <w:t>24</w:t>
            </w:r>
            <w:r w:rsidR="00340D3F">
              <w:rPr>
                <w:noProof/>
                <w:webHidden/>
              </w:rPr>
              <w:fldChar w:fldCharType="end"/>
            </w:r>
          </w:hyperlink>
        </w:p>
        <w:p w14:paraId="24BA8CE7" w14:textId="6027F758"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80" w:history="1">
            <w:r w:rsidR="00340D3F" w:rsidRPr="009839B3">
              <w:rPr>
                <w:rStyle w:val="Lienhypertexte"/>
                <w:noProof/>
                <w:lang w:val="fr-FR"/>
              </w:rPr>
              <w:t>1.6 Activités / Champs d’activités indicatifs</w:t>
            </w:r>
            <w:r w:rsidR="00340D3F">
              <w:rPr>
                <w:noProof/>
                <w:webHidden/>
              </w:rPr>
              <w:tab/>
            </w:r>
            <w:r w:rsidR="00340D3F">
              <w:rPr>
                <w:noProof/>
                <w:webHidden/>
              </w:rPr>
              <w:fldChar w:fldCharType="begin"/>
            </w:r>
            <w:r w:rsidR="00340D3F">
              <w:rPr>
                <w:noProof/>
                <w:webHidden/>
              </w:rPr>
              <w:instrText xml:space="preserve"> PAGEREF _Toc54336680 \h </w:instrText>
            </w:r>
            <w:r w:rsidR="00340D3F">
              <w:rPr>
                <w:noProof/>
                <w:webHidden/>
              </w:rPr>
            </w:r>
            <w:r w:rsidR="00340D3F">
              <w:rPr>
                <w:noProof/>
                <w:webHidden/>
              </w:rPr>
              <w:fldChar w:fldCharType="separate"/>
            </w:r>
            <w:r w:rsidR="001F1DE0">
              <w:rPr>
                <w:noProof/>
                <w:webHidden/>
              </w:rPr>
              <w:t>24</w:t>
            </w:r>
            <w:r w:rsidR="00340D3F">
              <w:rPr>
                <w:noProof/>
                <w:webHidden/>
              </w:rPr>
              <w:fldChar w:fldCharType="end"/>
            </w:r>
          </w:hyperlink>
        </w:p>
        <w:p w14:paraId="23BC332B" w14:textId="1EA6DD5A"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81" w:history="1">
            <w:r w:rsidR="00340D3F" w:rsidRPr="009839B3">
              <w:rPr>
                <w:rStyle w:val="Lienhypertexte"/>
                <w:noProof/>
                <w:lang w:val="fr-FR"/>
              </w:rPr>
              <w:t>1.7 Description des bénéficiaires et des parties prenantes</w:t>
            </w:r>
            <w:r w:rsidR="00340D3F">
              <w:rPr>
                <w:noProof/>
                <w:webHidden/>
              </w:rPr>
              <w:tab/>
            </w:r>
            <w:r w:rsidR="00340D3F">
              <w:rPr>
                <w:noProof/>
                <w:webHidden/>
              </w:rPr>
              <w:fldChar w:fldCharType="begin"/>
            </w:r>
            <w:r w:rsidR="00340D3F">
              <w:rPr>
                <w:noProof/>
                <w:webHidden/>
              </w:rPr>
              <w:instrText xml:space="preserve"> PAGEREF _Toc54336681 \h </w:instrText>
            </w:r>
            <w:r w:rsidR="00340D3F">
              <w:rPr>
                <w:noProof/>
                <w:webHidden/>
              </w:rPr>
            </w:r>
            <w:r w:rsidR="00340D3F">
              <w:rPr>
                <w:noProof/>
                <w:webHidden/>
              </w:rPr>
              <w:fldChar w:fldCharType="separate"/>
            </w:r>
            <w:r w:rsidR="001F1DE0">
              <w:rPr>
                <w:noProof/>
                <w:webHidden/>
              </w:rPr>
              <w:t>26</w:t>
            </w:r>
            <w:r w:rsidR="00340D3F">
              <w:rPr>
                <w:noProof/>
                <w:webHidden/>
              </w:rPr>
              <w:fldChar w:fldCharType="end"/>
            </w:r>
          </w:hyperlink>
        </w:p>
        <w:p w14:paraId="0603AEE9" w14:textId="7CEBD2C1" w:rsidR="00340D3F" w:rsidRDefault="00F27BCC">
          <w:pPr>
            <w:pStyle w:val="TM1"/>
            <w:tabs>
              <w:tab w:val="right" w:leader="dot" w:pos="8495"/>
            </w:tabs>
            <w:rPr>
              <w:rFonts w:eastAsiaTheme="minorEastAsia" w:cstheme="minorBidi"/>
              <w:b w:val="0"/>
              <w:bCs w:val="0"/>
              <w:caps w:val="0"/>
              <w:noProof/>
              <w:color w:val="auto"/>
              <w:sz w:val="22"/>
              <w:szCs w:val="22"/>
              <w:lang w:val="fr-FR" w:eastAsia="fr-FR"/>
            </w:rPr>
          </w:pPr>
          <w:hyperlink w:anchor="_Toc54336682" w:history="1">
            <w:r w:rsidR="00340D3F" w:rsidRPr="009839B3">
              <w:rPr>
                <w:rStyle w:val="Lienhypertexte"/>
                <w:noProof/>
              </w:rPr>
              <w:t>2. Analyse du risque</w:t>
            </w:r>
            <w:r w:rsidR="00340D3F">
              <w:rPr>
                <w:noProof/>
                <w:webHidden/>
              </w:rPr>
              <w:tab/>
            </w:r>
            <w:r w:rsidR="00340D3F">
              <w:rPr>
                <w:noProof/>
                <w:webHidden/>
              </w:rPr>
              <w:fldChar w:fldCharType="begin"/>
            </w:r>
            <w:r w:rsidR="00340D3F">
              <w:rPr>
                <w:noProof/>
                <w:webHidden/>
              </w:rPr>
              <w:instrText xml:space="preserve"> PAGEREF _Toc54336682 \h </w:instrText>
            </w:r>
            <w:r w:rsidR="00340D3F">
              <w:rPr>
                <w:noProof/>
                <w:webHidden/>
              </w:rPr>
            </w:r>
            <w:r w:rsidR="00340D3F">
              <w:rPr>
                <w:noProof/>
                <w:webHidden/>
              </w:rPr>
              <w:fldChar w:fldCharType="separate"/>
            </w:r>
            <w:r w:rsidR="001F1DE0">
              <w:rPr>
                <w:noProof/>
                <w:webHidden/>
              </w:rPr>
              <w:t>28</w:t>
            </w:r>
            <w:r w:rsidR="00340D3F">
              <w:rPr>
                <w:noProof/>
                <w:webHidden/>
              </w:rPr>
              <w:fldChar w:fldCharType="end"/>
            </w:r>
          </w:hyperlink>
        </w:p>
        <w:p w14:paraId="5659D7E7" w14:textId="1028E31F" w:rsidR="00340D3F" w:rsidRDefault="00F27BCC">
          <w:pPr>
            <w:pStyle w:val="TM1"/>
            <w:tabs>
              <w:tab w:val="right" w:leader="dot" w:pos="8495"/>
            </w:tabs>
            <w:rPr>
              <w:rFonts w:eastAsiaTheme="minorEastAsia" w:cstheme="minorBidi"/>
              <w:b w:val="0"/>
              <w:bCs w:val="0"/>
              <w:caps w:val="0"/>
              <w:noProof/>
              <w:color w:val="auto"/>
              <w:sz w:val="22"/>
              <w:szCs w:val="22"/>
              <w:lang w:val="fr-FR" w:eastAsia="fr-FR"/>
            </w:rPr>
          </w:pPr>
          <w:hyperlink w:anchor="_Toc54336683" w:history="1">
            <w:r w:rsidR="00340D3F" w:rsidRPr="009839B3">
              <w:rPr>
                <w:rStyle w:val="Lienhypertexte"/>
                <w:noProof/>
              </w:rPr>
              <w:t>3. Ressources</w:t>
            </w:r>
            <w:r w:rsidR="00340D3F">
              <w:rPr>
                <w:noProof/>
                <w:webHidden/>
              </w:rPr>
              <w:tab/>
            </w:r>
            <w:r w:rsidR="00340D3F">
              <w:rPr>
                <w:noProof/>
                <w:webHidden/>
              </w:rPr>
              <w:fldChar w:fldCharType="begin"/>
            </w:r>
            <w:r w:rsidR="00340D3F">
              <w:rPr>
                <w:noProof/>
                <w:webHidden/>
              </w:rPr>
              <w:instrText xml:space="preserve"> PAGEREF _Toc54336683 \h </w:instrText>
            </w:r>
            <w:r w:rsidR="00340D3F">
              <w:rPr>
                <w:noProof/>
                <w:webHidden/>
              </w:rPr>
            </w:r>
            <w:r w:rsidR="00340D3F">
              <w:rPr>
                <w:noProof/>
                <w:webHidden/>
              </w:rPr>
              <w:fldChar w:fldCharType="separate"/>
            </w:r>
            <w:r w:rsidR="001F1DE0">
              <w:rPr>
                <w:noProof/>
                <w:webHidden/>
              </w:rPr>
              <w:t>31</w:t>
            </w:r>
            <w:r w:rsidR="00340D3F">
              <w:rPr>
                <w:noProof/>
                <w:webHidden/>
              </w:rPr>
              <w:fldChar w:fldCharType="end"/>
            </w:r>
          </w:hyperlink>
        </w:p>
        <w:p w14:paraId="4FBCA467" w14:textId="3FF25A70"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84" w:history="1">
            <w:r w:rsidR="00340D3F" w:rsidRPr="009839B3">
              <w:rPr>
                <w:rStyle w:val="Lienhypertexte"/>
                <w:noProof/>
                <w:lang w:val="fr-FR"/>
              </w:rPr>
              <w:t>3.1 Ressources financières et budget</w:t>
            </w:r>
            <w:r w:rsidR="00340D3F">
              <w:rPr>
                <w:noProof/>
                <w:webHidden/>
              </w:rPr>
              <w:tab/>
            </w:r>
            <w:r w:rsidR="00340D3F">
              <w:rPr>
                <w:noProof/>
                <w:webHidden/>
              </w:rPr>
              <w:fldChar w:fldCharType="begin"/>
            </w:r>
            <w:r w:rsidR="00340D3F">
              <w:rPr>
                <w:noProof/>
                <w:webHidden/>
              </w:rPr>
              <w:instrText xml:space="preserve"> PAGEREF _Toc54336684 \h </w:instrText>
            </w:r>
            <w:r w:rsidR="00340D3F">
              <w:rPr>
                <w:noProof/>
                <w:webHidden/>
              </w:rPr>
            </w:r>
            <w:r w:rsidR="00340D3F">
              <w:rPr>
                <w:noProof/>
                <w:webHidden/>
              </w:rPr>
              <w:fldChar w:fldCharType="separate"/>
            </w:r>
            <w:r w:rsidR="001F1DE0">
              <w:rPr>
                <w:noProof/>
                <w:webHidden/>
              </w:rPr>
              <w:t>31</w:t>
            </w:r>
            <w:r w:rsidR="00340D3F">
              <w:rPr>
                <w:noProof/>
                <w:webHidden/>
              </w:rPr>
              <w:fldChar w:fldCharType="end"/>
            </w:r>
          </w:hyperlink>
        </w:p>
        <w:p w14:paraId="12FBDFBC" w14:textId="202D6D6D"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85" w:history="1">
            <w:r w:rsidR="00340D3F" w:rsidRPr="009839B3">
              <w:rPr>
                <w:rStyle w:val="Lienhypertexte"/>
                <w:noProof/>
              </w:rPr>
              <w:t>3.1.1 Budget</w:t>
            </w:r>
            <w:r w:rsidR="00340D3F">
              <w:rPr>
                <w:noProof/>
                <w:webHidden/>
              </w:rPr>
              <w:tab/>
            </w:r>
            <w:r w:rsidR="00340D3F">
              <w:rPr>
                <w:noProof/>
                <w:webHidden/>
              </w:rPr>
              <w:fldChar w:fldCharType="begin"/>
            </w:r>
            <w:r w:rsidR="00340D3F">
              <w:rPr>
                <w:noProof/>
                <w:webHidden/>
              </w:rPr>
              <w:instrText xml:space="preserve"> PAGEREF _Toc54336685 \h </w:instrText>
            </w:r>
            <w:r w:rsidR="00340D3F">
              <w:rPr>
                <w:noProof/>
                <w:webHidden/>
              </w:rPr>
            </w:r>
            <w:r w:rsidR="00340D3F">
              <w:rPr>
                <w:noProof/>
                <w:webHidden/>
              </w:rPr>
              <w:fldChar w:fldCharType="separate"/>
            </w:r>
            <w:r w:rsidR="001F1DE0">
              <w:rPr>
                <w:noProof/>
                <w:webHidden/>
              </w:rPr>
              <w:t>31</w:t>
            </w:r>
            <w:r w:rsidR="00340D3F">
              <w:rPr>
                <w:noProof/>
                <w:webHidden/>
              </w:rPr>
              <w:fldChar w:fldCharType="end"/>
            </w:r>
          </w:hyperlink>
        </w:p>
        <w:p w14:paraId="63C2DA61" w14:textId="68E3CD38"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86" w:history="1">
            <w:r w:rsidR="00340D3F" w:rsidRPr="009839B3">
              <w:rPr>
                <w:rStyle w:val="Lienhypertexte"/>
                <w:noProof/>
              </w:rPr>
              <w:t>3.1.2 Principes budgétaires</w:t>
            </w:r>
            <w:r w:rsidR="00340D3F">
              <w:rPr>
                <w:noProof/>
                <w:webHidden/>
              </w:rPr>
              <w:tab/>
            </w:r>
            <w:r w:rsidR="00340D3F">
              <w:rPr>
                <w:noProof/>
                <w:webHidden/>
              </w:rPr>
              <w:fldChar w:fldCharType="begin"/>
            </w:r>
            <w:r w:rsidR="00340D3F">
              <w:rPr>
                <w:noProof/>
                <w:webHidden/>
              </w:rPr>
              <w:instrText xml:space="preserve"> PAGEREF _Toc54336686 \h </w:instrText>
            </w:r>
            <w:r w:rsidR="00340D3F">
              <w:rPr>
                <w:noProof/>
                <w:webHidden/>
              </w:rPr>
            </w:r>
            <w:r w:rsidR="00340D3F">
              <w:rPr>
                <w:noProof/>
                <w:webHidden/>
              </w:rPr>
              <w:fldChar w:fldCharType="separate"/>
            </w:r>
            <w:r w:rsidR="001F1DE0">
              <w:rPr>
                <w:noProof/>
                <w:webHidden/>
              </w:rPr>
              <w:t>31</w:t>
            </w:r>
            <w:r w:rsidR="00340D3F">
              <w:rPr>
                <w:noProof/>
                <w:webHidden/>
              </w:rPr>
              <w:fldChar w:fldCharType="end"/>
            </w:r>
          </w:hyperlink>
        </w:p>
        <w:p w14:paraId="4540A616" w14:textId="1B0554C2"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87" w:history="1">
            <w:r w:rsidR="00340D3F" w:rsidRPr="009839B3">
              <w:rPr>
                <w:rStyle w:val="Lienhypertexte"/>
                <w:noProof/>
                <w:lang w:val="fr-FR"/>
              </w:rPr>
              <w:t>3.2 Ressources humaines</w:t>
            </w:r>
            <w:r w:rsidR="00340D3F">
              <w:rPr>
                <w:noProof/>
                <w:webHidden/>
              </w:rPr>
              <w:tab/>
            </w:r>
            <w:r w:rsidR="00340D3F">
              <w:rPr>
                <w:noProof/>
                <w:webHidden/>
              </w:rPr>
              <w:fldChar w:fldCharType="begin"/>
            </w:r>
            <w:r w:rsidR="00340D3F">
              <w:rPr>
                <w:noProof/>
                <w:webHidden/>
              </w:rPr>
              <w:instrText xml:space="preserve"> PAGEREF _Toc54336687 \h </w:instrText>
            </w:r>
            <w:r w:rsidR="00340D3F">
              <w:rPr>
                <w:noProof/>
                <w:webHidden/>
              </w:rPr>
            </w:r>
            <w:r w:rsidR="00340D3F">
              <w:rPr>
                <w:noProof/>
                <w:webHidden/>
              </w:rPr>
              <w:fldChar w:fldCharType="separate"/>
            </w:r>
            <w:r w:rsidR="001F1DE0">
              <w:rPr>
                <w:noProof/>
                <w:webHidden/>
              </w:rPr>
              <w:t>31</w:t>
            </w:r>
            <w:r w:rsidR="00340D3F">
              <w:rPr>
                <w:noProof/>
                <w:webHidden/>
              </w:rPr>
              <w:fldChar w:fldCharType="end"/>
            </w:r>
          </w:hyperlink>
        </w:p>
        <w:p w14:paraId="5C307494" w14:textId="00C8D08E"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88" w:history="1">
            <w:r w:rsidR="00340D3F" w:rsidRPr="009839B3">
              <w:rPr>
                <w:rStyle w:val="Lienhypertexte"/>
                <w:noProof/>
              </w:rPr>
              <w:t>3.2.1 Centre de coordination</w:t>
            </w:r>
            <w:r w:rsidR="00340D3F">
              <w:rPr>
                <w:noProof/>
                <w:webHidden/>
              </w:rPr>
              <w:tab/>
            </w:r>
            <w:r w:rsidR="00340D3F">
              <w:rPr>
                <w:noProof/>
                <w:webHidden/>
              </w:rPr>
              <w:fldChar w:fldCharType="begin"/>
            </w:r>
            <w:r w:rsidR="00340D3F">
              <w:rPr>
                <w:noProof/>
                <w:webHidden/>
              </w:rPr>
              <w:instrText xml:space="preserve"> PAGEREF _Toc54336688 \h </w:instrText>
            </w:r>
            <w:r w:rsidR="00340D3F">
              <w:rPr>
                <w:noProof/>
                <w:webHidden/>
              </w:rPr>
            </w:r>
            <w:r w:rsidR="00340D3F">
              <w:rPr>
                <w:noProof/>
                <w:webHidden/>
              </w:rPr>
              <w:fldChar w:fldCharType="separate"/>
            </w:r>
            <w:r w:rsidR="001F1DE0">
              <w:rPr>
                <w:noProof/>
                <w:webHidden/>
              </w:rPr>
              <w:t>31</w:t>
            </w:r>
            <w:r w:rsidR="00340D3F">
              <w:rPr>
                <w:noProof/>
                <w:webHidden/>
              </w:rPr>
              <w:fldChar w:fldCharType="end"/>
            </w:r>
          </w:hyperlink>
        </w:p>
        <w:p w14:paraId="49F542C2" w14:textId="115D710F"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89" w:history="1">
            <w:r w:rsidR="00340D3F" w:rsidRPr="009839B3">
              <w:rPr>
                <w:rStyle w:val="Lienhypertexte"/>
                <w:noProof/>
              </w:rPr>
              <w:t>3.2.2 Personnel de liaison des agences bilatérales</w:t>
            </w:r>
            <w:r w:rsidR="00340D3F">
              <w:rPr>
                <w:noProof/>
                <w:webHidden/>
              </w:rPr>
              <w:tab/>
            </w:r>
            <w:r w:rsidR="00340D3F">
              <w:rPr>
                <w:noProof/>
                <w:webHidden/>
              </w:rPr>
              <w:fldChar w:fldCharType="begin"/>
            </w:r>
            <w:r w:rsidR="00340D3F">
              <w:rPr>
                <w:noProof/>
                <w:webHidden/>
              </w:rPr>
              <w:instrText xml:space="preserve"> PAGEREF _Toc54336689 \h </w:instrText>
            </w:r>
            <w:r w:rsidR="00340D3F">
              <w:rPr>
                <w:noProof/>
                <w:webHidden/>
              </w:rPr>
            </w:r>
            <w:r w:rsidR="00340D3F">
              <w:rPr>
                <w:noProof/>
                <w:webHidden/>
              </w:rPr>
              <w:fldChar w:fldCharType="separate"/>
            </w:r>
            <w:r w:rsidR="001F1DE0">
              <w:rPr>
                <w:noProof/>
                <w:webHidden/>
              </w:rPr>
              <w:t>33</w:t>
            </w:r>
            <w:r w:rsidR="00340D3F">
              <w:rPr>
                <w:noProof/>
                <w:webHidden/>
              </w:rPr>
              <w:fldChar w:fldCharType="end"/>
            </w:r>
          </w:hyperlink>
        </w:p>
        <w:p w14:paraId="610EE304" w14:textId="140BD795"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90" w:history="1">
            <w:r w:rsidR="00340D3F" w:rsidRPr="009839B3">
              <w:rPr>
                <w:rStyle w:val="Lienhypertexte"/>
                <w:noProof/>
              </w:rPr>
              <w:t>3.2.3 Réseau d’échange de connaissances (KEN)</w:t>
            </w:r>
            <w:r w:rsidR="00340D3F">
              <w:rPr>
                <w:noProof/>
                <w:webHidden/>
              </w:rPr>
              <w:tab/>
            </w:r>
            <w:r w:rsidR="00340D3F">
              <w:rPr>
                <w:noProof/>
                <w:webHidden/>
              </w:rPr>
              <w:fldChar w:fldCharType="begin"/>
            </w:r>
            <w:r w:rsidR="00340D3F">
              <w:rPr>
                <w:noProof/>
                <w:webHidden/>
              </w:rPr>
              <w:instrText xml:space="preserve"> PAGEREF _Toc54336690 \h </w:instrText>
            </w:r>
            <w:r w:rsidR="00340D3F">
              <w:rPr>
                <w:noProof/>
                <w:webHidden/>
              </w:rPr>
            </w:r>
            <w:r w:rsidR="00340D3F">
              <w:rPr>
                <w:noProof/>
                <w:webHidden/>
              </w:rPr>
              <w:fldChar w:fldCharType="separate"/>
            </w:r>
            <w:r w:rsidR="001F1DE0">
              <w:rPr>
                <w:noProof/>
                <w:webHidden/>
              </w:rPr>
              <w:t>34</w:t>
            </w:r>
            <w:r w:rsidR="00340D3F">
              <w:rPr>
                <w:noProof/>
                <w:webHidden/>
              </w:rPr>
              <w:fldChar w:fldCharType="end"/>
            </w:r>
          </w:hyperlink>
        </w:p>
        <w:p w14:paraId="132808CB" w14:textId="0CB51415" w:rsidR="00340D3F" w:rsidRDefault="00F27BCC">
          <w:pPr>
            <w:pStyle w:val="TM1"/>
            <w:tabs>
              <w:tab w:val="right" w:leader="dot" w:pos="8495"/>
            </w:tabs>
            <w:rPr>
              <w:rFonts w:eastAsiaTheme="minorEastAsia" w:cstheme="minorBidi"/>
              <w:b w:val="0"/>
              <w:bCs w:val="0"/>
              <w:caps w:val="0"/>
              <w:noProof/>
              <w:color w:val="auto"/>
              <w:sz w:val="22"/>
              <w:szCs w:val="22"/>
              <w:lang w:val="fr-FR" w:eastAsia="fr-FR"/>
            </w:rPr>
          </w:pPr>
          <w:hyperlink w:anchor="_Toc54336691" w:history="1">
            <w:r w:rsidR="00340D3F" w:rsidRPr="009839B3">
              <w:rPr>
                <w:rStyle w:val="Lienhypertexte"/>
                <w:noProof/>
              </w:rPr>
              <w:t>4. Modèle opérationnel</w:t>
            </w:r>
            <w:r w:rsidR="00340D3F">
              <w:rPr>
                <w:noProof/>
                <w:webHidden/>
              </w:rPr>
              <w:tab/>
            </w:r>
            <w:r w:rsidR="00340D3F">
              <w:rPr>
                <w:noProof/>
                <w:webHidden/>
              </w:rPr>
              <w:fldChar w:fldCharType="begin"/>
            </w:r>
            <w:r w:rsidR="00340D3F">
              <w:rPr>
                <w:noProof/>
                <w:webHidden/>
              </w:rPr>
              <w:instrText xml:space="preserve"> PAGEREF _Toc54336691 \h </w:instrText>
            </w:r>
            <w:r w:rsidR="00340D3F">
              <w:rPr>
                <w:noProof/>
                <w:webHidden/>
              </w:rPr>
            </w:r>
            <w:r w:rsidR="00340D3F">
              <w:rPr>
                <w:noProof/>
                <w:webHidden/>
              </w:rPr>
              <w:fldChar w:fldCharType="separate"/>
            </w:r>
            <w:r w:rsidR="001F1DE0">
              <w:rPr>
                <w:noProof/>
                <w:webHidden/>
              </w:rPr>
              <w:t>35</w:t>
            </w:r>
            <w:r w:rsidR="00340D3F">
              <w:rPr>
                <w:noProof/>
                <w:webHidden/>
              </w:rPr>
              <w:fldChar w:fldCharType="end"/>
            </w:r>
          </w:hyperlink>
        </w:p>
        <w:p w14:paraId="01E5FC49" w14:textId="5E3BDA86"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92" w:history="1">
            <w:r w:rsidR="00340D3F" w:rsidRPr="009839B3">
              <w:rPr>
                <w:rStyle w:val="Lienhypertexte"/>
                <w:noProof/>
                <w:lang w:val="fr-FR"/>
              </w:rPr>
              <w:t>4.1 Gestion conjointe</w:t>
            </w:r>
            <w:r w:rsidR="00340D3F">
              <w:rPr>
                <w:noProof/>
                <w:webHidden/>
              </w:rPr>
              <w:tab/>
            </w:r>
            <w:r w:rsidR="00340D3F">
              <w:rPr>
                <w:noProof/>
                <w:webHidden/>
              </w:rPr>
              <w:fldChar w:fldCharType="begin"/>
            </w:r>
            <w:r w:rsidR="00340D3F">
              <w:rPr>
                <w:noProof/>
                <w:webHidden/>
              </w:rPr>
              <w:instrText xml:space="preserve"> PAGEREF _Toc54336692 \h </w:instrText>
            </w:r>
            <w:r w:rsidR="00340D3F">
              <w:rPr>
                <w:noProof/>
                <w:webHidden/>
              </w:rPr>
            </w:r>
            <w:r w:rsidR="00340D3F">
              <w:rPr>
                <w:noProof/>
                <w:webHidden/>
              </w:rPr>
              <w:fldChar w:fldCharType="separate"/>
            </w:r>
            <w:r w:rsidR="001F1DE0">
              <w:rPr>
                <w:noProof/>
                <w:webHidden/>
              </w:rPr>
              <w:t>35</w:t>
            </w:r>
            <w:r w:rsidR="00340D3F">
              <w:rPr>
                <w:noProof/>
                <w:webHidden/>
              </w:rPr>
              <w:fldChar w:fldCharType="end"/>
            </w:r>
          </w:hyperlink>
        </w:p>
        <w:p w14:paraId="6F0C3A42" w14:textId="300755B3"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93" w:history="1">
            <w:r w:rsidR="00340D3F" w:rsidRPr="009839B3">
              <w:rPr>
                <w:rStyle w:val="Lienhypertexte"/>
                <w:noProof/>
                <w:lang w:val="fr-FR"/>
              </w:rPr>
              <w:t>4.2 Structure de gouvernance</w:t>
            </w:r>
            <w:r w:rsidR="00340D3F">
              <w:rPr>
                <w:noProof/>
                <w:webHidden/>
              </w:rPr>
              <w:tab/>
            </w:r>
            <w:r w:rsidR="00340D3F">
              <w:rPr>
                <w:noProof/>
                <w:webHidden/>
              </w:rPr>
              <w:fldChar w:fldCharType="begin"/>
            </w:r>
            <w:r w:rsidR="00340D3F">
              <w:rPr>
                <w:noProof/>
                <w:webHidden/>
              </w:rPr>
              <w:instrText xml:space="preserve"> PAGEREF _Toc54336693 \h </w:instrText>
            </w:r>
            <w:r w:rsidR="00340D3F">
              <w:rPr>
                <w:noProof/>
                <w:webHidden/>
              </w:rPr>
            </w:r>
            <w:r w:rsidR="00340D3F">
              <w:rPr>
                <w:noProof/>
                <w:webHidden/>
              </w:rPr>
              <w:fldChar w:fldCharType="separate"/>
            </w:r>
            <w:r w:rsidR="001F1DE0">
              <w:rPr>
                <w:noProof/>
                <w:webHidden/>
              </w:rPr>
              <w:t>37</w:t>
            </w:r>
            <w:r w:rsidR="00340D3F">
              <w:rPr>
                <w:noProof/>
                <w:webHidden/>
              </w:rPr>
              <w:fldChar w:fldCharType="end"/>
            </w:r>
          </w:hyperlink>
        </w:p>
        <w:p w14:paraId="4323E998" w14:textId="160A1626"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94" w:history="1">
            <w:r w:rsidR="00340D3F" w:rsidRPr="009839B3">
              <w:rPr>
                <w:rStyle w:val="Lienhypertexte"/>
                <w:noProof/>
              </w:rPr>
              <w:t xml:space="preserve">4.2.1 </w:t>
            </w:r>
            <w:r w:rsidR="00B2732A">
              <w:rPr>
                <w:rStyle w:val="Lienhypertexte"/>
                <w:noProof/>
              </w:rPr>
              <w:t>Comité de Pilotage</w:t>
            </w:r>
            <w:r w:rsidR="00340D3F">
              <w:rPr>
                <w:noProof/>
                <w:webHidden/>
              </w:rPr>
              <w:tab/>
            </w:r>
            <w:r w:rsidR="00340D3F">
              <w:rPr>
                <w:noProof/>
                <w:webHidden/>
              </w:rPr>
              <w:fldChar w:fldCharType="begin"/>
            </w:r>
            <w:r w:rsidR="00340D3F">
              <w:rPr>
                <w:noProof/>
                <w:webHidden/>
              </w:rPr>
              <w:instrText xml:space="preserve"> PAGEREF _Toc54336694 \h </w:instrText>
            </w:r>
            <w:r w:rsidR="00340D3F">
              <w:rPr>
                <w:noProof/>
                <w:webHidden/>
              </w:rPr>
            </w:r>
            <w:r w:rsidR="00340D3F">
              <w:rPr>
                <w:noProof/>
                <w:webHidden/>
              </w:rPr>
              <w:fldChar w:fldCharType="separate"/>
            </w:r>
            <w:r w:rsidR="001F1DE0">
              <w:rPr>
                <w:noProof/>
                <w:webHidden/>
              </w:rPr>
              <w:t>37</w:t>
            </w:r>
            <w:r w:rsidR="00340D3F">
              <w:rPr>
                <w:noProof/>
                <w:webHidden/>
              </w:rPr>
              <w:fldChar w:fldCharType="end"/>
            </w:r>
          </w:hyperlink>
        </w:p>
        <w:p w14:paraId="53C5411D" w14:textId="1F00328B"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95" w:history="1">
            <w:r w:rsidR="00340D3F" w:rsidRPr="009839B3">
              <w:rPr>
                <w:rStyle w:val="Lienhypertexte"/>
                <w:noProof/>
              </w:rPr>
              <w:t>4.2.2 Réunion du partenariat</w:t>
            </w:r>
            <w:r w:rsidR="00340D3F">
              <w:rPr>
                <w:noProof/>
                <w:webHidden/>
              </w:rPr>
              <w:tab/>
            </w:r>
            <w:r w:rsidR="00340D3F">
              <w:rPr>
                <w:noProof/>
                <w:webHidden/>
              </w:rPr>
              <w:fldChar w:fldCharType="begin"/>
            </w:r>
            <w:r w:rsidR="00340D3F">
              <w:rPr>
                <w:noProof/>
                <w:webHidden/>
              </w:rPr>
              <w:instrText xml:space="preserve"> PAGEREF _Toc54336695 \h </w:instrText>
            </w:r>
            <w:r w:rsidR="00340D3F">
              <w:rPr>
                <w:noProof/>
                <w:webHidden/>
              </w:rPr>
            </w:r>
            <w:r w:rsidR="00340D3F">
              <w:rPr>
                <w:noProof/>
                <w:webHidden/>
              </w:rPr>
              <w:fldChar w:fldCharType="separate"/>
            </w:r>
            <w:r w:rsidR="001F1DE0">
              <w:rPr>
                <w:noProof/>
                <w:webHidden/>
              </w:rPr>
              <w:t>38</w:t>
            </w:r>
            <w:r w:rsidR="00340D3F">
              <w:rPr>
                <w:noProof/>
                <w:webHidden/>
              </w:rPr>
              <w:fldChar w:fldCharType="end"/>
            </w:r>
          </w:hyperlink>
        </w:p>
        <w:p w14:paraId="515FC7A8" w14:textId="3B58C52C"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96" w:history="1">
            <w:r w:rsidR="00340D3F" w:rsidRPr="009839B3">
              <w:rPr>
                <w:rStyle w:val="Lienhypertexte"/>
                <w:noProof/>
              </w:rPr>
              <w:t>4.2.3 Comité de suivi opérationnel</w:t>
            </w:r>
            <w:r w:rsidR="00340D3F">
              <w:rPr>
                <w:noProof/>
                <w:webHidden/>
              </w:rPr>
              <w:tab/>
            </w:r>
            <w:r w:rsidR="00340D3F">
              <w:rPr>
                <w:noProof/>
                <w:webHidden/>
              </w:rPr>
              <w:fldChar w:fldCharType="begin"/>
            </w:r>
            <w:r w:rsidR="00340D3F">
              <w:rPr>
                <w:noProof/>
                <w:webHidden/>
              </w:rPr>
              <w:instrText xml:space="preserve"> PAGEREF _Toc54336696 \h </w:instrText>
            </w:r>
            <w:r w:rsidR="00340D3F">
              <w:rPr>
                <w:noProof/>
                <w:webHidden/>
              </w:rPr>
            </w:r>
            <w:r w:rsidR="00340D3F">
              <w:rPr>
                <w:noProof/>
                <w:webHidden/>
              </w:rPr>
              <w:fldChar w:fldCharType="separate"/>
            </w:r>
            <w:r w:rsidR="001F1DE0">
              <w:rPr>
                <w:noProof/>
                <w:webHidden/>
              </w:rPr>
              <w:t>38</w:t>
            </w:r>
            <w:r w:rsidR="00340D3F">
              <w:rPr>
                <w:noProof/>
                <w:webHidden/>
              </w:rPr>
              <w:fldChar w:fldCharType="end"/>
            </w:r>
          </w:hyperlink>
        </w:p>
        <w:p w14:paraId="627B54DE" w14:textId="6F855D13"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97" w:history="1">
            <w:r w:rsidR="00340D3F" w:rsidRPr="009839B3">
              <w:rPr>
                <w:rStyle w:val="Lienhypertexte"/>
                <w:noProof/>
              </w:rPr>
              <w:t>4.2.4 Centre de coordination</w:t>
            </w:r>
            <w:r w:rsidR="00340D3F">
              <w:rPr>
                <w:noProof/>
                <w:webHidden/>
              </w:rPr>
              <w:tab/>
            </w:r>
            <w:r w:rsidR="00340D3F">
              <w:rPr>
                <w:noProof/>
                <w:webHidden/>
              </w:rPr>
              <w:fldChar w:fldCharType="begin"/>
            </w:r>
            <w:r w:rsidR="00340D3F">
              <w:rPr>
                <w:noProof/>
                <w:webHidden/>
              </w:rPr>
              <w:instrText xml:space="preserve"> PAGEREF _Toc54336697 \h </w:instrText>
            </w:r>
            <w:r w:rsidR="00340D3F">
              <w:rPr>
                <w:noProof/>
                <w:webHidden/>
              </w:rPr>
            </w:r>
            <w:r w:rsidR="00340D3F">
              <w:rPr>
                <w:noProof/>
                <w:webHidden/>
              </w:rPr>
              <w:fldChar w:fldCharType="separate"/>
            </w:r>
            <w:r w:rsidR="001F1DE0">
              <w:rPr>
                <w:noProof/>
                <w:webHidden/>
              </w:rPr>
              <w:t>39</w:t>
            </w:r>
            <w:r w:rsidR="00340D3F">
              <w:rPr>
                <w:noProof/>
                <w:webHidden/>
              </w:rPr>
              <w:fldChar w:fldCharType="end"/>
            </w:r>
          </w:hyperlink>
        </w:p>
        <w:p w14:paraId="3073A483" w14:textId="2FE6B452" w:rsidR="00340D3F" w:rsidRDefault="00F27BCC">
          <w:pPr>
            <w:pStyle w:val="TM3"/>
            <w:tabs>
              <w:tab w:val="right" w:leader="dot" w:pos="8495"/>
            </w:tabs>
            <w:rPr>
              <w:rFonts w:eastAsiaTheme="minorEastAsia" w:cstheme="minorBidi"/>
              <w:i w:val="0"/>
              <w:iCs w:val="0"/>
              <w:noProof/>
              <w:color w:val="auto"/>
              <w:sz w:val="22"/>
              <w:szCs w:val="22"/>
              <w:lang w:val="fr-FR" w:eastAsia="fr-FR"/>
            </w:rPr>
          </w:pPr>
          <w:hyperlink w:anchor="_Toc54336698" w:history="1">
            <w:r w:rsidR="00340D3F" w:rsidRPr="009839B3">
              <w:rPr>
                <w:rStyle w:val="Lienhypertexte"/>
                <w:noProof/>
              </w:rPr>
              <w:t>4.2.5 Chargés de liaison des agences bilatérales</w:t>
            </w:r>
            <w:r w:rsidR="00340D3F">
              <w:rPr>
                <w:noProof/>
                <w:webHidden/>
              </w:rPr>
              <w:tab/>
            </w:r>
            <w:r w:rsidR="00340D3F">
              <w:rPr>
                <w:noProof/>
                <w:webHidden/>
              </w:rPr>
              <w:fldChar w:fldCharType="begin"/>
            </w:r>
            <w:r w:rsidR="00340D3F">
              <w:rPr>
                <w:noProof/>
                <w:webHidden/>
              </w:rPr>
              <w:instrText xml:space="preserve"> PAGEREF _Toc54336698 \h </w:instrText>
            </w:r>
            <w:r w:rsidR="00340D3F">
              <w:rPr>
                <w:noProof/>
                <w:webHidden/>
              </w:rPr>
            </w:r>
            <w:r w:rsidR="00340D3F">
              <w:rPr>
                <w:noProof/>
                <w:webHidden/>
              </w:rPr>
              <w:fldChar w:fldCharType="separate"/>
            </w:r>
            <w:r w:rsidR="001F1DE0">
              <w:rPr>
                <w:noProof/>
                <w:webHidden/>
              </w:rPr>
              <w:t>39</w:t>
            </w:r>
            <w:r w:rsidR="00340D3F">
              <w:rPr>
                <w:noProof/>
                <w:webHidden/>
              </w:rPr>
              <w:fldChar w:fldCharType="end"/>
            </w:r>
          </w:hyperlink>
        </w:p>
        <w:p w14:paraId="5F7B0397" w14:textId="692CA0E9"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699" w:history="1">
            <w:r w:rsidR="00340D3F" w:rsidRPr="009839B3">
              <w:rPr>
                <w:rStyle w:val="Lienhypertexte"/>
                <w:noProof/>
                <w:lang w:val="fr-FR"/>
              </w:rPr>
              <w:t>4.3 Responsabilités financières</w:t>
            </w:r>
            <w:r w:rsidR="00340D3F">
              <w:rPr>
                <w:noProof/>
                <w:webHidden/>
              </w:rPr>
              <w:tab/>
            </w:r>
            <w:r w:rsidR="00340D3F">
              <w:rPr>
                <w:noProof/>
                <w:webHidden/>
              </w:rPr>
              <w:fldChar w:fldCharType="begin"/>
            </w:r>
            <w:r w:rsidR="00340D3F">
              <w:rPr>
                <w:noProof/>
                <w:webHidden/>
              </w:rPr>
              <w:instrText xml:space="preserve"> PAGEREF _Toc54336699 \h </w:instrText>
            </w:r>
            <w:r w:rsidR="00340D3F">
              <w:rPr>
                <w:noProof/>
                <w:webHidden/>
              </w:rPr>
            </w:r>
            <w:r w:rsidR="00340D3F">
              <w:rPr>
                <w:noProof/>
                <w:webHidden/>
              </w:rPr>
              <w:fldChar w:fldCharType="separate"/>
            </w:r>
            <w:r w:rsidR="001F1DE0">
              <w:rPr>
                <w:noProof/>
                <w:webHidden/>
              </w:rPr>
              <w:t>39</w:t>
            </w:r>
            <w:r w:rsidR="00340D3F">
              <w:rPr>
                <w:noProof/>
                <w:webHidden/>
              </w:rPr>
              <w:fldChar w:fldCharType="end"/>
            </w:r>
          </w:hyperlink>
        </w:p>
        <w:p w14:paraId="0D459512" w14:textId="795393DC"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700" w:history="1">
            <w:r w:rsidR="00340D3F" w:rsidRPr="009839B3">
              <w:rPr>
                <w:rStyle w:val="Lienhypertexte"/>
                <w:noProof/>
                <w:lang w:val="fr-FR"/>
              </w:rPr>
              <w:t>4.4 Suivi et évaluation externe</w:t>
            </w:r>
            <w:r w:rsidR="00340D3F">
              <w:rPr>
                <w:noProof/>
                <w:webHidden/>
              </w:rPr>
              <w:tab/>
            </w:r>
            <w:r w:rsidR="00340D3F">
              <w:rPr>
                <w:noProof/>
                <w:webHidden/>
              </w:rPr>
              <w:fldChar w:fldCharType="begin"/>
            </w:r>
            <w:r w:rsidR="00340D3F">
              <w:rPr>
                <w:noProof/>
                <w:webHidden/>
              </w:rPr>
              <w:instrText xml:space="preserve"> PAGEREF _Toc54336700 \h </w:instrText>
            </w:r>
            <w:r w:rsidR="00340D3F">
              <w:rPr>
                <w:noProof/>
                <w:webHidden/>
              </w:rPr>
            </w:r>
            <w:r w:rsidR="00340D3F">
              <w:rPr>
                <w:noProof/>
                <w:webHidden/>
              </w:rPr>
              <w:fldChar w:fldCharType="separate"/>
            </w:r>
            <w:r w:rsidR="001F1DE0">
              <w:rPr>
                <w:noProof/>
                <w:webHidden/>
              </w:rPr>
              <w:t>39</w:t>
            </w:r>
            <w:r w:rsidR="00340D3F">
              <w:rPr>
                <w:noProof/>
                <w:webHidden/>
              </w:rPr>
              <w:fldChar w:fldCharType="end"/>
            </w:r>
          </w:hyperlink>
        </w:p>
        <w:p w14:paraId="41748584" w14:textId="726F0CB6"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701" w:history="1">
            <w:r w:rsidR="00340D3F" w:rsidRPr="009839B3">
              <w:rPr>
                <w:rStyle w:val="Lienhypertexte"/>
                <w:noProof/>
                <w:lang w:val="fr-FR"/>
              </w:rPr>
              <w:t>4.5 Audit</w:t>
            </w:r>
            <w:r w:rsidR="00340D3F">
              <w:rPr>
                <w:noProof/>
                <w:webHidden/>
              </w:rPr>
              <w:tab/>
            </w:r>
            <w:r w:rsidR="00340D3F">
              <w:rPr>
                <w:noProof/>
                <w:webHidden/>
              </w:rPr>
              <w:fldChar w:fldCharType="begin"/>
            </w:r>
            <w:r w:rsidR="00340D3F">
              <w:rPr>
                <w:noProof/>
                <w:webHidden/>
              </w:rPr>
              <w:instrText xml:space="preserve"> PAGEREF _Toc54336701 \h </w:instrText>
            </w:r>
            <w:r w:rsidR="00340D3F">
              <w:rPr>
                <w:noProof/>
                <w:webHidden/>
              </w:rPr>
            </w:r>
            <w:r w:rsidR="00340D3F">
              <w:rPr>
                <w:noProof/>
                <w:webHidden/>
              </w:rPr>
              <w:fldChar w:fldCharType="separate"/>
            </w:r>
            <w:r w:rsidR="001F1DE0">
              <w:rPr>
                <w:noProof/>
                <w:webHidden/>
              </w:rPr>
              <w:t>39</w:t>
            </w:r>
            <w:r w:rsidR="00340D3F">
              <w:rPr>
                <w:noProof/>
                <w:webHidden/>
              </w:rPr>
              <w:fldChar w:fldCharType="end"/>
            </w:r>
          </w:hyperlink>
        </w:p>
        <w:p w14:paraId="2E32F8B7" w14:textId="3B422016"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702" w:history="1">
            <w:r w:rsidR="00340D3F" w:rsidRPr="009839B3">
              <w:rPr>
                <w:rStyle w:val="Lienhypertexte"/>
                <w:noProof/>
                <w:lang w:val="fr-FR"/>
              </w:rPr>
              <w:t>4.6 Rapports et communication</w:t>
            </w:r>
            <w:r w:rsidR="00340D3F">
              <w:rPr>
                <w:noProof/>
                <w:webHidden/>
              </w:rPr>
              <w:tab/>
            </w:r>
            <w:r w:rsidR="00340D3F">
              <w:rPr>
                <w:noProof/>
                <w:webHidden/>
              </w:rPr>
              <w:fldChar w:fldCharType="begin"/>
            </w:r>
            <w:r w:rsidR="00340D3F">
              <w:rPr>
                <w:noProof/>
                <w:webHidden/>
              </w:rPr>
              <w:instrText xml:space="preserve"> PAGEREF _Toc54336702 \h </w:instrText>
            </w:r>
            <w:r w:rsidR="00340D3F">
              <w:rPr>
                <w:noProof/>
                <w:webHidden/>
              </w:rPr>
            </w:r>
            <w:r w:rsidR="00340D3F">
              <w:rPr>
                <w:noProof/>
                <w:webHidden/>
              </w:rPr>
              <w:fldChar w:fldCharType="separate"/>
            </w:r>
            <w:r w:rsidR="001F1DE0">
              <w:rPr>
                <w:noProof/>
                <w:webHidden/>
              </w:rPr>
              <w:t>40</w:t>
            </w:r>
            <w:r w:rsidR="00340D3F">
              <w:rPr>
                <w:noProof/>
                <w:webHidden/>
              </w:rPr>
              <w:fldChar w:fldCharType="end"/>
            </w:r>
          </w:hyperlink>
        </w:p>
        <w:p w14:paraId="747C3D33" w14:textId="0E60EA90" w:rsidR="00340D3F" w:rsidRDefault="00F27BCC">
          <w:pPr>
            <w:pStyle w:val="TM2"/>
            <w:tabs>
              <w:tab w:val="right" w:leader="dot" w:pos="8495"/>
            </w:tabs>
            <w:rPr>
              <w:rFonts w:eastAsiaTheme="minorEastAsia" w:cstheme="minorBidi"/>
              <w:smallCaps w:val="0"/>
              <w:noProof/>
              <w:color w:val="auto"/>
              <w:sz w:val="22"/>
              <w:szCs w:val="22"/>
              <w:lang w:val="fr-FR" w:eastAsia="fr-FR"/>
            </w:rPr>
          </w:pPr>
          <w:hyperlink w:anchor="_Toc54336703" w:history="1">
            <w:r w:rsidR="00340D3F" w:rsidRPr="009839B3">
              <w:rPr>
                <w:rStyle w:val="Lienhypertexte"/>
                <w:noProof/>
                <w:lang w:val="fr-FR"/>
              </w:rPr>
              <w:t>4.7 Visibilité</w:t>
            </w:r>
            <w:r w:rsidR="00340D3F">
              <w:rPr>
                <w:noProof/>
                <w:webHidden/>
              </w:rPr>
              <w:tab/>
            </w:r>
            <w:r w:rsidR="00340D3F">
              <w:rPr>
                <w:noProof/>
                <w:webHidden/>
              </w:rPr>
              <w:fldChar w:fldCharType="begin"/>
            </w:r>
            <w:r w:rsidR="00340D3F">
              <w:rPr>
                <w:noProof/>
                <w:webHidden/>
              </w:rPr>
              <w:instrText xml:space="preserve"> PAGEREF _Toc54336703 \h </w:instrText>
            </w:r>
            <w:r w:rsidR="00340D3F">
              <w:rPr>
                <w:noProof/>
                <w:webHidden/>
              </w:rPr>
            </w:r>
            <w:r w:rsidR="00340D3F">
              <w:rPr>
                <w:noProof/>
                <w:webHidden/>
              </w:rPr>
              <w:fldChar w:fldCharType="separate"/>
            </w:r>
            <w:r w:rsidR="001F1DE0">
              <w:rPr>
                <w:noProof/>
                <w:webHidden/>
              </w:rPr>
              <w:t>40</w:t>
            </w:r>
            <w:r w:rsidR="00340D3F">
              <w:rPr>
                <w:noProof/>
                <w:webHidden/>
              </w:rPr>
              <w:fldChar w:fldCharType="end"/>
            </w:r>
          </w:hyperlink>
        </w:p>
        <w:p w14:paraId="5D44BA9F" w14:textId="7A86D61A" w:rsidR="00340D3F" w:rsidRDefault="00F27BCC">
          <w:pPr>
            <w:pStyle w:val="TM1"/>
            <w:tabs>
              <w:tab w:val="right" w:leader="dot" w:pos="8495"/>
            </w:tabs>
            <w:rPr>
              <w:rFonts w:eastAsiaTheme="minorEastAsia" w:cstheme="minorBidi"/>
              <w:b w:val="0"/>
              <w:bCs w:val="0"/>
              <w:caps w:val="0"/>
              <w:noProof/>
              <w:color w:val="auto"/>
              <w:sz w:val="22"/>
              <w:szCs w:val="22"/>
              <w:lang w:val="fr-FR" w:eastAsia="fr-FR"/>
            </w:rPr>
          </w:pPr>
          <w:hyperlink w:anchor="_Toc54336704" w:history="1">
            <w:r w:rsidR="00340D3F" w:rsidRPr="009839B3">
              <w:rPr>
                <w:rStyle w:val="Lienhypertexte"/>
                <w:noProof/>
              </w:rPr>
              <w:t>ANNEXE 1 – Plan de travail indicatif</w:t>
            </w:r>
            <w:r w:rsidR="00340D3F">
              <w:rPr>
                <w:noProof/>
                <w:webHidden/>
              </w:rPr>
              <w:tab/>
            </w:r>
            <w:r w:rsidR="00340D3F">
              <w:rPr>
                <w:noProof/>
                <w:webHidden/>
              </w:rPr>
              <w:fldChar w:fldCharType="begin"/>
            </w:r>
            <w:r w:rsidR="00340D3F">
              <w:rPr>
                <w:noProof/>
                <w:webHidden/>
              </w:rPr>
              <w:instrText xml:space="preserve"> PAGEREF _Toc54336704 \h </w:instrText>
            </w:r>
            <w:r w:rsidR="00340D3F">
              <w:rPr>
                <w:noProof/>
                <w:webHidden/>
              </w:rPr>
            </w:r>
            <w:r w:rsidR="00340D3F">
              <w:rPr>
                <w:noProof/>
                <w:webHidden/>
              </w:rPr>
              <w:fldChar w:fldCharType="separate"/>
            </w:r>
            <w:r w:rsidR="001F1DE0">
              <w:rPr>
                <w:noProof/>
                <w:webHidden/>
              </w:rPr>
              <w:t>41</w:t>
            </w:r>
            <w:r w:rsidR="00340D3F">
              <w:rPr>
                <w:noProof/>
                <w:webHidden/>
              </w:rPr>
              <w:fldChar w:fldCharType="end"/>
            </w:r>
          </w:hyperlink>
        </w:p>
        <w:p w14:paraId="30B85196" w14:textId="5C67E5F2" w:rsidR="00340D3F" w:rsidRDefault="00F27BCC">
          <w:pPr>
            <w:pStyle w:val="TM1"/>
            <w:tabs>
              <w:tab w:val="right" w:leader="dot" w:pos="8495"/>
            </w:tabs>
            <w:rPr>
              <w:rFonts w:eastAsiaTheme="minorEastAsia" w:cstheme="minorBidi"/>
              <w:b w:val="0"/>
              <w:bCs w:val="0"/>
              <w:caps w:val="0"/>
              <w:noProof/>
              <w:color w:val="auto"/>
              <w:sz w:val="22"/>
              <w:szCs w:val="22"/>
              <w:lang w:val="fr-FR" w:eastAsia="fr-FR"/>
            </w:rPr>
          </w:pPr>
          <w:hyperlink w:anchor="_Toc54336705" w:history="1">
            <w:r w:rsidR="00340D3F" w:rsidRPr="009839B3">
              <w:rPr>
                <w:rStyle w:val="Lienhypertexte"/>
                <w:noProof/>
              </w:rPr>
              <w:t>ANNEXE 2 – Indicateurs et moyens de vérification</w:t>
            </w:r>
            <w:r w:rsidR="00340D3F">
              <w:rPr>
                <w:noProof/>
                <w:webHidden/>
              </w:rPr>
              <w:tab/>
            </w:r>
            <w:r w:rsidR="00340D3F">
              <w:rPr>
                <w:noProof/>
                <w:webHidden/>
              </w:rPr>
              <w:fldChar w:fldCharType="begin"/>
            </w:r>
            <w:r w:rsidR="00340D3F">
              <w:rPr>
                <w:noProof/>
                <w:webHidden/>
              </w:rPr>
              <w:instrText xml:space="preserve"> PAGEREF _Toc54336705 \h </w:instrText>
            </w:r>
            <w:r w:rsidR="00340D3F">
              <w:rPr>
                <w:noProof/>
                <w:webHidden/>
              </w:rPr>
            </w:r>
            <w:r w:rsidR="00340D3F">
              <w:rPr>
                <w:noProof/>
                <w:webHidden/>
              </w:rPr>
              <w:fldChar w:fldCharType="separate"/>
            </w:r>
            <w:r w:rsidR="001F1DE0">
              <w:rPr>
                <w:noProof/>
                <w:webHidden/>
              </w:rPr>
              <w:t>42</w:t>
            </w:r>
            <w:r w:rsidR="00340D3F">
              <w:rPr>
                <w:noProof/>
                <w:webHidden/>
              </w:rPr>
              <w:fldChar w:fldCharType="end"/>
            </w:r>
          </w:hyperlink>
        </w:p>
        <w:p w14:paraId="73796666" w14:textId="2A1EA995" w:rsidR="009F72D7" w:rsidRDefault="009F72D7">
          <w:r>
            <w:rPr>
              <w:b/>
              <w:bCs/>
            </w:rPr>
            <w:fldChar w:fldCharType="end"/>
          </w:r>
        </w:p>
      </w:sdtContent>
    </w:sdt>
    <w:p w14:paraId="19083F94" w14:textId="77777777" w:rsidR="00145A97" w:rsidRPr="006F4D4F" w:rsidRDefault="00145A97" w:rsidP="00145A97">
      <w:pPr>
        <w:pStyle w:val="BTCBodyText"/>
        <w:rPr>
          <w:lang w:val="fr-FR"/>
        </w:rPr>
      </w:pPr>
    </w:p>
    <w:p w14:paraId="33873F5C" w14:textId="77777777" w:rsidR="003D1B64" w:rsidRPr="006F4D4F" w:rsidRDefault="003D1B64">
      <w:pPr>
        <w:spacing w:before="0"/>
        <w:rPr>
          <w:rFonts w:eastAsia="Arial Unicode MS"/>
          <w:b/>
          <w:bCs/>
          <w:color w:val="50B848"/>
          <w:kern w:val="1"/>
          <w:sz w:val="32"/>
          <w:szCs w:val="48"/>
          <w:lang w:val="fr-FR"/>
        </w:rPr>
      </w:pPr>
      <w:bookmarkStart w:id="1" w:name="_Toc231702646"/>
      <w:bookmarkStart w:id="2" w:name="_Toc261442089"/>
      <w:bookmarkStart w:id="3" w:name="_Toc20239531"/>
      <w:bookmarkStart w:id="4" w:name="_Toc20239624"/>
      <w:bookmarkStart w:id="5" w:name="_Toc20300531"/>
      <w:bookmarkStart w:id="6" w:name="_Toc44423180"/>
      <w:bookmarkStart w:id="7" w:name="descriptiondémarche"/>
      <w:r w:rsidRPr="006F4D4F">
        <w:rPr>
          <w:lang w:val="fr-FR"/>
        </w:rPr>
        <w:br w:type="page"/>
      </w:r>
    </w:p>
    <w:p w14:paraId="42C59163" w14:textId="5CD6DDEF" w:rsidR="00BA79BA" w:rsidRPr="006F4D4F" w:rsidRDefault="00BA79BA" w:rsidP="00145A97">
      <w:pPr>
        <w:pStyle w:val="Titre1"/>
      </w:pPr>
      <w:bookmarkStart w:id="8" w:name="_Toc54336668"/>
      <w:r w:rsidRPr="006F4D4F">
        <w:lastRenderedPageBreak/>
        <w:t>Abr</w:t>
      </w:r>
      <w:r w:rsidR="00077B0B" w:rsidRPr="006F4D4F">
        <w:t>é</w:t>
      </w:r>
      <w:r w:rsidRPr="006F4D4F">
        <w:t>viations</w:t>
      </w:r>
      <w:bookmarkEnd w:id="1"/>
      <w:bookmarkEnd w:id="2"/>
      <w:bookmarkEnd w:id="3"/>
      <w:bookmarkEnd w:id="4"/>
      <w:bookmarkEnd w:id="5"/>
      <w:bookmarkEnd w:id="6"/>
      <w:bookmarkEnd w:id="8"/>
    </w:p>
    <w:tbl>
      <w:tblPr>
        <w:tblW w:w="0" w:type="auto"/>
        <w:tblLook w:val="0000" w:firstRow="0" w:lastRow="0" w:firstColumn="0" w:lastColumn="0" w:noHBand="0" w:noVBand="0"/>
      </w:tblPr>
      <w:tblGrid>
        <w:gridCol w:w="1483"/>
        <w:gridCol w:w="7022"/>
      </w:tblGrid>
      <w:tr w:rsidR="004A302F" w:rsidRPr="004A302F" w14:paraId="7EAD423F" w14:textId="77777777" w:rsidTr="00A80FAF">
        <w:tc>
          <w:tcPr>
            <w:tcW w:w="1483" w:type="dxa"/>
          </w:tcPr>
          <w:p w14:paraId="64540B5E" w14:textId="77777777" w:rsidR="004A302F" w:rsidRPr="006F4D4F" w:rsidRDefault="004A302F" w:rsidP="001369AA">
            <w:pPr>
              <w:pStyle w:val="BTCBodyText"/>
              <w:spacing w:before="0" w:after="40" w:line="280" w:lineRule="exact"/>
              <w:jc w:val="left"/>
              <w:rPr>
                <w:lang w:val="fr-FR"/>
              </w:rPr>
            </w:pPr>
            <w:bookmarkStart w:id="9" w:name="_Toc202330004"/>
            <w:r>
              <w:rPr>
                <w:lang w:val="fr-FR"/>
              </w:rPr>
              <w:t>(D)</w:t>
            </w:r>
            <w:r w:rsidRPr="006F4D4F">
              <w:rPr>
                <w:lang w:val="fr-FR"/>
              </w:rPr>
              <w:t>UE</w:t>
            </w:r>
          </w:p>
        </w:tc>
        <w:tc>
          <w:tcPr>
            <w:tcW w:w="7022" w:type="dxa"/>
          </w:tcPr>
          <w:p w14:paraId="07450A6A" w14:textId="77777777" w:rsidR="004A302F" w:rsidRPr="006F4D4F" w:rsidRDefault="004A302F" w:rsidP="001369AA">
            <w:pPr>
              <w:pStyle w:val="BTCBodyText"/>
              <w:spacing w:before="0" w:after="40" w:line="280" w:lineRule="exact"/>
              <w:jc w:val="left"/>
              <w:rPr>
                <w:lang w:val="fr-FR"/>
              </w:rPr>
            </w:pPr>
            <w:r w:rsidRPr="006F4D4F">
              <w:rPr>
                <w:lang w:val="fr-FR"/>
              </w:rPr>
              <w:t>(Délégation</w:t>
            </w:r>
            <w:r>
              <w:rPr>
                <w:lang w:val="fr-FR"/>
              </w:rPr>
              <w:t xml:space="preserve"> de l’</w:t>
            </w:r>
            <w:r w:rsidRPr="006F4D4F">
              <w:rPr>
                <w:lang w:val="fr-FR"/>
              </w:rPr>
              <w:t xml:space="preserve">)Union européenne </w:t>
            </w:r>
          </w:p>
        </w:tc>
      </w:tr>
      <w:tr w:rsidR="004A302F" w:rsidRPr="006F4D4F" w14:paraId="5BD9FF2C" w14:textId="77777777" w:rsidTr="00A80FAF">
        <w:tc>
          <w:tcPr>
            <w:tcW w:w="1483" w:type="dxa"/>
          </w:tcPr>
          <w:p w14:paraId="57D35E80" w14:textId="77777777" w:rsidR="004A302F" w:rsidRPr="006F4D4F" w:rsidRDefault="004A302F" w:rsidP="001369AA">
            <w:pPr>
              <w:pStyle w:val="BTCBodyText"/>
              <w:spacing w:before="0" w:after="40" w:line="280" w:lineRule="exact"/>
              <w:jc w:val="left"/>
              <w:rPr>
                <w:lang w:val="fr-FR"/>
              </w:rPr>
            </w:pPr>
            <w:r w:rsidRPr="006F4D4F">
              <w:rPr>
                <w:lang w:val="fr-FR"/>
              </w:rPr>
              <w:t>AFD</w:t>
            </w:r>
          </w:p>
        </w:tc>
        <w:tc>
          <w:tcPr>
            <w:tcW w:w="7022" w:type="dxa"/>
          </w:tcPr>
          <w:p w14:paraId="62DD38D4" w14:textId="77777777" w:rsidR="004A302F" w:rsidRPr="006F4D4F" w:rsidRDefault="004A302F" w:rsidP="001369AA">
            <w:pPr>
              <w:pStyle w:val="BTCBodyText"/>
              <w:spacing w:before="0" w:after="40" w:line="280" w:lineRule="exact"/>
              <w:jc w:val="left"/>
              <w:rPr>
                <w:lang w:val="fr-FR"/>
              </w:rPr>
            </w:pPr>
            <w:r w:rsidRPr="006F4D4F">
              <w:rPr>
                <w:lang w:val="fr-FR"/>
              </w:rPr>
              <w:t>Agence française de développement</w:t>
            </w:r>
          </w:p>
        </w:tc>
      </w:tr>
      <w:tr w:rsidR="004A302F" w:rsidRPr="006F4D4F" w14:paraId="12E1EC63" w14:textId="77777777" w:rsidTr="00A80FAF">
        <w:tc>
          <w:tcPr>
            <w:tcW w:w="1483" w:type="dxa"/>
          </w:tcPr>
          <w:p w14:paraId="551F12E0" w14:textId="77777777" w:rsidR="004A302F" w:rsidRPr="006F4D4F" w:rsidRDefault="004A302F" w:rsidP="001369AA">
            <w:pPr>
              <w:pStyle w:val="BTCBodyText"/>
              <w:spacing w:before="0" w:after="40" w:line="280" w:lineRule="exact"/>
              <w:jc w:val="left"/>
              <w:rPr>
                <w:lang w:val="fr-FR"/>
              </w:rPr>
            </w:pPr>
            <w:r w:rsidRPr="006F4D4F">
              <w:rPr>
                <w:lang w:val="fr-FR"/>
              </w:rPr>
              <w:t>ASS</w:t>
            </w:r>
          </w:p>
        </w:tc>
        <w:tc>
          <w:tcPr>
            <w:tcW w:w="7022" w:type="dxa"/>
          </w:tcPr>
          <w:p w14:paraId="2423F7B0" w14:textId="77777777" w:rsidR="004A302F" w:rsidRPr="006F4D4F" w:rsidRDefault="004A302F" w:rsidP="001369AA">
            <w:pPr>
              <w:pStyle w:val="BTCBodyText"/>
              <w:spacing w:before="0" w:after="40" w:line="280" w:lineRule="exact"/>
              <w:jc w:val="left"/>
              <w:rPr>
                <w:lang w:val="fr-FR"/>
              </w:rPr>
            </w:pPr>
            <w:r w:rsidRPr="006F4D4F">
              <w:rPr>
                <w:lang w:val="fr-FR"/>
              </w:rPr>
              <w:t>Afrique sub-saharienne</w:t>
            </w:r>
          </w:p>
        </w:tc>
      </w:tr>
      <w:tr w:rsidR="004A302F" w:rsidRPr="006F4D4F" w14:paraId="5E7464C7" w14:textId="77777777" w:rsidTr="00A80FAF">
        <w:tc>
          <w:tcPr>
            <w:tcW w:w="1483" w:type="dxa"/>
          </w:tcPr>
          <w:p w14:paraId="00365674" w14:textId="77777777" w:rsidR="004A302F" w:rsidRPr="006F4D4F" w:rsidRDefault="004A302F" w:rsidP="001369AA">
            <w:pPr>
              <w:pStyle w:val="BTCBodyText"/>
              <w:spacing w:before="0" w:after="40" w:line="280" w:lineRule="exact"/>
              <w:jc w:val="left"/>
              <w:rPr>
                <w:lang w:val="fr-FR"/>
              </w:rPr>
            </w:pPr>
            <w:r w:rsidRPr="006F4D4F">
              <w:rPr>
                <w:lang w:val="fr-FR"/>
              </w:rPr>
              <w:t>BC</w:t>
            </w:r>
          </w:p>
        </w:tc>
        <w:tc>
          <w:tcPr>
            <w:tcW w:w="7022" w:type="dxa"/>
          </w:tcPr>
          <w:p w14:paraId="3F9F545E" w14:textId="77777777" w:rsidR="004A302F" w:rsidRPr="006F4D4F" w:rsidRDefault="004A302F" w:rsidP="001369AA">
            <w:pPr>
              <w:pStyle w:val="BTCBodyText"/>
              <w:spacing w:before="0" w:after="40" w:line="280" w:lineRule="exact"/>
              <w:jc w:val="left"/>
              <w:rPr>
                <w:lang w:val="fr-FR"/>
              </w:rPr>
            </w:pPr>
            <w:r w:rsidRPr="006F4D4F">
              <w:rPr>
                <w:lang w:val="fr-FR"/>
              </w:rPr>
              <w:t>British Council</w:t>
            </w:r>
          </w:p>
        </w:tc>
      </w:tr>
      <w:tr w:rsidR="004A302F" w:rsidRPr="004A302F" w14:paraId="35E3F963" w14:textId="77777777" w:rsidTr="00A80FAF">
        <w:tc>
          <w:tcPr>
            <w:tcW w:w="1483" w:type="dxa"/>
          </w:tcPr>
          <w:p w14:paraId="324B0B39" w14:textId="77777777" w:rsidR="004A302F" w:rsidRPr="006F4D4F" w:rsidRDefault="004A302F" w:rsidP="001369AA">
            <w:pPr>
              <w:pStyle w:val="BTCBodyText"/>
              <w:spacing w:before="0" w:after="40" w:line="280" w:lineRule="exact"/>
              <w:jc w:val="left"/>
              <w:rPr>
                <w:lang w:val="fr-FR"/>
              </w:rPr>
            </w:pPr>
            <w:r w:rsidRPr="006F4D4F">
              <w:rPr>
                <w:lang w:val="fr-FR"/>
              </w:rPr>
              <w:t>BMZ</w:t>
            </w:r>
          </w:p>
        </w:tc>
        <w:tc>
          <w:tcPr>
            <w:tcW w:w="7022" w:type="dxa"/>
          </w:tcPr>
          <w:p w14:paraId="03FA56E3" w14:textId="77777777" w:rsidR="004A302F" w:rsidRPr="004A302F" w:rsidRDefault="004A302F" w:rsidP="00223FA1">
            <w:pPr>
              <w:pStyle w:val="BTCBodyText"/>
              <w:spacing w:before="0" w:after="40" w:line="280" w:lineRule="exact"/>
              <w:jc w:val="left"/>
              <w:rPr>
                <w:lang w:val="nl-NL"/>
              </w:rPr>
            </w:pPr>
            <w:r w:rsidRPr="004A302F">
              <w:rPr>
                <w:lang w:val="nl-NL"/>
              </w:rPr>
              <w:t>Bundesministerium für wirtschaftliche Zusammenarbeit und Entwicklung</w:t>
            </w:r>
          </w:p>
        </w:tc>
      </w:tr>
      <w:tr w:rsidR="004A302F" w:rsidRPr="006F4D4F" w14:paraId="151EBAA3" w14:textId="77777777" w:rsidTr="00A80FAF">
        <w:tc>
          <w:tcPr>
            <w:tcW w:w="1483" w:type="dxa"/>
          </w:tcPr>
          <w:p w14:paraId="05E32A47" w14:textId="77777777" w:rsidR="004A302F" w:rsidRPr="006F4D4F" w:rsidRDefault="004A302F" w:rsidP="001369AA">
            <w:pPr>
              <w:pStyle w:val="BTCBodyText"/>
              <w:spacing w:before="0" w:after="40" w:line="280" w:lineRule="exact"/>
              <w:jc w:val="left"/>
              <w:rPr>
                <w:lang w:val="fr-FR"/>
              </w:rPr>
            </w:pPr>
            <w:r w:rsidRPr="006F4D4F">
              <w:rPr>
                <w:lang w:val="fr-FR"/>
              </w:rPr>
              <w:t>CAD</w:t>
            </w:r>
          </w:p>
        </w:tc>
        <w:tc>
          <w:tcPr>
            <w:tcW w:w="7022" w:type="dxa"/>
          </w:tcPr>
          <w:p w14:paraId="76D99B10" w14:textId="77777777" w:rsidR="004A302F" w:rsidRPr="006F4D4F" w:rsidRDefault="004A302F" w:rsidP="001369AA">
            <w:pPr>
              <w:pStyle w:val="BTCBodyText"/>
              <w:spacing w:before="0" w:after="40" w:line="280" w:lineRule="exact"/>
              <w:jc w:val="left"/>
              <w:rPr>
                <w:lang w:val="fr-FR"/>
              </w:rPr>
            </w:pPr>
            <w:r w:rsidRPr="006F4D4F">
              <w:rPr>
                <w:lang w:val="fr-FR"/>
              </w:rPr>
              <w:t>Comité d’aide au développement</w:t>
            </w:r>
          </w:p>
        </w:tc>
      </w:tr>
      <w:tr w:rsidR="004A302F" w:rsidRPr="006F4D4F" w14:paraId="736637AA" w14:textId="77777777" w:rsidTr="00A80FAF">
        <w:tc>
          <w:tcPr>
            <w:tcW w:w="1483" w:type="dxa"/>
          </w:tcPr>
          <w:p w14:paraId="56EAC293" w14:textId="77777777" w:rsidR="004A302F" w:rsidRPr="006F4D4F" w:rsidRDefault="004A302F" w:rsidP="001369AA">
            <w:pPr>
              <w:pStyle w:val="BTCBodyText"/>
              <w:spacing w:before="0" w:after="40" w:line="280" w:lineRule="exact"/>
              <w:jc w:val="left"/>
              <w:rPr>
                <w:lang w:val="fr-FR"/>
              </w:rPr>
            </w:pPr>
            <w:r w:rsidRPr="006F4D4F">
              <w:rPr>
                <w:lang w:val="fr-FR"/>
              </w:rPr>
              <w:t>CD</w:t>
            </w:r>
          </w:p>
        </w:tc>
        <w:tc>
          <w:tcPr>
            <w:tcW w:w="7022" w:type="dxa"/>
          </w:tcPr>
          <w:p w14:paraId="0737668F" w14:textId="59770A17" w:rsidR="004A302F" w:rsidRPr="006F4D4F" w:rsidRDefault="00B2732A" w:rsidP="001369AA">
            <w:pPr>
              <w:pStyle w:val="BTCBodyText"/>
              <w:spacing w:before="0" w:after="40" w:line="280" w:lineRule="exact"/>
              <w:jc w:val="left"/>
              <w:rPr>
                <w:lang w:val="fr-FR"/>
              </w:rPr>
            </w:pPr>
            <w:r>
              <w:rPr>
                <w:lang w:val="fr-FR"/>
              </w:rPr>
              <w:t>Comité de Pilotage</w:t>
            </w:r>
          </w:p>
        </w:tc>
      </w:tr>
      <w:tr w:rsidR="004A302F" w:rsidRPr="006F4D4F" w14:paraId="09DAC709" w14:textId="77777777" w:rsidTr="00A80FAF">
        <w:tc>
          <w:tcPr>
            <w:tcW w:w="1483" w:type="dxa"/>
          </w:tcPr>
          <w:p w14:paraId="33726C0B" w14:textId="77777777" w:rsidR="004A302F" w:rsidRPr="006F4D4F" w:rsidRDefault="004A302F" w:rsidP="001369AA">
            <w:pPr>
              <w:pStyle w:val="BTCBodyText"/>
              <w:spacing w:before="0" w:after="40" w:line="280" w:lineRule="exact"/>
              <w:jc w:val="left"/>
              <w:rPr>
                <w:lang w:val="fr-FR"/>
              </w:rPr>
            </w:pPr>
            <w:r w:rsidRPr="006F4D4F">
              <w:rPr>
                <w:lang w:val="fr-FR"/>
              </w:rPr>
              <w:t>CE</w:t>
            </w:r>
          </w:p>
        </w:tc>
        <w:tc>
          <w:tcPr>
            <w:tcW w:w="7022" w:type="dxa"/>
          </w:tcPr>
          <w:p w14:paraId="47A7C26E" w14:textId="77777777" w:rsidR="004A302F" w:rsidRPr="006F4D4F" w:rsidRDefault="004A302F" w:rsidP="001369AA">
            <w:pPr>
              <w:pStyle w:val="BTCBodyText"/>
              <w:spacing w:before="0" w:after="40" w:line="280" w:lineRule="exact"/>
              <w:jc w:val="left"/>
              <w:rPr>
                <w:lang w:val="fr-FR"/>
              </w:rPr>
            </w:pPr>
            <w:r w:rsidRPr="006F4D4F">
              <w:rPr>
                <w:lang w:val="fr-FR"/>
              </w:rPr>
              <w:t>Commission européenne</w:t>
            </w:r>
          </w:p>
        </w:tc>
      </w:tr>
      <w:tr w:rsidR="004A302F" w:rsidRPr="006F4D4F" w14:paraId="59E1CAE1" w14:textId="77777777" w:rsidTr="00A80FAF">
        <w:tc>
          <w:tcPr>
            <w:tcW w:w="1483" w:type="dxa"/>
          </w:tcPr>
          <w:p w14:paraId="29126C47" w14:textId="77777777" w:rsidR="004A302F" w:rsidRPr="006F4D4F" w:rsidRDefault="004A302F" w:rsidP="001369AA">
            <w:pPr>
              <w:pStyle w:val="BTCBodyText"/>
              <w:spacing w:before="0" w:after="40" w:line="280" w:lineRule="exact"/>
              <w:jc w:val="left"/>
              <w:rPr>
                <w:lang w:val="fr-FR"/>
              </w:rPr>
            </w:pPr>
            <w:r w:rsidRPr="006F4D4F">
              <w:rPr>
                <w:lang w:val="fr-FR"/>
              </w:rPr>
              <w:t>CSO</w:t>
            </w:r>
          </w:p>
        </w:tc>
        <w:tc>
          <w:tcPr>
            <w:tcW w:w="7022" w:type="dxa"/>
          </w:tcPr>
          <w:p w14:paraId="42D0A8A0" w14:textId="77777777" w:rsidR="004A302F" w:rsidRPr="006F4D4F" w:rsidRDefault="004A302F" w:rsidP="001369AA">
            <w:pPr>
              <w:pStyle w:val="BTCBodyText"/>
              <w:spacing w:before="0" w:after="40" w:line="280" w:lineRule="exact"/>
              <w:jc w:val="left"/>
              <w:rPr>
                <w:lang w:val="fr-FR"/>
              </w:rPr>
            </w:pPr>
            <w:r w:rsidRPr="006F4D4F">
              <w:rPr>
                <w:lang w:val="fr-FR"/>
              </w:rPr>
              <w:t>Comité de suivi opérationnel</w:t>
            </w:r>
          </w:p>
        </w:tc>
      </w:tr>
      <w:tr w:rsidR="004A302F" w:rsidRPr="006F4D4F" w14:paraId="7C0D1131" w14:textId="77777777" w:rsidTr="00A80FAF">
        <w:tc>
          <w:tcPr>
            <w:tcW w:w="1483" w:type="dxa"/>
          </w:tcPr>
          <w:p w14:paraId="463101E3" w14:textId="77777777" w:rsidR="004A302F" w:rsidRPr="006F4D4F" w:rsidRDefault="004A302F" w:rsidP="002F1B95">
            <w:pPr>
              <w:pStyle w:val="BTCBodyText"/>
              <w:spacing w:before="0" w:after="40" w:line="280" w:lineRule="exact"/>
              <w:jc w:val="left"/>
              <w:rPr>
                <w:lang w:val="fr-FR"/>
              </w:rPr>
            </w:pPr>
            <w:r w:rsidRPr="006F4D4F">
              <w:rPr>
                <w:lang w:val="fr-FR"/>
              </w:rPr>
              <w:t>CV</w:t>
            </w:r>
          </w:p>
        </w:tc>
        <w:tc>
          <w:tcPr>
            <w:tcW w:w="7022" w:type="dxa"/>
          </w:tcPr>
          <w:p w14:paraId="61224DBC" w14:textId="77777777" w:rsidR="004A302F" w:rsidRPr="006F4D4F" w:rsidRDefault="004A302F" w:rsidP="002F1B95">
            <w:pPr>
              <w:pStyle w:val="BTCBodyText"/>
              <w:spacing w:before="0" w:after="40" w:line="280" w:lineRule="exact"/>
              <w:jc w:val="left"/>
              <w:rPr>
                <w:lang w:val="fr-FR"/>
              </w:rPr>
            </w:pPr>
            <w:r w:rsidRPr="006F4D4F">
              <w:rPr>
                <w:lang w:val="fr-FR"/>
              </w:rPr>
              <w:t>Chaîne de valeur</w:t>
            </w:r>
          </w:p>
        </w:tc>
      </w:tr>
      <w:tr w:rsidR="004A302F" w:rsidRPr="006F4D4F" w14:paraId="7274F005" w14:textId="77777777" w:rsidTr="00A80FAF">
        <w:tc>
          <w:tcPr>
            <w:tcW w:w="1483" w:type="dxa"/>
          </w:tcPr>
          <w:p w14:paraId="1C597439" w14:textId="77777777" w:rsidR="004A302F" w:rsidRPr="0041091C" w:rsidRDefault="004A302F" w:rsidP="001369AA">
            <w:pPr>
              <w:pStyle w:val="BTCBodyText"/>
              <w:spacing w:before="0" w:after="40" w:line="280" w:lineRule="exact"/>
              <w:jc w:val="left"/>
              <w:rPr>
                <w:lang w:val="fr-FR"/>
              </w:rPr>
            </w:pPr>
            <w:r w:rsidRPr="0041091C">
              <w:rPr>
                <w:lang w:val="fr-FR"/>
              </w:rPr>
              <w:t>DAT</w:t>
            </w:r>
          </w:p>
        </w:tc>
        <w:tc>
          <w:tcPr>
            <w:tcW w:w="7022" w:type="dxa"/>
          </w:tcPr>
          <w:p w14:paraId="2ECC6615" w14:textId="77777777" w:rsidR="004A302F" w:rsidRPr="0041091C" w:rsidRDefault="004A302F" w:rsidP="001369AA">
            <w:pPr>
              <w:pStyle w:val="BTCBodyText"/>
              <w:spacing w:before="0" w:after="40" w:line="280" w:lineRule="exact"/>
              <w:jc w:val="left"/>
              <w:rPr>
                <w:lang w:val="fr-FR"/>
              </w:rPr>
            </w:pPr>
            <w:r w:rsidRPr="0041091C">
              <w:rPr>
                <w:lang w:val="fr-FR"/>
              </w:rPr>
              <w:t>Dispositif d’assistance technique</w:t>
            </w:r>
          </w:p>
        </w:tc>
      </w:tr>
      <w:tr w:rsidR="004A302F" w:rsidRPr="006F4D4F" w14:paraId="2EBFFF21" w14:textId="77777777" w:rsidTr="00A80FAF">
        <w:tc>
          <w:tcPr>
            <w:tcW w:w="1483" w:type="dxa"/>
          </w:tcPr>
          <w:p w14:paraId="0B28D918" w14:textId="77777777" w:rsidR="004A302F" w:rsidRPr="006F4D4F" w:rsidRDefault="004A302F" w:rsidP="001369AA">
            <w:pPr>
              <w:pStyle w:val="BTCBodyText"/>
              <w:spacing w:before="0" w:after="40" w:line="280" w:lineRule="exact"/>
              <w:jc w:val="left"/>
              <w:rPr>
                <w:lang w:val="fr-FR"/>
              </w:rPr>
            </w:pPr>
            <w:r w:rsidRPr="006F4D4F">
              <w:rPr>
                <w:lang w:val="fr-FR"/>
              </w:rPr>
              <w:t>DdA</w:t>
            </w:r>
          </w:p>
        </w:tc>
        <w:tc>
          <w:tcPr>
            <w:tcW w:w="7022" w:type="dxa"/>
          </w:tcPr>
          <w:p w14:paraId="391D2923" w14:textId="77777777" w:rsidR="004A302F" w:rsidRPr="006F4D4F" w:rsidRDefault="004A302F" w:rsidP="001369AA">
            <w:pPr>
              <w:pStyle w:val="BTCBodyText"/>
              <w:spacing w:before="0" w:after="40" w:line="280" w:lineRule="exact"/>
              <w:jc w:val="left"/>
              <w:rPr>
                <w:lang w:val="fr-FR"/>
              </w:rPr>
            </w:pPr>
            <w:r w:rsidRPr="006F4D4F">
              <w:rPr>
                <w:lang w:val="fr-FR"/>
              </w:rPr>
              <w:t>Description de l’action</w:t>
            </w:r>
          </w:p>
        </w:tc>
      </w:tr>
      <w:tr w:rsidR="004A302F" w:rsidRPr="004A302F" w14:paraId="2750B3A2" w14:textId="77777777" w:rsidTr="00A80FAF">
        <w:tc>
          <w:tcPr>
            <w:tcW w:w="1483" w:type="dxa"/>
          </w:tcPr>
          <w:p w14:paraId="16AB5F8B" w14:textId="77777777" w:rsidR="004A302F" w:rsidRPr="006F4D4F" w:rsidRDefault="004A302F" w:rsidP="001369AA">
            <w:pPr>
              <w:pStyle w:val="BTCBodyText"/>
              <w:spacing w:before="0" w:after="40" w:line="280" w:lineRule="exact"/>
              <w:jc w:val="left"/>
              <w:rPr>
                <w:lang w:val="fr-FR"/>
              </w:rPr>
            </w:pPr>
            <w:r w:rsidRPr="006F4D4F">
              <w:rPr>
                <w:lang w:val="fr-FR"/>
              </w:rPr>
              <w:t>DG DEVCO</w:t>
            </w:r>
          </w:p>
        </w:tc>
        <w:tc>
          <w:tcPr>
            <w:tcW w:w="7022" w:type="dxa"/>
          </w:tcPr>
          <w:p w14:paraId="477D2712" w14:textId="77777777" w:rsidR="004A302F" w:rsidRPr="006F4D4F" w:rsidRDefault="004A302F" w:rsidP="0085757B">
            <w:pPr>
              <w:pStyle w:val="BTCBodyText"/>
              <w:spacing w:before="0" w:after="40" w:line="280" w:lineRule="exact"/>
              <w:jc w:val="left"/>
              <w:rPr>
                <w:lang w:val="fr-FR"/>
              </w:rPr>
            </w:pPr>
            <w:r w:rsidRPr="006F4D4F">
              <w:rPr>
                <w:lang w:val="fr-FR"/>
              </w:rPr>
              <w:t>Direction générale de la coopération internationale et du développement (Commission européenne)</w:t>
            </w:r>
          </w:p>
        </w:tc>
      </w:tr>
      <w:tr w:rsidR="004A302F" w:rsidRPr="006F4D4F" w14:paraId="360FEE5B" w14:textId="77777777" w:rsidTr="00A80FAF">
        <w:tc>
          <w:tcPr>
            <w:tcW w:w="1483" w:type="dxa"/>
          </w:tcPr>
          <w:p w14:paraId="5E081C60" w14:textId="77777777" w:rsidR="004A302F" w:rsidRPr="006F4D4F" w:rsidRDefault="004A302F" w:rsidP="001369AA">
            <w:pPr>
              <w:pStyle w:val="BTCBodyText"/>
              <w:spacing w:before="0" w:after="40" w:line="280" w:lineRule="exact"/>
              <w:jc w:val="left"/>
              <w:rPr>
                <w:lang w:val="fr-FR"/>
              </w:rPr>
            </w:pPr>
            <w:r w:rsidRPr="006F4D4F">
              <w:rPr>
                <w:lang w:val="fr-FR"/>
              </w:rPr>
              <w:t>DSP</w:t>
            </w:r>
          </w:p>
        </w:tc>
        <w:tc>
          <w:tcPr>
            <w:tcW w:w="7022" w:type="dxa"/>
          </w:tcPr>
          <w:p w14:paraId="7835767F" w14:textId="77777777" w:rsidR="004A302F" w:rsidRPr="006F4D4F" w:rsidRDefault="004A302F" w:rsidP="001369AA">
            <w:pPr>
              <w:pStyle w:val="BTCBodyText"/>
              <w:spacing w:before="0" w:after="40" w:line="280" w:lineRule="exact"/>
              <w:jc w:val="left"/>
              <w:rPr>
                <w:lang w:val="fr-FR"/>
              </w:rPr>
            </w:pPr>
            <w:r w:rsidRPr="006F4D4F">
              <w:rPr>
                <w:lang w:val="fr-FR"/>
              </w:rPr>
              <w:t>Développement du secteur privé</w:t>
            </w:r>
          </w:p>
        </w:tc>
      </w:tr>
      <w:tr w:rsidR="004A302F" w:rsidRPr="006F4D4F" w14:paraId="7B980CC6" w14:textId="77777777" w:rsidTr="00A80FAF">
        <w:tc>
          <w:tcPr>
            <w:tcW w:w="1483" w:type="dxa"/>
          </w:tcPr>
          <w:p w14:paraId="1C37FB98" w14:textId="77777777" w:rsidR="004A302F" w:rsidRPr="006F4D4F" w:rsidRDefault="004A302F" w:rsidP="001369AA">
            <w:pPr>
              <w:pStyle w:val="BTCBodyText"/>
              <w:spacing w:before="0" w:after="40" w:line="280" w:lineRule="exact"/>
              <w:jc w:val="left"/>
              <w:rPr>
                <w:lang w:val="fr-FR"/>
              </w:rPr>
            </w:pPr>
            <w:r w:rsidRPr="006F4D4F">
              <w:rPr>
                <w:lang w:val="fr-FR"/>
              </w:rPr>
              <w:t>EF</w:t>
            </w:r>
          </w:p>
        </w:tc>
        <w:tc>
          <w:tcPr>
            <w:tcW w:w="7022" w:type="dxa"/>
          </w:tcPr>
          <w:p w14:paraId="2ABBA43A" w14:textId="77777777" w:rsidR="004A302F" w:rsidRPr="006F4D4F" w:rsidRDefault="004A302F" w:rsidP="001369AA">
            <w:pPr>
              <w:pStyle w:val="BTCBodyText"/>
              <w:spacing w:before="0" w:after="40" w:line="280" w:lineRule="exact"/>
              <w:jc w:val="left"/>
              <w:rPr>
                <w:lang w:val="fr-FR"/>
              </w:rPr>
            </w:pPr>
            <w:r w:rsidRPr="006F4D4F">
              <w:rPr>
                <w:lang w:val="fr-FR"/>
              </w:rPr>
              <w:t>Expertise France</w:t>
            </w:r>
          </w:p>
        </w:tc>
      </w:tr>
      <w:tr w:rsidR="004A302F" w:rsidRPr="006F4D4F" w14:paraId="60330D14" w14:textId="77777777" w:rsidTr="00A80FAF">
        <w:tc>
          <w:tcPr>
            <w:tcW w:w="1483" w:type="dxa"/>
          </w:tcPr>
          <w:p w14:paraId="132F019E" w14:textId="77777777" w:rsidR="004A302F" w:rsidRPr="006F4D4F" w:rsidRDefault="004A302F" w:rsidP="002F1B95">
            <w:pPr>
              <w:pStyle w:val="BTCBodyText"/>
              <w:spacing w:before="0" w:after="40" w:line="280" w:lineRule="exact"/>
              <w:jc w:val="left"/>
              <w:rPr>
                <w:lang w:val="fr-FR"/>
              </w:rPr>
            </w:pPr>
            <w:r w:rsidRPr="006F4D4F">
              <w:rPr>
                <w:lang w:val="fr-FR"/>
              </w:rPr>
              <w:t>EFP</w:t>
            </w:r>
          </w:p>
        </w:tc>
        <w:tc>
          <w:tcPr>
            <w:tcW w:w="7022" w:type="dxa"/>
          </w:tcPr>
          <w:p w14:paraId="0D5DBD47" w14:textId="48762433" w:rsidR="004A302F" w:rsidRPr="006F4D4F" w:rsidRDefault="00E942D9" w:rsidP="002F1B95">
            <w:pPr>
              <w:pStyle w:val="BTCBodyText"/>
              <w:spacing w:before="0" w:after="40" w:line="280" w:lineRule="exact"/>
              <w:jc w:val="left"/>
              <w:rPr>
                <w:lang w:val="fr-FR"/>
              </w:rPr>
            </w:pPr>
            <w:r>
              <w:rPr>
                <w:lang w:val="fr-FR"/>
              </w:rPr>
              <w:t>EFP</w:t>
            </w:r>
          </w:p>
        </w:tc>
      </w:tr>
      <w:tr w:rsidR="004A302F" w:rsidRPr="006F4D4F" w14:paraId="383AB79F" w14:textId="77777777" w:rsidTr="00A80FAF">
        <w:tc>
          <w:tcPr>
            <w:tcW w:w="1483" w:type="dxa"/>
          </w:tcPr>
          <w:p w14:paraId="2189B2A0" w14:textId="77777777" w:rsidR="004A302F" w:rsidRPr="006F4D4F" w:rsidRDefault="004A302F" w:rsidP="002F1B95">
            <w:pPr>
              <w:pStyle w:val="BTCBodyText"/>
              <w:spacing w:before="0" w:after="40" w:line="280" w:lineRule="exact"/>
              <w:jc w:val="left"/>
              <w:rPr>
                <w:lang w:val="fr-FR"/>
              </w:rPr>
            </w:pPr>
            <w:r>
              <w:rPr>
                <w:lang w:val="fr-FR"/>
              </w:rPr>
              <w:t>É</w:t>
            </w:r>
            <w:r w:rsidRPr="006F4D4F">
              <w:rPr>
                <w:lang w:val="fr-FR"/>
              </w:rPr>
              <w:t xml:space="preserve">FP </w:t>
            </w:r>
          </w:p>
        </w:tc>
        <w:tc>
          <w:tcPr>
            <w:tcW w:w="7022" w:type="dxa"/>
          </w:tcPr>
          <w:p w14:paraId="3A966F5B" w14:textId="77777777" w:rsidR="004A302F" w:rsidRPr="006F4D4F" w:rsidRDefault="004A302F" w:rsidP="008C5614">
            <w:pPr>
              <w:pStyle w:val="BTCBodyText"/>
              <w:tabs>
                <w:tab w:val="left" w:pos="5070"/>
              </w:tabs>
              <w:spacing w:before="0" w:after="40" w:line="280" w:lineRule="exact"/>
              <w:jc w:val="left"/>
              <w:rPr>
                <w:lang w:val="fr-FR"/>
              </w:rPr>
            </w:pPr>
            <w:r>
              <w:rPr>
                <w:lang w:val="fr-FR"/>
              </w:rPr>
              <w:t>Établissement</w:t>
            </w:r>
            <w:r w:rsidRPr="006F4D4F">
              <w:rPr>
                <w:lang w:val="fr-FR"/>
              </w:rPr>
              <w:t xml:space="preserve"> de formation professionnelle</w:t>
            </w:r>
          </w:p>
        </w:tc>
      </w:tr>
      <w:tr w:rsidR="004A302F" w:rsidRPr="004A302F" w14:paraId="57BB7965" w14:textId="77777777" w:rsidTr="00A80FAF">
        <w:tc>
          <w:tcPr>
            <w:tcW w:w="1483" w:type="dxa"/>
          </w:tcPr>
          <w:p w14:paraId="3FA32621" w14:textId="77777777" w:rsidR="004A302F" w:rsidRPr="006F4D4F" w:rsidRDefault="004A302F" w:rsidP="001369AA">
            <w:pPr>
              <w:pStyle w:val="BTCBodyText"/>
              <w:spacing w:before="0" w:after="40" w:line="280" w:lineRule="exact"/>
              <w:jc w:val="left"/>
              <w:rPr>
                <w:lang w:val="fr-FR"/>
              </w:rPr>
            </w:pPr>
            <w:r w:rsidRPr="006F4D4F">
              <w:rPr>
                <w:lang w:val="fr-FR"/>
              </w:rPr>
              <w:t>EFTP</w:t>
            </w:r>
          </w:p>
        </w:tc>
        <w:tc>
          <w:tcPr>
            <w:tcW w:w="7022" w:type="dxa"/>
          </w:tcPr>
          <w:p w14:paraId="70FA91E2" w14:textId="77777777" w:rsidR="004A302F" w:rsidRPr="006F4D4F" w:rsidRDefault="004A302F" w:rsidP="001369AA">
            <w:pPr>
              <w:pStyle w:val="BTCBodyText"/>
              <w:spacing w:before="0" w:after="40" w:line="280" w:lineRule="exact"/>
              <w:jc w:val="left"/>
              <w:rPr>
                <w:lang w:val="fr-FR"/>
              </w:rPr>
            </w:pPr>
            <w:r w:rsidRPr="006F4D4F">
              <w:rPr>
                <w:lang w:val="fr-FR"/>
              </w:rPr>
              <w:t>Enseignement et formation techniques et professionnels (voir également EFP)</w:t>
            </w:r>
          </w:p>
        </w:tc>
      </w:tr>
      <w:tr w:rsidR="004A302F" w:rsidRPr="004A302F" w14:paraId="76B703A9" w14:textId="77777777" w:rsidTr="00A80FAF">
        <w:tc>
          <w:tcPr>
            <w:tcW w:w="1483" w:type="dxa"/>
          </w:tcPr>
          <w:p w14:paraId="4E2CFFEB" w14:textId="77777777" w:rsidR="004A302F" w:rsidRPr="006F4D4F" w:rsidRDefault="004A302F" w:rsidP="001369AA">
            <w:pPr>
              <w:pStyle w:val="BTCBodyText"/>
              <w:spacing w:before="0" w:after="40" w:line="280" w:lineRule="exact"/>
              <w:jc w:val="left"/>
              <w:rPr>
                <w:lang w:val="fr-FR"/>
              </w:rPr>
            </w:pPr>
            <w:r w:rsidRPr="006F4D4F">
              <w:rPr>
                <w:lang w:val="fr-FR"/>
              </w:rPr>
              <w:t>Enabel</w:t>
            </w:r>
          </w:p>
        </w:tc>
        <w:tc>
          <w:tcPr>
            <w:tcW w:w="7022" w:type="dxa"/>
          </w:tcPr>
          <w:p w14:paraId="2F62A740" w14:textId="77777777" w:rsidR="004A302F" w:rsidRPr="006F4D4F" w:rsidRDefault="004A302F" w:rsidP="004A302F">
            <w:pPr>
              <w:pStyle w:val="BTCBodyText"/>
              <w:spacing w:before="0" w:after="40" w:line="280" w:lineRule="exact"/>
              <w:jc w:val="left"/>
              <w:rPr>
                <w:lang w:val="fr-FR"/>
              </w:rPr>
            </w:pPr>
            <w:r w:rsidRPr="006F4D4F">
              <w:rPr>
                <w:lang w:val="fr-FR"/>
              </w:rPr>
              <w:t xml:space="preserve">Agence belge de développement </w:t>
            </w:r>
            <w:r w:rsidRPr="006F4D4F">
              <w:rPr>
                <w:i/>
                <w:lang w:val="fr-FR"/>
              </w:rPr>
              <w:t>(</w:t>
            </w:r>
            <w:r>
              <w:rPr>
                <w:i/>
                <w:lang w:val="fr-FR"/>
              </w:rPr>
              <w:t>ancienne</w:t>
            </w:r>
            <w:r w:rsidRPr="006F4D4F">
              <w:rPr>
                <w:i/>
                <w:lang w:val="fr-FR"/>
              </w:rPr>
              <w:t xml:space="preserve">ment </w:t>
            </w:r>
            <w:r>
              <w:rPr>
                <w:i/>
                <w:lang w:val="fr-FR"/>
              </w:rPr>
              <w:t>CTB</w:t>
            </w:r>
            <w:r w:rsidRPr="006F4D4F">
              <w:rPr>
                <w:i/>
                <w:lang w:val="fr-FR"/>
              </w:rPr>
              <w:t>)</w:t>
            </w:r>
          </w:p>
        </w:tc>
      </w:tr>
      <w:tr w:rsidR="004A302F" w:rsidRPr="006F4D4F" w14:paraId="3D799DF3" w14:textId="77777777" w:rsidTr="00A80FAF">
        <w:tc>
          <w:tcPr>
            <w:tcW w:w="1483" w:type="dxa"/>
          </w:tcPr>
          <w:p w14:paraId="66145A2F" w14:textId="77777777" w:rsidR="004A302F" w:rsidRPr="006F4D4F" w:rsidRDefault="004A302F" w:rsidP="001369AA">
            <w:pPr>
              <w:pStyle w:val="BTCBodyText"/>
              <w:spacing w:before="0" w:after="40" w:line="280" w:lineRule="exact"/>
              <w:jc w:val="left"/>
              <w:rPr>
                <w:lang w:val="fr-FR"/>
              </w:rPr>
            </w:pPr>
            <w:r w:rsidRPr="006F4D4F">
              <w:rPr>
                <w:lang w:val="fr-FR"/>
              </w:rPr>
              <w:t>FdF</w:t>
            </w:r>
          </w:p>
        </w:tc>
        <w:tc>
          <w:tcPr>
            <w:tcW w:w="7022" w:type="dxa"/>
          </w:tcPr>
          <w:p w14:paraId="35D4BD94" w14:textId="77777777" w:rsidR="004A302F" w:rsidRPr="006F4D4F" w:rsidRDefault="004A302F" w:rsidP="001369AA">
            <w:pPr>
              <w:pStyle w:val="BTCBodyText"/>
              <w:spacing w:before="0" w:after="40" w:line="280" w:lineRule="exact"/>
              <w:jc w:val="left"/>
              <w:rPr>
                <w:lang w:val="fr-FR"/>
              </w:rPr>
            </w:pPr>
            <w:r w:rsidRPr="006F4D4F">
              <w:rPr>
                <w:lang w:val="fr-FR"/>
              </w:rPr>
              <w:t>Formation des formateurs</w:t>
            </w:r>
          </w:p>
        </w:tc>
      </w:tr>
      <w:tr w:rsidR="004A302F" w:rsidRPr="004A302F" w14:paraId="3A0DC424" w14:textId="77777777" w:rsidTr="00A80FAF">
        <w:tc>
          <w:tcPr>
            <w:tcW w:w="1483" w:type="dxa"/>
          </w:tcPr>
          <w:p w14:paraId="7DAD3C2E" w14:textId="77777777" w:rsidR="004A302F" w:rsidRPr="006F4D4F" w:rsidRDefault="004A302F" w:rsidP="001369AA">
            <w:pPr>
              <w:pStyle w:val="BTCBodyText"/>
              <w:spacing w:before="0" w:after="40" w:line="280" w:lineRule="exact"/>
              <w:jc w:val="left"/>
              <w:rPr>
                <w:lang w:val="fr-FR"/>
              </w:rPr>
            </w:pPr>
            <w:r w:rsidRPr="006F4D4F">
              <w:rPr>
                <w:lang w:val="fr-FR"/>
              </w:rPr>
              <w:t>FEDD</w:t>
            </w:r>
          </w:p>
        </w:tc>
        <w:tc>
          <w:tcPr>
            <w:tcW w:w="7022" w:type="dxa"/>
          </w:tcPr>
          <w:p w14:paraId="79EAA6CB" w14:textId="77777777" w:rsidR="004A302F" w:rsidRPr="006F4D4F" w:rsidRDefault="004A302F" w:rsidP="001369AA">
            <w:pPr>
              <w:pStyle w:val="BTCBodyText"/>
              <w:spacing w:before="0" w:after="40" w:line="280" w:lineRule="exact"/>
              <w:jc w:val="left"/>
              <w:rPr>
                <w:lang w:val="fr-FR"/>
              </w:rPr>
            </w:pPr>
            <w:r w:rsidRPr="006F4D4F">
              <w:rPr>
                <w:lang w:val="fr-FR"/>
              </w:rPr>
              <w:t>Fonds européen pour le développement durable</w:t>
            </w:r>
          </w:p>
        </w:tc>
      </w:tr>
      <w:tr w:rsidR="004A302F" w:rsidRPr="006F4D4F" w14:paraId="07D1BAD1" w14:textId="77777777" w:rsidTr="00A80FAF">
        <w:tc>
          <w:tcPr>
            <w:tcW w:w="1483" w:type="dxa"/>
          </w:tcPr>
          <w:p w14:paraId="3D2A5F70" w14:textId="77777777" w:rsidR="004A302F" w:rsidRPr="006F4D4F" w:rsidRDefault="004A302F" w:rsidP="001369AA">
            <w:pPr>
              <w:pStyle w:val="BTCBodyText"/>
              <w:spacing w:before="0" w:after="40" w:line="280" w:lineRule="exact"/>
              <w:jc w:val="left"/>
              <w:rPr>
                <w:lang w:val="fr-FR"/>
              </w:rPr>
            </w:pPr>
            <w:r w:rsidRPr="006F4D4F">
              <w:rPr>
                <w:lang w:val="fr-FR"/>
              </w:rPr>
              <w:t>FPC</w:t>
            </w:r>
          </w:p>
        </w:tc>
        <w:tc>
          <w:tcPr>
            <w:tcW w:w="7022" w:type="dxa"/>
          </w:tcPr>
          <w:p w14:paraId="1D9C14AC" w14:textId="77777777" w:rsidR="004A302F" w:rsidRPr="006F4D4F" w:rsidRDefault="004A302F" w:rsidP="001369AA">
            <w:pPr>
              <w:pStyle w:val="BTCBodyText"/>
              <w:spacing w:before="0" w:after="40" w:line="280" w:lineRule="exact"/>
              <w:jc w:val="left"/>
              <w:rPr>
                <w:lang w:val="fr-FR"/>
              </w:rPr>
            </w:pPr>
            <w:r w:rsidRPr="006F4D4F">
              <w:rPr>
                <w:lang w:val="fr-FR"/>
              </w:rPr>
              <w:t>Formation professionnelle continue</w:t>
            </w:r>
          </w:p>
        </w:tc>
      </w:tr>
      <w:tr w:rsidR="004A302F" w:rsidRPr="004A302F" w14:paraId="68EAF8E3" w14:textId="77777777" w:rsidTr="00A80FAF">
        <w:tc>
          <w:tcPr>
            <w:tcW w:w="1483" w:type="dxa"/>
          </w:tcPr>
          <w:p w14:paraId="13F89D79" w14:textId="77777777" w:rsidR="004A302F" w:rsidRPr="006F4D4F" w:rsidRDefault="004A302F" w:rsidP="001369AA">
            <w:pPr>
              <w:pStyle w:val="BTCBodyText"/>
              <w:spacing w:before="0" w:after="40" w:line="280" w:lineRule="exact"/>
              <w:jc w:val="left"/>
              <w:rPr>
                <w:lang w:val="fr-FR"/>
              </w:rPr>
            </w:pPr>
            <w:r w:rsidRPr="006F4D4F">
              <w:rPr>
                <w:lang w:val="fr-FR"/>
              </w:rPr>
              <w:t>GIZ</w:t>
            </w:r>
          </w:p>
        </w:tc>
        <w:tc>
          <w:tcPr>
            <w:tcW w:w="7022" w:type="dxa"/>
          </w:tcPr>
          <w:p w14:paraId="43BDF19D" w14:textId="77777777" w:rsidR="004A302F" w:rsidRPr="004A302F" w:rsidRDefault="004A302F" w:rsidP="001369AA">
            <w:pPr>
              <w:pStyle w:val="BTCBodyText"/>
              <w:spacing w:before="0" w:after="40" w:line="280" w:lineRule="exact"/>
              <w:jc w:val="left"/>
              <w:rPr>
                <w:lang w:val="nl-NL"/>
              </w:rPr>
            </w:pPr>
            <w:r w:rsidRPr="004A302F">
              <w:rPr>
                <w:lang w:val="nl-NL"/>
              </w:rPr>
              <w:t>Deutsche Gesellschaft für Internationale Zusammenarbeit GmbH</w:t>
            </w:r>
          </w:p>
        </w:tc>
      </w:tr>
      <w:tr w:rsidR="004A302F" w:rsidRPr="006F4D4F" w14:paraId="610CEEC8" w14:textId="77777777" w:rsidTr="00A80FAF">
        <w:tc>
          <w:tcPr>
            <w:tcW w:w="1483" w:type="dxa"/>
          </w:tcPr>
          <w:p w14:paraId="195B090A" w14:textId="77777777" w:rsidR="004A302F" w:rsidRPr="006F4D4F" w:rsidRDefault="004A302F" w:rsidP="001369AA">
            <w:pPr>
              <w:pStyle w:val="BTCBodyText"/>
              <w:spacing w:before="0" w:after="40" w:line="280" w:lineRule="exact"/>
              <w:jc w:val="left"/>
              <w:rPr>
                <w:lang w:val="fr-FR"/>
              </w:rPr>
            </w:pPr>
            <w:r w:rsidRPr="006F4D4F">
              <w:rPr>
                <w:lang w:val="fr-FR"/>
              </w:rPr>
              <w:t>IDE</w:t>
            </w:r>
          </w:p>
        </w:tc>
        <w:tc>
          <w:tcPr>
            <w:tcW w:w="7022" w:type="dxa"/>
          </w:tcPr>
          <w:p w14:paraId="54767FAD" w14:textId="77777777" w:rsidR="004A302F" w:rsidRPr="006F4D4F" w:rsidRDefault="004A302F" w:rsidP="001369AA">
            <w:pPr>
              <w:pStyle w:val="BTCBodyText"/>
              <w:spacing w:before="0" w:after="40" w:line="280" w:lineRule="exact"/>
              <w:jc w:val="left"/>
              <w:rPr>
                <w:lang w:val="fr-FR"/>
              </w:rPr>
            </w:pPr>
            <w:r w:rsidRPr="006F4D4F">
              <w:rPr>
                <w:lang w:val="fr-FR"/>
              </w:rPr>
              <w:t>Investissement direct étranger</w:t>
            </w:r>
          </w:p>
        </w:tc>
      </w:tr>
      <w:tr w:rsidR="004A302F" w:rsidRPr="006F4D4F" w14:paraId="0E5499D4" w14:textId="77777777" w:rsidTr="00A80FAF">
        <w:tc>
          <w:tcPr>
            <w:tcW w:w="1483" w:type="dxa"/>
          </w:tcPr>
          <w:p w14:paraId="48314DD1" w14:textId="77777777" w:rsidR="004A302F" w:rsidRPr="006F4D4F" w:rsidRDefault="004A302F" w:rsidP="001369AA">
            <w:pPr>
              <w:pStyle w:val="BTCBodyText"/>
              <w:spacing w:before="0" w:after="40" w:line="280" w:lineRule="exact"/>
              <w:jc w:val="left"/>
              <w:rPr>
                <w:lang w:val="fr-FR"/>
              </w:rPr>
            </w:pPr>
            <w:r w:rsidRPr="006F4D4F">
              <w:rPr>
                <w:lang w:val="fr-FR"/>
              </w:rPr>
              <w:t>IFI</w:t>
            </w:r>
          </w:p>
        </w:tc>
        <w:tc>
          <w:tcPr>
            <w:tcW w:w="7022" w:type="dxa"/>
          </w:tcPr>
          <w:p w14:paraId="268318A1" w14:textId="77777777" w:rsidR="004A302F" w:rsidRPr="006F4D4F" w:rsidRDefault="004A302F" w:rsidP="001369AA">
            <w:pPr>
              <w:pStyle w:val="BTCBodyText"/>
              <w:spacing w:before="0" w:after="40" w:line="280" w:lineRule="exact"/>
              <w:jc w:val="left"/>
              <w:rPr>
                <w:lang w:val="fr-FR"/>
              </w:rPr>
            </w:pPr>
            <w:r w:rsidRPr="006F4D4F">
              <w:rPr>
                <w:lang w:val="fr-FR"/>
              </w:rPr>
              <w:t>Institution financière internationale</w:t>
            </w:r>
          </w:p>
        </w:tc>
      </w:tr>
      <w:tr w:rsidR="004A302F" w:rsidRPr="006F4D4F" w14:paraId="7DE7E4EF" w14:textId="77777777" w:rsidTr="00A80FAF">
        <w:tc>
          <w:tcPr>
            <w:tcW w:w="1483" w:type="dxa"/>
          </w:tcPr>
          <w:p w14:paraId="5E9E1C7A" w14:textId="77777777" w:rsidR="004A302F" w:rsidRPr="006F4D4F" w:rsidRDefault="004A302F" w:rsidP="001369AA">
            <w:pPr>
              <w:pStyle w:val="BTCBodyText"/>
              <w:spacing w:before="0" w:after="40" w:line="280" w:lineRule="exact"/>
              <w:jc w:val="left"/>
              <w:rPr>
                <w:lang w:val="fr-FR"/>
              </w:rPr>
            </w:pPr>
            <w:r w:rsidRPr="006F4D4F">
              <w:rPr>
                <w:lang w:val="fr-FR"/>
              </w:rPr>
              <w:t>IU</w:t>
            </w:r>
          </w:p>
        </w:tc>
        <w:tc>
          <w:tcPr>
            <w:tcW w:w="7022" w:type="dxa"/>
          </w:tcPr>
          <w:p w14:paraId="72B75294" w14:textId="77777777" w:rsidR="004A302F" w:rsidRPr="006F4D4F" w:rsidRDefault="004A302F" w:rsidP="001369AA">
            <w:pPr>
              <w:pStyle w:val="BTCBodyText"/>
              <w:spacing w:before="0" w:after="40" w:line="280" w:lineRule="exact"/>
              <w:jc w:val="left"/>
              <w:rPr>
                <w:lang w:val="fr-FR"/>
              </w:rPr>
            </w:pPr>
            <w:r w:rsidRPr="006F4D4F">
              <w:rPr>
                <w:lang w:val="fr-FR"/>
              </w:rPr>
              <w:t>Interlocuteur unique</w:t>
            </w:r>
          </w:p>
        </w:tc>
      </w:tr>
      <w:tr w:rsidR="004A302F" w:rsidRPr="004A302F" w14:paraId="2F6889B4" w14:textId="77777777" w:rsidTr="00A80FAF">
        <w:tc>
          <w:tcPr>
            <w:tcW w:w="1483" w:type="dxa"/>
          </w:tcPr>
          <w:p w14:paraId="444697B0" w14:textId="77777777" w:rsidR="004A302F" w:rsidRPr="006F4D4F" w:rsidRDefault="004A302F" w:rsidP="001369AA">
            <w:pPr>
              <w:pStyle w:val="BTCBodyText"/>
              <w:spacing w:before="0" w:after="40" w:line="280" w:lineRule="exact"/>
              <w:jc w:val="left"/>
              <w:rPr>
                <w:lang w:val="fr-FR"/>
              </w:rPr>
            </w:pPr>
            <w:r w:rsidRPr="006F4D4F">
              <w:rPr>
                <w:lang w:val="fr-FR"/>
              </w:rPr>
              <w:t>LuxDev</w:t>
            </w:r>
          </w:p>
        </w:tc>
        <w:tc>
          <w:tcPr>
            <w:tcW w:w="7022" w:type="dxa"/>
          </w:tcPr>
          <w:p w14:paraId="6336264F" w14:textId="77777777" w:rsidR="004A302F" w:rsidRPr="006F4D4F" w:rsidRDefault="004A302F" w:rsidP="001369AA">
            <w:pPr>
              <w:pStyle w:val="BTCBodyText"/>
              <w:spacing w:before="0" w:after="40" w:line="280" w:lineRule="exact"/>
              <w:jc w:val="left"/>
              <w:rPr>
                <w:lang w:val="fr-FR"/>
              </w:rPr>
            </w:pPr>
            <w:r w:rsidRPr="006F4D4F">
              <w:rPr>
                <w:lang w:val="fr-FR"/>
              </w:rPr>
              <w:t xml:space="preserve">Agence luxembourgeoise de coopération au développement </w:t>
            </w:r>
          </w:p>
        </w:tc>
      </w:tr>
      <w:tr w:rsidR="004A302F" w:rsidRPr="004A302F" w14:paraId="153C3283" w14:textId="77777777" w:rsidTr="00A80FAF">
        <w:tc>
          <w:tcPr>
            <w:tcW w:w="1483" w:type="dxa"/>
          </w:tcPr>
          <w:p w14:paraId="58779289" w14:textId="77777777" w:rsidR="004A302F" w:rsidRPr="006F4D4F" w:rsidRDefault="004A302F" w:rsidP="001369AA">
            <w:pPr>
              <w:pStyle w:val="BTCBodyText"/>
              <w:spacing w:before="0" w:after="40" w:line="280" w:lineRule="exact"/>
              <w:jc w:val="left"/>
              <w:rPr>
                <w:lang w:val="fr-FR"/>
              </w:rPr>
            </w:pPr>
            <w:r w:rsidRPr="006F4D4F">
              <w:rPr>
                <w:lang w:val="fr-FR"/>
              </w:rPr>
              <w:t>MPME</w:t>
            </w:r>
          </w:p>
        </w:tc>
        <w:tc>
          <w:tcPr>
            <w:tcW w:w="7022" w:type="dxa"/>
          </w:tcPr>
          <w:p w14:paraId="7E3D6AEE" w14:textId="77777777" w:rsidR="004A302F" w:rsidRPr="006F4D4F" w:rsidRDefault="004A302F" w:rsidP="001369AA">
            <w:pPr>
              <w:pStyle w:val="BTCBodyText"/>
              <w:spacing w:before="0" w:after="40" w:line="280" w:lineRule="exact"/>
              <w:jc w:val="left"/>
              <w:rPr>
                <w:lang w:val="fr-FR"/>
              </w:rPr>
            </w:pPr>
            <w:r w:rsidRPr="006F4D4F">
              <w:rPr>
                <w:lang w:val="fr-FR"/>
              </w:rPr>
              <w:t>Micro, petites et moyennes entreprises</w:t>
            </w:r>
          </w:p>
        </w:tc>
      </w:tr>
      <w:tr w:rsidR="004A302F" w:rsidRPr="006F4D4F" w14:paraId="7AE3C4A0" w14:textId="77777777" w:rsidTr="00A80FAF">
        <w:tc>
          <w:tcPr>
            <w:tcW w:w="1483" w:type="dxa"/>
          </w:tcPr>
          <w:p w14:paraId="416A7D6B" w14:textId="77777777" w:rsidR="004A302F" w:rsidRPr="006F4D4F" w:rsidRDefault="004A302F" w:rsidP="001369AA">
            <w:pPr>
              <w:pStyle w:val="BTCBodyText"/>
              <w:spacing w:before="0" w:after="40" w:line="280" w:lineRule="exact"/>
              <w:jc w:val="left"/>
              <w:rPr>
                <w:lang w:val="fr-FR"/>
              </w:rPr>
            </w:pPr>
            <w:r w:rsidRPr="006F4D4F">
              <w:rPr>
                <w:lang w:val="fr-FR"/>
              </w:rPr>
              <w:t>ODD</w:t>
            </w:r>
          </w:p>
        </w:tc>
        <w:tc>
          <w:tcPr>
            <w:tcW w:w="7022" w:type="dxa"/>
          </w:tcPr>
          <w:p w14:paraId="2D5A43B2" w14:textId="77777777" w:rsidR="004A302F" w:rsidRPr="006F4D4F" w:rsidRDefault="004A302F" w:rsidP="001369AA">
            <w:pPr>
              <w:pStyle w:val="BTCBodyText"/>
              <w:spacing w:before="0" w:after="40" w:line="280" w:lineRule="exact"/>
              <w:jc w:val="left"/>
              <w:rPr>
                <w:lang w:val="fr-FR"/>
              </w:rPr>
            </w:pPr>
            <w:r w:rsidRPr="006F4D4F">
              <w:rPr>
                <w:lang w:val="fr-FR"/>
              </w:rPr>
              <w:t>Objectifs de développement durable</w:t>
            </w:r>
          </w:p>
        </w:tc>
      </w:tr>
      <w:tr w:rsidR="004A302F" w:rsidRPr="006F4D4F" w14:paraId="180E138C" w14:textId="77777777" w:rsidTr="00A80FAF">
        <w:tc>
          <w:tcPr>
            <w:tcW w:w="1483" w:type="dxa"/>
          </w:tcPr>
          <w:p w14:paraId="0EFB1A7A" w14:textId="77777777" w:rsidR="004A302F" w:rsidRPr="006F4D4F" w:rsidRDefault="004A302F" w:rsidP="001369AA">
            <w:pPr>
              <w:pStyle w:val="BTCBodyText"/>
              <w:spacing w:before="0" w:after="40" w:line="280" w:lineRule="exact"/>
              <w:jc w:val="left"/>
              <w:rPr>
                <w:lang w:val="fr-FR"/>
              </w:rPr>
            </w:pPr>
            <w:r w:rsidRPr="006F4D4F">
              <w:rPr>
                <w:lang w:val="fr-FR"/>
              </w:rPr>
              <w:t>ONU</w:t>
            </w:r>
          </w:p>
        </w:tc>
        <w:tc>
          <w:tcPr>
            <w:tcW w:w="7022" w:type="dxa"/>
          </w:tcPr>
          <w:p w14:paraId="5233609C" w14:textId="77777777" w:rsidR="004A302F" w:rsidRPr="006F4D4F" w:rsidRDefault="004A302F" w:rsidP="001369AA">
            <w:pPr>
              <w:pStyle w:val="BTCBodyText"/>
              <w:spacing w:before="0" w:after="40" w:line="280" w:lineRule="exact"/>
              <w:jc w:val="left"/>
              <w:rPr>
                <w:lang w:val="fr-FR"/>
              </w:rPr>
            </w:pPr>
            <w:r w:rsidRPr="006F4D4F">
              <w:rPr>
                <w:lang w:val="fr-FR"/>
              </w:rPr>
              <w:t>Organisation des Nations unies</w:t>
            </w:r>
          </w:p>
        </w:tc>
      </w:tr>
      <w:tr w:rsidR="004A302F" w:rsidRPr="006F4D4F" w14:paraId="1E69F54E" w14:textId="77777777" w:rsidTr="00A80FAF">
        <w:tc>
          <w:tcPr>
            <w:tcW w:w="1483" w:type="dxa"/>
          </w:tcPr>
          <w:p w14:paraId="6F109149" w14:textId="77777777" w:rsidR="004A302F" w:rsidRPr="006F4D4F" w:rsidRDefault="004A302F" w:rsidP="001369AA">
            <w:pPr>
              <w:pStyle w:val="BTCBodyText"/>
              <w:spacing w:before="0" w:after="40" w:line="280" w:lineRule="exact"/>
              <w:jc w:val="left"/>
              <w:rPr>
                <w:lang w:val="fr-FR"/>
              </w:rPr>
            </w:pPr>
            <w:r w:rsidRPr="006F4D4F">
              <w:rPr>
                <w:lang w:val="fr-FR"/>
              </w:rPr>
              <w:t>PIE</w:t>
            </w:r>
          </w:p>
        </w:tc>
        <w:tc>
          <w:tcPr>
            <w:tcW w:w="7022" w:type="dxa"/>
          </w:tcPr>
          <w:p w14:paraId="69A29CE5" w14:textId="77777777" w:rsidR="004A302F" w:rsidRPr="006F4D4F" w:rsidRDefault="004A302F" w:rsidP="001369AA">
            <w:pPr>
              <w:pStyle w:val="BTCBodyText"/>
              <w:spacing w:before="0" w:after="40" w:line="280" w:lineRule="exact"/>
              <w:jc w:val="left"/>
              <w:rPr>
                <w:lang w:val="fr-FR"/>
              </w:rPr>
            </w:pPr>
            <w:r w:rsidRPr="006F4D4F">
              <w:rPr>
                <w:lang w:val="fr-FR"/>
              </w:rPr>
              <w:t>Plan d’investissement européen</w:t>
            </w:r>
          </w:p>
        </w:tc>
      </w:tr>
      <w:tr w:rsidR="004A302F" w:rsidRPr="006F4D4F" w14:paraId="6E4340AC" w14:textId="77777777" w:rsidTr="00A80FAF">
        <w:tc>
          <w:tcPr>
            <w:tcW w:w="1483" w:type="dxa"/>
          </w:tcPr>
          <w:p w14:paraId="61F46B54" w14:textId="77777777" w:rsidR="004A302F" w:rsidRPr="006F4D4F" w:rsidRDefault="004A302F" w:rsidP="001369AA">
            <w:pPr>
              <w:pStyle w:val="BTCBodyText"/>
              <w:spacing w:before="0" w:after="40" w:line="280" w:lineRule="exact"/>
              <w:jc w:val="left"/>
              <w:rPr>
                <w:lang w:val="fr-FR"/>
              </w:rPr>
            </w:pPr>
            <w:r w:rsidRPr="006F4D4F">
              <w:rPr>
                <w:lang w:val="fr-FR"/>
              </w:rPr>
              <w:t>PM</w:t>
            </w:r>
          </w:p>
        </w:tc>
        <w:tc>
          <w:tcPr>
            <w:tcW w:w="7022" w:type="dxa"/>
          </w:tcPr>
          <w:p w14:paraId="78C665FB" w14:textId="77777777" w:rsidR="004A302F" w:rsidRPr="006F4D4F" w:rsidRDefault="004A302F" w:rsidP="001369AA">
            <w:pPr>
              <w:pStyle w:val="BTCBodyText"/>
              <w:spacing w:before="0" w:after="40" w:line="280" w:lineRule="exact"/>
              <w:jc w:val="left"/>
              <w:rPr>
                <w:lang w:val="fr-FR"/>
              </w:rPr>
            </w:pPr>
            <w:r w:rsidRPr="006F4D4F">
              <w:rPr>
                <w:lang w:val="fr-FR"/>
              </w:rPr>
              <w:t>Partenariats mondiaux (département BTC)</w:t>
            </w:r>
          </w:p>
        </w:tc>
      </w:tr>
      <w:tr w:rsidR="004A302F" w:rsidRPr="006F4D4F" w14:paraId="76C9A64C" w14:textId="77777777" w:rsidTr="00A80FAF">
        <w:tc>
          <w:tcPr>
            <w:tcW w:w="1483" w:type="dxa"/>
          </w:tcPr>
          <w:p w14:paraId="2514F54E" w14:textId="77777777" w:rsidR="004A302F" w:rsidRPr="006F4D4F" w:rsidRDefault="004A302F" w:rsidP="001369AA">
            <w:pPr>
              <w:pStyle w:val="BTCBodyText"/>
              <w:spacing w:before="0" w:after="40" w:line="280" w:lineRule="exact"/>
              <w:jc w:val="left"/>
              <w:rPr>
                <w:lang w:val="fr-FR"/>
              </w:rPr>
            </w:pPr>
            <w:r w:rsidRPr="006F4D4F">
              <w:rPr>
                <w:lang w:val="fr-FR"/>
              </w:rPr>
              <w:t>PPP</w:t>
            </w:r>
          </w:p>
        </w:tc>
        <w:tc>
          <w:tcPr>
            <w:tcW w:w="7022" w:type="dxa"/>
          </w:tcPr>
          <w:p w14:paraId="30137DB0" w14:textId="77777777" w:rsidR="004A302F" w:rsidRPr="006F4D4F" w:rsidRDefault="004A302F" w:rsidP="001369AA">
            <w:pPr>
              <w:pStyle w:val="BTCBodyText"/>
              <w:spacing w:before="0" w:after="40" w:line="280" w:lineRule="exact"/>
              <w:jc w:val="left"/>
              <w:rPr>
                <w:lang w:val="fr-FR"/>
              </w:rPr>
            </w:pPr>
            <w:r w:rsidRPr="006F4D4F">
              <w:rPr>
                <w:lang w:val="fr-FR"/>
              </w:rPr>
              <w:t>Partenariat public-privé</w:t>
            </w:r>
          </w:p>
        </w:tc>
      </w:tr>
      <w:tr w:rsidR="004A302F" w:rsidRPr="006F4D4F" w14:paraId="48537AE3" w14:textId="77777777" w:rsidTr="00A80FAF">
        <w:tc>
          <w:tcPr>
            <w:tcW w:w="1483" w:type="dxa"/>
          </w:tcPr>
          <w:p w14:paraId="30FD97E3" w14:textId="77777777" w:rsidR="004A302F" w:rsidRPr="006F4D4F" w:rsidRDefault="004A302F" w:rsidP="001369AA">
            <w:pPr>
              <w:pStyle w:val="BTCBodyText"/>
              <w:spacing w:before="0" w:after="40" w:line="280" w:lineRule="exact"/>
              <w:jc w:val="left"/>
              <w:rPr>
                <w:lang w:val="fr-FR"/>
              </w:rPr>
            </w:pPr>
            <w:r w:rsidRPr="006F4D4F">
              <w:rPr>
                <w:lang w:val="fr-FR"/>
              </w:rPr>
              <w:t>REC</w:t>
            </w:r>
          </w:p>
        </w:tc>
        <w:tc>
          <w:tcPr>
            <w:tcW w:w="7022" w:type="dxa"/>
          </w:tcPr>
          <w:p w14:paraId="0BB8B70F" w14:textId="77777777" w:rsidR="004A302F" w:rsidRPr="006F4D4F" w:rsidRDefault="004A302F" w:rsidP="001369AA">
            <w:pPr>
              <w:pStyle w:val="BTCBodyText"/>
              <w:spacing w:before="0" w:after="40" w:line="280" w:lineRule="exact"/>
              <w:jc w:val="left"/>
              <w:rPr>
                <w:lang w:val="fr-FR"/>
              </w:rPr>
            </w:pPr>
            <w:r w:rsidRPr="006F4D4F">
              <w:rPr>
                <w:lang w:val="fr-FR"/>
              </w:rPr>
              <w:t>Réseau d’échange de connaissances</w:t>
            </w:r>
          </w:p>
        </w:tc>
      </w:tr>
      <w:tr w:rsidR="004A302F" w:rsidRPr="006F4D4F" w14:paraId="5E98BC4E" w14:textId="77777777" w:rsidTr="00A80FAF">
        <w:tc>
          <w:tcPr>
            <w:tcW w:w="1483" w:type="dxa"/>
          </w:tcPr>
          <w:p w14:paraId="459E3865" w14:textId="77777777" w:rsidR="004A302F" w:rsidRPr="006F4D4F" w:rsidRDefault="004A302F" w:rsidP="001369AA">
            <w:pPr>
              <w:pStyle w:val="BTCBodyText"/>
              <w:spacing w:before="0" w:after="40" w:line="280" w:lineRule="exact"/>
              <w:jc w:val="left"/>
              <w:rPr>
                <w:lang w:val="fr-FR"/>
              </w:rPr>
            </w:pPr>
            <w:r w:rsidRPr="006F4D4F">
              <w:rPr>
                <w:lang w:val="fr-FR"/>
              </w:rPr>
              <w:t>S&amp;E</w:t>
            </w:r>
          </w:p>
        </w:tc>
        <w:tc>
          <w:tcPr>
            <w:tcW w:w="7022" w:type="dxa"/>
          </w:tcPr>
          <w:p w14:paraId="61E6640A" w14:textId="77777777" w:rsidR="004A302F" w:rsidRPr="006F4D4F" w:rsidRDefault="004A302F" w:rsidP="001369AA">
            <w:pPr>
              <w:pStyle w:val="BTCBodyText"/>
              <w:spacing w:before="0" w:after="40" w:line="280" w:lineRule="exact"/>
              <w:jc w:val="left"/>
              <w:rPr>
                <w:lang w:val="fr-FR"/>
              </w:rPr>
            </w:pPr>
            <w:r w:rsidRPr="006F4D4F">
              <w:rPr>
                <w:lang w:val="fr-FR"/>
              </w:rPr>
              <w:t>Suivi</w:t>
            </w:r>
            <w:r>
              <w:rPr>
                <w:lang w:val="fr-FR"/>
              </w:rPr>
              <w:t>-</w:t>
            </w:r>
            <w:r w:rsidRPr="006F4D4F">
              <w:rPr>
                <w:lang w:val="fr-FR"/>
              </w:rPr>
              <w:t>évaluation</w:t>
            </w:r>
          </w:p>
        </w:tc>
      </w:tr>
      <w:tr w:rsidR="004A302F" w:rsidRPr="004A302F" w14:paraId="2A702F1D" w14:textId="77777777" w:rsidTr="00A80FAF">
        <w:tc>
          <w:tcPr>
            <w:tcW w:w="1483" w:type="dxa"/>
          </w:tcPr>
          <w:p w14:paraId="247CF306" w14:textId="77777777" w:rsidR="004A302F" w:rsidRPr="006F4D4F" w:rsidRDefault="004A302F" w:rsidP="001369AA">
            <w:pPr>
              <w:pStyle w:val="BTCBodyText"/>
              <w:spacing w:before="0" w:after="40" w:line="280" w:lineRule="exact"/>
              <w:jc w:val="left"/>
              <w:rPr>
                <w:lang w:val="fr-FR"/>
              </w:rPr>
            </w:pPr>
            <w:r w:rsidRPr="006F4D4F">
              <w:rPr>
                <w:lang w:val="fr-FR"/>
              </w:rPr>
              <w:t>SIMT</w:t>
            </w:r>
          </w:p>
        </w:tc>
        <w:tc>
          <w:tcPr>
            <w:tcW w:w="7022" w:type="dxa"/>
          </w:tcPr>
          <w:p w14:paraId="6883FC3A" w14:textId="77777777" w:rsidR="004A302F" w:rsidRPr="006F4D4F" w:rsidRDefault="004A302F" w:rsidP="001369AA">
            <w:pPr>
              <w:pStyle w:val="BTCBodyText"/>
              <w:spacing w:before="0" w:after="40" w:line="280" w:lineRule="exact"/>
              <w:jc w:val="left"/>
              <w:rPr>
                <w:lang w:val="fr-FR"/>
              </w:rPr>
            </w:pPr>
            <w:r w:rsidRPr="006F4D4F">
              <w:rPr>
                <w:lang w:val="fr-FR"/>
              </w:rPr>
              <w:t>Système d’information sur le marché du travail</w:t>
            </w:r>
          </w:p>
        </w:tc>
      </w:tr>
      <w:tr w:rsidR="004A302F" w:rsidRPr="006F4D4F" w14:paraId="3397E7A5" w14:textId="77777777" w:rsidTr="00A80FAF">
        <w:tc>
          <w:tcPr>
            <w:tcW w:w="1483" w:type="dxa"/>
          </w:tcPr>
          <w:p w14:paraId="2CCC308C" w14:textId="77777777" w:rsidR="004A302F" w:rsidRPr="006F4D4F" w:rsidRDefault="004A302F" w:rsidP="001369AA">
            <w:pPr>
              <w:pStyle w:val="BTCBodyText"/>
              <w:spacing w:before="0" w:after="40" w:line="280" w:lineRule="exact"/>
              <w:jc w:val="left"/>
              <w:rPr>
                <w:lang w:val="fr-FR"/>
              </w:rPr>
            </w:pPr>
            <w:r w:rsidRPr="006F4D4F">
              <w:rPr>
                <w:lang w:val="fr-FR"/>
              </w:rPr>
              <w:t>SS</w:t>
            </w:r>
          </w:p>
        </w:tc>
        <w:tc>
          <w:tcPr>
            <w:tcW w:w="7022" w:type="dxa"/>
          </w:tcPr>
          <w:p w14:paraId="306F2980" w14:textId="77777777" w:rsidR="004A302F" w:rsidRPr="006F4D4F" w:rsidRDefault="004A302F" w:rsidP="001369AA">
            <w:pPr>
              <w:pStyle w:val="BTCBodyText"/>
              <w:spacing w:before="0" w:after="40" w:line="280" w:lineRule="exact"/>
              <w:jc w:val="left"/>
              <w:rPr>
                <w:lang w:val="fr-FR"/>
              </w:rPr>
            </w:pPr>
            <w:r w:rsidRPr="006F4D4F">
              <w:rPr>
                <w:lang w:val="fr-FR"/>
              </w:rPr>
              <w:t>Siège social</w:t>
            </w:r>
          </w:p>
        </w:tc>
      </w:tr>
      <w:tr w:rsidR="004A302F" w:rsidRPr="006F4D4F" w14:paraId="419E06E4" w14:textId="77777777" w:rsidTr="00A80FAF">
        <w:tc>
          <w:tcPr>
            <w:tcW w:w="1483" w:type="dxa"/>
          </w:tcPr>
          <w:p w14:paraId="659E7E1B" w14:textId="77777777" w:rsidR="004A302F" w:rsidRPr="0041091C" w:rsidRDefault="004A302F" w:rsidP="001369AA">
            <w:pPr>
              <w:pStyle w:val="BTCBodyText"/>
              <w:spacing w:before="0" w:after="40" w:line="280" w:lineRule="exact"/>
              <w:jc w:val="left"/>
              <w:rPr>
                <w:lang w:val="fr-FR"/>
              </w:rPr>
            </w:pPr>
            <w:r w:rsidRPr="0041091C">
              <w:rPr>
                <w:lang w:val="fr-FR"/>
              </w:rPr>
              <w:t>TB</w:t>
            </w:r>
          </w:p>
        </w:tc>
        <w:tc>
          <w:tcPr>
            <w:tcW w:w="7022" w:type="dxa"/>
          </w:tcPr>
          <w:p w14:paraId="0C58B17F" w14:textId="77777777" w:rsidR="004A302F" w:rsidRPr="0041091C" w:rsidRDefault="004A302F" w:rsidP="001369AA">
            <w:pPr>
              <w:pStyle w:val="BTCBodyText"/>
              <w:spacing w:before="0" w:after="40" w:line="280" w:lineRule="exact"/>
              <w:jc w:val="left"/>
              <w:rPr>
                <w:lang w:val="fr-FR"/>
              </w:rPr>
            </w:pPr>
            <w:r w:rsidRPr="0041091C">
              <w:rPr>
                <w:lang w:val="fr-FR"/>
              </w:rPr>
              <w:t>Toolbox</w:t>
            </w:r>
          </w:p>
        </w:tc>
      </w:tr>
      <w:tr w:rsidR="004A302F" w:rsidRPr="006F4D4F" w14:paraId="3E89DA01" w14:textId="77777777" w:rsidTr="00A80FAF">
        <w:tc>
          <w:tcPr>
            <w:tcW w:w="1483" w:type="dxa"/>
          </w:tcPr>
          <w:p w14:paraId="667B23AE" w14:textId="77777777" w:rsidR="004A302F" w:rsidRPr="0041091C" w:rsidRDefault="004A302F" w:rsidP="001369AA">
            <w:pPr>
              <w:pStyle w:val="BTCBodyText"/>
              <w:spacing w:before="0" w:after="40" w:line="280" w:lineRule="exact"/>
              <w:jc w:val="left"/>
              <w:rPr>
                <w:lang w:val="fr-FR"/>
              </w:rPr>
            </w:pPr>
            <w:r w:rsidRPr="0041091C">
              <w:rPr>
                <w:lang w:val="fr-FR"/>
              </w:rPr>
              <w:t>TdR</w:t>
            </w:r>
          </w:p>
        </w:tc>
        <w:tc>
          <w:tcPr>
            <w:tcW w:w="7022" w:type="dxa"/>
          </w:tcPr>
          <w:p w14:paraId="1D14B5A9" w14:textId="77777777" w:rsidR="004A302F" w:rsidRPr="0041091C" w:rsidRDefault="004A302F" w:rsidP="001369AA">
            <w:pPr>
              <w:pStyle w:val="BTCBodyText"/>
              <w:spacing w:before="0" w:after="40" w:line="280" w:lineRule="exact"/>
              <w:jc w:val="left"/>
              <w:rPr>
                <w:lang w:val="fr-FR"/>
              </w:rPr>
            </w:pPr>
            <w:r w:rsidRPr="0041091C">
              <w:rPr>
                <w:lang w:val="fr-FR"/>
              </w:rPr>
              <w:t>Termes de référence</w:t>
            </w:r>
          </w:p>
        </w:tc>
      </w:tr>
      <w:tr w:rsidR="004A302F" w:rsidRPr="006F4D4F" w14:paraId="01F52C07" w14:textId="77777777" w:rsidTr="00A80FAF">
        <w:tc>
          <w:tcPr>
            <w:tcW w:w="1483" w:type="dxa"/>
          </w:tcPr>
          <w:p w14:paraId="497D2863" w14:textId="77777777" w:rsidR="004A302F" w:rsidRPr="006F4D4F" w:rsidRDefault="004A302F" w:rsidP="001369AA">
            <w:pPr>
              <w:pStyle w:val="BTCBodyText"/>
              <w:spacing w:before="0" w:after="40" w:line="280" w:lineRule="exact"/>
              <w:jc w:val="left"/>
              <w:rPr>
                <w:lang w:val="fr-FR"/>
              </w:rPr>
            </w:pPr>
            <w:r w:rsidRPr="006F4D4F">
              <w:rPr>
                <w:lang w:val="fr-FR"/>
              </w:rPr>
              <w:lastRenderedPageBreak/>
              <w:t>UA</w:t>
            </w:r>
          </w:p>
        </w:tc>
        <w:tc>
          <w:tcPr>
            <w:tcW w:w="7022" w:type="dxa"/>
          </w:tcPr>
          <w:p w14:paraId="61833781" w14:textId="77777777" w:rsidR="004A302F" w:rsidRPr="006F4D4F" w:rsidRDefault="004A302F" w:rsidP="001369AA">
            <w:pPr>
              <w:pStyle w:val="BTCBodyText"/>
              <w:spacing w:before="0" w:after="40" w:line="280" w:lineRule="exact"/>
              <w:jc w:val="left"/>
              <w:rPr>
                <w:lang w:val="fr-FR"/>
              </w:rPr>
            </w:pPr>
            <w:r w:rsidRPr="006F4D4F">
              <w:rPr>
                <w:lang w:val="fr-FR"/>
              </w:rPr>
              <w:t>Union africaine</w:t>
            </w:r>
          </w:p>
        </w:tc>
      </w:tr>
      <w:tr w:rsidR="004A302F" w:rsidRPr="004A302F" w14:paraId="1E257968" w14:textId="77777777" w:rsidTr="00A80FAF">
        <w:tc>
          <w:tcPr>
            <w:tcW w:w="1483" w:type="dxa"/>
          </w:tcPr>
          <w:p w14:paraId="35A6CC0E" w14:textId="77777777" w:rsidR="004A302F" w:rsidRPr="006F4D4F" w:rsidRDefault="004A302F" w:rsidP="001369AA">
            <w:pPr>
              <w:pStyle w:val="BTCBodyText"/>
              <w:spacing w:before="0" w:after="40" w:line="280" w:lineRule="exact"/>
              <w:jc w:val="left"/>
              <w:rPr>
                <w:lang w:val="fr-FR"/>
              </w:rPr>
            </w:pPr>
            <w:r w:rsidRPr="006F4D4F">
              <w:rPr>
                <w:lang w:val="fr-FR"/>
              </w:rPr>
              <w:t>UGP</w:t>
            </w:r>
          </w:p>
        </w:tc>
        <w:tc>
          <w:tcPr>
            <w:tcW w:w="7022" w:type="dxa"/>
          </w:tcPr>
          <w:p w14:paraId="5AEF01D0" w14:textId="77777777" w:rsidR="004A302F" w:rsidRPr="006F4D4F" w:rsidRDefault="004A302F" w:rsidP="001369AA">
            <w:pPr>
              <w:pStyle w:val="BTCBodyText"/>
              <w:spacing w:before="0" w:after="40" w:line="280" w:lineRule="exact"/>
              <w:jc w:val="left"/>
              <w:rPr>
                <w:lang w:val="fr-FR"/>
              </w:rPr>
            </w:pPr>
            <w:r w:rsidRPr="006F4D4F">
              <w:rPr>
                <w:lang w:val="fr-FR"/>
              </w:rPr>
              <w:t>Unité de gestion du projet</w:t>
            </w:r>
          </w:p>
        </w:tc>
      </w:tr>
    </w:tbl>
    <w:p w14:paraId="0499B70B" w14:textId="77777777" w:rsidR="001F1DE0" w:rsidRDefault="001F1DE0" w:rsidP="00AD6120">
      <w:pPr>
        <w:pStyle w:val="Titre1"/>
      </w:pPr>
      <w:bookmarkStart w:id="10" w:name="_Toc231702647"/>
      <w:bookmarkStart w:id="11" w:name="_Toc261442090"/>
      <w:bookmarkStart w:id="12" w:name="_Toc20239532"/>
      <w:bookmarkStart w:id="13" w:name="_Toc20239625"/>
      <w:bookmarkStart w:id="14" w:name="_Toc20300532"/>
      <w:bookmarkStart w:id="15" w:name="_Toc44423181"/>
      <w:bookmarkStart w:id="16" w:name="_Toc54336669"/>
      <w:bookmarkEnd w:id="7"/>
      <w:bookmarkEnd w:id="9"/>
    </w:p>
    <w:p w14:paraId="33E0C5EA" w14:textId="77777777" w:rsidR="001F1DE0" w:rsidRDefault="001F1DE0">
      <w:pPr>
        <w:spacing w:before="0"/>
        <w:rPr>
          <w:rFonts w:eastAsia="Arial Unicode MS"/>
          <w:b/>
          <w:bCs/>
          <w:color w:val="50B848"/>
          <w:kern w:val="1"/>
          <w:sz w:val="32"/>
          <w:szCs w:val="48"/>
          <w:lang w:val="fr-FR"/>
        </w:rPr>
      </w:pPr>
      <w:r>
        <w:br w:type="page"/>
      </w:r>
    </w:p>
    <w:p w14:paraId="011ABFD5" w14:textId="5FD688B3" w:rsidR="009853A7" w:rsidRPr="006F4D4F" w:rsidRDefault="002C4DAE" w:rsidP="00AD6120">
      <w:pPr>
        <w:pStyle w:val="Titre1"/>
        <w:rPr>
          <w:rStyle w:val="rotkursiv"/>
          <w:i w:val="0"/>
          <w:color w:val="50B848"/>
          <w:lang w:val="fr-FR"/>
        </w:rPr>
      </w:pPr>
      <w:r w:rsidRPr="006F4D4F">
        <w:t xml:space="preserve">Résumé </w:t>
      </w:r>
      <w:bookmarkEnd w:id="10"/>
      <w:bookmarkEnd w:id="11"/>
      <w:bookmarkEnd w:id="12"/>
      <w:bookmarkEnd w:id="13"/>
      <w:bookmarkEnd w:id="14"/>
      <w:bookmarkEnd w:id="15"/>
      <w:bookmarkEnd w:id="16"/>
      <w:r w:rsidR="004A302F">
        <w:t>exécutif</w:t>
      </w:r>
    </w:p>
    <w:p w14:paraId="532642B0" w14:textId="19F1B556" w:rsidR="009853A7" w:rsidRPr="006F4D4F" w:rsidRDefault="002C4DAE" w:rsidP="0A429371">
      <w:pPr>
        <w:spacing w:line="276" w:lineRule="auto"/>
        <w:jc w:val="both"/>
        <w:rPr>
          <w:rFonts w:eastAsia="Arial"/>
          <w:color w:val="000000" w:themeColor="text1"/>
          <w:lang w:val="fr-FR"/>
        </w:rPr>
      </w:pPr>
      <w:r w:rsidRPr="006F4D4F">
        <w:rPr>
          <w:rFonts w:eastAsia="Arial"/>
          <w:color w:val="000000" w:themeColor="text1"/>
          <w:kern w:val="18"/>
          <w:lang w:val="fr-FR"/>
        </w:rPr>
        <w:t xml:space="preserve">L’action vise avant tout à soutenir les besoins en capital humain des programmes d’investissement et de développement de la chaîne de valeur et </w:t>
      </w:r>
      <w:r w:rsidR="004225D2">
        <w:rPr>
          <w:rFonts w:eastAsia="Arial"/>
          <w:color w:val="000000" w:themeColor="text1"/>
          <w:kern w:val="18"/>
          <w:lang w:val="fr-FR"/>
        </w:rPr>
        <w:t>d’approvisionnement</w:t>
      </w:r>
      <w:r w:rsidRPr="006F4D4F">
        <w:rPr>
          <w:rFonts w:eastAsia="Arial"/>
          <w:color w:val="000000" w:themeColor="text1"/>
          <w:kern w:val="18"/>
          <w:lang w:val="fr-FR"/>
        </w:rPr>
        <w:t xml:space="preserve"> dans certains pays d’Afrique sub-saharienne. </w:t>
      </w:r>
      <w:r w:rsidR="004225D2">
        <w:rPr>
          <w:rFonts w:eastAsia="Arial"/>
          <w:color w:val="000000" w:themeColor="text1"/>
          <w:kern w:val="18"/>
          <w:lang w:val="fr-FR"/>
        </w:rPr>
        <w:t>Son</w:t>
      </w:r>
      <w:r w:rsidRPr="006F4D4F">
        <w:rPr>
          <w:rFonts w:eastAsia="Arial"/>
          <w:color w:val="000000" w:themeColor="text1"/>
          <w:kern w:val="18"/>
          <w:lang w:val="fr-FR"/>
        </w:rPr>
        <w:t xml:space="preserve"> objectif spécifique </w:t>
      </w:r>
      <w:r w:rsidR="004225D2">
        <w:rPr>
          <w:rFonts w:eastAsia="Arial"/>
          <w:color w:val="000000" w:themeColor="text1"/>
          <w:kern w:val="18"/>
          <w:lang w:val="fr-FR"/>
        </w:rPr>
        <w:t xml:space="preserve">est d’améliorer les services de </w:t>
      </w:r>
      <w:r w:rsidR="0068294B">
        <w:rPr>
          <w:rFonts w:eastAsia="Arial"/>
          <w:color w:val="000000" w:themeColor="text1"/>
          <w:kern w:val="18"/>
          <w:lang w:val="fr-FR"/>
        </w:rPr>
        <w:t>développement</w:t>
      </w:r>
      <w:r w:rsidR="009B7E0B" w:rsidRPr="006F4D4F">
        <w:rPr>
          <w:rFonts w:eastAsia="Arial"/>
          <w:color w:val="000000" w:themeColor="text1"/>
          <w:kern w:val="18"/>
          <w:lang w:val="fr-FR"/>
        </w:rPr>
        <w:t xml:space="preserve"> </w:t>
      </w:r>
      <w:r w:rsidRPr="006F4D4F">
        <w:rPr>
          <w:rFonts w:eastAsia="Arial"/>
          <w:color w:val="000000" w:themeColor="text1"/>
          <w:kern w:val="18"/>
          <w:lang w:val="fr-FR"/>
        </w:rPr>
        <w:t xml:space="preserve">des compétences et </w:t>
      </w:r>
      <w:r w:rsidR="00E942D9">
        <w:rPr>
          <w:rFonts w:eastAsia="Arial"/>
          <w:color w:val="000000" w:themeColor="text1"/>
          <w:kern w:val="18"/>
          <w:lang w:val="fr-FR"/>
        </w:rPr>
        <w:t>d’EFP</w:t>
      </w:r>
      <w:r w:rsidR="009B7E0B" w:rsidRPr="006F4D4F">
        <w:rPr>
          <w:rFonts w:eastAsia="Arial"/>
          <w:color w:val="000000" w:themeColor="text1"/>
          <w:kern w:val="18"/>
          <w:lang w:val="fr-FR"/>
        </w:rPr>
        <w:t xml:space="preserve"> </w:t>
      </w:r>
      <w:r w:rsidR="004225D2" w:rsidRPr="004225D2">
        <w:rPr>
          <w:rFonts w:eastAsia="Arial"/>
          <w:color w:val="000000" w:themeColor="text1"/>
          <w:kern w:val="18"/>
          <w:lang w:val="fr-FR"/>
        </w:rPr>
        <w:t>axés sur la demande</w:t>
      </w:r>
      <w:r w:rsidR="0068294B">
        <w:rPr>
          <w:rFonts w:eastAsia="Arial"/>
          <w:color w:val="000000" w:themeColor="text1"/>
          <w:kern w:val="18"/>
          <w:lang w:val="fr-FR"/>
        </w:rPr>
        <w:t>,</w:t>
      </w:r>
      <w:r w:rsidR="004225D2" w:rsidRPr="004225D2">
        <w:rPr>
          <w:rFonts w:eastAsia="Arial"/>
          <w:color w:val="000000" w:themeColor="text1"/>
          <w:kern w:val="18"/>
          <w:lang w:val="fr-FR"/>
        </w:rPr>
        <w:t xml:space="preserve"> </w:t>
      </w:r>
      <w:r w:rsidR="004225D2">
        <w:rPr>
          <w:rFonts w:eastAsia="Arial"/>
          <w:color w:val="000000" w:themeColor="text1"/>
          <w:kern w:val="18"/>
          <w:lang w:val="fr-FR"/>
        </w:rPr>
        <w:t>de manière à ce qu’ils soient capables de</w:t>
      </w:r>
      <w:r w:rsidR="009B7E0B" w:rsidRPr="006F4D4F">
        <w:rPr>
          <w:rFonts w:eastAsia="Arial"/>
          <w:color w:val="000000" w:themeColor="text1"/>
          <w:kern w:val="18"/>
          <w:lang w:val="fr-FR"/>
        </w:rPr>
        <w:t xml:space="preserve"> répondre</w:t>
      </w:r>
      <w:r w:rsidRPr="006F4D4F">
        <w:rPr>
          <w:rFonts w:eastAsia="Arial"/>
          <w:color w:val="000000" w:themeColor="text1"/>
          <w:kern w:val="18"/>
          <w:lang w:val="fr-FR"/>
        </w:rPr>
        <w:t xml:space="preserve"> aux besoins d’investissement </w:t>
      </w:r>
      <w:r w:rsidR="009B7E0B" w:rsidRPr="006F4D4F">
        <w:rPr>
          <w:rFonts w:eastAsia="Arial"/>
          <w:color w:val="000000" w:themeColor="text1"/>
          <w:lang w:val="fr-FR"/>
        </w:rPr>
        <w:t>de</w:t>
      </w:r>
      <w:r w:rsidRPr="006F4D4F">
        <w:rPr>
          <w:rFonts w:eastAsia="Arial"/>
          <w:color w:val="000000" w:themeColor="text1"/>
          <w:lang w:val="fr-FR"/>
        </w:rPr>
        <w:t xml:space="preserve"> certains pays d’Afrique sub-saharienne</w:t>
      </w:r>
      <w:r w:rsidR="004225D2">
        <w:rPr>
          <w:rFonts w:eastAsia="Arial"/>
          <w:color w:val="000000" w:themeColor="text1"/>
          <w:lang w:val="fr-FR"/>
        </w:rPr>
        <w:t xml:space="preserve">. Elle se propose à cet effet </w:t>
      </w:r>
      <w:r w:rsidRPr="006F4D4F">
        <w:rPr>
          <w:rFonts w:eastAsia="Arial"/>
          <w:color w:val="000000" w:themeColor="text1"/>
          <w:lang w:val="fr-FR"/>
        </w:rPr>
        <w:t xml:space="preserve">de </w:t>
      </w:r>
      <w:r w:rsidR="004225D2">
        <w:rPr>
          <w:rFonts w:eastAsia="Arial"/>
          <w:color w:val="000000" w:themeColor="text1"/>
          <w:lang w:val="fr-FR"/>
        </w:rPr>
        <w:t xml:space="preserve">mettre en œuvre des </w:t>
      </w:r>
      <w:r w:rsidRPr="006F4D4F">
        <w:rPr>
          <w:rFonts w:eastAsia="Arial"/>
          <w:color w:val="000000" w:themeColor="text1"/>
          <w:lang w:val="fr-FR"/>
        </w:rPr>
        <w:t xml:space="preserve">programmes ciblés de renforcement des compétences et </w:t>
      </w:r>
      <w:r w:rsidR="00E942D9">
        <w:rPr>
          <w:rFonts w:eastAsia="Arial"/>
          <w:color w:val="000000" w:themeColor="text1"/>
          <w:lang w:val="fr-FR"/>
        </w:rPr>
        <w:t>d’EFP</w:t>
      </w:r>
      <w:r w:rsidRPr="006F4D4F">
        <w:rPr>
          <w:rFonts w:eastAsia="Arial"/>
          <w:color w:val="000000" w:themeColor="text1"/>
          <w:lang w:val="fr-FR"/>
        </w:rPr>
        <w:t>.</w:t>
      </w:r>
    </w:p>
    <w:p w14:paraId="32061201" w14:textId="4511C942" w:rsidR="009764DB" w:rsidRPr="006F4D4F" w:rsidRDefault="001E5F28" w:rsidP="0A429371">
      <w:pPr>
        <w:spacing w:line="276" w:lineRule="auto"/>
        <w:jc w:val="both"/>
        <w:rPr>
          <w:rFonts w:eastAsia="Arial"/>
          <w:color w:val="000000" w:themeColor="text1"/>
          <w:lang w:val="fr-FR"/>
        </w:rPr>
      </w:pPr>
      <w:r w:rsidRPr="006F4D4F">
        <w:rPr>
          <w:rFonts w:eastAsia="Arial"/>
          <w:color w:val="000000" w:themeColor="text1"/>
          <w:lang w:val="fr-FR"/>
        </w:rPr>
        <w:t xml:space="preserve">Si </w:t>
      </w:r>
      <w:r w:rsidR="004225D2">
        <w:rPr>
          <w:rFonts w:eastAsia="Arial"/>
          <w:color w:val="000000" w:themeColor="text1"/>
          <w:lang w:val="fr-FR"/>
        </w:rPr>
        <w:t xml:space="preserve">elle </w:t>
      </w:r>
      <w:r w:rsidR="009B7E0B" w:rsidRPr="006F4D4F">
        <w:rPr>
          <w:rFonts w:eastAsia="Arial"/>
          <w:color w:val="000000" w:themeColor="text1"/>
          <w:lang w:val="fr-FR"/>
        </w:rPr>
        <w:t xml:space="preserve">contribue à améliorer </w:t>
      </w:r>
      <w:r w:rsidRPr="006F4D4F">
        <w:rPr>
          <w:rFonts w:eastAsia="Arial"/>
          <w:color w:val="000000" w:themeColor="text1"/>
          <w:lang w:val="fr-FR"/>
        </w:rPr>
        <w:t>le climat de</w:t>
      </w:r>
      <w:r w:rsidR="00096EB8">
        <w:rPr>
          <w:rFonts w:eastAsia="Arial"/>
          <w:color w:val="000000" w:themeColor="text1"/>
          <w:lang w:val="fr-FR"/>
        </w:rPr>
        <w:t xml:space="preserve"> l’</w:t>
      </w:r>
      <w:r w:rsidRPr="006F4D4F">
        <w:rPr>
          <w:rFonts w:eastAsia="Arial"/>
          <w:color w:val="000000" w:themeColor="text1"/>
          <w:lang w:val="fr-FR"/>
        </w:rPr>
        <w:t>investissement dans certains pays africains, il s’agit avant tout d’une action axée sur les débouchés, qui vise à transformer les investissements en leviers de croissance économique inclusive, de développement social et de création d’emplois décents. Les flux d’investissements de l’Union européenne vers les pays africains donnent aux économies nationales les moyens de renforcer leur apport de valeur ajoutée et de prendre une part accrue à la création d’emplois au niveau local.</w:t>
      </w:r>
    </w:p>
    <w:p w14:paraId="0408E0DA" w14:textId="1E7E7EA4" w:rsidR="005F77CC" w:rsidRPr="006F4D4F" w:rsidRDefault="001E5F28" w:rsidP="0A429371">
      <w:pPr>
        <w:pStyle w:val="BTCBodyText"/>
        <w:rPr>
          <w:rFonts w:eastAsia="Arial" w:cs="Arial"/>
          <w:lang w:val="fr-FR"/>
        </w:rPr>
      </w:pPr>
      <w:r w:rsidRPr="006F4D4F">
        <w:rPr>
          <w:rFonts w:eastAsia="Arial" w:cs="Arial"/>
          <w:color w:val="000000" w:themeColor="text1"/>
          <w:lang w:val="fr-FR"/>
        </w:rPr>
        <w:t>La mise en œuvre de l’action s’appuiera sur trois domaines d’intervention</w:t>
      </w:r>
      <w:r w:rsidR="00455ED5" w:rsidRPr="006F4D4F">
        <w:rPr>
          <w:rFonts w:eastAsia="Arial" w:cs="Arial"/>
          <w:color w:val="000000" w:themeColor="text1"/>
          <w:lang w:val="fr-FR"/>
        </w:rPr>
        <w:t xml:space="preserve">. Le premier s’attachera à faire progresser le </w:t>
      </w:r>
      <w:r w:rsidRPr="006F4D4F">
        <w:rPr>
          <w:rFonts w:eastAsia="Arial" w:cs="Arial"/>
          <w:color w:val="000000" w:themeColor="text1"/>
          <w:lang w:val="fr-FR"/>
        </w:rPr>
        <w:t xml:space="preserve">dialogue sur le </w:t>
      </w:r>
      <w:r w:rsidR="0068294B">
        <w:rPr>
          <w:rFonts w:eastAsia="Arial" w:cs="Arial"/>
          <w:color w:val="000000" w:themeColor="text1"/>
          <w:lang w:val="fr-FR"/>
        </w:rPr>
        <w:t>développement</w:t>
      </w:r>
      <w:r w:rsidRPr="006F4D4F">
        <w:rPr>
          <w:rFonts w:eastAsia="Arial" w:cs="Arial"/>
          <w:color w:val="000000" w:themeColor="text1"/>
          <w:lang w:val="fr-FR"/>
        </w:rPr>
        <w:t xml:space="preserve"> des compétences </w:t>
      </w:r>
      <w:r w:rsidR="00455ED5" w:rsidRPr="006F4D4F">
        <w:rPr>
          <w:rFonts w:eastAsia="Arial" w:cs="Arial"/>
          <w:color w:val="000000" w:themeColor="text1"/>
          <w:lang w:val="fr-FR"/>
        </w:rPr>
        <w:t xml:space="preserve">et </w:t>
      </w:r>
      <w:r w:rsidR="00E942D9">
        <w:rPr>
          <w:rFonts w:eastAsia="Arial" w:cs="Arial"/>
          <w:color w:val="000000" w:themeColor="text1"/>
          <w:lang w:val="fr-FR"/>
        </w:rPr>
        <w:t>l’EFP</w:t>
      </w:r>
      <w:r w:rsidR="00852244">
        <w:rPr>
          <w:rFonts w:eastAsia="Arial" w:cs="Arial"/>
          <w:color w:val="000000" w:themeColor="text1"/>
          <w:lang w:val="fr-FR"/>
        </w:rPr>
        <w:t xml:space="preserve"> </w:t>
      </w:r>
      <w:r w:rsidR="0068294B" w:rsidRPr="0068294B">
        <w:rPr>
          <w:rFonts w:eastAsia="Arial" w:cs="Arial"/>
          <w:color w:val="000000" w:themeColor="text1"/>
          <w:lang w:val="fr-FR"/>
        </w:rPr>
        <w:t>axé</w:t>
      </w:r>
      <w:r w:rsidR="0068294B">
        <w:rPr>
          <w:rFonts w:eastAsia="Arial" w:cs="Arial"/>
          <w:color w:val="000000" w:themeColor="text1"/>
          <w:lang w:val="fr-FR"/>
        </w:rPr>
        <w:t>s</w:t>
      </w:r>
      <w:r w:rsidR="0068294B" w:rsidRPr="0068294B">
        <w:rPr>
          <w:rFonts w:eastAsia="Arial" w:cs="Arial"/>
          <w:color w:val="000000" w:themeColor="text1"/>
          <w:lang w:val="fr-FR"/>
        </w:rPr>
        <w:t xml:space="preserve"> sur l’emploi </w:t>
      </w:r>
      <w:r w:rsidR="00455ED5" w:rsidRPr="006F4D4F">
        <w:rPr>
          <w:rFonts w:eastAsia="Arial" w:cs="Arial"/>
          <w:color w:val="000000" w:themeColor="text1"/>
          <w:lang w:val="fr-FR"/>
        </w:rPr>
        <w:t xml:space="preserve">entre les </w:t>
      </w:r>
      <w:r w:rsidR="00852244">
        <w:rPr>
          <w:rFonts w:eastAsia="Arial" w:cs="Arial"/>
          <w:color w:val="000000" w:themeColor="text1"/>
          <w:lang w:val="fr-FR"/>
        </w:rPr>
        <w:t>établissements</w:t>
      </w:r>
      <w:r w:rsidR="00455ED5" w:rsidRPr="006F4D4F">
        <w:rPr>
          <w:rFonts w:eastAsia="Arial" w:cs="Arial"/>
          <w:color w:val="000000" w:themeColor="text1"/>
          <w:lang w:val="fr-FR"/>
        </w:rPr>
        <w:t xml:space="preserve"> de formation professionnelle, les </w:t>
      </w:r>
      <w:r w:rsidR="00852244">
        <w:rPr>
          <w:rFonts w:eastAsia="Arial" w:cs="Arial"/>
          <w:color w:val="000000" w:themeColor="text1"/>
          <w:lang w:val="fr-FR"/>
        </w:rPr>
        <w:t>entreprises</w:t>
      </w:r>
      <w:r w:rsidR="00455ED5" w:rsidRPr="006F4D4F">
        <w:rPr>
          <w:rFonts w:eastAsia="Arial" w:cs="Arial"/>
          <w:color w:val="000000" w:themeColor="text1"/>
          <w:lang w:val="fr-FR"/>
        </w:rPr>
        <w:t xml:space="preserve">, les institutions nationales et les associations concernées qui </w:t>
      </w:r>
      <w:r w:rsidR="00A5358D">
        <w:rPr>
          <w:rFonts w:eastAsia="Arial" w:cs="Arial"/>
          <w:color w:val="000000" w:themeColor="text1"/>
          <w:lang w:val="fr-FR"/>
        </w:rPr>
        <w:t>bénéficient d’</w:t>
      </w:r>
      <w:r w:rsidR="00455ED5" w:rsidRPr="006F4D4F">
        <w:rPr>
          <w:rFonts w:eastAsia="Arial" w:cs="Arial"/>
          <w:color w:val="000000" w:themeColor="text1"/>
          <w:lang w:val="fr-FR"/>
        </w:rPr>
        <w:t>investissements européens, comme les programmes d’investissement de la Co</w:t>
      </w:r>
      <w:r w:rsidR="00852244">
        <w:rPr>
          <w:rFonts w:eastAsia="Arial" w:cs="Arial"/>
          <w:color w:val="000000" w:themeColor="text1"/>
          <w:lang w:val="fr-FR"/>
        </w:rPr>
        <w:t>m</w:t>
      </w:r>
      <w:r w:rsidR="00455ED5" w:rsidRPr="006F4D4F">
        <w:rPr>
          <w:rFonts w:eastAsia="Arial" w:cs="Arial"/>
          <w:color w:val="000000" w:themeColor="text1"/>
          <w:lang w:val="fr-FR"/>
        </w:rPr>
        <w:t xml:space="preserve">mission européenne en Afrique sub-saharienne. Le deuxième </w:t>
      </w:r>
      <w:r w:rsidR="0068294B">
        <w:rPr>
          <w:rFonts w:eastAsia="Arial" w:cs="Arial"/>
          <w:color w:val="000000" w:themeColor="text1"/>
          <w:lang w:val="fr-FR"/>
        </w:rPr>
        <w:t>visera à</w:t>
      </w:r>
      <w:r w:rsidR="00455ED5" w:rsidRPr="006F4D4F">
        <w:rPr>
          <w:rFonts w:eastAsia="Arial" w:cs="Arial"/>
          <w:color w:val="000000" w:themeColor="text1"/>
          <w:lang w:val="fr-FR"/>
        </w:rPr>
        <w:t xml:space="preserve"> </w:t>
      </w:r>
      <w:r w:rsidR="0068294B">
        <w:rPr>
          <w:rFonts w:eastAsia="Arial" w:cs="Arial"/>
          <w:color w:val="000000" w:themeColor="text1"/>
          <w:lang w:val="fr-FR"/>
        </w:rPr>
        <w:t>renforcer</w:t>
      </w:r>
      <w:r w:rsidR="00455ED5" w:rsidRPr="006F4D4F">
        <w:rPr>
          <w:rFonts w:eastAsia="Arial" w:cs="Arial"/>
          <w:color w:val="000000" w:themeColor="text1"/>
          <w:lang w:val="fr-FR"/>
        </w:rPr>
        <w:t xml:space="preserve"> les capacités et </w:t>
      </w:r>
      <w:r w:rsidR="00813653">
        <w:rPr>
          <w:rFonts w:eastAsia="Arial" w:cs="Arial"/>
          <w:color w:val="000000" w:themeColor="text1"/>
          <w:lang w:val="fr-FR"/>
        </w:rPr>
        <w:t xml:space="preserve">à dispenser </w:t>
      </w:r>
      <w:r w:rsidR="00455ED5" w:rsidRPr="006F4D4F">
        <w:rPr>
          <w:rFonts w:eastAsia="Arial" w:cs="Arial"/>
          <w:color w:val="000000" w:themeColor="text1"/>
          <w:lang w:val="fr-FR"/>
        </w:rPr>
        <w:t xml:space="preserve">la formation nécessaires au </w:t>
      </w:r>
      <w:r w:rsidR="0068294B">
        <w:rPr>
          <w:rFonts w:eastAsia="Arial" w:cs="Arial"/>
          <w:color w:val="000000" w:themeColor="text1"/>
          <w:lang w:val="fr-FR"/>
        </w:rPr>
        <w:t>développement des compétences</w:t>
      </w:r>
      <w:r w:rsidR="00455ED5" w:rsidRPr="006F4D4F">
        <w:rPr>
          <w:rFonts w:eastAsia="Arial" w:cs="Arial"/>
          <w:color w:val="000000" w:themeColor="text1"/>
          <w:lang w:val="fr-FR"/>
        </w:rPr>
        <w:t xml:space="preserve"> et à </w:t>
      </w:r>
      <w:r w:rsidR="00E942D9">
        <w:rPr>
          <w:rFonts w:eastAsia="Arial" w:cs="Arial"/>
          <w:color w:val="000000" w:themeColor="text1"/>
          <w:lang w:val="fr-FR"/>
        </w:rPr>
        <w:t>l’EFP</w:t>
      </w:r>
      <w:r w:rsidR="0068294B" w:rsidRPr="0068294B">
        <w:rPr>
          <w:rFonts w:eastAsia="Arial" w:cs="Arial"/>
          <w:color w:val="000000" w:themeColor="text1"/>
          <w:lang w:val="fr-FR"/>
        </w:rPr>
        <w:t xml:space="preserve"> </w:t>
      </w:r>
      <w:r w:rsidR="0068294B" w:rsidRPr="006F4D4F">
        <w:rPr>
          <w:rFonts w:eastAsia="Arial" w:cs="Arial"/>
          <w:color w:val="000000" w:themeColor="text1"/>
          <w:lang w:val="fr-FR"/>
        </w:rPr>
        <w:t>axé</w:t>
      </w:r>
      <w:r w:rsidR="0068294B">
        <w:rPr>
          <w:rFonts w:eastAsia="Arial" w:cs="Arial"/>
          <w:color w:val="000000" w:themeColor="text1"/>
          <w:lang w:val="fr-FR"/>
        </w:rPr>
        <w:t>s</w:t>
      </w:r>
      <w:r w:rsidR="0068294B" w:rsidRPr="006F4D4F">
        <w:rPr>
          <w:rFonts w:eastAsia="Arial" w:cs="Arial"/>
          <w:color w:val="000000" w:themeColor="text1"/>
          <w:lang w:val="fr-FR"/>
        </w:rPr>
        <w:t xml:space="preserve"> sur la demande</w:t>
      </w:r>
      <w:r w:rsidR="00455ED5" w:rsidRPr="006F4D4F">
        <w:rPr>
          <w:rFonts w:eastAsia="Arial" w:cs="Arial"/>
          <w:color w:val="000000" w:themeColor="text1"/>
          <w:lang w:val="fr-FR"/>
        </w:rPr>
        <w:t xml:space="preserve">, </w:t>
      </w:r>
      <w:r w:rsidR="0068294B">
        <w:rPr>
          <w:rFonts w:eastAsia="Arial" w:cs="Arial"/>
          <w:color w:val="000000" w:themeColor="text1"/>
          <w:lang w:val="fr-FR"/>
        </w:rPr>
        <w:t>en proposant, entre autres activités,</w:t>
      </w:r>
      <w:r w:rsidR="00455ED5" w:rsidRPr="006F4D4F">
        <w:rPr>
          <w:rFonts w:eastAsia="Arial" w:cs="Arial"/>
          <w:color w:val="000000" w:themeColor="text1"/>
          <w:lang w:val="fr-FR"/>
        </w:rPr>
        <w:t xml:space="preserve"> </w:t>
      </w:r>
      <w:r w:rsidR="0068294B">
        <w:rPr>
          <w:rFonts w:eastAsia="Arial" w:cs="Arial"/>
          <w:color w:val="000000" w:themeColor="text1"/>
          <w:lang w:val="fr-FR"/>
        </w:rPr>
        <w:t>l’</w:t>
      </w:r>
      <w:r w:rsidR="00455ED5" w:rsidRPr="006F4D4F">
        <w:rPr>
          <w:rFonts w:eastAsia="Arial" w:cs="Arial"/>
          <w:color w:val="000000" w:themeColor="text1"/>
          <w:lang w:val="fr-FR"/>
        </w:rPr>
        <w:t xml:space="preserve">accompagnement des prestataires de formation locaux </w:t>
      </w:r>
      <w:r w:rsidR="0068294B">
        <w:rPr>
          <w:rFonts w:eastAsia="Arial" w:cs="Arial"/>
          <w:color w:val="000000" w:themeColor="text1"/>
          <w:lang w:val="fr-FR"/>
        </w:rPr>
        <w:t xml:space="preserve">et le renforcement de la </w:t>
      </w:r>
      <w:r w:rsidR="00455ED5" w:rsidRPr="006F4D4F">
        <w:rPr>
          <w:rFonts w:eastAsia="Arial" w:cs="Arial"/>
          <w:color w:val="000000" w:themeColor="text1"/>
          <w:lang w:val="fr-FR"/>
        </w:rPr>
        <w:t>formation interne.</w:t>
      </w:r>
      <w:r w:rsidR="000A20C5">
        <w:rPr>
          <w:rFonts w:eastAsia="Arial" w:cs="Arial"/>
          <w:color w:val="000000" w:themeColor="text1"/>
          <w:lang w:val="fr-FR"/>
        </w:rPr>
        <w:t xml:space="preserve"> </w:t>
      </w:r>
      <w:r w:rsidR="008F3E15" w:rsidRPr="006F4D4F">
        <w:rPr>
          <w:rFonts w:eastAsia="Arial" w:cs="Arial"/>
          <w:lang w:val="fr-FR"/>
        </w:rPr>
        <w:t xml:space="preserve">Le troisième s’emploiera à stimuler l’échange de </w:t>
      </w:r>
      <w:r w:rsidR="002572D2">
        <w:rPr>
          <w:rFonts w:eastAsia="Arial" w:cs="Arial"/>
          <w:lang w:val="fr-FR"/>
        </w:rPr>
        <w:t>connaissances</w:t>
      </w:r>
      <w:r w:rsidR="008F3E15" w:rsidRPr="006F4D4F">
        <w:rPr>
          <w:rFonts w:eastAsia="Arial" w:cs="Arial"/>
          <w:lang w:val="fr-FR"/>
        </w:rPr>
        <w:t xml:space="preserve"> sur les leçons tirées de l’expérience concrète en matière de </w:t>
      </w:r>
      <w:r w:rsidR="0068294B">
        <w:rPr>
          <w:rFonts w:eastAsia="Arial" w:cs="Arial"/>
          <w:lang w:val="fr-FR"/>
        </w:rPr>
        <w:t>développement des compétences</w:t>
      </w:r>
      <w:r w:rsidR="008F3E15" w:rsidRPr="006F4D4F">
        <w:rPr>
          <w:rFonts w:eastAsia="Arial" w:cs="Arial"/>
          <w:lang w:val="fr-FR"/>
        </w:rPr>
        <w:t xml:space="preserve"> et </w:t>
      </w:r>
      <w:r w:rsidR="00E942D9">
        <w:rPr>
          <w:rFonts w:eastAsia="Arial" w:cs="Arial"/>
          <w:lang w:val="fr-FR"/>
        </w:rPr>
        <w:t>d’EFP</w:t>
      </w:r>
      <w:r w:rsidR="000A20C5">
        <w:rPr>
          <w:rFonts w:eastAsia="Arial" w:cs="Arial"/>
          <w:lang w:val="fr-FR"/>
        </w:rPr>
        <w:t xml:space="preserve"> </w:t>
      </w:r>
      <w:r w:rsidR="0068294B">
        <w:rPr>
          <w:rFonts w:eastAsia="Arial" w:cs="Arial"/>
          <w:lang w:val="fr-FR"/>
        </w:rPr>
        <w:t xml:space="preserve">axés sur l’emploi </w:t>
      </w:r>
      <w:r w:rsidR="008F3E15" w:rsidRPr="006F4D4F">
        <w:rPr>
          <w:rFonts w:eastAsia="Arial" w:cs="Arial"/>
          <w:lang w:val="fr-FR"/>
        </w:rPr>
        <w:t>dans des contextes d’investissement.</w:t>
      </w:r>
    </w:p>
    <w:p w14:paraId="0D0EC067" w14:textId="3C121980" w:rsidR="00095834" w:rsidRPr="006F4D4F" w:rsidRDefault="008F3E15" w:rsidP="0A429371">
      <w:pPr>
        <w:pStyle w:val="BTCBodyText"/>
        <w:rPr>
          <w:rFonts w:eastAsia="Arial" w:cs="Arial"/>
          <w:color w:val="000000" w:themeColor="text1"/>
          <w:lang w:val="fr-FR"/>
        </w:rPr>
      </w:pPr>
      <w:r w:rsidRPr="006F4D4F">
        <w:rPr>
          <w:rStyle w:val="rotkursiv"/>
          <w:rFonts w:eastAsia="Arial" w:cs="Arial"/>
          <w:i w:val="0"/>
          <w:color w:val="000000" w:themeColor="text1"/>
          <w:lang w:val="fr-FR"/>
        </w:rPr>
        <w:t>L’</w:t>
      </w:r>
      <w:r w:rsidR="00095834" w:rsidRPr="006F4D4F">
        <w:rPr>
          <w:rStyle w:val="rotkursiv"/>
          <w:rFonts w:eastAsia="Arial" w:cs="Arial"/>
          <w:i w:val="0"/>
          <w:color w:val="000000" w:themeColor="text1"/>
          <w:lang w:val="fr-FR"/>
        </w:rPr>
        <w:t>action</w:t>
      </w:r>
      <w:r w:rsidRPr="006F4D4F">
        <w:rPr>
          <w:rStyle w:val="rotkursiv"/>
          <w:rFonts w:eastAsia="Arial" w:cs="Arial"/>
          <w:i w:val="0"/>
          <w:color w:val="000000" w:themeColor="text1"/>
          <w:lang w:val="fr-FR"/>
        </w:rPr>
        <w:t xml:space="preserve"> </w:t>
      </w:r>
      <w:r w:rsidR="00914D20">
        <w:rPr>
          <w:rStyle w:val="rotkursiv"/>
          <w:rFonts w:eastAsia="Arial" w:cs="Arial"/>
          <w:i w:val="0"/>
          <w:color w:val="000000" w:themeColor="text1"/>
          <w:lang w:val="fr-FR"/>
        </w:rPr>
        <w:t xml:space="preserve">visera à promouvoir </w:t>
      </w:r>
      <w:r w:rsidRPr="006F4D4F">
        <w:rPr>
          <w:rStyle w:val="rotkursiv"/>
          <w:rFonts w:eastAsia="Arial" w:cs="Arial"/>
          <w:i w:val="0"/>
          <w:color w:val="000000" w:themeColor="text1"/>
          <w:lang w:val="fr-FR"/>
        </w:rPr>
        <w:t xml:space="preserve">l’emploi par le biais du </w:t>
      </w:r>
      <w:r w:rsidR="0068294B">
        <w:rPr>
          <w:rStyle w:val="rotkursiv"/>
          <w:rFonts w:eastAsia="Arial" w:cs="Arial"/>
          <w:i w:val="0"/>
          <w:color w:val="000000" w:themeColor="text1"/>
          <w:lang w:val="fr-FR"/>
        </w:rPr>
        <w:t>développement des compétences</w:t>
      </w:r>
      <w:r w:rsidRPr="006F4D4F">
        <w:rPr>
          <w:rStyle w:val="rotkursiv"/>
          <w:rFonts w:eastAsia="Arial" w:cs="Arial"/>
          <w:i w:val="0"/>
          <w:color w:val="000000" w:themeColor="text1"/>
          <w:lang w:val="fr-FR"/>
        </w:rPr>
        <w:t xml:space="preserve">, parallèlement </w:t>
      </w:r>
      <w:r w:rsidR="00914D20">
        <w:rPr>
          <w:rStyle w:val="rotkursiv"/>
          <w:rFonts w:eastAsia="Arial" w:cs="Arial"/>
          <w:i w:val="0"/>
          <w:color w:val="000000" w:themeColor="text1"/>
          <w:lang w:val="fr-FR"/>
        </w:rPr>
        <w:t xml:space="preserve">aux </w:t>
      </w:r>
      <w:r w:rsidRPr="006F4D4F">
        <w:rPr>
          <w:rStyle w:val="rotkursiv"/>
          <w:rFonts w:eastAsia="Arial" w:cs="Arial"/>
          <w:i w:val="0"/>
          <w:color w:val="000000" w:themeColor="text1"/>
          <w:lang w:val="fr-FR"/>
        </w:rPr>
        <w:t>investissements du secteur privé, en coopération avec les acteurs des secteurs public et privé dans 11 pays.</w:t>
      </w:r>
    </w:p>
    <w:p w14:paraId="09F7DE67" w14:textId="607EEC41" w:rsidR="00095834" w:rsidRPr="006F4D4F" w:rsidRDefault="008F3E15" w:rsidP="0A429371">
      <w:pPr>
        <w:pStyle w:val="BTCBodyText"/>
        <w:rPr>
          <w:rStyle w:val="rotkursiv"/>
          <w:rFonts w:eastAsia="Arial" w:cs="Arial"/>
          <w:i w:val="0"/>
          <w:color w:val="000000" w:themeColor="text1"/>
          <w:lang w:val="fr-FR"/>
        </w:rPr>
      </w:pPr>
      <w:r w:rsidRPr="006F4D4F">
        <w:rPr>
          <w:rStyle w:val="rotkursiv"/>
          <w:rFonts w:eastAsia="Arial" w:cs="Arial"/>
          <w:i w:val="0"/>
          <w:color w:val="000000" w:themeColor="text1"/>
          <w:lang w:val="fr-FR"/>
        </w:rPr>
        <w:t xml:space="preserve">Dans le cadre de l’Agenda 2030 des Nations unies, l’action contribuera à l’Objectif de développement durable (ODD) 8 </w:t>
      </w:r>
      <w:r w:rsidR="001248A7" w:rsidRPr="006F4D4F">
        <w:rPr>
          <w:rStyle w:val="rotkursiv"/>
          <w:rFonts w:eastAsia="Arial" w:cs="Arial"/>
          <w:i w:val="0"/>
          <w:color w:val="000000" w:themeColor="text1"/>
          <w:lang w:val="fr-FR"/>
        </w:rPr>
        <w:t xml:space="preserve">(Travail décent et croissance économique), qui vise à promouvoir une croissance économique soutenue, partagée et durable, le plein emploi productif et un travail décent pour tous. L’action renforcera notamment les cibles « Promouvoir des politiques qui </w:t>
      </w:r>
      <w:r w:rsidR="007607A2" w:rsidRPr="006F4D4F">
        <w:rPr>
          <w:rStyle w:val="rotkursiv"/>
          <w:rFonts w:eastAsia="Arial" w:cs="Arial"/>
          <w:i w:val="0"/>
          <w:color w:val="000000" w:themeColor="text1"/>
          <w:lang w:val="fr-FR"/>
        </w:rPr>
        <w:t xml:space="preserve">favorisent </w:t>
      </w:r>
      <w:r w:rsidR="001248A7" w:rsidRPr="006F4D4F">
        <w:rPr>
          <w:rStyle w:val="rotkursiv"/>
          <w:rFonts w:eastAsia="Arial" w:cs="Arial"/>
          <w:i w:val="0"/>
          <w:color w:val="000000" w:themeColor="text1"/>
          <w:lang w:val="fr-FR"/>
        </w:rPr>
        <w:t>la création d’emplois</w:t>
      </w:r>
      <w:r w:rsidR="007607A2" w:rsidRPr="006F4D4F">
        <w:rPr>
          <w:rStyle w:val="rotkursiv"/>
          <w:rFonts w:eastAsia="Arial" w:cs="Arial"/>
          <w:i w:val="0"/>
          <w:color w:val="000000" w:themeColor="text1"/>
          <w:lang w:val="fr-FR"/>
        </w:rPr>
        <w:t xml:space="preserve"> et l’entrepreneuriat », « Promouvoir l’emploi, l’éducation et la formation des jeunes » et « Plein emploi et travail décent avec un salaire égal ». L’action contribuera aussi à atteindre l’ODD 4 « Éducation de qualité », visant à garantir une éducation de qualité inclusive et équitable, et encouragera les possibilités d’apprentissage tout au long de la vie pour tous.</w:t>
      </w:r>
    </w:p>
    <w:p w14:paraId="3FA9C1BA" w14:textId="0165FE22" w:rsidR="009853A7" w:rsidRPr="006F4D4F" w:rsidRDefault="007607A2" w:rsidP="0A429371">
      <w:pPr>
        <w:pStyle w:val="BTCBodyText"/>
        <w:spacing w:line="280" w:lineRule="exact"/>
        <w:rPr>
          <w:rFonts w:eastAsia="Arial" w:cs="Arial"/>
          <w:lang w:val="fr-FR"/>
        </w:rPr>
      </w:pPr>
      <w:r w:rsidRPr="006F4D4F">
        <w:rPr>
          <w:rFonts w:eastAsia="Arial" w:cs="Arial"/>
          <w:lang w:val="fr-FR"/>
        </w:rPr>
        <w:t>L’action multi</w:t>
      </w:r>
      <w:r w:rsidR="00914D20">
        <w:rPr>
          <w:rFonts w:eastAsia="Arial" w:cs="Arial"/>
          <w:lang w:val="fr-FR"/>
        </w:rPr>
        <w:t>-donateurs</w:t>
      </w:r>
      <w:r w:rsidRPr="006F4D4F">
        <w:rPr>
          <w:rFonts w:eastAsia="Arial" w:cs="Arial"/>
          <w:lang w:val="fr-FR"/>
        </w:rPr>
        <w:t xml:space="preserve"> est cofinancée par l’Union européenne et le ministère fédéral allemand de la Coopération économique et du développement</w:t>
      </w:r>
      <w:r w:rsidR="00F20A91" w:rsidRPr="006F4D4F">
        <w:rPr>
          <w:rFonts w:eastAsia="Arial" w:cs="Arial"/>
          <w:lang w:val="fr-FR"/>
        </w:rPr>
        <w:t xml:space="preserve"> (BMZ)</w:t>
      </w:r>
      <w:r w:rsidR="005F77CC" w:rsidRPr="006F4D4F">
        <w:rPr>
          <w:rFonts w:eastAsia="Arial" w:cs="Arial"/>
          <w:lang w:val="fr-FR"/>
        </w:rPr>
        <w:t xml:space="preserve">. </w:t>
      </w:r>
      <w:r w:rsidRPr="006F4D4F">
        <w:rPr>
          <w:rFonts w:eastAsia="Arial" w:cs="Arial"/>
          <w:lang w:val="fr-FR"/>
        </w:rPr>
        <w:t xml:space="preserve">Elle sera mise en œuvre par </w:t>
      </w:r>
      <w:r w:rsidR="009853A7" w:rsidRPr="006F4D4F">
        <w:rPr>
          <w:rFonts w:eastAsia="Arial" w:cs="Arial"/>
          <w:lang w:val="fr-FR"/>
        </w:rPr>
        <w:t>Enabel</w:t>
      </w:r>
      <w:r w:rsidR="00C752C0" w:rsidRPr="006F4D4F">
        <w:rPr>
          <w:rFonts w:eastAsia="Arial" w:cs="Arial"/>
          <w:lang w:val="fr-FR"/>
        </w:rPr>
        <w:t xml:space="preserve">, </w:t>
      </w:r>
      <w:r w:rsidRPr="006F4D4F">
        <w:rPr>
          <w:rFonts w:eastAsia="Arial" w:cs="Arial"/>
          <w:lang w:val="fr-FR"/>
        </w:rPr>
        <w:t>l’</w:t>
      </w:r>
      <w:r w:rsidR="00914D20">
        <w:rPr>
          <w:rFonts w:eastAsia="Arial" w:cs="Arial"/>
          <w:lang w:val="fr-FR"/>
        </w:rPr>
        <w:t>a</w:t>
      </w:r>
      <w:r w:rsidRPr="006F4D4F">
        <w:rPr>
          <w:rFonts w:eastAsia="Arial" w:cs="Arial"/>
          <w:lang w:val="fr-FR"/>
        </w:rPr>
        <w:t>gence belge de développement, LuxDev, l’</w:t>
      </w:r>
      <w:r w:rsidR="00914D20">
        <w:rPr>
          <w:rFonts w:eastAsia="Arial" w:cs="Arial"/>
          <w:lang w:val="fr-FR"/>
        </w:rPr>
        <w:t>a</w:t>
      </w:r>
      <w:r w:rsidRPr="006F4D4F">
        <w:rPr>
          <w:rFonts w:eastAsia="Arial" w:cs="Arial"/>
          <w:lang w:val="fr-FR"/>
        </w:rPr>
        <w:t xml:space="preserve">gence luxembourgeoise de coopération </w:t>
      </w:r>
      <w:r w:rsidR="00914D20">
        <w:rPr>
          <w:rFonts w:eastAsia="Arial" w:cs="Arial"/>
          <w:lang w:val="fr-FR"/>
        </w:rPr>
        <w:t>au</w:t>
      </w:r>
      <w:r w:rsidRPr="006F4D4F">
        <w:rPr>
          <w:rFonts w:eastAsia="Arial" w:cs="Arial"/>
          <w:lang w:val="fr-FR"/>
        </w:rPr>
        <w:t xml:space="preserve"> développement, le </w:t>
      </w:r>
      <w:r w:rsidR="009853A7" w:rsidRPr="006F4D4F">
        <w:rPr>
          <w:rFonts w:eastAsia="Arial" w:cs="Arial"/>
          <w:lang w:val="fr-FR"/>
        </w:rPr>
        <w:t>British Council</w:t>
      </w:r>
      <w:r w:rsidR="00F20A91" w:rsidRPr="006F4D4F">
        <w:rPr>
          <w:rFonts w:eastAsia="Arial" w:cs="Arial"/>
          <w:lang w:val="fr-FR"/>
        </w:rPr>
        <w:t xml:space="preserve"> (BC)</w:t>
      </w:r>
      <w:r w:rsidR="009853A7" w:rsidRPr="006F4D4F">
        <w:rPr>
          <w:rFonts w:eastAsia="Arial" w:cs="Arial"/>
          <w:lang w:val="fr-FR"/>
        </w:rPr>
        <w:t>, Expertise France</w:t>
      </w:r>
      <w:r w:rsidR="00F20A91" w:rsidRPr="006F4D4F">
        <w:rPr>
          <w:rFonts w:eastAsia="Arial" w:cs="Arial"/>
          <w:lang w:val="fr-FR"/>
        </w:rPr>
        <w:t xml:space="preserve"> (EF)</w:t>
      </w:r>
      <w:r w:rsidRPr="006F4D4F">
        <w:rPr>
          <w:rFonts w:eastAsia="Arial" w:cs="Arial"/>
          <w:lang w:val="fr-FR"/>
        </w:rPr>
        <w:t xml:space="preserve"> et GIZ (</w:t>
      </w:r>
      <w:r w:rsidR="005F77CC" w:rsidRPr="006F4D4F">
        <w:rPr>
          <w:rFonts w:eastAsia="Arial" w:cs="Arial"/>
          <w:lang w:val="fr-FR"/>
        </w:rPr>
        <w:t>Gesellschaft für Internationale Zusammenarbeit GmbH</w:t>
      </w:r>
      <w:r w:rsidRPr="006F4D4F">
        <w:rPr>
          <w:rFonts w:eastAsia="Arial" w:cs="Arial"/>
          <w:lang w:val="fr-FR"/>
        </w:rPr>
        <w:t xml:space="preserve">), </w:t>
      </w:r>
      <w:r w:rsidR="00467930">
        <w:rPr>
          <w:rFonts w:eastAsia="Arial" w:cs="Arial"/>
          <w:lang w:val="fr-FR"/>
        </w:rPr>
        <w:t xml:space="preserve">un </w:t>
      </w:r>
      <w:r w:rsidRPr="006F4D4F">
        <w:rPr>
          <w:rFonts w:eastAsia="Arial" w:cs="Arial"/>
          <w:lang w:val="fr-FR"/>
        </w:rPr>
        <w:t xml:space="preserve">consortium mené par </w:t>
      </w:r>
      <w:r w:rsidR="00095834" w:rsidRPr="006F4D4F">
        <w:rPr>
          <w:rFonts w:eastAsia="Arial" w:cs="Arial"/>
          <w:lang w:val="fr-FR"/>
        </w:rPr>
        <w:t xml:space="preserve">Enabel. </w:t>
      </w:r>
    </w:p>
    <w:p w14:paraId="4E40CE84" w14:textId="2FB9A1ED" w:rsidR="00145A97" w:rsidRPr="006F4D4F" w:rsidRDefault="00145A97">
      <w:pPr>
        <w:spacing w:before="0"/>
        <w:rPr>
          <w:rFonts w:eastAsia="Arial Unicode MS"/>
          <w:b/>
          <w:bCs/>
          <w:color w:val="50B848"/>
          <w:kern w:val="1"/>
          <w:sz w:val="32"/>
          <w:szCs w:val="48"/>
          <w:lang w:val="fr-FR"/>
        </w:rPr>
      </w:pPr>
      <w:bookmarkStart w:id="17" w:name="_Toc231702650"/>
      <w:bookmarkStart w:id="18" w:name="_Toc261442091"/>
      <w:bookmarkStart w:id="19" w:name="_Toc20239533"/>
      <w:bookmarkStart w:id="20" w:name="_Toc20239626"/>
      <w:bookmarkStart w:id="21" w:name="_Toc20300533"/>
      <w:bookmarkStart w:id="22" w:name="_Toc44423182"/>
    </w:p>
    <w:p w14:paraId="18D32660" w14:textId="51155FE6" w:rsidR="00BA79BA" w:rsidRDefault="00914D20" w:rsidP="00145A97">
      <w:pPr>
        <w:pStyle w:val="Titre1"/>
      </w:pPr>
      <w:bookmarkStart w:id="23" w:name="_Toc54336670"/>
      <w:r>
        <w:t>Fiche</w:t>
      </w:r>
      <w:r w:rsidR="007607A2" w:rsidRPr="006F4D4F">
        <w:t xml:space="preserve"> analytique de l’action</w:t>
      </w:r>
      <w:bookmarkEnd w:id="17"/>
      <w:bookmarkEnd w:id="18"/>
      <w:bookmarkEnd w:id="19"/>
      <w:bookmarkEnd w:id="20"/>
      <w:bookmarkEnd w:id="21"/>
      <w:bookmarkEnd w:id="22"/>
      <w:bookmarkEnd w:id="23"/>
    </w:p>
    <w:p w14:paraId="3C0CD5BE" w14:textId="77777777" w:rsidR="001F1DE0" w:rsidRPr="001F1DE0" w:rsidRDefault="001F1DE0" w:rsidP="001F1DE0">
      <w:pPr>
        <w:rPr>
          <w:lang w:val="fr-FR"/>
        </w:rPr>
      </w:pPr>
    </w:p>
    <w:tbl>
      <w:tblPr>
        <w:tblW w:w="8595" w:type="dxa"/>
        <w:jc w:val="center"/>
        <w:tblBorders>
          <w:top w:val="double" w:sz="6" w:space="0" w:color="999999"/>
          <w:left w:val="double" w:sz="6" w:space="0" w:color="999999"/>
          <w:bottom w:val="double" w:sz="6" w:space="0" w:color="999999"/>
          <w:right w:val="double" w:sz="6" w:space="0" w:color="999999"/>
          <w:insideH w:val="double" w:sz="6" w:space="0" w:color="999999"/>
          <w:insideV w:val="double" w:sz="6" w:space="0" w:color="999999"/>
        </w:tblBorders>
        <w:tblCellMar>
          <w:left w:w="0" w:type="dxa"/>
          <w:right w:w="0" w:type="dxa"/>
        </w:tblCellMar>
        <w:tblLook w:val="0000" w:firstRow="0" w:lastRow="0" w:firstColumn="0" w:lastColumn="0" w:noHBand="0" w:noVBand="0"/>
      </w:tblPr>
      <w:tblGrid>
        <w:gridCol w:w="2313"/>
        <w:gridCol w:w="6282"/>
      </w:tblGrid>
      <w:tr w:rsidR="00A26FC9" w:rsidRPr="006F4D4F" w14:paraId="79D79461" w14:textId="77777777" w:rsidTr="006F4AAA">
        <w:trPr>
          <w:trHeight w:val="320"/>
          <w:jc w:val="center"/>
        </w:trPr>
        <w:tc>
          <w:tcPr>
            <w:tcW w:w="2313" w:type="dxa"/>
            <w:tcMar>
              <w:top w:w="0" w:type="dxa"/>
              <w:left w:w="108" w:type="dxa"/>
              <w:bottom w:w="0" w:type="dxa"/>
              <w:right w:w="108" w:type="dxa"/>
            </w:tcMar>
            <w:vAlign w:val="center"/>
          </w:tcPr>
          <w:p w14:paraId="57641BDD" w14:textId="68ABB8CC" w:rsidR="00A26FC9" w:rsidRPr="006F4D4F" w:rsidRDefault="00BC0C11" w:rsidP="00145A97">
            <w:pPr>
              <w:widowControl w:val="0"/>
              <w:suppressAutoHyphens/>
              <w:spacing w:before="60" w:after="60" w:line="280" w:lineRule="exact"/>
              <w:rPr>
                <w:rFonts w:cs="Times New Roman"/>
                <w:color w:val="auto"/>
                <w:kern w:val="18"/>
                <w:lang w:val="fr-FR"/>
              </w:rPr>
            </w:pPr>
            <w:r w:rsidRPr="006F4D4F">
              <w:rPr>
                <w:rFonts w:cs="Times New Roman"/>
                <w:color w:val="auto"/>
                <w:kern w:val="18"/>
                <w:lang w:val="fr-FR"/>
              </w:rPr>
              <w:t>Dur</w:t>
            </w:r>
            <w:r w:rsidR="007607A2" w:rsidRPr="006F4D4F">
              <w:rPr>
                <w:rFonts w:cs="Times New Roman"/>
                <w:color w:val="auto"/>
                <w:kern w:val="18"/>
                <w:lang w:val="fr-FR"/>
              </w:rPr>
              <w:t>ée</w:t>
            </w:r>
          </w:p>
        </w:tc>
        <w:tc>
          <w:tcPr>
            <w:tcW w:w="6282" w:type="dxa"/>
            <w:tcMar>
              <w:top w:w="0" w:type="dxa"/>
              <w:left w:w="108" w:type="dxa"/>
              <w:bottom w:w="0" w:type="dxa"/>
              <w:right w:w="108" w:type="dxa"/>
            </w:tcMar>
            <w:vAlign w:val="center"/>
          </w:tcPr>
          <w:p w14:paraId="368DD2AA" w14:textId="41471130" w:rsidR="00A26FC9" w:rsidRPr="006F4D4F" w:rsidRDefault="00E02F96" w:rsidP="00677982">
            <w:pPr>
              <w:widowControl w:val="0"/>
              <w:suppressAutoHyphens/>
              <w:spacing w:before="60" w:after="60" w:line="280" w:lineRule="exact"/>
              <w:jc w:val="both"/>
              <w:rPr>
                <w:rFonts w:cs="Times New Roman"/>
                <w:color w:val="auto"/>
                <w:kern w:val="18"/>
                <w:lang w:val="fr-FR"/>
              </w:rPr>
            </w:pPr>
            <w:r w:rsidRPr="006F4D4F">
              <w:rPr>
                <w:rFonts w:cs="Times New Roman"/>
                <w:color w:val="auto"/>
                <w:kern w:val="18"/>
                <w:lang w:val="fr-FR"/>
              </w:rPr>
              <w:t>48</w:t>
            </w:r>
            <w:r w:rsidR="00776F09" w:rsidRPr="006F4D4F">
              <w:rPr>
                <w:rFonts w:cs="Times New Roman"/>
                <w:color w:val="auto"/>
                <w:kern w:val="18"/>
                <w:lang w:val="fr-FR"/>
              </w:rPr>
              <w:t xml:space="preserve"> </w:t>
            </w:r>
            <w:r w:rsidR="0046000C" w:rsidRPr="006F4D4F">
              <w:rPr>
                <w:rFonts w:cs="Times New Roman"/>
                <w:color w:val="auto"/>
                <w:kern w:val="18"/>
                <w:lang w:val="fr-FR"/>
              </w:rPr>
              <w:t>mois</w:t>
            </w:r>
            <w:r w:rsidR="00A265C1" w:rsidRPr="006F4D4F">
              <w:rPr>
                <w:rFonts w:cs="Times New Roman"/>
                <w:color w:val="auto"/>
                <w:kern w:val="18"/>
                <w:lang w:val="fr-FR"/>
              </w:rPr>
              <w:t xml:space="preserve"> </w:t>
            </w:r>
          </w:p>
        </w:tc>
      </w:tr>
      <w:tr w:rsidR="00A26FC9" w:rsidRPr="006F4D4F" w14:paraId="25F62E85" w14:textId="77777777" w:rsidTr="006F4AAA">
        <w:trPr>
          <w:trHeight w:val="382"/>
          <w:jc w:val="center"/>
        </w:trPr>
        <w:tc>
          <w:tcPr>
            <w:tcW w:w="2313" w:type="dxa"/>
            <w:shd w:val="clear" w:color="auto" w:fill="auto"/>
            <w:tcMar>
              <w:top w:w="0" w:type="dxa"/>
              <w:left w:w="108" w:type="dxa"/>
              <w:bottom w:w="0" w:type="dxa"/>
              <w:right w:w="108" w:type="dxa"/>
            </w:tcMar>
            <w:vAlign w:val="center"/>
          </w:tcPr>
          <w:p w14:paraId="5E643829" w14:textId="7B0C990E" w:rsidR="00A26FC9" w:rsidRPr="006F4D4F" w:rsidRDefault="007607A2" w:rsidP="00145A97">
            <w:pPr>
              <w:widowControl w:val="0"/>
              <w:suppressAutoHyphens/>
              <w:spacing w:before="60" w:after="60" w:line="280" w:lineRule="exact"/>
              <w:rPr>
                <w:rFonts w:cs="Times New Roman"/>
                <w:color w:val="auto"/>
                <w:kern w:val="18"/>
                <w:lang w:val="fr-FR"/>
              </w:rPr>
            </w:pPr>
            <w:r w:rsidRPr="006F4D4F">
              <w:rPr>
                <w:rFonts w:cs="Times New Roman"/>
                <w:color w:val="auto"/>
                <w:kern w:val="18"/>
                <w:lang w:val="fr-FR"/>
              </w:rPr>
              <w:t>Date de démarrage</w:t>
            </w:r>
          </w:p>
        </w:tc>
        <w:tc>
          <w:tcPr>
            <w:tcW w:w="6282" w:type="dxa"/>
            <w:shd w:val="clear" w:color="auto" w:fill="auto"/>
            <w:tcMar>
              <w:top w:w="0" w:type="dxa"/>
              <w:left w:w="108" w:type="dxa"/>
              <w:bottom w:w="0" w:type="dxa"/>
              <w:right w:w="108" w:type="dxa"/>
            </w:tcMar>
            <w:vAlign w:val="center"/>
          </w:tcPr>
          <w:p w14:paraId="45CB5E87" w14:textId="0AAD98D5" w:rsidR="00A26FC9" w:rsidRPr="006F4D4F" w:rsidRDefault="00EA57E6" w:rsidP="00C057D3">
            <w:pPr>
              <w:widowControl w:val="0"/>
              <w:suppressAutoHyphens/>
              <w:spacing w:before="60" w:after="60" w:line="280" w:lineRule="exact"/>
              <w:jc w:val="both"/>
              <w:rPr>
                <w:rFonts w:cs="Times New Roman"/>
                <w:color w:val="auto"/>
                <w:kern w:val="18"/>
                <w:lang w:val="fr-FR"/>
              </w:rPr>
            </w:pPr>
            <w:r w:rsidRPr="006F4D4F">
              <w:rPr>
                <w:rFonts w:cs="Times New Roman"/>
                <w:color w:val="auto"/>
                <w:kern w:val="18"/>
                <w:lang w:val="fr-FR"/>
              </w:rPr>
              <w:t>0</w:t>
            </w:r>
            <w:r w:rsidR="001A4256" w:rsidRPr="006F4D4F">
              <w:rPr>
                <w:rFonts w:cs="Times New Roman"/>
                <w:color w:val="auto"/>
                <w:kern w:val="18"/>
                <w:lang w:val="fr-FR"/>
              </w:rPr>
              <w:t>1</w:t>
            </w:r>
            <w:r w:rsidRPr="006F4D4F">
              <w:rPr>
                <w:rFonts w:cs="Times New Roman"/>
                <w:color w:val="auto"/>
                <w:kern w:val="18"/>
                <w:lang w:val="fr-FR"/>
              </w:rPr>
              <w:t>.</w:t>
            </w:r>
            <w:r w:rsidR="001A4256" w:rsidRPr="006F4D4F">
              <w:rPr>
                <w:rFonts w:cs="Times New Roman"/>
                <w:color w:val="auto"/>
                <w:kern w:val="18"/>
                <w:lang w:val="fr-FR"/>
              </w:rPr>
              <w:t>0</w:t>
            </w:r>
            <w:r w:rsidR="00470C63" w:rsidRPr="006F4D4F">
              <w:rPr>
                <w:rFonts w:cs="Times New Roman"/>
                <w:color w:val="auto"/>
                <w:kern w:val="18"/>
                <w:lang w:val="fr-FR"/>
              </w:rPr>
              <w:t>9</w:t>
            </w:r>
            <w:r w:rsidRPr="006F4D4F">
              <w:rPr>
                <w:rFonts w:cs="Times New Roman"/>
                <w:color w:val="auto"/>
                <w:kern w:val="18"/>
                <w:lang w:val="fr-FR"/>
              </w:rPr>
              <w:t>.2020</w:t>
            </w:r>
            <w:r w:rsidR="00470C63" w:rsidRPr="006F4D4F">
              <w:rPr>
                <w:rFonts w:cs="Times New Roman"/>
                <w:color w:val="auto"/>
                <w:kern w:val="18"/>
                <w:lang w:val="fr-FR"/>
              </w:rPr>
              <w:t xml:space="preserve"> </w:t>
            </w:r>
            <w:r w:rsidR="00470C63" w:rsidRPr="006F4D4F">
              <w:rPr>
                <w:rFonts w:cs="Times New Roman"/>
                <w:i/>
                <w:color w:val="auto"/>
                <w:kern w:val="18"/>
                <w:lang w:val="fr-FR"/>
              </w:rPr>
              <w:t>(estimat</w:t>
            </w:r>
            <w:r w:rsidR="0046000C" w:rsidRPr="006F4D4F">
              <w:rPr>
                <w:rFonts w:cs="Times New Roman"/>
                <w:i/>
                <w:color w:val="auto"/>
                <w:kern w:val="18"/>
                <w:lang w:val="fr-FR"/>
              </w:rPr>
              <w:t>ion</w:t>
            </w:r>
            <w:r w:rsidR="00470C63" w:rsidRPr="006F4D4F">
              <w:rPr>
                <w:rFonts w:cs="Times New Roman"/>
                <w:i/>
                <w:color w:val="auto"/>
                <w:kern w:val="18"/>
                <w:lang w:val="fr-FR"/>
              </w:rPr>
              <w:t>)</w:t>
            </w:r>
          </w:p>
        </w:tc>
      </w:tr>
      <w:tr w:rsidR="00A26FC9" w:rsidRPr="006F4D4F" w14:paraId="7213408E" w14:textId="77777777" w:rsidTr="006F4AAA">
        <w:trPr>
          <w:trHeight w:val="268"/>
          <w:jc w:val="center"/>
        </w:trPr>
        <w:tc>
          <w:tcPr>
            <w:tcW w:w="2313" w:type="dxa"/>
            <w:tcMar>
              <w:top w:w="0" w:type="dxa"/>
              <w:left w:w="108" w:type="dxa"/>
              <w:bottom w:w="0" w:type="dxa"/>
              <w:right w:w="108" w:type="dxa"/>
            </w:tcMar>
            <w:vAlign w:val="center"/>
          </w:tcPr>
          <w:p w14:paraId="7063771C" w14:textId="6EB5868C" w:rsidR="00A26FC9" w:rsidRPr="006F4D4F" w:rsidRDefault="007607A2" w:rsidP="00145A97">
            <w:pPr>
              <w:widowControl w:val="0"/>
              <w:suppressAutoHyphens/>
              <w:spacing w:before="60" w:after="60" w:line="280" w:lineRule="exact"/>
              <w:rPr>
                <w:rFonts w:cs="Times New Roman"/>
                <w:color w:val="auto"/>
                <w:kern w:val="18"/>
                <w:lang w:val="fr-FR"/>
              </w:rPr>
            </w:pPr>
            <w:r w:rsidRPr="006F4D4F">
              <w:rPr>
                <w:rFonts w:cs="Times New Roman"/>
                <w:color w:val="auto"/>
                <w:kern w:val="18"/>
                <w:lang w:val="fr-FR"/>
              </w:rPr>
              <w:t xml:space="preserve">Contribution </w:t>
            </w:r>
            <w:r w:rsidR="0046000C" w:rsidRPr="006F4D4F">
              <w:rPr>
                <w:rFonts w:cs="Times New Roman"/>
                <w:color w:val="auto"/>
                <w:kern w:val="18"/>
                <w:lang w:val="fr-FR"/>
              </w:rPr>
              <w:t xml:space="preserve">de la </w:t>
            </w:r>
            <w:r w:rsidRPr="006F4D4F">
              <w:rPr>
                <w:rFonts w:cs="Times New Roman"/>
                <w:color w:val="auto"/>
                <w:kern w:val="18"/>
                <w:lang w:val="fr-FR"/>
              </w:rPr>
              <w:t>CE</w:t>
            </w:r>
          </w:p>
        </w:tc>
        <w:tc>
          <w:tcPr>
            <w:tcW w:w="6282" w:type="dxa"/>
            <w:tcMar>
              <w:top w:w="0" w:type="dxa"/>
              <w:left w:w="108" w:type="dxa"/>
              <w:bottom w:w="0" w:type="dxa"/>
              <w:right w:w="108" w:type="dxa"/>
            </w:tcMar>
            <w:vAlign w:val="center"/>
          </w:tcPr>
          <w:p w14:paraId="32DD625C" w14:textId="06490FF8" w:rsidR="00A26FC9" w:rsidRPr="006F4D4F" w:rsidRDefault="00A52741" w:rsidP="001A3B7D">
            <w:pPr>
              <w:widowControl w:val="0"/>
              <w:suppressAutoHyphens/>
              <w:spacing w:before="60" w:after="60" w:line="280" w:lineRule="exact"/>
              <w:jc w:val="both"/>
              <w:rPr>
                <w:rFonts w:cs="Times New Roman"/>
                <w:color w:val="auto"/>
                <w:kern w:val="18"/>
                <w:lang w:val="fr-FR"/>
              </w:rPr>
            </w:pPr>
            <w:r w:rsidRPr="006F4D4F">
              <w:rPr>
                <w:rFonts w:cs="Times New Roman"/>
                <w:color w:val="auto"/>
                <w:kern w:val="18"/>
                <w:lang w:val="fr-FR"/>
              </w:rPr>
              <w:t>15 million</w:t>
            </w:r>
            <w:r w:rsidR="0046000C" w:rsidRPr="006F4D4F">
              <w:rPr>
                <w:rFonts w:cs="Times New Roman"/>
                <w:color w:val="auto"/>
                <w:kern w:val="18"/>
                <w:lang w:val="fr-FR"/>
              </w:rPr>
              <w:t>s d’euros</w:t>
            </w:r>
          </w:p>
        </w:tc>
      </w:tr>
      <w:tr w:rsidR="00C057D3" w:rsidRPr="006F4D4F" w14:paraId="4BC64E92" w14:textId="77777777" w:rsidTr="006F4AAA">
        <w:trPr>
          <w:trHeight w:val="230"/>
          <w:jc w:val="center"/>
        </w:trPr>
        <w:tc>
          <w:tcPr>
            <w:tcW w:w="2313" w:type="dxa"/>
            <w:tcMar>
              <w:top w:w="0" w:type="dxa"/>
              <w:left w:w="108" w:type="dxa"/>
              <w:bottom w:w="0" w:type="dxa"/>
              <w:right w:w="108" w:type="dxa"/>
            </w:tcMar>
            <w:vAlign w:val="center"/>
          </w:tcPr>
          <w:p w14:paraId="67A07F52" w14:textId="554AA9F8" w:rsidR="00F37937" w:rsidRPr="006F4D4F" w:rsidRDefault="0046000C" w:rsidP="00145A97">
            <w:pPr>
              <w:widowControl w:val="0"/>
              <w:suppressAutoHyphens/>
              <w:spacing w:before="60" w:after="60" w:line="280" w:lineRule="exact"/>
              <w:rPr>
                <w:rFonts w:cs="Times New Roman"/>
                <w:color w:val="auto"/>
                <w:kern w:val="18"/>
                <w:lang w:val="fr-FR"/>
              </w:rPr>
            </w:pPr>
            <w:r w:rsidRPr="006F4D4F">
              <w:rPr>
                <w:rFonts w:cs="Times New Roman"/>
                <w:color w:val="auto"/>
                <w:kern w:val="18"/>
                <w:lang w:val="fr-FR"/>
              </w:rPr>
              <w:t xml:space="preserve">Contribution de l’État allemand </w:t>
            </w:r>
            <w:r w:rsidR="00C057D3" w:rsidRPr="006F4D4F">
              <w:rPr>
                <w:rFonts w:cs="Times New Roman"/>
                <w:color w:val="auto"/>
                <w:kern w:val="18"/>
                <w:lang w:val="fr-FR"/>
              </w:rPr>
              <w:t>(BMZ)</w:t>
            </w:r>
          </w:p>
        </w:tc>
        <w:tc>
          <w:tcPr>
            <w:tcW w:w="6282" w:type="dxa"/>
            <w:tcMar>
              <w:top w:w="0" w:type="dxa"/>
              <w:left w:w="108" w:type="dxa"/>
              <w:bottom w:w="0" w:type="dxa"/>
              <w:right w:w="108" w:type="dxa"/>
            </w:tcMar>
            <w:vAlign w:val="center"/>
          </w:tcPr>
          <w:p w14:paraId="134150D2" w14:textId="4F0AF62D" w:rsidR="00C057D3" w:rsidRPr="006F4D4F" w:rsidRDefault="00457403" w:rsidP="001A3B7D">
            <w:pPr>
              <w:widowControl w:val="0"/>
              <w:suppressAutoHyphens/>
              <w:spacing w:before="60" w:after="60" w:line="280" w:lineRule="exact"/>
              <w:jc w:val="both"/>
              <w:rPr>
                <w:rFonts w:cs="Times New Roman"/>
                <w:color w:val="auto"/>
                <w:kern w:val="18"/>
                <w:lang w:val="fr-FR"/>
              </w:rPr>
            </w:pPr>
            <w:r w:rsidRPr="006F4D4F">
              <w:rPr>
                <w:rFonts w:cs="Times New Roman"/>
                <w:color w:val="auto"/>
                <w:kern w:val="18"/>
                <w:lang w:val="fr-FR"/>
              </w:rPr>
              <w:t>1,25</w:t>
            </w:r>
            <w:r w:rsidR="00EA57E6" w:rsidRPr="006F4D4F">
              <w:rPr>
                <w:rFonts w:cs="Times New Roman"/>
                <w:color w:val="auto"/>
                <w:kern w:val="18"/>
                <w:lang w:val="fr-FR"/>
              </w:rPr>
              <w:t xml:space="preserve"> million</w:t>
            </w:r>
            <w:r w:rsidR="0046000C" w:rsidRPr="006F4D4F">
              <w:rPr>
                <w:rFonts w:cs="Times New Roman"/>
                <w:color w:val="auto"/>
                <w:kern w:val="18"/>
                <w:lang w:val="fr-FR"/>
              </w:rPr>
              <w:t xml:space="preserve"> d’euros</w:t>
            </w:r>
          </w:p>
        </w:tc>
      </w:tr>
      <w:tr w:rsidR="00C057D3" w:rsidRPr="006F4D4F" w14:paraId="5E1C2952" w14:textId="77777777" w:rsidTr="006F4AAA">
        <w:trPr>
          <w:trHeight w:val="230"/>
          <w:jc w:val="center"/>
        </w:trPr>
        <w:tc>
          <w:tcPr>
            <w:tcW w:w="2313" w:type="dxa"/>
            <w:tcMar>
              <w:top w:w="0" w:type="dxa"/>
              <w:left w:w="108" w:type="dxa"/>
              <w:bottom w:w="0" w:type="dxa"/>
              <w:right w:w="108" w:type="dxa"/>
            </w:tcMar>
            <w:vAlign w:val="center"/>
          </w:tcPr>
          <w:p w14:paraId="11C11F6B" w14:textId="675D61D4" w:rsidR="00C057D3" w:rsidRPr="006F4D4F" w:rsidRDefault="00C057D3" w:rsidP="00145A97">
            <w:pPr>
              <w:widowControl w:val="0"/>
              <w:suppressAutoHyphens/>
              <w:spacing w:before="60" w:after="60" w:line="280" w:lineRule="exact"/>
              <w:rPr>
                <w:rFonts w:cs="Times New Roman"/>
                <w:color w:val="auto"/>
                <w:kern w:val="18"/>
                <w:lang w:val="fr-FR"/>
              </w:rPr>
            </w:pPr>
            <w:r w:rsidRPr="006F4D4F">
              <w:rPr>
                <w:rFonts w:cs="Times New Roman"/>
                <w:color w:val="auto"/>
                <w:kern w:val="18"/>
                <w:lang w:val="fr-FR"/>
              </w:rPr>
              <w:t>Sect</w:t>
            </w:r>
            <w:r w:rsidR="0046000C" w:rsidRPr="006F4D4F">
              <w:rPr>
                <w:rFonts w:cs="Times New Roman"/>
                <w:color w:val="auto"/>
                <w:kern w:val="18"/>
                <w:lang w:val="fr-FR"/>
              </w:rPr>
              <w:t>eur</w:t>
            </w:r>
            <w:r w:rsidRPr="006F4D4F">
              <w:rPr>
                <w:rFonts w:cs="Times New Roman"/>
                <w:color w:val="auto"/>
                <w:kern w:val="18"/>
                <w:lang w:val="fr-FR"/>
              </w:rPr>
              <w:t xml:space="preserve"> (</w:t>
            </w:r>
            <w:r w:rsidR="0046000C" w:rsidRPr="006F4D4F">
              <w:rPr>
                <w:rFonts w:cs="Times New Roman"/>
                <w:color w:val="auto"/>
                <w:kern w:val="18"/>
                <w:lang w:val="fr-FR"/>
              </w:rPr>
              <w:t xml:space="preserve">codes </w:t>
            </w:r>
            <w:r w:rsidRPr="006F4D4F">
              <w:rPr>
                <w:rFonts w:cs="Times New Roman"/>
                <w:color w:val="auto"/>
                <w:kern w:val="18"/>
                <w:lang w:val="fr-FR"/>
              </w:rPr>
              <w:t>CAD)</w:t>
            </w:r>
          </w:p>
        </w:tc>
        <w:tc>
          <w:tcPr>
            <w:tcW w:w="6282" w:type="dxa"/>
            <w:tcMar>
              <w:top w:w="0" w:type="dxa"/>
              <w:left w:w="108" w:type="dxa"/>
              <w:bottom w:w="0" w:type="dxa"/>
              <w:right w:w="108" w:type="dxa"/>
            </w:tcMar>
            <w:vAlign w:val="center"/>
          </w:tcPr>
          <w:p w14:paraId="38DF0052" w14:textId="14EBE9AD" w:rsidR="00C057D3" w:rsidRPr="006F4D4F" w:rsidRDefault="00C057D3" w:rsidP="001A3B7D">
            <w:pPr>
              <w:widowControl w:val="0"/>
              <w:suppressAutoHyphens/>
              <w:spacing w:before="60" w:after="60" w:line="280" w:lineRule="exact"/>
              <w:jc w:val="both"/>
              <w:rPr>
                <w:rFonts w:cs="Times New Roman"/>
                <w:color w:val="auto"/>
                <w:kern w:val="18"/>
                <w:lang w:val="fr-FR"/>
              </w:rPr>
            </w:pPr>
            <w:r w:rsidRPr="006F4D4F">
              <w:rPr>
                <w:rFonts w:cs="Times New Roman"/>
                <w:color w:val="auto"/>
                <w:kern w:val="18"/>
                <w:lang w:val="fr-FR"/>
              </w:rPr>
              <w:t>11330 (</w:t>
            </w:r>
            <w:r w:rsidR="0046000C" w:rsidRPr="006F4D4F">
              <w:rPr>
                <w:rFonts w:cs="Times New Roman"/>
                <w:color w:val="auto"/>
                <w:kern w:val="18"/>
                <w:lang w:val="fr-FR"/>
              </w:rPr>
              <w:t>Formation professionnelle</w:t>
            </w:r>
            <w:r w:rsidRPr="006F4D4F">
              <w:rPr>
                <w:rFonts w:cs="Times New Roman"/>
                <w:color w:val="auto"/>
                <w:kern w:val="18"/>
                <w:lang w:val="fr-FR"/>
              </w:rPr>
              <w:t>)</w:t>
            </w:r>
          </w:p>
        </w:tc>
      </w:tr>
      <w:tr w:rsidR="00C057D3" w:rsidRPr="004A302F" w14:paraId="0CEA853C" w14:textId="77777777" w:rsidTr="006F4AAA">
        <w:trPr>
          <w:trHeight w:val="709"/>
          <w:jc w:val="center"/>
        </w:trPr>
        <w:tc>
          <w:tcPr>
            <w:tcW w:w="2313" w:type="dxa"/>
            <w:tcMar>
              <w:top w:w="0" w:type="dxa"/>
              <w:left w:w="108" w:type="dxa"/>
              <w:bottom w:w="0" w:type="dxa"/>
              <w:right w:w="108" w:type="dxa"/>
            </w:tcMar>
          </w:tcPr>
          <w:p w14:paraId="796A1F54" w14:textId="7E591133" w:rsidR="00C057D3" w:rsidRPr="006F4D4F" w:rsidRDefault="0046000C" w:rsidP="00145A97">
            <w:pPr>
              <w:widowControl w:val="0"/>
              <w:suppressAutoHyphens/>
              <w:spacing w:before="60" w:after="60" w:line="280" w:lineRule="exact"/>
              <w:rPr>
                <w:rFonts w:cs="Times New Roman"/>
                <w:color w:val="auto"/>
                <w:kern w:val="18"/>
                <w:lang w:val="fr-FR"/>
              </w:rPr>
            </w:pPr>
            <w:r w:rsidRPr="006F4D4F">
              <w:rPr>
                <w:rFonts w:cs="Times New Roman"/>
                <w:color w:val="auto"/>
                <w:kern w:val="18"/>
                <w:lang w:val="fr-FR"/>
              </w:rPr>
              <w:t>Objectif global</w:t>
            </w:r>
          </w:p>
        </w:tc>
        <w:tc>
          <w:tcPr>
            <w:tcW w:w="6282" w:type="dxa"/>
            <w:tcMar>
              <w:top w:w="0" w:type="dxa"/>
              <w:left w:w="108" w:type="dxa"/>
              <w:bottom w:w="0" w:type="dxa"/>
              <w:right w:w="108" w:type="dxa"/>
            </w:tcMar>
          </w:tcPr>
          <w:p w14:paraId="7740D2F9" w14:textId="5F83D890" w:rsidR="00C057D3" w:rsidRPr="006F4D4F" w:rsidRDefault="0046000C" w:rsidP="001A3B7D">
            <w:pPr>
              <w:widowControl w:val="0"/>
              <w:suppressAutoHyphens/>
              <w:spacing w:before="60" w:after="60" w:line="280" w:lineRule="exact"/>
              <w:jc w:val="both"/>
              <w:rPr>
                <w:rFonts w:cs="Times New Roman"/>
                <w:color w:val="auto"/>
                <w:kern w:val="18"/>
                <w:lang w:val="fr-FR"/>
              </w:rPr>
            </w:pPr>
            <w:r w:rsidRPr="006F4D4F">
              <w:rPr>
                <w:rFonts w:cs="Times New Roman"/>
                <w:color w:val="auto"/>
                <w:kern w:val="18"/>
                <w:lang w:val="fr-FR"/>
              </w:rPr>
              <w:t xml:space="preserve">Mieux répondre aux besoins en capital humain des programmes d’investissement et de développement de la chaîne de valeur et </w:t>
            </w:r>
            <w:r w:rsidR="00914D20">
              <w:rPr>
                <w:rFonts w:cs="Times New Roman"/>
                <w:color w:val="auto"/>
                <w:kern w:val="18"/>
                <w:lang w:val="fr-FR"/>
              </w:rPr>
              <w:t xml:space="preserve">d’approvisionnement </w:t>
            </w:r>
            <w:r w:rsidRPr="006F4D4F">
              <w:rPr>
                <w:rFonts w:cs="Times New Roman"/>
                <w:color w:val="auto"/>
                <w:kern w:val="18"/>
                <w:lang w:val="fr-FR"/>
              </w:rPr>
              <w:t>dans certains pays d’Afrique sub-saharienne.</w:t>
            </w:r>
          </w:p>
        </w:tc>
      </w:tr>
      <w:tr w:rsidR="00C057D3" w:rsidRPr="004A302F" w14:paraId="03E618CE" w14:textId="77777777" w:rsidTr="006F4AAA">
        <w:trPr>
          <w:trHeight w:val="728"/>
          <w:jc w:val="center"/>
        </w:trPr>
        <w:tc>
          <w:tcPr>
            <w:tcW w:w="2313" w:type="dxa"/>
            <w:tcMar>
              <w:top w:w="0" w:type="dxa"/>
              <w:left w:w="108" w:type="dxa"/>
              <w:bottom w:w="0" w:type="dxa"/>
              <w:right w:w="108" w:type="dxa"/>
            </w:tcMar>
          </w:tcPr>
          <w:p w14:paraId="1C05FC22" w14:textId="4FD50DCD" w:rsidR="00C057D3" w:rsidRPr="006F4D4F" w:rsidRDefault="0046000C" w:rsidP="00145A97">
            <w:pPr>
              <w:widowControl w:val="0"/>
              <w:suppressAutoHyphens/>
              <w:spacing w:before="60" w:after="60" w:line="280" w:lineRule="exact"/>
              <w:rPr>
                <w:rFonts w:cs="Times New Roman"/>
                <w:color w:val="auto"/>
                <w:kern w:val="18"/>
                <w:lang w:val="fr-FR"/>
              </w:rPr>
            </w:pPr>
            <w:r w:rsidRPr="006F4D4F">
              <w:rPr>
                <w:rFonts w:cs="Times New Roman"/>
                <w:color w:val="auto"/>
                <w:kern w:val="18"/>
                <w:lang w:val="fr-FR"/>
              </w:rPr>
              <w:t>Objectif spécifique</w:t>
            </w:r>
          </w:p>
        </w:tc>
        <w:tc>
          <w:tcPr>
            <w:tcW w:w="6282" w:type="dxa"/>
            <w:tcMar>
              <w:top w:w="0" w:type="dxa"/>
              <w:left w:w="108" w:type="dxa"/>
              <w:bottom w:w="0" w:type="dxa"/>
              <w:right w:w="108" w:type="dxa"/>
            </w:tcMar>
          </w:tcPr>
          <w:p w14:paraId="2CA653B5" w14:textId="5B546BE3" w:rsidR="00C057D3" w:rsidRPr="006F4D4F" w:rsidRDefault="00914D20" w:rsidP="001A3B7D">
            <w:pPr>
              <w:widowControl w:val="0"/>
              <w:suppressAutoHyphens/>
              <w:spacing w:before="60" w:after="60" w:line="280" w:lineRule="exact"/>
              <w:jc w:val="both"/>
              <w:rPr>
                <w:rFonts w:cs="Times New Roman"/>
                <w:color w:val="auto"/>
                <w:kern w:val="18"/>
                <w:lang w:val="fr-FR"/>
              </w:rPr>
            </w:pPr>
            <w:r>
              <w:rPr>
                <w:rFonts w:cs="Times New Roman"/>
                <w:color w:val="auto"/>
                <w:kern w:val="18"/>
                <w:lang w:val="fr-FR"/>
              </w:rPr>
              <w:t xml:space="preserve">Renforcer le </w:t>
            </w:r>
            <w:r w:rsidR="0068294B">
              <w:rPr>
                <w:rFonts w:cs="Times New Roman"/>
                <w:color w:val="auto"/>
                <w:kern w:val="18"/>
                <w:lang w:val="fr-FR"/>
              </w:rPr>
              <w:t>développement des compétences</w:t>
            </w:r>
            <w:r w:rsidR="0046000C" w:rsidRPr="006F4D4F">
              <w:rPr>
                <w:rFonts w:cs="Times New Roman"/>
                <w:color w:val="auto"/>
                <w:kern w:val="18"/>
                <w:lang w:val="fr-FR"/>
              </w:rPr>
              <w:t xml:space="preserve"> et </w:t>
            </w:r>
            <w:r>
              <w:rPr>
                <w:rFonts w:cs="Times New Roman"/>
                <w:color w:val="auto"/>
                <w:kern w:val="18"/>
                <w:lang w:val="fr-FR"/>
              </w:rPr>
              <w:t>l</w:t>
            </w:r>
            <w:r w:rsidR="0046000C" w:rsidRPr="006F4D4F">
              <w:rPr>
                <w:rFonts w:cs="Times New Roman"/>
                <w:color w:val="auto"/>
                <w:kern w:val="18"/>
                <w:lang w:val="fr-FR"/>
              </w:rPr>
              <w:t>’</w:t>
            </w:r>
            <w:r w:rsidR="00E942D9">
              <w:rPr>
                <w:rFonts w:cs="Times New Roman"/>
                <w:color w:val="auto"/>
                <w:kern w:val="18"/>
                <w:lang w:val="fr-FR"/>
              </w:rPr>
              <w:t>EFP</w:t>
            </w:r>
            <w:r w:rsidR="0046000C" w:rsidRPr="006F4D4F">
              <w:rPr>
                <w:rFonts w:cs="Times New Roman"/>
                <w:color w:val="auto"/>
                <w:kern w:val="18"/>
                <w:lang w:val="fr-FR"/>
              </w:rPr>
              <w:t xml:space="preserve"> </w:t>
            </w:r>
            <w:r w:rsidRPr="00914D20">
              <w:rPr>
                <w:rFonts w:cs="Times New Roman"/>
                <w:color w:val="auto"/>
                <w:kern w:val="18"/>
                <w:lang w:val="fr-FR"/>
              </w:rPr>
              <w:t xml:space="preserve">axés sur la demande </w:t>
            </w:r>
            <w:r w:rsidR="0046000C" w:rsidRPr="006F4D4F">
              <w:rPr>
                <w:rFonts w:cs="Times New Roman"/>
                <w:color w:val="auto"/>
                <w:kern w:val="18"/>
                <w:lang w:val="fr-FR"/>
              </w:rPr>
              <w:t>pour répondre aux besoins d</w:t>
            </w:r>
            <w:r>
              <w:rPr>
                <w:rFonts w:cs="Times New Roman"/>
                <w:color w:val="auto"/>
                <w:kern w:val="18"/>
                <w:lang w:val="fr-FR"/>
              </w:rPr>
              <w:t xml:space="preserve">es </w:t>
            </w:r>
            <w:r w:rsidR="0046000C" w:rsidRPr="006F4D4F">
              <w:rPr>
                <w:rFonts w:cs="Times New Roman"/>
                <w:color w:val="auto"/>
                <w:kern w:val="18"/>
                <w:lang w:val="fr-FR"/>
              </w:rPr>
              <w:t>investissement</w:t>
            </w:r>
            <w:r>
              <w:rPr>
                <w:rFonts w:cs="Times New Roman"/>
                <w:color w:val="auto"/>
                <w:kern w:val="18"/>
                <w:lang w:val="fr-FR"/>
              </w:rPr>
              <w:t>s</w:t>
            </w:r>
            <w:r w:rsidR="0046000C" w:rsidRPr="006F4D4F">
              <w:rPr>
                <w:rFonts w:cs="Times New Roman"/>
                <w:color w:val="auto"/>
                <w:kern w:val="18"/>
                <w:lang w:val="fr-FR"/>
              </w:rPr>
              <w:t>.</w:t>
            </w:r>
          </w:p>
        </w:tc>
      </w:tr>
      <w:tr w:rsidR="00C057D3" w:rsidRPr="004A302F" w14:paraId="1651A707" w14:textId="77777777" w:rsidTr="006F4AAA">
        <w:trPr>
          <w:trHeight w:val="317"/>
          <w:jc w:val="center"/>
        </w:trPr>
        <w:tc>
          <w:tcPr>
            <w:tcW w:w="2313" w:type="dxa"/>
            <w:tcMar>
              <w:top w:w="0" w:type="dxa"/>
              <w:left w:w="108" w:type="dxa"/>
              <w:bottom w:w="0" w:type="dxa"/>
              <w:right w:w="108" w:type="dxa"/>
            </w:tcMar>
          </w:tcPr>
          <w:p w14:paraId="2D524658" w14:textId="3DBDEDE7" w:rsidR="00C057D3" w:rsidRPr="006F4D4F" w:rsidRDefault="0046000C" w:rsidP="00145A97">
            <w:pPr>
              <w:widowControl w:val="0"/>
              <w:suppressAutoHyphens/>
              <w:spacing w:before="60" w:after="60" w:line="280" w:lineRule="exact"/>
              <w:rPr>
                <w:rFonts w:cs="Times New Roman"/>
                <w:color w:val="auto"/>
                <w:kern w:val="18"/>
                <w:lang w:val="fr-FR"/>
              </w:rPr>
            </w:pPr>
            <w:r w:rsidRPr="006F4D4F">
              <w:rPr>
                <w:rFonts w:cs="Times New Roman"/>
                <w:color w:val="auto"/>
                <w:kern w:val="18"/>
                <w:lang w:val="fr-FR"/>
              </w:rPr>
              <w:t>Résultats</w:t>
            </w:r>
          </w:p>
        </w:tc>
        <w:tc>
          <w:tcPr>
            <w:tcW w:w="6282" w:type="dxa"/>
            <w:tcMar>
              <w:top w:w="0" w:type="dxa"/>
              <w:left w:w="108" w:type="dxa"/>
              <w:bottom w:w="0" w:type="dxa"/>
              <w:right w:w="108" w:type="dxa"/>
            </w:tcMar>
          </w:tcPr>
          <w:p w14:paraId="612849AC" w14:textId="75C05CCB" w:rsidR="00C057D3" w:rsidRPr="006F4D4F" w:rsidRDefault="00095F02" w:rsidP="0A429371">
            <w:pPr>
              <w:widowControl w:val="0"/>
              <w:suppressAutoHyphens/>
              <w:spacing w:before="60" w:after="60" w:line="280" w:lineRule="exact"/>
              <w:jc w:val="both"/>
              <w:rPr>
                <w:rFonts w:eastAsia="Arial"/>
                <w:color w:val="auto"/>
                <w:lang w:val="fr-FR"/>
              </w:rPr>
            </w:pPr>
            <w:r w:rsidRPr="006F4D4F">
              <w:rPr>
                <w:rFonts w:eastAsia="Arial"/>
                <w:color w:val="auto"/>
                <w:lang w:val="fr-FR"/>
              </w:rPr>
              <w:t>1</w:t>
            </w:r>
            <w:r w:rsidR="0046000C" w:rsidRPr="006F4D4F">
              <w:rPr>
                <w:rFonts w:eastAsia="Arial"/>
                <w:color w:val="auto"/>
                <w:lang w:val="fr-FR"/>
              </w:rPr>
              <w:t>.</w:t>
            </w:r>
            <w:r w:rsidRPr="006F4D4F">
              <w:rPr>
                <w:rFonts w:eastAsia="Arial"/>
                <w:color w:val="auto"/>
                <w:lang w:val="fr-FR"/>
              </w:rPr>
              <w:t xml:space="preserve"> </w:t>
            </w:r>
            <w:r w:rsidR="0046000C" w:rsidRPr="006F4D4F">
              <w:rPr>
                <w:rFonts w:eastAsia="Arial"/>
                <w:color w:val="auto"/>
                <w:lang w:val="fr-FR"/>
              </w:rPr>
              <w:t xml:space="preserve">Dialogue national public-privé amélioré sur le </w:t>
            </w:r>
            <w:r w:rsidR="0068294B">
              <w:rPr>
                <w:rFonts w:eastAsia="Arial"/>
                <w:color w:val="auto"/>
                <w:lang w:val="fr-FR"/>
              </w:rPr>
              <w:t>développement des compétences</w:t>
            </w:r>
            <w:r w:rsidR="0046000C" w:rsidRPr="006F4D4F">
              <w:rPr>
                <w:rFonts w:eastAsia="Arial"/>
                <w:color w:val="auto"/>
                <w:lang w:val="fr-FR"/>
              </w:rPr>
              <w:t xml:space="preserve"> et l’enseignement et la formation professionnels</w:t>
            </w:r>
            <w:r w:rsidR="00914D20">
              <w:rPr>
                <w:rFonts w:eastAsia="Arial"/>
                <w:color w:val="auto"/>
                <w:lang w:val="fr-FR"/>
              </w:rPr>
              <w:t xml:space="preserve"> axés sur l’emploi</w:t>
            </w:r>
            <w:r w:rsidR="0046000C" w:rsidRPr="006F4D4F">
              <w:rPr>
                <w:rFonts w:eastAsia="Arial"/>
                <w:color w:val="auto"/>
                <w:lang w:val="fr-FR"/>
              </w:rPr>
              <w:t>.</w:t>
            </w:r>
          </w:p>
          <w:p w14:paraId="78018D1F" w14:textId="50B88436" w:rsidR="00C057D3" w:rsidRPr="006F4D4F" w:rsidRDefault="00095F02" w:rsidP="0A429371">
            <w:pPr>
              <w:widowControl w:val="0"/>
              <w:suppressAutoHyphens/>
              <w:spacing w:before="60" w:after="60" w:line="280" w:lineRule="exact"/>
              <w:jc w:val="both"/>
              <w:rPr>
                <w:rFonts w:eastAsia="Arial"/>
                <w:color w:val="auto"/>
                <w:lang w:val="fr-FR"/>
              </w:rPr>
            </w:pPr>
            <w:r w:rsidRPr="006F4D4F">
              <w:rPr>
                <w:rFonts w:eastAsia="Arial"/>
                <w:color w:val="auto"/>
                <w:lang w:val="fr-FR"/>
              </w:rPr>
              <w:t>2</w:t>
            </w:r>
            <w:r w:rsidR="0046000C" w:rsidRPr="006F4D4F">
              <w:rPr>
                <w:rFonts w:eastAsia="Arial"/>
                <w:color w:val="auto"/>
                <w:lang w:val="fr-FR"/>
              </w:rPr>
              <w:t>.</w:t>
            </w:r>
            <w:r w:rsidRPr="006F4D4F">
              <w:rPr>
                <w:rFonts w:eastAsia="Arial"/>
                <w:color w:val="auto"/>
                <w:lang w:val="fr-FR"/>
              </w:rPr>
              <w:t xml:space="preserve"> </w:t>
            </w:r>
            <w:r w:rsidR="0046000C" w:rsidRPr="006F4D4F">
              <w:rPr>
                <w:rFonts w:eastAsia="Arial"/>
                <w:color w:val="auto"/>
                <w:lang w:val="fr-FR"/>
              </w:rPr>
              <w:t>Capacité</w:t>
            </w:r>
            <w:r w:rsidR="00914D20">
              <w:rPr>
                <w:rFonts w:eastAsia="Arial"/>
                <w:color w:val="auto"/>
                <w:lang w:val="fr-FR"/>
              </w:rPr>
              <w:t>s</w:t>
            </w:r>
            <w:r w:rsidR="0046000C" w:rsidRPr="006F4D4F">
              <w:rPr>
                <w:rFonts w:eastAsia="Arial"/>
                <w:color w:val="auto"/>
                <w:lang w:val="fr-FR"/>
              </w:rPr>
              <w:t xml:space="preserve"> améliorée</w:t>
            </w:r>
            <w:r w:rsidR="00914D20">
              <w:rPr>
                <w:rFonts w:eastAsia="Arial"/>
                <w:color w:val="auto"/>
                <w:lang w:val="fr-FR"/>
              </w:rPr>
              <w:t>s</w:t>
            </w:r>
            <w:r w:rsidR="0046000C" w:rsidRPr="006F4D4F">
              <w:rPr>
                <w:rFonts w:eastAsia="Arial"/>
                <w:color w:val="auto"/>
                <w:lang w:val="fr-FR"/>
              </w:rPr>
              <w:t xml:space="preserve"> en matière de </w:t>
            </w:r>
            <w:r w:rsidR="0068294B">
              <w:rPr>
                <w:rFonts w:eastAsia="Arial"/>
                <w:color w:val="auto"/>
                <w:lang w:val="fr-FR"/>
              </w:rPr>
              <w:t>développement des compétences</w:t>
            </w:r>
            <w:r w:rsidR="0046000C" w:rsidRPr="006F4D4F">
              <w:rPr>
                <w:rFonts w:eastAsia="Arial"/>
                <w:color w:val="auto"/>
                <w:lang w:val="fr-FR"/>
              </w:rPr>
              <w:t xml:space="preserve"> et d’</w:t>
            </w:r>
            <w:r w:rsidR="00E942D9">
              <w:rPr>
                <w:rFonts w:eastAsia="Arial"/>
                <w:color w:val="auto"/>
                <w:lang w:val="fr-FR"/>
              </w:rPr>
              <w:t>EFP</w:t>
            </w:r>
            <w:r w:rsidR="00914D20" w:rsidRPr="004A302F">
              <w:rPr>
                <w:lang w:val="fr-BE"/>
              </w:rPr>
              <w:t xml:space="preserve"> </w:t>
            </w:r>
            <w:r w:rsidR="00914D20" w:rsidRPr="00914D20">
              <w:rPr>
                <w:rFonts w:eastAsia="Arial"/>
                <w:color w:val="auto"/>
                <w:lang w:val="fr-FR"/>
              </w:rPr>
              <w:t>axés sur la demande</w:t>
            </w:r>
            <w:r w:rsidR="0046000C" w:rsidRPr="006F4D4F">
              <w:rPr>
                <w:rFonts w:eastAsia="Arial"/>
                <w:color w:val="auto"/>
                <w:lang w:val="fr-FR"/>
              </w:rPr>
              <w:t>.</w:t>
            </w:r>
          </w:p>
          <w:p w14:paraId="4F1C9374" w14:textId="2274DAF5" w:rsidR="00C057D3" w:rsidRPr="006F4D4F" w:rsidRDefault="00095F02" w:rsidP="00467930">
            <w:pPr>
              <w:widowControl w:val="0"/>
              <w:suppressAutoHyphens/>
              <w:spacing w:before="60" w:after="60" w:line="280" w:lineRule="exact"/>
              <w:jc w:val="both"/>
              <w:rPr>
                <w:rFonts w:eastAsia="Arial"/>
                <w:color w:val="auto"/>
                <w:kern w:val="18"/>
                <w:sz w:val="22"/>
                <w:szCs w:val="22"/>
                <w:lang w:val="fr-FR"/>
              </w:rPr>
            </w:pPr>
            <w:r w:rsidRPr="006F4D4F">
              <w:rPr>
                <w:rFonts w:eastAsia="Arial"/>
                <w:color w:val="auto"/>
                <w:lang w:val="fr-FR"/>
              </w:rPr>
              <w:t>3</w:t>
            </w:r>
            <w:r w:rsidR="0046000C" w:rsidRPr="006F4D4F">
              <w:rPr>
                <w:rFonts w:eastAsia="Arial"/>
                <w:color w:val="auto"/>
                <w:lang w:val="fr-FR"/>
              </w:rPr>
              <w:t xml:space="preserve">. </w:t>
            </w:r>
            <w:r w:rsidR="00467930">
              <w:rPr>
                <w:rFonts w:eastAsia="Arial"/>
                <w:color w:val="auto"/>
                <w:lang w:val="fr-FR"/>
              </w:rPr>
              <w:t>Stimulation de l’échange</w:t>
            </w:r>
            <w:r w:rsidR="0046000C" w:rsidRPr="006F4D4F">
              <w:rPr>
                <w:rFonts w:eastAsia="Arial"/>
                <w:color w:val="auto"/>
                <w:lang w:val="fr-FR"/>
              </w:rPr>
              <w:t xml:space="preserve"> des </w:t>
            </w:r>
            <w:r w:rsidR="002572D2">
              <w:rPr>
                <w:rFonts w:eastAsia="Arial"/>
                <w:color w:val="auto"/>
                <w:lang w:val="fr-FR"/>
              </w:rPr>
              <w:t>connaissances</w:t>
            </w:r>
            <w:r w:rsidR="0046000C" w:rsidRPr="006F4D4F">
              <w:rPr>
                <w:rFonts w:eastAsia="Arial"/>
                <w:color w:val="auto"/>
                <w:lang w:val="fr-FR"/>
              </w:rPr>
              <w:t xml:space="preserve"> sur les leçons tirées de l’expérience concrète en matière de </w:t>
            </w:r>
            <w:r w:rsidR="0068294B">
              <w:rPr>
                <w:rFonts w:eastAsia="Arial"/>
                <w:color w:val="auto"/>
                <w:lang w:val="fr-FR"/>
              </w:rPr>
              <w:t>développement des compétences</w:t>
            </w:r>
            <w:r w:rsidR="0046000C" w:rsidRPr="006F4D4F">
              <w:rPr>
                <w:rFonts w:eastAsia="Arial"/>
                <w:color w:val="auto"/>
                <w:lang w:val="fr-FR"/>
              </w:rPr>
              <w:t xml:space="preserve"> et d’</w:t>
            </w:r>
            <w:r w:rsidR="00E942D9">
              <w:rPr>
                <w:rFonts w:eastAsia="Arial"/>
                <w:color w:val="auto"/>
                <w:lang w:val="fr-FR"/>
              </w:rPr>
              <w:t>EFP</w:t>
            </w:r>
            <w:r w:rsidR="0046000C" w:rsidRPr="006F4D4F">
              <w:rPr>
                <w:rFonts w:eastAsia="Arial"/>
                <w:color w:val="auto"/>
                <w:lang w:val="fr-FR"/>
              </w:rPr>
              <w:t xml:space="preserve"> dans des contextes d’investissement.</w:t>
            </w:r>
          </w:p>
        </w:tc>
      </w:tr>
    </w:tbl>
    <w:p w14:paraId="558181DF" w14:textId="77777777" w:rsidR="00494C4B" w:rsidRPr="006F4D4F" w:rsidRDefault="00494C4B" w:rsidP="001A3B7D">
      <w:pPr>
        <w:pStyle w:val="BTCBodyText"/>
        <w:rPr>
          <w:lang w:val="fr-FR"/>
        </w:rPr>
      </w:pPr>
      <w:bookmarkStart w:id="24" w:name="_Toc477169036"/>
      <w:bookmarkStart w:id="25" w:name="_Toc477169252"/>
      <w:bookmarkEnd w:id="24"/>
      <w:bookmarkEnd w:id="25"/>
    </w:p>
    <w:p w14:paraId="46AEC54B" w14:textId="77777777" w:rsidR="00470C63" w:rsidRPr="006F4D4F" w:rsidRDefault="00470C63" w:rsidP="0093078E">
      <w:pPr>
        <w:pStyle w:val="Titre1"/>
        <w:sectPr w:rsidR="00470C63" w:rsidRPr="006F4D4F" w:rsidSect="001C65EA">
          <w:headerReference w:type="even" r:id="rId14"/>
          <w:headerReference w:type="default" r:id="rId15"/>
          <w:headerReference w:type="first" r:id="rId16"/>
          <w:footerReference w:type="first" r:id="rId17"/>
          <w:pgSz w:w="11907" w:h="16839" w:code="9"/>
          <w:pgMar w:top="1418" w:right="1871" w:bottom="1531" w:left="1531" w:header="720" w:footer="907" w:gutter="0"/>
          <w:cols w:space="720"/>
          <w:docGrid w:linePitch="272"/>
        </w:sectPr>
      </w:pPr>
      <w:bookmarkStart w:id="26" w:name="_Toc20239534"/>
      <w:bookmarkStart w:id="27" w:name="_Toc20239627"/>
      <w:bookmarkStart w:id="28" w:name="_Toc20300534"/>
      <w:bookmarkStart w:id="29" w:name="_Toc44423183"/>
    </w:p>
    <w:p w14:paraId="6460290B" w14:textId="40A6F779" w:rsidR="007C04B0" w:rsidRPr="006F4D4F" w:rsidRDefault="0093078E" w:rsidP="0093078E">
      <w:pPr>
        <w:pStyle w:val="Titre1"/>
      </w:pPr>
      <w:bookmarkStart w:id="30" w:name="_Toc54336671"/>
      <w:r w:rsidRPr="006F4D4F">
        <w:t xml:space="preserve">1. </w:t>
      </w:r>
      <w:r w:rsidR="00E15E7A" w:rsidRPr="006F4D4F">
        <w:t>Context</w:t>
      </w:r>
      <w:bookmarkEnd w:id="26"/>
      <w:bookmarkEnd w:id="27"/>
      <w:bookmarkEnd w:id="28"/>
      <w:bookmarkEnd w:id="29"/>
      <w:r w:rsidR="0046000C" w:rsidRPr="006F4D4F">
        <w:t>e</w:t>
      </w:r>
      <w:bookmarkEnd w:id="30"/>
    </w:p>
    <w:p w14:paraId="7C5AC88A" w14:textId="0D1F5876" w:rsidR="008B5B5D" w:rsidRPr="006F4D4F" w:rsidRDefault="009C031C" w:rsidP="0093078E">
      <w:pPr>
        <w:pStyle w:val="Titre2"/>
        <w:rPr>
          <w:lang w:val="fr-FR"/>
        </w:rPr>
      </w:pPr>
      <w:bookmarkStart w:id="31" w:name="_Toc20239535"/>
      <w:bookmarkStart w:id="32" w:name="_Toc20239628"/>
      <w:bookmarkStart w:id="33" w:name="_Toc20300535"/>
      <w:bookmarkStart w:id="34" w:name="_Toc44423184"/>
      <w:bookmarkStart w:id="35" w:name="_Toc44423703"/>
      <w:bookmarkStart w:id="36" w:name="_Toc54336672"/>
      <w:r w:rsidRPr="006F4D4F">
        <w:rPr>
          <w:lang w:val="fr-FR"/>
        </w:rPr>
        <w:t xml:space="preserve">1.1 </w:t>
      </w:r>
      <w:bookmarkEnd w:id="31"/>
      <w:bookmarkEnd w:id="32"/>
      <w:bookmarkEnd w:id="33"/>
      <w:bookmarkEnd w:id="34"/>
      <w:bookmarkEnd w:id="35"/>
      <w:r w:rsidR="0046000C" w:rsidRPr="006F4D4F">
        <w:rPr>
          <w:lang w:val="fr-FR"/>
        </w:rPr>
        <w:t>Informations générales</w:t>
      </w:r>
      <w:bookmarkEnd w:id="36"/>
    </w:p>
    <w:p w14:paraId="57F321AB" w14:textId="346BAD77" w:rsidR="002F6BC9" w:rsidRPr="006F4D4F" w:rsidRDefault="00622BFA" w:rsidP="002F6BC9">
      <w:pPr>
        <w:pStyle w:val="BTCBodyText"/>
        <w:rPr>
          <w:lang w:val="fr-FR"/>
        </w:rPr>
      </w:pPr>
      <w:r w:rsidRPr="006F4D4F">
        <w:rPr>
          <w:lang w:val="fr-FR"/>
        </w:rPr>
        <w:t>En dépit de</w:t>
      </w:r>
      <w:r w:rsidR="009B13AB" w:rsidRPr="006F4D4F">
        <w:rPr>
          <w:lang w:val="fr-FR"/>
        </w:rPr>
        <w:t xml:space="preserve"> se</w:t>
      </w:r>
      <w:r w:rsidRPr="006F4D4F">
        <w:rPr>
          <w:lang w:val="fr-FR"/>
        </w:rPr>
        <w:t xml:space="preserve">s </w:t>
      </w:r>
      <w:r w:rsidR="009B13AB" w:rsidRPr="006F4D4F">
        <w:rPr>
          <w:lang w:val="fr-FR"/>
        </w:rPr>
        <w:t xml:space="preserve">nombreuses </w:t>
      </w:r>
      <w:r w:rsidRPr="006F4D4F">
        <w:rPr>
          <w:lang w:val="fr-FR"/>
        </w:rPr>
        <w:t>ressources et de la sol</w:t>
      </w:r>
      <w:r w:rsidR="009B13AB" w:rsidRPr="006F4D4F">
        <w:rPr>
          <w:lang w:val="fr-FR"/>
        </w:rPr>
        <w:t>i</w:t>
      </w:r>
      <w:r w:rsidRPr="006F4D4F">
        <w:rPr>
          <w:lang w:val="fr-FR"/>
        </w:rPr>
        <w:t xml:space="preserve">de croissance économique </w:t>
      </w:r>
      <w:r w:rsidR="0070623A">
        <w:rPr>
          <w:lang w:val="fr-FR"/>
        </w:rPr>
        <w:t>dont jouissent</w:t>
      </w:r>
      <w:r w:rsidRPr="006F4D4F">
        <w:rPr>
          <w:lang w:val="fr-FR"/>
        </w:rPr>
        <w:t xml:space="preserve"> </w:t>
      </w:r>
      <w:r w:rsidR="0070623A">
        <w:rPr>
          <w:lang w:val="fr-FR"/>
        </w:rPr>
        <w:t>plusieurs</w:t>
      </w:r>
      <w:r w:rsidRPr="006F4D4F">
        <w:rPr>
          <w:lang w:val="fr-FR"/>
        </w:rPr>
        <w:t xml:space="preserve"> pays, </w:t>
      </w:r>
      <w:r w:rsidR="009B13AB" w:rsidRPr="006F4D4F">
        <w:rPr>
          <w:lang w:val="fr-FR"/>
        </w:rPr>
        <w:t xml:space="preserve">l’Afrique continue d’afficher un </w:t>
      </w:r>
      <w:r w:rsidRPr="006F4D4F">
        <w:rPr>
          <w:lang w:val="fr-FR"/>
        </w:rPr>
        <w:t>niveau de pauvreté élevé et les inégalités se sont creusées. La croissance démographique reste forte en Afrique sub-saharienne, ce qui</w:t>
      </w:r>
      <w:r w:rsidR="00E42D9B" w:rsidRPr="006F4D4F">
        <w:rPr>
          <w:lang w:val="fr-FR"/>
        </w:rPr>
        <w:t xml:space="preserve"> ne fait qu’aggraver le problème du chômage et du sous-emploi, chez les jeunes et les femmes</w:t>
      </w:r>
      <w:r w:rsidR="0070623A">
        <w:rPr>
          <w:lang w:val="fr-FR"/>
        </w:rPr>
        <w:t xml:space="preserve"> notamment</w:t>
      </w:r>
      <w:r w:rsidR="00E42D9B" w:rsidRPr="006F4D4F">
        <w:rPr>
          <w:lang w:val="fr-FR"/>
        </w:rPr>
        <w:t xml:space="preserve">. Alors que les économies se développent et que les </w:t>
      </w:r>
      <w:r w:rsidR="0070623A">
        <w:rPr>
          <w:lang w:val="fr-FR"/>
        </w:rPr>
        <w:t xml:space="preserve">entreprises </w:t>
      </w:r>
      <w:r w:rsidR="00E42D9B" w:rsidRPr="006F4D4F">
        <w:rPr>
          <w:lang w:val="fr-FR"/>
        </w:rPr>
        <w:t>investissent, dans l’exploration des ressources naturelles notamment, la création d’emplois est un facteur que les politiques économiques des pays africains négligent depuis longtemps.</w:t>
      </w:r>
    </w:p>
    <w:p w14:paraId="65D21305" w14:textId="26BA924A" w:rsidR="002F6BC9" w:rsidRPr="006F4D4F" w:rsidRDefault="0070623A" w:rsidP="002F6BC9">
      <w:pPr>
        <w:pStyle w:val="BTCBodyText"/>
        <w:rPr>
          <w:lang w:val="fr-FR"/>
        </w:rPr>
      </w:pPr>
      <w:r>
        <w:rPr>
          <w:lang w:val="fr-FR"/>
        </w:rPr>
        <w:t>Selon l</w:t>
      </w:r>
      <w:r w:rsidR="00E42D9B" w:rsidRPr="006F4D4F">
        <w:rPr>
          <w:lang w:val="fr-FR"/>
        </w:rPr>
        <w:t>es projections du FMI</w:t>
      </w:r>
      <w:r>
        <w:rPr>
          <w:lang w:val="fr-FR"/>
        </w:rPr>
        <w:t xml:space="preserve">, </w:t>
      </w:r>
      <w:r w:rsidR="00E42D9B" w:rsidRPr="006F4D4F">
        <w:rPr>
          <w:lang w:val="fr-FR"/>
        </w:rPr>
        <w:t xml:space="preserve">l’Afrique sub-saharienne devra créer environ 18-20 millions de nouveaux emplois tous les ans entre aujourd’hui et 2035 pour absorber la hausse de la population active. </w:t>
      </w:r>
      <w:r>
        <w:rPr>
          <w:lang w:val="fr-FR"/>
        </w:rPr>
        <w:t>L’Afrique devrait connaître p</w:t>
      </w:r>
      <w:r w:rsidR="00E42D9B" w:rsidRPr="006F4D4F">
        <w:rPr>
          <w:lang w:val="fr-FR"/>
        </w:rPr>
        <w:t xml:space="preserve">lus de la moitié de la croissance démographique mondiale d’ici 2050, et 380 millions de jeunes gens devraient atteindre l’âge de travailler à l’horizon 2030. La </w:t>
      </w:r>
      <w:r w:rsidR="00456AB7" w:rsidRPr="006F4D4F">
        <w:rPr>
          <w:lang w:val="fr-FR"/>
        </w:rPr>
        <w:t>croissance sans création d’emplois</w:t>
      </w:r>
      <w:r w:rsidR="00E42D9B" w:rsidRPr="006F4D4F">
        <w:rPr>
          <w:lang w:val="fr-FR"/>
        </w:rPr>
        <w:t xml:space="preserve"> </w:t>
      </w:r>
      <w:r>
        <w:rPr>
          <w:lang w:val="fr-FR"/>
        </w:rPr>
        <w:t>est un risque pour</w:t>
      </w:r>
      <w:r w:rsidR="00E42D9B" w:rsidRPr="006F4D4F">
        <w:rPr>
          <w:lang w:val="fr-FR"/>
        </w:rPr>
        <w:t xml:space="preserve"> la cohésion sociale. C’est également un facteur potentiel de flux migratoires vers les régions voisines, dont l’Union européenne. La création d’emplois en Afrique est dès lors un objectif important du programme mondial pour le développement.</w:t>
      </w:r>
      <w:r w:rsidR="4E571441" w:rsidRPr="006F4D4F">
        <w:rPr>
          <w:lang w:val="fr-FR"/>
        </w:rPr>
        <w:t xml:space="preserve"> </w:t>
      </w:r>
    </w:p>
    <w:p w14:paraId="2FA40694" w14:textId="53224A13" w:rsidR="002F6BC9" w:rsidRPr="006F4D4F" w:rsidRDefault="00E42D9B" w:rsidP="002F6BC9">
      <w:pPr>
        <w:pStyle w:val="BTCBodyText"/>
        <w:rPr>
          <w:lang w:val="fr-FR"/>
        </w:rPr>
      </w:pPr>
      <w:r w:rsidRPr="006F4D4F">
        <w:rPr>
          <w:lang w:val="fr-FR"/>
        </w:rPr>
        <w:t xml:space="preserve">Si la situation perdure, les pays africains auront des difficultés à offrir des possibilités d’emploi suffisantes, </w:t>
      </w:r>
      <w:r w:rsidR="00456AB7" w:rsidRPr="006F4D4F">
        <w:rPr>
          <w:lang w:val="fr-FR"/>
        </w:rPr>
        <w:t>au vu de la lenteur de la transition et de la diversification économiques. Il existe un risque qu’une majorité d’Africains en âge de travailler, les femmes et les groupes en situation de vulnérabilité notamment, se retrouve</w:t>
      </w:r>
      <w:r w:rsidR="00B06D37">
        <w:rPr>
          <w:lang w:val="fr-FR"/>
        </w:rPr>
        <w:t>nt</w:t>
      </w:r>
      <w:r w:rsidR="00456AB7" w:rsidRPr="006F4D4F">
        <w:rPr>
          <w:lang w:val="fr-FR"/>
        </w:rPr>
        <w:t xml:space="preserve"> confiné</w:t>
      </w:r>
      <w:r w:rsidR="00B06D37">
        <w:rPr>
          <w:lang w:val="fr-FR"/>
        </w:rPr>
        <w:t>s</w:t>
      </w:r>
      <w:r w:rsidR="00456AB7" w:rsidRPr="006F4D4F">
        <w:rPr>
          <w:lang w:val="fr-FR"/>
        </w:rPr>
        <w:t xml:space="preserve">, soit dans des emplois précaires à faible revenu dans les zones rurales, soit dans des emplois informels à faible productivité dans les zones urbaines. </w:t>
      </w:r>
      <w:r w:rsidR="00B06D37">
        <w:rPr>
          <w:lang w:val="fr-FR"/>
        </w:rPr>
        <w:t xml:space="preserve">L’un des moyens dont </w:t>
      </w:r>
      <w:r w:rsidR="00456AB7" w:rsidRPr="006F4D4F">
        <w:rPr>
          <w:lang w:val="fr-FR"/>
        </w:rPr>
        <w:t>les pays africains</w:t>
      </w:r>
      <w:r w:rsidR="00B06D37">
        <w:rPr>
          <w:lang w:val="fr-FR"/>
        </w:rPr>
        <w:t xml:space="preserve"> disposent pour relever le défi de </w:t>
      </w:r>
      <w:r w:rsidR="00456AB7" w:rsidRPr="006F4D4F">
        <w:rPr>
          <w:lang w:val="fr-FR"/>
        </w:rPr>
        <w:t xml:space="preserve">la croissance sans création d’emplois est d’attirer davantage d’investissements à forte intensité </w:t>
      </w:r>
      <w:r w:rsidR="00B06D37">
        <w:rPr>
          <w:lang w:val="fr-FR"/>
        </w:rPr>
        <w:t>de main d’œuvre,</w:t>
      </w:r>
      <w:r w:rsidR="00456AB7" w:rsidRPr="006F4D4F">
        <w:rPr>
          <w:lang w:val="fr-FR"/>
        </w:rPr>
        <w:t xml:space="preserve"> qui encouragent le développement économique local et la création de liens.</w:t>
      </w:r>
    </w:p>
    <w:p w14:paraId="285E0E00" w14:textId="60940D19" w:rsidR="002F6BC9" w:rsidRPr="006F4D4F" w:rsidRDefault="00456AB7" w:rsidP="002F6BC9">
      <w:pPr>
        <w:pStyle w:val="BTCBodyText"/>
        <w:rPr>
          <w:lang w:val="fr-FR"/>
        </w:rPr>
      </w:pPr>
      <w:r w:rsidRPr="006F4D4F">
        <w:rPr>
          <w:lang w:val="fr-FR"/>
        </w:rPr>
        <w:t xml:space="preserve">Les investissements directs étrangers (IDE) peuvent </w:t>
      </w:r>
      <w:r w:rsidR="00AD20D5">
        <w:rPr>
          <w:lang w:val="fr-FR"/>
        </w:rPr>
        <w:t>favoriser le développement d</w:t>
      </w:r>
      <w:r w:rsidR="009B13AB" w:rsidRPr="006F4D4F">
        <w:rPr>
          <w:lang w:val="fr-FR"/>
        </w:rPr>
        <w:t xml:space="preserve">es chaînes de valeur locales </w:t>
      </w:r>
      <w:r w:rsidRPr="006F4D4F">
        <w:rPr>
          <w:lang w:val="fr-FR"/>
        </w:rPr>
        <w:t xml:space="preserve">et </w:t>
      </w:r>
      <w:r w:rsidR="00AD20D5">
        <w:rPr>
          <w:lang w:val="fr-FR"/>
        </w:rPr>
        <w:t xml:space="preserve">leur </w:t>
      </w:r>
      <w:r w:rsidR="009B13AB" w:rsidRPr="006F4D4F">
        <w:rPr>
          <w:lang w:val="fr-FR"/>
        </w:rPr>
        <w:t>intégr</w:t>
      </w:r>
      <w:r w:rsidR="00AD20D5">
        <w:rPr>
          <w:lang w:val="fr-FR"/>
        </w:rPr>
        <w:t>ation</w:t>
      </w:r>
      <w:r w:rsidR="009B13AB" w:rsidRPr="006F4D4F">
        <w:rPr>
          <w:lang w:val="fr-FR"/>
        </w:rPr>
        <w:t xml:space="preserve"> aux </w:t>
      </w:r>
      <w:r w:rsidR="00B06D37">
        <w:rPr>
          <w:lang w:val="fr-FR"/>
        </w:rPr>
        <w:t xml:space="preserve">chaînes </w:t>
      </w:r>
      <w:r w:rsidR="009B13AB" w:rsidRPr="006F4D4F">
        <w:rPr>
          <w:lang w:val="fr-FR"/>
        </w:rPr>
        <w:t xml:space="preserve">d’approvisionnement régionales et mondiales, </w:t>
      </w:r>
      <w:r w:rsidR="00AD20D5">
        <w:rPr>
          <w:lang w:val="fr-FR"/>
        </w:rPr>
        <w:t xml:space="preserve">la création de </w:t>
      </w:r>
      <w:r w:rsidR="009B13AB" w:rsidRPr="006F4D4F">
        <w:rPr>
          <w:lang w:val="fr-FR"/>
        </w:rPr>
        <w:t xml:space="preserve">possibilités d’affaires pour les </w:t>
      </w:r>
      <w:r w:rsidR="00B06D37">
        <w:rPr>
          <w:lang w:val="fr-FR"/>
        </w:rPr>
        <w:t>entreprises</w:t>
      </w:r>
      <w:r w:rsidR="009B13AB" w:rsidRPr="006F4D4F">
        <w:rPr>
          <w:lang w:val="fr-FR"/>
        </w:rPr>
        <w:t xml:space="preserve"> locales et le transfert technologique, et </w:t>
      </w:r>
      <w:r w:rsidR="00AD20D5">
        <w:rPr>
          <w:lang w:val="fr-FR"/>
        </w:rPr>
        <w:t xml:space="preserve">contribuer ainsi </w:t>
      </w:r>
      <w:r w:rsidR="009B13AB" w:rsidRPr="006F4D4F">
        <w:rPr>
          <w:lang w:val="fr-FR"/>
        </w:rPr>
        <w:t xml:space="preserve">à créer un effet d’entraînement pour l’économie globale. Les réformes de politique visant à attirer les IDE dans les secteurs d’activité qui présentent un fort potentiel concurrentiel et offrent des possibilités de création de liens économiques locaux sont un préalable à la croissance durable de l’emploi. Le potentiel pour la création d’emplois décents directs et indirects doit dès lors être un critère fondamental </w:t>
      </w:r>
      <w:r w:rsidR="00AD20D5">
        <w:rPr>
          <w:lang w:val="fr-FR"/>
        </w:rPr>
        <w:t xml:space="preserve">dans </w:t>
      </w:r>
      <w:r w:rsidR="009B13AB" w:rsidRPr="006F4D4F">
        <w:rPr>
          <w:lang w:val="fr-FR"/>
        </w:rPr>
        <w:t xml:space="preserve">la sélection des secteurs et projets qui recevront une aide publique, </w:t>
      </w:r>
      <w:r w:rsidR="00AD20D5">
        <w:rPr>
          <w:lang w:val="fr-FR"/>
        </w:rPr>
        <w:t>si l’on veut</w:t>
      </w:r>
      <w:r w:rsidR="009B13AB" w:rsidRPr="006F4D4F">
        <w:rPr>
          <w:lang w:val="fr-FR"/>
        </w:rPr>
        <w:t xml:space="preserve"> optimiser les répercussions des investissements sur l’emploi.</w:t>
      </w:r>
    </w:p>
    <w:p w14:paraId="688DDBAF" w14:textId="514EBF3A" w:rsidR="002F6BC9" w:rsidRPr="006F4D4F" w:rsidRDefault="009B13AB" w:rsidP="002F6BC9">
      <w:pPr>
        <w:pStyle w:val="BTCBodyText"/>
        <w:rPr>
          <w:lang w:val="fr-FR"/>
        </w:rPr>
      </w:pPr>
      <w:r w:rsidRPr="006F4D4F">
        <w:rPr>
          <w:lang w:val="fr-FR"/>
        </w:rPr>
        <w:t>Les femmes rencontrent davantage de difficultés que les hommes pour accéder aux ressources productives</w:t>
      </w:r>
      <w:r w:rsidR="00491639" w:rsidRPr="006F4D4F">
        <w:rPr>
          <w:lang w:val="fr-FR"/>
        </w:rPr>
        <w:t>, ainsi que</w:t>
      </w:r>
      <w:r w:rsidRPr="006F4D4F">
        <w:rPr>
          <w:lang w:val="fr-FR"/>
        </w:rPr>
        <w:t xml:space="preserve"> pour participer </w:t>
      </w:r>
      <w:r w:rsidR="00491639" w:rsidRPr="006F4D4F">
        <w:rPr>
          <w:lang w:val="fr-FR"/>
        </w:rPr>
        <w:t>aux chaînes de valeur et en retirer un avantage égal. Il est donc indispensable de s’attacher à combler ce fossé entre les sexes.</w:t>
      </w:r>
      <w:r w:rsidR="002F6BC9" w:rsidRPr="006F4D4F">
        <w:rPr>
          <w:lang w:val="fr-FR"/>
        </w:rPr>
        <w:t xml:space="preserve"> </w:t>
      </w:r>
    </w:p>
    <w:p w14:paraId="2F6FBF67" w14:textId="4B09E626" w:rsidR="002F6BC9" w:rsidRPr="006F4D4F" w:rsidRDefault="00491639" w:rsidP="002F6BC9">
      <w:pPr>
        <w:pStyle w:val="BTCBodyText"/>
        <w:rPr>
          <w:lang w:val="fr-FR"/>
        </w:rPr>
      </w:pPr>
      <w:r w:rsidRPr="006F4D4F">
        <w:rPr>
          <w:lang w:val="fr-FR"/>
        </w:rPr>
        <w:t xml:space="preserve">Les programmes d’investissement, tels que les interventions ciblées </w:t>
      </w:r>
      <w:r w:rsidR="00AD20D5">
        <w:rPr>
          <w:lang w:val="fr-FR"/>
        </w:rPr>
        <w:t xml:space="preserve">destinées à </w:t>
      </w:r>
      <w:r w:rsidRPr="006F4D4F">
        <w:rPr>
          <w:lang w:val="fr-FR"/>
        </w:rPr>
        <w:t>fournir les ressources humaines dont les chaînes de valeur nationales et internationales ont besoin, doivent s’accompagner de réformes de politique. Pour optimiser les avantages potentiels en matière d’emploi, les systèmes d’</w:t>
      </w:r>
      <w:r w:rsidR="00E942D9">
        <w:rPr>
          <w:lang w:val="fr-FR"/>
        </w:rPr>
        <w:t>EFP</w:t>
      </w:r>
      <w:r w:rsidRPr="006F4D4F">
        <w:rPr>
          <w:lang w:val="fr-FR"/>
        </w:rPr>
        <w:t xml:space="preserve"> (EF</w:t>
      </w:r>
      <w:r w:rsidR="00467930">
        <w:rPr>
          <w:lang w:val="fr-FR"/>
        </w:rPr>
        <w:t>P</w:t>
      </w:r>
      <w:r w:rsidRPr="006F4D4F">
        <w:rPr>
          <w:lang w:val="fr-FR"/>
        </w:rPr>
        <w:t>) doivent s’adapter à l’évolution de la demande de main d’œuvre et cibler en particulier les jeunes, notamment les jeunes femmes qui ne participent actuellement pas au marché du travail formel à égalité avec les jeunes hommes.</w:t>
      </w:r>
    </w:p>
    <w:p w14:paraId="20923DB6" w14:textId="780D7ABF" w:rsidR="00CF11EA" w:rsidRPr="006F4D4F" w:rsidRDefault="00491639" w:rsidP="002F6BC9">
      <w:pPr>
        <w:pStyle w:val="BTCBodyText"/>
        <w:rPr>
          <w:lang w:val="fr-FR"/>
        </w:rPr>
      </w:pPr>
      <w:r w:rsidRPr="006F4D4F">
        <w:rPr>
          <w:lang w:val="fr-FR"/>
        </w:rPr>
        <w:t xml:space="preserve">La crise de la Covid-19 a lourdement pesé sur la dynamique du marché dans les pays partenaires, et n’a fait qu’aggraver les problèmes de chômage </w:t>
      </w:r>
      <w:r w:rsidR="009F7C97">
        <w:rPr>
          <w:lang w:val="fr-FR"/>
        </w:rPr>
        <w:t xml:space="preserve">qui frappent </w:t>
      </w:r>
      <w:r w:rsidRPr="006F4D4F">
        <w:rPr>
          <w:lang w:val="fr-FR"/>
        </w:rPr>
        <w:t xml:space="preserve">les jeunes et les femmes, dans les contextes urbains notamment. De nombreux pays ont imposé </w:t>
      </w:r>
      <w:r w:rsidR="00AD20D5" w:rsidRPr="006F4D4F">
        <w:rPr>
          <w:lang w:val="fr-FR"/>
        </w:rPr>
        <w:t xml:space="preserve">à la population </w:t>
      </w:r>
      <w:r w:rsidRPr="006F4D4F">
        <w:rPr>
          <w:lang w:val="fr-FR"/>
        </w:rPr>
        <w:t xml:space="preserve">un confinement prolongé, </w:t>
      </w:r>
      <w:r w:rsidR="00AD20D5">
        <w:rPr>
          <w:lang w:val="fr-FR"/>
        </w:rPr>
        <w:t>qui a conduit</w:t>
      </w:r>
      <w:r w:rsidRPr="006F4D4F">
        <w:rPr>
          <w:lang w:val="fr-FR"/>
        </w:rPr>
        <w:t xml:space="preserve"> à </w:t>
      </w:r>
      <w:r w:rsidR="00AD20D5">
        <w:rPr>
          <w:lang w:val="fr-FR"/>
        </w:rPr>
        <w:t xml:space="preserve">un </w:t>
      </w:r>
      <w:r w:rsidRPr="006F4D4F">
        <w:rPr>
          <w:lang w:val="fr-FR"/>
        </w:rPr>
        <w:t xml:space="preserve">soulèvement social et à un ralentissement économique. </w:t>
      </w:r>
      <w:r w:rsidR="007B3D5E" w:rsidRPr="006F4D4F">
        <w:rPr>
          <w:lang w:val="fr-FR"/>
        </w:rPr>
        <w:t xml:space="preserve">Ce confinement, conjugué au recul du commerce international, affecte négativement tous les aspects du développement économique : réduction de la production locale, baisse des exportations, hausse du prix des importations. </w:t>
      </w:r>
      <w:r w:rsidR="00363A8C" w:rsidRPr="00363A8C">
        <w:rPr>
          <w:lang w:val="fr-FR"/>
        </w:rPr>
        <w:t xml:space="preserve">On ne sait pas </w:t>
      </w:r>
      <w:r w:rsidR="00363A8C">
        <w:rPr>
          <w:lang w:val="fr-FR"/>
        </w:rPr>
        <w:t>quand</w:t>
      </w:r>
      <w:r w:rsidR="00363A8C" w:rsidRPr="00363A8C">
        <w:rPr>
          <w:lang w:val="fr-FR"/>
        </w:rPr>
        <w:t xml:space="preserve"> la situation reviendra à ce qu'elle était avant le covid-19, mais cela pourrait prendre des années. </w:t>
      </w:r>
      <w:r w:rsidR="007B3D5E" w:rsidRPr="006F4D4F">
        <w:rPr>
          <w:lang w:val="fr-FR"/>
        </w:rPr>
        <w:t>Cela ne signifie pas que l’action en elle-même est inutile. Dans une situation de ralentissement économique local, le rôle des investissements et des compétences est encore plus important. Ils peuvent jouer un rôle central et transformer la crise en opportunités pour l’économie locale. Ceci dit, il reste à connaître l’ampleur de la crise et à savoir jusqu’à quel point elle affecte</w:t>
      </w:r>
      <w:r w:rsidR="009F7C97">
        <w:rPr>
          <w:lang w:val="fr-FR"/>
        </w:rPr>
        <w:t>ra</w:t>
      </w:r>
      <w:r w:rsidR="007B3D5E" w:rsidRPr="006F4D4F">
        <w:rPr>
          <w:lang w:val="fr-FR"/>
        </w:rPr>
        <w:t xml:space="preserve">, par exemple, le commerce international à moyen et à long terme. </w:t>
      </w:r>
      <w:r w:rsidR="00E80A12" w:rsidRPr="006F4D4F">
        <w:rPr>
          <w:lang w:val="fr-FR"/>
        </w:rPr>
        <w:t xml:space="preserve">La mesure dans laquelle </w:t>
      </w:r>
      <w:r w:rsidR="007D6B54" w:rsidRPr="006F4D4F">
        <w:rPr>
          <w:lang w:val="fr-FR"/>
        </w:rPr>
        <w:t>la crise sanitaire freine</w:t>
      </w:r>
      <w:r w:rsidR="009F7C97">
        <w:rPr>
          <w:lang w:val="fr-FR"/>
        </w:rPr>
        <w:t>ra</w:t>
      </w:r>
      <w:r w:rsidR="007D6B54" w:rsidRPr="006F4D4F">
        <w:rPr>
          <w:lang w:val="fr-FR"/>
        </w:rPr>
        <w:t xml:space="preserve"> </w:t>
      </w:r>
      <w:r w:rsidR="00E80A12" w:rsidRPr="006F4D4F">
        <w:rPr>
          <w:lang w:val="fr-FR"/>
        </w:rPr>
        <w:t xml:space="preserve">la croissance économique des pays partenaires africains </w:t>
      </w:r>
      <w:r w:rsidR="007D6B54" w:rsidRPr="006F4D4F">
        <w:rPr>
          <w:lang w:val="fr-FR"/>
        </w:rPr>
        <w:t xml:space="preserve">au cours des prochaines années </w:t>
      </w:r>
      <w:r w:rsidR="007D6B54" w:rsidRPr="009F7C97">
        <w:rPr>
          <w:lang w:val="fr-FR"/>
        </w:rPr>
        <w:t>reste à apprécier.</w:t>
      </w:r>
      <w:r w:rsidR="00325712" w:rsidRPr="006F4D4F">
        <w:rPr>
          <w:lang w:val="fr-FR"/>
        </w:rPr>
        <w:t xml:space="preserve"> </w:t>
      </w:r>
    </w:p>
    <w:p w14:paraId="6AE47BFD" w14:textId="5A0A40D6" w:rsidR="000C037D" w:rsidRPr="006F4D4F" w:rsidRDefault="009C031C" w:rsidP="0093078E">
      <w:pPr>
        <w:pStyle w:val="Titre2"/>
        <w:rPr>
          <w:lang w:val="fr-FR"/>
        </w:rPr>
      </w:pPr>
      <w:bookmarkStart w:id="37" w:name="_Toc20239536"/>
      <w:bookmarkStart w:id="38" w:name="_Toc20239629"/>
      <w:bookmarkStart w:id="39" w:name="_Toc20300536"/>
      <w:bookmarkStart w:id="40" w:name="_Toc44423185"/>
      <w:bookmarkStart w:id="41" w:name="_Toc44423704"/>
      <w:bookmarkStart w:id="42" w:name="_Toc54336673"/>
      <w:r w:rsidRPr="006F4D4F">
        <w:rPr>
          <w:lang w:val="fr-FR"/>
        </w:rPr>
        <w:t xml:space="preserve">1.2 </w:t>
      </w:r>
      <w:bookmarkEnd w:id="37"/>
      <w:bookmarkEnd w:id="38"/>
      <w:bookmarkEnd w:id="39"/>
      <w:bookmarkEnd w:id="40"/>
      <w:bookmarkEnd w:id="41"/>
      <w:r w:rsidR="00505498" w:rsidRPr="006F4D4F">
        <w:rPr>
          <w:lang w:val="fr-FR"/>
        </w:rPr>
        <w:t>Problématique</w:t>
      </w:r>
      <w:bookmarkEnd w:id="42"/>
    </w:p>
    <w:p w14:paraId="5864FF15" w14:textId="04262B7B" w:rsidR="00A66375" w:rsidRPr="006F4D4F" w:rsidRDefault="00505498" w:rsidP="00F1495E">
      <w:pPr>
        <w:widowControl w:val="0"/>
        <w:suppressAutoHyphens/>
        <w:spacing w:after="120" w:line="288" w:lineRule="auto"/>
        <w:jc w:val="both"/>
        <w:rPr>
          <w:rFonts w:cs="Times New Roman"/>
          <w:color w:val="auto"/>
          <w:kern w:val="18"/>
          <w:lang w:val="fr-FR"/>
        </w:rPr>
      </w:pPr>
      <w:r w:rsidRPr="006F4D4F">
        <w:rPr>
          <w:rFonts w:cs="Times New Roman"/>
          <w:color w:val="auto"/>
          <w:kern w:val="18"/>
          <w:lang w:val="fr-FR"/>
        </w:rPr>
        <w:t xml:space="preserve">Dans de nombreux pays d’Afrique sub-saharienne, il existe, d’une part, un décalage important entre la qualité et la quantité de l’offre de main d’œuvre, et, d’autre part, la demande en main d’œuvre des entreprises. </w:t>
      </w:r>
      <w:r w:rsidR="00735C34">
        <w:rPr>
          <w:rFonts w:cs="Times New Roman"/>
          <w:color w:val="auto"/>
          <w:kern w:val="18"/>
          <w:lang w:val="fr-FR"/>
        </w:rPr>
        <w:t>L</w:t>
      </w:r>
      <w:r w:rsidR="00735C34" w:rsidRPr="006F4D4F">
        <w:rPr>
          <w:rFonts w:cs="Times New Roman"/>
          <w:color w:val="auto"/>
          <w:kern w:val="18"/>
          <w:lang w:val="fr-FR"/>
        </w:rPr>
        <w:t xml:space="preserve">’absence d’informations sur les futures opportunités d’emploi et </w:t>
      </w:r>
      <w:r w:rsidR="00735C34">
        <w:rPr>
          <w:rFonts w:cs="Times New Roman"/>
          <w:color w:val="auto"/>
          <w:kern w:val="18"/>
          <w:lang w:val="fr-FR"/>
        </w:rPr>
        <w:t xml:space="preserve">le </w:t>
      </w:r>
      <w:r w:rsidR="00735C34" w:rsidRPr="006F4D4F">
        <w:rPr>
          <w:rFonts w:cs="Times New Roman"/>
          <w:color w:val="auto"/>
          <w:kern w:val="18"/>
          <w:lang w:val="fr-FR"/>
        </w:rPr>
        <w:t xml:space="preserve">manque d’éducation adéquate et de compétences utiles </w:t>
      </w:r>
      <w:r w:rsidR="00735C34">
        <w:rPr>
          <w:rFonts w:cs="Times New Roman"/>
          <w:color w:val="auto"/>
          <w:kern w:val="18"/>
          <w:lang w:val="fr-FR"/>
        </w:rPr>
        <w:t>font que l</w:t>
      </w:r>
      <w:r w:rsidRPr="006F4D4F">
        <w:rPr>
          <w:rFonts w:cs="Times New Roman"/>
          <w:color w:val="auto"/>
          <w:kern w:val="18"/>
          <w:lang w:val="fr-FR"/>
        </w:rPr>
        <w:t>a population active des pays en développement est largement mal préparée</w:t>
      </w:r>
      <w:r w:rsidR="00735C34">
        <w:rPr>
          <w:rFonts w:cs="Times New Roman"/>
          <w:color w:val="auto"/>
          <w:kern w:val="18"/>
          <w:lang w:val="fr-FR"/>
        </w:rPr>
        <w:t xml:space="preserve"> pour</w:t>
      </w:r>
      <w:r w:rsidRPr="006F4D4F">
        <w:rPr>
          <w:rFonts w:cs="Times New Roman"/>
          <w:color w:val="auto"/>
          <w:kern w:val="18"/>
          <w:lang w:val="fr-FR"/>
        </w:rPr>
        <w:t xml:space="preserve"> répondre à la demande du secteur privé. L’offre de main d’œuvre et les systèmes d’</w:t>
      </w:r>
      <w:r w:rsidR="00E942D9">
        <w:rPr>
          <w:rFonts w:cs="Times New Roman"/>
          <w:color w:val="auto"/>
          <w:kern w:val="18"/>
          <w:lang w:val="fr-FR"/>
        </w:rPr>
        <w:t>EFP</w:t>
      </w:r>
      <w:r w:rsidRPr="006F4D4F">
        <w:rPr>
          <w:rFonts w:cs="Times New Roman"/>
          <w:color w:val="auto"/>
          <w:kern w:val="18"/>
          <w:lang w:val="fr-FR"/>
        </w:rPr>
        <w:t xml:space="preserve"> ne sont pas suffisamment réactifs face </w:t>
      </w:r>
      <w:r w:rsidR="006E5528">
        <w:rPr>
          <w:rFonts w:cs="Times New Roman"/>
          <w:color w:val="auto"/>
          <w:kern w:val="18"/>
          <w:lang w:val="fr-FR"/>
        </w:rPr>
        <w:t>aux fluctuations</w:t>
      </w:r>
      <w:r w:rsidRPr="006F4D4F">
        <w:rPr>
          <w:rFonts w:cs="Times New Roman"/>
          <w:color w:val="auto"/>
          <w:kern w:val="18"/>
          <w:lang w:val="fr-FR"/>
        </w:rPr>
        <w:t xml:space="preserve"> de la dynamique </w:t>
      </w:r>
      <w:r w:rsidR="006E5528">
        <w:rPr>
          <w:rFonts w:cs="Times New Roman"/>
          <w:color w:val="auto"/>
          <w:kern w:val="18"/>
          <w:lang w:val="fr-FR"/>
        </w:rPr>
        <w:t xml:space="preserve">en termes de </w:t>
      </w:r>
      <w:r w:rsidR="00735C34">
        <w:rPr>
          <w:rFonts w:cs="Times New Roman"/>
          <w:color w:val="auto"/>
          <w:kern w:val="18"/>
          <w:lang w:val="fr-FR"/>
        </w:rPr>
        <w:t xml:space="preserve">demande </w:t>
      </w:r>
      <w:r w:rsidR="006E5528">
        <w:rPr>
          <w:rFonts w:cs="Times New Roman"/>
          <w:color w:val="auto"/>
          <w:kern w:val="18"/>
          <w:lang w:val="fr-FR"/>
        </w:rPr>
        <w:t>de</w:t>
      </w:r>
      <w:r w:rsidR="00735C34">
        <w:rPr>
          <w:rFonts w:cs="Times New Roman"/>
          <w:color w:val="auto"/>
          <w:kern w:val="18"/>
          <w:lang w:val="fr-FR"/>
        </w:rPr>
        <w:t xml:space="preserve"> </w:t>
      </w:r>
      <w:r w:rsidRPr="006F4D4F">
        <w:rPr>
          <w:rFonts w:cs="Times New Roman"/>
          <w:color w:val="auto"/>
          <w:kern w:val="18"/>
          <w:lang w:val="fr-FR"/>
        </w:rPr>
        <w:t xml:space="preserve">compétences. </w:t>
      </w:r>
      <w:r w:rsidR="00711C50" w:rsidRPr="006F4D4F">
        <w:rPr>
          <w:rFonts w:cs="Times New Roman"/>
          <w:color w:val="auto"/>
          <w:kern w:val="18"/>
          <w:lang w:val="fr-FR"/>
        </w:rPr>
        <w:t xml:space="preserve">Ces difficultés tendent à s’amplifier lorsque des investissements viennent perturber ou donner de l’élan à des secteurs entiers, créant une demande pour des compétences </w:t>
      </w:r>
      <w:r w:rsidR="006E5528">
        <w:rPr>
          <w:rFonts w:cs="Times New Roman"/>
          <w:color w:val="auto"/>
          <w:kern w:val="18"/>
          <w:lang w:val="fr-FR"/>
        </w:rPr>
        <w:t xml:space="preserve">au départ </w:t>
      </w:r>
      <w:r w:rsidR="00711C50" w:rsidRPr="006F4D4F">
        <w:rPr>
          <w:rFonts w:cs="Times New Roman"/>
          <w:color w:val="auto"/>
          <w:kern w:val="18"/>
          <w:lang w:val="fr-FR"/>
        </w:rPr>
        <w:t>indisponibles dans l’économie locale.</w:t>
      </w:r>
    </w:p>
    <w:p w14:paraId="7C671EBF" w14:textId="1972F2AC" w:rsidR="00BE4B47" w:rsidRPr="006F4D4F" w:rsidRDefault="00711C50" w:rsidP="00852509">
      <w:pPr>
        <w:pStyle w:val="BTCBodyText"/>
        <w:rPr>
          <w:lang w:val="fr-FR"/>
        </w:rPr>
      </w:pPr>
      <w:r w:rsidRPr="006F4D4F">
        <w:rPr>
          <w:lang w:val="fr-FR"/>
        </w:rPr>
        <w:t>Une part substantielle des investissements directs étrangers s’adresse souvent à des activités d’exploitation des ressources à forte intensité de capital. Les données indiquent que l’optimisation de l’emploi « décent » local dans le cadre de ces grands projets d’investissement pose des défis importants, la création d’emploi</w:t>
      </w:r>
      <w:r w:rsidR="006E5528">
        <w:rPr>
          <w:lang w:val="fr-FR"/>
        </w:rPr>
        <w:t>s</w:t>
      </w:r>
      <w:r w:rsidRPr="006F4D4F">
        <w:rPr>
          <w:lang w:val="fr-FR"/>
        </w:rPr>
        <w:t xml:space="preserve"> ne faisant généralement pas partie des critères retenus pour sélectionner les projets à financer. Nombre d’opportunités d’emploi local (emploi indirect et induit) résultent des liens économiques qui découlent des investissements. </w:t>
      </w:r>
      <w:r w:rsidR="00547A46" w:rsidRPr="006F4D4F">
        <w:rPr>
          <w:lang w:val="fr-FR"/>
        </w:rPr>
        <w:t>Dans l’idéal, les investissements en capital, qu’ils soient étrangers ou nationaux, jouent un rôle tremplin en dynamisant le développement économique local et en favorisant la création de valeur et l’emploi au niveau local.</w:t>
      </w:r>
    </w:p>
    <w:p w14:paraId="57FAC2B6" w14:textId="60275AC2" w:rsidR="00A66375" w:rsidRPr="006F4D4F" w:rsidRDefault="00547A46" w:rsidP="00A66375">
      <w:pPr>
        <w:pStyle w:val="BTCBodyText"/>
        <w:rPr>
          <w:rFonts w:cs="Arial"/>
          <w:kern w:val="0"/>
          <w:lang w:val="fr-FR"/>
        </w:rPr>
      </w:pPr>
      <w:r w:rsidRPr="006F4D4F">
        <w:rPr>
          <w:rFonts w:cs="Arial"/>
          <w:kern w:val="0"/>
          <w:lang w:val="fr-FR"/>
        </w:rPr>
        <w:t>Les investissements dans les infrastructures, les secteurs dits « </w:t>
      </w:r>
      <w:r w:rsidR="00363A8C">
        <w:rPr>
          <w:rFonts w:cs="Arial"/>
          <w:kern w:val="0"/>
          <w:lang w:val="fr-FR"/>
        </w:rPr>
        <w:t>habilitants</w:t>
      </w:r>
      <w:r w:rsidRPr="006F4D4F">
        <w:rPr>
          <w:rFonts w:cs="Arial"/>
          <w:kern w:val="0"/>
          <w:lang w:val="fr-FR"/>
        </w:rPr>
        <w:t> »</w:t>
      </w:r>
      <w:r w:rsidR="006E5528">
        <w:rPr>
          <w:rFonts w:cs="Arial"/>
          <w:kern w:val="0"/>
          <w:lang w:val="fr-FR"/>
        </w:rPr>
        <w:t>,</w:t>
      </w:r>
      <w:r w:rsidRPr="006F4D4F">
        <w:rPr>
          <w:rFonts w:cs="Arial"/>
          <w:kern w:val="0"/>
          <w:lang w:val="fr-FR"/>
        </w:rPr>
        <w:t xml:space="preserve"> comme l’alimentation en eau et en électricité, le transport et les technologies de l’information et de la communication, ont une grande importance pour le développement économique et social et l’emploi en Afrique sub-saharienne. Cette remarque vaut particulièrement sur fond de fortes tendances à l’urbanisation. L’activité de construction rapide et largement non réglementée dans les </w:t>
      </w:r>
      <w:r w:rsidR="009276B1" w:rsidRPr="006F4D4F">
        <w:rPr>
          <w:rFonts w:cs="Arial"/>
          <w:kern w:val="0"/>
          <w:lang w:val="fr-FR"/>
        </w:rPr>
        <w:t xml:space="preserve">mégapoles, </w:t>
      </w:r>
      <w:r w:rsidRPr="006F4D4F">
        <w:rPr>
          <w:rFonts w:cs="Arial"/>
          <w:kern w:val="0"/>
          <w:lang w:val="fr-FR"/>
        </w:rPr>
        <w:t xml:space="preserve">les </w:t>
      </w:r>
      <w:r w:rsidR="009276B1" w:rsidRPr="006F4D4F">
        <w:rPr>
          <w:rFonts w:cs="Arial"/>
          <w:kern w:val="0"/>
          <w:lang w:val="fr-FR"/>
        </w:rPr>
        <w:t xml:space="preserve">agglomérations </w:t>
      </w:r>
      <w:r w:rsidRPr="006F4D4F">
        <w:rPr>
          <w:rFonts w:cs="Arial"/>
          <w:kern w:val="0"/>
          <w:lang w:val="fr-FR"/>
        </w:rPr>
        <w:t>moyennes et les</w:t>
      </w:r>
      <w:r w:rsidR="009276B1" w:rsidRPr="006F4D4F">
        <w:rPr>
          <w:rFonts w:cs="Arial"/>
          <w:kern w:val="0"/>
          <w:lang w:val="fr-FR"/>
        </w:rPr>
        <w:t xml:space="preserve"> petites villes indique un potentiel d’emploi considérable dans les secteurs du bâtiment et de l’énergie. Pourtant, dans une situation où les compétences techniques s’acquièrent le plus souvent de façon informelle et où les ouvriers locaux sont souvent peu ou pas qualifiés, ce potentiel significatif de transformation économique est perdu.</w:t>
      </w:r>
    </w:p>
    <w:p w14:paraId="77BAE547" w14:textId="29A94AFA" w:rsidR="00A66375" w:rsidRPr="006F4D4F" w:rsidRDefault="009276B1" w:rsidP="00A66375">
      <w:pPr>
        <w:pStyle w:val="BTCBodyText"/>
        <w:rPr>
          <w:lang w:val="fr-FR"/>
        </w:rPr>
      </w:pPr>
      <w:r w:rsidRPr="006F4D4F">
        <w:rPr>
          <w:lang w:val="fr-FR"/>
        </w:rPr>
        <w:t>En parallèle, une très grande proportion de la population d’Afrique sub-saharienne, de nombreux jeunes notamment, continuer</w:t>
      </w:r>
      <w:r w:rsidR="006E5528">
        <w:rPr>
          <w:lang w:val="fr-FR"/>
        </w:rPr>
        <w:t>a</w:t>
      </w:r>
      <w:r w:rsidRPr="006F4D4F">
        <w:rPr>
          <w:lang w:val="fr-FR"/>
        </w:rPr>
        <w:t xml:space="preserve"> de travailler dans l’agriculture. La plupart des habitants des zones rurales sont confrontés au sous-emploi et ne parviennent souvent pas à produire au-delà des niveaux de subsistance. L’investissement dans le secteur primaire visant à accroître la productivité agricole peut donner aux populations rurales accès à des opportunités d’emploi plus nombreuses et à des revenus sensiblement supérieurs. L’amélioration de la productivité agricole est également un facteur décisif dans l’établissement et le développement d’une industrie agro-alimentaire</w:t>
      </w:r>
      <w:r w:rsidR="00F846DD" w:rsidRPr="006F4D4F">
        <w:rPr>
          <w:lang w:val="fr-FR"/>
        </w:rPr>
        <w:t>, dont on estime le potentiel très important dans de nombreux pays.</w:t>
      </w:r>
    </w:p>
    <w:p w14:paraId="5338A8A1" w14:textId="6C8C494E" w:rsidR="000F326C" w:rsidRPr="006F4D4F" w:rsidRDefault="00F846DD" w:rsidP="00A66375">
      <w:pPr>
        <w:pStyle w:val="BTCBodyText"/>
        <w:rPr>
          <w:lang w:val="fr-FR"/>
        </w:rPr>
      </w:pPr>
      <w:r w:rsidRPr="006F4D4F">
        <w:rPr>
          <w:lang w:val="fr-FR"/>
        </w:rPr>
        <w:t>On assiste cependant à l’émergence de nouveaux secteurs, comme l’économie verte, l’économie des services numériques et les solutions durables dans les zones urbaines et le financement alternatif, dans plusieurs pays d’Afrique sub-saharienne, sinon tous. Parallèlement aux secteurs d’investissement traditionnels, les secteurs innovants vont gagner en importance pour les investissements et la création d’emploi</w:t>
      </w:r>
      <w:r w:rsidR="00F1224C">
        <w:rPr>
          <w:lang w:val="fr-FR"/>
        </w:rPr>
        <w:t>s</w:t>
      </w:r>
      <w:r w:rsidRPr="006F4D4F">
        <w:rPr>
          <w:lang w:val="fr-FR"/>
        </w:rPr>
        <w:t>.</w:t>
      </w:r>
      <w:r w:rsidR="000F326C" w:rsidRPr="006F4D4F">
        <w:rPr>
          <w:lang w:val="fr-FR"/>
        </w:rPr>
        <w:t xml:space="preserve"> </w:t>
      </w:r>
    </w:p>
    <w:p w14:paraId="5896B0FA" w14:textId="5E2FCD21" w:rsidR="00BE4B47" w:rsidRPr="006F4D4F" w:rsidRDefault="00F846DD" w:rsidP="3F1B45C6">
      <w:pPr>
        <w:pStyle w:val="BTCBodyText"/>
        <w:rPr>
          <w:color w:val="0070C0"/>
          <w:lang w:val="fr-FR"/>
        </w:rPr>
      </w:pPr>
      <w:r w:rsidRPr="006F4D4F">
        <w:rPr>
          <w:lang w:val="fr-FR"/>
        </w:rPr>
        <w:t xml:space="preserve">S’agissant du capital humain </w:t>
      </w:r>
      <w:r w:rsidR="00470A81">
        <w:rPr>
          <w:lang w:val="fr-FR"/>
        </w:rPr>
        <w:t>dont les</w:t>
      </w:r>
      <w:r w:rsidRPr="006F4D4F">
        <w:rPr>
          <w:lang w:val="fr-FR"/>
        </w:rPr>
        <w:t xml:space="preserve"> investissements dans les secteurs ci-dessus</w:t>
      </w:r>
      <w:r w:rsidR="00470A81">
        <w:rPr>
          <w:lang w:val="fr-FR"/>
        </w:rPr>
        <w:t xml:space="preserve"> ont besoin</w:t>
      </w:r>
      <w:r w:rsidR="00AB7385" w:rsidRPr="006F4D4F">
        <w:rPr>
          <w:lang w:val="fr-FR"/>
        </w:rPr>
        <w:t>,</w:t>
      </w:r>
      <w:r w:rsidRPr="006F4D4F">
        <w:rPr>
          <w:lang w:val="fr-FR"/>
        </w:rPr>
        <w:t xml:space="preserve"> on a identifié les défis </w:t>
      </w:r>
      <w:r w:rsidR="00470A81">
        <w:rPr>
          <w:lang w:val="fr-FR"/>
        </w:rPr>
        <w:t>suivants</w:t>
      </w:r>
      <w:r w:rsidRPr="006F4D4F">
        <w:rPr>
          <w:lang w:val="fr-FR"/>
        </w:rPr>
        <w:t xml:space="preserve">, qui </w:t>
      </w:r>
      <w:r w:rsidR="00AB7385" w:rsidRPr="006F4D4F">
        <w:rPr>
          <w:lang w:val="fr-FR"/>
        </w:rPr>
        <w:t>constituent des obstacles majeurs empêchant les investissements de jouer un rôle tremplin dans la création d’emploi</w:t>
      </w:r>
      <w:r w:rsidR="00470A81">
        <w:rPr>
          <w:lang w:val="fr-FR"/>
        </w:rPr>
        <w:t>s</w:t>
      </w:r>
      <w:r w:rsidR="00AB7385" w:rsidRPr="006F4D4F">
        <w:rPr>
          <w:lang w:val="fr-FR"/>
        </w:rPr>
        <w:t> :</w:t>
      </w:r>
      <w:r w:rsidR="00BE4B47" w:rsidRPr="006F4D4F">
        <w:rPr>
          <w:color w:val="0070C0"/>
          <w:lang w:val="fr-FR"/>
        </w:rPr>
        <w:t xml:space="preserve"> </w:t>
      </w:r>
    </w:p>
    <w:p w14:paraId="28105B8F" w14:textId="0D4BE7C5" w:rsidR="00BE4B47" w:rsidRPr="006F4D4F" w:rsidRDefault="00470A81" w:rsidP="00EC0595">
      <w:pPr>
        <w:pStyle w:val="BTCBulletslist"/>
        <w:rPr>
          <w:color w:val="auto"/>
          <w:lang w:val="fr-FR"/>
        </w:rPr>
      </w:pPr>
      <w:r>
        <w:rPr>
          <w:color w:val="auto"/>
          <w:lang w:val="fr-FR"/>
        </w:rPr>
        <w:t>L’o</w:t>
      </w:r>
      <w:r w:rsidR="00AB7385" w:rsidRPr="006F4D4F">
        <w:rPr>
          <w:color w:val="auto"/>
          <w:lang w:val="fr-FR"/>
        </w:rPr>
        <w:t xml:space="preserve">ffre de compétences locales </w:t>
      </w:r>
      <w:r>
        <w:rPr>
          <w:color w:val="auto"/>
          <w:lang w:val="fr-FR"/>
        </w:rPr>
        <w:t xml:space="preserve">est </w:t>
      </w:r>
      <w:r w:rsidR="00AB7385" w:rsidRPr="006F4D4F">
        <w:rPr>
          <w:color w:val="auto"/>
          <w:lang w:val="fr-FR"/>
        </w:rPr>
        <w:t xml:space="preserve">insuffisante pour répondre en temps voulu à la demande du marché du travail : l’un des problèmes majeurs dont souffre l’offre de compétences nationale est une </w:t>
      </w:r>
      <w:r w:rsidR="00AB7385" w:rsidRPr="006F4D4F">
        <w:rPr>
          <w:b/>
          <w:bCs/>
          <w:color w:val="auto"/>
          <w:lang w:val="fr-FR"/>
        </w:rPr>
        <w:t>organisation institutionnelle faible qui freine la création de liens plus efficaces entre l’offre et la demande sur le marché du travail</w:t>
      </w:r>
      <w:r w:rsidR="00AB7385" w:rsidRPr="006F4D4F">
        <w:rPr>
          <w:color w:val="auto"/>
          <w:lang w:val="fr-FR"/>
        </w:rPr>
        <w:t>.</w:t>
      </w:r>
    </w:p>
    <w:p w14:paraId="37CB9F6B" w14:textId="193652CB" w:rsidR="00F83D5F" w:rsidRPr="006F4D4F" w:rsidRDefault="00AB7385" w:rsidP="00EC0595">
      <w:pPr>
        <w:pStyle w:val="BTCBulletslist"/>
        <w:rPr>
          <w:color w:val="auto"/>
          <w:lang w:val="fr-FR"/>
        </w:rPr>
      </w:pPr>
      <w:r w:rsidRPr="006F4D4F">
        <w:rPr>
          <w:color w:val="auto"/>
          <w:lang w:val="fr-FR"/>
        </w:rPr>
        <w:t xml:space="preserve">Dans de nombreux pays, </w:t>
      </w:r>
      <w:r w:rsidRPr="006F4D4F">
        <w:rPr>
          <w:b/>
          <w:bCs/>
          <w:color w:val="auto"/>
          <w:lang w:val="fr-FR"/>
        </w:rPr>
        <w:t>le secteur privé n’est pas suffisamment impliqué dans l’offre de compétences</w:t>
      </w:r>
      <w:r w:rsidRPr="006F4D4F">
        <w:rPr>
          <w:color w:val="auto"/>
          <w:lang w:val="fr-FR"/>
        </w:rPr>
        <w:t xml:space="preserve">, </w:t>
      </w:r>
      <w:r w:rsidR="00470A81">
        <w:rPr>
          <w:color w:val="auto"/>
          <w:lang w:val="fr-FR"/>
        </w:rPr>
        <w:t>pour cause d’absence de lien</w:t>
      </w:r>
      <w:r w:rsidRPr="006F4D4F">
        <w:rPr>
          <w:color w:val="auto"/>
          <w:lang w:val="fr-FR"/>
        </w:rPr>
        <w:t xml:space="preserve"> entre les établissements d’</w:t>
      </w:r>
      <w:r w:rsidR="00E942D9">
        <w:rPr>
          <w:color w:val="auto"/>
          <w:lang w:val="fr-FR"/>
        </w:rPr>
        <w:t>EFP</w:t>
      </w:r>
      <w:r w:rsidRPr="006F4D4F">
        <w:rPr>
          <w:color w:val="auto"/>
          <w:lang w:val="fr-FR"/>
        </w:rPr>
        <w:t xml:space="preserve"> et les entreprises du secteur privé.</w:t>
      </w:r>
      <w:r w:rsidR="00F83D5F" w:rsidRPr="006F4D4F">
        <w:rPr>
          <w:color w:val="auto"/>
          <w:lang w:val="fr-FR"/>
        </w:rPr>
        <w:t xml:space="preserve"> </w:t>
      </w:r>
    </w:p>
    <w:p w14:paraId="02D2A445" w14:textId="76A51A92" w:rsidR="00273C4B" w:rsidRPr="006F4D4F" w:rsidRDefault="00470A81" w:rsidP="00EC0595">
      <w:pPr>
        <w:pStyle w:val="BTCBulletslist"/>
        <w:rPr>
          <w:color w:val="auto"/>
          <w:lang w:val="fr-FR"/>
        </w:rPr>
      </w:pPr>
      <w:r>
        <w:rPr>
          <w:color w:val="auto"/>
          <w:lang w:val="fr-FR"/>
        </w:rPr>
        <w:t xml:space="preserve">La </w:t>
      </w:r>
      <w:r w:rsidRPr="00470A81">
        <w:rPr>
          <w:b/>
          <w:bCs/>
          <w:color w:val="auto"/>
          <w:lang w:val="fr-FR"/>
        </w:rPr>
        <w:t xml:space="preserve">rigidité </w:t>
      </w:r>
      <w:r>
        <w:rPr>
          <w:b/>
          <w:bCs/>
          <w:color w:val="auto"/>
          <w:lang w:val="fr-FR"/>
        </w:rPr>
        <w:t>dont les</w:t>
      </w:r>
      <w:r w:rsidR="00AB7385" w:rsidRPr="006F4D4F">
        <w:rPr>
          <w:color w:val="auto"/>
          <w:lang w:val="fr-FR"/>
        </w:rPr>
        <w:t xml:space="preserve"> </w:t>
      </w:r>
      <w:r w:rsidR="00AB7385" w:rsidRPr="006F4D4F">
        <w:rPr>
          <w:b/>
          <w:bCs/>
          <w:color w:val="auto"/>
          <w:lang w:val="fr-FR"/>
        </w:rPr>
        <w:t xml:space="preserve">systèmes d’enseignement et formation techniques et professionnels </w:t>
      </w:r>
      <w:r w:rsidR="00AB7385" w:rsidRPr="006F4D4F">
        <w:rPr>
          <w:color w:val="auto"/>
          <w:lang w:val="fr-FR"/>
        </w:rPr>
        <w:t>responsables de l’offre de compétences techniques et professionnelles</w:t>
      </w:r>
      <w:r>
        <w:rPr>
          <w:color w:val="auto"/>
          <w:lang w:val="fr-FR"/>
        </w:rPr>
        <w:t xml:space="preserve"> font souvent preuve est la</w:t>
      </w:r>
      <w:r w:rsidR="00AB7385" w:rsidRPr="006F4D4F">
        <w:rPr>
          <w:color w:val="auto"/>
          <w:lang w:val="fr-FR"/>
        </w:rPr>
        <w:t xml:space="preserve"> cause profonde de l</w:t>
      </w:r>
      <w:r>
        <w:rPr>
          <w:color w:val="auto"/>
          <w:lang w:val="fr-FR"/>
        </w:rPr>
        <w:t xml:space="preserve">eur </w:t>
      </w:r>
      <w:r w:rsidR="00AB7385" w:rsidRPr="006F4D4F">
        <w:rPr>
          <w:color w:val="auto"/>
          <w:lang w:val="fr-FR"/>
        </w:rPr>
        <w:t xml:space="preserve">incapacité </w:t>
      </w:r>
      <w:r>
        <w:rPr>
          <w:color w:val="auto"/>
          <w:lang w:val="fr-FR"/>
        </w:rPr>
        <w:t>de</w:t>
      </w:r>
      <w:r w:rsidR="00AB7385" w:rsidRPr="006F4D4F">
        <w:rPr>
          <w:color w:val="auto"/>
          <w:lang w:val="fr-FR"/>
        </w:rPr>
        <w:t xml:space="preserve"> s’adapter rapidement aux nouvelles compétences.</w:t>
      </w:r>
    </w:p>
    <w:p w14:paraId="169556A4" w14:textId="75DCAB7B" w:rsidR="00BE4B47" w:rsidRPr="006F4D4F" w:rsidRDefault="00AB7385" w:rsidP="00EC0595">
      <w:pPr>
        <w:pStyle w:val="BTCBulletslist"/>
        <w:rPr>
          <w:color w:val="auto"/>
          <w:lang w:val="fr-FR"/>
        </w:rPr>
      </w:pPr>
      <w:r w:rsidRPr="006F4D4F">
        <w:rPr>
          <w:color w:val="auto"/>
          <w:lang w:val="fr-FR"/>
        </w:rPr>
        <w:t xml:space="preserve">Très souvent, les </w:t>
      </w:r>
      <w:r w:rsidRPr="006F4D4F">
        <w:rPr>
          <w:b/>
          <w:bCs/>
          <w:color w:val="auto"/>
          <w:lang w:val="fr-FR"/>
        </w:rPr>
        <w:t>besoins en compétences spécifiques ne sont pas anticipés</w:t>
      </w:r>
      <w:r w:rsidRPr="006F4D4F">
        <w:rPr>
          <w:color w:val="auto"/>
          <w:lang w:val="fr-FR"/>
        </w:rPr>
        <w:t xml:space="preserve">. La cause profonde en est la façon dont les investissements sont discutés et négociés. </w:t>
      </w:r>
      <w:r w:rsidR="00F50E27" w:rsidRPr="006F4D4F">
        <w:rPr>
          <w:color w:val="auto"/>
          <w:lang w:val="fr-FR"/>
        </w:rPr>
        <w:t>En règle générale, les autorités nationales chargées d’offrir les compétences voulues dans un pays ne possèdent pas les bonnes informations à propos des prochains investissements et de leurs besoins en compétences.</w:t>
      </w:r>
    </w:p>
    <w:p w14:paraId="7A29954F" w14:textId="7DED3E2B" w:rsidR="00BE4B47" w:rsidRPr="006F4D4F" w:rsidRDefault="00F50E27" w:rsidP="00EC0595">
      <w:pPr>
        <w:pStyle w:val="BTCBulletslist"/>
        <w:rPr>
          <w:b/>
          <w:color w:val="auto"/>
          <w:lang w:val="fr-FR"/>
        </w:rPr>
      </w:pPr>
      <w:r w:rsidRPr="006F4D4F">
        <w:rPr>
          <w:b/>
          <w:color w:val="auto"/>
          <w:lang w:val="fr-FR"/>
        </w:rPr>
        <w:t>Décalage et pénurie</w:t>
      </w:r>
      <w:r w:rsidRPr="006F4D4F">
        <w:rPr>
          <w:bCs/>
          <w:color w:val="auto"/>
          <w:lang w:val="fr-FR"/>
        </w:rPr>
        <w:t xml:space="preserve">. De nombreux facteurs expliquent ce décalage : absence de pertinence de la formation pour les employeurs, décalage entre le système éducatif et ses diplômés, d’une part, et les besoins du marché du travail, de l’autre, manque de dynamisme et, principalement, absence entre les acteurs publics et privés de la confiance et de </w:t>
      </w:r>
      <w:r w:rsidR="00470A81">
        <w:rPr>
          <w:bCs/>
          <w:color w:val="auto"/>
          <w:lang w:val="fr-FR"/>
        </w:rPr>
        <w:t>la volonté de s’engager</w:t>
      </w:r>
      <w:r w:rsidR="000A20C5">
        <w:rPr>
          <w:bCs/>
          <w:color w:val="auto"/>
          <w:lang w:val="fr-FR"/>
        </w:rPr>
        <w:t xml:space="preserve"> </w:t>
      </w:r>
      <w:r w:rsidRPr="006F4D4F">
        <w:rPr>
          <w:bCs/>
          <w:color w:val="auto"/>
          <w:lang w:val="fr-FR"/>
        </w:rPr>
        <w:t>voulu</w:t>
      </w:r>
      <w:r w:rsidR="00470A81">
        <w:rPr>
          <w:bCs/>
          <w:color w:val="auto"/>
          <w:lang w:val="fr-FR"/>
        </w:rPr>
        <w:t>e</w:t>
      </w:r>
      <w:r w:rsidRPr="006F4D4F">
        <w:rPr>
          <w:bCs/>
          <w:color w:val="auto"/>
          <w:lang w:val="fr-FR"/>
        </w:rPr>
        <w:t>s pour surmonter ces difficultés.</w:t>
      </w:r>
    </w:p>
    <w:p w14:paraId="2851FFB2" w14:textId="0490C61B" w:rsidR="00BE4B47" w:rsidRPr="006F4D4F" w:rsidRDefault="00BE4B47" w:rsidP="00EC0595">
      <w:pPr>
        <w:pStyle w:val="BTCBulletslist"/>
        <w:rPr>
          <w:color w:val="auto"/>
          <w:lang w:val="fr-FR"/>
        </w:rPr>
      </w:pPr>
      <w:r w:rsidRPr="006F4D4F">
        <w:rPr>
          <w:b/>
          <w:color w:val="auto"/>
          <w:lang w:val="fr-FR"/>
        </w:rPr>
        <w:t>L</w:t>
      </w:r>
      <w:r w:rsidR="00F50E27" w:rsidRPr="006F4D4F">
        <w:rPr>
          <w:b/>
          <w:color w:val="auto"/>
          <w:lang w:val="fr-FR"/>
        </w:rPr>
        <w:t xml:space="preserve">es entreprises locales ne parviennent pas à tirer profit </w:t>
      </w:r>
      <w:r w:rsidR="00F50E27" w:rsidRPr="006F4D4F">
        <w:rPr>
          <w:bCs/>
          <w:color w:val="auto"/>
          <w:lang w:val="fr-FR"/>
        </w:rPr>
        <w:t>des nouvelles opportunités. De nombreus</w:t>
      </w:r>
      <w:r w:rsidR="00524A6D">
        <w:rPr>
          <w:bCs/>
          <w:color w:val="auto"/>
          <w:lang w:val="fr-FR"/>
        </w:rPr>
        <w:t>es</w:t>
      </w:r>
      <w:r w:rsidR="00F50E27" w:rsidRPr="006F4D4F">
        <w:rPr>
          <w:bCs/>
          <w:color w:val="auto"/>
          <w:lang w:val="fr-FR"/>
        </w:rPr>
        <w:t xml:space="preserve"> entreprises africaines n’ont pas </w:t>
      </w:r>
      <w:r w:rsidR="002D33D3" w:rsidRPr="006F4D4F">
        <w:rPr>
          <w:bCs/>
          <w:color w:val="auto"/>
          <w:lang w:val="fr-FR"/>
        </w:rPr>
        <w:t>pu profit</w:t>
      </w:r>
      <w:r w:rsidR="00524A6D">
        <w:rPr>
          <w:bCs/>
          <w:color w:val="auto"/>
          <w:lang w:val="fr-FR"/>
        </w:rPr>
        <w:t>er</w:t>
      </w:r>
      <w:r w:rsidR="002D33D3" w:rsidRPr="006F4D4F">
        <w:rPr>
          <w:bCs/>
          <w:color w:val="auto"/>
          <w:lang w:val="fr-FR"/>
        </w:rPr>
        <w:t xml:space="preserve"> des opportunités liées aux investissements </w:t>
      </w:r>
      <w:r w:rsidR="00524A6D" w:rsidRPr="00524A6D">
        <w:rPr>
          <w:b/>
          <w:color w:val="auto"/>
          <w:lang w:val="fr-FR"/>
        </w:rPr>
        <w:t>faute d’être en règle avec les</w:t>
      </w:r>
      <w:r w:rsidR="00524A6D">
        <w:rPr>
          <w:bCs/>
          <w:color w:val="auto"/>
          <w:lang w:val="fr-FR"/>
        </w:rPr>
        <w:t xml:space="preserve"> </w:t>
      </w:r>
      <w:r w:rsidR="002D33D3" w:rsidRPr="006F4D4F">
        <w:rPr>
          <w:b/>
          <w:color w:val="auto"/>
          <w:lang w:val="fr-FR"/>
        </w:rPr>
        <w:t>normes internationales exigeantes</w:t>
      </w:r>
      <w:r w:rsidR="002D33D3" w:rsidRPr="006F4D4F">
        <w:rPr>
          <w:bCs/>
          <w:color w:val="auto"/>
          <w:lang w:val="fr-FR"/>
        </w:rPr>
        <w:t>, en matière par exemple de santé, de sécurité et d’environnement. Les entreprises locales ont souvent des difficultés à apprécier les défis et les opportunités lorsqu’elles entrent dans une chaîne de valeur mondiale</w:t>
      </w:r>
      <w:r w:rsidR="00524A6D">
        <w:rPr>
          <w:bCs/>
          <w:color w:val="auto"/>
          <w:lang w:val="fr-FR"/>
        </w:rPr>
        <w:t xml:space="preserve"> et elles </w:t>
      </w:r>
      <w:r w:rsidR="002D33D3" w:rsidRPr="006F4D4F">
        <w:rPr>
          <w:bCs/>
          <w:color w:val="auto"/>
          <w:lang w:val="fr-FR"/>
        </w:rPr>
        <w:t>ont besoin de</w:t>
      </w:r>
      <w:r w:rsidR="00524A6D">
        <w:rPr>
          <w:bCs/>
          <w:color w:val="auto"/>
          <w:lang w:val="fr-FR"/>
        </w:rPr>
        <w:t xml:space="preserve"> recevoir des</w:t>
      </w:r>
      <w:r w:rsidR="002D33D3" w:rsidRPr="006F4D4F">
        <w:rPr>
          <w:bCs/>
          <w:color w:val="auto"/>
          <w:lang w:val="fr-FR"/>
        </w:rPr>
        <w:t xml:space="preserve"> services de renforcement des capacités et des compétences.</w:t>
      </w:r>
    </w:p>
    <w:p w14:paraId="6CCB1D36" w14:textId="199C32F5" w:rsidR="00BE4B47" w:rsidRPr="006F4D4F" w:rsidRDefault="00524A6D" w:rsidP="00EC0595">
      <w:pPr>
        <w:pStyle w:val="BTCBulletslist"/>
        <w:rPr>
          <w:color w:val="auto"/>
          <w:lang w:val="fr-FR"/>
        </w:rPr>
      </w:pPr>
      <w:r>
        <w:rPr>
          <w:color w:val="auto"/>
          <w:lang w:val="fr-FR"/>
        </w:rPr>
        <w:t>On</w:t>
      </w:r>
      <w:r w:rsidR="002D33D3" w:rsidRPr="006F4D4F">
        <w:rPr>
          <w:color w:val="auto"/>
          <w:lang w:val="fr-FR"/>
        </w:rPr>
        <w:t xml:space="preserve"> constate </w:t>
      </w:r>
      <w:r>
        <w:rPr>
          <w:color w:val="auto"/>
          <w:lang w:val="fr-FR"/>
        </w:rPr>
        <w:t xml:space="preserve">par ailleurs </w:t>
      </w:r>
      <w:r w:rsidR="002D33D3" w:rsidRPr="006F4D4F">
        <w:rPr>
          <w:color w:val="auto"/>
          <w:lang w:val="fr-FR"/>
        </w:rPr>
        <w:t>un manque de considération pour les stratégies et politiques liées au genre</w:t>
      </w:r>
      <w:r>
        <w:rPr>
          <w:color w:val="auto"/>
          <w:lang w:val="fr-FR"/>
        </w:rPr>
        <w:t>, lorsqu’elles existent</w:t>
      </w:r>
      <w:r w:rsidR="002D33D3" w:rsidRPr="006F4D4F">
        <w:rPr>
          <w:color w:val="auto"/>
          <w:lang w:val="fr-FR"/>
        </w:rPr>
        <w:t>, concernant le lien entre investissement et création d’emploi</w:t>
      </w:r>
      <w:r>
        <w:rPr>
          <w:color w:val="auto"/>
          <w:lang w:val="fr-FR"/>
        </w:rPr>
        <w:t>s</w:t>
      </w:r>
      <w:r w:rsidR="002D33D3" w:rsidRPr="006F4D4F">
        <w:rPr>
          <w:color w:val="auto"/>
          <w:lang w:val="fr-FR"/>
        </w:rPr>
        <w:t xml:space="preserve">, notamment dans les secteurs traditionnellement dominés par les hommes. </w:t>
      </w:r>
      <w:r w:rsidR="002D33D3" w:rsidRPr="006F4D4F">
        <w:rPr>
          <w:b/>
          <w:bCs/>
          <w:color w:val="auto"/>
          <w:lang w:val="fr-FR"/>
        </w:rPr>
        <w:t>Les inégalités dans le traitement des femmes ainsi que dans l’accès aux opportunités</w:t>
      </w:r>
      <w:r w:rsidR="002D33D3" w:rsidRPr="006F4D4F">
        <w:rPr>
          <w:color w:val="auto"/>
          <w:lang w:val="fr-FR"/>
        </w:rPr>
        <w:t xml:space="preserve">, aux actifs et aux ressources, et dans la prise de décision et la charge de travail pour les femmes, sont des obstacles majeurs qu’il </w:t>
      </w:r>
      <w:r>
        <w:rPr>
          <w:color w:val="auto"/>
          <w:lang w:val="fr-FR"/>
        </w:rPr>
        <w:t>est indispensable d’</w:t>
      </w:r>
      <w:r w:rsidR="002D33D3" w:rsidRPr="006F4D4F">
        <w:rPr>
          <w:color w:val="auto"/>
          <w:lang w:val="fr-FR"/>
        </w:rPr>
        <w:t>éliminer.</w:t>
      </w:r>
    </w:p>
    <w:p w14:paraId="53E0A969" w14:textId="785643C8" w:rsidR="00E731E4" w:rsidRPr="006F4D4F" w:rsidRDefault="009C031C" w:rsidP="0093078E">
      <w:pPr>
        <w:pStyle w:val="Titre2"/>
        <w:rPr>
          <w:lang w:val="fr-FR"/>
        </w:rPr>
      </w:pPr>
      <w:bookmarkStart w:id="43" w:name="_Toc477169039"/>
      <w:bookmarkStart w:id="44" w:name="_Toc477169255"/>
      <w:bookmarkStart w:id="45" w:name="_Toc477187768"/>
      <w:bookmarkStart w:id="46" w:name="_Toc477187979"/>
      <w:bookmarkStart w:id="47" w:name="_Toc477188191"/>
      <w:bookmarkStart w:id="48" w:name="_Toc477188403"/>
      <w:bookmarkStart w:id="49" w:name="_Toc477188615"/>
      <w:bookmarkStart w:id="50" w:name="_Toc477188825"/>
      <w:bookmarkStart w:id="51" w:name="_Toc477189039"/>
      <w:bookmarkStart w:id="52" w:name="_Toc477189635"/>
      <w:bookmarkStart w:id="53" w:name="_Toc477196279"/>
      <w:bookmarkStart w:id="54" w:name="_Toc477199997"/>
      <w:bookmarkStart w:id="55" w:name="_Toc477274777"/>
      <w:bookmarkStart w:id="56" w:name="_Toc477275983"/>
      <w:bookmarkStart w:id="57" w:name="_Toc477276204"/>
      <w:bookmarkStart w:id="58" w:name="_Toc20239543"/>
      <w:bookmarkStart w:id="59" w:name="_Toc20239636"/>
      <w:bookmarkStart w:id="60" w:name="_Toc20300538"/>
      <w:bookmarkStart w:id="61" w:name="_Toc44423186"/>
      <w:bookmarkStart w:id="62" w:name="_Toc44423705"/>
      <w:bookmarkStart w:id="63" w:name="_Toc5433667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6F4D4F">
        <w:rPr>
          <w:lang w:val="fr-FR"/>
        </w:rPr>
        <w:t xml:space="preserve">1.3 </w:t>
      </w:r>
      <w:r w:rsidR="00747E20" w:rsidRPr="006F4D4F">
        <w:rPr>
          <w:lang w:val="fr-FR"/>
        </w:rPr>
        <w:t>Pertinence de l’action</w:t>
      </w:r>
      <w:bookmarkEnd w:id="58"/>
      <w:bookmarkEnd w:id="59"/>
      <w:bookmarkEnd w:id="60"/>
      <w:bookmarkEnd w:id="61"/>
      <w:bookmarkEnd w:id="62"/>
      <w:bookmarkEnd w:id="63"/>
      <w:r w:rsidR="00E731E4" w:rsidRPr="006F4D4F">
        <w:rPr>
          <w:lang w:val="fr-FR"/>
        </w:rPr>
        <w:t xml:space="preserve"> </w:t>
      </w:r>
    </w:p>
    <w:p w14:paraId="15A839EE" w14:textId="4EDF5D88" w:rsidR="00655917" w:rsidRPr="006F4D4F" w:rsidRDefault="00747E20" w:rsidP="00F1495E">
      <w:pPr>
        <w:pStyle w:val="BTCBodyText"/>
        <w:spacing w:before="0"/>
        <w:rPr>
          <w:rFonts w:cs="Arial"/>
          <w:lang w:val="fr-FR"/>
        </w:rPr>
      </w:pPr>
      <w:bookmarkStart w:id="64" w:name="_Hlk1659963"/>
      <w:bookmarkStart w:id="65" w:name="_Toc20239544"/>
      <w:bookmarkStart w:id="66" w:name="_Toc20239637"/>
      <w:r w:rsidRPr="006F4D4F">
        <w:rPr>
          <w:lang w:val="fr-FR"/>
        </w:rPr>
        <w:t xml:space="preserve">La création d’emplois sur le continent africain est devenue une priorité pour les instances décisionnelles en Afrique et en Europe. Le problème grandissant du chômage des jeunes et du sous-emploi est l’une des principales préoccupations à propos du développement socio-économique. L’enseignement et la formation professionnels et le </w:t>
      </w:r>
      <w:r w:rsidR="0068294B">
        <w:rPr>
          <w:lang w:val="fr-FR"/>
        </w:rPr>
        <w:t>développement des compétences</w:t>
      </w:r>
      <w:r w:rsidRPr="006F4D4F">
        <w:rPr>
          <w:lang w:val="fr-FR"/>
        </w:rPr>
        <w:t xml:space="preserve"> sont</w:t>
      </w:r>
      <w:r w:rsidR="0061208D" w:rsidRPr="006F4D4F">
        <w:rPr>
          <w:lang w:val="fr-FR"/>
        </w:rPr>
        <w:t xml:space="preserve"> des éléments</w:t>
      </w:r>
      <w:r w:rsidRPr="006F4D4F">
        <w:rPr>
          <w:lang w:val="fr-FR"/>
        </w:rPr>
        <w:t xml:space="preserve"> perçus comme </w:t>
      </w:r>
      <w:r w:rsidR="0061208D" w:rsidRPr="006F4D4F">
        <w:rPr>
          <w:lang w:val="fr-FR"/>
        </w:rPr>
        <w:t>très favorables à la</w:t>
      </w:r>
      <w:r w:rsidRPr="006F4D4F">
        <w:rPr>
          <w:lang w:val="fr-FR"/>
        </w:rPr>
        <w:t xml:space="preserve"> création d’emplois lorsqu’ils sont associés à des mesures côté demande du marché du travail.</w:t>
      </w:r>
      <w:r w:rsidR="0061208D" w:rsidRPr="006F4D4F">
        <w:rPr>
          <w:lang w:val="fr-FR"/>
        </w:rPr>
        <w:t xml:space="preserve"> La présente action s’alignera sur les stratégies applicables en matière d’emploi et d’enseignement et formation (techniques et) professionnels.</w:t>
      </w:r>
      <w:r w:rsidR="00DF681D" w:rsidRPr="006F4D4F">
        <w:rPr>
          <w:rFonts w:cs="Arial"/>
          <w:lang w:val="fr-FR"/>
        </w:rPr>
        <w:t xml:space="preserve"> </w:t>
      </w:r>
    </w:p>
    <w:p w14:paraId="66A5B13C" w14:textId="3718CEE2" w:rsidR="00655917" w:rsidRPr="006F4D4F" w:rsidRDefault="0061208D" w:rsidP="00F1495E">
      <w:pPr>
        <w:pStyle w:val="BTCBodyText"/>
        <w:spacing w:before="0"/>
        <w:rPr>
          <w:lang w:val="fr-FR"/>
        </w:rPr>
      </w:pPr>
      <w:r w:rsidRPr="006F4D4F">
        <w:rPr>
          <w:lang w:val="fr-FR"/>
        </w:rPr>
        <w:t xml:space="preserve">Le programme de </w:t>
      </w:r>
      <w:r w:rsidRPr="006F4D4F">
        <w:rPr>
          <w:b/>
          <w:bCs/>
          <w:lang w:val="fr-FR"/>
        </w:rPr>
        <w:t xml:space="preserve">l’Union africaine (UA) Vision 2063 </w:t>
      </w:r>
      <w:r w:rsidRPr="006F4D4F">
        <w:rPr>
          <w:lang w:val="fr-FR"/>
        </w:rPr>
        <w:t>fait de la création d’emplois partie intégrante de son aspiration pour « Une Afrique prospère fondée sur la croissance inclusive et le développement durable ». Le programme exprime la vision à long terme pour le développement du continent sur une période de 50 ans</w:t>
      </w:r>
      <w:r w:rsidR="00524A6D">
        <w:rPr>
          <w:lang w:val="fr-FR"/>
        </w:rPr>
        <w:t xml:space="preserve">, et </w:t>
      </w:r>
      <w:r w:rsidRPr="006F4D4F">
        <w:rPr>
          <w:lang w:val="fr-FR"/>
        </w:rPr>
        <w:t xml:space="preserve">se focalise par conséquent sur la transformation structurelle à long terme des économies africaines. </w:t>
      </w:r>
      <w:r w:rsidR="008A2EC1">
        <w:rPr>
          <w:lang w:val="fr-FR"/>
        </w:rPr>
        <w:t xml:space="preserve">Il fait de </w:t>
      </w:r>
      <w:r w:rsidRPr="006F4D4F">
        <w:rPr>
          <w:lang w:val="fr-FR"/>
        </w:rPr>
        <w:t>« </w:t>
      </w:r>
      <w:r w:rsidR="008A2EC1">
        <w:rPr>
          <w:lang w:val="fr-FR"/>
        </w:rPr>
        <w:t>l</w:t>
      </w:r>
      <w:r w:rsidRPr="006F4D4F">
        <w:rPr>
          <w:lang w:val="fr-FR"/>
        </w:rPr>
        <w:t>a transformation économique et la création d’emplois » des paramètres essentiels à la croissance inclusive et au développement économique. Ce document de stratégie reconnaît que l’investissement du secteur privé est la base du développement économique.</w:t>
      </w:r>
      <w:r w:rsidR="00655917" w:rsidRPr="006F4D4F">
        <w:rPr>
          <w:lang w:val="fr-FR"/>
        </w:rPr>
        <w:t xml:space="preserve"> </w:t>
      </w:r>
      <w:bookmarkEnd w:id="64"/>
    </w:p>
    <w:p w14:paraId="7674F7B4" w14:textId="01B7CE14" w:rsidR="00553C4C" w:rsidRPr="006F4D4F" w:rsidRDefault="000B7ED5" w:rsidP="00F1495E">
      <w:pPr>
        <w:pStyle w:val="Default"/>
        <w:spacing w:after="120" w:line="288" w:lineRule="auto"/>
        <w:jc w:val="both"/>
        <w:rPr>
          <w:rFonts w:ascii="Arial" w:hAnsi="Arial" w:cs="Times New Roman"/>
          <w:color w:val="auto"/>
          <w:kern w:val="18"/>
          <w:sz w:val="20"/>
          <w:szCs w:val="20"/>
          <w:lang w:val="fr-FR" w:eastAsia="en-US"/>
        </w:rPr>
      </w:pPr>
      <w:r w:rsidRPr="006F4D4F">
        <w:rPr>
          <w:rFonts w:ascii="Arial" w:hAnsi="Arial" w:cs="Times New Roman"/>
          <w:color w:val="auto"/>
          <w:kern w:val="18"/>
          <w:sz w:val="20"/>
          <w:szCs w:val="20"/>
          <w:lang w:val="fr-FR" w:eastAsia="en-US"/>
        </w:rPr>
        <w:t xml:space="preserve">Sans compétences adaptées à l’emploi, les jeunes et les adultes ne pourront pas bénéficier </w:t>
      </w:r>
      <w:r w:rsidR="00FC6F07">
        <w:rPr>
          <w:rFonts w:ascii="Arial" w:hAnsi="Arial" w:cs="Times New Roman"/>
          <w:color w:val="auto"/>
          <w:kern w:val="18"/>
          <w:sz w:val="20"/>
          <w:szCs w:val="20"/>
          <w:lang w:val="fr-FR" w:eastAsia="en-US"/>
        </w:rPr>
        <w:t>de perspectives</w:t>
      </w:r>
      <w:r w:rsidRPr="006F4D4F">
        <w:rPr>
          <w:rFonts w:ascii="Arial" w:hAnsi="Arial" w:cs="Times New Roman"/>
          <w:color w:val="auto"/>
          <w:kern w:val="18"/>
          <w:sz w:val="20"/>
          <w:szCs w:val="20"/>
          <w:lang w:val="fr-FR" w:eastAsia="en-US"/>
        </w:rPr>
        <w:t xml:space="preserve"> d’emploi offr</w:t>
      </w:r>
      <w:r w:rsidR="00FC6F07">
        <w:rPr>
          <w:rFonts w:ascii="Arial" w:hAnsi="Arial" w:cs="Times New Roman"/>
          <w:color w:val="auto"/>
          <w:kern w:val="18"/>
          <w:sz w:val="20"/>
          <w:szCs w:val="20"/>
          <w:lang w:val="fr-FR" w:eastAsia="en-US"/>
        </w:rPr>
        <w:t>a</w:t>
      </w:r>
      <w:r w:rsidRPr="006F4D4F">
        <w:rPr>
          <w:rFonts w:ascii="Arial" w:hAnsi="Arial" w:cs="Times New Roman"/>
          <w:color w:val="auto"/>
          <w:kern w:val="18"/>
          <w:sz w:val="20"/>
          <w:szCs w:val="20"/>
          <w:lang w:val="fr-FR" w:eastAsia="en-US"/>
        </w:rPr>
        <w:t xml:space="preserve">nt un revenu décent. La </w:t>
      </w:r>
      <w:r w:rsidRPr="006F4D4F">
        <w:rPr>
          <w:rFonts w:ascii="Arial" w:hAnsi="Arial" w:cs="Times New Roman"/>
          <w:b/>
          <w:bCs/>
          <w:color w:val="auto"/>
          <w:kern w:val="18"/>
          <w:sz w:val="20"/>
          <w:szCs w:val="20"/>
          <w:lang w:val="fr-FR" w:eastAsia="en-US"/>
        </w:rPr>
        <w:t>Stratégie continentale pour l'enseignement et la formation techniques et professionnels (EFTP) en faveur de l'emploi des jeunes</w:t>
      </w:r>
      <w:r w:rsidRPr="006F4D4F">
        <w:rPr>
          <w:rFonts w:ascii="Arial" w:hAnsi="Arial" w:cs="Times New Roman"/>
          <w:color w:val="auto"/>
          <w:kern w:val="18"/>
          <w:sz w:val="20"/>
          <w:szCs w:val="20"/>
          <w:lang w:val="fr-FR" w:eastAsia="en-US"/>
        </w:rPr>
        <w:t xml:space="preserve"> de l’Union africaine souligne l’importance d’un changement de paradigme. Il faut passer d’un enseignement et une formation techniques et professionnels formel</w:t>
      </w:r>
      <w:r w:rsidR="00FC6F07">
        <w:rPr>
          <w:rFonts w:ascii="Arial" w:hAnsi="Arial" w:cs="Times New Roman"/>
          <w:color w:val="auto"/>
          <w:kern w:val="18"/>
          <w:sz w:val="20"/>
          <w:szCs w:val="20"/>
          <w:lang w:val="fr-FR" w:eastAsia="en-US"/>
        </w:rPr>
        <w:t>s</w:t>
      </w:r>
      <w:r w:rsidRPr="006F4D4F">
        <w:rPr>
          <w:rFonts w:ascii="Arial" w:hAnsi="Arial" w:cs="Times New Roman"/>
          <w:color w:val="auto"/>
          <w:kern w:val="18"/>
          <w:sz w:val="20"/>
          <w:szCs w:val="20"/>
          <w:lang w:val="fr-FR" w:eastAsia="en-US"/>
        </w:rPr>
        <w:t xml:space="preserve"> axé</w:t>
      </w:r>
      <w:r w:rsidR="00FC6F07">
        <w:rPr>
          <w:rFonts w:ascii="Arial" w:hAnsi="Arial" w:cs="Times New Roman"/>
          <w:color w:val="auto"/>
          <w:kern w:val="18"/>
          <w:sz w:val="20"/>
          <w:szCs w:val="20"/>
          <w:lang w:val="fr-FR" w:eastAsia="en-US"/>
        </w:rPr>
        <w:t>s</w:t>
      </w:r>
      <w:r w:rsidRPr="006F4D4F">
        <w:rPr>
          <w:rFonts w:ascii="Arial" w:hAnsi="Arial" w:cs="Times New Roman"/>
          <w:color w:val="auto"/>
          <w:kern w:val="18"/>
          <w:sz w:val="20"/>
          <w:szCs w:val="20"/>
          <w:lang w:val="fr-FR" w:eastAsia="en-US"/>
        </w:rPr>
        <w:t xml:space="preserve"> sur l’offre à une approche stratégique plus holistique axée sur la demande, rendant possible l’adoption et la reconnaissance des compétences dans tous les domaines de la formation et de l’enseignement, </w:t>
      </w:r>
      <w:r w:rsidR="00BB72D7" w:rsidRPr="006F4D4F">
        <w:rPr>
          <w:rFonts w:ascii="Arial" w:hAnsi="Arial" w:cs="Times New Roman"/>
          <w:color w:val="auto"/>
          <w:kern w:val="18"/>
          <w:sz w:val="20"/>
          <w:szCs w:val="20"/>
          <w:lang w:val="fr-FR" w:eastAsia="en-US"/>
        </w:rPr>
        <w:t>qu’ils soient formels, informels ou non formels. Ce changement est avant toute chose capable de renforcer la pertinence de l’offre de compétences et de favoriser l’alignement de l’emploi sur le marché du travail.</w:t>
      </w:r>
    </w:p>
    <w:p w14:paraId="1C516FD7" w14:textId="18D842E2" w:rsidR="0056729F" w:rsidRPr="00D64D7E" w:rsidRDefault="00BB72D7" w:rsidP="00F1495E">
      <w:pPr>
        <w:pStyle w:val="BTCBodyText"/>
        <w:spacing w:before="0"/>
        <w:rPr>
          <w:rStyle w:val="rotkursiv"/>
          <w:rFonts w:ascii="Century Gothic" w:hAnsi="Century Gothic" w:cs="Century Gothic"/>
          <w:i w:val="0"/>
          <w:color w:val="auto"/>
          <w:kern w:val="0"/>
          <w:lang w:val="fr-FR" w:eastAsia="en-GB"/>
        </w:rPr>
      </w:pPr>
      <w:r w:rsidRPr="006F4D4F">
        <w:rPr>
          <w:rStyle w:val="rotkursiv"/>
          <w:i w:val="0"/>
          <w:color w:val="auto"/>
          <w:lang w:val="fr-FR"/>
        </w:rPr>
        <w:t>Dans le « </w:t>
      </w:r>
      <w:r w:rsidRPr="006F4D4F">
        <w:rPr>
          <w:rStyle w:val="rotkursiv"/>
          <w:b/>
          <w:bCs/>
          <w:i w:val="0"/>
          <w:color w:val="auto"/>
          <w:lang w:val="fr-FR"/>
        </w:rPr>
        <w:t>Nouveau consensus européen pour le développement</w:t>
      </w:r>
      <w:r w:rsidRPr="006F4D4F">
        <w:rPr>
          <w:rStyle w:val="rotkursiv"/>
          <w:i w:val="0"/>
          <w:color w:val="auto"/>
          <w:lang w:val="fr-FR"/>
        </w:rPr>
        <w:t> », l’Union européenne et ses États mem</w:t>
      </w:r>
      <w:r w:rsidR="006F4D4F" w:rsidRPr="006F4D4F">
        <w:rPr>
          <w:rStyle w:val="rotkursiv"/>
          <w:i w:val="0"/>
          <w:color w:val="auto"/>
          <w:lang w:val="fr-FR"/>
        </w:rPr>
        <w:t>b</w:t>
      </w:r>
      <w:r w:rsidRPr="006F4D4F">
        <w:rPr>
          <w:rStyle w:val="rotkursiv"/>
          <w:i w:val="0"/>
          <w:color w:val="auto"/>
          <w:lang w:val="fr-FR"/>
        </w:rPr>
        <w:t xml:space="preserve">res se sont engagés à mettre en œuvre des actions qui reflètent les grands thèmes de </w:t>
      </w:r>
      <w:r w:rsidRPr="00FC6F07">
        <w:rPr>
          <w:rStyle w:val="rotkursiv"/>
          <w:i w:val="0"/>
          <w:color w:val="auto"/>
          <w:lang w:val="fr-FR"/>
        </w:rPr>
        <w:t>l’</w:t>
      </w:r>
      <w:r w:rsidRPr="00FC6F07">
        <w:rPr>
          <w:rStyle w:val="rotkursiv"/>
          <w:b/>
          <w:bCs/>
          <w:i w:val="0"/>
          <w:color w:val="auto"/>
          <w:lang w:val="fr-FR"/>
        </w:rPr>
        <w:t>Agenda</w:t>
      </w:r>
      <w:r w:rsidRPr="00FC6F07">
        <w:rPr>
          <w:rStyle w:val="rotkursiv"/>
          <w:i w:val="0"/>
          <w:color w:val="auto"/>
          <w:lang w:val="fr-FR"/>
        </w:rPr>
        <w:t xml:space="preserve"> </w:t>
      </w:r>
      <w:r w:rsidRPr="00FC6F07">
        <w:rPr>
          <w:rStyle w:val="rotkursiv"/>
          <w:b/>
          <w:bCs/>
          <w:i w:val="0"/>
          <w:color w:val="auto"/>
          <w:lang w:val="fr-FR"/>
        </w:rPr>
        <w:t xml:space="preserve">2030 pour le développement durable </w:t>
      </w:r>
      <w:r w:rsidRPr="00FC6F07">
        <w:rPr>
          <w:rStyle w:val="rotkursiv"/>
          <w:i w:val="0"/>
          <w:color w:val="auto"/>
          <w:lang w:val="fr-FR"/>
        </w:rPr>
        <w:t>des Nations unies</w:t>
      </w:r>
      <w:r w:rsidRPr="006F4D4F">
        <w:rPr>
          <w:rStyle w:val="rotkursiv"/>
          <w:iCs/>
          <w:color w:val="auto"/>
          <w:lang w:val="fr-FR"/>
        </w:rPr>
        <w:t> </w:t>
      </w:r>
      <w:r w:rsidRPr="006F4D4F">
        <w:rPr>
          <w:rStyle w:val="rotkursiv"/>
          <w:i w:val="0"/>
          <w:color w:val="auto"/>
          <w:lang w:val="fr-FR"/>
        </w:rPr>
        <w:t>: Personnes, Planète, Pros</w:t>
      </w:r>
      <w:r w:rsidR="006F4D4F" w:rsidRPr="006F4D4F">
        <w:rPr>
          <w:rStyle w:val="rotkursiv"/>
          <w:i w:val="0"/>
          <w:color w:val="auto"/>
          <w:lang w:val="fr-FR"/>
        </w:rPr>
        <w:t>p</w:t>
      </w:r>
      <w:r w:rsidRPr="006F4D4F">
        <w:rPr>
          <w:rStyle w:val="rotkursiv"/>
          <w:i w:val="0"/>
          <w:color w:val="auto"/>
          <w:lang w:val="fr-FR"/>
        </w:rPr>
        <w:t xml:space="preserve">érité, Paix et Partenariat. </w:t>
      </w:r>
      <w:r w:rsidR="00FC6F07">
        <w:rPr>
          <w:rStyle w:val="rotkursiv"/>
          <w:i w:val="0"/>
          <w:color w:val="auto"/>
          <w:lang w:val="fr-FR"/>
        </w:rPr>
        <w:t>S’agissant du</w:t>
      </w:r>
      <w:r w:rsidRPr="006F4D4F">
        <w:rPr>
          <w:rStyle w:val="rotkursiv"/>
          <w:i w:val="0"/>
          <w:color w:val="auto"/>
          <w:lang w:val="fr-FR"/>
        </w:rPr>
        <w:t xml:space="preserve"> première thème, Personnes, le Consensus européen souligne l’importance de la création d’emplois de bonne qualité suffisants, pour les jeunes et les femmes notamment. Le Consensus appelle aussi à</w:t>
      </w:r>
      <w:r w:rsidR="006F4D4F" w:rsidRPr="006F4D4F">
        <w:rPr>
          <w:rStyle w:val="rotkursiv"/>
          <w:i w:val="0"/>
          <w:color w:val="auto"/>
          <w:lang w:val="fr-FR"/>
        </w:rPr>
        <w:t xml:space="preserve"> assurer un accès à une éducation de qualité pour tous, préalable à l’employabilité des jeunes et au développement à long terme. Il souligne ainsi l’importance de l’éducation et du </w:t>
      </w:r>
      <w:r w:rsidR="0068294B">
        <w:rPr>
          <w:rStyle w:val="rotkursiv"/>
          <w:i w:val="0"/>
          <w:color w:val="auto"/>
          <w:lang w:val="fr-FR"/>
        </w:rPr>
        <w:t xml:space="preserve">développement des </w:t>
      </w:r>
      <w:r w:rsidR="0068294B" w:rsidRPr="00D64D7E">
        <w:rPr>
          <w:rStyle w:val="rotkursiv"/>
          <w:i w:val="0"/>
          <w:color w:val="auto"/>
          <w:lang w:val="fr-FR"/>
        </w:rPr>
        <w:t>compétences</w:t>
      </w:r>
      <w:r w:rsidR="006F4D4F" w:rsidRPr="00D64D7E">
        <w:rPr>
          <w:rStyle w:val="rotkursiv"/>
          <w:i w:val="0"/>
          <w:color w:val="auto"/>
          <w:lang w:val="fr-FR"/>
        </w:rPr>
        <w:t xml:space="preserve"> pour le bien-être social, économique et environnemental des communautés.</w:t>
      </w:r>
    </w:p>
    <w:p w14:paraId="3C48B7E3" w14:textId="5C94F245" w:rsidR="00114460" w:rsidRPr="006F4D4F" w:rsidRDefault="006F4D4F" w:rsidP="00F1495E">
      <w:pPr>
        <w:pStyle w:val="BTCBodyText"/>
        <w:spacing w:before="0"/>
        <w:rPr>
          <w:lang w:val="fr-FR"/>
        </w:rPr>
      </w:pPr>
      <w:r w:rsidRPr="00D64D7E">
        <w:rPr>
          <w:rStyle w:val="rotkursiv"/>
          <w:i w:val="0"/>
          <w:color w:val="auto"/>
          <w:lang w:val="fr-FR"/>
        </w:rPr>
        <w:t>En septembre 2018, la Commission européenne a annoncé la création d’une « </w:t>
      </w:r>
      <w:r w:rsidRPr="00D64D7E">
        <w:rPr>
          <w:rStyle w:val="Accentuation"/>
          <w:b/>
          <w:bCs/>
          <w:i w:val="0"/>
          <w:iCs w:val="0"/>
          <w:lang w:val="fr-FR"/>
        </w:rPr>
        <w:t>Alliance Afrique</w:t>
      </w:r>
      <w:r w:rsidRPr="00D64D7E">
        <w:rPr>
          <w:rStyle w:val="acopre"/>
          <w:b/>
          <w:bCs/>
          <w:i/>
          <w:iCs/>
          <w:lang w:val="fr-FR"/>
        </w:rPr>
        <w:t>-</w:t>
      </w:r>
      <w:r w:rsidRPr="00D64D7E">
        <w:rPr>
          <w:rStyle w:val="Accentuation"/>
          <w:b/>
          <w:bCs/>
          <w:i w:val="0"/>
          <w:iCs w:val="0"/>
          <w:lang w:val="fr-FR"/>
        </w:rPr>
        <w:t>Europe</w:t>
      </w:r>
      <w:r w:rsidRPr="00D64D7E">
        <w:rPr>
          <w:rStyle w:val="acopre"/>
          <w:b/>
          <w:bCs/>
          <w:lang w:val="fr-FR"/>
        </w:rPr>
        <w:t xml:space="preserve"> pour des emplois et des investissements durables</w:t>
      </w:r>
      <w:r w:rsidRPr="00D64D7E">
        <w:rPr>
          <w:rStyle w:val="acopre"/>
          <w:lang w:val="fr-FR"/>
        </w:rPr>
        <w:t> », avec la promesse de créer 10 millions</w:t>
      </w:r>
      <w:r>
        <w:rPr>
          <w:rStyle w:val="acopre"/>
          <w:lang w:val="fr-FR"/>
        </w:rPr>
        <w:t xml:space="preserve"> d’emplois en Afrique sur les 5 prochaines années et de mettre l’enseignement et la formation professionnels à la disposition de 750 000 Africains. L’Alliance </w:t>
      </w:r>
      <w:r w:rsidR="00D64D7E">
        <w:rPr>
          <w:rStyle w:val="acopre"/>
          <w:lang w:val="fr-FR"/>
        </w:rPr>
        <w:t>promeut</w:t>
      </w:r>
      <w:r>
        <w:rPr>
          <w:rStyle w:val="acopre"/>
          <w:lang w:val="fr-FR"/>
        </w:rPr>
        <w:t xml:space="preserve"> l’adoption d’une approche globale s’adressant</w:t>
      </w:r>
      <w:r w:rsidR="00096EB8">
        <w:rPr>
          <w:rStyle w:val="acopre"/>
          <w:lang w:val="fr-FR"/>
        </w:rPr>
        <w:t>,</w:t>
      </w:r>
      <w:r>
        <w:rPr>
          <w:rStyle w:val="acopre"/>
          <w:lang w:val="fr-FR"/>
        </w:rPr>
        <w:t xml:space="preserve"> tant au côté demande</w:t>
      </w:r>
      <w:r w:rsidR="00096EB8">
        <w:rPr>
          <w:rStyle w:val="acopre"/>
          <w:lang w:val="fr-FR"/>
        </w:rPr>
        <w:t>,</w:t>
      </w:r>
      <w:r>
        <w:rPr>
          <w:rStyle w:val="acopre"/>
          <w:lang w:val="fr-FR"/>
        </w:rPr>
        <w:t xml:space="preserve"> qu’au côté offre du marché du travail. Pour stimuler la demande, l’Alliance se fixe pour objectif de parvenir à une hausse substantielle de l’investissement privé pour favoriser la création d’emplois et contribuer à un développement durable et inclusif</w:t>
      </w:r>
      <w:r w:rsidR="00C63377">
        <w:rPr>
          <w:rStyle w:val="acopre"/>
          <w:lang w:val="fr-FR"/>
        </w:rPr>
        <w:t xml:space="preserve">. L’amélioration du climat des affaires et du commerce fait partie intégrante de la stratégie de l’Alliance. Côté offre, cette stratégie est associée au développement des ressources humaines, avec un appui à l’éducation et à la formation. Les </w:t>
      </w:r>
      <w:r w:rsidR="00C63377">
        <w:rPr>
          <w:rStyle w:val="acopre"/>
          <w:b/>
          <w:bCs/>
          <w:lang w:val="fr-FR"/>
        </w:rPr>
        <w:t>Pactes pour l’emploi et la croissance</w:t>
      </w:r>
      <w:r w:rsidR="00C63377">
        <w:rPr>
          <w:rStyle w:val="acopre"/>
          <w:lang w:val="fr-FR"/>
        </w:rPr>
        <w:t xml:space="preserve"> élaborés par les Délégations de l’U</w:t>
      </w:r>
      <w:r w:rsidR="00096EB8">
        <w:rPr>
          <w:rStyle w:val="acopre"/>
          <w:lang w:val="fr-FR"/>
        </w:rPr>
        <w:t>nion européenne</w:t>
      </w:r>
      <w:r w:rsidR="00C63377">
        <w:rPr>
          <w:rStyle w:val="acopre"/>
          <w:lang w:val="fr-FR"/>
        </w:rPr>
        <w:t xml:space="preserve"> </w:t>
      </w:r>
      <w:r w:rsidR="00096EB8">
        <w:rPr>
          <w:rStyle w:val="acopre"/>
          <w:lang w:val="fr-FR"/>
        </w:rPr>
        <w:t>présentent</w:t>
      </w:r>
      <w:r w:rsidR="00C63377">
        <w:rPr>
          <w:rStyle w:val="acopre"/>
          <w:lang w:val="fr-FR"/>
        </w:rPr>
        <w:t xml:space="preserve"> une analyse du potentiel de création d’emplois et de développement de la chaîne de valeur</w:t>
      </w:r>
      <w:r w:rsidR="00096EB8">
        <w:rPr>
          <w:rStyle w:val="acopre"/>
          <w:lang w:val="fr-FR"/>
        </w:rPr>
        <w:t>,</w:t>
      </w:r>
      <w:r w:rsidR="00C63377">
        <w:rPr>
          <w:rStyle w:val="acopre"/>
          <w:lang w:val="fr-FR"/>
        </w:rPr>
        <w:t xml:space="preserve"> et des obstacles qui y sont associés, et proposent une réponse stratégique prospective alignée sur les quatre </w:t>
      </w:r>
      <w:r w:rsidR="00096EB8">
        <w:rPr>
          <w:rStyle w:val="acopre"/>
          <w:lang w:val="fr-FR"/>
        </w:rPr>
        <w:t>axes</w:t>
      </w:r>
      <w:r w:rsidR="00C63377">
        <w:rPr>
          <w:rStyle w:val="acopre"/>
          <w:lang w:val="fr-FR"/>
        </w:rPr>
        <w:t xml:space="preserve"> de l’Alliance Afrique-Europe. La démarche de l’Alliance est </w:t>
      </w:r>
      <w:r w:rsidR="00096EB8">
        <w:rPr>
          <w:rStyle w:val="acopre"/>
          <w:lang w:val="fr-FR"/>
        </w:rPr>
        <w:t>réaffirmée</w:t>
      </w:r>
      <w:r w:rsidR="00C63377">
        <w:rPr>
          <w:rStyle w:val="acopre"/>
          <w:lang w:val="fr-FR"/>
        </w:rPr>
        <w:t xml:space="preserve"> dans la Communication conjointe 2020 </w:t>
      </w:r>
      <w:r w:rsidR="00C63377">
        <w:rPr>
          <w:rStyle w:val="acopre"/>
          <w:b/>
          <w:bCs/>
          <w:lang w:val="fr-FR"/>
        </w:rPr>
        <w:t>Vers une stratégie globale avec l’Afrique</w:t>
      </w:r>
      <w:r w:rsidR="00E048C5" w:rsidRPr="006F4D4F">
        <w:rPr>
          <w:rStyle w:val="Appelnotedebasdep"/>
          <w:b/>
          <w:lang w:val="fr-FR"/>
        </w:rPr>
        <w:footnoteReference w:id="2"/>
      </w:r>
      <w:r w:rsidR="00C63377">
        <w:rPr>
          <w:rStyle w:val="acopre"/>
          <w:b/>
          <w:bCs/>
          <w:lang w:val="fr-FR"/>
        </w:rPr>
        <w:t xml:space="preserve">, </w:t>
      </w:r>
      <w:r w:rsidR="00C63377" w:rsidRPr="00C63377">
        <w:rPr>
          <w:rStyle w:val="acopre"/>
          <w:lang w:val="fr-FR"/>
        </w:rPr>
        <w:t>qui se</w:t>
      </w:r>
      <w:r w:rsidR="00C63377">
        <w:rPr>
          <w:lang w:val="fr-FR"/>
        </w:rPr>
        <w:t xml:space="preserve"> propose de</w:t>
      </w:r>
      <w:r w:rsidR="0085654E">
        <w:rPr>
          <w:lang w:val="fr-FR"/>
        </w:rPr>
        <w:t xml:space="preserve"> donner de l’élan au commerce et à l’investissement durable, d’améliorer le climat </w:t>
      </w:r>
      <w:r w:rsidR="00096EB8">
        <w:rPr>
          <w:lang w:val="fr-FR"/>
        </w:rPr>
        <w:t>de l’i</w:t>
      </w:r>
      <w:r w:rsidR="0085654E">
        <w:rPr>
          <w:lang w:val="fr-FR"/>
        </w:rPr>
        <w:t>nvestissement et l’environnement d’affaires, de faire progresser l’intégration économique régionale et continentale et de renforcer l’accès à l’éducation de qualité et aux compétences.</w:t>
      </w:r>
    </w:p>
    <w:p w14:paraId="0F608689" w14:textId="1B8C1946" w:rsidR="00450B85" w:rsidRPr="006F4D4F" w:rsidRDefault="0085654E" w:rsidP="0085654E">
      <w:pPr>
        <w:pStyle w:val="BTCBodyText"/>
        <w:spacing w:before="0"/>
        <w:rPr>
          <w:rStyle w:val="rotkursiv"/>
          <w:i w:val="0"/>
          <w:color w:val="auto"/>
          <w:lang w:val="fr-FR"/>
        </w:rPr>
      </w:pPr>
      <w:r>
        <w:rPr>
          <w:rStyle w:val="rotkursiv"/>
          <w:i w:val="0"/>
          <w:color w:val="auto"/>
          <w:lang w:val="fr-FR"/>
        </w:rPr>
        <w:t xml:space="preserve">Le </w:t>
      </w:r>
      <w:r>
        <w:rPr>
          <w:rStyle w:val="rotkursiv"/>
          <w:b/>
          <w:bCs/>
          <w:i w:val="0"/>
          <w:color w:val="auto"/>
          <w:lang w:val="fr-FR"/>
        </w:rPr>
        <w:t xml:space="preserve">Plan d’investissement extérieur (PIE) de l’Union européenne </w:t>
      </w:r>
      <w:r>
        <w:rPr>
          <w:rStyle w:val="rotkursiv"/>
          <w:i w:val="0"/>
          <w:color w:val="auto"/>
          <w:lang w:val="fr-FR"/>
        </w:rPr>
        <w:t xml:space="preserve">est une initiative de l’UE lancée en 2017. </w:t>
      </w:r>
      <w:r w:rsidR="00096EB8">
        <w:rPr>
          <w:rStyle w:val="rotkursiv"/>
          <w:i w:val="0"/>
          <w:color w:val="auto"/>
          <w:lang w:val="fr-FR"/>
        </w:rPr>
        <w:t>Évoquée dans l’Alliance Afrique-Europe, c</w:t>
      </w:r>
      <w:r>
        <w:rPr>
          <w:rStyle w:val="rotkursiv"/>
          <w:i w:val="0"/>
          <w:color w:val="auto"/>
          <w:lang w:val="fr-FR"/>
        </w:rPr>
        <w:t xml:space="preserve">’est une initiative d’investissement majeure qui mobilise l’investissement privé en Afrique en garantissant et en </w:t>
      </w:r>
      <w:r w:rsidR="00096EB8">
        <w:rPr>
          <w:rStyle w:val="rotkursiv"/>
          <w:i w:val="0"/>
          <w:color w:val="auto"/>
          <w:lang w:val="fr-FR"/>
        </w:rPr>
        <w:t xml:space="preserve">panachant </w:t>
      </w:r>
      <w:r>
        <w:rPr>
          <w:rStyle w:val="rotkursiv"/>
          <w:i w:val="0"/>
          <w:color w:val="auto"/>
          <w:lang w:val="fr-FR"/>
        </w:rPr>
        <w:t xml:space="preserve">les investissements. Entre 2017 et 2020, 4,5 milliards d’euros devraient mobiliser 44 milliards d’euros d’investissements du secteur privé. Le PIE privilégiera 5 domaines d’investissement prioritaires : </w:t>
      </w:r>
      <w:r>
        <w:rPr>
          <w:rStyle w:val="rotkursiv"/>
          <w:b/>
          <w:bCs/>
          <w:i w:val="0"/>
          <w:color w:val="auto"/>
          <w:lang w:val="fr-FR"/>
        </w:rPr>
        <w:t xml:space="preserve">1) énergie renouvelable et connectivité </w:t>
      </w:r>
      <w:r w:rsidRPr="0085654E">
        <w:rPr>
          <w:rStyle w:val="rotkursiv"/>
          <w:b/>
          <w:bCs/>
          <w:i w:val="0"/>
          <w:color w:val="auto"/>
          <w:lang w:val="fr-FR"/>
        </w:rPr>
        <w:t>durable,</w:t>
      </w:r>
      <w:r w:rsidR="000A20C5">
        <w:rPr>
          <w:rStyle w:val="rotkursiv"/>
          <w:b/>
          <w:bCs/>
          <w:i w:val="0"/>
          <w:color w:val="auto"/>
          <w:lang w:val="fr-FR"/>
        </w:rPr>
        <w:t xml:space="preserve"> </w:t>
      </w:r>
      <w:r w:rsidRPr="0085654E">
        <w:rPr>
          <w:rStyle w:val="rotkursiv"/>
          <w:b/>
          <w:bCs/>
          <w:i w:val="0"/>
          <w:color w:val="auto"/>
          <w:lang w:val="fr-FR"/>
        </w:rPr>
        <w:t>2) financement de</w:t>
      </w:r>
      <w:r w:rsidR="00096EB8">
        <w:rPr>
          <w:rStyle w:val="rotkursiv"/>
          <w:b/>
          <w:bCs/>
          <w:i w:val="0"/>
          <w:color w:val="auto"/>
          <w:lang w:val="fr-FR"/>
        </w:rPr>
        <w:t>s</w:t>
      </w:r>
      <w:r w:rsidRPr="0085654E">
        <w:rPr>
          <w:rStyle w:val="rotkursiv"/>
          <w:b/>
          <w:bCs/>
          <w:i w:val="0"/>
          <w:color w:val="auto"/>
          <w:lang w:val="fr-FR"/>
        </w:rPr>
        <w:t xml:space="preserve"> micro, petites et moyennes entreprises, 3) agriculture</w:t>
      </w:r>
      <w:r w:rsidR="00096EB8" w:rsidRPr="00096EB8">
        <w:rPr>
          <w:rStyle w:val="rotkursiv"/>
          <w:b/>
          <w:bCs/>
          <w:i w:val="0"/>
          <w:color w:val="auto"/>
          <w:lang w:val="fr-FR"/>
        </w:rPr>
        <w:t xml:space="preserve"> </w:t>
      </w:r>
      <w:r w:rsidR="00096EB8" w:rsidRPr="0085654E">
        <w:rPr>
          <w:rStyle w:val="rotkursiv"/>
          <w:b/>
          <w:bCs/>
          <w:i w:val="0"/>
          <w:color w:val="auto"/>
          <w:lang w:val="fr-FR"/>
        </w:rPr>
        <w:t>durable</w:t>
      </w:r>
      <w:r w:rsidRPr="0085654E">
        <w:rPr>
          <w:rStyle w:val="rotkursiv"/>
          <w:b/>
          <w:bCs/>
          <w:i w:val="0"/>
          <w:color w:val="auto"/>
          <w:lang w:val="fr-FR"/>
        </w:rPr>
        <w:t>, entrepreneurs ruraux et agro-industrie, 4) villes durables</w:t>
      </w:r>
      <w:r w:rsidRPr="0085654E">
        <w:rPr>
          <w:rStyle w:val="rotkursiv"/>
          <w:i w:val="0"/>
          <w:color w:val="auto"/>
          <w:lang w:val="fr-FR"/>
        </w:rPr>
        <w:t xml:space="preserve"> et</w:t>
      </w:r>
      <w:r>
        <w:rPr>
          <w:rStyle w:val="rotkursiv"/>
          <w:i w:val="0"/>
          <w:color w:val="auto"/>
          <w:lang w:val="fr-FR"/>
        </w:rPr>
        <w:t xml:space="preserve"> </w:t>
      </w:r>
      <w:r>
        <w:rPr>
          <w:rStyle w:val="rotkursiv"/>
          <w:b/>
          <w:bCs/>
          <w:i w:val="0"/>
          <w:color w:val="auto"/>
          <w:lang w:val="fr-FR"/>
        </w:rPr>
        <w:t xml:space="preserve">5) </w:t>
      </w:r>
      <w:r w:rsidRPr="006B49BA">
        <w:rPr>
          <w:rStyle w:val="rotkursiv"/>
          <w:b/>
          <w:bCs/>
          <w:i w:val="0"/>
          <w:color w:val="auto"/>
          <w:lang w:val="fr-FR"/>
        </w:rPr>
        <w:t>numérisation</w:t>
      </w:r>
      <w:r w:rsidR="006B49BA">
        <w:rPr>
          <w:rStyle w:val="rotkursiv"/>
          <w:b/>
          <w:bCs/>
          <w:i w:val="0"/>
          <w:color w:val="auto"/>
          <w:lang w:val="fr-FR"/>
        </w:rPr>
        <w:t xml:space="preserve"> pour le développement durable</w:t>
      </w:r>
      <w:r w:rsidR="006B49BA">
        <w:rPr>
          <w:rStyle w:val="rotkursiv"/>
          <w:i w:val="0"/>
          <w:color w:val="auto"/>
          <w:lang w:val="fr-FR"/>
        </w:rPr>
        <w:t xml:space="preserve">. </w:t>
      </w:r>
      <w:r w:rsidR="00576861">
        <w:rPr>
          <w:rStyle w:val="rotkursiv"/>
          <w:i w:val="0"/>
          <w:color w:val="auto"/>
          <w:lang w:val="fr-FR"/>
        </w:rPr>
        <w:t xml:space="preserve">Le succès du PIE se concrétisera dans sa capacité, non seulement de mobiliser des investissements </w:t>
      </w:r>
      <w:r w:rsidR="006306E6">
        <w:rPr>
          <w:rStyle w:val="rotkursiv"/>
          <w:i w:val="0"/>
          <w:color w:val="auto"/>
          <w:lang w:val="fr-FR"/>
        </w:rPr>
        <w:t>encourageant la</w:t>
      </w:r>
      <w:r w:rsidR="00576861">
        <w:rPr>
          <w:rStyle w:val="rotkursiv"/>
          <w:i w:val="0"/>
          <w:color w:val="auto"/>
          <w:lang w:val="fr-FR"/>
        </w:rPr>
        <w:t xml:space="preserve"> croissance durable et inclusive, mais également de favoriser la création d’emplois durables</w:t>
      </w:r>
      <w:r w:rsidR="006306E6">
        <w:rPr>
          <w:rStyle w:val="rotkursiv"/>
          <w:i w:val="0"/>
          <w:color w:val="auto"/>
          <w:lang w:val="fr-FR"/>
        </w:rPr>
        <w:t>. La présente action est étroitement liée au PIE. L’approche adoptée par l’Alliance et les programmes d’investissement devrai</w:t>
      </w:r>
      <w:r w:rsidR="00AE0FDB">
        <w:rPr>
          <w:rStyle w:val="rotkursiv"/>
          <w:i w:val="0"/>
          <w:color w:val="auto"/>
          <w:lang w:val="fr-FR"/>
        </w:rPr>
        <w:t>en</w:t>
      </w:r>
      <w:r w:rsidR="006306E6">
        <w:rPr>
          <w:rStyle w:val="rotkursiv"/>
          <w:i w:val="0"/>
          <w:color w:val="auto"/>
          <w:lang w:val="fr-FR"/>
        </w:rPr>
        <w:t xml:space="preserve">t se </w:t>
      </w:r>
      <w:r w:rsidR="00096EB8">
        <w:rPr>
          <w:rStyle w:val="rotkursiv"/>
          <w:i w:val="0"/>
          <w:color w:val="auto"/>
          <w:lang w:val="fr-FR"/>
        </w:rPr>
        <w:t xml:space="preserve">voir </w:t>
      </w:r>
      <w:r w:rsidR="006306E6">
        <w:rPr>
          <w:rStyle w:val="rotkursiv"/>
          <w:i w:val="0"/>
          <w:color w:val="auto"/>
          <w:lang w:val="fr-FR"/>
        </w:rPr>
        <w:t xml:space="preserve">considérablement </w:t>
      </w:r>
      <w:r w:rsidR="00096EB8">
        <w:rPr>
          <w:rStyle w:val="rotkursiv"/>
          <w:i w:val="0"/>
          <w:color w:val="auto"/>
          <w:lang w:val="fr-FR"/>
        </w:rPr>
        <w:t>renforcé</w:t>
      </w:r>
      <w:r w:rsidR="00AE0FDB">
        <w:rPr>
          <w:rStyle w:val="rotkursiv"/>
          <w:i w:val="0"/>
          <w:color w:val="auto"/>
          <w:lang w:val="fr-FR"/>
        </w:rPr>
        <w:t>s</w:t>
      </w:r>
      <w:r w:rsidR="00096EB8">
        <w:rPr>
          <w:rStyle w:val="rotkursiv"/>
          <w:i w:val="0"/>
          <w:color w:val="auto"/>
          <w:lang w:val="fr-FR"/>
        </w:rPr>
        <w:t xml:space="preserve"> </w:t>
      </w:r>
      <w:r w:rsidR="006306E6">
        <w:rPr>
          <w:rStyle w:val="rotkursiv"/>
          <w:i w:val="0"/>
          <w:color w:val="auto"/>
          <w:lang w:val="fr-FR"/>
        </w:rPr>
        <w:t>dans la proposition de la Commission pour le prochain cadre de financement pluriannuel</w:t>
      </w:r>
      <w:r w:rsidR="00096EB8">
        <w:rPr>
          <w:rStyle w:val="rotkursiv"/>
          <w:i w:val="0"/>
          <w:color w:val="auto"/>
          <w:lang w:val="fr-FR"/>
        </w:rPr>
        <w:t> ;</w:t>
      </w:r>
      <w:r w:rsidR="006306E6">
        <w:rPr>
          <w:rStyle w:val="rotkursiv"/>
          <w:i w:val="0"/>
          <w:color w:val="auto"/>
          <w:lang w:val="fr-FR"/>
        </w:rPr>
        <w:t xml:space="preserve"> des guichets d’investissement additionnels, également en vue de </w:t>
      </w:r>
      <w:r w:rsidR="00096EB8">
        <w:rPr>
          <w:rStyle w:val="rotkursiv"/>
          <w:i w:val="0"/>
          <w:color w:val="auto"/>
          <w:lang w:val="fr-FR"/>
        </w:rPr>
        <w:t xml:space="preserve">répondre </w:t>
      </w:r>
      <w:r w:rsidR="006306E6">
        <w:rPr>
          <w:rStyle w:val="rotkursiv"/>
          <w:i w:val="0"/>
          <w:color w:val="auto"/>
          <w:lang w:val="fr-FR"/>
        </w:rPr>
        <w:t xml:space="preserve">à la crise de la Covid-19, devraient </w:t>
      </w:r>
      <w:r w:rsidR="00AE0FDB">
        <w:rPr>
          <w:rStyle w:val="rotkursiv"/>
          <w:i w:val="0"/>
          <w:color w:val="auto"/>
          <w:lang w:val="fr-FR"/>
        </w:rPr>
        <w:t xml:space="preserve">également </w:t>
      </w:r>
      <w:r w:rsidR="006306E6">
        <w:rPr>
          <w:rStyle w:val="rotkursiv"/>
          <w:i w:val="0"/>
          <w:color w:val="auto"/>
          <w:lang w:val="fr-FR"/>
        </w:rPr>
        <w:t>émerger.</w:t>
      </w:r>
    </w:p>
    <w:p w14:paraId="54AB16AF" w14:textId="17EA0E4E" w:rsidR="00FD2B31" w:rsidRPr="006F4D4F" w:rsidRDefault="006306E6" w:rsidP="00450B85">
      <w:pPr>
        <w:pStyle w:val="BTCBodyText"/>
        <w:spacing w:before="0"/>
        <w:rPr>
          <w:rStyle w:val="rotkursiv"/>
          <w:i w:val="0"/>
          <w:color w:val="auto"/>
          <w:lang w:val="fr-FR"/>
        </w:rPr>
      </w:pPr>
      <w:r>
        <w:rPr>
          <w:rStyle w:val="rotkursiv"/>
          <w:i w:val="0"/>
          <w:color w:val="auto"/>
          <w:lang w:val="fr-FR"/>
        </w:rPr>
        <w:t xml:space="preserve">À l’heure actuelle, l’Union européenne est en train de réaffecter des fonds provenant de sources existantes pour </w:t>
      </w:r>
      <w:r w:rsidR="00AE0FDB">
        <w:rPr>
          <w:rStyle w:val="rotkursiv"/>
          <w:i w:val="0"/>
          <w:color w:val="auto"/>
          <w:lang w:val="fr-FR"/>
        </w:rPr>
        <w:t xml:space="preserve">pallier les conséquences </w:t>
      </w:r>
      <w:r>
        <w:rPr>
          <w:rStyle w:val="rotkursiv"/>
          <w:i w:val="0"/>
          <w:color w:val="auto"/>
          <w:lang w:val="fr-FR"/>
        </w:rPr>
        <w:t xml:space="preserve">de la crise sanitaire. </w:t>
      </w:r>
      <w:r w:rsidR="00B23749">
        <w:rPr>
          <w:rStyle w:val="rotkursiv"/>
          <w:i w:val="0"/>
          <w:color w:val="auto"/>
          <w:lang w:val="fr-FR"/>
        </w:rPr>
        <w:t>On aura p</w:t>
      </w:r>
      <w:r>
        <w:rPr>
          <w:rStyle w:val="rotkursiv"/>
          <w:i w:val="0"/>
          <w:color w:val="auto"/>
          <w:lang w:val="fr-FR"/>
        </w:rPr>
        <w:t>ar exemple</w:t>
      </w:r>
      <w:r w:rsidR="00B23749">
        <w:rPr>
          <w:rStyle w:val="rotkursiv"/>
          <w:i w:val="0"/>
          <w:color w:val="auto"/>
          <w:lang w:val="fr-FR"/>
        </w:rPr>
        <w:t xml:space="preserve"> recours aux </w:t>
      </w:r>
      <w:r>
        <w:rPr>
          <w:rStyle w:val="rotkursiv"/>
          <w:i w:val="0"/>
          <w:color w:val="auto"/>
          <w:lang w:val="fr-FR"/>
        </w:rPr>
        <w:t>garantie</w:t>
      </w:r>
      <w:r w:rsidR="00B23749">
        <w:rPr>
          <w:rStyle w:val="rotkursiv"/>
          <w:i w:val="0"/>
          <w:color w:val="auto"/>
          <w:lang w:val="fr-FR"/>
        </w:rPr>
        <w:t>s</w:t>
      </w:r>
      <w:r>
        <w:rPr>
          <w:rStyle w:val="rotkursiv"/>
          <w:i w:val="0"/>
          <w:color w:val="auto"/>
          <w:lang w:val="fr-FR"/>
        </w:rPr>
        <w:t xml:space="preserve"> et </w:t>
      </w:r>
      <w:r w:rsidR="00B23749">
        <w:rPr>
          <w:rStyle w:val="rotkursiv"/>
          <w:i w:val="0"/>
          <w:color w:val="auto"/>
          <w:lang w:val="fr-FR"/>
        </w:rPr>
        <w:t xml:space="preserve">aux </w:t>
      </w:r>
      <w:r>
        <w:rPr>
          <w:rStyle w:val="rotkursiv"/>
          <w:i w:val="0"/>
          <w:color w:val="auto"/>
          <w:lang w:val="fr-FR"/>
        </w:rPr>
        <w:t xml:space="preserve">prêts du Fonds européen pour le développement durable (FEDD) émis par les établissements financiers partenaires </w:t>
      </w:r>
      <w:r w:rsidR="00B23749">
        <w:rPr>
          <w:rStyle w:val="rotkursiv"/>
          <w:i w:val="0"/>
          <w:color w:val="auto"/>
          <w:lang w:val="fr-FR"/>
        </w:rPr>
        <w:t>pour panacher les projets</w:t>
      </w:r>
      <w:r w:rsidR="00AE0FDB">
        <w:rPr>
          <w:rStyle w:val="rotkursiv"/>
          <w:i w:val="0"/>
          <w:color w:val="auto"/>
          <w:lang w:val="fr-FR"/>
        </w:rPr>
        <w:t>,</w:t>
      </w:r>
      <w:r w:rsidR="00B23749">
        <w:rPr>
          <w:rStyle w:val="rotkursiv"/>
          <w:i w:val="0"/>
          <w:color w:val="auto"/>
          <w:lang w:val="fr-FR"/>
        </w:rPr>
        <w:t xml:space="preserve"> dans le but de répondre aux effets négatifs de la pandémie en Afrique. Les garanties serviront</w:t>
      </w:r>
      <w:r>
        <w:rPr>
          <w:rStyle w:val="rotkursiv"/>
          <w:i w:val="0"/>
          <w:color w:val="auto"/>
          <w:lang w:val="fr-FR"/>
        </w:rPr>
        <w:t xml:space="preserve"> </w:t>
      </w:r>
      <w:r w:rsidR="00B23749">
        <w:rPr>
          <w:rStyle w:val="rotkursiv"/>
          <w:i w:val="0"/>
          <w:color w:val="auto"/>
          <w:lang w:val="fr-FR"/>
        </w:rPr>
        <w:t xml:space="preserve">à aider les petites entreprises en leur apportant des liquidités et du fonds de roulement et à </w:t>
      </w:r>
      <w:r w:rsidR="00AE0FDB">
        <w:rPr>
          <w:rStyle w:val="rotkursiv"/>
          <w:i w:val="0"/>
          <w:color w:val="auto"/>
          <w:lang w:val="fr-FR"/>
        </w:rPr>
        <w:t>mettre les soins médicaux à la disposition d’</w:t>
      </w:r>
      <w:r w:rsidR="00B23749">
        <w:rPr>
          <w:rStyle w:val="rotkursiv"/>
          <w:i w:val="0"/>
          <w:color w:val="auto"/>
          <w:lang w:val="fr-FR"/>
        </w:rPr>
        <w:t>un plus grand nombre de personnes. Le PIE va réorienter une partie de ses fonds en faveur des mesures de réponse à la pandémie. L’U</w:t>
      </w:r>
      <w:r w:rsidR="00AE0FDB">
        <w:rPr>
          <w:rStyle w:val="rotkursiv"/>
          <w:i w:val="0"/>
          <w:color w:val="auto"/>
          <w:lang w:val="fr-FR"/>
        </w:rPr>
        <w:t>nion européenne</w:t>
      </w:r>
      <w:r w:rsidR="00B23749">
        <w:rPr>
          <w:rStyle w:val="rotkursiv"/>
          <w:i w:val="0"/>
          <w:color w:val="auto"/>
          <w:lang w:val="fr-FR"/>
        </w:rPr>
        <w:t xml:space="preserve"> privilégiera le financement des petites entreprises, le financement </w:t>
      </w:r>
      <w:r w:rsidR="00AE0FDB">
        <w:rPr>
          <w:rStyle w:val="rotkursiv"/>
          <w:i w:val="0"/>
          <w:color w:val="auto"/>
          <w:lang w:val="fr-FR"/>
        </w:rPr>
        <w:t>en</w:t>
      </w:r>
      <w:r w:rsidR="00B23749">
        <w:rPr>
          <w:rStyle w:val="rotkursiv"/>
          <w:i w:val="0"/>
          <w:color w:val="auto"/>
          <w:lang w:val="fr-FR"/>
        </w:rPr>
        <w:t xml:space="preserve"> monnaie locale et la santé. À moyen et à long terme, des fonds supplémentaires seront investis dans la stimulation du développement économique en Afrique, avec un appui aux mesures qui visent à créer des incitations pour </w:t>
      </w:r>
      <w:r w:rsidR="00AE0FDB">
        <w:rPr>
          <w:rStyle w:val="rotkursiv"/>
          <w:i w:val="0"/>
          <w:color w:val="auto"/>
          <w:lang w:val="fr-FR"/>
        </w:rPr>
        <w:t xml:space="preserve">attirer </w:t>
      </w:r>
      <w:r w:rsidR="00B23749">
        <w:rPr>
          <w:rStyle w:val="rotkursiv"/>
          <w:i w:val="0"/>
          <w:color w:val="auto"/>
          <w:lang w:val="fr-FR"/>
        </w:rPr>
        <w:t>les investissements additionnels</w:t>
      </w:r>
      <w:r w:rsidR="00AE0FDB">
        <w:rPr>
          <w:rStyle w:val="rotkursiv"/>
          <w:i w:val="0"/>
          <w:color w:val="auto"/>
          <w:lang w:val="fr-FR"/>
        </w:rPr>
        <w:t>, non seulement</w:t>
      </w:r>
      <w:r w:rsidR="00B23749">
        <w:rPr>
          <w:rStyle w:val="rotkursiv"/>
          <w:i w:val="0"/>
          <w:color w:val="auto"/>
          <w:lang w:val="fr-FR"/>
        </w:rPr>
        <w:t xml:space="preserve"> étrangers</w:t>
      </w:r>
      <w:r w:rsidR="00AE0FDB">
        <w:rPr>
          <w:rStyle w:val="rotkursiv"/>
          <w:i w:val="0"/>
          <w:color w:val="auto"/>
          <w:lang w:val="fr-FR"/>
        </w:rPr>
        <w:t>,</w:t>
      </w:r>
      <w:r w:rsidR="00B23749">
        <w:rPr>
          <w:rStyle w:val="rotkursiv"/>
          <w:i w:val="0"/>
          <w:color w:val="auto"/>
          <w:lang w:val="fr-FR"/>
        </w:rPr>
        <w:t xml:space="preserve"> mais </w:t>
      </w:r>
      <w:r w:rsidR="00AE0FDB">
        <w:rPr>
          <w:rStyle w:val="rotkursiv"/>
          <w:i w:val="0"/>
          <w:color w:val="auto"/>
          <w:lang w:val="fr-FR"/>
        </w:rPr>
        <w:t xml:space="preserve">aussi </w:t>
      </w:r>
      <w:r w:rsidR="00B23749">
        <w:rPr>
          <w:rStyle w:val="rotkursiv"/>
          <w:i w:val="0"/>
          <w:color w:val="auto"/>
          <w:lang w:val="fr-FR"/>
        </w:rPr>
        <w:t>régionaux et locaux.</w:t>
      </w:r>
    </w:p>
    <w:p w14:paraId="3D913520" w14:textId="61831DB3" w:rsidR="00114460" w:rsidRPr="006F4D4F" w:rsidRDefault="00B23749" w:rsidP="00467B08">
      <w:pPr>
        <w:pStyle w:val="BTCBodyText"/>
        <w:spacing w:before="0"/>
        <w:rPr>
          <w:rStyle w:val="rotkursiv"/>
          <w:i w:val="0"/>
          <w:color w:val="auto"/>
          <w:lang w:val="fr-FR"/>
        </w:rPr>
      </w:pPr>
      <w:r>
        <w:rPr>
          <w:rStyle w:val="rotkursiv"/>
          <w:i w:val="0"/>
          <w:color w:val="auto"/>
          <w:lang w:val="fr-FR"/>
        </w:rPr>
        <w:t xml:space="preserve">La Communication conjointe </w:t>
      </w:r>
      <w:r w:rsidR="00467B08">
        <w:rPr>
          <w:rStyle w:val="rotkursiv"/>
          <w:i w:val="0"/>
          <w:color w:val="auto"/>
          <w:lang w:val="fr-FR"/>
        </w:rPr>
        <w:t xml:space="preserve">« Un </w:t>
      </w:r>
      <w:r>
        <w:rPr>
          <w:rStyle w:val="rotkursiv"/>
          <w:i w:val="0"/>
          <w:color w:val="auto"/>
          <w:lang w:val="fr-FR"/>
        </w:rPr>
        <w:t xml:space="preserve">nouvel élan </w:t>
      </w:r>
      <w:r w:rsidR="00467B08">
        <w:rPr>
          <w:rStyle w:val="rotkursiv"/>
          <w:i w:val="0"/>
          <w:color w:val="auto"/>
          <w:lang w:val="fr-FR"/>
        </w:rPr>
        <w:t xml:space="preserve">pour le </w:t>
      </w:r>
      <w:r>
        <w:rPr>
          <w:rStyle w:val="rotkursiv"/>
          <w:i w:val="0"/>
          <w:color w:val="auto"/>
          <w:lang w:val="fr-FR"/>
        </w:rPr>
        <w:t>partenariat Afrique-UE</w:t>
      </w:r>
      <w:r w:rsidR="00467B08">
        <w:rPr>
          <w:rStyle w:val="rotkursiv"/>
          <w:i w:val="0"/>
          <w:color w:val="auto"/>
          <w:lang w:val="fr-FR"/>
        </w:rPr>
        <w:t xml:space="preserve"> » appelle au renforcement du rôle du secteur privé dans la coopération au développement de l’Union européenne, tout en adaptant davantage l’éducation et l’enseignement et la formation professionnels aux besoins du marché du travail. La Communication reconnaît que le secteur privé est un moteur d’emploi et que </w:t>
      </w:r>
      <w:r w:rsidR="00AE0FDB">
        <w:rPr>
          <w:rStyle w:val="rotkursiv"/>
          <w:i w:val="0"/>
          <w:color w:val="auto"/>
          <w:lang w:val="fr-FR"/>
        </w:rPr>
        <w:t xml:space="preserve">le </w:t>
      </w:r>
      <w:r w:rsidR="00A5358D">
        <w:rPr>
          <w:rStyle w:val="rotkursiv"/>
          <w:i w:val="0"/>
          <w:color w:val="auto"/>
          <w:lang w:val="fr-FR"/>
        </w:rPr>
        <w:t xml:space="preserve">renforcement de </w:t>
      </w:r>
      <w:r w:rsidR="00467B08">
        <w:rPr>
          <w:rStyle w:val="rotkursiv"/>
          <w:i w:val="0"/>
          <w:color w:val="auto"/>
          <w:lang w:val="fr-FR"/>
        </w:rPr>
        <w:t xml:space="preserve">son engagement est essentiel, </w:t>
      </w:r>
      <w:r w:rsidR="00AE0FDB">
        <w:rPr>
          <w:rStyle w:val="rotkursiv"/>
          <w:i w:val="0"/>
          <w:color w:val="auto"/>
          <w:lang w:val="fr-FR"/>
        </w:rPr>
        <w:t xml:space="preserve">comme </w:t>
      </w:r>
      <w:r w:rsidR="00467B08">
        <w:rPr>
          <w:rStyle w:val="rotkursiv"/>
          <w:i w:val="0"/>
          <w:color w:val="auto"/>
          <w:lang w:val="fr-FR"/>
        </w:rPr>
        <w:t xml:space="preserve">le traduit également la </w:t>
      </w:r>
      <w:r w:rsidR="00467B08">
        <w:rPr>
          <w:rStyle w:val="rotkursiv"/>
          <w:b/>
          <w:bCs/>
          <w:i w:val="0"/>
          <w:color w:val="auto"/>
          <w:lang w:val="fr-FR"/>
        </w:rPr>
        <w:t>Communication de la Commission européenne « </w:t>
      </w:r>
      <w:r w:rsidR="00467B08" w:rsidRPr="00467B08">
        <w:rPr>
          <w:rStyle w:val="rotkursiv"/>
          <w:b/>
          <w:bCs/>
          <w:i w:val="0"/>
          <w:color w:val="auto"/>
          <w:lang w:val="fr-FR"/>
        </w:rPr>
        <w:t>Un rôle plus important pour le secteur privé en vue de parvenir à une croissance</w:t>
      </w:r>
      <w:r w:rsidR="00467B08">
        <w:rPr>
          <w:rStyle w:val="rotkursiv"/>
          <w:b/>
          <w:bCs/>
          <w:i w:val="0"/>
          <w:color w:val="auto"/>
          <w:lang w:val="fr-FR"/>
        </w:rPr>
        <w:t xml:space="preserve"> </w:t>
      </w:r>
      <w:r w:rsidR="00636DB9" w:rsidRPr="00467B08">
        <w:rPr>
          <w:rStyle w:val="rotkursiv"/>
          <w:b/>
          <w:bCs/>
          <w:i w:val="0"/>
          <w:color w:val="auto"/>
          <w:lang w:val="fr-FR"/>
        </w:rPr>
        <w:t>inclusive</w:t>
      </w:r>
      <w:r w:rsidR="00467B08" w:rsidRPr="00467B08">
        <w:rPr>
          <w:rStyle w:val="rotkursiv"/>
          <w:b/>
          <w:bCs/>
          <w:i w:val="0"/>
          <w:color w:val="auto"/>
          <w:lang w:val="fr-FR"/>
        </w:rPr>
        <w:t xml:space="preserve"> et durable dans les pays en développement</w:t>
      </w:r>
      <w:r w:rsidR="00467B08">
        <w:rPr>
          <w:rStyle w:val="rotkursiv"/>
          <w:b/>
          <w:bCs/>
          <w:i w:val="0"/>
          <w:color w:val="auto"/>
          <w:lang w:val="fr-FR"/>
        </w:rPr>
        <w:t> » (2014)</w:t>
      </w:r>
      <w:r w:rsidR="00467B08">
        <w:rPr>
          <w:rStyle w:val="rotkursiv"/>
          <w:i w:val="0"/>
          <w:color w:val="auto"/>
          <w:lang w:val="fr-FR"/>
        </w:rPr>
        <w:t>.</w:t>
      </w:r>
      <w:r w:rsidR="00DD720A" w:rsidRPr="006F4D4F">
        <w:rPr>
          <w:rStyle w:val="rotkursiv"/>
          <w:i w:val="0"/>
          <w:color w:val="auto"/>
          <w:lang w:val="fr-FR"/>
        </w:rPr>
        <w:t xml:space="preserve"> </w:t>
      </w:r>
    </w:p>
    <w:p w14:paraId="2B040B16" w14:textId="63D56139" w:rsidR="00DD720A" w:rsidRPr="006F4D4F" w:rsidRDefault="00467B08" w:rsidP="00F1495E">
      <w:pPr>
        <w:pStyle w:val="BTCBodyText"/>
        <w:spacing w:before="0"/>
        <w:rPr>
          <w:rStyle w:val="rotkursiv"/>
          <w:i w:val="0"/>
          <w:color w:val="auto"/>
          <w:lang w:val="fr-FR"/>
        </w:rPr>
      </w:pPr>
      <w:r>
        <w:rPr>
          <w:rStyle w:val="rotkursiv"/>
          <w:i w:val="0"/>
          <w:color w:val="auto"/>
          <w:lang w:val="fr-FR"/>
        </w:rPr>
        <w:t xml:space="preserve">Par ailleurs, l’Union européenne a créé le </w:t>
      </w:r>
      <w:r w:rsidRPr="004A302F">
        <w:rPr>
          <w:rStyle w:val="hgkelc"/>
          <w:b/>
          <w:bCs/>
          <w:i/>
          <w:iCs/>
          <w:lang w:val="fr-BE"/>
        </w:rPr>
        <w:t>Fonds fiduciaire d'urgence en faveur de la stabilité et de la lutte contre les causes profondes de la migration irrégulière et du phénomène des personnes déplacées en Afrique</w:t>
      </w:r>
      <w:r w:rsidRPr="004A302F">
        <w:rPr>
          <w:rStyle w:val="hgkelc"/>
          <w:b/>
          <w:bCs/>
          <w:lang w:val="fr-BE"/>
        </w:rPr>
        <w:t xml:space="preserve"> </w:t>
      </w:r>
      <w:r w:rsidRPr="004A302F">
        <w:rPr>
          <w:rStyle w:val="hgkelc"/>
          <w:lang w:val="fr-BE"/>
        </w:rPr>
        <w:t xml:space="preserve">(EUTF pour l’Afrique). L’un </w:t>
      </w:r>
      <w:r w:rsidR="00A5358D" w:rsidRPr="004A302F">
        <w:rPr>
          <w:rStyle w:val="hgkelc"/>
          <w:lang w:val="fr-BE"/>
        </w:rPr>
        <w:t>de ses</w:t>
      </w:r>
      <w:r w:rsidRPr="004A302F">
        <w:rPr>
          <w:rStyle w:val="hgkelc"/>
          <w:lang w:val="fr-BE"/>
        </w:rPr>
        <w:t xml:space="preserve"> principaux piliers appelle les programmes de développement à combler les déficits de compétences, à améliorer l’employabilité et à soutenir la création d’emplois et les possibilités </w:t>
      </w:r>
      <w:r w:rsidR="005720EB" w:rsidRPr="004A302F">
        <w:rPr>
          <w:rStyle w:val="hgkelc"/>
          <w:lang w:val="fr-BE"/>
        </w:rPr>
        <w:t>d’activités non salariées.</w:t>
      </w:r>
    </w:p>
    <w:p w14:paraId="552A23EE" w14:textId="008C80C6" w:rsidR="00DD720A" w:rsidRPr="006F4D4F" w:rsidRDefault="005720EB" w:rsidP="00F1495E">
      <w:pPr>
        <w:pStyle w:val="BTCBodyText"/>
        <w:spacing w:before="0"/>
        <w:rPr>
          <w:rStyle w:val="rotkursiv"/>
          <w:i w:val="0"/>
          <w:color w:val="auto"/>
          <w:lang w:val="fr-FR"/>
        </w:rPr>
      </w:pPr>
      <w:r>
        <w:rPr>
          <w:rStyle w:val="rotkursiv"/>
          <w:i w:val="0"/>
          <w:color w:val="auto"/>
          <w:lang w:val="fr-FR"/>
        </w:rPr>
        <w:t>Pour créer de l’emploi en Afrique à grande échelle, des investissements du secteur privé plus nombreux et une croissance plus inclusive sont indispensables, fait largement admis par la communauté internationale. Dans cette optique, en 2017, le G20 a aligné son aide officielle au développement sur cet objectif commun, tandis que l’Allemagne a lancé le « </w:t>
      </w:r>
      <w:r>
        <w:rPr>
          <w:rStyle w:val="rotkursiv"/>
          <w:b/>
          <w:bCs/>
          <w:iCs/>
          <w:color w:val="auto"/>
          <w:lang w:val="fr-FR"/>
        </w:rPr>
        <w:t>Pacte avec l’Afrique</w:t>
      </w:r>
      <w:r>
        <w:rPr>
          <w:rStyle w:val="rotkursiv"/>
          <w:i w:val="0"/>
          <w:color w:val="auto"/>
          <w:lang w:val="fr-FR"/>
        </w:rPr>
        <w:t xml:space="preserve"> », encourageant l’investissement privé en Afrique et invitant les pays partenaires à s’engager à améliorer leur climat des affaires et </w:t>
      </w:r>
      <w:r w:rsidR="00A5358D">
        <w:rPr>
          <w:rStyle w:val="rotkursiv"/>
          <w:i w:val="0"/>
          <w:color w:val="auto"/>
          <w:lang w:val="fr-FR"/>
        </w:rPr>
        <w:t>de l’</w:t>
      </w:r>
      <w:r>
        <w:rPr>
          <w:rStyle w:val="rotkursiv"/>
          <w:i w:val="0"/>
          <w:color w:val="auto"/>
          <w:lang w:val="fr-FR"/>
        </w:rPr>
        <w:t xml:space="preserve">investissement national. </w:t>
      </w:r>
    </w:p>
    <w:p w14:paraId="11542F2E" w14:textId="4A5FF3BF" w:rsidR="00450B85" w:rsidRPr="006F4D4F" w:rsidRDefault="005720EB" w:rsidP="0081180A">
      <w:pPr>
        <w:pStyle w:val="BTCBodyText"/>
        <w:spacing w:before="0"/>
        <w:rPr>
          <w:lang w:val="fr-FR"/>
        </w:rPr>
      </w:pPr>
      <w:r>
        <w:rPr>
          <w:rStyle w:val="rotkursiv"/>
          <w:i w:val="0"/>
          <w:color w:val="auto"/>
          <w:lang w:val="fr-FR"/>
        </w:rPr>
        <w:t xml:space="preserve">La création d’emplois et la promotion de l’enseignement et la formation professionnels </w:t>
      </w:r>
      <w:r w:rsidR="00A5358D">
        <w:rPr>
          <w:rStyle w:val="rotkursiv"/>
          <w:i w:val="0"/>
          <w:color w:val="auto"/>
          <w:lang w:val="fr-FR"/>
        </w:rPr>
        <w:t>présente</w:t>
      </w:r>
      <w:r>
        <w:rPr>
          <w:rStyle w:val="rotkursiv"/>
          <w:i w:val="0"/>
          <w:color w:val="auto"/>
          <w:lang w:val="fr-FR"/>
        </w:rPr>
        <w:t xml:space="preserve"> également un fort potentiel en faveur de l’égalité entre les sexes. Le </w:t>
      </w:r>
      <w:r>
        <w:rPr>
          <w:rStyle w:val="rotkursiv"/>
          <w:b/>
          <w:bCs/>
          <w:i w:val="0"/>
          <w:color w:val="auto"/>
          <w:lang w:val="fr-FR"/>
        </w:rPr>
        <w:t>Plan d’action de l’Union européenne sur la parité hommes-femmes (GAP II)</w:t>
      </w:r>
      <w:r w:rsidR="00B57457">
        <w:rPr>
          <w:rStyle w:val="rotkursiv"/>
          <w:b/>
          <w:bCs/>
          <w:i w:val="0"/>
          <w:color w:val="auto"/>
          <w:lang w:val="fr-FR"/>
        </w:rPr>
        <w:t xml:space="preserve"> 2016-2020</w:t>
      </w:r>
      <w:r w:rsidR="00B57457">
        <w:rPr>
          <w:rStyle w:val="rotkursiv"/>
          <w:i w:val="0"/>
          <w:color w:val="auto"/>
          <w:lang w:val="fr-FR"/>
        </w:rPr>
        <w:t xml:space="preserve"> (2020), par le biais de son deuxième domaine prioritaire « Promouvoir les droits économiques et sociaux et l’autonomisation des filles et des femmes », souligne l’importance de l’autonomisation des filles et des femmes. La présente action s’alignera également sur les </w:t>
      </w:r>
      <w:r w:rsidR="00B57457">
        <w:rPr>
          <w:rStyle w:val="rotkursiv"/>
          <w:b/>
          <w:bCs/>
          <w:iCs/>
          <w:color w:val="auto"/>
          <w:lang w:val="fr-FR"/>
        </w:rPr>
        <w:t>Conventions de l’OIT sur le droit au travail et le travail décent</w:t>
      </w:r>
      <w:r w:rsidR="00B57457">
        <w:rPr>
          <w:rStyle w:val="rotkursiv"/>
          <w:iCs/>
          <w:color w:val="auto"/>
          <w:lang w:val="fr-FR"/>
        </w:rPr>
        <w:t>.</w:t>
      </w:r>
      <w:bookmarkStart w:id="67" w:name="_Toc231702654"/>
      <w:bookmarkStart w:id="68" w:name="_Toc261442097"/>
      <w:bookmarkEnd w:id="65"/>
      <w:bookmarkEnd w:id="66"/>
    </w:p>
    <w:p w14:paraId="1922A6A6" w14:textId="18BFE434" w:rsidR="00F92934" w:rsidRPr="006F4D4F" w:rsidRDefault="009C031C" w:rsidP="0093078E">
      <w:pPr>
        <w:pStyle w:val="Titre2"/>
        <w:rPr>
          <w:lang w:val="fr-FR"/>
        </w:rPr>
      </w:pPr>
      <w:bookmarkStart w:id="69" w:name="_Toc231702658"/>
      <w:bookmarkStart w:id="70" w:name="_Toc261442103"/>
      <w:bookmarkStart w:id="71" w:name="_Toc20239549"/>
      <w:bookmarkStart w:id="72" w:name="_Toc20239642"/>
      <w:bookmarkStart w:id="73" w:name="_Toc44423188"/>
      <w:bookmarkStart w:id="74" w:name="_Toc44423707"/>
      <w:bookmarkStart w:id="75" w:name="_Toc54336675"/>
      <w:r w:rsidRPr="006F4D4F">
        <w:rPr>
          <w:lang w:val="fr-FR"/>
        </w:rPr>
        <w:t xml:space="preserve">1.4 </w:t>
      </w:r>
      <w:r w:rsidR="00A06E97" w:rsidRPr="006F4D4F">
        <w:rPr>
          <w:lang w:val="fr-FR"/>
        </w:rPr>
        <w:t>O</w:t>
      </w:r>
      <w:r w:rsidR="008523B2" w:rsidRPr="006F4D4F">
        <w:rPr>
          <w:lang w:val="fr-FR"/>
        </w:rPr>
        <w:t>bjecti</w:t>
      </w:r>
      <w:r w:rsidR="00B57457">
        <w:rPr>
          <w:lang w:val="fr-FR"/>
        </w:rPr>
        <w:t xml:space="preserve">fs et </w:t>
      </w:r>
      <w:bookmarkEnd w:id="69"/>
      <w:bookmarkEnd w:id="70"/>
      <w:bookmarkEnd w:id="71"/>
      <w:bookmarkEnd w:id="72"/>
      <w:bookmarkEnd w:id="73"/>
      <w:bookmarkEnd w:id="74"/>
      <w:r w:rsidR="004D7F91">
        <w:rPr>
          <w:lang w:val="fr-FR"/>
        </w:rPr>
        <w:t>résultats</w:t>
      </w:r>
      <w:bookmarkEnd w:id="75"/>
    </w:p>
    <w:p w14:paraId="57D40C23" w14:textId="03BD4C9E" w:rsidR="002B2D7D" w:rsidRPr="006F4D4F" w:rsidRDefault="00B57457" w:rsidP="00A06E97">
      <w:pPr>
        <w:spacing w:line="276" w:lineRule="auto"/>
        <w:jc w:val="both"/>
        <w:rPr>
          <w:rFonts w:cs="Times New Roman"/>
          <w:color w:val="000000" w:themeColor="text1"/>
          <w:kern w:val="18"/>
          <w:lang w:val="fr-FR"/>
        </w:rPr>
      </w:pPr>
      <w:r w:rsidRPr="604D7F9D">
        <w:rPr>
          <w:rFonts w:cs="Times New Roman"/>
          <w:b/>
          <w:bCs/>
          <w:color w:val="000000" w:themeColor="text1"/>
          <w:kern w:val="18"/>
          <w:lang w:val="fr-FR"/>
        </w:rPr>
        <w:t>Objectif global </w:t>
      </w:r>
      <w:r w:rsidRPr="604D7F9D">
        <w:rPr>
          <w:rFonts w:cs="Times New Roman"/>
          <w:color w:val="000000" w:themeColor="text1"/>
          <w:kern w:val="18"/>
          <w:lang w:val="fr-FR"/>
        </w:rPr>
        <w:t>–</w:t>
      </w:r>
      <w:r w:rsidRPr="604D7F9D">
        <w:rPr>
          <w:rFonts w:cs="Times New Roman"/>
          <w:b/>
          <w:bCs/>
          <w:color w:val="000000" w:themeColor="text1"/>
          <w:kern w:val="18"/>
          <w:lang w:val="fr-FR"/>
        </w:rPr>
        <w:t xml:space="preserve"> </w:t>
      </w:r>
      <w:r w:rsidRPr="604D7F9D">
        <w:rPr>
          <w:rFonts w:cs="Times New Roman"/>
          <w:color w:val="000000" w:themeColor="text1"/>
          <w:kern w:val="18"/>
          <w:lang w:val="fr-FR"/>
        </w:rPr>
        <w:t xml:space="preserve">Objectif global de l’action : mieux satisfaire </w:t>
      </w:r>
      <w:r w:rsidR="191B0233" w:rsidRPr="604D7F9D">
        <w:rPr>
          <w:rFonts w:cs="Times New Roman"/>
          <w:color w:val="000000" w:themeColor="text1"/>
          <w:kern w:val="18"/>
          <w:lang w:val="fr-FR"/>
        </w:rPr>
        <w:t>aux</w:t>
      </w:r>
      <w:r w:rsidRPr="604D7F9D">
        <w:rPr>
          <w:rFonts w:cs="Times New Roman"/>
          <w:color w:val="000000" w:themeColor="text1"/>
          <w:kern w:val="18"/>
          <w:lang w:val="fr-FR"/>
        </w:rPr>
        <w:t xml:space="preserve"> besoins en capital humain des programmes d’investissement et de développement de</w:t>
      </w:r>
      <w:r w:rsidR="02354097" w:rsidRPr="604D7F9D">
        <w:rPr>
          <w:rFonts w:cs="Times New Roman"/>
          <w:color w:val="000000" w:themeColor="text1"/>
          <w:kern w:val="18"/>
          <w:lang w:val="fr-FR"/>
        </w:rPr>
        <w:t>s</w:t>
      </w:r>
      <w:r w:rsidRPr="604D7F9D">
        <w:rPr>
          <w:rFonts w:cs="Times New Roman"/>
          <w:color w:val="000000" w:themeColor="text1"/>
          <w:kern w:val="18"/>
          <w:lang w:val="fr-FR"/>
        </w:rPr>
        <w:t xml:space="preserve"> chaîne</w:t>
      </w:r>
      <w:r w:rsidR="3F6B511A" w:rsidRPr="604D7F9D">
        <w:rPr>
          <w:rFonts w:cs="Times New Roman"/>
          <w:color w:val="000000" w:themeColor="text1"/>
          <w:kern w:val="18"/>
          <w:lang w:val="fr-FR"/>
        </w:rPr>
        <w:t>s</w:t>
      </w:r>
      <w:r w:rsidRPr="604D7F9D">
        <w:rPr>
          <w:rFonts w:cs="Times New Roman"/>
          <w:color w:val="000000" w:themeColor="text1"/>
          <w:kern w:val="18"/>
          <w:lang w:val="fr-FR"/>
        </w:rPr>
        <w:t xml:space="preserve"> de valeur et d’approvisionnement dans certains pays d’Afrique sub-saharienne.</w:t>
      </w:r>
    </w:p>
    <w:p w14:paraId="0D22E308" w14:textId="7683EA9D" w:rsidR="00A06E97" w:rsidRPr="006F4D4F" w:rsidRDefault="00B57457" w:rsidP="00182359">
      <w:pPr>
        <w:spacing w:line="276" w:lineRule="auto"/>
        <w:jc w:val="both"/>
        <w:rPr>
          <w:rFonts w:cs="Times New Roman"/>
          <w:color w:val="auto"/>
          <w:kern w:val="18"/>
          <w:lang w:val="fr-FR"/>
        </w:rPr>
      </w:pPr>
      <w:r>
        <w:rPr>
          <w:b/>
          <w:bCs/>
          <w:color w:val="000000" w:themeColor="text1"/>
          <w:lang w:val="fr-FR"/>
        </w:rPr>
        <w:t>Obje</w:t>
      </w:r>
      <w:r w:rsidR="00A5358D">
        <w:rPr>
          <w:b/>
          <w:bCs/>
          <w:color w:val="000000" w:themeColor="text1"/>
          <w:lang w:val="fr-FR"/>
        </w:rPr>
        <w:t>c</w:t>
      </w:r>
      <w:r>
        <w:rPr>
          <w:b/>
          <w:bCs/>
          <w:color w:val="000000" w:themeColor="text1"/>
          <w:lang w:val="fr-FR"/>
        </w:rPr>
        <w:t xml:space="preserve">tif spécifique </w:t>
      </w:r>
      <w:r>
        <w:rPr>
          <w:color w:val="000000" w:themeColor="text1"/>
          <w:lang w:val="fr-FR"/>
        </w:rPr>
        <w:t xml:space="preserve">– Objectif spécifique de l’action : </w:t>
      </w:r>
      <w:r w:rsidR="00A5358D">
        <w:rPr>
          <w:rFonts w:cs="Times New Roman"/>
          <w:color w:val="auto"/>
          <w:kern w:val="18"/>
          <w:lang w:val="fr-FR"/>
        </w:rPr>
        <w:t>Renforcer le développement des compétences</w:t>
      </w:r>
      <w:r w:rsidR="00A5358D" w:rsidRPr="006F4D4F">
        <w:rPr>
          <w:rFonts w:cs="Times New Roman"/>
          <w:color w:val="auto"/>
          <w:kern w:val="18"/>
          <w:lang w:val="fr-FR"/>
        </w:rPr>
        <w:t xml:space="preserve"> et </w:t>
      </w:r>
      <w:r w:rsidR="00A5358D">
        <w:rPr>
          <w:rFonts w:cs="Times New Roman"/>
          <w:color w:val="auto"/>
          <w:kern w:val="18"/>
          <w:lang w:val="fr-FR"/>
        </w:rPr>
        <w:t>l</w:t>
      </w:r>
      <w:r w:rsidR="00A5358D" w:rsidRPr="006F4D4F">
        <w:rPr>
          <w:rFonts w:cs="Times New Roman"/>
          <w:color w:val="auto"/>
          <w:kern w:val="18"/>
          <w:lang w:val="fr-FR"/>
        </w:rPr>
        <w:t>’</w:t>
      </w:r>
      <w:r w:rsidR="00E942D9">
        <w:rPr>
          <w:rFonts w:cs="Times New Roman"/>
          <w:color w:val="auto"/>
          <w:kern w:val="18"/>
          <w:lang w:val="fr-FR"/>
        </w:rPr>
        <w:t>EFP</w:t>
      </w:r>
      <w:r w:rsidR="00A5358D" w:rsidRPr="006F4D4F">
        <w:rPr>
          <w:rFonts w:cs="Times New Roman"/>
          <w:color w:val="auto"/>
          <w:kern w:val="18"/>
          <w:lang w:val="fr-FR"/>
        </w:rPr>
        <w:t xml:space="preserve"> </w:t>
      </w:r>
      <w:r w:rsidR="00A5358D" w:rsidRPr="00914D20">
        <w:rPr>
          <w:rFonts w:cs="Times New Roman"/>
          <w:color w:val="auto"/>
          <w:kern w:val="18"/>
          <w:lang w:val="fr-FR"/>
        </w:rPr>
        <w:t xml:space="preserve">axés sur la demande </w:t>
      </w:r>
      <w:r w:rsidR="00A5358D" w:rsidRPr="006F4D4F">
        <w:rPr>
          <w:rFonts w:cs="Times New Roman"/>
          <w:color w:val="auto"/>
          <w:kern w:val="18"/>
          <w:lang w:val="fr-FR"/>
        </w:rPr>
        <w:t>pour répondre aux besoins d</w:t>
      </w:r>
      <w:r w:rsidR="00A5358D">
        <w:rPr>
          <w:rFonts w:cs="Times New Roman"/>
          <w:color w:val="auto"/>
          <w:kern w:val="18"/>
          <w:lang w:val="fr-FR"/>
        </w:rPr>
        <w:t xml:space="preserve">es </w:t>
      </w:r>
      <w:r w:rsidR="00A5358D" w:rsidRPr="006F4D4F">
        <w:rPr>
          <w:rFonts w:cs="Times New Roman"/>
          <w:color w:val="auto"/>
          <w:kern w:val="18"/>
          <w:lang w:val="fr-FR"/>
        </w:rPr>
        <w:t>investissement</w:t>
      </w:r>
      <w:r w:rsidR="00A5358D">
        <w:rPr>
          <w:rFonts w:cs="Times New Roman"/>
          <w:color w:val="auto"/>
          <w:kern w:val="18"/>
          <w:lang w:val="fr-FR"/>
        </w:rPr>
        <w:t>s</w:t>
      </w:r>
      <w:r>
        <w:rPr>
          <w:color w:val="000000" w:themeColor="text1"/>
          <w:lang w:val="fr-FR"/>
        </w:rPr>
        <w:t>.</w:t>
      </w:r>
    </w:p>
    <w:p w14:paraId="34B2A49C" w14:textId="77777777" w:rsidR="00F97F72" w:rsidRPr="006F4D4F" w:rsidRDefault="00F97F72" w:rsidP="00A06E97">
      <w:pPr>
        <w:spacing w:before="0" w:line="300" w:lineRule="exact"/>
        <w:rPr>
          <w:lang w:val="fr-FR"/>
        </w:rPr>
      </w:pPr>
    </w:p>
    <w:p w14:paraId="68089501" w14:textId="14B390E8" w:rsidR="00282668" w:rsidRPr="006F4D4F" w:rsidRDefault="00B57457" w:rsidP="00282668">
      <w:pPr>
        <w:spacing w:before="0" w:after="240" w:line="300" w:lineRule="exact"/>
        <w:rPr>
          <w:i/>
          <w:color w:val="000000" w:themeColor="text1"/>
          <w:lang w:val="fr-FR"/>
        </w:rPr>
      </w:pPr>
      <w:r>
        <w:rPr>
          <w:color w:val="000000" w:themeColor="text1"/>
          <w:lang w:val="fr-FR"/>
        </w:rPr>
        <w:t xml:space="preserve">Domaines d’intervention et </w:t>
      </w:r>
      <w:r w:rsidR="004D7F91">
        <w:rPr>
          <w:color w:val="000000" w:themeColor="text1"/>
          <w:lang w:val="fr-FR"/>
        </w:rPr>
        <w:t>résultats</w:t>
      </w:r>
      <w:r>
        <w:rPr>
          <w:color w:val="000000" w:themeColor="text1"/>
          <w:lang w:val="fr-FR"/>
        </w:rPr>
        <w:t xml:space="preserve"> de l’action :</w:t>
      </w:r>
    </w:p>
    <w:p w14:paraId="46608EC4" w14:textId="1CCD9054" w:rsidR="00F92934" w:rsidRPr="00ED6D97" w:rsidRDefault="00B57457" w:rsidP="001D6523">
      <w:pPr>
        <w:spacing w:before="360" w:after="120" w:line="300" w:lineRule="exact"/>
        <w:rPr>
          <w:color w:val="000000" w:themeColor="text1"/>
          <w:sz w:val="22"/>
          <w:lang w:val="fr-FR"/>
        </w:rPr>
      </w:pPr>
      <w:r w:rsidRPr="00ED6D97">
        <w:rPr>
          <w:color w:val="000000" w:themeColor="text1"/>
          <w:sz w:val="22"/>
          <w:u w:val="single"/>
          <w:lang w:val="fr-FR"/>
        </w:rPr>
        <w:t>Domaine d’i</w:t>
      </w:r>
      <w:r w:rsidR="00F92934" w:rsidRPr="00ED6D97">
        <w:rPr>
          <w:color w:val="000000" w:themeColor="text1"/>
          <w:sz w:val="22"/>
          <w:u w:val="single"/>
          <w:lang w:val="fr-FR"/>
        </w:rPr>
        <w:t>ntervention</w:t>
      </w:r>
      <w:r w:rsidRPr="00ED6D97">
        <w:rPr>
          <w:color w:val="000000" w:themeColor="text1"/>
          <w:sz w:val="22"/>
          <w:u w:val="single"/>
          <w:lang w:val="fr-FR"/>
        </w:rPr>
        <w:t xml:space="preserve"> 1 </w:t>
      </w:r>
      <w:r w:rsidRPr="00ED6D97">
        <w:rPr>
          <w:color w:val="000000" w:themeColor="text1"/>
          <w:sz w:val="22"/>
          <w:lang w:val="fr-FR"/>
        </w:rPr>
        <w:t>:</w:t>
      </w:r>
    </w:p>
    <w:p w14:paraId="6FD275F7" w14:textId="47650E91" w:rsidR="0056729F" w:rsidRPr="006F4D4F" w:rsidRDefault="00FE797F" w:rsidP="0056729F">
      <w:pPr>
        <w:pStyle w:val="BTCBodyText"/>
        <w:rPr>
          <w:lang w:val="fr-FR"/>
        </w:rPr>
      </w:pPr>
      <w:r w:rsidRPr="00ED6D97">
        <w:rPr>
          <w:lang w:val="fr-FR"/>
        </w:rPr>
        <w:t>D</w:t>
      </w:r>
      <w:r w:rsidR="00617D4B" w:rsidRPr="00ED6D97">
        <w:rPr>
          <w:lang w:val="fr-FR"/>
        </w:rPr>
        <w:t xml:space="preserve">ialogue </w:t>
      </w:r>
      <w:r w:rsidRPr="00ED6D97">
        <w:rPr>
          <w:lang w:val="fr-FR"/>
        </w:rPr>
        <w:t xml:space="preserve">accru </w:t>
      </w:r>
      <w:r w:rsidR="00617D4B" w:rsidRPr="00ED6D97">
        <w:rPr>
          <w:lang w:val="fr-FR"/>
        </w:rPr>
        <w:t xml:space="preserve">sur le </w:t>
      </w:r>
      <w:r w:rsidR="0068294B" w:rsidRPr="00ED6D97">
        <w:rPr>
          <w:lang w:val="fr-FR"/>
        </w:rPr>
        <w:t>développement des compétences</w:t>
      </w:r>
      <w:r w:rsidR="00617D4B" w:rsidRPr="00ED6D97">
        <w:rPr>
          <w:lang w:val="fr-FR"/>
        </w:rPr>
        <w:t xml:space="preserve"> et l’enseignement et la formation professionnels </w:t>
      </w:r>
      <w:r w:rsidR="00A5358D" w:rsidRPr="00ED6D97">
        <w:rPr>
          <w:lang w:val="fr-FR"/>
        </w:rPr>
        <w:t xml:space="preserve">adaptés à l’emploi </w:t>
      </w:r>
      <w:r w:rsidR="00617D4B" w:rsidRPr="00ED6D97">
        <w:rPr>
          <w:lang w:val="fr-FR"/>
        </w:rPr>
        <w:t>entre les établissements de formation</w:t>
      </w:r>
      <w:r w:rsidR="00A5358D" w:rsidRPr="00ED6D97">
        <w:rPr>
          <w:lang w:val="fr-FR"/>
        </w:rPr>
        <w:t xml:space="preserve"> professionnelle</w:t>
      </w:r>
      <w:r w:rsidR="00617D4B" w:rsidRPr="00ED6D97">
        <w:rPr>
          <w:lang w:val="fr-FR"/>
        </w:rPr>
        <w:t>, les entreprises, les institutions</w:t>
      </w:r>
      <w:r w:rsidR="00617D4B">
        <w:rPr>
          <w:lang w:val="fr-FR"/>
        </w:rPr>
        <w:t xml:space="preserve"> nationales et les associations concernées </w:t>
      </w:r>
      <w:r w:rsidR="00A5358D">
        <w:rPr>
          <w:lang w:val="fr-FR"/>
        </w:rPr>
        <w:t xml:space="preserve">qui bénéficient </w:t>
      </w:r>
      <w:r w:rsidR="00617D4B">
        <w:rPr>
          <w:lang w:val="fr-FR"/>
        </w:rPr>
        <w:t>d’investissements européens</w:t>
      </w:r>
      <w:r w:rsidR="00A5358D">
        <w:rPr>
          <w:lang w:val="fr-FR"/>
        </w:rPr>
        <w:t>,</w:t>
      </w:r>
      <w:r w:rsidR="00617D4B">
        <w:rPr>
          <w:lang w:val="fr-FR"/>
        </w:rPr>
        <w:t xml:space="preserve"> comme les programmes d’investissement de la Commission européenne en Afrique sub-saharienne.</w:t>
      </w:r>
    </w:p>
    <w:p w14:paraId="780478CB" w14:textId="646B5A23" w:rsidR="0056729F" w:rsidRPr="006F4D4F" w:rsidRDefault="00617D4B" w:rsidP="00471E5A">
      <w:pPr>
        <w:pStyle w:val="BTCBodyText"/>
        <w:spacing w:line="276" w:lineRule="auto"/>
        <w:rPr>
          <w:lang w:val="fr-FR"/>
        </w:rPr>
      </w:pPr>
      <w:r>
        <w:rPr>
          <w:i/>
          <w:iCs/>
          <w:lang w:val="fr-FR"/>
        </w:rPr>
        <w:t xml:space="preserve">Activités indicatives : renforcement du dialogue public-privé existant sur le </w:t>
      </w:r>
      <w:r w:rsidR="0068294B">
        <w:rPr>
          <w:i/>
          <w:iCs/>
          <w:lang w:val="fr-FR"/>
        </w:rPr>
        <w:t>développement des compétences</w:t>
      </w:r>
      <w:r>
        <w:rPr>
          <w:i/>
          <w:iCs/>
          <w:lang w:val="fr-FR"/>
        </w:rPr>
        <w:t xml:space="preserve"> et sur l’enseignement et la formation professionnels, évaluation du secteur économique </w:t>
      </w:r>
      <w:r w:rsidR="00813653">
        <w:rPr>
          <w:i/>
          <w:iCs/>
          <w:lang w:val="fr-FR"/>
        </w:rPr>
        <w:t>à propos de</w:t>
      </w:r>
      <w:r>
        <w:rPr>
          <w:i/>
          <w:iCs/>
          <w:lang w:val="fr-FR"/>
        </w:rPr>
        <w:t xml:space="preserve"> la demande du marché du travail et </w:t>
      </w:r>
      <w:r w:rsidR="00813653">
        <w:rPr>
          <w:i/>
          <w:iCs/>
          <w:lang w:val="fr-FR"/>
        </w:rPr>
        <w:t>d</w:t>
      </w:r>
      <w:r>
        <w:rPr>
          <w:i/>
          <w:iCs/>
          <w:lang w:val="fr-FR"/>
        </w:rPr>
        <w:t xml:space="preserve">es besoins en compétences </w:t>
      </w:r>
      <w:r w:rsidR="00813653">
        <w:rPr>
          <w:i/>
          <w:iCs/>
          <w:lang w:val="fr-FR"/>
        </w:rPr>
        <w:t xml:space="preserve">sensibles à la dimension de </w:t>
      </w:r>
      <w:r>
        <w:rPr>
          <w:i/>
          <w:iCs/>
          <w:lang w:val="fr-FR"/>
        </w:rPr>
        <w:t>genre liés aux investissements envisagés, promotion des partenariats pour l’emploi avec les investisseurs, promotion de l’embauche de main d’œuvre locale auprès des investisseurs.</w:t>
      </w:r>
    </w:p>
    <w:p w14:paraId="65EEB77C" w14:textId="77777777" w:rsidR="0007622F" w:rsidRPr="0007622F" w:rsidRDefault="00182359" w:rsidP="0007622F">
      <w:pPr>
        <w:pStyle w:val="Paragraphedeliste"/>
        <w:numPr>
          <w:ilvl w:val="0"/>
          <w:numId w:val="16"/>
        </w:numPr>
        <w:spacing w:before="360" w:after="120" w:line="276" w:lineRule="auto"/>
        <w:contextualSpacing w:val="0"/>
        <w:jc w:val="both"/>
        <w:rPr>
          <w:color w:val="000000" w:themeColor="text1"/>
          <w:sz w:val="22"/>
          <w:lang w:val="fr-FR"/>
        </w:rPr>
      </w:pPr>
      <w:r w:rsidRPr="0007622F">
        <w:rPr>
          <w:color w:val="000000" w:themeColor="text1"/>
          <w:lang w:val="fr-FR"/>
        </w:rPr>
        <w:t>R</w:t>
      </w:r>
      <w:r w:rsidR="00617D4B" w:rsidRPr="0007622F">
        <w:rPr>
          <w:color w:val="000000" w:themeColor="text1"/>
          <w:lang w:val="fr-FR"/>
        </w:rPr>
        <w:t xml:space="preserve">ésultat 1 : </w:t>
      </w:r>
      <w:r w:rsidR="0007622F" w:rsidRPr="0007622F">
        <w:rPr>
          <w:color w:val="000000" w:themeColor="text1"/>
          <w:lang w:val="fr-FR"/>
        </w:rPr>
        <w:t xml:space="preserve">Renforcement du </w:t>
      </w:r>
      <w:r w:rsidR="00617D4B" w:rsidRPr="0007622F">
        <w:rPr>
          <w:color w:val="000000" w:themeColor="text1"/>
          <w:lang w:val="fr-FR"/>
        </w:rPr>
        <w:t xml:space="preserve">dialogue national public-privé </w:t>
      </w:r>
      <w:r w:rsidR="0007622F" w:rsidRPr="0007622F">
        <w:rPr>
          <w:color w:val="000000" w:themeColor="text1"/>
          <w:lang w:val="fr-FR"/>
        </w:rPr>
        <w:t>sur le développement des compétences axées sur l'emploi et l'EFP propice aux investissements.</w:t>
      </w:r>
    </w:p>
    <w:p w14:paraId="4CFA551F" w14:textId="1201F37B" w:rsidR="00F92934" w:rsidRPr="0007622F" w:rsidRDefault="007E64C2" w:rsidP="0007622F">
      <w:pPr>
        <w:pStyle w:val="Paragraphedeliste"/>
        <w:spacing w:before="360" w:after="120" w:line="276" w:lineRule="auto"/>
        <w:ind w:left="0"/>
        <w:contextualSpacing w:val="0"/>
        <w:jc w:val="both"/>
        <w:rPr>
          <w:color w:val="000000" w:themeColor="text1"/>
          <w:sz w:val="22"/>
          <w:lang w:val="fr-FR"/>
        </w:rPr>
      </w:pPr>
      <w:r w:rsidRPr="0007622F">
        <w:rPr>
          <w:color w:val="000000" w:themeColor="text1"/>
          <w:sz w:val="22"/>
          <w:u w:val="single"/>
          <w:lang w:val="fr-FR"/>
        </w:rPr>
        <w:t>Domaine d’intervention 2 </w:t>
      </w:r>
      <w:r w:rsidRPr="0007622F">
        <w:rPr>
          <w:color w:val="000000" w:themeColor="text1"/>
          <w:sz w:val="22"/>
          <w:lang w:val="fr-FR"/>
        </w:rPr>
        <w:t>:</w:t>
      </w:r>
    </w:p>
    <w:p w14:paraId="1A63A45A" w14:textId="6B6C6C3E" w:rsidR="000F326C" w:rsidRPr="006F4D4F" w:rsidRDefault="007E64C2" w:rsidP="0056729F">
      <w:pPr>
        <w:pStyle w:val="BTCBodyText"/>
        <w:rPr>
          <w:lang w:val="fr-FR"/>
        </w:rPr>
      </w:pPr>
      <w:r>
        <w:rPr>
          <w:lang w:val="fr-FR"/>
        </w:rPr>
        <w:t xml:space="preserve">Renforcement des capacités et </w:t>
      </w:r>
      <w:r w:rsidR="00813653">
        <w:rPr>
          <w:lang w:val="fr-FR"/>
        </w:rPr>
        <w:t xml:space="preserve">dispense de la </w:t>
      </w:r>
      <w:r>
        <w:rPr>
          <w:lang w:val="fr-FR"/>
        </w:rPr>
        <w:t xml:space="preserve">formation </w:t>
      </w:r>
      <w:r w:rsidR="0007622F">
        <w:rPr>
          <w:lang w:val="fr-FR"/>
        </w:rPr>
        <w:t>pour un</w:t>
      </w:r>
      <w:r w:rsidR="00813653">
        <w:rPr>
          <w:lang w:val="fr-FR"/>
        </w:rPr>
        <w:t xml:space="preserve"> </w:t>
      </w:r>
      <w:r w:rsidR="0068294B">
        <w:rPr>
          <w:lang w:val="fr-FR"/>
        </w:rPr>
        <w:t>développement des compétences</w:t>
      </w:r>
      <w:r>
        <w:rPr>
          <w:lang w:val="fr-FR"/>
        </w:rPr>
        <w:t xml:space="preserve"> axé sur la demande.</w:t>
      </w:r>
    </w:p>
    <w:p w14:paraId="0056B4D8" w14:textId="1877A299" w:rsidR="0056729F" w:rsidRPr="006F4D4F" w:rsidRDefault="007E64C2" w:rsidP="00471E5A">
      <w:pPr>
        <w:pStyle w:val="BTCBodyText"/>
        <w:spacing w:line="276" w:lineRule="auto"/>
        <w:rPr>
          <w:i/>
          <w:iCs/>
          <w:lang w:val="fr-FR"/>
        </w:rPr>
      </w:pPr>
      <w:r>
        <w:rPr>
          <w:i/>
          <w:iCs/>
          <w:lang w:val="fr-FR"/>
        </w:rPr>
        <w:t xml:space="preserve">Activités indicatives : renforcement des capacités des formateurs </w:t>
      </w:r>
      <w:r w:rsidR="00813653">
        <w:rPr>
          <w:i/>
          <w:iCs/>
          <w:lang w:val="fr-FR"/>
        </w:rPr>
        <w:t>EFP</w:t>
      </w:r>
      <w:r>
        <w:rPr>
          <w:i/>
          <w:iCs/>
          <w:lang w:val="fr-FR"/>
        </w:rPr>
        <w:t>, écoles locales et établissements rendant des services de formation</w:t>
      </w:r>
      <w:r w:rsidR="00813653">
        <w:rPr>
          <w:i/>
          <w:iCs/>
          <w:lang w:val="fr-FR"/>
        </w:rPr>
        <w:t> </w:t>
      </w:r>
      <w:r>
        <w:rPr>
          <w:i/>
          <w:iCs/>
          <w:lang w:val="fr-FR"/>
        </w:rPr>
        <w:t>/</w:t>
      </w:r>
      <w:r w:rsidR="00813653">
        <w:rPr>
          <w:i/>
          <w:iCs/>
          <w:lang w:val="fr-FR"/>
        </w:rPr>
        <w:t xml:space="preserve"> </w:t>
      </w:r>
      <w:r>
        <w:rPr>
          <w:i/>
          <w:iCs/>
          <w:lang w:val="fr-FR"/>
        </w:rPr>
        <w:t xml:space="preserve">compétences, appui aux entreprises locales avec dispense d’une formation </w:t>
      </w:r>
      <w:r w:rsidR="00813653">
        <w:rPr>
          <w:i/>
          <w:iCs/>
          <w:lang w:val="fr-FR"/>
        </w:rPr>
        <w:t xml:space="preserve">attentive à </w:t>
      </w:r>
      <w:r>
        <w:rPr>
          <w:i/>
          <w:iCs/>
          <w:lang w:val="fr-FR"/>
        </w:rPr>
        <w:t xml:space="preserve">la </w:t>
      </w:r>
      <w:r w:rsidR="00813653">
        <w:rPr>
          <w:i/>
          <w:iCs/>
          <w:lang w:val="fr-FR"/>
        </w:rPr>
        <w:t xml:space="preserve">dimension </w:t>
      </w:r>
      <w:r>
        <w:rPr>
          <w:i/>
          <w:iCs/>
          <w:lang w:val="fr-FR"/>
        </w:rPr>
        <w:t>de genre sur le développement des ressources humaines</w:t>
      </w:r>
      <w:r w:rsidR="00813653">
        <w:rPr>
          <w:i/>
          <w:iCs/>
          <w:lang w:val="fr-FR"/>
        </w:rPr>
        <w:t>, dans le but de</w:t>
      </w:r>
      <w:r>
        <w:rPr>
          <w:i/>
          <w:iCs/>
          <w:lang w:val="fr-FR"/>
        </w:rPr>
        <w:t xml:space="preserve"> leur </w:t>
      </w:r>
      <w:r w:rsidR="00636DB9">
        <w:rPr>
          <w:i/>
          <w:iCs/>
          <w:lang w:val="fr-FR"/>
        </w:rPr>
        <w:t>permettre</w:t>
      </w:r>
      <w:r>
        <w:rPr>
          <w:i/>
          <w:iCs/>
          <w:lang w:val="fr-FR"/>
        </w:rPr>
        <w:t xml:space="preserve"> de bénéficier des chaînes de valeur (internationales), élaboration de normes professionnelles, programmes d’enseignement et directives d’application pour certains profils d’emploi, formation des </w:t>
      </w:r>
      <w:r w:rsidR="002572D2">
        <w:rPr>
          <w:i/>
          <w:iCs/>
          <w:lang w:val="fr-FR"/>
        </w:rPr>
        <w:t xml:space="preserve">apprenants aux normes de travail et de santé </w:t>
      </w:r>
      <w:r w:rsidR="00813653">
        <w:rPr>
          <w:i/>
          <w:iCs/>
          <w:lang w:val="fr-FR"/>
        </w:rPr>
        <w:t>&amp;</w:t>
      </w:r>
      <w:r w:rsidR="002572D2">
        <w:rPr>
          <w:i/>
          <w:iCs/>
          <w:lang w:val="fr-FR"/>
        </w:rPr>
        <w:t xml:space="preserve"> sécurité au travail, mise en œuvre de programmes de </w:t>
      </w:r>
      <w:r w:rsidR="0068294B">
        <w:rPr>
          <w:i/>
          <w:iCs/>
          <w:lang w:val="fr-FR"/>
        </w:rPr>
        <w:t>développement des compétences</w:t>
      </w:r>
      <w:r w:rsidR="002572D2">
        <w:rPr>
          <w:i/>
          <w:iCs/>
          <w:lang w:val="fr-FR"/>
        </w:rPr>
        <w:t xml:space="preserve"> et </w:t>
      </w:r>
      <w:r w:rsidR="0007622F">
        <w:rPr>
          <w:i/>
          <w:iCs/>
          <w:lang w:val="fr-FR"/>
        </w:rPr>
        <w:t>d’EFP</w:t>
      </w:r>
      <w:r w:rsidR="002572D2">
        <w:rPr>
          <w:i/>
          <w:iCs/>
          <w:lang w:val="fr-FR"/>
        </w:rPr>
        <w:t xml:space="preserve"> pour les employés futurs et actuels (court et moyen terme).</w:t>
      </w:r>
    </w:p>
    <w:p w14:paraId="56A0F631" w14:textId="5F90B6C1" w:rsidR="00182359" w:rsidRPr="006F4D4F" w:rsidRDefault="00182359" w:rsidP="00471E5A">
      <w:pPr>
        <w:pStyle w:val="Paragraphedeliste"/>
        <w:numPr>
          <w:ilvl w:val="0"/>
          <w:numId w:val="16"/>
        </w:numPr>
        <w:spacing w:before="0" w:after="80" w:line="276" w:lineRule="auto"/>
        <w:contextualSpacing w:val="0"/>
        <w:jc w:val="both"/>
        <w:rPr>
          <w:color w:val="000000" w:themeColor="text1"/>
          <w:lang w:val="fr-FR"/>
        </w:rPr>
      </w:pPr>
      <w:r w:rsidRPr="006F4D4F">
        <w:rPr>
          <w:color w:val="000000" w:themeColor="text1"/>
          <w:lang w:val="fr-FR"/>
        </w:rPr>
        <w:t>R</w:t>
      </w:r>
      <w:r w:rsidR="002572D2">
        <w:rPr>
          <w:color w:val="000000" w:themeColor="text1"/>
          <w:lang w:val="fr-FR"/>
        </w:rPr>
        <w:t>é</w:t>
      </w:r>
      <w:r w:rsidRPr="006F4D4F">
        <w:rPr>
          <w:color w:val="000000" w:themeColor="text1"/>
          <w:lang w:val="fr-FR"/>
        </w:rPr>
        <w:t>sult</w:t>
      </w:r>
      <w:r w:rsidR="002572D2">
        <w:rPr>
          <w:color w:val="000000" w:themeColor="text1"/>
          <w:lang w:val="fr-FR"/>
        </w:rPr>
        <w:t>at</w:t>
      </w:r>
      <w:r w:rsidR="00306529" w:rsidRPr="006F4D4F">
        <w:rPr>
          <w:color w:val="000000" w:themeColor="text1"/>
          <w:lang w:val="fr-FR"/>
        </w:rPr>
        <w:t xml:space="preserve"> 2</w:t>
      </w:r>
      <w:r w:rsidR="002572D2">
        <w:rPr>
          <w:color w:val="000000" w:themeColor="text1"/>
          <w:lang w:val="fr-FR"/>
        </w:rPr>
        <w:t> </w:t>
      </w:r>
      <w:r w:rsidR="00306529" w:rsidRPr="006F4D4F">
        <w:rPr>
          <w:color w:val="000000" w:themeColor="text1"/>
          <w:lang w:val="fr-FR"/>
        </w:rPr>
        <w:t>:</w:t>
      </w:r>
      <w:r w:rsidR="7C79C909" w:rsidRPr="006F4D4F">
        <w:rPr>
          <w:color w:val="000000" w:themeColor="text1"/>
          <w:lang w:val="fr-FR"/>
        </w:rPr>
        <w:t xml:space="preserve"> </w:t>
      </w:r>
      <w:r w:rsidR="0007622F">
        <w:rPr>
          <w:color w:val="000000" w:themeColor="text1"/>
          <w:lang w:val="fr-FR"/>
        </w:rPr>
        <w:t>Les parties prenantes de l’EFP sont</w:t>
      </w:r>
      <w:r w:rsidR="00813653">
        <w:rPr>
          <w:color w:val="000000" w:themeColor="text1"/>
          <w:lang w:val="fr-FR"/>
        </w:rPr>
        <w:t xml:space="preserve"> </w:t>
      </w:r>
      <w:r w:rsidR="002572D2">
        <w:rPr>
          <w:color w:val="000000" w:themeColor="text1"/>
          <w:lang w:val="fr-FR"/>
        </w:rPr>
        <w:t>accompagnées pour dispenser une formation pertinente alignée sur les besoins d</w:t>
      </w:r>
      <w:r w:rsidR="00813653">
        <w:rPr>
          <w:color w:val="000000" w:themeColor="text1"/>
          <w:lang w:val="fr-FR"/>
        </w:rPr>
        <w:t xml:space="preserve">es </w:t>
      </w:r>
      <w:r w:rsidR="002572D2">
        <w:rPr>
          <w:color w:val="000000" w:themeColor="text1"/>
          <w:lang w:val="fr-FR"/>
        </w:rPr>
        <w:t>investissement</w:t>
      </w:r>
      <w:r w:rsidR="00813653">
        <w:rPr>
          <w:color w:val="000000" w:themeColor="text1"/>
          <w:lang w:val="fr-FR"/>
        </w:rPr>
        <w:t>s</w:t>
      </w:r>
      <w:r w:rsidR="002572D2">
        <w:rPr>
          <w:color w:val="000000" w:themeColor="text1"/>
          <w:lang w:val="fr-FR"/>
        </w:rPr>
        <w:t>.</w:t>
      </w:r>
    </w:p>
    <w:p w14:paraId="1C02E66F" w14:textId="79A5ABBC" w:rsidR="00F92934" w:rsidRPr="002572D2" w:rsidRDefault="002572D2" w:rsidP="00471E5A">
      <w:pPr>
        <w:spacing w:before="360" w:after="120" w:line="276" w:lineRule="auto"/>
        <w:rPr>
          <w:color w:val="000000" w:themeColor="text1"/>
          <w:sz w:val="22"/>
          <w:lang w:val="fr-FR"/>
        </w:rPr>
      </w:pPr>
      <w:r>
        <w:rPr>
          <w:color w:val="000000" w:themeColor="text1"/>
          <w:sz w:val="22"/>
          <w:u w:val="single"/>
          <w:lang w:val="fr-FR"/>
        </w:rPr>
        <w:t>Domaine d’intervention 3 </w:t>
      </w:r>
      <w:r>
        <w:rPr>
          <w:color w:val="000000" w:themeColor="text1"/>
          <w:sz w:val="22"/>
          <w:lang w:val="fr-FR"/>
        </w:rPr>
        <w:t>:</w:t>
      </w:r>
    </w:p>
    <w:p w14:paraId="2DF68F7B" w14:textId="1C508AE9" w:rsidR="0056729F" w:rsidRPr="006F4D4F" w:rsidRDefault="0056729F" w:rsidP="0056729F">
      <w:pPr>
        <w:pStyle w:val="BTCBodyText"/>
        <w:rPr>
          <w:lang w:val="fr-FR"/>
        </w:rPr>
      </w:pPr>
      <w:r w:rsidRPr="006F4D4F">
        <w:rPr>
          <w:lang w:val="fr-FR"/>
        </w:rPr>
        <w:t>Stimulat</w:t>
      </w:r>
      <w:r w:rsidR="002572D2">
        <w:rPr>
          <w:lang w:val="fr-FR"/>
        </w:rPr>
        <w:t xml:space="preserve">ion de l’échange de connaissances </w:t>
      </w:r>
      <w:r w:rsidR="00471E5A">
        <w:rPr>
          <w:lang w:val="fr-FR"/>
        </w:rPr>
        <w:t>à propos d</w:t>
      </w:r>
      <w:r w:rsidR="002572D2">
        <w:rPr>
          <w:lang w:val="fr-FR"/>
        </w:rPr>
        <w:t xml:space="preserve">es politiques de </w:t>
      </w:r>
      <w:r w:rsidR="0068294B">
        <w:rPr>
          <w:lang w:val="fr-FR"/>
        </w:rPr>
        <w:t>développement des compétences</w:t>
      </w:r>
      <w:r w:rsidR="002572D2">
        <w:rPr>
          <w:lang w:val="fr-FR"/>
        </w:rPr>
        <w:t xml:space="preserve"> et </w:t>
      </w:r>
      <w:r w:rsidR="0007622F">
        <w:rPr>
          <w:lang w:val="fr-FR"/>
        </w:rPr>
        <w:t>de l’EFP</w:t>
      </w:r>
      <w:r w:rsidR="002572D2">
        <w:rPr>
          <w:lang w:val="fr-FR"/>
        </w:rPr>
        <w:t>.</w:t>
      </w:r>
    </w:p>
    <w:p w14:paraId="66EB3766" w14:textId="2D16C502" w:rsidR="0056729F" w:rsidRPr="006F4D4F" w:rsidRDefault="002572D2" w:rsidP="00471E5A">
      <w:pPr>
        <w:pStyle w:val="BTCBodyText"/>
        <w:spacing w:line="276" w:lineRule="auto"/>
        <w:rPr>
          <w:i/>
          <w:iCs/>
          <w:lang w:val="fr-FR"/>
        </w:rPr>
      </w:pPr>
      <w:r>
        <w:rPr>
          <w:i/>
          <w:iCs/>
          <w:lang w:val="fr-FR"/>
        </w:rPr>
        <w:t xml:space="preserve">Activités indicatives : s’appuyer sur le dialogue existant pour lancer une discussion sur les solutions modèles élaborées dans le cadre du résultat 2, tirer des leçons de l’expérience concrète </w:t>
      </w:r>
      <w:r w:rsidR="00471E5A">
        <w:rPr>
          <w:i/>
          <w:iCs/>
          <w:lang w:val="fr-FR"/>
        </w:rPr>
        <w:t xml:space="preserve">des </w:t>
      </w:r>
      <w:r>
        <w:rPr>
          <w:i/>
          <w:iCs/>
          <w:lang w:val="fr-FR"/>
        </w:rPr>
        <w:t xml:space="preserve">interventions de formation </w:t>
      </w:r>
      <w:r w:rsidR="00471E5A">
        <w:rPr>
          <w:i/>
          <w:iCs/>
          <w:lang w:val="fr-FR"/>
        </w:rPr>
        <w:t>mises en œuvre</w:t>
      </w:r>
      <w:r>
        <w:rPr>
          <w:i/>
          <w:iCs/>
          <w:lang w:val="fr-FR"/>
        </w:rPr>
        <w:t xml:space="preserve"> dans le cadre du résultat 2, échanger des informations ciblées (bonnes pratiques par exemple) et les leçons apprises lors des différentes rencontres des parties prenantes.</w:t>
      </w:r>
    </w:p>
    <w:p w14:paraId="062536D5" w14:textId="002F3249" w:rsidR="00306529" w:rsidRPr="006F4D4F" w:rsidRDefault="00182359" w:rsidP="00471E5A">
      <w:pPr>
        <w:pStyle w:val="Paragraphedeliste"/>
        <w:numPr>
          <w:ilvl w:val="0"/>
          <w:numId w:val="16"/>
        </w:numPr>
        <w:spacing w:before="0" w:after="80" w:line="276" w:lineRule="auto"/>
        <w:contextualSpacing w:val="0"/>
        <w:jc w:val="both"/>
        <w:rPr>
          <w:color w:val="000000" w:themeColor="text1"/>
          <w:lang w:val="fr-FR"/>
        </w:rPr>
      </w:pPr>
      <w:r w:rsidRPr="006F4D4F">
        <w:rPr>
          <w:color w:val="000000" w:themeColor="text1"/>
          <w:lang w:val="fr-FR"/>
        </w:rPr>
        <w:t>R</w:t>
      </w:r>
      <w:r w:rsidR="002572D2">
        <w:rPr>
          <w:color w:val="000000" w:themeColor="text1"/>
          <w:lang w:val="fr-FR"/>
        </w:rPr>
        <w:t>é</w:t>
      </w:r>
      <w:r w:rsidRPr="006F4D4F">
        <w:rPr>
          <w:color w:val="000000" w:themeColor="text1"/>
          <w:lang w:val="fr-FR"/>
        </w:rPr>
        <w:t>sult</w:t>
      </w:r>
      <w:r w:rsidR="002572D2">
        <w:rPr>
          <w:color w:val="000000" w:themeColor="text1"/>
          <w:lang w:val="fr-FR"/>
        </w:rPr>
        <w:t>at</w:t>
      </w:r>
      <w:r w:rsidR="00306529" w:rsidRPr="006F4D4F">
        <w:rPr>
          <w:color w:val="000000" w:themeColor="text1"/>
          <w:lang w:val="fr-FR"/>
        </w:rPr>
        <w:t xml:space="preserve"> 3</w:t>
      </w:r>
      <w:r w:rsidR="002572D2">
        <w:rPr>
          <w:color w:val="000000" w:themeColor="text1"/>
          <w:lang w:val="fr-FR"/>
        </w:rPr>
        <w:t> </w:t>
      </w:r>
      <w:r w:rsidR="00306529" w:rsidRPr="006F4D4F">
        <w:rPr>
          <w:color w:val="000000" w:themeColor="text1"/>
          <w:lang w:val="fr-FR"/>
        </w:rPr>
        <w:t xml:space="preserve">: </w:t>
      </w:r>
      <w:r w:rsidR="002572D2">
        <w:rPr>
          <w:color w:val="000000" w:themeColor="text1"/>
          <w:lang w:val="fr-FR"/>
        </w:rPr>
        <w:t xml:space="preserve">réforme de </w:t>
      </w:r>
      <w:r w:rsidR="0007622F">
        <w:rPr>
          <w:color w:val="000000" w:themeColor="text1"/>
          <w:lang w:val="fr-FR"/>
        </w:rPr>
        <w:t>l’EFP</w:t>
      </w:r>
      <w:r w:rsidR="002572D2">
        <w:rPr>
          <w:color w:val="000000" w:themeColor="text1"/>
          <w:lang w:val="fr-FR"/>
        </w:rPr>
        <w:t xml:space="preserve"> </w:t>
      </w:r>
      <w:r w:rsidR="00471E5A">
        <w:rPr>
          <w:color w:val="000000" w:themeColor="text1"/>
          <w:lang w:val="fr-FR"/>
        </w:rPr>
        <w:t xml:space="preserve">stimulée </w:t>
      </w:r>
      <w:r w:rsidR="002572D2">
        <w:rPr>
          <w:color w:val="000000" w:themeColor="text1"/>
          <w:lang w:val="fr-FR"/>
        </w:rPr>
        <w:t xml:space="preserve">en s’appuyant sur les leçons tirées de l’expérience concrète acquise en dispensant un </w:t>
      </w:r>
      <w:r w:rsidR="0007622F">
        <w:rPr>
          <w:color w:val="000000" w:themeColor="text1"/>
          <w:lang w:val="fr-FR"/>
        </w:rPr>
        <w:t>EFP</w:t>
      </w:r>
      <w:r w:rsidR="002572D2">
        <w:rPr>
          <w:color w:val="000000" w:themeColor="text1"/>
          <w:lang w:val="fr-FR"/>
        </w:rPr>
        <w:t xml:space="preserve"> axé sur les investissements.</w:t>
      </w:r>
    </w:p>
    <w:p w14:paraId="17F77CA6" w14:textId="7932BEFA" w:rsidR="00F92934" w:rsidRPr="006F4D4F" w:rsidRDefault="00335B4F" w:rsidP="00356C45">
      <w:pPr>
        <w:pStyle w:val="BTCBodyText"/>
        <w:rPr>
          <w:color w:val="000000" w:themeColor="text1"/>
          <w:lang w:val="fr-FR"/>
        </w:rPr>
      </w:pPr>
      <w:r>
        <w:rPr>
          <w:rStyle w:val="rotkursiv"/>
          <w:i w:val="0"/>
          <w:color w:val="000000" w:themeColor="text1"/>
          <w:lang w:val="fr-FR"/>
        </w:rPr>
        <w:t xml:space="preserve">L’action encouragera l’emploi en améliorant les offres de </w:t>
      </w:r>
      <w:r w:rsidR="0068294B">
        <w:rPr>
          <w:rStyle w:val="rotkursiv"/>
          <w:i w:val="0"/>
          <w:color w:val="000000" w:themeColor="text1"/>
          <w:lang w:val="fr-FR"/>
        </w:rPr>
        <w:t>développement des compétences</w:t>
      </w:r>
      <w:r>
        <w:rPr>
          <w:rStyle w:val="rotkursiv"/>
          <w:i w:val="0"/>
          <w:color w:val="000000" w:themeColor="text1"/>
          <w:lang w:val="fr-FR"/>
        </w:rPr>
        <w:t xml:space="preserve"> et </w:t>
      </w:r>
      <w:r w:rsidR="0007622F">
        <w:rPr>
          <w:rStyle w:val="rotkursiv"/>
          <w:i w:val="0"/>
          <w:color w:val="000000" w:themeColor="text1"/>
          <w:lang w:val="fr-FR"/>
        </w:rPr>
        <w:t>d’EFP</w:t>
      </w:r>
      <w:r>
        <w:rPr>
          <w:rStyle w:val="rotkursiv"/>
          <w:i w:val="0"/>
          <w:color w:val="000000" w:themeColor="text1"/>
          <w:lang w:val="fr-FR"/>
        </w:rPr>
        <w:t xml:space="preserve"> parallèlement aux investissements du secteur privé, en coopération avec les acteurs des secteurs public et privé dans 11 pays d’Afrique sub-saharienne.</w:t>
      </w:r>
    </w:p>
    <w:p w14:paraId="05D6155B" w14:textId="14C75504" w:rsidR="000238CE" w:rsidRPr="006F4D4F" w:rsidRDefault="00335B4F" w:rsidP="0A429371">
      <w:pPr>
        <w:pStyle w:val="BTCBodyText"/>
        <w:rPr>
          <w:rStyle w:val="rotkursiv"/>
          <w:i w:val="0"/>
          <w:color w:val="000000" w:themeColor="text1"/>
          <w:lang w:val="fr-FR"/>
        </w:rPr>
      </w:pPr>
      <w:r>
        <w:rPr>
          <w:rStyle w:val="rotkursiv"/>
          <w:i w:val="0"/>
          <w:color w:val="000000" w:themeColor="text1"/>
          <w:lang w:val="fr-FR"/>
        </w:rPr>
        <w:t xml:space="preserve">L’action englobe plusieurs pays offrant des environnements favorables à l’investissement, mais aussi des États plus fragiles. La sélection et la hiérarchisation définitive des pays interviendront pendant la mise en œuvre en fonction des opportunités d’investissement dans les pays retenus. La liste indicative est susceptible d’être modifiée si les circonstances l’exigent. Le processus allant du recensement des opportunités à l’établissement du périmètre géographique et de la liste indicative des pays est expliqué </w:t>
      </w:r>
      <w:r w:rsidR="005D0679">
        <w:rPr>
          <w:rStyle w:val="rotkursiv"/>
          <w:i w:val="0"/>
          <w:color w:val="000000" w:themeColor="text1"/>
          <w:lang w:val="fr-FR"/>
        </w:rPr>
        <w:t xml:space="preserve">au chapitre </w:t>
      </w:r>
      <w:r>
        <w:rPr>
          <w:rStyle w:val="rotkursiv"/>
          <w:i w:val="0"/>
          <w:color w:val="000000" w:themeColor="text1"/>
          <w:lang w:val="fr-FR"/>
        </w:rPr>
        <w:t>1.5.2.</w:t>
      </w:r>
      <w:r w:rsidR="000238CE" w:rsidRPr="006F4D4F">
        <w:rPr>
          <w:rStyle w:val="rotkursiv"/>
          <w:i w:val="0"/>
          <w:color w:val="000000" w:themeColor="text1"/>
          <w:lang w:val="fr-FR"/>
        </w:rPr>
        <w:t xml:space="preserve"> </w:t>
      </w:r>
    </w:p>
    <w:p w14:paraId="1226C776" w14:textId="34805628" w:rsidR="0056729F" w:rsidRPr="006F4D4F" w:rsidRDefault="00335B4F" w:rsidP="0056729F">
      <w:pPr>
        <w:pStyle w:val="BTCBodyText"/>
        <w:rPr>
          <w:rStyle w:val="rotkursiv"/>
          <w:i w:val="0"/>
          <w:color w:val="000000" w:themeColor="text1"/>
          <w:lang w:val="fr-FR"/>
        </w:rPr>
      </w:pPr>
      <w:r>
        <w:rPr>
          <w:rStyle w:val="rotkursiv"/>
          <w:i w:val="0"/>
          <w:color w:val="000000" w:themeColor="text1"/>
          <w:lang w:val="fr-FR"/>
        </w:rPr>
        <w:t xml:space="preserve">Dans le contexte de l’Agenda 2030 des Nations unies, l’action contribuera à l’ODD 8 (« Travail décent et croissance économique »), </w:t>
      </w:r>
      <w:r w:rsidRPr="006F4D4F">
        <w:rPr>
          <w:rStyle w:val="rotkursiv"/>
          <w:rFonts w:eastAsia="Arial" w:cs="Arial"/>
          <w:i w:val="0"/>
          <w:color w:val="000000" w:themeColor="text1"/>
          <w:lang w:val="fr-FR"/>
        </w:rPr>
        <w:t>qui vise à promouvoir une croissance économique soutenue, partagée et durable, le plein emploi productif et un travail décent pour tous</w:t>
      </w:r>
      <w:r w:rsidR="006C3393">
        <w:rPr>
          <w:rStyle w:val="rotkursiv"/>
          <w:rFonts w:eastAsia="Arial" w:cs="Arial"/>
          <w:i w:val="0"/>
          <w:color w:val="000000" w:themeColor="text1"/>
          <w:lang w:val="fr-FR"/>
        </w:rPr>
        <w:t xml:space="preserve">. Les actions de la </w:t>
      </w:r>
      <w:r w:rsidR="005D0679">
        <w:rPr>
          <w:rStyle w:val="rotkursiv"/>
          <w:rFonts w:eastAsia="Arial" w:cs="Arial"/>
          <w:i w:val="0"/>
          <w:color w:val="000000" w:themeColor="text1"/>
          <w:lang w:val="fr-FR"/>
        </w:rPr>
        <w:t xml:space="preserve">VET </w:t>
      </w:r>
      <w:r w:rsidR="006C3393">
        <w:rPr>
          <w:rStyle w:val="rotkursiv"/>
          <w:rFonts w:eastAsia="Arial" w:cs="Arial"/>
          <w:i w:val="0"/>
          <w:color w:val="000000" w:themeColor="text1"/>
          <w:lang w:val="fr-FR"/>
        </w:rPr>
        <w:t xml:space="preserve">Toolbox 2 renforceront en particulier </w:t>
      </w:r>
      <w:r w:rsidRPr="006F4D4F">
        <w:rPr>
          <w:rStyle w:val="rotkursiv"/>
          <w:rFonts w:eastAsia="Arial" w:cs="Arial"/>
          <w:i w:val="0"/>
          <w:color w:val="000000" w:themeColor="text1"/>
          <w:lang w:val="fr-FR"/>
        </w:rPr>
        <w:t xml:space="preserve">les cibles « Promouvoir des politiques qui favorisent la création d’emplois et l’entrepreneuriat », « Promouvoir l’emploi, l’éducation et la formation des jeunes » et « Plein emploi et travail décent avec un salaire égal ». L’action contribuera aussi à atteindre l’ODD 4 « Éducation de qualité », </w:t>
      </w:r>
      <w:r w:rsidR="005D0679">
        <w:rPr>
          <w:rStyle w:val="rotkursiv"/>
          <w:rFonts w:eastAsia="Arial" w:cs="Arial"/>
          <w:i w:val="0"/>
          <w:color w:val="000000" w:themeColor="text1"/>
          <w:lang w:val="fr-FR"/>
        </w:rPr>
        <w:t xml:space="preserve">qui </w:t>
      </w:r>
      <w:r w:rsidRPr="006F4D4F">
        <w:rPr>
          <w:rStyle w:val="rotkursiv"/>
          <w:rFonts w:eastAsia="Arial" w:cs="Arial"/>
          <w:i w:val="0"/>
          <w:color w:val="000000" w:themeColor="text1"/>
          <w:lang w:val="fr-FR"/>
        </w:rPr>
        <w:t>vis</w:t>
      </w:r>
      <w:r w:rsidR="005D0679">
        <w:rPr>
          <w:rStyle w:val="rotkursiv"/>
          <w:rFonts w:eastAsia="Arial" w:cs="Arial"/>
          <w:i w:val="0"/>
          <w:color w:val="000000" w:themeColor="text1"/>
          <w:lang w:val="fr-FR"/>
        </w:rPr>
        <w:t>e</w:t>
      </w:r>
      <w:r w:rsidRPr="006F4D4F">
        <w:rPr>
          <w:rStyle w:val="rotkursiv"/>
          <w:rFonts w:eastAsia="Arial" w:cs="Arial"/>
          <w:i w:val="0"/>
          <w:color w:val="000000" w:themeColor="text1"/>
          <w:lang w:val="fr-FR"/>
        </w:rPr>
        <w:t xml:space="preserve"> à garantir une éducation de qualité inclusive et équitable, et encouragera les possibilités d’apprentissage tout au long de la vie pour tous.</w:t>
      </w:r>
    </w:p>
    <w:p w14:paraId="04C5C49B" w14:textId="3A760B0F" w:rsidR="00C64723" w:rsidRPr="006F4D4F" w:rsidRDefault="009C031C" w:rsidP="00AD6120">
      <w:pPr>
        <w:pStyle w:val="Titre2"/>
        <w:rPr>
          <w:lang w:val="fr-FR"/>
        </w:rPr>
      </w:pPr>
      <w:bookmarkStart w:id="76" w:name="_Toc44423189"/>
      <w:bookmarkStart w:id="77" w:name="_Toc20239551"/>
      <w:bookmarkStart w:id="78" w:name="_Toc20239644"/>
      <w:bookmarkStart w:id="79" w:name="_Toc54336676"/>
      <w:r w:rsidRPr="006F4D4F">
        <w:rPr>
          <w:lang w:val="fr-FR"/>
        </w:rPr>
        <w:t xml:space="preserve">1.5 </w:t>
      </w:r>
      <w:r w:rsidR="00EE2EFA">
        <w:rPr>
          <w:lang w:val="fr-FR"/>
        </w:rPr>
        <w:t>Logique de l’i</w:t>
      </w:r>
      <w:r w:rsidR="0095524A" w:rsidRPr="006F4D4F">
        <w:rPr>
          <w:lang w:val="fr-FR"/>
        </w:rPr>
        <w:t>ntervention</w:t>
      </w:r>
      <w:r w:rsidR="00EE2EFA">
        <w:rPr>
          <w:lang w:val="fr-FR"/>
        </w:rPr>
        <w:t> / méthodes de mise en œuvre, orientations stratégiques</w:t>
      </w:r>
      <w:bookmarkEnd w:id="76"/>
      <w:bookmarkEnd w:id="77"/>
      <w:bookmarkEnd w:id="78"/>
      <w:bookmarkEnd w:id="79"/>
    </w:p>
    <w:p w14:paraId="68C786C0" w14:textId="5920D01E" w:rsidR="008C10A7" w:rsidRPr="00857C71" w:rsidRDefault="00145A97" w:rsidP="00AD6120">
      <w:pPr>
        <w:pStyle w:val="Titre3"/>
      </w:pPr>
      <w:bookmarkStart w:id="80" w:name="_Toc44423190"/>
      <w:bookmarkStart w:id="81" w:name="_Toc44423708"/>
      <w:bookmarkStart w:id="82" w:name="_Toc54336677"/>
      <w:r w:rsidRPr="006F4D4F">
        <w:t xml:space="preserve">1.5.1 </w:t>
      </w:r>
      <w:r w:rsidR="008C10A7" w:rsidRPr="00857C71">
        <w:t>Th</w:t>
      </w:r>
      <w:bookmarkEnd w:id="80"/>
      <w:bookmarkEnd w:id="81"/>
      <w:r w:rsidR="00EE2EFA" w:rsidRPr="00857C71">
        <w:t>éorie du changement</w:t>
      </w:r>
      <w:bookmarkEnd w:id="82"/>
    </w:p>
    <w:p w14:paraId="0C0E36E5" w14:textId="1A6ACE11" w:rsidR="00FB610B" w:rsidRPr="006F4D4F" w:rsidRDefault="00EE2EFA" w:rsidP="008C6990">
      <w:pPr>
        <w:pStyle w:val="BTCBodyText"/>
        <w:rPr>
          <w:color w:val="000000" w:themeColor="text1"/>
          <w:lang w:val="fr-FR"/>
        </w:rPr>
      </w:pPr>
      <w:r w:rsidRPr="00857C71">
        <w:rPr>
          <w:color w:val="000000" w:themeColor="text1"/>
          <w:lang w:val="fr-FR"/>
        </w:rPr>
        <w:t>La</w:t>
      </w:r>
      <w:r w:rsidR="401ACBE1" w:rsidRPr="00857C71">
        <w:rPr>
          <w:color w:val="000000" w:themeColor="text1"/>
          <w:lang w:val="fr-FR"/>
        </w:rPr>
        <w:t xml:space="preserve"> VET Toolbox 2 </w:t>
      </w:r>
      <w:r w:rsidRPr="00857C71">
        <w:rPr>
          <w:color w:val="000000" w:themeColor="text1"/>
          <w:lang w:val="fr-FR"/>
        </w:rPr>
        <w:t xml:space="preserve">s’appuie sur le programme apparenté </w:t>
      </w:r>
      <w:r w:rsidR="401ACBE1" w:rsidRPr="00857C71">
        <w:rPr>
          <w:color w:val="000000" w:themeColor="text1"/>
          <w:lang w:val="fr-FR"/>
        </w:rPr>
        <w:t>VET Toolbox 1.</w:t>
      </w:r>
      <w:r w:rsidRPr="00857C71">
        <w:rPr>
          <w:color w:val="000000" w:themeColor="text1"/>
          <w:lang w:val="fr-FR"/>
        </w:rPr>
        <w:t xml:space="preserve"> </w:t>
      </w:r>
      <w:r w:rsidR="00185578">
        <w:rPr>
          <w:color w:val="000000" w:themeColor="text1"/>
          <w:lang w:val="fr-FR"/>
        </w:rPr>
        <w:t xml:space="preserve">Ces </w:t>
      </w:r>
      <w:r w:rsidR="00857C71">
        <w:rPr>
          <w:color w:val="000000" w:themeColor="text1"/>
          <w:lang w:val="fr-FR"/>
        </w:rPr>
        <w:t>programmes</w:t>
      </w:r>
      <w:r w:rsidRPr="00857C71">
        <w:rPr>
          <w:color w:val="000000" w:themeColor="text1"/>
          <w:lang w:val="fr-FR"/>
        </w:rPr>
        <w:t xml:space="preserve"> </w:t>
      </w:r>
      <w:r w:rsidR="00185578">
        <w:rPr>
          <w:color w:val="000000" w:themeColor="text1"/>
          <w:lang w:val="fr-FR"/>
        </w:rPr>
        <w:t>disposeront d’</w:t>
      </w:r>
      <w:r w:rsidRPr="00857C71">
        <w:rPr>
          <w:color w:val="000000" w:themeColor="text1"/>
          <w:lang w:val="fr-FR"/>
        </w:rPr>
        <w:t xml:space="preserve">une infrastructure </w:t>
      </w:r>
      <w:r w:rsidR="00185578">
        <w:rPr>
          <w:color w:val="000000" w:themeColor="text1"/>
          <w:lang w:val="fr-FR"/>
        </w:rPr>
        <w:t>partagée</w:t>
      </w:r>
      <w:r>
        <w:rPr>
          <w:color w:val="000000" w:themeColor="text1"/>
          <w:lang w:val="fr-FR"/>
        </w:rPr>
        <w:t xml:space="preserve"> (administration, espace de bureaux, personnel), pour une </w:t>
      </w:r>
      <w:r w:rsidR="00185578">
        <w:rPr>
          <w:color w:val="000000" w:themeColor="text1"/>
          <w:lang w:val="fr-FR"/>
        </w:rPr>
        <w:t xml:space="preserve">efficience </w:t>
      </w:r>
      <w:r>
        <w:rPr>
          <w:color w:val="000000" w:themeColor="text1"/>
          <w:lang w:val="fr-FR"/>
        </w:rPr>
        <w:t xml:space="preserve">accrue, </w:t>
      </w:r>
      <w:r w:rsidR="00185578">
        <w:rPr>
          <w:color w:val="000000" w:themeColor="text1"/>
          <w:lang w:val="fr-FR"/>
        </w:rPr>
        <w:t xml:space="preserve">et auront tous les deux pour </w:t>
      </w:r>
      <w:r>
        <w:rPr>
          <w:color w:val="000000" w:themeColor="text1"/>
          <w:lang w:val="fr-FR"/>
        </w:rPr>
        <w:t xml:space="preserve">objectif </w:t>
      </w:r>
      <w:r w:rsidR="00185578">
        <w:rPr>
          <w:color w:val="000000" w:themeColor="text1"/>
          <w:lang w:val="fr-FR"/>
        </w:rPr>
        <w:t xml:space="preserve">commun </w:t>
      </w:r>
      <w:r>
        <w:rPr>
          <w:color w:val="000000" w:themeColor="text1"/>
          <w:lang w:val="fr-FR"/>
        </w:rPr>
        <w:t xml:space="preserve">d’améliorer l’enseignement et la formation professionnels dans leurs pays cibles. </w:t>
      </w:r>
      <w:r w:rsidR="003022A7">
        <w:rPr>
          <w:color w:val="000000" w:themeColor="text1"/>
          <w:lang w:val="fr-FR"/>
        </w:rPr>
        <w:t>L</w:t>
      </w:r>
      <w:r>
        <w:rPr>
          <w:color w:val="000000" w:themeColor="text1"/>
          <w:lang w:val="fr-FR"/>
        </w:rPr>
        <w:t xml:space="preserve">a </w:t>
      </w:r>
      <w:r w:rsidR="00857C71">
        <w:rPr>
          <w:color w:val="000000" w:themeColor="text1"/>
          <w:lang w:val="fr-FR"/>
        </w:rPr>
        <w:t xml:space="preserve">VET </w:t>
      </w:r>
      <w:r w:rsidR="401ACBE1" w:rsidRPr="006F4D4F">
        <w:rPr>
          <w:color w:val="000000" w:themeColor="text1"/>
          <w:lang w:val="fr-FR"/>
        </w:rPr>
        <w:t xml:space="preserve">Toolbox 1 </w:t>
      </w:r>
      <w:r w:rsidR="00857C71">
        <w:rPr>
          <w:color w:val="000000" w:themeColor="text1"/>
          <w:lang w:val="fr-FR"/>
        </w:rPr>
        <w:t xml:space="preserve">promeut </w:t>
      </w:r>
      <w:r w:rsidR="003022A7">
        <w:rPr>
          <w:color w:val="000000" w:themeColor="text1"/>
          <w:lang w:val="fr-FR"/>
        </w:rPr>
        <w:t xml:space="preserve">l’enseignement et la formation professionnels </w:t>
      </w:r>
      <w:r w:rsidR="00185578">
        <w:rPr>
          <w:color w:val="000000" w:themeColor="text1"/>
          <w:lang w:val="fr-FR"/>
        </w:rPr>
        <w:t xml:space="preserve">pour tous </w:t>
      </w:r>
      <w:r w:rsidR="00185578" w:rsidRPr="00185578">
        <w:rPr>
          <w:color w:val="000000" w:themeColor="text1"/>
          <w:lang w:val="fr-FR"/>
        </w:rPr>
        <w:t xml:space="preserve">axés </w:t>
      </w:r>
      <w:r w:rsidR="003022A7">
        <w:rPr>
          <w:color w:val="000000" w:themeColor="text1"/>
          <w:lang w:val="fr-FR"/>
        </w:rPr>
        <w:t>sur la demande</w:t>
      </w:r>
      <w:r w:rsidR="00185578">
        <w:rPr>
          <w:color w:val="000000" w:themeColor="text1"/>
          <w:lang w:val="fr-FR"/>
        </w:rPr>
        <w:t>. Ses interventions en ce sens comprennent</w:t>
      </w:r>
      <w:r w:rsidR="003022A7">
        <w:rPr>
          <w:color w:val="000000" w:themeColor="text1"/>
          <w:lang w:val="fr-FR"/>
        </w:rPr>
        <w:t xml:space="preserve"> </w:t>
      </w:r>
      <w:r w:rsidR="00185578">
        <w:rPr>
          <w:color w:val="000000" w:themeColor="text1"/>
          <w:lang w:val="fr-FR"/>
        </w:rPr>
        <w:t xml:space="preserve">l’élaboration </w:t>
      </w:r>
      <w:r w:rsidR="003022A7">
        <w:rPr>
          <w:color w:val="000000" w:themeColor="text1"/>
          <w:lang w:val="fr-FR"/>
        </w:rPr>
        <w:t>d’outils,</w:t>
      </w:r>
      <w:r w:rsidR="00185578">
        <w:rPr>
          <w:color w:val="000000" w:themeColor="text1"/>
          <w:lang w:val="fr-FR"/>
        </w:rPr>
        <w:t xml:space="preserve"> l’octroi</w:t>
      </w:r>
      <w:r w:rsidR="003022A7">
        <w:rPr>
          <w:color w:val="000000" w:themeColor="text1"/>
          <w:lang w:val="fr-FR"/>
        </w:rPr>
        <w:t xml:space="preserve"> de subventions et</w:t>
      </w:r>
      <w:r w:rsidR="00185578">
        <w:rPr>
          <w:color w:val="000000" w:themeColor="text1"/>
          <w:lang w:val="fr-FR"/>
        </w:rPr>
        <w:t>,</w:t>
      </w:r>
      <w:r w:rsidR="003022A7">
        <w:rPr>
          <w:color w:val="000000" w:themeColor="text1"/>
          <w:lang w:val="fr-FR"/>
        </w:rPr>
        <w:t xml:space="preserve"> notamment</w:t>
      </w:r>
      <w:r w:rsidR="00185578">
        <w:rPr>
          <w:color w:val="000000" w:themeColor="text1"/>
          <w:lang w:val="fr-FR"/>
        </w:rPr>
        <w:t>, l’organisation</w:t>
      </w:r>
      <w:r w:rsidR="003022A7">
        <w:rPr>
          <w:color w:val="000000" w:themeColor="text1"/>
          <w:lang w:val="fr-FR"/>
        </w:rPr>
        <w:t xml:space="preserve"> de missions d’experts </w:t>
      </w:r>
      <w:r w:rsidR="00185578">
        <w:rPr>
          <w:color w:val="000000" w:themeColor="text1"/>
          <w:lang w:val="fr-FR"/>
        </w:rPr>
        <w:t xml:space="preserve">de courte durée </w:t>
      </w:r>
      <w:r w:rsidR="003022A7">
        <w:rPr>
          <w:color w:val="000000" w:themeColor="text1"/>
          <w:lang w:val="fr-FR"/>
        </w:rPr>
        <w:t>sur la demande</w:t>
      </w:r>
      <w:r w:rsidR="00185578">
        <w:rPr>
          <w:color w:val="000000" w:themeColor="text1"/>
          <w:lang w:val="fr-FR"/>
        </w:rPr>
        <w:t xml:space="preserve"> </w:t>
      </w:r>
      <w:r w:rsidR="003022A7">
        <w:rPr>
          <w:color w:val="000000" w:themeColor="text1"/>
          <w:lang w:val="fr-FR"/>
        </w:rPr>
        <w:t>aidant les acteurs publics et privés à professionnaliser l’offre de compétences. La</w:t>
      </w:r>
      <w:r w:rsidR="401ACBE1" w:rsidRPr="006F4D4F">
        <w:rPr>
          <w:color w:val="000000" w:themeColor="text1"/>
          <w:lang w:val="fr-FR"/>
        </w:rPr>
        <w:t xml:space="preserve"> Toolbox 2</w:t>
      </w:r>
      <w:r w:rsidR="00185578">
        <w:rPr>
          <w:color w:val="000000" w:themeColor="text1"/>
          <w:lang w:val="fr-FR"/>
        </w:rPr>
        <w:t xml:space="preserve"> </w:t>
      </w:r>
      <w:r w:rsidR="003022A7">
        <w:rPr>
          <w:color w:val="000000" w:themeColor="text1"/>
          <w:lang w:val="fr-FR"/>
        </w:rPr>
        <w:t xml:space="preserve">va plus loin en proposant à un éventail diversifié d’acteurs locaux des solutions de formation améliorées </w:t>
      </w:r>
      <w:r w:rsidR="00857C71">
        <w:rPr>
          <w:color w:val="000000" w:themeColor="text1"/>
          <w:lang w:val="fr-FR"/>
        </w:rPr>
        <w:t xml:space="preserve">visant </w:t>
      </w:r>
      <w:r w:rsidR="003022A7">
        <w:rPr>
          <w:color w:val="000000" w:themeColor="text1"/>
          <w:lang w:val="fr-FR"/>
        </w:rPr>
        <w:t xml:space="preserve">à </w:t>
      </w:r>
      <w:r w:rsidR="00185578">
        <w:rPr>
          <w:color w:val="000000" w:themeColor="text1"/>
          <w:lang w:val="fr-FR"/>
        </w:rPr>
        <w:t>répondre aux besoins des</w:t>
      </w:r>
      <w:r w:rsidR="003022A7">
        <w:rPr>
          <w:color w:val="000000" w:themeColor="text1"/>
          <w:lang w:val="fr-FR"/>
        </w:rPr>
        <w:t xml:space="preserve"> investissements. Ces solutions auront pour vocation d’améliorer les perspectives d’emploi de la population locale, tout en étant </w:t>
      </w:r>
      <w:r w:rsidR="00857C71">
        <w:rPr>
          <w:color w:val="000000" w:themeColor="text1"/>
          <w:lang w:val="fr-FR"/>
        </w:rPr>
        <w:t>attentives</w:t>
      </w:r>
      <w:r w:rsidR="003022A7">
        <w:rPr>
          <w:color w:val="000000" w:themeColor="text1"/>
          <w:lang w:val="fr-FR"/>
        </w:rPr>
        <w:t xml:space="preserve"> aux besoins et opportunités des investisseurs et des partenaires. </w:t>
      </w:r>
      <w:r w:rsidR="00185578">
        <w:rPr>
          <w:color w:val="000000" w:themeColor="text1"/>
          <w:lang w:val="fr-FR"/>
        </w:rPr>
        <w:t>I</w:t>
      </w:r>
      <w:r w:rsidR="003022A7">
        <w:rPr>
          <w:color w:val="000000" w:themeColor="text1"/>
          <w:lang w:val="fr-FR"/>
        </w:rPr>
        <w:t xml:space="preserve">l sera </w:t>
      </w:r>
      <w:r w:rsidR="00185578">
        <w:rPr>
          <w:color w:val="000000" w:themeColor="text1"/>
          <w:lang w:val="fr-FR"/>
        </w:rPr>
        <w:t xml:space="preserve">par ailleurs </w:t>
      </w:r>
      <w:r w:rsidR="003022A7">
        <w:rPr>
          <w:color w:val="000000" w:themeColor="text1"/>
          <w:lang w:val="fr-FR"/>
        </w:rPr>
        <w:t>éventuellement possible d’utiliser dans le cadre de la Toolbox 2 certains outils mis au point dans le cadre de la Toolbox 1.</w:t>
      </w:r>
    </w:p>
    <w:p w14:paraId="5A50764C" w14:textId="2C5B66FA" w:rsidR="008C6990" w:rsidRPr="006F4D4F" w:rsidRDefault="003022A7" w:rsidP="008C6990">
      <w:pPr>
        <w:pStyle w:val="BTCBodyText"/>
        <w:rPr>
          <w:color w:val="000000" w:themeColor="text1"/>
          <w:lang w:val="fr-FR"/>
        </w:rPr>
      </w:pPr>
      <w:r>
        <w:rPr>
          <w:color w:val="000000" w:themeColor="text1"/>
          <w:lang w:val="fr-FR"/>
        </w:rPr>
        <w:t xml:space="preserve">La </w:t>
      </w:r>
      <w:r w:rsidR="008C6990" w:rsidRPr="006F4D4F">
        <w:rPr>
          <w:color w:val="000000" w:themeColor="text1"/>
          <w:lang w:val="fr-FR"/>
        </w:rPr>
        <w:t xml:space="preserve">VET Toolbox </w:t>
      </w:r>
      <w:r w:rsidR="00833C8F" w:rsidRPr="006F4D4F">
        <w:rPr>
          <w:color w:val="000000" w:themeColor="text1"/>
          <w:lang w:val="fr-FR"/>
        </w:rPr>
        <w:t xml:space="preserve">2 </w:t>
      </w:r>
      <w:r>
        <w:rPr>
          <w:color w:val="000000" w:themeColor="text1"/>
          <w:lang w:val="fr-FR"/>
        </w:rPr>
        <w:t xml:space="preserve">contribue à améliorer le climat de l’investissement </w:t>
      </w:r>
      <w:r w:rsidR="008C5641">
        <w:rPr>
          <w:color w:val="000000" w:themeColor="text1"/>
          <w:lang w:val="fr-FR"/>
        </w:rPr>
        <w:t>dans les pays africains retenus</w:t>
      </w:r>
      <w:r w:rsidR="00C979C6">
        <w:rPr>
          <w:color w:val="000000" w:themeColor="text1"/>
          <w:lang w:val="fr-FR"/>
        </w:rPr>
        <w:t>,</w:t>
      </w:r>
      <w:r w:rsidR="008C5641">
        <w:rPr>
          <w:color w:val="000000" w:themeColor="text1"/>
          <w:lang w:val="fr-FR"/>
        </w:rPr>
        <w:t xml:space="preserve"> en renforçant le capital humain nécessaire à la concrétisation des investissements. Il s’agit avant tout d’une action axée sur les opportunités, qui vise à </w:t>
      </w:r>
      <w:r w:rsidR="00C979C6">
        <w:rPr>
          <w:color w:val="000000" w:themeColor="text1"/>
          <w:lang w:val="fr-FR"/>
        </w:rPr>
        <w:t>faire d</w:t>
      </w:r>
      <w:r w:rsidR="008C5641">
        <w:rPr>
          <w:color w:val="000000" w:themeColor="text1"/>
          <w:lang w:val="fr-FR"/>
        </w:rPr>
        <w:t xml:space="preserve">es investissements concrets </w:t>
      </w:r>
      <w:r w:rsidR="00C979C6">
        <w:rPr>
          <w:color w:val="000000" w:themeColor="text1"/>
          <w:lang w:val="fr-FR"/>
        </w:rPr>
        <w:t xml:space="preserve">des </w:t>
      </w:r>
      <w:r w:rsidR="008C5641">
        <w:rPr>
          <w:color w:val="000000" w:themeColor="text1"/>
          <w:lang w:val="fr-FR"/>
        </w:rPr>
        <w:t>moteurs de croissance économique inclusive, de développement social et de création d’emplois.</w:t>
      </w:r>
      <w:r w:rsidR="008C6990" w:rsidRPr="006F4D4F">
        <w:rPr>
          <w:color w:val="000000" w:themeColor="text1"/>
          <w:lang w:val="fr-FR"/>
        </w:rPr>
        <w:t xml:space="preserve"> </w:t>
      </w:r>
      <w:r w:rsidR="008C5641">
        <w:rPr>
          <w:color w:val="000000" w:themeColor="text1"/>
          <w:lang w:val="fr-FR"/>
        </w:rPr>
        <w:t>La hausse des flu</w:t>
      </w:r>
      <w:r w:rsidR="008C5641" w:rsidRPr="006F4D4F">
        <w:rPr>
          <w:rFonts w:eastAsia="Arial"/>
          <w:color w:val="000000" w:themeColor="text1"/>
          <w:lang w:val="fr-FR"/>
        </w:rPr>
        <w:t>x d’investissements de l’Union européenne vers les pays africains donne aux économies nationales les moyens de renforcer leur apport de valeur ajoutée et de prendre une part accrue à la création d’emplois au niveau local.</w:t>
      </w:r>
      <w:r w:rsidR="008C5641">
        <w:rPr>
          <w:rFonts w:eastAsia="Arial"/>
          <w:color w:val="000000" w:themeColor="text1"/>
          <w:lang w:val="fr-FR"/>
        </w:rPr>
        <w:t xml:space="preserve"> Un secteur </w:t>
      </w:r>
      <w:r w:rsidR="00C979C6">
        <w:rPr>
          <w:rFonts w:eastAsia="Arial"/>
          <w:color w:val="000000" w:themeColor="text1"/>
          <w:lang w:val="fr-FR"/>
        </w:rPr>
        <w:t>EFP</w:t>
      </w:r>
      <w:r w:rsidR="008C5641">
        <w:rPr>
          <w:rFonts w:eastAsia="Arial"/>
          <w:color w:val="000000" w:themeColor="text1"/>
          <w:lang w:val="fr-FR"/>
        </w:rPr>
        <w:t xml:space="preserve"> parfaitement adapté aux besoins du marché du travail peut être un élément essentiel pour la réalisation du potentiel des pays à cet égard. L’action est conçue pour améliorer les </w:t>
      </w:r>
      <w:r w:rsidR="00C979C6">
        <w:rPr>
          <w:rFonts w:eastAsia="Arial"/>
          <w:color w:val="000000" w:themeColor="text1"/>
          <w:lang w:val="fr-FR"/>
        </w:rPr>
        <w:t xml:space="preserve">bénéfices locaux </w:t>
      </w:r>
      <w:r w:rsidR="008C5641">
        <w:rPr>
          <w:rFonts w:eastAsia="Arial"/>
          <w:color w:val="000000" w:themeColor="text1"/>
          <w:lang w:val="fr-FR"/>
        </w:rPr>
        <w:t>(emplois, revenus, chaînes de valeur locales par exemple) favorisés par les investissements européens, tels que les programmes d’investissement de la Commission européenne dans les pays cibles.</w:t>
      </w:r>
    </w:p>
    <w:p w14:paraId="4E18C594" w14:textId="18C88B02" w:rsidR="0005449D" w:rsidRPr="006F4D4F" w:rsidRDefault="00C979C6" w:rsidP="008C6990">
      <w:pPr>
        <w:pStyle w:val="BTCBodyText"/>
        <w:rPr>
          <w:color w:val="000000" w:themeColor="text1"/>
          <w:lang w:val="fr-FR"/>
        </w:rPr>
      </w:pPr>
      <w:r>
        <w:rPr>
          <w:color w:val="000000" w:themeColor="text1"/>
          <w:lang w:val="fr-FR"/>
        </w:rPr>
        <w:t>Dans le but de</w:t>
      </w:r>
      <w:r w:rsidR="008C5641">
        <w:rPr>
          <w:color w:val="000000" w:themeColor="text1"/>
          <w:lang w:val="fr-FR"/>
        </w:rPr>
        <w:t xml:space="preserve"> préparer le terrain pour ces investissements, l’action vise à renforcer les capacités des acteurs du secteur de l’enseignement et la formation professionnels au niveau national et </w:t>
      </w:r>
      <w:r>
        <w:rPr>
          <w:color w:val="000000" w:themeColor="text1"/>
          <w:lang w:val="fr-FR"/>
        </w:rPr>
        <w:t>au sein du</w:t>
      </w:r>
      <w:r w:rsidR="008C5641">
        <w:rPr>
          <w:color w:val="000000" w:themeColor="text1"/>
          <w:lang w:val="fr-FR"/>
        </w:rPr>
        <w:t xml:space="preserve"> marché du travail global, notamment en formant les prestataires, employeurs et acteurs publics, ainsi que les personnes formées, les élèves et les ouvriers. </w:t>
      </w:r>
      <w:r w:rsidR="009E5FDB">
        <w:rPr>
          <w:color w:val="000000" w:themeColor="text1"/>
          <w:lang w:val="fr-FR"/>
        </w:rPr>
        <w:t xml:space="preserve">Si chacun de ces acteurs a des intérêts et des priorités différents, ils n’en sont pas moins tous interdépendants. Le système ne peut fonctionner avec efficacité que si ces acteurs réalisent qu’ils doivent collaborer pour </w:t>
      </w:r>
      <w:r w:rsidR="007C0281">
        <w:rPr>
          <w:color w:val="000000" w:themeColor="text1"/>
          <w:lang w:val="fr-FR"/>
        </w:rPr>
        <w:t>réussir à améliorer les choses</w:t>
      </w:r>
      <w:r w:rsidR="009E5FDB">
        <w:rPr>
          <w:color w:val="000000" w:themeColor="text1"/>
          <w:lang w:val="fr-FR"/>
        </w:rPr>
        <w:t xml:space="preserve"> pour tous.</w:t>
      </w:r>
      <w:r w:rsidR="0005449D" w:rsidRPr="006F4D4F">
        <w:rPr>
          <w:color w:val="000000" w:themeColor="text1"/>
          <w:lang w:val="fr-FR"/>
        </w:rPr>
        <w:t xml:space="preserve"> </w:t>
      </w:r>
    </w:p>
    <w:p w14:paraId="461DEB10" w14:textId="2186BF42" w:rsidR="008C6990" w:rsidRPr="006F4D4F" w:rsidRDefault="00C979C6" w:rsidP="008C6990">
      <w:pPr>
        <w:pStyle w:val="BTCBodyText"/>
        <w:rPr>
          <w:color w:val="000000" w:themeColor="text1"/>
          <w:lang w:val="fr-FR"/>
        </w:rPr>
      </w:pPr>
      <w:r>
        <w:rPr>
          <w:color w:val="000000" w:themeColor="text1"/>
          <w:lang w:val="fr-FR"/>
        </w:rPr>
        <w:t>Pour autant, c</w:t>
      </w:r>
      <w:r w:rsidR="009E5FDB">
        <w:rPr>
          <w:color w:val="000000" w:themeColor="text1"/>
          <w:lang w:val="fr-FR"/>
        </w:rPr>
        <w:t xml:space="preserve">ette interdépendance des </w:t>
      </w:r>
      <w:r>
        <w:rPr>
          <w:color w:val="000000" w:themeColor="text1"/>
          <w:lang w:val="fr-FR"/>
        </w:rPr>
        <w:t xml:space="preserve">différents </w:t>
      </w:r>
      <w:r w:rsidR="009E5FDB">
        <w:rPr>
          <w:color w:val="000000" w:themeColor="text1"/>
          <w:lang w:val="fr-FR"/>
        </w:rPr>
        <w:t xml:space="preserve">acteurs ne débouche pas de façon automatique sur un marché du travail plus efficace. L’absence d’échange et de coordination à propos des besoins en formation, le financement insuffisant des mesures de </w:t>
      </w:r>
      <w:r w:rsidR="0068294B">
        <w:rPr>
          <w:color w:val="000000" w:themeColor="text1"/>
          <w:lang w:val="fr-FR"/>
        </w:rPr>
        <w:t>développement des compétences</w:t>
      </w:r>
      <w:r w:rsidR="009E5FDB">
        <w:rPr>
          <w:color w:val="000000" w:themeColor="text1"/>
          <w:lang w:val="fr-FR"/>
        </w:rPr>
        <w:t xml:space="preserve"> et l’absence de reconnaissance des certifications expliquent le manque de qualification</w:t>
      </w:r>
      <w:r>
        <w:rPr>
          <w:color w:val="000000" w:themeColor="text1"/>
          <w:lang w:val="fr-FR"/>
        </w:rPr>
        <w:t>s</w:t>
      </w:r>
      <w:r w:rsidR="009E5FDB">
        <w:rPr>
          <w:color w:val="000000" w:themeColor="text1"/>
          <w:lang w:val="fr-FR"/>
        </w:rPr>
        <w:t xml:space="preserve"> </w:t>
      </w:r>
      <w:r>
        <w:rPr>
          <w:color w:val="000000" w:themeColor="text1"/>
          <w:lang w:val="fr-FR"/>
        </w:rPr>
        <w:t>appropriées</w:t>
      </w:r>
      <w:r w:rsidR="009E5FDB">
        <w:rPr>
          <w:color w:val="000000" w:themeColor="text1"/>
          <w:lang w:val="fr-FR"/>
        </w:rPr>
        <w:t xml:space="preserve"> et l’insuffisance de l’offre de formation dans les économies sub-sahariennes.</w:t>
      </w:r>
    </w:p>
    <w:p w14:paraId="653EDBA7" w14:textId="1FC56949" w:rsidR="007D4EC4" w:rsidRPr="006F4D4F" w:rsidRDefault="009E5FDB" w:rsidP="007D4EC4">
      <w:pPr>
        <w:pStyle w:val="BTCBodyText"/>
        <w:rPr>
          <w:color w:val="000000" w:themeColor="text1"/>
          <w:lang w:val="fr-FR"/>
        </w:rPr>
      </w:pPr>
      <w:r>
        <w:rPr>
          <w:color w:val="000000" w:themeColor="text1"/>
          <w:lang w:val="fr-FR"/>
        </w:rPr>
        <w:t xml:space="preserve">La présente action se propose de combler certaines de ces défaillances du marché du travail </w:t>
      </w:r>
      <w:r w:rsidR="00A57A05">
        <w:rPr>
          <w:color w:val="000000" w:themeColor="text1"/>
          <w:lang w:val="fr-FR"/>
        </w:rPr>
        <w:t xml:space="preserve">en matière de </w:t>
      </w:r>
      <w:r>
        <w:rPr>
          <w:color w:val="000000" w:themeColor="text1"/>
          <w:lang w:val="fr-FR"/>
        </w:rPr>
        <w:t xml:space="preserve">renforcement et </w:t>
      </w:r>
      <w:r w:rsidR="00A57A05">
        <w:rPr>
          <w:color w:val="000000" w:themeColor="text1"/>
          <w:lang w:val="fr-FR"/>
        </w:rPr>
        <w:t xml:space="preserve">d’adaptation </w:t>
      </w:r>
      <w:r>
        <w:rPr>
          <w:color w:val="000000" w:themeColor="text1"/>
          <w:lang w:val="fr-FR"/>
        </w:rPr>
        <w:t xml:space="preserve">des compétences, </w:t>
      </w:r>
      <w:r w:rsidR="00C979C6">
        <w:rPr>
          <w:color w:val="000000" w:themeColor="text1"/>
          <w:lang w:val="fr-FR"/>
        </w:rPr>
        <w:t>imputables au</w:t>
      </w:r>
      <w:r w:rsidR="00A57A05">
        <w:rPr>
          <w:color w:val="000000" w:themeColor="text1"/>
          <w:lang w:val="fr-FR"/>
        </w:rPr>
        <w:t xml:space="preserve"> décalage </w:t>
      </w:r>
      <w:r w:rsidR="00C979C6">
        <w:rPr>
          <w:color w:val="000000" w:themeColor="text1"/>
          <w:lang w:val="fr-FR"/>
        </w:rPr>
        <w:t xml:space="preserve">qui existe </w:t>
      </w:r>
      <w:r w:rsidR="00A57A05">
        <w:rPr>
          <w:color w:val="000000" w:themeColor="text1"/>
          <w:lang w:val="fr-FR"/>
        </w:rPr>
        <w:t xml:space="preserve">entre l’offre et la demande. Les entreprises ne sont pas suffisamment impliquées dans le développement des compétences à l’école pour pouvoir s’assurer que l’offre de compétences est axée sur la demande. </w:t>
      </w:r>
      <w:r w:rsidR="00D92699">
        <w:rPr>
          <w:color w:val="000000" w:themeColor="text1"/>
          <w:lang w:val="fr-FR"/>
        </w:rPr>
        <w:t>Côté offre</w:t>
      </w:r>
      <w:r w:rsidR="00A57A05">
        <w:rPr>
          <w:color w:val="000000" w:themeColor="text1"/>
          <w:lang w:val="fr-FR"/>
        </w:rPr>
        <w:t xml:space="preserve">, les écoles ne s’engagent pas suffisamment aux côtés du secteur privé pour préparer leurs élèves de façon adéquate au monde du travail, décourageant aussi bien les employeurs que les diplômés / </w:t>
      </w:r>
      <w:r w:rsidR="00FE797F">
        <w:rPr>
          <w:color w:val="000000" w:themeColor="text1"/>
          <w:lang w:val="fr-FR"/>
        </w:rPr>
        <w:t>demandeurs d’emploi</w:t>
      </w:r>
      <w:r w:rsidR="00A57A05">
        <w:rPr>
          <w:color w:val="000000" w:themeColor="text1"/>
          <w:lang w:val="fr-FR"/>
        </w:rPr>
        <w:t>.</w:t>
      </w:r>
    </w:p>
    <w:p w14:paraId="189B0A3B" w14:textId="7A602F86" w:rsidR="00B63059" w:rsidRPr="006F4D4F" w:rsidRDefault="00BE600D" w:rsidP="00B63059">
      <w:pPr>
        <w:pStyle w:val="BTCBodyText"/>
        <w:rPr>
          <w:color w:val="000000" w:themeColor="text1"/>
          <w:lang w:val="fr-FR"/>
        </w:rPr>
      </w:pPr>
      <w:r>
        <w:rPr>
          <w:color w:val="000000" w:themeColor="text1"/>
          <w:lang w:val="fr-FR"/>
        </w:rPr>
        <w:t xml:space="preserve">Les difficultés liées à des marchés du travail sous-performants sont aggravées en cas d’investissements extérieurs importants. Cette situation exige une forte capacité d’adaptation, une réaction rapide de l’État et des entreprises locales et la capacité de former les prestataires pour </w:t>
      </w:r>
      <w:r w:rsidR="00DD6BB6">
        <w:rPr>
          <w:color w:val="000000" w:themeColor="text1"/>
          <w:lang w:val="fr-FR"/>
        </w:rPr>
        <w:t xml:space="preserve">en améliorer le niveau de façon radicale. La pression exercée sur tous les acteurs pour qu’ils jouent leur rôle dans le processus de changement est très forte, la non-réalisation des objectifs fixés pouvant signifier la perte du potentiel de création d’emplois locaux. C’est avec la volonté d’optimiser le potentiel de création d’emplois locaux et d’ajout de valeur </w:t>
      </w:r>
      <w:r w:rsidR="00D92699">
        <w:rPr>
          <w:color w:val="000000" w:themeColor="text1"/>
          <w:lang w:val="fr-FR"/>
        </w:rPr>
        <w:t xml:space="preserve">en encourageant </w:t>
      </w:r>
      <w:r w:rsidR="00DD6BB6">
        <w:rPr>
          <w:color w:val="000000" w:themeColor="text1"/>
          <w:lang w:val="fr-FR"/>
        </w:rPr>
        <w:t>la participation des entreprises locales que l’action se propose de choisir ses domaines d’intervention.</w:t>
      </w:r>
    </w:p>
    <w:p w14:paraId="4BC361C8" w14:textId="3CE0BE59" w:rsidR="007D4EC4" w:rsidRPr="006F4D4F" w:rsidRDefault="00DD6BB6" w:rsidP="007D4EC4">
      <w:pPr>
        <w:pStyle w:val="BTCBodyText"/>
        <w:rPr>
          <w:color w:val="000000" w:themeColor="text1"/>
          <w:lang w:val="fr-FR"/>
        </w:rPr>
      </w:pPr>
      <w:r>
        <w:rPr>
          <w:color w:val="000000" w:themeColor="text1"/>
          <w:lang w:val="fr-FR"/>
        </w:rPr>
        <w:t>En accord avec le PIE de l’Union européenne, l’action favorisera les partenariats réunissant les investisseurs privés, les entreprises locales, les prestataires de formation et les acteurs publics</w:t>
      </w:r>
      <w:r w:rsidR="00D92699">
        <w:rPr>
          <w:color w:val="000000" w:themeColor="text1"/>
          <w:lang w:val="fr-FR"/>
        </w:rPr>
        <w:t>. Ces partenariats auront pour tâche d’</w:t>
      </w:r>
      <w:r>
        <w:rPr>
          <w:color w:val="000000" w:themeColor="text1"/>
          <w:lang w:val="fr-FR"/>
        </w:rPr>
        <w:t xml:space="preserve">élaborer des solutions évolutives </w:t>
      </w:r>
      <w:r w:rsidR="00D92699">
        <w:rPr>
          <w:color w:val="000000" w:themeColor="text1"/>
          <w:lang w:val="fr-FR"/>
        </w:rPr>
        <w:t xml:space="preserve">capables de favoriser </w:t>
      </w:r>
      <w:r>
        <w:rPr>
          <w:color w:val="000000" w:themeColor="text1"/>
          <w:lang w:val="fr-FR"/>
        </w:rPr>
        <w:t>des marchés du travail efficaces et une croissance économique et sociale inclusive. L’intervention vise à nouer des « partenariats pour l’emploi »</w:t>
      </w:r>
      <w:r w:rsidR="00D92699">
        <w:rPr>
          <w:color w:val="000000" w:themeColor="text1"/>
          <w:lang w:val="fr-FR"/>
        </w:rPr>
        <w:t xml:space="preserve"> où</w:t>
      </w:r>
      <w:r>
        <w:rPr>
          <w:color w:val="000000" w:themeColor="text1"/>
          <w:lang w:val="fr-FR"/>
        </w:rPr>
        <w:t xml:space="preserve"> les investisseurs internationaux et locaux </w:t>
      </w:r>
      <w:r w:rsidR="00636DB9">
        <w:rPr>
          <w:color w:val="000000" w:themeColor="text1"/>
          <w:lang w:val="fr-FR"/>
        </w:rPr>
        <w:t>perçoivent</w:t>
      </w:r>
      <w:r w:rsidR="00D92699">
        <w:rPr>
          <w:color w:val="000000" w:themeColor="text1"/>
          <w:lang w:val="fr-FR"/>
        </w:rPr>
        <w:t xml:space="preserve"> </w:t>
      </w:r>
      <w:r>
        <w:rPr>
          <w:color w:val="000000" w:themeColor="text1"/>
          <w:lang w:val="fr-FR"/>
        </w:rPr>
        <w:t>des opportunités pour employer des travailleurs locaux qualifiés et obtenir des marchandises et services locaux.</w:t>
      </w:r>
    </w:p>
    <w:p w14:paraId="053D1D25" w14:textId="289B7A2B" w:rsidR="00477920" w:rsidRPr="006F4D4F" w:rsidRDefault="00444CBB" w:rsidP="007D4EC4">
      <w:pPr>
        <w:pStyle w:val="BTCBodyText"/>
        <w:rPr>
          <w:color w:val="000000" w:themeColor="text1"/>
          <w:lang w:val="fr-FR"/>
        </w:rPr>
      </w:pPr>
      <w:r>
        <w:rPr>
          <w:color w:val="000000" w:themeColor="text1"/>
          <w:lang w:val="fr-FR"/>
        </w:rPr>
        <w:t xml:space="preserve">L’action repose sur l’hypothèse essentielle que les </w:t>
      </w:r>
      <w:r>
        <w:rPr>
          <w:b/>
          <w:bCs/>
          <w:color w:val="000000" w:themeColor="text1"/>
          <w:lang w:val="fr-FR"/>
        </w:rPr>
        <w:t>marchés du travail dans les pays cibles ne possèdent pas le niveau d’information</w:t>
      </w:r>
      <w:r w:rsidR="00D92699">
        <w:rPr>
          <w:b/>
          <w:bCs/>
          <w:color w:val="000000" w:themeColor="text1"/>
          <w:lang w:val="fr-FR"/>
        </w:rPr>
        <w:t>,</w:t>
      </w:r>
      <w:r>
        <w:rPr>
          <w:b/>
          <w:bCs/>
          <w:color w:val="000000" w:themeColor="text1"/>
          <w:lang w:val="fr-FR"/>
        </w:rPr>
        <w:t xml:space="preserve"> les mécanismes d’échange </w:t>
      </w:r>
      <w:r w:rsidR="00D92699" w:rsidRPr="00D92699">
        <w:rPr>
          <w:b/>
          <w:bCs/>
          <w:color w:val="000000" w:themeColor="text1"/>
          <w:lang w:val="fr-FR"/>
        </w:rPr>
        <w:t xml:space="preserve">et d’intégration </w:t>
      </w:r>
      <w:r>
        <w:rPr>
          <w:b/>
          <w:bCs/>
          <w:color w:val="000000" w:themeColor="text1"/>
          <w:lang w:val="fr-FR"/>
        </w:rPr>
        <w:t xml:space="preserve">et les capacités de formation nécessaires </w:t>
      </w:r>
      <w:r>
        <w:rPr>
          <w:color w:val="000000" w:themeColor="text1"/>
          <w:lang w:val="fr-FR"/>
        </w:rPr>
        <w:t>pour fonctionner de façon satisfa</w:t>
      </w:r>
      <w:r w:rsidR="00636DB9">
        <w:rPr>
          <w:color w:val="000000" w:themeColor="text1"/>
          <w:lang w:val="fr-FR"/>
        </w:rPr>
        <w:t>isa</w:t>
      </w:r>
      <w:r>
        <w:rPr>
          <w:color w:val="000000" w:themeColor="text1"/>
          <w:lang w:val="fr-FR"/>
        </w:rPr>
        <w:t>nte, dans le contexte des investissements importants notamment. Ces déficits sont source de d</w:t>
      </w:r>
      <w:r w:rsidR="00CF1D69">
        <w:rPr>
          <w:color w:val="000000" w:themeColor="text1"/>
          <w:lang w:val="fr-FR"/>
        </w:rPr>
        <w:t>ifférents disfo</w:t>
      </w:r>
      <w:r>
        <w:rPr>
          <w:color w:val="000000" w:themeColor="text1"/>
          <w:lang w:val="fr-FR"/>
        </w:rPr>
        <w:t>nctionnements :</w:t>
      </w:r>
      <w:r w:rsidR="00CF1D69">
        <w:rPr>
          <w:color w:val="000000" w:themeColor="text1"/>
          <w:lang w:val="fr-FR"/>
        </w:rPr>
        <w:t xml:space="preserve"> l’offre de formation est souvent traditionnelle par sa forme ou par son contenu, les prestataires de formation ne sont pas systématiquement informés, soit par l’État, soit par le secteur privé, des demandes actuelles ou futures du marché du travail et les normes professionnelles nationales sont généralement peu contraignantes et ne correspondent pas aux normes internationales. Côté demande, les employeurs doivent assurer une formation continue importante, qu’ils engagent du personnel qualifié ou non qualifié. L’État se focalise généralement sur son rôle</w:t>
      </w:r>
      <w:r w:rsidR="005D3630">
        <w:rPr>
          <w:color w:val="000000" w:themeColor="text1"/>
          <w:lang w:val="fr-FR"/>
        </w:rPr>
        <w:t xml:space="preserve">, consistant à fournir </w:t>
      </w:r>
      <w:r w:rsidR="00CF1D69">
        <w:rPr>
          <w:color w:val="000000" w:themeColor="text1"/>
          <w:lang w:val="fr-FR"/>
        </w:rPr>
        <w:t>l’infrastructure d’enseignement (dont le personnel enseignant et les écoles), à définir les normes professionnelles et à exercer l’autorité de certification des élèves. Bien souvent, il n’existe aucun format d’échan</w:t>
      </w:r>
      <w:r w:rsidR="005D3630">
        <w:rPr>
          <w:color w:val="000000" w:themeColor="text1"/>
          <w:lang w:val="fr-FR"/>
        </w:rPr>
        <w:t>g</w:t>
      </w:r>
      <w:r w:rsidR="00CF1D69">
        <w:rPr>
          <w:color w:val="000000" w:themeColor="text1"/>
          <w:lang w:val="fr-FR"/>
        </w:rPr>
        <w:t>e systématique entre ces acteurs, ni au niveau local, ni encore moins au niveau national.</w:t>
      </w:r>
      <w:r w:rsidR="00A5335A" w:rsidRPr="006F4D4F">
        <w:rPr>
          <w:color w:val="000000" w:themeColor="text1"/>
          <w:lang w:val="fr-FR"/>
        </w:rPr>
        <w:t xml:space="preserve"> </w:t>
      </w:r>
    </w:p>
    <w:p w14:paraId="30AFFCE4" w14:textId="19B7192A" w:rsidR="00B231F8" w:rsidRPr="006F4D4F" w:rsidRDefault="00CF1D69" w:rsidP="007D4EC4">
      <w:pPr>
        <w:pStyle w:val="BTCBodyText"/>
        <w:rPr>
          <w:color w:val="000000" w:themeColor="text1"/>
          <w:lang w:val="fr-FR"/>
        </w:rPr>
      </w:pPr>
      <w:r>
        <w:rPr>
          <w:color w:val="000000" w:themeColor="text1"/>
          <w:lang w:val="fr-FR"/>
        </w:rPr>
        <w:t xml:space="preserve">Si l’action, certes, </w:t>
      </w:r>
      <w:r w:rsidR="005D3630">
        <w:rPr>
          <w:color w:val="000000" w:themeColor="text1"/>
          <w:lang w:val="fr-FR"/>
        </w:rPr>
        <w:t xml:space="preserve">ne possède ni </w:t>
      </w:r>
      <w:r>
        <w:rPr>
          <w:color w:val="000000" w:themeColor="text1"/>
          <w:lang w:val="fr-FR"/>
        </w:rPr>
        <w:t xml:space="preserve">les fonds ni l’ambition de réformer les systèmes </w:t>
      </w:r>
      <w:r w:rsidR="005D3630">
        <w:rPr>
          <w:color w:val="000000" w:themeColor="text1"/>
          <w:lang w:val="fr-FR"/>
        </w:rPr>
        <w:t>EFTP</w:t>
      </w:r>
      <w:r>
        <w:rPr>
          <w:color w:val="000000" w:themeColor="text1"/>
          <w:lang w:val="fr-FR"/>
        </w:rPr>
        <w:t xml:space="preserve"> nationaux </w:t>
      </w:r>
      <w:r w:rsidR="005D3630">
        <w:rPr>
          <w:color w:val="000000" w:themeColor="text1"/>
          <w:lang w:val="fr-FR"/>
        </w:rPr>
        <w:t>de fond en comble</w:t>
      </w:r>
      <w:r>
        <w:rPr>
          <w:color w:val="000000" w:themeColor="text1"/>
          <w:lang w:val="fr-FR"/>
        </w:rPr>
        <w:t>, elle se propose cependant de créer des « modèles »</w:t>
      </w:r>
      <w:r w:rsidR="004D466F">
        <w:rPr>
          <w:color w:val="000000" w:themeColor="text1"/>
          <w:lang w:val="fr-FR"/>
        </w:rPr>
        <w:t xml:space="preserve"> offrant des </w:t>
      </w:r>
      <w:r w:rsidR="005D3630">
        <w:rPr>
          <w:color w:val="000000" w:themeColor="text1"/>
          <w:lang w:val="fr-FR"/>
        </w:rPr>
        <w:t xml:space="preserve">exemples de </w:t>
      </w:r>
      <w:r w:rsidR="004D466F">
        <w:rPr>
          <w:color w:val="000000" w:themeColor="text1"/>
          <w:lang w:val="fr-FR"/>
        </w:rPr>
        <w:t>solutions à des difficultés particulières. Dans le cadre de la mise en œuvre, la nature pédagogique de ces modèles recevra une attention toute particulière.</w:t>
      </w:r>
      <w:r w:rsidR="00B05C19" w:rsidRPr="006F4D4F">
        <w:rPr>
          <w:color w:val="000000" w:themeColor="text1"/>
          <w:lang w:val="fr-FR"/>
        </w:rPr>
        <w:t xml:space="preserve"> </w:t>
      </w:r>
    </w:p>
    <w:p w14:paraId="4B27F003" w14:textId="37AA9257" w:rsidR="0003198A" w:rsidRPr="006F4D4F" w:rsidRDefault="004D466F" w:rsidP="007D4EC4">
      <w:pPr>
        <w:pStyle w:val="BTCBodyText"/>
        <w:rPr>
          <w:color w:val="000000" w:themeColor="text1"/>
          <w:lang w:val="fr-FR"/>
        </w:rPr>
      </w:pPr>
      <w:r>
        <w:rPr>
          <w:color w:val="000000" w:themeColor="text1"/>
          <w:lang w:val="fr-FR"/>
        </w:rPr>
        <w:t xml:space="preserve">L’action offre trois domaines d’intervention pour sa mise en œuvre, correspondant chacun à un résultat. </w:t>
      </w:r>
      <w:r w:rsidR="005D3630">
        <w:rPr>
          <w:color w:val="000000" w:themeColor="text1"/>
          <w:lang w:val="fr-FR"/>
        </w:rPr>
        <w:t>C</w:t>
      </w:r>
      <w:r>
        <w:rPr>
          <w:color w:val="000000" w:themeColor="text1"/>
          <w:lang w:val="fr-FR"/>
        </w:rPr>
        <w:t>hacun de ces domaines d’intervention</w:t>
      </w:r>
      <w:r w:rsidR="005D3630">
        <w:rPr>
          <w:color w:val="000000" w:themeColor="text1"/>
          <w:lang w:val="fr-FR"/>
        </w:rPr>
        <w:t xml:space="preserve"> comporte </w:t>
      </w:r>
      <w:r>
        <w:rPr>
          <w:color w:val="000000" w:themeColor="text1"/>
          <w:lang w:val="fr-FR"/>
        </w:rPr>
        <w:t>plusieurs points d’entrée pour l’action, où il est possible d’optimiser l’impact. Ces points seront détaillés plus loin et sont également illustrés dans l</w:t>
      </w:r>
      <w:r w:rsidR="005D3630">
        <w:rPr>
          <w:color w:val="000000" w:themeColor="text1"/>
          <w:lang w:val="fr-FR"/>
        </w:rPr>
        <w:t>’organigramme présenté</w:t>
      </w:r>
      <w:r>
        <w:rPr>
          <w:color w:val="000000" w:themeColor="text1"/>
          <w:lang w:val="fr-FR"/>
        </w:rPr>
        <w:t xml:space="preserve"> au point </w:t>
      </w:r>
      <w:r w:rsidR="00AF01D4" w:rsidRPr="006F4D4F">
        <w:rPr>
          <w:color w:val="000000" w:themeColor="text1"/>
          <w:lang w:val="fr-FR"/>
        </w:rPr>
        <w:t>1</w:t>
      </w:r>
      <w:r w:rsidR="00DA343D" w:rsidRPr="006F4D4F">
        <w:rPr>
          <w:color w:val="000000" w:themeColor="text1"/>
          <w:lang w:val="fr-FR"/>
        </w:rPr>
        <w:t>.</w:t>
      </w:r>
      <w:r w:rsidR="00AF01D4" w:rsidRPr="006F4D4F">
        <w:rPr>
          <w:color w:val="000000" w:themeColor="text1"/>
          <w:lang w:val="fr-FR"/>
        </w:rPr>
        <w:t>5</w:t>
      </w:r>
      <w:r w:rsidR="00DA343D" w:rsidRPr="006F4D4F">
        <w:rPr>
          <w:color w:val="000000" w:themeColor="text1"/>
          <w:lang w:val="fr-FR"/>
        </w:rPr>
        <w:t>.2</w:t>
      </w:r>
      <w:r w:rsidR="00477920" w:rsidRPr="006F4D4F">
        <w:rPr>
          <w:color w:val="000000" w:themeColor="text1"/>
          <w:lang w:val="fr-FR"/>
        </w:rPr>
        <w:t>.</w:t>
      </w:r>
    </w:p>
    <w:p w14:paraId="03B45409" w14:textId="1145B0E1" w:rsidR="0095524A" w:rsidRPr="006F4D4F" w:rsidRDefault="004D466F" w:rsidP="001D6523">
      <w:pPr>
        <w:spacing w:before="360" w:after="120"/>
        <w:jc w:val="both"/>
        <w:rPr>
          <w:color w:val="000000" w:themeColor="text1"/>
          <w:sz w:val="22"/>
          <w:u w:val="single"/>
          <w:lang w:val="fr-FR"/>
        </w:rPr>
      </w:pPr>
      <w:r>
        <w:rPr>
          <w:color w:val="000000" w:themeColor="text1"/>
          <w:sz w:val="22"/>
          <w:u w:val="single"/>
          <w:lang w:val="fr-FR"/>
        </w:rPr>
        <w:t>Domaine d’in</w:t>
      </w:r>
      <w:r w:rsidR="0095524A" w:rsidRPr="006F4D4F">
        <w:rPr>
          <w:color w:val="000000" w:themeColor="text1"/>
          <w:sz w:val="22"/>
          <w:u w:val="single"/>
          <w:lang w:val="fr-FR"/>
        </w:rPr>
        <w:t xml:space="preserve">tervention 1 – </w:t>
      </w:r>
      <w:r>
        <w:rPr>
          <w:color w:val="000000" w:themeColor="text1"/>
          <w:sz w:val="22"/>
          <w:u w:val="single"/>
          <w:lang w:val="fr-FR"/>
        </w:rPr>
        <w:t xml:space="preserve">Partenariats pour l’emploi par un dialogue </w:t>
      </w:r>
      <w:r w:rsidR="005D3630">
        <w:rPr>
          <w:color w:val="000000" w:themeColor="text1"/>
          <w:sz w:val="22"/>
          <w:u w:val="single"/>
          <w:lang w:val="fr-FR"/>
        </w:rPr>
        <w:t>accru</w:t>
      </w:r>
      <w:r w:rsidR="0095524A" w:rsidRPr="006F4D4F">
        <w:rPr>
          <w:color w:val="000000" w:themeColor="text1"/>
          <w:sz w:val="22"/>
          <w:u w:val="single"/>
          <w:lang w:val="fr-FR"/>
        </w:rPr>
        <w:t xml:space="preserve"> </w:t>
      </w:r>
    </w:p>
    <w:p w14:paraId="380881E9" w14:textId="10975B3C" w:rsidR="0095524A" w:rsidRPr="006F4D4F" w:rsidRDefault="004D466F" w:rsidP="00B15AA2">
      <w:pPr>
        <w:pStyle w:val="BTCBodyText"/>
        <w:rPr>
          <w:color w:val="000000" w:themeColor="text1"/>
          <w:lang w:val="fr-FR"/>
        </w:rPr>
      </w:pPr>
      <w:r>
        <w:rPr>
          <w:color w:val="000000" w:themeColor="text1"/>
          <w:lang w:val="fr-FR"/>
        </w:rPr>
        <w:t>Le domaine d’</w:t>
      </w:r>
      <w:r w:rsidR="00342BC3" w:rsidRPr="006F4D4F">
        <w:rPr>
          <w:color w:val="000000" w:themeColor="text1"/>
          <w:lang w:val="fr-FR"/>
        </w:rPr>
        <w:t xml:space="preserve">intervention 1 </w:t>
      </w:r>
      <w:r>
        <w:rPr>
          <w:color w:val="000000" w:themeColor="text1"/>
          <w:lang w:val="fr-FR"/>
        </w:rPr>
        <w:t xml:space="preserve">se propose de renforcer le dialogue entre les employeurs, l’État et les prestataires de formation. Il aspire à contribuer à </w:t>
      </w:r>
      <w:r w:rsidR="005D3630">
        <w:rPr>
          <w:color w:val="000000" w:themeColor="text1"/>
          <w:lang w:val="fr-FR"/>
        </w:rPr>
        <w:t xml:space="preserve">faire évoluer les </w:t>
      </w:r>
      <w:r>
        <w:rPr>
          <w:color w:val="000000" w:themeColor="text1"/>
          <w:lang w:val="fr-FR"/>
        </w:rPr>
        <w:t xml:space="preserve">mentalités, </w:t>
      </w:r>
      <w:r w:rsidR="005D3630">
        <w:rPr>
          <w:color w:val="000000" w:themeColor="text1"/>
          <w:lang w:val="fr-FR"/>
        </w:rPr>
        <w:t xml:space="preserve">pour aboutir </w:t>
      </w:r>
      <w:r>
        <w:rPr>
          <w:color w:val="000000" w:themeColor="text1"/>
          <w:lang w:val="fr-FR"/>
        </w:rPr>
        <w:t xml:space="preserve">à une vision mieux partagée du développement du capital humain dans le contexte de l’investissement. Ce dialogue offre une base nécessaire à un marché du travail fonctionnel et inclura des forums d’échange personnel, des formats public-privé institutionnalisés et des partenariats pour l’emploi parmi les grandes parties prenantes que l’action aura identifiées. </w:t>
      </w:r>
      <w:r w:rsidR="005752CB">
        <w:rPr>
          <w:color w:val="000000" w:themeColor="text1"/>
          <w:lang w:val="fr-FR"/>
        </w:rPr>
        <w:t>Ce domaine d’intervention offre un fort potentiel de synergies avec les plateformes de dialogue existantes, comme les tables rondes du secteur d’activité, les conseils sectoriels des compétences ou les autres forums déjà en place. Lorsque ces formats existent et qu’il est possible d’y avoir recours pour favoriser le dialogue entre toutes les parties prenantes, l’action s’appuiera sur les structures et plateformes déjà en place. Un échange et une collaboration actifs avec l’action de l’Union européenne « Dispositif d’aide technique (DAT) » du volet climat de l’investissement PIE seront recherchés pour donner à l’action davantage d’impact</w:t>
      </w:r>
      <w:r w:rsidR="005752CB" w:rsidRPr="005752CB">
        <w:rPr>
          <w:color w:val="000000" w:themeColor="text1"/>
          <w:lang w:val="fr-FR"/>
        </w:rPr>
        <w:t xml:space="preserve"> </w:t>
      </w:r>
      <w:r w:rsidR="005752CB">
        <w:rPr>
          <w:color w:val="000000" w:themeColor="text1"/>
          <w:lang w:val="fr-FR"/>
        </w:rPr>
        <w:t>s’il y a lieu.</w:t>
      </w:r>
    </w:p>
    <w:p w14:paraId="1B5414DC" w14:textId="1E0F2A12" w:rsidR="000B474A" w:rsidRPr="000A20C5" w:rsidRDefault="005752CB" w:rsidP="00B15AA2">
      <w:pPr>
        <w:pStyle w:val="BTCBodyText"/>
        <w:rPr>
          <w:color w:val="000000" w:themeColor="text1"/>
          <w:lang w:val="fr-FR"/>
        </w:rPr>
      </w:pPr>
      <w:r>
        <w:rPr>
          <w:color w:val="000000" w:themeColor="text1"/>
          <w:lang w:val="fr-FR"/>
        </w:rPr>
        <w:t>Les efforts déployés dans le cadre de ce domaine d’intervention 1 amélioreront l</w:t>
      </w:r>
      <w:r w:rsidR="00CB4C43">
        <w:rPr>
          <w:color w:val="000000" w:themeColor="text1"/>
          <w:lang w:val="fr-FR"/>
        </w:rPr>
        <w:t>a perception du marché</w:t>
      </w:r>
      <w:r w:rsidR="009D0F11">
        <w:rPr>
          <w:color w:val="000000" w:themeColor="text1"/>
          <w:lang w:val="fr-FR"/>
        </w:rPr>
        <w:t>. Ils permettront de mieux faire connaître</w:t>
      </w:r>
      <w:r w:rsidR="00CB4C43">
        <w:rPr>
          <w:color w:val="000000" w:themeColor="text1"/>
          <w:lang w:val="fr-FR"/>
        </w:rPr>
        <w:t xml:space="preserve"> les grandes contraintes </w:t>
      </w:r>
      <w:r w:rsidR="005D3630">
        <w:rPr>
          <w:color w:val="000000" w:themeColor="text1"/>
          <w:lang w:val="fr-FR"/>
        </w:rPr>
        <w:t xml:space="preserve">qui pèsent sur les </w:t>
      </w:r>
      <w:r w:rsidR="00CB4C43">
        <w:rPr>
          <w:color w:val="000000" w:themeColor="text1"/>
          <w:lang w:val="fr-FR"/>
        </w:rPr>
        <w:t xml:space="preserve">investissements du secteur privé </w:t>
      </w:r>
      <w:r w:rsidR="009D0F11">
        <w:rPr>
          <w:color w:val="000000" w:themeColor="text1"/>
          <w:lang w:val="fr-FR"/>
        </w:rPr>
        <w:t xml:space="preserve">en matière de capital humain </w:t>
      </w:r>
      <w:r w:rsidR="00CB4C43">
        <w:rPr>
          <w:color w:val="000000" w:themeColor="text1"/>
          <w:lang w:val="fr-FR"/>
        </w:rPr>
        <w:t xml:space="preserve">et </w:t>
      </w:r>
      <w:r w:rsidR="009D0F11">
        <w:rPr>
          <w:color w:val="000000" w:themeColor="text1"/>
          <w:lang w:val="fr-FR"/>
        </w:rPr>
        <w:t xml:space="preserve">d’élaborer des </w:t>
      </w:r>
      <w:r w:rsidR="00CB4C43">
        <w:rPr>
          <w:color w:val="000000" w:themeColor="text1"/>
          <w:lang w:val="fr-FR"/>
        </w:rPr>
        <w:t xml:space="preserve">actions et initiatives plus efficientes et efficaces, tout en donnant aux principaux acteurs locaux les moyens d’œuvrer en réseau et de mettre en œuvre des projets communs avec une plus grande efficacité. Par ailleurs, ils amélioreront le </w:t>
      </w:r>
      <w:r w:rsidR="0068294B">
        <w:rPr>
          <w:color w:val="000000" w:themeColor="text1"/>
          <w:lang w:val="fr-FR"/>
        </w:rPr>
        <w:t>développement des compétences</w:t>
      </w:r>
      <w:r w:rsidR="00CB4C43">
        <w:rPr>
          <w:color w:val="000000" w:themeColor="text1"/>
          <w:lang w:val="fr-FR"/>
        </w:rPr>
        <w:t xml:space="preserve"> adaptées à l’emploi pour les individus et les entreprises locales en soutenant le dialogue entre les employeurs du secteur privé, les syndicats, les associations, les </w:t>
      </w:r>
      <w:r w:rsidR="009D0F11">
        <w:rPr>
          <w:color w:val="000000" w:themeColor="text1"/>
          <w:lang w:val="fr-FR"/>
        </w:rPr>
        <w:t>établissements</w:t>
      </w:r>
      <w:r w:rsidR="00CB4C43">
        <w:rPr>
          <w:color w:val="000000" w:themeColor="text1"/>
          <w:lang w:val="fr-FR"/>
        </w:rPr>
        <w:t xml:space="preserve"> de formation professionnelle et les autorités en charge de l’enseignement et la formation professionnels. Ils s’appuieront sur les leçons apprises pour enrichir les débats nationaux, clarifiant ainsi les rôles et responsabilités sur </w:t>
      </w:r>
      <w:r w:rsidR="00CB4C43" w:rsidRPr="000A20C5">
        <w:rPr>
          <w:color w:val="000000" w:themeColor="text1"/>
          <w:lang w:val="fr-FR"/>
        </w:rPr>
        <w:t>le marché du travail.</w:t>
      </w:r>
    </w:p>
    <w:p w14:paraId="756B9DE9" w14:textId="0BF6CE44" w:rsidR="00114BEE" w:rsidRPr="006F4D4F" w:rsidRDefault="00CB4C43" w:rsidP="009D0F11">
      <w:pPr>
        <w:spacing w:after="120" w:line="276" w:lineRule="auto"/>
        <w:jc w:val="both"/>
        <w:rPr>
          <w:color w:val="000000" w:themeColor="text1"/>
          <w:lang w:val="fr-FR"/>
        </w:rPr>
      </w:pPr>
      <w:bookmarkStart w:id="83" w:name="_Hlk45115753"/>
      <w:r w:rsidRPr="000A20C5">
        <w:rPr>
          <w:color w:val="000000" w:themeColor="text1"/>
          <w:lang w:val="fr-FR"/>
        </w:rPr>
        <w:t>Principales réalisations dans le</w:t>
      </w:r>
      <w:r>
        <w:rPr>
          <w:color w:val="000000" w:themeColor="text1"/>
          <w:lang w:val="fr-FR"/>
        </w:rPr>
        <w:t xml:space="preserve"> cadre du domaine d’intervention 1 :</w:t>
      </w:r>
    </w:p>
    <w:p w14:paraId="533695B2" w14:textId="7D4989AA" w:rsidR="00114BEE" w:rsidRPr="006F4D4F" w:rsidRDefault="009D0F11" w:rsidP="009D0F11">
      <w:pPr>
        <w:pStyle w:val="Paragraphedeliste"/>
        <w:numPr>
          <w:ilvl w:val="0"/>
          <w:numId w:val="12"/>
        </w:numPr>
        <w:spacing w:after="80" w:line="276" w:lineRule="auto"/>
        <w:ind w:left="714" w:hanging="357"/>
        <w:contextualSpacing w:val="0"/>
        <w:jc w:val="both"/>
        <w:rPr>
          <w:color w:val="000000" w:themeColor="text1"/>
          <w:lang w:val="fr-FR"/>
        </w:rPr>
      </w:pPr>
      <w:r>
        <w:rPr>
          <w:color w:val="000000" w:themeColor="text1"/>
          <w:lang w:val="fr-FR"/>
        </w:rPr>
        <w:t>Renforcement</w:t>
      </w:r>
      <w:r w:rsidR="00B873BE">
        <w:rPr>
          <w:color w:val="000000" w:themeColor="text1"/>
          <w:lang w:val="fr-FR"/>
        </w:rPr>
        <w:t xml:space="preserve"> des mécanismes existants pour le dialogue public-privé sur le </w:t>
      </w:r>
      <w:r w:rsidR="0068294B">
        <w:rPr>
          <w:color w:val="000000" w:themeColor="text1"/>
          <w:lang w:val="fr-FR"/>
        </w:rPr>
        <w:t>développement des compétences</w:t>
      </w:r>
      <w:r w:rsidR="00B873BE">
        <w:rPr>
          <w:color w:val="000000" w:themeColor="text1"/>
          <w:lang w:val="fr-FR"/>
        </w:rPr>
        <w:t xml:space="preserve"> et l’enseignement et la formation professionnels </w:t>
      </w:r>
      <w:r>
        <w:rPr>
          <w:color w:val="000000" w:themeColor="text1"/>
          <w:lang w:val="fr-FR"/>
        </w:rPr>
        <w:t xml:space="preserve">adaptés à l’emploi </w:t>
      </w:r>
      <w:r w:rsidR="00B873BE">
        <w:rPr>
          <w:color w:val="000000" w:themeColor="text1"/>
          <w:lang w:val="fr-FR"/>
        </w:rPr>
        <w:t>(par exemple, tables rondes du secteur d’activité, conseils sectoriels des compétences, etc.).</w:t>
      </w:r>
    </w:p>
    <w:p w14:paraId="3D8CF959" w14:textId="58E1D71D" w:rsidR="00B87A54" w:rsidRPr="006F4D4F" w:rsidRDefault="00B873BE" w:rsidP="009D0F11">
      <w:pPr>
        <w:pStyle w:val="Paragraphedeliste"/>
        <w:numPr>
          <w:ilvl w:val="0"/>
          <w:numId w:val="12"/>
        </w:numPr>
        <w:spacing w:after="80" w:line="276" w:lineRule="auto"/>
        <w:ind w:left="714" w:hanging="357"/>
        <w:contextualSpacing w:val="0"/>
        <w:jc w:val="both"/>
        <w:rPr>
          <w:color w:val="000000" w:themeColor="text1"/>
          <w:lang w:val="fr-FR"/>
        </w:rPr>
      </w:pPr>
      <w:r>
        <w:rPr>
          <w:color w:val="000000" w:themeColor="text1"/>
          <w:lang w:val="fr-FR"/>
        </w:rPr>
        <w:t>Création facilitée de « partenariats pour l’emploi » avec les investisseurs, les employeurs locaux et les prestataires de formation.</w:t>
      </w:r>
      <w:r w:rsidR="00B87A54" w:rsidRPr="006F4D4F">
        <w:rPr>
          <w:color w:val="000000" w:themeColor="text1"/>
          <w:lang w:val="fr-FR"/>
        </w:rPr>
        <w:t xml:space="preserve"> </w:t>
      </w:r>
    </w:p>
    <w:p w14:paraId="352E3875" w14:textId="6352B87A" w:rsidR="00114BEE" w:rsidRPr="006F4D4F" w:rsidRDefault="00B873BE" w:rsidP="009D0F11">
      <w:pPr>
        <w:pStyle w:val="Paragraphedeliste"/>
        <w:numPr>
          <w:ilvl w:val="0"/>
          <w:numId w:val="12"/>
        </w:numPr>
        <w:spacing w:after="80" w:line="276" w:lineRule="auto"/>
        <w:ind w:left="714" w:hanging="357"/>
        <w:contextualSpacing w:val="0"/>
        <w:jc w:val="both"/>
        <w:rPr>
          <w:color w:val="000000" w:themeColor="text1"/>
          <w:lang w:val="fr-FR"/>
        </w:rPr>
      </w:pPr>
      <w:r>
        <w:rPr>
          <w:color w:val="000000" w:themeColor="text1"/>
          <w:lang w:val="fr-FR"/>
        </w:rPr>
        <w:t xml:space="preserve">Amélioration du </w:t>
      </w:r>
      <w:r w:rsidR="003E7312" w:rsidRPr="006F4D4F">
        <w:rPr>
          <w:color w:val="000000" w:themeColor="text1"/>
          <w:lang w:val="fr-FR"/>
        </w:rPr>
        <w:t xml:space="preserve">dialogue </w:t>
      </w:r>
      <w:r>
        <w:rPr>
          <w:color w:val="000000" w:themeColor="text1"/>
          <w:lang w:val="fr-FR"/>
        </w:rPr>
        <w:t xml:space="preserve">sur le </w:t>
      </w:r>
      <w:r w:rsidR="0068294B">
        <w:rPr>
          <w:color w:val="000000" w:themeColor="text1"/>
          <w:lang w:val="fr-FR"/>
        </w:rPr>
        <w:t>développement des compétences</w:t>
      </w:r>
      <w:r>
        <w:rPr>
          <w:color w:val="000000" w:themeColor="text1"/>
          <w:lang w:val="fr-FR"/>
        </w:rPr>
        <w:t xml:space="preserve"> et l’échange de connaissances sur l’emploi au niveau décentralisé, local et/ou sectoriel, promouvant, par exemple, les partenariats pour l’emploi entre les employeurs du secteur privé et les </w:t>
      </w:r>
      <w:r w:rsidR="009D0F11">
        <w:rPr>
          <w:color w:val="000000" w:themeColor="text1"/>
          <w:lang w:val="fr-FR"/>
        </w:rPr>
        <w:t xml:space="preserve">établissements </w:t>
      </w:r>
      <w:r>
        <w:rPr>
          <w:color w:val="000000" w:themeColor="text1"/>
          <w:lang w:val="fr-FR"/>
        </w:rPr>
        <w:t>de formation professionnelle.</w:t>
      </w:r>
    </w:p>
    <w:bookmarkEnd w:id="83"/>
    <w:p w14:paraId="16764F7D" w14:textId="1CC05A54" w:rsidR="0095524A" w:rsidRPr="006F4D4F" w:rsidRDefault="00B873BE" w:rsidP="009D0F11">
      <w:pPr>
        <w:spacing w:before="360" w:after="120" w:line="276" w:lineRule="auto"/>
        <w:jc w:val="both"/>
        <w:rPr>
          <w:color w:val="000000" w:themeColor="text1"/>
          <w:sz w:val="22"/>
          <w:u w:val="single"/>
          <w:lang w:val="fr-FR"/>
        </w:rPr>
      </w:pPr>
      <w:r>
        <w:rPr>
          <w:color w:val="000000" w:themeColor="text1"/>
          <w:sz w:val="22"/>
          <w:u w:val="single"/>
          <w:lang w:val="fr-FR"/>
        </w:rPr>
        <w:t xml:space="preserve">Domaine d’intervention </w:t>
      </w:r>
      <w:r w:rsidR="0095524A" w:rsidRPr="006F4D4F">
        <w:rPr>
          <w:color w:val="000000" w:themeColor="text1"/>
          <w:sz w:val="22"/>
          <w:u w:val="single"/>
          <w:lang w:val="fr-FR"/>
        </w:rPr>
        <w:t xml:space="preserve">2 – </w:t>
      </w:r>
      <w:r w:rsidR="009D0F11">
        <w:rPr>
          <w:color w:val="000000" w:themeColor="text1"/>
          <w:sz w:val="22"/>
          <w:u w:val="single"/>
          <w:lang w:val="fr-FR"/>
        </w:rPr>
        <w:t>Renforcement</w:t>
      </w:r>
      <w:r w:rsidR="00A1445A">
        <w:rPr>
          <w:color w:val="000000" w:themeColor="text1"/>
          <w:sz w:val="22"/>
          <w:u w:val="single"/>
          <w:lang w:val="fr-FR"/>
        </w:rPr>
        <w:t xml:space="preserve"> des capacités et formation pour </w:t>
      </w:r>
      <w:r w:rsidR="009D0F11">
        <w:rPr>
          <w:color w:val="000000" w:themeColor="text1"/>
          <w:sz w:val="22"/>
          <w:u w:val="single"/>
          <w:lang w:val="fr-FR"/>
        </w:rPr>
        <w:t xml:space="preserve">un développement </w:t>
      </w:r>
      <w:r w:rsidR="00A1445A">
        <w:rPr>
          <w:color w:val="000000" w:themeColor="text1"/>
          <w:sz w:val="22"/>
          <w:u w:val="single"/>
          <w:lang w:val="fr-FR"/>
        </w:rPr>
        <w:t>de</w:t>
      </w:r>
      <w:r w:rsidR="009D0F11">
        <w:rPr>
          <w:color w:val="000000" w:themeColor="text1"/>
          <w:sz w:val="22"/>
          <w:u w:val="single"/>
          <w:lang w:val="fr-FR"/>
        </w:rPr>
        <w:t>s</w:t>
      </w:r>
      <w:r w:rsidR="00A1445A">
        <w:rPr>
          <w:color w:val="000000" w:themeColor="text1"/>
          <w:sz w:val="22"/>
          <w:u w:val="single"/>
          <w:lang w:val="fr-FR"/>
        </w:rPr>
        <w:t xml:space="preserve"> compétences axé sur la demande et </w:t>
      </w:r>
      <w:r w:rsidR="009D0F11">
        <w:rPr>
          <w:color w:val="000000" w:themeColor="text1"/>
          <w:sz w:val="22"/>
          <w:u w:val="single"/>
          <w:lang w:val="fr-FR"/>
        </w:rPr>
        <w:t>s’adressant à tous</w:t>
      </w:r>
    </w:p>
    <w:p w14:paraId="53D43F2F" w14:textId="4C870801" w:rsidR="0095524A" w:rsidRPr="006F4D4F" w:rsidRDefault="00A1445A" w:rsidP="00474EDD">
      <w:pPr>
        <w:pStyle w:val="BTCBodyText"/>
        <w:rPr>
          <w:color w:val="000000" w:themeColor="text1"/>
          <w:lang w:val="fr-FR"/>
        </w:rPr>
      </w:pPr>
      <w:r>
        <w:rPr>
          <w:color w:val="000000" w:themeColor="text1"/>
          <w:lang w:val="fr-FR"/>
        </w:rPr>
        <w:t>Le domaine d’i</w:t>
      </w:r>
      <w:r w:rsidR="00B71BA5" w:rsidRPr="006F4D4F">
        <w:rPr>
          <w:color w:val="000000" w:themeColor="text1"/>
          <w:lang w:val="fr-FR"/>
        </w:rPr>
        <w:t>ntervention 2</w:t>
      </w:r>
      <w:r>
        <w:rPr>
          <w:color w:val="000000" w:themeColor="text1"/>
          <w:lang w:val="fr-FR"/>
        </w:rPr>
        <w:t xml:space="preserve"> est le cœur même de l’action. C’est aussi celui qui recevra la plupart des ressources en termes d’allocation budgétaire. Dans le cadre de ce domaine, l’action appuie le </w:t>
      </w:r>
      <w:r w:rsidR="009D0F11">
        <w:rPr>
          <w:color w:val="000000" w:themeColor="text1"/>
          <w:lang w:val="fr-FR"/>
        </w:rPr>
        <w:t>renforcement</w:t>
      </w:r>
      <w:r>
        <w:rPr>
          <w:color w:val="000000" w:themeColor="text1"/>
          <w:lang w:val="fr-FR"/>
        </w:rPr>
        <w:t xml:space="preserve"> des capacités, en se concentrant sur les secteurs directement liés aux investissements et dotés d’un potentiel </w:t>
      </w:r>
      <w:r w:rsidR="009D0F11">
        <w:rPr>
          <w:color w:val="000000" w:themeColor="text1"/>
          <w:lang w:val="fr-FR"/>
        </w:rPr>
        <w:t xml:space="preserve">de création </w:t>
      </w:r>
      <w:r>
        <w:rPr>
          <w:color w:val="000000" w:themeColor="text1"/>
          <w:lang w:val="fr-FR"/>
        </w:rPr>
        <w:t>d’emploi</w:t>
      </w:r>
      <w:r w:rsidR="009D0F11">
        <w:rPr>
          <w:color w:val="000000" w:themeColor="text1"/>
          <w:lang w:val="fr-FR"/>
        </w:rPr>
        <w:t>s</w:t>
      </w:r>
      <w:r>
        <w:rPr>
          <w:color w:val="000000" w:themeColor="text1"/>
          <w:lang w:val="fr-FR"/>
        </w:rPr>
        <w:t xml:space="preserve"> conséquent identifié à la suite d’une analyse du marché, ainsi qu’à l’aide d’un exercice de recensement mené </w:t>
      </w:r>
      <w:r w:rsidR="009D0F11">
        <w:rPr>
          <w:color w:val="000000" w:themeColor="text1"/>
          <w:lang w:val="fr-FR"/>
        </w:rPr>
        <w:t xml:space="preserve">en amont de </w:t>
      </w:r>
      <w:r>
        <w:rPr>
          <w:color w:val="000000" w:themeColor="text1"/>
          <w:lang w:val="fr-FR"/>
        </w:rPr>
        <w:t>l’élaboration du projet. L’action identifie ainsi un secteur, une chaîne de valeur ou un groupe d’entreprises (locales)</w:t>
      </w:r>
      <w:r w:rsidR="002B4274">
        <w:rPr>
          <w:color w:val="000000" w:themeColor="text1"/>
          <w:lang w:val="fr-FR"/>
        </w:rPr>
        <w:t xml:space="preserve"> qui présente un potentiel </w:t>
      </w:r>
      <w:r w:rsidR="009D0F11">
        <w:rPr>
          <w:color w:val="000000" w:themeColor="text1"/>
          <w:lang w:val="fr-FR"/>
        </w:rPr>
        <w:t>d’</w:t>
      </w:r>
      <w:r w:rsidR="002B4274">
        <w:rPr>
          <w:color w:val="000000" w:themeColor="text1"/>
          <w:lang w:val="fr-FR"/>
        </w:rPr>
        <w:t>impact sur l’emploi</w:t>
      </w:r>
      <w:r w:rsidR="009D0F11" w:rsidRPr="004A302F">
        <w:rPr>
          <w:lang w:val="fr-BE"/>
        </w:rPr>
        <w:t xml:space="preserve"> </w:t>
      </w:r>
      <w:r w:rsidR="009D0F11" w:rsidRPr="009D0F11">
        <w:rPr>
          <w:color w:val="000000" w:themeColor="text1"/>
          <w:lang w:val="fr-FR"/>
        </w:rPr>
        <w:t>significatif</w:t>
      </w:r>
      <w:r w:rsidR="002B4274">
        <w:rPr>
          <w:color w:val="000000" w:themeColor="text1"/>
          <w:lang w:val="fr-FR"/>
        </w:rPr>
        <w:t xml:space="preserve">. Par le biais d’un processus de dialogue initié dans le cadre du domaine d’intervention 1, l’action </w:t>
      </w:r>
      <w:r w:rsidR="00B9251E">
        <w:rPr>
          <w:color w:val="000000" w:themeColor="text1"/>
          <w:lang w:val="fr-FR"/>
        </w:rPr>
        <w:t>sera capable d’</w:t>
      </w:r>
      <w:r w:rsidR="002B4274">
        <w:rPr>
          <w:color w:val="000000" w:themeColor="text1"/>
          <w:lang w:val="fr-FR"/>
        </w:rPr>
        <w:t>établir les besoins de chaque acteur. Elle pourra par exemple déterminer si une entreprise ou un secteur d’activité entier souffre d’un déficit de compétences</w:t>
      </w:r>
      <w:r w:rsidR="00B9251E">
        <w:rPr>
          <w:color w:val="000000" w:themeColor="text1"/>
          <w:lang w:val="fr-FR"/>
        </w:rPr>
        <w:t>,</w:t>
      </w:r>
      <w:r w:rsidR="002B4274">
        <w:rPr>
          <w:color w:val="000000" w:themeColor="text1"/>
          <w:lang w:val="fr-FR"/>
        </w:rPr>
        <w:t xml:space="preserve"> menant à des difficultés de recrutement</w:t>
      </w:r>
      <w:r w:rsidR="00B9251E">
        <w:rPr>
          <w:color w:val="000000" w:themeColor="text1"/>
          <w:lang w:val="fr-FR"/>
        </w:rPr>
        <w:t>,</w:t>
      </w:r>
      <w:r w:rsidR="002B4274">
        <w:rPr>
          <w:color w:val="000000" w:themeColor="text1"/>
          <w:lang w:val="fr-FR"/>
        </w:rPr>
        <w:t xml:space="preserve"> ou </w:t>
      </w:r>
      <w:r w:rsidR="00B9251E">
        <w:rPr>
          <w:color w:val="000000" w:themeColor="text1"/>
          <w:lang w:val="fr-FR"/>
        </w:rPr>
        <w:t xml:space="preserve">bien </w:t>
      </w:r>
      <w:r w:rsidR="002B4274">
        <w:rPr>
          <w:color w:val="000000" w:themeColor="text1"/>
          <w:lang w:val="fr-FR"/>
        </w:rPr>
        <w:t>d’un déficit de compétences dans l’entreprise même</w:t>
      </w:r>
      <w:r w:rsidR="00B9251E">
        <w:rPr>
          <w:color w:val="000000" w:themeColor="text1"/>
          <w:lang w:val="fr-FR"/>
        </w:rPr>
        <w:t>,</w:t>
      </w:r>
      <w:r w:rsidR="002B4274">
        <w:rPr>
          <w:color w:val="000000" w:themeColor="text1"/>
          <w:lang w:val="fr-FR"/>
        </w:rPr>
        <w:t xml:space="preserve"> l’empêchant d’avoir accès à des contrats de valeur. L’action pourra par la suite accompagner ces acteurs en mettant au point avec eux des formations taillées sur mesure pour combler ces déficits. L’action appuiera le développement de supports de formation ou de programmes d’enseignement ou organisera des possibilités de formation pratique pour les personnes en formation, entre autres activités.</w:t>
      </w:r>
    </w:p>
    <w:p w14:paraId="1088C093" w14:textId="62408B3A" w:rsidR="0095524A" w:rsidRPr="006F4D4F" w:rsidRDefault="002B4274" w:rsidP="00474EDD">
      <w:pPr>
        <w:pStyle w:val="BTCBodyText"/>
        <w:rPr>
          <w:color w:val="000000" w:themeColor="text1"/>
          <w:lang w:val="fr-FR"/>
        </w:rPr>
      </w:pPr>
      <w:r>
        <w:rPr>
          <w:color w:val="000000" w:themeColor="text1"/>
          <w:lang w:val="fr-FR"/>
        </w:rPr>
        <w:t xml:space="preserve">L’action, en parallèle, initiera de nouveaux partenariats et améliorera les partenariats existants entre les entreprises et les </w:t>
      </w:r>
      <w:r w:rsidR="00B9251E">
        <w:rPr>
          <w:color w:val="000000" w:themeColor="text1"/>
          <w:lang w:val="fr-FR"/>
        </w:rPr>
        <w:t>établissements</w:t>
      </w:r>
      <w:r>
        <w:rPr>
          <w:color w:val="000000" w:themeColor="text1"/>
          <w:lang w:val="fr-FR"/>
        </w:rPr>
        <w:t xml:space="preserve"> de formation professionnel</w:t>
      </w:r>
      <w:r w:rsidR="00B9251E">
        <w:rPr>
          <w:color w:val="000000" w:themeColor="text1"/>
          <w:lang w:val="fr-FR"/>
        </w:rPr>
        <w:t>le</w:t>
      </w:r>
      <w:r>
        <w:rPr>
          <w:color w:val="000000" w:themeColor="text1"/>
          <w:lang w:val="fr-FR"/>
        </w:rPr>
        <w:t xml:space="preserve"> (lien potentiel avec le domaine d’intervention 1). Les chefs d’établissement, les enseignants et les personnes en formation doivent être informés des possibilités qu’ouvre une étroite collaboration avec les entreprises (par exemple, exposition au travail en situation concrète pour les personnes en formation et le personnel enseignant, accès aux machines et équipements, informations actualisées sur les besoins du marché du travail). </w:t>
      </w:r>
      <w:r w:rsidR="0008506E">
        <w:rPr>
          <w:color w:val="000000" w:themeColor="text1"/>
          <w:lang w:val="fr-FR"/>
        </w:rPr>
        <w:t>Il convient dans le même temps d</w:t>
      </w:r>
      <w:r w:rsidR="00B9251E">
        <w:rPr>
          <w:color w:val="000000" w:themeColor="text1"/>
          <w:lang w:val="fr-FR"/>
        </w:rPr>
        <w:t>’accompagner</w:t>
      </w:r>
      <w:r w:rsidR="0008506E">
        <w:rPr>
          <w:color w:val="000000" w:themeColor="text1"/>
          <w:lang w:val="fr-FR"/>
        </w:rPr>
        <w:t xml:space="preserve"> les entrepreneurs et les entreprises locaux</w:t>
      </w:r>
      <w:r w:rsidR="0095524A" w:rsidRPr="006F4D4F">
        <w:rPr>
          <w:color w:val="000000" w:themeColor="text1"/>
          <w:lang w:val="fr-FR"/>
        </w:rPr>
        <w:t xml:space="preserve"> </w:t>
      </w:r>
      <w:r w:rsidR="0008506E">
        <w:rPr>
          <w:color w:val="000000" w:themeColor="text1"/>
          <w:lang w:val="fr-FR"/>
        </w:rPr>
        <w:t>pour identifier et faire connaître leurs besoins en compétences</w:t>
      </w:r>
      <w:r w:rsidR="00B9251E">
        <w:rPr>
          <w:color w:val="000000" w:themeColor="text1"/>
          <w:lang w:val="fr-FR"/>
        </w:rPr>
        <w:t xml:space="preserve">, de </w:t>
      </w:r>
      <w:r w:rsidR="0008506E">
        <w:rPr>
          <w:color w:val="000000" w:themeColor="text1"/>
          <w:lang w:val="fr-FR"/>
        </w:rPr>
        <w:t>manière à s’assurer que les offres de formation sont conçues pour répondre à ces besoins.</w:t>
      </w:r>
      <w:r w:rsidR="0095524A" w:rsidRPr="006F4D4F">
        <w:rPr>
          <w:color w:val="000000" w:themeColor="text1"/>
          <w:lang w:val="fr-FR"/>
        </w:rPr>
        <w:t xml:space="preserve"> </w:t>
      </w:r>
    </w:p>
    <w:p w14:paraId="69507A5A" w14:textId="6B327579" w:rsidR="0095524A" w:rsidRPr="006F4D4F" w:rsidRDefault="0008506E" w:rsidP="00474EDD">
      <w:pPr>
        <w:pStyle w:val="BTCBodyText"/>
        <w:rPr>
          <w:color w:val="000000" w:themeColor="text1"/>
          <w:lang w:val="fr-FR"/>
        </w:rPr>
      </w:pPr>
      <w:r>
        <w:rPr>
          <w:color w:val="000000" w:themeColor="text1"/>
          <w:lang w:val="fr-FR"/>
        </w:rPr>
        <w:t xml:space="preserve">En fonction des exigences du marché du travail local et des besoins que les principales parties prenantes auront communiqués, une part importante des activités pourrait inclure des séances de perfectionnement des compétences techniques à l’intention du personnel enseignant des </w:t>
      </w:r>
      <w:r w:rsidR="00B9251E">
        <w:rPr>
          <w:color w:val="000000" w:themeColor="text1"/>
          <w:lang w:val="fr-FR"/>
        </w:rPr>
        <w:t>établissements</w:t>
      </w:r>
      <w:r>
        <w:rPr>
          <w:color w:val="000000" w:themeColor="text1"/>
          <w:lang w:val="fr-FR"/>
        </w:rPr>
        <w:t xml:space="preserve"> de formation professionnelle et des maîtres formateurs internes du secteur privé, ainsi qu’une formation courte à l’intention des employés visant à améliorer l’employabilité et/ou le niveau de qualification des travailleurs et travailleuses actuels et futurs (formation d’électricien solaire </w:t>
      </w:r>
      <w:r w:rsidR="00B9251E">
        <w:rPr>
          <w:color w:val="000000" w:themeColor="text1"/>
          <w:lang w:val="fr-FR"/>
        </w:rPr>
        <w:t xml:space="preserve">spécialisé </w:t>
      </w:r>
      <w:r>
        <w:rPr>
          <w:color w:val="000000" w:themeColor="text1"/>
          <w:lang w:val="fr-FR"/>
        </w:rPr>
        <w:t xml:space="preserve">à l’intention des électriciens par exemple). </w:t>
      </w:r>
      <w:r w:rsidR="0045713E">
        <w:rPr>
          <w:color w:val="000000" w:themeColor="text1"/>
          <w:lang w:val="fr-FR"/>
        </w:rPr>
        <w:t xml:space="preserve">Dans certains cas, lorsque l’absence d’équipements empêche la formation adéquate, l’action pourrait également apporter un soutien aux </w:t>
      </w:r>
      <w:r w:rsidR="00B9251E">
        <w:rPr>
          <w:color w:val="000000" w:themeColor="text1"/>
          <w:lang w:val="fr-FR"/>
        </w:rPr>
        <w:t xml:space="preserve">établissements </w:t>
      </w:r>
      <w:r w:rsidR="0045713E">
        <w:rPr>
          <w:color w:val="000000" w:themeColor="text1"/>
          <w:lang w:val="fr-FR"/>
        </w:rPr>
        <w:t>d’</w:t>
      </w:r>
      <w:r w:rsidR="00E942D9">
        <w:rPr>
          <w:color w:val="000000" w:themeColor="text1"/>
          <w:lang w:val="fr-FR"/>
        </w:rPr>
        <w:t>EFP</w:t>
      </w:r>
      <w:r w:rsidR="0045713E">
        <w:rPr>
          <w:color w:val="000000" w:themeColor="text1"/>
          <w:lang w:val="fr-FR"/>
        </w:rPr>
        <w:t xml:space="preserve"> avec des achats limités de matériels. L’offre de conseils sur le </w:t>
      </w:r>
      <w:r w:rsidR="0068294B">
        <w:rPr>
          <w:color w:val="000000" w:themeColor="text1"/>
          <w:lang w:val="fr-FR"/>
        </w:rPr>
        <w:t>développement des compétences</w:t>
      </w:r>
      <w:r w:rsidR="0045713E">
        <w:rPr>
          <w:color w:val="000000" w:themeColor="text1"/>
          <w:lang w:val="fr-FR"/>
        </w:rPr>
        <w:t xml:space="preserve"> transférables et personnelles pour améliorer l’employabilité et la mobilité des personnes qualifiées sur le marché du travail lorsque les projets d’investissement ont le potentiel de créer des opportunités d’emploi fera partie intégrante de l’action.</w:t>
      </w:r>
      <w:r w:rsidR="0095524A" w:rsidRPr="006F4D4F">
        <w:rPr>
          <w:color w:val="000000" w:themeColor="text1"/>
          <w:lang w:val="fr-FR"/>
        </w:rPr>
        <w:t xml:space="preserve"> </w:t>
      </w:r>
    </w:p>
    <w:p w14:paraId="4F72BC51" w14:textId="7ABA9510" w:rsidR="0095524A" w:rsidRPr="006F4D4F" w:rsidRDefault="0095524A" w:rsidP="008C5264">
      <w:pPr>
        <w:pStyle w:val="BTCBodyText"/>
        <w:spacing w:line="276" w:lineRule="auto"/>
        <w:rPr>
          <w:color w:val="000000" w:themeColor="text1"/>
          <w:lang w:val="fr-FR"/>
        </w:rPr>
      </w:pPr>
      <w:r w:rsidRPr="006F4D4F">
        <w:rPr>
          <w:color w:val="000000" w:themeColor="text1"/>
          <w:lang w:val="fr-FR"/>
        </w:rPr>
        <w:t>L</w:t>
      </w:r>
      <w:r w:rsidR="0045713E">
        <w:rPr>
          <w:color w:val="000000" w:themeColor="text1"/>
          <w:lang w:val="fr-FR"/>
        </w:rPr>
        <w:t xml:space="preserve">es entreprises locales qui possèdent une expérience nulle ou limitée des relations avec les sociétés internationales pourront </w:t>
      </w:r>
      <w:r w:rsidR="008C5264">
        <w:rPr>
          <w:color w:val="000000" w:themeColor="text1"/>
          <w:lang w:val="fr-FR"/>
        </w:rPr>
        <w:t>re</w:t>
      </w:r>
      <w:r w:rsidR="0045713E">
        <w:rPr>
          <w:color w:val="000000" w:themeColor="text1"/>
          <w:lang w:val="fr-FR"/>
        </w:rPr>
        <w:t xml:space="preserve">tirer un bénéfice considérable des </w:t>
      </w:r>
      <w:r w:rsidR="008C5264">
        <w:rPr>
          <w:color w:val="000000" w:themeColor="text1"/>
          <w:lang w:val="fr-FR"/>
        </w:rPr>
        <w:t>activités</w:t>
      </w:r>
      <w:r w:rsidR="0045713E">
        <w:rPr>
          <w:color w:val="000000" w:themeColor="text1"/>
          <w:lang w:val="fr-FR"/>
        </w:rPr>
        <w:t xml:space="preserve"> de coaching et </w:t>
      </w:r>
      <w:r w:rsidR="008C5264">
        <w:rPr>
          <w:color w:val="000000" w:themeColor="text1"/>
          <w:lang w:val="fr-FR"/>
        </w:rPr>
        <w:t xml:space="preserve">de </w:t>
      </w:r>
      <w:r w:rsidR="0068294B">
        <w:rPr>
          <w:color w:val="000000" w:themeColor="text1"/>
          <w:lang w:val="fr-FR"/>
        </w:rPr>
        <w:t>développement des compétences</w:t>
      </w:r>
      <w:r w:rsidR="008C5264">
        <w:rPr>
          <w:color w:val="000000" w:themeColor="text1"/>
          <w:lang w:val="fr-FR"/>
        </w:rPr>
        <w:t xml:space="preserve"> proposées,</w:t>
      </w:r>
      <w:r w:rsidR="0045713E">
        <w:rPr>
          <w:color w:val="000000" w:themeColor="text1"/>
          <w:lang w:val="fr-FR"/>
        </w:rPr>
        <w:t xml:space="preserve"> à tous les niveaux</w:t>
      </w:r>
      <w:r w:rsidR="008C5264">
        <w:rPr>
          <w:color w:val="000000" w:themeColor="text1"/>
          <w:lang w:val="fr-FR"/>
        </w:rPr>
        <w:t>,</w:t>
      </w:r>
      <w:r w:rsidR="0045713E">
        <w:rPr>
          <w:color w:val="000000" w:themeColor="text1"/>
          <w:lang w:val="fr-FR"/>
        </w:rPr>
        <w:t xml:space="preserve"> pour </w:t>
      </w:r>
      <w:r w:rsidR="008C5264">
        <w:rPr>
          <w:color w:val="000000" w:themeColor="text1"/>
          <w:lang w:val="fr-FR"/>
        </w:rPr>
        <w:t xml:space="preserve">mieux </w:t>
      </w:r>
      <w:r w:rsidR="0045713E">
        <w:rPr>
          <w:color w:val="000000" w:themeColor="text1"/>
          <w:lang w:val="fr-FR"/>
        </w:rPr>
        <w:t xml:space="preserve">saisir les possibilités offertes par </w:t>
      </w:r>
      <w:r w:rsidR="0055133B">
        <w:rPr>
          <w:color w:val="000000" w:themeColor="text1"/>
          <w:lang w:val="fr-FR"/>
        </w:rPr>
        <w:t>la combinaison</w:t>
      </w:r>
      <w:r w:rsidR="0045713E">
        <w:rPr>
          <w:color w:val="000000" w:themeColor="text1"/>
          <w:lang w:val="fr-FR"/>
        </w:rPr>
        <w:t xml:space="preserve"> d’instruments (facilité FEDD du PIE par exemple) ou </w:t>
      </w:r>
      <w:r w:rsidR="008C5264">
        <w:rPr>
          <w:color w:val="000000" w:themeColor="text1"/>
          <w:lang w:val="fr-FR"/>
        </w:rPr>
        <w:t xml:space="preserve">par les </w:t>
      </w:r>
      <w:r w:rsidR="0045713E">
        <w:rPr>
          <w:color w:val="000000" w:themeColor="text1"/>
          <w:lang w:val="fr-FR"/>
        </w:rPr>
        <w:t xml:space="preserve">investissements directs. L’action pourra accompagner les entreprises locales désirant intégrer leurs activités dans les chaînes de valeur (mondiales) avec </w:t>
      </w:r>
      <w:r w:rsidR="008C5264">
        <w:rPr>
          <w:color w:val="000000" w:themeColor="text1"/>
          <w:lang w:val="fr-FR"/>
        </w:rPr>
        <w:t>des activités de</w:t>
      </w:r>
      <w:r w:rsidR="0045713E">
        <w:rPr>
          <w:color w:val="000000" w:themeColor="text1"/>
          <w:lang w:val="fr-FR"/>
        </w:rPr>
        <w:t xml:space="preserve"> formation du personnel et </w:t>
      </w:r>
      <w:r w:rsidR="008C5264">
        <w:rPr>
          <w:color w:val="000000" w:themeColor="text1"/>
          <w:lang w:val="fr-FR"/>
        </w:rPr>
        <w:t>de renforcement</w:t>
      </w:r>
      <w:r w:rsidR="0045713E">
        <w:rPr>
          <w:color w:val="000000" w:themeColor="text1"/>
          <w:lang w:val="fr-FR"/>
        </w:rPr>
        <w:t xml:space="preserve"> des capacités à l’intention de la direction. Les entreprises locales renforceront dès lors leur capacité </w:t>
      </w:r>
      <w:r w:rsidR="0055133B">
        <w:rPr>
          <w:color w:val="000000" w:themeColor="text1"/>
          <w:lang w:val="fr-FR"/>
        </w:rPr>
        <w:t>à</w:t>
      </w:r>
      <w:r w:rsidR="0045713E">
        <w:rPr>
          <w:color w:val="000000" w:themeColor="text1"/>
          <w:lang w:val="fr-FR"/>
        </w:rPr>
        <w:t xml:space="preserve"> concourir sur le plan national et international (soit de manière indépendante, soit en nouant </w:t>
      </w:r>
      <w:r w:rsidR="0045713E" w:rsidRPr="008C5264">
        <w:rPr>
          <w:color w:val="000000" w:themeColor="text1"/>
          <w:lang w:val="fr-FR"/>
        </w:rPr>
        <w:t>des partenariats).</w:t>
      </w:r>
      <w:r w:rsidRPr="006F4D4F">
        <w:rPr>
          <w:color w:val="000000" w:themeColor="text1"/>
          <w:lang w:val="fr-FR"/>
        </w:rPr>
        <w:t xml:space="preserve"> </w:t>
      </w:r>
    </w:p>
    <w:p w14:paraId="1200F15A" w14:textId="583E005B" w:rsidR="00114BEE" w:rsidRPr="006F4D4F" w:rsidRDefault="009A0CEA" w:rsidP="008C5264">
      <w:pPr>
        <w:spacing w:after="120" w:line="276" w:lineRule="auto"/>
        <w:jc w:val="both"/>
        <w:rPr>
          <w:color w:val="000000" w:themeColor="text1"/>
          <w:lang w:val="fr-FR"/>
        </w:rPr>
      </w:pPr>
      <w:r>
        <w:rPr>
          <w:color w:val="000000" w:themeColor="text1"/>
          <w:lang w:val="fr-FR"/>
        </w:rPr>
        <w:t>Principales réalisations dans le cadre du domaine d’intervention 2 (</w:t>
      </w:r>
      <w:r>
        <w:rPr>
          <w:i/>
          <w:iCs/>
          <w:color w:val="000000" w:themeColor="text1"/>
          <w:lang w:val="fr-FR"/>
        </w:rPr>
        <w:t>les réalisations dépendent des besoins locaux</w:t>
      </w:r>
      <w:r>
        <w:rPr>
          <w:color w:val="000000" w:themeColor="text1"/>
          <w:lang w:val="fr-FR"/>
        </w:rPr>
        <w:t>) :</w:t>
      </w:r>
      <w:r w:rsidR="00114BEE" w:rsidRPr="006F4D4F">
        <w:rPr>
          <w:color w:val="000000" w:themeColor="text1"/>
          <w:lang w:val="fr-FR"/>
        </w:rPr>
        <w:t xml:space="preserve"> </w:t>
      </w:r>
    </w:p>
    <w:p w14:paraId="7BB72343" w14:textId="623DE76E" w:rsidR="00114BEE" w:rsidRPr="006F4D4F" w:rsidRDefault="008C5264" w:rsidP="008C5264">
      <w:pPr>
        <w:pStyle w:val="Paragraphedeliste"/>
        <w:numPr>
          <w:ilvl w:val="0"/>
          <w:numId w:val="13"/>
        </w:numPr>
        <w:spacing w:after="80" w:line="276" w:lineRule="auto"/>
        <w:ind w:left="714" w:hanging="357"/>
        <w:contextualSpacing w:val="0"/>
        <w:jc w:val="both"/>
        <w:rPr>
          <w:color w:val="000000" w:themeColor="text1"/>
          <w:lang w:val="fr-FR"/>
        </w:rPr>
      </w:pPr>
      <w:r>
        <w:rPr>
          <w:color w:val="000000" w:themeColor="text1"/>
          <w:lang w:val="fr-FR"/>
        </w:rPr>
        <w:t>Renforcement</w:t>
      </w:r>
      <w:r w:rsidR="009A0CEA">
        <w:rPr>
          <w:color w:val="000000" w:themeColor="text1"/>
          <w:lang w:val="fr-FR"/>
        </w:rPr>
        <w:t xml:space="preserve"> des capacités ciblé à l’intention du personnel des </w:t>
      </w:r>
      <w:r>
        <w:rPr>
          <w:color w:val="000000" w:themeColor="text1"/>
          <w:lang w:val="fr-FR"/>
        </w:rPr>
        <w:t xml:space="preserve">établissements </w:t>
      </w:r>
      <w:r w:rsidR="009A0CEA">
        <w:rPr>
          <w:color w:val="000000" w:themeColor="text1"/>
          <w:lang w:val="fr-FR"/>
        </w:rPr>
        <w:t>de formation professionnelle et des maîtres formateurs.</w:t>
      </w:r>
    </w:p>
    <w:p w14:paraId="44369088" w14:textId="1B6436BB" w:rsidR="00114BEE" w:rsidRPr="006F4D4F" w:rsidRDefault="009A0CEA" w:rsidP="008C5264">
      <w:pPr>
        <w:pStyle w:val="Paragraphedeliste"/>
        <w:numPr>
          <w:ilvl w:val="0"/>
          <w:numId w:val="13"/>
        </w:numPr>
        <w:spacing w:after="80" w:line="276" w:lineRule="auto"/>
        <w:ind w:left="714" w:hanging="357"/>
        <w:contextualSpacing w:val="0"/>
        <w:jc w:val="both"/>
        <w:rPr>
          <w:color w:val="000000" w:themeColor="text1"/>
          <w:lang w:val="fr-FR"/>
        </w:rPr>
      </w:pPr>
      <w:r>
        <w:rPr>
          <w:color w:val="000000" w:themeColor="text1"/>
          <w:lang w:val="fr-FR"/>
        </w:rPr>
        <w:t>Accompagnement des entreprises locales avec des formations et un coaching sur le développement des ressources humaines en vue d’accéder aux chaînes de valeur internationales.</w:t>
      </w:r>
    </w:p>
    <w:p w14:paraId="27088868" w14:textId="7BE441FF" w:rsidR="00114BEE" w:rsidRPr="006F4D4F" w:rsidRDefault="009A0CEA" w:rsidP="008C5264">
      <w:pPr>
        <w:pStyle w:val="Paragraphedeliste"/>
        <w:numPr>
          <w:ilvl w:val="0"/>
          <w:numId w:val="13"/>
        </w:numPr>
        <w:spacing w:after="80" w:line="276" w:lineRule="auto"/>
        <w:ind w:left="714" w:hanging="357"/>
        <w:contextualSpacing w:val="0"/>
        <w:jc w:val="both"/>
        <w:rPr>
          <w:color w:val="000000" w:themeColor="text1"/>
          <w:lang w:val="fr-FR"/>
        </w:rPr>
      </w:pPr>
      <w:r>
        <w:rPr>
          <w:color w:val="000000" w:themeColor="text1"/>
          <w:lang w:val="fr-FR"/>
        </w:rPr>
        <w:t>Amélioration ou élaboration de normes professionnelles, programmes d’enseignement et supports d’information pour certains profils d’emploi sélectionnés.</w:t>
      </w:r>
    </w:p>
    <w:p w14:paraId="7FB7DFBB" w14:textId="417070E5" w:rsidR="00114BEE" w:rsidRPr="006F4D4F" w:rsidRDefault="009A0CEA" w:rsidP="008C5264">
      <w:pPr>
        <w:pStyle w:val="Paragraphedeliste"/>
        <w:numPr>
          <w:ilvl w:val="0"/>
          <w:numId w:val="13"/>
        </w:numPr>
        <w:spacing w:after="80" w:line="276" w:lineRule="auto"/>
        <w:ind w:left="714" w:hanging="357"/>
        <w:contextualSpacing w:val="0"/>
        <w:jc w:val="both"/>
        <w:rPr>
          <w:color w:val="000000" w:themeColor="text1"/>
          <w:lang w:val="fr-FR"/>
        </w:rPr>
      </w:pPr>
      <w:r>
        <w:rPr>
          <w:color w:val="000000" w:themeColor="text1"/>
          <w:lang w:val="fr-FR"/>
        </w:rPr>
        <w:t xml:space="preserve">Élaboration et mise en œuvre de programmes de </w:t>
      </w:r>
      <w:r w:rsidR="0068294B">
        <w:rPr>
          <w:color w:val="000000" w:themeColor="text1"/>
          <w:lang w:val="fr-FR"/>
        </w:rPr>
        <w:t>développement des compétences</w:t>
      </w:r>
      <w:r>
        <w:rPr>
          <w:color w:val="000000" w:themeColor="text1"/>
          <w:lang w:val="fr-FR"/>
        </w:rPr>
        <w:t xml:space="preserve"> pour les employés futurs et actuels (court et moyen terme).</w:t>
      </w:r>
    </w:p>
    <w:p w14:paraId="2E0C0B78" w14:textId="68BAD842" w:rsidR="003E7312" w:rsidRPr="006F4D4F" w:rsidRDefault="009A0CEA" w:rsidP="008C5264">
      <w:pPr>
        <w:pStyle w:val="Paragraphedeliste"/>
        <w:numPr>
          <w:ilvl w:val="0"/>
          <w:numId w:val="13"/>
        </w:numPr>
        <w:spacing w:after="80" w:line="276" w:lineRule="auto"/>
        <w:ind w:left="714" w:hanging="357"/>
        <w:contextualSpacing w:val="0"/>
        <w:jc w:val="both"/>
        <w:rPr>
          <w:color w:val="000000" w:themeColor="text1"/>
          <w:lang w:val="fr-FR"/>
        </w:rPr>
      </w:pPr>
      <w:r>
        <w:rPr>
          <w:color w:val="000000" w:themeColor="text1"/>
          <w:lang w:val="fr-FR"/>
        </w:rPr>
        <w:t xml:space="preserve">Élaboration et mise en œuvre de </w:t>
      </w:r>
      <w:r w:rsidRPr="008C5264">
        <w:rPr>
          <w:color w:val="000000" w:themeColor="text1"/>
          <w:lang w:val="fr-FR"/>
        </w:rPr>
        <w:t>services de placement</w:t>
      </w:r>
      <w:r>
        <w:rPr>
          <w:color w:val="000000" w:themeColor="text1"/>
          <w:lang w:val="fr-FR"/>
        </w:rPr>
        <w:t xml:space="preserve"> pour les diplômés </w:t>
      </w:r>
      <w:r w:rsidR="00DF29C9">
        <w:rPr>
          <w:color w:val="000000" w:themeColor="text1"/>
          <w:lang w:val="fr-FR"/>
        </w:rPr>
        <w:t xml:space="preserve">des </w:t>
      </w:r>
      <w:r>
        <w:rPr>
          <w:color w:val="000000" w:themeColor="text1"/>
          <w:lang w:val="fr-FR"/>
        </w:rPr>
        <w:t>mesures de formation (par exemple, foires à l’emploi, programmes de stage, etc.).</w:t>
      </w:r>
    </w:p>
    <w:p w14:paraId="7FAF3F4C" w14:textId="55A40D23" w:rsidR="0095524A" w:rsidRPr="006F4D4F" w:rsidRDefault="009A0CEA" w:rsidP="008C5264">
      <w:pPr>
        <w:spacing w:before="360" w:after="120" w:line="276" w:lineRule="auto"/>
        <w:jc w:val="both"/>
        <w:rPr>
          <w:color w:val="000000" w:themeColor="text1"/>
          <w:sz w:val="22"/>
          <w:u w:val="single"/>
          <w:lang w:val="fr-FR"/>
        </w:rPr>
      </w:pPr>
      <w:r>
        <w:rPr>
          <w:color w:val="000000" w:themeColor="text1"/>
          <w:sz w:val="22"/>
          <w:u w:val="single"/>
          <w:lang w:val="fr-FR"/>
        </w:rPr>
        <w:t>Domaine d’i</w:t>
      </w:r>
      <w:r w:rsidR="0095524A" w:rsidRPr="006F4D4F">
        <w:rPr>
          <w:color w:val="000000" w:themeColor="text1"/>
          <w:sz w:val="22"/>
          <w:u w:val="single"/>
          <w:lang w:val="fr-FR"/>
        </w:rPr>
        <w:t>ntervention 3 –</w:t>
      </w:r>
      <w:r w:rsidR="00D87AF4" w:rsidRPr="006F4D4F">
        <w:rPr>
          <w:color w:val="000000" w:themeColor="text1"/>
          <w:sz w:val="22"/>
          <w:u w:val="single"/>
          <w:lang w:val="fr-FR"/>
        </w:rPr>
        <w:t xml:space="preserve"> L</w:t>
      </w:r>
      <w:r w:rsidR="0095524A" w:rsidRPr="006F4D4F">
        <w:rPr>
          <w:color w:val="000000" w:themeColor="text1"/>
          <w:sz w:val="22"/>
          <w:u w:val="single"/>
          <w:lang w:val="fr-FR"/>
        </w:rPr>
        <w:t>e</w:t>
      </w:r>
      <w:r>
        <w:rPr>
          <w:color w:val="000000" w:themeColor="text1"/>
          <w:sz w:val="22"/>
          <w:u w:val="single"/>
          <w:lang w:val="fr-FR"/>
        </w:rPr>
        <w:t>çons apprises et informations ciblées pour stimuler le dialogue politique et la gestion des connaissances</w:t>
      </w:r>
    </w:p>
    <w:p w14:paraId="011C3894" w14:textId="586637E5" w:rsidR="0095524A" w:rsidRPr="006F4D4F" w:rsidRDefault="009A0CEA" w:rsidP="008C5264">
      <w:pPr>
        <w:pStyle w:val="BTCBodyText"/>
        <w:spacing w:line="276" w:lineRule="auto"/>
        <w:rPr>
          <w:color w:val="000000" w:themeColor="text1"/>
          <w:lang w:val="fr-FR"/>
        </w:rPr>
      </w:pPr>
      <w:r>
        <w:rPr>
          <w:color w:val="000000" w:themeColor="text1"/>
          <w:lang w:val="fr-FR"/>
        </w:rPr>
        <w:t xml:space="preserve">Ce domaine d’intervention vise à </w:t>
      </w:r>
      <w:r w:rsidR="008C5264">
        <w:rPr>
          <w:color w:val="000000" w:themeColor="text1"/>
          <w:lang w:val="fr-FR"/>
        </w:rPr>
        <w:t>tirer des leçons</w:t>
      </w:r>
      <w:r>
        <w:rPr>
          <w:color w:val="000000" w:themeColor="text1"/>
          <w:lang w:val="fr-FR"/>
        </w:rPr>
        <w:t xml:space="preserve"> et à échanger </w:t>
      </w:r>
      <w:r w:rsidR="008C5264" w:rsidRPr="008C5264">
        <w:rPr>
          <w:color w:val="000000" w:themeColor="text1"/>
          <w:lang w:val="fr-FR"/>
        </w:rPr>
        <w:t xml:space="preserve">des informations </w:t>
      </w:r>
      <w:r>
        <w:rPr>
          <w:color w:val="000000" w:themeColor="text1"/>
          <w:lang w:val="fr-FR"/>
        </w:rPr>
        <w:t xml:space="preserve">avec les parties prenantes concernées sur la base de l’expérience pratique acquise dans le cadre de la mise en œuvre des domaines d’intervention 1 et 2. </w:t>
      </w:r>
      <w:r w:rsidR="009910FE">
        <w:rPr>
          <w:color w:val="000000" w:themeColor="text1"/>
          <w:lang w:val="fr-FR"/>
        </w:rPr>
        <w:t>Le dialogue politique et la réforme potentielle peuvent ainsi se fonder sur une expérience concrète</w:t>
      </w:r>
      <w:r w:rsidR="008C5264">
        <w:rPr>
          <w:color w:val="000000" w:themeColor="text1"/>
          <w:lang w:val="fr-FR"/>
        </w:rPr>
        <w:t>,</w:t>
      </w:r>
      <w:r w:rsidR="009910FE">
        <w:rPr>
          <w:color w:val="000000" w:themeColor="text1"/>
          <w:lang w:val="fr-FR"/>
        </w:rPr>
        <w:t xml:space="preserve"> résultant des interventions de l’action. L’objectif est dès lors de faciliter l’amélioration de l’écosystème de formation sur le long terme et de permettre une prise de décision fondée sur des données probantes. Il s’agit d’un domaine d’intervention transversal : l’apprentissage fera partie intégrante de tous les domaines d’intervention, ainsi que des résultats.</w:t>
      </w:r>
    </w:p>
    <w:p w14:paraId="32B343E2" w14:textId="3B113E42" w:rsidR="0095524A" w:rsidRPr="006F4D4F" w:rsidRDefault="009910FE" w:rsidP="00474EDD">
      <w:pPr>
        <w:pStyle w:val="BTCBodyText"/>
        <w:rPr>
          <w:color w:val="000000" w:themeColor="text1"/>
          <w:lang w:val="fr-FR"/>
        </w:rPr>
      </w:pPr>
      <w:r>
        <w:rPr>
          <w:color w:val="000000" w:themeColor="text1"/>
          <w:lang w:val="fr-FR"/>
        </w:rPr>
        <w:t xml:space="preserve">L’action vient compléter </w:t>
      </w:r>
      <w:r w:rsidR="00F240D5">
        <w:rPr>
          <w:color w:val="000000" w:themeColor="text1"/>
          <w:lang w:val="fr-FR"/>
        </w:rPr>
        <w:t xml:space="preserve">celle de </w:t>
      </w:r>
      <w:r>
        <w:rPr>
          <w:color w:val="000000" w:themeColor="text1"/>
          <w:lang w:val="fr-FR"/>
        </w:rPr>
        <w:t xml:space="preserve">la </w:t>
      </w:r>
      <w:r w:rsidR="0095524A" w:rsidRPr="006F4D4F">
        <w:rPr>
          <w:color w:val="000000" w:themeColor="text1"/>
          <w:lang w:val="fr-FR"/>
        </w:rPr>
        <w:t xml:space="preserve">VET </w:t>
      </w:r>
      <w:r w:rsidR="00FF6CA5" w:rsidRPr="006F4D4F">
        <w:rPr>
          <w:color w:val="000000" w:themeColor="text1"/>
          <w:lang w:val="fr-FR"/>
        </w:rPr>
        <w:t xml:space="preserve">Toolbox </w:t>
      </w:r>
      <w:r w:rsidR="00833C8F" w:rsidRPr="006F4D4F">
        <w:rPr>
          <w:color w:val="000000" w:themeColor="text1"/>
          <w:lang w:val="fr-FR"/>
        </w:rPr>
        <w:t xml:space="preserve">1 </w:t>
      </w:r>
      <w:r>
        <w:rPr>
          <w:color w:val="000000" w:themeColor="text1"/>
          <w:lang w:val="fr-FR"/>
        </w:rPr>
        <w:t xml:space="preserve">en cours. Cette dernière rend des services de conseil concernant i) l’analyse du marché du travail et des systèmes </w:t>
      </w:r>
      <w:r w:rsidR="00F240D5">
        <w:rPr>
          <w:color w:val="000000" w:themeColor="text1"/>
          <w:lang w:val="fr-FR"/>
        </w:rPr>
        <w:t>d’EFP</w:t>
      </w:r>
      <w:r>
        <w:rPr>
          <w:color w:val="000000" w:themeColor="text1"/>
          <w:lang w:val="fr-FR"/>
        </w:rPr>
        <w:t xml:space="preserve">, ii) le renforcement des liens entre les prestataires </w:t>
      </w:r>
      <w:r w:rsidR="00F240D5">
        <w:rPr>
          <w:color w:val="000000" w:themeColor="text1"/>
          <w:lang w:val="fr-FR"/>
        </w:rPr>
        <w:t>d’EFP</w:t>
      </w:r>
      <w:r>
        <w:rPr>
          <w:color w:val="000000" w:themeColor="text1"/>
          <w:lang w:val="fr-FR"/>
        </w:rPr>
        <w:t xml:space="preserve"> et les besoins du secteur privé et iii) l’amélioration de l’accès des personnes défavorisées à </w:t>
      </w:r>
      <w:r w:rsidR="00F240D5">
        <w:rPr>
          <w:color w:val="000000" w:themeColor="text1"/>
          <w:lang w:val="fr-FR"/>
        </w:rPr>
        <w:t>l’EFP</w:t>
      </w:r>
      <w:r>
        <w:rPr>
          <w:color w:val="000000" w:themeColor="text1"/>
          <w:lang w:val="fr-FR"/>
        </w:rPr>
        <w:t xml:space="preserve">. Il est par conséquent possible de dégager des synergies dans ce domaine d’intervention. La </w:t>
      </w:r>
      <w:r w:rsidR="00D242EF" w:rsidRPr="006F4D4F">
        <w:rPr>
          <w:color w:val="000000" w:themeColor="text1"/>
          <w:lang w:val="fr-FR"/>
        </w:rPr>
        <w:t xml:space="preserve">VET Toolbox </w:t>
      </w:r>
      <w:r w:rsidR="00833C8F" w:rsidRPr="006F4D4F">
        <w:rPr>
          <w:color w:val="000000" w:themeColor="text1"/>
          <w:lang w:val="fr-FR"/>
        </w:rPr>
        <w:t>1</w:t>
      </w:r>
      <w:r w:rsidR="000133D7" w:rsidRPr="006F4D4F">
        <w:rPr>
          <w:color w:val="000000" w:themeColor="text1"/>
          <w:lang w:val="fr-FR"/>
        </w:rPr>
        <w:t xml:space="preserve"> </w:t>
      </w:r>
      <w:r>
        <w:rPr>
          <w:color w:val="000000" w:themeColor="text1"/>
          <w:lang w:val="fr-FR"/>
        </w:rPr>
        <w:t xml:space="preserve">peut jouer un rôle significatif en </w:t>
      </w:r>
      <w:r w:rsidR="004C4222">
        <w:rPr>
          <w:color w:val="000000" w:themeColor="text1"/>
          <w:lang w:val="fr-FR"/>
        </w:rPr>
        <w:t>faisant connaître</w:t>
      </w:r>
      <w:r>
        <w:rPr>
          <w:color w:val="000000" w:themeColor="text1"/>
          <w:lang w:val="fr-FR"/>
        </w:rPr>
        <w:t xml:space="preserve"> les leçons apprises d’une manière utile et structurée, par le biais des outils mis au point ou en diffusant les leçons dans son réseau par exemple.</w:t>
      </w:r>
      <w:r w:rsidR="003521CD" w:rsidRPr="006F4D4F">
        <w:rPr>
          <w:color w:val="000000" w:themeColor="text1"/>
          <w:lang w:val="fr-FR"/>
        </w:rPr>
        <w:t xml:space="preserve"> </w:t>
      </w:r>
    </w:p>
    <w:p w14:paraId="55568C12" w14:textId="1A451179" w:rsidR="00175272" w:rsidRPr="006F4D4F" w:rsidRDefault="00075CD4" w:rsidP="004C4222">
      <w:pPr>
        <w:spacing w:after="120" w:line="276" w:lineRule="auto"/>
        <w:jc w:val="both"/>
        <w:rPr>
          <w:color w:val="000000" w:themeColor="text1"/>
          <w:lang w:val="fr-FR"/>
        </w:rPr>
      </w:pPr>
      <w:r>
        <w:rPr>
          <w:color w:val="000000" w:themeColor="text1"/>
          <w:lang w:val="fr-FR"/>
        </w:rPr>
        <w:t>Principales réalisations dans le cadre du domaine d’intervention 3 :</w:t>
      </w:r>
    </w:p>
    <w:p w14:paraId="185BE3E1" w14:textId="19990F56" w:rsidR="00175272" w:rsidRPr="006F4D4F" w:rsidRDefault="00075CD4" w:rsidP="004C4222">
      <w:pPr>
        <w:pStyle w:val="Paragraphedeliste"/>
        <w:numPr>
          <w:ilvl w:val="0"/>
          <w:numId w:val="14"/>
        </w:numPr>
        <w:spacing w:after="80" w:line="276" w:lineRule="auto"/>
        <w:ind w:left="714" w:hanging="357"/>
        <w:contextualSpacing w:val="0"/>
        <w:jc w:val="both"/>
        <w:rPr>
          <w:color w:val="000000" w:themeColor="text1"/>
          <w:lang w:val="fr-FR"/>
        </w:rPr>
      </w:pPr>
      <w:r>
        <w:rPr>
          <w:color w:val="000000" w:themeColor="text1"/>
          <w:lang w:val="fr-FR"/>
        </w:rPr>
        <w:t>Échange des modèles de bonnes pratiques aux niveaux national et international (si possible).</w:t>
      </w:r>
    </w:p>
    <w:p w14:paraId="3184D5AE" w14:textId="0723EFF2" w:rsidR="00175272" w:rsidRPr="006F4D4F" w:rsidRDefault="00075CD4" w:rsidP="004C4222">
      <w:pPr>
        <w:pStyle w:val="Paragraphedeliste"/>
        <w:numPr>
          <w:ilvl w:val="0"/>
          <w:numId w:val="14"/>
        </w:numPr>
        <w:spacing w:after="80" w:line="276" w:lineRule="auto"/>
        <w:ind w:left="714" w:hanging="357"/>
        <w:contextualSpacing w:val="0"/>
        <w:jc w:val="both"/>
        <w:rPr>
          <w:color w:val="000000" w:themeColor="text1"/>
          <w:lang w:val="fr-FR"/>
        </w:rPr>
      </w:pPr>
      <w:r>
        <w:rPr>
          <w:color w:val="000000" w:themeColor="text1"/>
          <w:lang w:val="fr-FR"/>
        </w:rPr>
        <w:t>Mise en relation des principales parties prenantes.</w:t>
      </w:r>
      <w:r w:rsidR="00175272" w:rsidRPr="006F4D4F">
        <w:rPr>
          <w:color w:val="000000" w:themeColor="text1"/>
          <w:lang w:val="fr-FR"/>
        </w:rPr>
        <w:t xml:space="preserve"> </w:t>
      </w:r>
    </w:p>
    <w:p w14:paraId="50064D3A" w14:textId="65BEBA15" w:rsidR="00175272" w:rsidRPr="006F4D4F" w:rsidRDefault="00075CD4" w:rsidP="004C4222">
      <w:pPr>
        <w:pStyle w:val="Paragraphedeliste"/>
        <w:numPr>
          <w:ilvl w:val="0"/>
          <w:numId w:val="14"/>
        </w:numPr>
        <w:spacing w:after="80" w:line="276" w:lineRule="auto"/>
        <w:ind w:left="714" w:hanging="357"/>
        <w:contextualSpacing w:val="0"/>
        <w:jc w:val="both"/>
        <w:rPr>
          <w:color w:val="000000" w:themeColor="text1"/>
          <w:lang w:val="fr-FR"/>
        </w:rPr>
      </w:pPr>
      <w:r>
        <w:rPr>
          <w:color w:val="000000" w:themeColor="text1"/>
          <w:lang w:val="fr-FR"/>
        </w:rPr>
        <w:t>Promotion et facilitation des échanges de connaissances parmi les parties prenantes. Recours aux plateformes existantes (numériques et non numériques) si possible, y compris celles évoquées dans le cadre du domaine d’intervention 1.</w:t>
      </w:r>
    </w:p>
    <w:p w14:paraId="0C200C88" w14:textId="0B032530" w:rsidR="008C10A7" w:rsidRPr="006F4D4F" w:rsidRDefault="00B561A9" w:rsidP="004C4222">
      <w:pPr>
        <w:pStyle w:val="Titre3"/>
        <w:spacing w:line="276" w:lineRule="auto"/>
      </w:pPr>
      <w:bookmarkStart w:id="84" w:name="_Toc44423191"/>
      <w:bookmarkStart w:id="85" w:name="_Toc44423709"/>
      <w:bookmarkStart w:id="86" w:name="_Toc54336678"/>
      <w:r>
        <w:t xml:space="preserve">1.5.2 </w:t>
      </w:r>
      <w:r w:rsidR="008C10A7">
        <w:t xml:space="preserve">Modes </w:t>
      </w:r>
      <w:bookmarkEnd w:id="84"/>
      <w:bookmarkEnd w:id="85"/>
      <w:r w:rsidR="00075CD4">
        <w:t>de prestation des services</w:t>
      </w:r>
      <w:bookmarkEnd w:id="86"/>
    </w:p>
    <w:p w14:paraId="6502BD4E" w14:textId="4253B60E" w:rsidR="00EE5675" w:rsidRPr="006F4D4F" w:rsidRDefault="3ED482F5" w:rsidP="00C752C0">
      <w:pPr>
        <w:pStyle w:val="BTCBodyText"/>
        <w:jc w:val="left"/>
      </w:pPr>
      <w:r>
        <w:rPr>
          <w:noProof/>
          <w:lang w:val="fr-FR" w:eastAsia="fr-FR"/>
        </w:rPr>
        <w:drawing>
          <wp:inline distT="0" distB="0" distL="0" distR="0" wp14:anchorId="095F6C43" wp14:editId="3216D278">
            <wp:extent cx="5400675" cy="3028950"/>
            <wp:effectExtent l="0" t="0" r="0" b="0"/>
            <wp:docPr id="560733320" name="Image 56073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675" cy="3028950"/>
                    </a:xfrm>
                    <a:prstGeom prst="rect">
                      <a:avLst/>
                    </a:prstGeom>
                  </pic:spPr>
                </pic:pic>
              </a:graphicData>
            </a:graphic>
          </wp:inline>
        </w:drawing>
      </w:r>
    </w:p>
    <w:p w14:paraId="6217D947" w14:textId="3F10E439" w:rsidR="009E56D6" w:rsidRPr="006F4D4F" w:rsidRDefault="00075CD4" w:rsidP="00DA343D">
      <w:pPr>
        <w:pStyle w:val="BTCBodyText"/>
        <w:rPr>
          <w:lang w:val="fr-FR"/>
        </w:rPr>
      </w:pPr>
      <w:r>
        <w:rPr>
          <w:lang w:val="fr-FR"/>
        </w:rPr>
        <w:t>Pour des projets efficaces, il est indispensable de mettre au point des modes de prestation des services clairement définis, avec des points d’entrée adéquats. L</w:t>
      </w:r>
      <w:r w:rsidR="003D4404">
        <w:rPr>
          <w:lang w:val="fr-FR"/>
        </w:rPr>
        <w:t>’organigramme</w:t>
      </w:r>
      <w:r>
        <w:rPr>
          <w:lang w:val="fr-FR"/>
        </w:rPr>
        <w:t xml:space="preserve"> ci-dessus </w:t>
      </w:r>
      <w:r w:rsidR="002906F1">
        <w:rPr>
          <w:lang w:val="fr-FR"/>
        </w:rPr>
        <w:t xml:space="preserve">illustre le processus qui sépare </w:t>
      </w:r>
      <w:r w:rsidR="003D4404">
        <w:rPr>
          <w:lang w:val="fr-FR"/>
        </w:rPr>
        <w:t xml:space="preserve">l’investissement européen </w:t>
      </w:r>
      <w:r w:rsidR="002906F1">
        <w:rPr>
          <w:lang w:val="fr-FR"/>
        </w:rPr>
        <w:t xml:space="preserve">de </w:t>
      </w:r>
      <w:r w:rsidR="003D4404">
        <w:rPr>
          <w:lang w:val="fr-FR"/>
        </w:rPr>
        <w:t xml:space="preserve">l’emploi, en se concentrant sur les partenaires / parties prenantes et </w:t>
      </w:r>
      <w:r w:rsidR="002906F1">
        <w:rPr>
          <w:lang w:val="fr-FR"/>
        </w:rPr>
        <w:t xml:space="preserve">sur le </w:t>
      </w:r>
      <w:r w:rsidR="003D4404">
        <w:rPr>
          <w:lang w:val="fr-FR"/>
        </w:rPr>
        <w:t xml:space="preserve">rôle </w:t>
      </w:r>
      <w:r w:rsidR="002906F1">
        <w:rPr>
          <w:lang w:val="fr-FR"/>
        </w:rPr>
        <w:t xml:space="preserve">qu’ils jouent </w:t>
      </w:r>
      <w:r w:rsidR="003D4404">
        <w:rPr>
          <w:lang w:val="fr-FR"/>
        </w:rPr>
        <w:t>pour favoriser le succès de l’action. Il existe plusieurs points d’entrée où l’action peut être appliquée et les projets placés. Chaque point d’entrée peut être lié à un ou plusieurs domaines d’intervention décrits au chapitre « Théorie du changement ».</w:t>
      </w:r>
      <w:r w:rsidR="00A72875" w:rsidRPr="006F4D4F">
        <w:rPr>
          <w:lang w:val="fr-FR"/>
        </w:rPr>
        <w:t xml:space="preserve"> </w:t>
      </w:r>
    </w:p>
    <w:p w14:paraId="3BF0B080" w14:textId="7FC34A7E" w:rsidR="00DA343D" w:rsidRPr="006F4D4F" w:rsidRDefault="003D4404" w:rsidP="00DA343D">
      <w:pPr>
        <w:pStyle w:val="BTCBodyText"/>
        <w:rPr>
          <w:lang w:val="fr-FR"/>
        </w:rPr>
      </w:pPr>
      <w:r>
        <w:rPr>
          <w:lang w:val="fr-FR"/>
        </w:rPr>
        <w:t xml:space="preserve">Le premier point d’entrée (1 dans l’organigramme), où l’action </w:t>
      </w:r>
      <w:r w:rsidR="002906F1">
        <w:rPr>
          <w:lang w:val="fr-FR"/>
        </w:rPr>
        <w:t>est susceptible d’</w:t>
      </w:r>
      <w:r>
        <w:rPr>
          <w:lang w:val="fr-FR"/>
        </w:rPr>
        <w:t xml:space="preserve">avoir un impact, est l’apport d’un appui au dialogue public-privé structuré (voir domaine d’intervention 1). L’interlocuteur pays de la </w:t>
      </w:r>
      <w:r w:rsidR="00171CC9" w:rsidRPr="006F4D4F">
        <w:rPr>
          <w:lang w:val="fr-FR"/>
        </w:rPr>
        <w:t xml:space="preserve">VET Toolbox </w:t>
      </w:r>
      <w:r w:rsidR="00E845D3" w:rsidRPr="006F4D4F">
        <w:rPr>
          <w:lang w:val="fr-FR"/>
        </w:rPr>
        <w:t>2</w:t>
      </w:r>
      <w:r>
        <w:rPr>
          <w:lang w:val="fr-FR"/>
        </w:rPr>
        <w:t xml:space="preserve">, en coordination avec la Délégation de l’Union européenne, peut jouer </w:t>
      </w:r>
      <w:r w:rsidR="002906F1">
        <w:rPr>
          <w:lang w:val="fr-FR"/>
        </w:rPr>
        <w:t xml:space="preserve">ici </w:t>
      </w:r>
      <w:r>
        <w:rPr>
          <w:lang w:val="fr-FR"/>
        </w:rPr>
        <w:t xml:space="preserve">un rôle de médiateur. Selon le contexte national, la </w:t>
      </w:r>
      <w:r w:rsidR="00F240D5">
        <w:rPr>
          <w:lang w:val="fr-FR"/>
        </w:rPr>
        <w:t>DUE</w:t>
      </w:r>
      <w:r>
        <w:rPr>
          <w:lang w:val="fr-FR"/>
        </w:rPr>
        <w:t xml:space="preserve"> peut jouer un rôle consultatif sur quelles parties prenantes inclure dans ces forums de dialogue et sur comment établir des liens avec les plateformes</w:t>
      </w:r>
      <w:r w:rsidR="00671EB4">
        <w:rPr>
          <w:lang w:val="fr-FR"/>
        </w:rPr>
        <w:t xml:space="preserve"> de dialogue existantes. On aura recours au réseau et aux capacités de la </w:t>
      </w:r>
      <w:r w:rsidR="00F240D5">
        <w:rPr>
          <w:lang w:val="fr-FR"/>
        </w:rPr>
        <w:t>DUE</w:t>
      </w:r>
      <w:r w:rsidR="00671EB4">
        <w:rPr>
          <w:lang w:val="fr-FR"/>
        </w:rPr>
        <w:t xml:space="preserve"> et on s’appuiera sur ceux-ci chaque fois que possible. La </w:t>
      </w:r>
      <w:r w:rsidR="002906F1">
        <w:rPr>
          <w:lang w:val="fr-FR"/>
        </w:rPr>
        <w:t xml:space="preserve">VET </w:t>
      </w:r>
      <w:r w:rsidR="00671EB4">
        <w:rPr>
          <w:lang w:val="fr-FR"/>
        </w:rPr>
        <w:t xml:space="preserve">Toolbox 2 pourrait, par exemple, faciliter ou mettre en place un lieu de discussion dans lequel les acteurs concernés se rassemblent pour échanger leurs vues sur la façon d’améliorer le </w:t>
      </w:r>
      <w:r w:rsidR="0068294B">
        <w:rPr>
          <w:lang w:val="fr-FR"/>
        </w:rPr>
        <w:t>développement des compétences</w:t>
      </w:r>
      <w:r w:rsidR="00671EB4">
        <w:rPr>
          <w:lang w:val="fr-FR"/>
        </w:rPr>
        <w:t xml:space="preserve"> axé sur la demande dans un secteur donné.</w:t>
      </w:r>
    </w:p>
    <w:p w14:paraId="459278E9" w14:textId="24A01553" w:rsidR="00DA343D" w:rsidRPr="006F4D4F" w:rsidRDefault="00671EB4" w:rsidP="00DA343D">
      <w:pPr>
        <w:pStyle w:val="BTCBodyText"/>
        <w:rPr>
          <w:lang w:val="fr-FR"/>
        </w:rPr>
      </w:pPr>
      <w:r>
        <w:rPr>
          <w:lang w:val="fr-FR"/>
        </w:rPr>
        <w:t>Si l’action</w:t>
      </w:r>
      <w:r w:rsidR="002906F1">
        <w:rPr>
          <w:lang w:val="fr-FR"/>
        </w:rPr>
        <w:t>, certes,</w:t>
      </w:r>
      <w:r>
        <w:rPr>
          <w:lang w:val="fr-FR"/>
        </w:rPr>
        <w:t xml:space="preserve"> se concentre sur les investissements issus des initiatives de la Commission européenne, comme le PIE, elle intègre cependant un certain degré de souplesse. Cette souplesse </w:t>
      </w:r>
      <w:r w:rsidR="002906F1">
        <w:rPr>
          <w:lang w:val="fr-FR"/>
        </w:rPr>
        <w:t xml:space="preserve">lui </w:t>
      </w:r>
      <w:r>
        <w:rPr>
          <w:lang w:val="fr-FR"/>
        </w:rPr>
        <w:t xml:space="preserve">donne les moyens de mettre en œuvre des activités aussi dans les pays dans lesquels les investissements de la Commission européenne ne sont pas encore </w:t>
      </w:r>
      <w:r w:rsidR="00922121">
        <w:rPr>
          <w:lang w:val="fr-FR"/>
        </w:rPr>
        <w:t>assurés</w:t>
      </w:r>
      <w:r>
        <w:rPr>
          <w:lang w:val="fr-FR"/>
        </w:rPr>
        <w:t>, où dans lesquels d’autres investissements européens vont probablement avoir un fort impact sur le marché du travail local. Cette approche limite le risque de dépendance au PIE. Travailler avec les investisseurs au niveau local offre l’avantage supplémentaire de pouvoir collaborer sur des activités très concrètes, notamment lorsque les projets d’investissement ont déjà commencé (2 dans l’organigramme). La collaboration avec ces investisseurs peut les amener à participer aux forums de dialogue dans le cadre du domaine d’intervention 1</w:t>
      </w:r>
      <w:r w:rsidR="00DB7CF2">
        <w:rPr>
          <w:lang w:val="fr-FR"/>
        </w:rPr>
        <w:t xml:space="preserve">, mais également aux projets de </w:t>
      </w:r>
      <w:r w:rsidR="0068294B">
        <w:rPr>
          <w:lang w:val="fr-FR"/>
        </w:rPr>
        <w:t>développement des compétences</w:t>
      </w:r>
      <w:r w:rsidR="00DB7CF2">
        <w:rPr>
          <w:lang w:val="fr-FR"/>
        </w:rPr>
        <w:t xml:space="preserve"> directs prévus dans le cadre du domaine d’intervention 2.</w:t>
      </w:r>
      <w:r w:rsidR="00A72875" w:rsidRPr="006F4D4F">
        <w:rPr>
          <w:lang w:val="fr-FR"/>
        </w:rPr>
        <w:t xml:space="preserve"> </w:t>
      </w:r>
    </w:p>
    <w:p w14:paraId="5E96E24B" w14:textId="00CF47BD" w:rsidR="00DA343D" w:rsidRPr="006F4D4F" w:rsidRDefault="00A72875" w:rsidP="00DA343D">
      <w:pPr>
        <w:pStyle w:val="BTCBodyText"/>
        <w:rPr>
          <w:lang w:val="fr-FR"/>
        </w:rPr>
      </w:pPr>
      <w:r w:rsidRPr="006F4D4F">
        <w:rPr>
          <w:lang w:val="fr-FR"/>
        </w:rPr>
        <w:t>A</w:t>
      </w:r>
      <w:r w:rsidR="00DB7CF2">
        <w:rPr>
          <w:lang w:val="fr-FR"/>
        </w:rPr>
        <w:t xml:space="preserve">u niveau national, il sera essentiel de collaborer avec les employeurs ou entreprises locaux dans la chaîne de valeur et d’approvisionnement et de les accompagner pour assurer le succès de l’action (3 dans l’organigramme). </w:t>
      </w:r>
      <w:r w:rsidR="00922121">
        <w:rPr>
          <w:lang w:val="fr-FR"/>
        </w:rPr>
        <w:t>Qu’il s’agisse de</w:t>
      </w:r>
      <w:r w:rsidR="00DB7CF2">
        <w:rPr>
          <w:lang w:val="fr-FR"/>
        </w:rPr>
        <w:t xml:space="preserve"> faire progresser le niveau de certification des travailleurs dans une petite entreprise ou </w:t>
      </w:r>
      <w:r w:rsidR="00922121">
        <w:rPr>
          <w:lang w:val="fr-FR"/>
        </w:rPr>
        <w:t xml:space="preserve">de </w:t>
      </w:r>
      <w:r w:rsidR="00DB7CF2">
        <w:rPr>
          <w:lang w:val="fr-FR"/>
        </w:rPr>
        <w:t>favoriser le lien entre les prestataires de formation locaux et ces entreprises, l’accompagnement des structures locales pour leur permettre d’intégrer les investissements internationaux et d’en retirer un bénéfice sera au cœur de l’action (voir domaine d’intervention 2).</w:t>
      </w:r>
      <w:r w:rsidRPr="006F4D4F">
        <w:rPr>
          <w:lang w:val="fr-FR"/>
        </w:rPr>
        <w:t xml:space="preserve"> </w:t>
      </w:r>
    </w:p>
    <w:p w14:paraId="23A006B7" w14:textId="05539CD7" w:rsidR="00DA343D" w:rsidRPr="006F4D4F" w:rsidRDefault="00DB7CF2" w:rsidP="00DA343D">
      <w:pPr>
        <w:pStyle w:val="BTCBodyText"/>
        <w:rPr>
          <w:lang w:val="fr-FR"/>
        </w:rPr>
      </w:pPr>
      <w:r>
        <w:rPr>
          <w:lang w:val="fr-FR"/>
        </w:rPr>
        <w:t xml:space="preserve">Pour la plupart, les prestataires de formation dans les pays africains ne sont pas en position de savoir quelles sont les compétences nécessaires dans le contexte d’un investissement. </w:t>
      </w:r>
      <w:r w:rsidR="00922121">
        <w:rPr>
          <w:lang w:val="fr-FR"/>
        </w:rPr>
        <w:t>Sur ce point</w:t>
      </w:r>
      <w:r w:rsidR="00C223EA">
        <w:rPr>
          <w:lang w:val="fr-FR"/>
        </w:rPr>
        <w:t xml:space="preserve">, la </w:t>
      </w:r>
      <w:r w:rsidR="00922121">
        <w:rPr>
          <w:lang w:val="fr-FR"/>
        </w:rPr>
        <w:t xml:space="preserve">VET </w:t>
      </w:r>
      <w:r w:rsidR="00C223EA">
        <w:rPr>
          <w:lang w:val="fr-FR"/>
        </w:rPr>
        <w:t xml:space="preserve">Toolbox 2 sera capable de nouer le dialogue avec les autorités en charge de </w:t>
      </w:r>
      <w:r w:rsidR="00F240D5">
        <w:rPr>
          <w:lang w:val="fr-FR"/>
        </w:rPr>
        <w:t>l’EFP</w:t>
      </w:r>
      <w:r w:rsidR="00C223EA">
        <w:rPr>
          <w:lang w:val="fr-FR"/>
        </w:rPr>
        <w:t xml:space="preserve"> au niveau local, ainsi qu’avec les écoles</w:t>
      </w:r>
      <w:r w:rsidR="00922121">
        <w:rPr>
          <w:lang w:val="fr-FR"/>
        </w:rPr>
        <w:t>,</w:t>
      </w:r>
      <w:r w:rsidR="00C223EA">
        <w:rPr>
          <w:lang w:val="fr-FR"/>
        </w:rPr>
        <w:t xml:space="preserve"> dans le but de leur donner les moyens d’adapter leurs offres de formation à la demande du secteur d’activité (4 dans l’organigramme et domaines d’intervention 1 et 2).</w:t>
      </w:r>
    </w:p>
    <w:p w14:paraId="383F6480" w14:textId="7D0AA0BE" w:rsidR="00474EDD" w:rsidRPr="006F4D4F" w:rsidRDefault="00C223EA" w:rsidP="001D6523">
      <w:pPr>
        <w:pStyle w:val="BTCBodyText"/>
        <w:spacing w:before="240"/>
        <w:rPr>
          <w:b/>
          <w:lang w:val="fr-FR"/>
        </w:rPr>
      </w:pPr>
      <w:r>
        <w:rPr>
          <w:b/>
          <w:lang w:val="fr-FR"/>
        </w:rPr>
        <w:t>Périmètre géographique</w:t>
      </w:r>
    </w:p>
    <w:p w14:paraId="574B29B9" w14:textId="663764EA" w:rsidR="00937FBD" w:rsidRPr="006F4D4F" w:rsidRDefault="00C223EA" w:rsidP="00474EDD">
      <w:pPr>
        <w:pStyle w:val="BTCBodyText"/>
        <w:rPr>
          <w:lang w:val="fr-FR"/>
        </w:rPr>
      </w:pPr>
      <w:r>
        <w:rPr>
          <w:lang w:val="fr-FR"/>
        </w:rPr>
        <w:t>Les pays dans lesquels l’action mettr</w:t>
      </w:r>
      <w:r w:rsidR="00922121">
        <w:rPr>
          <w:lang w:val="fr-FR"/>
        </w:rPr>
        <w:t>a</w:t>
      </w:r>
      <w:r>
        <w:rPr>
          <w:lang w:val="fr-FR"/>
        </w:rPr>
        <w:t xml:space="preserve"> en œuvre ses activités ont été retenus à la suite d’un processus décisionnel collaboratif entre </w:t>
      </w:r>
      <w:r w:rsidR="005C1761" w:rsidRPr="006F4D4F">
        <w:rPr>
          <w:lang w:val="fr-FR"/>
        </w:rPr>
        <w:t xml:space="preserve">EU DEVCO </w:t>
      </w:r>
      <w:r>
        <w:rPr>
          <w:lang w:val="fr-FR"/>
        </w:rPr>
        <w:t xml:space="preserve">et les partenaires du </w:t>
      </w:r>
      <w:r w:rsidR="005C1761" w:rsidRPr="006F4D4F">
        <w:rPr>
          <w:lang w:val="fr-FR"/>
        </w:rPr>
        <w:t>consortium</w:t>
      </w:r>
      <w:r w:rsidR="00922121">
        <w:rPr>
          <w:lang w:val="fr-FR"/>
        </w:rPr>
        <w:t>,</w:t>
      </w:r>
      <w:r w:rsidR="005C1761" w:rsidRPr="006F4D4F">
        <w:rPr>
          <w:lang w:val="fr-FR"/>
        </w:rPr>
        <w:t xml:space="preserve"> </w:t>
      </w:r>
      <w:r>
        <w:rPr>
          <w:lang w:val="fr-FR"/>
        </w:rPr>
        <w:t>dans le cadre du processus de rédaction de la Description de l’action. Le résultat est une liste de 11 pays (voir ci-dessous), dans lesquels les 11 interventions seront mises en œuvre.</w:t>
      </w:r>
      <w:r w:rsidR="00937FBD" w:rsidRPr="006F4D4F">
        <w:rPr>
          <w:lang w:val="fr-FR"/>
        </w:rPr>
        <w:t xml:space="preserve"> </w:t>
      </w:r>
    </w:p>
    <w:p w14:paraId="789281A0" w14:textId="04346CAA" w:rsidR="006A1784" w:rsidRPr="006F4D4F" w:rsidRDefault="00C223EA" w:rsidP="00474EDD">
      <w:pPr>
        <w:pStyle w:val="BTCBodyText"/>
        <w:rPr>
          <w:lang w:val="fr-FR"/>
        </w:rPr>
      </w:pPr>
      <w:r>
        <w:rPr>
          <w:lang w:val="fr-FR"/>
        </w:rPr>
        <w:t>Liste indicative des pays retenus :</w:t>
      </w:r>
    </w:p>
    <w:p w14:paraId="07478A82" w14:textId="751F3359" w:rsidR="006A1784" w:rsidRPr="006F4D4F" w:rsidRDefault="00C223EA" w:rsidP="00474EDD">
      <w:pPr>
        <w:pStyle w:val="BTCBodyText"/>
        <w:rPr>
          <w:i/>
          <w:lang w:val="fr-FR"/>
        </w:rPr>
      </w:pPr>
      <w:r>
        <w:rPr>
          <w:i/>
          <w:lang w:val="fr-FR"/>
        </w:rPr>
        <w:t xml:space="preserve">Côte d’Ivoire, République du </w:t>
      </w:r>
      <w:r w:rsidR="007B22F8" w:rsidRPr="006F4D4F">
        <w:rPr>
          <w:i/>
          <w:lang w:val="fr-FR"/>
        </w:rPr>
        <w:t xml:space="preserve">Congo, </w:t>
      </w:r>
      <w:r>
        <w:rPr>
          <w:i/>
          <w:lang w:val="fr-FR"/>
        </w:rPr>
        <w:t xml:space="preserve">République démocratique du </w:t>
      </w:r>
      <w:r w:rsidR="007B22F8" w:rsidRPr="006F4D4F">
        <w:rPr>
          <w:i/>
          <w:lang w:val="fr-FR"/>
        </w:rPr>
        <w:t>Congo, Ghana, Kenya, Malawi, Mozambique, Nigeria, S</w:t>
      </w:r>
      <w:r>
        <w:rPr>
          <w:i/>
          <w:lang w:val="fr-FR"/>
        </w:rPr>
        <w:t>é</w:t>
      </w:r>
      <w:r w:rsidR="007B22F8" w:rsidRPr="006F4D4F">
        <w:rPr>
          <w:i/>
          <w:lang w:val="fr-FR"/>
        </w:rPr>
        <w:t>n</w:t>
      </w:r>
      <w:r>
        <w:rPr>
          <w:i/>
          <w:lang w:val="fr-FR"/>
        </w:rPr>
        <w:t>é</w:t>
      </w:r>
      <w:r w:rsidR="007B22F8" w:rsidRPr="006F4D4F">
        <w:rPr>
          <w:i/>
          <w:lang w:val="fr-FR"/>
        </w:rPr>
        <w:t>gal, Tanzani</w:t>
      </w:r>
      <w:r>
        <w:rPr>
          <w:i/>
          <w:lang w:val="fr-FR"/>
        </w:rPr>
        <w:t>e</w:t>
      </w:r>
      <w:r w:rsidR="007B22F8" w:rsidRPr="006F4D4F">
        <w:rPr>
          <w:i/>
          <w:lang w:val="fr-FR"/>
        </w:rPr>
        <w:t xml:space="preserve">, </w:t>
      </w:r>
      <w:r>
        <w:rPr>
          <w:i/>
          <w:lang w:val="fr-FR"/>
        </w:rPr>
        <w:t>Oug</w:t>
      </w:r>
      <w:r w:rsidR="007B22F8" w:rsidRPr="006F4D4F">
        <w:rPr>
          <w:i/>
          <w:lang w:val="fr-FR"/>
        </w:rPr>
        <w:t>anda</w:t>
      </w:r>
      <w:r>
        <w:rPr>
          <w:i/>
          <w:lang w:val="fr-FR"/>
        </w:rPr>
        <w:t>.</w:t>
      </w:r>
    </w:p>
    <w:p w14:paraId="3C62F2F8" w14:textId="3A2EB8B3" w:rsidR="004E2AB9" w:rsidRPr="006F4D4F" w:rsidRDefault="00C223EA" w:rsidP="004E2AB9">
      <w:pPr>
        <w:pStyle w:val="BTCBodyText"/>
        <w:rPr>
          <w:lang w:val="fr-FR"/>
        </w:rPr>
      </w:pPr>
      <w:r>
        <w:rPr>
          <w:lang w:val="fr-FR"/>
        </w:rPr>
        <w:t xml:space="preserve">Il sera possible d’échanger les pays s’il se révèle pendant la phase </w:t>
      </w:r>
      <w:r w:rsidR="00922121">
        <w:rPr>
          <w:lang w:val="fr-FR"/>
        </w:rPr>
        <w:t>préparatoire</w:t>
      </w:r>
      <w:r>
        <w:rPr>
          <w:lang w:val="fr-FR"/>
        </w:rPr>
        <w:t xml:space="preserve"> que le potentiel de réussite de la mise en œuvre n’est pas suffisant OU si la situation en matière de sécurité ne permet pas l’exécution des activités.</w:t>
      </w:r>
      <w:r w:rsidR="006A1784" w:rsidRPr="006F4D4F">
        <w:rPr>
          <w:lang w:val="fr-FR"/>
        </w:rPr>
        <w:t xml:space="preserve"> </w:t>
      </w:r>
    </w:p>
    <w:p w14:paraId="698D0502" w14:textId="77777777" w:rsidR="004E2AB9" w:rsidRPr="006F4D4F" w:rsidRDefault="004E2AB9" w:rsidP="004E2AB9">
      <w:pPr>
        <w:pStyle w:val="BTCBodyText"/>
        <w:rPr>
          <w:lang w:val="fr-FR"/>
        </w:rPr>
      </w:pPr>
    </w:p>
    <w:p w14:paraId="6B2773B4" w14:textId="490CBF50" w:rsidR="004E2AB9" w:rsidRPr="006F4D4F" w:rsidRDefault="00C223EA" w:rsidP="004E2AB9">
      <w:pPr>
        <w:pStyle w:val="BTCBodyText"/>
        <w:pBdr>
          <w:top w:val="single" w:sz="4" w:space="1" w:color="auto"/>
          <w:bottom w:val="single" w:sz="4" w:space="1" w:color="auto"/>
        </w:pBdr>
        <w:rPr>
          <w:b/>
          <w:i/>
          <w:lang w:val="fr-FR"/>
        </w:rPr>
      </w:pPr>
      <w:r>
        <w:rPr>
          <w:b/>
          <w:i/>
          <w:lang w:val="fr-FR"/>
        </w:rPr>
        <w:t xml:space="preserve">La </w:t>
      </w:r>
      <w:r w:rsidR="004E2AB9" w:rsidRPr="006F4D4F">
        <w:rPr>
          <w:b/>
          <w:i/>
          <w:lang w:val="fr-FR"/>
        </w:rPr>
        <w:t xml:space="preserve">description </w:t>
      </w:r>
      <w:r>
        <w:rPr>
          <w:b/>
          <w:i/>
          <w:lang w:val="fr-FR"/>
        </w:rPr>
        <w:t>suivante du processus de mise en œuvre se veut une présentation indicative de la façon dont il est possible de développer les opportunités pour les interventions du projet dans le cadre de l’action.</w:t>
      </w:r>
    </w:p>
    <w:p w14:paraId="572A45BE" w14:textId="77777777" w:rsidR="00855DB4" w:rsidRPr="006F4D4F" w:rsidRDefault="00855DB4">
      <w:pPr>
        <w:spacing w:before="0"/>
        <w:rPr>
          <w:lang w:val="fr-FR"/>
        </w:rPr>
        <w:sectPr w:rsidR="00855DB4" w:rsidRPr="006F4D4F" w:rsidSect="001C65EA">
          <w:pgSz w:w="11907" w:h="16839" w:code="9"/>
          <w:pgMar w:top="1418" w:right="1871" w:bottom="1531" w:left="1531" w:header="720" w:footer="907" w:gutter="0"/>
          <w:cols w:space="720"/>
          <w:docGrid w:linePitch="272"/>
        </w:sectPr>
      </w:pPr>
    </w:p>
    <w:p w14:paraId="3E18D757" w14:textId="35D892DD" w:rsidR="00855DB4" w:rsidRPr="006F4D4F" w:rsidRDefault="00017554">
      <w:pPr>
        <w:spacing w:before="0"/>
        <w:rPr>
          <w:b/>
          <w:lang w:val="fr-FR"/>
        </w:rPr>
        <w:sectPr w:rsidR="00855DB4" w:rsidRPr="006F4D4F" w:rsidSect="00855DB4">
          <w:pgSz w:w="16839" w:h="11907" w:orient="landscape" w:code="9"/>
          <w:pgMar w:top="1531" w:right="1418" w:bottom="1871" w:left="1531" w:header="720" w:footer="907" w:gutter="0"/>
          <w:cols w:space="720"/>
          <w:docGrid w:linePitch="272"/>
        </w:sectPr>
      </w:pPr>
      <w:r>
        <w:rPr>
          <w:noProof/>
          <w:lang w:val="fr-FR" w:eastAsia="fr-FR"/>
        </w:rPr>
        <w:drawing>
          <wp:anchor distT="0" distB="0" distL="114300" distR="114300" simplePos="0" relativeHeight="251658240" behindDoc="1" locked="0" layoutInCell="1" allowOverlap="1" wp14:anchorId="23390C5D" wp14:editId="2DE3E179">
            <wp:simplePos x="0" y="0"/>
            <wp:positionH relativeFrom="column">
              <wp:posOffset>-680720</wp:posOffset>
            </wp:positionH>
            <wp:positionV relativeFrom="paragraph">
              <wp:posOffset>-210185</wp:posOffset>
            </wp:positionV>
            <wp:extent cx="10240010" cy="5664200"/>
            <wp:effectExtent l="0" t="0" r="8890" b="0"/>
            <wp:wrapTight wrapText="bothSides">
              <wp:wrapPolygon edited="0">
                <wp:start x="0" y="0"/>
                <wp:lineTo x="0" y="21503"/>
                <wp:lineTo x="21579" y="21503"/>
                <wp:lineTo x="215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40010" cy="5664200"/>
                    </a:xfrm>
                    <a:prstGeom prst="rect">
                      <a:avLst/>
                    </a:prstGeom>
                  </pic:spPr>
                </pic:pic>
              </a:graphicData>
            </a:graphic>
            <wp14:sizeRelH relativeFrom="page">
              <wp14:pctWidth>0</wp14:pctWidth>
            </wp14:sizeRelH>
            <wp14:sizeRelV relativeFrom="page">
              <wp14:pctHeight>0</wp14:pctHeight>
            </wp14:sizeRelV>
          </wp:anchor>
        </w:drawing>
      </w:r>
    </w:p>
    <w:p w14:paraId="4A667F79" w14:textId="44F89E38" w:rsidR="00A0591A" w:rsidRPr="006F4D4F" w:rsidRDefault="00017554" w:rsidP="001D6523">
      <w:pPr>
        <w:pStyle w:val="BTCBodyText"/>
        <w:spacing w:before="240"/>
        <w:rPr>
          <w:b/>
          <w:lang w:val="fr-FR"/>
        </w:rPr>
      </w:pPr>
      <w:r>
        <w:rPr>
          <w:b/>
          <w:lang w:val="fr-FR"/>
        </w:rPr>
        <w:t>Recensement</w:t>
      </w:r>
      <w:r w:rsidR="004D51CB">
        <w:rPr>
          <w:b/>
          <w:lang w:val="fr-FR"/>
        </w:rPr>
        <w:t xml:space="preserve"> des opportunités</w:t>
      </w:r>
      <w:r w:rsidR="006A1784" w:rsidRPr="006F4D4F">
        <w:rPr>
          <w:b/>
          <w:lang w:val="fr-FR"/>
        </w:rPr>
        <w:t xml:space="preserve"> </w:t>
      </w:r>
    </w:p>
    <w:p w14:paraId="2A180BB6" w14:textId="6600BBFC" w:rsidR="006A1784" w:rsidRPr="006F4D4F" w:rsidRDefault="00C02285" w:rsidP="00474EDD">
      <w:pPr>
        <w:pStyle w:val="BTCBodyText"/>
        <w:rPr>
          <w:lang w:val="fr-FR"/>
        </w:rPr>
      </w:pPr>
      <w:r>
        <w:rPr>
          <w:lang w:val="fr-FR"/>
        </w:rPr>
        <w:t xml:space="preserve">Les activités préparatoires établiront les secteurs de potentiel économique et d’emploi, liés à un investissement européen, ou soutenu par l’Union européenne, </w:t>
      </w:r>
      <w:r w:rsidR="00922121">
        <w:rPr>
          <w:lang w:val="fr-FR"/>
        </w:rPr>
        <w:t xml:space="preserve">créant </w:t>
      </w:r>
      <w:r>
        <w:rPr>
          <w:lang w:val="fr-FR"/>
        </w:rPr>
        <w:t>des opportunités locales. Dans chaque pays partenaire une agence d’exécution jouera le rôle de chef de file. Les activités de recensement des opportunités seront accompagnées d’activités organisationnelles ou de mise en place dans les pays respectifs, en préparation de la mise en œuvre.</w:t>
      </w:r>
      <w:r w:rsidR="006A1784" w:rsidRPr="006F4D4F">
        <w:rPr>
          <w:lang w:val="fr-FR"/>
        </w:rPr>
        <w:t xml:space="preserve"> </w:t>
      </w:r>
    </w:p>
    <w:p w14:paraId="4B0775F3" w14:textId="310437CA" w:rsidR="00474EDD" w:rsidRPr="006F4D4F" w:rsidRDefault="00C02285" w:rsidP="00474EDD">
      <w:pPr>
        <w:pStyle w:val="BTCBodyText"/>
        <w:rPr>
          <w:lang w:val="fr-FR"/>
        </w:rPr>
      </w:pPr>
      <w:r>
        <w:rPr>
          <w:lang w:val="fr-FR"/>
        </w:rPr>
        <w:t xml:space="preserve">Lors de cette évaluation précoce, les agences d’exécution </w:t>
      </w:r>
      <w:r w:rsidR="00605B27">
        <w:rPr>
          <w:lang w:val="fr-FR"/>
        </w:rPr>
        <w:t xml:space="preserve">concernées </w:t>
      </w:r>
      <w:r>
        <w:rPr>
          <w:lang w:val="fr-FR"/>
        </w:rPr>
        <w:t xml:space="preserve">jouent le rôle de chef de file en étroite collaboration avec la </w:t>
      </w:r>
      <w:r w:rsidR="00017554">
        <w:rPr>
          <w:lang w:val="fr-FR"/>
        </w:rPr>
        <w:t>DUE</w:t>
      </w:r>
      <w:r>
        <w:rPr>
          <w:lang w:val="fr-FR"/>
        </w:rPr>
        <w:t xml:space="preserve">. Le </w:t>
      </w:r>
      <w:r w:rsidR="00605B27">
        <w:rPr>
          <w:lang w:val="fr-FR"/>
        </w:rPr>
        <w:t>Centre de coordination, à</w:t>
      </w:r>
      <w:r>
        <w:rPr>
          <w:lang w:val="fr-FR"/>
        </w:rPr>
        <w:t xml:space="preserve"> Bruxelles</w:t>
      </w:r>
      <w:r w:rsidR="00605B27">
        <w:rPr>
          <w:lang w:val="fr-FR"/>
        </w:rPr>
        <w:t>,</w:t>
      </w:r>
      <w:r>
        <w:rPr>
          <w:lang w:val="fr-FR"/>
        </w:rPr>
        <w:t xml:space="preserve"> appuiera cependant ces activités d’analyse contextuelle et de recherche, à propos notamment du PIE et autres investissements de l’Union européenne. Tandis qu’une part importante de la préparation d’une intervention a lieu dans le pays, le </w:t>
      </w:r>
      <w:r w:rsidR="00605B27">
        <w:rPr>
          <w:lang w:val="fr-FR"/>
        </w:rPr>
        <w:t xml:space="preserve">Centre de coordination </w:t>
      </w:r>
      <w:r>
        <w:rPr>
          <w:lang w:val="fr-FR"/>
        </w:rPr>
        <w:t xml:space="preserve">peut apporter des informations complémentaires sur l’investissement appuyé par l’Union européenne dans </w:t>
      </w:r>
      <w:r w:rsidR="00D616EA">
        <w:rPr>
          <w:lang w:val="fr-FR"/>
        </w:rPr>
        <w:t xml:space="preserve">certains pays et secteurs PIE et sur toutes exigences du marché du travail pertinentes identifiées par </w:t>
      </w:r>
      <w:r w:rsidR="00605B27">
        <w:rPr>
          <w:lang w:val="fr-FR"/>
        </w:rPr>
        <w:t xml:space="preserve">le </w:t>
      </w:r>
      <w:r w:rsidR="00D616EA">
        <w:rPr>
          <w:lang w:val="fr-FR"/>
        </w:rPr>
        <w:t>PIE. Cette analyse donnera à l’action et à l’Union européenne l’assurance que des opportunités d’emploi suffisantes seront créées dans le secteur identifié pour justifier un recensement plus approfondi.</w:t>
      </w:r>
      <w:r w:rsidR="00474EDD" w:rsidRPr="006F4D4F">
        <w:rPr>
          <w:lang w:val="fr-FR"/>
        </w:rPr>
        <w:t xml:space="preserve"> </w:t>
      </w:r>
    </w:p>
    <w:p w14:paraId="320897CE" w14:textId="18B170DC" w:rsidR="003B3546" w:rsidRPr="006F4D4F" w:rsidRDefault="00D616EA" w:rsidP="00474EDD">
      <w:pPr>
        <w:pStyle w:val="BTCBodyText"/>
        <w:rPr>
          <w:lang w:val="fr-FR"/>
        </w:rPr>
      </w:pPr>
      <w:r>
        <w:rPr>
          <w:lang w:val="fr-FR"/>
        </w:rPr>
        <w:t xml:space="preserve">Lorsqu’une opportunité a été identifiée, un recensement détaillé des parties prenantes, du contexte et des points d’entrée possibles intervient. Le but principal de ce recensement est d’évaluer le contexte local, les structures institutionnelles et forums, y compris les processus de dialogue structuré existants (par </w:t>
      </w:r>
      <w:r w:rsidR="00605B27">
        <w:rPr>
          <w:lang w:val="fr-FR"/>
        </w:rPr>
        <w:t xml:space="preserve">le </w:t>
      </w:r>
      <w:r>
        <w:rPr>
          <w:lang w:val="fr-FR"/>
        </w:rPr>
        <w:t xml:space="preserve">dispositif d’assistance technique </w:t>
      </w:r>
      <w:r w:rsidR="00605B27">
        <w:rPr>
          <w:lang w:val="fr-FR"/>
        </w:rPr>
        <w:t xml:space="preserve">du </w:t>
      </w:r>
      <w:r>
        <w:rPr>
          <w:lang w:val="fr-FR"/>
        </w:rPr>
        <w:t xml:space="preserve">PIE par exemple), les plateformes </w:t>
      </w:r>
      <w:r w:rsidRPr="006F4D4F">
        <w:rPr>
          <w:lang w:val="fr-FR"/>
        </w:rPr>
        <w:t xml:space="preserve">Sustainable Business for Africa </w:t>
      </w:r>
      <w:r>
        <w:rPr>
          <w:lang w:val="fr-FR"/>
        </w:rPr>
        <w:t>(SB4A)</w:t>
      </w:r>
      <w:r w:rsidR="006921A1">
        <w:rPr>
          <w:lang w:val="fr-FR"/>
        </w:rPr>
        <w:t xml:space="preserve"> et les conseils sectoriels des compétences et autres entités concernées capables de faire office de partenaires dans la mise au point des interventions. Cette étape identifiera et définira aussi les destinataires, ainsi que les bénéficiaires. Au niveau local, une évaluation contextualisée du potentiel de création d’emplois dans les secteurs qui reçoivent un appui européen sous forme d’investissement aura lieu. Elle évaluera également la capacité actuelle du système de pouvoir tirer profit de l’opportunité présentée par la réserve de projets d’investissement du PIE. À ce stade, le processus d’évaluation de l’opportunité examinera l’environnement institutionnel et son aptitude à soutenir la mise en œuvre de </w:t>
      </w:r>
      <w:r w:rsidR="00474EDD" w:rsidRPr="006F4D4F">
        <w:rPr>
          <w:lang w:val="fr-FR"/>
        </w:rPr>
        <w:t xml:space="preserve">VET Toolbox </w:t>
      </w:r>
      <w:r w:rsidR="00E37324" w:rsidRPr="006F4D4F">
        <w:rPr>
          <w:lang w:val="fr-FR"/>
        </w:rPr>
        <w:t>2</w:t>
      </w:r>
      <w:r w:rsidR="00474EDD" w:rsidRPr="006F4D4F">
        <w:rPr>
          <w:lang w:val="fr-FR"/>
        </w:rPr>
        <w:t xml:space="preserve">. </w:t>
      </w:r>
    </w:p>
    <w:p w14:paraId="17866E53" w14:textId="7DFC9FA6" w:rsidR="00474EDD" w:rsidRPr="006F4D4F" w:rsidRDefault="006921A1" w:rsidP="00474EDD">
      <w:pPr>
        <w:pStyle w:val="BTCBodyText"/>
        <w:rPr>
          <w:lang w:val="fr-FR"/>
        </w:rPr>
      </w:pPr>
      <w:r>
        <w:rPr>
          <w:lang w:val="fr-FR"/>
        </w:rPr>
        <w:t xml:space="preserve">Les résultats du processus de recensement serviront de base à la planification des interventions et activités et au développement du projet. Le consortium et DEVCO, y compris la </w:t>
      </w:r>
      <w:r w:rsidR="00017554">
        <w:rPr>
          <w:lang w:val="fr-FR"/>
        </w:rPr>
        <w:t>DUE</w:t>
      </w:r>
      <w:r>
        <w:rPr>
          <w:lang w:val="fr-FR"/>
        </w:rPr>
        <w:t xml:space="preserve"> dans les différents pays, seront informés des résultats des activités de recensement.</w:t>
      </w:r>
    </w:p>
    <w:p w14:paraId="78690516" w14:textId="7CCD38F3" w:rsidR="00474EDD" w:rsidRPr="006F4D4F" w:rsidRDefault="006921A1" w:rsidP="001D6523">
      <w:pPr>
        <w:pStyle w:val="BTCBodyText"/>
        <w:spacing w:before="240"/>
        <w:rPr>
          <w:b/>
          <w:lang w:val="fr-FR"/>
        </w:rPr>
      </w:pPr>
      <w:r>
        <w:rPr>
          <w:b/>
          <w:lang w:val="fr-FR"/>
        </w:rPr>
        <w:t>Développement de projet</w:t>
      </w:r>
    </w:p>
    <w:p w14:paraId="2AFA8711" w14:textId="187D7C40" w:rsidR="00474EDD" w:rsidRPr="006F4D4F" w:rsidRDefault="006921A1" w:rsidP="00474EDD">
      <w:pPr>
        <w:pStyle w:val="BTCBodyText"/>
        <w:rPr>
          <w:lang w:val="fr-FR"/>
        </w:rPr>
      </w:pPr>
      <w:r>
        <w:rPr>
          <w:lang w:val="fr-FR"/>
        </w:rPr>
        <w:t xml:space="preserve">Cette phase a pour objectif de définir un partenaire chef de file local pour soutenir le projet et développer un concept de projet. En principe, un partenaire du consortium jouera le rôle de chef de file </w:t>
      </w:r>
      <w:r w:rsidR="00605B27">
        <w:rPr>
          <w:lang w:val="fr-FR"/>
        </w:rPr>
        <w:t>chargé d’</w:t>
      </w:r>
      <w:r w:rsidR="00734F73">
        <w:rPr>
          <w:lang w:val="fr-FR"/>
        </w:rPr>
        <w:t xml:space="preserve">élaborer </w:t>
      </w:r>
      <w:r>
        <w:rPr>
          <w:lang w:val="fr-FR"/>
        </w:rPr>
        <w:t>le concept qu’il prévoit de mettre ultérieurement en œuvre.</w:t>
      </w:r>
      <w:r w:rsidR="00734F73">
        <w:rPr>
          <w:lang w:val="fr-FR"/>
        </w:rPr>
        <w:t xml:space="preserve"> Ce concept devra exposer comment le projet prévoit d’accroître l’impact des investissements sur l’emploi local, tout en soutenant la capacité du marché du travail local de répondre à la demande en compétences axée sur l’investissement. La force de ce lien sera un facteur important dans la mise au point du projet. Il importera cependant de montrer que l’intervention ne sera pas trop dépendante d’un seul projet d’investissement mais renforce </w:t>
      </w:r>
      <w:r w:rsidR="00A1329D">
        <w:rPr>
          <w:lang w:val="fr-FR"/>
        </w:rPr>
        <w:t xml:space="preserve">plutôt </w:t>
      </w:r>
      <w:r w:rsidR="00734F73">
        <w:rPr>
          <w:lang w:val="fr-FR"/>
        </w:rPr>
        <w:t>un secteur. C’est dans le cadre de cette étape qu’aura lieu la configuration de la mise en œuvre</w:t>
      </w:r>
      <w:r w:rsidR="00A1329D">
        <w:rPr>
          <w:lang w:val="fr-FR"/>
        </w:rPr>
        <w:t>,</w:t>
      </w:r>
      <w:r w:rsidR="00734F73">
        <w:rPr>
          <w:lang w:val="fr-FR"/>
        </w:rPr>
        <w:t xml:space="preserve"> en termes de domaines de résultat et de poids donné à chacun. L’élaboration du concept définira l’intervention et aboutira à la rédaction définitive du concept, du plan opérationnel et des activités prévues, clairement décrits et communiqués au </w:t>
      </w:r>
      <w:r w:rsidR="00A1329D">
        <w:rPr>
          <w:lang w:val="fr-FR"/>
        </w:rPr>
        <w:t>Centre de coordination</w:t>
      </w:r>
      <w:r w:rsidR="00734F73">
        <w:rPr>
          <w:lang w:val="fr-FR"/>
        </w:rPr>
        <w:t xml:space="preserve"> et à la Délégation de l’Union européenne.</w:t>
      </w:r>
      <w:r w:rsidR="00213B01" w:rsidRPr="006F4D4F">
        <w:rPr>
          <w:lang w:val="fr-FR"/>
        </w:rPr>
        <w:t xml:space="preserve"> </w:t>
      </w:r>
    </w:p>
    <w:p w14:paraId="681C57FD" w14:textId="5F85A049" w:rsidR="00474EDD" w:rsidRPr="006F4D4F" w:rsidRDefault="00734F73" w:rsidP="001D6523">
      <w:pPr>
        <w:pStyle w:val="BTCBodyText"/>
        <w:spacing w:before="240"/>
        <w:rPr>
          <w:b/>
          <w:lang w:val="fr-FR"/>
        </w:rPr>
      </w:pPr>
      <w:r>
        <w:rPr>
          <w:b/>
          <w:lang w:val="fr-FR"/>
        </w:rPr>
        <w:t>Mise en œuvre d</w:t>
      </w:r>
      <w:r w:rsidR="004D7F91">
        <w:rPr>
          <w:b/>
          <w:lang w:val="fr-FR"/>
        </w:rPr>
        <w:t>es</w:t>
      </w:r>
      <w:r>
        <w:rPr>
          <w:b/>
          <w:lang w:val="fr-FR"/>
        </w:rPr>
        <w:t xml:space="preserve"> projet</w:t>
      </w:r>
      <w:r w:rsidR="004D7F91">
        <w:rPr>
          <w:b/>
          <w:lang w:val="fr-FR"/>
        </w:rPr>
        <w:t>s</w:t>
      </w:r>
      <w:r>
        <w:rPr>
          <w:b/>
          <w:lang w:val="fr-FR"/>
        </w:rPr>
        <w:t xml:space="preserve"> </w:t>
      </w:r>
    </w:p>
    <w:p w14:paraId="22686352" w14:textId="441E33D9" w:rsidR="00474EDD" w:rsidRPr="006F4D4F" w:rsidRDefault="00734F73" w:rsidP="00474EDD">
      <w:pPr>
        <w:pStyle w:val="BTCBodyText"/>
        <w:rPr>
          <w:lang w:val="fr-FR"/>
        </w:rPr>
      </w:pPr>
      <w:r>
        <w:rPr>
          <w:lang w:val="fr-FR"/>
        </w:rPr>
        <w:t xml:space="preserve">Les interventions devront ensuite </w:t>
      </w:r>
      <w:r w:rsidR="00A1329D">
        <w:rPr>
          <w:lang w:val="fr-FR"/>
        </w:rPr>
        <w:t>être menées</w:t>
      </w:r>
      <w:r>
        <w:rPr>
          <w:lang w:val="fr-FR"/>
        </w:rPr>
        <w:t xml:space="preserve"> en lien avec les domaines de </w:t>
      </w:r>
      <w:r w:rsidR="007C0281">
        <w:rPr>
          <w:lang w:val="fr-FR"/>
        </w:rPr>
        <w:t>résultats</w:t>
      </w:r>
      <w:r>
        <w:rPr>
          <w:lang w:val="fr-FR"/>
        </w:rPr>
        <w:t xml:space="preserve"> énumérés plus bas. Les i</w:t>
      </w:r>
      <w:r w:rsidR="00474EDD" w:rsidRPr="006F4D4F">
        <w:rPr>
          <w:lang w:val="fr-FR"/>
        </w:rPr>
        <w:t xml:space="preserve">nterventions </w:t>
      </w:r>
      <w:r>
        <w:rPr>
          <w:lang w:val="fr-FR"/>
        </w:rPr>
        <w:t>seront configurées avec</w:t>
      </w:r>
      <w:r w:rsidR="001C1285">
        <w:rPr>
          <w:lang w:val="fr-FR"/>
        </w:rPr>
        <w:t xml:space="preserve"> un accent pondéré particulier sur les domaines de </w:t>
      </w:r>
      <w:r w:rsidR="007C0281">
        <w:rPr>
          <w:lang w:val="fr-FR"/>
        </w:rPr>
        <w:t>résultats</w:t>
      </w:r>
      <w:r w:rsidR="001C1285">
        <w:rPr>
          <w:lang w:val="fr-FR"/>
        </w:rPr>
        <w:t xml:space="preserve">. Pour en savoir plus, voir 1.4 Objectifs et </w:t>
      </w:r>
      <w:r w:rsidR="00A1329D">
        <w:rPr>
          <w:lang w:val="fr-FR"/>
        </w:rPr>
        <w:t>résultats</w:t>
      </w:r>
      <w:r w:rsidR="001C1285">
        <w:rPr>
          <w:lang w:val="fr-FR"/>
        </w:rPr>
        <w:t xml:space="preserve"> et 1.5.1 Théorie du changement. Chaque projet mis au point dans le cadre de la présente action disposera d’un budget approximatif de 800 000 euros.</w:t>
      </w:r>
      <w:r w:rsidR="00213B01" w:rsidRPr="006F4D4F">
        <w:rPr>
          <w:lang w:val="fr-FR"/>
        </w:rPr>
        <w:t xml:space="preserve"> </w:t>
      </w:r>
    </w:p>
    <w:p w14:paraId="62B2126B" w14:textId="0554F72F" w:rsidR="00474EDD" w:rsidRPr="006F4D4F" w:rsidRDefault="001C1285" w:rsidP="001D6523">
      <w:pPr>
        <w:pStyle w:val="BTCBodyText"/>
        <w:spacing w:before="240"/>
        <w:rPr>
          <w:b/>
          <w:lang w:val="fr-FR"/>
        </w:rPr>
      </w:pPr>
      <w:r>
        <w:rPr>
          <w:b/>
          <w:lang w:val="fr-FR"/>
        </w:rPr>
        <w:t>Exigences minimales</w:t>
      </w:r>
    </w:p>
    <w:p w14:paraId="64797E77" w14:textId="7A2F6E16" w:rsidR="00474EDD" w:rsidRPr="006F4D4F" w:rsidRDefault="00474EDD" w:rsidP="00474EDD">
      <w:pPr>
        <w:pStyle w:val="BTCBodyText"/>
        <w:rPr>
          <w:lang w:val="fr-FR"/>
        </w:rPr>
      </w:pPr>
      <w:r w:rsidRPr="006F4D4F">
        <w:rPr>
          <w:lang w:val="fr-FR"/>
        </w:rPr>
        <w:t>I</w:t>
      </w:r>
      <w:r w:rsidR="001C1285">
        <w:rPr>
          <w:lang w:val="fr-FR"/>
        </w:rPr>
        <w:t xml:space="preserve">l est de toute première importance que la </w:t>
      </w:r>
      <w:r w:rsidRPr="006F4D4F">
        <w:rPr>
          <w:lang w:val="fr-FR"/>
        </w:rPr>
        <w:t xml:space="preserve">VET </w:t>
      </w:r>
      <w:r w:rsidR="00AD6EBA" w:rsidRPr="006F4D4F">
        <w:rPr>
          <w:lang w:val="fr-FR"/>
        </w:rPr>
        <w:t>Toolbox</w:t>
      </w:r>
      <w:r w:rsidRPr="006F4D4F">
        <w:rPr>
          <w:lang w:val="fr-FR"/>
        </w:rPr>
        <w:t xml:space="preserve"> 2 </w:t>
      </w:r>
      <w:r w:rsidR="001C1285">
        <w:rPr>
          <w:lang w:val="fr-FR"/>
        </w:rPr>
        <w:t>puisse démontrer la pertinence et l’alignement des interventions au regard d’indicateurs crédibles. Les exigences minimales suggérées pour ce processus comprennent :</w:t>
      </w:r>
    </w:p>
    <w:p w14:paraId="23F59524" w14:textId="3899195A" w:rsidR="00474EDD" w:rsidRPr="006F4D4F" w:rsidRDefault="001C1285" w:rsidP="00DA106F">
      <w:pPr>
        <w:pStyle w:val="BTCBodyText"/>
        <w:numPr>
          <w:ilvl w:val="0"/>
          <w:numId w:val="19"/>
        </w:numPr>
        <w:rPr>
          <w:lang w:val="fr-FR"/>
        </w:rPr>
      </w:pPr>
      <w:r>
        <w:rPr>
          <w:lang w:val="fr-FR"/>
        </w:rPr>
        <w:t>L’opportunité doit apporter la preuve du potentiel de développement dans le pays cible.</w:t>
      </w:r>
    </w:p>
    <w:p w14:paraId="1F674DDD" w14:textId="48090A6C" w:rsidR="00474EDD" w:rsidRPr="006F4D4F" w:rsidRDefault="001C1285" w:rsidP="00DA106F">
      <w:pPr>
        <w:pStyle w:val="BTCBodyText"/>
        <w:numPr>
          <w:ilvl w:val="0"/>
          <w:numId w:val="19"/>
        </w:numPr>
        <w:rPr>
          <w:lang w:val="fr-FR"/>
        </w:rPr>
      </w:pPr>
      <w:r>
        <w:rPr>
          <w:lang w:val="fr-FR"/>
        </w:rPr>
        <w:t>La description de l’opportunité devra recevoir le soutien d’au moins deux acteurs (un acteur privé et un acteur public par exemple) dans le pays cible, avec un partenaire d’exécution chef de file identifié.</w:t>
      </w:r>
    </w:p>
    <w:p w14:paraId="5922CB36" w14:textId="674C29FA" w:rsidR="00474EDD" w:rsidRPr="006F4D4F" w:rsidRDefault="001C1285" w:rsidP="00DA106F">
      <w:pPr>
        <w:pStyle w:val="BTCBodyText"/>
        <w:numPr>
          <w:ilvl w:val="0"/>
          <w:numId w:val="19"/>
        </w:numPr>
        <w:rPr>
          <w:lang w:val="fr-FR"/>
        </w:rPr>
      </w:pPr>
      <w:r>
        <w:rPr>
          <w:lang w:val="fr-FR"/>
        </w:rPr>
        <w:t>Une perspective d’investissement et d’emploi pertinente doit exister dans le contexte dans lequel l’intervention peut être placée.</w:t>
      </w:r>
    </w:p>
    <w:p w14:paraId="26DAABBD" w14:textId="6B569AD7" w:rsidR="00474EDD" w:rsidRPr="006F4D4F" w:rsidRDefault="001C1285" w:rsidP="00DA106F">
      <w:pPr>
        <w:pStyle w:val="BTCBodyText"/>
        <w:numPr>
          <w:ilvl w:val="0"/>
          <w:numId w:val="19"/>
        </w:numPr>
        <w:rPr>
          <w:lang w:val="fr-FR"/>
        </w:rPr>
      </w:pPr>
      <w:r>
        <w:rPr>
          <w:lang w:val="fr-FR"/>
        </w:rPr>
        <w:t xml:space="preserve">Un besoin avéré pour le renforcement des capacités </w:t>
      </w:r>
      <w:r w:rsidR="00017554">
        <w:rPr>
          <w:lang w:val="fr-FR"/>
        </w:rPr>
        <w:t>d’EFP</w:t>
      </w:r>
      <w:r w:rsidR="004D7F91">
        <w:rPr>
          <w:lang w:val="fr-FR"/>
        </w:rPr>
        <w:t xml:space="preserve"> </w:t>
      </w:r>
      <w:r>
        <w:rPr>
          <w:lang w:val="fr-FR"/>
        </w:rPr>
        <w:t xml:space="preserve">dans un secteur </w:t>
      </w:r>
      <w:r w:rsidR="004D7F91">
        <w:rPr>
          <w:lang w:val="fr-FR"/>
        </w:rPr>
        <w:t xml:space="preserve">du </w:t>
      </w:r>
      <w:r>
        <w:rPr>
          <w:lang w:val="fr-FR"/>
        </w:rPr>
        <w:t>PIE doit avoir été identifié.</w:t>
      </w:r>
    </w:p>
    <w:p w14:paraId="2DFB3253" w14:textId="08E884AD" w:rsidR="00474EDD" w:rsidRPr="006F4D4F" w:rsidRDefault="001C1285" w:rsidP="00DA106F">
      <w:pPr>
        <w:pStyle w:val="BTCBodyText"/>
        <w:numPr>
          <w:ilvl w:val="0"/>
          <w:numId w:val="19"/>
        </w:numPr>
        <w:rPr>
          <w:lang w:val="fr-FR"/>
        </w:rPr>
      </w:pPr>
      <w:r>
        <w:rPr>
          <w:lang w:val="fr-FR"/>
        </w:rPr>
        <w:t xml:space="preserve">Une </w:t>
      </w:r>
      <w:r w:rsidR="00474EDD" w:rsidRPr="006F4D4F">
        <w:rPr>
          <w:lang w:val="fr-FR"/>
        </w:rPr>
        <w:t xml:space="preserve">intervention </w:t>
      </w:r>
      <w:r>
        <w:rPr>
          <w:lang w:val="fr-FR"/>
        </w:rPr>
        <w:t xml:space="preserve">doit servir le but d’améliorer les éléments du système </w:t>
      </w:r>
      <w:r w:rsidR="00017554">
        <w:rPr>
          <w:lang w:val="fr-FR"/>
        </w:rPr>
        <w:t>d’EFP</w:t>
      </w:r>
      <w:r>
        <w:rPr>
          <w:lang w:val="fr-FR"/>
        </w:rPr>
        <w:t xml:space="preserve"> dans les pays cibles.</w:t>
      </w:r>
    </w:p>
    <w:p w14:paraId="18C66AA1" w14:textId="38695356" w:rsidR="00474EDD" w:rsidRPr="006F4D4F" w:rsidRDefault="001C1285" w:rsidP="00DA106F">
      <w:pPr>
        <w:pStyle w:val="BTCBodyText"/>
        <w:numPr>
          <w:ilvl w:val="0"/>
          <w:numId w:val="19"/>
        </w:numPr>
        <w:rPr>
          <w:lang w:val="fr-FR"/>
        </w:rPr>
      </w:pPr>
      <w:r>
        <w:rPr>
          <w:lang w:val="fr-FR"/>
        </w:rPr>
        <w:t>Le groupe bénéficiaire doit être clairement défini.</w:t>
      </w:r>
    </w:p>
    <w:p w14:paraId="0EF5591D" w14:textId="26A2B1AE" w:rsidR="00474EDD" w:rsidRPr="006F4D4F" w:rsidRDefault="001C1285" w:rsidP="001D6523">
      <w:pPr>
        <w:pStyle w:val="BTCBodyText"/>
        <w:spacing w:before="240"/>
        <w:rPr>
          <w:b/>
          <w:lang w:val="fr-FR"/>
        </w:rPr>
      </w:pPr>
      <w:r>
        <w:rPr>
          <w:b/>
          <w:lang w:val="fr-FR"/>
        </w:rPr>
        <w:t>Approche collaborative</w:t>
      </w:r>
    </w:p>
    <w:p w14:paraId="756870F8" w14:textId="0A1AE546" w:rsidR="00474EDD" w:rsidRPr="006F4D4F" w:rsidRDefault="007E324A" w:rsidP="00474EDD">
      <w:pPr>
        <w:pStyle w:val="BTCBodyText"/>
        <w:rPr>
          <w:lang w:val="fr-FR"/>
        </w:rPr>
      </w:pPr>
      <w:r>
        <w:rPr>
          <w:lang w:val="fr-FR"/>
        </w:rPr>
        <w:t xml:space="preserve">Pour donner aux agences les moyens de gérer le processus de recherche, le financement a été divisé </w:t>
      </w:r>
      <w:r w:rsidRPr="007E324A">
        <w:rPr>
          <w:lang w:val="fr-FR"/>
        </w:rPr>
        <w:t xml:space="preserve">entre les agences </w:t>
      </w:r>
      <w:r>
        <w:rPr>
          <w:lang w:val="fr-FR"/>
        </w:rPr>
        <w:t xml:space="preserve">par budgétisation fondée sur les </w:t>
      </w:r>
      <w:r w:rsidR="00C73615">
        <w:rPr>
          <w:lang w:val="fr-FR"/>
        </w:rPr>
        <w:t>résultats</w:t>
      </w:r>
      <w:r>
        <w:rPr>
          <w:lang w:val="fr-FR"/>
        </w:rPr>
        <w:t xml:space="preserve">. En présence d’une opportunité, l’exécution conjointe d’un projet sera </w:t>
      </w:r>
      <w:r w:rsidR="00C73615">
        <w:rPr>
          <w:lang w:val="fr-FR"/>
        </w:rPr>
        <w:t>envisagée</w:t>
      </w:r>
      <w:r>
        <w:rPr>
          <w:lang w:val="fr-FR"/>
        </w:rPr>
        <w:t xml:space="preserve"> et soutenue. Les leçons tirées de la </w:t>
      </w:r>
      <w:r w:rsidR="00474EDD" w:rsidRPr="006F4D4F">
        <w:rPr>
          <w:lang w:val="fr-FR"/>
        </w:rPr>
        <w:t xml:space="preserve">VET Toolbox 1 </w:t>
      </w:r>
      <w:r>
        <w:rPr>
          <w:lang w:val="fr-FR"/>
        </w:rPr>
        <w:t xml:space="preserve">en termes d’exécution conjointe et du besoin de transfert budgétaire y associé ont été identifiées ; lorsque plus d’un seul partenaire </w:t>
      </w:r>
      <w:r w:rsidR="00C73615">
        <w:rPr>
          <w:lang w:val="fr-FR"/>
        </w:rPr>
        <w:t xml:space="preserve">d’exécution </w:t>
      </w:r>
      <w:r>
        <w:rPr>
          <w:lang w:val="fr-FR"/>
        </w:rPr>
        <w:t>est présent dans un pays, on recherchera des synergies à chaque stade de l’évaluation de l’opportunité.</w:t>
      </w:r>
      <w:r w:rsidR="00474EDD" w:rsidRPr="006F4D4F">
        <w:rPr>
          <w:lang w:val="fr-FR"/>
        </w:rPr>
        <w:t xml:space="preserve"> </w:t>
      </w:r>
    </w:p>
    <w:p w14:paraId="42C2C637" w14:textId="5E0DF4C6" w:rsidR="00474EDD" w:rsidRPr="006F4D4F" w:rsidRDefault="007E324A" w:rsidP="001D6523">
      <w:pPr>
        <w:pStyle w:val="BTCBodyText"/>
        <w:spacing w:before="240"/>
        <w:rPr>
          <w:b/>
          <w:lang w:val="fr-FR"/>
        </w:rPr>
      </w:pPr>
      <w:r>
        <w:rPr>
          <w:b/>
          <w:lang w:val="fr-FR"/>
        </w:rPr>
        <w:t>Approche d’apprentissage</w:t>
      </w:r>
    </w:p>
    <w:p w14:paraId="453B0A04" w14:textId="7EEBEF19" w:rsidR="00474EDD" w:rsidRPr="006F4D4F" w:rsidRDefault="007E324A" w:rsidP="00474EDD">
      <w:pPr>
        <w:pStyle w:val="BTCBodyText"/>
        <w:rPr>
          <w:lang w:val="fr-FR"/>
        </w:rPr>
      </w:pPr>
      <w:r>
        <w:rPr>
          <w:lang w:val="fr-FR"/>
        </w:rPr>
        <w:t xml:space="preserve">La </w:t>
      </w:r>
      <w:r w:rsidR="00474EDD" w:rsidRPr="006F4D4F">
        <w:rPr>
          <w:lang w:val="fr-FR"/>
        </w:rPr>
        <w:t xml:space="preserve">VET Toolbox 2 </w:t>
      </w:r>
      <w:r>
        <w:rPr>
          <w:lang w:val="fr-FR"/>
        </w:rPr>
        <w:t xml:space="preserve">possède un potentiel unique en tant qu’instrument d’apprentissage. Elle n’offrira pas de solutions « toutes faites » </w:t>
      </w:r>
      <w:r w:rsidR="00C73615">
        <w:rPr>
          <w:lang w:val="fr-FR"/>
        </w:rPr>
        <w:t xml:space="preserve">convenant </w:t>
      </w:r>
      <w:r>
        <w:rPr>
          <w:lang w:val="fr-FR"/>
        </w:rPr>
        <w:t xml:space="preserve">aux différents contextes, mais des solutions contextualisées et personnalisées, adaptées aux besoins locaux. La VET Toolbox 2 </w:t>
      </w:r>
      <w:r w:rsidR="003322D3">
        <w:rPr>
          <w:lang w:val="fr-FR"/>
        </w:rPr>
        <w:t xml:space="preserve">créera un lien entre les intérêts des investisseurs et ceux du marché du travail dans les pays ciblés. À ce titre, chaque projet pourrait illustrer de façon pratique une solution de repli et un modèle </w:t>
      </w:r>
      <w:r w:rsidR="00C73615">
        <w:rPr>
          <w:lang w:val="fr-FR"/>
        </w:rPr>
        <w:t>EFP</w:t>
      </w:r>
      <w:r w:rsidR="003322D3">
        <w:rPr>
          <w:lang w:val="fr-FR"/>
        </w:rPr>
        <w:t xml:space="preserve"> axé sur la demande capables d’informer l’élaboration des politiques. Par ailleurs, la VET Toolbox 2 pourrait mettre en œuvre jusqu’à 11 projets en simultané, liés ensemble par le biais du cadre de résultats. </w:t>
      </w:r>
      <w:r w:rsidR="00E10D96">
        <w:rPr>
          <w:lang w:val="fr-FR"/>
        </w:rPr>
        <w:t xml:space="preserve">Cette approche ouvre la possibilité de mettre en place un réseau d’entraide permettant aux </w:t>
      </w:r>
      <w:r w:rsidR="00A9031F">
        <w:rPr>
          <w:lang w:val="fr-FR"/>
        </w:rPr>
        <w:t xml:space="preserve">projets à la fois de partager leurs succès et de </w:t>
      </w:r>
      <w:r w:rsidR="00636DB9">
        <w:rPr>
          <w:lang w:val="fr-FR"/>
        </w:rPr>
        <w:t>réfléchir</w:t>
      </w:r>
      <w:r w:rsidR="00A9031F">
        <w:rPr>
          <w:lang w:val="fr-FR"/>
        </w:rPr>
        <w:t xml:space="preserve"> à leurs difficultés avec un groupe solidaire de projets apparentés. Il s’agit d’une formidable opportunité d’échanger des connaissances et des pratiques qui pourrai</w:t>
      </w:r>
      <w:r w:rsidR="00C73615">
        <w:rPr>
          <w:lang w:val="fr-FR"/>
        </w:rPr>
        <w:t>en</w:t>
      </w:r>
      <w:r w:rsidR="00A9031F">
        <w:rPr>
          <w:lang w:val="fr-FR"/>
        </w:rPr>
        <w:t>t améliorer sensiblement la performance des mises en œuvre.</w:t>
      </w:r>
    </w:p>
    <w:p w14:paraId="04FC13B9" w14:textId="06E1D396" w:rsidR="00474EDD" w:rsidRPr="006F4D4F" w:rsidRDefault="00A9031F" w:rsidP="00474EDD">
      <w:pPr>
        <w:pStyle w:val="BTCBodyText"/>
        <w:rPr>
          <w:lang w:val="fr-FR"/>
        </w:rPr>
      </w:pPr>
      <w:r>
        <w:rPr>
          <w:lang w:val="fr-FR"/>
        </w:rPr>
        <w:t xml:space="preserve">La </w:t>
      </w:r>
      <w:r w:rsidR="00474EDD" w:rsidRPr="006F4D4F">
        <w:rPr>
          <w:lang w:val="fr-FR"/>
        </w:rPr>
        <w:t xml:space="preserve">VET Toolbox 2 </w:t>
      </w:r>
      <w:r>
        <w:rPr>
          <w:lang w:val="fr-FR"/>
        </w:rPr>
        <w:t xml:space="preserve">donnera aussi aux Délégations de l’Union européenne et au réseau global de parties prenantes et d’acteurs </w:t>
      </w:r>
      <w:r w:rsidR="00C73615">
        <w:rPr>
          <w:lang w:val="fr-FR"/>
        </w:rPr>
        <w:t xml:space="preserve">la </w:t>
      </w:r>
      <w:r>
        <w:rPr>
          <w:lang w:val="fr-FR"/>
        </w:rPr>
        <w:t xml:space="preserve">possibilité </w:t>
      </w:r>
      <w:r w:rsidR="00C73615">
        <w:rPr>
          <w:lang w:val="fr-FR"/>
        </w:rPr>
        <w:t xml:space="preserve">de s’informer </w:t>
      </w:r>
      <w:r>
        <w:rPr>
          <w:lang w:val="fr-FR"/>
        </w:rPr>
        <w:t xml:space="preserve">sur ce qui se fait ailleurs. Ces connaissances constitueront un </w:t>
      </w:r>
      <w:r w:rsidR="005A798F">
        <w:rPr>
          <w:lang w:val="fr-FR"/>
        </w:rPr>
        <w:t xml:space="preserve">savoir-faire collectif </w:t>
      </w:r>
      <w:r>
        <w:rPr>
          <w:lang w:val="fr-FR"/>
        </w:rPr>
        <w:t xml:space="preserve">axé sur le </w:t>
      </w:r>
      <w:r w:rsidR="0068294B">
        <w:rPr>
          <w:lang w:val="fr-FR"/>
        </w:rPr>
        <w:t>développement des compétences</w:t>
      </w:r>
      <w:r>
        <w:rPr>
          <w:lang w:val="fr-FR"/>
        </w:rPr>
        <w:t xml:space="preserve"> en lien avec les investissements</w:t>
      </w:r>
      <w:r w:rsidR="00C73615">
        <w:rPr>
          <w:lang w:val="fr-FR"/>
        </w:rPr>
        <w:t>,</w:t>
      </w:r>
      <w:r>
        <w:rPr>
          <w:lang w:val="fr-FR"/>
        </w:rPr>
        <w:t xml:space="preserve"> qui viendra enrichir </w:t>
      </w:r>
      <w:r w:rsidR="005A798F">
        <w:rPr>
          <w:lang w:val="fr-FR"/>
        </w:rPr>
        <w:t>tout le corpus de connaissances en cours de développement dans ce domaine.</w:t>
      </w:r>
    </w:p>
    <w:p w14:paraId="362DC05F" w14:textId="109C1713" w:rsidR="00474EDD" w:rsidRPr="006F4D4F" w:rsidRDefault="00C73615" w:rsidP="00C64723">
      <w:pPr>
        <w:pStyle w:val="BTCBodyText"/>
        <w:rPr>
          <w:color w:val="808080" w:themeColor="background1" w:themeShade="80"/>
          <w:lang w:val="fr-FR"/>
        </w:rPr>
      </w:pPr>
      <w:r>
        <w:rPr>
          <w:lang w:val="fr-FR"/>
        </w:rPr>
        <w:t>Pour faciliter la promotion de l’apprentissage, l</w:t>
      </w:r>
      <w:r w:rsidR="005A798F">
        <w:rPr>
          <w:lang w:val="fr-FR"/>
        </w:rPr>
        <w:t xml:space="preserve">a </w:t>
      </w:r>
      <w:r w:rsidR="00474EDD" w:rsidRPr="006F4D4F">
        <w:rPr>
          <w:lang w:val="fr-FR"/>
        </w:rPr>
        <w:t>VET Toolbox</w:t>
      </w:r>
      <w:r w:rsidR="00937FBD" w:rsidRPr="006F4D4F">
        <w:rPr>
          <w:lang w:val="fr-FR"/>
        </w:rPr>
        <w:t xml:space="preserve"> </w:t>
      </w:r>
      <w:r w:rsidR="00833C8F" w:rsidRPr="006F4D4F">
        <w:rPr>
          <w:lang w:val="fr-FR"/>
        </w:rPr>
        <w:t>1</w:t>
      </w:r>
      <w:r w:rsidR="00474EDD" w:rsidRPr="006F4D4F">
        <w:rPr>
          <w:lang w:val="fr-FR"/>
        </w:rPr>
        <w:t xml:space="preserve"> </w:t>
      </w:r>
      <w:r w:rsidR="005A798F">
        <w:rPr>
          <w:lang w:val="fr-FR"/>
        </w:rPr>
        <w:t xml:space="preserve">possède déjà une plateforme et un réseau en ligne solides, qu’il </w:t>
      </w:r>
      <w:r>
        <w:rPr>
          <w:lang w:val="fr-FR"/>
        </w:rPr>
        <w:t xml:space="preserve">sera </w:t>
      </w:r>
      <w:r w:rsidR="005A798F">
        <w:rPr>
          <w:lang w:val="fr-FR"/>
        </w:rPr>
        <w:t xml:space="preserve">également possible d’utiliser pour répondre aux besoins de la présente action. Il faudra prendre en compte le public différent auquel s’adressent la </w:t>
      </w:r>
      <w:r w:rsidR="00474EDD" w:rsidRPr="006F4D4F">
        <w:rPr>
          <w:lang w:val="fr-FR"/>
        </w:rPr>
        <w:t xml:space="preserve">VET Toolbox 1 </w:t>
      </w:r>
      <w:r w:rsidR="005A798F">
        <w:rPr>
          <w:lang w:val="fr-FR"/>
        </w:rPr>
        <w:t xml:space="preserve">et la </w:t>
      </w:r>
      <w:r w:rsidR="00474EDD" w:rsidRPr="006F4D4F">
        <w:rPr>
          <w:lang w:val="fr-FR"/>
        </w:rPr>
        <w:t>VET Toolbox 2.</w:t>
      </w:r>
    </w:p>
    <w:p w14:paraId="5E330A0B" w14:textId="5E868BB9" w:rsidR="00175272" w:rsidRPr="006F4D4F" w:rsidRDefault="0093078E" w:rsidP="0093078E">
      <w:pPr>
        <w:pStyle w:val="Titre3"/>
      </w:pPr>
      <w:bookmarkStart w:id="87" w:name="_Toc44423192"/>
      <w:bookmarkStart w:id="88" w:name="_Toc44423710"/>
      <w:bookmarkStart w:id="89" w:name="_Toc54336679"/>
      <w:r w:rsidRPr="006F4D4F">
        <w:t>1.</w:t>
      </w:r>
      <w:r w:rsidR="00B561A9" w:rsidRPr="006F4D4F">
        <w:t>5</w:t>
      </w:r>
      <w:r w:rsidRPr="006F4D4F">
        <w:t>.</w:t>
      </w:r>
      <w:r w:rsidR="00B561A9" w:rsidRPr="006F4D4F">
        <w:t>3</w:t>
      </w:r>
      <w:r w:rsidRPr="006F4D4F">
        <w:t xml:space="preserve"> </w:t>
      </w:r>
      <w:r w:rsidR="00175272" w:rsidRPr="006F4D4F">
        <w:t xml:space="preserve">Principes </w:t>
      </w:r>
      <w:r w:rsidR="005A798F">
        <w:t>d’exécution des projets</w:t>
      </w:r>
      <w:bookmarkEnd w:id="87"/>
      <w:bookmarkEnd w:id="88"/>
      <w:bookmarkEnd w:id="89"/>
      <w:r w:rsidR="00175272" w:rsidRPr="006F4D4F">
        <w:t xml:space="preserve"> </w:t>
      </w:r>
    </w:p>
    <w:p w14:paraId="7470AF47" w14:textId="4EBDCC41" w:rsidR="00C64723" w:rsidRPr="006F4D4F" w:rsidRDefault="005A798F" w:rsidP="00C64723">
      <w:pPr>
        <w:pStyle w:val="BTCBodyText"/>
        <w:rPr>
          <w:color w:val="000000" w:themeColor="text1"/>
          <w:lang w:val="fr-FR"/>
        </w:rPr>
      </w:pPr>
      <w:r>
        <w:rPr>
          <w:color w:val="000000" w:themeColor="text1"/>
          <w:lang w:val="fr-FR"/>
        </w:rPr>
        <w:t xml:space="preserve">Les principes ci-dessous, identifiés comme étant des facteurs de succès critiques, traduisent les approches qui seront adoptées dans le cadre de la mise en œuvre de la </w:t>
      </w:r>
      <w:r w:rsidR="00C64723" w:rsidRPr="006F4D4F">
        <w:rPr>
          <w:color w:val="000000" w:themeColor="text1"/>
          <w:lang w:val="fr-FR"/>
        </w:rPr>
        <w:t>VET Toolbox</w:t>
      </w:r>
      <w:r w:rsidR="00175272" w:rsidRPr="006F4D4F">
        <w:rPr>
          <w:color w:val="000000" w:themeColor="text1"/>
          <w:lang w:val="fr-FR"/>
        </w:rPr>
        <w:t xml:space="preserve"> </w:t>
      </w:r>
      <w:r w:rsidR="000B77A5" w:rsidRPr="006F4D4F">
        <w:rPr>
          <w:color w:val="000000" w:themeColor="text1"/>
          <w:lang w:val="fr-FR"/>
        </w:rPr>
        <w:t>2</w:t>
      </w:r>
      <w:r>
        <w:rPr>
          <w:color w:val="000000" w:themeColor="text1"/>
          <w:lang w:val="fr-FR"/>
        </w:rPr>
        <w:t> :</w:t>
      </w:r>
    </w:p>
    <w:p w14:paraId="2B344BB0" w14:textId="2726988D" w:rsidR="00A57B4C" w:rsidRPr="006F4D4F" w:rsidRDefault="005A798F" w:rsidP="00DA106F">
      <w:pPr>
        <w:widowControl w:val="0"/>
        <w:numPr>
          <w:ilvl w:val="0"/>
          <w:numId w:val="7"/>
        </w:numPr>
        <w:suppressAutoHyphens/>
        <w:spacing w:after="120" w:line="280" w:lineRule="exact"/>
        <w:jc w:val="both"/>
        <w:rPr>
          <w:rFonts w:cs="Times New Roman"/>
          <w:color w:val="000000" w:themeColor="text1"/>
          <w:kern w:val="18"/>
          <w:lang w:val="fr-FR"/>
        </w:rPr>
      </w:pPr>
      <w:r>
        <w:rPr>
          <w:rFonts w:cs="Times New Roman"/>
          <w:color w:val="000000" w:themeColor="text1"/>
          <w:kern w:val="18"/>
          <w:u w:val="single"/>
          <w:lang w:val="fr-FR"/>
        </w:rPr>
        <w:t>Impact sur l’emploi </w:t>
      </w:r>
      <w:r>
        <w:rPr>
          <w:rFonts w:cs="Times New Roman"/>
          <w:color w:val="000000" w:themeColor="text1"/>
          <w:kern w:val="18"/>
          <w:lang w:val="fr-FR"/>
        </w:rPr>
        <w:t>: toute l’action étant axée sur l’amélioration de la situation de l’emploi pour la population locale, cet élément est essentiel.</w:t>
      </w:r>
    </w:p>
    <w:p w14:paraId="4164F756" w14:textId="1C6F8911" w:rsidR="0094040D" w:rsidRPr="006F4D4F" w:rsidRDefault="008E08FE" w:rsidP="00DA106F">
      <w:pPr>
        <w:widowControl w:val="0"/>
        <w:numPr>
          <w:ilvl w:val="0"/>
          <w:numId w:val="7"/>
        </w:numPr>
        <w:suppressAutoHyphens/>
        <w:spacing w:after="120" w:line="280" w:lineRule="exact"/>
        <w:jc w:val="both"/>
        <w:rPr>
          <w:rFonts w:cs="Times New Roman"/>
          <w:color w:val="000000" w:themeColor="text1"/>
          <w:kern w:val="18"/>
          <w:lang w:val="fr-FR"/>
        </w:rPr>
      </w:pPr>
      <w:r>
        <w:rPr>
          <w:rFonts w:cs="Times New Roman"/>
          <w:color w:val="000000" w:themeColor="text1"/>
          <w:kern w:val="18"/>
          <w:u w:val="single"/>
          <w:lang w:val="fr-FR"/>
        </w:rPr>
        <w:t>Planification centrée sur les investissements </w:t>
      </w:r>
      <w:r>
        <w:rPr>
          <w:rFonts w:cs="Times New Roman"/>
          <w:color w:val="000000" w:themeColor="text1"/>
          <w:kern w:val="18"/>
          <w:lang w:val="fr-FR"/>
        </w:rPr>
        <w:t>: toutes les activités sont planifiées autour des (prochains) investissements appuyés par l’Union européenne, notamment les secteurs PIE dans les pays cibles.</w:t>
      </w:r>
    </w:p>
    <w:p w14:paraId="7A76673E" w14:textId="408E45E2" w:rsidR="00B648A8" w:rsidRPr="006F4D4F" w:rsidRDefault="008E08FE" w:rsidP="00DA106F">
      <w:pPr>
        <w:widowControl w:val="0"/>
        <w:numPr>
          <w:ilvl w:val="0"/>
          <w:numId w:val="7"/>
        </w:numPr>
        <w:suppressAutoHyphens/>
        <w:spacing w:after="120" w:line="280" w:lineRule="exact"/>
        <w:jc w:val="both"/>
        <w:rPr>
          <w:rFonts w:cs="Times New Roman"/>
          <w:color w:val="000000" w:themeColor="text1"/>
          <w:kern w:val="18"/>
          <w:u w:val="single"/>
          <w:lang w:val="fr-FR"/>
        </w:rPr>
      </w:pPr>
      <w:r>
        <w:rPr>
          <w:rFonts w:cs="Times New Roman"/>
          <w:color w:val="000000" w:themeColor="text1"/>
          <w:kern w:val="18"/>
          <w:u w:val="single"/>
          <w:lang w:val="fr-FR"/>
        </w:rPr>
        <w:t>Ajout de valeur locale au cœur du projet </w:t>
      </w:r>
      <w:r>
        <w:rPr>
          <w:rFonts w:cs="Times New Roman"/>
          <w:color w:val="000000" w:themeColor="text1"/>
          <w:kern w:val="18"/>
          <w:lang w:val="fr-FR"/>
        </w:rPr>
        <w:t>: les axes prioritaires sont la création d’emplois locaux et la croissance des PME locales, bénéficiant à la population et à l’économie locales.</w:t>
      </w:r>
    </w:p>
    <w:p w14:paraId="6A120151" w14:textId="43E7AD1D" w:rsidR="008A7501" w:rsidRPr="006F4D4F" w:rsidRDefault="008E08FE" w:rsidP="00DA106F">
      <w:pPr>
        <w:widowControl w:val="0"/>
        <w:numPr>
          <w:ilvl w:val="0"/>
          <w:numId w:val="7"/>
        </w:numPr>
        <w:suppressAutoHyphens/>
        <w:spacing w:after="120" w:line="280" w:lineRule="exact"/>
        <w:jc w:val="both"/>
        <w:rPr>
          <w:rFonts w:cs="Times New Roman"/>
          <w:color w:val="000000" w:themeColor="text1"/>
          <w:kern w:val="18"/>
          <w:u w:val="single"/>
          <w:lang w:val="fr-FR"/>
        </w:rPr>
      </w:pPr>
      <w:r>
        <w:rPr>
          <w:rFonts w:cs="Times New Roman"/>
          <w:color w:val="000000" w:themeColor="text1"/>
          <w:kern w:val="18"/>
          <w:u w:val="single"/>
          <w:lang w:val="fr-FR"/>
        </w:rPr>
        <w:t>Approche axée sur les opportunités </w:t>
      </w:r>
      <w:r>
        <w:rPr>
          <w:rFonts w:cs="Times New Roman"/>
          <w:color w:val="000000" w:themeColor="text1"/>
          <w:kern w:val="18"/>
          <w:lang w:val="fr-FR"/>
        </w:rPr>
        <w:t xml:space="preserve">: l’action prévoit de faire des investissements (prévus) le point de départ de ses activités. Il est possible de percevoir chaque investissement comme une </w:t>
      </w:r>
      <w:r w:rsidR="00B24E9D">
        <w:rPr>
          <w:rFonts w:cs="Times New Roman"/>
          <w:color w:val="000000" w:themeColor="text1"/>
          <w:kern w:val="18"/>
          <w:lang w:val="fr-FR"/>
        </w:rPr>
        <w:t>opportunité</w:t>
      </w:r>
      <w:r>
        <w:rPr>
          <w:rFonts w:cs="Times New Roman"/>
          <w:color w:val="000000" w:themeColor="text1"/>
          <w:kern w:val="18"/>
          <w:lang w:val="fr-FR"/>
        </w:rPr>
        <w:t xml:space="preserve"> de créer un apport de valeur locale.</w:t>
      </w:r>
    </w:p>
    <w:p w14:paraId="0AAE097B" w14:textId="29E91CD6" w:rsidR="00B648A8" w:rsidRPr="006F4D4F" w:rsidRDefault="00B648A8" w:rsidP="00DA106F">
      <w:pPr>
        <w:widowControl w:val="0"/>
        <w:numPr>
          <w:ilvl w:val="0"/>
          <w:numId w:val="7"/>
        </w:numPr>
        <w:suppressAutoHyphens/>
        <w:spacing w:after="120" w:line="280" w:lineRule="exact"/>
        <w:jc w:val="both"/>
        <w:rPr>
          <w:rFonts w:cs="Times New Roman"/>
          <w:color w:val="000000" w:themeColor="text1"/>
          <w:kern w:val="18"/>
          <w:lang w:val="fr-FR"/>
        </w:rPr>
      </w:pPr>
      <w:r w:rsidRPr="006F4D4F">
        <w:rPr>
          <w:rFonts w:cs="Times New Roman"/>
          <w:color w:val="000000" w:themeColor="text1"/>
          <w:kern w:val="18"/>
          <w:u w:val="single"/>
          <w:lang w:val="fr-FR"/>
        </w:rPr>
        <w:t>Co</w:t>
      </w:r>
      <w:r w:rsidR="008E08FE">
        <w:rPr>
          <w:rFonts w:cs="Times New Roman"/>
          <w:color w:val="000000" w:themeColor="text1"/>
          <w:kern w:val="18"/>
          <w:u w:val="single"/>
          <w:lang w:val="fr-FR"/>
        </w:rPr>
        <w:t>nception propre aux différents pays </w:t>
      </w:r>
      <w:r w:rsidR="008E08FE">
        <w:rPr>
          <w:rFonts w:cs="Times New Roman"/>
          <w:color w:val="000000" w:themeColor="text1"/>
          <w:kern w:val="18"/>
          <w:lang w:val="fr-FR"/>
        </w:rPr>
        <w:t>:</w:t>
      </w:r>
      <w:r w:rsidR="008A7501" w:rsidRPr="006F4D4F">
        <w:rPr>
          <w:rFonts w:cs="Times New Roman"/>
          <w:color w:val="000000" w:themeColor="text1"/>
          <w:kern w:val="18"/>
          <w:lang w:val="fr-FR"/>
        </w:rPr>
        <w:t xml:space="preserve"> </w:t>
      </w:r>
      <w:r w:rsidR="008E08FE">
        <w:rPr>
          <w:rFonts w:cs="Times New Roman"/>
          <w:color w:val="000000" w:themeColor="text1"/>
          <w:kern w:val="18"/>
          <w:lang w:val="fr-FR"/>
        </w:rPr>
        <w:t>des besoins différents pouvant éventuellement être identifiés dans chaque pays, il faudra recourir à des approches et méthodes différentes.</w:t>
      </w:r>
    </w:p>
    <w:p w14:paraId="60FA0DE7" w14:textId="45F0C670" w:rsidR="00B648A8" w:rsidRPr="006F4D4F" w:rsidRDefault="00B24E9D" w:rsidP="00DA106F">
      <w:pPr>
        <w:widowControl w:val="0"/>
        <w:numPr>
          <w:ilvl w:val="0"/>
          <w:numId w:val="7"/>
        </w:numPr>
        <w:suppressAutoHyphens/>
        <w:spacing w:after="120" w:line="280" w:lineRule="exact"/>
        <w:jc w:val="both"/>
        <w:rPr>
          <w:rFonts w:cs="Times New Roman"/>
          <w:color w:val="000000" w:themeColor="text1"/>
          <w:kern w:val="18"/>
          <w:lang w:val="fr-FR"/>
        </w:rPr>
      </w:pPr>
      <w:r>
        <w:rPr>
          <w:rFonts w:cs="Times New Roman"/>
          <w:color w:val="000000" w:themeColor="text1"/>
          <w:kern w:val="18"/>
          <w:u w:val="single"/>
          <w:lang w:val="fr-FR"/>
        </w:rPr>
        <w:t>Renforcement</w:t>
      </w:r>
      <w:r w:rsidR="008E08FE">
        <w:rPr>
          <w:rFonts w:cs="Times New Roman"/>
          <w:color w:val="000000" w:themeColor="text1"/>
          <w:kern w:val="18"/>
          <w:u w:val="single"/>
          <w:lang w:val="fr-FR"/>
        </w:rPr>
        <w:t xml:space="preserve"> des capacités </w:t>
      </w:r>
      <w:r w:rsidR="008E08FE">
        <w:rPr>
          <w:rFonts w:cs="Times New Roman"/>
          <w:color w:val="000000" w:themeColor="text1"/>
          <w:kern w:val="18"/>
          <w:lang w:val="fr-FR"/>
        </w:rPr>
        <w:t xml:space="preserve">: pour assurer la durabilité de l’action, le </w:t>
      </w:r>
      <w:r>
        <w:rPr>
          <w:rFonts w:cs="Times New Roman"/>
          <w:color w:val="000000" w:themeColor="text1"/>
          <w:kern w:val="18"/>
          <w:lang w:val="fr-FR"/>
        </w:rPr>
        <w:t>renforcement</w:t>
      </w:r>
      <w:r w:rsidR="008E08FE">
        <w:rPr>
          <w:rFonts w:cs="Times New Roman"/>
          <w:color w:val="000000" w:themeColor="text1"/>
          <w:kern w:val="18"/>
          <w:lang w:val="fr-FR"/>
        </w:rPr>
        <w:t xml:space="preserve"> des capacités sera généralisé dans toutes les interventions, si possible.</w:t>
      </w:r>
    </w:p>
    <w:p w14:paraId="07874EE9" w14:textId="522DA8EF" w:rsidR="00175272" w:rsidRPr="006F4D4F" w:rsidRDefault="008E08FE" w:rsidP="00DA106F">
      <w:pPr>
        <w:widowControl w:val="0"/>
        <w:numPr>
          <w:ilvl w:val="0"/>
          <w:numId w:val="7"/>
        </w:numPr>
        <w:suppressAutoHyphens/>
        <w:spacing w:after="160" w:line="280" w:lineRule="exact"/>
        <w:jc w:val="both"/>
        <w:rPr>
          <w:rFonts w:cs="Times New Roman"/>
          <w:color w:val="000000" w:themeColor="text1"/>
          <w:kern w:val="18"/>
          <w:lang w:val="fr-FR"/>
        </w:rPr>
      </w:pPr>
      <w:r>
        <w:rPr>
          <w:rFonts w:cs="Times New Roman"/>
          <w:color w:val="000000" w:themeColor="text1"/>
          <w:kern w:val="18"/>
          <w:u w:val="single"/>
          <w:lang w:val="fr-FR"/>
        </w:rPr>
        <w:t>Gouvernance intégrée </w:t>
      </w:r>
      <w:r>
        <w:rPr>
          <w:rFonts w:cs="Times New Roman"/>
          <w:color w:val="000000" w:themeColor="text1"/>
          <w:kern w:val="18"/>
          <w:lang w:val="fr-FR"/>
        </w:rPr>
        <w:t>:</w:t>
      </w:r>
      <w:r w:rsidR="00B648A8" w:rsidRPr="006F4D4F">
        <w:rPr>
          <w:rFonts w:cs="Times New Roman"/>
          <w:color w:val="000000" w:themeColor="text1"/>
          <w:kern w:val="18"/>
          <w:lang w:val="fr-FR"/>
        </w:rPr>
        <w:t xml:space="preserve"> </w:t>
      </w:r>
      <w:r>
        <w:rPr>
          <w:rFonts w:cs="Times New Roman"/>
          <w:color w:val="000000" w:themeColor="text1"/>
          <w:kern w:val="18"/>
          <w:lang w:val="fr-FR"/>
        </w:rPr>
        <w:t>les partenaires du consortium mettront en œuvre une gouvernance conjointe, sous l’égide de l’agence chef de file et de la Délégation de l’Union européenne.</w:t>
      </w:r>
      <w:bookmarkStart w:id="90" w:name="_Toc452388043"/>
      <w:bookmarkStart w:id="91" w:name="_Toc20239552"/>
      <w:bookmarkStart w:id="92" w:name="_Toc20239645"/>
    </w:p>
    <w:p w14:paraId="2ECE0864" w14:textId="3155A91F" w:rsidR="00C64723" w:rsidRPr="006F4D4F" w:rsidRDefault="00953EB4" w:rsidP="00B561A9">
      <w:pPr>
        <w:pStyle w:val="Titre2"/>
        <w:rPr>
          <w:lang w:val="fr-FR"/>
        </w:rPr>
      </w:pPr>
      <w:bookmarkStart w:id="93" w:name="_Toc463958177"/>
      <w:bookmarkStart w:id="94" w:name="_Toc463958450"/>
      <w:bookmarkStart w:id="95" w:name="_Toc463958726"/>
      <w:bookmarkStart w:id="96" w:name="_Toc463959002"/>
      <w:bookmarkStart w:id="97" w:name="_Toc463958178"/>
      <w:bookmarkStart w:id="98" w:name="_Toc463958451"/>
      <w:bookmarkStart w:id="99" w:name="_Toc463958727"/>
      <w:bookmarkStart w:id="100" w:name="_Toc463959003"/>
      <w:bookmarkStart w:id="101" w:name="_Toc463958179"/>
      <w:bookmarkStart w:id="102" w:name="_Toc463958452"/>
      <w:bookmarkStart w:id="103" w:name="_Toc463958728"/>
      <w:bookmarkStart w:id="104" w:name="_Toc463959004"/>
      <w:bookmarkStart w:id="105" w:name="_Toc476844770"/>
      <w:bookmarkStart w:id="106" w:name="_Toc477169050"/>
      <w:bookmarkStart w:id="107" w:name="_Toc477169266"/>
      <w:bookmarkStart w:id="108" w:name="_Toc477187779"/>
      <w:bookmarkStart w:id="109" w:name="_Toc477187990"/>
      <w:bookmarkStart w:id="110" w:name="_Toc477188202"/>
      <w:bookmarkStart w:id="111" w:name="_Toc477188414"/>
      <w:bookmarkStart w:id="112" w:name="_Toc477188626"/>
      <w:bookmarkStart w:id="113" w:name="_Toc477188836"/>
      <w:bookmarkStart w:id="114" w:name="_Toc477189050"/>
      <w:bookmarkStart w:id="115" w:name="_Toc477189646"/>
      <w:bookmarkStart w:id="116" w:name="_Toc477196290"/>
      <w:bookmarkStart w:id="117" w:name="_Toc477200008"/>
      <w:bookmarkStart w:id="118" w:name="_Toc477274788"/>
      <w:bookmarkStart w:id="119" w:name="_Toc477275994"/>
      <w:bookmarkStart w:id="120" w:name="_Toc477276215"/>
      <w:bookmarkStart w:id="121" w:name="_Toc476844849"/>
      <w:bookmarkStart w:id="122" w:name="_Toc477169129"/>
      <w:bookmarkStart w:id="123" w:name="_Toc477169345"/>
      <w:bookmarkStart w:id="124" w:name="_Toc477187858"/>
      <w:bookmarkStart w:id="125" w:name="_Toc477188069"/>
      <w:bookmarkStart w:id="126" w:name="_Toc477188281"/>
      <w:bookmarkStart w:id="127" w:name="_Toc477188493"/>
      <w:bookmarkStart w:id="128" w:name="_Toc477188705"/>
      <w:bookmarkStart w:id="129" w:name="_Toc477188915"/>
      <w:bookmarkStart w:id="130" w:name="_Toc477189129"/>
      <w:bookmarkStart w:id="131" w:name="_Toc477189725"/>
      <w:bookmarkStart w:id="132" w:name="_Toc477196369"/>
      <w:bookmarkStart w:id="133" w:name="_Toc477200087"/>
      <w:bookmarkStart w:id="134" w:name="_Toc477274867"/>
      <w:bookmarkStart w:id="135" w:name="_Toc477276073"/>
      <w:bookmarkStart w:id="136" w:name="_Toc477276294"/>
      <w:bookmarkStart w:id="137" w:name="_Toc476844850"/>
      <w:bookmarkStart w:id="138" w:name="_Toc477169130"/>
      <w:bookmarkStart w:id="139" w:name="_Toc477169346"/>
      <w:bookmarkStart w:id="140" w:name="_Toc477187859"/>
      <w:bookmarkStart w:id="141" w:name="_Toc477188070"/>
      <w:bookmarkStart w:id="142" w:name="_Toc477188282"/>
      <w:bookmarkStart w:id="143" w:name="_Toc477188494"/>
      <w:bookmarkStart w:id="144" w:name="_Toc477188706"/>
      <w:bookmarkStart w:id="145" w:name="_Toc477188916"/>
      <w:bookmarkStart w:id="146" w:name="_Toc477189130"/>
      <w:bookmarkStart w:id="147" w:name="_Toc477189726"/>
      <w:bookmarkStart w:id="148" w:name="_Toc477196370"/>
      <w:bookmarkStart w:id="149" w:name="_Toc477200088"/>
      <w:bookmarkStart w:id="150" w:name="_Toc477274868"/>
      <w:bookmarkStart w:id="151" w:name="_Toc477276074"/>
      <w:bookmarkStart w:id="152" w:name="_Toc477276295"/>
      <w:bookmarkStart w:id="153" w:name="_Toc463958182"/>
      <w:bookmarkStart w:id="154" w:name="_Toc463958455"/>
      <w:bookmarkStart w:id="155" w:name="_Toc463958731"/>
      <w:bookmarkStart w:id="156" w:name="_Toc463959007"/>
      <w:bookmarkStart w:id="157" w:name="_Toc463958183"/>
      <w:bookmarkStart w:id="158" w:name="_Toc463958456"/>
      <w:bookmarkStart w:id="159" w:name="_Toc463958732"/>
      <w:bookmarkStart w:id="160" w:name="_Toc463959008"/>
      <w:bookmarkStart w:id="161" w:name="_Toc463958184"/>
      <w:bookmarkStart w:id="162" w:name="_Toc463958457"/>
      <w:bookmarkStart w:id="163" w:name="_Toc463958733"/>
      <w:bookmarkStart w:id="164" w:name="_Toc463959009"/>
      <w:bookmarkStart w:id="165" w:name="_Toc463958185"/>
      <w:bookmarkStart w:id="166" w:name="_Toc463958458"/>
      <w:bookmarkStart w:id="167" w:name="_Toc463958734"/>
      <w:bookmarkStart w:id="168" w:name="_Toc463959010"/>
      <w:bookmarkStart w:id="169" w:name="_Toc463958186"/>
      <w:bookmarkStart w:id="170" w:name="_Toc463958459"/>
      <w:bookmarkStart w:id="171" w:name="_Toc463958735"/>
      <w:bookmarkStart w:id="172" w:name="_Toc463959011"/>
      <w:bookmarkStart w:id="173" w:name="_Toc463958187"/>
      <w:bookmarkStart w:id="174" w:name="_Toc463958460"/>
      <w:bookmarkStart w:id="175" w:name="_Toc463958736"/>
      <w:bookmarkStart w:id="176" w:name="_Toc463959012"/>
      <w:bookmarkStart w:id="177" w:name="_Toc463958188"/>
      <w:bookmarkStart w:id="178" w:name="_Toc463958461"/>
      <w:bookmarkStart w:id="179" w:name="_Toc463958737"/>
      <w:bookmarkStart w:id="180" w:name="_Toc463959013"/>
      <w:bookmarkStart w:id="181" w:name="_Toc463958189"/>
      <w:bookmarkStart w:id="182" w:name="_Toc463958462"/>
      <w:bookmarkStart w:id="183" w:name="_Toc463958738"/>
      <w:bookmarkStart w:id="184" w:name="_Toc463959014"/>
      <w:bookmarkStart w:id="185" w:name="_Toc463958190"/>
      <w:bookmarkStart w:id="186" w:name="_Toc463958463"/>
      <w:bookmarkStart w:id="187" w:name="_Toc463958739"/>
      <w:bookmarkStart w:id="188" w:name="_Toc463959015"/>
      <w:bookmarkStart w:id="189" w:name="_Toc463958191"/>
      <w:bookmarkStart w:id="190" w:name="_Toc463958464"/>
      <w:bookmarkStart w:id="191" w:name="_Toc463958740"/>
      <w:bookmarkStart w:id="192" w:name="_Toc463959016"/>
      <w:bookmarkStart w:id="193" w:name="_Toc463958192"/>
      <w:bookmarkStart w:id="194" w:name="_Toc463958465"/>
      <w:bookmarkStart w:id="195" w:name="_Toc463958741"/>
      <w:bookmarkStart w:id="196" w:name="_Toc463959017"/>
      <w:bookmarkStart w:id="197" w:name="_Toc463958193"/>
      <w:bookmarkStart w:id="198" w:name="_Toc463958466"/>
      <w:bookmarkStart w:id="199" w:name="_Toc463958742"/>
      <w:bookmarkStart w:id="200" w:name="_Toc463959018"/>
      <w:bookmarkStart w:id="201" w:name="_Toc231702661"/>
      <w:bookmarkStart w:id="202" w:name="_Toc261442109"/>
      <w:bookmarkStart w:id="203" w:name="_Toc20239565"/>
      <w:bookmarkStart w:id="204" w:name="_Toc20239657"/>
      <w:bookmarkStart w:id="205" w:name="_Toc44423193"/>
      <w:bookmarkStart w:id="206" w:name="_Toc44423711"/>
      <w:bookmarkStart w:id="207" w:name="_Toc5433668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6F4D4F">
        <w:rPr>
          <w:lang w:val="fr-FR"/>
        </w:rPr>
        <w:t xml:space="preserve">1.6 </w:t>
      </w:r>
      <w:r w:rsidR="00C64723" w:rsidRPr="006F4D4F">
        <w:rPr>
          <w:lang w:val="fr-FR"/>
        </w:rPr>
        <w:t>Activit</w:t>
      </w:r>
      <w:r w:rsidR="008E08FE">
        <w:rPr>
          <w:lang w:val="fr-FR"/>
        </w:rPr>
        <w:t>é</w:t>
      </w:r>
      <w:r w:rsidR="00C64723" w:rsidRPr="006F4D4F">
        <w:rPr>
          <w:lang w:val="fr-FR"/>
        </w:rPr>
        <w:t>s</w:t>
      </w:r>
      <w:bookmarkEnd w:id="201"/>
      <w:bookmarkEnd w:id="202"/>
      <w:r w:rsidR="00884CB8" w:rsidRPr="006F4D4F">
        <w:rPr>
          <w:lang w:val="fr-FR"/>
        </w:rPr>
        <w:t xml:space="preserve"> / </w:t>
      </w:r>
      <w:r w:rsidR="008E08FE">
        <w:rPr>
          <w:lang w:val="fr-FR"/>
        </w:rPr>
        <w:t>Champs d’activités indicatifs</w:t>
      </w:r>
      <w:bookmarkEnd w:id="203"/>
      <w:bookmarkEnd w:id="204"/>
      <w:bookmarkEnd w:id="205"/>
      <w:bookmarkEnd w:id="206"/>
      <w:bookmarkEnd w:id="207"/>
    </w:p>
    <w:p w14:paraId="25C9AEB4" w14:textId="57806A59" w:rsidR="00E1565C" w:rsidRDefault="00870960" w:rsidP="00870960">
      <w:pPr>
        <w:spacing w:before="0" w:line="300" w:lineRule="exact"/>
        <w:jc w:val="both"/>
        <w:rPr>
          <w:color w:val="auto"/>
          <w:lang w:val="fr-FR"/>
        </w:rPr>
      </w:pPr>
      <w:r>
        <w:rPr>
          <w:color w:val="auto"/>
          <w:lang w:val="fr-FR"/>
        </w:rPr>
        <w:t xml:space="preserve">Pour </w:t>
      </w:r>
      <w:r w:rsidR="00B24E9D">
        <w:rPr>
          <w:color w:val="auto"/>
          <w:lang w:val="fr-FR"/>
        </w:rPr>
        <w:t>obtenir les résultats</w:t>
      </w:r>
      <w:r>
        <w:rPr>
          <w:color w:val="auto"/>
          <w:lang w:val="fr-FR"/>
        </w:rPr>
        <w:t xml:space="preserve"> </w:t>
      </w:r>
      <w:r w:rsidR="00B24E9D">
        <w:rPr>
          <w:color w:val="auto"/>
          <w:lang w:val="fr-FR"/>
        </w:rPr>
        <w:t>escomptés</w:t>
      </w:r>
      <w:r>
        <w:rPr>
          <w:color w:val="auto"/>
          <w:lang w:val="fr-FR"/>
        </w:rPr>
        <w:t xml:space="preserve"> et atteindre l’objectif spécifique, on anticipe les activités principales par </w:t>
      </w:r>
      <w:r w:rsidR="00B24E9D">
        <w:rPr>
          <w:color w:val="auto"/>
          <w:lang w:val="fr-FR"/>
        </w:rPr>
        <w:t>résultat</w:t>
      </w:r>
      <w:r>
        <w:rPr>
          <w:color w:val="auto"/>
          <w:lang w:val="fr-FR"/>
        </w:rPr>
        <w:t xml:space="preserve"> ci-dessous. Veuillez </w:t>
      </w:r>
      <w:r w:rsidR="00017554">
        <w:rPr>
          <w:color w:val="auto"/>
          <w:lang w:val="fr-FR"/>
        </w:rPr>
        <w:t>noter</w:t>
      </w:r>
      <w:r>
        <w:rPr>
          <w:color w:val="auto"/>
          <w:lang w:val="fr-FR"/>
        </w:rPr>
        <w:t xml:space="preserve"> que cette liste d’activités principales est de nature indicative et pourra évoluer tout au long du cycle de vie du projet. Ces activités pourraient être adaptées dans le cadre d’une phase </w:t>
      </w:r>
      <w:r w:rsidR="00173874">
        <w:rPr>
          <w:color w:val="auto"/>
          <w:lang w:val="fr-FR"/>
        </w:rPr>
        <w:t>préparatoire</w:t>
      </w:r>
      <w:r>
        <w:rPr>
          <w:color w:val="auto"/>
          <w:lang w:val="fr-FR"/>
        </w:rPr>
        <w:t xml:space="preserve"> au démarrage du projet.</w:t>
      </w:r>
    </w:p>
    <w:p w14:paraId="4140BA61" w14:textId="77777777" w:rsidR="00E1565C" w:rsidRDefault="00E1565C">
      <w:pPr>
        <w:spacing w:before="0"/>
        <w:rPr>
          <w:color w:val="auto"/>
          <w:lang w:val="fr-FR"/>
        </w:rPr>
      </w:pPr>
      <w:r>
        <w:rPr>
          <w:color w:val="auto"/>
          <w:lang w:val="fr-FR"/>
        </w:rPr>
        <w:br w:type="page"/>
      </w:r>
    </w:p>
    <w:p w14:paraId="4540064F" w14:textId="77777777" w:rsidR="005F1B84" w:rsidRPr="006F4D4F" w:rsidRDefault="005F1B84" w:rsidP="00884CB8">
      <w:pPr>
        <w:spacing w:before="0" w:line="300" w:lineRule="exact"/>
        <w:rPr>
          <w:lang w:val="fr-FR"/>
        </w:rPr>
      </w:pPr>
    </w:p>
    <w:tbl>
      <w:tblPr>
        <w:tblpPr w:leftFromText="141" w:rightFromText="141" w:vertAnchor="text" w:tblpY="1"/>
        <w:tblOverlap w:val="never"/>
        <w:tblW w:w="89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805"/>
        <w:gridCol w:w="6135"/>
      </w:tblGrid>
      <w:tr w:rsidR="00884CB8" w:rsidRPr="006F4D4F" w14:paraId="16A449D9" w14:textId="77777777" w:rsidTr="0076190A">
        <w:tc>
          <w:tcPr>
            <w:tcW w:w="2805" w:type="dxa"/>
            <w:shd w:val="clear" w:color="auto" w:fill="8DB3E2"/>
          </w:tcPr>
          <w:p w14:paraId="443ED326" w14:textId="52F8049A" w:rsidR="00884CB8" w:rsidRPr="006F4D4F" w:rsidRDefault="00B24E9D" w:rsidP="0076190A">
            <w:pPr>
              <w:keepNext/>
              <w:keepLines/>
              <w:spacing w:line="480" w:lineRule="auto"/>
              <w:jc w:val="both"/>
              <w:rPr>
                <w:b/>
                <w:i/>
                <w:color w:val="auto"/>
                <w:lang w:val="fr-FR"/>
              </w:rPr>
            </w:pPr>
            <w:r>
              <w:rPr>
                <w:b/>
                <w:color w:val="auto"/>
                <w:lang w:val="fr-FR"/>
              </w:rPr>
              <w:t>Résultat</w:t>
            </w:r>
          </w:p>
        </w:tc>
        <w:tc>
          <w:tcPr>
            <w:tcW w:w="6135" w:type="dxa"/>
            <w:shd w:val="clear" w:color="auto" w:fill="8DB3E2"/>
          </w:tcPr>
          <w:p w14:paraId="39373977" w14:textId="36768116" w:rsidR="00884CB8" w:rsidRPr="006F4D4F" w:rsidRDefault="00870960" w:rsidP="0076190A">
            <w:pPr>
              <w:keepNext/>
              <w:keepLines/>
              <w:spacing w:line="480" w:lineRule="auto"/>
              <w:jc w:val="both"/>
              <w:rPr>
                <w:b/>
                <w:i/>
                <w:color w:val="auto"/>
                <w:lang w:val="fr-FR"/>
              </w:rPr>
            </w:pPr>
            <w:r>
              <w:rPr>
                <w:b/>
                <w:color w:val="auto"/>
                <w:lang w:val="fr-FR"/>
              </w:rPr>
              <w:t>Activités principales</w:t>
            </w:r>
          </w:p>
        </w:tc>
      </w:tr>
      <w:tr w:rsidR="00884CB8" w:rsidRPr="004A302F" w14:paraId="022AB7F3" w14:textId="77777777" w:rsidTr="0076190A">
        <w:trPr>
          <w:trHeight w:val="580"/>
        </w:trPr>
        <w:tc>
          <w:tcPr>
            <w:tcW w:w="2805" w:type="dxa"/>
            <w:vMerge w:val="restart"/>
          </w:tcPr>
          <w:p w14:paraId="5622B946" w14:textId="6C04F42E" w:rsidR="00953EB4" w:rsidRPr="006F4D4F" w:rsidRDefault="00870960" w:rsidP="00953EB4">
            <w:pPr>
              <w:rPr>
                <w:color w:val="auto"/>
                <w:lang w:val="fr-FR"/>
              </w:rPr>
            </w:pPr>
            <w:r>
              <w:rPr>
                <w:color w:val="auto"/>
                <w:lang w:val="fr-FR"/>
              </w:rPr>
              <w:t>Domaine d’i</w:t>
            </w:r>
            <w:r w:rsidR="003F7D78" w:rsidRPr="006F4D4F">
              <w:rPr>
                <w:color w:val="auto"/>
                <w:lang w:val="fr-FR"/>
              </w:rPr>
              <w:t>ntervention</w:t>
            </w:r>
            <w:r>
              <w:rPr>
                <w:color w:val="auto"/>
                <w:lang w:val="fr-FR"/>
              </w:rPr>
              <w:t xml:space="preserve"> 1 :</w:t>
            </w:r>
            <w:r w:rsidR="00DC39D0" w:rsidRPr="006F4D4F">
              <w:rPr>
                <w:color w:val="auto"/>
                <w:lang w:val="fr-FR"/>
              </w:rPr>
              <w:t xml:space="preserve"> </w:t>
            </w:r>
          </w:p>
          <w:p w14:paraId="063F8C1A" w14:textId="501E0B00" w:rsidR="00DC39D0" w:rsidRPr="006F4D4F" w:rsidRDefault="00DC39D0" w:rsidP="00953EB4">
            <w:pPr>
              <w:rPr>
                <w:color w:val="auto"/>
                <w:lang w:val="fr-FR"/>
              </w:rPr>
            </w:pPr>
            <w:r w:rsidRPr="006F4D4F">
              <w:rPr>
                <w:color w:val="auto"/>
                <w:lang w:val="fr-FR"/>
              </w:rPr>
              <w:t xml:space="preserve">Dialogue </w:t>
            </w:r>
            <w:r w:rsidR="00870960">
              <w:rPr>
                <w:color w:val="auto"/>
                <w:lang w:val="fr-FR"/>
              </w:rPr>
              <w:t xml:space="preserve">sur le </w:t>
            </w:r>
            <w:r w:rsidR="0068294B">
              <w:rPr>
                <w:color w:val="auto"/>
                <w:lang w:val="fr-FR"/>
              </w:rPr>
              <w:t>développement des compétences</w:t>
            </w:r>
            <w:r w:rsidR="00870960">
              <w:rPr>
                <w:color w:val="auto"/>
                <w:lang w:val="fr-FR"/>
              </w:rPr>
              <w:t xml:space="preserve"> et </w:t>
            </w:r>
            <w:r w:rsidR="00017554">
              <w:rPr>
                <w:color w:val="auto"/>
                <w:lang w:val="fr-FR"/>
              </w:rPr>
              <w:t>l’EFP</w:t>
            </w:r>
            <w:r w:rsidR="00870960">
              <w:rPr>
                <w:color w:val="auto"/>
                <w:lang w:val="fr-FR"/>
              </w:rPr>
              <w:t xml:space="preserve"> </w:t>
            </w:r>
            <w:r w:rsidR="00B24E9D">
              <w:rPr>
                <w:color w:val="auto"/>
                <w:lang w:val="fr-FR"/>
              </w:rPr>
              <w:t xml:space="preserve">axés sur l’emploi </w:t>
            </w:r>
            <w:r w:rsidR="00870960">
              <w:rPr>
                <w:color w:val="auto"/>
                <w:lang w:val="fr-FR"/>
              </w:rPr>
              <w:t xml:space="preserve">entre les </w:t>
            </w:r>
            <w:r w:rsidR="00B24E9D">
              <w:rPr>
                <w:color w:val="auto"/>
                <w:lang w:val="fr-FR"/>
              </w:rPr>
              <w:t>établissements</w:t>
            </w:r>
            <w:r w:rsidR="00870960">
              <w:rPr>
                <w:color w:val="auto"/>
                <w:lang w:val="fr-FR"/>
              </w:rPr>
              <w:t xml:space="preserve"> de formation professionnelle, les entreprises, les institutions nationales et les associations concernées.</w:t>
            </w:r>
          </w:p>
          <w:p w14:paraId="6C26CC3E" w14:textId="2419A0EE" w:rsidR="00884CB8" w:rsidRPr="006F4D4F" w:rsidRDefault="00884CB8" w:rsidP="0076190A">
            <w:pPr>
              <w:rPr>
                <w:color w:val="auto"/>
                <w:lang w:val="fr-FR"/>
              </w:rPr>
            </w:pPr>
          </w:p>
        </w:tc>
        <w:tc>
          <w:tcPr>
            <w:tcW w:w="6135" w:type="dxa"/>
          </w:tcPr>
          <w:p w14:paraId="2776586B" w14:textId="113CD0DD" w:rsidR="00884CB8" w:rsidRPr="006F4D4F" w:rsidRDefault="00964EAD" w:rsidP="00964EAD">
            <w:pPr>
              <w:pStyle w:val="Paragraphedeliste"/>
              <w:numPr>
                <w:ilvl w:val="0"/>
                <w:numId w:val="17"/>
              </w:numPr>
              <w:spacing w:before="0" w:after="120"/>
              <w:contextualSpacing w:val="0"/>
              <w:jc w:val="both"/>
              <w:rPr>
                <w:rStyle w:val="orange"/>
                <w:color w:val="auto"/>
                <w:lang w:val="fr-FR"/>
              </w:rPr>
            </w:pPr>
            <w:r w:rsidRPr="006F4D4F">
              <w:rPr>
                <w:color w:val="auto"/>
                <w:lang w:val="fr-FR"/>
              </w:rPr>
              <w:t>Analy</w:t>
            </w:r>
            <w:r w:rsidR="00DF29C9">
              <w:rPr>
                <w:color w:val="auto"/>
                <w:lang w:val="fr-FR"/>
              </w:rPr>
              <w:t>ser</w:t>
            </w:r>
            <w:r w:rsidR="00870960">
              <w:rPr>
                <w:color w:val="auto"/>
                <w:lang w:val="fr-FR"/>
              </w:rPr>
              <w:t xml:space="preserve"> la situation du marché du travail et la demande en main d’œuvre en compilant les informations sur le marché du travail avec les différentes parties prenantes. Analyse</w:t>
            </w:r>
            <w:r w:rsidR="00DF29C9">
              <w:rPr>
                <w:color w:val="auto"/>
                <w:lang w:val="fr-FR"/>
              </w:rPr>
              <w:t>r</w:t>
            </w:r>
            <w:r w:rsidR="00870960">
              <w:rPr>
                <w:color w:val="auto"/>
                <w:lang w:val="fr-FR"/>
              </w:rPr>
              <w:t xml:space="preserve"> </w:t>
            </w:r>
            <w:r w:rsidR="00DF29C9">
              <w:rPr>
                <w:color w:val="auto"/>
                <w:lang w:val="fr-FR"/>
              </w:rPr>
              <w:t>l</w:t>
            </w:r>
            <w:r w:rsidR="00870960">
              <w:rPr>
                <w:color w:val="auto"/>
                <w:lang w:val="fr-FR"/>
              </w:rPr>
              <w:t xml:space="preserve">es investissements UE / CE actuels et futurs dans les pays cibles, </w:t>
            </w:r>
            <w:r w:rsidR="00DF29C9">
              <w:rPr>
                <w:color w:val="auto"/>
                <w:lang w:val="fr-FR"/>
              </w:rPr>
              <w:t xml:space="preserve">le </w:t>
            </w:r>
            <w:r w:rsidR="00870960">
              <w:rPr>
                <w:color w:val="auto"/>
                <w:lang w:val="fr-FR"/>
              </w:rPr>
              <w:t>potentiel de création d’emplois notamment.</w:t>
            </w:r>
          </w:p>
        </w:tc>
      </w:tr>
      <w:tr w:rsidR="00884CB8" w:rsidRPr="004A302F" w14:paraId="2D926A13" w14:textId="77777777" w:rsidTr="0076190A">
        <w:trPr>
          <w:trHeight w:val="420"/>
        </w:trPr>
        <w:tc>
          <w:tcPr>
            <w:tcW w:w="2805" w:type="dxa"/>
            <w:vMerge/>
          </w:tcPr>
          <w:p w14:paraId="3BDF85CC" w14:textId="77777777" w:rsidR="00884CB8" w:rsidRPr="006F4D4F" w:rsidRDefault="00884CB8" w:rsidP="0076190A">
            <w:pPr>
              <w:rPr>
                <w:color w:val="auto"/>
                <w:lang w:val="fr-FR"/>
              </w:rPr>
            </w:pPr>
          </w:p>
        </w:tc>
        <w:tc>
          <w:tcPr>
            <w:tcW w:w="6135" w:type="dxa"/>
          </w:tcPr>
          <w:p w14:paraId="091CB683" w14:textId="61E4327F" w:rsidR="00884CB8" w:rsidRPr="006F4D4F" w:rsidRDefault="00DF29C9" w:rsidP="00017554">
            <w:pPr>
              <w:pStyle w:val="Paragraphedeliste"/>
              <w:numPr>
                <w:ilvl w:val="0"/>
                <w:numId w:val="17"/>
              </w:numPr>
              <w:spacing w:after="120"/>
              <w:jc w:val="both"/>
              <w:rPr>
                <w:rStyle w:val="orange"/>
                <w:color w:val="000000" w:themeColor="text1"/>
                <w:lang w:val="fr-FR"/>
              </w:rPr>
            </w:pPr>
            <w:r>
              <w:rPr>
                <w:color w:val="000000" w:themeColor="text1"/>
                <w:lang w:val="fr-FR"/>
              </w:rPr>
              <w:t xml:space="preserve">Accompagner le </w:t>
            </w:r>
            <w:r w:rsidR="00870960">
              <w:rPr>
                <w:color w:val="000000" w:themeColor="text1"/>
                <w:lang w:val="fr-FR"/>
              </w:rPr>
              <w:t xml:space="preserve">renforcement des mécanismes existants, ou la mise en place de nouveaux mécanismes, pour le dialogue public-privé sur le </w:t>
            </w:r>
            <w:r w:rsidR="0068294B">
              <w:rPr>
                <w:color w:val="000000" w:themeColor="text1"/>
                <w:lang w:val="fr-FR"/>
              </w:rPr>
              <w:t>développement des compétences</w:t>
            </w:r>
            <w:r w:rsidR="00870960">
              <w:rPr>
                <w:color w:val="auto"/>
                <w:lang w:val="fr-FR"/>
              </w:rPr>
              <w:t xml:space="preserve"> et </w:t>
            </w:r>
            <w:r w:rsidR="00017554">
              <w:rPr>
                <w:color w:val="auto"/>
                <w:lang w:val="fr-FR"/>
              </w:rPr>
              <w:t>l’EFP</w:t>
            </w:r>
            <w:r w:rsidR="00B24E9D">
              <w:rPr>
                <w:color w:val="auto"/>
                <w:lang w:val="fr-FR"/>
              </w:rPr>
              <w:t xml:space="preserve"> axés sur l’emploi</w:t>
            </w:r>
            <w:r w:rsidR="00870960">
              <w:rPr>
                <w:color w:val="auto"/>
                <w:lang w:val="fr-FR"/>
              </w:rPr>
              <w:t>.</w:t>
            </w:r>
          </w:p>
        </w:tc>
      </w:tr>
      <w:tr w:rsidR="00354565" w:rsidRPr="004A302F" w14:paraId="3B2C2A9A" w14:textId="77777777" w:rsidTr="0076190A">
        <w:trPr>
          <w:trHeight w:val="460"/>
        </w:trPr>
        <w:tc>
          <w:tcPr>
            <w:tcW w:w="2805" w:type="dxa"/>
            <w:vMerge/>
          </w:tcPr>
          <w:p w14:paraId="64FC345D" w14:textId="77777777" w:rsidR="00884CB8" w:rsidRPr="006F4D4F" w:rsidRDefault="00884CB8" w:rsidP="0076190A">
            <w:pPr>
              <w:rPr>
                <w:color w:val="auto"/>
                <w:lang w:val="fr-FR"/>
              </w:rPr>
            </w:pPr>
          </w:p>
        </w:tc>
        <w:tc>
          <w:tcPr>
            <w:tcW w:w="6135" w:type="dxa"/>
          </w:tcPr>
          <w:p w14:paraId="3A71CF58" w14:textId="3C0FA90C" w:rsidR="00884CB8" w:rsidRPr="006F4D4F" w:rsidRDefault="00DF29C9" w:rsidP="00DA106F">
            <w:pPr>
              <w:pStyle w:val="Paragraphedeliste"/>
              <w:numPr>
                <w:ilvl w:val="0"/>
                <w:numId w:val="17"/>
              </w:numPr>
              <w:spacing w:before="0" w:after="120"/>
              <w:contextualSpacing w:val="0"/>
              <w:jc w:val="both"/>
              <w:rPr>
                <w:rStyle w:val="orange"/>
                <w:color w:val="auto"/>
                <w:lang w:val="fr-FR"/>
              </w:rPr>
            </w:pPr>
            <w:r>
              <w:rPr>
                <w:color w:val="auto"/>
                <w:lang w:val="fr-FR"/>
              </w:rPr>
              <w:t>Favoriser le</w:t>
            </w:r>
            <w:r w:rsidR="00870960">
              <w:rPr>
                <w:color w:val="auto"/>
                <w:lang w:val="fr-FR"/>
              </w:rPr>
              <w:t xml:space="preserve"> développement de partenariats axés sur l’emploi avec les entreprises, les syndicats et les associations, y compris les autorités nationales.</w:t>
            </w:r>
          </w:p>
        </w:tc>
      </w:tr>
      <w:tr w:rsidR="00F509E6" w:rsidRPr="004A302F" w14:paraId="3EB9025F" w14:textId="77777777" w:rsidTr="0076190A">
        <w:tc>
          <w:tcPr>
            <w:tcW w:w="2805" w:type="dxa"/>
            <w:vMerge w:val="restart"/>
          </w:tcPr>
          <w:p w14:paraId="395606B0" w14:textId="678B0FC5" w:rsidR="00F509E6" w:rsidRPr="006F4D4F" w:rsidRDefault="00870960" w:rsidP="0076190A">
            <w:pPr>
              <w:rPr>
                <w:color w:val="auto"/>
                <w:lang w:val="fr-FR"/>
              </w:rPr>
            </w:pPr>
            <w:r>
              <w:rPr>
                <w:color w:val="auto"/>
                <w:lang w:val="fr-FR"/>
              </w:rPr>
              <w:t>Domaine d’intervention 2 :</w:t>
            </w:r>
            <w:r w:rsidR="00F509E6" w:rsidRPr="006F4D4F">
              <w:rPr>
                <w:color w:val="auto"/>
                <w:lang w:val="fr-FR"/>
              </w:rPr>
              <w:t xml:space="preserve"> </w:t>
            </w:r>
          </w:p>
          <w:p w14:paraId="286B224D" w14:textId="731448E7" w:rsidR="00F509E6" w:rsidRPr="006F4D4F" w:rsidRDefault="00870960" w:rsidP="0076190A">
            <w:pPr>
              <w:rPr>
                <w:color w:val="auto"/>
                <w:lang w:val="fr-FR"/>
              </w:rPr>
            </w:pPr>
            <w:r>
              <w:rPr>
                <w:color w:val="auto"/>
                <w:lang w:val="fr-FR"/>
              </w:rPr>
              <w:t xml:space="preserve">Développement des capacités et </w:t>
            </w:r>
            <w:r w:rsidR="00B24E9D">
              <w:rPr>
                <w:color w:val="auto"/>
                <w:lang w:val="fr-FR"/>
              </w:rPr>
              <w:t xml:space="preserve">dispense d’une </w:t>
            </w:r>
            <w:r>
              <w:rPr>
                <w:color w:val="auto"/>
                <w:lang w:val="fr-FR"/>
              </w:rPr>
              <w:t>formation</w:t>
            </w:r>
            <w:r w:rsidR="00DF29C9">
              <w:rPr>
                <w:color w:val="auto"/>
                <w:lang w:val="fr-FR"/>
              </w:rPr>
              <w:t xml:space="preserve"> pour le </w:t>
            </w:r>
            <w:r w:rsidR="002906F1">
              <w:rPr>
                <w:color w:val="auto"/>
                <w:lang w:val="fr-FR"/>
              </w:rPr>
              <w:t>développement</w:t>
            </w:r>
            <w:r w:rsidR="00DF29C9">
              <w:rPr>
                <w:color w:val="auto"/>
                <w:lang w:val="fr-FR"/>
              </w:rPr>
              <w:t xml:space="preserve"> des compétences axé sur la demande à l’intention des </w:t>
            </w:r>
            <w:r w:rsidR="00B24E9D">
              <w:rPr>
                <w:color w:val="auto"/>
                <w:lang w:val="fr-FR"/>
              </w:rPr>
              <w:t>établissements</w:t>
            </w:r>
            <w:r w:rsidR="00DF29C9">
              <w:rPr>
                <w:color w:val="auto"/>
                <w:lang w:val="fr-FR"/>
              </w:rPr>
              <w:t xml:space="preserve"> de formation professionnelle et des entreprises locales.</w:t>
            </w:r>
          </w:p>
        </w:tc>
        <w:tc>
          <w:tcPr>
            <w:tcW w:w="6135" w:type="dxa"/>
          </w:tcPr>
          <w:p w14:paraId="310F9AF9" w14:textId="105F31DE" w:rsidR="00F509E6" w:rsidRPr="006F4D4F" w:rsidRDefault="00DF29C9" w:rsidP="00DA106F">
            <w:pPr>
              <w:pStyle w:val="Paragraphedeliste"/>
              <w:numPr>
                <w:ilvl w:val="0"/>
                <w:numId w:val="15"/>
              </w:numPr>
              <w:spacing w:before="0" w:after="120"/>
              <w:contextualSpacing w:val="0"/>
              <w:jc w:val="both"/>
              <w:rPr>
                <w:rStyle w:val="orange"/>
                <w:color w:val="auto"/>
                <w:lang w:val="fr-FR"/>
              </w:rPr>
            </w:pPr>
            <w:r>
              <w:rPr>
                <w:color w:val="auto"/>
                <w:lang w:val="fr-FR"/>
              </w:rPr>
              <w:t xml:space="preserve">Accompagner les </w:t>
            </w:r>
            <w:r w:rsidR="00B24E9D">
              <w:rPr>
                <w:color w:val="auto"/>
                <w:lang w:val="fr-FR"/>
              </w:rPr>
              <w:t>établissements</w:t>
            </w:r>
            <w:r>
              <w:rPr>
                <w:color w:val="auto"/>
                <w:lang w:val="fr-FR"/>
              </w:rPr>
              <w:t xml:space="preserve"> de formation professionnelle dans leur fourniture de services de formation, par exemple en formant les enseignants, en professionnalisant la direction, </w:t>
            </w:r>
            <w:r w:rsidR="007C2923" w:rsidRPr="006F4D4F">
              <w:rPr>
                <w:color w:val="auto"/>
                <w:lang w:val="fr-FR"/>
              </w:rPr>
              <w:t>etc</w:t>
            </w:r>
            <w:r w:rsidR="00F509E6" w:rsidRPr="006F4D4F">
              <w:rPr>
                <w:color w:val="auto"/>
                <w:lang w:val="fr-FR"/>
              </w:rPr>
              <w:t>.</w:t>
            </w:r>
          </w:p>
        </w:tc>
      </w:tr>
      <w:tr w:rsidR="00F509E6" w:rsidRPr="004A302F" w14:paraId="1B65C2EE" w14:textId="77777777" w:rsidTr="0076190A">
        <w:tc>
          <w:tcPr>
            <w:tcW w:w="2805" w:type="dxa"/>
            <w:vMerge/>
          </w:tcPr>
          <w:p w14:paraId="5A9CCE07" w14:textId="77777777" w:rsidR="00F509E6" w:rsidRPr="006F4D4F" w:rsidRDefault="00F509E6" w:rsidP="0076190A">
            <w:pPr>
              <w:rPr>
                <w:color w:val="auto"/>
                <w:lang w:val="fr-FR"/>
              </w:rPr>
            </w:pPr>
          </w:p>
        </w:tc>
        <w:tc>
          <w:tcPr>
            <w:tcW w:w="6135" w:type="dxa"/>
          </w:tcPr>
          <w:p w14:paraId="4F5F302B" w14:textId="639C00D8" w:rsidR="00F509E6" w:rsidRPr="006F4D4F" w:rsidRDefault="00F509E6" w:rsidP="00DA106F">
            <w:pPr>
              <w:pStyle w:val="Paragraphedeliste"/>
              <w:numPr>
                <w:ilvl w:val="0"/>
                <w:numId w:val="15"/>
              </w:numPr>
              <w:spacing w:before="0" w:after="120"/>
              <w:contextualSpacing w:val="0"/>
              <w:jc w:val="both"/>
              <w:rPr>
                <w:color w:val="auto"/>
                <w:lang w:val="fr-FR"/>
              </w:rPr>
            </w:pPr>
            <w:r w:rsidRPr="006F4D4F">
              <w:rPr>
                <w:color w:val="auto"/>
                <w:lang w:val="fr-FR"/>
              </w:rPr>
              <w:t>S</w:t>
            </w:r>
            <w:r w:rsidR="00DF29C9">
              <w:rPr>
                <w:color w:val="auto"/>
                <w:lang w:val="fr-FR"/>
              </w:rPr>
              <w:t xml:space="preserve">électionner et introduire des professions / compétences pour la formation dans les </w:t>
            </w:r>
            <w:r w:rsidR="00B24E9D">
              <w:rPr>
                <w:color w:val="auto"/>
                <w:lang w:val="fr-FR"/>
              </w:rPr>
              <w:t>établissements</w:t>
            </w:r>
            <w:r w:rsidR="00DF29C9">
              <w:rPr>
                <w:color w:val="auto"/>
                <w:lang w:val="fr-FR"/>
              </w:rPr>
              <w:t xml:space="preserve"> de formation professionnelle ; critères : demande du marché, transférabilité, </w:t>
            </w:r>
            <w:r w:rsidR="00AD6EBA" w:rsidRPr="006F4D4F">
              <w:rPr>
                <w:color w:val="auto"/>
                <w:lang w:val="fr-FR"/>
              </w:rPr>
              <w:t>etc.</w:t>
            </w:r>
          </w:p>
          <w:p w14:paraId="4C98C260" w14:textId="4638F512" w:rsidR="00F509E6" w:rsidRPr="006F4D4F" w:rsidRDefault="00F509E6" w:rsidP="00DA106F">
            <w:pPr>
              <w:pStyle w:val="Paragraphedeliste"/>
              <w:numPr>
                <w:ilvl w:val="0"/>
                <w:numId w:val="15"/>
              </w:numPr>
              <w:spacing w:before="0" w:after="120"/>
              <w:contextualSpacing w:val="0"/>
              <w:jc w:val="both"/>
              <w:rPr>
                <w:rStyle w:val="orange"/>
                <w:color w:val="auto"/>
                <w:lang w:val="fr-FR"/>
              </w:rPr>
            </w:pPr>
            <w:r w:rsidRPr="006F4D4F">
              <w:rPr>
                <w:color w:val="auto"/>
                <w:lang w:val="fr-FR"/>
              </w:rPr>
              <w:t>Introdu</w:t>
            </w:r>
            <w:r w:rsidR="00DF29C9">
              <w:rPr>
                <w:color w:val="auto"/>
                <w:lang w:val="fr-FR"/>
              </w:rPr>
              <w:t xml:space="preserve">ire des séances de formation aux compétences personnelles et à la préparation à l’emploi au niveau des </w:t>
            </w:r>
            <w:r w:rsidR="00B24E9D">
              <w:rPr>
                <w:color w:val="auto"/>
                <w:lang w:val="fr-FR"/>
              </w:rPr>
              <w:t>établissements</w:t>
            </w:r>
            <w:r w:rsidR="00DF29C9">
              <w:rPr>
                <w:color w:val="auto"/>
                <w:lang w:val="fr-FR"/>
              </w:rPr>
              <w:t xml:space="preserve"> de formation professionnelle.</w:t>
            </w:r>
          </w:p>
        </w:tc>
      </w:tr>
      <w:tr w:rsidR="00F509E6" w:rsidRPr="004A302F" w14:paraId="1C54D63A" w14:textId="77777777" w:rsidTr="0076190A">
        <w:tc>
          <w:tcPr>
            <w:tcW w:w="2805" w:type="dxa"/>
            <w:vMerge/>
          </w:tcPr>
          <w:p w14:paraId="29F3E713" w14:textId="77777777" w:rsidR="00F509E6" w:rsidRPr="006F4D4F" w:rsidRDefault="00F509E6" w:rsidP="0076190A">
            <w:pPr>
              <w:rPr>
                <w:color w:val="auto"/>
                <w:lang w:val="fr-FR"/>
              </w:rPr>
            </w:pPr>
          </w:p>
        </w:tc>
        <w:tc>
          <w:tcPr>
            <w:tcW w:w="6135" w:type="dxa"/>
          </w:tcPr>
          <w:p w14:paraId="0CF489BD" w14:textId="427DEC92" w:rsidR="00F509E6" w:rsidRPr="006F4D4F" w:rsidRDefault="00DF29C9" w:rsidP="00DA106F">
            <w:pPr>
              <w:pStyle w:val="Paragraphedeliste"/>
              <w:numPr>
                <w:ilvl w:val="0"/>
                <w:numId w:val="15"/>
              </w:numPr>
              <w:spacing w:before="0" w:after="120"/>
              <w:contextualSpacing w:val="0"/>
              <w:jc w:val="both"/>
              <w:rPr>
                <w:rStyle w:val="orange"/>
                <w:color w:val="auto"/>
                <w:lang w:val="fr-FR"/>
              </w:rPr>
            </w:pPr>
            <w:r>
              <w:rPr>
                <w:color w:val="auto"/>
                <w:lang w:val="fr-FR"/>
              </w:rPr>
              <w:t>Introduire des mécanismes d’apprentissage fondés sur le travail bénéficiant aux élèves et aux entreprises.</w:t>
            </w:r>
            <w:r w:rsidR="00F509E6" w:rsidRPr="006F4D4F">
              <w:rPr>
                <w:color w:val="auto"/>
                <w:lang w:val="fr-FR"/>
              </w:rPr>
              <w:t xml:space="preserve"> </w:t>
            </w:r>
          </w:p>
        </w:tc>
      </w:tr>
      <w:tr w:rsidR="00F55130" w:rsidRPr="004A302F" w14:paraId="59174371" w14:textId="77777777" w:rsidTr="0076190A">
        <w:tc>
          <w:tcPr>
            <w:tcW w:w="2805" w:type="dxa"/>
            <w:vMerge/>
          </w:tcPr>
          <w:p w14:paraId="5A2BE035" w14:textId="77777777" w:rsidR="00F55130" w:rsidRPr="006F4D4F" w:rsidRDefault="00F55130" w:rsidP="0076190A">
            <w:pPr>
              <w:rPr>
                <w:color w:val="auto"/>
                <w:lang w:val="fr-FR"/>
              </w:rPr>
            </w:pPr>
          </w:p>
        </w:tc>
        <w:tc>
          <w:tcPr>
            <w:tcW w:w="6135" w:type="dxa"/>
          </w:tcPr>
          <w:p w14:paraId="60452E8A" w14:textId="343D9A3D" w:rsidR="00F55130" w:rsidRPr="006F4D4F" w:rsidRDefault="00DF29C9" w:rsidP="00DA106F">
            <w:pPr>
              <w:pStyle w:val="Paragraphedeliste"/>
              <w:numPr>
                <w:ilvl w:val="0"/>
                <w:numId w:val="15"/>
              </w:numPr>
              <w:spacing w:before="0" w:after="120"/>
              <w:contextualSpacing w:val="0"/>
              <w:jc w:val="both"/>
              <w:rPr>
                <w:color w:val="auto"/>
                <w:lang w:val="fr-FR"/>
              </w:rPr>
            </w:pPr>
            <w:r>
              <w:rPr>
                <w:color w:val="auto"/>
                <w:lang w:val="fr-FR"/>
              </w:rPr>
              <w:t>Accompagner les entreprises locales en renforçant la formation interne de leurs employés sur la base d</w:t>
            </w:r>
            <w:r w:rsidR="00B24E9D">
              <w:rPr>
                <w:color w:val="auto"/>
                <w:lang w:val="fr-FR"/>
              </w:rPr>
              <w:t xml:space="preserve">’une </w:t>
            </w:r>
            <w:r>
              <w:rPr>
                <w:color w:val="auto"/>
                <w:lang w:val="fr-FR"/>
              </w:rPr>
              <w:t>évaluation des besoins.</w:t>
            </w:r>
          </w:p>
        </w:tc>
      </w:tr>
      <w:tr w:rsidR="00F509E6" w:rsidRPr="004A302F" w14:paraId="088A61EE" w14:textId="77777777" w:rsidTr="0076190A">
        <w:tc>
          <w:tcPr>
            <w:tcW w:w="2805" w:type="dxa"/>
            <w:vMerge/>
          </w:tcPr>
          <w:p w14:paraId="70101D1D" w14:textId="77777777" w:rsidR="00F509E6" w:rsidRPr="006F4D4F" w:rsidRDefault="00F509E6" w:rsidP="0076190A">
            <w:pPr>
              <w:rPr>
                <w:color w:val="auto"/>
                <w:lang w:val="fr-FR"/>
              </w:rPr>
            </w:pPr>
          </w:p>
        </w:tc>
        <w:tc>
          <w:tcPr>
            <w:tcW w:w="6135" w:type="dxa"/>
          </w:tcPr>
          <w:p w14:paraId="3539E170" w14:textId="4FBC0ECF" w:rsidR="00F509E6" w:rsidRPr="006F4D4F" w:rsidRDefault="00DF29C9" w:rsidP="00DA106F">
            <w:pPr>
              <w:pStyle w:val="Paragraphedeliste"/>
              <w:numPr>
                <w:ilvl w:val="0"/>
                <w:numId w:val="15"/>
              </w:numPr>
              <w:spacing w:after="120"/>
              <w:jc w:val="both"/>
              <w:rPr>
                <w:color w:val="000000" w:themeColor="text1"/>
                <w:lang w:val="fr-FR"/>
              </w:rPr>
            </w:pPr>
            <w:r>
              <w:rPr>
                <w:color w:val="000000" w:themeColor="text1"/>
                <w:lang w:val="fr-FR"/>
              </w:rPr>
              <w:t>Accompagner le développement de services de placement pour les diplômés des mesures de formation.</w:t>
            </w:r>
            <w:r w:rsidR="00F509E6" w:rsidRPr="006F4D4F">
              <w:rPr>
                <w:color w:val="000000" w:themeColor="text1"/>
                <w:lang w:val="fr-FR"/>
              </w:rPr>
              <w:t xml:space="preserve"> </w:t>
            </w:r>
          </w:p>
        </w:tc>
      </w:tr>
      <w:tr w:rsidR="00D95F66" w:rsidRPr="004A302F" w14:paraId="1C7FE95F" w14:textId="77777777" w:rsidTr="00D95F66">
        <w:trPr>
          <w:trHeight w:val="505"/>
        </w:trPr>
        <w:tc>
          <w:tcPr>
            <w:tcW w:w="2805" w:type="dxa"/>
            <w:vMerge w:val="restart"/>
          </w:tcPr>
          <w:p w14:paraId="7704A8AD" w14:textId="76837E30" w:rsidR="00D95F66" w:rsidRPr="006F4D4F" w:rsidRDefault="00DF29C9" w:rsidP="00354565">
            <w:pPr>
              <w:rPr>
                <w:color w:val="auto"/>
                <w:lang w:val="fr-FR"/>
              </w:rPr>
            </w:pPr>
            <w:r>
              <w:rPr>
                <w:color w:val="auto"/>
                <w:lang w:val="fr-FR"/>
              </w:rPr>
              <w:t>Domaine d’i</w:t>
            </w:r>
            <w:r w:rsidR="00D95F66" w:rsidRPr="006F4D4F">
              <w:rPr>
                <w:color w:val="auto"/>
                <w:lang w:val="fr-FR"/>
              </w:rPr>
              <w:t>ntervention 3</w:t>
            </w:r>
            <w:r>
              <w:rPr>
                <w:color w:val="auto"/>
                <w:lang w:val="fr-FR"/>
              </w:rPr>
              <w:t> </w:t>
            </w:r>
            <w:r w:rsidR="00D95F66" w:rsidRPr="006F4D4F">
              <w:rPr>
                <w:color w:val="auto"/>
                <w:lang w:val="fr-FR"/>
              </w:rPr>
              <w:t>:</w:t>
            </w:r>
          </w:p>
          <w:p w14:paraId="57700ED4" w14:textId="640AA06A" w:rsidR="00D95F66" w:rsidRPr="006F4D4F" w:rsidRDefault="000175A4" w:rsidP="00354565">
            <w:pPr>
              <w:rPr>
                <w:color w:val="auto"/>
                <w:lang w:val="fr-FR"/>
              </w:rPr>
            </w:pPr>
            <w:r>
              <w:rPr>
                <w:color w:val="auto"/>
                <w:lang w:val="fr-FR"/>
              </w:rPr>
              <w:t>Diffusion des leçons apprises et d’informations ciblées pour stimuler le dialogue sur les politiques.</w:t>
            </w:r>
          </w:p>
          <w:p w14:paraId="7DAB3C3E" w14:textId="7A074089" w:rsidR="00D95F66" w:rsidRPr="006F4D4F" w:rsidRDefault="00D95F66" w:rsidP="0076190A">
            <w:pPr>
              <w:rPr>
                <w:color w:val="auto"/>
                <w:lang w:val="fr-FR"/>
              </w:rPr>
            </w:pPr>
          </w:p>
        </w:tc>
        <w:tc>
          <w:tcPr>
            <w:tcW w:w="6135" w:type="dxa"/>
          </w:tcPr>
          <w:p w14:paraId="2D331A2D" w14:textId="65FACF51" w:rsidR="00D95F66" w:rsidRPr="006F4D4F" w:rsidRDefault="000175A4" w:rsidP="00DA106F">
            <w:pPr>
              <w:pStyle w:val="Paragraphedeliste"/>
              <w:numPr>
                <w:ilvl w:val="0"/>
                <w:numId w:val="18"/>
              </w:numPr>
              <w:spacing w:before="0" w:after="120"/>
              <w:jc w:val="both"/>
              <w:rPr>
                <w:rStyle w:val="orange"/>
                <w:color w:val="auto"/>
                <w:u w:val="single"/>
                <w:lang w:val="fr-FR"/>
              </w:rPr>
            </w:pPr>
            <w:r>
              <w:rPr>
                <w:color w:val="auto"/>
                <w:lang w:val="fr-FR"/>
              </w:rPr>
              <w:t>Échanger des informations ciblées et les leçons apprises dans le cadre de différents forums de parties prenantes, au niveau local notamment.</w:t>
            </w:r>
          </w:p>
        </w:tc>
      </w:tr>
      <w:tr w:rsidR="00F509E6" w:rsidRPr="004A302F" w14:paraId="755C534C" w14:textId="77777777" w:rsidTr="0076190A">
        <w:trPr>
          <w:trHeight w:val="300"/>
        </w:trPr>
        <w:tc>
          <w:tcPr>
            <w:tcW w:w="2805" w:type="dxa"/>
            <w:vMerge/>
          </w:tcPr>
          <w:p w14:paraId="6FC85422" w14:textId="77777777" w:rsidR="00F509E6" w:rsidRPr="006F4D4F" w:rsidRDefault="00F509E6" w:rsidP="0076190A">
            <w:pPr>
              <w:widowControl w:val="0"/>
              <w:spacing w:line="276" w:lineRule="auto"/>
              <w:rPr>
                <w:rStyle w:val="orange"/>
                <w:color w:val="auto"/>
                <w:lang w:val="fr-FR"/>
              </w:rPr>
            </w:pPr>
          </w:p>
        </w:tc>
        <w:tc>
          <w:tcPr>
            <w:tcW w:w="6135" w:type="dxa"/>
          </w:tcPr>
          <w:p w14:paraId="73509475" w14:textId="5C6772C4" w:rsidR="00F509E6" w:rsidRPr="006F4D4F" w:rsidRDefault="000175A4" w:rsidP="00DA106F">
            <w:pPr>
              <w:pStyle w:val="Paragraphedeliste"/>
              <w:numPr>
                <w:ilvl w:val="0"/>
                <w:numId w:val="18"/>
              </w:numPr>
              <w:spacing w:before="0" w:after="120"/>
              <w:contextualSpacing w:val="0"/>
              <w:jc w:val="both"/>
              <w:rPr>
                <w:rStyle w:val="orange"/>
                <w:color w:val="auto"/>
                <w:lang w:val="fr-FR"/>
              </w:rPr>
            </w:pPr>
            <w:r>
              <w:rPr>
                <w:color w:val="auto"/>
                <w:lang w:val="fr-FR"/>
              </w:rPr>
              <w:t xml:space="preserve">Renforcer le site Internet de la </w:t>
            </w:r>
            <w:r w:rsidR="00F509E6" w:rsidRPr="006F4D4F">
              <w:rPr>
                <w:color w:val="auto"/>
                <w:lang w:val="fr-FR"/>
              </w:rPr>
              <w:t xml:space="preserve">VET Toolbox </w:t>
            </w:r>
            <w:r>
              <w:rPr>
                <w:color w:val="auto"/>
                <w:lang w:val="fr-FR"/>
              </w:rPr>
              <w:t xml:space="preserve">pour en faire une plateforme numérique capable de faciliter les efforts de la </w:t>
            </w:r>
            <w:r w:rsidR="00F509E6" w:rsidRPr="006F4D4F">
              <w:rPr>
                <w:color w:val="auto"/>
                <w:lang w:val="fr-FR"/>
              </w:rPr>
              <w:t xml:space="preserve">VET </w:t>
            </w:r>
            <w:r>
              <w:rPr>
                <w:color w:val="auto"/>
                <w:lang w:val="fr-FR"/>
              </w:rPr>
              <w:t>T</w:t>
            </w:r>
            <w:r w:rsidR="00F509E6" w:rsidRPr="006F4D4F">
              <w:rPr>
                <w:color w:val="auto"/>
                <w:lang w:val="fr-FR"/>
              </w:rPr>
              <w:t>oolbox</w:t>
            </w:r>
            <w:r>
              <w:rPr>
                <w:color w:val="auto"/>
                <w:lang w:val="fr-FR"/>
              </w:rPr>
              <w:t xml:space="preserve"> en faveur de </w:t>
            </w:r>
            <w:r w:rsidR="00B7525F">
              <w:rPr>
                <w:color w:val="auto"/>
                <w:lang w:val="fr-FR"/>
              </w:rPr>
              <w:t>la diffusion</w:t>
            </w:r>
            <w:r>
              <w:rPr>
                <w:color w:val="auto"/>
                <w:lang w:val="fr-FR"/>
              </w:rPr>
              <w:t xml:space="preserve"> des leçons apprises et du réseau d’échange de connaissances </w:t>
            </w:r>
            <w:r w:rsidR="00F509E6" w:rsidRPr="006F4D4F">
              <w:rPr>
                <w:color w:val="auto"/>
                <w:lang w:val="fr-FR"/>
              </w:rPr>
              <w:t>(KEN)</w:t>
            </w:r>
            <w:r>
              <w:rPr>
                <w:color w:val="auto"/>
                <w:lang w:val="fr-FR"/>
              </w:rPr>
              <w:t>.</w:t>
            </w:r>
          </w:p>
        </w:tc>
      </w:tr>
      <w:tr w:rsidR="00F509E6" w:rsidRPr="004A302F" w14:paraId="45235F11" w14:textId="77777777" w:rsidTr="0076190A">
        <w:trPr>
          <w:trHeight w:val="300"/>
        </w:trPr>
        <w:tc>
          <w:tcPr>
            <w:tcW w:w="2805" w:type="dxa"/>
            <w:vMerge/>
          </w:tcPr>
          <w:p w14:paraId="13552402" w14:textId="77777777" w:rsidR="00F509E6" w:rsidRPr="006F4D4F" w:rsidRDefault="00F509E6" w:rsidP="0076190A">
            <w:pPr>
              <w:widowControl w:val="0"/>
              <w:spacing w:line="276" w:lineRule="auto"/>
              <w:rPr>
                <w:rStyle w:val="orange"/>
                <w:color w:val="auto"/>
                <w:lang w:val="fr-FR"/>
              </w:rPr>
            </w:pPr>
          </w:p>
        </w:tc>
        <w:tc>
          <w:tcPr>
            <w:tcW w:w="6135" w:type="dxa"/>
          </w:tcPr>
          <w:p w14:paraId="4453279C" w14:textId="07AAB301" w:rsidR="00F509E6" w:rsidRPr="006F4D4F" w:rsidRDefault="000175A4" w:rsidP="00DA106F">
            <w:pPr>
              <w:pStyle w:val="Paragraphedeliste"/>
              <w:numPr>
                <w:ilvl w:val="0"/>
                <w:numId w:val="18"/>
              </w:numPr>
              <w:spacing w:before="0" w:after="120"/>
              <w:contextualSpacing w:val="0"/>
              <w:jc w:val="both"/>
              <w:rPr>
                <w:color w:val="auto"/>
                <w:lang w:val="fr-FR"/>
              </w:rPr>
            </w:pPr>
            <w:r>
              <w:rPr>
                <w:color w:val="auto"/>
                <w:lang w:val="fr-FR"/>
              </w:rPr>
              <w:t>Partager et promouvoir les modèles de bonnes pratiques pour renforcer l’échange de connaissances.</w:t>
            </w:r>
          </w:p>
        </w:tc>
      </w:tr>
    </w:tbl>
    <w:p w14:paraId="10D60C05" w14:textId="4D1AC88A" w:rsidR="00BA79BA" w:rsidRPr="006F4D4F" w:rsidRDefault="00953EB4" w:rsidP="00B561A9">
      <w:pPr>
        <w:pStyle w:val="Titre2"/>
        <w:rPr>
          <w:lang w:val="fr-FR"/>
        </w:rPr>
      </w:pPr>
      <w:bookmarkStart w:id="208" w:name="_Toc463958197"/>
      <w:bookmarkStart w:id="209" w:name="_Toc463958470"/>
      <w:bookmarkStart w:id="210" w:name="_Toc463958746"/>
      <w:bookmarkStart w:id="211" w:name="_Toc463959022"/>
      <w:bookmarkStart w:id="212" w:name="_Toc231702663"/>
      <w:bookmarkStart w:id="213" w:name="_Toc261442113"/>
      <w:bookmarkStart w:id="214" w:name="_Toc20239573"/>
      <w:bookmarkStart w:id="215" w:name="_Toc20239664"/>
      <w:bookmarkStart w:id="216" w:name="_Toc44423194"/>
      <w:bookmarkStart w:id="217" w:name="_Toc44423712"/>
      <w:bookmarkStart w:id="218" w:name="_Toc54336681"/>
      <w:bookmarkEnd w:id="67"/>
      <w:bookmarkEnd w:id="68"/>
      <w:bookmarkEnd w:id="208"/>
      <w:bookmarkEnd w:id="209"/>
      <w:bookmarkEnd w:id="210"/>
      <w:bookmarkEnd w:id="211"/>
      <w:r w:rsidRPr="006F4D4F">
        <w:rPr>
          <w:lang w:val="fr-FR"/>
        </w:rPr>
        <w:t xml:space="preserve">1.7 </w:t>
      </w:r>
      <w:r w:rsidR="00BA79BA" w:rsidRPr="006F4D4F">
        <w:rPr>
          <w:lang w:val="fr-FR"/>
        </w:rPr>
        <w:t xml:space="preserve">Description </w:t>
      </w:r>
      <w:r w:rsidR="000175A4">
        <w:rPr>
          <w:lang w:val="fr-FR"/>
        </w:rPr>
        <w:t>des bénéficiaires et des parties prenantes</w:t>
      </w:r>
      <w:bookmarkEnd w:id="212"/>
      <w:bookmarkEnd w:id="213"/>
      <w:bookmarkEnd w:id="214"/>
      <w:bookmarkEnd w:id="215"/>
      <w:bookmarkEnd w:id="216"/>
      <w:bookmarkEnd w:id="217"/>
      <w:bookmarkEnd w:id="218"/>
    </w:p>
    <w:p w14:paraId="618E1ACC" w14:textId="0B9554A4" w:rsidR="000E1D9E" w:rsidRPr="006F4D4F" w:rsidRDefault="000175A4" w:rsidP="000F5866">
      <w:pPr>
        <w:spacing w:before="240" w:after="120"/>
        <w:jc w:val="both"/>
        <w:rPr>
          <w:b/>
          <w:color w:val="auto"/>
          <w:lang w:val="fr-FR"/>
        </w:rPr>
      </w:pPr>
      <w:bookmarkStart w:id="219" w:name="_Toc392857998"/>
      <w:bookmarkStart w:id="220" w:name="_Toc391022351"/>
      <w:bookmarkStart w:id="221" w:name="_Toc391537193"/>
      <w:r w:rsidRPr="000952C4">
        <w:rPr>
          <w:b/>
          <w:color w:val="auto"/>
          <w:lang w:val="fr-FR"/>
        </w:rPr>
        <w:t>Principaux partenaires</w:t>
      </w:r>
    </w:p>
    <w:p w14:paraId="374DED65" w14:textId="2D6218E4" w:rsidR="00121AB1" w:rsidRPr="006F4D4F" w:rsidRDefault="000175A4" w:rsidP="000F5866">
      <w:pPr>
        <w:spacing w:after="120" w:line="300" w:lineRule="exact"/>
        <w:jc w:val="both"/>
        <w:rPr>
          <w:color w:val="auto"/>
          <w:lang w:val="fr-FR"/>
        </w:rPr>
      </w:pPr>
      <w:r>
        <w:rPr>
          <w:color w:val="auto"/>
          <w:lang w:val="fr-FR"/>
        </w:rPr>
        <w:t xml:space="preserve">Différents groupes de partenaires sont à considérer pour l’action, en fonction du vaste éventail de points d’entrée potentiels pour l’intervention. On peut catégoriser / pondérer les partenaires de l’action en facilitateurs directs et indirects, destinataires et groupe cible / bénéficiaires </w:t>
      </w:r>
      <w:r w:rsidR="005106AA">
        <w:rPr>
          <w:color w:val="auto"/>
          <w:lang w:val="fr-FR"/>
        </w:rPr>
        <w:t>finaux</w:t>
      </w:r>
      <w:r>
        <w:rPr>
          <w:color w:val="auto"/>
          <w:lang w:val="fr-FR"/>
        </w:rPr>
        <w:t xml:space="preserve">. </w:t>
      </w:r>
    </w:p>
    <w:p w14:paraId="579DDAFA" w14:textId="66E9B355" w:rsidR="00F509E6" w:rsidRPr="006F4D4F" w:rsidRDefault="000175A4" w:rsidP="000F5866">
      <w:pPr>
        <w:spacing w:after="120" w:line="300" w:lineRule="exact"/>
        <w:jc w:val="both"/>
        <w:rPr>
          <w:color w:val="auto"/>
          <w:lang w:val="fr-FR"/>
        </w:rPr>
      </w:pPr>
      <w:r w:rsidRPr="000175A4">
        <w:rPr>
          <w:bCs/>
          <w:color w:val="auto"/>
          <w:lang w:val="fr-FR"/>
        </w:rPr>
        <w:t>Les</w:t>
      </w:r>
      <w:r>
        <w:rPr>
          <w:b/>
          <w:color w:val="auto"/>
          <w:lang w:val="fr-FR"/>
        </w:rPr>
        <w:t xml:space="preserve"> facilitateurs directs</w:t>
      </w:r>
      <w:r w:rsidR="000952C4">
        <w:rPr>
          <w:bCs/>
          <w:color w:val="auto"/>
          <w:lang w:val="fr-FR"/>
        </w:rPr>
        <w:t>,</w:t>
      </w:r>
      <w:r>
        <w:rPr>
          <w:b/>
          <w:color w:val="auto"/>
          <w:lang w:val="fr-FR"/>
        </w:rPr>
        <w:t xml:space="preserve"> </w:t>
      </w:r>
      <w:r>
        <w:rPr>
          <w:bCs/>
          <w:color w:val="auto"/>
          <w:lang w:val="fr-FR"/>
        </w:rPr>
        <w:t xml:space="preserve">ou </w:t>
      </w:r>
      <w:r>
        <w:rPr>
          <w:b/>
          <w:color w:val="auto"/>
          <w:lang w:val="fr-FR"/>
        </w:rPr>
        <w:t>parties prenantes principales</w:t>
      </w:r>
      <w:r w:rsidR="000952C4">
        <w:rPr>
          <w:bCs/>
          <w:color w:val="auto"/>
          <w:lang w:val="fr-FR"/>
        </w:rPr>
        <w:t>,</w:t>
      </w:r>
      <w:r>
        <w:rPr>
          <w:bCs/>
          <w:color w:val="auto"/>
          <w:lang w:val="fr-FR"/>
        </w:rPr>
        <w:t xml:space="preserve"> </w:t>
      </w:r>
      <w:r w:rsidR="000952C4">
        <w:rPr>
          <w:bCs/>
          <w:color w:val="auto"/>
          <w:lang w:val="fr-FR"/>
        </w:rPr>
        <w:t xml:space="preserve">sont les acteurs qui </w:t>
      </w:r>
      <w:r>
        <w:rPr>
          <w:bCs/>
          <w:color w:val="auto"/>
          <w:lang w:val="fr-FR"/>
        </w:rPr>
        <w:t xml:space="preserve">peuvent utiliser leurs compétences, leurs connaissances ou leur position de pouvoir pour exercer une influence </w:t>
      </w:r>
      <w:r w:rsidR="00636DB9">
        <w:rPr>
          <w:bCs/>
          <w:color w:val="auto"/>
          <w:lang w:val="fr-FR"/>
        </w:rPr>
        <w:t>significative</w:t>
      </w:r>
      <w:r>
        <w:rPr>
          <w:bCs/>
          <w:color w:val="auto"/>
          <w:lang w:val="fr-FR"/>
        </w:rPr>
        <w:t xml:space="preserve"> sur l’action. </w:t>
      </w:r>
      <w:r w:rsidR="00E35A16">
        <w:rPr>
          <w:bCs/>
          <w:color w:val="auto"/>
          <w:lang w:val="fr-FR"/>
        </w:rPr>
        <w:t xml:space="preserve">Ils disposent le plus souvent du pouvoir de décision. Les </w:t>
      </w:r>
      <w:r w:rsidR="00E35A16">
        <w:rPr>
          <w:b/>
          <w:color w:val="auto"/>
          <w:lang w:val="fr-FR"/>
        </w:rPr>
        <w:t xml:space="preserve">facilitateurs indirects </w:t>
      </w:r>
      <w:r w:rsidR="00E35A16">
        <w:rPr>
          <w:bCs/>
          <w:color w:val="auto"/>
          <w:lang w:val="fr-FR"/>
        </w:rPr>
        <w:t xml:space="preserve">sont les acteurs dont la participation au projet n’est qu’indirecte et/ou temporaire, les prestataires de services par exemple. Les </w:t>
      </w:r>
      <w:r w:rsidR="00E35A16">
        <w:rPr>
          <w:b/>
          <w:color w:val="auto"/>
          <w:lang w:val="fr-FR"/>
        </w:rPr>
        <w:t>destinataires</w:t>
      </w:r>
      <w:r w:rsidR="00E35A16">
        <w:rPr>
          <w:bCs/>
          <w:color w:val="auto"/>
          <w:lang w:val="fr-FR"/>
        </w:rPr>
        <w:t xml:space="preserve"> sont ceux directeme</w:t>
      </w:r>
      <w:r w:rsidR="000952C4">
        <w:rPr>
          <w:bCs/>
          <w:color w:val="auto"/>
          <w:lang w:val="fr-FR"/>
        </w:rPr>
        <w:t>nt</w:t>
      </w:r>
      <w:r w:rsidR="00E35A16">
        <w:rPr>
          <w:bCs/>
          <w:color w:val="auto"/>
          <w:lang w:val="fr-FR"/>
        </w:rPr>
        <w:t xml:space="preserve"> affectés par le projet (les </w:t>
      </w:r>
      <w:r w:rsidR="000952C4">
        <w:rPr>
          <w:bCs/>
          <w:color w:val="auto"/>
          <w:lang w:val="fr-FR"/>
        </w:rPr>
        <w:t xml:space="preserve">établissements </w:t>
      </w:r>
      <w:r w:rsidR="00E35A16">
        <w:rPr>
          <w:bCs/>
          <w:color w:val="auto"/>
          <w:lang w:val="fr-FR"/>
        </w:rPr>
        <w:t xml:space="preserve">de formation professionnelle qui reçoivent un appui pour le </w:t>
      </w:r>
      <w:r w:rsidR="000952C4">
        <w:rPr>
          <w:bCs/>
          <w:color w:val="auto"/>
          <w:lang w:val="fr-FR"/>
        </w:rPr>
        <w:t xml:space="preserve">renforcement </w:t>
      </w:r>
      <w:r w:rsidR="00E35A16">
        <w:rPr>
          <w:bCs/>
          <w:color w:val="auto"/>
          <w:lang w:val="fr-FR"/>
        </w:rPr>
        <w:t xml:space="preserve">de leurs capacités par exemple). Le </w:t>
      </w:r>
      <w:r w:rsidR="00E35A16">
        <w:rPr>
          <w:b/>
          <w:color w:val="auto"/>
          <w:lang w:val="fr-FR"/>
        </w:rPr>
        <w:t>groupe cible</w:t>
      </w:r>
      <w:r w:rsidR="000952C4">
        <w:rPr>
          <w:bCs/>
          <w:color w:val="auto"/>
          <w:lang w:val="fr-FR"/>
        </w:rPr>
        <w:t>,</w:t>
      </w:r>
      <w:r w:rsidR="00E35A16">
        <w:rPr>
          <w:b/>
          <w:color w:val="auto"/>
          <w:lang w:val="fr-FR"/>
        </w:rPr>
        <w:t xml:space="preserve"> </w:t>
      </w:r>
      <w:r w:rsidR="00E35A16">
        <w:rPr>
          <w:bCs/>
          <w:color w:val="auto"/>
          <w:lang w:val="fr-FR"/>
        </w:rPr>
        <w:t xml:space="preserve">ou </w:t>
      </w:r>
      <w:r w:rsidR="00E35A16">
        <w:rPr>
          <w:b/>
          <w:color w:val="auto"/>
          <w:lang w:val="fr-FR"/>
        </w:rPr>
        <w:t xml:space="preserve">bénéficiaires </w:t>
      </w:r>
      <w:r w:rsidR="005106AA">
        <w:rPr>
          <w:b/>
          <w:color w:val="auto"/>
          <w:lang w:val="fr-FR"/>
        </w:rPr>
        <w:t>finaux</w:t>
      </w:r>
      <w:r w:rsidR="000952C4">
        <w:rPr>
          <w:bCs/>
          <w:color w:val="auto"/>
          <w:lang w:val="fr-FR"/>
        </w:rPr>
        <w:t>,</w:t>
      </w:r>
      <w:r w:rsidR="00E35A16">
        <w:rPr>
          <w:b/>
          <w:color w:val="auto"/>
          <w:lang w:val="fr-FR"/>
        </w:rPr>
        <w:t xml:space="preserve"> </w:t>
      </w:r>
      <w:r w:rsidR="00E35A16">
        <w:rPr>
          <w:bCs/>
          <w:color w:val="auto"/>
          <w:lang w:val="fr-FR"/>
        </w:rPr>
        <w:t>sont ceux qui tirent profit des conditions améliorées faisant suite à l’intervention.</w:t>
      </w:r>
    </w:p>
    <w:p w14:paraId="23128049" w14:textId="1B367C9B" w:rsidR="009967BA" w:rsidRPr="006F4D4F" w:rsidRDefault="00E35A16" w:rsidP="000F5866">
      <w:pPr>
        <w:spacing w:after="120" w:line="300" w:lineRule="exact"/>
        <w:jc w:val="both"/>
        <w:rPr>
          <w:color w:val="auto"/>
          <w:lang w:val="fr-FR"/>
        </w:rPr>
      </w:pPr>
      <w:r>
        <w:rPr>
          <w:color w:val="auto"/>
          <w:lang w:val="fr-FR"/>
        </w:rPr>
        <w:t>Il peut également y avoir des acteurs sans le soutien et la participation desquels il serait impossible d’obtenir les résultats cibles d’un projet, voire qui pourraient opposer leur veto au projet. Ces acteurs peuvent être des facilitateurs directs ou indirects.</w:t>
      </w:r>
    </w:p>
    <w:p w14:paraId="4F97B452" w14:textId="371B3912" w:rsidR="00F442B3" w:rsidRPr="006F4D4F" w:rsidRDefault="00E35A16" w:rsidP="00DA106F">
      <w:pPr>
        <w:pStyle w:val="Paragraphedeliste"/>
        <w:numPr>
          <w:ilvl w:val="0"/>
          <w:numId w:val="30"/>
        </w:numPr>
        <w:spacing w:before="240" w:after="120" w:line="300" w:lineRule="exact"/>
        <w:jc w:val="both"/>
        <w:rPr>
          <w:b/>
          <w:color w:val="auto"/>
          <w:u w:val="single"/>
          <w:lang w:val="fr-FR"/>
        </w:rPr>
      </w:pPr>
      <w:r>
        <w:rPr>
          <w:b/>
          <w:color w:val="auto"/>
          <w:u w:val="single"/>
          <w:lang w:val="fr-FR"/>
        </w:rPr>
        <w:t>Facilitateurs directs / principales parties prenantes</w:t>
      </w:r>
    </w:p>
    <w:p w14:paraId="19E65848" w14:textId="16A67F9C" w:rsidR="00FF1C5B" w:rsidRPr="006F4D4F" w:rsidRDefault="00E35A16" w:rsidP="005106AA">
      <w:pPr>
        <w:spacing w:after="120" w:line="300" w:lineRule="exact"/>
        <w:jc w:val="both"/>
        <w:rPr>
          <w:color w:val="auto"/>
          <w:lang w:val="fr-FR"/>
        </w:rPr>
      </w:pPr>
      <w:r>
        <w:rPr>
          <w:color w:val="auto"/>
          <w:lang w:val="fr-FR"/>
        </w:rPr>
        <w:t>Au niveau européen, les facilitateurs directs pourraient inclure, sans pour autant s’y limiter :</w:t>
      </w:r>
      <w:r w:rsidR="00FF1C5B" w:rsidRPr="006F4D4F">
        <w:rPr>
          <w:color w:val="auto"/>
          <w:lang w:val="fr-FR"/>
        </w:rPr>
        <w:t xml:space="preserve"> </w:t>
      </w:r>
    </w:p>
    <w:p w14:paraId="34D58F8F" w14:textId="17C0110B" w:rsidR="00FF1C5B" w:rsidRPr="006F4D4F" w:rsidRDefault="00431A22" w:rsidP="00DA106F">
      <w:pPr>
        <w:pStyle w:val="Paragraphedeliste"/>
        <w:numPr>
          <w:ilvl w:val="0"/>
          <w:numId w:val="28"/>
        </w:numPr>
        <w:spacing w:after="120" w:line="300" w:lineRule="exact"/>
        <w:contextualSpacing w:val="0"/>
        <w:jc w:val="both"/>
        <w:rPr>
          <w:color w:val="auto"/>
          <w:lang w:val="fr-FR"/>
        </w:rPr>
      </w:pPr>
      <w:r>
        <w:rPr>
          <w:color w:val="auto"/>
          <w:lang w:val="fr-FR"/>
        </w:rPr>
        <w:t>l</w:t>
      </w:r>
      <w:r w:rsidR="00E35A16">
        <w:rPr>
          <w:color w:val="auto"/>
          <w:lang w:val="fr-FR"/>
        </w:rPr>
        <w:t xml:space="preserve">es investisseurs privés qui </w:t>
      </w:r>
      <w:r>
        <w:rPr>
          <w:color w:val="auto"/>
          <w:lang w:val="fr-FR"/>
        </w:rPr>
        <w:t>bénéficient des dispositifs Fonds européen pour le développement durable (FEDD) du PIE ou autres guichets d’investissement européens ;</w:t>
      </w:r>
    </w:p>
    <w:p w14:paraId="7FF12CC6" w14:textId="5A0491F5" w:rsidR="00FF1C5B" w:rsidRPr="006F4D4F" w:rsidRDefault="00431A22" w:rsidP="00DA106F">
      <w:pPr>
        <w:pStyle w:val="Paragraphedeliste"/>
        <w:numPr>
          <w:ilvl w:val="0"/>
          <w:numId w:val="28"/>
        </w:numPr>
        <w:spacing w:after="120" w:line="300" w:lineRule="exact"/>
        <w:contextualSpacing w:val="0"/>
        <w:jc w:val="both"/>
        <w:rPr>
          <w:color w:val="auto"/>
          <w:lang w:val="fr-FR"/>
        </w:rPr>
      </w:pPr>
      <w:r>
        <w:rPr>
          <w:color w:val="auto"/>
          <w:lang w:val="fr-FR"/>
        </w:rPr>
        <w:t>les institutions de l’Union européenne concernées (secrétariat du PIE, etc.).</w:t>
      </w:r>
    </w:p>
    <w:p w14:paraId="624FA13D" w14:textId="656CA1EE" w:rsidR="00FF1C5B" w:rsidRPr="006F4D4F" w:rsidRDefault="00431A22" w:rsidP="007C1647">
      <w:pPr>
        <w:spacing w:after="120" w:line="300" w:lineRule="exact"/>
        <w:ind w:left="426"/>
        <w:jc w:val="both"/>
        <w:rPr>
          <w:color w:val="auto"/>
          <w:lang w:val="fr-FR"/>
        </w:rPr>
      </w:pPr>
      <w:r>
        <w:rPr>
          <w:color w:val="auto"/>
          <w:lang w:val="fr-FR"/>
        </w:rPr>
        <w:t xml:space="preserve">Facilitateurs directs ou parties prenantes </w:t>
      </w:r>
      <w:r w:rsidR="000952C4">
        <w:rPr>
          <w:color w:val="auto"/>
          <w:lang w:val="fr-FR"/>
        </w:rPr>
        <w:t xml:space="preserve">principales </w:t>
      </w:r>
      <w:r>
        <w:rPr>
          <w:color w:val="auto"/>
          <w:lang w:val="fr-FR"/>
        </w:rPr>
        <w:t>dans les pays cibles :</w:t>
      </w:r>
    </w:p>
    <w:p w14:paraId="18202754" w14:textId="7FA36D73" w:rsidR="004E5670" w:rsidRPr="006F4D4F" w:rsidRDefault="00431A22" w:rsidP="00DA106F">
      <w:pPr>
        <w:pStyle w:val="Paragraphedeliste"/>
        <w:numPr>
          <w:ilvl w:val="0"/>
          <w:numId w:val="28"/>
        </w:numPr>
        <w:spacing w:after="120" w:line="300" w:lineRule="exact"/>
        <w:contextualSpacing w:val="0"/>
        <w:jc w:val="both"/>
        <w:rPr>
          <w:color w:val="auto"/>
          <w:lang w:val="fr-FR"/>
        </w:rPr>
      </w:pPr>
      <w:r>
        <w:rPr>
          <w:color w:val="auto"/>
          <w:lang w:val="fr-FR"/>
        </w:rPr>
        <w:t>Délégations de l’Union européenne locales ;</w:t>
      </w:r>
    </w:p>
    <w:p w14:paraId="4F937B80" w14:textId="77657F04" w:rsidR="00FF1C5B" w:rsidRPr="006F4D4F" w:rsidRDefault="00431A22" w:rsidP="00DA106F">
      <w:pPr>
        <w:pStyle w:val="Paragraphedeliste"/>
        <w:numPr>
          <w:ilvl w:val="0"/>
          <w:numId w:val="28"/>
        </w:numPr>
        <w:spacing w:after="120" w:line="300" w:lineRule="exact"/>
        <w:contextualSpacing w:val="0"/>
        <w:jc w:val="both"/>
        <w:rPr>
          <w:color w:val="auto"/>
          <w:lang w:val="fr-FR"/>
        </w:rPr>
      </w:pPr>
      <w:r>
        <w:rPr>
          <w:color w:val="auto"/>
          <w:lang w:val="fr-FR"/>
        </w:rPr>
        <w:t>fonds de formation locaux, nationaux ou sectoriels</w:t>
      </w:r>
      <w:r w:rsidR="000952C4">
        <w:rPr>
          <w:color w:val="auto"/>
          <w:lang w:val="fr-FR"/>
        </w:rPr>
        <w:t>.</w:t>
      </w:r>
    </w:p>
    <w:p w14:paraId="3F790F2A" w14:textId="060B33DB" w:rsidR="00F442B3" w:rsidRPr="006F4D4F" w:rsidRDefault="00431A22" w:rsidP="00DA106F">
      <w:pPr>
        <w:pStyle w:val="Paragraphedeliste"/>
        <w:numPr>
          <w:ilvl w:val="0"/>
          <w:numId w:val="30"/>
        </w:numPr>
        <w:spacing w:before="240" w:after="120" w:line="300" w:lineRule="exact"/>
        <w:jc w:val="both"/>
        <w:rPr>
          <w:b/>
          <w:color w:val="auto"/>
          <w:u w:val="single"/>
          <w:lang w:val="fr-FR"/>
        </w:rPr>
      </w:pPr>
      <w:r>
        <w:rPr>
          <w:b/>
          <w:color w:val="auto"/>
          <w:u w:val="single"/>
          <w:lang w:val="fr-FR"/>
        </w:rPr>
        <w:t>Facilitateurs indirects</w:t>
      </w:r>
    </w:p>
    <w:p w14:paraId="7A9F5130" w14:textId="36555D89" w:rsidR="00E030C3" w:rsidRPr="006F4D4F" w:rsidRDefault="00431A22" w:rsidP="005106AA">
      <w:pPr>
        <w:spacing w:after="120" w:line="300" w:lineRule="exact"/>
        <w:jc w:val="both"/>
        <w:rPr>
          <w:color w:val="auto"/>
          <w:lang w:val="fr-FR"/>
        </w:rPr>
      </w:pPr>
      <w:r>
        <w:rPr>
          <w:color w:val="auto"/>
          <w:lang w:val="fr-FR"/>
        </w:rPr>
        <w:t>Au niveau européen, les facilitateurs indirects pourraient inclure, sans pour autant s’y limiter :</w:t>
      </w:r>
    </w:p>
    <w:p w14:paraId="58FFF1E8" w14:textId="440565AC" w:rsidR="00E030C3" w:rsidRPr="006F4D4F" w:rsidRDefault="00431A22" w:rsidP="00DA106F">
      <w:pPr>
        <w:pStyle w:val="Paragraphedeliste"/>
        <w:numPr>
          <w:ilvl w:val="0"/>
          <w:numId w:val="29"/>
        </w:numPr>
        <w:spacing w:after="120" w:line="300" w:lineRule="exact"/>
        <w:contextualSpacing w:val="0"/>
        <w:jc w:val="both"/>
        <w:rPr>
          <w:color w:val="auto"/>
          <w:lang w:val="fr-FR"/>
        </w:rPr>
      </w:pPr>
      <w:r>
        <w:rPr>
          <w:color w:val="auto"/>
          <w:lang w:val="fr-FR"/>
        </w:rPr>
        <w:t>les institutions financières internationales (BEI, etc.) ;</w:t>
      </w:r>
      <w:r w:rsidR="00FF1C5B" w:rsidRPr="006F4D4F">
        <w:rPr>
          <w:color w:val="auto"/>
          <w:lang w:val="fr-FR"/>
        </w:rPr>
        <w:t xml:space="preserve"> </w:t>
      </w:r>
    </w:p>
    <w:p w14:paraId="24608403" w14:textId="1D8003AA" w:rsidR="00E030C3" w:rsidRPr="006F4D4F" w:rsidRDefault="00431A22" w:rsidP="00DA106F">
      <w:pPr>
        <w:pStyle w:val="Paragraphedeliste"/>
        <w:numPr>
          <w:ilvl w:val="0"/>
          <w:numId w:val="29"/>
        </w:numPr>
        <w:spacing w:after="120" w:line="300" w:lineRule="exact"/>
        <w:contextualSpacing w:val="0"/>
        <w:jc w:val="both"/>
        <w:rPr>
          <w:color w:val="auto"/>
          <w:lang w:val="fr-FR"/>
        </w:rPr>
      </w:pPr>
      <w:r>
        <w:rPr>
          <w:color w:val="auto"/>
          <w:lang w:val="fr-FR"/>
        </w:rPr>
        <w:t>les Chambres de commerce et d’industrie (dans les États membres de l’Union européenne).</w:t>
      </w:r>
    </w:p>
    <w:p w14:paraId="4B906075" w14:textId="5682E6EA" w:rsidR="00FF1C5B" w:rsidRPr="006F4D4F" w:rsidRDefault="00431A22" w:rsidP="005106AA">
      <w:pPr>
        <w:spacing w:after="120" w:line="300" w:lineRule="exact"/>
        <w:jc w:val="both"/>
        <w:rPr>
          <w:color w:val="auto"/>
          <w:lang w:val="fr-FR"/>
        </w:rPr>
      </w:pPr>
      <w:r>
        <w:rPr>
          <w:color w:val="auto"/>
          <w:lang w:val="fr-FR"/>
        </w:rPr>
        <w:t>Les facilitateurs indirects dans les pays cibles pourraient inclure, sans pour autant s’y limiter :</w:t>
      </w:r>
    </w:p>
    <w:p w14:paraId="7CD14842" w14:textId="6BFEF4E8" w:rsidR="00FF1C5B" w:rsidRPr="006F4D4F" w:rsidRDefault="00431A22" w:rsidP="00DA106F">
      <w:pPr>
        <w:pStyle w:val="Paragraphedeliste"/>
        <w:numPr>
          <w:ilvl w:val="0"/>
          <w:numId w:val="26"/>
        </w:numPr>
        <w:spacing w:after="120" w:line="300" w:lineRule="exact"/>
        <w:contextualSpacing w:val="0"/>
        <w:jc w:val="both"/>
        <w:rPr>
          <w:color w:val="auto"/>
          <w:lang w:val="fr-FR"/>
        </w:rPr>
      </w:pPr>
      <w:r>
        <w:rPr>
          <w:color w:val="auto"/>
          <w:lang w:val="fr-FR"/>
        </w:rPr>
        <w:t>les partenaires sociaux, à savoir les travailleurs</w:t>
      </w:r>
      <w:r w:rsidR="00AA5954">
        <w:rPr>
          <w:color w:val="auto"/>
          <w:lang w:val="fr-FR"/>
        </w:rPr>
        <w:t>,</w:t>
      </w:r>
      <w:r>
        <w:rPr>
          <w:color w:val="auto"/>
          <w:lang w:val="fr-FR"/>
        </w:rPr>
        <w:t xml:space="preserve"> représentés par leurs syndicats, les employeurs </w:t>
      </w:r>
      <w:r w:rsidR="00AA5954">
        <w:rPr>
          <w:color w:val="auto"/>
          <w:lang w:val="fr-FR"/>
        </w:rPr>
        <w:t>et les représentants du gouvernement ;</w:t>
      </w:r>
    </w:p>
    <w:p w14:paraId="03CE116E" w14:textId="0BC6A894" w:rsidR="00FF1C5B" w:rsidRPr="006F4D4F" w:rsidRDefault="00AA5954" w:rsidP="00DA106F">
      <w:pPr>
        <w:pStyle w:val="Paragraphedeliste"/>
        <w:numPr>
          <w:ilvl w:val="0"/>
          <w:numId w:val="26"/>
        </w:numPr>
        <w:spacing w:after="120" w:line="300" w:lineRule="exact"/>
        <w:contextualSpacing w:val="0"/>
        <w:jc w:val="both"/>
        <w:rPr>
          <w:color w:val="auto"/>
          <w:lang w:val="fr-FR"/>
        </w:rPr>
      </w:pPr>
      <w:r>
        <w:rPr>
          <w:color w:val="auto"/>
          <w:lang w:val="fr-FR"/>
        </w:rPr>
        <w:t>les ministères nationaux compétents, comme le ministère du Travail, le ministère de l’Éducation, le ministère du Développement économique et du commerce ou le ministère en charge des PME, qui façonnent le climat des affaires et de l’investissement d’un pays</w:t>
      </w:r>
      <w:r w:rsidR="000952C4">
        <w:rPr>
          <w:color w:val="auto"/>
          <w:lang w:val="fr-FR"/>
        </w:rPr>
        <w:t>,</w:t>
      </w:r>
      <w:r>
        <w:rPr>
          <w:color w:val="auto"/>
          <w:lang w:val="fr-FR"/>
        </w:rPr>
        <w:t xml:space="preserve"> outre le cadre légal de l’enseignement et la formation techniques et professionnels, le système fiscal et les stratégies et politiques pour le travail et l’emploi ;</w:t>
      </w:r>
    </w:p>
    <w:p w14:paraId="137F4968" w14:textId="3A1E6313" w:rsidR="00FF1C5B" w:rsidRPr="006F4D4F" w:rsidRDefault="00AA5954" w:rsidP="00DA106F">
      <w:pPr>
        <w:pStyle w:val="Paragraphedeliste"/>
        <w:numPr>
          <w:ilvl w:val="0"/>
          <w:numId w:val="26"/>
        </w:numPr>
        <w:spacing w:after="120" w:line="300" w:lineRule="exact"/>
        <w:contextualSpacing w:val="0"/>
        <w:jc w:val="both"/>
        <w:rPr>
          <w:color w:val="auto"/>
          <w:lang w:val="fr-FR"/>
        </w:rPr>
      </w:pPr>
      <w:r>
        <w:rPr>
          <w:color w:val="auto"/>
          <w:lang w:val="fr-FR"/>
        </w:rPr>
        <w:t xml:space="preserve">les associations professionnelles et chambres de commerce qui représentent les intérêts globaux du secteur privé, ont une grande influence sur le dialogue public-privé et sont des partenaires potentiels pour les programmes de </w:t>
      </w:r>
      <w:r w:rsidR="0068294B">
        <w:rPr>
          <w:color w:val="auto"/>
          <w:lang w:val="fr-FR"/>
        </w:rPr>
        <w:t>développement des compétences</w:t>
      </w:r>
      <w:r>
        <w:rPr>
          <w:color w:val="auto"/>
          <w:lang w:val="fr-FR"/>
        </w:rPr>
        <w:t xml:space="preserve"> et de formation des prestataires ;</w:t>
      </w:r>
    </w:p>
    <w:p w14:paraId="152FE736" w14:textId="6644DA67" w:rsidR="00FF1C5B" w:rsidRPr="006F4D4F" w:rsidRDefault="00AA5954" w:rsidP="00DA106F">
      <w:pPr>
        <w:pStyle w:val="Paragraphedeliste"/>
        <w:numPr>
          <w:ilvl w:val="0"/>
          <w:numId w:val="26"/>
        </w:numPr>
        <w:spacing w:after="120" w:line="300" w:lineRule="exact"/>
        <w:contextualSpacing w:val="0"/>
        <w:jc w:val="both"/>
        <w:rPr>
          <w:color w:val="auto"/>
          <w:lang w:val="fr-FR"/>
        </w:rPr>
      </w:pPr>
      <w:r>
        <w:rPr>
          <w:color w:val="auto"/>
          <w:lang w:val="fr-FR"/>
        </w:rPr>
        <w:t>les autres programmes donateurs concernant l’investissement et l’enseignement et la formation professionnels.</w:t>
      </w:r>
    </w:p>
    <w:p w14:paraId="7BEA2668" w14:textId="7E8B0D83" w:rsidR="00FF1C5B" w:rsidRPr="006F4D4F" w:rsidRDefault="00AA5954" w:rsidP="00DA106F">
      <w:pPr>
        <w:pStyle w:val="Paragraphedeliste"/>
        <w:numPr>
          <w:ilvl w:val="0"/>
          <w:numId w:val="30"/>
        </w:numPr>
        <w:spacing w:before="240" w:after="120" w:line="300" w:lineRule="exact"/>
        <w:jc w:val="both"/>
        <w:rPr>
          <w:b/>
          <w:color w:val="auto"/>
          <w:lang w:val="fr-FR"/>
        </w:rPr>
      </w:pPr>
      <w:r>
        <w:rPr>
          <w:b/>
          <w:color w:val="auto"/>
          <w:lang w:val="fr-FR"/>
        </w:rPr>
        <w:t>Bénéficiaires / destinataires directs</w:t>
      </w:r>
    </w:p>
    <w:p w14:paraId="60D06674" w14:textId="1E391573" w:rsidR="00FF1C5B" w:rsidRPr="006F4D4F" w:rsidRDefault="00AA5954" w:rsidP="005106AA">
      <w:pPr>
        <w:spacing w:after="120" w:line="300" w:lineRule="exact"/>
        <w:jc w:val="both"/>
        <w:rPr>
          <w:color w:val="auto"/>
          <w:lang w:val="fr-FR"/>
        </w:rPr>
      </w:pPr>
      <w:r>
        <w:rPr>
          <w:color w:val="auto"/>
          <w:lang w:val="fr-FR"/>
        </w:rPr>
        <w:t>Destinataires directs de l’action, sans pour autant s’y limiter :</w:t>
      </w:r>
    </w:p>
    <w:p w14:paraId="35F767F4" w14:textId="4AB8DA9A" w:rsidR="00FF1C5B" w:rsidRPr="006F4D4F" w:rsidRDefault="00AA5954" w:rsidP="00DA106F">
      <w:pPr>
        <w:pStyle w:val="Paragraphedeliste"/>
        <w:numPr>
          <w:ilvl w:val="0"/>
          <w:numId w:val="27"/>
        </w:numPr>
        <w:spacing w:after="120" w:line="300" w:lineRule="exact"/>
        <w:contextualSpacing w:val="0"/>
        <w:jc w:val="both"/>
        <w:rPr>
          <w:color w:val="auto"/>
          <w:lang w:val="fr-FR"/>
        </w:rPr>
      </w:pPr>
      <w:r>
        <w:rPr>
          <w:color w:val="auto"/>
          <w:lang w:val="fr-FR"/>
        </w:rPr>
        <w:t>les centres de formation professionnelle publics et privés locaux qui dispensent une formation professionnelle (continue)</w:t>
      </w:r>
      <w:r w:rsidR="008A20C9">
        <w:rPr>
          <w:color w:val="auto"/>
          <w:lang w:val="fr-FR"/>
        </w:rPr>
        <w:t xml:space="preserve"> (FPC) ;</w:t>
      </w:r>
    </w:p>
    <w:p w14:paraId="6F5BC01F" w14:textId="7B556D1B" w:rsidR="00FF1C5B" w:rsidRPr="006F4D4F" w:rsidRDefault="008A20C9" w:rsidP="00DA106F">
      <w:pPr>
        <w:pStyle w:val="Paragraphedeliste"/>
        <w:numPr>
          <w:ilvl w:val="0"/>
          <w:numId w:val="27"/>
        </w:numPr>
        <w:spacing w:after="120" w:line="300" w:lineRule="exact"/>
        <w:contextualSpacing w:val="0"/>
        <w:jc w:val="both"/>
        <w:rPr>
          <w:color w:val="auto"/>
          <w:lang w:val="fr-FR"/>
        </w:rPr>
      </w:pPr>
      <w:r>
        <w:rPr>
          <w:color w:val="auto"/>
          <w:lang w:val="fr-FR"/>
        </w:rPr>
        <w:t>les prestataires de services de formation à court terme ;</w:t>
      </w:r>
    </w:p>
    <w:p w14:paraId="5D51A3F5" w14:textId="714716F1" w:rsidR="002C52FF" w:rsidRPr="006F4D4F" w:rsidRDefault="008A20C9" w:rsidP="00DA106F">
      <w:pPr>
        <w:pStyle w:val="Paragraphedeliste"/>
        <w:numPr>
          <w:ilvl w:val="0"/>
          <w:numId w:val="27"/>
        </w:numPr>
        <w:spacing w:after="120" w:line="300" w:lineRule="exact"/>
        <w:contextualSpacing w:val="0"/>
        <w:jc w:val="both"/>
        <w:rPr>
          <w:color w:val="auto"/>
          <w:lang w:val="fr-FR"/>
        </w:rPr>
      </w:pPr>
      <w:r>
        <w:rPr>
          <w:color w:val="auto"/>
          <w:lang w:val="fr-FR"/>
        </w:rPr>
        <w:t>les employés futurs et actuels des entreprises locales (formation mise en œuvre directement par l’action) ;</w:t>
      </w:r>
    </w:p>
    <w:p w14:paraId="2EE4AF7C" w14:textId="1E9A4ADA" w:rsidR="00170841" w:rsidRPr="006F4D4F" w:rsidRDefault="008A20C9" w:rsidP="00DA106F">
      <w:pPr>
        <w:pStyle w:val="Paragraphedeliste"/>
        <w:numPr>
          <w:ilvl w:val="0"/>
          <w:numId w:val="27"/>
        </w:numPr>
        <w:spacing w:after="120" w:line="300" w:lineRule="exact"/>
        <w:contextualSpacing w:val="0"/>
        <w:jc w:val="both"/>
        <w:rPr>
          <w:color w:val="auto"/>
          <w:lang w:val="fr-FR"/>
        </w:rPr>
      </w:pPr>
      <w:r>
        <w:rPr>
          <w:color w:val="auto"/>
          <w:lang w:val="fr-FR"/>
        </w:rPr>
        <w:t>les entreprises locales qui reçoivent des services de coaching.</w:t>
      </w:r>
    </w:p>
    <w:p w14:paraId="4E2F1516" w14:textId="2602CEFF" w:rsidR="00FF1C5B" w:rsidRPr="006F4D4F" w:rsidRDefault="008A20C9" w:rsidP="00DA106F">
      <w:pPr>
        <w:pStyle w:val="Paragraphedeliste"/>
        <w:numPr>
          <w:ilvl w:val="0"/>
          <w:numId w:val="30"/>
        </w:numPr>
        <w:spacing w:before="240" w:after="120" w:line="300" w:lineRule="exact"/>
        <w:jc w:val="both"/>
        <w:rPr>
          <w:b/>
          <w:color w:val="auto"/>
          <w:lang w:val="fr-FR"/>
        </w:rPr>
      </w:pPr>
      <w:r>
        <w:rPr>
          <w:b/>
          <w:color w:val="auto"/>
          <w:lang w:val="fr-FR"/>
        </w:rPr>
        <w:t xml:space="preserve">Groupe cible / bénéficiaires </w:t>
      </w:r>
      <w:r w:rsidR="005106AA">
        <w:rPr>
          <w:b/>
          <w:color w:val="auto"/>
          <w:lang w:val="fr-FR"/>
        </w:rPr>
        <w:t>finaux</w:t>
      </w:r>
    </w:p>
    <w:p w14:paraId="7F48BAD7" w14:textId="60885527" w:rsidR="00FF1C5B" w:rsidRPr="006F4D4F" w:rsidRDefault="008A20C9" w:rsidP="005106AA">
      <w:pPr>
        <w:spacing w:after="120" w:line="300" w:lineRule="exact"/>
        <w:jc w:val="both"/>
        <w:rPr>
          <w:color w:val="auto"/>
          <w:lang w:val="fr-FR"/>
        </w:rPr>
      </w:pPr>
      <w:r>
        <w:rPr>
          <w:color w:val="auto"/>
          <w:lang w:val="fr-FR"/>
        </w:rPr>
        <w:t>L’action se propose d’atteindre les acteurs ci-dessous :</w:t>
      </w:r>
    </w:p>
    <w:p w14:paraId="2434BFBF" w14:textId="65B9FD2A" w:rsidR="00FF1C5B" w:rsidRPr="006F4D4F" w:rsidRDefault="008A20C9" w:rsidP="00DA106F">
      <w:pPr>
        <w:pStyle w:val="Paragraphedeliste"/>
        <w:numPr>
          <w:ilvl w:val="0"/>
          <w:numId w:val="25"/>
        </w:numPr>
        <w:spacing w:after="120" w:line="300" w:lineRule="exact"/>
        <w:contextualSpacing w:val="0"/>
        <w:jc w:val="both"/>
        <w:rPr>
          <w:color w:val="auto"/>
          <w:lang w:val="fr-FR"/>
        </w:rPr>
      </w:pPr>
      <w:r>
        <w:rPr>
          <w:color w:val="auto"/>
          <w:lang w:val="fr-FR"/>
        </w:rPr>
        <w:t>les entreprises locales participantes qui bénéficient des investissements ;</w:t>
      </w:r>
    </w:p>
    <w:p w14:paraId="16ACBCC2" w14:textId="6CB1C58D" w:rsidR="00FF1C5B" w:rsidRPr="006F4D4F" w:rsidRDefault="008A20C9" w:rsidP="00DA106F">
      <w:pPr>
        <w:pStyle w:val="Paragraphedeliste"/>
        <w:numPr>
          <w:ilvl w:val="0"/>
          <w:numId w:val="25"/>
        </w:numPr>
        <w:spacing w:after="120" w:line="300" w:lineRule="exact"/>
        <w:contextualSpacing w:val="0"/>
        <w:jc w:val="both"/>
        <w:rPr>
          <w:color w:val="auto"/>
          <w:lang w:val="fr-FR"/>
        </w:rPr>
      </w:pPr>
      <w:r>
        <w:rPr>
          <w:color w:val="auto"/>
          <w:lang w:val="fr-FR"/>
        </w:rPr>
        <w:t>les employés qui suivent une formation professionnelle continue ;</w:t>
      </w:r>
      <w:r w:rsidR="00FF1C5B" w:rsidRPr="006F4D4F">
        <w:rPr>
          <w:color w:val="auto"/>
          <w:lang w:val="fr-FR"/>
        </w:rPr>
        <w:t xml:space="preserve"> </w:t>
      </w:r>
    </w:p>
    <w:p w14:paraId="7BD2250E" w14:textId="562E1E5F" w:rsidR="00FF1C5B" w:rsidRPr="006F4D4F" w:rsidRDefault="008A20C9" w:rsidP="00DA106F">
      <w:pPr>
        <w:pStyle w:val="Paragraphedeliste"/>
        <w:numPr>
          <w:ilvl w:val="0"/>
          <w:numId w:val="25"/>
        </w:numPr>
        <w:spacing w:after="120" w:line="300" w:lineRule="exact"/>
        <w:contextualSpacing w:val="0"/>
        <w:jc w:val="both"/>
        <w:rPr>
          <w:color w:val="auto"/>
          <w:lang w:val="fr-FR"/>
        </w:rPr>
      </w:pPr>
      <w:r>
        <w:rPr>
          <w:color w:val="auto"/>
          <w:lang w:val="fr-FR"/>
        </w:rPr>
        <w:t>les apprentis et stagiaires</w:t>
      </w:r>
      <w:r w:rsidR="00401A83">
        <w:rPr>
          <w:color w:val="auto"/>
          <w:lang w:val="fr-FR"/>
        </w:rPr>
        <w:t xml:space="preserve"> des centres de formation professionnelle</w:t>
      </w:r>
      <w:r>
        <w:rPr>
          <w:color w:val="auto"/>
          <w:lang w:val="fr-FR"/>
        </w:rPr>
        <w:t>, dans les secteurs liés aux investissements ;</w:t>
      </w:r>
    </w:p>
    <w:p w14:paraId="47E48E56" w14:textId="12B4C965" w:rsidR="00FF1C5B" w:rsidRPr="006F4D4F" w:rsidRDefault="008A20C9" w:rsidP="00DA106F">
      <w:pPr>
        <w:pStyle w:val="Paragraphedeliste"/>
        <w:numPr>
          <w:ilvl w:val="0"/>
          <w:numId w:val="25"/>
        </w:numPr>
        <w:spacing w:after="120" w:line="300" w:lineRule="exact"/>
        <w:contextualSpacing w:val="0"/>
        <w:jc w:val="both"/>
        <w:rPr>
          <w:color w:val="auto"/>
          <w:lang w:val="fr-FR"/>
        </w:rPr>
      </w:pPr>
      <w:r>
        <w:rPr>
          <w:color w:val="auto"/>
          <w:lang w:val="fr-FR"/>
        </w:rPr>
        <w:t xml:space="preserve">les demandeurs d’emploi, y compris les groupes défavorisés, </w:t>
      </w:r>
      <w:r w:rsidR="00FF1C5B" w:rsidRPr="006F4D4F">
        <w:rPr>
          <w:color w:val="auto"/>
          <w:lang w:val="fr-FR"/>
        </w:rPr>
        <w:t>etc.</w:t>
      </w:r>
    </w:p>
    <w:p w14:paraId="1CDC5B68" w14:textId="4CAB64FF" w:rsidR="00D17A31" w:rsidRPr="006F4D4F" w:rsidRDefault="00D17A31">
      <w:pPr>
        <w:spacing w:before="0"/>
        <w:rPr>
          <w:rFonts w:eastAsia="Arial Unicode MS"/>
          <w:b/>
          <w:bCs/>
          <w:color w:val="50B848"/>
          <w:kern w:val="1"/>
          <w:sz w:val="32"/>
          <w:szCs w:val="48"/>
          <w:lang w:val="fr-FR"/>
        </w:rPr>
      </w:pPr>
      <w:bookmarkStart w:id="222" w:name="_Toc231700863"/>
      <w:bookmarkStart w:id="223" w:name="_Toc261443980"/>
      <w:bookmarkStart w:id="224" w:name="_Toc272845949"/>
      <w:bookmarkStart w:id="225" w:name="_Toc20239574"/>
      <w:bookmarkStart w:id="226" w:name="_Toc20239665"/>
      <w:bookmarkStart w:id="227" w:name="_Toc44423195"/>
      <w:bookmarkStart w:id="228" w:name="_Toc231702664"/>
      <w:bookmarkStart w:id="229" w:name="_Toc261442115"/>
      <w:bookmarkEnd w:id="219"/>
      <w:bookmarkEnd w:id="220"/>
      <w:bookmarkEnd w:id="221"/>
    </w:p>
    <w:p w14:paraId="6685E41B" w14:textId="77777777" w:rsidR="00D17A31" w:rsidRPr="006F4D4F" w:rsidRDefault="00D17A31">
      <w:pPr>
        <w:spacing w:before="0"/>
        <w:rPr>
          <w:rFonts w:eastAsia="Arial Unicode MS"/>
          <w:b/>
          <w:bCs/>
          <w:color w:val="50B848"/>
          <w:kern w:val="1"/>
          <w:sz w:val="32"/>
          <w:szCs w:val="48"/>
          <w:lang w:val="fr-FR"/>
        </w:rPr>
      </w:pPr>
      <w:r w:rsidRPr="006F4D4F">
        <w:rPr>
          <w:lang w:val="fr-FR"/>
        </w:rPr>
        <w:br w:type="page"/>
      </w:r>
    </w:p>
    <w:p w14:paraId="26D630F7" w14:textId="7B428F46" w:rsidR="00601300" w:rsidRPr="006F4D4F" w:rsidRDefault="00D17A31" w:rsidP="00D17A31">
      <w:pPr>
        <w:pStyle w:val="Titre1"/>
      </w:pPr>
      <w:bookmarkStart w:id="230" w:name="_Toc54336682"/>
      <w:r w:rsidRPr="006F4D4F">
        <w:t xml:space="preserve">2. </w:t>
      </w:r>
      <w:bookmarkEnd w:id="222"/>
      <w:bookmarkEnd w:id="223"/>
      <w:bookmarkEnd w:id="224"/>
      <w:bookmarkEnd w:id="225"/>
      <w:bookmarkEnd w:id="226"/>
      <w:bookmarkEnd w:id="227"/>
      <w:r w:rsidR="008A20C9">
        <w:t>Analyse du risque</w:t>
      </w:r>
      <w:bookmarkEnd w:id="230"/>
    </w:p>
    <w:tbl>
      <w:tblPr>
        <w:tblStyle w:val="Grilledutableau"/>
        <w:tblW w:w="9303" w:type="dxa"/>
        <w:jc w:val="center"/>
        <w:tblLayout w:type="fixed"/>
        <w:tblLook w:val="04A0" w:firstRow="1" w:lastRow="0" w:firstColumn="1" w:lastColumn="0" w:noHBand="0" w:noVBand="1"/>
      </w:tblPr>
      <w:tblGrid>
        <w:gridCol w:w="3801"/>
        <w:gridCol w:w="851"/>
        <w:gridCol w:w="4651"/>
      </w:tblGrid>
      <w:tr w:rsidR="00396F4E" w:rsidRPr="006F4D4F" w14:paraId="0BABFBC8" w14:textId="77777777" w:rsidTr="008A20C9">
        <w:trPr>
          <w:jc w:val="center"/>
        </w:trPr>
        <w:tc>
          <w:tcPr>
            <w:tcW w:w="3801" w:type="dxa"/>
            <w:shd w:val="clear" w:color="auto" w:fill="F2F2F2" w:themeFill="background1" w:themeFillShade="F2"/>
          </w:tcPr>
          <w:p w14:paraId="2F6F88A9" w14:textId="357BA808" w:rsidR="00396F4E" w:rsidRPr="006F4D4F" w:rsidRDefault="00396F4E" w:rsidP="001B29F7">
            <w:pPr>
              <w:pStyle w:val="BTCBodyText"/>
              <w:rPr>
                <w:lang w:val="fr-FR"/>
              </w:rPr>
            </w:pPr>
            <w:r w:rsidRPr="006F4D4F">
              <w:rPr>
                <w:b/>
                <w:bCs/>
                <w:lang w:val="fr-FR"/>
              </w:rPr>
              <w:t>Ris</w:t>
            </w:r>
            <w:r w:rsidR="008A20C9">
              <w:rPr>
                <w:b/>
                <w:bCs/>
                <w:lang w:val="fr-FR"/>
              </w:rPr>
              <w:t>ques</w:t>
            </w:r>
          </w:p>
        </w:tc>
        <w:tc>
          <w:tcPr>
            <w:tcW w:w="851" w:type="dxa"/>
            <w:shd w:val="clear" w:color="auto" w:fill="F2F2F2" w:themeFill="background1" w:themeFillShade="F2"/>
          </w:tcPr>
          <w:p w14:paraId="64DA752A" w14:textId="139C02D5" w:rsidR="00396F4E" w:rsidRPr="008A20C9" w:rsidRDefault="008A20C9" w:rsidP="00C752C0">
            <w:pPr>
              <w:pStyle w:val="BTCBodyText"/>
              <w:jc w:val="center"/>
              <w:rPr>
                <w:sz w:val="18"/>
                <w:szCs w:val="18"/>
                <w:lang w:val="fr-FR"/>
              </w:rPr>
            </w:pPr>
            <w:r w:rsidRPr="008A20C9">
              <w:rPr>
                <w:b/>
                <w:bCs/>
                <w:sz w:val="18"/>
                <w:szCs w:val="18"/>
                <w:lang w:val="fr-FR"/>
              </w:rPr>
              <w:t xml:space="preserve">Niveau de risque </w:t>
            </w:r>
            <w:r w:rsidR="00401A83">
              <w:rPr>
                <w:sz w:val="18"/>
                <w:szCs w:val="18"/>
                <w:lang w:val="fr-FR"/>
              </w:rPr>
              <w:t>H</w:t>
            </w:r>
            <w:r w:rsidR="00C752C0" w:rsidRPr="008A20C9">
              <w:rPr>
                <w:bCs/>
                <w:sz w:val="18"/>
                <w:szCs w:val="18"/>
                <w:lang w:val="fr-FR"/>
              </w:rPr>
              <w:t>/M/</w:t>
            </w:r>
            <w:r>
              <w:rPr>
                <w:bCs/>
                <w:sz w:val="18"/>
                <w:szCs w:val="18"/>
                <w:lang w:val="fr-FR"/>
              </w:rPr>
              <w:t>F</w:t>
            </w:r>
          </w:p>
        </w:tc>
        <w:tc>
          <w:tcPr>
            <w:tcW w:w="4651" w:type="dxa"/>
            <w:shd w:val="clear" w:color="auto" w:fill="F2F2F2" w:themeFill="background1" w:themeFillShade="F2"/>
          </w:tcPr>
          <w:p w14:paraId="2BCDA7D2" w14:textId="075E54BD" w:rsidR="00396F4E" w:rsidRPr="006F4D4F" w:rsidRDefault="008A20C9" w:rsidP="001B29F7">
            <w:pPr>
              <w:pStyle w:val="BTCBodyText"/>
              <w:rPr>
                <w:lang w:val="fr-FR"/>
              </w:rPr>
            </w:pPr>
            <w:r>
              <w:rPr>
                <w:b/>
                <w:bCs/>
                <w:lang w:val="fr-FR"/>
              </w:rPr>
              <w:t>Mesures d’atténuation</w:t>
            </w:r>
          </w:p>
        </w:tc>
      </w:tr>
      <w:tr w:rsidR="00396F4E" w:rsidRPr="004A302F" w14:paraId="2FE71900" w14:textId="77777777" w:rsidTr="008A20C9">
        <w:trPr>
          <w:jc w:val="center"/>
        </w:trPr>
        <w:tc>
          <w:tcPr>
            <w:tcW w:w="3801" w:type="dxa"/>
          </w:tcPr>
          <w:p w14:paraId="5FE6EEFD" w14:textId="2AF1A500" w:rsidR="00396F4E" w:rsidRPr="006F4D4F" w:rsidRDefault="008A20C9" w:rsidP="005106AA">
            <w:pPr>
              <w:pStyle w:val="BTCBodyText"/>
              <w:rPr>
                <w:lang w:val="fr-FR"/>
              </w:rPr>
            </w:pPr>
            <w:r>
              <w:rPr>
                <w:lang w:val="fr-FR"/>
              </w:rPr>
              <w:t>La f</w:t>
            </w:r>
            <w:r w:rsidR="00396F4E" w:rsidRPr="006F4D4F">
              <w:rPr>
                <w:lang w:val="fr-FR"/>
              </w:rPr>
              <w:t xml:space="preserve">ragmentation </w:t>
            </w:r>
            <w:r w:rsidR="005106AA">
              <w:rPr>
                <w:lang w:val="fr-FR"/>
              </w:rPr>
              <w:t xml:space="preserve">et les asymétries </w:t>
            </w:r>
            <w:r>
              <w:rPr>
                <w:lang w:val="fr-FR"/>
              </w:rPr>
              <w:t>informationnelle</w:t>
            </w:r>
            <w:r w:rsidR="005106AA">
              <w:rPr>
                <w:lang w:val="fr-FR"/>
              </w:rPr>
              <w:t>s</w:t>
            </w:r>
            <w:r>
              <w:rPr>
                <w:lang w:val="fr-FR"/>
              </w:rPr>
              <w:t xml:space="preserve"> seront le principal</w:t>
            </w:r>
            <w:r w:rsidR="00401A83">
              <w:rPr>
                <w:lang w:val="fr-FR"/>
              </w:rPr>
              <w:t xml:space="preserve"> risque</w:t>
            </w:r>
            <w:r>
              <w:rPr>
                <w:lang w:val="fr-FR"/>
              </w:rPr>
              <w:t xml:space="preserve"> que le programme devra gérer. Notamment, aucun acteur ne pourra définir </w:t>
            </w:r>
            <w:r w:rsidR="00FB0EF6">
              <w:rPr>
                <w:lang w:val="fr-FR"/>
              </w:rPr>
              <w:t xml:space="preserve">quel </w:t>
            </w:r>
            <w:r w:rsidR="00401A83">
              <w:rPr>
                <w:lang w:val="fr-FR"/>
              </w:rPr>
              <w:t>effet d’appel</w:t>
            </w:r>
            <w:r w:rsidR="00FB0EF6">
              <w:rPr>
                <w:lang w:val="fr-FR"/>
              </w:rPr>
              <w:t xml:space="preserve"> les investissements créeront sur le marché du travail susceptible </w:t>
            </w:r>
            <w:r w:rsidR="00401A83">
              <w:rPr>
                <w:lang w:val="fr-FR"/>
              </w:rPr>
              <w:t xml:space="preserve">d’entraîner </w:t>
            </w:r>
            <w:r w:rsidR="00FB0EF6">
              <w:rPr>
                <w:lang w:val="fr-FR"/>
              </w:rPr>
              <w:t xml:space="preserve">le ciblage inapproprié des interventions </w:t>
            </w:r>
            <w:r w:rsidR="00401A83">
              <w:rPr>
                <w:lang w:val="fr-FR"/>
              </w:rPr>
              <w:t>de développement</w:t>
            </w:r>
            <w:r w:rsidR="00FB0EF6">
              <w:rPr>
                <w:lang w:val="fr-FR"/>
              </w:rPr>
              <w:t xml:space="preserve"> </w:t>
            </w:r>
            <w:r w:rsidR="00401A83">
              <w:rPr>
                <w:lang w:val="fr-FR"/>
              </w:rPr>
              <w:t>d</w:t>
            </w:r>
            <w:r w:rsidR="00FB0EF6">
              <w:rPr>
                <w:lang w:val="fr-FR"/>
              </w:rPr>
              <w:t>es compétences.</w:t>
            </w:r>
            <w:r w:rsidR="00396F4E" w:rsidRPr="006F4D4F">
              <w:rPr>
                <w:lang w:val="fr-FR"/>
              </w:rPr>
              <w:t xml:space="preserve"> </w:t>
            </w:r>
          </w:p>
        </w:tc>
        <w:tc>
          <w:tcPr>
            <w:tcW w:w="851" w:type="dxa"/>
          </w:tcPr>
          <w:p w14:paraId="396B36C1" w14:textId="1519B6BB" w:rsidR="00396F4E" w:rsidRPr="006F4D4F" w:rsidRDefault="00396F4E" w:rsidP="005C48ED">
            <w:pPr>
              <w:pStyle w:val="BTCBodyText"/>
              <w:jc w:val="center"/>
              <w:rPr>
                <w:lang w:val="fr-FR"/>
              </w:rPr>
            </w:pPr>
            <w:r w:rsidRPr="006F4D4F">
              <w:rPr>
                <w:lang w:val="fr-FR"/>
              </w:rPr>
              <w:t>M</w:t>
            </w:r>
          </w:p>
        </w:tc>
        <w:tc>
          <w:tcPr>
            <w:tcW w:w="4651" w:type="dxa"/>
          </w:tcPr>
          <w:p w14:paraId="61205198" w14:textId="03C67443" w:rsidR="00396F4E" w:rsidRPr="006F4D4F" w:rsidDel="00A22D0F" w:rsidRDefault="00FB0EF6" w:rsidP="00964EAD">
            <w:pPr>
              <w:pStyle w:val="BTCBodyText"/>
              <w:rPr>
                <w:lang w:val="fr-FR"/>
              </w:rPr>
            </w:pPr>
            <w:r>
              <w:rPr>
                <w:lang w:val="fr-FR"/>
              </w:rPr>
              <w:t xml:space="preserve">On adoptera une approche fondée sur les opportunités pour tenter d’analyser les informations sous plusieurs angles. Il s’agit de la mesure d’atténuation principale pour améliorer l’alignement des interventions </w:t>
            </w:r>
            <w:r w:rsidR="00401A83">
              <w:rPr>
                <w:lang w:val="fr-FR"/>
              </w:rPr>
              <w:t>de développement d</w:t>
            </w:r>
            <w:r>
              <w:rPr>
                <w:lang w:val="fr-FR"/>
              </w:rPr>
              <w:t>es compétences sur la transformation et la demande sur le marché du travail.</w:t>
            </w:r>
            <w:r w:rsidR="00396F4E" w:rsidRPr="006F4D4F">
              <w:rPr>
                <w:lang w:val="fr-FR"/>
              </w:rPr>
              <w:t xml:space="preserve"> </w:t>
            </w:r>
          </w:p>
        </w:tc>
      </w:tr>
      <w:tr w:rsidR="00396F4E" w:rsidRPr="004A302F" w14:paraId="2BB9A5D2" w14:textId="77777777" w:rsidTr="008A20C9">
        <w:trPr>
          <w:jc w:val="center"/>
        </w:trPr>
        <w:tc>
          <w:tcPr>
            <w:tcW w:w="3801" w:type="dxa"/>
          </w:tcPr>
          <w:p w14:paraId="4FB6D43D" w14:textId="3E5646C0" w:rsidR="00396F4E" w:rsidRPr="006F4D4F" w:rsidRDefault="00FB0EF6" w:rsidP="001B29F7">
            <w:pPr>
              <w:pStyle w:val="BTCBodyText"/>
              <w:rPr>
                <w:lang w:val="fr-FR"/>
              </w:rPr>
            </w:pPr>
            <w:r>
              <w:rPr>
                <w:lang w:val="fr-FR"/>
              </w:rPr>
              <w:t>Les délais mis en jeu avant que certains types d’investissements aient un impact sur la création d’emplois peuvent être très longs. Il est dès lors impossible d’évaluer ces impacts dans le cadre temporel de l’activité proposée.</w:t>
            </w:r>
            <w:r w:rsidR="00396F4E" w:rsidRPr="006F4D4F">
              <w:rPr>
                <w:lang w:val="fr-FR"/>
              </w:rPr>
              <w:t xml:space="preserve"> </w:t>
            </w:r>
          </w:p>
        </w:tc>
        <w:tc>
          <w:tcPr>
            <w:tcW w:w="851" w:type="dxa"/>
          </w:tcPr>
          <w:p w14:paraId="33F90DB0" w14:textId="77777777" w:rsidR="00396F4E" w:rsidRPr="006F4D4F" w:rsidRDefault="00396F4E" w:rsidP="005C48ED">
            <w:pPr>
              <w:pStyle w:val="BTCBodyText"/>
              <w:jc w:val="center"/>
              <w:rPr>
                <w:lang w:val="fr-FR"/>
              </w:rPr>
            </w:pPr>
            <w:r w:rsidRPr="006F4D4F">
              <w:rPr>
                <w:lang w:val="fr-FR"/>
              </w:rPr>
              <w:t>M</w:t>
            </w:r>
          </w:p>
        </w:tc>
        <w:tc>
          <w:tcPr>
            <w:tcW w:w="4651" w:type="dxa"/>
          </w:tcPr>
          <w:p w14:paraId="748EF77E" w14:textId="190E999D" w:rsidR="00396F4E" w:rsidRPr="006F4D4F" w:rsidRDefault="00FB0EF6" w:rsidP="00964EAD">
            <w:pPr>
              <w:pStyle w:val="BTCBodyText"/>
              <w:rPr>
                <w:lang w:val="fr-FR"/>
              </w:rPr>
            </w:pPr>
            <w:r>
              <w:rPr>
                <w:lang w:val="fr-FR"/>
              </w:rPr>
              <w:t>On pourrait résoudre cette contrainte en évaluant des investissements similaires qui ont déjà commencé ou ont déjà pris fin et en mettant en place les cadres de travail et les bases de référence voulus pour veiller à l’évaluation adéquate du projet. L’action tiendra également compte de la dimension temporelle en recherchant le meilleur portefeuille d’interventions à financer.</w:t>
            </w:r>
            <w:r w:rsidR="00396F4E" w:rsidRPr="006F4D4F">
              <w:rPr>
                <w:lang w:val="fr-FR"/>
              </w:rPr>
              <w:t xml:space="preserve"> </w:t>
            </w:r>
          </w:p>
        </w:tc>
      </w:tr>
      <w:tr w:rsidR="00396F4E" w:rsidRPr="004A302F" w14:paraId="39298EC8" w14:textId="77777777" w:rsidTr="008A20C9">
        <w:trPr>
          <w:jc w:val="center"/>
        </w:trPr>
        <w:tc>
          <w:tcPr>
            <w:tcW w:w="3801" w:type="dxa"/>
          </w:tcPr>
          <w:p w14:paraId="0C1B254F" w14:textId="6F946B30" w:rsidR="00396F4E" w:rsidRPr="006F4D4F" w:rsidRDefault="00FB0EF6" w:rsidP="001B29F7">
            <w:pPr>
              <w:pStyle w:val="BTCBodyText"/>
              <w:rPr>
                <w:lang w:val="fr-FR"/>
              </w:rPr>
            </w:pPr>
            <w:r>
              <w:rPr>
                <w:lang w:val="fr-FR"/>
              </w:rPr>
              <w:t>Les investissements n’ont pas lieu dans le périmètre et dans la dimension régionale, pendant la durée de vie de l’action.</w:t>
            </w:r>
          </w:p>
        </w:tc>
        <w:tc>
          <w:tcPr>
            <w:tcW w:w="851" w:type="dxa"/>
          </w:tcPr>
          <w:p w14:paraId="08730E23" w14:textId="77777777" w:rsidR="00396F4E" w:rsidRPr="006F4D4F" w:rsidRDefault="00396F4E" w:rsidP="005C48ED">
            <w:pPr>
              <w:pStyle w:val="BTCBodyText"/>
              <w:jc w:val="center"/>
              <w:rPr>
                <w:lang w:val="fr-FR"/>
              </w:rPr>
            </w:pPr>
            <w:r w:rsidRPr="006F4D4F">
              <w:rPr>
                <w:lang w:val="fr-FR"/>
              </w:rPr>
              <w:t>M</w:t>
            </w:r>
          </w:p>
        </w:tc>
        <w:tc>
          <w:tcPr>
            <w:tcW w:w="4651" w:type="dxa"/>
          </w:tcPr>
          <w:p w14:paraId="40F1FE4D" w14:textId="65D89157" w:rsidR="00396F4E" w:rsidRPr="006F4D4F" w:rsidRDefault="00FB0EF6" w:rsidP="001B29F7">
            <w:pPr>
              <w:pStyle w:val="BTCBodyText"/>
              <w:rPr>
                <w:lang w:val="fr-FR"/>
              </w:rPr>
            </w:pPr>
            <w:r>
              <w:rPr>
                <w:lang w:val="fr-FR"/>
              </w:rPr>
              <w:t>Le portefeuille et la diversification régionale (visant à travailler avec de nombreuses entreprises / dans des secteurs différents / dans des pays différents) réduisent l’effet des retards</w:t>
            </w:r>
            <w:r w:rsidR="009226BA">
              <w:rPr>
                <w:lang w:val="fr-FR"/>
              </w:rPr>
              <w:t xml:space="preserve"> des investissements.</w:t>
            </w:r>
          </w:p>
          <w:p w14:paraId="1EB5A28C" w14:textId="1AA0C1E9" w:rsidR="00396F4E" w:rsidRPr="006F4D4F" w:rsidRDefault="00396F4E" w:rsidP="001B29F7">
            <w:pPr>
              <w:pStyle w:val="BTCBodyText"/>
              <w:rPr>
                <w:lang w:val="fr-FR"/>
              </w:rPr>
            </w:pPr>
            <w:r w:rsidRPr="006F4D4F">
              <w:rPr>
                <w:lang w:val="fr-FR"/>
              </w:rPr>
              <w:t>Analys</w:t>
            </w:r>
            <w:r w:rsidR="009226BA">
              <w:rPr>
                <w:lang w:val="fr-FR"/>
              </w:rPr>
              <w:t xml:space="preserve">er la demande </w:t>
            </w:r>
            <w:r w:rsidR="004776B1">
              <w:rPr>
                <w:lang w:val="fr-FR"/>
              </w:rPr>
              <w:t>de</w:t>
            </w:r>
            <w:r w:rsidR="009226BA">
              <w:rPr>
                <w:lang w:val="fr-FR"/>
              </w:rPr>
              <w:t xml:space="preserve"> main d’œuvre globale et</w:t>
            </w:r>
            <w:r w:rsidR="000A20C5">
              <w:rPr>
                <w:lang w:val="fr-FR"/>
              </w:rPr>
              <w:t xml:space="preserve"> </w:t>
            </w:r>
            <w:r w:rsidR="009226BA">
              <w:rPr>
                <w:lang w:val="fr-FR"/>
              </w:rPr>
              <w:t xml:space="preserve">privilégier le </w:t>
            </w:r>
            <w:r w:rsidR="004776B1">
              <w:rPr>
                <w:lang w:val="fr-FR"/>
              </w:rPr>
              <w:t>développement</w:t>
            </w:r>
            <w:r w:rsidR="009226BA">
              <w:rPr>
                <w:lang w:val="fr-FR"/>
              </w:rPr>
              <w:t xml:space="preserve"> de compétences transférables pour rester ouverts à des opportunités d’emploi de repli.</w:t>
            </w:r>
          </w:p>
        </w:tc>
      </w:tr>
      <w:tr w:rsidR="00396F4E" w:rsidRPr="004A302F" w14:paraId="00DF90A6" w14:textId="77777777" w:rsidTr="008A20C9">
        <w:trPr>
          <w:jc w:val="center"/>
        </w:trPr>
        <w:tc>
          <w:tcPr>
            <w:tcW w:w="3801" w:type="dxa"/>
          </w:tcPr>
          <w:p w14:paraId="0A5751CC" w14:textId="0E39E064" w:rsidR="00396F4E" w:rsidRPr="006F4D4F" w:rsidRDefault="009226BA" w:rsidP="001B29F7">
            <w:pPr>
              <w:pStyle w:val="BTCBodyText"/>
              <w:rPr>
                <w:lang w:val="fr-FR"/>
              </w:rPr>
            </w:pPr>
            <w:r>
              <w:rPr>
                <w:lang w:val="fr-FR"/>
              </w:rPr>
              <w:t>Le calendrier des investissements ne laisse qu’une fenêtre temporelle étroite pour la fourniture de travailleurs locaux.</w:t>
            </w:r>
          </w:p>
        </w:tc>
        <w:tc>
          <w:tcPr>
            <w:tcW w:w="851" w:type="dxa"/>
          </w:tcPr>
          <w:p w14:paraId="52E9A8FE" w14:textId="77777777" w:rsidR="00396F4E" w:rsidRPr="006F4D4F" w:rsidRDefault="00396F4E" w:rsidP="005C48ED">
            <w:pPr>
              <w:pStyle w:val="BTCBodyText"/>
              <w:jc w:val="center"/>
              <w:rPr>
                <w:lang w:val="fr-FR"/>
              </w:rPr>
            </w:pPr>
            <w:r w:rsidRPr="006F4D4F">
              <w:rPr>
                <w:lang w:val="fr-FR"/>
              </w:rPr>
              <w:t>M</w:t>
            </w:r>
          </w:p>
        </w:tc>
        <w:tc>
          <w:tcPr>
            <w:tcW w:w="4651" w:type="dxa"/>
          </w:tcPr>
          <w:p w14:paraId="690506B7" w14:textId="22014F5B" w:rsidR="00396F4E" w:rsidRPr="006F4D4F" w:rsidRDefault="009226BA" w:rsidP="005106AA">
            <w:pPr>
              <w:pStyle w:val="BTCBodyText"/>
              <w:rPr>
                <w:lang w:val="fr-FR"/>
              </w:rPr>
            </w:pPr>
            <w:r>
              <w:rPr>
                <w:lang w:val="fr-FR"/>
              </w:rPr>
              <w:t xml:space="preserve">Stratégies de </w:t>
            </w:r>
            <w:r w:rsidR="0068294B">
              <w:rPr>
                <w:lang w:val="fr-FR"/>
              </w:rPr>
              <w:t>développement des compétences</w:t>
            </w:r>
            <w:r>
              <w:rPr>
                <w:lang w:val="fr-FR"/>
              </w:rPr>
              <w:t xml:space="preserve"> individuelles conjuguant </w:t>
            </w:r>
            <w:r w:rsidR="005106AA">
              <w:rPr>
                <w:lang w:val="fr-FR"/>
              </w:rPr>
              <w:t xml:space="preserve">EFP </w:t>
            </w:r>
            <w:r>
              <w:rPr>
                <w:lang w:val="fr-FR"/>
              </w:rPr>
              <w:t xml:space="preserve">à long terme, formation courte et formation directe par les entreprises. Établir des </w:t>
            </w:r>
            <w:r w:rsidR="004776B1">
              <w:rPr>
                <w:lang w:val="fr-FR"/>
              </w:rPr>
              <w:t>canaux</w:t>
            </w:r>
            <w:r>
              <w:rPr>
                <w:lang w:val="fr-FR"/>
              </w:rPr>
              <w:t xml:space="preserve"> de communication forts avec les acteurs concernés. Commencer dès à présent la formation sur les compétences transférables pour gagner du temps et clarifier la situation en matière de besoins en compétences spécifiques.</w:t>
            </w:r>
          </w:p>
        </w:tc>
      </w:tr>
      <w:tr w:rsidR="00396F4E" w:rsidRPr="004A302F" w14:paraId="6D068145" w14:textId="77777777" w:rsidTr="008A20C9">
        <w:trPr>
          <w:jc w:val="center"/>
        </w:trPr>
        <w:tc>
          <w:tcPr>
            <w:tcW w:w="3801" w:type="dxa"/>
          </w:tcPr>
          <w:p w14:paraId="1BBCCE94" w14:textId="5A1A2487" w:rsidR="00396F4E" w:rsidRPr="006F4D4F" w:rsidRDefault="00396F4E" w:rsidP="001B29F7">
            <w:pPr>
              <w:pStyle w:val="BTCBodyText"/>
              <w:rPr>
                <w:lang w:val="fr-FR"/>
              </w:rPr>
            </w:pPr>
            <w:r w:rsidRPr="006F4D4F">
              <w:rPr>
                <w:lang w:val="fr-FR"/>
              </w:rPr>
              <w:t>Change</w:t>
            </w:r>
            <w:r w:rsidR="009226BA">
              <w:rPr>
                <w:lang w:val="fr-FR"/>
              </w:rPr>
              <w:t>ment</w:t>
            </w:r>
            <w:r w:rsidRPr="006F4D4F">
              <w:rPr>
                <w:lang w:val="fr-FR"/>
              </w:rPr>
              <w:t>s</w:t>
            </w:r>
            <w:r w:rsidR="009226BA">
              <w:rPr>
                <w:lang w:val="fr-FR"/>
              </w:rPr>
              <w:t xml:space="preserve"> dans la structure des marchés du travail et demande fluctuante.</w:t>
            </w:r>
            <w:r w:rsidRPr="006F4D4F">
              <w:rPr>
                <w:lang w:val="fr-FR"/>
              </w:rPr>
              <w:t xml:space="preserve"> </w:t>
            </w:r>
          </w:p>
        </w:tc>
        <w:tc>
          <w:tcPr>
            <w:tcW w:w="851" w:type="dxa"/>
          </w:tcPr>
          <w:p w14:paraId="354DC5EE" w14:textId="77777777" w:rsidR="00396F4E" w:rsidRPr="006F4D4F" w:rsidRDefault="00396F4E" w:rsidP="005C48ED">
            <w:pPr>
              <w:pStyle w:val="BTCBodyText"/>
              <w:jc w:val="center"/>
              <w:rPr>
                <w:lang w:val="fr-FR"/>
              </w:rPr>
            </w:pPr>
            <w:r w:rsidRPr="006F4D4F">
              <w:rPr>
                <w:lang w:val="fr-FR"/>
              </w:rPr>
              <w:t>M</w:t>
            </w:r>
          </w:p>
        </w:tc>
        <w:tc>
          <w:tcPr>
            <w:tcW w:w="4651" w:type="dxa"/>
          </w:tcPr>
          <w:p w14:paraId="03AF095A" w14:textId="7DCBBF03" w:rsidR="00396F4E" w:rsidRPr="006F4D4F" w:rsidRDefault="009226BA" w:rsidP="001B29F7">
            <w:pPr>
              <w:pStyle w:val="BTCBodyText"/>
              <w:rPr>
                <w:lang w:val="fr-FR"/>
              </w:rPr>
            </w:pPr>
            <w:r>
              <w:rPr>
                <w:lang w:val="fr-FR"/>
              </w:rPr>
              <w:t>Mettre en correspondance l’offre et la demande en favorisant le dialogue entre les prestataires de formation et l’industrie</w:t>
            </w:r>
            <w:r w:rsidR="001717A5">
              <w:rPr>
                <w:lang w:val="fr-FR"/>
              </w:rPr>
              <w:t xml:space="preserve"> pour conserver un temps d’avance sur le changement technologique et inclure des apprentissages fondés sur le travail.</w:t>
            </w:r>
            <w:r w:rsidR="00396F4E" w:rsidRPr="006F4D4F">
              <w:rPr>
                <w:lang w:val="fr-FR"/>
              </w:rPr>
              <w:t xml:space="preserve"> </w:t>
            </w:r>
          </w:p>
        </w:tc>
      </w:tr>
      <w:tr w:rsidR="00396F4E" w:rsidRPr="004A302F" w14:paraId="7CD9BEA8" w14:textId="77777777" w:rsidTr="008A20C9">
        <w:trPr>
          <w:jc w:val="center"/>
        </w:trPr>
        <w:tc>
          <w:tcPr>
            <w:tcW w:w="3801" w:type="dxa"/>
          </w:tcPr>
          <w:p w14:paraId="2D9A25C6" w14:textId="78AED0E2" w:rsidR="00396F4E" w:rsidRPr="006F4D4F" w:rsidRDefault="3E8C4834" w:rsidP="001B29F7">
            <w:pPr>
              <w:pStyle w:val="BTCBodyText"/>
              <w:rPr>
                <w:lang w:val="fr-FR"/>
              </w:rPr>
            </w:pPr>
            <w:r w:rsidRPr="006F4D4F">
              <w:rPr>
                <w:lang w:val="fr-FR"/>
              </w:rPr>
              <w:t>L</w:t>
            </w:r>
            <w:r w:rsidR="001717A5">
              <w:rPr>
                <w:lang w:val="fr-FR"/>
              </w:rPr>
              <w:t>es entreprises locales ne répondent pas aux exigences des investisseurs, avec pour résultat un manque d’apport de valeur locale ou un</w:t>
            </w:r>
            <w:r w:rsidR="004776B1">
              <w:rPr>
                <w:lang w:val="fr-FR"/>
              </w:rPr>
              <w:t xml:space="preserve"> recours insuffisant à </w:t>
            </w:r>
            <w:r w:rsidR="001717A5">
              <w:rPr>
                <w:lang w:val="fr-FR"/>
              </w:rPr>
              <w:t>la main d’œuvre locale.</w:t>
            </w:r>
          </w:p>
        </w:tc>
        <w:tc>
          <w:tcPr>
            <w:tcW w:w="851" w:type="dxa"/>
          </w:tcPr>
          <w:p w14:paraId="0DA7D5CE" w14:textId="77777777" w:rsidR="00396F4E" w:rsidRPr="006F4D4F" w:rsidRDefault="00396F4E" w:rsidP="005C48ED">
            <w:pPr>
              <w:pStyle w:val="BTCBodyText"/>
              <w:jc w:val="center"/>
              <w:rPr>
                <w:lang w:val="fr-FR"/>
              </w:rPr>
            </w:pPr>
            <w:r w:rsidRPr="006F4D4F">
              <w:rPr>
                <w:lang w:val="fr-FR"/>
              </w:rPr>
              <w:t>M</w:t>
            </w:r>
          </w:p>
        </w:tc>
        <w:tc>
          <w:tcPr>
            <w:tcW w:w="4651" w:type="dxa"/>
          </w:tcPr>
          <w:p w14:paraId="7AC1EE23" w14:textId="119C3CB2" w:rsidR="00396F4E" w:rsidRPr="006F4D4F" w:rsidRDefault="001717A5" w:rsidP="001B29F7">
            <w:pPr>
              <w:pStyle w:val="BTCBodyText"/>
              <w:rPr>
                <w:lang w:val="fr-FR"/>
              </w:rPr>
            </w:pPr>
            <w:r>
              <w:rPr>
                <w:lang w:val="fr-FR"/>
              </w:rPr>
              <w:t>Fonder les mesures en faveur du développement des PME sur les recensements de la chaîne de valeur</w:t>
            </w:r>
            <w:r w:rsidR="004776B1">
              <w:rPr>
                <w:lang w:val="fr-FR"/>
              </w:rPr>
              <w:t xml:space="preserve"> / </w:t>
            </w:r>
            <w:r>
              <w:rPr>
                <w:lang w:val="fr-FR"/>
              </w:rPr>
              <w:t>d’approvisionnement et sur l’analyse des fournisseurs potentiels et de leurs besoins.</w:t>
            </w:r>
          </w:p>
        </w:tc>
      </w:tr>
      <w:tr w:rsidR="00396F4E" w:rsidRPr="004A302F" w14:paraId="445A27F9" w14:textId="77777777" w:rsidTr="008A20C9">
        <w:trPr>
          <w:jc w:val="center"/>
        </w:trPr>
        <w:tc>
          <w:tcPr>
            <w:tcW w:w="3801" w:type="dxa"/>
          </w:tcPr>
          <w:p w14:paraId="48741C4E" w14:textId="03FC751E" w:rsidR="00396F4E" w:rsidRPr="006F4D4F" w:rsidRDefault="001717A5" w:rsidP="001B29F7">
            <w:pPr>
              <w:pStyle w:val="BTCBodyText"/>
              <w:rPr>
                <w:lang w:val="fr-FR"/>
              </w:rPr>
            </w:pPr>
            <w:r>
              <w:rPr>
                <w:lang w:val="fr-FR"/>
              </w:rPr>
              <w:t>Manque d’intérêt des entreprises internationales pour investir dans les relations locales.</w:t>
            </w:r>
          </w:p>
        </w:tc>
        <w:tc>
          <w:tcPr>
            <w:tcW w:w="851" w:type="dxa"/>
          </w:tcPr>
          <w:p w14:paraId="296EBE1E" w14:textId="77777777" w:rsidR="00396F4E" w:rsidRPr="006F4D4F" w:rsidRDefault="00396F4E" w:rsidP="005C48ED">
            <w:pPr>
              <w:pStyle w:val="BTCBodyText"/>
              <w:jc w:val="center"/>
              <w:rPr>
                <w:lang w:val="fr-FR"/>
              </w:rPr>
            </w:pPr>
            <w:r w:rsidRPr="006F4D4F">
              <w:rPr>
                <w:lang w:val="fr-FR"/>
              </w:rPr>
              <w:t>M</w:t>
            </w:r>
          </w:p>
        </w:tc>
        <w:tc>
          <w:tcPr>
            <w:tcW w:w="4651" w:type="dxa"/>
          </w:tcPr>
          <w:p w14:paraId="18806050" w14:textId="5A9A6425" w:rsidR="00396F4E" w:rsidRPr="006F4D4F" w:rsidRDefault="001717A5" w:rsidP="001B29F7">
            <w:pPr>
              <w:pStyle w:val="BTCBodyText"/>
              <w:rPr>
                <w:lang w:val="fr-FR"/>
              </w:rPr>
            </w:pPr>
            <w:r>
              <w:rPr>
                <w:lang w:val="fr-FR"/>
              </w:rPr>
              <w:t>Mécanismes de partenariat taillés sur mesure avec chaque entreprise, en ligne avec ses intérêts commerciaux.</w:t>
            </w:r>
          </w:p>
          <w:p w14:paraId="0FFBA79F" w14:textId="5F20FF0A" w:rsidR="00396F4E" w:rsidRPr="006F4D4F" w:rsidRDefault="001717A5" w:rsidP="001B29F7">
            <w:pPr>
              <w:pStyle w:val="BTCBodyText"/>
              <w:rPr>
                <w:lang w:val="fr-FR"/>
              </w:rPr>
            </w:pPr>
            <w:r>
              <w:rPr>
                <w:lang w:val="fr-FR"/>
              </w:rPr>
              <w:t>Le p</w:t>
            </w:r>
            <w:r w:rsidR="00396F4E" w:rsidRPr="006F4D4F">
              <w:rPr>
                <w:lang w:val="fr-FR"/>
              </w:rPr>
              <w:t xml:space="preserve">rogramme </w:t>
            </w:r>
            <w:r>
              <w:rPr>
                <w:lang w:val="fr-FR"/>
              </w:rPr>
              <w:t>fait office de courtier entre les intérêts des différents partenaires (pouvoirs publics, centres de formation et associations professionnelles par exemple).</w:t>
            </w:r>
          </w:p>
        </w:tc>
      </w:tr>
      <w:tr w:rsidR="00396F4E" w:rsidRPr="004A302F" w14:paraId="4A3A9BF2" w14:textId="77777777" w:rsidTr="008A20C9">
        <w:trPr>
          <w:jc w:val="center"/>
        </w:trPr>
        <w:tc>
          <w:tcPr>
            <w:tcW w:w="3801" w:type="dxa"/>
          </w:tcPr>
          <w:p w14:paraId="51BC518D" w14:textId="0C033526" w:rsidR="00396F4E" w:rsidRPr="006F4D4F" w:rsidRDefault="00396F4E" w:rsidP="001B29F7">
            <w:pPr>
              <w:pStyle w:val="BTCBodyText"/>
              <w:rPr>
                <w:lang w:val="fr-FR"/>
              </w:rPr>
            </w:pPr>
            <w:r w:rsidRPr="006F4D4F">
              <w:rPr>
                <w:lang w:val="fr-FR"/>
              </w:rPr>
              <w:t>L</w:t>
            </w:r>
            <w:r w:rsidR="001717A5">
              <w:rPr>
                <w:lang w:val="fr-FR"/>
              </w:rPr>
              <w:t>e déficit de capacités au niveau du bureau pays pourrait causer d’importants retards avant qu’il puisse traduire une requête en opportunité bien définie.</w:t>
            </w:r>
          </w:p>
        </w:tc>
        <w:tc>
          <w:tcPr>
            <w:tcW w:w="851" w:type="dxa"/>
          </w:tcPr>
          <w:p w14:paraId="40915CBF" w14:textId="7DF9227E" w:rsidR="00396F4E" w:rsidRPr="006F4D4F" w:rsidRDefault="004776B1" w:rsidP="005C48ED">
            <w:pPr>
              <w:pStyle w:val="BTCBodyText"/>
              <w:jc w:val="center"/>
              <w:rPr>
                <w:lang w:val="fr-FR"/>
              </w:rPr>
            </w:pPr>
            <w:r>
              <w:rPr>
                <w:lang w:val="fr-FR"/>
              </w:rPr>
              <w:t>F</w:t>
            </w:r>
          </w:p>
        </w:tc>
        <w:tc>
          <w:tcPr>
            <w:tcW w:w="4651" w:type="dxa"/>
          </w:tcPr>
          <w:p w14:paraId="239FF304" w14:textId="422D804C" w:rsidR="00396F4E" w:rsidRPr="006F4D4F" w:rsidRDefault="001717A5" w:rsidP="001B29F7">
            <w:pPr>
              <w:pStyle w:val="BTCBodyText"/>
              <w:rPr>
                <w:lang w:val="fr-FR"/>
              </w:rPr>
            </w:pPr>
            <w:r>
              <w:rPr>
                <w:lang w:val="fr-FR"/>
              </w:rPr>
              <w:t xml:space="preserve">Le </w:t>
            </w:r>
            <w:r w:rsidR="00396F4E" w:rsidRPr="006F4D4F">
              <w:rPr>
                <w:lang w:val="fr-FR"/>
              </w:rPr>
              <w:t>C</w:t>
            </w:r>
            <w:r w:rsidR="008E52F4">
              <w:rPr>
                <w:lang w:val="fr-FR"/>
              </w:rPr>
              <w:t>entre de c</w:t>
            </w:r>
            <w:r w:rsidR="00396F4E" w:rsidRPr="006F4D4F">
              <w:rPr>
                <w:lang w:val="fr-FR"/>
              </w:rPr>
              <w:t xml:space="preserve">oordination </w:t>
            </w:r>
            <w:r w:rsidR="008E52F4">
              <w:rPr>
                <w:lang w:val="fr-FR"/>
              </w:rPr>
              <w:t xml:space="preserve">(Coordination </w:t>
            </w:r>
            <w:r w:rsidR="00396F4E" w:rsidRPr="006F4D4F">
              <w:rPr>
                <w:lang w:val="fr-FR"/>
              </w:rPr>
              <w:t>Hub</w:t>
            </w:r>
            <w:r w:rsidR="008E52F4">
              <w:rPr>
                <w:lang w:val="fr-FR"/>
              </w:rPr>
              <w:t>)</w:t>
            </w:r>
            <w:r w:rsidR="00396F4E" w:rsidRPr="006F4D4F">
              <w:rPr>
                <w:lang w:val="fr-FR"/>
              </w:rPr>
              <w:t xml:space="preserve"> </w:t>
            </w:r>
            <w:r>
              <w:rPr>
                <w:lang w:val="fr-FR"/>
              </w:rPr>
              <w:t>doit appuyer le processus de décision à propos de l’affectation des ressources aux meilleures opportunités, y compris les</w:t>
            </w:r>
            <w:r w:rsidR="00A34A27">
              <w:rPr>
                <w:lang w:val="fr-FR"/>
              </w:rPr>
              <w:t xml:space="preserve"> transferts budgétaires potentiels. Il doit également faciliter la mise au point et l’exécution conjointes.</w:t>
            </w:r>
          </w:p>
        </w:tc>
      </w:tr>
      <w:tr w:rsidR="00396F4E" w:rsidRPr="004A302F" w14:paraId="55A5DA8F" w14:textId="77777777" w:rsidTr="008A20C9">
        <w:trPr>
          <w:jc w:val="center"/>
        </w:trPr>
        <w:tc>
          <w:tcPr>
            <w:tcW w:w="3801" w:type="dxa"/>
          </w:tcPr>
          <w:p w14:paraId="457D754B" w14:textId="244BD5DE" w:rsidR="00396F4E" w:rsidRPr="006F4D4F" w:rsidRDefault="00A34A27" w:rsidP="001B29F7">
            <w:pPr>
              <w:pStyle w:val="BTCBodyText"/>
              <w:rPr>
                <w:lang w:val="fr-FR"/>
              </w:rPr>
            </w:pPr>
            <w:r>
              <w:rPr>
                <w:lang w:val="fr-FR"/>
              </w:rPr>
              <w:t xml:space="preserve">Dans les pays touchés par un conflit, la situation peut peser de façon significative sur les coûts et délais associés à la mobilisation des compétences. Le résultat pourrait en être une couverture </w:t>
            </w:r>
            <w:r w:rsidR="004776B1">
              <w:rPr>
                <w:lang w:val="fr-FR"/>
              </w:rPr>
              <w:t>insuffisante</w:t>
            </w:r>
            <w:r>
              <w:rPr>
                <w:lang w:val="fr-FR"/>
              </w:rPr>
              <w:t xml:space="preserve"> des pays prioritaires qui ont le plus besoin de recevoir un appui.</w:t>
            </w:r>
          </w:p>
        </w:tc>
        <w:tc>
          <w:tcPr>
            <w:tcW w:w="851" w:type="dxa"/>
          </w:tcPr>
          <w:p w14:paraId="7909AB0A" w14:textId="77777777" w:rsidR="00396F4E" w:rsidRPr="006F4D4F" w:rsidRDefault="00396F4E" w:rsidP="005C48ED">
            <w:pPr>
              <w:pStyle w:val="BTCBodyText"/>
              <w:jc w:val="center"/>
              <w:rPr>
                <w:lang w:val="fr-FR"/>
              </w:rPr>
            </w:pPr>
            <w:r w:rsidRPr="006F4D4F">
              <w:rPr>
                <w:lang w:val="fr-FR"/>
              </w:rPr>
              <w:t>M</w:t>
            </w:r>
          </w:p>
        </w:tc>
        <w:tc>
          <w:tcPr>
            <w:tcW w:w="4651" w:type="dxa"/>
          </w:tcPr>
          <w:p w14:paraId="02F394F3" w14:textId="672FA821" w:rsidR="00396F4E" w:rsidRPr="006F4D4F" w:rsidRDefault="00A34A27" w:rsidP="001B29F7">
            <w:pPr>
              <w:pStyle w:val="BTCBodyText"/>
              <w:rPr>
                <w:lang w:val="fr-FR"/>
              </w:rPr>
            </w:pPr>
            <w:r>
              <w:rPr>
                <w:lang w:val="fr-FR"/>
              </w:rPr>
              <w:t xml:space="preserve">Le </w:t>
            </w:r>
            <w:r w:rsidR="008E52F4">
              <w:rPr>
                <w:lang w:val="fr-FR"/>
              </w:rPr>
              <w:t xml:space="preserve">Centre de coordination </w:t>
            </w:r>
            <w:r>
              <w:rPr>
                <w:lang w:val="fr-FR"/>
              </w:rPr>
              <w:t>doit évaluer la situation en matière de sécurité dans chaque pays cible. Des ressources accrues pourraient également être convenues pour appuyer les opérations dans les pays fragiles et touchés par un conflit.</w:t>
            </w:r>
            <w:r w:rsidR="00396F4E" w:rsidRPr="006F4D4F">
              <w:rPr>
                <w:lang w:val="fr-FR"/>
              </w:rPr>
              <w:t xml:space="preserve"> </w:t>
            </w:r>
          </w:p>
        </w:tc>
      </w:tr>
      <w:tr w:rsidR="00396F4E" w:rsidRPr="006F4D4F" w14:paraId="6655ABE8" w14:textId="77777777" w:rsidTr="3F1B45C6">
        <w:trPr>
          <w:jc w:val="center"/>
        </w:trPr>
        <w:tc>
          <w:tcPr>
            <w:tcW w:w="9303" w:type="dxa"/>
            <w:gridSpan w:val="3"/>
            <w:shd w:val="clear" w:color="auto" w:fill="F2F2F2" w:themeFill="background1" w:themeFillShade="F2"/>
          </w:tcPr>
          <w:p w14:paraId="56BE8734" w14:textId="7B4578B2" w:rsidR="00396F4E" w:rsidRPr="006F4D4F" w:rsidRDefault="00A34A27" w:rsidP="001B29F7">
            <w:pPr>
              <w:pStyle w:val="BTCBodyText"/>
              <w:rPr>
                <w:lang w:val="fr-FR"/>
              </w:rPr>
            </w:pPr>
            <w:r>
              <w:rPr>
                <w:b/>
                <w:bCs/>
                <w:lang w:val="fr-FR"/>
              </w:rPr>
              <w:t>Hypothèses</w:t>
            </w:r>
          </w:p>
        </w:tc>
      </w:tr>
      <w:tr w:rsidR="00396F4E" w:rsidRPr="004A302F" w14:paraId="1A967A0A" w14:textId="77777777" w:rsidTr="3F1B45C6">
        <w:trPr>
          <w:jc w:val="center"/>
        </w:trPr>
        <w:tc>
          <w:tcPr>
            <w:tcW w:w="9303" w:type="dxa"/>
            <w:gridSpan w:val="3"/>
          </w:tcPr>
          <w:p w14:paraId="7FB0D133" w14:textId="432ED5AE" w:rsidR="00396F4E" w:rsidRPr="006F4D4F" w:rsidRDefault="00A34A27" w:rsidP="001B29F7">
            <w:pPr>
              <w:pStyle w:val="BTCBodyText"/>
              <w:rPr>
                <w:lang w:val="fr-FR"/>
              </w:rPr>
            </w:pPr>
            <w:r>
              <w:rPr>
                <w:lang w:val="fr-FR"/>
              </w:rPr>
              <w:t xml:space="preserve">Désir et capacité des acteurs multiples d’œuvrer ensemble pour atteindre les objectifs communs, notamment les </w:t>
            </w:r>
            <w:r w:rsidR="004776B1">
              <w:rPr>
                <w:lang w:val="fr-FR"/>
              </w:rPr>
              <w:t>établissements</w:t>
            </w:r>
            <w:r>
              <w:rPr>
                <w:lang w:val="fr-FR"/>
              </w:rPr>
              <w:t xml:space="preserve"> </w:t>
            </w:r>
            <w:r w:rsidR="005106AA">
              <w:rPr>
                <w:lang w:val="fr-FR"/>
              </w:rPr>
              <w:t>d’EFP</w:t>
            </w:r>
            <w:r>
              <w:rPr>
                <w:lang w:val="fr-FR"/>
              </w:rPr>
              <w:t xml:space="preserve"> publi</w:t>
            </w:r>
            <w:r w:rsidR="004776B1">
              <w:rPr>
                <w:lang w:val="fr-FR"/>
              </w:rPr>
              <w:t>c</w:t>
            </w:r>
            <w:r>
              <w:rPr>
                <w:lang w:val="fr-FR"/>
              </w:rPr>
              <w:t>s et privés, les entités publiques et les autres acteurs du marché du travail côté demande.</w:t>
            </w:r>
            <w:r w:rsidR="00396F4E" w:rsidRPr="006F4D4F">
              <w:rPr>
                <w:lang w:val="fr-FR"/>
              </w:rPr>
              <w:t xml:space="preserve"> </w:t>
            </w:r>
          </w:p>
          <w:p w14:paraId="3D567D46" w14:textId="089908F5" w:rsidR="00396F4E" w:rsidRPr="006F4D4F" w:rsidRDefault="00A34A27" w:rsidP="001B29F7">
            <w:pPr>
              <w:pStyle w:val="BTCBodyText"/>
              <w:rPr>
                <w:lang w:val="fr-FR"/>
              </w:rPr>
            </w:pPr>
            <w:r>
              <w:rPr>
                <w:lang w:val="fr-FR"/>
              </w:rPr>
              <w:t xml:space="preserve">Hypothèse importante qui sous-tend la logique de l’intervention proposée, </w:t>
            </w:r>
            <w:r w:rsidR="004776B1">
              <w:rPr>
                <w:lang w:val="fr-FR"/>
              </w:rPr>
              <w:t xml:space="preserve">la résolution </w:t>
            </w:r>
            <w:r>
              <w:rPr>
                <w:lang w:val="fr-FR"/>
              </w:rPr>
              <w:t xml:space="preserve">de DEVCO (notamment le PIE et les Délégations de l’Union européenne) </w:t>
            </w:r>
            <w:r w:rsidR="004776B1">
              <w:rPr>
                <w:lang w:val="fr-FR"/>
              </w:rPr>
              <w:t xml:space="preserve">à </w:t>
            </w:r>
            <w:r>
              <w:rPr>
                <w:lang w:val="fr-FR"/>
              </w:rPr>
              <w:t xml:space="preserve">participer aux différentes interventions du projet et </w:t>
            </w:r>
            <w:r w:rsidR="004776B1">
              <w:rPr>
                <w:lang w:val="fr-FR"/>
              </w:rPr>
              <w:t xml:space="preserve">à </w:t>
            </w:r>
            <w:r w:rsidR="00DC1B49">
              <w:rPr>
                <w:lang w:val="fr-FR"/>
              </w:rPr>
              <w:t xml:space="preserve">intégrer progressivement la création d’emplois dans les procédures d’évaluation des investissements et des projets. DEVCO devra par ailleurs prendre une part active </w:t>
            </w:r>
            <w:r w:rsidR="004776B1">
              <w:rPr>
                <w:lang w:val="fr-FR"/>
              </w:rPr>
              <w:t>à</w:t>
            </w:r>
            <w:r w:rsidR="00DC1B49">
              <w:rPr>
                <w:lang w:val="fr-FR"/>
              </w:rPr>
              <w:t xml:space="preserve"> l’approbation des interventions pour garantir l’alignement sur les profils d’investissement du PIE.</w:t>
            </w:r>
            <w:r w:rsidR="00396F4E" w:rsidRPr="006F4D4F">
              <w:rPr>
                <w:lang w:val="fr-FR"/>
              </w:rPr>
              <w:t xml:space="preserve"> </w:t>
            </w:r>
          </w:p>
          <w:p w14:paraId="3A10C810" w14:textId="151B1906" w:rsidR="00396F4E" w:rsidRPr="006F4D4F" w:rsidRDefault="00DC1B49" w:rsidP="001B29F7">
            <w:pPr>
              <w:pStyle w:val="BTCBodyText"/>
              <w:rPr>
                <w:lang w:val="fr-FR"/>
              </w:rPr>
            </w:pPr>
            <w:r>
              <w:rPr>
                <w:lang w:val="fr-FR"/>
              </w:rPr>
              <w:t>L’action suppose également que la collaboration avec les partenaires d’exécution sera de qualité. Élément particulièrement important à cet égard, l’action devra avoir accès aux données utiles du projet et de l’investissement et pouvoir s’engager auprès des partenaires du projet et des parties prenantes sur le terrain pour être à même de mener certains éléments des évaluations sur l’emploi.</w:t>
            </w:r>
          </w:p>
          <w:p w14:paraId="30D7DB4A" w14:textId="0F52D8EE" w:rsidR="00396F4E" w:rsidRPr="006F4D4F" w:rsidRDefault="00DC1B49" w:rsidP="001B29F7">
            <w:pPr>
              <w:pStyle w:val="BTCBodyText"/>
              <w:rPr>
                <w:lang w:val="fr-FR"/>
              </w:rPr>
            </w:pPr>
            <w:r>
              <w:rPr>
                <w:lang w:val="fr-FR"/>
              </w:rPr>
              <w:t>L’action suppose en outre que les investisseurs désirent prendre part à l’action pour améliorer le capital humain à l’appui des programmes d’investissement.</w:t>
            </w:r>
          </w:p>
          <w:p w14:paraId="7B38923A" w14:textId="7C6FD3FA" w:rsidR="00396F4E" w:rsidRPr="006F4D4F" w:rsidRDefault="00DC1B49" w:rsidP="001B29F7">
            <w:pPr>
              <w:pStyle w:val="BTCBodyText"/>
              <w:rPr>
                <w:lang w:val="fr-FR"/>
              </w:rPr>
            </w:pPr>
            <w:r>
              <w:rPr>
                <w:lang w:val="fr-FR"/>
              </w:rPr>
              <w:t>Lors de l’évaluation sur l’emploi, la principale hypothèse est le maintien d</w:t>
            </w:r>
            <w:r w:rsidR="008E1875">
              <w:rPr>
                <w:lang w:val="fr-FR"/>
              </w:rPr>
              <w:t>’un</w:t>
            </w:r>
            <w:r>
              <w:rPr>
                <w:lang w:val="fr-FR"/>
              </w:rPr>
              <w:t xml:space="preserve"> intérêt et </w:t>
            </w:r>
            <w:r w:rsidR="008E1875">
              <w:rPr>
                <w:lang w:val="fr-FR"/>
              </w:rPr>
              <w:t xml:space="preserve">d’un </w:t>
            </w:r>
            <w:r>
              <w:rPr>
                <w:lang w:val="fr-FR"/>
              </w:rPr>
              <w:t xml:space="preserve">désir </w:t>
            </w:r>
            <w:r w:rsidR="008E1875">
              <w:rPr>
                <w:lang w:val="fr-FR"/>
              </w:rPr>
              <w:t xml:space="preserve">constants </w:t>
            </w:r>
            <w:r w:rsidR="00527409">
              <w:rPr>
                <w:lang w:val="fr-FR"/>
              </w:rPr>
              <w:t>en faveur d’un travail d’harmonisation,</w:t>
            </w:r>
            <w:r>
              <w:rPr>
                <w:lang w:val="fr-FR"/>
              </w:rPr>
              <w:t xml:space="preserve"> et dans ce cadre </w:t>
            </w:r>
            <w:r w:rsidR="00527409">
              <w:rPr>
                <w:lang w:val="fr-FR"/>
              </w:rPr>
              <w:t xml:space="preserve">d’une volonté de </w:t>
            </w:r>
            <w:r w:rsidR="008E1875">
              <w:rPr>
                <w:lang w:val="fr-FR"/>
              </w:rPr>
              <w:t xml:space="preserve">nouer le dialogue et </w:t>
            </w:r>
            <w:r w:rsidR="00527409">
              <w:rPr>
                <w:lang w:val="fr-FR"/>
              </w:rPr>
              <w:t xml:space="preserve">de </w:t>
            </w:r>
            <w:r w:rsidR="008E1875">
              <w:rPr>
                <w:lang w:val="fr-FR"/>
              </w:rPr>
              <w:t>discuter de certaines hypothèses et contestations inhérentes à l’évaluation des impacts sur l’emploi, de sorte que, au besoin, il soit possible de s’entendre sur une voie à suivre.</w:t>
            </w:r>
          </w:p>
          <w:p w14:paraId="640478AD" w14:textId="70D1818A" w:rsidR="00AF74BE" w:rsidRPr="006F4D4F" w:rsidRDefault="00DC1B49" w:rsidP="00AF74BE">
            <w:pPr>
              <w:pStyle w:val="BTCBodyText"/>
              <w:rPr>
                <w:lang w:val="fr-FR"/>
              </w:rPr>
            </w:pPr>
            <w:r>
              <w:rPr>
                <w:lang w:val="fr-FR"/>
              </w:rPr>
              <w:t xml:space="preserve">La pandémie de </w:t>
            </w:r>
            <w:r w:rsidR="00AF74BE" w:rsidRPr="006F4D4F">
              <w:rPr>
                <w:lang w:val="fr-FR"/>
              </w:rPr>
              <w:t xml:space="preserve">Covid-19 </w:t>
            </w:r>
            <w:r>
              <w:rPr>
                <w:lang w:val="fr-FR"/>
              </w:rPr>
              <w:t>n’aura pas pour effet à moyen et à long terme de compromettre l’investissement en Afrique ni d’affecter le principe de l’investissement dans le capital humain en Afrique.</w:t>
            </w:r>
          </w:p>
        </w:tc>
      </w:tr>
    </w:tbl>
    <w:p w14:paraId="0BA47FBC" w14:textId="77777777" w:rsidR="000A3964" w:rsidRPr="006F4D4F" w:rsidRDefault="000A3964" w:rsidP="00407ABF">
      <w:pPr>
        <w:pStyle w:val="BTCBodyText"/>
        <w:rPr>
          <w:lang w:val="fr-FR"/>
        </w:rPr>
      </w:pPr>
    </w:p>
    <w:p w14:paraId="3506ECF1" w14:textId="77777777" w:rsidR="00D17A31" w:rsidRPr="006F4D4F" w:rsidRDefault="00D17A31">
      <w:pPr>
        <w:spacing w:before="0"/>
        <w:rPr>
          <w:rFonts w:eastAsia="Arial Unicode MS"/>
          <w:b/>
          <w:bCs/>
          <w:color w:val="50B848"/>
          <w:kern w:val="1"/>
          <w:sz w:val="32"/>
          <w:szCs w:val="48"/>
          <w:lang w:val="fr-FR"/>
        </w:rPr>
      </w:pPr>
      <w:bookmarkStart w:id="231" w:name="_Toc463958206"/>
      <w:bookmarkStart w:id="232" w:name="_Toc463958479"/>
      <w:bookmarkStart w:id="233" w:name="_Toc463958755"/>
      <w:bookmarkStart w:id="234" w:name="_Toc463959031"/>
      <w:bookmarkStart w:id="235" w:name="_Toc463958207"/>
      <w:bookmarkStart w:id="236" w:name="_Toc463958480"/>
      <w:bookmarkStart w:id="237" w:name="_Toc463958756"/>
      <w:bookmarkStart w:id="238" w:name="_Toc463959032"/>
      <w:bookmarkStart w:id="239" w:name="_Toc463958208"/>
      <w:bookmarkStart w:id="240" w:name="_Toc463958481"/>
      <w:bookmarkStart w:id="241" w:name="_Toc463958757"/>
      <w:bookmarkStart w:id="242" w:name="_Toc463959033"/>
      <w:bookmarkStart w:id="243" w:name="_Toc463958209"/>
      <w:bookmarkStart w:id="244" w:name="_Toc463958482"/>
      <w:bookmarkStart w:id="245" w:name="_Toc463958758"/>
      <w:bookmarkStart w:id="246" w:name="_Toc463959034"/>
      <w:bookmarkStart w:id="247" w:name="_Toc463972897"/>
      <w:bookmarkStart w:id="248" w:name="_Toc463958240"/>
      <w:bookmarkStart w:id="249" w:name="_Toc463958513"/>
      <w:bookmarkStart w:id="250" w:name="_Toc463958789"/>
      <w:bookmarkStart w:id="251" w:name="_Toc463959065"/>
      <w:bookmarkStart w:id="252" w:name="_Toc463972922"/>
      <w:bookmarkStart w:id="253" w:name="_Toc463958241"/>
      <w:bookmarkStart w:id="254" w:name="_Toc463958514"/>
      <w:bookmarkStart w:id="255" w:name="_Toc463958790"/>
      <w:bookmarkStart w:id="256" w:name="_Toc463959066"/>
      <w:bookmarkStart w:id="257" w:name="_Toc463958242"/>
      <w:bookmarkStart w:id="258" w:name="_Toc463958515"/>
      <w:bookmarkStart w:id="259" w:name="_Toc463958791"/>
      <w:bookmarkStart w:id="260" w:name="_Toc463959067"/>
      <w:bookmarkStart w:id="261" w:name="_Toc463958243"/>
      <w:bookmarkStart w:id="262" w:name="_Toc463958516"/>
      <w:bookmarkStart w:id="263" w:name="_Toc463958792"/>
      <w:bookmarkStart w:id="264" w:name="_Toc463959068"/>
      <w:bookmarkStart w:id="265" w:name="_Toc463958244"/>
      <w:bookmarkStart w:id="266" w:name="_Toc463958517"/>
      <w:bookmarkStart w:id="267" w:name="_Toc463958793"/>
      <w:bookmarkStart w:id="268" w:name="_Toc463959069"/>
      <w:bookmarkStart w:id="269" w:name="_Toc463972926"/>
      <w:bookmarkStart w:id="270" w:name="_Toc463958275"/>
      <w:bookmarkStart w:id="271" w:name="_Toc463958548"/>
      <w:bookmarkStart w:id="272" w:name="_Toc463958824"/>
      <w:bookmarkStart w:id="273" w:name="_Toc463959100"/>
      <w:bookmarkStart w:id="274" w:name="_Toc463972951"/>
      <w:bookmarkStart w:id="275" w:name="_Toc463958276"/>
      <w:bookmarkStart w:id="276" w:name="_Toc463958549"/>
      <w:bookmarkStart w:id="277" w:name="_Toc463958825"/>
      <w:bookmarkStart w:id="278" w:name="_Toc463959101"/>
      <w:bookmarkStart w:id="279" w:name="_Toc463958277"/>
      <w:bookmarkStart w:id="280" w:name="_Toc463958550"/>
      <w:bookmarkStart w:id="281" w:name="_Toc463958826"/>
      <w:bookmarkStart w:id="282" w:name="_Toc463959102"/>
      <w:bookmarkStart w:id="283" w:name="_Toc463958278"/>
      <w:bookmarkStart w:id="284" w:name="_Toc463958551"/>
      <w:bookmarkStart w:id="285" w:name="_Toc463958827"/>
      <w:bookmarkStart w:id="286" w:name="_Toc463959103"/>
      <w:bookmarkStart w:id="287" w:name="_Toc463958279"/>
      <w:bookmarkStart w:id="288" w:name="_Toc463958552"/>
      <w:bookmarkStart w:id="289" w:name="_Toc463958828"/>
      <w:bookmarkStart w:id="290" w:name="_Toc463959104"/>
      <w:bookmarkStart w:id="291" w:name="_Toc463972955"/>
      <w:bookmarkStart w:id="292" w:name="_Toc463958310"/>
      <w:bookmarkStart w:id="293" w:name="_Toc463958583"/>
      <w:bookmarkStart w:id="294" w:name="_Toc463958859"/>
      <w:bookmarkStart w:id="295" w:name="_Toc463959135"/>
      <w:bookmarkStart w:id="296" w:name="_Toc463958311"/>
      <w:bookmarkStart w:id="297" w:name="_Toc463958584"/>
      <w:bookmarkStart w:id="298" w:name="_Toc463958860"/>
      <w:bookmarkStart w:id="299" w:name="_Toc463959136"/>
      <w:bookmarkStart w:id="300" w:name="_Toc463958312"/>
      <w:bookmarkStart w:id="301" w:name="_Toc463958585"/>
      <w:bookmarkStart w:id="302" w:name="_Toc463958861"/>
      <w:bookmarkStart w:id="303" w:name="_Toc463959137"/>
      <w:bookmarkStart w:id="304" w:name="_Toc463958313"/>
      <w:bookmarkStart w:id="305" w:name="_Toc463958586"/>
      <w:bookmarkStart w:id="306" w:name="_Toc463958862"/>
      <w:bookmarkStart w:id="307" w:name="_Toc463959138"/>
      <w:bookmarkStart w:id="308" w:name="_Toc463958314"/>
      <w:bookmarkStart w:id="309" w:name="_Toc463958587"/>
      <w:bookmarkStart w:id="310" w:name="_Toc463958863"/>
      <w:bookmarkStart w:id="311" w:name="_Toc463959139"/>
      <w:bookmarkStart w:id="312" w:name="_Toc463972984"/>
      <w:bookmarkStart w:id="313" w:name="_Toc463958345"/>
      <w:bookmarkStart w:id="314" w:name="_Toc463958618"/>
      <w:bookmarkStart w:id="315" w:name="_Toc463958894"/>
      <w:bookmarkStart w:id="316" w:name="_Toc463959170"/>
      <w:bookmarkStart w:id="317" w:name="_Toc463973009"/>
      <w:bookmarkStart w:id="318" w:name="_Toc463958346"/>
      <w:bookmarkStart w:id="319" w:name="_Toc463958619"/>
      <w:bookmarkStart w:id="320" w:name="_Toc463958895"/>
      <w:bookmarkStart w:id="321" w:name="_Toc463959171"/>
      <w:bookmarkStart w:id="322" w:name="_Toc463973010"/>
      <w:bookmarkStart w:id="323" w:name="_Toc463958347"/>
      <w:bookmarkStart w:id="324" w:name="_Toc463958620"/>
      <w:bookmarkStart w:id="325" w:name="_Toc463958896"/>
      <w:bookmarkStart w:id="326" w:name="_Toc463959172"/>
      <w:bookmarkStart w:id="327" w:name="_Toc463958348"/>
      <w:bookmarkStart w:id="328" w:name="_Toc463958621"/>
      <w:bookmarkStart w:id="329" w:name="_Toc463958897"/>
      <w:bookmarkStart w:id="330" w:name="_Toc463959173"/>
      <w:bookmarkStart w:id="331" w:name="_Toc463958349"/>
      <w:bookmarkStart w:id="332" w:name="_Toc463958622"/>
      <w:bookmarkStart w:id="333" w:name="_Toc463958898"/>
      <w:bookmarkStart w:id="334" w:name="_Toc463959174"/>
      <w:bookmarkStart w:id="335" w:name="_Toc463958350"/>
      <w:bookmarkStart w:id="336" w:name="_Toc463958623"/>
      <w:bookmarkStart w:id="337" w:name="_Toc463958899"/>
      <w:bookmarkStart w:id="338" w:name="_Toc463959175"/>
      <w:bookmarkStart w:id="339" w:name="_Toc463973014"/>
      <w:bookmarkStart w:id="340" w:name="_Toc463958381"/>
      <w:bookmarkStart w:id="341" w:name="_Toc463958654"/>
      <w:bookmarkStart w:id="342" w:name="_Toc463958930"/>
      <w:bookmarkStart w:id="343" w:name="_Toc463959206"/>
      <w:bookmarkStart w:id="344" w:name="_Toc463973039"/>
      <w:bookmarkStart w:id="345" w:name="_Toc449710373"/>
      <w:bookmarkStart w:id="346" w:name="_Toc20239575"/>
      <w:bookmarkStart w:id="347" w:name="_Toc20239666"/>
      <w:bookmarkStart w:id="348" w:name="_Toc4442319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6F4D4F">
        <w:rPr>
          <w:lang w:val="fr-FR"/>
        </w:rPr>
        <w:br w:type="page"/>
      </w:r>
    </w:p>
    <w:p w14:paraId="1B7B5228" w14:textId="51ABCC3B" w:rsidR="009A5708" w:rsidRPr="006F4D4F" w:rsidRDefault="00D17A31" w:rsidP="00D17A31">
      <w:pPr>
        <w:pStyle w:val="Titre1"/>
      </w:pPr>
      <w:bookmarkStart w:id="349" w:name="_Toc54336683"/>
      <w:r w:rsidRPr="006F4D4F">
        <w:t xml:space="preserve">3. </w:t>
      </w:r>
      <w:r w:rsidR="009A5708" w:rsidRPr="006F4D4F">
        <w:t>Res</w:t>
      </w:r>
      <w:r w:rsidR="008E1875">
        <w:t>s</w:t>
      </w:r>
      <w:r w:rsidR="009A5708" w:rsidRPr="006F4D4F">
        <w:t>ources</w:t>
      </w:r>
      <w:bookmarkEnd w:id="345"/>
      <w:bookmarkEnd w:id="346"/>
      <w:bookmarkEnd w:id="347"/>
      <w:bookmarkEnd w:id="348"/>
      <w:bookmarkEnd w:id="349"/>
    </w:p>
    <w:p w14:paraId="650B7FFA" w14:textId="7D46720B" w:rsidR="009A5708" w:rsidRPr="006F4D4F" w:rsidRDefault="00382C00" w:rsidP="00382C00">
      <w:pPr>
        <w:pStyle w:val="BTCHeading2"/>
        <w:rPr>
          <w:lang w:val="fr-FR"/>
        </w:rPr>
      </w:pPr>
      <w:bookmarkStart w:id="350" w:name="_Toc449710374"/>
      <w:bookmarkStart w:id="351" w:name="_Toc20239576"/>
      <w:bookmarkStart w:id="352" w:name="_Toc20239667"/>
      <w:bookmarkStart w:id="353" w:name="_Toc44423197"/>
      <w:bookmarkStart w:id="354" w:name="_Toc44423713"/>
      <w:bookmarkStart w:id="355" w:name="_Toc54336684"/>
      <w:r w:rsidRPr="006F4D4F">
        <w:rPr>
          <w:lang w:val="fr-FR"/>
        </w:rPr>
        <w:t xml:space="preserve">3.1 </w:t>
      </w:r>
      <w:r w:rsidR="008E1875">
        <w:rPr>
          <w:lang w:val="fr-FR"/>
        </w:rPr>
        <w:t>Ressources financières et budget</w:t>
      </w:r>
      <w:bookmarkEnd w:id="350"/>
      <w:bookmarkEnd w:id="351"/>
      <w:bookmarkEnd w:id="352"/>
      <w:bookmarkEnd w:id="353"/>
      <w:bookmarkEnd w:id="354"/>
      <w:bookmarkEnd w:id="355"/>
    </w:p>
    <w:p w14:paraId="0A3775FA" w14:textId="26E4844B" w:rsidR="00382C00" w:rsidRPr="006F4D4F" w:rsidRDefault="009A5708" w:rsidP="00382C00">
      <w:pPr>
        <w:widowControl w:val="0"/>
        <w:suppressAutoHyphens/>
        <w:spacing w:before="0" w:after="120" w:line="280" w:lineRule="exact"/>
        <w:jc w:val="both"/>
        <w:rPr>
          <w:rFonts w:cs="Times New Roman"/>
          <w:color w:val="auto"/>
          <w:kern w:val="18"/>
          <w:lang w:val="fr-FR"/>
        </w:rPr>
      </w:pPr>
      <w:r w:rsidRPr="006F4D4F">
        <w:rPr>
          <w:rFonts w:cs="Times New Roman"/>
          <w:color w:val="auto"/>
          <w:kern w:val="18"/>
          <w:lang w:val="fr-FR"/>
        </w:rPr>
        <w:t xml:space="preserve">DEVCO </w:t>
      </w:r>
      <w:r w:rsidR="008E1875">
        <w:rPr>
          <w:rFonts w:cs="Times New Roman"/>
          <w:color w:val="auto"/>
          <w:kern w:val="18"/>
          <w:lang w:val="fr-FR"/>
        </w:rPr>
        <w:t>finance ce projet pour un montant total de 15 000 000 euros et BMZ (</w:t>
      </w:r>
      <w:r w:rsidR="005106AA">
        <w:rPr>
          <w:rFonts w:cs="Times New Roman"/>
          <w:color w:val="auto"/>
          <w:kern w:val="18"/>
          <w:lang w:val="fr-FR"/>
        </w:rPr>
        <w:t>Gouvernement</w:t>
      </w:r>
      <w:r w:rsidR="008E1875">
        <w:rPr>
          <w:rFonts w:cs="Times New Roman"/>
          <w:color w:val="auto"/>
          <w:kern w:val="18"/>
          <w:lang w:val="fr-FR"/>
        </w:rPr>
        <w:t xml:space="preserve"> allemand) à hauteur d’un montant maximal de 1 250 000 euros.</w:t>
      </w:r>
    </w:p>
    <w:p w14:paraId="4DDD5430" w14:textId="2402798A" w:rsidR="00382C00" w:rsidRPr="006F4D4F" w:rsidRDefault="00382C00" w:rsidP="00D17A31">
      <w:pPr>
        <w:pStyle w:val="Titre3"/>
      </w:pPr>
      <w:bookmarkStart w:id="356" w:name="_Toc54336685"/>
      <w:r w:rsidRPr="006F4D4F">
        <w:t>3.1.1 Budget</w:t>
      </w:r>
      <w:bookmarkEnd w:id="356"/>
    </w:p>
    <w:p w14:paraId="6FA1EF34" w14:textId="1083339E" w:rsidR="004A1AEC" w:rsidRPr="006F4D4F" w:rsidRDefault="00D16F7E" w:rsidP="004A1AEC">
      <w:pPr>
        <w:pStyle w:val="BTCBodyText"/>
        <w:jc w:val="left"/>
        <w:rPr>
          <w:lang w:val="fr-FR"/>
        </w:rPr>
      </w:pPr>
      <w:r>
        <w:rPr>
          <w:lang w:val="fr-FR"/>
        </w:rPr>
        <w:t xml:space="preserve">Voir l’annexe 3 du </w:t>
      </w:r>
      <w:r w:rsidR="00C752C0" w:rsidRPr="006F4D4F">
        <w:rPr>
          <w:lang w:val="fr-FR"/>
        </w:rPr>
        <w:t xml:space="preserve">MCPA </w:t>
      </w:r>
      <w:r>
        <w:rPr>
          <w:lang w:val="fr-FR"/>
        </w:rPr>
        <w:t>pour une ventilation détaillée.</w:t>
      </w:r>
    </w:p>
    <w:p w14:paraId="326284EB" w14:textId="61B244CC" w:rsidR="004A1AEC" w:rsidRPr="006F4D4F" w:rsidRDefault="00382C00" w:rsidP="00D17A31">
      <w:pPr>
        <w:pStyle w:val="Titre3"/>
      </w:pPr>
      <w:bookmarkStart w:id="357" w:name="_Toc44423199"/>
      <w:bookmarkStart w:id="358" w:name="_Toc44423715"/>
      <w:bookmarkStart w:id="359" w:name="_Toc54336686"/>
      <w:r w:rsidRPr="006F4D4F">
        <w:t xml:space="preserve">3.1.2 </w:t>
      </w:r>
      <w:bookmarkEnd w:id="357"/>
      <w:bookmarkEnd w:id="358"/>
      <w:r w:rsidR="00D16F7E">
        <w:t>Principes budgétaires</w:t>
      </w:r>
      <w:bookmarkEnd w:id="359"/>
    </w:p>
    <w:p w14:paraId="0891FBEC" w14:textId="5ECFA342" w:rsidR="004A1AEC" w:rsidRPr="006F4D4F" w:rsidRDefault="00D16F7E" w:rsidP="004A1AEC">
      <w:pPr>
        <w:pStyle w:val="BTCBodyText"/>
        <w:numPr>
          <w:ilvl w:val="0"/>
          <w:numId w:val="24"/>
        </w:numPr>
        <w:rPr>
          <w:lang w:val="fr-FR"/>
        </w:rPr>
      </w:pPr>
      <w:r>
        <w:rPr>
          <w:lang w:val="fr-FR"/>
        </w:rPr>
        <w:t xml:space="preserve">Le budget de la </w:t>
      </w:r>
      <w:r w:rsidR="004A1AEC" w:rsidRPr="006F4D4F">
        <w:rPr>
          <w:lang w:val="fr-FR"/>
        </w:rPr>
        <w:t xml:space="preserve">VET Toolbox 1 </w:t>
      </w:r>
      <w:r>
        <w:rPr>
          <w:lang w:val="fr-FR"/>
        </w:rPr>
        <w:t xml:space="preserve">continue de financer les ressources partagées jusqu’en septembre 2022. Le budget de la </w:t>
      </w:r>
      <w:r w:rsidR="004A1AEC" w:rsidRPr="006F4D4F">
        <w:rPr>
          <w:lang w:val="fr-FR"/>
        </w:rPr>
        <w:t xml:space="preserve">VET </w:t>
      </w:r>
      <w:r>
        <w:rPr>
          <w:lang w:val="fr-FR"/>
        </w:rPr>
        <w:t xml:space="preserve">Toolbox </w:t>
      </w:r>
      <w:r w:rsidR="004A1AEC" w:rsidRPr="006F4D4F">
        <w:rPr>
          <w:lang w:val="fr-FR"/>
        </w:rPr>
        <w:t xml:space="preserve">2 </w:t>
      </w:r>
      <w:r>
        <w:rPr>
          <w:lang w:val="fr-FR"/>
        </w:rPr>
        <w:t xml:space="preserve">apporte le financement pour la durée résiduelle des ressources partagées (VET Toolbox 1 &amp; 2) et pour les </w:t>
      </w:r>
      <w:r w:rsidR="00816B2D">
        <w:rPr>
          <w:lang w:val="fr-FR"/>
        </w:rPr>
        <w:t xml:space="preserve">ressources </w:t>
      </w:r>
      <w:r>
        <w:rPr>
          <w:lang w:val="fr-FR"/>
        </w:rPr>
        <w:t>additionnelles.</w:t>
      </w:r>
    </w:p>
    <w:p w14:paraId="637A4A53" w14:textId="79484D5E" w:rsidR="004A1AEC" w:rsidRPr="006F4D4F" w:rsidRDefault="00D16F7E" w:rsidP="004A1AEC">
      <w:pPr>
        <w:pStyle w:val="BTCBodyText"/>
        <w:numPr>
          <w:ilvl w:val="0"/>
          <w:numId w:val="24"/>
        </w:numPr>
        <w:rPr>
          <w:lang w:val="fr-FR"/>
        </w:rPr>
      </w:pPr>
      <w:r>
        <w:rPr>
          <w:lang w:val="fr-FR"/>
        </w:rPr>
        <w:t xml:space="preserve">Avec la </w:t>
      </w:r>
      <w:r w:rsidR="004A1AEC" w:rsidRPr="006F4D4F">
        <w:rPr>
          <w:lang w:val="fr-FR"/>
        </w:rPr>
        <w:t xml:space="preserve">VET Toolbox 2, </w:t>
      </w:r>
      <w:r>
        <w:rPr>
          <w:lang w:val="fr-FR"/>
        </w:rPr>
        <w:t>des fonds relativement plus importants seront alloués au terrain (dans le pays) pour assurer une présence dans le pays et une coordination renforcées.</w:t>
      </w:r>
      <w:r w:rsidR="004A1AEC" w:rsidRPr="006F4D4F">
        <w:rPr>
          <w:lang w:val="fr-FR"/>
        </w:rPr>
        <w:t xml:space="preserve"> </w:t>
      </w:r>
    </w:p>
    <w:p w14:paraId="658237D4" w14:textId="24753B04" w:rsidR="004A1AEC" w:rsidRPr="006F4D4F" w:rsidRDefault="00D16F7E" w:rsidP="004A1AEC">
      <w:pPr>
        <w:pStyle w:val="BTCBodyText"/>
        <w:numPr>
          <w:ilvl w:val="0"/>
          <w:numId w:val="24"/>
        </w:numPr>
        <w:rPr>
          <w:lang w:val="fr-FR"/>
        </w:rPr>
      </w:pPr>
      <w:r>
        <w:rPr>
          <w:lang w:val="fr-FR"/>
        </w:rPr>
        <w:t>Le financement des agences au titre de</w:t>
      </w:r>
      <w:r w:rsidR="00816B2D">
        <w:rPr>
          <w:lang w:val="fr-FR"/>
        </w:rPr>
        <w:t>s</w:t>
      </w:r>
      <w:r>
        <w:rPr>
          <w:lang w:val="fr-FR"/>
        </w:rPr>
        <w:t xml:space="preserve"> tâches et services spécifiques sera proportionnel au volume mis en œuvre (nombre d’interventions / pays). À ce titre, les agences pourront utiliser </w:t>
      </w:r>
      <w:r w:rsidR="00816B2D">
        <w:rPr>
          <w:lang w:val="fr-FR"/>
        </w:rPr>
        <w:t xml:space="preserve">ce financement </w:t>
      </w:r>
      <w:r>
        <w:rPr>
          <w:lang w:val="fr-FR"/>
        </w:rPr>
        <w:t>avec davantage de souplesse.</w:t>
      </w:r>
      <w:r w:rsidR="004A1AEC" w:rsidRPr="006F4D4F">
        <w:rPr>
          <w:lang w:val="fr-FR"/>
        </w:rPr>
        <w:t xml:space="preserve"> </w:t>
      </w:r>
    </w:p>
    <w:p w14:paraId="4FA4AC83" w14:textId="3905C6C5" w:rsidR="004A1AEC" w:rsidRPr="006F4D4F" w:rsidRDefault="00D16F7E" w:rsidP="004A1AEC">
      <w:pPr>
        <w:pStyle w:val="BTCBodyText"/>
        <w:numPr>
          <w:ilvl w:val="0"/>
          <w:numId w:val="24"/>
        </w:numPr>
        <w:rPr>
          <w:lang w:val="fr-FR"/>
        </w:rPr>
      </w:pPr>
      <w:r>
        <w:rPr>
          <w:lang w:val="fr-FR"/>
        </w:rPr>
        <w:t>Les activités de recensement et de développement de projet sont financées dans le cadre des services de concertation dans le pays.</w:t>
      </w:r>
    </w:p>
    <w:p w14:paraId="4B3BD4E5" w14:textId="2E751EBC" w:rsidR="004A1AEC" w:rsidRPr="006F4D4F" w:rsidRDefault="00D16F7E" w:rsidP="004A1AEC">
      <w:pPr>
        <w:pStyle w:val="BTCBodyText"/>
        <w:numPr>
          <w:ilvl w:val="0"/>
          <w:numId w:val="24"/>
        </w:numPr>
        <w:rPr>
          <w:lang w:val="fr-FR"/>
        </w:rPr>
      </w:pPr>
      <w:r>
        <w:rPr>
          <w:lang w:val="fr-FR"/>
        </w:rPr>
        <w:t>Tous les coûts associés à la préparation, à la gestion et à la mise en œuvre des interventions dans le pays, ainsi qu’aux tâches de concertation et de coordination sur le terrain,</w:t>
      </w:r>
      <w:r w:rsidR="008E52F4">
        <w:rPr>
          <w:lang w:val="fr-FR"/>
        </w:rPr>
        <w:t xml:space="preserve"> feront partie du budget des différentes interventions concernées (coûts directs).</w:t>
      </w:r>
    </w:p>
    <w:p w14:paraId="6D809020" w14:textId="53A94909" w:rsidR="009A70E2" w:rsidRPr="006F4D4F" w:rsidRDefault="00382C00" w:rsidP="00D17A31">
      <w:pPr>
        <w:pStyle w:val="Titre2"/>
        <w:rPr>
          <w:lang w:val="fr-FR"/>
        </w:rPr>
      </w:pPr>
      <w:bookmarkStart w:id="360" w:name="_Toc446950608"/>
      <w:bookmarkStart w:id="361" w:name="_Toc449710375"/>
      <w:bookmarkStart w:id="362" w:name="_Toc20239577"/>
      <w:bookmarkStart w:id="363" w:name="_Toc20239668"/>
      <w:bookmarkStart w:id="364" w:name="_Toc44423200"/>
      <w:bookmarkStart w:id="365" w:name="_Toc44423716"/>
      <w:bookmarkStart w:id="366" w:name="_Toc54336687"/>
      <w:r w:rsidRPr="006F4D4F">
        <w:rPr>
          <w:lang w:val="fr-FR"/>
        </w:rPr>
        <w:t xml:space="preserve">3.2 </w:t>
      </w:r>
      <w:bookmarkEnd w:id="360"/>
      <w:bookmarkEnd w:id="361"/>
      <w:bookmarkEnd w:id="362"/>
      <w:bookmarkEnd w:id="363"/>
      <w:bookmarkEnd w:id="364"/>
      <w:bookmarkEnd w:id="365"/>
      <w:r w:rsidR="008E52F4">
        <w:rPr>
          <w:lang w:val="fr-FR"/>
        </w:rPr>
        <w:t>Ressources humaines</w:t>
      </w:r>
      <w:bookmarkEnd w:id="366"/>
    </w:p>
    <w:p w14:paraId="5F70FC9B" w14:textId="5F639CDA" w:rsidR="009A70E2" w:rsidRPr="006F4D4F" w:rsidRDefault="00382C00" w:rsidP="00D17A31">
      <w:pPr>
        <w:pStyle w:val="Titre3"/>
      </w:pPr>
      <w:bookmarkStart w:id="367" w:name="_Toc44423201"/>
      <w:bookmarkStart w:id="368" w:name="_Toc44423717"/>
      <w:bookmarkStart w:id="369" w:name="_Toc54336688"/>
      <w:r w:rsidRPr="006F4D4F">
        <w:t xml:space="preserve">3.2.1 </w:t>
      </w:r>
      <w:r w:rsidR="009A70E2" w:rsidRPr="006F4D4F">
        <w:t>C</w:t>
      </w:r>
      <w:r w:rsidR="008E52F4">
        <w:t>entre de c</w:t>
      </w:r>
      <w:r w:rsidR="009A70E2" w:rsidRPr="006F4D4F">
        <w:t>oordination</w:t>
      </w:r>
      <w:bookmarkEnd w:id="367"/>
      <w:bookmarkEnd w:id="368"/>
      <w:bookmarkEnd w:id="369"/>
    </w:p>
    <w:p w14:paraId="0241CEC0" w14:textId="672B29B2" w:rsidR="009A70E2" w:rsidRPr="006F4D4F" w:rsidRDefault="008E52F4" w:rsidP="00B61966">
      <w:pPr>
        <w:spacing w:after="120" w:line="288" w:lineRule="auto"/>
        <w:jc w:val="both"/>
        <w:rPr>
          <w:color w:val="auto"/>
          <w:lang w:val="fr-FR"/>
        </w:rPr>
      </w:pPr>
      <w:r>
        <w:rPr>
          <w:color w:val="auto"/>
          <w:lang w:val="fr-FR"/>
        </w:rPr>
        <w:t xml:space="preserve">La </w:t>
      </w:r>
      <w:r w:rsidR="00636DB9">
        <w:rPr>
          <w:color w:val="auto"/>
          <w:lang w:val="fr-FR"/>
        </w:rPr>
        <w:t>coordination</w:t>
      </w:r>
      <w:r>
        <w:rPr>
          <w:color w:val="auto"/>
          <w:lang w:val="fr-FR"/>
        </w:rPr>
        <w:t xml:space="preserve"> globale </w:t>
      </w:r>
      <w:r w:rsidR="00816B2D">
        <w:rPr>
          <w:color w:val="auto"/>
          <w:lang w:val="fr-FR"/>
        </w:rPr>
        <w:t xml:space="preserve">sera confiée </w:t>
      </w:r>
      <w:r>
        <w:rPr>
          <w:color w:val="auto"/>
          <w:lang w:val="fr-FR"/>
        </w:rPr>
        <w:t>au Centre de coordination</w:t>
      </w:r>
      <w:r w:rsidR="00BD60F7" w:rsidRPr="006F4D4F">
        <w:rPr>
          <w:rStyle w:val="Appelnotedebasdep"/>
          <w:color w:val="auto"/>
          <w:lang w:val="fr-FR"/>
        </w:rPr>
        <w:footnoteReference w:id="3"/>
      </w:r>
      <w:r>
        <w:rPr>
          <w:color w:val="auto"/>
          <w:lang w:val="fr-FR"/>
        </w:rPr>
        <w:t xml:space="preserve">, qui verra son rôle et son périmètre élargis pour prendre en charge l’action de la </w:t>
      </w:r>
      <w:r w:rsidR="009A70E2" w:rsidRPr="006F4D4F">
        <w:rPr>
          <w:color w:val="auto"/>
          <w:lang w:val="fr-FR"/>
        </w:rPr>
        <w:t>VET Toolbox 2</w:t>
      </w:r>
      <w:r>
        <w:rPr>
          <w:color w:val="auto"/>
          <w:lang w:val="fr-FR"/>
        </w:rPr>
        <w:t xml:space="preserve">. </w:t>
      </w:r>
      <w:r w:rsidR="00816B2D">
        <w:rPr>
          <w:color w:val="auto"/>
          <w:lang w:val="fr-FR"/>
        </w:rPr>
        <w:t>Le recours à u</w:t>
      </w:r>
      <w:r>
        <w:rPr>
          <w:color w:val="auto"/>
          <w:lang w:val="fr-FR"/>
        </w:rPr>
        <w:t>n seul Centre pour les deux actions garantira un usage plus efficient des ressources et favorisera l’alignement des deux projets.</w:t>
      </w:r>
      <w:r w:rsidR="009A70E2" w:rsidRPr="006F4D4F">
        <w:rPr>
          <w:color w:val="auto"/>
          <w:lang w:val="fr-FR"/>
        </w:rPr>
        <w:t xml:space="preserve"> </w:t>
      </w:r>
    </w:p>
    <w:p w14:paraId="31A55333" w14:textId="59239E56" w:rsidR="009A70E2" w:rsidRPr="006F4D4F" w:rsidRDefault="008E52F4" w:rsidP="009A70E2">
      <w:pPr>
        <w:spacing w:after="120" w:line="288" w:lineRule="auto"/>
        <w:rPr>
          <w:color w:val="auto"/>
          <w:lang w:val="fr-FR"/>
        </w:rPr>
      </w:pPr>
      <w:r>
        <w:rPr>
          <w:color w:val="auto"/>
          <w:lang w:val="fr-FR"/>
        </w:rPr>
        <w:t>Missions du Centre de coordination :</w:t>
      </w:r>
    </w:p>
    <w:p w14:paraId="2E758EE4" w14:textId="006B8B56" w:rsidR="009A70E2" w:rsidRPr="006F4D4F" w:rsidRDefault="00D03DE2" w:rsidP="008E52F4">
      <w:pPr>
        <w:numPr>
          <w:ilvl w:val="0"/>
          <w:numId w:val="22"/>
        </w:numPr>
        <w:spacing w:after="120" w:line="288" w:lineRule="auto"/>
        <w:jc w:val="both"/>
        <w:rPr>
          <w:color w:val="auto"/>
          <w:lang w:val="fr-FR"/>
        </w:rPr>
      </w:pPr>
      <w:r>
        <w:rPr>
          <w:color w:val="auto"/>
          <w:lang w:val="fr-FR"/>
        </w:rPr>
        <w:t>Assurer le s</w:t>
      </w:r>
      <w:r w:rsidR="008E52F4">
        <w:rPr>
          <w:color w:val="auto"/>
          <w:lang w:val="fr-FR"/>
        </w:rPr>
        <w:t xml:space="preserve">uivi de la réserve </w:t>
      </w:r>
      <w:r w:rsidR="00816B2D">
        <w:rPr>
          <w:color w:val="auto"/>
          <w:lang w:val="fr-FR"/>
        </w:rPr>
        <w:t>d’investissements</w:t>
      </w:r>
      <w:r w:rsidR="008E52F4">
        <w:rPr>
          <w:color w:val="auto"/>
          <w:lang w:val="fr-FR"/>
        </w:rPr>
        <w:t xml:space="preserve"> et </w:t>
      </w:r>
      <w:r w:rsidR="00816B2D">
        <w:rPr>
          <w:color w:val="auto"/>
          <w:lang w:val="fr-FR"/>
        </w:rPr>
        <w:t xml:space="preserve">la </w:t>
      </w:r>
      <w:r w:rsidR="008E52F4">
        <w:rPr>
          <w:color w:val="auto"/>
          <w:lang w:val="fr-FR"/>
        </w:rPr>
        <w:t xml:space="preserve">gestion du PIE, ainsi que d’autres investissements de l’Union européenne (à Bruxelles). Cette mission comprend la fourniture de renseignements de haut niveau et </w:t>
      </w:r>
      <w:r w:rsidR="00816B2D">
        <w:rPr>
          <w:color w:val="auto"/>
          <w:lang w:val="fr-FR"/>
        </w:rPr>
        <w:t xml:space="preserve">la réalisation </w:t>
      </w:r>
      <w:r w:rsidR="008E52F4">
        <w:rPr>
          <w:color w:val="auto"/>
          <w:lang w:val="fr-FR"/>
        </w:rPr>
        <w:t xml:space="preserve">d’une analyse poussée sur le PIE et les investissements de l’Union européenne dans les pays cibles, </w:t>
      </w:r>
      <w:r>
        <w:rPr>
          <w:color w:val="auto"/>
          <w:lang w:val="fr-FR"/>
        </w:rPr>
        <w:t>et la participation aux mécanismes de coordination sur le climat des affaires</w:t>
      </w:r>
      <w:r w:rsidR="00816B2D">
        <w:rPr>
          <w:color w:val="auto"/>
          <w:lang w:val="fr-FR"/>
        </w:rPr>
        <w:t>,</w:t>
      </w:r>
      <w:r>
        <w:rPr>
          <w:color w:val="auto"/>
          <w:lang w:val="fr-FR"/>
        </w:rPr>
        <w:t xml:space="preserve"> au niveau de Bruxelles, dont le capital humain est un élément spécifique</w:t>
      </w:r>
      <w:r w:rsidR="00E048C5" w:rsidRPr="006F4D4F">
        <w:rPr>
          <w:rStyle w:val="Appelnotedebasdep"/>
          <w:color w:val="auto"/>
          <w:lang w:val="fr-FR"/>
        </w:rPr>
        <w:footnoteReference w:id="4"/>
      </w:r>
      <w:r>
        <w:rPr>
          <w:color w:val="auto"/>
          <w:lang w:val="fr-FR"/>
        </w:rPr>
        <w:t>.</w:t>
      </w:r>
    </w:p>
    <w:p w14:paraId="6EF7969E" w14:textId="003E5686" w:rsidR="009A70E2" w:rsidRPr="006F4D4F" w:rsidRDefault="00D03DE2" w:rsidP="00D03DE2">
      <w:pPr>
        <w:numPr>
          <w:ilvl w:val="0"/>
          <w:numId w:val="22"/>
        </w:numPr>
        <w:spacing w:after="120" w:line="288" w:lineRule="auto"/>
        <w:ind w:left="714" w:hanging="357"/>
        <w:jc w:val="both"/>
        <w:rPr>
          <w:color w:val="auto"/>
          <w:lang w:val="fr-FR"/>
        </w:rPr>
      </w:pPr>
      <w:r>
        <w:rPr>
          <w:color w:val="auto"/>
          <w:lang w:val="fr-FR"/>
        </w:rPr>
        <w:t>Aider le Comité de suivi opérationnel à traiter les nouvelles interventions, vérification de l’éligibilité</w:t>
      </w:r>
      <w:r w:rsidRPr="00D03DE2">
        <w:rPr>
          <w:color w:val="auto"/>
          <w:lang w:val="fr-FR"/>
        </w:rPr>
        <w:t xml:space="preserve"> </w:t>
      </w:r>
      <w:r>
        <w:rPr>
          <w:color w:val="auto"/>
          <w:lang w:val="fr-FR"/>
        </w:rPr>
        <w:t>notamment, et à organiser le processus d’évaluation des interventions (</w:t>
      </w:r>
      <w:r>
        <w:rPr>
          <w:i/>
          <w:iCs/>
          <w:color w:val="auto"/>
          <w:lang w:val="fr-FR"/>
        </w:rPr>
        <w:t>critères et système d’évaluation à définir</w:t>
      </w:r>
      <w:r>
        <w:rPr>
          <w:color w:val="auto"/>
          <w:lang w:val="fr-FR"/>
        </w:rPr>
        <w:t>).</w:t>
      </w:r>
      <w:r w:rsidR="009A70E2" w:rsidRPr="006F4D4F">
        <w:rPr>
          <w:i/>
          <w:color w:val="auto"/>
          <w:lang w:val="fr-FR"/>
        </w:rPr>
        <w:t xml:space="preserve"> </w:t>
      </w:r>
    </w:p>
    <w:p w14:paraId="2B5A2AC7" w14:textId="5D634215" w:rsidR="009A70E2" w:rsidRPr="006F4D4F" w:rsidRDefault="00D03DE2" w:rsidP="00D03DE2">
      <w:pPr>
        <w:numPr>
          <w:ilvl w:val="0"/>
          <w:numId w:val="22"/>
        </w:numPr>
        <w:spacing w:after="120" w:line="288" w:lineRule="auto"/>
        <w:jc w:val="both"/>
        <w:rPr>
          <w:color w:val="auto"/>
          <w:lang w:val="fr-FR"/>
        </w:rPr>
      </w:pPr>
      <w:r>
        <w:rPr>
          <w:color w:val="auto"/>
          <w:lang w:val="fr-FR"/>
        </w:rPr>
        <w:t>Rendre compte de l’état d’avancement i) des activités de recensement des opportunités, ii) du dialogue dans le pays, iii) de l’élaboration du projet, iv) de la mise en œuvre du projet et v) de l’apprentissage.</w:t>
      </w:r>
      <w:r w:rsidR="009A70E2" w:rsidRPr="006F4D4F">
        <w:rPr>
          <w:color w:val="auto"/>
          <w:lang w:val="fr-FR"/>
        </w:rPr>
        <w:t xml:space="preserve"> </w:t>
      </w:r>
    </w:p>
    <w:p w14:paraId="3D27E60A" w14:textId="2E2EAC5F" w:rsidR="009A70E2" w:rsidRPr="006F4D4F" w:rsidRDefault="00D03DE2" w:rsidP="00D03DE2">
      <w:pPr>
        <w:numPr>
          <w:ilvl w:val="0"/>
          <w:numId w:val="22"/>
        </w:numPr>
        <w:spacing w:after="120" w:line="288" w:lineRule="auto"/>
        <w:ind w:left="714" w:hanging="357"/>
        <w:jc w:val="both"/>
        <w:rPr>
          <w:color w:val="auto"/>
          <w:lang w:val="fr-FR"/>
        </w:rPr>
      </w:pPr>
      <w:r>
        <w:rPr>
          <w:color w:val="auto"/>
          <w:lang w:val="fr-FR"/>
        </w:rPr>
        <w:t xml:space="preserve">Se charger de toutes les tâches financières, administratives et de coordination technique (prendre la responsabilité de l’information et de la communication globales sur </w:t>
      </w:r>
      <w:r w:rsidR="00816B2D">
        <w:rPr>
          <w:color w:val="auto"/>
          <w:lang w:val="fr-FR"/>
        </w:rPr>
        <w:t>l</w:t>
      </w:r>
      <w:r>
        <w:rPr>
          <w:color w:val="auto"/>
          <w:lang w:val="fr-FR"/>
        </w:rPr>
        <w:t>a VET Toolbox, traiter les demandes).</w:t>
      </w:r>
    </w:p>
    <w:p w14:paraId="3EB0EDFE" w14:textId="2F719065" w:rsidR="009A70E2" w:rsidRPr="006F4D4F" w:rsidRDefault="00D03DE2" w:rsidP="008D429C">
      <w:pPr>
        <w:numPr>
          <w:ilvl w:val="0"/>
          <w:numId w:val="22"/>
        </w:numPr>
        <w:spacing w:after="120" w:line="288" w:lineRule="auto"/>
        <w:ind w:left="714" w:hanging="357"/>
        <w:jc w:val="both"/>
        <w:rPr>
          <w:color w:val="auto"/>
          <w:lang w:val="fr-FR"/>
        </w:rPr>
      </w:pPr>
      <w:r>
        <w:rPr>
          <w:color w:val="auto"/>
          <w:lang w:val="fr-FR"/>
        </w:rPr>
        <w:t>Assurer la c</w:t>
      </w:r>
      <w:r w:rsidR="009A70E2" w:rsidRPr="006F4D4F">
        <w:rPr>
          <w:color w:val="auto"/>
          <w:lang w:val="fr-FR"/>
        </w:rPr>
        <w:t xml:space="preserve">oordination </w:t>
      </w:r>
      <w:r>
        <w:rPr>
          <w:color w:val="auto"/>
          <w:lang w:val="fr-FR"/>
        </w:rPr>
        <w:t xml:space="preserve">avec les activités de la </w:t>
      </w:r>
      <w:r w:rsidR="009A70E2" w:rsidRPr="006F4D4F">
        <w:rPr>
          <w:color w:val="auto"/>
          <w:lang w:val="fr-FR"/>
        </w:rPr>
        <w:t xml:space="preserve">VET Toolbox 1 </w:t>
      </w:r>
      <w:r>
        <w:rPr>
          <w:color w:val="auto"/>
          <w:lang w:val="fr-FR"/>
        </w:rPr>
        <w:t xml:space="preserve">et autres initiatives (comme </w:t>
      </w:r>
      <w:r w:rsidR="009A70E2" w:rsidRPr="006F4D4F">
        <w:rPr>
          <w:color w:val="auto"/>
          <w:lang w:val="fr-FR"/>
        </w:rPr>
        <w:t>Archipelago, Socieux+)</w:t>
      </w:r>
      <w:r w:rsidR="009D1A9E" w:rsidRPr="006F4D4F">
        <w:rPr>
          <w:color w:val="auto"/>
          <w:lang w:val="fr-FR"/>
        </w:rPr>
        <w:t xml:space="preserve"> </w:t>
      </w:r>
      <w:r>
        <w:rPr>
          <w:color w:val="auto"/>
          <w:lang w:val="fr-FR"/>
        </w:rPr>
        <w:t xml:space="preserve">pour stimuler les </w:t>
      </w:r>
      <w:r w:rsidR="009D1A9E" w:rsidRPr="006F4D4F">
        <w:rPr>
          <w:color w:val="auto"/>
          <w:lang w:val="fr-FR"/>
        </w:rPr>
        <w:t>synergies</w:t>
      </w:r>
      <w:r>
        <w:rPr>
          <w:color w:val="auto"/>
          <w:lang w:val="fr-FR"/>
        </w:rPr>
        <w:t>.</w:t>
      </w:r>
    </w:p>
    <w:p w14:paraId="24A6F361" w14:textId="5B870FB1" w:rsidR="009A70E2" w:rsidRPr="006F4D4F" w:rsidRDefault="0084150D" w:rsidP="008D429C">
      <w:pPr>
        <w:numPr>
          <w:ilvl w:val="0"/>
          <w:numId w:val="22"/>
        </w:numPr>
        <w:spacing w:after="120" w:line="288" w:lineRule="auto"/>
        <w:ind w:left="714" w:hanging="357"/>
        <w:jc w:val="both"/>
        <w:rPr>
          <w:color w:val="auto"/>
          <w:lang w:val="fr-FR"/>
        </w:rPr>
      </w:pPr>
      <w:r>
        <w:rPr>
          <w:color w:val="auto"/>
          <w:lang w:val="fr-FR"/>
        </w:rPr>
        <w:t>Appuyer la gestion et l’échange des apprentissages et des connaissances.</w:t>
      </w:r>
    </w:p>
    <w:p w14:paraId="33D39C5E" w14:textId="3FD95F41" w:rsidR="009A70E2" w:rsidRPr="006F4D4F" w:rsidRDefault="00FA3205" w:rsidP="008D429C">
      <w:pPr>
        <w:numPr>
          <w:ilvl w:val="0"/>
          <w:numId w:val="22"/>
        </w:numPr>
        <w:spacing w:after="120" w:line="288" w:lineRule="auto"/>
        <w:ind w:left="714" w:hanging="357"/>
        <w:jc w:val="both"/>
        <w:rPr>
          <w:color w:val="auto"/>
          <w:lang w:val="fr-FR"/>
        </w:rPr>
      </w:pPr>
      <w:r>
        <w:rPr>
          <w:color w:val="auto"/>
          <w:lang w:val="fr-FR"/>
        </w:rPr>
        <w:t>Assurer la cohérence et la conformité avec le cadre logique.</w:t>
      </w:r>
      <w:r w:rsidR="009A70E2" w:rsidRPr="006F4D4F">
        <w:rPr>
          <w:color w:val="auto"/>
          <w:lang w:val="fr-FR"/>
        </w:rPr>
        <w:t xml:space="preserve"> </w:t>
      </w:r>
    </w:p>
    <w:p w14:paraId="58228A9A" w14:textId="731BBADE" w:rsidR="009A70E2" w:rsidRPr="006F4D4F" w:rsidRDefault="00FA3205" w:rsidP="008D429C">
      <w:pPr>
        <w:numPr>
          <w:ilvl w:val="0"/>
          <w:numId w:val="22"/>
        </w:numPr>
        <w:spacing w:after="120" w:line="288" w:lineRule="auto"/>
        <w:ind w:left="714" w:hanging="357"/>
        <w:jc w:val="both"/>
        <w:rPr>
          <w:color w:val="auto"/>
          <w:lang w:val="fr-FR"/>
        </w:rPr>
      </w:pPr>
      <w:r>
        <w:rPr>
          <w:color w:val="auto"/>
          <w:lang w:val="fr-FR"/>
        </w:rPr>
        <w:t>Se charger du suivi global et soutenir le contrôle qualité.</w:t>
      </w:r>
    </w:p>
    <w:p w14:paraId="402C2896" w14:textId="6BA6CB8F" w:rsidR="009A70E2" w:rsidRPr="006F4D4F" w:rsidRDefault="00FA3205" w:rsidP="008D429C">
      <w:pPr>
        <w:numPr>
          <w:ilvl w:val="0"/>
          <w:numId w:val="22"/>
        </w:numPr>
        <w:spacing w:after="120" w:line="288" w:lineRule="auto"/>
        <w:ind w:left="714" w:hanging="357"/>
        <w:jc w:val="both"/>
        <w:rPr>
          <w:color w:val="auto"/>
          <w:lang w:val="fr-FR"/>
        </w:rPr>
      </w:pPr>
      <w:r>
        <w:rPr>
          <w:color w:val="auto"/>
          <w:lang w:val="fr-FR"/>
        </w:rPr>
        <w:t>Suivre et actualiser l’analyse du risque et les mesures d’atténuation.</w:t>
      </w:r>
    </w:p>
    <w:p w14:paraId="791DD8E2" w14:textId="5A32A63C" w:rsidR="009A70E2" w:rsidRPr="006F4D4F" w:rsidRDefault="009A70E2" w:rsidP="008D429C">
      <w:pPr>
        <w:numPr>
          <w:ilvl w:val="0"/>
          <w:numId w:val="22"/>
        </w:numPr>
        <w:spacing w:after="120" w:line="288" w:lineRule="auto"/>
        <w:ind w:left="714" w:hanging="357"/>
        <w:jc w:val="both"/>
        <w:rPr>
          <w:color w:val="auto"/>
          <w:lang w:val="fr-FR"/>
        </w:rPr>
      </w:pPr>
      <w:r w:rsidRPr="006F4D4F">
        <w:rPr>
          <w:color w:val="auto"/>
          <w:lang w:val="fr-FR"/>
        </w:rPr>
        <w:tab/>
        <w:t>Facilit</w:t>
      </w:r>
      <w:r w:rsidR="00FA3205">
        <w:rPr>
          <w:color w:val="auto"/>
          <w:lang w:val="fr-FR"/>
        </w:rPr>
        <w:t xml:space="preserve">er la </w:t>
      </w:r>
      <w:r w:rsidRPr="006F4D4F">
        <w:rPr>
          <w:color w:val="auto"/>
          <w:lang w:val="fr-FR"/>
        </w:rPr>
        <w:t xml:space="preserve">communication </w:t>
      </w:r>
      <w:r w:rsidR="00FA3205">
        <w:rPr>
          <w:color w:val="auto"/>
          <w:lang w:val="fr-FR"/>
        </w:rPr>
        <w:t xml:space="preserve">avec l’Union européenne et tenir l’unité responsable et le siège social de DEVCO informés des principaux développements ou problèmes qui </w:t>
      </w:r>
      <w:r w:rsidR="00B958B8">
        <w:rPr>
          <w:color w:val="auto"/>
          <w:lang w:val="fr-FR"/>
        </w:rPr>
        <w:t>requièrent</w:t>
      </w:r>
      <w:r w:rsidR="00FA3205">
        <w:rPr>
          <w:color w:val="auto"/>
          <w:lang w:val="fr-FR"/>
        </w:rPr>
        <w:t xml:space="preserve"> l’attention des services de la Commission européenne.</w:t>
      </w:r>
    </w:p>
    <w:p w14:paraId="09164081" w14:textId="4067C739" w:rsidR="009A70E2" w:rsidRPr="006F4D4F" w:rsidRDefault="009A70E2" w:rsidP="008D429C">
      <w:pPr>
        <w:numPr>
          <w:ilvl w:val="0"/>
          <w:numId w:val="22"/>
        </w:numPr>
        <w:spacing w:after="120" w:line="288" w:lineRule="auto"/>
        <w:ind w:left="714" w:hanging="357"/>
        <w:jc w:val="both"/>
        <w:rPr>
          <w:color w:val="auto"/>
          <w:lang w:val="fr-FR"/>
        </w:rPr>
      </w:pPr>
      <w:r w:rsidRPr="006F4D4F">
        <w:rPr>
          <w:color w:val="auto"/>
          <w:lang w:val="fr-FR"/>
        </w:rPr>
        <w:tab/>
        <w:t>Consolid</w:t>
      </w:r>
      <w:r w:rsidR="00FA3205">
        <w:rPr>
          <w:color w:val="auto"/>
          <w:lang w:val="fr-FR"/>
        </w:rPr>
        <w:t>er et rédiger le rapport technique et financier annuel pour DEVCO et préparer le projet de plan de travail.</w:t>
      </w:r>
      <w:r w:rsidRPr="006F4D4F">
        <w:rPr>
          <w:color w:val="auto"/>
          <w:lang w:val="fr-FR"/>
        </w:rPr>
        <w:t xml:space="preserve"> </w:t>
      </w:r>
    </w:p>
    <w:p w14:paraId="35B545A4" w14:textId="72FE1BE0" w:rsidR="009A70E2" w:rsidRPr="006F4D4F" w:rsidRDefault="009A70E2" w:rsidP="008D429C">
      <w:pPr>
        <w:numPr>
          <w:ilvl w:val="0"/>
          <w:numId w:val="22"/>
        </w:numPr>
        <w:spacing w:after="120" w:line="288" w:lineRule="auto"/>
        <w:ind w:left="714" w:hanging="357"/>
        <w:jc w:val="both"/>
        <w:rPr>
          <w:color w:val="auto"/>
          <w:lang w:val="fr-FR"/>
        </w:rPr>
      </w:pPr>
      <w:r w:rsidRPr="006F4D4F">
        <w:rPr>
          <w:color w:val="auto"/>
          <w:lang w:val="fr-FR"/>
        </w:rPr>
        <w:t>Pr</w:t>
      </w:r>
      <w:r w:rsidR="00FA3205">
        <w:rPr>
          <w:color w:val="auto"/>
          <w:lang w:val="fr-FR"/>
        </w:rPr>
        <w:t xml:space="preserve">éparer les réunions du </w:t>
      </w:r>
      <w:r w:rsidR="00B2732A">
        <w:rPr>
          <w:color w:val="auto"/>
          <w:lang w:val="fr-FR"/>
        </w:rPr>
        <w:t>Comité de Pilotage</w:t>
      </w:r>
      <w:r w:rsidR="00FA3205">
        <w:rPr>
          <w:color w:val="auto"/>
          <w:lang w:val="fr-FR"/>
        </w:rPr>
        <w:t>, de la Réunion d</w:t>
      </w:r>
      <w:r w:rsidR="00B958B8">
        <w:rPr>
          <w:color w:val="auto"/>
          <w:lang w:val="fr-FR"/>
        </w:rPr>
        <w:t>u</w:t>
      </w:r>
      <w:r w:rsidR="00FA3205">
        <w:rPr>
          <w:color w:val="auto"/>
          <w:lang w:val="fr-FR"/>
        </w:rPr>
        <w:t xml:space="preserve"> partenariat et du Comité de suivi opérationnel et faire office de secrétariat.</w:t>
      </w:r>
      <w:r w:rsidRPr="006F4D4F">
        <w:rPr>
          <w:color w:val="auto"/>
          <w:lang w:val="fr-FR"/>
        </w:rPr>
        <w:t xml:space="preserve"> </w:t>
      </w:r>
    </w:p>
    <w:p w14:paraId="063D87F0" w14:textId="6B651256" w:rsidR="009A70E2" w:rsidRPr="006F4D4F" w:rsidRDefault="007937F0" w:rsidP="00B61966">
      <w:pPr>
        <w:spacing w:after="120" w:line="288" w:lineRule="auto"/>
        <w:jc w:val="both"/>
        <w:rPr>
          <w:color w:val="auto"/>
          <w:lang w:val="fr-FR"/>
        </w:rPr>
      </w:pPr>
      <w:r>
        <w:rPr>
          <w:color w:val="auto"/>
          <w:lang w:val="fr-FR"/>
        </w:rPr>
        <w:t xml:space="preserve">En résultat de l’extension de son rôle et de sa charge de travail accrue, le Centre devra disposer de capacités additionnelles et de nouvelles compétences. Avec l’élargissement du rôle du Centre, la phase </w:t>
      </w:r>
      <w:r w:rsidR="00173874">
        <w:rPr>
          <w:color w:val="auto"/>
          <w:lang w:val="fr-FR"/>
        </w:rPr>
        <w:t>préparatoire</w:t>
      </w:r>
      <w:r>
        <w:rPr>
          <w:color w:val="auto"/>
          <w:lang w:val="fr-FR"/>
        </w:rPr>
        <w:t xml:space="preserve"> du projet global devrait se dérouler </w:t>
      </w:r>
      <w:r w:rsidR="00B958B8">
        <w:rPr>
          <w:color w:val="auto"/>
          <w:lang w:val="fr-FR"/>
        </w:rPr>
        <w:t>sans heurt</w:t>
      </w:r>
      <w:r>
        <w:rPr>
          <w:color w:val="auto"/>
          <w:lang w:val="fr-FR"/>
        </w:rPr>
        <w:t xml:space="preserve">. Pendant cette phase, les activités et ressources additionnelles seront progressivement intégrées à un système déjà fonctionnel. Le Centre de coordination est chargé de la mise en œuvre opérationnelle de la VET Toolbox 2, conformément au document d’action et aux décisions du </w:t>
      </w:r>
      <w:r w:rsidR="00B2732A">
        <w:rPr>
          <w:color w:val="auto"/>
          <w:lang w:val="fr-FR"/>
        </w:rPr>
        <w:t>Comité de Pilotage</w:t>
      </w:r>
      <w:r>
        <w:rPr>
          <w:color w:val="auto"/>
          <w:lang w:val="fr-FR"/>
        </w:rPr>
        <w:t xml:space="preserve"> et du Comité de suivi opérationnel.</w:t>
      </w:r>
    </w:p>
    <w:p w14:paraId="0194B01F" w14:textId="3BAC5DD9" w:rsidR="009A70E2" w:rsidRPr="006F4D4F" w:rsidRDefault="007937F0" w:rsidP="009A70E2">
      <w:pPr>
        <w:spacing w:after="120" w:line="288" w:lineRule="auto"/>
        <w:rPr>
          <w:color w:val="auto"/>
          <w:lang w:val="fr-FR"/>
        </w:rPr>
      </w:pPr>
      <w:r>
        <w:rPr>
          <w:color w:val="auto"/>
          <w:lang w:val="fr-FR"/>
        </w:rPr>
        <w:t>Membres de l’équipe du Centre de coordination :</w:t>
      </w:r>
    </w:p>
    <w:p w14:paraId="40355600" w14:textId="39B33581" w:rsidR="009A70E2" w:rsidRPr="006F4D4F" w:rsidRDefault="00B958B8" w:rsidP="00DA106F">
      <w:pPr>
        <w:numPr>
          <w:ilvl w:val="0"/>
          <w:numId w:val="22"/>
        </w:numPr>
        <w:spacing w:after="120" w:line="288" w:lineRule="auto"/>
        <w:ind w:left="714" w:hanging="357"/>
        <w:rPr>
          <w:color w:val="auto"/>
          <w:lang w:val="fr-FR"/>
        </w:rPr>
      </w:pPr>
      <w:r>
        <w:rPr>
          <w:color w:val="auto"/>
          <w:lang w:val="fr-FR"/>
        </w:rPr>
        <w:t>Un c</w:t>
      </w:r>
      <w:r w:rsidR="00420F43">
        <w:rPr>
          <w:color w:val="auto"/>
          <w:lang w:val="fr-FR"/>
        </w:rPr>
        <w:t>hef d’équipe (coordi</w:t>
      </w:r>
      <w:r w:rsidR="007937F0">
        <w:rPr>
          <w:color w:val="auto"/>
          <w:lang w:val="fr-FR"/>
        </w:rPr>
        <w:t>nateur du Centre).</w:t>
      </w:r>
    </w:p>
    <w:p w14:paraId="59311571" w14:textId="72B42485" w:rsidR="009A70E2" w:rsidRPr="006F4D4F" w:rsidRDefault="007937F0" w:rsidP="00DA106F">
      <w:pPr>
        <w:numPr>
          <w:ilvl w:val="0"/>
          <w:numId w:val="22"/>
        </w:numPr>
        <w:spacing w:after="120" w:line="288" w:lineRule="auto"/>
        <w:ind w:left="714" w:hanging="357"/>
        <w:rPr>
          <w:color w:val="auto"/>
          <w:lang w:val="fr-FR"/>
        </w:rPr>
      </w:pPr>
      <w:r>
        <w:rPr>
          <w:color w:val="auto"/>
          <w:lang w:val="fr-FR"/>
        </w:rPr>
        <w:t xml:space="preserve">Un expert </w:t>
      </w:r>
      <w:r w:rsidR="00B958B8">
        <w:rPr>
          <w:color w:val="auto"/>
          <w:lang w:val="fr-FR"/>
        </w:rPr>
        <w:t>EFP</w:t>
      </w:r>
      <w:r w:rsidR="009A70E2" w:rsidRPr="006F4D4F">
        <w:rPr>
          <w:color w:val="auto"/>
          <w:lang w:val="fr-FR"/>
        </w:rPr>
        <w:t xml:space="preserve"> / </w:t>
      </w:r>
      <w:r w:rsidR="00932479">
        <w:rPr>
          <w:color w:val="auto"/>
          <w:lang w:val="fr-FR"/>
        </w:rPr>
        <w:t>DSP</w:t>
      </w:r>
      <w:r w:rsidR="009A70E2" w:rsidRPr="006F4D4F">
        <w:rPr>
          <w:color w:val="auto"/>
          <w:lang w:val="fr-FR"/>
        </w:rPr>
        <w:t xml:space="preserve"> </w:t>
      </w:r>
      <w:r>
        <w:rPr>
          <w:color w:val="auto"/>
          <w:lang w:val="fr-FR"/>
        </w:rPr>
        <w:t>(nouveau poste).</w:t>
      </w:r>
    </w:p>
    <w:p w14:paraId="4B107461" w14:textId="3229B3B9" w:rsidR="009A70E2" w:rsidRPr="006F4D4F" w:rsidRDefault="00932479" w:rsidP="00DA106F">
      <w:pPr>
        <w:numPr>
          <w:ilvl w:val="0"/>
          <w:numId w:val="22"/>
        </w:numPr>
        <w:spacing w:after="120" w:line="288" w:lineRule="auto"/>
        <w:ind w:left="714" w:hanging="357"/>
        <w:rPr>
          <w:color w:val="auto"/>
          <w:lang w:val="fr-FR"/>
        </w:rPr>
      </w:pPr>
      <w:r>
        <w:rPr>
          <w:color w:val="auto"/>
          <w:lang w:val="fr-FR"/>
        </w:rPr>
        <w:t>Un expert en communication, TIC et gestion des connaissances.</w:t>
      </w:r>
    </w:p>
    <w:p w14:paraId="514D8F65" w14:textId="5DB04D6E" w:rsidR="009A70E2" w:rsidRPr="006F4D4F" w:rsidRDefault="00932479" w:rsidP="00DA106F">
      <w:pPr>
        <w:numPr>
          <w:ilvl w:val="0"/>
          <w:numId w:val="22"/>
        </w:numPr>
        <w:spacing w:after="120" w:line="288" w:lineRule="auto"/>
        <w:ind w:left="714" w:hanging="357"/>
        <w:rPr>
          <w:color w:val="auto"/>
          <w:lang w:val="fr-FR"/>
        </w:rPr>
      </w:pPr>
      <w:r>
        <w:rPr>
          <w:color w:val="auto"/>
          <w:lang w:val="fr-FR"/>
        </w:rPr>
        <w:t>Un responsable adm</w:t>
      </w:r>
      <w:r w:rsidR="009A70E2" w:rsidRPr="006F4D4F">
        <w:rPr>
          <w:color w:val="auto"/>
          <w:lang w:val="fr-FR"/>
        </w:rPr>
        <w:t xml:space="preserve">inistration </w:t>
      </w:r>
      <w:r>
        <w:rPr>
          <w:color w:val="auto"/>
          <w:lang w:val="fr-FR"/>
        </w:rPr>
        <w:t>et finance.</w:t>
      </w:r>
    </w:p>
    <w:p w14:paraId="2782ED96" w14:textId="7EE89A4F" w:rsidR="009A70E2" w:rsidRPr="006F4D4F" w:rsidRDefault="00932479" w:rsidP="00DA106F">
      <w:pPr>
        <w:numPr>
          <w:ilvl w:val="0"/>
          <w:numId w:val="22"/>
        </w:numPr>
        <w:spacing w:after="120" w:line="288" w:lineRule="auto"/>
        <w:rPr>
          <w:color w:val="auto"/>
          <w:lang w:val="fr-FR"/>
        </w:rPr>
      </w:pPr>
      <w:r>
        <w:rPr>
          <w:color w:val="auto"/>
          <w:lang w:val="fr-FR"/>
        </w:rPr>
        <w:t>Un assistant opérationnel et organisation des événements</w:t>
      </w:r>
      <w:r w:rsidR="009A70E2" w:rsidRPr="006F4D4F">
        <w:rPr>
          <w:rStyle w:val="Appelnotedebasdep"/>
          <w:color w:val="auto"/>
          <w:lang w:val="fr-FR"/>
        </w:rPr>
        <w:footnoteReference w:id="5"/>
      </w:r>
      <w:r w:rsidR="009A70E2" w:rsidRPr="006F4D4F">
        <w:rPr>
          <w:color w:val="auto"/>
          <w:lang w:val="fr-FR"/>
        </w:rPr>
        <w:t xml:space="preserve"> (</w:t>
      </w:r>
      <w:r>
        <w:rPr>
          <w:color w:val="auto"/>
          <w:lang w:val="fr-FR"/>
        </w:rPr>
        <w:t>nouveau poste</w:t>
      </w:r>
      <w:r w:rsidR="009A70E2" w:rsidRPr="006F4D4F">
        <w:rPr>
          <w:color w:val="auto"/>
          <w:lang w:val="fr-FR"/>
        </w:rPr>
        <w:t>)</w:t>
      </w:r>
      <w:r>
        <w:rPr>
          <w:color w:val="auto"/>
          <w:lang w:val="fr-FR"/>
        </w:rPr>
        <w:t>.</w:t>
      </w:r>
    </w:p>
    <w:p w14:paraId="64E14970" w14:textId="271E110B" w:rsidR="009A70E2" w:rsidRPr="006F4D4F" w:rsidRDefault="009A70E2" w:rsidP="009A70E2">
      <w:pPr>
        <w:spacing w:after="120" w:line="288" w:lineRule="auto"/>
        <w:rPr>
          <w:i/>
          <w:color w:val="auto"/>
          <w:lang w:val="fr-FR"/>
        </w:rPr>
      </w:pPr>
      <w:r w:rsidRPr="006F4D4F">
        <w:rPr>
          <w:i/>
          <w:color w:val="auto"/>
          <w:u w:val="single"/>
          <w:lang w:val="fr-FR"/>
        </w:rPr>
        <w:t>N</w:t>
      </w:r>
      <w:r w:rsidR="00932479">
        <w:rPr>
          <w:i/>
          <w:color w:val="auto"/>
          <w:u w:val="single"/>
          <w:lang w:val="fr-FR"/>
        </w:rPr>
        <w:t>B </w:t>
      </w:r>
      <w:r w:rsidR="00932479">
        <w:rPr>
          <w:i/>
          <w:color w:val="auto"/>
          <w:lang w:val="fr-FR"/>
        </w:rPr>
        <w:t>: jusqu’à la clôture des activités de la VET Toolbox 1 (septembre 2022),</w:t>
      </w:r>
      <w:r w:rsidR="000A20C5">
        <w:rPr>
          <w:i/>
          <w:color w:val="auto"/>
          <w:lang w:val="fr-FR"/>
        </w:rPr>
        <w:t xml:space="preserve"> </w:t>
      </w:r>
      <w:r w:rsidR="00932479">
        <w:rPr>
          <w:i/>
          <w:color w:val="auto"/>
          <w:lang w:val="fr-FR"/>
        </w:rPr>
        <w:t>les experts ci-dessous resteront membres du personnel du Centre :</w:t>
      </w:r>
      <w:r w:rsidRPr="006F4D4F">
        <w:rPr>
          <w:i/>
          <w:color w:val="auto"/>
          <w:lang w:val="fr-FR"/>
        </w:rPr>
        <w:t xml:space="preserve"> </w:t>
      </w:r>
    </w:p>
    <w:p w14:paraId="31CB4580" w14:textId="657C1FCA" w:rsidR="009A70E2" w:rsidRPr="006F4D4F" w:rsidRDefault="00B958B8" w:rsidP="00DA106F">
      <w:pPr>
        <w:numPr>
          <w:ilvl w:val="0"/>
          <w:numId w:val="22"/>
        </w:numPr>
        <w:spacing w:after="120" w:line="288" w:lineRule="auto"/>
        <w:ind w:left="714" w:hanging="357"/>
        <w:rPr>
          <w:i/>
          <w:color w:val="auto"/>
          <w:lang w:val="fr-FR"/>
        </w:rPr>
      </w:pPr>
      <w:r>
        <w:rPr>
          <w:i/>
          <w:color w:val="auto"/>
          <w:lang w:val="fr-FR"/>
        </w:rPr>
        <w:t>Un e</w:t>
      </w:r>
      <w:r w:rsidR="00932479">
        <w:rPr>
          <w:i/>
          <w:color w:val="auto"/>
          <w:lang w:val="fr-FR"/>
        </w:rPr>
        <w:t xml:space="preserve">xpert </w:t>
      </w:r>
      <w:r>
        <w:rPr>
          <w:i/>
          <w:color w:val="auto"/>
          <w:lang w:val="fr-FR"/>
        </w:rPr>
        <w:t xml:space="preserve">EFP </w:t>
      </w:r>
      <w:r w:rsidR="00932479">
        <w:rPr>
          <w:i/>
          <w:color w:val="auto"/>
          <w:lang w:val="fr-FR"/>
        </w:rPr>
        <w:t>en charge des appels à propositions</w:t>
      </w:r>
      <w:r>
        <w:rPr>
          <w:i/>
          <w:color w:val="auto"/>
          <w:lang w:val="fr-FR"/>
        </w:rPr>
        <w:t>.</w:t>
      </w:r>
    </w:p>
    <w:p w14:paraId="5E3603FC" w14:textId="1B37EA65" w:rsidR="009A70E2" w:rsidRPr="006F4D4F" w:rsidRDefault="00B958B8" w:rsidP="00DA106F">
      <w:pPr>
        <w:numPr>
          <w:ilvl w:val="0"/>
          <w:numId w:val="22"/>
        </w:numPr>
        <w:spacing w:after="120" w:line="288" w:lineRule="auto"/>
        <w:ind w:left="714" w:hanging="357"/>
        <w:rPr>
          <w:i/>
          <w:color w:val="auto"/>
          <w:lang w:val="fr-FR"/>
        </w:rPr>
      </w:pPr>
      <w:r>
        <w:rPr>
          <w:i/>
          <w:color w:val="auto"/>
          <w:lang w:val="fr-FR"/>
        </w:rPr>
        <w:t>Un e</w:t>
      </w:r>
      <w:r w:rsidR="00932479">
        <w:rPr>
          <w:i/>
          <w:color w:val="auto"/>
          <w:lang w:val="fr-FR"/>
        </w:rPr>
        <w:t xml:space="preserve">xpert </w:t>
      </w:r>
      <w:r>
        <w:rPr>
          <w:i/>
          <w:color w:val="auto"/>
          <w:lang w:val="fr-FR"/>
        </w:rPr>
        <w:t>EFP</w:t>
      </w:r>
      <w:r w:rsidR="00932479">
        <w:rPr>
          <w:i/>
          <w:color w:val="auto"/>
          <w:lang w:val="fr-FR"/>
        </w:rPr>
        <w:t>, détaché par</w:t>
      </w:r>
      <w:r w:rsidR="009A70E2" w:rsidRPr="006F4D4F">
        <w:rPr>
          <w:i/>
          <w:color w:val="auto"/>
          <w:lang w:val="fr-FR"/>
        </w:rPr>
        <w:t xml:space="preserve"> GIZ</w:t>
      </w:r>
      <w:r>
        <w:rPr>
          <w:i/>
          <w:color w:val="auto"/>
          <w:lang w:val="fr-FR"/>
        </w:rPr>
        <w:t>.</w:t>
      </w:r>
    </w:p>
    <w:p w14:paraId="1794B765" w14:textId="0E93B85B" w:rsidR="009A70E2" w:rsidRPr="006F4D4F" w:rsidRDefault="00932479" w:rsidP="009A70E2">
      <w:pPr>
        <w:pStyle w:val="BTCBodyText"/>
        <w:rPr>
          <w:lang w:val="fr-FR"/>
        </w:rPr>
      </w:pPr>
      <w:r>
        <w:rPr>
          <w:lang w:val="fr-FR"/>
        </w:rPr>
        <w:t>Le Centre de coordination est l’interlocuteur unique de la Commission européenne et sera basé dans les bureaux d’Enabel à Bruxelles. Les règles administratives, légales et comptables et les procédures opérationnelles du Centre seront celles d’</w:t>
      </w:r>
      <w:r w:rsidR="009A70E2" w:rsidRPr="006F4D4F">
        <w:rPr>
          <w:lang w:val="fr-FR"/>
        </w:rPr>
        <w:t>Enabel</w:t>
      </w:r>
      <w:r w:rsidR="00DC315A" w:rsidRPr="006F4D4F">
        <w:rPr>
          <w:lang w:val="fr-FR"/>
        </w:rPr>
        <w:t>.</w:t>
      </w:r>
    </w:p>
    <w:p w14:paraId="4E30CC63" w14:textId="77A11C1E" w:rsidR="00241116" w:rsidRPr="006F4D4F" w:rsidRDefault="00826693" w:rsidP="00D25886">
      <w:pPr>
        <w:pStyle w:val="Titre3"/>
        <w:jc w:val="both"/>
      </w:pPr>
      <w:bookmarkStart w:id="370" w:name="_Toc44423202"/>
      <w:bookmarkStart w:id="371" w:name="_Toc44423718"/>
      <w:bookmarkStart w:id="372" w:name="_Toc54336689"/>
      <w:r w:rsidRPr="006F4D4F">
        <w:t xml:space="preserve">3.2.2 </w:t>
      </w:r>
      <w:r w:rsidR="00D25886">
        <w:t>Personnel de liaison des agences bilatérales</w:t>
      </w:r>
      <w:bookmarkStart w:id="373" w:name="_Toc477274891"/>
      <w:bookmarkStart w:id="374" w:name="_Toc477276097"/>
      <w:bookmarkStart w:id="375" w:name="_Toc477276318"/>
      <w:bookmarkStart w:id="376" w:name="_Toc477169144"/>
      <w:bookmarkStart w:id="377" w:name="_Toc477169360"/>
      <w:bookmarkStart w:id="378" w:name="_Toc477187873"/>
      <w:bookmarkStart w:id="379" w:name="_Toc477188084"/>
      <w:bookmarkStart w:id="380" w:name="_Toc477188296"/>
      <w:bookmarkStart w:id="381" w:name="_Toc477188508"/>
      <w:bookmarkStart w:id="382" w:name="_Toc477188720"/>
      <w:bookmarkStart w:id="383" w:name="_Toc477188930"/>
      <w:bookmarkStart w:id="384" w:name="_Toc477189144"/>
      <w:bookmarkStart w:id="385" w:name="_Toc477189740"/>
      <w:bookmarkStart w:id="386" w:name="_Toc477196384"/>
      <w:bookmarkStart w:id="387" w:name="_Toc477200102"/>
      <w:bookmarkStart w:id="388" w:name="_Toc477274892"/>
      <w:bookmarkStart w:id="389" w:name="_Toc477276098"/>
      <w:bookmarkStart w:id="390" w:name="_Toc477276319"/>
      <w:bookmarkStart w:id="391" w:name="_Toc20239578"/>
      <w:bookmarkStart w:id="392" w:name="_Toc20239669"/>
      <w:bookmarkEnd w:id="228"/>
      <w:bookmarkEnd w:id="22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50B09D78" w14:textId="58075398" w:rsidR="00241116" w:rsidRPr="006F4D4F" w:rsidRDefault="00D25886" w:rsidP="001D6523">
      <w:pPr>
        <w:spacing w:before="240" w:after="120"/>
        <w:jc w:val="both"/>
        <w:rPr>
          <w:b/>
          <w:color w:val="auto"/>
          <w:lang w:val="fr-FR"/>
        </w:rPr>
      </w:pPr>
      <w:r>
        <w:rPr>
          <w:b/>
          <w:color w:val="auto"/>
          <w:lang w:val="fr-FR"/>
        </w:rPr>
        <w:t>Chargés de l</w:t>
      </w:r>
      <w:r w:rsidR="00241116" w:rsidRPr="006F4D4F">
        <w:rPr>
          <w:b/>
          <w:color w:val="auto"/>
          <w:lang w:val="fr-FR"/>
        </w:rPr>
        <w:t xml:space="preserve">iaison </w:t>
      </w:r>
      <w:r>
        <w:rPr>
          <w:b/>
          <w:color w:val="auto"/>
          <w:lang w:val="fr-FR"/>
        </w:rPr>
        <w:t>des agences d’exécution (membres du Comité de suivi opérationnel)</w:t>
      </w:r>
    </w:p>
    <w:p w14:paraId="2295E7F3" w14:textId="0913777E" w:rsidR="00241116" w:rsidRPr="006F4D4F" w:rsidRDefault="00D25886" w:rsidP="00B61966">
      <w:pPr>
        <w:spacing w:after="120" w:line="288" w:lineRule="auto"/>
        <w:jc w:val="both"/>
        <w:rPr>
          <w:color w:val="auto"/>
          <w:lang w:val="fr-FR"/>
        </w:rPr>
      </w:pPr>
      <w:r>
        <w:rPr>
          <w:color w:val="auto"/>
          <w:lang w:val="fr-FR"/>
        </w:rPr>
        <w:t xml:space="preserve">Le rôle des chargés de liaison de la </w:t>
      </w:r>
      <w:r w:rsidR="00631B61" w:rsidRPr="006F4D4F">
        <w:rPr>
          <w:color w:val="auto"/>
          <w:lang w:val="fr-FR"/>
        </w:rPr>
        <w:t>VET Toolbox 1</w:t>
      </w:r>
      <w:r w:rsidR="00241116" w:rsidRPr="006F4D4F">
        <w:rPr>
          <w:color w:val="auto"/>
          <w:lang w:val="fr-FR"/>
        </w:rPr>
        <w:t xml:space="preserve"> </w:t>
      </w:r>
      <w:r>
        <w:rPr>
          <w:color w:val="auto"/>
          <w:lang w:val="fr-FR"/>
        </w:rPr>
        <w:t xml:space="preserve">gagnera en importance avec l’arrivée de la </w:t>
      </w:r>
      <w:r w:rsidR="00241116" w:rsidRPr="006F4D4F">
        <w:rPr>
          <w:color w:val="auto"/>
          <w:lang w:val="fr-FR"/>
        </w:rPr>
        <w:t xml:space="preserve">VET Toolbox 2. </w:t>
      </w:r>
      <w:r>
        <w:rPr>
          <w:color w:val="auto"/>
          <w:lang w:val="fr-FR"/>
        </w:rPr>
        <w:t>La charge de travail totale estimée sera équivalente à un poste à mi-temps (50 </w:t>
      </w:r>
      <w:r w:rsidR="00241116" w:rsidRPr="006F4D4F">
        <w:rPr>
          <w:color w:val="auto"/>
          <w:lang w:val="fr-FR"/>
        </w:rPr>
        <w:t>%)</w:t>
      </w:r>
      <w:r w:rsidR="00241116" w:rsidRPr="006F4D4F">
        <w:rPr>
          <w:rStyle w:val="Appelnotedebasdep"/>
          <w:color w:val="auto"/>
          <w:lang w:val="fr-FR"/>
        </w:rPr>
        <w:footnoteReference w:id="6"/>
      </w:r>
      <w:r w:rsidR="00241116" w:rsidRPr="006F4D4F">
        <w:rPr>
          <w:color w:val="auto"/>
          <w:lang w:val="fr-FR"/>
        </w:rPr>
        <w:t xml:space="preserve">. </w:t>
      </w:r>
    </w:p>
    <w:p w14:paraId="6BF02992" w14:textId="56936DA4" w:rsidR="00241116" w:rsidRPr="006F4D4F" w:rsidRDefault="00D25886" w:rsidP="00A20EA9">
      <w:pPr>
        <w:widowControl w:val="0"/>
        <w:suppressAutoHyphens/>
        <w:spacing w:after="120" w:line="288" w:lineRule="auto"/>
        <w:jc w:val="both"/>
        <w:rPr>
          <w:color w:val="auto"/>
          <w:kern w:val="18"/>
          <w:lang w:val="fr-FR"/>
        </w:rPr>
      </w:pPr>
      <w:r>
        <w:rPr>
          <w:color w:val="auto"/>
          <w:kern w:val="18"/>
          <w:lang w:val="fr-FR"/>
        </w:rPr>
        <w:t>Le</w:t>
      </w:r>
      <w:r w:rsidR="00B958B8">
        <w:rPr>
          <w:color w:val="auto"/>
          <w:kern w:val="18"/>
          <w:lang w:val="fr-FR"/>
        </w:rPr>
        <w:t>s</w:t>
      </w:r>
      <w:r>
        <w:rPr>
          <w:color w:val="auto"/>
          <w:kern w:val="18"/>
          <w:lang w:val="fr-FR"/>
        </w:rPr>
        <w:t xml:space="preserve"> chargé</w:t>
      </w:r>
      <w:r w:rsidR="00B958B8">
        <w:rPr>
          <w:color w:val="auto"/>
          <w:kern w:val="18"/>
          <w:lang w:val="fr-FR"/>
        </w:rPr>
        <w:t>s</w:t>
      </w:r>
      <w:r>
        <w:rPr>
          <w:color w:val="auto"/>
          <w:kern w:val="18"/>
          <w:lang w:val="fr-FR"/>
        </w:rPr>
        <w:t xml:space="preserve"> de liaison :</w:t>
      </w:r>
      <w:r w:rsidR="00241116" w:rsidRPr="006F4D4F">
        <w:rPr>
          <w:color w:val="auto"/>
          <w:kern w:val="18"/>
          <w:lang w:val="fr-FR"/>
        </w:rPr>
        <w:t xml:space="preserve"> </w:t>
      </w:r>
    </w:p>
    <w:p w14:paraId="7777AD23" w14:textId="613DCAA8" w:rsidR="00241116" w:rsidRPr="006F4D4F" w:rsidRDefault="00D25886" w:rsidP="00A20EA9">
      <w:pPr>
        <w:numPr>
          <w:ilvl w:val="0"/>
          <w:numId w:val="23"/>
        </w:numPr>
        <w:spacing w:after="120" w:line="288" w:lineRule="auto"/>
        <w:ind w:left="714" w:hanging="357"/>
        <w:jc w:val="both"/>
        <w:rPr>
          <w:color w:val="auto"/>
          <w:lang w:val="fr-FR"/>
        </w:rPr>
      </w:pPr>
      <w:r>
        <w:rPr>
          <w:color w:val="auto"/>
          <w:lang w:val="fr-FR"/>
        </w:rPr>
        <w:t>fer</w:t>
      </w:r>
      <w:r w:rsidR="00B958B8">
        <w:rPr>
          <w:color w:val="auto"/>
          <w:lang w:val="fr-FR"/>
        </w:rPr>
        <w:t>ont</w:t>
      </w:r>
      <w:r>
        <w:rPr>
          <w:color w:val="auto"/>
          <w:lang w:val="fr-FR"/>
        </w:rPr>
        <w:t xml:space="preserve"> office d’interlocuteur unique entre le Centre de coordination et les 5 agences d’exécution ;</w:t>
      </w:r>
      <w:r w:rsidR="00241116" w:rsidRPr="006F4D4F">
        <w:rPr>
          <w:color w:val="auto"/>
          <w:lang w:val="fr-FR"/>
        </w:rPr>
        <w:t xml:space="preserve"> </w:t>
      </w:r>
    </w:p>
    <w:p w14:paraId="453A1585" w14:textId="4080A066" w:rsidR="00241116" w:rsidRPr="006F4D4F" w:rsidRDefault="00D25886" w:rsidP="00A20EA9">
      <w:pPr>
        <w:numPr>
          <w:ilvl w:val="0"/>
          <w:numId w:val="23"/>
        </w:numPr>
        <w:spacing w:after="120" w:line="288" w:lineRule="auto"/>
        <w:ind w:left="714" w:hanging="357"/>
        <w:jc w:val="both"/>
        <w:rPr>
          <w:color w:val="auto"/>
          <w:lang w:val="fr-FR"/>
        </w:rPr>
      </w:pPr>
      <w:r>
        <w:rPr>
          <w:color w:val="auto"/>
          <w:lang w:val="fr-FR"/>
        </w:rPr>
        <w:t>assurer</w:t>
      </w:r>
      <w:r w:rsidR="00B958B8">
        <w:rPr>
          <w:color w:val="auto"/>
          <w:lang w:val="fr-FR"/>
        </w:rPr>
        <w:t>ont</w:t>
      </w:r>
      <w:r>
        <w:rPr>
          <w:color w:val="auto"/>
          <w:lang w:val="fr-FR"/>
        </w:rPr>
        <w:t xml:space="preserve"> le lien administratif et financier avec les agences bilatérales correspondantes ;</w:t>
      </w:r>
    </w:p>
    <w:p w14:paraId="60586841" w14:textId="0E738054" w:rsidR="00241116" w:rsidRPr="006F4D4F" w:rsidRDefault="00D25886" w:rsidP="00A20EA9">
      <w:pPr>
        <w:numPr>
          <w:ilvl w:val="0"/>
          <w:numId w:val="23"/>
        </w:numPr>
        <w:spacing w:after="120" w:line="288" w:lineRule="auto"/>
        <w:ind w:left="714" w:hanging="357"/>
        <w:jc w:val="both"/>
        <w:rPr>
          <w:color w:val="auto"/>
          <w:lang w:val="fr-FR"/>
        </w:rPr>
      </w:pPr>
      <w:r>
        <w:rPr>
          <w:color w:val="auto"/>
          <w:lang w:val="fr-FR"/>
        </w:rPr>
        <w:t>participer</w:t>
      </w:r>
      <w:r w:rsidR="00B958B8">
        <w:rPr>
          <w:color w:val="auto"/>
          <w:lang w:val="fr-FR"/>
        </w:rPr>
        <w:t>ont</w:t>
      </w:r>
      <w:r>
        <w:rPr>
          <w:color w:val="auto"/>
          <w:lang w:val="fr-FR"/>
        </w:rPr>
        <w:t xml:space="preserve"> </w:t>
      </w:r>
      <w:r w:rsidRPr="00D25886">
        <w:rPr>
          <w:color w:val="auto"/>
          <w:lang w:val="fr-FR"/>
        </w:rPr>
        <w:t>en tant que membre</w:t>
      </w:r>
      <w:r w:rsidR="00B958B8">
        <w:rPr>
          <w:color w:val="auto"/>
          <w:lang w:val="fr-FR"/>
        </w:rPr>
        <w:t>s</w:t>
      </w:r>
      <w:r>
        <w:rPr>
          <w:color w:val="auto"/>
          <w:lang w:val="fr-FR"/>
        </w:rPr>
        <w:t xml:space="preserve"> au Comité de suivi opérationnel (CSO) ;</w:t>
      </w:r>
    </w:p>
    <w:p w14:paraId="3AA476C1" w14:textId="4C72FB5C" w:rsidR="00241116" w:rsidRPr="006F4D4F" w:rsidRDefault="00D25886" w:rsidP="00A20EA9">
      <w:pPr>
        <w:numPr>
          <w:ilvl w:val="0"/>
          <w:numId w:val="23"/>
        </w:numPr>
        <w:spacing w:after="120" w:line="288" w:lineRule="auto"/>
        <w:ind w:left="714" w:hanging="357"/>
        <w:jc w:val="both"/>
        <w:rPr>
          <w:color w:val="auto"/>
          <w:lang w:val="fr-FR"/>
        </w:rPr>
      </w:pPr>
      <w:r>
        <w:rPr>
          <w:color w:val="auto"/>
          <w:lang w:val="fr-FR"/>
        </w:rPr>
        <w:t>mobiliser</w:t>
      </w:r>
      <w:r w:rsidR="00B958B8">
        <w:rPr>
          <w:color w:val="auto"/>
          <w:lang w:val="fr-FR"/>
        </w:rPr>
        <w:t>ont</w:t>
      </w:r>
      <w:r>
        <w:rPr>
          <w:color w:val="auto"/>
          <w:lang w:val="fr-FR"/>
        </w:rPr>
        <w:t xml:space="preserve"> les compétences au sein de </w:t>
      </w:r>
      <w:r w:rsidR="00B958B8">
        <w:rPr>
          <w:color w:val="auto"/>
          <w:lang w:val="fr-FR"/>
        </w:rPr>
        <w:t xml:space="preserve">leur </w:t>
      </w:r>
      <w:r>
        <w:rPr>
          <w:color w:val="auto"/>
          <w:lang w:val="fr-FR"/>
        </w:rPr>
        <w:t>propre agence bilatérale et ser</w:t>
      </w:r>
      <w:r w:rsidR="00B958B8">
        <w:rPr>
          <w:color w:val="auto"/>
          <w:lang w:val="fr-FR"/>
        </w:rPr>
        <w:t>ont</w:t>
      </w:r>
      <w:r>
        <w:rPr>
          <w:color w:val="auto"/>
          <w:lang w:val="fr-FR"/>
        </w:rPr>
        <w:t xml:space="preserve"> responsable</w:t>
      </w:r>
      <w:r w:rsidR="00B958B8">
        <w:rPr>
          <w:color w:val="auto"/>
          <w:lang w:val="fr-FR"/>
        </w:rPr>
        <w:t>s</w:t>
      </w:r>
      <w:r>
        <w:rPr>
          <w:color w:val="auto"/>
          <w:lang w:val="fr-FR"/>
        </w:rPr>
        <w:t xml:space="preserve"> de l’exécution des tâches et des </w:t>
      </w:r>
      <w:r w:rsidR="00B958B8">
        <w:rPr>
          <w:color w:val="auto"/>
          <w:lang w:val="fr-FR"/>
        </w:rPr>
        <w:t>résultats</w:t>
      </w:r>
      <w:r>
        <w:rPr>
          <w:color w:val="auto"/>
          <w:lang w:val="fr-FR"/>
        </w:rPr>
        <w:t xml:space="preserve"> de l’agence ;</w:t>
      </w:r>
    </w:p>
    <w:p w14:paraId="526CAE97" w14:textId="1B4561AD" w:rsidR="00241116" w:rsidRPr="006F4D4F" w:rsidRDefault="00D25886" w:rsidP="00A20EA9">
      <w:pPr>
        <w:numPr>
          <w:ilvl w:val="0"/>
          <w:numId w:val="23"/>
        </w:numPr>
        <w:spacing w:after="120" w:line="288" w:lineRule="auto"/>
        <w:ind w:left="714" w:hanging="357"/>
        <w:jc w:val="both"/>
        <w:rPr>
          <w:color w:val="auto"/>
          <w:lang w:val="fr-FR"/>
        </w:rPr>
      </w:pPr>
      <w:r>
        <w:rPr>
          <w:color w:val="auto"/>
          <w:lang w:val="fr-FR"/>
        </w:rPr>
        <w:t>coordonner</w:t>
      </w:r>
      <w:r w:rsidR="00B958B8">
        <w:rPr>
          <w:color w:val="auto"/>
          <w:lang w:val="fr-FR"/>
        </w:rPr>
        <w:t>ont</w:t>
      </w:r>
      <w:r>
        <w:rPr>
          <w:color w:val="auto"/>
          <w:lang w:val="fr-FR"/>
        </w:rPr>
        <w:t xml:space="preserve"> la gestion de la réserve / prospection dans les pays partenaires de l’agence ;</w:t>
      </w:r>
    </w:p>
    <w:p w14:paraId="2E72C6F3" w14:textId="58BE44AE" w:rsidR="00241116" w:rsidRPr="006F4D4F" w:rsidRDefault="00D25886" w:rsidP="00A20EA9">
      <w:pPr>
        <w:numPr>
          <w:ilvl w:val="0"/>
          <w:numId w:val="23"/>
        </w:numPr>
        <w:spacing w:after="120" w:line="288" w:lineRule="auto"/>
        <w:ind w:left="714" w:hanging="357"/>
        <w:jc w:val="both"/>
        <w:rPr>
          <w:color w:val="auto"/>
          <w:lang w:val="fr-FR"/>
        </w:rPr>
      </w:pPr>
      <w:r>
        <w:rPr>
          <w:color w:val="auto"/>
          <w:lang w:val="fr-FR"/>
        </w:rPr>
        <w:t>appuier</w:t>
      </w:r>
      <w:r w:rsidR="00B958B8">
        <w:rPr>
          <w:color w:val="auto"/>
          <w:lang w:val="fr-FR"/>
        </w:rPr>
        <w:t>ont</w:t>
      </w:r>
      <w:r>
        <w:rPr>
          <w:color w:val="auto"/>
          <w:lang w:val="fr-FR"/>
        </w:rPr>
        <w:t xml:space="preserve"> ou piloter</w:t>
      </w:r>
      <w:r w:rsidR="00B958B8">
        <w:rPr>
          <w:color w:val="auto"/>
          <w:lang w:val="fr-FR"/>
        </w:rPr>
        <w:t>ont</w:t>
      </w:r>
      <w:r>
        <w:rPr>
          <w:color w:val="auto"/>
          <w:lang w:val="fr-FR"/>
        </w:rPr>
        <w:t xml:space="preserve"> la coordination des activités et du dialogue (dans le pays) ;</w:t>
      </w:r>
    </w:p>
    <w:p w14:paraId="044727EE" w14:textId="7F86A65B" w:rsidR="00241116" w:rsidRPr="006F4D4F" w:rsidRDefault="00D25886" w:rsidP="00A20EA9">
      <w:pPr>
        <w:numPr>
          <w:ilvl w:val="0"/>
          <w:numId w:val="23"/>
        </w:numPr>
        <w:spacing w:after="120" w:line="288" w:lineRule="auto"/>
        <w:ind w:left="714" w:hanging="357"/>
        <w:jc w:val="both"/>
        <w:rPr>
          <w:color w:val="auto"/>
          <w:lang w:val="fr-FR"/>
        </w:rPr>
      </w:pPr>
      <w:r>
        <w:rPr>
          <w:color w:val="auto"/>
          <w:lang w:val="fr-FR"/>
        </w:rPr>
        <w:t>assurer</w:t>
      </w:r>
      <w:r w:rsidR="00B958B8">
        <w:rPr>
          <w:color w:val="auto"/>
          <w:lang w:val="fr-FR"/>
        </w:rPr>
        <w:t>ont</w:t>
      </w:r>
      <w:r>
        <w:rPr>
          <w:color w:val="auto"/>
          <w:lang w:val="fr-FR"/>
        </w:rPr>
        <w:t xml:space="preserve"> le suivi-évaluation et le compte rendu des activités de </w:t>
      </w:r>
      <w:r w:rsidR="00B958B8">
        <w:rPr>
          <w:color w:val="auto"/>
          <w:lang w:val="fr-FR"/>
        </w:rPr>
        <w:t xml:space="preserve">leur </w:t>
      </w:r>
      <w:r>
        <w:rPr>
          <w:color w:val="auto"/>
          <w:lang w:val="fr-FR"/>
        </w:rPr>
        <w:t>agence ;</w:t>
      </w:r>
    </w:p>
    <w:p w14:paraId="38D38C29" w14:textId="25C45CDC" w:rsidR="00241116" w:rsidRPr="006F4D4F" w:rsidRDefault="00D25886" w:rsidP="00A20EA9">
      <w:pPr>
        <w:numPr>
          <w:ilvl w:val="0"/>
          <w:numId w:val="23"/>
        </w:numPr>
        <w:spacing w:after="120" w:line="288" w:lineRule="auto"/>
        <w:ind w:left="714" w:hanging="357"/>
        <w:jc w:val="both"/>
        <w:rPr>
          <w:color w:val="auto"/>
          <w:lang w:val="fr-FR"/>
        </w:rPr>
      </w:pPr>
      <w:r>
        <w:rPr>
          <w:color w:val="auto"/>
          <w:lang w:val="fr-FR"/>
        </w:rPr>
        <w:t>appuier</w:t>
      </w:r>
      <w:r w:rsidR="00B958B8">
        <w:rPr>
          <w:color w:val="auto"/>
          <w:lang w:val="fr-FR"/>
        </w:rPr>
        <w:t>ont</w:t>
      </w:r>
      <w:r>
        <w:rPr>
          <w:color w:val="auto"/>
          <w:lang w:val="fr-FR"/>
        </w:rPr>
        <w:t xml:space="preserve"> les activités de recensement / développement de projet (dans le pays) ;</w:t>
      </w:r>
    </w:p>
    <w:p w14:paraId="26B4CB4D" w14:textId="33DDC158" w:rsidR="00241116" w:rsidRPr="006F4D4F" w:rsidRDefault="00D25886" w:rsidP="00A20EA9">
      <w:pPr>
        <w:numPr>
          <w:ilvl w:val="0"/>
          <w:numId w:val="23"/>
        </w:numPr>
        <w:spacing w:after="120" w:line="288" w:lineRule="auto"/>
        <w:ind w:left="714" w:hanging="357"/>
        <w:jc w:val="both"/>
        <w:rPr>
          <w:color w:val="auto"/>
          <w:lang w:val="fr-FR"/>
        </w:rPr>
      </w:pPr>
      <w:r>
        <w:rPr>
          <w:color w:val="auto"/>
          <w:lang w:val="fr-FR"/>
        </w:rPr>
        <w:t>coordonner</w:t>
      </w:r>
      <w:r w:rsidR="00B958B8">
        <w:rPr>
          <w:color w:val="auto"/>
          <w:lang w:val="fr-FR"/>
        </w:rPr>
        <w:t>ont</w:t>
      </w:r>
      <w:r>
        <w:rPr>
          <w:color w:val="auto"/>
          <w:lang w:val="fr-FR"/>
        </w:rPr>
        <w:t xml:space="preserve"> </w:t>
      </w:r>
      <w:r w:rsidR="006A4779">
        <w:rPr>
          <w:color w:val="auto"/>
          <w:lang w:val="fr-FR"/>
        </w:rPr>
        <w:t>l</w:t>
      </w:r>
      <w:r>
        <w:rPr>
          <w:color w:val="auto"/>
          <w:lang w:val="fr-FR"/>
        </w:rPr>
        <w:t xml:space="preserve">es apprentissages et </w:t>
      </w:r>
      <w:r w:rsidR="006A4779">
        <w:rPr>
          <w:color w:val="auto"/>
          <w:lang w:val="fr-FR"/>
        </w:rPr>
        <w:t xml:space="preserve">la gestion </w:t>
      </w:r>
      <w:r>
        <w:rPr>
          <w:color w:val="auto"/>
          <w:lang w:val="fr-FR"/>
        </w:rPr>
        <w:t>des connaissances au niveau de l’agence d’exécution.</w:t>
      </w:r>
      <w:r w:rsidR="00241116" w:rsidRPr="006F4D4F">
        <w:rPr>
          <w:color w:val="auto"/>
          <w:lang w:val="fr-FR"/>
        </w:rPr>
        <w:t xml:space="preserve"> </w:t>
      </w:r>
    </w:p>
    <w:p w14:paraId="0C525138" w14:textId="0080108D" w:rsidR="00241116" w:rsidRPr="006F4D4F" w:rsidRDefault="00A20EA9" w:rsidP="00CA0428">
      <w:pPr>
        <w:widowControl w:val="0"/>
        <w:suppressAutoHyphens/>
        <w:spacing w:after="120" w:line="288" w:lineRule="auto"/>
        <w:jc w:val="both"/>
        <w:rPr>
          <w:color w:val="auto"/>
          <w:kern w:val="18"/>
          <w:lang w:val="fr-FR"/>
        </w:rPr>
      </w:pPr>
      <w:r>
        <w:rPr>
          <w:color w:val="auto"/>
          <w:kern w:val="18"/>
          <w:lang w:val="fr-FR"/>
        </w:rPr>
        <w:t xml:space="preserve">Chacune des agences d’exécution nommera un </w:t>
      </w:r>
      <w:r>
        <w:rPr>
          <w:b/>
          <w:bCs/>
          <w:color w:val="auto"/>
          <w:kern w:val="18"/>
          <w:lang w:val="fr-FR"/>
        </w:rPr>
        <w:t xml:space="preserve">chargé de liaison </w:t>
      </w:r>
      <w:r>
        <w:rPr>
          <w:color w:val="auto"/>
          <w:kern w:val="18"/>
          <w:lang w:val="fr-FR"/>
        </w:rPr>
        <w:t xml:space="preserve">à temps partiel </w:t>
      </w:r>
      <w:r w:rsidR="00241116" w:rsidRPr="006F4D4F">
        <w:rPr>
          <w:color w:val="auto"/>
          <w:kern w:val="18"/>
          <w:lang w:val="fr-FR"/>
        </w:rPr>
        <w:t>(50</w:t>
      </w:r>
      <w:r>
        <w:rPr>
          <w:color w:val="auto"/>
          <w:kern w:val="18"/>
          <w:lang w:val="fr-FR"/>
        </w:rPr>
        <w:t> </w:t>
      </w:r>
      <w:r w:rsidR="00241116" w:rsidRPr="006F4D4F">
        <w:rPr>
          <w:color w:val="auto"/>
          <w:kern w:val="18"/>
          <w:lang w:val="fr-FR"/>
        </w:rPr>
        <w:t>%</w:t>
      </w:r>
      <w:r w:rsidR="00241116" w:rsidRPr="006F4D4F">
        <w:rPr>
          <w:rStyle w:val="Appelnotedebasdep"/>
          <w:color w:val="auto"/>
          <w:kern w:val="18"/>
          <w:lang w:val="fr-FR"/>
        </w:rPr>
        <w:footnoteReference w:id="7"/>
      </w:r>
      <w:r w:rsidR="00241116" w:rsidRPr="006F4D4F">
        <w:rPr>
          <w:color w:val="auto"/>
          <w:kern w:val="18"/>
          <w:lang w:val="fr-FR"/>
        </w:rPr>
        <w:t xml:space="preserve">) </w:t>
      </w:r>
      <w:r>
        <w:rPr>
          <w:color w:val="auto"/>
          <w:kern w:val="18"/>
          <w:lang w:val="fr-FR"/>
        </w:rPr>
        <w:t xml:space="preserve">pour faire le lien entre le Centre et les différentes agences. Le personnel de liaison sera basé au siège ou </w:t>
      </w:r>
      <w:r w:rsidR="00323143">
        <w:rPr>
          <w:color w:val="auto"/>
          <w:kern w:val="18"/>
          <w:lang w:val="fr-FR"/>
        </w:rPr>
        <w:t xml:space="preserve">au bureau extérieur des agences bilatérales respectives. </w:t>
      </w:r>
    </w:p>
    <w:p w14:paraId="60EBE101" w14:textId="194C8BB2" w:rsidR="00241116" w:rsidRPr="006F4D4F" w:rsidRDefault="006A4779" w:rsidP="00CA0428">
      <w:pPr>
        <w:spacing w:before="240" w:after="120"/>
        <w:jc w:val="both"/>
        <w:rPr>
          <w:b/>
          <w:color w:val="auto"/>
          <w:kern w:val="18"/>
          <w:lang w:val="fr-FR"/>
        </w:rPr>
      </w:pPr>
      <w:r>
        <w:rPr>
          <w:b/>
          <w:color w:val="auto"/>
          <w:lang w:val="fr-FR"/>
        </w:rPr>
        <w:t>Services de liaison et de coordination dans les pays</w:t>
      </w:r>
    </w:p>
    <w:p w14:paraId="0EEE4429" w14:textId="29013E24" w:rsidR="00241116" w:rsidRPr="006F4D4F" w:rsidRDefault="00323143" w:rsidP="00B61966">
      <w:pPr>
        <w:spacing w:after="120" w:line="288" w:lineRule="auto"/>
        <w:jc w:val="both"/>
        <w:rPr>
          <w:color w:val="auto"/>
          <w:lang w:val="fr-FR"/>
        </w:rPr>
      </w:pPr>
      <w:r>
        <w:rPr>
          <w:color w:val="auto"/>
          <w:lang w:val="fr-FR"/>
        </w:rPr>
        <w:t xml:space="preserve">L’action de la </w:t>
      </w:r>
      <w:r w:rsidR="00241116" w:rsidRPr="006F4D4F">
        <w:rPr>
          <w:color w:val="auto"/>
          <w:lang w:val="fr-FR"/>
        </w:rPr>
        <w:t xml:space="preserve">VET Toolbox 2 </w:t>
      </w:r>
      <w:r>
        <w:rPr>
          <w:color w:val="auto"/>
          <w:lang w:val="fr-FR"/>
        </w:rPr>
        <w:t>représente un transfert d’activités aux pays partenaires dans lesquels les interventions seront mises en œuvre. Une présence dans le pays et une coordination renforcées sont dès lors indispensables, et ce pour les 3 domaines d’intervention.</w:t>
      </w:r>
      <w:r w:rsidR="000A20C5">
        <w:rPr>
          <w:color w:val="auto"/>
          <w:lang w:val="fr-FR"/>
        </w:rPr>
        <w:t xml:space="preserve"> </w:t>
      </w:r>
      <w:r w:rsidR="006A4779">
        <w:rPr>
          <w:color w:val="auto"/>
          <w:lang w:val="fr-FR"/>
        </w:rPr>
        <w:t>U</w:t>
      </w:r>
      <w:r>
        <w:rPr>
          <w:color w:val="auto"/>
          <w:lang w:val="fr-FR"/>
        </w:rPr>
        <w:t xml:space="preserve">n budget pour ces services de liaison dans les pays partenaires a </w:t>
      </w:r>
      <w:r w:rsidR="006A4779">
        <w:rPr>
          <w:color w:val="auto"/>
          <w:lang w:val="fr-FR"/>
        </w:rPr>
        <w:t xml:space="preserve">dès lors </w:t>
      </w:r>
      <w:r>
        <w:rPr>
          <w:color w:val="auto"/>
          <w:lang w:val="fr-FR"/>
        </w:rPr>
        <w:t>été prévu dans le cadre de la VET Toolbox 2, et sera partagé de manière proportionnelle parmi les agences en fonction du nombre respectif d’interventions que chacune mettra en œuvre. Les agences décideront elles-mêmes de la façon d’utiliser au mieux ce budget en accord avec leur propre structure organisationnelle.</w:t>
      </w:r>
      <w:r w:rsidR="00241116" w:rsidRPr="006F4D4F">
        <w:rPr>
          <w:color w:val="auto"/>
          <w:lang w:val="fr-FR"/>
        </w:rPr>
        <w:t xml:space="preserve"> </w:t>
      </w:r>
    </w:p>
    <w:p w14:paraId="1EBAF446" w14:textId="21DAD0E8" w:rsidR="00241116" w:rsidRPr="006F4D4F" w:rsidRDefault="00826693" w:rsidP="00D17A31">
      <w:pPr>
        <w:pStyle w:val="Titre3"/>
      </w:pPr>
      <w:bookmarkStart w:id="393" w:name="_Toc44423203"/>
      <w:bookmarkStart w:id="394" w:name="_Toc44423719"/>
      <w:bookmarkStart w:id="395" w:name="_Toc54336690"/>
      <w:r w:rsidRPr="006F4D4F">
        <w:t xml:space="preserve">3.2.3 </w:t>
      </w:r>
      <w:r w:rsidR="00181154">
        <w:t>Réseau d’échange de connaissances</w:t>
      </w:r>
      <w:r w:rsidR="00241116" w:rsidRPr="006F4D4F">
        <w:t xml:space="preserve"> (KEN)</w:t>
      </w:r>
      <w:bookmarkEnd w:id="393"/>
      <w:bookmarkEnd w:id="394"/>
      <w:bookmarkEnd w:id="395"/>
    </w:p>
    <w:p w14:paraId="5F0FEB6E" w14:textId="51B8A912" w:rsidR="00241116" w:rsidRPr="006F4D4F" w:rsidRDefault="00181154" w:rsidP="00181154">
      <w:pPr>
        <w:spacing w:after="120" w:line="288" w:lineRule="auto"/>
        <w:jc w:val="both"/>
        <w:rPr>
          <w:color w:val="auto"/>
          <w:lang w:val="fr-FR"/>
        </w:rPr>
      </w:pPr>
      <w:r>
        <w:rPr>
          <w:color w:val="auto"/>
          <w:lang w:val="fr-FR"/>
        </w:rPr>
        <w:t xml:space="preserve">Le réseau d’échange de connaissances de la </w:t>
      </w:r>
      <w:r w:rsidR="00241116" w:rsidRPr="006F4D4F">
        <w:rPr>
          <w:color w:val="auto"/>
          <w:lang w:val="fr-FR"/>
        </w:rPr>
        <w:t xml:space="preserve">VET Toolbox 1 </w:t>
      </w:r>
      <w:r>
        <w:rPr>
          <w:color w:val="auto"/>
          <w:lang w:val="fr-FR"/>
        </w:rPr>
        <w:t xml:space="preserve">sera étendu pour inclure de nouveaux partenaires et de nouveaux thèmes présentant un intérêt pour la </w:t>
      </w:r>
      <w:r w:rsidR="00241116" w:rsidRPr="006F4D4F">
        <w:rPr>
          <w:color w:val="auto"/>
          <w:lang w:val="fr-FR"/>
        </w:rPr>
        <w:t>VET Toolbox 2 (</w:t>
      </w:r>
      <w:r w:rsidR="006A4779">
        <w:rPr>
          <w:color w:val="auto"/>
          <w:lang w:val="fr-FR"/>
        </w:rPr>
        <w:t>EFP</w:t>
      </w:r>
      <w:r w:rsidR="00241116" w:rsidRPr="006F4D4F">
        <w:rPr>
          <w:color w:val="auto"/>
          <w:lang w:val="fr-FR"/>
        </w:rPr>
        <w:t xml:space="preserve"> </w:t>
      </w:r>
      <w:r>
        <w:rPr>
          <w:color w:val="auto"/>
          <w:lang w:val="fr-FR"/>
        </w:rPr>
        <w:t xml:space="preserve">pour PIE, </w:t>
      </w:r>
      <w:r w:rsidR="006A4779">
        <w:rPr>
          <w:color w:val="auto"/>
          <w:lang w:val="fr-FR"/>
        </w:rPr>
        <w:t xml:space="preserve">EFP </w:t>
      </w:r>
      <w:r>
        <w:rPr>
          <w:color w:val="auto"/>
          <w:lang w:val="fr-FR"/>
        </w:rPr>
        <w:t xml:space="preserve">et DSP, etc.). Le réseau viendra compléter les efforts </w:t>
      </w:r>
      <w:r w:rsidR="006A4779">
        <w:rPr>
          <w:color w:val="auto"/>
          <w:lang w:val="fr-FR"/>
        </w:rPr>
        <w:t xml:space="preserve">menés </w:t>
      </w:r>
      <w:r>
        <w:rPr>
          <w:color w:val="auto"/>
          <w:lang w:val="fr-FR"/>
        </w:rPr>
        <w:t>au niveau des pays dans le domaine d’intervention 3.</w:t>
      </w:r>
    </w:p>
    <w:p w14:paraId="5FB8F63C" w14:textId="77777777" w:rsidR="00C752C0" w:rsidRPr="006F4D4F" w:rsidRDefault="00C752C0" w:rsidP="00C752C0">
      <w:pPr>
        <w:pStyle w:val="Titre1"/>
        <w:spacing w:before="600"/>
        <w:sectPr w:rsidR="00C752C0" w:rsidRPr="006F4D4F" w:rsidSect="00F14740">
          <w:pgSz w:w="11907" w:h="16839" w:code="9"/>
          <w:pgMar w:top="1418" w:right="1871" w:bottom="1531" w:left="1531" w:header="720" w:footer="907" w:gutter="0"/>
          <w:cols w:space="720"/>
          <w:docGrid w:linePitch="272"/>
        </w:sectPr>
      </w:pPr>
      <w:bookmarkStart w:id="396" w:name="_Toc44423204"/>
      <w:bookmarkEnd w:id="391"/>
      <w:bookmarkEnd w:id="392"/>
    </w:p>
    <w:p w14:paraId="36268390" w14:textId="08AB38D7" w:rsidR="00BA79BA" w:rsidRPr="006F4D4F" w:rsidRDefault="008F6D18" w:rsidP="00C752C0">
      <w:pPr>
        <w:pStyle w:val="Titre1"/>
        <w:spacing w:before="600"/>
      </w:pPr>
      <w:bookmarkStart w:id="397" w:name="_Toc54336691"/>
      <w:r w:rsidRPr="006F4D4F">
        <w:t xml:space="preserve">4. </w:t>
      </w:r>
      <w:bookmarkEnd w:id="396"/>
      <w:r w:rsidR="00181154">
        <w:t>Modèle opérationnel</w:t>
      </w:r>
      <w:bookmarkEnd w:id="397"/>
    </w:p>
    <w:p w14:paraId="5B7C70EA" w14:textId="595A4BE7" w:rsidR="00EF2916" w:rsidRPr="006F4D4F" w:rsidRDefault="00826693" w:rsidP="00D17A31">
      <w:pPr>
        <w:pStyle w:val="Titre2"/>
        <w:rPr>
          <w:lang w:val="fr-FR"/>
        </w:rPr>
      </w:pPr>
      <w:bookmarkStart w:id="398" w:name="_Toc44423205"/>
      <w:bookmarkStart w:id="399" w:name="_Toc44423720"/>
      <w:bookmarkStart w:id="400" w:name="_Toc54336692"/>
      <w:r w:rsidRPr="006F4D4F">
        <w:rPr>
          <w:lang w:val="fr-FR"/>
        </w:rPr>
        <w:t xml:space="preserve">4.1 </w:t>
      </w:r>
      <w:bookmarkEnd w:id="398"/>
      <w:bookmarkEnd w:id="399"/>
      <w:r w:rsidR="00181154">
        <w:rPr>
          <w:lang w:val="fr-FR"/>
        </w:rPr>
        <w:t>Gestion conjointe</w:t>
      </w:r>
      <w:bookmarkEnd w:id="400"/>
    </w:p>
    <w:p w14:paraId="2B3E4D99" w14:textId="3B104C1D" w:rsidR="00FC1348" w:rsidRPr="006F4D4F" w:rsidRDefault="00181154" w:rsidP="00FC1348">
      <w:pPr>
        <w:spacing w:after="120" w:line="288" w:lineRule="auto"/>
        <w:jc w:val="both"/>
        <w:rPr>
          <w:rFonts w:cs="Times New Roman"/>
          <w:color w:val="auto"/>
          <w:kern w:val="18"/>
          <w:lang w:val="fr-FR"/>
        </w:rPr>
      </w:pPr>
      <w:r>
        <w:rPr>
          <w:rFonts w:cs="Times New Roman"/>
          <w:color w:val="auto"/>
          <w:kern w:val="18"/>
          <w:lang w:val="fr-FR"/>
        </w:rPr>
        <w:t xml:space="preserve">La gestion du projet est assurée conjointement par </w:t>
      </w:r>
      <w:r w:rsidR="4E25A98E" w:rsidRPr="006F4D4F">
        <w:rPr>
          <w:rFonts w:cs="Times New Roman"/>
          <w:color w:val="auto"/>
          <w:kern w:val="18"/>
          <w:lang w:val="fr-FR"/>
        </w:rPr>
        <w:t>Enabel</w:t>
      </w:r>
      <w:r w:rsidR="00B53E36" w:rsidRPr="006F4D4F">
        <w:rPr>
          <w:rFonts w:cs="Times New Roman"/>
          <w:color w:val="auto"/>
          <w:kern w:val="18"/>
          <w:lang w:val="fr-FR"/>
        </w:rPr>
        <w:t>, GIZ, Lux</w:t>
      </w:r>
      <w:r w:rsidR="00147FAD" w:rsidRPr="006F4D4F">
        <w:rPr>
          <w:rFonts w:cs="Times New Roman"/>
          <w:color w:val="auto"/>
          <w:kern w:val="18"/>
          <w:lang w:val="fr-FR"/>
        </w:rPr>
        <w:t>D</w:t>
      </w:r>
      <w:r w:rsidR="00B53E36" w:rsidRPr="006F4D4F">
        <w:rPr>
          <w:rFonts w:cs="Times New Roman"/>
          <w:color w:val="auto"/>
          <w:kern w:val="18"/>
          <w:lang w:val="fr-FR"/>
        </w:rPr>
        <w:t>ev</w:t>
      </w:r>
      <w:r w:rsidR="00FC1348" w:rsidRPr="006F4D4F">
        <w:rPr>
          <w:rFonts w:cs="Times New Roman"/>
          <w:color w:val="auto"/>
          <w:kern w:val="18"/>
          <w:lang w:val="fr-FR"/>
        </w:rPr>
        <w:t xml:space="preserve">, </w:t>
      </w:r>
      <w:r>
        <w:rPr>
          <w:rFonts w:cs="Times New Roman"/>
          <w:color w:val="auto"/>
          <w:kern w:val="18"/>
          <w:lang w:val="fr-FR"/>
        </w:rPr>
        <w:t xml:space="preserve">le </w:t>
      </w:r>
      <w:r w:rsidR="00B53E36" w:rsidRPr="006F4D4F">
        <w:rPr>
          <w:rFonts w:cs="Times New Roman"/>
          <w:color w:val="auto"/>
          <w:kern w:val="18"/>
          <w:lang w:val="fr-FR"/>
        </w:rPr>
        <w:t xml:space="preserve">British </w:t>
      </w:r>
      <w:r w:rsidR="00BB1673" w:rsidRPr="006F4D4F">
        <w:rPr>
          <w:rFonts w:cs="Times New Roman"/>
          <w:color w:val="auto"/>
          <w:kern w:val="18"/>
          <w:lang w:val="fr-FR"/>
        </w:rPr>
        <w:t>C</w:t>
      </w:r>
      <w:r w:rsidR="00B53E36" w:rsidRPr="006F4D4F">
        <w:rPr>
          <w:rFonts w:cs="Times New Roman"/>
          <w:color w:val="auto"/>
          <w:kern w:val="18"/>
          <w:lang w:val="fr-FR"/>
        </w:rPr>
        <w:t>ouncil</w:t>
      </w:r>
      <w:r w:rsidR="00FC1348" w:rsidRPr="006F4D4F">
        <w:rPr>
          <w:rFonts w:cs="Times New Roman"/>
          <w:color w:val="auto"/>
          <w:kern w:val="18"/>
          <w:lang w:val="fr-FR"/>
        </w:rPr>
        <w:t xml:space="preserve"> </w:t>
      </w:r>
      <w:r>
        <w:rPr>
          <w:rFonts w:cs="Times New Roman"/>
          <w:color w:val="auto"/>
          <w:kern w:val="18"/>
          <w:lang w:val="fr-FR"/>
        </w:rPr>
        <w:t xml:space="preserve">et </w:t>
      </w:r>
      <w:r w:rsidR="00FC1348" w:rsidRPr="006F4D4F">
        <w:rPr>
          <w:rFonts w:cs="Times New Roman"/>
          <w:color w:val="auto"/>
          <w:kern w:val="18"/>
          <w:lang w:val="fr-FR"/>
        </w:rPr>
        <w:t xml:space="preserve">Expertise </w:t>
      </w:r>
      <w:r w:rsidR="006A4779">
        <w:rPr>
          <w:rFonts w:cs="Times New Roman"/>
          <w:color w:val="auto"/>
          <w:kern w:val="18"/>
          <w:lang w:val="fr-FR"/>
        </w:rPr>
        <w:t>France,</w:t>
      </w:r>
      <w:r w:rsidR="00FC1348" w:rsidRPr="006F4D4F">
        <w:rPr>
          <w:rFonts w:cs="Times New Roman"/>
          <w:color w:val="auto"/>
          <w:kern w:val="18"/>
          <w:lang w:val="fr-FR"/>
        </w:rPr>
        <w:t xml:space="preserve"> </w:t>
      </w:r>
      <w:r>
        <w:rPr>
          <w:rFonts w:cs="Times New Roman"/>
          <w:color w:val="auto"/>
          <w:kern w:val="18"/>
          <w:lang w:val="fr-FR"/>
        </w:rPr>
        <w:t xml:space="preserve">conformément à la modalité de gestion indirecte. Les projets des </w:t>
      </w:r>
      <w:bookmarkStart w:id="401" w:name="_Toc20239580"/>
      <w:bookmarkStart w:id="402" w:name="_Toc20239671"/>
      <w:bookmarkStart w:id="403" w:name="_Toc443640928"/>
      <w:r w:rsidR="00FC1348" w:rsidRPr="006F4D4F">
        <w:rPr>
          <w:rFonts w:cs="Times New Roman"/>
          <w:color w:val="auto"/>
          <w:kern w:val="18"/>
          <w:lang w:val="fr-FR"/>
        </w:rPr>
        <w:t xml:space="preserve">VET Toolbox 1 </w:t>
      </w:r>
      <w:r>
        <w:rPr>
          <w:rFonts w:cs="Times New Roman"/>
          <w:color w:val="auto"/>
          <w:kern w:val="18"/>
          <w:lang w:val="fr-FR"/>
        </w:rPr>
        <w:t xml:space="preserve">et </w:t>
      </w:r>
      <w:r w:rsidR="00FC1348" w:rsidRPr="006F4D4F">
        <w:rPr>
          <w:rFonts w:cs="Times New Roman"/>
          <w:color w:val="auto"/>
          <w:kern w:val="18"/>
          <w:lang w:val="fr-FR"/>
        </w:rPr>
        <w:t xml:space="preserve">2 </w:t>
      </w:r>
      <w:r>
        <w:rPr>
          <w:rFonts w:cs="Times New Roman"/>
          <w:color w:val="auto"/>
          <w:kern w:val="18"/>
          <w:lang w:val="fr-FR"/>
        </w:rPr>
        <w:t>fonctionneront comme un seul projet, même s’ils ont des objectifs spécifiques distincts et sont régis par des contrats différents.</w:t>
      </w:r>
    </w:p>
    <w:p w14:paraId="1A8BAB9C" w14:textId="090A8ECA" w:rsidR="00FC1348" w:rsidRPr="006F4D4F" w:rsidRDefault="00181154" w:rsidP="00DD0D0B">
      <w:pPr>
        <w:spacing w:after="120" w:line="288" w:lineRule="auto"/>
        <w:jc w:val="both"/>
        <w:rPr>
          <w:rFonts w:cs="Times New Roman"/>
          <w:color w:val="auto"/>
          <w:kern w:val="18"/>
          <w:lang w:val="fr-FR"/>
        </w:rPr>
      </w:pPr>
      <w:r>
        <w:rPr>
          <w:rFonts w:cs="Times New Roman"/>
          <w:color w:val="auto"/>
          <w:kern w:val="18"/>
          <w:lang w:val="fr-FR"/>
        </w:rPr>
        <w:t>Les agences d’exécution sont les mêmes que pour la VET Toolbox actuelle, avec l’ajout d’</w:t>
      </w:r>
      <w:r w:rsidR="00FC1348" w:rsidRPr="006F4D4F">
        <w:rPr>
          <w:rFonts w:cs="Times New Roman"/>
          <w:color w:val="auto"/>
          <w:kern w:val="18"/>
          <w:lang w:val="fr-FR"/>
        </w:rPr>
        <w:t>Expertise France.</w:t>
      </w:r>
      <w:r>
        <w:rPr>
          <w:rFonts w:cs="Times New Roman"/>
          <w:color w:val="auto"/>
          <w:kern w:val="18"/>
          <w:lang w:val="fr-FR"/>
        </w:rPr>
        <w:t xml:space="preserve"> </w:t>
      </w:r>
      <w:r w:rsidR="001843C0">
        <w:rPr>
          <w:rFonts w:cs="Times New Roman"/>
          <w:color w:val="auto"/>
          <w:kern w:val="18"/>
          <w:lang w:val="fr-FR"/>
        </w:rPr>
        <w:t>Elles échangeront les services à rendre conformément à leurs compétences et capacités et ainsi se complèteront mutuellement et tireront parti des opportunités d’apprentissage.</w:t>
      </w:r>
    </w:p>
    <w:p w14:paraId="7B434FEB" w14:textId="3E844F0E" w:rsidR="00FC1348" w:rsidRPr="006F4D4F" w:rsidRDefault="001843C0" w:rsidP="00DD0D0B">
      <w:pPr>
        <w:spacing w:after="120" w:line="288" w:lineRule="auto"/>
        <w:jc w:val="both"/>
        <w:rPr>
          <w:rFonts w:cs="Times New Roman"/>
          <w:color w:val="auto"/>
          <w:kern w:val="18"/>
          <w:lang w:val="fr-FR"/>
        </w:rPr>
      </w:pPr>
      <w:r>
        <w:rPr>
          <w:rFonts w:cs="Times New Roman"/>
          <w:color w:val="auto"/>
          <w:kern w:val="18"/>
          <w:lang w:val="fr-FR"/>
        </w:rPr>
        <w:t xml:space="preserve">L’action sera mise en œuvre à </w:t>
      </w:r>
      <w:r w:rsidR="006A4779">
        <w:rPr>
          <w:rFonts w:cs="Times New Roman"/>
          <w:color w:val="auto"/>
          <w:kern w:val="18"/>
          <w:lang w:val="fr-FR"/>
        </w:rPr>
        <w:t>deux</w:t>
      </w:r>
      <w:r>
        <w:rPr>
          <w:rFonts w:cs="Times New Roman"/>
          <w:color w:val="auto"/>
          <w:kern w:val="18"/>
          <w:lang w:val="fr-FR"/>
        </w:rPr>
        <w:t xml:space="preserve"> niveaux : a) au niveau central (sièges, CE à Bruxelles) et b) au niveau des pays.</w:t>
      </w:r>
    </w:p>
    <w:p w14:paraId="605DD8D0" w14:textId="42AF2C03" w:rsidR="00FC1348" w:rsidRPr="006F4D4F" w:rsidRDefault="00FC1348" w:rsidP="00DD0D0B">
      <w:pPr>
        <w:numPr>
          <w:ilvl w:val="0"/>
          <w:numId w:val="20"/>
        </w:numPr>
        <w:spacing w:after="120" w:line="288" w:lineRule="auto"/>
        <w:jc w:val="both"/>
        <w:rPr>
          <w:rFonts w:cs="Times New Roman"/>
          <w:color w:val="auto"/>
          <w:kern w:val="18"/>
          <w:lang w:val="fr-FR"/>
        </w:rPr>
      </w:pPr>
      <w:r w:rsidRPr="006F4D4F">
        <w:rPr>
          <w:rFonts w:cs="Times New Roman"/>
          <w:color w:val="auto"/>
          <w:kern w:val="18"/>
          <w:lang w:val="fr-FR"/>
        </w:rPr>
        <w:t>A</w:t>
      </w:r>
      <w:r w:rsidR="001843C0">
        <w:rPr>
          <w:rFonts w:cs="Times New Roman"/>
          <w:color w:val="auto"/>
          <w:kern w:val="18"/>
          <w:lang w:val="fr-FR"/>
        </w:rPr>
        <w:t>u niveau central (sièges, CE à Bruxelles) pour i) la gestion de la réserve, le recueil de renseignements, ii) la coordination avec la Commission européenne (DEVCO, secrétariat du PIE, bureau pays), iii) la coordination avec les institutions financières internationales, iv) le traitement et l’évaluation des interventions, v) les apprentissages, la gestion des connaissances, vi) le travail en réseau, vii) la production de rapports, viii) l’appui aux activités de terrain, etc.</w:t>
      </w:r>
      <w:r w:rsidRPr="006F4D4F">
        <w:rPr>
          <w:rFonts w:cs="Times New Roman"/>
          <w:color w:val="auto"/>
          <w:kern w:val="18"/>
          <w:lang w:val="fr-FR"/>
        </w:rPr>
        <w:t xml:space="preserve"> </w:t>
      </w:r>
    </w:p>
    <w:p w14:paraId="0B5399E1" w14:textId="2D7D50AC" w:rsidR="00FC1348" w:rsidRPr="006F4D4F" w:rsidRDefault="00FC1348" w:rsidP="00DD0D0B">
      <w:pPr>
        <w:numPr>
          <w:ilvl w:val="0"/>
          <w:numId w:val="20"/>
        </w:numPr>
        <w:spacing w:after="120" w:line="288" w:lineRule="auto"/>
        <w:jc w:val="both"/>
        <w:rPr>
          <w:rFonts w:cs="Times New Roman"/>
          <w:color w:val="auto"/>
          <w:kern w:val="18"/>
          <w:lang w:val="fr-FR"/>
        </w:rPr>
      </w:pPr>
      <w:r w:rsidRPr="006F4D4F">
        <w:rPr>
          <w:rFonts w:cs="Times New Roman"/>
          <w:color w:val="auto"/>
          <w:kern w:val="18"/>
          <w:lang w:val="fr-FR"/>
        </w:rPr>
        <w:t>A</w:t>
      </w:r>
      <w:r w:rsidR="001843C0">
        <w:rPr>
          <w:rFonts w:cs="Times New Roman"/>
          <w:color w:val="auto"/>
          <w:kern w:val="18"/>
          <w:lang w:val="fr-FR"/>
        </w:rPr>
        <w:t>u niveau des pays, les agences, dans 11 pays :</w:t>
      </w:r>
    </w:p>
    <w:p w14:paraId="33245D6A" w14:textId="6D962766" w:rsidR="004A1AEC" w:rsidRPr="006F4D4F" w:rsidRDefault="001843C0" w:rsidP="00DD0D0B">
      <w:pPr>
        <w:numPr>
          <w:ilvl w:val="0"/>
          <w:numId w:val="21"/>
        </w:numPr>
        <w:spacing w:after="120" w:line="288" w:lineRule="auto"/>
        <w:jc w:val="both"/>
        <w:rPr>
          <w:rFonts w:cs="Times New Roman"/>
          <w:color w:val="auto"/>
          <w:kern w:val="18"/>
          <w:lang w:val="fr-FR"/>
        </w:rPr>
      </w:pPr>
      <w:r>
        <w:rPr>
          <w:rFonts w:cs="Times New Roman"/>
          <w:color w:val="auto"/>
          <w:kern w:val="18"/>
          <w:lang w:val="fr-FR"/>
        </w:rPr>
        <w:t>Se concerteront avec l’Union européenne (Délégation de l’Union européenne et États membres), les représentants des institutions financières internationales et les parties prenantes nationales.</w:t>
      </w:r>
    </w:p>
    <w:p w14:paraId="2142F8F3" w14:textId="5119C564" w:rsidR="00FC1348" w:rsidRPr="006F4D4F" w:rsidRDefault="00DD0D0B" w:rsidP="00DD0D0B">
      <w:pPr>
        <w:numPr>
          <w:ilvl w:val="0"/>
          <w:numId w:val="21"/>
        </w:numPr>
        <w:spacing w:after="120" w:line="288" w:lineRule="auto"/>
        <w:jc w:val="both"/>
        <w:rPr>
          <w:rFonts w:cs="Times New Roman"/>
          <w:color w:val="auto"/>
          <w:kern w:val="18"/>
          <w:lang w:val="fr-FR"/>
        </w:rPr>
      </w:pPr>
      <w:r>
        <w:rPr>
          <w:rFonts w:cs="Times New Roman"/>
          <w:color w:val="auto"/>
          <w:kern w:val="18"/>
          <w:lang w:val="fr-FR"/>
        </w:rPr>
        <w:t xml:space="preserve">Exécuteront des activités de recensement, prospection et préparation des interventions. Ces activités comprennent la compréhension </w:t>
      </w:r>
      <w:r w:rsidR="006A4779">
        <w:rPr>
          <w:rFonts w:cs="Times New Roman"/>
          <w:color w:val="auto"/>
          <w:kern w:val="18"/>
          <w:lang w:val="fr-FR"/>
        </w:rPr>
        <w:t xml:space="preserve">des </w:t>
      </w:r>
      <w:r w:rsidR="00636DB9">
        <w:rPr>
          <w:rFonts w:cs="Times New Roman"/>
          <w:color w:val="auto"/>
          <w:kern w:val="18"/>
          <w:lang w:val="fr-FR"/>
        </w:rPr>
        <w:t>écosystèmes</w:t>
      </w:r>
      <w:r w:rsidR="006A4779">
        <w:rPr>
          <w:rFonts w:cs="Times New Roman"/>
          <w:color w:val="auto"/>
          <w:kern w:val="18"/>
          <w:lang w:val="fr-FR"/>
        </w:rPr>
        <w:t xml:space="preserve"> économiques locaux, </w:t>
      </w:r>
      <w:r>
        <w:rPr>
          <w:rFonts w:cs="Times New Roman"/>
          <w:color w:val="auto"/>
          <w:kern w:val="18"/>
          <w:lang w:val="fr-FR"/>
        </w:rPr>
        <w:t xml:space="preserve">et l’établissement de liens avec </w:t>
      </w:r>
      <w:r w:rsidR="006A4779">
        <w:rPr>
          <w:rFonts w:cs="Times New Roman"/>
          <w:color w:val="auto"/>
          <w:kern w:val="18"/>
          <w:lang w:val="fr-FR"/>
        </w:rPr>
        <w:t>ceux-ci</w:t>
      </w:r>
      <w:r>
        <w:rPr>
          <w:rFonts w:cs="Times New Roman"/>
          <w:color w:val="auto"/>
          <w:kern w:val="18"/>
          <w:lang w:val="fr-FR"/>
        </w:rPr>
        <w:t>, la coordination des donateurs, l’harmonisation et pour terminer le développement du projet.</w:t>
      </w:r>
    </w:p>
    <w:p w14:paraId="21553C33" w14:textId="26E594AD" w:rsidR="00FC1348" w:rsidRPr="006F4D4F" w:rsidRDefault="00DD0D0B" w:rsidP="00DD0D0B">
      <w:pPr>
        <w:numPr>
          <w:ilvl w:val="0"/>
          <w:numId w:val="21"/>
        </w:numPr>
        <w:spacing w:after="120" w:line="288" w:lineRule="auto"/>
        <w:jc w:val="both"/>
        <w:rPr>
          <w:rFonts w:cs="Times New Roman"/>
          <w:color w:val="auto"/>
          <w:kern w:val="18"/>
          <w:lang w:val="fr-FR"/>
        </w:rPr>
      </w:pPr>
      <w:r>
        <w:rPr>
          <w:rFonts w:cs="Times New Roman"/>
          <w:color w:val="auto"/>
          <w:kern w:val="18"/>
          <w:lang w:val="fr-FR"/>
        </w:rPr>
        <w:t xml:space="preserve">Mettront en œuvre les interventions selon une division du travail parmi les agences. Dans chaque pays, les </w:t>
      </w:r>
      <w:r w:rsidR="00FC1348" w:rsidRPr="006F4D4F">
        <w:rPr>
          <w:rFonts w:cs="Times New Roman"/>
          <w:color w:val="auto"/>
          <w:kern w:val="18"/>
          <w:lang w:val="fr-FR"/>
        </w:rPr>
        <w:t xml:space="preserve">interventions </w:t>
      </w:r>
      <w:r>
        <w:rPr>
          <w:rFonts w:cs="Times New Roman"/>
          <w:color w:val="auto"/>
          <w:kern w:val="18"/>
          <w:lang w:val="fr-FR"/>
        </w:rPr>
        <w:t>se composeront de plusieurs initiatives, pour une durée du projet pouvant aller jusqu’à deux ans.</w:t>
      </w:r>
      <w:r w:rsidR="00FC1348" w:rsidRPr="006F4D4F">
        <w:rPr>
          <w:rFonts w:cs="Times New Roman"/>
          <w:color w:val="auto"/>
          <w:kern w:val="18"/>
          <w:lang w:val="fr-FR"/>
        </w:rPr>
        <w:t xml:space="preserve"> </w:t>
      </w:r>
    </w:p>
    <w:p w14:paraId="5DF333A9" w14:textId="6B1D5BE9" w:rsidR="00FC1348" w:rsidRPr="006F4D4F" w:rsidRDefault="00DD0D0B" w:rsidP="00DD0D0B">
      <w:pPr>
        <w:spacing w:after="120" w:line="288" w:lineRule="auto"/>
        <w:jc w:val="both"/>
        <w:rPr>
          <w:rFonts w:cs="Times New Roman"/>
          <w:color w:val="auto"/>
          <w:kern w:val="18"/>
          <w:lang w:val="fr-FR"/>
        </w:rPr>
      </w:pPr>
      <w:r>
        <w:rPr>
          <w:rFonts w:cs="Times New Roman"/>
          <w:color w:val="auto"/>
          <w:kern w:val="18"/>
          <w:lang w:val="fr-FR"/>
        </w:rPr>
        <w:t>Par le biais du réseau existant d’agences d’exécution présentes sur le terrain, la présente action permettra de réagir rapidement à la demande et aux opportunités. Les grands processus de management étant déjà en place, elle facilitera également un lancement relativement simple et rapide des interventions. Chaque agence exécutera ses missions en suivant son propre modèle opérationnel.</w:t>
      </w:r>
      <w:r w:rsidR="00FC1348" w:rsidRPr="006F4D4F">
        <w:rPr>
          <w:rFonts w:cs="Times New Roman"/>
          <w:color w:val="auto"/>
          <w:kern w:val="18"/>
          <w:lang w:val="fr-FR"/>
        </w:rPr>
        <w:t xml:space="preserve"> </w:t>
      </w:r>
    </w:p>
    <w:p w14:paraId="7958EB66" w14:textId="57CF9F03" w:rsidR="00FB40B6" w:rsidRPr="006F4D4F" w:rsidRDefault="00DD0D0B" w:rsidP="00B61966">
      <w:pPr>
        <w:spacing w:after="120" w:line="288" w:lineRule="auto"/>
        <w:jc w:val="both"/>
        <w:rPr>
          <w:rFonts w:cs="Times New Roman"/>
          <w:i/>
          <w:iCs/>
          <w:color w:val="auto"/>
          <w:kern w:val="18"/>
          <w:lang w:val="fr-FR"/>
        </w:rPr>
      </w:pPr>
      <w:r>
        <w:rPr>
          <w:rFonts w:cs="Times New Roman"/>
          <w:color w:val="auto"/>
          <w:kern w:val="18"/>
          <w:lang w:val="fr-FR"/>
        </w:rPr>
        <w:t xml:space="preserve">Chaque pays figurant sur la liste indicative des pays retenus s’est vu attribuer une agence chef de file : le </w:t>
      </w:r>
      <w:r w:rsidR="00241A17" w:rsidRPr="006F4D4F">
        <w:rPr>
          <w:rFonts w:cs="Times New Roman"/>
          <w:color w:val="auto"/>
          <w:kern w:val="18"/>
          <w:lang w:val="fr-FR"/>
        </w:rPr>
        <w:t>British Council</w:t>
      </w:r>
      <w:r w:rsidR="008C69C6" w:rsidRPr="006F4D4F">
        <w:rPr>
          <w:rFonts w:cs="Times New Roman"/>
          <w:color w:val="auto"/>
          <w:kern w:val="18"/>
          <w:lang w:val="fr-FR"/>
        </w:rPr>
        <w:t xml:space="preserve"> </w:t>
      </w:r>
      <w:r>
        <w:rPr>
          <w:rFonts w:cs="Times New Roman"/>
          <w:color w:val="auto"/>
          <w:kern w:val="18"/>
          <w:lang w:val="fr-FR"/>
        </w:rPr>
        <w:t xml:space="preserve">pour </w:t>
      </w:r>
      <w:r w:rsidRPr="00DD0D0B">
        <w:rPr>
          <w:rFonts w:cs="Times New Roman"/>
          <w:color w:val="auto"/>
          <w:kern w:val="18"/>
          <w:lang w:val="fr-FR"/>
        </w:rPr>
        <w:t>le</w:t>
      </w:r>
      <w:r w:rsidR="008C69C6" w:rsidRPr="006F4D4F">
        <w:rPr>
          <w:rFonts w:cs="Times New Roman"/>
          <w:color w:val="auto"/>
          <w:kern w:val="18"/>
          <w:lang w:val="fr-FR"/>
        </w:rPr>
        <w:t xml:space="preserve"> </w:t>
      </w:r>
      <w:r w:rsidR="00241A17" w:rsidRPr="006F4D4F">
        <w:rPr>
          <w:rFonts w:cs="Times New Roman"/>
          <w:i/>
          <w:iCs/>
          <w:color w:val="auto"/>
          <w:kern w:val="18"/>
          <w:lang w:val="fr-FR"/>
        </w:rPr>
        <w:t>Ghana</w:t>
      </w:r>
      <w:r w:rsidR="008C69C6" w:rsidRPr="006F4D4F">
        <w:rPr>
          <w:rFonts w:cs="Times New Roman"/>
          <w:i/>
          <w:iCs/>
          <w:color w:val="auto"/>
          <w:kern w:val="18"/>
          <w:lang w:val="fr-FR"/>
        </w:rPr>
        <w:t xml:space="preserve"> </w:t>
      </w:r>
      <w:r w:rsidRPr="00DD0D0B">
        <w:rPr>
          <w:rFonts w:cs="Times New Roman"/>
          <w:color w:val="auto"/>
          <w:kern w:val="18"/>
          <w:lang w:val="fr-FR"/>
        </w:rPr>
        <w:t>et le</w:t>
      </w:r>
      <w:r>
        <w:rPr>
          <w:rFonts w:cs="Times New Roman"/>
          <w:i/>
          <w:iCs/>
          <w:color w:val="auto"/>
          <w:kern w:val="18"/>
          <w:lang w:val="fr-FR"/>
        </w:rPr>
        <w:t xml:space="preserve"> </w:t>
      </w:r>
      <w:r w:rsidR="00241A17" w:rsidRPr="006F4D4F">
        <w:rPr>
          <w:rFonts w:cs="Times New Roman"/>
          <w:i/>
          <w:iCs/>
          <w:color w:val="auto"/>
          <w:kern w:val="18"/>
          <w:lang w:val="fr-FR"/>
        </w:rPr>
        <w:t>Malawi</w:t>
      </w:r>
      <w:r>
        <w:rPr>
          <w:rFonts w:cs="Times New Roman"/>
          <w:color w:val="auto"/>
          <w:kern w:val="18"/>
          <w:lang w:val="fr-FR"/>
        </w:rPr>
        <w:t>,</w:t>
      </w:r>
      <w:r w:rsidR="00FB40B6" w:rsidRPr="006F4D4F">
        <w:rPr>
          <w:rFonts w:cs="Times New Roman"/>
          <w:i/>
          <w:iCs/>
          <w:color w:val="auto"/>
          <w:kern w:val="18"/>
          <w:lang w:val="fr-FR"/>
        </w:rPr>
        <w:t xml:space="preserve"> </w:t>
      </w:r>
      <w:r w:rsidR="00241A17" w:rsidRPr="006F4D4F">
        <w:rPr>
          <w:rFonts w:cs="Times New Roman"/>
          <w:color w:val="auto"/>
          <w:kern w:val="18"/>
          <w:lang w:val="fr-FR"/>
        </w:rPr>
        <w:t>Enabel</w:t>
      </w:r>
      <w:r w:rsidR="00FB40B6" w:rsidRPr="006F4D4F">
        <w:rPr>
          <w:rFonts w:cs="Times New Roman"/>
          <w:color w:val="auto"/>
          <w:kern w:val="18"/>
          <w:lang w:val="fr-FR"/>
        </w:rPr>
        <w:t xml:space="preserve"> </w:t>
      </w:r>
      <w:r>
        <w:rPr>
          <w:rFonts w:cs="Times New Roman"/>
          <w:color w:val="auto"/>
          <w:kern w:val="18"/>
          <w:lang w:val="fr-FR"/>
        </w:rPr>
        <w:t xml:space="preserve">pour la </w:t>
      </w:r>
      <w:r>
        <w:rPr>
          <w:rFonts w:cs="Times New Roman"/>
          <w:i/>
          <w:iCs/>
          <w:color w:val="auto"/>
          <w:kern w:val="18"/>
          <w:lang w:val="fr-FR"/>
        </w:rPr>
        <w:t xml:space="preserve">République démocratique du </w:t>
      </w:r>
      <w:r w:rsidR="00241A17" w:rsidRPr="006F4D4F">
        <w:rPr>
          <w:rFonts w:cs="Times New Roman"/>
          <w:i/>
          <w:iCs/>
          <w:color w:val="auto"/>
          <w:kern w:val="18"/>
          <w:lang w:val="fr-FR"/>
        </w:rPr>
        <w:t>Cong</w:t>
      </w:r>
      <w:r w:rsidR="008C69C6" w:rsidRPr="006F4D4F">
        <w:rPr>
          <w:rFonts w:cs="Times New Roman"/>
          <w:i/>
          <w:iCs/>
          <w:color w:val="auto"/>
          <w:kern w:val="18"/>
          <w:lang w:val="fr-FR"/>
        </w:rPr>
        <w:t>o</w:t>
      </w:r>
      <w:r w:rsidR="00801EAF" w:rsidRPr="006F4D4F">
        <w:rPr>
          <w:rFonts w:cs="Times New Roman"/>
          <w:i/>
          <w:iCs/>
          <w:color w:val="auto"/>
          <w:kern w:val="18"/>
          <w:lang w:val="fr-FR"/>
        </w:rPr>
        <w:t xml:space="preserve"> </w:t>
      </w:r>
      <w:r>
        <w:rPr>
          <w:rFonts w:cs="Times New Roman"/>
          <w:color w:val="auto"/>
          <w:kern w:val="18"/>
          <w:lang w:val="fr-FR"/>
        </w:rPr>
        <w:t xml:space="preserve">ou </w:t>
      </w:r>
      <w:r w:rsidRPr="00DD0D0B">
        <w:rPr>
          <w:rFonts w:cs="Times New Roman"/>
          <w:i/>
          <w:iCs/>
          <w:color w:val="auto"/>
          <w:kern w:val="18"/>
          <w:lang w:val="fr-FR"/>
        </w:rPr>
        <w:t>l’</w:t>
      </w:r>
      <w:r>
        <w:rPr>
          <w:rFonts w:cs="Times New Roman"/>
          <w:i/>
          <w:iCs/>
          <w:color w:val="auto"/>
          <w:kern w:val="18"/>
          <w:lang w:val="fr-FR"/>
        </w:rPr>
        <w:t>Ou</w:t>
      </w:r>
      <w:r w:rsidR="00801EAF" w:rsidRPr="00DD0D0B">
        <w:rPr>
          <w:rFonts w:cs="Times New Roman"/>
          <w:i/>
          <w:iCs/>
          <w:color w:val="auto"/>
          <w:kern w:val="18"/>
          <w:lang w:val="fr-FR"/>
        </w:rPr>
        <w:t>ganda</w:t>
      </w:r>
      <w:r w:rsidR="00801EAF" w:rsidRPr="006F4D4F">
        <w:rPr>
          <w:rFonts w:cs="Times New Roman"/>
          <w:i/>
          <w:iCs/>
          <w:color w:val="auto"/>
          <w:kern w:val="18"/>
          <w:lang w:val="fr-FR"/>
        </w:rPr>
        <w:t xml:space="preserve"> </w:t>
      </w:r>
      <w:r w:rsidR="00801EAF" w:rsidRPr="00DD0D0B">
        <w:rPr>
          <w:rFonts w:cs="Times New Roman"/>
          <w:color w:val="auto"/>
          <w:kern w:val="18"/>
          <w:lang w:val="fr-FR"/>
        </w:rPr>
        <w:t>(</w:t>
      </w:r>
      <w:r w:rsidRPr="00DD0D0B">
        <w:rPr>
          <w:rFonts w:cs="Times New Roman"/>
          <w:color w:val="auto"/>
          <w:kern w:val="18"/>
          <w:lang w:val="fr-FR"/>
        </w:rPr>
        <w:t>à décider en temps voulu)</w:t>
      </w:r>
      <w:r>
        <w:rPr>
          <w:rFonts w:cs="Times New Roman"/>
          <w:color w:val="auto"/>
          <w:kern w:val="18"/>
          <w:lang w:val="fr-FR"/>
        </w:rPr>
        <w:t xml:space="preserve">, </w:t>
      </w:r>
      <w:r w:rsidR="00FB40B6" w:rsidRPr="006F4D4F">
        <w:rPr>
          <w:rFonts w:cs="Times New Roman"/>
          <w:color w:val="auto"/>
          <w:kern w:val="18"/>
          <w:lang w:val="fr-FR"/>
        </w:rPr>
        <w:t xml:space="preserve">Expertise France </w:t>
      </w:r>
      <w:r>
        <w:rPr>
          <w:rFonts w:cs="Times New Roman"/>
          <w:color w:val="auto"/>
          <w:kern w:val="18"/>
          <w:lang w:val="fr-FR"/>
        </w:rPr>
        <w:t xml:space="preserve">pour la </w:t>
      </w:r>
      <w:r>
        <w:rPr>
          <w:rFonts w:cs="Times New Roman"/>
          <w:i/>
          <w:iCs/>
          <w:color w:val="auto"/>
          <w:kern w:val="18"/>
          <w:lang w:val="fr-FR"/>
        </w:rPr>
        <w:t xml:space="preserve">Côte d’Ivoire </w:t>
      </w:r>
      <w:r>
        <w:rPr>
          <w:rFonts w:cs="Times New Roman"/>
          <w:color w:val="auto"/>
          <w:kern w:val="18"/>
          <w:lang w:val="fr-FR"/>
        </w:rPr>
        <w:t xml:space="preserve">et la </w:t>
      </w:r>
      <w:r>
        <w:rPr>
          <w:rFonts w:cs="Times New Roman"/>
          <w:i/>
          <w:iCs/>
          <w:color w:val="auto"/>
          <w:kern w:val="18"/>
          <w:lang w:val="fr-FR"/>
        </w:rPr>
        <w:t xml:space="preserve">République du </w:t>
      </w:r>
      <w:r w:rsidR="00FB40B6" w:rsidRPr="006F4D4F">
        <w:rPr>
          <w:rFonts w:cs="Times New Roman"/>
          <w:i/>
          <w:iCs/>
          <w:color w:val="auto"/>
          <w:kern w:val="18"/>
          <w:lang w:val="fr-FR"/>
        </w:rPr>
        <w:t>Cong</w:t>
      </w:r>
      <w:r w:rsidR="002A22C4" w:rsidRPr="006F4D4F">
        <w:rPr>
          <w:rFonts w:cs="Times New Roman"/>
          <w:i/>
          <w:iCs/>
          <w:color w:val="auto"/>
          <w:kern w:val="18"/>
          <w:lang w:val="fr-FR"/>
        </w:rPr>
        <w:t>o</w:t>
      </w:r>
      <w:r>
        <w:rPr>
          <w:rFonts w:cs="Times New Roman"/>
          <w:color w:val="auto"/>
          <w:kern w:val="18"/>
          <w:lang w:val="fr-FR"/>
        </w:rPr>
        <w:t xml:space="preserve">, </w:t>
      </w:r>
      <w:r w:rsidR="00FB40B6" w:rsidRPr="006F4D4F">
        <w:rPr>
          <w:rFonts w:cs="Times New Roman"/>
          <w:color w:val="auto"/>
          <w:kern w:val="18"/>
          <w:lang w:val="fr-FR"/>
        </w:rPr>
        <w:t xml:space="preserve">GIZ </w:t>
      </w:r>
      <w:r>
        <w:rPr>
          <w:rFonts w:cs="Times New Roman"/>
          <w:color w:val="auto"/>
          <w:kern w:val="18"/>
          <w:lang w:val="fr-FR"/>
        </w:rPr>
        <w:t xml:space="preserve">pour le </w:t>
      </w:r>
      <w:r w:rsidR="00FB40B6" w:rsidRPr="006F4D4F">
        <w:rPr>
          <w:rFonts w:cs="Times New Roman"/>
          <w:i/>
          <w:iCs/>
          <w:color w:val="auto"/>
          <w:kern w:val="18"/>
          <w:lang w:val="fr-FR"/>
        </w:rPr>
        <w:t xml:space="preserve">Kenya, </w:t>
      </w:r>
      <w:r>
        <w:rPr>
          <w:rFonts w:cs="Times New Roman"/>
          <w:color w:val="auto"/>
          <w:kern w:val="18"/>
          <w:lang w:val="fr-FR"/>
        </w:rPr>
        <w:t xml:space="preserve">le </w:t>
      </w:r>
      <w:r w:rsidR="00FB40B6" w:rsidRPr="006F4D4F">
        <w:rPr>
          <w:rFonts w:cs="Times New Roman"/>
          <w:i/>
          <w:iCs/>
          <w:color w:val="auto"/>
          <w:kern w:val="18"/>
          <w:lang w:val="fr-FR"/>
        </w:rPr>
        <w:t xml:space="preserve">Mozambique, </w:t>
      </w:r>
      <w:r>
        <w:rPr>
          <w:rFonts w:cs="Times New Roman"/>
          <w:color w:val="auto"/>
          <w:kern w:val="18"/>
          <w:lang w:val="fr-FR"/>
        </w:rPr>
        <w:t xml:space="preserve">le </w:t>
      </w:r>
      <w:r w:rsidR="00FB40B6" w:rsidRPr="006F4D4F">
        <w:rPr>
          <w:rFonts w:cs="Times New Roman"/>
          <w:i/>
          <w:iCs/>
          <w:color w:val="auto"/>
          <w:kern w:val="18"/>
          <w:lang w:val="fr-FR"/>
        </w:rPr>
        <w:t xml:space="preserve">Nigeria, </w:t>
      </w:r>
      <w:r>
        <w:rPr>
          <w:rFonts w:cs="Times New Roman"/>
          <w:color w:val="auto"/>
          <w:kern w:val="18"/>
          <w:lang w:val="fr-FR"/>
        </w:rPr>
        <w:t xml:space="preserve">la </w:t>
      </w:r>
      <w:r w:rsidR="00FB40B6" w:rsidRPr="006F4D4F">
        <w:rPr>
          <w:rFonts w:cs="Times New Roman"/>
          <w:i/>
          <w:iCs/>
          <w:color w:val="auto"/>
          <w:kern w:val="18"/>
          <w:lang w:val="fr-FR"/>
        </w:rPr>
        <w:t>Tanzani</w:t>
      </w:r>
      <w:r>
        <w:rPr>
          <w:rFonts w:cs="Times New Roman"/>
          <w:i/>
          <w:iCs/>
          <w:color w:val="auto"/>
          <w:kern w:val="18"/>
          <w:lang w:val="fr-FR"/>
        </w:rPr>
        <w:t xml:space="preserve">e </w:t>
      </w:r>
      <w:r>
        <w:rPr>
          <w:rFonts w:cs="Times New Roman"/>
          <w:color w:val="auto"/>
          <w:kern w:val="18"/>
          <w:lang w:val="fr-FR"/>
        </w:rPr>
        <w:t xml:space="preserve">et </w:t>
      </w:r>
      <w:r w:rsidR="003A798A">
        <w:rPr>
          <w:rFonts w:cs="Times New Roman"/>
          <w:color w:val="auto"/>
          <w:kern w:val="18"/>
          <w:lang w:val="fr-FR"/>
        </w:rPr>
        <w:t>l’</w:t>
      </w:r>
      <w:r w:rsidR="003A798A" w:rsidRPr="003A798A">
        <w:rPr>
          <w:rFonts w:cs="Times New Roman"/>
          <w:i/>
          <w:iCs/>
          <w:color w:val="auto"/>
          <w:kern w:val="18"/>
          <w:lang w:val="fr-FR"/>
        </w:rPr>
        <w:t>O</w:t>
      </w:r>
      <w:r w:rsidR="003A798A">
        <w:rPr>
          <w:rFonts w:cs="Times New Roman"/>
          <w:i/>
          <w:iCs/>
          <w:color w:val="auto"/>
          <w:kern w:val="18"/>
          <w:lang w:val="fr-FR"/>
        </w:rPr>
        <w:t>u</w:t>
      </w:r>
      <w:r w:rsidR="00FB40B6" w:rsidRPr="006F4D4F">
        <w:rPr>
          <w:rFonts w:cs="Times New Roman"/>
          <w:i/>
          <w:iCs/>
          <w:color w:val="auto"/>
          <w:kern w:val="18"/>
          <w:lang w:val="fr-FR"/>
        </w:rPr>
        <w:t>ganda</w:t>
      </w:r>
      <w:r w:rsidR="00801EAF" w:rsidRPr="006F4D4F">
        <w:rPr>
          <w:rFonts w:cs="Times New Roman"/>
          <w:i/>
          <w:iCs/>
          <w:color w:val="auto"/>
          <w:kern w:val="18"/>
          <w:lang w:val="fr-FR"/>
        </w:rPr>
        <w:t xml:space="preserve"> </w:t>
      </w:r>
      <w:r w:rsidR="003A798A">
        <w:rPr>
          <w:rFonts w:cs="Times New Roman"/>
          <w:color w:val="auto"/>
          <w:kern w:val="18"/>
          <w:lang w:val="fr-FR"/>
        </w:rPr>
        <w:t>(pour l’</w:t>
      </w:r>
      <w:r w:rsidR="003A798A">
        <w:rPr>
          <w:rFonts w:cs="Times New Roman"/>
          <w:i/>
          <w:iCs/>
          <w:color w:val="auto"/>
          <w:kern w:val="18"/>
          <w:lang w:val="fr-FR"/>
        </w:rPr>
        <w:t xml:space="preserve">Ouganda </w:t>
      </w:r>
      <w:r w:rsidR="003A798A">
        <w:rPr>
          <w:rFonts w:cs="Times New Roman"/>
          <w:color w:val="auto"/>
          <w:kern w:val="18"/>
          <w:lang w:val="fr-FR"/>
        </w:rPr>
        <w:t xml:space="preserve">avec Enabel, s’il y a lieu) et LuxDev pour le </w:t>
      </w:r>
      <w:r w:rsidR="003A798A">
        <w:rPr>
          <w:rFonts w:cs="Times New Roman"/>
          <w:i/>
          <w:iCs/>
          <w:color w:val="auto"/>
          <w:kern w:val="18"/>
          <w:lang w:val="fr-FR"/>
        </w:rPr>
        <w:t>Sénégal</w:t>
      </w:r>
      <w:r w:rsidR="003A798A">
        <w:rPr>
          <w:rFonts w:cs="Times New Roman"/>
          <w:color w:val="auto"/>
          <w:kern w:val="18"/>
          <w:lang w:val="fr-FR"/>
        </w:rPr>
        <w:t>.</w:t>
      </w:r>
    </w:p>
    <w:p w14:paraId="04FAC8F0" w14:textId="51585984" w:rsidR="00E41CE3" w:rsidRPr="006F4D4F" w:rsidRDefault="003A798A" w:rsidP="00B61966">
      <w:pPr>
        <w:spacing w:after="120" w:line="288" w:lineRule="auto"/>
        <w:jc w:val="both"/>
        <w:rPr>
          <w:rFonts w:cs="Times New Roman"/>
          <w:color w:val="auto"/>
          <w:kern w:val="18"/>
          <w:lang w:val="fr-FR"/>
        </w:rPr>
      </w:pPr>
      <w:r>
        <w:rPr>
          <w:rFonts w:cs="Times New Roman"/>
          <w:color w:val="auto"/>
          <w:kern w:val="18"/>
          <w:lang w:val="fr-FR"/>
        </w:rPr>
        <w:t xml:space="preserve">L’agence chef de file est chargée de mettre en œuvre la </w:t>
      </w:r>
      <w:r w:rsidR="00E41CE3" w:rsidRPr="006F4D4F">
        <w:rPr>
          <w:rFonts w:cs="Times New Roman"/>
          <w:color w:val="auto"/>
          <w:kern w:val="18"/>
          <w:lang w:val="fr-FR"/>
        </w:rPr>
        <w:t xml:space="preserve">VET Toolbox 2 </w:t>
      </w:r>
      <w:r>
        <w:rPr>
          <w:rFonts w:cs="Times New Roman"/>
          <w:color w:val="auto"/>
          <w:kern w:val="18"/>
          <w:lang w:val="fr-FR"/>
        </w:rPr>
        <w:t xml:space="preserve">dans </w:t>
      </w:r>
      <w:r w:rsidR="006A4779">
        <w:rPr>
          <w:rFonts w:cs="Times New Roman"/>
          <w:color w:val="auto"/>
          <w:kern w:val="18"/>
          <w:lang w:val="fr-FR"/>
        </w:rPr>
        <w:t xml:space="preserve">le </w:t>
      </w:r>
      <w:r>
        <w:rPr>
          <w:rFonts w:cs="Times New Roman"/>
          <w:color w:val="auto"/>
          <w:kern w:val="18"/>
          <w:lang w:val="fr-FR"/>
        </w:rPr>
        <w:t>pays auquel elle est affectée ou bien, si le potentiel de mise en œuvre avec succès dans ce pays est insuffisant, de justifier le retrait de la VET Toolbox 2 de ce pays vis-à-vis des autres agences d’exécution et de l’autorité contractante.</w:t>
      </w:r>
    </w:p>
    <w:p w14:paraId="5611D101" w14:textId="4A70D01C" w:rsidR="00FC1348" w:rsidRPr="006F4D4F" w:rsidRDefault="003A798A" w:rsidP="00B61966">
      <w:pPr>
        <w:spacing w:after="120" w:line="288" w:lineRule="auto"/>
        <w:jc w:val="both"/>
        <w:rPr>
          <w:rFonts w:cs="Times New Roman"/>
          <w:color w:val="auto"/>
          <w:kern w:val="18"/>
          <w:lang w:val="fr-FR"/>
        </w:rPr>
      </w:pPr>
      <w:r>
        <w:rPr>
          <w:rFonts w:cs="Times New Roman"/>
          <w:color w:val="auto"/>
          <w:kern w:val="18"/>
          <w:lang w:val="fr-FR"/>
        </w:rPr>
        <w:t>La mise en œuvre conjointe sera envisagée et soutenue dans les pays où elle est possible. Chaque agence apporte une expérience, des compétences, des réseaux et des capacités d’exécu</w:t>
      </w:r>
      <w:r w:rsidR="00420F43">
        <w:rPr>
          <w:rFonts w:cs="Times New Roman"/>
          <w:color w:val="auto"/>
          <w:kern w:val="18"/>
          <w:lang w:val="fr-FR"/>
        </w:rPr>
        <w:t>tion différents. La capacité à</w:t>
      </w:r>
      <w:r>
        <w:rPr>
          <w:rFonts w:cs="Times New Roman"/>
          <w:color w:val="auto"/>
          <w:kern w:val="18"/>
          <w:lang w:val="fr-FR"/>
        </w:rPr>
        <w:t xml:space="preserve"> rassembler ces aptitudes différentes dans les pays cibles sera essentielle au succès de la VET Toolbox 2.</w:t>
      </w:r>
      <w:r w:rsidR="00FC1348" w:rsidRPr="006F4D4F">
        <w:rPr>
          <w:rFonts w:cs="Times New Roman"/>
          <w:color w:val="auto"/>
          <w:kern w:val="18"/>
          <w:lang w:val="fr-FR"/>
        </w:rPr>
        <w:t xml:space="preserve"> </w:t>
      </w:r>
    </w:p>
    <w:p w14:paraId="048C01D0" w14:textId="2CC36142" w:rsidR="00FC1348" w:rsidRPr="006F4D4F" w:rsidRDefault="003A798A" w:rsidP="00B61966">
      <w:pPr>
        <w:spacing w:after="120" w:line="288" w:lineRule="auto"/>
        <w:jc w:val="both"/>
        <w:rPr>
          <w:rFonts w:cs="Times New Roman"/>
          <w:color w:val="auto"/>
          <w:kern w:val="18"/>
          <w:lang w:val="fr-FR"/>
        </w:rPr>
      </w:pPr>
      <w:r>
        <w:rPr>
          <w:rFonts w:cs="Times New Roman"/>
          <w:color w:val="auto"/>
          <w:kern w:val="18"/>
          <w:lang w:val="fr-FR"/>
        </w:rPr>
        <w:t xml:space="preserve">Pour la </w:t>
      </w:r>
      <w:r w:rsidR="00FC1348" w:rsidRPr="006F4D4F">
        <w:rPr>
          <w:rFonts w:cs="Times New Roman"/>
          <w:color w:val="auto"/>
          <w:kern w:val="18"/>
          <w:lang w:val="fr-FR"/>
        </w:rPr>
        <w:t xml:space="preserve">VET Toolbox 2, </w:t>
      </w:r>
      <w:r>
        <w:rPr>
          <w:rFonts w:cs="Times New Roman"/>
          <w:color w:val="auto"/>
          <w:kern w:val="18"/>
          <w:lang w:val="fr-FR"/>
        </w:rPr>
        <w:t xml:space="preserve">les agences devront disposer de capacités de gestion additionnelles, en premier lieu </w:t>
      </w:r>
      <w:r w:rsidR="008E70C8">
        <w:rPr>
          <w:rFonts w:cs="Times New Roman"/>
          <w:color w:val="auto"/>
          <w:kern w:val="18"/>
          <w:lang w:val="fr-FR"/>
        </w:rPr>
        <w:t xml:space="preserve">au niveau des pays </w:t>
      </w:r>
      <w:r>
        <w:rPr>
          <w:rFonts w:cs="Times New Roman"/>
          <w:color w:val="auto"/>
          <w:kern w:val="18"/>
          <w:lang w:val="fr-FR"/>
        </w:rPr>
        <w:t>pour préparer, gérer et mettre</w:t>
      </w:r>
      <w:r w:rsidR="00314475">
        <w:rPr>
          <w:rFonts w:cs="Times New Roman"/>
          <w:color w:val="auto"/>
          <w:kern w:val="18"/>
          <w:lang w:val="fr-FR"/>
        </w:rPr>
        <w:t xml:space="preserve"> en œuvre</w:t>
      </w:r>
      <w:r>
        <w:rPr>
          <w:rFonts w:cs="Times New Roman"/>
          <w:color w:val="auto"/>
          <w:kern w:val="18"/>
          <w:lang w:val="fr-FR"/>
        </w:rPr>
        <w:t xml:space="preserve"> les activités sur le terrain,</w:t>
      </w:r>
      <w:r w:rsidR="008E70C8">
        <w:rPr>
          <w:rFonts w:cs="Times New Roman"/>
          <w:color w:val="auto"/>
          <w:kern w:val="18"/>
          <w:lang w:val="fr-FR"/>
        </w:rPr>
        <w:t xml:space="preserve"> mais aussi au niveau central (Centre de coordination et sièges). Pour la mise en œuvre des interventions, les coûts de personnel et opérationnels seront inclus en coûts directs dans le budget des interventions.</w:t>
      </w:r>
      <w:r w:rsidR="00FC1348" w:rsidRPr="006F4D4F">
        <w:rPr>
          <w:rFonts w:cs="Times New Roman"/>
          <w:color w:val="auto"/>
          <w:kern w:val="18"/>
          <w:lang w:val="fr-FR"/>
        </w:rPr>
        <w:t xml:space="preserve"> </w:t>
      </w:r>
    </w:p>
    <w:p w14:paraId="0A2E3200" w14:textId="2A09FEEC" w:rsidR="00FC1348" w:rsidRPr="006F4D4F" w:rsidRDefault="008E70C8" w:rsidP="00B61966">
      <w:pPr>
        <w:spacing w:after="120" w:line="288" w:lineRule="auto"/>
        <w:jc w:val="both"/>
        <w:rPr>
          <w:rFonts w:cs="Times New Roman"/>
          <w:color w:val="auto"/>
          <w:kern w:val="18"/>
          <w:lang w:val="fr-FR"/>
        </w:rPr>
      </w:pPr>
      <w:r>
        <w:rPr>
          <w:rFonts w:cs="Times New Roman"/>
          <w:color w:val="auto"/>
          <w:kern w:val="18"/>
          <w:lang w:val="fr-FR"/>
        </w:rPr>
        <w:t xml:space="preserve">Le projet </w:t>
      </w:r>
      <w:r w:rsidR="00FC1348" w:rsidRPr="006F4D4F">
        <w:rPr>
          <w:rFonts w:cs="Times New Roman"/>
          <w:color w:val="auto"/>
          <w:kern w:val="18"/>
          <w:lang w:val="fr-FR"/>
        </w:rPr>
        <w:t xml:space="preserve">VET Toolbox 2 </w:t>
      </w:r>
      <w:r>
        <w:rPr>
          <w:rFonts w:cs="Times New Roman"/>
          <w:color w:val="auto"/>
          <w:kern w:val="18"/>
          <w:lang w:val="fr-FR"/>
        </w:rPr>
        <w:t>développera une composante forte sur l’apprentissage et la gestion des connaissances. La nouvelle action possède un potentiel unique en tant qu’instrument d’apprentissage. Elle n’offrira pas de solutions « toutes faites » convenant à différents contextes, mais plutôt des interventions contextualisées et personnalisées. Cette approche crée une opportunité pour l’apprentissage, la gestion des connaissances et le partage des apprentissages et pratiques.</w:t>
      </w:r>
    </w:p>
    <w:bookmarkEnd w:id="401"/>
    <w:bookmarkEnd w:id="402"/>
    <w:p w14:paraId="4F0BD7D7" w14:textId="23C1B326" w:rsidR="00BF3C79" w:rsidRPr="006F4D4F" w:rsidRDefault="008E70C8" w:rsidP="00CA0428">
      <w:pPr>
        <w:spacing w:before="240" w:after="120"/>
        <w:jc w:val="both"/>
        <w:rPr>
          <w:rFonts w:cs="Times New Roman"/>
          <w:b/>
          <w:color w:val="auto"/>
          <w:kern w:val="18"/>
          <w:lang w:val="fr-FR"/>
        </w:rPr>
      </w:pPr>
      <w:r>
        <w:rPr>
          <w:b/>
          <w:color w:val="auto"/>
          <w:lang w:val="fr-FR"/>
        </w:rPr>
        <w:t>Modalités contractuelles</w:t>
      </w:r>
    </w:p>
    <w:p w14:paraId="1464217C" w14:textId="7A6EFB44" w:rsidR="00BF3C79" w:rsidRPr="006F4D4F" w:rsidRDefault="008E70C8" w:rsidP="00B61966">
      <w:pPr>
        <w:spacing w:after="120" w:line="288" w:lineRule="auto"/>
        <w:jc w:val="both"/>
        <w:rPr>
          <w:rFonts w:cs="Times New Roman"/>
          <w:color w:val="auto"/>
          <w:kern w:val="18"/>
          <w:lang w:val="fr-FR"/>
        </w:rPr>
      </w:pPr>
      <w:r>
        <w:rPr>
          <w:rFonts w:cs="Times New Roman"/>
          <w:color w:val="auto"/>
          <w:kern w:val="18"/>
          <w:lang w:val="fr-FR"/>
        </w:rPr>
        <w:t xml:space="preserve">Le </w:t>
      </w:r>
      <w:r w:rsidR="00BF3C79" w:rsidRPr="006F4D4F">
        <w:rPr>
          <w:rFonts w:cs="Times New Roman"/>
          <w:color w:val="auto"/>
          <w:kern w:val="18"/>
          <w:lang w:val="fr-FR"/>
        </w:rPr>
        <w:t xml:space="preserve">British Council, </w:t>
      </w:r>
      <w:r w:rsidR="5467762F" w:rsidRPr="006F4D4F">
        <w:rPr>
          <w:rFonts w:cs="Times New Roman"/>
          <w:color w:val="auto"/>
          <w:kern w:val="18"/>
          <w:lang w:val="fr-FR"/>
        </w:rPr>
        <w:t>Enabel</w:t>
      </w:r>
      <w:r w:rsidR="00DE54C2" w:rsidRPr="006F4D4F">
        <w:rPr>
          <w:rFonts w:cs="Times New Roman"/>
          <w:color w:val="auto"/>
          <w:kern w:val="18"/>
          <w:lang w:val="fr-FR"/>
        </w:rPr>
        <w:t>, GIZ</w:t>
      </w:r>
      <w:r w:rsidR="00FC1348" w:rsidRPr="006F4D4F">
        <w:rPr>
          <w:rFonts w:cs="Times New Roman"/>
          <w:color w:val="auto"/>
          <w:kern w:val="18"/>
          <w:lang w:val="fr-FR"/>
        </w:rPr>
        <w:t xml:space="preserve">, </w:t>
      </w:r>
      <w:r w:rsidR="00BF3C79" w:rsidRPr="006F4D4F">
        <w:rPr>
          <w:rFonts w:cs="Times New Roman"/>
          <w:color w:val="auto"/>
          <w:kern w:val="18"/>
          <w:lang w:val="fr-FR"/>
        </w:rPr>
        <w:t xml:space="preserve">LuxDev </w:t>
      </w:r>
      <w:r>
        <w:rPr>
          <w:rFonts w:cs="Times New Roman"/>
          <w:color w:val="auto"/>
          <w:kern w:val="18"/>
          <w:lang w:val="fr-FR"/>
        </w:rPr>
        <w:t xml:space="preserve">et </w:t>
      </w:r>
      <w:r w:rsidR="00FC1348" w:rsidRPr="006F4D4F">
        <w:rPr>
          <w:rFonts w:cs="Times New Roman"/>
          <w:color w:val="auto"/>
          <w:kern w:val="18"/>
          <w:lang w:val="fr-FR"/>
        </w:rPr>
        <w:t xml:space="preserve">Expertise France </w:t>
      </w:r>
      <w:r>
        <w:rPr>
          <w:rFonts w:cs="Times New Roman"/>
          <w:color w:val="auto"/>
          <w:kern w:val="18"/>
          <w:lang w:val="fr-FR"/>
        </w:rPr>
        <w:t xml:space="preserve">signeront un accord de contribution avec l’Union européenne, représentée par </w:t>
      </w:r>
      <w:r w:rsidR="00314475">
        <w:rPr>
          <w:rFonts w:cs="Times New Roman"/>
          <w:color w:val="auto"/>
          <w:kern w:val="18"/>
          <w:lang w:val="fr-FR"/>
        </w:rPr>
        <w:t xml:space="preserve">la </w:t>
      </w:r>
      <w:r w:rsidR="009603AB" w:rsidRPr="006F4D4F">
        <w:rPr>
          <w:rFonts w:cs="Times New Roman"/>
          <w:color w:val="auto"/>
          <w:kern w:val="18"/>
          <w:lang w:val="fr-FR"/>
        </w:rPr>
        <w:t xml:space="preserve">DG </w:t>
      </w:r>
      <w:r w:rsidR="00BF3C79" w:rsidRPr="006F4D4F">
        <w:rPr>
          <w:rFonts w:cs="Times New Roman"/>
          <w:color w:val="auto"/>
          <w:kern w:val="18"/>
          <w:lang w:val="fr-FR"/>
        </w:rPr>
        <w:t xml:space="preserve">DEVCO. </w:t>
      </w:r>
      <w:r w:rsidR="00B62781" w:rsidRPr="006F4D4F">
        <w:rPr>
          <w:rFonts w:cs="Times New Roman"/>
          <w:color w:val="auto"/>
          <w:kern w:val="18"/>
          <w:lang w:val="fr-FR"/>
        </w:rPr>
        <w:t>Enabel</w:t>
      </w:r>
      <w:r w:rsidR="00BF3C79" w:rsidRPr="006F4D4F">
        <w:rPr>
          <w:rFonts w:cs="Times New Roman"/>
          <w:color w:val="auto"/>
          <w:kern w:val="18"/>
          <w:lang w:val="fr-FR"/>
        </w:rPr>
        <w:t xml:space="preserve"> </w:t>
      </w:r>
      <w:r>
        <w:rPr>
          <w:rFonts w:cs="Times New Roman"/>
          <w:color w:val="auto"/>
          <w:kern w:val="18"/>
          <w:lang w:val="fr-FR"/>
        </w:rPr>
        <w:t>fera office d’</w:t>
      </w:r>
      <w:r w:rsidR="00BF3C79" w:rsidRPr="006F4D4F">
        <w:rPr>
          <w:rFonts w:cs="Times New Roman"/>
          <w:color w:val="auto"/>
          <w:kern w:val="18"/>
          <w:lang w:val="fr-FR"/>
        </w:rPr>
        <w:t xml:space="preserve">Organisation </w:t>
      </w:r>
      <w:r>
        <w:rPr>
          <w:rFonts w:cs="Times New Roman"/>
          <w:color w:val="auto"/>
          <w:kern w:val="18"/>
          <w:lang w:val="fr-FR"/>
        </w:rPr>
        <w:t xml:space="preserve">et le </w:t>
      </w:r>
      <w:r w:rsidR="00BF3C79" w:rsidRPr="006F4D4F">
        <w:rPr>
          <w:rFonts w:cs="Times New Roman"/>
          <w:color w:val="auto"/>
          <w:kern w:val="18"/>
          <w:lang w:val="fr-FR"/>
        </w:rPr>
        <w:t>British Council</w:t>
      </w:r>
      <w:r w:rsidR="00DE54C2" w:rsidRPr="006F4D4F">
        <w:rPr>
          <w:rFonts w:cs="Times New Roman"/>
          <w:color w:val="auto"/>
          <w:kern w:val="18"/>
          <w:lang w:val="fr-FR"/>
        </w:rPr>
        <w:t>, GIZ</w:t>
      </w:r>
      <w:r w:rsidR="00FC1348" w:rsidRPr="006F4D4F">
        <w:rPr>
          <w:rFonts w:cs="Times New Roman"/>
          <w:color w:val="auto"/>
          <w:kern w:val="18"/>
          <w:lang w:val="fr-FR"/>
        </w:rPr>
        <w:t xml:space="preserve">, </w:t>
      </w:r>
      <w:r w:rsidR="00BF3C79" w:rsidRPr="006F4D4F">
        <w:rPr>
          <w:rFonts w:cs="Times New Roman"/>
          <w:color w:val="auto"/>
          <w:kern w:val="18"/>
          <w:lang w:val="fr-FR"/>
        </w:rPr>
        <w:t xml:space="preserve">LuxDev </w:t>
      </w:r>
      <w:r>
        <w:rPr>
          <w:rFonts w:cs="Times New Roman"/>
          <w:color w:val="auto"/>
          <w:kern w:val="18"/>
          <w:lang w:val="fr-FR"/>
        </w:rPr>
        <w:t xml:space="preserve">et </w:t>
      </w:r>
      <w:r w:rsidR="00FC1348" w:rsidRPr="006F4D4F">
        <w:rPr>
          <w:rFonts w:cs="Times New Roman"/>
          <w:color w:val="auto"/>
          <w:kern w:val="18"/>
          <w:lang w:val="fr-FR"/>
        </w:rPr>
        <w:t xml:space="preserve">Expertise France </w:t>
      </w:r>
      <w:r>
        <w:rPr>
          <w:rFonts w:cs="Times New Roman"/>
          <w:color w:val="auto"/>
          <w:kern w:val="18"/>
          <w:lang w:val="fr-FR"/>
        </w:rPr>
        <w:t>de Partenaires.</w:t>
      </w:r>
    </w:p>
    <w:p w14:paraId="06488FDC" w14:textId="77777777" w:rsidR="00CA0428" w:rsidRPr="006F4D4F" w:rsidRDefault="00CA0428">
      <w:pPr>
        <w:spacing w:before="0"/>
        <w:rPr>
          <w:rFonts w:cs="Times New Roman"/>
          <w:b/>
          <w:color w:val="50B848"/>
          <w:kern w:val="18"/>
          <w:sz w:val="28"/>
          <w:lang w:val="fr-FR"/>
        </w:rPr>
      </w:pPr>
      <w:bookmarkStart w:id="404" w:name="_Toc477169149"/>
      <w:bookmarkStart w:id="405" w:name="_Toc477169365"/>
      <w:bookmarkStart w:id="406" w:name="_Toc477187878"/>
      <w:bookmarkStart w:id="407" w:name="_Toc477188089"/>
      <w:bookmarkStart w:id="408" w:name="_Toc477188301"/>
      <w:bookmarkStart w:id="409" w:name="_Toc477188513"/>
      <w:bookmarkStart w:id="410" w:name="_Toc477188935"/>
      <w:bookmarkStart w:id="411" w:name="_Toc477189149"/>
      <w:bookmarkStart w:id="412" w:name="_Toc477189745"/>
      <w:bookmarkStart w:id="413" w:name="_Toc477196389"/>
      <w:bookmarkStart w:id="414" w:name="_Toc477200107"/>
      <w:bookmarkStart w:id="415" w:name="_Toc477274897"/>
      <w:bookmarkStart w:id="416" w:name="_Toc477276103"/>
      <w:bookmarkStart w:id="417" w:name="_Toc477276324"/>
      <w:bookmarkStart w:id="418" w:name="_Toc20239585"/>
      <w:bookmarkStart w:id="419" w:name="_Toc20239676"/>
      <w:bookmarkStart w:id="420" w:name="_Toc44423206"/>
      <w:bookmarkStart w:id="421" w:name="_Toc44423721"/>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6F4D4F">
        <w:rPr>
          <w:lang w:val="fr-FR"/>
        </w:rPr>
        <w:br w:type="page"/>
      </w:r>
    </w:p>
    <w:p w14:paraId="45FD658D" w14:textId="0D078F96" w:rsidR="00971581" w:rsidRPr="006F4D4F" w:rsidRDefault="00826693" w:rsidP="00D17A31">
      <w:pPr>
        <w:pStyle w:val="Titre2"/>
        <w:rPr>
          <w:lang w:val="fr-FR"/>
        </w:rPr>
      </w:pPr>
      <w:bookmarkStart w:id="422" w:name="_Toc54336693"/>
      <w:r w:rsidRPr="006F4D4F">
        <w:rPr>
          <w:lang w:val="fr-FR"/>
        </w:rPr>
        <w:t xml:space="preserve">4.2 </w:t>
      </w:r>
      <w:bookmarkStart w:id="423" w:name="_Toc477169150"/>
      <w:bookmarkStart w:id="424" w:name="_Toc477169366"/>
      <w:bookmarkStart w:id="425" w:name="_Toc477187879"/>
      <w:bookmarkStart w:id="426" w:name="_Toc477188090"/>
      <w:bookmarkStart w:id="427" w:name="_Toc477188302"/>
      <w:bookmarkStart w:id="428" w:name="_Toc477188514"/>
      <w:bookmarkEnd w:id="418"/>
      <w:bookmarkEnd w:id="419"/>
      <w:bookmarkEnd w:id="420"/>
      <w:bookmarkEnd w:id="421"/>
      <w:bookmarkEnd w:id="423"/>
      <w:bookmarkEnd w:id="424"/>
      <w:bookmarkEnd w:id="425"/>
      <w:bookmarkEnd w:id="426"/>
      <w:bookmarkEnd w:id="427"/>
      <w:bookmarkEnd w:id="428"/>
      <w:r w:rsidR="008E70C8">
        <w:rPr>
          <w:lang w:val="fr-FR"/>
        </w:rPr>
        <w:t>Structure de gouvernance</w:t>
      </w:r>
      <w:bookmarkEnd w:id="422"/>
    </w:p>
    <w:p w14:paraId="1F178D97" w14:textId="68E20D2C" w:rsidR="00537194" w:rsidRPr="006F4D4F" w:rsidRDefault="00537194" w:rsidP="00537194">
      <w:pPr>
        <w:pStyle w:val="BTCBodyText"/>
        <w:rPr>
          <w:lang w:val="fr-FR"/>
        </w:rPr>
      </w:pPr>
    </w:p>
    <w:p w14:paraId="432036F6" w14:textId="6B0F6667" w:rsidR="00537194" w:rsidRPr="006F4D4F" w:rsidRDefault="00B2732A" w:rsidP="00537194">
      <w:pPr>
        <w:pStyle w:val="BTCBodyText"/>
        <w:rPr>
          <w:lang w:val="fr-FR"/>
        </w:rPr>
      </w:pPr>
      <w:r>
        <w:rPr>
          <w:noProof/>
          <w:lang w:val="fr-FR" w:eastAsia="fr-FR"/>
        </w:rPr>
        <w:drawing>
          <wp:inline distT="0" distB="0" distL="0" distR="0" wp14:anchorId="5C9D1D2B" wp14:editId="1500E8D7">
            <wp:extent cx="5706944" cy="32004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06944" cy="3200400"/>
                    </a:xfrm>
                    <a:prstGeom prst="rect">
                      <a:avLst/>
                    </a:prstGeom>
                  </pic:spPr>
                </pic:pic>
              </a:graphicData>
            </a:graphic>
          </wp:inline>
        </w:drawing>
      </w:r>
    </w:p>
    <w:p w14:paraId="6ABB9033" w14:textId="4F17C392" w:rsidR="00185E3D" w:rsidRPr="006F4D4F" w:rsidRDefault="00826693" w:rsidP="00D17A31">
      <w:pPr>
        <w:pStyle w:val="Titre3"/>
      </w:pPr>
      <w:bookmarkStart w:id="429" w:name="_Toc20239586"/>
      <w:bookmarkStart w:id="430" w:name="_Toc20239677"/>
      <w:bookmarkStart w:id="431" w:name="_Toc44423207"/>
      <w:bookmarkStart w:id="432" w:name="_Toc44423722"/>
      <w:bookmarkStart w:id="433" w:name="_Toc54336694"/>
      <w:bookmarkStart w:id="434" w:name="_Toc443640933"/>
      <w:r w:rsidRPr="006F4D4F">
        <w:t xml:space="preserve">4.2.1 </w:t>
      </w:r>
      <w:r w:rsidR="007B3453" w:rsidRPr="009F72D7">
        <w:t xml:space="preserve">Comité </w:t>
      </w:r>
      <w:bookmarkEnd w:id="429"/>
      <w:bookmarkEnd w:id="430"/>
      <w:bookmarkEnd w:id="431"/>
      <w:bookmarkEnd w:id="432"/>
      <w:bookmarkEnd w:id="433"/>
      <w:r w:rsidR="00420F43">
        <w:t>de Pilotage</w:t>
      </w:r>
    </w:p>
    <w:p w14:paraId="5C86E1B0" w14:textId="62075A75" w:rsidR="00BD2DF1" w:rsidRPr="006F4D4F" w:rsidRDefault="007B3453" w:rsidP="00BD2DF1">
      <w:pPr>
        <w:spacing w:after="120" w:line="288" w:lineRule="auto"/>
        <w:jc w:val="both"/>
        <w:rPr>
          <w:color w:val="auto"/>
          <w:lang w:val="fr-FR"/>
        </w:rPr>
      </w:pPr>
      <w:bookmarkStart w:id="435" w:name="_Toc20239587"/>
      <w:bookmarkStart w:id="436" w:name="_Toc20239678"/>
      <w:bookmarkEnd w:id="434"/>
      <w:r>
        <w:rPr>
          <w:color w:val="auto"/>
          <w:lang w:val="fr-FR"/>
        </w:rPr>
        <w:t xml:space="preserve">Le Comité </w:t>
      </w:r>
      <w:r w:rsidR="00420F43">
        <w:rPr>
          <w:color w:val="auto"/>
          <w:lang w:val="fr-FR"/>
        </w:rPr>
        <w:t>de Pilotage</w:t>
      </w:r>
      <w:r>
        <w:rPr>
          <w:color w:val="auto"/>
          <w:lang w:val="fr-FR"/>
        </w:rPr>
        <w:t xml:space="preserve"> de l’action assurera la supervision stratégique de l’intervention, </w:t>
      </w:r>
      <w:r w:rsidR="009F72D7">
        <w:rPr>
          <w:color w:val="auto"/>
          <w:lang w:val="fr-FR"/>
        </w:rPr>
        <w:t>supervisera</w:t>
      </w:r>
      <w:r>
        <w:rPr>
          <w:color w:val="auto"/>
          <w:lang w:val="fr-FR"/>
        </w:rPr>
        <w:t xml:space="preserve"> et validera la direction et la stratégie globales du projet dans toutes ses composantes et assurera la coordination adéquate entre toutes les institutions </w:t>
      </w:r>
      <w:r w:rsidR="009F72D7">
        <w:rPr>
          <w:color w:val="auto"/>
          <w:lang w:val="fr-FR"/>
        </w:rPr>
        <w:t>concernées</w:t>
      </w:r>
      <w:r>
        <w:rPr>
          <w:color w:val="auto"/>
          <w:lang w:val="fr-FR"/>
        </w:rPr>
        <w:t xml:space="preserve">. Le Comité </w:t>
      </w:r>
      <w:r w:rsidR="00B2732A">
        <w:rPr>
          <w:color w:val="auto"/>
          <w:lang w:val="fr-FR"/>
        </w:rPr>
        <w:t>de Pilotage</w:t>
      </w:r>
      <w:r>
        <w:rPr>
          <w:color w:val="auto"/>
          <w:lang w:val="fr-FR"/>
        </w:rPr>
        <w:t xml:space="preserve"> supervisera la direction stratégique des deux actions </w:t>
      </w:r>
      <w:r w:rsidR="00BD2DF1" w:rsidRPr="006F4D4F">
        <w:rPr>
          <w:color w:val="auto"/>
          <w:lang w:val="fr-FR"/>
        </w:rPr>
        <w:t xml:space="preserve">(VET Toolbox 1 </w:t>
      </w:r>
      <w:r>
        <w:rPr>
          <w:color w:val="auto"/>
          <w:lang w:val="fr-FR"/>
        </w:rPr>
        <w:t xml:space="preserve">et </w:t>
      </w:r>
      <w:r w:rsidR="00BD2DF1" w:rsidRPr="006F4D4F">
        <w:rPr>
          <w:color w:val="auto"/>
          <w:lang w:val="fr-FR"/>
        </w:rPr>
        <w:t>2).</w:t>
      </w:r>
    </w:p>
    <w:p w14:paraId="3D8D144C" w14:textId="0F28D645" w:rsidR="00BD2DF1" w:rsidRPr="006F4D4F" w:rsidRDefault="007B3453" w:rsidP="00BD2DF1">
      <w:pPr>
        <w:spacing w:after="120" w:line="288" w:lineRule="auto"/>
        <w:jc w:val="both"/>
        <w:rPr>
          <w:color w:val="auto"/>
          <w:lang w:val="fr-FR"/>
        </w:rPr>
      </w:pPr>
      <w:r>
        <w:rPr>
          <w:color w:val="auto"/>
          <w:lang w:val="fr-FR"/>
        </w:rPr>
        <w:t xml:space="preserve">Le Comité </w:t>
      </w:r>
      <w:r w:rsidR="00B2732A">
        <w:rPr>
          <w:color w:val="auto"/>
          <w:lang w:val="fr-FR"/>
        </w:rPr>
        <w:t>de Pilotage</w:t>
      </w:r>
      <w:r>
        <w:rPr>
          <w:color w:val="auto"/>
          <w:lang w:val="fr-FR"/>
        </w:rPr>
        <w:t xml:space="preserve"> se réunit deux fois par an</w:t>
      </w:r>
      <w:r w:rsidR="00007758">
        <w:rPr>
          <w:color w:val="auto"/>
          <w:lang w:val="fr-FR"/>
        </w:rPr>
        <w:t>. Sa composition est identique à celle du Comité d</w:t>
      </w:r>
      <w:r w:rsidR="00B2732A">
        <w:rPr>
          <w:color w:val="auto"/>
          <w:lang w:val="fr-FR"/>
        </w:rPr>
        <w:t>e Pilotage</w:t>
      </w:r>
      <w:r w:rsidR="00007758">
        <w:rPr>
          <w:color w:val="auto"/>
          <w:lang w:val="fr-FR"/>
        </w:rPr>
        <w:t xml:space="preserve"> actuel, avec l’ajout d’</w:t>
      </w:r>
      <w:r w:rsidR="00BD2DF1" w:rsidRPr="006F4D4F">
        <w:rPr>
          <w:color w:val="auto"/>
          <w:lang w:val="fr-FR"/>
        </w:rPr>
        <w:t>Expertise France</w:t>
      </w:r>
      <w:r w:rsidR="00BD2DF1" w:rsidRPr="006F4D4F">
        <w:rPr>
          <w:rStyle w:val="Appelnotedebasdep"/>
          <w:color w:val="auto"/>
          <w:lang w:val="fr-FR"/>
        </w:rPr>
        <w:footnoteReference w:id="8"/>
      </w:r>
      <w:r w:rsidR="00801EAF" w:rsidRPr="006F4D4F">
        <w:rPr>
          <w:color w:val="auto"/>
          <w:lang w:val="fr-FR"/>
        </w:rPr>
        <w:t xml:space="preserve"> </w:t>
      </w:r>
      <w:r w:rsidR="00007758">
        <w:rPr>
          <w:color w:val="auto"/>
          <w:lang w:val="fr-FR"/>
        </w:rPr>
        <w:t>et</w:t>
      </w:r>
      <w:r w:rsidR="009F72D7">
        <w:rPr>
          <w:color w:val="auto"/>
          <w:lang w:val="fr-FR"/>
        </w:rPr>
        <w:t xml:space="preserve"> du</w:t>
      </w:r>
      <w:r w:rsidR="00007758">
        <w:rPr>
          <w:color w:val="auto"/>
          <w:lang w:val="fr-FR"/>
        </w:rPr>
        <w:t xml:space="preserve"> </w:t>
      </w:r>
      <w:r w:rsidR="00801EAF" w:rsidRPr="006F4D4F">
        <w:rPr>
          <w:color w:val="auto"/>
          <w:lang w:val="fr-FR"/>
        </w:rPr>
        <w:t>BMZ</w:t>
      </w:r>
      <w:r w:rsidR="00801EAF" w:rsidRPr="006F4D4F">
        <w:rPr>
          <w:rStyle w:val="Appelnotedebasdep"/>
          <w:color w:val="auto"/>
          <w:lang w:val="fr-FR"/>
        </w:rPr>
        <w:footnoteReference w:id="9"/>
      </w:r>
      <w:r w:rsidR="00BD2DF1" w:rsidRPr="006F4D4F">
        <w:rPr>
          <w:color w:val="auto"/>
          <w:lang w:val="fr-FR"/>
        </w:rPr>
        <w:t xml:space="preserve">. </w:t>
      </w:r>
      <w:r w:rsidR="00007758">
        <w:rPr>
          <w:color w:val="auto"/>
          <w:lang w:val="fr-FR"/>
        </w:rPr>
        <w:t xml:space="preserve">Le Comité </w:t>
      </w:r>
      <w:r w:rsidR="00B2732A">
        <w:rPr>
          <w:color w:val="auto"/>
          <w:lang w:val="fr-FR"/>
        </w:rPr>
        <w:t>de Pilotage</w:t>
      </w:r>
      <w:r w:rsidR="00007758">
        <w:rPr>
          <w:color w:val="auto"/>
          <w:lang w:val="fr-FR"/>
        </w:rPr>
        <w:t xml:space="preserve"> se compose de représentants de </w:t>
      </w:r>
      <w:r w:rsidR="009F72D7">
        <w:rPr>
          <w:color w:val="auto"/>
          <w:lang w:val="fr-FR"/>
        </w:rPr>
        <w:t xml:space="preserve">la </w:t>
      </w:r>
      <w:r w:rsidR="00BD2DF1" w:rsidRPr="006F4D4F">
        <w:rPr>
          <w:color w:val="auto"/>
          <w:lang w:val="fr-FR"/>
        </w:rPr>
        <w:t>DG DEVCO (co-</w:t>
      </w:r>
      <w:r w:rsidR="00007758">
        <w:rPr>
          <w:color w:val="auto"/>
          <w:lang w:val="fr-FR"/>
        </w:rPr>
        <w:t>présidence</w:t>
      </w:r>
      <w:r w:rsidR="00BD2DF1" w:rsidRPr="006F4D4F">
        <w:rPr>
          <w:color w:val="auto"/>
          <w:lang w:val="fr-FR"/>
        </w:rPr>
        <w:t>)</w:t>
      </w:r>
      <w:r w:rsidR="00801EAF" w:rsidRPr="006F4D4F">
        <w:rPr>
          <w:color w:val="auto"/>
          <w:lang w:val="fr-FR"/>
        </w:rPr>
        <w:t xml:space="preserve">, </w:t>
      </w:r>
      <w:r w:rsidR="009F72D7">
        <w:rPr>
          <w:color w:val="auto"/>
          <w:lang w:val="fr-FR"/>
        </w:rPr>
        <w:t xml:space="preserve">du </w:t>
      </w:r>
      <w:r w:rsidR="00801EAF" w:rsidRPr="006F4D4F">
        <w:rPr>
          <w:color w:val="auto"/>
          <w:lang w:val="fr-FR"/>
        </w:rPr>
        <w:t xml:space="preserve">BMZ </w:t>
      </w:r>
      <w:r w:rsidR="00007758">
        <w:rPr>
          <w:color w:val="auto"/>
          <w:lang w:val="fr-FR"/>
        </w:rPr>
        <w:t>et des agences déléguées</w:t>
      </w:r>
      <w:r w:rsidR="00BD2DF1" w:rsidRPr="006F4D4F">
        <w:rPr>
          <w:color w:val="auto"/>
          <w:lang w:val="fr-FR"/>
        </w:rPr>
        <w:t xml:space="preserve"> (GIZ, LuxDev, </w:t>
      </w:r>
      <w:r w:rsidR="00007758">
        <w:rPr>
          <w:color w:val="auto"/>
          <w:lang w:val="fr-FR"/>
        </w:rPr>
        <w:t xml:space="preserve">le </w:t>
      </w:r>
      <w:r w:rsidR="00BD2DF1" w:rsidRPr="006F4D4F">
        <w:rPr>
          <w:color w:val="auto"/>
          <w:lang w:val="fr-FR"/>
        </w:rPr>
        <w:t>British Council, Expertise France, Enabel – co-</w:t>
      </w:r>
      <w:r w:rsidR="00007758">
        <w:rPr>
          <w:color w:val="auto"/>
          <w:lang w:val="fr-FR"/>
        </w:rPr>
        <w:t>présidence</w:t>
      </w:r>
      <w:r w:rsidR="00BD2DF1" w:rsidRPr="006F4D4F">
        <w:rPr>
          <w:color w:val="auto"/>
          <w:lang w:val="fr-FR"/>
        </w:rPr>
        <w:t xml:space="preserve">). </w:t>
      </w:r>
      <w:r w:rsidR="00007758">
        <w:rPr>
          <w:color w:val="auto"/>
          <w:lang w:val="fr-FR"/>
        </w:rPr>
        <w:t xml:space="preserve">L’Union européenne co-présidera le Comité </w:t>
      </w:r>
      <w:r w:rsidR="00B2732A">
        <w:rPr>
          <w:color w:val="auto"/>
          <w:lang w:val="fr-FR"/>
        </w:rPr>
        <w:t>de Pilotage</w:t>
      </w:r>
      <w:r w:rsidR="00007758">
        <w:rPr>
          <w:color w:val="auto"/>
          <w:lang w:val="fr-FR"/>
        </w:rPr>
        <w:t xml:space="preserve"> avec l’agence chef de file. Le coordonnateur du Centre sera associé au Comité </w:t>
      </w:r>
      <w:r w:rsidR="00B2732A">
        <w:rPr>
          <w:color w:val="auto"/>
          <w:lang w:val="fr-FR"/>
        </w:rPr>
        <w:t>de Pilotage</w:t>
      </w:r>
      <w:r w:rsidR="00007758">
        <w:rPr>
          <w:color w:val="auto"/>
          <w:lang w:val="fr-FR"/>
        </w:rPr>
        <w:t>, sans droit de vote. Les régularités et intervalles de réunion déjà établis dans le cadre de la VET Toolbox 1 s’appliqueront.</w:t>
      </w:r>
    </w:p>
    <w:p w14:paraId="68508F02" w14:textId="599049AB" w:rsidR="00BD2DF1" w:rsidRPr="006F4D4F" w:rsidRDefault="00007758" w:rsidP="00BD2DF1">
      <w:pPr>
        <w:spacing w:after="120" w:line="288" w:lineRule="auto"/>
        <w:jc w:val="both"/>
        <w:rPr>
          <w:color w:val="auto"/>
          <w:lang w:val="fr-FR"/>
        </w:rPr>
      </w:pPr>
      <w:r>
        <w:rPr>
          <w:color w:val="auto"/>
          <w:lang w:val="fr-FR"/>
        </w:rPr>
        <w:t xml:space="preserve">Missions du Comité </w:t>
      </w:r>
      <w:r w:rsidR="00B2732A">
        <w:rPr>
          <w:color w:val="auto"/>
          <w:lang w:val="fr-FR"/>
        </w:rPr>
        <w:t>de Pilotage</w:t>
      </w:r>
      <w:r>
        <w:rPr>
          <w:color w:val="auto"/>
          <w:lang w:val="fr-FR"/>
        </w:rPr>
        <w:t> :</w:t>
      </w:r>
      <w:r w:rsidR="00BD2DF1" w:rsidRPr="006F4D4F">
        <w:rPr>
          <w:color w:val="auto"/>
          <w:lang w:val="fr-FR"/>
        </w:rPr>
        <w:t xml:space="preserve"> </w:t>
      </w:r>
    </w:p>
    <w:p w14:paraId="758B330A" w14:textId="38828C1B" w:rsidR="00BD2DF1" w:rsidRPr="006F4D4F" w:rsidRDefault="00007758" w:rsidP="00DA106F">
      <w:pPr>
        <w:numPr>
          <w:ilvl w:val="0"/>
          <w:numId w:val="4"/>
        </w:numPr>
        <w:spacing w:after="120" w:line="288" w:lineRule="auto"/>
        <w:jc w:val="both"/>
        <w:rPr>
          <w:color w:val="auto"/>
          <w:lang w:val="fr-FR"/>
        </w:rPr>
      </w:pPr>
      <w:r>
        <w:rPr>
          <w:color w:val="auto"/>
          <w:lang w:val="fr-FR"/>
        </w:rPr>
        <w:t>Superviser la gestion de l’action pour veiller à la réalisation des objectifs d’une manière quantifiable et vérifiable.</w:t>
      </w:r>
    </w:p>
    <w:p w14:paraId="56593BA3" w14:textId="14B53283" w:rsidR="004A1AEC" w:rsidRPr="006F4D4F" w:rsidRDefault="00007758" w:rsidP="00DA106F">
      <w:pPr>
        <w:numPr>
          <w:ilvl w:val="0"/>
          <w:numId w:val="4"/>
        </w:numPr>
        <w:spacing w:after="120" w:line="288" w:lineRule="auto"/>
        <w:jc w:val="both"/>
        <w:rPr>
          <w:color w:val="auto"/>
          <w:lang w:val="fr-FR"/>
        </w:rPr>
      </w:pPr>
      <w:r>
        <w:rPr>
          <w:color w:val="auto"/>
          <w:lang w:val="fr-FR"/>
        </w:rPr>
        <w:t xml:space="preserve">Superviser la synergie entre les activités de la </w:t>
      </w:r>
      <w:r w:rsidR="004A1AEC" w:rsidRPr="006F4D4F">
        <w:rPr>
          <w:color w:val="auto"/>
          <w:lang w:val="fr-FR"/>
        </w:rPr>
        <w:t xml:space="preserve">Toolbox 1 </w:t>
      </w:r>
      <w:r>
        <w:rPr>
          <w:color w:val="auto"/>
          <w:lang w:val="fr-FR"/>
        </w:rPr>
        <w:t xml:space="preserve">et celles de la </w:t>
      </w:r>
      <w:r w:rsidR="004A1AEC" w:rsidRPr="006F4D4F">
        <w:rPr>
          <w:color w:val="auto"/>
          <w:lang w:val="fr-FR"/>
        </w:rPr>
        <w:t>Toolbox 2</w:t>
      </w:r>
      <w:r>
        <w:rPr>
          <w:color w:val="auto"/>
          <w:lang w:val="fr-FR"/>
        </w:rPr>
        <w:t>.</w:t>
      </w:r>
    </w:p>
    <w:p w14:paraId="7831F560" w14:textId="3912943C" w:rsidR="00BD2DF1" w:rsidRPr="006F4D4F" w:rsidRDefault="00BD2DF1" w:rsidP="00DA106F">
      <w:pPr>
        <w:numPr>
          <w:ilvl w:val="0"/>
          <w:numId w:val="4"/>
        </w:numPr>
        <w:spacing w:after="120" w:line="288" w:lineRule="auto"/>
        <w:jc w:val="both"/>
        <w:rPr>
          <w:color w:val="auto"/>
          <w:lang w:val="fr-FR"/>
        </w:rPr>
      </w:pPr>
      <w:r w:rsidRPr="006F4D4F">
        <w:rPr>
          <w:color w:val="auto"/>
          <w:lang w:val="fr-FR"/>
        </w:rPr>
        <w:t>Supervise</w:t>
      </w:r>
      <w:r w:rsidR="00007758">
        <w:rPr>
          <w:color w:val="auto"/>
          <w:lang w:val="fr-FR"/>
        </w:rPr>
        <w:t xml:space="preserve">r la mise en œuvre de l’action et veiller à sa conformité à des normes </w:t>
      </w:r>
      <w:r w:rsidR="00585533">
        <w:rPr>
          <w:color w:val="auto"/>
          <w:lang w:val="fr-FR"/>
        </w:rPr>
        <w:t>d’audit et de compte rendu rigoureuses, vérifiables et transparentes.</w:t>
      </w:r>
    </w:p>
    <w:p w14:paraId="2F9F4FB3" w14:textId="7FD386E8" w:rsidR="00BD2DF1" w:rsidRPr="006F4D4F" w:rsidRDefault="00585533" w:rsidP="00DA106F">
      <w:pPr>
        <w:numPr>
          <w:ilvl w:val="0"/>
          <w:numId w:val="4"/>
        </w:numPr>
        <w:spacing w:after="120" w:line="288" w:lineRule="auto"/>
        <w:jc w:val="both"/>
        <w:rPr>
          <w:color w:val="auto"/>
          <w:lang w:val="fr-FR"/>
        </w:rPr>
      </w:pPr>
      <w:r>
        <w:rPr>
          <w:color w:val="auto"/>
          <w:lang w:val="fr-FR"/>
        </w:rPr>
        <w:t>Examiner tous les rapports, plans de travail et rapports de suivi-évaluation, notamment :</w:t>
      </w:r>
    </w:p>
    <w:p w14:paraId="0DC14831" w14:textId="6BC10965" w:rsidR="00BD2DF1" w:rsidRPr="006F4D4F" w:rsidRDefault="00585533" w:rsidP="00DA106F">
      <w:pPr>
        <w:numPr>
          <w:ilvl w:val="1"/>
          <w:numId w:val="8"/>
        </w:numPr>
        <w:spacing w:after="120" w:line="288" w:lineRule="auto"/>
        <w:ind w:left="1434" w:hanging="357"/>
        <w:jc w:val="both"/>
        <w:rPr>
          <w:color w:val="auto"/>
          <w:lang w:val="fr-FR"/>
        </w:rPr>
      </w:pPr>
      <w:r>
        <w:rPr>
          <w:color w:val="auto"/>
          <w:lang w:val="fr-FR"/>
        </w:rPr>
        <w:t>approuver le plan de travail annuel,</w:t>
      </w:r>
      <w:r w:rsidR="00BD2DF1" w:rsidRPr="006F4D4F">
        <w:rPr>
          <w:color w:val="auto"/>
          <w:lang w:val="fr-FR"/>
        </w:rPr>
        <w:t xml:space="preserve"> </w:t>
      </w:r>
    </w:p>
    <w:p w14:paraId="4AFB4230" w14:textId="34905E03" w:rsidR="00BD2DF1" w:rsidRPr="006F4D4F" w:rsidRDefault="00585533" w:rsidP="00DA106F">
      <w:pPr>
        <w:numPr>
          <w:ilvl w:val="1"/>
          <w:numId w:val="8"/>
        </w:numPr>
        <w:spacing w:after="120" w:line="288" w:lineRule="auto"/>
        <w:ind w:left="1434" w:hanging="357"/>
        <w:jc w:val="both"/>
        <w:rPr>
          <w:color w:val="auto"/>
          <w:lang w:val="fr-FR"/>
        </w:rPr>
      </w:pPr>
      <w:r>
        <w:rPr>
          <w:color w:val="auto"/>
          <w:lang w:val="fr-FR"/>
        </w:rPr>
        <w:t>approuver le rapport et les comptes annuels,</w:t>
      </w:r>
    </w:p>
    <w:p w14:paraId="242702BB" w14:textId="7C628FA0" w:rsidR="00BD2DF1" w:rsidRPr="006F4D4F" w:rsidRDefault="00585533" w:rsidP="00DA106F">
      <w:pPr>
        <w:numPr>
          <w:ilvl w:val="1"/>
          <w:numId w:val="8"/>
        </w:numPr>
        <w:spacing w:after="120" w:line="288" w:lineRule="auto"/>
        <w:ind w:left="1434" w:hanging="357"/>
        <w:jc w:val="both"/>
        <w:rPr>
          <w:color w:val="auto"/>
          <w:lang w:val="fr-FR"/>
        </w:rPr>
      </w:pPr>
      <w:r>
        <w:rPr>
          <w:color w:val="auto"/>
          <w:lang w:val="fr-FR"/>
        </w:rPr>
        <w:t>approuver les termes de référence des évaluations,</w:t>
      </w:r>
    </w:p>
    <w:p w14:paraId="07A08ADE" w14:textId="738FA5AB" w:rsidR="00BD2DF1" w:rsidRPr="006F4D4F" w:rsidRDefault="00585533" w:rsidP="00DA106F">
      <w:pPr>
        <w:numPr>
          <w:ilvl w:val="1"/>
          <w:numId w:val="8"/>
        </w:numPr>
        <w:spacing w:after="120" w:line="288" w:lineRule="auto"/>
        <w:ind w:left="1434" w:hanging="357"/>
        <w:jc w:val="both"/>
        <w:rPr>
          <w:color w:val="auto"/>
          <w:lang w:val="fr-FR"/>
        </w:rPr>
      </w:pPr>
      <w:r>
        <w:rPr>
          <w:color w:val="auto"/>
          <w:lang w:val="fr-FR"/>
        </w:rPr>
        <w:t>approuver le plan de visibilité.</w:t>
      </w:r>
    </w:p>
    <w:p w14:paraId="34FC0C57" w14:textId="1543D4C5" w:rsidR="00BD2DF1" w:rsidRPr="006F4D4F" w:rsidRDefault="007C629B" w:rsidP="00DA106F">
      <w:pPr>
        <w:numPr>
          <w:ilvl w:val="0"/>
          <w:numId w:val="4"/>
        </w:numPr>
        <w:spacing w:after="120" w:line="288" w:lineRule="auto"/>
        <w:jc w:val="both"/>
        <w:rPr>
          <w:color w:val="auto"/>
          <w:lang w:val="fr-FR"/>
        </w:rPr>
      </w:pPr>
      <w:r>
        <w:rPr>
          <w:color w:val="auto"/>
          <w:lang w:val="fr-FR"/>
        </w:rPr>
        <w:t>Examiner</w:t>
      </w:r>
      <w:r w:rsidR="00585533">
        <w:rPr>
          <w:color w:val="auto"/>
          <w:lang w:val="fr-FR"/>
        </w:rPr>
        <w:t xml:space="preserve"> et trancher toutes les questions stratégiques, administratives, de coordination et financières concernant la mise en œuvre de l’action, dans la mesure où il est impossible de les trancher entre le Centre et les chargés de liaison (au niveau du Comité de suivi opérationnel).</w:t>
      </w:r>
    </w:p>
    <w:p w14:paraId="507BF07C" w14:textId="260B54AF" w:rsidR="009A70E2" w:rsidRPr="006F4D4F" w:rsidRDefault="00585533" w:rsidP="00DA106F">
      <w:pPr>
        <w:numPr>
          <w:ilvl w:val="0"/>
          <w:numId w:val="4"/>
        </w:numPr>
        <w:spacing w:after="120" w:line="288" w:lineRule="auto"/>
        <w:jc w:val="both"/>
        <w:rPr>
          <w:color w:val="auto"/>
          <w:lang w:val="fr-FR"/>
        </w:rPr>
      </w:pPr>
      <w:r>
        <w:rPr>
          <w:color w:val="auto"/>
          <w:lang w:val="fr-FR"/>
        </w:rPr>
        <w:t>Publier un procès-verbal des réunions comportant le nom de</w:t>
      </w:r>
      <w:r w:rsidR="00002048">
        <w:rPr>
          <w:color w:val="auto"/>
          <w:lang w:val="fr-FR"/>
        </w:rPr>
        <w:t>s</w:t>
      </w:r>
      <w:r>
        <w:rPr>
          <w:color w:val="auto"/>
          <w:lang w:val="fr-FR"/>
        </w:rPr>
        <w:t xml:space="preserve"> personnes présentes, une présentation générale des délibérations, un résumé des progrès réalisés, les contraintes et les points en suspens.</w:t>
      </w:r>
    </w:p>
    <w:bookmarkEnd w:id="435"/>
    <w:bookmarkEnd w:id="436"/>
    <w:p w14:paraId="69C31D70" w14:textId="578E0C15" w:rsidR="00B53E36" w:rsidRPr="006F4D4F" w:rsidRDefault="00585533" w:rsidP="001D6523">
      <w:pPr>
        <w:spacing w:before="240" w:after="120"/>
        <w:jc w:val="both"/>
        <w:rPr>
          <w:b/>
          <w:color w:val="auto"/>
          <w:lang w:val="fr-FR"/>
        </w:rPr>
      </w:pPr>
      <w:r>
        <w:rPr>
          <w:b/>
          <w:color w:val="auto"/>
          <w:lang w:val="fr-FR"/>
        </w:rPr>
        <w:t xml:space="preserve">Membres du Comité </w:t>
      </w:r>
      <w:r w:rsidR="00B2732A">
        <w:rPr>
          <w:b/>
          <w:color w:val="auto"/>
          <w:lang w:val="fr-FR"/>
        </w:rPr>
        <w:t>de Pilotage</w:t>
      </w:r>
      <w:r>
        <w:rPr>
          <w:b/>
          <w:color w:val="auto"/>
          <w:lang w:val="fr-FR"/>
        </w:rPr>
        <w:t> :</w:t>
      </w:r>
    </w:p>
    <w:p w14:paraId="7D4D4C1E" w14:textId="31A5F11D" w:rsidR="001643FB" w:rsidRPr="006F4D4F" w:rsidRDefault="00B53E36" w:rsidP="00DA106F">
      <w:pPr>
        <w:widowControl w:val="0"/>
        <w:numPr>
          <w:ilvl w:val="0"/>
          <w:numId w:val="5"/>
        </w:numPr>
        <w:suppressAutoHyphens/>
        <w:spacing w:after="120" w:line="280" w:lineRule="exact"/>
        <w:jc w:val="both"/>
        <w:rPr>
          <w:rFonts w:cs="Times New Roman"/>
          <w:color w:val="auto"/>
          <w:kern w:val="18"/>
          <w:lang w:val="fr-FR"/>
        </w:rPr>
      </w:pPr>
      <w:r w:rsidRPr="006F4D4F">
        <w:rPr>
          <w:rFonts w:cs="Times New Roman"/>
          <w:color w:val="auto"/>
          <w:kern w:val="18"/>
          <w:lang w:val="fr-FR"/>
        </w:rPr>
        <w:t>R</w:t>
      </w:r>
      <w:r w:rsidR="00585533">
        <w:rPr>
          <w:rFonts w:cs="Times New Roman"/>
          <w:color w:val="auto"/>
          <w:kern w:val="18"/>
          <w:lang w:val="fr-FR"/>
        </w:rPr>
        <w:t xml:space="preserve">eprésentant de </w:t>
      </w:r>
      <w:r w:rsidR="00002048">
        <w:rPr>
          <w:rFonts w:cs="Times New Roman"/>
          <w:color w:val="auto"/>
          <w:kern w:val="18"/>
          <w:lang w:val="fr-FR"/>
        </w:rPr>
        <w:t xml:space="preserve">la </w:t>
      </w:r>
      <w:r w:rsidR="008A0B66" w:rsidRPr="006F4D4F">
        <w:rPr>
          <w:rFonts w:cs="Times New Roman"/>
          <w:color w:val="auto"/>
          <w:kern w:val="18"/>
          <w:lang w:val="fr-FR"/>
        </w:rPr>
        <w:t xml:space="preserve">DG </w:t>
      </w:r>
      <w:r w:rsidR="005737B4" w:rsidRPr="006F4D4F">
        <w:rPr>
          <w:rFonts w:cs="Times New Roman"/>
          <w:color w:val="auto"/>
          <w:kern w:val="18"/>
          <w:lang w:val="fr-FR"/>
        </w:rPr>
        <w:t>DEVCO</w:t>
      </w:r>
      <w:r w:rsidRPr="006F4D4F">
        <w:rPr>
          <w:rFonts w:cs="Times New Roman"/>
          <w:color w:val="auto"/>
          <w:kern w:val="18"/>
          <w:lang w:val="fr-FR"/>
        </w:rPr>
        <w:t xml:space="preserve">, </w:t>
      </w:r>
      <w:r w:rsidR="00F508DE" w:rsidRPr="006F4D4F">
        <w:rPr>
          <w:rFonts w:cs="Times New Roman"/>
          <w:color w:val="auto"/>
          <w:kern w:val="18"/>
          <w:lang w:val="fr-FR"/>
        </w:rPr>
        <w:t>co-</w:t>
      </w:r>
      <w:r w:rsidR="00585533">
        <w:rPr>
          <w:rFonts w:cs="Times New Roman"/>
          <w:color w:val="auto"/>
          <w:kern w:val="18"/>
          <w:lang w:val="fr-FR"/>
        </w:rPr>
        <w:t>président.</w:t>
      </w:r>
    </w:p>
    <w:p w14:paraId="0D1AA9B1" w14:textId="4BE94CF1" w:rsidR="00CA0428" w:rsidRPr="006F4D4F" w:rsidRDefault="00CA0428" w:rsidP="00DA106F">
      <w:pPr>
        <w:widowControl w:val="0"/>
        <w:numPr>
          <w:ilvl w:val="0"/>
          <w:numId w:val="5"/>
        </w:numPr>
        <w:suppressAutoHyphens/>
        <w:spacing w:after="120" w:line="280" w:lineRule="exact"/>
        <w:jc w:val="both"/>
        <w:rPr>
          <w:rFonts w:cs="Times New Roman"/>
          <w:color w:val="auto"/>
          <w:kern w:val="18"/>
          <w:lang w:val="fr-FR"/>
        </w:rPr>
      </w:pPr>
      <w:r w:rsidRPr="006F4D4F">
        <w:rPr>
          <w:rFonts w:cs="Times New Roman"/>
          <w:color w:val="auto"/>
          <w:kern w:val="18"/>
          <w:lang w:val="fr-FR"/>
        </w:rPr>
        <w:t>Repr</w:t>
      </w:r>
      <w:r w:rsidR="00585533">
        <w:rPr>
          <w:rFonts w:cs="Times New Roman"/>
          <w:color w:val="auto"/>
          <w:kern w:val="18"/>
          <w:lang w:val="fr-FR"/>
        </w:rPr>
        <w:t>ésentant d</w:t>
      </w:r>
      <w:r w:rsidR="00002048">
        <w:rPr>
          <w:rFonts w:cs="Times New Roman"/>
          <w:color w:val="auto"/>
          <w:kern w:val="18"/>
          <w:lang w:val="fr-FR"/>
        </w:rPr>
        <w:t>u</w:t>
      </w:r>
      <w:r w:rsidR="00585533">
        <w:rPr>
          <w:rFonts w:cs="Times New Roman"/>
          <w:color w:val="auto"/>
          <w:kern w:val="18"/>
          <w:lang w:val="fr-FR"/>
        </w:rPr>
        <w:t xml:space="preserve"> </w:t>
      </w:r>
      <w:r w:rsidRPr="006F4D4F">
        <w:rPr>
          <w:rFonts w:cs="Times New Roman"/>
          <w:color w:val="auto"/>
          <w:kern w:val="18"/>
          <w:lang w:val="fr-FR"/>
        </w:rPr>
        <w:t>BMZ</w:t>
      </w:r>
      <w:r w:rsidR="00FE1DB2" w:rsidRPr="006F4D4F">
        <w:rPr>
          <w:rFonts w:cs="Times New Roman"/>
          <w:color w:val="auto"/>
          <w:kern w:val="18"/>
          <w:lang w:val="fr-FR"/>
        </w:rPr>
        <w:t xml:space="preserve"> (</w:t>
      </w:r>
      <w:r w:rsidR="00585533">
        <w:rPr>
          <w:rFonts w:cs="Times New Roman"/>
          <w:color w:val="auto"/>
          <w:kern w:val="18"/>
          <w:lang w:val="fr-FR"/>
        </w:rPr>
        <w:t>à confirmer</w:t>
      </w:r>
      <w:r w:rsidR="00FE1DB2" w:rsidRPr="006F4D4F">
        <w:rPr>
          <w:rFonts w:cs="Times New Roman"/>
          <w:color w:val="auto"/>
          <w:kern w:val="18"/>
          <w:lang w:val="fr-FR"/>
        </w:rPr>
        <w:t>)</w:t>
      </w:r>
      <w:r w:rsidR="00585533">
        <w:rPr>
          <w:rFonts w:cs="Times New Roman"/>
          <w:color w:val="auto"/>
          <w:kern w:val="18"/>
          <w:lang w:val="fr-FR"/>
        </w:rPr>
        <w:t>.</w:t>
      </w:r>
      <w:r w:rsidRPr="006F4D4F">
        <w:rPr>
          <w:rFonts w:cs="Times New Roman"/>
          <w:color w:val="auto"/>
          <w:kern w:val="18"/>
          <w:lang w:val="fr-FR"/>
        </w:rPr>
        <w:t xml:space="preserve"> </w:t>
      </w:r>
    </w:p>
    <w:p w14:paraId="196E1376" w14:textId="6104D6E0" w:rsidR="00B53E36" w:rsidRPr="006F4D4F" w:rsidRDefault="00B53E36" w:rsidP="00DA106F">
      <w:pPr>
        <w:widowControl w:val="0"/>
        <w:numPr>
          <w:ilvl w:val="0"/>
          <w:numId w:val="5"/>
        </w:numPr>
        <w:suppressAutoHyphens/>
        <w:spacing w:after="120" w:line="280" w:lineRule="exact"/>
        <w:jc w:val="both"/>
        <w:rPr>
          <w:rFonts w:cs="Times New Roman"/>
          <w:color w:val="auto"/>
          <w:kern w:val="18"/>
          <w:lang w:val="fr-FR"/>
        </w:rPr>
      </w:pPr>
      <w:r w:rsidRPr="006F4D4F">
        <w:rPr>
          <w:rFonts w:cs="Times New Roman"/>
          <w:color w:val="auto"/>
          <w:kern w:val="18"/>
          <w:lang w:val="fr-FR"/>
        </w:rPr>
        <w:t>Repr</w:t>
      </w:r>
      <w:r w:rsidR="00585533">
        <w:rPr>
          <w:rFonts w:cs="Times New Roman"/>
          <w:color w:val="auto"/>
          <w:kern w:val="18"/>
          <w:lang w:val="fr-FR"/>
        </w:rPr>
        <w:t>ésentant d’</w:t>
      </w:r>
      <w:r w:rsidR="00FC4AE3" w:rsidRPr="006F4D4F">
        <w:rPr>
          <w:rFonts w:cs="Times New Roman"/>
          <w:color w:val="auto"/>
          <w:kern w:val="18"/>
          <w:lang w:val="fr-FR"/>
        </w:rPr>
        <w:t>Enabel</w:t>
      </w:r>
      <w:r w:rsidR="005737B4" w:rsidRPr="006F4D4F">
        <w:rPr>
          <w:rFonts w:cs="Times New Roman"/>
          <w:color w:val="auto"/>
          <w:kern w:val="18"/>
          <w:lang w:val="fr-FR"/>
        </w:rPr>
        <w:t>, co-</w:t>
      </w:r>
      <w:r w:rsidR="00585533">
        <w:rPr>
          <w:rFonts w:cs="Times New Roman"/>
          <w:color w:val="auto"/>
          <w:kern w:val="18"/>
          <w:lang w:val="fr-FR"/>
        </w:rPr>
        <w:t>président.</w:t>
      </w:r>
    </w:p>
    <w:p w14:paraId="2EED5362" w14:textId="10E45A1E" w:rsidR="00B53E36" w:rsidRPr="006F4D4F" w:rsidRDefault="00B53E36" w:rsidP="00DA106F">
      <w:pPr>
        <w:widowControl w:val="0"/>
        <w:numPr>
          <w:ilvl w:val="0"/>
          <w:numId w:val="5"/>
        </w:numPr>
        <w:suppressAutoHyphens/>
        <w:spacing w:after="120" w:line="280" w:lineRule="exact"/>
        <w:jc w:val="both"/>
        <w:rPr>
          <w:rFonts w:cs="Times New Roman"/>
          <w:color w:val="auto"/>
          <w:kern w:val="18"/>
          <w:lang w:val="fr-FR"/>
        </w:rPr>
      </w:pPr>
      <w:r w:rsidRPr="006F4D4F">
        <w:rPr>
          <w:rFonts w:cs="Times New Roman"/>
          <w:color w:val="auto"/>
          <w:kern w:val="18"/>
          <w:lang w:val="fr-FR"/>
        </w:rPr>
        <w:t>Repr</w:t>
      </w:r>
      <w:r w:rsidR="00585533">
        <w:rPr>
          <w:rFonts w:cs="Times New Roman"/>
          <w:color w:val="auto"/>
          <w:kern w:val="18"/>
          <w:lang w:val="fr-FR"/>
        </w:rPr>
        <w:t>ésentant du British Council.</w:t>
      </w:r>
    </w:p>
    <w:p w14:paraId="61A4B54F" w14:textId="0B7A7F8F" w:rsidR="00B53E36" w:rsidRPr="006F4D4F" w:rsidRDefault="00585533" w:rsidP="00DA106F">
      <w:pPr>
        <w:widowControl w:val="0"/>
        <w:numPr>
          <w:ilvl w:val="0"/>
          <w:numId w:val="5"/>
        </w:numPr>
        <w:suppressAutoHyphens/>
        <w:spacing w:after="120" w:line="280" w:lineRule="exact"/>
        <w:jc w:val="both"/>
        <w:rPr>
          <w:rFonts w:cs="Times New Roman"/>
          <w:color w:val="auto"/>
          <w:kern w:val="18"/>
          <w:lang w:val="fr-FR"/>
        </w:rPr>
      </w:pPr>
      <w:r>
        <w:rPr>
          <w:rFonts w:cs="Times New Roman"/>
          <w:color w:val="auto"/>
          <w:kern w:val="18"/>
          <w:lang w:val="fr-FR"/>
        </w:rPr>
        <w:t>Représentant d’Expertise France.</w:t>
      </w:r>
      <w:r w:rsidR="000773E1" w:rsidRPr="006F4D4F">
        <w:rPr>
          <w:rFonts w:cs="Times New Roman"/>
          <w:color w:val="auto"/>
          <w:kern w:val="18"/>
          <w:lang w:val="fr-FR"/>
        </w:rPr>
        <w:t xml:space="preserve"> </w:t>
      </w:r>
    </w:p>
    <w:p w14:paraId="06CC8852" w14:textId="16EB9B48" w:rsidR="00B53E36" w:rsidRPr="006F4D4F" w:rsidRDefault="00585533" w:rsidP="00DA106F">
      <w:pPr>
        <w:widowControl w:val="0"/>
        <w:numPr>
          <w:ilvl w:val="0"/>
          <w:numId w:val="5"/>
        </w:numPr>
        <w:suppressAutoHyphens/>
        <w:spacing w:after="120" w:line="280" w:lineRule="exact"/>
        <w:jc w:val="both"/>
        <w:rPr>
          <w:rFonts w:cs="Times New Roman"/>
          <w:color w:val="auto"/>
          <w:kern w:val="18"/>
          <w:lang w:val="fr-FR"/>
        </w:rPr>
      </w:pPr>
      <w:r>
        <w:rPr>
          <w:rFonts w:cs="Times New Roman"/>
          <w:color w:val="auto"/>
          <w:kern w:val="18"/>
          <w:lang w:val="fr-FR"/>
        </w:rPr>
        <w:t xml:space="preserve">Représentant de </w:t>
      </w:r>
      <w:r w:rsidR="000773E1" w:rsidRPr="006F4D4F">
        <w:rPr>
          <w:rFonts w:cs="Times New Roman"/>
          <w:color w:val="auto"/>
          <w:kern w:val="18"/>
          <w:lang w:val="fr-FR"/>
        </w:rPr>
        <w:t>GIZ</w:t>
      </w:r>
      <w:r>
        <w:rPr>
          <w:rFonts w:cs="Times New Roman"/>
          <w:color w:val="auto"/>
          <w:kern w:val="18"/>
          <w:lang w:val="fr-FR"/>
        </w:rPr>
        <w:t>.</w:t>
      </w:r>
    </w:p>
    <w:p w14:paraId="6F96657D" w14:textId="67B0C656" w:rsidR="00B53E36" w:rsidRPr="006F4D4F" w:rsidRDefault="00585533" w:rsidP="00DA106F">
      <w:pPr>
        <w:widowControl w:val="0"/>
        <w:numPr>
          <w:ilvl w:val="0"/>
          <w:numId w:val="5"/>
        </w:numPr>
        <w:suppressAutoHyphens/>
        <w:spacing w:after="120" w:line="280" w:lineRule="exact"/>
        <w:jc w:val="both"/>
        <w:rPr>
          <w:rFonts w:cs="Times New Roman"/>
          <w:color w:val="auto"/>
          <w:kern w:val="18"/>
          <w:lang w:val="fr-FR"/>
        </w:rPr>
      </w:pPr>
      <w:r>
        <w:rPr>
          <w:rFonts w:cs="Times New Roman"/>
          <w:color w:val="auto"/>
          <w:kern w:val="18"/>
          <w:lang w:val="fr-FR"/>
        </w:rPr>
        <w:t>Représentant de</w:t>
      </w:r>
      <w:r w:rsidR="00B53E36" w:rsidRPr="006F4D4F">
        <w:rPr>
          <w:rFonts w:cs="Times New Roman"/>
          <w:color w:val="auto"/>
          <w:kern w:val="18"/>
          <w:lang w:val="fr-FR"/>
        </w:rPr>
        <w:t xml:space="preserve"> </w:t>
      </w:r>
      <w:r w:rsidR="005737B4" w:rsidRPr="006F4D4F">
        <w:rPr>
          <w:rFonts w:cs="Times New Roman"/>
          <w:color w:val="auto"/>
          <w:kern w:val="18"/>
          <w:lang w:val="fr-FR"/>
        </w:rPr>
        <w:t>LuxDev</w:t>
      </w:r>
      <w:r>
        <w:rPr>
          <w:rFonts w:cs="Times New Roman"/>
          <w:color w:val="auto"/>
          <w:kern w:val="18"/>
          <w:lang w:val="fr-FR"/>
        </w:rPr>
        <w:t>.</w:t>
      </w:r>
    </w:p>
    <w:p w14:paraId="65C16957" w14:textId="418DCE9D" w:rsidR="00774EEF" w:rsidRPr="006F4D4F" w:rsidRDefault="00826693" w:rsidP="00D17A31">
      <w:pPr>
        <w:pStyle w:val="Titre3"/>
      </w:pPr>
      <w:bookmarkStart w:id="437" w:name="_Toc44423208"/>
      <w:bookmarkStart w:id="438" w:name="_Toc44423723"/>
      <w:bookmarkStart w:id="439" w:name="_Toc54336695"/>
      <w:r w:rsidRPr="006F4D4F">
        <w:t xml:space="preserve">4.2.2 </w:t>
      </w:r>
      <w:r w:rsidR="00585533">
        <w:t>Réunion du partenariat</w:t>
      </w:r>
      <w:bookmarkEnd w:id="437"/>
      <w:bookmarkEnd w:id="438"/>
      <w:bookmarkEnd w:id="439"/>
    </w:p>
    <w:p w14:paraId="3409F58C" w14:textId="2EE6C95B" w:rsidR="00774EEF" w:rsidRPr="006F4D4F" w:rsidRDefault="00585533" w:rsidP="00774EEF">
      <w:pPr>
        <w:widowControl w:val="0"/>
        <w:suppressAutoHyphens/>
        <w:spacing w:after="120" w:line="280" w:lineRule="exact"/>
        <w:jc w:val="both"/>
        <w:rPr>
          <w:rFonts w:cs="Times New Roman"/>
          <w:color w:val="auto"/>
          <w:kern w:val="18"/>
          <w:lang w:val="fr-FR"/>
        </w:rPr>
      </w:pPr>
      <w:r>
        <w:rPr>
          <w:rFonts w:cs="Times New Roman"/>
          <w:color w:val="auto"/>
          <w:kern w:val="18"/>
          <w:lang w:val="fr-FR"/>
        </w:rPr>
        <w:t xml:space="preserve">La </w:t>
      </w:r>
      <w:r w:rsidR="00002048">
        <w:rPr>
          <w:rFonts w:cs="Times New Roman"/>
          <w:color w:val="auto"/>
          <w:kern w:val="18"/>
          <w:lang w:val="fr-FR"/>
        </w:rPr>
        <w:t xml:space="preserve">Réunion </w:t>
      </w:r>
      <w:r>
        <w:rPr>
          <w:rFonts w:cs="Times New Roman"/>
          <w:color w:val="auto"/>
          <w:kern w:val="18"/>
          <w:lang w:val="fr-FR"/>
        </w:rPr>
        <w:t xml:space="preserve">du partenariat rassemble les membres du Comité </w:t>
      </w:r>
      <w:r w:rsidR="00B2732A">
        <w:rPr>
          <w:rFonts w:cs="Times New Roman"/>
          <w:color w:val="auto"/>
          <w:kern w:val="18"/>
          <w:lang w:val="fr-FR"/>
        </w:rPr>
        <w:t>de Pilotage</w:t>
      </w:r>
      <w:r>
        <w:rPr>
          <w:rFonts w:cs="Times New Roman"/>
          <w:color w:val="auto"/>
          <w:kern w:val="18"/>
          <w:lang w:val="fr-FR"/>
        </w:rPr>
        <w:t xml:space="preserve"> des agences d’exécution</w:t>
      </w:r>
      <w:r w:rsidR="00380A60">
        <w:rPr>
          <w:rFonts w:cs="Times New Roman"/>
          <w:color w:val="auto"/>
          <w:kern w:val="18"/>
          <w:lang w:val="fr-FR"/>
        </w:rPr>
        <w:t>,</w:t>
      </w:r>
      <w:r>
        <w:rPr>
          <w:rFonts w:cs="Times New Roman"/>
          <w:color w:val="auto"/>
          <w:kern w:val="18"/>
          <w:lang w:val="fr-FR"/>
        </w:rPr>
        <w:t xml:space="preserve"> sans</w:t>
      </w:r>
      <w:r w:rsidR="00380A60">
        <w:rPr>
          <w:rFonts w:cs="Times New Roman"/>
          <w:color w:val="auto"/>
          <w:kern w:val="18"/>
          <w:lang w:val="fr-FR"/>
        </w:rPr>
        <w:t xml:space="preserve"> DEVCO, dans le but d’harmoniser les positions parmi les agences en amont du Comité </w:t>
      </w:r>
      <w:r w:rsidR="00B2732A">
        <w:rPr>
          <w:rFonts w:cs="Times New Roman"/>
          <w:color w:val="auto"/>
          <w:kern w:val="18"/>
          <w:lang w:val="fr-FR"/>
        </w:rPr>
        <w:t>de Pilotage</w:t>
      </w:r>
      <w:r w:rsidR="00380A60">
        <w:rPr>
          <w:rFonts w:cs="Times New Roman"/>
          <w:color w:val="auto"/>
          <w:kern w:val="18"/>
          <w:lang w:val="fr-FR"/>
        </w:rPr>
        <w:t xml:space="preserve">. Le but est d’éviter de soulever des questions opérationnelles </w:t>
      </w:r>
      <w:r w:rsidR="00002048">
        <w:rPr>
          <w:rFonts w:cs="Times New Roman"/>
          <w:color w:val="auto"/>
          <w:kern w:val="18"/>
          <w:lang w:val="fr-FR"/>
        </w:rPr>
        <w:t xml:space="preserve">lors du </w:t>
      </w:r>
      <w:r w:rsidR="00380A60">
        <w:rPr>
          <w:rFonts w:cs="Times New Roman"/>
          <w:color w:val="auto"/>
          <w:kern w:val="18"/>
          <w:lang w:val="fr-FR"/>
        </w:rPr>
        <w:t xml:space="preserve">Comité </w:t>
      </w:r>
      <w:r w:rsidR="00B2732A">
        <w:rPr>
          <w:rFonts w:cs="Times New Roman"/>
          <w:color w:val="auto"/>
          <w:kern w:val="18"/>
          <w:lang w:val="fr-FR"/>
        </w:rPr>
        <w:t>de Pilotage</w:t>
      </w:r>
      <w:r w:rsidR="00380A60">
        <w:rPr>
          <w:rFonts w:cs="Times New Roman"/>
          <w:color w:val="auto"/>
          <w:kern w:val="18"/>
          <w:lang w:val="fr-FR"/>
        </w:rPr>
        <w:t xml:space="preserve"> et </w:t>
      </w:r>
      <w:r w:rsidR="00002048">
        <w:rPr>
          <w:rFonts w:cs="Times New Roman"/>
          <w:color w:val="auto"/>
          <w:kern w:val="18"/>
          <w:lang w:val="fr-FR"/>
        </w:rPr>
        <w:t>d’examiner</w:t>
      </w:r>
      <w:r w:rsidR="00380A60">
        <w:rPr>
          <w:rFonts w:cs="Times New Roman"/>
          <w:color w:val="auto"/>
          <w:kern w:val="18"/>
          <w:lang w:val="fr-FR"/>
        </w:rPr>
        <w:t xml:space="preserve"> les questions qu’il n’a pas été possible de trancher au niveau du Comité de suivi opérationnel et qui concernent les accords opérationnels et stratégiques entre les partenaires.</w:t>
      </w:r>
    </w:p>
    <w:p w14:paraId="77C052FC" w14:textId="18A71F5B" w:rsidR="009151BE" w:rsidRPr="006F4D4F" w:rsidRDefault="00826693" w:rsidP="00D17A31">
      <w:pPr>
        <w:pStyle w:val="Titre3"/>
      </w:pPr>
      <w:bookmarkStart w:id="440" w:name="_Toc20239588"/>
      <w:bookmarkStart w:id="441" w:name="_Toc20239679"/>
      <w:bookmarkStart w:id="442" w:name="_Toc44423209"/>
      <w:bookmarkStart w:id="443" w:name="_Toc44423724"/>
      <w:bookmarkStart w:id="444" w:name="_Toc54336696"/>
      <w:r w:rsidRPr="006F4D4F">
        <w:t xml:space="preserve">4.2.3 </w:t>
      </w:r>
      <w:r w:rsidR="00380A60">
        <w:t>Comité de suivi opérationnel</w:t>
      </w:r>
      <w:bookmarkEnd w:id="440"/>
      <w:bookmarkEnd w:id="441"/>
      <w:bookmarkEnd w:id="442"/>
      <w:bookmarkEnd w:id="443"/>
      <w:bookmarkEnd w:id="444"/>
    </w:p>
    <w:p w14:paraId="69BC101D" w14:textId="78B69742" w:rsidR="009A70E2" w:rsidRPr="006F4D4F" w:rsidRDefault="00380A60" w:rsidP="009A70E2">
      <w:pPr>
        <w:spacing w:after="120" w:line="288" w:lineRule="auto"/>
        <w:jc w:val="both"/>
        <w:rPr>
          <w:color w:val="auto"/>
          <w:lang w:val="fr-FR"/>
        </w:rPr>
      </w:pPr>
      <w:r>
        <w:rPr>
          <w:color w:val="auto"/>
          <w:lang w:val="fr-FR"/>
        </w:rPr>
        <w:t xml:space="preserve">Le Comité de suivi opérationnel (CSO) se compose de représentants des agences d’exécution (chargés de liaison, voir plus bas). Le CSO se réunira en amont de chaque réunion du Comité </w:t>
      </w:r>
      <w:r w:rsidR="00B2732A">
        <w:rPr>
          <w:color w:val="auto"/>
          <w:lang w:val="fr-FR"/>
        </w:rPr>
        <w:t>de Pilotage</w:t>
      </w:r>
      <w:r>
        <w:rPr>
          <w:color w:val="auto"/>
          <w:lang w:val="fr-FR"/>
        </w:rPr>
        <w:t xml:space="preserve"> et chaque fois que nécessaire pour discuter des questions opérationnelles et préparer des positions et/ou propositions conjointes qui seront </w:t>
      </w:r>
      <w:r w:rsidR="00002048">
        <w:rPr>
          <w:color w:val="auto"/>
          <w:lang w:val="fr-FR"/>
        </w:rPr>
        <w:t>examinées</w:t>
      </w:r>
      <w:r>
        <w:rPr>
          <w:color w:val="auto"/>
          <w:lang w:val="fr-FR"/>
        </w:rPr>
        <w:t xml:space="preserve"> lors de la réunion du Comité </w:t>
      </w:r>
      <w:r w:rsidR="00B2732A">
        <w:rPr>
          <w:color w:val="auto"/>
          <w:lang w:val="fr-FR"/>
        </w:rPr>
        <w:t>de Pilotage</w:t>
      </w:r>
      <w:r>
        <w:rPr>
          <w:color w:val="auto"/>
          <w:lang w:val="fr-FR"/>
        </w:rPr>
        <w:t>.</w:t>
      </w:r>
    </w:p>
    <w:p w14:paraId="283C8103" w14:textId="00CDA854" w:rsidR="00A61863" w:rsidRPr="006F4D4F" w:rsidRDefault="00380A60" w:rsidP="009A70E2">
      <w:pPr>
        <w:spacing w:after="120" w:line="288" w:lineRule="auto"/>
        <w:jc w:val="both"/>
        <w:rPr>
          <w:color w:val="auto"/>
          <w:lang w:val="fr-FR"/>
        </w:rPr>
      </w:pPr>
      <w:r>
        <w:rPr>
          <w:color w:val="auto"/>
          <w:lang w:val="fr-FR"/>
        </w:rPr>
        <w:t>Le CSO jouera un rôle essentiel dans l’apprentissage et la gestion des connaissances, ainsi que dans l’évaluation des nouvelles interventions, sur la base de critères d’éligibilité et d’évaluation (avec l’appui du Centre de coordination).</w:t>
      </w:r>
    </w:p>
    <w:p w14:paraId="20BC9908" w14:textId="2B352F27" w:rsidR="00124D48" w:rsidRPr="006F4D4F" w:rsidRDefault="00826693" w:rsidP="00D17A31">
      <w:pPr>
        <w:pStyle w:val="Titre3"/>
      </w:pPr>
      <w:bookmarkStart w:id="445" w:name="_Toc44423210"/>
      <w:bookmarkStart w:id="446" w:name="_Toc44423725"/>
      <w:bookmarkStart w:id="447" w:name="_Toc54336697"/>
      <w:bookmarkStart w:id="448" w:name="_Toc443640934"/>
      <w:r w:rsidRPr="006F4D4F">
        <w:t xml:space="preserve">4.2.4 </w:t>
      </w:r>
      <w:bookmarkEnd w:id="445"/>
      <w:bookmarkEnd w:id="446"/>
      <w:r w:rsidR="00380A60">
        <w:t>Centre de coordination</w:t>
      </w:r>
      <w:bookmarkEnd w:id="447"/>
    </w:p>
    <w:p w14:paraId="7E479424" w14:textId="051B5815" w:rsidR="00124D48" w:rsidRPr="006F4D4F" w:rsidRDefault="00380A60" w:rsidP="00124D48">
      <w:pPr>
        <w:pStyle w:val="BTCBodyText"/>
        <w:rPr>
          <w:lang w:val="fr-FR"/>
        </w:rPr>
      </w:pPr>
      <w:r>
        <w:rPr>
          <w:lang w:val="fr-FR"/>
        </w:rPr>
        <w:t xml:space="preserve">Voir </w:t>
      </w:r>
      <w:r w:rsidR="004A1AEC" w:rsidRPr="006F4D4F">
        <w:rPr>
          <w:lang w:val="fr-FR"/>
        </w:rPr>
        <w:t>3</w:t>
      </w:r>
      <w:r w:rsidR="004B54BA" w:rsidRPr="006F4D4F">
        <w:rPr>
          <w:lang w:val="fr-FR"/>
        </w:rPr>
        <w:t>.2</w:t>
      </w:r>
      <w:r w:rsidR="00C15F7E" w:rsidRPr="006F4D4F">
        <w:rPr>
          <w:lang w:val="fr-FR"/>
        </w:rPr>
        <w:t>.1</w:t>
      </w:r>
      <w:r w:rsidR="00124D48" w:rsidRPr="006F4D4F">
        <w:rPr>
          <w:lang w:val="fr-FR"/>
        </w:rPr>
        <w:t xml:space="preserve"> </w:t>
      </w:r>
      <w:r>
        <w:rPr>
          <w:lang w:val="fr-FR"/>
        </w:rPr>
        <w:t>pour en savoir plus.</w:t>
      </w:r>
    </w:p>
    <w:p w14:paraId="1B0B3589" w14:textId="7875FD39" w:rsidR="00124D48" w:rsidRPr="006F4D4F" w:rsidRDefault="00826693" w:rsidP="00380A60">
      <w:pPr>
        <w:pStyle w:val="Titre3"/>
        <w:jc w:val="both"/>
      </w:pPr>
      <w:bookmarkStart w:id="449" w:name="_Toc20239591"/>
      <w:bookmarkStart w:id="450" w:name="_Toc20239682"/>
      <w:bookmarkStart w:id="451" w:name="_Toc44423211"/>
      <w:bookmarkStart w:id="452" w:name="_Toc44423726"/>
      <w:bookmarkStart w:id="453" w:name="_Toc54336698"/>
      <w:r w:rsidRPr="006F4D4F">
        <w:t xml:space="preserve">4.2.5 </w:t>
      </w:r>
      <w:r w:rsidR="00380A60">
        <w:t>Chargés de liaison des agences bilatérales</w:t>
      </w:r>
      <w:bookmarkEnd w:id="449"/>
      <w:bookmarkEnd w:id="450"/>
      <w:bookmarkEnd w:id="451"/>
      <w:bookmarkEnd w:id="452"/>
      <w:bookmarkEnd w:id="453"/>
    </w:p>
    <w:p w14:paraId="18117BCC" w14:textId="19D1E8C6" w:rsidR="00124D48" w:rsidRPr="006F4D4F" w:rsidRDefault="00380A60" w:rsidP="00124D48">
      <w:pPr>
        <w:pStyle w:val="BTCBodyText"/>
        <w:rPr>
          <w:lang w:val="fr-FR"/>
        </w:rPr>
      </w:pPr>
      <w:r>
        <w:rPr>
          <w:lang w:val="fr-FR"/>
        </w:rPr>
        <w:t xml:space="preserve">Voir </w:t>
      </w:r>
      <w:r w:rsidR="004A1AEC" w:rsidRPr="006F4D4F">
        <w:rPr>
          <w:lang w:val="fr-FR"/>
        </w:rPr>
        <w:t>3</w:t>
      </w:r>
      <w:r w:rsidR="004B54BA" w:rsidRPr="006F4D4F">
        <w:rPr>
          <w:lang w:val="fr-FR"/>
        </w:rPr>
        <w:t>.2</w:t>
      </w:r>
      <w:r w:rsidR="00C15F7E" w:rsidRPr="006F4D4F">
        <w:rPr>
          <w:lang w:val="fr-FR"/>
        </w:rPr>
        <w:t>.2</w:t>
      </w:r>
      <w:r w:rsidR="00124D48" w:rsidRPr="006F4D4F">
        <w:rPr>
          <w:lang w:val="fr-FR"/>
        </w:rPr>
        <w:t xml:space="preserve"> </w:t>
      </w:r>
      <w:r>
        <w:rPr>
          <w:lang w:val="fr-FR"/>
        </w:rPr>
        <w:t>pour en savoir plus.</w:t>
      </w:r>
    </w:p>
    <w:p w14:paraId="71C70F55" w14:textId="4B64F676" w:rsidR="001C65EA" w:rsidRPr="006F4D4F" w:rsidRDefault="00BB11EE" w:rsidP="00D17A31">
      <w:pPr>
        <w:pStyle w:val="Titre2"/>
        <w:rPr>
          <w:lang w:val="fr-FR"/>
        </w:rPr>
      </w:pPr>
      <w:bookmarkStart w:id="454" w:name="_Toc20239592"/>
      <w:bookmarkStart w:id="455" w:name="_Toc20239683"/>
      <w:bookmarkStart w:id="456" w:name="_Toc44423212"/>
      <w:bookmarkStart w:id="457" w:name="_Toc44423727"/>
      <w:bookmarkStart w:id="458" w:name="_Toc54336699"/>
      <w:r w:rsidRPr="006F4D4F">
        <w:rPr>
          <w:lang w:val="fr-FR"/>
        </w:rPr>
        <w:t xml:space="preserve">4.3 </w:t>
      </w:r>
      <w:bookmarkEnd w:id="454"/>
      <w:bookmarkEnd w:id="455"/>
      <w:bookmarkEnd w:id="456"/>
      <w:bookmarkEnd w:id="457"/>
      <w:r w:rsidR="00380A60">
        <w:rPr>
          <w:lang w:val="fr-FR"/>
        </w:rPr>
        <w:t>Responsabilités financières</w:t>
      </w:r>
      <w:bookmarkEnd w:id="458"/>
    </w:p>
    <w:p w14:paraId="7CA421FE" w14:textId="00DE55B0" w:rsidR="00A61863" w:rsidRPr="006F4D4F" w:rsidRDefault="00002048" w:rsidP="00FC1348">
      <w:pPr>
        <w:pStyle w:val="BTCBodyText"/>
        <w:rPr>
          <w:lang w:val="fr-FR"/>
        </w:rPr>
      </w:pPr>
      <w:r>
        <w:rPr>
          <w:lang w:val="fr-FR"/>
        </w:rPr>
        <w:t xml:space="preserve">Chaque agence d’exécution est financièrement responsable uniquement pour la partie de l’action qu’elle doit mettre en œuvre (y compris par le biais de ses prestataires) conformément au présent document ou pour les activités qui lui sont affectées pendant la mise en œuvre de l’action, lorsqu’elles ne sont pas définies dans le présent </w:t>
      </w:r>
      <w:r w:rsidR="00A61863" w:rsidRPr="006F4D4F">
        <w:rPr>
          <w:lang w:val="fr-FR"/>
        </w:rPr>
        <w:t xml:space="preserve">document. </w:t>
      </w:r>
    </w:p>
    <w:p w14:paraId="3735EADD" w14:textId="7D08FFDF" w:rsidR="001C65EA" w:rsidRPr="006F4D4F" w:rsidRDefault="00BB11EE" w:rsidP="00D17A31">
      <w:pPr>
        <w:pStyle w:val="Titre2"/>
        <w:rPr>
          <w:lang w:val="fr-FR"/>
        </w:rPr>
      </w:pPr>
      <w:bookmarkStart w:id="459" w:name="_Toc20239593"/>
      <w:bookmarkStart w:id="460" w:name="_Toc20239684"/>
      <w:bookmarkStart w:id="461" w:name="_Toc44423213"/>
      <w:bookmarkStart w:id="462" w:name="_Toc44423728"/>
      <w:bookmarkStart w:id="463" w:name="_Toc54336700"/>
      <w:r w:rsidRPr="006F4D4F">
        <w:rPr>
          <w:lang w:val="fr-FR"/>
        </w:rPr>
        <w:t xml:space="preserve">4.4 </w:t>
      </w:r>
      <w:r w:rsidR="003F622F">
        <w:rPr>
          <w:lang w:val="fr-FR"/>
        </w:rPr>
        <w:t>Suivi et évaluation externe</w:t>
      </w:r>
      <w:bookmarkEnd w:id="459"/>
      <w:bookmarkEnd w:id="460"/>
      <w:bookmarkEnd w:id="461"/>
      <w:bookmarkEnd w:id="462"/>
      <w:bookmarkEnd w:id="463"/>
    </w:p>
    <w:p w14:paraId="2A7FF7A7" w14:textId="29722506" w:rsidR="00EB7E4B" w:rsidRPr="006F4D4F" w:rsidRDefault="003F622F" w:rsidP="00FF7806">
      <w:pPr>
        <w:pStyle w:val="BTCBodyText"/>
        <w:rPr>
          <w:lang w:val="fr-FR"/>
        </w:rPr>
      </w:pPr>
      <w:r>
        <w:rPr>
          <w:lang w:val="fr-FR"/>
        </w:rPr>
        <w:t>Le cadre logique et les indicateurs décrits à l’</w:t>
      </w:r>
      <w:r w:rsidR="00002048">
        <w:rPr>
          <w:lang w:val="fr-FR"/>
        </w:rPr>
        <w:t>A</w:t>
      </w:r>
      <w:r>
        <w:rPr>
          <w:lang w:val="fr-FR"/>
        </w:rPr>
        <w:t xml:space="preserve">nnexe 2 servent de base au suivi du projet. Le Centre de coordination est chargé de gérer le suivi et de veiller à la réalisation des objectifs de façon quantifiable et vérifiable. Le Centre </w:t>
      </w:r>
      <w:r w:rsidR="00A43852">
        <w:rPr>
          <w:lang w:val="fr-FR"/>
        </w:rPr>
        <w:t>élaborera et mettra en œuvre un système de suivi opérationnel (incluant d’éventuels indicateurs et jalons additionnels)</w:t>
      </w:r>
      <w:r w:rsidR="00002048">
        <w:rPr>
          <w:lang w:val="fr-FR"/>
        </w:rPr>
        <w:t>,</w:t>
      </w:r>
      <w:r w:rsidR="00A43852">
        <w:rPr>
          <w:lang w:val="fr-FR"/>
        </w:rPr>
        <w:t xml:space="preserve"> dans l’objectif de piloter les activités sur le plan opérationnel. Lors de ses réunions, le </w:t>
      </w:r>
      <w:r w:rsidR="00B2732A">
        <w:rPr>
          <w:lang w:val="fr-FR"/>
        </w:rPr>
        <w:t>Comité de Pilotage</w:t>
      </w:r>
      <w:r w:rsidR="00A43852">
        <w:rPr>
          <w:lang w:val="fr-FR"/>
        </w:rPr>
        <w:t xml:space="preserve"> examinera régulièrement le degré d’avancement des indicateurs du projet et pourra éventuellement décider d’apporter des adaptations à la procédure de mise en œuvre (en ligne avec les objectifs globaux). Le degré d’avancement des indicateurs sera décrit dans les documents de compte rendu présentés à la partie donneuse d’ordre (voir Annexe </w:t>
      </w:r>
      <w:r w:rsidR="00FF7806" w:rsidRPr="006F4D4F">
        <w:rPr>
          <w:lang w:val="fr-FR"/>
        </w:rPr>
        <w:t xml:space="preserve">2). </w:t>
      </w:r>
    </w:p>
    <w:p w14:paraId="0A4C9391" w14:textId="402EB243" w:rsidR="00FF7806" w:rsidRPr="006F4D4F" w:rsidRDefault="00A43852" w:rsidP="00FF7806">
      <w:pPr>
        <w:pStyle w:val="BTCBodyText"/>
        <w:rPr>
          <w:lang w:val="fr-FR"/>
        </w:rPr>
      </w:pPr>
      <w:r>
        <w:rPr>
          <w:lang w:val="fr-FR"/>
        </w:rPr>
        <w:t xml:space="preserve">Le Centre organisera à la fois </w:t>
      </w:r>
      <w:r w:rsidR="00B2732A">
        <w:rPr>
          <w:lang w:val="fr-FR"/>
        </w:rPr>
        <w:t>l’évaluation à</w:t>
      </w:r>
      <w:r>
        <w:rPr>
          <w:lang w:val="fr-FR"/>
        </w:rPr>
        <w:t xml:space="preserve"> mi-parcours </w:t>
      </w:r>
      <w:r w:rsidR="00B2732A">
        <w:rPr>
          <w:lang w:val="fr-FR"/>
        </w:rPr>
        <w:t xml:space="preserve">(MTR) </w:t>
      </w:r>
      <w:r>
        <w:rPr>
          <w:lang w:val="fr-FR"/>
        </w:rPr>
        <w:t>et l</w:t>
      </w:r>
      <w:r w:rsidR="00B2732A">
        <w:rPr>
          <w:lang w:val="fr-FR"/>
        </w:rPr>
        <w:t>’évaluation</w:t>
      </w:r>
      <w:r>
        <w:rPr>
          <w:lang w:val="fr-FR"/>
        </w:rPr>
        <w:t xml:space="preserve"> final</w:t>
      </w:r>
      <w:r w:rsidR="00B2732A">
        <w:rPr>
          <w:lang w:val="fr-FR"/>
        </w:rPr>
        <w:t>e (ETR)</w:t>
      </w:r>
      <w:r>
        <w:rPr>
          <w:lang w:val="fr-FR"/>
        </w:rPr>
        <w:t xml:space="preserve">, sur la base des termes de référence validés par le </w:t>
      </w:r>
      <w:r w:rsidR="00B2732A">
        <w:rPr>
          <w:lang w:val="fr-FR"/>
        </w:rPr>
        <w:t>Comité de Pilotage</w:t>
      </w:r>
      <w:r>
        <w:rPr>
          <w:lang w:val="fr-FR"/>
        </w:rPr>
        <w:t xml:space="preserve">. </w:t>
      </w:r>
      <w:r w:rsidR="00B2732A">
        <w:rPr>
          <w:lang w:val="fr-FR"/>
        </w:rPr>
        <w:t>L’évaluation finale</w:t>
      </w:r>
      <w:r>
        <w:rPr>
          <w:lang w:val="fr-FR"/>
        </w:rPr>
        <w:t xml:space="preserve"> indépendant</w:t>
      </w:r>
      <w:r w:rsidR="00B2732A">
        <w:rPr>
          <w:lang w:val="fr-FR"/>
        </w:rPr>
        <w:t>e</w:t>
      </w:r>
      <w:r>
        <w:rPr>
          <w:lang w:val="fr-FR"/>
        </w:rPr>
        <w:t xml:space="preserve"> est planifié 6 mois avant la fin du projet, en accord avec les critères </w:t>
      </w:r>
      <w:r w:rsidR="00B2732A">
        <w:rPr>
          <w:lang w:val="fr-FR"/>
        </w:rPr>
        <w:t>CAD</w:t>
      </w:r>
      <w:r>
        <w:rPr>
          <w:lang w:val="fr-FR"/>
        </w:rPr>
        <w:t> : pertinence, efficacité, impact, efficience et durabilité.</w:t>
      </w:r>
    </w:p>
    <w:p w14:paraId="36C5E99C" w14:textId="694D8CFC" w:rsidR="00B53E36" w:rsidRPr="006F4D4F" w:rsidRDefault="00BB11EE" w:rsidP="00D17A31">
      <w:pPr>
        <w:pStyle w:val="Titre2"/>
        <w:rPr>
          <w:lang w:val="fr-FR"/>
        </w:rPr>
      </w:pPr>
      <w:bookmarkStart w:id="464" w:name="_Toc20239594"/>
      <w:bookmarkStart w:id="465" w:name="_Toc20239685"/>
      <w:bookmarkStart w:id="466" w:name="_Toc44423214"/>
      <w:bookmarkStart w:id="467" w:name="_Toc44423729"/>
      <w:bookmarkStart w:id="468" w:name="_Toc54336701"/>
      <w:r w:rsidRPr="006F4D4F">
        <w:rPr>
          <w:lang w:val="fr-FR"/>
        </w:rPr>
        <w:t xml:space="preserve">4.5 </w:t>
      </w:r>
      <w:r w:rsidR="00B53E36" w:rsidRPr="006F4D4F">
        <w:rPr>
          <w:lang w:val="fr-FR"/>
        </w:rPr>
        <w:t>Audit</w:t>
      </w:r>
      <w:bookmarkEnd w:id="448"/>
      <w:bookmarkEnd w:id="464"/>
      <w:bookmarkEnd w:id="465"/>
      <w:bookmarkEnd w:id="466"/>
      <w:bookmarkEnd w:id="467"/>
      <w:bookmarkEnd w:id="468"/>
      <w:r w:rsidR="00B53E36" w:rsidRPr="006F4D4F">
        <w:rPr>
          <w:lang w:val="fr-FR"/>
        </w:rPr>
        <w:t xml:space="preserve"> </w:t>
      </w:r>
    </w:p>
    <w:p w14:paraId="619FC788" w14:textId="03CE3254" w:rsidR="00B53E36" w:rsidRPr="006F4D4F" w:rsidRDefault="00581F0B" w:rsidP="0013626F">
      <w:pPr>
        <w:pStyle w:val="BTCBodyText"/>
        <w:rPr>
          <w:lang w:val="fr-FR"/>
        </w:rPr>
      </w:pPr>
      <w:r>
        <w:rPr>
          <w:lang w:val="fr-FR"/>
        </w:rPr>
        <w:t>Les a</w:t>
      </w:r>
      <w:r w:rsidR="00612BA9" w:rsidRPr="006F4D4F">
        <w:rPr>
          <w:lang w:val="fr-FR"/>
        </w:rPr>
        <w:t xml:space="preserve">udits </w:t>
      </w:r>
      <w:r>
        <w:rPr>
          <w:lang w:val="fr-FR"/>
        </w:rPr>
        <w:t>suivront les procédures énoncées dans les conditions générales et particulières du présent contrat. Chaque agence d’exécution peut mener un audit financier annuel des dépenses du projet, si elle le juge nécessaire.</w:t>
      </w:r>
      <w:r w:rsidR="004E2AB9" w:rsidRPr="006F4D4F">
        <w:rPr>
          <w:lang w:val="fr-FR"/>
        </w:rPr>
        <w:t xml:space="preserve"> </w:t>
      </w:r>
    </w:p>
    <w:p w14:paraId="49B69FA5" w14:textId="25A92D7F" w:rsidR="00560CD3" w:rsidRPr="006F4D4F" w:rsidRDefault="00581F0B" w:rsidP="0013626F">
      <w:pPr>
        <w:pStyle w:val="BTCBodyText"/>
        <w:rPr>
          <w:lang w:val="fr-FR"/>
        </w:rPr>
      </w:pPr>
      <w:r>
        <w:rPr>
          <w:lang w:val="fr-FR"/>
        </w:rPr>
        <w:t xml:space="preserve">Les audits peuvent concerner les dépenses </w:t>
      </w:r>
      <w:r w:rsidR="00BC1B6D">
        <w:rPr>
          <w:lang w:val="fr-FR"/>
        </w:rPr>
        <w:t>des</w:t>
      </w:r>
      <w:r>
        <w:rPr>
          <w:lang w:val="fr-FR"/>
        </w:rPr>
        <w:t xml:space="preserve"> compte</w:t>
      </w:r>
      <w:r w:rsidR="00BC1B6D">
        <w:rPr>
          <w:lang w:val="fr-FR"/>
        </w:rPr>
        <w:t>s</w:t>
      </w:r>
      <w:r>
        <w:rPr>
          <w:lang w:val="fr-FR"/>
        </w:rPr>
        <w:t xml:space="preserve"> de plusieurs agences bilatérales ensemble ou séparément</w:t>
      </w:r>
      <w:r w:rsidR="00BC1B6D">
        <w:rPr>
          <w:lang w:val="fr-FR"/>
        </w:rPr>
        <w:t>,</w:t>
      </w:r>
      <w:r>
        <w:rPr>
          <w:lang w:val="fr-FR"/>
        </w:rPr>
        <w:t xml:space="preserve"> pour permettre aux agences de vérifier la part de la mise en œuvre revenant aux agences bilatérales</w:t>
      </w:r>
      <w:r w:rsidR="00BC1B6D">
        <w:rPr>
          <w:lang w:val="fr-FR"/>
        </w:rPr>
        <w:t>,</w:t>
      </w:r>
      <w:r>
        <w:rPr>
          <w:lang w:val="fr-FR"/>
        </w:rPr>
        <w:t xml:space="preserve"> et s’appuieront sur les tableaux 1 et 2 de l’Annexe 3 – Budget de l’action.</w:t>
      </w:r>
    </w:p>
    <w:p w14:paraId="7E1764B7" w14:textId="77B1BA67" w:rsidR="00B53E36" w:rsidRPr="006F4D4F" w:rsidRDefault="00173874" w:rsidP="0013626F">
      <w:pPr>
        <w:pStyle w:val="BTCBodyText"/>
        <w:rPr>
          <w:lang w:val="fr-FR"/>
        </w:rPr>
      </w:pPr>
      <w:r>
        <w:rPr>
          <w:lang w:val="fr-FR"/>
        </w:rPr>
        <w:t>L</w:t>
      </w:r>
      <w:r w:rsidR="00BC1B6D">
        <w:rPr>
          <w:lang w:val="fr-FR"/>
        </w:rPr>
        <w:t xml:space="preserve">es </w:t>
      </w:r>
      <w:r>
        <w:rPr>
          <w:lang w:val="fr-FR"/>
        </w:rPr>
        <w:t>audit</w:t>
      </w:r>
      <w:r w:rsidR="00BC1B6D">
        <w:rPr>
          <w:lang w:val="fr-FR"/>
        </w:rPr>
        <w:t>s</w:t>
      </w:r>
      <w:r>
        <w:rPr>
          <w:lang w:val="fr-FR"/>
        </w:rPr>
        <w:t xml:space="preserve"> vérifier</w:t>
      </w:r>
      <w:r w:rsidR="00BC1B6D">
        <w:rPr>
          <w:lang w:val="fr-FR"/>
        </w:rPr>
        <w:t>ont</w:t>
      </w:r>
      <w:r>
        <w:rPr>
          <w:lang w:val="fr-FR"/>
        </w:rPr>
        <w:t xml:space="preserve"> que les dépenses correspondent à la réalité, sont exhaustives et sont intervenues dans le respect des procédures applicables. Le cabinet d’audit sera indépendant et certifié conformément aux normes et critères internationaux. Tous les audits auront lieu conformément aux normes internationalement admises.</w:t>
      </w:r>
      <w:r w:rsidR="00B53E36" w:rsidRPr="006F4D4F">
        <w:rPr>
          <w:lang w:val="fr-FR"/>
        </w:rPr>
        <w:t xml:space="preserve"> </w:t>
      </w:r>
    </w:p>
    <w:p w14:paraId="579A4791" w14:textId="0DBFBB1B" w:rsidR="00B53E36" w:rsidRPr="006F4D4F" w:rsidRDefault="00BB11EE" w:rsidP="00D17A31">
      <w:pPr>
        <w:pStyle w:val="Titre2"/>
        <w:rPr>
          <w:lang w:val="fr-FR"/>
        </w:rPr>
      </w:pPr>
      <w:bookmarkStart w:id="469" w:name="_Toc443640935"/>
      <w:bookmarkStart w:id="470" w:name="_Toc20239595"/>
      <w:bookmarkStart w:id="471" w:name="_Toc20239686"/>
      <w:bookmarkStart w:id="472" w:name="_Toc44423215"/>
      <w:bookmarkStart w:id="473" w:name="_Toc44423730"/>
      <w:bookmarkStart w:id="474" w:name="_Toc54336702"/>
      <w:r w:rsidRPr="006F4D4F">
        <w:rPr>
          <w:lang w:val="fr-FR"/>
        </w:rPr>
        <w:t xml:space="preserve">4.6 </w:t>
      </w:r>
      <w:r w:rsidR="00B53E36" w:rsidRPr="006F4D4F">
        <w:rPr>
          <w:lang w:val="fr-FR"/>
        </w:rPr>
        <w:t>R</w:t>
      </w:r>
      <w:r w:rsidR="00173874">
        <w:rPr>
          <w:lang w:val="fr-FR"/>
        </w:rPr>
        <w:t xml:space="preserve">apports et </w:t>
      </w:r>
      <w:r w:rsidR="00B53E36" w:rsidRPr="006F4D4F">
        <w:rPr>
          <w:lang w:val="fr-FR"/>
        </w:rPr>
        <w:t>communication</w:t>
      </w:r>
      <w:bookmarkEnd w:id="469"/>
      <w:bookmarkEnd w:id="470"/>
      <w:bookmarkEnd w:id="471"/>
      <w:bookmarkEnd w:id="472"/>
      <w:bookmarkEnd w:id="473"/>
      <w:bookmarkEnd w:id="474"/>
    </w:p>
    <w:p w14:paraId="54B87338" w14:textId="4BF3B68A" w:rsidR="00B53E36" w:rsidRPr="006F4D4F" w:rsidRDefault="005F0CE0" w:rsidP="0013626F">
      <w:pPr>
        <w:pStyle w:val="BTCBodyText"/>
        <w:rPr>
          <w:lang w:val="fr-FR"/>
        </w:rPr>
      </w:pPr>
      <w:r w:rsidRPr="006F4D4F">
        <w:rPr>
          <w:lang w:val="fr-FR"/>
        </w:rPr>
        <w:t>Enabel</w:t>
      </w:r>
      <w:r w:rsidR="004E2AB9" w:rsidRPr="006F4D4F">
        <w:rPr>
          <w:lang w:val="fr-FR"/>
        </w:rPr>
        <w:t>,</w:t>
      </w:r>
      <w:r w:rsidRPr="006F4D4F">
        <w:rPr>
          <w:lang w:val="fr-FR"/>
        </w:rPr>
        <w:t xml:space="preserve"> </w:t>
      </w:r>
      <w:r w:rsidR="00173874">
        <w:rPr>
          <w:lang w:val="fr-FR"/>
        </w:rPr>
        <w:t>avec les agences du partenariat d’exécution, veillera au respect des obligations énoncées à l’Annexe II de l’Accord de contribution en matière de production de rapports et de communication.</w:t>
      </w:r>
    </w:p>
    <w:p w14:paraId="43291A9D" w14:textId="4BFC5DCA" w:rsidR="00B53E36" w:rsidRPr="006F4D4F" w:rsidRDefault="00BB11EE" w:rsidP="00D17A31">
      <w:pPr>
        <w:pStyle w:val="Titre2"/>
        <w:rPr>
          <w:lang w:val="fr-FR"/>
        </w:rPr>
      </w:pPr>
      <w:bookmarkStart w:id="475" w:name="_Toc443640936"/>
      <w:bookmarkStart w:id="476" w:name="_Toc20239596"/>
      <w:bookmarkStart w:id="477" w:name="_Toc20239687"/>
      <w:bookmarkStart w:id="478" w:name="_Toc44423216"/>
      <w:bookmarkStart w:id="479" w:name="_Toc44423731"/>
      <w:bookmarkStart w:id="480" w:name="_Toc54336703"/>
      <w:r w:rsidRPr="006F4D4F">
        <w:rPr>
          <w:lang w:val="fr-FR"/>
        </w:rPr>
        <w:t xml:space="preserve">4.7 </w:t>
      </w:r>
      <w:r w:rsidR="00B53E36" w:rsidRPr="006F4D4F">
        <w:rPr>
          <w:lang w:val="fr-FR"/>
        </w:rPr>
        <w:t>Visibilit</w:t>
      </w:r>
      <w:bookmarkEnd w:id="475"/>
      <w:bookmarkEnd w:id="476"/>
      <w:bookmarkEnd w:id="477"/>
      <w:bookmarkEnd w:id="478"/>
      <w:bookmarkEnd w:id="479"/>
      <w:r w:rsidR="00173874">
        <w:rPr>
          <w:lang w:val="fr-FR"/>
        </w:rPr>
        <w:t>é</w:t>
      </w:r>
      <w:bookmarkEnd w:id="480"/>
    </w:p>
    <w:p w14:paraId="47B0207F" w14:textId="377C7789" w:rsidR="001D0371" w:rsidRPr="006F4D4F" w:rsidRDefault="00173874" w:rsidP="00CA0428">
      <w:pPr>
        <w:pStyle w:val="BTCBodyText"/>
        <w:rPr>
          <w:lang w:val="fr-FR"/>
        </w:rPr>
      </w:pPr>
      <w:r>
        <w:rPr>
          <w:lang w:val="fr-FR"/>
        </w:rPr>
        <w:t>Les agences du partenariat d’exécution veilleront au respect des dispositions énoncées à l’Annexe IV de l’Accord de contribution en matière de visibilité. Un plan de visibilité, portant sur la Toolbox 1 et la Toolbox 2, sera élaboré.</w:t>
      </w:r>
    </w:p>
    <w:p w14:paraId="6BE9F333" w14:textId="63C996EE" w:rsidR="00CA0428" w:rsidRPr="006F4D4F" w:rsidRDefault="00CA0428" w:rsidP="00CA0428">
      <w:pPr>
        <w:pStyle w:val="BTCBodyText"/>
        <w:rPr>
          <w:lang w:val="fr-FR"/>
        </w:rPr>
        <w:sectPr w:rsidR="00CA0428" w:rsidRPr="006F4D4F" w:rsidSect="00F14740">
          <w:pgSz w:w="11907" w:h="16839" w:code="9"/>
          <w:pgMar w:top="1418" w:right="1871" w:bottom="1531" w:left="1531" w:header="720" w:footer="907" w:gutter="0"/>
          <w:cols w:space="720"/>
          <w:docGrid w:linePitch="272"/>
        </w:sectPr>
      </w:pPr>
    </w:p>
    <w:tbl>
      <w:tblPr>
        <w:tblpPr w:leftFromText="141" w:rightFromText="141" w:vertAnchor="text" w:horzAnchor="margin" w:tblpY="2039"/>
        <w:tblW w:w="481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2"/>
        <w:gridCol w:w="942"/>
        <w:gridCol w:w="299"/>
        <w:gridCol w:w="299"/>
        <w:gridCol w:w="299"/>
        <w:gridCol w:w="380"/>
        <w:gridCol w:w="424"/>
        <w:gridCol w:w="429"/>
        <w:gridCol w:w="280"/>
        <w:gridCol w:w="258"/>
        <w:gridCol w:w="245"/>
        <w:gridCol w:w="299"/>
        <w:gridCol w:w="299"/>
        <w:gridCol w:w="299"/>
        <w:gridCol w:w="299"/>
        <w:gridCol w:w="299"/>
        <w:gridCol w:w="274"/>
        <w:gridCol w:w="424"/>
        <w:gridCol w:w="424"/>
        <w:gridCol w:w="421"/>
        <w:gridCol w:w="285"/>
        <w:gridCol w:w="285"/>
        <w:gridCol w:w="269"/>
        <w:gridCol w:w="245"/>
        <w:gridCol w:w="54"/>
        <w:gridCol w:w="245"/>
        <w:gridCol w:w="299"/>
        <w:gridCol w:w="299"/>
        <w:gridCol w:w="299"/>
        <w:gridCol w:w="299"/>
        <w:gridCol w:w="405"/>
        <w:gridCol w:w="424"/>
        <w:gridCol w:w="429"/>
        <w:gridCol w:w="283"/>
        <w:gridCol w:w="236"/>
        <w:gridCol w:w="296"/>
        <w:gridCol w:w="46"/>
        <w:gridCol w:w="253"/>
        <w:gridCol w:w="30"/>
        <w:gridCol w:w="269"/>
        <w:gridCol w:w="11"/>
        <w:gridCol w:w="288"/>
        <w:gridCol w:w="274"/>
        <w:gridCol w:w="24"/>
        <w:gridCol w:w="402"/>
      </w:tblGrid>
      <w:tr w:rsidR="00AF5FE0" w:rsidRPr="006F4D4F" w14:paraId="77B5CADA" w14:textId="77777777" w:rsidTr="00AF5EC7">
        <w:trPr>
          <w:gridAfter w:val="12"/>
          <w:wAfter w:w="888" w:type="pct"/>
          <w:trHeight w:val="340"/>
        </w:trPr>
        <w:tc>
          <w:tcPr>
            <w:tcW w:w="163" w:type="pct"/>
            <w:shd w:val="clear" w:color="auto" w:fill="92D050"/>
            <w:vAlign w:val="bottom"/>
          </w:tcPr>
          <w:p w14:paraId="7E314A8D" w14:textId="77777777" w:rsidR="00500275" w:rsidRPr="006F4D4F" w:rsidRDefault="00500275" w:rsidP="00AF5EC7">
            <w:pPr>
              <w:rPr>
                <w:lang w:val="fr-FR"/>
              </w:rPr>
            </w:pPr>
            <w:bookmarkStart w:id="481" w:name="_Toc477276111"/>
            <w:bookmarkStart w:id="482" w:name="_Toc477276332"/>
            <w:bookmarkStart w:id="483" w:name="_Toc477169159"/>
            <w:bookmarkStart w:id="484" w:name="_Toc477169375"/>
            <w:bookmarkStart w:id="485" w:name="_Toc477187888"/>
            <w:bookmarkStart w:id="486" w:name="_Toc477188099"/>
            <w:bookmarkStart w:id="487" w:name="_Toc477188311"/>
            <w:bookmarkStart w:id="488" w:name="_Toc477188523"/>
            <w:bookmarkStart w:id="489" w:name="_Toc477188734"/>
            <w:bookmarkStart w:id="490" w:name="_Toc477188945"/>
            <w:bookmarkStart w:id="491" w:name="_Toc477189158"/>
            <w:bookmarkStart w:id="492" w:name="_Toc477189754"/>
            <w:bookmarkStart w:id="493" w:name="_Toc477196398"/>
            <w:bookmarkStart w:id="494" w:name="_Toc477200116"/>
            <w:bookmarkStart w:id="495" w:name="_Toc477274906"/>
            <w:bookmarkStart w:id="496" w:name="_Toc477276113"/>
            <w:bookmarkStart w:id="497" w:name="_Toc477276334"/>
            <w:bookmarkStart w:id="498" w:name="_Toc463958399"/>
            <w:bookmarkStart w:id="499" w:name="_Toc463958672"/>
            <w:bookmarkStart w:id="500" w:name="_Toc463958948"/>
            <w:bookmarkStart w:id="501" w:name="_Toc463959224"/>
            <w:bookmarkStart w:id="502" w:name="_Toc463958405"/>
            <w:bookmarkStart w:id="503" w:name="_Toc463958678"/>
            <w:bookmarkStart w:id="504" w:name="_Toc463958954"/>
            <w:bookmarkStart w:id="505" w:name="_Toc463959230"/>
            <w:bookmarkStart w:id="506" w:name="_Toc463958406"/>
            <w:bookmarkStart w:id="507" w:name="_Toc463958679"/>
            <w:bookmarkStart w:id="508" w:name="_Toc463958955"/>
            <w:bookmarkStart w:id="509" w:name="_Toc463959231"/>
            <w:bookmarkStart w:id="510" w:name="_Toc463958407"/>
            <w:bookmarkStart w:id="511" w:name="_Toc463958680"/>
            <w:bookmarkStart w:id="512" w:name="_Toc463958956"/>
            <w:bookmarkStart w:id="513" w:name="_Toc463959232"/>
            <w:bookmarkStart w:id="514" w:name="_Toc463958415"/>
            <w:bookmarkStart w:id="515" w:name="_Toc463958688"/>
            <w:bookmarkStart w:id="516" w:name="_Toc463958964"/>
            <w:bookmarkStart w:id="517" w:name="_Toc463959240"/>
            <w:bookmarkStart w:id="518" w:name="_Toc463958421"/>
            <w:bookmarkStart w:id="519" w:name="_Toc463958694"/>
            <w:bookmarkStart w:id="520" w:name="_Toc463958970"/>
            <w:bookmarkStart w:id="521" w:name="_Toc463959246"/>
            <w:bookmarkStart w:id="522" w:name="_Toc231702685"/>
            <w:bookmarkStart w:id="523" w:name="_Toc261442150"/>
            <w:bookmarkStart w:id="524" w:name="_Toc20239597"/>
            <w:bookmarkStart w:id="525" w:name="_Toc20239688"/>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tc>
        <w:tc>
          <w:tcPr>
            <w:tcW w:w="347" w:type="pct"/>
            <w:shd w:val="clear" w:color="auto" w:fill="auto"/>
            <w:vAlign w:val="center"/>
          </w:tcPr>
          <w:p w14:paraId="4405EE25" w14:textId="4C2D2474" w:rsidR="00500275" w:rsidRPr="006F4D4F" w:rsidRDefault="00500275" w:rsidP="00AF5EC7">
            <w:pPr>
              <w:rPr>
                <w:b/>
                <w:sz w:val="14"/>
                <w:szCs w:val="14"/>
                <w:lang w:val="fr-FR"/>
              </w:rPr>
            </w:pPr>
            <w:r w:rsidRPr="006F4D4F">
              <w:rPr>
                <w:b/>
                <w:sz w:val="14"/>
                <w:szCs w:val="14"/>
                <w:lang w:val="fr-FR"/>
              </w:rPr>
              <w:t>Activit</w:t>
            </w:r>
            <w:r w:rsidR="00173874">
              <w:rPr>
                <w:b/>
                <w:sz w:val="14"/>
                <w:szCs w:val="14"/>
                <w:lang w:val="fr-FR"/>
              </w:rPr>
              <w:t>é</w:t>
            </w:r>
            <w:r w:rsidRPr="006F4D4F">
              <w:rPr>
                <w:b/>
                <w:sz w:val="14"/>
                <w:szCs w:val="14"/>
                <w:lang w:val="fr-FR"/>
              </w:rPr>
              <w:t>s</w:t>
            </w:r>
          </w:p>
        </w:tc>
        <w:tc>
          <w:tcPr>
            <w:tcW w:w="887" w:type="pct"/>
            <w:gridSpan w:val="7"/>
            <w:shd w:val="clear" w:color="auto" w:fill="BFBFBF"/>
            <w:vAlign w:val="center"/>
          </w:tcPr>
          <w:p w14:paraId="084D1D62" w14:textId="3356DE2F" w:rsidR="00500275" w:rsidRPr="006F4D4F" w:rsidRDefault="00500275" w:rsidP="00AF5EC7">
            <w:pPr>
              <w:ind w:left="-528"/>
              <w:jc w:val="center"/>
              <w:rPr>
                <w:b/>
                <w:color w:val="FFFFFF"/>
                <w:lang w:val="fr-FR"/>
              </w:rPr>
            </w:pPr>
            <w:r w:rsidRPr="006F4D4F">
              <w:rPr>
                <w:b/>
                <w:color w:val="FFFFFF"/>
                <w:lang w:val="fr-FR"/>
              </w:rPr>
              <w:t>202</w:t>
            </w:r>
            <w:r w:rsidR="00CA0428" w:rsidRPr="006F4D4F">
              <w:rPr>
                <w:b/>
                <w:color w:val="FFFFFF"/>
                <w:lang w:val="fr-FR"/>
              </w:rPr>
              <w:t>0</w:t>
            </w:r>
          </w:p>
        </w:tc>
        <w:tc>
          <w:tcPr>
            <w:tcW w:w="1722" w:type="pct"/>
            <w:gridSpan w:val="16"/>
            <w:shd w:val="clear" w:color="auto" w:fill="BFBFBF"/>
            <w:vAlign w:val="center"/>
          </w:tcPr>
          <w:p w14:paraId="116CE50A" w14:textId="78228743" w:rsidR="00500275" w:rsidRPr="006F4D4F" w:rsidRDefault="00500275" w:rsidP="00AF5EC7">
            <w:pPr>
              <w:ind w:left="-1712"/>
              <w:jc w:val="center"/>
              <w:rPr>
                <w:b/>
                <w:color w:val="FFFFFF"/>
                <w:lang w:val="fr-FR"/>
              </w:rPr>
            </w:pPr>
            <w:r w:rsidRPr="006F4D4F">
              <w:rPr>
                <w:b/>
                <w:color w:val="FFFFFF"/>
                <w:lang w:val="fr-FR"/>
              </w:rPr>
              <w:t>202</w:t>
            </w:r>
            <w:r w:rsidR="00CA0428" w:rsidRPr="006F4D4F">
              <w:rPr>
                <w:b/>
                <w:color w:val="FFFFFF"/>
                <w:lang w:val="fr-FR"/>
              </w:rPr>
              <w:t>1</w:t>
            </w:r>
          </w:p>
        </w:tc>
        <w:tc>
          <w:tcPr>
            <w:tcW w:w="993" w:type="pct"/>
            <w:gridSpan w:val="8"/>
            <w:shd w:val="clear" w:color="auto" w:fill="BFBFBF"/>
            <w:vAlign w:val="center"/>
          </w:tcPr>
          <w:p w14:paraId="199B5919" w14:textId="688C7E30" w:rsidR="00500275" w:rsidRPr="006F4D4F" w:rsidRDefault="00500275" w:rsidP="00AF5EC7">
            <w:pPr>
              <w:ind w:left="-1052"/>
              <w:jc w:val="center"/>
              <w:rPr>
                <w:b/>
                <w:color w:val="FFFFFF"/>
                <w:lang w:val="fr-FR"/>
              </w:rPr>
            </w:pPr>
            <w:r w:rsidRPr="006F4D4F">
              <w:rPr>
                <w:b/>
                <w:color w:val="FFFFFF"/>
                <w:lang w:val="fr-FR"/>
              </w:rPr>
              <w:t>202</w:t>
            </w:r>
            <w:r w:rsidR="00CA0428" w:rsidRPr="006F4D4F">
              <w:rPr>
                <w:b/>
                <w:color w:val="FFFFFF"/>
                <w:lang w:val="fr-FR"/>
              </w:rPr>
              <w:t>2</w:t>
            </w:r>
            <w:r w:rsidRPr="006F4D4F">
              <w:rPr>
                <w:b/>
                <w:color w:val="FFFFFF"/>
                <w:lang w:val="fr-FR"/>
              </w:rPr>
              <w:t xml:space="preserve"> </w:t>
            </w:r>
          </w:p>
        </w:tc>
      </w:tr>
      <w:tr w:rsidR="00FE1DB2" w:rsidRPr="006F4D4F" w14:paraId="1619E88C" w14:textId="77777777" w:rsidTr="00AF5EC7">
        <w:trPr>
          <w:trHeight w:val="340"/>
        </w:trPr>
        <w:tc>
          <w:tcPr>
            <w:tcW w:w="163" w:type="pct"/>
            <w:shd w:val="clear" w:color="auto" w:fill="auto"/>
            <w:vAlign w:val="bottom"/>
          </w:tcPr>
          <w:p w14:paraId="143404EF" w14:textId="15748E60" w:rsidR="00500275" w:rsidRPr="006F4D4F" w:rsidRDefault="00500275" w:rsidP="00AF5EC7">
            <w:pPr>
              <w:rPr>
                <w:lang w:val="fr-FR"/>
              </w:rPr>
            </w:pPr>
          </w:p>
        </w:tc>
        <w:tc>
          <w:tcPr>
            <w:tcW w:w="347" w:type="pct"/>
            <w:shd w:val="clear" w:color="auto" w:fill="auto"/>
            <w:vAlign w:val="center"/>
          </w:tcPr>
          <w:p w14:paraId="2AAE027E" w14:textId="76AE3D5A" w:rsidR="00500275" w:rsidRPr="006F4D4F" w:rsidRDefault="00500275" w:rsidP="00AF5EC7">
            <w:pPr>
              <w:rPr>
                <w:b/>
                <w:sz w:val="14"/>
                <w:szCs w:val="14"/>
                <w:lang w:val="fr-FR"/>
              </w:rPr>
            </w:pPr>
          </w:p>
        </w:tc>
        <w:tc>
          <w:tcPr>
            <w:tcW w:w="110" w:type="pct"/>
            <w:shd w:val="clear" w:color="auto" w:fill="DDD9C3" w:themeFill="background2" w:themeFillShade="E6"/>
            <w:vAlign w:val="center"/>
          </w:tcPr>
          <w:p w14:paraId="58B35575" w14:textId="4F179A3C" w:rsidR="00500275" w:rsidRPr="006F4D4F" w:rsidRDefault="00C57960" w:rsidP="00AF5EC7">
            <w:pPr>
              <w:jc w:val="center"/>
              <w:rPr>
                <w:sz w:val="14"/>
                <w:szCs w:val="14"/>
                <w:lang w:val="fr-FR"/>
              </w:rPr>
            </w:pPr>
            <w:r w:rsidRPr="006F4D4F">
              <w:rPr>
                <w:sz w:val="14"/>
                <w:szCs w:val="14"/>
                <w:lang w:val="fr-FR"/>
              </w:rPr>
              <w:t>7</w:t>
            </w:r>
          </w:p>
        </w:tc>
        <w:tc>
          <w:tcPr>
            <w:tcW w:w="110" w:type="pct"/>
            <w:shd w:val="clear" w:color="auto" w:fill="DDD9C3" w:themeFill="background2" w:themeFillShade="E6"/>
            <w:vAlign w:val="center"/>
          </w:tcPr>
          <w:p w14:paraId="72E23CF9" w14:textId="5784CB5C" w:rsidR="00500275" w:rsidRPr="006F4D4F" w:rsidRDefault="00C57960" w:rsidP="00AF5EC7">
            <w:pPr>
              <w:jc w:val="center"/>
              <w:rPr>
                <w:sz w:val="14"/>
                <w:szCs w:val="14"/>
                <w:lang w:val="fr-FR"/>
              </w:rPr>
            </w:pPr>
            <w:r w:rsidRPr="006F4D4F">
              <w:rPr>
                <w:sz w:val="14"/>
                <w:szCs w:val="14"/>
                <w:lang w:val="fr-FR"/>
              </w:rPr>
              <w:t>8</w:t>
            </w:r>
          </w:p>
        </w:tc>
        <w:tc>
          <w:tcPr>
            <w:tcW w:w="110" w:type="pct"/>
            <w:shd w:val="clear" w:color="auto" w:fill="DDD9C3" w:themeFill="background2" w:themeFillShade="E6"/>
            <w:vAlign w:val="center"/>
          </w:tcPr>
          <w:p w14:paraId="6C4A03A2" w14:textId="1C7A60EA" w:rsidR="00500275" w:rsidRPr="006F4D4F" w:rsidRDefault="005D3950" w:rsidP="00AF5EC7">
            <w:pPr>
              <w:jc w:val="center"/>
              <w:rPr>
                <w:sz w:val="14"/>
                <w:szCs w:val="14"/>
                <w:lang w:val="fr-FR"/>
              </w:rPr>
            </w:pPr>
            <w:r w:rsidRPr="006F4D4F">
              <w:rPr>
                <w:sz w:val="14"/>
                <w:szCs w:val="14"/>
                <w:lang w:val="fr-FR"/>
              </w:rPr>
              <w:t>9</w:t>
            </w:r>
          </w:p>
        </w:tc>
        <w:tc>
          <w:tcPr>
            <w:tcW w:w="140" w:type="pct"/>
            <w:shd w:val="clear" w:color="auto" w:fill="DDD9C3" w:themeFill="background2" w:themeFillShade="E6"/>
            <w:vAlign w:val="center"/>
          </w:tcPr>
          <w:p w14:paraId="6E7A3C55" w14:textId="1DE4B858" w:rsidR="00500275" w:rsidRPr="006F4D4F" w:rsidRDefault="005D3950" w:rsidP="00AF5EC7">
            <w:pPr>
              <w:jc w:val="center"/>
              <w:rPr>
                <w:sz w:val="14"/>
                <w:szCs w:val="14"/>
                <w:lang w:val="fr-FR"/>
              </w:rPr>
            </w:pPr>
            <w:r w:rsidRPr="006F4D4F">
              <w:rPr>
                <w:sz w:val="14"/>
                <w:szCs w:val="14"/>
                <w:lang w:val="fr-FR"/>
              </w:rPr>
              <w:t>10</w:t>
            </w:r>
          </w:p>
        </w:tc>
        <w:tc>
          <w:tcPr>
            <w:tcW w:w="156" w:type="pct"/>
            <w:shd w:val="clear" w:color="auto" w:fill="DDD9C3" w:themeFill="background2" w:themeFillShade="E6"/>
            <w:vAlign w:val="center"/>
          </w:tcPr>
          <w:p w14:paraId="62698B07" w14:textId="6A80B872" w:rsidR="00500275" w:rsidRPr="006F4D4F" w:rsidRDefault="005D3950" w:rsidP="00AF5EC7">
            <w:pPr>
              <w:jc w:val="center"/>
              <w:rPr>
                <w:sz w:val="14"/>
                <w:szCs w:val="14"/>
                <w:lang w:val="fr-FR"/>
              </w:rPr>
            </w:pPr>
            <w:r w:rsidRPr="006F4D4F">
              <w:rPr>
                <w:sz w:val="14"/>
                <w:szCs w:val="14"/>
                <w:lang w:val="fr-FR"/>
              </w:rPr>
              <w:t>11</w:t>
            </w:r>
          </w:p>
        </w:tc>
        <w:tc>
          <w:tcPr>
            <w:tcW w:w="158" w:type="pct"/>
            <w:shd w:val="clear" w:color="auto" w:fill="DDD9C3" w:themeFill="background2" w:themeFillShade="E6"/>
            <w:vAlign w:val="center"/>
          </w:tcPr>
          <w:p w14:paraId="06077904" w14:textId="6730DB42" w:rsidR="00500275" w:rsidRPr="006F4D4F" w:rsidRDefault="005D3950" w:rsidP="00AF5EC7">
            <w:pPr>
              <w:jc w:val="center"/>
              <w:rPr>
                <w:sz w:val="14"/>
                <w:szCs w:val="14"/>
                <w:lang w:val="fr-FR"/>
              </w:rPr>
            </w:pPr>
            <w:r w:rsidRPr="006F4D4F">
              <w:rPr>
                <w:sz w:val="14"/>
                <w:szCs w:val="14"/>
                <w:lang w:val="fr-FR"/>
              </w:rPr>
              <w:t>12</w:t>
            </w:r>
          </w:p>
        </w:tc>
        <w:tc>
          <w:tcPr>
            <w:tcW w:w="103" w:type="pct"/>
            <w:shd w:val="clear" w:color="auto" w:fill="auto"/>
            <w:vAlign w:val="center"/>
          </w:tcPr>
          <w:p w14:paraId="67BA5063" w14:textId="585857C1" w:rsidR="00500275" w:rsidRPr="006F4D4F" w:rsidRDefault="005D3950" w:rsidP="00AF5EC7">
            <w:pPr>
              <w:jc w:val="center"/>
              <w:rPr>
                <w:sz w:val="14"/>
                <w:szCs w:val="14"/>
                <w:lang w:val="fr-FR"/>
              </w:rPr>
            </w:pPr>
            <w:r w:rsidRPr="006F4D4F">
              <w:rPr>
                <w:sz w:val="14"/>
                <w:szCs w:val="14"/>
                <w:lang w:val="fr-FR"/>
              </w:rPr>
              <w:t>1</w:t>
            </w:r>
          </w:p>
        </w:tc>
        <w:tc>
          <w:tcPr>
            <w:tcW w:w="95" w:type="pct"/>
            <w:shd w:val="clear" w:color="auto" w:fill="auto"/>
            <w:vAlign w:val="center"/>
          </w:tcPr>
          <w:p w14:paraId="71AAE02C" w14:textId="502B6CB7" w:rsidR="00500275" w:rsidRPr="006F4D4F" w:rsidRDefault="005D3950" w:rsidP="00AF5EC7">
            <w:pPr>
              <w:jc w:val="center"/>
              <w:rPr>
                <w:sz w:val="14"/>
                <w:szCs w:val="14"/>
                <w:lang w:val="fr-FR"/>
              </w:rPr>
            </w:pPr>
            <w:r w:rsidRPr="006F4D4F">
              <w:rPr>
                <w:sz w:val="14"/>
                <w:szCs w:val="14"/>
                <w:lang w:val="fr-FR"/>
              </w:rPr>
              <w:t>2</w:t>
            </w:r>
          </w:p>
        </w:tc>
        <w:tc>
          <w:tcPr>
            <w:tcW w:w="90" w:type="pct"/>
            <w:shd w:val="clear" w:color="auto" w:fill="auto"/>
            <w:vAlign w:val="center"/>
          </w:tcPr>
          <w:p w14:paraId="4366DBA4" w14:textId="2CF68E03" w:rsidR="00500275" w:rsidRPr="006F4D4F" w:rsidRDefault="005D3950" w:rsidP="00AF5EC7">
            <w:pPr>
              <w:jc w:val="center"/>
              <w:rPr>
                <w:sz w:val="14"/>
                <w:szCs w:val="14"/>
                <w:lang w:val="fr-FR"/>
              </w:rPr>
            </w:pPr>
            <w:r w:rsidRPr="006F4D4F">
              <w:rPr>
                <w:sz w:val="14"/>
                <w:szCs w:val="14"/>
                <w:lang w:val="fr-FR"/>
              </w:rPr>
              <w:t>3</w:t>
            </w:r>
          </w:p>
        </w:tc>
        <w:tc>
          <w:tcPr>
            <w:tcW w:w="110" w:type="pct"/>
            <w:shd w:val="clear" w:color="auto" w:fill="auto"/>
            <w:vAlign w:val="center"/>
          </w:tcPr>
          <w:p w14:paraId="5C04EC88" w14:textId="09B2C14A" w:rsidR="00500275" w:rsidRPr="006F4D4F" w:rsidRDefault="005D3950" w:rsidP="00AF5EC7">
            <w:pPr>
              <w:jc w:val="center"/>
              <w:rPr>
                <w:sz w:val="14"/>
                <w:szCs w:val="14"/>
                <w:lang w:val="fr-FR"/>
              </w:rPr>
            </w:pPr>
            <w:r w:rsidRPr="006F4D4F">
              <w:rPr>
                <w:sz w:val="14"/>
                <w:szCs w:val="14"/>
                <w:lang w:val="fr-FR"/>
              </w:rPr>
              <w:t>4</w:t>
            </w:r>
          </w:p>
        </w:tc>
        <w:tc>
          <w:tcPr>
            <w:tcW w:w="110" w:type="pct"/>
            <w:shd w:val="clear" w:color="auto" w:fill="auto"/>
            <w:vAlign w:val="center"/>
          </w:tcPr>
          <w:p w14:paraId="43F301F6" w14:textId="29ADF034" w:rsidR="00500275" w:rsidRPr="006F4D4F" w:rsidRDefault="005D3950" w:rsidP="00AF5EC7">
            <w:pPr>
              <w:jc w:val="center"/>
              <w:rPr>
                <w:sz w:val="14"/>
                <w:szCs w:val="14"/>
                <w:lang w:val="fr-FR"/>
              </w:rPr>
            </w:pPr>
            <w:r w:rsidRPr="006F4D4F">
              <w:rPr>
                <w:sz w:val="14"/>
                <w:szCs w:val="14"/>
                <w:lang w:val="fr-FR"/>
              </w:rPr>
              <w:t>5</w:t>
            </w:r>
          </w:p>
        </w:tc>
        <w:tc>
          <w:tcPr>
            <w:tcW w:w="110" w:type="pct"/>
            <w:shd w:val="clear" w:color="auto" w:fill="auto"/>
            <w:vAlign w:val="center"/>
          </w:tcPr>
          <w:p w14:paraId="5C9F0B10" w14:textId="10E4B6D6" w:rsidR="00500275" w:rsidRPr="006F4D4F" w:rsidRDefault="005D3950" w:rsidP="00AF5EC7">
            <w:pPr>
              <w:jc w:val="center"/>
              <w:rPr>
                <w:sz w:val="14"/>
                <w:szCs w:val="14"/>
                <w:lang w:val="fr-FR"/>
              </w:rPr>
            </w:pPr>
            <w:r w:rsidRPr="006F4D4F">
              <w:rPr>
                <w:sz w:val="14"/>
                <w:szCs w:val="14"/>
                <w:lang w:val="fr-FR"/>
              </w:rPr>
              <w:t>6</w:t>
            </w:r>
          </w:p>
        </w:tc>
        <w:tc>
          <w:tcPr>
            <w:tcW w:w="110" w:type="pct"/>
            <w:shd w:val="clear" w:color="auto" w:fill="auto"/>
            <w:vAlign w:val="center"/>
          </w:tcPr>
          <w:p w14:paraId="5C7856B4" w14:textId="3146EF35" w:rsidR="00500275" w:rsidRPr="006F4D4F" w:rsidRDefault="005D3950" w:rsidP="00AF5EC7">
            <w:pPr>
              <w:jc w:val="center"/>
              <w:rPr>
                <w:sz w:val="14"/>
                <w:szCs w:val="14"/>
                <w:lang w:val="fr-FR"/>
              </w:rPr>
            </w:pPr>
            <w:r w:rsidRPr="006F4D4F">
              <w:rPr>
                <w:sz w:val="14"/>
                <w:szCs w:val="14"/>
                <w:lang w:val="fr-FR"/>
              </w:rPr>
              <w:t>7</w:t>
            </w:r>
          </w:p>
        </w:tc>
        <w:tc>
          <w:tcPr>
            <w:tcW w:w="110" w:type="pct"/>
            <w:shd w:val="clear" w:color="auto" w:fill="auto"/>
            <w:vAlign w:val="center"/>
          </w:tcPr>
          <w:p w14:paraId="0FA314D4" w14:textId="09539854" w:rsidR="00500275" w:rsidRPr="006F4D4F" w:rsidRDefault="005D3950" w:rsidP="00AF5EC7">
            <w:pPr>
              <w:jc w:val="center"/>
              <w:rPr>
                <w:sz w:val="14"/>
                <w:szCs w:val="14"/>
                <w:lang w:val="fr-FR"/>
              </w:rPr>
            </w:pPr>
            <w:r w:rsidRPr="006F4D4F">
              <w:rPr>
                <w:sz w:val="14"/>
                <w:szCs w:val="14"/>
                <w:lang w:val="fr-FR"/>
              </w:rPr>
              <w:t>8</w:t>
            </w:r>
          </w:p>
        </w:tc>
        <w:tc>
          <w:tcPr>
            <w:tcW w:w="101" w:type="pct"/>
            <w:shd w:val="clear" w:color="auto" w:fill="auto"/>
            <w:vAlign w:val="center"/>
          </w:tcPr>
          <w:p w14:paraId="7E62CFE5" w14:textId="67077A59" w:rsidR="00500275" w:rsidRPr="006F4D4F" w:rsidRDefault="005D3950" w:rsidP="00AF5EC7">
            <w:pPr>
              <w:jc w:val="center"/>
              <w:rPr>
                <w:sz w:val="14"/>
                <w:szCs w:val="14"/>
                <w:lang w:val="fr-FR"/>
              </w:rPr>
            </w:pPr>
            <w:r w:rsidRPr="006F4D4F">
              <w:rPr>
                <w:sz w:val="14"/>
                <w:szCs w:val="14"/>
                <w:lang w:val="fr-FR"/>
              </w:rPr>
              <w:t>9</w:t>
            </w:r>
          </w:p>
        </w:tc>
        <w:tc>
          <w:tcPr>
            <w:tcW w:w="156" w:type="pct"/>
            <w:shd w:val="clear" w:color="auto" w:fill="auto"/>
            <w:vAlign w:val="center"/>
          </w:tcPr>
          <w:p w14:paraId="2FCE7DF4" w14:textId="24ED8C23" w:rsidR="00500275" w:rsidRPr="006F4D4F" w:rsidRDefault="005D3950" w:rsidP="00AF5EC7">
            <w:pPr>
              <w:jc w:val="center"/>
              <w:rPr>
                <w:sz w:val="14"/>
                <w:szCs w:val="14"/>
                <w:lang w:val="fr-FR"/>
              </w:rPr>
            </w:pPr>
            <w:r w:rsidRPr="006F4D4F">
              <w:rPr>
                <w:sz w:val="14"/>
                <w:szCs w:val="14"/>
                <w:lang w:val="fr-FR"/>
              </w:rPr>
              <w:t>10</w:t>
            </w:r>
          </w:p>
        </w:tc>
        <w:tc>
          <w:tcPr>
            <w:tcW w:w="156" w:type="pct"/>
            <w:shd w:val="clear" w:color="auto" w:fill="auto"/>
            <w:vAlign w:val="center"/>
          </w:tcPr>
          <w:p w14:paraId="1FC2B390" w14:textId="4825F275" w:rsidR="00500275" w:rsidRPr="006F4D4F" w:rsidRDefault="005D3950" w:rsidP="00AF5EC7">
            <w:pPr>
              <w:jc w:val="center"/>
              <w:rPr>
                <w:sz w:val="14"/>
                <w:szCs w:val="14"/>
                <w:lang w:val="fr-FR"/>
              </w:rPr>
            </w:pPr>
            <w:r w:rsidRPr="006F4D4F">
              <w:rPr>
                <w:sz w:val="14"/>
                <w:szCs w:val="14"/>
                <w:lang w:val="fr-FR"/>
              </w:rPr>
              <w:t>11</w:t>
            </w:r>
          </w:p>
        </w:tc>
        <w:tc>
          <w:tcPr>
            <w:tcW w:w="155" w:type="pct"/>
            <w:shd w:val="clear" w:color="auto" w:fill="auto"/>
            <w:vAlign w:val="center"/>
          </w:tcPr>
          <w:p w14:paraId="0B6F5E74" w14:textId="72D340E0" w:rsidR="00500275" w:rsidRPr="006F4D4F" w:rsidRDefault="005D3950" w:rsidP="00AF5EC7">
            <w:pPr>
              <w:jc w:val="center"/>
              <w:rPr>
                <w:sz w:val="14"/>
                <w:szCs w:val="14"/>
                <w:lang w:val="fr-FR"/>
              </w:rPr>
            </w:pPr>
            <w:r w:rsidRPr="006F4D4F">
              <w:rPr>
                <w:sz w:val="14"/>
                <w:szCs w:val="14"/>
                <w:lang w:val="fr-FR"/>
              </w:rPr>
              <w:t>12</w:t>
            </w:r>
          </w:p>
        </w:tc>
        <w:tc>
          <w:tcPr>
            <w:tcW w:w="105" w:type="pct"/>
            <w:shd w:val="clear" w:color="auto" w:fill="DDD9C3" w:themeFill="background2" w:themeFillShade="E6"/>
            <w:vAlign w:val="center"/>
          </w:tcPr>
          <w:p w14:paraId="4A873206" w14:textId="2D6CD16E" w:rsidR="00500275" w:rsidRPr="006F4D4F" w:rsidRDefault="005D3950" w:rsidP="00AF5EC7">
            <w:pPr>
              <w:jc w:val="center"/>
              <w:rPr>
                <w:sz w:val="14"/>
                <w:szCs w:val="14"/>
                <w:lang w:val="fr-FR"/>
              </w:rPr>
            </w:pPr>
            <w:r w:rsidRPr="006F4D4F">
              <w:rPr>
                <w:sz w:val="14"/>
                <w:szCs w:val="14"/>
                <w:lang w:val="fr-FR"/>
              </w:rPr>
              <w:t>1</w:t>
            </w:r>
          </w:p>
        </w:tc>
        <w:tc>
          <w:tcPr>
            <w:tcW w:w="105" w:type="pct"/>
            <w:shd w:val="clear" w:color="auto" w:fill="DDD9C3" w:themeFill="background2" w:themeFillShade="E6"/>
            <w:vAlign w:val="center"/>
          </w:tcPr>
          <w:p w14:paraId="3F96FEA0" w14:textId="42AB2CC5" w:rsidR="00500275" w:rsidRPr="006F4D4F" w:rsidRDefault="005D3950" w:rsidP="00AF5EC7">
            <w:pPr>
              <w:jc w:val="center"/>
              <w:rPr>
                <w:sz w:val="14"/>
                <w:szCs w:val="14"/>
                <w:lang w:val="fr-FR"/>
              </w:rPr>
            </w:pPr>
            <w:r w:rsidRPr="006F4D4F">
              <w:rPr>
                <w:sz w:val="14"/>
                <w:szCs w:val="14"/>
                <w:lang w:val="fr-FR"/>
              </w:rPr>
              <w:t>2</w:t>
            </w:r>
          </w:p>
        </w:tc>
        <w:tc>
          <w:tcPr>
            <w:tcW w:w="99" w:type="pct"/>
            <w:shd w:val="clear" w:color="auto" w:fill="DDD9C3" w:themeFill="background2" w:themeFillShade="E6"/>
            <w:vAlign w:val="center"/>
          </w:tcPr>
          <w:p w14:paraId="1EB30FED" w14:textId="3BE16A2B" w:rsidR="00500275" w:rsidRPr="006F4D4F" w:rsidRDefault="005D3950" w:rsidP="00AF5EC7">
            <w:pPr>
              <w:jc w:val="center"/>
              <w:rPr>
                <w:sz w:val="14"/>
                <w:szCs w:val="14"/>
                <w:lang w:val="fr-FR"/>
              </w:rPr>
            </w:pPr>
            <w:r w:rsidRPr="006F4D4F">
              <w:rPr>
                <w:sz w:val="14"/>
                <w:szCs w:val="14"/>
                <w:lang w:val="fr-FR"/>
              </w:rPr>
              <w:t>3</w:t>
            </w:r>
          </w:p>
        </w:tc>
        <w:tc>
          <w:tcPr>
            <w:tcW w:w="90" w:type="pct"/>
            <w:shd w:val="clear" w:color="auto" w:fill="DDD9C3" w:themeFill="background2" w:themeFillShade="E6"/>
            <w:vAlign w:val="center"/>
          </w:tcPr>
          <w:p w14:paraId="5676BBBB" w14:textId="51B2BCFA" w:rsidR="00500275" w:rsidRPr="006F4D4F" w:rsidRDefault="005D3950" w:rsidP="00AF5EC7">
            <w:pPr>
              <w:jc w:val="center"/>
              <w:rPr>
                <w:sz w:val="14"/>
                <w:szCs w:val="14"/>
                <w:lang w:val="fr-FR"/>
              </w:rPr>
            </w:pPr>
            <w:r w:rsidRPr="006F4D4F">
              <w:rPr>
                <w:sz w:val="14"/>
                <w:szCs w:val="14"/>
                <w:lang w:val="fr-FR"/>
              </w:rPr>
              <w:t>4</w:t>
            </w:r>
          </w:p>
        </w:tc>
        <w:tc>
          <w:tcPr>
            <w:tcW w:w="110" w:type="pct"/>
            <w:gridSpan w:val="2"/>
            <w:shd w:val="clear" w:color="auto" w:fill="DDD9C3" w:themeFill="background2" w:themeFillShade="E6"/>
            <w:vAlign w:val="center"/>
          </w:tcPr>
          <w:p w14:paraId="240CDD76" w14:textId="510895FD" w:rsidR="00500275" w:rsidRPr="006F4D4F" w:rsidRDefault="005D3950" w:rsidP="00AF5EC7">
            <w:pPr>
              <w:jc w:val="center"/>
              <w:rPr>
                <w:sz w:val="14"/>
                <w:szCs w:val="14"/>
                <w:lang w:val="fr-FR"/>
              </w:rPr>
            </w:pPr>
            <w:r w:rsidRPr="006F4D4F">
              <w:rPr>
                <w:sz w:val="14"/>
                <w:szCs w:val="14"/>
                <w:lang w:val="fr-FR"/>
              </w:rPr>
              <w:t>5</w:t>
            </w:r>
          </w:p>
        </w:tc>
        <w:tc>
          <w:tcPr>
            <w:tcW w:w="110" w:type="pct"/>
            <w:shd w:val="clear" w:color="auto" w:fill="DDD9C3" w:themeFill="background2" w:themeFillShade="E6"/>
            <w:vAlign w:val="center"/>
          </w:tcPr>
          <w:p w14:paraId="1C98BA42" w14:textId="516EFC93" w:rsidR="00500275" w:rsidRPr="006F4D4F" w:rsidRDefault="005D3950" w:rsidP="00AF5EC7">
            <w:pPr>
              <w:jc w:val="center"/>
              <w:rPr>
                <w:sz w:val="14"/>
                <w:szCs w:val="14"/>
                <w:lang w:val="fr-FR"/>
              </w:rPr>
            </w:pPr>
            <w:r w:rsidRPr="006F4D4F">
              <w:rPr>
                <w:sz w:val="14"/>
                <w:szCs w:val="14"/>
                <w:lang w:val="fr-FR"/>
              </w:rPr>
              <w:t>6</w:t>
            </w:r>
          </w:p>
        </w:tc>
        <w:tc>
          <w:tcPr>
            <w:tcW w:w="110" w:type="pct"/>
            <w:shd w:val="clear" w:color="auto" w:fill="DDD9C3" w:themeFill="background2" w:themeFillShade="E6"/>
            <w:vAlign w:val="center"/>
          </w:tcPr>
          <w:p w14:paraId="2A2E26E8" w14:textId="29DC824C" w:rsidR="00500275" w:rsidRPr="006F4D4F" w:rsidRDefault="005D3950" w:rsidP="00AF5EC7">
            <w:pPr>
              <w:jc w:val="center"/>
              <w:rPr>
                <w:sz w:val="14"/>
                <w:szCs w:val="14"/>
                <w:lang w:val="fr-FR"/>
              </w:rPr>
            </w:pPr>
            <w:r w:rsidRPr="006F4D4F">
              <w:rPr>
                <w:sz w:val="14"/>
                <w:szCs w:val="14"/>
                <w:lang w:val="fr-FR"/>
              </w:rPr>
              <w:t>7</w:t>
            </w:r>
          </w:p>
        </w:tc>
        <w:tc>
          <w:tcPr>
            <w:tcW w:w="110" w:type="pct"/>
            <w:shd w:val="clear" w:color="auto" w:fill="DDD9C3" w:themeFill="background2" w:themeFillShade="E6"/>
            <w:vAlign w:val="center"/>
          </w:tcPr>
          <w:p w14:paraId="47975D36" w14:textId="0B7F70DC" w:rsidR="00500275" w:rsidRPr="006F4D4F" w:rsidRDefault="005D3950" w:rsidP="00AF5EC7">
            <w:pPr>
              <w:jc w:val="center"/>
              <w:rPr>
                <w:sz w:val="14"/>
                <w:szCs w:val="14"/>
                <w:lang w:val="fr-FR"/>
              </w:rPr>
            </w:pPr>
            <w:r w:rsidRPr="006F4D4F">
              <w:rPr>
                <w:sz w:val="14"/>
                <w:szCs w:val="14"/>
                <w:lang w:val="fr-FR"/>
              </w:rPr>
              <w:t>8</w:t>
            </w:r>
          </w:p>
        </w:tc>
        <w:tc>
          <w:tcPr>
            <w:tcW w:w="110" w:type="pct"/>
            <w:shd w:val="clear" w:color="auto" w:fill="DDD9C3" w:themeFill="background2" w:themeFillShade="E6"/>
            <w:vAlign w:val="center"/>
          </w:tcPr>
          <w:p w14:paraId="14DFACAC" w14:textId="331953D5" w:rsidR="00500275" w:rsidRPr="006F4D4F" w:rsidRDefault="005D3950" w:rsidP="00AF5EC7">
            <w:pPr>
              <w:jc w:val="center"/>
              <w:rPr>
                <w:sz w:val="14"/>
                <w:szCs w:val="14"/>
                <w:lang w:val="fr-FR"/>
              </w:rPr>
            </w:pPr>
            <w:r w:rsidRPr="006F4D4F">
              <w:rPr>
                <w:sz w:val="14"/>
                <w:szCs w:val="14"/>
                <w:lang w:val="fr-FR"/>
              </w:rPr>
              <w:t>9</w:t>
            </w:r>
          </w:p>
        </w:tc>
        <w:tc>
          <w:tcPr>
            <w:tcW w:w="149" w:type="pct"/>
            <w:shd w:val="clear" w:color="auto" w:fill="DDD9C3" w:themeFill="background2" w:themeFillShade="E6"/>
            <w:vAlign w:val="center"/>
          </w:tcPr>
          <w:p w14:paraId="63F003F8" w14:textId="6DB1D6C9" w:rsidR="00500275" w:rsidRPr="006F4D4F" w:rsidRDefault="005D3950" w:rsidP="00AF5EC7">
            <w:pPr>
              <w:jc w:val="center"/>
              <w:rPr>
                <w:sz w:val="14"/>
                <w:szCs w:val="14"/>
                <w:lang w:val="fr-FR"/>
              </w:rPr>
            </w:pPr>
            <w:r w:rsidRPr="006F4D4F">
              <w:rPr>
                <w:sz w:val="14"/>
                <w:szCs w:val="14"/>
                <w:lang w:val="fr-FR"/>
              </w:rPr>
              <w:t>10</w:t>
            </w:r>
          </w:p>
        </w:tc>
        <w:tc>
          <w:tcPr>
            <w:tcW w:w="156" w:type="pct"/>
            <w:shd w:val="clear" w:color="auto" w:fill="DDD9C3" w:themeFill="background2" w:themeFillShade="E6"/>
            <w:vAlign w:val="center"/>
          </w:tcPr>
          <w:p w14:paraId="09D537DC" w14:textId="5A89D700" w:rsidR="00500275" w:rsidRPr="006F4D4F" w:rsidRDefault="005D3950" w:rsidP="00AF5EC7">
            <w:pPr>
              <w:jc w:val="center"/>
              <w:rPr>
                <w:sz w:val="14"/>
                <w:szCs w:val="14"/>
                <w:lang w:val="fr-FR"/>
              </w:rPr>
            </w:pPr>
            <w:r w:rsidRPr="006F4D4F">
              <w:rPr>
                <w:sz w:val="14"/>
                <w:szCs w:val="14"/>
                <w:lang w:val="fr-FR"/>
              </w:rPr>
              <w:t>11</w:t>
            </w:r>
          </w:p>
        </w:tc>
        <w:tc>
          <w:tcPr>
            <w:tcW w:w="158" w:type="pct"/>
            <w:shd w:val="clear" w:color="auto" w:fill="DDD9C3" w:themeFill="background2" w:themeFillShade="E6"/>
            <w:vAlign w:val="center"/>
          </w:tcPr>
          <w:p w14:paraId="53CCA293" w14:textId="750A101C" w:rsidR="00500275" w:rsidRPr="006F4D4F" w:rsidRDefault="005D3950" w:rsidP="00AF5EC7">
            <w:pPr>
              <w:jc w:val="center"/>
              <w:rPr>
                <w:sz w:val="14"/>
                <w:szCs w:val="14"/>
                <w:lang w:val="fr-FR"/>
              </w:rPr>
            </w:pPr>
            <w:r w:rsidRPr="006F4D4F">
              <w:rPr>
                <w:sz w:val="14"/>
                <w:szCs w:val="14"/>
                <w:lang w:val="fr-FR"/>
              </w:rPr>
              <w:t>12</w:t>
            </w:r>
          </w:p>
        </w:tc>
        <w:tc>
          <w:tcPr>
            <w:tcW w:w="104" w:type="pct"/>
            <w:shd w:val="clear" w:color="auto" w:fill="FFFFFF" w:themeFill="background1"/>
            <w:vAlign w:val="center"/>
          </w:tcPr>
          <w:p w14:paraId="6C85CF52" w14:textId="1E18FEB5" w:rsidR="00500275" w:rsidRPr="006F4D4F" w:rsidRDefault="005D3950" w:rsidP="00AF5EC7">
            <w:pPr>
              <w:jc w:val="center"/>
              <w:rPr>
                <w:sz w:val="14"/>
                <w:szCs w:val="14"/>
                <w:lang w:val="fr-FR"/>
              </w:rPr>
            </w:pPr>
            <w:r w:rsidRPr="006F4D4F">
              <w:rPr>
                <w:sz w:val="14"/>
                <w:szCs w:val="14"/>
                <w:lang w:val="fr-FR"/>
              </w:rPr>
              <w:t>1</w:t>
            </w:r>
          </w:p>
        </w:tc>
        <w:tc>
          <w:tcPr>
            <w:tcW w:w="87" w:type="pct"/>
            <w:shd w:val="clear" w:color="auto" w:fill="FFFFFF" w:themeFill="background1"/>
            <w:vAlign w:val="center"/>
          </w:tcPr>
          <w:p w14:paraId="646F6889" w14:textId="3FF01509" w:rsidR="00500275" w:rsidRPr="006F4D4F" w:rsidRDefault="005D3950" w:rsidP="00AF5EC7">
            <w:pPr>
              <w:jc w:val="center"/>
              <w:rPr>
                <w:sz w:val="14"/>
                <w:szCs w:val="14"/>
                <w:lang w:val="fr-FR"/>
              </w:rPr>
            </w:pPr>
            <w:r w:rsidRPr="006F4D4F">
              <w:rPr>
                <w:sz w:val="14"/>
                <w:szCs w:val="14"/>
                <w:lang w:val="fr-FR"/>
              </w:rPr>
              <w:t>2</w:t>
            </w:r>
          </w:p>
        </w:tc>
        <w:tc>
          <w:tcPr>
            <w:tcW w:w="109" w:type="pct"/>
            <w:shd w:val="clear" w:color="auto" w:fill="auto"/>
            <w:vAlign w:val="center"/>
          </w:tcPr>
          <w:p w14:paraId="210A3167" w14:textId="7863C558" w:rsidR="00500275" w:rsidRPr="006F4D4F" w:rsidRDefault="005D3950" w:rsidP="00AF5EC7">
            <w:pPr>
              <w:jc w:val="center"/>
              <w:rPr>
                <w:sz w:val="14"/>
                <w:szCs w:val="14"/>
                <w:lang w:val="fr-FR"/>
              </w:rPr>
            </w:pPr>
            <w:r w:rsidRPr="006F4D4F">
              <w:rPr>
                <w:sz w:val="14"/>
                <w:szCs w:val="14"/>
                <w:lang w:val="fr-FR"/>
              </w:rPr>
              <w:t>3</w:t>
            </w:r>
          </w:p>
        </w:tc>
        <w:tc>
          <w:tcPr>
            <w:tcW w:w="110" w:type="pct"/>
            <w:gridSpan w:val="2"/>
            <w:shd w:val="clear" w:color="auto" w:fill="auto"/>
            <w:vAlign w:val="center"/>
          </w:tcPr>
          <w:p w14:paraId="1F1609E5" w14:textId="2696C153" w:rsidR="00500275" w:rsidRPr="006F4D4F" w:rsidRDefault="005D3950" w:rsidP="00AF5EC7">
            <w:pPr>
              <w:jc w:val="center"/>
              <w:rPr>
                <w:sz w:val="14"/>
                <w:szCs w:val="14"/>
                <w:lang w:val="fr-FR"/>
              </w:rPr>
            </w:pPr>
            <w:r w:rsidRPr="006F4D4F">
              <w:rPr>
                <w:sz w:val="14"/>
                <w:szCs w:val="14"/>
                <w:lang w:val="fr-FR"/>
              </w:rPr>
              <w:t>4</w:t>
            </w:r>
          </w:p>
        </w:tc>
        <w:tc>
          <w:tcPr>
            <w:tcW w:w="110" w:type="pct"/>
            <w:gridSpan w:val="2"/>
            <w:shd w:val="clear" w:color="auto" w:fill="auto"/>
            <w:vAlign w:val="center"/>
          </w:tcPr>
          <w:p w14:paraId="2B8668FD" w14:textId="0083467A" w:rsidR="00500275" w:rsidRPr="006F4D4F" w:rsidRDefault="005D3950" w:rsidP="00AF5EC7">
            <w:pPr>
              <w:jc w:val="center"/>
              <w:rPr>
                <w:sz w:val="14"/>
                <w:szCs w:val="14"/>
                <w:lang w:val="fr-FR"/>
              </w:rPr>
            </w:pPr>
            <w:r w:rsidRPr="006F4D4F">
              <w:rPr>
                <w:sz w:val="14"/>
                <w:szCs w:val="14"/>
                <w:lang w:val="fr-FR"/>
              </w:rPr>
              <w:t>5</w:t>
            </w:r>
          </w:p>
        </w:tc>
        <w:tc>
          <w:tcPr>
            <w:tcW w:w="110" w:type="pct"/>
            <w:gridSpan w:val="2"/>
            <w:shd w:val="clear" w:color="auto" w:fill="auto"/>
            <w:vAlign w:val="center"/>
          </w:tcPr>
          <w:p w14:paraId="5E7680BC" w14:textId="47336813" w:rsidR="00500275" w:rsidRPr="006F4D4F" w:rsidRDefault="005D3950" w:rsidP="00AF5EC7">
            <w:pPr>
              <w:jc w:val="center"/>
              <w:rPr>
                <w:sz w:val="14"/>
                <w:szCs w:val="14"/>
                <w:lang w:val="fr-FR"/>
              </w:rPr>
            </w:pPr>
            <w:r w:rsidRPr="006F4D4F">
              <w:rPr>
                <w:sz w:val="14"/>
                <w:szCs w:val="14"/>
                <w:lang w:val="fr-FR"/>
              </w:rPr>
              <w:t>6</w:t>
            </w:r>
          </w:p>
        </w:tc>
        <w:tc>
          <w:tcPr>
            <w:tcW w:w="110" w:type="pct"/>
            <w:gridSpan w:val="2"/>
            <w:shd w:val="clear" w:color="auto" w:fill="auto"/>
            <w:vAlign w:val="center"/>
          </w:tcPr>
          <w:p w14:paraId="03358970" w14:textId="1A2C6BC2" w:rsidR="00500275" w:rsidRPr="006F4D4F" w:rsidRDefault="005D3950" w:rsidP="00AF5EC7">
            <w:pPr>
              <w:jc w:val="center"/>
              <w:rPr>
                <w:sz w:val="14"/>
                <w:szCs w:val="14"/>
                <w:lang w:val="fr-FR"/>
              </w:rPr>
            </w:pPr>
            <w:r w:rsidRPr="006F4D4F">
              <w:rPr>
                <w:sz w:val="14"/>
                <w:szCs w:val="14"/>
                <w:lang w:val="fr-FR"/>
              </w:rPr>
              <w:t>7</w:t>
            </w:r>
          </w:p>
        </w:tc>
        <w:tc>
          <w:tcPr>
            <w:tcW w:w="148" w:type="pct"/>
            <w:shd w:val="clear" w:color="auto" w:fill="auto"/>
            <w:vAlign w:val="center"/>
          </w:tcPr>
          <w:p w14:paraId="37E638B2" w14:textId="5DD64422" w:rsidR="00500275" w:rsidRPr="006F4D4F" w:rsidRDefault="005D3950" w:rsidP="00AF5EC7">
            <w:pPr>
              <w:jc w:val="center"/>
              <w:rPr>
                <w:sz w:val="14"/>
                <w:szCs w:val="14"/>
                <w:lang w:val="fr-FR"/>
              </w:rPr>
            </w:pPr>
            <w:r w:rsidRPr="006F4D4F">
              <w:rPr>
                <w:sz w:val="14"/>
                <w:szCs w:val="14"/>
                <w:lang w:val="fr-FR"/>
              </w:rPr>
              <w:t>8</w:t>
            </w:r>
          </w:p>
        </w:tc>
      </w:tr>
      <w:tr w:rsidR="00B31DED" w:rsidRPr="004A302F" w14:paraId="611568A0" w14:textId="77777777" w:rsidTr="00AF5EC7">
        <w:trPr>
          <w:trHeight w:val="380"/>
        </w:trPr>
        <w:tc>
          <w:tcPr>
            <w:tcW w:w="5000" w:type="pct"/>
            <w:gridSpan w:val="45"/>
            <w:shd w:val="clear" w:color="auto" w:fill="B8CCE4"/>
            <w:vAlign w:val="center"/>
          </w:tcPr>
          <w:p w14:paraId="20AB2775" w14:textId="688AD31B" w:rsidR="00B31DED" w:rsidRPr="006F4D4F" w:rsidRDefault="00AF5EC7" w:rsidP="00AF5EC7">
            <w:pPr>
              <w:rPr>
                <w:b/>
                <w:sz w:val="18"/>
                <w:szCs w:val="18"/>
                <w:lang w:val="fr-FR"/>
              </w:rPr>
            </w:pPr>
            <w:r>
              <w:rPr>
                <w:b/>
                <w:lang w:val="fr-FR"/>
              </w:rPr>
              <w:t>Domaine d’i</w:t>
            </w:r>
            <w:r w:rsidR="00B31DED" w:rsidRPr="006F4D4F">
              <w:rPr>
                <w:b/>
                <w:lang w:val="fr-FR"/>
              </w:rPr>
              <w:t>ntervention 1</w:t>
            </w:r>
            <w:r>
              <w:rPr>
                <w:b/>
                <w:lang w:val="fr-FR"/>
              </w:rPr>
              <w:t> </w:t>
            </w:r>
            <w:r w:rsidR="00B31DED" w:rsidRPr="006F4D4F">
              <w:rPr>
                <w:b/>
                <w:lang w:val="fr-FR"/>
              </w:rPr>
              <w:t xml:space="preserve">: </w:t>
            </w:r>
            <w:r>
              <w:rPr>
                <w:bCs/>
                <w:lang w:val="fr-FR"/>
              </w:rPr>
              <w:t xml:space="preserve">Partenariats pour l’emploi par un dialogue </w:t>
            </w:r>
            <w:r w:rsidR="00BC1B6D">
              <w:rPr>
                <w:bCs/>
                <w:lang w:val="fr-FR"/>
              </w:rPr>
              <w:t>accru</w:t>
            </w:r>
          </w:p>
        </w:tc>
      </w:tr>
      <w:tr w:rsidR="00FE1DB2" w:rsidRPr="004A302F" w14:paraId="2EB156F8" w14:textId="77777777" w:rsidTr="00AF5EC7">
        <w:trPr>
          <w:trHeight w:val="380"/>
        </w:trPr>
        <w:tc>
          <w:tcPr>
            <w:tcW w:w="509" w:type="pct"/>
            <w:gridSpan w:val="2"/>
            <w:shd w:val="clear" w:color="auto" w:fill="auto"/>
            <w:vAlign w:val="center"/>
          </w:tcPr>
          <w:p w14:paraId="0D5BBA04" w14:textId="77777777" w:rsidR="00500275" w:rsidRPr="006F4D4F" w:rsidRDefault="00500275" w:rsidP="00AF5EC7">
            <w:pPr>
              <w:rPr>
                <w:b/>
                <w:sz w:val="14"/>
                <w:szCs w:val="14"/>
                <w:lang w:val="fr-FR"/>
              </w:rPr>
            </w:pPr>
            <w:r w:rsidRPr="006F4D4F">
              <w:rPr>
                <w:b/>
                <w:sz w:val="14"/>
                <w:szCs w:val="14"/>
                <w:lang w:val="fr-FR"/>
              </w:rPr>
              <w:t> </w:t>
            </w:r>
          </w:p>
        </w:tc>
        <w:tc>
          <w:tcPr>
            <w:tcW w:w="110" w:type="pct"/>
            <w:shd w:val="clear" w:color="auto" w:fill="FDE9D9" w:themeFill="accent6" w:themeFillTint="33"/>
            <w:vAlign w:val="center"/>
          </w:tcPr>
          <w:p w14:paraId="22C58A28"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0F51F14F"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55A30FD5" w14:textId="77777777" w:rsidR="00500275" w:rsidRPr="006F4D4F" w:rsidRDefault="00500275" w:rsidP="00AF5EC7">
            <w:pPr>
              <w:jc w:val="center"/>
              <w:rPr>
                <w:b/>
                <w:sz w:val="18"/>
                <w:szCs w:val="18"/>
                <w:lang w:val="fr-FR"/>
              </w:rPr>
            </w:pPr>
          </w:p>
        </w:tc>
        <w:tc>
          <w:tcPr>
            <w:tcW w:w="140" w:type="pct"/>
            <w:shd w:val="clear" w:color="auto" w:fill="FDE9D9" w:themeFill="accent6" w:themeFillTint="33"/>
            <w:vAlign w:val="center"/>
          </w:tcPr>
          <w:p w14:paraId="6BA337B1" w14:textId="77777777" w:rsidR="00500275" w:rsidRPr="006F4D4F" w:rsidRDefault="00500275" w:rsidP="00AF5EC7">
            <w:pPr>
              <w:jc w:val="center"/>
              <w:rPr>
                <w:b/>
                <w:sz w:val="18"/>
                <w:szCs w:val="18"/>
                <w:lang w:val="fr-FR"/>
              </w:rPr>
            </w:pPr>
          </w:p>
        </w:tc>
        <w:tc>
          <w:tcPr>
            <w:tcW w:w="156" w:type="pct"/>
            <w:shd w:val="clear" w:color="auto" w:fill="FDE9D9" w:themeFill="accent6" w:themeFillTint="33"/>
            <w:vAlign w:val="center"/>
          </w:tcPr>
          <w:p w14:paraId="6F9C6EEB" w14:textId="77777777" w:rsidR="00500275" w:rsidRPr="006F4D4F" w:rsidRDefault="00500275" w:rsidP="00AF5EC7">
            <w:pPr>
              <w:jc w:val="center"/>
              <w:rPr>
                <w:b/>
                <w:sz w:val="18"/>
                <w:szCs w:val="18"/>
                <w:lang w:val="fr-FR"/>
              </w:rPr>
            </w:pPr>
          </w:p>
        </w:tc>
        <w:tc>
          <w:tcPr>
            <w:tcW w:w="158" w:type="pct"/>
            <w:shd w:val="clear" w:color="auto" w:fill="FDE9D9" w:themeFill="accent6" w:themeFillTint="33"/>
            <w:vAlign w:val="center"/>
          </w:tcPr>
          <w:p w14:paraId="5F5823AE" w14:textId="77777777" w:rsidR="00500275" w:rsidRPr="006F4D4F" w:rsidRDefault="00500275" w:rsidP="00AF5EC7">
            <w:pPr>
              <w:jc w:val="center"/>
              <w:rPr>
                <w:b/>
                <w:sz w:val="18"/>
                <w:szCs w:val="18"/>
                <w:lang w:val="fr-FR"/>
              </w:rPr>
            </w:pPr>
          </w:p>
        </w:tc>
        <w:tc>
          <w:tcPr>
            <w:tcW w:w="103" w:type="pct"/>
            <w:shd w:val="clear" w:color="auto" w:fill="FDE9D9" w:themeFill="accent6" w:themeFillTint="33"/>
            <w:vAlign w:val="center"/>
          </w:tcPr>
          <w:p w14:paraId="535DC338" w14:textId="77777777" w:rsidR="00500275" w:rsidRPr="006F4D4F" w:rsidRDefault="00500275" w:rsidP="00AF5EC7">
            <w:pPr>
              <w:jc w:val="center"/>
              <w:rPr>
                <w:b/>
                <w:sz w:val="18"/>
                <w:szCs w:val="18"/>
                <w:lang w:val="fr-FR"/>
              </w:rPr>
            </w:pPr>
          </w:p>
        </w:tc>
        <w:tc>
          <w:tcPr>
            <w:tcW w:w="95" w:type="pct"/>
            <w:shd w:val="clear" w:color="auto" w:fill="FDE9D9" w:themeFill="accent6" w:themeFillTint="33"/>
            <w:vAlign w:val="center"/>
          </w:tcPr>
          <w:p w14:paraId="4F172298" w14:textId="77777777" w:rsidR="00500275" w:rsidRPr="006F4D4F" w:rsidRDefault="00500275" w:rsidP="00AF5EC7">
            <w:pPr>
              <w:jc w:val="center"/>
              <w:rPr>
                <w:b/>
                <w:sz w:val="18"/>
                <w:szCs w:val="18"/>
                <w:lang w:val="fr-FR"/>
              </w:rPr>
            </w:pPr>
          </w:p>
        </w:tc>
        <w:tc>
          <w:tcPr>
            <w:tcW w:w="90" w:type="pct"/>
            <w:shd w:val="clear" w:color="auto" w:fill="FDE9D9" w:themeFill="accent6" w:themeFillTint="33"/>
            <w:vAlign w:val="center"/>
          </w:tcPr>
          <w:p w14:paraId="45970699" w14:textId="77777777" w:rsidR="00500275" w:rsidRPr="006F4D4F" w:rsidRDefault="00500275" w:rsidP="00AF5EC7">
            <w:pPr>
              <w:jc w:val="center"/>
              <w:rPr>
                <w:b/>
                <w:sz w:val="18"/>
                <w:szCs w:val="18"/>
                <w:lang w:val="fr-FR"/>
              </w:rPr>
            </w:pPr>
          </w:p>
        </w:tc>
        <w:tc>
          <w:tcPr>
            <w:tcW w:w="110" w:type="pct"/>
            <w:shd w:val="clear" w:color="auto" w:fill="auto"/>
            <w:vAlign w:val="center"/>
          </w:tcPr>
          <w:p w14:paraId="4DE4EC34" w14:textId="77777777" w:rsidR="00500275" w:rsidRPr="006F4D4F" w:rsidRDefault="00500275" w:rsidP="00AF5EC7">
            <w:pPr>
              <w:jc w:val="center"/>
              <w:rPr>
                <w:b/>
                <w:sz w:val="18"/>
                <w:szCs w:val="18"/>
                <w:lang w:val="fr-FR"/>
              </w:rPr>
            </w:pPr>
          </w:p>
        </w:tc>
        <w:tc>
          <w:tcPr>
            <w:tcW w:w="110" w:type="pct"/>
            <w:shd w:val="clear" w:color="auto" w:fill="auto"/>
            <w:vAlign w:val="center"/>
          </w:tcPr>
          <w:p w14:paraId="624671D0" w14:textId="77777777" w:rsidR="00500275" w:rsidRPr="006F4D4F" w:rsidRDefault="00500275" w:rsidP="00AF5EC7">
            <w:pPr>
              <w:jc w:val="center"/>
              <w:rPr>
                <w:b/>
                <w:sz w:val="18"/>
                <w:szCs w:val="18"/>
                <w:lang w:val="fr-FR"/>
              </w:rPr>
            </w:pPr>
          </w:p>
        </w:tc>
        <w:tc>
          <w:tcPr>
            <w:tcW w:w="110" w:type="pct"/>
            <w:shd w:val="clear" w:color="auto" w:fill="auto"/>
            <w:vAlign w:val="center"/>
          </w:tcPr>
          <w:p w14:paraId="43891A1F" w14:textId="77777777" w:rsidR="00500275" w:rsidRPr="006F4D4F" w:rsidRDefault="00500275" w:rsidP="00AF5EC7">
            <w:pPr>
              <w:jc w:val="center"/>
              <w:rPr>
                <w:b/>
                <w:sz w:val="18"/>
                <w:szCs w:val="18"/>
                <w:lang w:val="fr-FR"/>
              </w:rPr>
            </w:pPr>
          </w:p>
        </w:tc>
        <w:tc>
          <w:tcPr>
            <w:tcW w:w="110" w:type="pct"/>
            <w:shd w:val="clear" w:color="auto" w:fill="auto"/>
            <w:vAlign w:val="center"/>
          </w:tcPr>
          <w:p w14:paraId="7DBBDDC4" w14:textId="77777777" w:rsidR="00500275" w:rsidRPr="006F4D4F" w:rsidRDefault="00500275" w:rsidP="00AF5EC7">
            <w:pPr>
              <w:jc w:val="center"/>
              <w:rPr>
                <w:b/>
                <w:sz w:val="18"/>
                <w:szCs w:val="18"/>
                <w:lang w:val="fr-FR"/>
              </w:rPr>
            </w:pPr>
          </w:p>
        </w:tc>
        <w:tc>
          <w:tcPr>
            <w:tcW w:w="110" w:type="pct"/>
            <w:shd w:val="clear" w:color="auto" w:fill="auto"/>
            <w:vAlign w:val="center"/>
          </w:tcPr>
          <w:p w14:paraId="2B37A57C" w14:textId="77777777" w:rsidR="00500275" w:rsidRPr="006F4D4F" w:rsidRDefault="00500275" w:rsidP="00AF5EC7">
            <w:pPr>
              <w:jc w:val="center"/>
              <w:rPr>
                <w:b/>
                <w:sz w:val="18"/>
                <w:szCs w:val="18"/>
                <w:lang w:val="fr-FR"/>
              </w:rPr>
            </w:pPr>
          </w:p>
        </w:tc>
        <w:tc>
          <w:tcPr>
            <w:tcW w:w="101" w:type="pct"/>
            <w:shd w:val="clear" w:color="auto" w:fill="auto"/>
            <w:vAlign w:val="center"/>
          </w:tcPr>
          <w:p w14:paraId="10D45480" w14:textId="77777777" w:rsidR="00500275" w:rsidRPr="006F4D4F" w:rsidRDefault="00500275" w:rsidP="00AF5EC7">
            <w:pPr>
              <w:jc w:val="center"/>
              <w:rPr>
                <w:b/>
                <w:sz w:val="18"/>
                <w:szCs w:val="18"/>
                <w:lang w:val="fr-FR"/>
              </w:rPr>
            </w:pPr>
          </w:p>
        </w:tc>
        <w:tc>
          <w:tcPr>
            <w:tcW w:w="156" w:type="pct"/>
            <w:shd w:val="clear" w:color="auto" w:fill="auto"/>
            <w:vAlign w:val="center"/>
          </w:tcPr>
          <w:p w14:paraId="3CBA6CCB" w14:textId="77777777" w:rsidR="00500275" w:rsidRPr="006F4D4F" w:rsidRDefault="00500275" w:rsidP="00AF5EC7">
            <w:pPr>
              <w:jc w:val="center"/>
              <w:rPr>
                <w:b/>
                <w:sz w:val="18"/>
                <w:szCs w:val="18"/>
                <w:lang w:val="fr-FR"/>
              </w:rPr>
            </w:pPr>
          </w:p>
        </w:tc>
        <w:tc>
          <w:tcPr>
            <w:tcW w:w="156" w:type="pct"/>
            <w:shd w:val="clear" w:color="auto" w:fill="auto"/>
            <w:vAlign w:val="center"/>
          </w:tcPr>
          <w:p w14:paraId="56EC8DB9" w14:textId="77777777" w:rsidR="00500275" w:rsidRPr="006F4D4F" w:rsidRDefault="00500275" w:rsidP="00AF5EC7">
            <w:pPr>
              <w:jc w:val="center"/>
              <w:rPr>
                <w:b/>
                <w:sz w:val="18"/>
                <w:szCs w:val="18"/>
                <w:lang w:val="fr-FR"/>
              </w:rPr>
            </w:pPr>
          </w:p>
        </w:tc>
        <w:tc>
          <w:tcPr>
            <w:tcW w:w="155" w:type="pct"/>
            <w:shd w:val="clear" w:color="auto" w:fill="auto"/>
            <w:vAlign w:val="center"/>
          </w:tcPr>
          <w:p w14:paraId="4C05D436"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16AB0BF0"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3AF5B461" w14:textId="77777777" w:rsidR="00500275" w:rsidRPr="006F4D4F" w:rsidRDefault="00500275" w:rsidP="00AF5EC7">
            <w:pPr>
              <w:jc w:val="center"/>
              <w:rPr>
                <w:b/>
                <w:sz w:val="18"/>
                <w:szCs w:val="18"/>
                <w:lang w:val="fr-FR"/>
              </w:rPr>
            </w:pPr>
          </w:p>
        </w:tc>
        <w:tc>
          <w:tcPr>
            <w:tcW w:w="99" w:type="pct"/>
            <w:shd w:val="clear" w:color="auto" w:fill="F2F2F2" w:themeFill="background1" w:themeFillShade="F2"/>
            <w:vAlign w:val="center"/>
          </w:tcPr>
          <w:p w14:paraId="7F15BDEF" w14:textId="77777777" w:rsidR="00500275" w:rsidRPr="006F4D4F" w:rsidRDefault="00500275" w:rsidP="00AF5EC7">
            <w:pPr>
              <w:jc w:val="center"/>
              <w:rPr>
                <w:b/>
                <w:sz w:val="18"/>
                <w:szCs w:val="18"/>
                <w:lang w:val="fr-FR"/>
              </w:rPr>
            </w:pPr>
          </w:p>
        </w:tc>
        <w:tc>
          <w:tcPr>
            <w:tcW w:w="90" w:type="pct"/>
            <w:shd w:val="clear" w:color="auto" w:fill="F2F2F2" w:themeFill="background1" w:themeFillShade="F2"/>
            <w:vAlign w:val="center"/>
          </w:tcPr>
          <w:p w14:paraId="00246BB8" w14:textId="77777777" w:rsidR="00500275" w:rsidRPr="006F4D4F" w:rsidRDefault="00500275" w:rsidP="00AF5EC7">
            <w:pPr>
              <w:jc w:val="center"/>
              <w:rPr>
                <w:b/>
                <w:sz w:val="18"/>
                <w:szCs w:val="18"/>
                <w:lang w:val="fr-FR"/>
              </w:rPr>
            </w:pPr>
          </w:p>
        </w:tc>
        <w:tc>
          <w:tcPr>
            <w:tcW w:w="110" w:type="pct"/>
            <w:gridSpan w:val="2"/>
            <w:shd w:val="clear" w:color="auto" w:fill="F2F2F2" w:themeFill="background1" w:themeFillShade="F2"/>
            <w:vAlign w:val="center"/>
          </w:tcPr>
          <w:p w14:paraId="104528EB"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483F8641"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480E4D60"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67BB3F27"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1572AEDC" w14:textId="77777777" w:rsidR="00500275" w:rsidRPr="006F4D4F" w:rsidRDefault="00500275" w:rsidP="00AF5EC7">
            <w:pPr>
              <w:jc w:val="center"/>
              <w:rPr>
                <w:b/>
                <w:sz w:val="18"/>
                <w:szCs w:val="18"/>
                <w:lang w:val="fr-FR"/>
              </w:rPr>
            </w:pPr>
          </w:p>
        </w:tc>
        <w:tc>
          <w:tcPr>
            <w:tcW w:w="149" w:type="pct"/>
            <w:shd w:val="clear" w:color="auto" w:fill="F2F2F2" w:themeFill="background1" w:themeFillShade="F2"/>
            <w:vAlign w:val="center"/>
          </w:tcPr>
          <w:p w14:paraId="6BAAF2C7" w14:textId="77777777" w:rsidR="00500275" w:rsidRPr="006F4D4F" w:rsidRDefault="00500275" w:rsidP="00AF5EC7">
            <w:pPr>
              <w:jc w:val="center"/>
              <w:rPr>
                <w:b/>
                <w:sz w:val="18"/>
                <w:szCs w:val="18"/>
                <w:lang w:val="fr-FR"/>
              </w:rPr>
            </w:pPr>
          </w:p>
        </w:tc>
        <w:tc>
          <w:tcPr>
            <w:tcW w:w="156" w:type="pct"/>
            <w:shd w:val="clear" w:color="auto" w:fill="F2F2F2" w:themeFill="background1" w:themeFillShade="F2"/>
            <w:vAlign w:val="center"/>
          </w:tcPr>
          <w:p w14:paraId="1830B9BA" w14:textId="77777777" w:rsidR="00500275" w:rsidRPr="006F4D4F" w:rsidRDefault="00500275" w:rsidP="00AF5EC7">
            <w:pPr>
              <w:jc w:val="center"/>
              <w:rPr>
                <w:b/>
                <w:sz w:val="18"/>
                <w:szCs w:val="18"/>
                <w:lang w:val="fr-FR"/>
              </w:rPr>
            </w:pPr>
          </w:p>
        </w:tc>
        <w:tc>
          <w:tcPr>
            <w:tcW w:w="158" w:type="pct"/>
            <w:shd w:val="clear" w:color="auto" w:fill="F2F2F2" w:themeFill="background1" w:themeFillShade="F2"/>
            <w:vAlign w:val="center"/>
          </w:tcPr>
          <w:p w14:paraId="2051CABF" w14:textId="77777777" w:rsidR="00500275" w:rsidRPr="006F4D4F" w:rsidRDefault="00500275" w:rsidP="00AF5EC7">
            <w:pPr>
              <w:jc w:val="center"/>
              <w:rPr>
                <w:b/>
                <w:sz w:val="18"/>
                <w:szCs w:val="18"/>
                <w:lang w:val="fr-FR"/>
              </w:rPr>
            </w:pPr>
          </w:p>
        </w:tc>
        <w:tc>
          <w:tcPr>
            <w:tcW w:w="104" w:type="pct"/>
            <w:shd w:val="clear" w:color="auto" w:fill="auto"/>
            <w:vAlign w:val="center"/>
          </w:tcPr>
          <w:p w14:paraId="7CDBC15F" w14:textId="77777777" w:rsidR="00500275" w:rsidRPr="006F4D4F" w:rsidRDefault="00500275" w:rsidP="00AF5EC7">
            <w:pPr>
              <w:jc w:val="center"/>
              <w:rPr>
                <w:b/>
                <w:sz w:val="18"/>
                <w:szCs w:val="18"/>
                <w:lang w:val="fr-FR"/>
              </w:rPr>
            </w:pPr>
          </w:p>
        </w:tc>
        <w:tc>
          <w:tcPr>
            <w:tcW w:w="87" w:type="pct"/>
            <w:shd w:val="clear" w:color="auto" w:fill="auto"/>
            <w:vAlign w:val="center"/>
          </w:tcPr>
          <w:p w14:paraId="15965E5D" w14:textId="77777777" w:rsidR="00500275" w:rsidRPr="006F4D4F" w:rsidRDefault="00500275" w:rsidP="00AF5EC7">
            <w:pPr>
              <w:jc w:val="center"/>
              <w:rPr>
                <w:b/>
                <w:sz w:val="18"/>
                <w:szCs w:val="18"/>
                <w:lang w:val="fr-FR"/>
              </w:rPr>
            </w:pPr>
          </w:p>
        </w:tc>
        <w:tc>
          <w:tcPr>
            <w:tcW w:w="126" w:type="pct"/>
            <w:gridSpan w:val="2"/>
            <w:shd w:val="clear" w:color="auto" w:fill="auto"/>
            <w:vAlign w:val="center"/>
          </w:tcPr>
          <w:p w14:paraId="44AECB36" w14:textId="77777777" w:rsidR="00500275" w:rsidRPr="006F4D4F" w:rsidRDefault="00500275" w:rsidP="00AF5EC7">
            <w:pPr>
              <w:jc w:val="center"/>
              <w:rPr>
                <w:b/>
                <w:sz w:val="18"/>
                <w:szCs w:val="18"/>
                <w:lang w:val="fr-FR"/>
              </w:rPr>
            </w:pPr>
          </w:p>
        </w:tc>
        <w:tc>
          <w:tcPr>
            <w:tcW w:w="104" w:type="pct"/>
            <w:gridSpan w:val="2"/>
            <w:shd w:val="clear" w:color="auto" w:fill="auto"/>
            <w:vAlign w:val="center"/>
          </w:tcPr>
          <w:p w14:paraId="00B69DA7" w14:textId="77777777" w:rsidR="00500275" w:rsidRPr="006F4D4F" w:rsidRDefault="00500275" w:rsidP="00AF5EC7">
            <w:pPr>
              <w:jc w:val="center"/>
              <w:rPr>
                <w:b/>
                <w:sz w:val="18"/>
                <w:szCs w:val="18"/>
                <w:lang w:val="fr-FR"/>
              </w:rPr>
            </w:pPr>
          </w:p>
        </w:tc>
        <w:tc>
          <w:tcPr>
            <w:tcW w:w="103" w:type="pct"/>
            <w:gridSpan w:val="2"/>
            <w:shd w:val="clear" w:color="auto" w:fill="auto"/>
            <w:vAlign w:val="center"/>
          </w:tcPr>
          <w:p w14:paraId="78CACAA2" w14:textId="77777777" w:rsidR="00500275" w:rsidRPr="006F4D4F" w:rsidRDefault="00500275" w:rsidP="00AF5EC7">
            <w:pPr>
              <w:jc w:val="center"/>
              <w:rPr>
                <w:b/>
                <w:sz w:val="18"/>
                <w:szCs w:val="18"/>
                <w:lang w:val="fr-FR"/>
              </w:rPr>
            </w:pPr>
          </w:p>
        </w:tc>
        <w:tc>
          <w:tcPr>
            <w:tcW w:w="106" w:type="pct"/>
            <w:shd w:val="clear" w:color="auto" w:fill="auto"/>
            <w:vAlign w:val="center"/>
          </w:tcPr>
          <w:p w14:paraId="16CCA72F" w14:textId="77777777" w:rsidR="00500275" w:rsidRPr="006F4D4F" w:rsidRDefault="00500275" w:rsidP="00AF5EC7">
            <w:pPr>
              <w:jc w:val="center"/>
              <w:rPr>
                <w:b/>
                <w:sz w:val="18"/>
                <w:szCs w:val="18"/>
                <w:lang w:val="fr-FR"/>
              </w:rPr>
            </w:pPr>
          </w:p>
        </w:tc>
        <w:tc>
          <w:tcPr>
            <w:tcW w:w="101" w:type="pct"/>
            <w:shd w:val="clear" w:color="auto" w:fill="auto"/>
            <w:vAlign w:val="center"/>
          </w:tcPr>
          <w:p w14:paraId="44367E88" w14:textId="77777777" w:rsidR="00500275" w:rsidRPr="006F4D4F" w:rsidRDefault="00500275" w:rsidP="00AF5EC7">
            <w:pPr>
              <w:jc w:val="center"/>
              <w:rPr>
                <w:b/>
                <w:sz w:val="18"/>
                <w:szCs w:val="18"/>
                <w:lang w:val="fr-FR"/>
              </w:rPr>
            </w:pPr>
          </w:p>
        </w:tc>
        <w:tc>
          <w:tcPr>
            <w:tcW w:w="157" w:type="pct"/>
            <w:gridSpan w:val="2"/>
            <w:shd w:val="clear" w:color="auto" w:fill="auto"/>
            <w:vAlign w:val="center"/>
          </w:tcPr>
          <w:p w14:paraId="79A0F3AE" w14:textId="77777777" w:rsidR="00500275" w:rsidRPr="006F4D4F" w:rsidRDefault="00500275" w:rsidP="00AF5EC7">
            <w:pPr>
              <w:jc w:val="center"/>
              <w:rPr>
                <w:b/>
                <w:sz w:val="18"/>
                <w:szCs w:val="18"/>
                <w:lang w:val="fr-FR"/>
              </w:rPr>
            </w:pPr>
          </w:p>
        </w:tc>
      </w:tr>
      <w:tr w:rsidR="00FE1DB2" w:rsidRPr="004A302F" w14:paraId="7715C2DB" w14:textId="77777777" w:rsidTr="00AF5EC7">
        <w:trPr>
          <w:trHeight w:val="380"/>
        </w:trPr>
        <w:tc>
          <w:tcPr>
            <w:tcW w:w="509" w:type="pct"/>
            <w:gridSpan w:val="2"/>
            <w:shd w:val="clear" w:color="auto" w:fill="auto"/>
            <w:vAlign w:val="center"/>
          </w:tcPr>
          <w:p w14:paraId="64622C34" w14:textId="77777777" w:rsidR="00500275" w:rsidRPr="006F4D4F" w:rsidRDefault="00500275" w:rsidP="00AF5EC7">
            <w:pPr>
              <w:rPr>
                <w:b/>
                <w:sz w:val="14"/>
                <w:szCs w:val="14"/>
                <w:lang w:val="fr-FR"/>
              </w:rPr>
            </w:pPr>
            <w:r w:rsidRPr="006F4D4F">
              <w:rPr>
                <w:b/>
                <w:sz w:val="14"/>
                <w:szCs w:val="14"/>
                <w:lang w:val="fr-FR"/>
              </w:rPr>
              <w:t> </w:t>
            </w:r>
          </w:p>
        </w:tc>
        <w:tc>
          <w:tcPr>
            <w:tcW w:w="110" w:type="pct"/>
            <w:shd w:val="clear" w:color="auto" w:fill="FDE9D9" w:themeFill="accent6" w:themeFillTint="33"/>
            <w:vAlign w:val="center"/>
          </w:tcPr>
          <w:p w14:paraId="7058B865"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16A6FBCC"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1F167363" w14:textId="77777777" w:rsidR="00500275" w:rsidRPr="006F4D4F" w:rsidRDefault="00500275" w:rsidP="00AF5EC7">
            <w:pPr>
              <w:jc w:val="center"/>
              <w:rPr>
                <w:b/>
                <w:sz w:val="18"/>
                <w:szCs w:val="18"/>
                <w:lang w:val="fr-FR"/>
              </w:rPr>
            </w:pPr>
          </w:p>
        </w:tc>
        <w:tc>
          <w:tcPr>
            <w:tcW w:w="140" w:type="pct"/>
            <w:shd w:val="clear" w:color="auto" w:fill="FDE9D9" w:themeFill="accent6" w:themeFillTint="33"/>
            <w:vAlign w:val="center"/>
          </w:tcPr>
          <w:p w14:paraId="3B55723C" w14:textId="77777777" w:rsidR="00500275" w:rsidRPr="006F4D4F" w:rsidRDefault="00500275" w:rsidP="00AF5EC7">
            <w:pPr>
              <w:jc w:val="center"/>
              <w:rPr>
                <w:b/>
                <w:sz w:val="18"/>
                <w:szCs w:val="18"/>
                <w:lang w:val="fr-FR"/>
              </w:rPr>
            </w:pPr>
          </w:p>
        </w:tc>
        <w:tc>
          <w:tcPr>
            <w:tcW w:w="156" w:type="pct"/>
            <w:shd w:val="clear" w:color="auto" w:fill="FDE9D9" w:themeFill="accent6" w:themeFillTint="33"/>
            <w:vAlign w:val="center"/>
          </w:tcPr>
          <w:p w14:paraId="580C3665" w14:textId="77777777" w:rsidR="00500275" w:rsidRPr="006F4D4F" w:rsidRDefault="00500275" w:rsidP="00AF5EC7">
            <w:pPr>
              <w:jc w:val="center"/>
              <w:rPr>
                <w:b/>
                <w:sz w:val="18"/>
                <w:szCs w:val="18"/>
                <w:lang w:val="fr-FR"/>
              </w:rPr>
            </w:pPr>
          </w:p>
        </w:tc>
        <w:tc>
          <w:tcPr>
            <w:tcW w:w="158" w:type="pct"/>
            <w:shd w:val="clear" w:color="auto" w:fill="FDE9D9" w:themeFill="accent6" w:themeFillTint="33"/>
            <w:vAlign w:val="center"/>
          </w:tcPr>
          <w:p w14:paraId="678FAF49" w14:textId="77777777" w:rsidR="00500275" w:rsidRPr="006F4D4F" w:rsidRDefault="00500275" w:rsidP="00AF5EC7">
            <w:pPr>
              <w:jc w:val="center"/>
              <w:rPr>
                <w:b/>
                <w:sz w:val="18"/>
                <w:szCs w:val="18"/>
                <w:lang w:val="fr-FR"/>
              </w:rPr>
            </w:pPr>
          </w:p>
        </w:tc>
        <w:tc>
          <w:tcPr>
            <w:tcW w:w="103" w:type="pct"/>
            <w:shd w:val="clear" w:color="auto" w:fill="FDE9D9" w:themeFill="accent6" w:themeFillTint="33"/>
            <w:vAlign w:val="center"/>
          </w:tcPr>
          <w:p w14:paraId="0E446142" w14:textId="77777777" w:rsidR="00500275" w:rsidRPr="006F4D4F" w:rsidRDefault="00500275" w:rsidP="00AF5EC7">
            <w:pPr>
              <w:jc w:val="center"/>
              <w:rPr>
                <w:b/>
                <w:sz w:val="18"/>
                <w:szCs w:val="18"/>
                <w:lang w:val="fr-FR"/>
              </w:rPr>
            </w:pPr>
          </w:p>
        </w:tc>
        <w:tc>
          <w:tcPr>
            <w:tcW w:w="95" w:type="pct"/>
            <w:shd w:val="clear" w:color="auto" w:fill="FDE9D9" w:themeFill="accent6" w:themeFillTint="33"/>
            <w:vAlign w:val="center"/>
          </w:tcPr>
          <w:p w14:paraId="7053DD5E" w14:textId="77777777" w:rsidR="00500275" w:rsidRPr="006F4D4F" w:rsidRDefault="00500275" w:rsidP="00AF5EC7">
            <w:pPr>
              <w:jc w:val="center"/>
              <w:rPr>
                <w:b/>
                <w:sz w:val="18"/>
                <w:szCs w:val="18"/>
                <w:lang w:val="fr-FR"/>
              </w:rPr>
            </w:pPr>
          </w:p>
        </w:tc>
        <w:tc>
          <w:tcPr>
            <w:tcW w:w="90" w:type="pct"/>
            <w:shd w:val="clear" w:color="auto" w:fill="FDE9D9" w:themeFill="accent6" w:themeFillTint="33"/>
            <w:vAlign w:val="center"/>
          </w:tcPr>
          <w:p w14:paraId="5C60486C" w14:textId="77777777" w:rsidR="00500275" w:rsidRPr="006F4D4F" w:rsidRDefault="00500275" w:rsidP="00AF5EC7">
            <w:pPr>
              <w:jc w:val="center"/>
              <w:rPr>
                <w:b/>
                <w:sz w:val="18"/>
                <w:szCs w:val="18"/>
                <w:lang w:val="fr-FR"/>
              </w:rPr>
            </w:pPr>
          </w:p>
        </w:tc>
        <w:tc>
          <w:tcPr>
            <w:tcW w:w="110" w:type="pct"/>
            <w:shd w:val="clear" w:color="auto" w:fill="auto"/>
            <w:vAlign w:val="center"/>
          </w:tcPr>
          <w:p w14:paraId="74C73903" w14:textId="77777777" w:rsidR="00500275" w:rsidRPr="006F4D4F" w:rsidRDefault="00500275" w:rsidP="00AF5EC7">
            <w:pPr>
              <w:jc w:val="center"/>
              <w:rPr>
                <w:b/>
                <w:sz w:val="18"/>
                <w:szCs w:val="18"/>
                <w:lang w:val="fr-FR"/>
              </w:rPr>
            </w:pPr>
          </w:p>
        </w:tc>
        <w:tc>
          <w:tcPr>
            <w:tcW w:w="110" w:type="pct"/>
            <w:shd w:val="clear" w:color="auto" w:fill="auto"/>
            <w:vAlign w:val="center"/>
          </w:tcPr>
          <w:p w14:paraId="19E329DE" w14:textId="77777777" w:rsidR="00500275" w:rsidRPr="006F4D4F" w:rsidRDefault="00500275" w:rsidP="00AF5EC7">
            <w:pPr>
              <w:jc w:val="center"/>
              <w:rPr>
                <w:b/>
                <w:sz w:val="18"/>
                <w:szCs w:val="18"/>
                <w:lang w:val="fr-FR"/>
              </w:rPr>
            </w:pPr>
          </w:p>
        </w:tc>
        <w:tc>
          <w:tcPr>
            <w:tcW w:w="110" w:type="pct"/>
            <w:shd w:val="clear" w:color="auto" w:fill="auto"/>
            <w:vAlign w:val="center"/>
          </w:tcPr>
          <w:p w14:paraId="3AC9F434" w14:textId="77777777" w:rsidR="00500275" w:rsidRPr="006F4D4F" w:rsidRDefault="00500275" w:rsidP="00AF5EC7">
            <w:pPr>
              <w:jc w:val="center"/>
              <w:rPr>
                <w:b/>
                <w:sz w:val="18"/>
                <w:szCs w:val="18"/>
                <w:lang w:val="fr-FR"/>
              </w:rPr>
            </w:pPr>
          </w:p>
        </w:tc>
        <w:tc>
          <w:tcPr>
            <w:tcW w:w="110" w:type="pct"/>
            <w:shd w:val="clear" w:color="auto" w:fill="auto"/>
            <w:vAlign w:val="center"/>
          </w:tcPr>
          <w:p w14:paraId="70AA3E76" w14:textId="77777777" w:rsidR="00500275" w:rsidRPr="006F4D4F" w:rsidRDefault="00500275" w:rsidP="00AF5EC7">
            <w:pPr>
              <w:jc w:val="center"/>
              <w:rPr>
                <w:b/>
                <w:sz w:val="18"/>
                <w:szCs w:val="18"/>
                <w:lang w:val="fr-FR"/>
              </w:rPr>
            </w:pPr>
          </w:p>
        </w:tc>
        <w:tc>
          <w:tcPr>
            <w:tcW w:w="110" w:type="pct"/>
            <w:shd w:val="clear" w:color="auto" w:fill="auto"/>
            <w:vAlign w:val="center"/>
          </w:tcPr>
          <w:p w14:paraId="4E2B3153" w14:textId="77777777" w:rsidR="00500275" w:rsidRPr="006F4D4F" w:rsidRDefault="00500275" w:rsidP="00AF5EC7">
            <w:pPr>
              <w:jc w:val="center"/>
              <w:rPr>
                <w:b/>
                <w:sz w:val="18"/>
                <w:szCs w:val="18"/>
                <w:lang w:val="fr-FR"/>
              </w:rPr>
            </w:pPr>
          </w:p>
        </w:tc>
        <w:tc>
          <w:tcPr>
            <w:tcW w:w="101" w:type="pct"/>
            <w:shd w:val="clear" w:color="auto" w:fill="auto"/>
            <w:vAlign w:val="center"/>
          </w:tcPr>
          <w:p w14:paraId="6A100BC0" w14:textId="77777777" w:rsidR="00500275" w:rsidRPr="006F4D4F" w:rsidRDefault="00500275" w:rsidP="00AF5EC7">
            <w:pPr>
              <w:jc w:val="center"/>
              <w:rPr>
                <w:b/>
                <w:sz w:val="18"/>
                <w:szCs w:val="18"/>
                <w:lang w:val="fr-FR"/>
              </w:rPr>
            </w:pPr>
          </w:p>
        </w:tc>
        <w:tc>
          <w:tcPr>
            <w:tcW w:w="156" w:type="pct"/>
            <w:shd w:val="clear" w:color="auto" w:fill="auto"/>
            <w:vAlign w:val="center"/>
          </w:tcPr>
          <w:p w14:paraId="049FB359" w14:textId="77777777" w:rsidR="00500275" w:rsidRPr="006F4D4F" w:rsidRDefault="00500275" w:rsidP="00AF5EC7">
            <w:pPr>
              <w:jc w:val="center"/>
              <w:rPr>
                <w:b/>
                <w:sz w:val="18"/>
                <w:szCs w:val="18"/>
                <w:lang w:val="fr-FR"/>
              </w:rPr>
            </w:pPr>
          </w:p>
        </w:tc>
        <w:tc>
          <w:tcPr>
            <w:tcW w:w="156" w:type="pct"/>
            <w:shd w:val="clear" w:color="auto" w:fill="auto"/>
            <w:vAlign w:val="center"/>
          </w:tcPr>
          <w:p w14:paraId="7DB014B3" w14:textId="77777777" w:rsidR="00500275" w:rsidRPr="006F4D4F" w:rsidRDefault="00500275" w:rsidP="00AF5EC7">
            <w:pPr>
              <w:jc w:val="center"/>
              <w:rPr>
                <w:b/>
                <w:sz w:val="18"/>
                <w:szCs w:val="18"/>
                <w:lang w:val="fr-FR"/>
              </w:rPr>
            </w:pPr>
          </w:p>
        </w:tc>
        <w:tc>
          <w:tcPr>
            <w:tcW w:w="155" w:type="pct"/>
            <w:shd w:val="clear" w:color="auto" w:fill="auto"/>
            <w:vAlign w:val="center"/>
          </w:tcPr>
          <w:p w14:paraId="67172025"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7D3914DD"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11E251EE" w14:textId="77777777" w:rsidR="00500275" w:rsidRPr="006F4D4F" w:rsidRDefault="00500275" w:rsidP="00AF5EC7">
            <w:pPr>
              <w:jc w:val="center"/>
              <w:rPr>
                <w:b/>
                <w:sz w:val="18"/>
                <w:szCs w:val="18"/>
                <w:lang w:val="fr-FR"/>
              </w:rPr>
            </w:pPr>
          </w:p>
        </w:tc>
        <w:tc>
          <w:tcPr>
            <w:tcW w:w="99" w:type="pct"/>
            <w:shd w:val="clear" w:color="auto" w:fill="F2F2F2" w:themeFill="background1" w:themeFillShade="F2"/>
            <w:vAlign w:val="center"/>
          </w:tcPr>
          <w:p w14:paraId="326DE3D0" w14:textId="77777777" w:rsidR="00500275" w:rsidRPr="006F4D4F" w:rsidRDefault="00500275" w:rsidP="00AF5EC7">
            <w:pPr>
              <w:jc w:val="center"/>
              <w:rPr>
                <w:b/>
                <w:sz w:val="18"/>
                <w:szCs w:val="18"/>
                <w:lang w:val="fr-FR"/>
              </w:rPr>
            </w:pPr>
          </w:p>
        </w:tc>
        <w:tc>
          <w:tcPr>
            <w:tcW w:w="90" w:type="pct"/>
            <w:shd w:val="clear" w:color="auto" w:fill="F2F2F2" w:themeFill="background1" w:themeFillShade="F2"/>
            <w:vAlign w:val="center"/>
          </w:tcPr>
          <w:p w14:paraId="3CC97FEC" w14:textId="77777777" w:rsidR="00500275" w:rsidRPr="006F4D4F" w:rsidRDefault="00500275" w:rsidP="00AF5EC7">
            <w:pPr>
              <w:jc w:val="center"/>
              <w:rPr>
                <w:b/>
                <w:sz w:val="18"/>
                <w:szCs w:val="18"/>
                <w:lang w:val="fr-FR"/>
              </w:rPr>
            </w:pPr>
          </w:p>
        </w:tc>
        <w:tc>
          <w:tcPr>
            <w:tcW w:w="110" w:type="pct"/>
            <w:gridSpan w:val="2"/>
            <w:shd w:val="clear" w:color="auto" w:fill="F2F2F2" w:themeFill="background1" w:themeFillShade="F2"/>
            <w:vAlign w:val="center"/>
          </w:tcPr>
          <w:p w14:paraId="193D6704"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63A5B59B"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6734DB24"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71C7DA21"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1B080CF7" w14:textId="77777777" w:rsidR="00500275" w:rsidRPr="006F4D4F" w:rsidRDefault="00500275" w:rsidP="00AF5EC7">
            <w:pPr>
              <w:jc w:val="center"/>
              <w:rPr>
                <w:b/>
                <w:sz w:val="18"/>
                <w:szCs w:val="18"/>
                <w:lang w:val="fr-FR"/>
              </w:rPr>
            </w:pPr>
          </w:p>
        </w:tc>
        <w:tc>
          <w:tcPr>
            <w:tcW w:w="149" w:type="pct"/>
            <w:shd w:val="clear" w:color="auto" w:fill="F2F2F2" w:themeFill="background1" w:themeFillShade="F2"/>
            <w:vAlign w:val="center"/>
          </w:tcPr>
          <w:p w14:paraId="1EE625A4" w14:textId="77777777" w:rsidR="00500275" w:rsidRPr="006F4D4F" w:rsidRDefault="00500275" w:rsidP="00AF5EC7">
            <w:pPr>
              <w:jc w:val="center"/>
              <w:rPr>
                <w:b/>
                <w:sz w:val="18"/>
                <w:szCs w:val="18"/>
                <w:lang w:val="fr-FR"/>
              </w:rPr>
            </w:pPr>
          </w:p>
        </w:tc>
        <w:tc>
          <w:tcPr>
            <w:tcW w:w="156" w:type="pct"/>
            <w:shd w:val="clear" w:color="auto" w:fill="F2F2F2" w:themeFill="background1" w:themeFillShade="F2"/>
            <w:vAlign w:val="center"/>
          </w:tcPr>
          <w:p w14:paraId="7E3ECA1C" w14:textId="77777777" w:rsidR="00500275" w:rsidRPr="006F4D4F" w:rsidRDefault="00500275" w:rsidP="00AF5EC7">
            <w:pPr>
              <w:jc w:val="center"/>
              <w:rPr>
                <w:b/>
                <w:sz w:val="18"/>
                <w:szCs w:val="18"/>
                <w:lang w:val="fr-FR"/>
              </w:rPr>
            </w:pPr>
          </w:p>
        </w:tc>
        <w:tc>
          <w:tcPr>
            <w:tcW w:w="158" w:type="pct"/>
            <w:shd w:val="clear" w:color="auto" w:fill="F2F2F2" w:themeFill="background1" w:themeFillShade="F2"/>
            <w:vAlign w:val="center"/>
          </w:tcPr>
          <w:p w14:paraId="49DC8397" w14:textId="77777777" w:rsidR="00500275" w:rsidRPr="006F4D4F" w:rsidRDefault="00500275" w:rsidP="00AF5EC7">
            <w:pPr>
              <w:jc w:val="center"/>
              <w:rPr>
                <w:b/>
                <w:sz w:val="18"/>
                <w:szCs w:val="18"/>
                <w:lang w:val="fr-FR"/>
              </w:rPr>
            </w:pPr>
          </w:p>
        </w:tc>
        <w:tc>
          <w:tcPr>
            <w:tcW w:w="104" w:type="pct"/>
            <w:shd w:val="clear" w:color="auto" w:fill="auto"/>
            <w:vAlign w:val="center"/>
          </w:tcPr>
          <w:p w14:paraId="2BB11598" w14:textId="77777777" w:rsidR="00500275" w:rsidRPr="006F4D4F" w:rsidRDefault="00500275" w:rsidP="00AF5EC7">
            <w:pPr>
              <w:jc w:val="center"/>
              <w:rPr>
                <w:b/>
                <w:sz w:val="18"/>
                <w:szCs w:val="18"/>
                <w:lang w:val="fr-FR"/>
              </w:rPr>
            </w:pPr>
          </w:p>
        </w:tc>
        <w:tc>
          <w:tcPr>
            <w:tcW w:w="87" w:type="pct"/>
            <w:shd w:val="clear" w:color="auto" w:fill="auto"/>
            <w:vAlign w:val="center"/>
          </w:tcPr>
          <w:p w14:paraId="4396249C" w14:textId="77777777" w:rsidR="00500275" w:rsidRPr="006F4D4F" w:rsidRDefault="00500275" w:rsidP="00AF5EC7">
            <w:pPr>
              <w:jc w:val="center"/>
              <w:rPr>
                <w:b/>
                <w:sz w:val="18"/>
                <w:szCs w:val="18"/>
                <w:lang w:val="fr-FR"/>
              </w:rPr>
            </w:pPr>
          </w:p>
        </w:tc>
        <w:tc>
          <w:tcPr>
            <w:tcW w:w="126" w:type="pct"/>
            <w:gridSpan w:val="2"/>
            <w:shd w:val="clear" w:color="auto" w:fill="auto"/>
            <w:vAlign w:val="center"/>
          </w:tcPr>
          <w:p w14:paraId="72075DF2" w14:textId="77777777" w:rsidR="00500275" w:rsidRPr="006F4D4F" w:rsidRDefault="00500275" w:rsidP="00AF5EC7">
            <w:pPr>
              <w:jc w:val="center"/>
              <w:rPr>
                <w:b/>
                <w:sz w:val="18"/>
                <w:szCs w:val="18"/>
                <w:lang w:val="fr-FR"/>
              </w:rPr>
            </w:pPr>
          </w:p>
        </w:tc>
        <w:tc>
          <w:tcPr>
            <w:tcW w:w="104" w:type="pct"/>
            <w:gridSpan w:val="2"/>
            <w:shd w:val="clear" w:color="auto" w:fill="auto"/>
            <w:vAlign w:val="center"/>
          </w:tcPr>
          <w:p w14:paraId="1FABEE9F" w14:textId="77777777" w:rsidR="00500275" w:rsidRPr="006F4D4F" w:rsidRDefault="00500275" w:rsidP="00AF5EC7">
            <w:pPr>
              <w:jc w:val="center"/>
              <w:rPr>
                <w:b/>
                <w:sz w:val="18"/>
                <w:szCs w:val="18"/>
                <w:lang w:val="fr-FR"/>
              </w:rPr>
            </w:pPr>
          </w:p>
        </w:tc>
        <w:tc>
          <w:tcPr>
            <w:tcW w:w="103" w:type="pct"/>
            <w:gridSpan w:val="2"/>
            <w:shd w:val="clear" w:color="auto" w:fill="auto"/>
            <w:vAlign w:val="center"/>
          </w:tcPr>
          <w:p w14:paraId="21EE1E35" w14:textId="77777777" w:rsidR="00500275" w:rsidRPr="006F4D4F" w:rsidRDefault="00500275" w:rsidP="00AF5EC7">
            <w:pPr>
              <w:jc w:val="center"/>
              <w:rPr>
                <w:b/>
                <w:sz w:val="18"/>
                <w:szCs w:val="18"/>
                <w:lang w:val="fr-FR"/>
              </w:rPr>
            </w:pPr>
          </w:p>
        </w:tc>
        <w:tc>
          <w:tcPr>
            <w:tcW w:w="106" w:type="pct"/>
            <w:shd w:val="clear" w:color="auto" w:fill="auto"/>
            <w:vAlign w:val="center"/>
          </w:tcPr>
          <w:p w14:paraId="4709A5EE" w14:textId="77777777" w:rsidR="00500275" w:rsidRPr="006F4D4F" w:rsidRDefault="00500275" w:rsidP="00AF5EC7">
            <w:pPr>
              <w:jc w:val="center"/>
              <w:rPr>
                <w:b/>
                <w:sz w:val="18"/>
                <w:szCs w:val="18"/>
                <w:lang w:val="fr-FR"/>
              </w:rPr>
            </w:pPr>
          </w:p>
        </w:tc>
        <w:tc>
          <w:tcPr>
            <w:tcW w:w="101" w:type="pct"/>
            <w:shd w:val="clear" w:color="auto" w:fill="auto"/>
            <w:vAlign w:val="center"/>
          </w:tcPr>
          <w:p w14:paraId="582F6AA9" w14:textId="77777777" w:rsidR="00500275" w:rsidRPr="006F4D4F" w:rsidRDefault="00500275" w:rsidP="00AF5EC7">
            <w:pPr>
              <w:jc w:val="center"/>
              <w:rPr>
                <w:b/>
                <w:sz w:val="18"/>
                <w:szCs w:val="18"/>
                <w:lang w:val="fr-FR"/>
              </w:rPr>
            </w:pPr>
          </w:p>
        </w:tc>
        <w:tc>
          <w:tcPr>
            <w:tcW w:w="157" w:type="pct"/>
            <w:gridSpan w:val="2"/>
            <w:shd w:val="clear" w:color="auto" w:fill="auto"/>
            <w:vAlign w:val="center"/>
          </w:tcPr>
          <w:p w14:paraId="2E1BAF03" w14:textId="77777777" w:rsidR="00500275" w:rsidRPr="006F4D4F" w:rsidRDefault="00500275" w:rsidP="00AF5EC7">
            <w:pPr>
              <w:jc w:val="center"/>
              <w:rPr>
                <w:b/>
                <w:sz w:val="18"/>
                <w:szCs w:val="18"/>
                <w:lang w:val="fr-FR"/>
              </w:rPr>
            </w:pPr>
          </w:p>
        </w:tc>
      </w:tr>
      <w:tr w:rsidR="00FE1DB2" w:rsidRPr="004A302F" w14:paraId="7BFBD3F3" w14:textId="77777777" w:rsidTr="00AF5EC7">
        <w:trPr>
          <w:trHeight w:val="380"/>
        </w:trPr>
        <w:tc>
          <w:tcPr>
            <w:tcW w:w="509" w:type="pct"/>
            <w:gridSpan w:val="2"/>
            <w:shd w:val="clear" w:color="auto" w:fill="auto"/>
            <w:vAlign w:val="center"/>
          </w:tcPr>
          <w:p w14:paraId="18E13150" w14:textId="77777777" w:rsidR="00500275" w:rsidRPr="006F4D4F" w:rsidRDefault="00500275" w:rsidP="00AF5EC7">
            <w:pPr>
              <w:rPr>
                <w:b/>
                <w:sz w:val="14"/>
                <w:szCs w:val="14"/>
                <w:lang w:val="fr-FR"/>
              </w:rPr>
            </w:pPr>
            <w:r w:rsidRPr="006F4D4F">
              <w:rPr>
                <w:b/>
                <w:sz w:val="14"/>
                <w:szCs w:val="14"/>
                <w:lang w:val="fr-FR"/>
              </w:rPr>
              <w:t> </w:t>
            </w:r>
          </w:p>
        </w:tc>
        <w:tc>
          <w:tcPr>
            <w:tcW w:w="110" w:type="pct"/>
            <w:shd w:val="clear" w:color="auto" w:fill="FDE9D9" w:themeFill="accent6" w:themeFillTint="33"/>
            <w:vAlign w:val="center"/>
          </w:tcPr>
          <w:p w14:paraId="135E992C"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2F26D778"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0024F010" w14:textId="77777777" w:rsidR="00500275" w:rsidRPr="006F4D4F" w:rsidRDefault="00500275" w:rsidP="00AF5EC7">
            <w:pPr>
              <w:jc w:val="center"/>
              <w:rPr>
                <w:b/>
                <w:sz w:val="18"/>
                <w:szCs w:val="18"/>
                <w:lang w:val="fr-FR"/>
              </w:rPr>
            </w:pPr>
          </w:p>
        </w:tc>
        <w:tc>
          <w:tcPr>
            <w:tcW w:w="140" w:type="pct"/>
            <w:shd w:val="clear" w:color="auto" w:fill="FDE9D9" w:themeFill="accent6" w:themeFillTint="33"/>
            <w:vAlign w:val="center"/>
          </w:tcPr>
          <w:p w14:paraId="241A44A5" w14:textId="77777777" w:rsidR="00500275" w:rsidRPr="006F4D4F" w:rsidRDefault="00500275" w:rsidP="00AF5EC7">
            <w:pPr>
              <w:jc w:val="center"/>
              <w:rPr>
                <w:b/>
                <w:sz w:val="18"/>
                <w:szCs w:val="18"/>
                <w:lang w:val="fr-FR"/>
              </w:rPr>
            </w:pPr>
          </w:p>
        </w:tc>
        <w:tc>
          <w:tcPr>
            <w:tcW w:w="156" w:type="pct"/>
            <w:shd w:val="clear" w:color="auto" w:fill="FDE9D9" w:themeFill="accent6" w:themeFillTint="33"/>
            <w:vAlign w:val="center"/>
          </w:tcPr>
          <w:p w14:paraId="1EC83594" w14:textId="77777777" w:rsidR="00500275" w:rsidRPr="006F4D4F" w:rsidRDefault="00500275" w:rsidP="00AF5EC7">
            <w:pPr>
              <w:jc w:val="center"/>
              <w:rPr>
                <w:b/>
                <w:sz w:val="18"/>
                <w:szCs w:val="18"/>
                <w:lang w:val="fr-FR"/>
              </w:rPr>
            </w:pPr>
          </w:p>
        </w:tc>
        <w:tc>
          <w:tcPr>
            <w:tcW w:w="158" w:type="pct"/>
            <w:shd w:val="clear" w:color="auto" w:fill="FDE9D9" w:themeFill="accent6" w:themeFillTint="33"/>
            <w:vAlign w:val="center"/>
          </w:tcPr>
          <w:p w14:paraId="01BC2325" w14:textId="77777777" w:rsidR="00500275" w:rsidRPr="006F4D4F" w:rsidRDefault="00500275" w:rsidP="00AF5EC7">
            <w:pPr>
              <w:jc w:val="center"/>
              <w:rPr>
                <w:b/>
                <w:sz w:val="18"/>
                <w:szCs w:val="18"/>
                <w:lang w:val="fr-FR"/>
              </w:rPr>
            </w:pPr>
          </w:p>
        </w:tc>
        <w:tc>
          <w:tcPr>
            <w:tcW w:w="103" w:type="pct"/>
            <w:shd w:val="clear" w:color="auto" w:fill="FDE9D9" w:themeFill="accent6" w:themeFillTint="33"/>
            <w:vAlign w:val="center"/>
          </w:tcPr>
          <w:p w14:paraId="299CF4A5" w14:textId="77777777" w:rsidR="00500275" w:rsidRPr="006F4D4F" w:rsidRDefault="00500275" w:rsidP="00AF5EC7">
            <w:pPr>
              <w:jc w:val="center"/>
              <w:rPr>
                <w:b/>
                <w:sz w:val="18"/>
                <w:szCs w:val="18"/>
                <w:lang w:val="fr-FR"/>
              </w:rPr>
            </w:pPr>
          </w:p>
        </w:tc>
        <w:tc>
          <w:tcPr>
            <w:tcW w:w="95" w:type="pct"/>
            <w:shd w:val="clear" w:color="auto" w:fill="FDE9D9" w:themeFill="accent6" w:themeFillTint="33"/>
            <w:vAlign w:val="center"/>
          </w:tcPr>
          <w:p w14:paraId="05622C3F" w14:textId="77777777" w:rsidR="00500275" w:rsidRPr="006F4D4F" w:rsidRDefault="00500275" w:rsidP="00AF5EC7">
            <w:pPr>
              <w:jc w:val="center"/>
              <w:rPr>
                <w:b/>
                <w:sz w:val="18"/>
                <w:szCs w:val="18"/>
                <w:lang w:val="fr-FR"/>
              </w:rPr>
            </w:pPr>
          </w:p>
        </w:tc>
        <w:tc>
          <w:tcPr>
            <w:tcW w:w="90" w:type="pct"/>
            <w:shd w:val="clear" w:color="auto" w:fill="FDE9D9" w:themeFill="accent6" w:themeFillTint="33"/>
            <w:vAlign w:val="center"/>
          </w:tcPr>
          <w:p w14:paraId="22483040" w14:textId="77777777" w:rsidR="00500275" w:rsidRPr="006F4D4F" w:rsidRDefault="00500275" w:rsidP="00AF5EC7">
            <w:pPr>
              <w:jc w:val="center"/>
              <w:rPr>
                <w:b/>
                <w:sz w:val="18"/>
                <w:szCs w:val="18"/>
                <w:lang w:val="fr-FR"/>
              </w:rPr>
            </w:pPr>
          </w:p>
        </w:tc>
        <w:tc>
          <w:tcPr>
            <w:tcW w:w="110" w:type="pct"/>
            <w:shd w:val="clear" w:color="auto" w:fill="auto"/>
            <w:vAlign w:val="center"/>
          </w:tcPr>
          <w:p w14:paraId="466FC60A" w14:textId="77777777" w:rsidR="00500275" w:rsidRPr="006F4D4F" w:rsidRDefault="00500275" w:rsidP="00AF5EC7">
            <w:pPr>
              <w:jc w:val="center"/>
              <w:rPr>
                <w:b/>
                <w:sz w:val="18"/>
                <w:szCs w:val="18"/>
                <w:lang w:val="fr-FR"/>
              </w:rPr>
            </w:pPr>
          </w:p>
        </w:tc>
        <w:tc>
          <w:tcPr>
            <w:tcW w:w="110" w:type="pct"/>
            <w:shd w:val="clear" w:color="auto" w:fill="auto"/>
            <w:vAlign w:val="center"/>
          </w:tcPr>
          <w:p w14:paraId="490D4FB7" w14:textId="77777777" w:rsidR="00500275" w:rsidRPr="006F4D4F" w:rsidRDefault="00500275" w:rsidP="00AF5EC7">
            <w:pPr>
              <w:jc w:val="center"/>
              <w:rPr>
                <w:b/>
                <w:sz w:val="18"/>
                <w:szCs w:val="18"/>
                <w:lang w:val="fr-FR"/>
              </w:rPr>
            </w:pPr>
          </w:p>
        </w:tc>
        <w:tc>
          <w:tcPr>
            <w:tcW w:w="110" w:type="pct"/>
            <w:shd w:val="clear" w:color="auto" w:fill="auto"/>
            <w:vAlign w:val="center"/>
          </w:tcPr>
          <w:p w14:paraId="1EB7F068" w14:textId="77777777" w:rsidR="00500275" w:rsidRPr="006F4D4F" w:rsidRDefault="00500275" w:rsidP="00AF5EC7">
            <w:pPr>
              <w:jc w:val="center"/>
              <w:rPr>
                <w:b/>
                <w:sz w:val="18"/>
                <w:szCs w:val="18"/>
                <w:lang w:val="fr-FR"/>
              </w:rPr>
            </w:pPr>
          </w:p>
        </w:tc>
        <w:tc>
          <w:tcPr>
            <w:tcW w:w="110" w:type="pct"/>
            <w:shd w:val="clear" w:color="auto" w:fill="auto"/>
            <w:vAlign w:val="center"/>
          </w:tcPr>
          <w:p w14:paraId="118E7FDB" w14:textId="77777777" w:rsidR="00500275" w:rsidRPr="006F4D4F" w:rsidRDefault="00500275" w:rsidP="00AF5EC7">
            <w:pPr>
              <w:jc w:val="center"/>
              <w:rPr>
                <w:b/>
                <w:sz w:val="18"/>
                <w:szCs w:val="18"/>
                <w:lang w:val="fr-FR"/>
              </w:rPr>
            </w:pPr>
          </w:p>
        </w:tc>
        <w:tc>
          <w:tcPr>
            <w:tcW w:w="110" w:type="pct"/>
            <w:shd w:val="clear" w:color="auto" w:fill="auto"/>
            <w:vAlign w:val="center"/>
          </w:tcPr>
          <w:p w14:paraId="22CB9F45" w14:textId="77777777" w:rsidR="00500275" w:rsidRPr="006F4D4F" w:rsidRDefault="00500275" w:rsidP="00AF5EC7">
            <w:pPr>
              <w:jc w:val="center"/>
              <w:rPr>
                <w:b/>
                <w:sz w:val="18"/>
                <w:szCs w:val="18"/>
                <w:lang w:val="fr-FR"/>
              </w:rPr>
            </w:pPr>
          </w:p>
        </w:tc>
        <w:tc>
          <w:tcPr>
            <w:tcW w:w="101" w:type="pct"/>
            <w:shd w:val="clear" w:color="auto" w:fill="auto"/>
            <w:vAlign w:val="center"/>
          </w:tcPr>
          <w:p w14:paraId="78A9E212" w14:textId="77777777" w:rsidR="00500275" w:rsidRPr="006F4D4F" w:rsidRDefault="00500275" w:rsidP="00AF5EC7">
            <w:pPr>
              <w:jc w:val="center"/>
              <w:rPr>
                <w:b/>
                <w:sz w:val="18"/>
                <w:szCs w:val="18"/>
                <w:lang w:val="fr-FR"/>
              </w:rPr>
            </w:pPr>
          </w:p>
        </w:tc>
        <w:tc>
          <w:tcPr>
            <w:tcW w:w="156" w:type="pct"/>
            <w:shd w:val="clear" w:color="auto" w:fill="auto"/>
            <w:vAlign w:val="center"/>
          </w:tcPr>
          <w:p w14:paraId="2852BBBC" w14:textId="77777777" w:rsidR="00500275" w:rsidRPr="006F4D4F" w:rsidRDefault="00500275" w:rsidP="00AF5EC7">
            <w:pPr>
              <w:jc w:val="center"/>
              <w:rPr>
                <w:b/>
                <w:sz w:val="18"/>
                <w:szCs w:val="18"/>
                <w:lang w:val="fr-FR"/>
              </w:rPr>
            </w:pPr>
          </w:p>
        </w:tc>
        <w:tc>
          <w:tcPr>
            <w:tcW w:w="156" w:type="pct"/>
            <w:shd w:val="clear" w:color="auto" w:fill="auto"/>
            <w:vAlign w:val="center"/>
          </w:tcPr>
          <w:p w14:paraId="08F8E40E" w14:textId="77777777" w:rsidR="00500275" w:rsidRPr="006F4D4F" w:rsidRDefault="00500275" w:rsidP="00AF5EC7">
            <w:pPr>
              <w:jc w:val="center"/>
              <w:rPr>
                <w:b/>
                <w:sz w:val="18"/>
                <w:szCs w:val="18"/>
                <w:lang w:val="fr-FR"/>
              </w:rPr>
            </w:pPr>
          </w:p>
        </w:tc>
        <w:tc>
          <w:tcPr>
            <w:tcW w:w="155" w:type="pct"/>
            <w:shd w:val="clear" w:color="auto" w:fill="auto"/>
            <w:vAlign w:val="center"/>
          </w:tcPr>
          <w:p w14:paraId="4F51AEDF"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0BAE8D49"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426EEF0E" w14:textId="77777777" w:rsidR="00500275" w:rsidRPr="006F4D4F" w:rsidRDefault="00500275" w:rsidP="00AF5EC7">
            <w:pPr>
              <w:jc w:val="center"/>
              <w:rPr>
                <w:b/>
                <w:sz w:val="18"/>
                <w:szCs w:val="18"/>
                <w:lang w:val="fr-FR"/>
              </w:rPr>
            </w:pPr>
          </w:p>
        </w:tc>
        <w:tc>
          <w:tcPr>
            <w:tcW w:w="99" w:type="pct"/>
            <w:shd w:val="clear" w:color="auto" w:fill="F2F2F2" w:themeFill="background1" w:themeFillShade="F2"/>
            <w:vAlign w:val="center"/>
          </w:tcPr>
          <w:p w14:paraId="34D5B524" w14:textId="77777777" w:rsidR="00500275" w:rsidRPr="006F4D4F" w:rsidRDefault="00500275" w:rsidP="00AF5EC7">
            <w:pPr>
              <w:jc w:val="center"/>
              <w:rPr>
                <w:b/>
                <w:sz w:val="18"/>
                <w:szCs w:val="18"/>
                <w:lang w:val="fr-FR"/>
              </w:rPr>
            </w:pPr>
          </w:p>
        </w:tc>
        <w:tc>
          <w:tcPr>
            <w:tcW w:w="90" w:type="pct"/>
            <w:shd w:val="clear" w:color="auto" w:fill="F2F2F2" w:themeFill="background1" w:themeFillShade="F2"/>
            <w:vAlign w:val="center"/>
          </w:tcPr>
          <w:p w14:paraId="059303BE" w14:textId="77777777" w:rsidR="00500275" w:rsidRPr="006F4D4F" w:rsidRDefault="00500275" w:rsidP="00AF5EC7">
            <w:pPr>
              <w:jc w:val="center"/>
              <w:rPr>
                <w:b/>
                <w:sz w:val="18"/>
                <w:szCs w:val="18"/>
                <w:lang w:val="fr-FR"/>
              </w:rPr>
            </w:pPr>
          </w:p>
        </w:tc>
        <w:tc>
          <w:tcPr>
            <w:tcW w:w="110" w:type="pct"/>
            <w:gridSpan w:val="2"/>
            <w:shd w:val="clear" w:color="auto" w:fill="F2F2F2" w:themeFill="background1" w:themeFillShade="F2"/>
            <w:vAlign w:val="center"/>
          </w:tcPr>
          <w:p w14:paraId="74034572"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3C8C13CF"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64E0CD87"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1F39B260"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037CC9CC" w14:textId="77777777" w:rsidR="00500275" w:rsidRPr="006F4D4F" w:rsidRDefault="00500275" w:rsidP="00AF5EC7">
            <w:pPr>
              <w:jc w:val="center"/>
              <w:rPr>
                <w:b/>
                <w:sz w:val="18"/>
                <w:szCs w:val="18"/>
                <w:lang w:val="fr-FR"/>
              </w:rPr>
            </w:pPr>
          </w:p>
        </w:tc>
        <w:tc>
          <w:tcPr>
            <w:tcW w:w="149" w:type="pct"/>
            <w:shd w:val="clear" w:color="auto" w:fill="F2F2F2" w:themeFill="background1" w:themeFillShade="F2"/>
            <w:vAlign w:val="center"/>
          </w:tcPr>
          <w:p w14:paraId="65563E12" w14:textId="77777777" w:rsidR="00500275" w:rsidRPr="006F4D4F" w:rsidRDefault="00500275" w:rsidP="00AF5EC7">
            <w:pPr>
              <w:jc w:val="center"/>
              <w:rPr>
                <w:b/>
                <w:sz w:val="18"/>
                <w:szCs w:val="18"/>
                <w:lang w:val="fr-FR"/>
              </w:rPr>
            </w:pPr>
          </w:p>
        </w:tc>
        <w:tc>
          <w:tcPr>
            <w:tcW w:w="156" w:type="pct"/>
            <w:shd w:val="clear" w:color="auto" w:fill="F2F2F2" w:themeFill="background1" w:themeFillShade="F2"/>
            <w:vAlign w:val="center"/>
          </w:tcPr>
          <w:p w14:paraId="389823C3" w14:textId="77777777" w:rsidR="00500275" w:rsidRPr="006F4D4F" w:rsidRDefault="00500275" w:rsidP="00AF5EC7">
            <w:pPr>
              <w:jc w:val="center"/>
              <w:rPr>
                <w:b/>
                <w:sz w:val="18"/>
                <w:szCs w:val="18"/>
                <w:lang w:val="fr-FR"/>
              </w:rPr>
            </w:pPr>
          </w:p>
        </w:tc>
        <w:tc>
          <w:tcPr>
            <w:tcW w:w="158" w:type="pct"/>
            <w:shd w:val="clear" w:color="auto" w:fill="F2F2F2" w:themeFill="background1" w:themeFillShade="F2"/>
            <w:vAlign w:val="center"/>
          </w:tcPr>
          <w:p w14:paraId="3FA0C6E8" w14:textId="77777777" w:rsidR="00500275" w:rsidRPr="006F4D4F" w:rsidRDefault="00500275" w:rsidP="00AF5EC7">
            <w:pPr>
              <w:jc w:val="center"/>
              <w:rPr>
                <w:b/>
                <w:sz w:val="18"/>
                <w:szCs w:val="18"/>
                <w:lang w:val="fr-FR"/>
              </w:rPr>
            </w:pPr>
          </w:p>
        </w:tc>
        <w:tc>
          <w:tcPr>
            <w:tcW w:w="104" w:type="pct"/>
            <w:shd w:val="clear" w:color="auto" w:fill="auto"/>
            <w:vAlign w:val="center"/>
          </w:tcPr>
          <w:p w14:paraId="15FB8EAC" w14:textId="77777777" w:rsidR="00500275" w:rsidRPr="006F4D4F" w:rsidRDefault="00500275" w:rsidP="00AF5EC7">
            <w:pPr>
              <w:jc w:val="center"/>
              <w:rPr>
                <w:b/>
                <w:sz w:val="18"/>
                <w:szCs w:val="18"/>
                <w:lang w:val="fr-FR"/>
              </w:rPr>
            </w:pPr>
          </w:p>
        </w:tc>
        <w:tc>
          <w:tcPr>
            <w:tcW w:w="87" w:type="pct"/>
            <w:shd w:val="clear" w:color="auto" w:fill="auto"/>
            <w:vAlign w:val="center"/>
          </w:tcPr>
          <w:p w14:paraId="6E9D0E89" w14:textId="77777777" w:rsidR="00500275" w:rsidRPr="006F4D4F" w:rsidRDefault="00500275" w:rsidP="00AF5EC7">
            <w:pPr>
              <w:jc w:val="center"/>
              <w:rPr>
                <w:b/>
                <w:sz w:val="18"/>
                <w:szCs w:val="18"/>
                <w:lang w:val="fr-FR"/>
              </w:rPr>
            </w:pPr>
          </w:p>
        </w:tc>
        <w:tc>
          <w:tcPr>
            <w:tcW w:w="126" w:type="pct"/>
            <w:gridSpan w:val="2"/>
            <w:shd w:val="clear" w:color="auto" w:fill="auto"/>
            <w:vAlign w:val="center"/>
          </w:tcPr>
          <w:p w14:paraId="1A438480" w14:textId="77777777" w:rsidR="00500275" w:rsidRPr="006F4D4F" w:rsidRDefault="00500275" w:rsidP="00AF5EC7">
            <w:pPr>
              <w:jc w:val="center"/>
              <w:rPr>
                <w:b/>
                <w:sz w:val="18"/>
                <w:szCs w:val="18"/>
                <w:lang w:val="fr-FR"/>
              </w:rPr>
            </w:pPr>
          </w:p>
        </w:tc>
        <w:tc>
          <w:tcPr>
            <w:tcW w:w="104" w:type="pct"/>
            <w:gridSpan w:val="2"/>
            <w:shd w:val="clear" w:color="auto" w:fill="auto"/>
            <w:vAlign w:val="center"/>
          </w:tcPr>
          <w:p w14:paraId="2B3ED72D" w14:textId="77777777" w:rsidR="00500275" w:rsidRPr="006F4D4F" w:rsidRDefault="00500275" w:rsidP="00AF5EC7">
            <w:pPr>
              <w:jc w:val="center"/>
              <w:rPr>
                <w:b/>
                <w:sz w:val="18"/>
                <w:szCs w:val="18"/>
                <w:lang w:val="fr-FR"/>
              </w:rPr>
            </w:pPr>
          </w:p>
        </w:tc>
        <w:tc>
          <w:tcPr>
            <w:tcW w:w="103" w:type="pct"/>
            <w:gridSpan w:val="2"/>
            <w:shd w:val="clear" w:color="auto" w:fill="auto"/>
            <w:vAlign w:val="center"/>
          </w:tcPr>
          <w:p w14:paraId="24D1A76D" w14:textId="77777777" w:rsidR="00500275" w:rsidRPr="006F4D4F" w:rsidRDefault="00500275" w:rsidP="00AF5EC7">
            <w:pPr>
              <w:jc w:val="center"/>
              <w:rPr>
                <w:b/>
                <w:sz w:val="18"/>
                <w:szCs w:val="18"/>
                <w:lang w:val="fr-FR"/>
              </w:rPr>
            </w:pPr>
          </w:p>
        </w:tc>
        <w:tc>
          <w:tcPr>
            <w:tcW w:w="106" w:type="pct"/>
            <w:shd w:val="clear" w:color="auto" w:fill="auto"/>
            <w:vAlign w:val="center"/>
          </w:tcPr>
          <w:p w14:paraId="1A10BE6B" w14:textId="77777777" w:rsidR="00500275" w:rsidRPr="006F4D4F" w:rsidRDefault="00500275" w:rsidP="00AF5EC7">
            <w:pPr>
              <w:jc w:val="center"/>
              <w:rPr>
                <w:b/>
                <w:sz w:val="18"/>
                <w:szCs w:val="18"/>
                <w:lang w:val="fr-FR"/>
              </w:rPr>
            </w:pPr>
          </w:p>
        </w:tc>
        <w:tc>
          <w:tcPr>
            <w:tcW w:w="101" w:type="pct"/>
            <w:shd w:val="clear" w:color="auto" w:fill="auto"/>
            <w:vAlign w:val="center"/>
          </w:tcPr>
          <w:p w14:paraId="0F65BCBB" w14:textId="77777777" w:rsidR="00500275" w:rsidRPr="006F4D4F" w:rsidRDefault="00500275" w:rsidP="00AF5EC7">
            <w:pPr>
              <w:jc w:val="center"/>
              <w:rPr>
                <w:b/>
                <w:sz w:val="18"/>
                <w:szCs w:val="18"/>
                <w:lang w:val="fr-FR"/>
              </w:rPr>
            </w:pPr>
          </w:p>
        </w:tc>
        <w:tc>
          <w:tcPr>
            <w:tcW w:w="157" w:type="pct"/>
            <w:gridSpan w:val="2"/>
            <w:shd w:val="clear" w:color="auto" w:fill="auto"/>
            <w:vAlign w:val="center"/>
          </w:tcPr>
          <w:p w14:paraId="4D060BB4" w14:textId="77777777" w:rsidR="00500275" w:rsidRPr="006F4D4F" w:rsidRDefault="00500275" w:rsidP="00AF5EC7">
            <w:pPr>
              <w:jc w:val="center"/>
              <w:rPr>
                <w:b/>
                <w:sz w:val="18"/>
                <w:szCs w:val="18"/>
                <w:lang w:val="fr-FR"/>
              </w:rPr>
            </w:pPr>
          </w:p>
        </w:tc>
      </w:tr>
      <w:tr w:rsidR="00B31DED" w:rsidRPr="004A302F" w14:paraId="1E6A6E2D" w14:textId="77777777" w:rsidTr="00AF5EC7">
        <w:trPr>
          <w:trHeight w:val="380"/>
        </w:trPr>
        <w:tc>
          <w:tcPr>
            <w:tcW w:w="5000" w:type="pct"/>
            <w:gridSpan w:val="45"/>
            <w:shd w:val="clear" w:color="auto" w:fill="B8CCE4"/>
            <w:vAlign w:val="center"/>
          </w:tcPr>
          <w:p w14:paraId="0DDE2627" w14:textId="760F9B3B" w:rsidR="00B31DED" w:rsidRPr="006F4D4F" w:rsidRDefault="00AF5EC7" w:rsidP="00AF5EC7">
            <w:pPr>
              <w:rPr>
                <w:b/>
                <w:sz w:val="18"/>
                <w:szCs w:val="18"/>
                <w:lang w:val="fr-FR"/>
              </w:rPr>
            </w:pPr>
            <w:r>
              <w:rPr>
                <w:b/>
                <w:lang w:val="fr-FR"/>
              </w:rPr>
              <w:t>Domaine d’i</w:t>
            </w:r>
            <w:r w:rsidR="00B31DED" w:rsidRPr="006F4D4F">
              <w:rPr>
                <w:b/>
                <w:lang w:val="fr-FR"/>
              </w:rPr>
              <w:t>ntervention 2</w:t>
            </w:r>
            <w:r>
              <w:rPr>
                <w:b/>
                <w:lang w:val="fr-FR"/>
              </w:rPr>
              <w:t> </w:t>
            </w:r>
            <w:r w:rsidR="00B31DED" w:rsidRPr="006F4D4F">
              <w:rPr>
                <w:b/>
                <w:lang w:val="fr-FR"/>
              </w:rPr>
              <w:t>:</w:t>
            </w:r>
            <w:r w:rsidR="000A20C5">
              <w:rPr>
                <w:b/>
                <w:lang w:val="fr-FR"/>
              </w:rPr>
              <w:t xml:space="preserve"> </w:t>
            </w:r>
            <w:r w:rsidRPr="00AF5EC7">
              <w:rPr>
                <w:lang w:val="fr-FR"/>
              </w:rPr>
              <w:t>Renforcement</w:t>
            </w:r>
            <w:r>
              <w:rPr>
                <w:lang w:val="fr-FR"/>
              </w:rPr>
              <w:t xml:space="preserve"> des capacités et formation pour le </w:t>
            </w:r>
            <w:r w:rsidR="0068294B">
              <w:rPr>
                <w:lang w:val="fr-FR"/>
              </w:rPr>
              <w:t>développement des compétences</w:t>
            </w:r>
            <w:r>
              <w:rPr>
                <w:lang w:val="fr-FR"/>
              </w:rPr>
              <w:t xml:space="preserve"> axé sur la demande</w:t>
            </w:r>
          </w:p>
        </w:tc>
      </w:tr>
      <w:tr w:rsidR="00FE1DB2" w:rsidRPr="004A302F" w14:paraId="2A78DADD" w14:textId="77777777" w:rsidTr="00AF5EC7">
        <w:trPr>
          <w:trHeight w:val="380"/>
        </w:trPr>
        <w:tc>
          <w:tcPr>
            <w:tcW w:w="509" w:type="pct"/>
            <w:gridSpan w:val="2"/>
            <w:shd w:val="clear" w:color="auto" w:fill="auto"/>
            <w:vAlign w:val="center"/>
          </w:tcPr>
          <w:p w14:paraId="74117D2D" w14:textId="77777777" w:rsidR="00500275" w:rsidRPr="006F4D4F" w:rsidRDefault="00500275" w:rsidP="00AF5EC7">
            <w:pPr>
              <w:rPr>
                <w:b/>
                <w:sz w:val="14"/>
                <w:szCs w:val="14"/>
                <w:lang w:val="fr-FR"/>
              </w:rPr>
            </w:pPr>
            <w:r w:rsidRPr="006F4D4F">
              <w:rPr>
                <w:b/>
                <w:sz w:val="14"/>
                <w:szCs w:val="14"/>
                <w:lang w:val="fr-FR"/>
              </w:rPr>
              <w:t> </w:t>
            </w:r>
          </w:p>
        </w:tc>
        <w:tc>
          <w:tcPr>
            <w:tcW w:w="110" w:type="pct"/>
            <w:shd w:val="clear" w:color="auto" w:fill="FDE9D9" w:themeFill="accent6" w:themeFillTint="33"/>
            <w:vAlign w:val="center"/>
          </w:tcPr>
          <w:p w14:paraId="5B46D3E2"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473B5F3D"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4BC194B4" w14:textId="77777777" w:rsidR="00500275" w:rsidRPr="006F4D4F" w:rsidRDefault="00500275" w:rsidP="00AF5EC7">
            <w:pPr>
              <w:jc w:val="center"/>
              <w:rPr>
                <w:b/>
                <w:sz w:val="18"/>
                <w:szCs w:val="18"/>
                <w:lang w:val="fr-FR"/>
              </w:rPr>
            </w:pPr>
          </w:p>
        </w:tc>
        <w:tc>
          <w:tcPr>
            <w:tcW w:w="140" w:type="pct"/>
            <w:shd w:val="clear" w:color="auto" w:fill="FDE9D9" w:themeFill="accent6" w:themeFillTint="33"/>
            <w:vAlign w:val="center"/>
          </w:tcPr>
          <w:p w14:paraId="5C72ACA8" w14:textId="77777777" w:rsidR="00500275" w:rsidRPr="006F4D4F" w:rsidRDefault="00500275" w:rsidP="00AF5EC7">
            <w:pPr>
              <w:jc w:val="center"/>
              <w:rPr>
                <w:b/>
                <w:sz w:val="18"/>
                <w:szCs w:val="18"/>
                <w:lang w:val="fr-FR"/>
              </w:rPr>
            </w:pPr>
          </w:p>
        </w:tc>
        <w:tc>
          <w:tcPr>
            <w:tcW w:w="156" w:type="pct"/>
            <w:shd w:val="clear" w:color="auto" w:fill="FDE9D9" w:themeFill="accent6" w:themeFillTint="33"/>
            <w:vAlign w:val="center"/>
          </w:tcPr>
          <w:p w14:paraId="36569F1F" w14:textId="77777777" w:rsidR="00500275" w:rsidRPr="006F4D4F" w:rsidRDefault="00500275" w:rsidP="00AF5EC7">
            <w:pPr>
              <w:jc w:val="center"/>
              <w:rPr>
                <w:b/>
                <w:sz w:val="18"/>
                <w:szCs w:val="18"/>
                <w:lang w:val="fr-FR"/>
              </w:rPr>
            </w:pPr>
          </w:p>
        </w:tc>
        <w:tc>
          <w:tcPr>
            <w:tcW w:w="158" w:type="pct"/>
            <w:shd w:val="clear" w:color="auto" w:fill="FDE9D9" w:themeFill="accent6" w:themeFillTint="33"/>
            <w:vAlign w:val="center"/>
          </w:tcPr>
          <w:p w14:paraId="342325EE" w14:textId="77777777" w:rsidR="00500275" w:rsidRPr="006F4D4F" w:rsidRDefault="00500275" w:rsidP="00AF5EC7">
            <w:pPr>
              <w:jc w:val="center"/>
              <w:rPr>
                <w:b/>
                <w:sz w:val="18"/>
                <w:szCs w:val="18"/>
                <w:lang w:val="fr-FR"/>
              </w:rPr>
            </w:pPr>
          </w:p>
        </w:tc>
        <w:tc>
          <w:tcPr>
            <w:tcW w:w="103" w:type="pct"/>
            <w:shd w:val="clear" w:color="auto" w:fill="FDE9D9" w:themeFill="accent6" w:themeFillTint="33"/>
            <w:vAlign w:val="center"/>
          </w:tcPr>
          <w:p w14:paraId="4372E1BE" w14:textId="77777777" w:rsidR="00500275" w:rsidRPr="006F4D4F" w:rsidRDefault="00500275" w:rsidP="00AF5EC7">
            <w:pPr>
              <w:jc w:val="center"/>
              <w:rPr>
                <w:b/>
                <w:sz w:val="18"/>
                <w:szCs w:val="18"/>
                <w:lang w:val="fr-FR"/>
              </w:rPr>
            </w:pPr>
          </w:p>
        </w:tc>
        <w:tc>
          <w:tcPr>
            <w:tcW w:w="95" w:type="pct"/>
            <w:shd w:val="clear" w:color="auto" w:fill="FDE9D9" w:themeFill="accent6" w:themeFillTint="33"/>
            <w:vAlign w:val="center"/>
          </w:tcPr>
          <w:p w14:paraId="294B1E66" w14:textId="77777777" w:rsidR="00500275" w:rsidRPr="006F4D4F" w:rsidRDefault="00500275" w:rsidP="00AF5EC7">
            <w:pPr>
              <w:jc w:val="center"/>
              <w:rPr>
                <w:b/>
                <w:sz w:val="18"/>
                <w:szCs w:val="18"/>
                <w:lang w:val="fr-FR"/>
              </w:rPr>
            </w:pPr>
          </w:p>
        </w:tc>
        <w:tc>
          <w:tcPr>
            <w:tcW w:w="90" w:type="pct"/>
            <w:shd w:val="clear" w:color="auto" w:fill="FDE9D9" w:themeFill="accent6" w:themeFillTint="33"/>
            <w:vAlign w:val="center"/>
          </w:tcPr>
          <w:p w14:paraId="41DA09DE" w14:textId="77777777" w:rsidR="00500275" w:rsidRPr="006F4D4F" w:rsidRDefault="00500275" w:rsidP="00AF5EC7">
            <w:pPr>
              <w:jc w:val="center"/>
              <w:rPr>
                <w:b/>
                <w:sz w:val="18"/>
                <w:szCs w:val="18"/>
                <w:lang w:val="fr-FR"/>
              </w:rPr>
            </w:pPr>
          </w:p>
        </w:tc>
        <w:tc>
          <w:tcPr>
            <w:tcW w:w="110" w:type="pct"/>
            <w:shd w:val="clear" w:color="auto" w:fill="auto"/>
            <w:vAlign w:val="center"/>
          </w:tcPr>
          <w:p w14:paraId="64B9692E" w14:textId="77777777" w:rsidR="00500275" w:rsidRPr="006F4D4F" w:rsidRDefault="00500275" w:rsidP="00AF5EC7">
            <w:pPr>
              <w:jc w:val="center"/>
              <w:rPr>
                <w:b/>
                <w:sz w:val="18"/>
                <w:szCs w:val="18"/>
                <w:lang w:val="fr-FR"/>
              </w:rPr>
            </w:pPr>
          </w:p>
        </w:tc>
        <w:tc>
          <w:tcPr>
            <w:tcW w:w="110" w:type="pct"/>
            <w:shd w:val="clear" w:color="auto" w:fill="auto"/>
            <w:vAlign w:val="center"/>
          </w:tcPr>
          <w:p w14:paraId="3804FA41" w14:textId="77777777" w:rsidR="00500275" w:rsidRPr="006F4D4F" w:rsidRDefault="00500275" w:rsidP="00AF5EC7">
            <w:pPr>
              <w:jc w:val="center"/>
              <w:rPr>
                <w:b/>
                <w:sz w:val="18"/>
                <w:szCs w:val="18"/>
                <w:lang w:val="fr-FR"/>
              </w:rPr>
            </w:pPr>
          </w:p>
        </w:tc>
        <w:tc>
          <w:tcPr>
            <w:tcW w:w="110" w:type="pct"/>
            <w:shd w:val="clear" w:color="auto" w:fill="auto"/>
            <w:vAlign w:val="center"/>
          </w:tcPr>
          <w:p w14:paraId="320162B6" w14:textId="77777777" w:rsidR="00500275" w:rsidRPr="006F4D4F" w:rsidRDefault="00500275" w:rsidP="00AF5EC7">
            <w:pPr>
              <w:jc w:val="center"/>
              <w:rPr>
                <w:b/>
                <w:sz w:val="18"/>
                <w:szCs w:val="18"/>
                <w:lang w:val="fr-FR"/>
              </w:rPr>
            </w:pPr>
          </w:p>
        </w:tc>
        <w:tc>
          <w:tcPr>
            <w:tcW w:w="110" w:type="pct"/>
            <w:shd w:val="clear" w:color="auto" w:fill="auto"/>
            <w:vAlign w:val="center"/>
          </w:tcPr>
          <w:p w14:paraId="7A34A473" w14:textId="77777777" w:rsidR="00500275" w:rsidRPr="006F4D4F" w:rsidRDefault="00500275" w:rsidP="00AF5EC7">
            <w:pPr>
              <w:jc w:val="center"/>
              <w:rPr>
                <w:b/>
                <w:sz w:val="18"/>
                <w:szCs w:val="18"/>
                <w:lang w:val="fr-FR"/>
              </w:rPr>
            </w:pPr>
          </w:p>
        </w:tc>
        <w:tc>
          <w:tcPr>
            <w:tcW w:w="110" w:type="pct"/>
            <w:shd w:val="clear" w:color="auto" w:fill="auto"/>
            <w:vAlign w:val="center"/>
          </w:tcPr>
          <w:p w14:paraId="5095C2CB" w14:textId="77777777" w:rsidR="00500275" w:rsidRPr="006F4D4F" w:rsidRDefault="00500275" w:rsidP="00AF5EC7">
            <w:pPr>
              <w:jc w:val="center"/>
              <w:rPr>
                <w:b/>
                <w:sz w:val="18"/>
                <w:szCs w:val="18"/>
                <w:lang w:val="fr-FR"/>
              </w:rPr>
            </w:pPr>
          </w:p>
        </w:tc>
        <w:tc>
          <w:tcPr>
            <w:tcW w:w="101" w:type="pct"/>
            <w:shd w:val="clear" w:color="auto" w:fill="auto"/>
            <w:vAlign w:val="center"/>
          </w:tcPr>
          <w:p w14:paraId="1C5EB8B2" w14:textId="77777777" w:rsidR="00500275" w:rsidRPr="006F4D4F" w:rsidRDefault="00500275" w:rsidP="00AF5EC7">
            <w:pPr>
              <w:jc w:val="center"/>
              <w:rPr>
                <w:b/>
                <w:sz w:val="18"/>
                <w:szCs w:val="18"/>
                <w:lang w:val="fr-FR"/>
              </w:rPr>
            </w:pPr>
          </w:p>
        </w:tc>
        <w:tc>
          <w:tcPr>
            <w:tcW w:w="156" w:type="pct"/>
            <w:shd w:val="clear" w:color="auto" w:fill="auto"/>
            <w:vAlign w:val="center"/>
          </w:tcPr>
          <w:p w14:paraId="78E03B0F" w14:textId="77777777" w:rsidR="00500275" w:rsidRPr="006F4D4F" w:rsidRDefault="00500275" w:rsidP="00AF5EC7">
            <w:pPr>
              <w:jc w:val="center"/>
              <w:rPr>
                <w:b/>
                <w:sz w:val="18"/>
                <w:szCs w:val="18"/>
                <w:lang w:val="fr-FR"/>
              </w:rPr>
            </w:pPr>
          </w:p>
        </w:tc>
        <w:tc>
          <w:tcPr>
            <w:tcW w:w="156" w:type="pct"/>
            <w:shd w:val="clear" w:color="auto" w:fill="auto"/>
            <w:vAlign w:val="center"/>
          </w:tcPr>
          <w:p w14:paraId="4D46A9B5" w14:textId="77777777" w:rsidR="00500275" w:rsidRPr="006F4D4F" w:rsidRDefault="00500275" w:rsidP="00AF5EC7">
            <w:pPr>
              <w:jc w:val="center"/>
              <w:rPr>
                <w:b/>
                <w:sz w:val="18"/>
                <w:szCs w:val="18"/>
                <w:lang w:val="fr-FR"/>
              </w:rPr>
            </w:pPr>
          </w:p>
        </w:tc>
        <w:tc>
          <w:tcPr>
            <w:tcW w:w="155" w:type="pct"/>
            <w:shd w:val="clear" w:color="auto" w:fill="auto"/>
            <w:vAlign w:val="center"/>
          </w:tcPr>
          <w:p w14:paraId="2AE956F4"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54B98C15"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6D3FD95E" w14:textId="77777777" w:rsidR="00500275" w:rsidRPr="006F4D4F" w:rsidRDefault="00500275" w:rsidP="00AF5EC7">
            <w:pPr>
              <w:jc w:val="center"/>
              <w:rPr>
                <w:b/>
                <w:sz w:val="18"/>
                <w:szCs w:val="18"/>
                <w:lang w:val="fr-FR"/>
              </w:rPr>
            </w:pPr>
          </w:p>
        </w:tc>
        <w:tc>
          <w:tcPr>
            <w:tcW w:w="99" w:type="pct"/>
            <w:shd w:val="clear" w:color="auto" w:fill="F2F2F2" w:themeFill="background1" w:themeFillShade="F2"/>
            <w:vAlign w:val="center"/>
          </w:tcPr>
          <w:p w14:paraId="4582DFE3" w14:textId="77777777" w:rsidR="00500275" w:rsidRPr="006F4D4F" w:rsidRDefault="00500275" w:rsidP="00AF5EC7">
            <w:pPr>
              <w:jc w:val="center"/>
              <w:rPr>
                <w:b/>
                <w:sz w:val="18"/>
                <w:szCs w:val="18"/>
                <w:lang w:val="fr-FR"/>
              </w:rPr>
            </w:pPr>
          </w:p>
        </w:tc>
        <w:tc>
          <w:tcPr>
            <w:tcW w:w="90" w:type="pct"/>
            <w:shd w:val="clear" w:color="auto" w:fill="F2F2F2" w:themeFill="background1" w:themeFillShade="F2"/>
            <w:vAlign w:val="center"/>
          </w:tcPr>
          <w:p w14:paraId="48D3E14E" w14:textId="77777777" w:rsidR="00500275" w:rsidRPr="006F4D4F" w:rsidRDefault="00500275" w:rsidP="00AF5EC7">
            <w:pPr>
              <w:jc w:val="center"/>
              <w:rPr>
                <w:b/>
                <w:sz w:val="18"/>
                <w:szCs w:val="18"/>
                <w:lang w:val="fr-FR"/>
              </w:rPr>
            </w:pPr>
          </w:p>
        </w:tc>
        <w:tc>
          <w:tcPr>
            <w:tcW w:w="110" w:type="pct"/>
            <w:gridSpan w:val="2"/>
            <w:shd w:val="clear" w:color="auto" w:fill="F2F2F2" w:themeFill="background1" w:themeFillShade="F2"/>
            <w:vAlign w:val="center"/>
          </w:tcPr>
          <w:p w14:paraId="03773F03"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10B9091F"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259F9220"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75B5A160"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53FCD237" w14:textId="77777777" w:rsidR="00500275" w:rsidRPr="006F4D4F" w:rsidRDefault="00500275" w:rsidP="00AF5EC7">
            <w:pPr>
              <w:jc w:val="center"/>
              <w:rPr>
                <w:b/>
                <w:sz w:val="18"/>
                <w:szCs w:val="18"/>
                <w:lang w:val="fr-FR"/>
              </w:rPr>
            </w:pPr>
          </w:p>
        </w:tc>
        <w:tc>
          <w:tcPr>
            <w:tcW w:w="149" w:type="pct"/>
            <w:shd w:val="clear" w:color="auto" w:fill="F2F2F2" w:themeFill="background1" w:themeFillShade="F2"/>
            <w:vAlign w:val="center"/>
          </w:tcPr>
          <w:p w14:paraId="25196904" w14:textId="77777777" w:rsidR="00500275" w:rsidRPr="006F4D4F" w:rsidRDefault="00500275" w:rsidP="00AF5EC7">
            <w:pPr>
              <w:jc w:val="center"/>
              <w:rPr>
                <w:b/>
                <w:sz w:val="18"/>
                <w:szCs w:val="18"/>
                <w:lang w:val="fr-FR"/>
              </w:rPr>
            </w:pPr>
          </w:p>
        </w:tc>
        <w:tc>
          <w:tcPr>
            <w:tcW w:w="156" w:type="pct"/>
            <w:shd w:val="clear" w:color="auto" w:fill="F2F2F2" w:themeFill="background1" w:themeFillShade="F2"/>
            <w:vAlign w:val="center"/>
          </w:tcPr>
          <w:p w14:paraId="5ADE7A8B" w14:textId="77777777" w:rsidR="00500275" w:rsidRPr="006F4D4F" w:rsidRDefault="00500275" w:rsidP="00AF5EC7">
            <w:pPr>
              <w:jc w:val="center"/>
              <w:rPr>
                <w:b/>
                <w:sz w:val="18"/>
                <w:szCs w:val="18"/>
                <w:lang w:val="fr-FR"/>
              </w:rPr>
            </w:pPr>
          </w:p>
        </w:tc>
        <w:tc>
          <w:tcPr>
            <w:tcW w:w="158" w:type="pct"/>
            <w:shd w:val="clear" w:color="auto" w:fill="F2F2F2" w:themeFill="background1" w:themeFillShade="F2"/>
            <w:vAlign w:val="center"/>
          </w:tcPr>
          <w:p w14:paraId="24101A43" w14:textId="77777777" w:rsidR="00500275" w:rsidRPr="006F4D4F" w:rsidRDefault="00500275" w:rsidP="00AF5EC7">
            <w:pPr>
              <w:jc w:val="center"/>
              <w:rPr>
                <w:b/>
                <w:sz w:val="18"/>
                <w:szCs w:val="18"/>
                <w:lang w:val="fr-FR"/>
              </w:rPr>
            </w:pPr>
          </w:p>
        </w:tc>
        <w:tc>
          <w:tcPr>
            <w:tcW w:w="104" w:type="pct"/>
            <w:shd w:val="clear" w:color="auto" w:fill="auto"/>
            <w:vAlign w:val="center"/>
          </w:tcPr>
          <w:p w14:paraId="18CC482C" w14:textId="77777777" w:rsidR="00500275" w:rsidRPr="006F4D4F" w:rsidRDefault="00500275" w:rsidP="00AF5EC7">
            <w:pPr>
              <w:jc w:val="center"/>
              <w:rPr>
                <w:b/>
                <w:sz w:val="18"/>
                <w:szCs w:val="18"/>
                <w:lang w:val="fr-FR"/>
              </w:rPr>
            </w:pPr>
          </w:p>
        </w:tc>
        <w:tc>
          <w:tcPr>
            <w:tcW w:w="87" w:type="pct"/>
            <w:shd w:val="clear" w:color="auto" w:fill="auto"/>
            <w:vAlign w:val="center"/>
          </w:tcPr>
          <w:p w14:paraId="6FF96C90" w14:textId="77777777" w:rsidR="00500275" w:rsidRPr="006F4D4F" w:rsidRDefault="00500275" w:rsidP="00AF5EC7">
            <w:pPr>
              <w:jc w:val="center"/>
              <w:rPr>
                <w:b/>
                <w:sz w:val="18"/>
                <w:szCs w:val="18"/>
                <w:lang w:val="fr-FR"/>
              </w:rPr>
            </w:pPr>
          </w:p>
        </w:tc>
        <w:tc>
          <w:tcPr>
            <w:tcW w:w="126" w:type="pct"/>
            <w:gridSpan w:val="2"/>
            <w:shd w:val="clear" w:color="auto" w:fill="auto"/>
            <w:vAlign w:val="center"/>
          </w:tcPr>
          <w:p w14:paraId="4EC6D370" w14:textId="77777777" w:rsidR="00500275" w:rsidRPr="006F4D4F" w:rsidRDefault="00500275" w:rsidP="00AF5EC7">
            <w:pPr>
              <w:jc w:val="center"/>
              <w:rPr>
                <w:b/>
                <w:sz w:val="18"/>
                <w:szCs w:val="18"/>
                <w:lang w:val="fr-FR"/>
              </w:rPr>
            </w:pPr>
          </w:p>
        </w:tc>
        <w:tc>
          <w:tcPr>
            <w:tcW w:w="104" w:type="pct"/>
            <w:gridSpan w:val="2"/>
            <w:shd w:val="clear" w:color="auto" w:fill="auto"/>
            <w:vAlign w:val="center"/>
          </w:tcPr>
          <w:p w14:paraId="3CAA44BB" w14:textId="77777777" w:rsidR="00500275" w:rsidRPr="006F4D4F" w:rsidRDefault="00500275" w:rsidP="00AF5EC7">
            <w:pPr>
              <w:jc w:val="center"/>
              <w:rPr>
                <w:b/>
                <w:sz w:val="18"/>
                <w:szCs w:val="18"/>
                <w:lang w:val="fr-FR"/>
              </w:rPr>
            </w:pPr>
          </w:p>
        </w:tc>
        <w:tc>
          <w:tcPr>
            <w:tcW w:w="103" w:type="pct"/>
            <w:gridSpan w:val="2"/>
            <w:shd w:val="clear" w:color="auto" w:fill="auto"/>
            <w:vAlign w:val="center"/>
          </w:tcPr>
          <w:p w14:paraId="6B1B99FD" w14:textId="77777777" w:rsidR="00500275" w:rsidRPr="006F4D4F" w:rsidRDefault="00500275" w:rsidP="00AF5EC7">
            <w:pPr>
              <w:jc w:val="center"/>
              <w:rPr>
                <w:b/>
                <w:sz w:val="18"/>
                <w:szCs w:val="18"/>
                <w:lang w:val="fr-FR"/>
              </w:rPr>
            </w:pPr>
          </w:p>
        </w:tc>
        <w:tc>
          <w:tcPr>
            <w:tcW w:w="106" w:type="pct"/>
            <w:shd w:val="clear" w:color="auto" w:fill="auto"/>
            <w:vAlign w:val="center"/>
          </w:tcPr>
          <w:p w14:paraId="1CEF79DF" w14:textId="77777777" w:rsidR="00500275" w:rsidRPr="006F4D4F" w:rsidRDefault="00500275" w:rsidP="00AF5EC7">
            <w:pPr>
              <w:jc w:val="center"/>
              <w:rPr>
                <w:b/>
                <w:sz w:val="18"/>
                <w:szCs w:val="18"/>
                <w:lang w:val="fr-FR"/>
              </w:rPr>
            </w:pPr>
          </w:p>
        </w:tc>
        <w:tc>
          <w:tcPr>
            <w:tcW w:w="101" w:type="pct"/>
            <w:shd w:val="clear" w:color="auto" w:fill="auto"/>
            <w:vAlign w:val="center"/>
          </w:tcPr>
          <w:p w14:paraId="2A231656" w14:textId="77777777" w:rsidR="00500275" w:rsidRPr="006F4D4F" w:rsidRDefault="00500275" w:rsidP="00AF5EC7">
            <w:pPr>
              <w:jc w:val="center"/>
              <w:rPr>
                <w:b/>
                <w:sz w:val="18"/>
                <w:szCs w:val="18"/>
                <w:lang w:val="fr-FR"/>
              </w:rPr>
            </w:pPr>
          </w:p>
        </w:tc>
        <w:tc>
          <w:tcPr>
            <w:tcW w:w="157" w:type="pct"/>
            <w:gridSpan w:val="2"/>
            <w:shd w:val="clear" w:color="auto" w:fill="auto"/>
            <w:vAlign w:val="center"/>
          </w:tcPr>
          <w:p w14:paraId="1F1CAF2C" w14:textId="77777777" w:rsidR="00500275" w:rsidRPr="006F4D4F" w:rsidRDefault="00500275" w:rsidP="00AF5EC7">
            <w:pPr>
              <w:jc w:val="center"/>
              <w:rPr>
                <w:b/>
                <w:sz w:val="18"/>
                <w:szCs w:val="18"/>
                <w:lang w:val="fr-FR"/>
              </w:rPr>
            </w:pPr>
          </w:p>
        </w:tc>
      </w:tr>
      <w:tr w:rsidR="00FE1DB2" w:rsidRPr="004A302F" w14:paraId="1AEF0C43" w14:textId="77777777" w:rsidTr="00AF5EC7">
        <w:trPr>
          <w:trHeight w:val="380"/>
        </w:trPr>
        <w:tc>
          <w:tcPr>
            <w:tcW w:w="509" w:type="pct"/>
            <w:gridSpan w:val="2"/>
            <w:shd w:val="clear" w:color="auto" w:fill="auto"/>
            <w:vAlign w:val="center"/>
          </w:tcPr>
          <w:p w14:paraId="79712CBE" w14:textId="77777777" w:rsidR="00500275" w:rsidRPr="006F4D4F" w:rsidRDefault="00500275" w:rsidP="00AF5EC7">
            <w:pPr>
              <w:rPr>
                <w:b/>
                <w:sz w:val="14"/>
                <w:szCs w:val="14"/>
                <w:lang w:val="fr-FR"/>
              </w:rPr>
            </w:pPr>
            <w:r w:rsidRPr="006F4D4F">
              <w:rPr>
                <w:b/>
                <w:sz w:val="14"/>
                <w:szCs w:val="14"/>
                <w:lang w:val="fr-FR"/>
              </w:rPr>
              <w:t> </w:t>
            </w:r>
          </w:p>
        </w:tc>
        <w:tc>
          <w:tcPr>
            <w:tcW w:w="110" w:type="pct"/>
            <w:shd w:val="clear" w:color="auto" w:fill="FDE9D9" w:themeFill="accent6" w:themeFillTint="33"/>
            <w:vAlign w:val="center"/>
          </w:tcPr>
          <w:p w14:paraId="1116EA90"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3731424C"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77C928FC" w14:textId="77777777" w:rsidR="00500275" w:rsidRPr="006F4D4F" w:rsidRDefault="00500275" w:rsidP="00AF5EC7">
            <w:pPr>
              <w:jc w:val="center"/>
              <w:rPr>
                <w:b/>
                <w:sz w:val="18"/>
                <w:szCs w:val="18"/>
                <w:lang w:val="fr-FR"/>
              </w:rPr>
            </w:pPr>
          </w:p>
        </w:tc>
        <w:tc>
          <w:tcPr>
            <w:tcW w:w="140" w:type="pct"/>
            <w:shd w:val="clear" w:color="auto" w:fill="FDE9D9" w:themeFill="accent6" w:themeFillTint="33"/>
            <w:vAlign w:val="center"/>
          </w:tcPr>
          <w:p w14:paraId="7B364168" w14:textId="77777777" w:rsidR="00500275" w:rsidRPr="006F4D4F" w:rsidRDefault="00500275" w:rsidP="00AF5EC7">
            <w:pPr>
              <w:jc w:val="center"/>
              <w:rPr>
                <w:b/>
                <w:sz w:val="18"/>
                <w:szCs w:val="18"/>
                <w:lang w:val="fr-FR"/>
              </w:rPr>
            </w:pPr>
          </w:p>
        </w:tc>
        <w:tc>
          <w:tcPr>
            <w:tcW w:w="156" w:type="pct"/>
            <w:shd w:val="clear" w:color="auto" w:fill="FDE9D9" w:themeFill="accent6" w:themeFillTint="33"/>
            <w:vAlign w:val="center"/>
          </w:tcPr>
          <w:p w14:paraId="6B782857" w14:textId="77777777" w:rsidR="00500275" w:rsidRPr="006F4D4F" w:rsidRDefault="00500275" w:rsidP="00AF5EC7">
            <w:pPr>
              <w:jc w:val="center"/>
              <w:rPr>
                <w:b/>
                <w:sz w:val="18"/>
                <w:szCs w:val="18"/>
                <w:lang w:val="fr-FR"/>
              </w:rPr>
            </w:pPr>
          </w:p>
        </w:tc>
        <w:tc>
          <w:tcPr>
            <w:tcW w:w="158" w:type="pct"/>
            <w:shd w:val="clear" w:color="auto" w:fill="FDE9D9" w:themeFill="accent6" w:themeFillTint="33"/>
            <w:vAlign w:val="center"/>
          </w:tcPr>
          <w:p w14:paraId="7BB091A8" w14:textId="77777777" w:rsidR="00500275" w:rsidRPr="006F4D4F" w:rsidRDefault="00500275" w:rsidP="00AF5EC7">
            <w:pPr>
              <w:jc w:val="center"/>
              <w:rPr>
                <w:b/>
                <w:sz w:val="18"/>
                <w:szCs w:val="18"/>
                <w:lang w:val="fr-FR"/>
              </w:rPr>
            </w:pPr>
          </w:p>
        </w:tc>
        <w:tc>
          <w:tcPr>
            <w:tcW w:w="103" w:type="pct"/>
            <w:shd w:val="clear" w:color="auto" w:fill="FDE9D9" w:themeFill="accent6" w:themeFillTint="33"/>
            <w:vAlign w:val="center"/>
          </w:tcPr>
          <w:p w14:paraId="3FD0C434" w14:textId="77777777" w:rsidR="00500275" w:rsidRPr="006F4D4F" w:rsidRDefault="00500275" w:rsidP="00AF5EC7">
            <w:pPr>
              <w:jc w:val="center"/>
              <w:rPr>
                <w:b/>
                <w:sz w:val="18"/>
                <w:szCs w:val="18"/>
                <w:lang w:val="fr-FR"/>
              </w:rPr>
            </w:pPr>
          </w:p>
        </w:tc>
        <w:tc>
          <w:tcPr>
            <w:tcW w:w="95" w:type="pct"/>
            <w:shd w:val="clear" w:color="auto" w:fill="FDE9D9" w:themeFill="accent6" w:themeFillTint="33"/>
            <w:vAlign w:val="center"/>
          </w:tcPr>
          <w:p w14:paraId="4703E791" w14:textId="77777777" w:rsidR="00500275" w:rsidRPr="006F4D4F" w:rsidRDefault="00500275" w:rsidP="00AF5EC7">
            <w:pPr>
              <w:jc w:val="center"/>
              <w:rPr>
                <w:b/>
                <w:sz w:val="18"/>
                <w:szCs w:val="18"/>
                <w:lang w:val="fr-FR"/>
              </w:rPr>
            </w:pPr>
          </w:p>
        </w:tc>
        <w:tc>
          <w:tcPr>
            <w:tcW w:w="90" w:type="pct"/>
            <w:shd w:val="clear" w:color="auto" w:fill="FDE9D9" w:themeFill="accent6" w:themeFillTint="33"/>
            <w:vAlign w:val="center"/>
          </w:tcPr>
          <w:p w14:paraId="7BD775FF" w14:textId="77777777" w:rsidR="00500275" w:rsidRPr="006F4D4F" w:rsidRDefault="00500275" w:rsidP="00AF5EC7">
            <w:pPr>
              <w:jc w:val="center"/>
              <w:rPr>
                <w:b/>
                <w:sz w:val="18"/>
                <w:szCs w:val="18"/>
                <w:lang w:val="fr-FR"/>
              </w:rPr>
            </w:pPr>
          </w:p>
        </w:tc>
        <w:tc>
          <w:tcPr>
            <w:tcW w:w="110" w:type="pct"/>
            <w:shd w:val="clear" w:color="auto" w:fill="auto"/>
            <w:vAlign w:val="center"/>
          </w:tcPr>
          <w:p w14:paraId="13D6AD0D" w14:textId="77777777" w:rsidR="00500275" w:rsidRPr="006F4D4F" w:rsidRDefault="00500275" w:rsidP="00AF5EC7">
            <w:pPr>
              <w:jc w:val="center"/>
              <w:rPr>
                <w:b/>
                <w:sz w:val="18"/>
                <w:szCs w:val="18"/>
                <w:lang w:val="fr-FR"/>
              </w:rPr>
            </w:pPr>
          </w:p>
        </w:tc>
        <w:tc>
          <w:tcPr>
            <w:tcW w:w="110" w:type="pct"/>
            <w:shd w:val="clear" w:color="auto" w:fill="auto"/>
            <w:vAlign w:val="center"/>
          </w:tcPr>
          <w:p w14:paraId="2DB9977A" w14:textId="77777777" w:rsidR="00500275" w:rsidRPr="006F4D4F" w:rsidRDefault="00500275" w:rsidP="00AF5EC7">
            <w:pPr>
              <w:jc w:val="center"/>
              <w:rPr>
                <w:b/>
                <w:sz w:val="18"/>
                <w:szCs w:val="18"/>
                <w:lang w:val="fr-FR"/>
              </w:rPr>
            </w:pPr>
          </w:p>
        </w:tc>
        <w:tc>
          <w:tcPr>
            <w:tcW w:w="110" w:type="pct"/>
            <w:shd w:val="clear" w:color="auto" w:fill="auto"/>
            <w:vAlign w:val="center"/>
          </w:tcPr>
          <w:p w14:paraId="43F4EF4C" w14:textId="77777777" w:rsidR="00500275" w:rsidRPr="006F4D4F" w:rsidRDefault="00500275" w:rsidP="00AF5EC7">
            <w:pPr>
              <w:jc w:val="center"/>
              <w:rPr>
                <w:b/>
                <w:sz w:val="18"/>
                <w:szCs w:val="18"/>
                <w:lang w:val="fr-FR"/>
              </w:rPr>
            </w:pPr>
          </w:p>
        </w:tc>
        <w:tc>
          <w:tcPr>
            <w:tcW w:w="110" w:type="pct"/>
            <w:shd w:val="clear" w:color="auto" w:fill="auto"/>
            <w:vAlign w:val="center"/>
          </w:tcPr>
          <w:p w14:paraId="268D177E" w14:textId="77777777" w:rsidR="00500275" w:rsidRPr="006F4D4F" w:rsidRDefault="00500275" w:rsidP="00AF5EC7">
            <w:pPr>
              <w:jc w:val="center"/>
              <w:rPr>
                <w:b/>
                <w:sz w:val="18"/>
                <w:szCs w:val="18"/>
                <w:lang w:val="fr-FR"/>
              </w:rPr>
            </w:pPr>
          </w:p>
        </w:tc>
        <w:tc>
          <w:tcPr>
            <w:tcW w:w="110" w:type="pct"/>
            <w:shd w:val="clear" w:color="auto" w:fill="auto"/>
            <w:vAlign w:val="center"/>
          </w:tcPr>
          <w:p w14:paraId="0DCB114C" w14:textId="77777777" w:rsidR="00500275" w:rsidRPr="006F4D4F" w:rsidRDefault="00500275" w:rsidP="00AF5EC7">
            <w:pPr>
              <w:jc w:val="center"/>
              <w:rPr>
                <w:b/>
                <w:sz w:val="18"/>
                <w:szCs w:val="18"/>
                <w:lang w:val="fr-FR"/>
              </w:rPr>
            </w:pPr>
          </w:p>
        </w:tc>
        <w:tc>
          <w:tcPr>
            <w:tcW w:w="101" w:type="pct"/>
            <w:shd w:val="clear" w:color="auto" w:fill="auto"/>
            <w:vAlign w:val="center"/>
          </w:tcPr>
          <w:p w14:paraId="42633FE4" w14:textId="77777777" w:rsidR="00500275" w:rsidRPr="006F4D4F" w:rsidRDefault="00500275" w:rsidP="00AF5EC7">
            <w:pPr>
              <w:jc w:val="center"/>
              <w:rPr>
                <w:b/>
                <w:sz w:val="18"/>
                <w:szCs w:val="18"/>
                <w:lang w:val="fr-FR"/>
              </w:rPr>
            </w:pPr>
          </w:p>
        </w:tc>
        <w:tc>
          <w:tcPr>
            <w:tcW w:w="156" w:type="pct"/>
            <w:shd w:val="clear" w:color="auto" w:fill="auto"/>
            <w:vAlign w:val="center"/>
          </w:tcPr>
          <w:p w14:paraId="7496D8E7" w14:textId="77777777" w:rsidR="00500275" w:rsidRPr="006F4D4F" w:rsidRDefault="00500275" w:rsidP="00AF5EC7">
            <w:pPr>
              <w:jc w:val="center"/>
              <w:rPr>
                <w:b/>
                <w:sz w:val="18"/>
                <w:szCs w:val="18"/>
                <w:lang w:val="fr-FR"/>
              </w:rPr>
            </w:pPr>
          </w:p>
        </w:tc>
        <w:tc>
          <w:tcPr>
            <w:tcW w:w="156" w:type="pct"/>
            <w:shd w:val="clear" w:color="auto" w:fill="auto"/>
            <w:vAlign w:val="center"/>
          </w:tcPr>
          <w:p w14:paraId="5A0C1645" w14:textId="77777777" w:rsidR="00500275" w:rsidRPr="006F4D4F" w:rsidRDefault="00500275" w:rsidP="00AF5EC7">
            <w:pPr>
              <w:jc w:val="center"/>
              <w:rPr>
                <w:b/>
                <w:sz w:val="18"/>
                <w:szCs w:val="18"/>
                <w:lang w:val="fr-FR"/>
              </w:rPr>
            </w:pPr>
          </w:p>
        </w:tc>
        <w:tc>
          <w:tcPr>
            <w:tcW w:w="155" w:type="pct"/>
            <w:shd w:val="clear" w:color="auto" w:fill="auto"/>
            <w:vAlign w:val="center"/>
          </w:tcPr>
          <w:p w14:paraId="1CBF34C1"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6E5781DD"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2E1DEC81" w14:textId="77777777" w:rsidR="00500275" w:rsidRPr="006F4D4F" w:rsidRDefault="00500275" w:rsidP="00AF5EC7">
            <w:pPr>
              <w:jc w:val="center"/>
              <w:rPr>
                <w:b/>
                <w:sz w:val="18"/>
                <w:szCs w:val="18"/>
                <w:lang w:val="fr-FR"/>
              </w:rPr>
            </w:pPr>
          </w:p>
        </w:tc>
        <w:tc>
          <w:tcPr>
            <w:tcW w:w="99" w:type="pct"/>
            <w:shd w:val="clear" w:color="auto" w:fill="F2F2F2" w:themeFill="background1" w:themeFillShade="F2"/>
            <w:vAlign w:val="center"/>
          </w:tcPr>
          <w:p w14:paraId="4D06D606" w14:textId="77777777" w:rsidR="00500275" w:rsidRPr="006F4D4F" w:rsidRDefault="00500275" w:rsidP="00AF5EC7">
            <w:pPr>
              <w:jc w:val="center"/>
              <w:rPr>
                <w:b/>
                <w:sz w:val="18"/>
                <w:szCs w:val="18"/>
                <w:lang w:val="fr-FR"/>
              </w:rPr>
            </w:pPr>
          </w:p>
        </w:tc>
        <w:tc>
          <w:tcPr>
            <w:tcW w:w="90" w:type="pct"/>
            <w:shd w:val="clear" w:color="auto" w:fill="F2F2F2" w:themeFill="background1" w:themeFillShade="F2"/>
            <w:vAlign w:val="center"/>
          </w:tcPr>
          <w:p w14:paraId="1A4D70C2" w14:textId="77777777" w:rsidR="00500275" w:rsidRPr="006F4D4F" w:rsidRDefault="00500275" w:rsidP="00AF5EC7">
            <w:pPr>
              <w:jc w:val="center"/>
              <w:rPr>
                <w:b/>
                <w:sz w:val="18"/>
                <w:szCs w:val="18"/>
                <w:lang w:val="fr-FR"/>
              </w:rPr>
            </w:pPr>
          </w:p>
        </w:tc>
        <w:tc>
          <w:tcPr>
            <w:tcW w:w="110" w:type="pct"/>
            <w:gridSpan w:val="2"/>
            <w:shd w:val="clear" w:color="auto" w:fill="F2F2F2" w:themeFill="background1" w:themeFillShade="F2"/>
            <w:vAlign w:val="center"/>
          </w:tcPr>
          <w:p w14:paraId="27EB8E61"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12C1F928"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368025CF"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6D374B77"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7D570931" w14:textId="77777777" w:rsidR="00500275" w:rsidRPr="006F4D4F" w:rsidRDefault="00500275" w:rsidP="00AF5EC7">
            <w:pPr>
              <w:jc w:val="center"/>
              <w:rPr>
                <w:b/>
                <w:sz w:val="18"/>
                <w:szCs w:val="18"/>
                <w:lang w:val="fr-FR"/>
              </w:rPr>
            </w:pPr>
          </w:p>
        </w:tc>
        <w:tc>
          <w:tcPr>
            <w:tcW w:w="149" w:type="pct"/>
            <w:shd w:val="clear" w:color="auto" w:fill="F2F2F2" w:themeFill="background1" w:themeFillShade="F2"/>
            <w:vAlign w:val="center"/>
          </w:tcPr>
          <w:p w14:paraId="0F088B79" w14:textId="77777777" w:rsidR="00500275" w:rsidRPr="006F4D4F" w:rsidRDefault="00500275" w:rsidP="00AF5EC7">
            <w:pPr>
              <w:jc w:val="center"/>
              <w:rPr>
                <w:b/>
                <w:sz w:val="18"/>
                <w:szCs w:val="18"/>
                <w:lang w:val="fr-FR"/>
              </w:rPr>
            </w:pPr>
          </w:p>
        </w:tc>
        <w:tc>
          <w:tcPr>
            <w:tcW w:w="156" w:type="pct"/>
            <w:shd w:val="clear" w:color="auto" w:fill="F2F2F2" w:themeFill="background1" w:themeFillShade="F2"/>
            <w:vAlign w:val="center"/>
          </w:tcPr>
          <w:p w14:paraId="55DB5F5F" w14:textId="77777777" w:rsidR="00500275" w:rsidRPr="006F4D4F" w:rsidRDefault="00500275" w:rsidP="00AF5EC7">
            <w:pPr>
              <w:jc w:val="center"/>
              <w:rPr>
                <w:b/>
                <w:sz w:val="18"/>
                <w:szCs w:val="18"/>
                <w:lang w:val="fr-FR"/>
              </w:rPr>
            </w:pPr>
          </w:p>
        </w:tc>
        <w:tc>
          <w:tcPr>
            <w:tcW w:w="158" w:type="pct"/>
            <w:shd w:val="clear" w:color="auto" w:fill="F2F2F2" w:themeFill="background1" w:themeFillShade="F2"/>
            <w:vAlign w:val="center"/>
          </w:tcPr>
          <w:p w14:paraId="5BE6A51D" w14:textId="77777777" w:rsidR="00500275" w:rsidRPr="006F4D4F" w:rsidRDefault="00500275" w:rsidP="00AF5EC7">
            <w:pPr>
              <w:jc w:val="center"/>
              <w:rPr>
                <w:b/>
                <w:sz w:val="18"/>
                <w:szCs w:val="18"/>
                <w:lang w:val="fr-FR"/>
              </w:rPr>
            </w:pPr>
          </w:p>
        </w:tc>
        <w:tc>
          <w:tcPr>
            <w:tcW w:w="104" w:type="pct"/>
            <w:shd w:val="clear" w:color="auto" w:fill="auto"/>
            <w:vAlign w:val="center"/>
          </w:tcPr>
          <w:p w14:paraId="3A592F10" w14:textId="77777777" w:rsidR="00500275" w:rsidRPr="006F4D4F" w:rsidRDefault="00500275" w:rsidP="00AF5EC7">
            <w:pPr>
              <w:jc w:val="center"/>
              <w:rPr>
                <w:b/>
                <w:sz w:val="18"/>
                <w:szCs w:val="18"/>
                <w:lang w:val="fr-FR"/>
              </w:rPr>
            </w:pPr>
          </w:p>
        </w:tc>
        <w:tc>
          <w:tcPr>
            <w:tcW w:w="87" w:type="pct"/>
            <w:shd w:val="clear" w:color="auto" w:fill="auto"/>
            <w:vAlign w:val="center"/>
          </w:tcPr>
          <w:p w14:paraId="0A6F5760" w14:textId="77777777" w:rsidR="00500275" w:rsidRPr="006F4D4F" w:rsidRDefault="00500275" w:rsidP="00AF5EC7">
            <w:pPr>
              <w:jc w:val="center"/>
              <w:rPr>
                <w:b/>
                <w:sz w:val="18"/>
                <w:szCs w:val="18"/>
                <w:lang w:val="fr-FR"/>
              </w:rPr>
            </w:pPr>
          </w:p>
        </w:tc>
        <w:tc>
          <w:tcPr>
            <w:tcW w:w="126" w:type="pct"/>
            <w:gridSpan w:val="2"/>
            <w:shd w:val="clear" w:color="auto" w:fill="auto"/>
            <w:vAlign w:val="center"/>
          </w:tcPr>
          <w:p w14:paraId="6C77BA31" w14:textId="77777777" w:rsidR="00500275" w:rsidRPr="006F4D4F" w:rsidRDefault="00500275" w:rsidP="00AF5EC7">
            <w:pPr>
              <w:jc w:val="center"/>
              <w:rPr>
                <w:b/>
                <w:sz w:val="18"/>
                <w:szCs w:val="18"/>
                <w:lang w:val="fr-FR"/>
              </w:rPr>
            </w:pPr>
          </w:p>
        </w:tc>
        <w:tc>
          <w:tcPr>
            <w:tcW w:w="104" w:type="pct"/>
            <w:gridSpan w:val="2"/>
            <w:shd w:val="clear" w:color="auto" w:fill="auto"/>
            <w:vAlign w:val="center"/>
          </w:tcPr>
          <w:p w14:paraId="482ECC1B" w14:textId="77777777" w:rsidR="00500275" w:rsidRPr="006F4D4F" w:rsidRDefault="00500275" w:rsidP="00AF5EC7">
            <w:pPr>
              <w:jc w:val="center"/>
              <w:rPr>
                <w:b/>
                <w:sz w:val="18"/>
                <w:szCs w:val="18"/>
                <w:lang w:val="fr-FR"/>
              </w:rPr>
            </w:pPr>
          </w:p>
        </w:tc>
        <w:tc>
          <w:tcPr>
            <w:tcW w:w="103" w:type="pct"/>
            <w:gridSpan w:val="2"/>
            <w:shd w:val="clear" w:color="auto" w:fill="auto"/>
            <w:vAlign w:val="center"/>
          </w:tcPr>
          <w:p w14:paraId="46590DA3" w14:textId="77777777" w:rsidR="00500275" w:rsidRPr="006F4D4F" w:rsidRDefault="00500275" w:rsidP="00AF5EC7">
            <w:pPr>
              <w:jc w:val="center"/>
              <w:rPr>
                <w:b/>
                <w:sz w:val="18"/>
                <w:szCs w:val="18"/>
                <w:lang w:val="fr-FR"/>
              </w:rPr>
            </w:pPr>
          </w:p>
        </w:tc>
        <w:tc>
          <w:tcPr>
            <w:tcW w:w="106" w:type="pct"/>
            <w:shd w:val="clear" w:color="auto" w:fill="auto"/>
            <w:vAlign w:val="center"/>
          </w:tcPr>
          <w:p w14:paraId="616CFA48" w14:textId="77777777" w:rsidR="00500275" w:rsidRPr="006F4D4F" w:rsidRDefault="00500275" w:rsidP="00AF5EC7">
            <w:pPr>
              <w:jc w:val="center"/>
              <w:rPr>
                <w:b/>
                <w:sz w:val="18"/>
                <w:szCs w:val="18"/>
                <w:lang w:val="fr-FR"/>
              </w:rPr>
            </w:pPr>
          </w:p>
        </w:tc>
        <w:tc>
          <w:tcPr>
            <w:tcW w:w="101" w:type="pct"/>
            <w:shd w:val="clear" w:color="auto" w:fill="auto"/>
            <w:vAlign w:val="center"/>
          </w:tcPr>
          <w:p w14:paraId="2CCA94B8" w14:textId="77777777" w:rsidR="00500275" w:rsidRPr="006F4D4F" w:rsidRDefault="00500275" w:rsidP="00AF5EC7">
            <w:pPr>
              <w:jc w:val="center"/>
              <w:rPr>
                <w:b/>
                <w:sz w:val="18"/>
                <w:szCs w:val="18"/>
                <w:lang w:val="fr-FR"/>
              </w:rPr>
            </w:pPr>
          </w:p>
        </w:tc>
        <w:tc>
          <w:tcPr>
            <w:tcW w:w="157" w:type="pct"/>
            <w:gridSpan w:val="2"/>
            <w:shd w:val="clear" w:color="auto" w:fill="auto"/>
            <w:vAlign w:val="center"/>
          </w:tcPr>
          <w:p w14:paraId="72B81448" w14:textId="77777777" w:rsidR="00500275" w:rsidRPr="006F4D4F" w:rsidRDefault="00500275" w:rsidP="00AF5EC7">
            <w:pPr>
              <w:jc w:val="center"/>
              <w:rPr>
                <w:b/>
                <w:sz w:val="18"/>
                <w:szCs w:val="18"/>
                <w:lang w:val="fr-FR"/>
              </w:rPr>
            </w:pPr>
          </w:p>
        </w:tc>
      </w:tr>
      <w:tr w:rsidR="00FE1DB2" w:rsidRPr="004A302F" w14:paraId="675299B6" w14:textId="77777777" w:rsidTr="00AF5EC7">
        <w:trPr>
          <w:trHeight w:val="380"/>
        </w:trPr>
        <w:tc>
          <w:tcPr>
            <w:tcW w:w="509" w:type="pct"/>
            <w:gridSpan w:val="2"/>
            <w:shd w:val="clear" w:color="auto" w:fill="auto"/>
            <w:vAlign w:val="center"/>
          </w:tcPr>
          <w:p w14:paraId="5FB634CA" w14:textId="77777777" w:rsidR="00500275" w:rsidRPr="006F4D4F" w:rsidRDefault="00500275" w:rsidP="00AF5EC7">
            <w:pPr>
              <w:rPr>
                <w:b/>
                <w:sz w:val="14"/>
                <w:szCs w:val="14"/>
                <w:lang w:val="fr-FR"/>
              </w:rPr>
            </w:pPr>
            <w:r w:rsidRPr="006F4D4F">
              <w:rPr>
                <w:b/>
                <w:sz w:val="14"/>
                <w:szCs w:val="14"/>
                <w:lang w:val="fr-FR"/>
              </w:rPr>
              <w:t> </w:t>
            </w:r>
          </w:p>
        </w:tc>
        <w:tc>
          <w:tcPr>
            <w:tcW w:w="110" w:type="pct"/>
            <w:shd w:val="clear" w:color="auto" w:fill="FDE9D9" w:themeFill="accent6" w:themeFillTint="33"/>
            <w:vAlign w:val="center"/>
          </w:tcPr>
          <w:p w14:paraId="0F09D7B5"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07A4E578"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5C03CE3C" w14:textId="77777777" w:rsidR="00500275" w:rsidRPr="006F4D4F" w:rsidRDefault="00500275" w:rsidP="00AF5EC7">
            <w:pPr>
              <w:jc w:val="center"/>
              <w:rPr>
                <w:b/>
                <w:sz w:val="18"/>
                <w:szCs w:val="18"/>
                <w:lang w:val="fr-FR"/>
              </w:rPr>
            </w:pPr>
          </w:p>
        </w:tc>
        <w:tc>
          <w:tcPr>
            <w:tcW w:w="140" w:type="pct"/>
            <w:shd w:val="clear" w:color="auto" w:fill="FDE9D9" w:themeFill="accent6" w:themeFillTint="33"/>
            <w:vAlign w:val="center"/>
          </w:tcPr>
          <w:p w14:paraId="190BC2FE" w14:textId="77777777" w:rsidR="00500275" w:rsidRPr="006F4D4F" w:rsidRDefault="00500275" w:rsidP="00AF5EC7">
            <w:pPr>
              <w:jc w:val="center"/>
              <w:rPr>
                <w:b/>
                <w:sz w:val="18"/>
                <w:szCs w:val="18"/>
                <w:lang w:val="fr-FR"/>
              </w:rPr>
            </w:pPr>
          </w:p>
        </w:tc>
        <w:tc>
          <w:tcPr>
            <w:tcW w:w="156" w:type="pct"/>
            <w:shd w:val="clear" w:color="auto" w:fill="FDE9D9" w:themeFill="accent6" w:themeFillTint="33"/>
            <w:vAlign w:val="center"/>
          </w:tcPr>
          <w:p w14:paraId="73445307" w14:textId="77777777" w:rsidR="00500275" w:rsidRPr="006F4D4F" w:rsidRDefault="00500275" w:rsidP="00AF5EC7">
            <w:pPr>
              <w:jc w:val="center"/>
              <w:rPr>
                <w:b/>
                <w:sz w:val="18"/>
                <w:szCs w:val="18"/>
                <w:lang w:val="fr-FR"/>
              </w:rPr>
            </w:pPr>
          </w:p>
        </w:tc>
        <w:tc>
          <w:tcPr>
            <w:tcW w:w="158" w:type="pct"/>
            <w:shd w:val="clear" w:color="auto" w:fill="FDE9D9" w:themeFill="accent6" w:themeFillTint="33"/>
            <w:vAlign w:val="center"/>
          </w:tcPr>
          <w:p w14:paraId="1F321BB2" w14:textId="77777777" w:rsidR="00500275" w:rsidRPr="006F4D4F" w:rsidRDefault="00500275" w:rsidP="00AF5EC7">
            <w:pPr>
              <w:jc w:val="center"/>
              <w:rPr>
                <w:b/>
                <w:sz w:val="18"/>
                <w:szCs w:val="18"/>
                <w:lang w:val="fr-FR"/>
              </w:rPr>
            </w:pPr>
          </w:p>
        </w:tc>
        <w:tc>
          <w:tcPr>
            <w:tcW w:w="103" w:type="pct"/>
            <w:shd w:val="clear" w:color="auto" w:fill="FDE9D9" w:themeFill="accent6" w:themeFillTint="33"/>
            <w:vAlign w:val="center"/>
          </w:tcPr>
          <w:p w14:paraId="605D41B8" w14:textId="77777777" w:rsidR="00500275" w:rsidRPr="006F4D4F" w:rsidRDefault="00500275" w:rsidP="00AF5EC7">
            <w:pPr>
              <w:jc w:val="center"/>
              <w:rPr>
                <w:b/>
                <w:sz w:val="18"/>
                <w:szCs w:val="18"/>
                <w:lang w:val="fr-FR"/>
              </w:rPr>
            </w:pPr>
          </w:p>
        </w:tc>
        <w:tc>
          <w:tcPr>
            <w:tcW w:w="95" w:type="pct"/>
            <w:shd w:val="clear" w:color="auto" w:fill="FDE9D9" w:themeFill="accent6" w:themeFillTint="33"/>
            <w:vAlign w:val="center"/>
          </w:tcPr>
          <w:p w14:paraId="74AF29AD" w14:textId="77777777" w:rsidR="00500275" w:rsidRPr="006F4D4F" w:rsidRDefault="00500275" w:rsidP="00AF5EC7">
            <w:pPr>
              <w:jc w:val="center"/>
              <w:rPr>
                <w:b/>
                <w:sz w:val="18"/>
                <w:szCs w:val="18"/>
                <w:lang w:val="fr-FR"/>
              </w:rPr>
            </w:pPr>
          </w:p>
        </w:tc>
        <w:tc>
          <w:tcPr>
            <w:tcW w:w="90" w:type="pct"/>
            <w:shd w:val="clear" w:color="auto" w:fill="FDE9D9" w:themeFill="accent6" w:themeFillTint="33"/>
            <w:vAlign w:val="center"/>
          </w:tcPr>
          <w:p w14:paraId="7EDEB905" w14:textId="77777777" w:rsidR="00500275" w:rsidRPr="006F4D4F" w:rsidRDefault="00500275" w:rsidP="00AF5EC7">
            <w:pPr>
              <w:jc w:val="center"/>
              <w:rPr>
                <w:b/>
                <w:sz w:val="18"/>
                <w:szCs w:val="18"/>
                <w:lang w:val="fr-FR"/>
              </w:rPr>
            </w:pPr>
          </w:p>
        </w:tc>
        <w:tc>
          <w:tcPr>
            <w:tcW w:w="110" w:type="pct"/>
            <w:shd w:val="clear" w:color="auto" w:fill="auto"/>
            <w:vAlign w:val="center"/>
          </w:tcPr>
          <w:p w14:paraId="416CF9AA" w14:textId="77777777" w:rsidR="00500275" w:rsidRPr="006F4D4F" w:rsidRDefault="00500275" w:rsidP="00AF5EC7">
            <w:pPr>
              <w:jc w:val="center"/>
              <w:rPr>
                <w:b/>
                <w:sz w:val="18"/>
                <w:szCs w:val="18"/>
                <w:lang w:val="fr-FR"/>
              </w:rPr>
            </w:pPr>
          </w:p>
        </w:tc>
        <w:tc>
          <w:tcPr>
            <w:tcW w:w="110" w:type="pct"/>
            <w:shd w:val="clear" w:color="auto" w:fill="auto"/>
            <w:vAlign w:val="center"/>
          </w:tcPr>
          <w:p w14:paraId="0CB2CA8C" w14:textId="77777777" w:rsidR="00500275" w:rsidRPr="006F4D4F" w:rsidRDefault="00500275" w:rsidP="00AF5EC7">
            <w:pPr>
              <w:jc w:val="center"/>
              <w:rPr>
                <w:b/>
                <w:sz w:val="18"/>
                <w:szCs w:val="18"/>
                <w:lang w:val="fr-FR"/>
              </w:rPr>
            </w:pPr>
          </w:p>
        </w:tc>
        <w:tc>
          <w:tcPr>
            <w:tcW w:w="110" w:type="pct"/>
            <w:shd w:val="clear" w:color="auto" w:fill="auto"/>
            <w:vAlign w:val="center"/>
          </w:tcPr>
          <w:p w14:paraId="421123E4" w14:textId="77777777" w:rsidR="00500275" w:rsidRPr="006F4D4F" w:rsidRDefault="00500275" w:rsidP="00AF5EC7">
            <w:pPr>
              <w:jc w:val="center"/>
              <w:rPr>
                <w:b/>
                <w:sz w:val="18"/>
                <w:szCs w:val="18"/>
                <w:lang w:val="fr-FR"/>
              </w:rPr>
            </w:pPr>
          </w:p>
        </w:tc>
        <w:tc>
          <w:tcPr>
            <w:tcW w:w="110" w:type="pct"/>
            <w:shd w:val="clear" w:color="auto" w:fill="auto"/>
            <w:vAlign w:val="center"/>
          </w:tcPr>
          <w:p w14:paraId="269AC329" w14:textId="77777777" w:rsidR="00500275" w:rsidRPr="006F4D4F" w:rsidRDefault="00500275" w:rsidP="00AF5EC7">
            <w:pPr>
              <w:jc w:val="center"/>
              <w:rPr>
                <w:b/>
                <w:sz w:val="18"/>
                <w:szCs w:val="18"/>
                <w:lang w:val="fr-FR"/>
              </w:rPr>
            </w:pPr>
          </w:p>
        </w:tc>
        <w:tc>
          <w:tcPr>
            <w:tcW w:w="110" w:type="pct"/>
            <w:shd w:val="clear" w:color="auto" w:fill="auto"/>
            <w:vAlign w:val="center"/>
          </w:tcPr>
          <w:p w14:paraId="1A3DD3DD" w14:textId="77777777" w:rsidR="00500275" w:rsidRPr="006F4D4F" w:rsidRDefault="00500275" w:rsidP="00AF5EC7">
            <w:pPr>
              <w:jc w:val="center"/>
              <w:rPr>
                <w:b/>
                <w:sz w:val="18"/>
                <w:szCs w:val="18"/>
                <w:lang w:val="fr-FR"/>
              </w:rPr>
            </w:pPr>
          </w:p>
        </w:tc>
        <w:tc>
          <w:tcPr>
            <w:tcW w:w="101" w:type="pct"/>
            <w:shd w:val="clear" w:color="auto" w:fill="auto"/>
            <w:vAlign w:val="center"/>
          </w:tcPr>
          <w:p w14:paraId="50F58233" w14:textId="77777777" w:rsidR="00500275" w:rsidRPr="006F4D4F" w:rsidRDefault="00500275" w:rsidP="00AF5EC7">
            <w:pPr>
              <w:jc w:val="center"/>
              <w:rPr>
                <w:b/>
                <w:sz w:val="18"/>
                <w:szCs w:val="18"/>
                <w:lang w:val="fr-FR"/>
              </w:rPr>
            </w:pPr>
          </w:p>
        </w:tc>
        <w:tc>
          <w:tcPr>
            <w:tcW w:w="156" w:type="pct"/>
            <w:shd w:val="clear" w:color="auto" w:fill="auto"/>
            <w:vAlign w:val="center"/>
          </w:tcPr>
          <w:p w14:paraId="7590D237" w14:textId="77777777" w:rsidR="00500275" w:rsidRPr="006F4D4F" w:rsidRDefault="00500275" w:rsidP="00AF5EC7">
            <w:pPr>
              <w:jc w:val="center"/>
              <w:rPr>
                <w:b/>
                <w:sz w:val="18"/>
                <w:szCs w:val="18"/>
                <w:lang w:val="fr-FR"/>
              </w:rPr>
            </w:pPr>
          </w:p>
        </w:tc>
        <w:tc>
          <w:tcPr>
            <w:tcW w:w="156" w:type="pct"/>
            <w:shd w:val="clear" w:color="auto" w:fill="auto"/>
            <w:vAlign w:val="center"/>
          </w:tcPr>
          <w:p w14:paraId="4FDD7334" w14:textId="77777777" w:rsidR="00500275" w:rsidRPr="006F4D4F" w:rsidRDefault="00500275" w:rsidP="00AF5EC7">
            <w:pPr>
              <w:jc w:val="center"/>
              <w:rPr>
                <w:b/>
                <w:sz w:val="18"/>
                <w:szCs w:val="18"/>
                <w:lang w:val="fr-FR"/>
              </w:rPr>
            </w:pPr>
          </w:p>
        </w:tc>
        <w:tc>
          <w:tcPr>
            <w:tcW w:w="155" w:type="pct"/>
            <w:shd w:val="clear" w:color="auto" w:fill="auto"/>
            <w:vAlign w:val="center"/>
          </w:tcPr>
          <w:p w14:paraId="7D996907"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015F3B44"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3D714DC9" w14:textId="77777777" w:rsidR="00500275" w:rsidRPr="006F4D4F" w:rsidRDefault="00500275" w:rsidP="00AF5EC7">
            <w:pPr>
              <w:jc w:val="center"/>
              <w:rPr>
                <w:b/>
                <w:sz w:val="18"/>
                <w:szCs w:val="18"/>
                <w:lang w:val="fr-FR"/>
              </w:rPr>
            </w:pPr>
          </w:p>
        </w:tc>
        <w:tc>
          <w:tcPr>
            <w:tcW w:w="99" w:type="pct"/>
            <w:shd w:val="clear" w:color="auto" w:fill="F2F2F2" w:themeFill="background1" w:themeFillShade="F2"/>
            <w:vAlign w:val="center"/>
          </w:tcPr>
          <w:p w14:paraId="3EC1E6B2" w14:textId="77777777" w:rsidR="00500275" w:rsidRPr="006F4D4F" w:rsidRDefault="00500275" w:rsidP="00AF5EC7">
            <w:pPr>
              <w:jc w:val="center"/>
              <w:rPr>
                <w:b/>
                <w:sz w:val="18"/>
                <w:szCs w:val="18"/>
                <w:lang w:val="fr-FR"/>
              </w:rPr>
            </w:pPr>
          </w:p>
        </w:tc>
        <w:tc>
          <w:tcPr>
            <w:tcW w:w="90" w:type="pct"/>
            <w:shd w:val="clear" w:color="auto" w:fill="F2F2F2" w:themeFill="background1" w:themeFillShade="F2"/>
            <w:vAlign w:val="center"/>
          </w:tcPr>
          <w:p w14:paraId="2FBC1554" w14:textId="77777777" w:rsidR="00500275" w:rsidRPr="006F4D4F" w:rsidRDefault="00500275" w:rsidP="00AF5EC7">
            <w:pPr>
              <w:jc w:val="center"/>
              <w:rPr>
                <w:b/>
                <w:sz w:val="18"/>
                <w:szCs w:val="18"/>
                <w:lang w:val="fr-FR"/>
              </w:rPr>
            </w:pPr>
          </w:p>
        </w:tc>
        <w:tc>
          <w:tcPr>
            <w:tcW w:w="110" w:type="pct"/>
            <w:gridSpan w:val="2"/>
            <w:shd w:val="clear" w:color="auto" w:fill="F2F2F2" w:themeFill="background1" w:themeFillShade="F2"/>
            <w:vAlign w:val="center"/>
          </w:tcPr>
          <w:p w14:paraId="5D8B091C"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39E96FF5"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4B78DC5A"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76AA3412"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7A9C8C66" w14:textId="77777777" w:rsidR="00500275" w:rsidRPr="006F4D4F" w:rsidRDefault="00500275" w:rsidP="00AF5EC7">
            <w:pPr>
              <w:jc w:val="center"/>
              <w:rPr>
                <w:b/>
                <w:sz w:val="18"/>
                <w:szCs w:val="18"/>
                <w:lang w:val="fr-FR"/>
              </w:rPr>
            </w:pPr>
          </w:p>
        </w:tc>
        <w:tc>
          <w:tcPr>
            <w:tcW w:w="149" w:type="pct"/>
            <w:shd w:val="clear" w:color="auto" w:fill="F2F2F2" w:themeFill="background1" w:themeFillShade="F2"/>
            <w:vAlign w:val="center"/>
          </w:tcPr>
          <w:p w14:paraId="62C31A9E" w14:textId="77777777" w:rsidR="00500275" w:rsidRPr="006F4D4F" w:rsidRDefault="00500275" w:rsidP="00AF5EC7">
            <w:pPr>
              <w:jc w:val="center"/>
              <w:rPr>
                <w:b/>
                <w:sz w:val="18"/>
                <w:szCs w:val="18"/>
                <w:lang w:val="fr-FR"/>
              </w:rPr>
            </w:pPr>
          </w:p>
        </w:tc>
        <w:tc>
          <w:tcPr>
            <w:tcW w:w="156" w:type="pct"/>
            <w:shd w:val="clear" w:color="auto" w:fill="F2F2F2" w:themeFill="background1" w:themeFillShade="F2"/>
            <w:vAlign w:val="center"/>
          </w:tcPr>
          <w:p w14:paraId="71E0F916" w14:textId="77777777" w:rsidR="00500275" w:rsidRPr="006F4D4F" w:rsidRDefault="00500275" w:rsidP="00AF5EC7">
            <w:pPr>
              <w:jc w:val="center"/>
              <w:rPr>
                <w:b/>
                <w:sz w:val="18"/>
                <w:szCs w:val="18"/>
                <w:lang w:val="fr-FR"/>
              </w:rPr>
            </w:pPr>
          </w:p>
        </w:tc>
        <w:tc>
          <w:tcPr>
            <w:tcW w:w="158" w:type="pct"/>
            <w:shd w:val="clear" w:color="auto" w:fill="F2F2F2" w:themeFill="background1" w:themeFillShade="F2"/>
            <w:vAlign w:val="center"/>
          </w:tcPr>
          <w:p w14:paraId="5EC0AB17" w14:textId="77777777" w:rsidR="00500275" w:rsidRPr="006F4D4F" w:rsidRDefault="00500275" w:rsidP="00AF5EC7">
            <w:pPr>
              <w:jc w:val="center"/>
              <w:rPr>
                <w:b/>
                <w:sz w:val="18"/>
                <w:szCs w:val="18"/>
                <w:lang w:val="fr-FR"/>
              </w:rPr>
            </w:pPr>
          </w:p>
        </w:tc>
        <w:tc>
          <w:tcPr>
            <w:tcW w:w="104" w:type="pct"/>
            <w:shd w:val="clear" w:color="auto" w:fill="auto"/>
            <w:vAlign w:val="center"/>
          </w:tcPr>
          <w:p w14:paraId="207072FD" w14:textId="77777777" w:rsidR="00500275" w:rsidRPr="006F4D4F" w:rsidRDefault="00500275" w:rsidP="00AF5EC7">
            <w:pPr>
              <w:jc w:val="center"/>
              <w:rPr>
                <w:b/>
                <w:sz w:val="18"/>
                <w:szCs w:val="18"/>
                <w:lang w:val="fr-FR"/>
              </w:rPr>
            </w:pPr>
          </w:p>
        </w:tc>
        <w:tc>
          <w:tcPr>
            <w:tcW w:w="87" w:type="pct"/>
            <w:shd w:val="clear" w:color="auto" w:fill="auto"/>
            <w:vAlign w:val="center"/>
          </w:tcPr>
          <w:p w14:paraId="14F82164" w14:textId="77777777" w:rsidR="00500275" w:rsidRPr="006F4D4F" w:rsidRDefault="00500275" w:rsidP="00AF5EC7">
            <w:pPr>
              <w:jc w:val="center"/>
              <w:rPr>
                <w:b/>
                <w:sz w:val="18"/>
                <w:szCs w:val="18"/>
                <w:lang w:val="fr-FR"/>
              </w:rPr>
            </w:pPr>
          </w:p>
        </w:tc>
        <w:tc>
          <w:tcPr>
            <w:tcW w:w="126" w:type="pct"/>
            <w:gridSpan w:val="2"/>
            <w:shd w:val="clear" w:color="auto" w:fill="auto"/>
            <w:vAlign w:val="center"/>
          </w:tcPr>
          <w:p w14:paraId="0E25A5C4" w14:textId="77777777" w:rsidR="00500275" w:rsidRPr="006F4D4F" w:rsidRDefault="00500275" w:rsidP="00AF5EC7">
            <w:pPr>
              <w:jc w:val="center"/>
              <w:rPr>
                <w:b/>
                <w:sz w:val="18"/>
                <w:szCs w:val="18"/>
                <w:lang w:val="fr-FR"/>
              </w:rPr>
            </w:pPr>
          </w:p>
        </w:tc>
        <w:tc>
          <w:tcPr>
            <w:tcW w:w="104" w:type="pct"/>
            <w:gridSpan w:val="2"/>
            <w:shd w:val="clear" w:color="auto" w:fill="auto"/>
            <w:vAlign w:val="center"/>
          </w:tcPr>
          <w:p w14:paraId="5554F8AA" w14:textId="77777777" w:rsidR="00500275" w:rsidRPr="006F4D4F" w:rsidRDefault="00500275" w:rsidP="00AF5EC7">
            <w:pPr>
              <w:jc w:val="center"/>
              <w:rPr>
                <w:b/>
                <w:sz w:val="18"/>
                <w:szCs w:val="18"/>
                <w:lang w:val="fr-FR"/>
              </w:rPr>
            </w:pPr>
          </w:p>
        </w:tc>
        <w:tc>
          <w:tcPr>
            <w:tcW w:w="103" w:type="pct"/>
            <w:gridSpan w:val="2"/>
            <w:shd w:val="clear" w:color="auto" w:fill="auto"/>
            <w:vAlign w:val="center"/>
          </w:tcPr>
          <w:p w14:paraId="37D46EE5" w14:textId="77777777" w:rsidR="00500275" w:rsidRPr="006F4D4F" w:rsidRDefault="00500275" w:rsidP="00AF5EC7">
            <w:pPr>
              <w:jc w:val="center"/>
              <w:rPr>
                <w:b/>
                <w:sz w:val="18"/>
                <w:szCs w:val="18"/>
                <w:lang w:val="fr-FR"/>
              </w:rPr>
            </w:pPr>
          </w:p>
        </w:tc>
        <w:tc>
          <w:tcPr>
            <w:tcW w:w="106" w:type="pct"/>
            <w:shd w:val="clear" w:color="auto" w:fill="auto"/>
            <w:vAlign w:val="center"/>
          </w:tcPr>
          <w:p w14:paraId="6BAF1890" w14:textId="77777777" w:rsidR="00500275" w:rsidRPr="006F4D4F" w:rsidRDefault="00500275" w:rsidP="00AF5EC7">
            <w:pPr>
              <w:jc w:val="center"/>
              <w:rPr>
                <w:b/>
                <w:sz w:val="18"/>
                <w:szCs w:val="18"/>
                <w:lang w:val="fr-FR"/>
              </w:rPr>
            </w:pPr>
          </w:p>
        </w:tc>
        <w:tc>
          <w:tcPr>
            <w:tcW w:w="101" w:type="pct"/>
            <w:shd w:val="clear" w:color="auto" w:fill="auto"/>
            <w:vAlign w:val="center"/>
          </w:tcPr>
          <w:p w14:paraId="374E3031" w14:textId="77777777" w:rsidR="00500275" w:rsidRPr="006F4D4F" w:rsidRDefault="00500275" w:rsidP="00AF5EC7">
            <w:pPr>
              <w:jc w:val="center"/>
              <w:rPr>
                <w:b/>
                <w:sz w:val="18"/>
                <w:szCs w:val="18"/>
                <w:lang w:val="fr-FR"/>
              </w:rPr>
            </w:pPr>
          </w:p>
        </w:tc>
        <w:tc>
          <w:tcPr>
            <w:tcW w:w="157" w:type="pct"/>
            <w:gridSpan w:val="2"/>
            <w:shd w:val="clear" w:color="auto" w:fill="auto"/>
            <w:vAlign w:val="center"/>
          </w:tcPr>
          <w:p w14:paraId="4D9BA696" w14:textId="77777777" w:rsidR="00500275" w:rsidRPr="006F4D4F" w:rsidRDefault="00500275" w:rsidP="00AF5EC7">
            <w:pPr>
              <w:jc w:val="center"/>
              <w:rPr>
                <w:b/>
                <w:sz w:val="18"/>
                <w:szCs w:val="18"/>
                <w:lang w:val="fr-FR"/>
              </w:rPr>
            </w:pPr>
          </w:p>
        </w:tc>
      </w:tr>
      <w:tr w:rsidR="00B31DED" w:rsidRPr="004A302F" w14:paraId="1C33596D" w14:textId="77777777" w:rsidTr="00AF5EC7">
        <w:trPr>
          <w:trHeight w:val="380"/>
        </w:trPr>
        <w:tc>
          <w:tcPr>
            <w:tcW w:w="5000" w:type="pct"/>
            <w:gridSpan w:val="45"/>
            <w:shd w:val="clear" w:color="auto" w:fill="B8CCE4"/>
            <w:vAlign w:val="center"/>
          </w:tcPr>
          <w:p w14:paraId="39BCD490" w14:textId="774F1E0E" w:rsidR="00B31DED" w:rsidRPr="006F4D4F" w:rsidRDefault="00AF5EC7" w:rsidP="00AF5EC7">
            <w:pPr>
              <w:rPr>
                <w:b/>
                <w:sz w:val="18"/>
                <w:szCs w:val="18"/>
                <w:lang w:val="fr-FR"/>
              </w:rPr>
            </w:pPr>
            <w:r>
              <w:rPr>
                <w:b/>
                <w:lang w:val="fr-FR"/>
              </w:rPr>
              <w:t>Domaine d’intervention 3 </w:t>
            </w:r>
            <w:r w:rsidR="00B31DED" w:rsidRPr="006F4D4F">
              <w:rPr>
                <w:b/>
                <w:lang w:val="fr-FR"/>
              </w:rPr>
              <w:t xml:space="preserve">: </w:t>
            </w:r>
            <w:r>
              <w:rPr>
                <w:bCs/>
                <w:lang w:val="fr-FR"/>
              </w:rPr>
              <w:t>Leçons apprises et informations ciblées pour stimuler le dialogue sur les politiques</w:t>
            </w:r>
          </w:p>
        </w:tc>
      </w:tr>
      <w:tr w:rsidR="00FE1DB2" w:rsidRPr="004A302F" w14:paraId="6588618E" w14:textId="77777777" w:rsidTr="00AF5EC7">
        <w:trPr>
          <w:trHeight w:val="380"/>
        </w:trPr>
        <w:tc>
          <w:tcPr>
            <w:tcW w:w="509" w:type="pct"/>
            <w:gridSpan w:val="2"/>
            <w:shd w:val="clear" w:color="auto" w:fill="auto"/>
            <w:vAlign w:val="center"/>
          </w:tcPr>
          <w:p w14:paraId="78FA7E84" w14:textId="77777777" w:rsidR="00500275" w:rsidRPr="006F4D4F" w:rsidRDefault="00500275" w:rsidP="00AF5EC7">
            <w:pPr>
              <w:rPr>
                <w:b/>
                <w:sz w:val="14"/>
                <w:szCs w:val="14"/>
                <w:lang w:val="fr-FR"/>
              </w:rPr>
            </w:pPr>
            <w:r w:rsidRPr="006F4D4F">
              <w:rPr>
                <w:b/>
                <w:sz w:val="14"/>
                <w:szCs w:val="14"/>
                <w:lang w:val="fr-FR"/>
              </w:rPr>
              <w:t> </w:t>
            </w:r>
          </w:p>
        </w:tc>
        <w:tc>
          <w:tcPr>
            <w:tcW w:w="110" w:type="pct"/>
            <w:shd w:val="clear" w:color="auto" w:fill="FDE9D9" w:themeFill="accent6" w:themeFillTint="33"/>
            <w:vAlign w:val="center"/>
          </w:tcPr>
          <w:p w14:paraId="76687B48"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214E825A"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5BEB80A6" w14:textId="77777777" w:rsidR="00500275" w:rsidRPr="006F4D4F" w:rsidRDefault="00500275" w:rsidP="00AF5EC7">
            <w:pPr>
              <w:jc w:val="center"/>
              <w:rPr>
                <w:b/>
                <w:sz w:val="18"/>
                <w:szCs w:val="18"/>
                <w:lang w:val="fr-FR"/>
              </w:rPr>
            </w:pPr>
          </w:p>
        </w:tc>
        <w:tc>
          <w:tcPr>
            <w:tcW w:w="140" w:type="pct"/>
            <w:shd w:val="clear" w:color="auto" w:fill="FDE9D9" w:themeFill="accent6" w:themeFillTint="33"/>
            <w:vAlign w:val="center"/>
          </w:tcPr>
          <w:p w14:paraId="74B344DB" w14:textId="77777777" w:rsidR="00500275" w:rsidRPr="006F4D4F" w:rsidRDefault="00500275" w:rsidP="00AF5EC7">
            <w:pPr>
              <w:jc w:val="center"/>
              <w:rPr>
                <w:b/>
                <w:sz w:val="18"/>
                <w:szCs w:val="18"/>
                <w:lang w:val="fr-FR"/>
              </w:rPr>
            </w:pPr>
          </w:p>
        </w:tc>
        <w:tc>
          <w:tcPr>
            <w:tcW w:w="156" w:type="pct"/>
            <w:shd w:val="clear" w:color="auto" w:fill="FDE9D9" w:themeFill="accent6" w:themeFillTint="33"/>
            <w:vAlign w:val="center"/>
          </w:tcPr>
          <w:p w14:paraId="1C657C9F" w14:textId="77777777" w:rsidR="00500275" w:rsidRPr="006F4D4F" w:rsidRDefault="00500275" w:rsidP="00AF5EC7">
            <w:pPr>
              <w:jc w:val="center"/>
              <w:rPr>
                <w:b/>
                <w:sz w:val="18"/>
                <w:szCs w:val="18"/>
                <w:lang w:val="fr-FR"/>
              </w:rPr>
            </w:pPr>
          </w:p>
        </w:tc>
        <w:tc>
          <w:tcPr>
            <w:tcW w:w="158" w:type="pct"/>
            <w:shd w:val="clear" w:color="auto" w:fill="FDE9D9" w:themeFill="accent6" w:themeFillTint="33"/>
            <w:vAlign w:val="center"/>
          </w:tcPr>
          <w:p w14:paraId="7C6AAB5C" w14:textId="77777777" w:rsidR="00500275" w:rsidRPr="006F4D4F" w:rsidRDefault="00500275" w:rsidP="00AF5EC7">
            <w:pPr>
              <w:jc w:val="center"/>
              <w:rPr>
                <w:b/>
                <w:sz w:val="18"/>
                <w:szCs w:val="18"/>
                <w:lang w:val="fr-FR"/>
              </w:rPr>
            </w:pPr>
          </w:p>
        </w:tc>
        <w:tc>
          <w:tcPr>
            <w:tcW w:w="103" w:type="pct"/>
            <w:shd w:val="clear" w:color="auto" w:fill="FDE9D9" w:themeFill="accent6" w:themeFillTint="33"/>
            <w:vAlign w:val="center"/>
          </w:tcPr>
          <w:p w14:paraId="233CF331" w14:textId="77777777" w:rsidR="00500275" w:rsidRPr="006F4D4F" w:rsidRDefault="00500275" w:rsidP="00AF5EC7">
            <w:pPr>
              <w:jc w:val="center"/>
              <w:rPr>
                <w:b/>
                <w:sz w:val="18"/>
                <w:szCs w:val="18"/>
                <w:lang w:val="fr-FR"/>
              </w:rPr>
            </w:pPr>
          </w:p>
        </w:tc>
        <w:tc>
          <w:tcPr>
            <w:tcW w:w="95" w:type="pct"/>
            <w:shd w:val="clear" w:color="auto" w:fill="FDE9D9" w:themeFill="accent6" w:themeFillTint="33"/>
            <w:vAlign w:val="center"/>
          </w:tcPr>
          <w:p w14:paraId="744A618F" w14:textId="77777777" w:rsidR="00500275" w:rsidRPr="006F4D4F" w:rsidRDefault="00500275" w:rsidP="00AF5EC7">
            <w:pPr>
              <w:jc w:val="center"/>
              <w:rPr>
                <w:b/>
                <w:sz w:val="18"/>
                <w:szCs w:val="18"/>
                <w:lang w:val="fr-FR"/>
              </w:rPr>
            </w:pPr>
          </w:p>
        </w:tc>
        <w:tc>
          <w:tcPr>
            <w:tcW w:w="90" w:type="pct"/>
            <w:shd w:val="clear" w:color="auto" w:fill="FDE9D9" w:themeFill="accent6" w:themeFillTint="33"/>
            <w:vAlign w:val="center"/>
          </w:tcPr>
          <w:p w14:paraId="648DA515" w14:textId="77777777" w:rsidR="00500275" w:rsidRPr="006F4D4F" w:rsidRDefault="00500275" w:rsidP="00AF5EC7">
            <w:pPr>
              <w:jc w:val="center"/>
              <w:rPr>
                <w:b/>
                <w:sz w:val="18"/>
                <w:szCs w:val="18"/>
                <w:lang w:val="fr-FR"/>
              </w:rPr>
            </w:pPr>
          </w:p>
        </w:tc>
        <w:tc>
          <w:tcPr>
            <w:tcW w:w="110" w:type="pct"/>
            <w:shd w:val="clear" w:color="auto" w:fill="auto"/>
            <w:vAlign w:val="center"/>
          </w:tcPr>
          <w:p w14:paraId="2902F377" w14:textId="77777777" w:rsidR="00500275" w:rsidRPr="006F4D4F" w:rsidRDefault="00500275" w:rsidP="00AF5EC7">
            <w:pPr>
              <w:jc w:val="center"/>
              <w:rPr>
                <w:b/>
                <w:sz w:val="18"/>
                <w:szCs w:val="18"/>
                <w:lang w:val="fr-FR"/>
              </w:rPr>
            </w:pPr>
          </w:p>
        </w:tc>
        <w:tc>
          <w:tcPr>
            <w:tcW w:w="110" w:type="pct"/>
            <w:shd w:val="clear" w:color="auto" w:fill="auto"/>
            <w:vAlign w:val="center"/>
          </w:tcPr>
          <w:p w14:paraId="7142F817" w14:textId="77777777" w:rsidR="00500275" w:rsidRPr="006F4D4F" w:rsidRDefault="00500275" w:rsidP="00AF5EC7">
            <w:pPr>
              <w:jc w:val="center"/>
              <w:rPr>
                <w:b/>
                <w:sz w:val="18"/>
                <w:szCs w:val="18"/>
                <w:lang w:val="fr-FR"/>
              </w:rPr>
            </w:pPr>
          </w:p>
        </w:tc>
        <w:tc>
          <w:tcPr>
            <w:tcW w:w="110" w:type="pct"/>
            <w:shd w:val="clear" w:color="auto" w:fill="auto"/>
            <w:vAlign w:val="center"/>
          </w:tcPr>
          <w:p w14:paraId="31347EB8" w14:textId="77777777" w:rsidR="00500275" w:rsidRPr="006F4D4F" w:rsidRDefault="00500275" w:rsidP="00AF5EC7">
            <w:pPr>
              <w:jc w:val="center"/>
              <w:rPr>
                <w:b/>
                <w:sz w:val="18"/>
                <w:szCs w:val="18"/>
                <w:lang w:val="fr-FR"/>
              </w:rPr>
            </w:pPr>
          </w:p>
        </w:tc>
        <w:tc>
          <w:tcPr>
            <w:tcW w:w="110" w:type="pct"/>
            <w:shd w:val="clear" w:color="auto" w:fill="auto"/>
            <w:vAlign w:val="center"/>
          </w:tcPr>
          <w:p w14:paraId="45EE3621" w14:textId="77777777" w:rsidR="00500275" w:rsidRPr="006F4D4F" w:rsidRDefault="00500275" w:rsidP="00AF5EC7">
            <w:pPr>
              <w:jc w:val="center"/>
              <w:rPr>
                <w:b/>
                <w:sz w:val="18"/>
                <w:szCs w:val="18"/>
                <w:lang w:val="fr-FR"/>
              </w:rPr>
            </w:pPr>
          </w:p>
        </w:tc>
        <w:tc>
          <w:tcPr>
            <w:tcW w:w="110" w:type="pct"/>
            <w:shd w:val="clear" w:color="auto" w:fill="auto"/>
            <w:vAlign w:val="center"/>
          </w:tcPr>
          <w:p w14:paraId="5E9F6F4C" w14:textId="77777777" w:rsidR="00500275" w:rsidRPr="006F4D4F" w:rsidRDefault="00500275" w:rsidP="00AF5EC7">
            <w:pPr>
              <w:jc w:val="center"/>
              <w:rPr>
                <w:b/>
                <w:sz w:val="18"/>
                <w:szCs w:val="18"/>
                <w:lang w:val="fr-FR"/>
              </w:rPr>
            </w:pPr>
          </w:p>
        </w:tc>
        <w:tc>
          <w:tcPr>
            <w:tcW w:w="101" w:type="pct"/>
            <w:shd w:val="clear" w:color="auto" w:fill="auto"/>
            <w:vAlign w:val="center"/>
          </w:tcPr>
          <w:p w14:paraId="257D9240" w14:textId="77777777" w:rsidR="00500275" w:rsidRPr="006F4D4F" w:rsidRDefault="00500275" w:rsidP="00AF5EC7">
            <w:pPr>
              <w:jc w:val="center"/>
              <w:rPr>
                <w:b/>
                <w:sz w:val="18"/>
                <w:szCs w:val="18"/>
                <w:lang w:val="fr-FR"/>
              </w:rPr>
            </w:pPr>
          </w:p>
        </w:tc>
        <w:tc>
          <w:tcPr>
            <w:tcW w:w="156" w:type="pct"/>
            <w:shd w:val="clear" w:color="auto" w:fill="auto"/>
            <w:vAlign w:val="center"/>
          </w:tcPr>
          <w:p w14:paraId="5D605A58" w14:textId="77777777" w:rsidR="00500275" w:rsidRPr="006F4D4F" w:rsidRDefault="00500275" w:rsidP="00AF5EC7">
            <w:pPr>
              <w:jc w:val="center"/>
              <w:rPr>
                <w:b/>
                <w:sz w:val="18"/>
                <w:szCs w:val="18"/>
                <w:lang w:val="fr-FR"/>
              </w:rPr>
            </w:pPr>
          </w:p>
        </w:tc>
        <w:tc>
          <w:tcPr>
            <w:tcW w:w="156" w:type="pct"/>
            <w:shd w:val="clear" w:color="auto" w:fill="auto"/>
            <w:vAlign w:val="center"/>
          </w:tcPr>
          <w:p w14:paraId="5476CB8B" w14:textId="77777777" w:rsidR="00500275" w:rsidRPr="006F4D4F" w:rsidRDefault="00500275" w:rsidP="00AF5EC7">
            <w:pPr>
              <w:jc w:val="center"/>
              <w:rPr>
                <w:b/>
                <w:sz w:val="18"/>
                <w:szCs w:val="18"/>
                <w:lang w:val="fr-FR"/>
              </w:rPr>
            </w:pPr>
          </w:p>
        </w:tc>
        <w:tc>
          <w:tcPr>
            <w:tcW w:w="155" w:type="pct"/>
            <w:shd w:val="clear" w:color="auto" w:fill="auto"/>
            <w:vAlign w:val="center"/>
          </w:tcPr>
          <w:p w14:paraId="6C6B6AB6"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6FE9B270"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736F694C" w14:textId="77777777" w:rsidR="00500275" w:rsidRPr="006F4D4F" w:rsidRDefault="00500275" w:rsidP="00AF5EC7">
            <w:pPr>
              <w:jc w:val="center"/>
              <w:rPr>
                <w:b/>
                <w:sz w:val="18"/>
                <w:szCs w:val="18"/>
                <w:lang w:val="fr-FR"/>
              </w:rPr>
            </w:pPr>
          </w:p>
        </w:tc>
        <w:tc>
          <w:tcPr>
            <w:tcW w:w="99" w:type="pct"/>
            <w:shd w:val="clear" w:color="auto" w:fill="F2F2F2" w:themeFill="background1" w:themeFillShade="F2"/>
            <w:vAlign w:val="center"/>
          </w:tcPr>
          <w:p w14:paraId="14277722" w14:textId="77777777" w:rsidR="00500275" w:rsidRPr="006F4D4F" w:rsidRDefault="00500275" w:rsidP="00AF5EC7">
            <w:pPr>
              <w:jc w:val="center"/>
              <w:rPr>
                <w:b/>
                <w:sz w:val="18"/>
                <w:szCs w:val="18"/>
                <w:lang w:val="fr-FR"/>
              </w:rPr>
            </w:pPr>
          </w:p>
        </w:tc>
        <w:tc>
          <w:tcPr>
            <w:tcW w:w="90" w:type="pct"/>
            <w:shd w:val="clear" w:color="auto" w:fill="F2F2F2" w:themeFill="background1" w:themeFillShade="F2"/>
            <w:vAlign w:val="center"/>
          </w:tcPr>
          <w:p w14:paraId="491203D4" w14:textId="77777777" w:rsidR="00500275" w:rsidRPr="006F4D4F" w:rsidRDefault="00500275" w:rsidP="00AF5EC7">
            <w:pPr>
              <w:jc w:val="center"/>
              <w:rPr>
                <w:b/>
                <w:sz w:val="18"/>
                <w:szCs w:val="18"/>
                <w:lang w:val="fr-FR"/>
              </w:rPr>
            </w:pPr>
          </w:p>
        </w:tc>
        <w:tc>
          <w:tcPr>
            <w:tcW w:w="110" w:type="pct"/>
            <w:gridSpan w:val="2"/>
            <w:shd w:val="clear" w:color="auto" w:fill="F2F2F2" w:themeFill="background1" w:themeFillShade="F2"/>
            <w:vAlign w:val="center"/>
          </w:tcPr>
          <w:p w14:paraId="5329C9DC"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0531E1B4"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65AC75A1"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24298705"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682D8303" w14:textId="77777777" w:rsidR="00500275" w:rsidRPr="006F4D4F" w:rsidRDefault="00500275" w:rsidP="00AF5EC7">
            <w:pPr>
              <w:jc w:val="center"/>
              <w:rPr>
                <w:b/>
                <w:sz w:val="18"/>
                <w:szCs w:val="18"/>
                <w:lang w:val="fr-FR"/>
              </w:rPr>
            </w:pPr>
          </w:p>
        </w:tc>
        <w:tc>
          <w:tcPr>
            <w:tcW w:w="149" w:type="pct"/>
            <w:shd w:val="clear" w:color="auto" w:fill="F2F2F2" w:themeFill="background1" w:themeFillShade="F2"/>
            <w:vAlign w:val="center"/>
          </w:tcPr>
          <w:p w14:paraId="3507ECC5" w14:textId="77777777" w:rsidR="00500275" w:rsidRPr="006F4D4F" w:rsidRDefault="00500275" w:rsidP="00AF5EC7">
            <w:pPr>
              <w:jc w:val="center"/>
              <w:rPr>
                <w:b/>
                <w:sz w:val="18"/>
                <w:szCs w:val="18"/>
                <w:lang w:val="fr-FR"/>
              </w:rPr>
            </w:pPr>
          </w:p>
        </w:tc>
        <w:tc>
          <w:tcPr>
            <w:tcW w:w="156" w:type="pct"/>
            <w:shd w:val="clear" w:color="auto" w:fill="F2F2F2" w:themeFill="background1" w:themeFillShade="F2"/>
            <w:vAlign w:val="center"/>
          </w:tcPr>
          <w:p w14:paraId="0C1323E0" w14:textId="77777777" w:rsidR="00500275" w:rsidRPr="006F4D4F" w:rsidRDefault="00500275" w:rsidP="00AF5EC7">
            <w:pPr>
              <w:jc w:val="center"/>
              <w:rPr>
                <w:b/>
                <w:sz w:val="18"/>
                <w:szCs w:val="18"/>
                <w:lang w:val="fr-FR"/>
              </w:rPr>
            </w:pPr>
          </w:p>
        </w:tc>
        <w:tc>
          <w:tcPr>
            <w:tcW w:w="158" w:type="pct"/>
            <w:shd w:val="clear" w:color="auto" w:fill="F2F2F2" w:themeFill="background1" w:themeFillShade="F2"/>
            <w:vAlign w:val="center"/>
          </w:tcPr>
          <w:p w14:paraId="555407D7" w14:textId="77777777" w:rsidR="00500275" w:rsidRPr="006F4D4F" w:rsidRDefault="00500275" w:rsidP="00AF5EC7">
            <w:pPr>
              <w:jc w:val="center"/>
              <w:rPr>
                <w:b/>
                <w:sz w:val="18"/>
                <w:szCs w:val="18"/>
                <w:lang w:val="fr-FR"/>
              </w:rPr>
            </w:pPr>
          </w:p>
        </w:tc>
        <w:tc>
          <w:tcPr>
            <w:tcW w:w="104" w:type="pct"/>
            <w:shd w:val="clear" w:color="auto" w:fill="auto"/>
            <w:vAlign w:val="center"/>
          </w:tcPr>
          <w:p w14:paraId="13BD972E" w14:textId="77777777" w:rsidR="00500275" w:rsidRPr="006F4D4F" w:rsidRDefault="00500275" w:rsidP="00AF5EC7">
            <w:pPr>
              <w:jc w:val="center"/>
              <w:rPr>
                <w:b/>
                <w:sz w:val="18"/>
                <w:szCs w:val="18"/>
                <w:lang w:val="fr-FR"/>
              </w:rPr>
            </w:pPr>
          </w:p>
        </w:tc>
        <w:tc>
          <w:tcPr>
            <w:tcW w:w="87" w:type="pct"/>
            <w:shd w:val="clear" w:color="auto" w:fill="auto"/>
            <w:vAlign w:val="center"/>
          </w:tcPr>
          <w:p w14:paraId="6B5D6B8B" w14:textId="77777777" w:rsidR="00500275" w:rsidRPr="006F4D4F" w:rsidRDefault="00500275" w:rsidP="00AF5EC7">
            <w:pPr>
              <w:jc w:val="center"/>
              <w:rPr>
                <w:b/>
                <w:sz w:val="18"/>
                <w:szCs w:val="18"/>
                <w:lang w:val="fr-FR"/>
              </w:rPr>
            </w:pPr>
          </w:p>
        </w:tc>
        <w:tc>
          <w:tcPr>
            <w:tcW w:w="126" w:type="pct"/>
            <w:gridSpan w:val="2"/>
            <w:shd w:val="clear" w:color="auto" w:fill="auto"/>
            <w:vAlign w:val="center"/>
          </w:tcPr>
          <w:p w14:paraId="79F3974C" w14:textId="77777777" w:rsidR="00500275" w:rsidRPr="006F4D4F" w:rsidRDefault="00500275" w:rsidP="00AF5EC7">
            <w:pPr>
              <w:jc w:val="center"/>
              <w:rPr>
                <w:b/>
                <w:sz w:val="18"/>
                <w:szCs w:val="18"/>
                <w:lang w:val="fr-FR"/>
              </w:rPr>
            </w:pPr>
          </w:p>
        </w:tc>
        <w:tc>
          <w:tcPr>
            <w:tcW w:w="104" w:type="pct"/>
            <w:gridSpan w:val="2"/>
            <w:shd w:val="clear" w:color="auto" w:fill="auto"/>
            <w:vAlign w:val="center"/>
          </w:tcPr>
          <w:p w14:paraId="11003CB8" w14:textId="77777777" w:rsidR="00500275" w:rsidRPr="006F4D4F" w:rsidRDefault="00500275" w:rsidP="00AF5EC7">
            <w:pPr>
              <w:jc w:val="center"/>
              <w:rPr>
                <w:b/>
                <w:sz w:val="18"/>
                <w:szCs w:val="18"/>
                <w:lang w:val="fr-FR"/>
              </w:rPr>
            </w:pPr>
          </w:p>
        </w:tc>
        <w:tc>
          <w:tcPr>
            <w:tcW w:w="103" w:type="pct"/>
            <w:gridSpan w:val="2"/>
            <w:shd w:val="clear" w:color="auto" w:fill="auto"/>
            <w:vAlign w:val="center"/>
          </w:tcPr>
          <w:p w14:paraId="512606EE" w14:textId="77777777" w:rsidR="00500275" w:rsidRPr="006F4D4F" w:rsidRDefault="00500275" w:rsidP="00AF5EC7">
            <w:pPr>
              <w:jc w:val="center"/>
              <w:rPr>
                <w:b/>
                <w:sz w:val="18"/>
                <w:szCs w:val="18"/>
                <w:lang w:val="fr-FR"/>
              </w:rPr>
            </w:pPr>
          </w:p>
        </w:tc>
        <w:tc>
          <w:tcPr>
            <w:tcW w:w="106" w:type="pct"/>
            <w:shd w:val="clear" w:color="auto" w:fill="auto"/>
            <w:vAlign w:val="center"/>
          </w:tcPr>
          <w:p w14:paraId="3AE4B91E" w14:textId="77777777" w:rsidR="00500275" w:rsidRPr="006F4D4F" w:rsidRDefault="00500275" w:rsidP="00AF5EC7">
            <w:pPr>
              <w:jc w:val="center"/>
              <w:rPr>
                <w:b/>
                <w:sz w:val="18"/>
                <w:szCs w:val="18"/>
                <w:lang w:val="fr-FR"/>
              </w:rPr>
            </w:pPr>
          </w:p>
        </w:tc>
        <w:tc>
          <w:tcPr>
            <w:tcW w:w="101" w:type="pct"/>
            <w:shd w:val="clear" w:color="auto" w:fill="auto"/>
            <w:vAlign w:val="center"/>
          </w:tcPr>
          <w:p w14:paraId="739E99DF" w14:textId="77777777" w:rsidR="00500275" w:rsidRPr="006F4D4F" w:rsidRDefault="00500275" w:rsidP="00AF5EC7">
            <w:pPr>
              <w:jc w:val="center"/>
              <w:rPr>
                <w:b/>
                <w:sz w:val="18"/>
                <w:szCs w:val="18"/>
                <w:lang w:val="fr-FR"/>
              </w:rPr>
            </w:pPr>
          </w:p>
        </w:tc>
        <w:tc>
          <w:tcPr>
            <w:tcW w:w="157" w:type="pct"/>
            <w:gridSpan w:val="2"/>
            <w:shd w:val="clear" w:color="auto" w:fill="auto"/>
            <w:vAlign w:val="center"/>
          </w:tcPr>
          <w:p w14:paraId="26820862" w14:textId="77777777" w:rsidR="00500275" w:rsidRPr="006F4D4F" w:rsidRDefault="00500275" w:rsidP="00AF5EC7">
            <w:pPr>
              <w:jc w:val="center"/>
              <w:rPr>
                <w:b/>
                <w:sz w:val="18"/>
                <w:szCs w:val="18"/>
                <w:lang w:val="fr-FR"/>
              </w:rPr>
            </w:pPr>
          </w:p>
        </w:tc>
      </w:tr>
      <w:tr w:rsidR="00FE1DB2" w:rsidRPr="004A302F" w14:paraId="56662D4B" w14:textId="77777777" w:rsidTr="00AF5EC7">
        <w:trPr>
          <w:trHeight w:val="380"/>
        </w:trPr>
        <w:tc>
          <w:tcPr>
            <w:tcW w:w="509" w:type="pct"/>
            <w:gridSpan w:val="2"/>
            <w:shd w:val="clear" w:color="auto" w:fill="auto"/>
            <w:vAlign w:val="center"/>
          </w:tcPr>
          <w:p w14:paraId="3C136924" w14:textId="77777777" w:rsidR="00500275" w:rsidRPr="006F4D4F" w:rsidRDefault="00500275" w:rsidP="00AF5EC7">
            <w:pPr>
              <w:rPr>
                <w:b/>
                <w:sz w:val="14"/>
                <w:szCs w:val="14"/>
                <w:lang w:val="fr-FR"/>
              </w:rPr>
            </w:pPr>
            <w:r w:rsidRPr="006F4D4F">
              <w:rPr>
                <w:b/>
                <w:sz w:val="14"/>
                <w:szCs w:val="14"/>
                <w:lang w:val="fr-FR"/>
              </w:rPr>
              <w:t> </w:t>
            </w:r>
          </w:p>
        </w:tc>
        <w:tc>
          <w:tcPr>
            <w:tcW w:w="110" w:type="pct"/>
            <w:shd w:val="clear" w:color="auto" w:fill="FDE9D9" w:themeFill="accent6" w:themeFillTint="33"/>
            <w:vAlign w:val="center"/>
          </w:tcPr>
          <w:p w14:paraId="00DAAB7C"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5FF170BD"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4C7EE172" w14:textId="77777777" w:rsidR="00500275" w:rsidRPr="006F4D4F" w:rsidRDefault="00500275" w:rsidP="00AF5EC7">
            <w:pPr>
              <w:jc w:val="center"/>
              <w:rPr>
                <w:b/>
                <w:sz w:val="18"/>
                <w:szCs w:val="18"/>
                <w:lang w:val="fr-FR"/>
              </w:rPr>
            </w:pPr>
          </w:p>
        </w:tc>
        <w:tc>
          <w:tcPr>
            <w:tcW w:w="140" w:type="pct"/>
            <w:shd w:val="clear" w:color="auto" w:fill="FDE9D9" w:themeFill="accent6" w:themeFillTint="33"/>
            <w:vAlign w:val="center"/>
          </w:tcPr>
          <w:p w14:paraId="3A9BAF1A" w14:textId="77777777" w:rsidR="00500275" w:rsidRPr="006F4D4F" w:rsidRDefault="00500275" w:rsidP="00AF5EC7">
            <w:pPr>
              <w:jc w:val="center"/>
              <w:rPr>
                <w:b/>
                <w:sz w:val="18"/>
                <w:szCs w:val="18"/>
                <w:lang w:val="fr-FR"/>
              </w:rPr>
            </w:pPr>
          </w:p>
        </w:tc>
        <w:tc>
          <w:tcPr>
            <w:tcW w:w="156" w:type="pct"/>
            <w:shd w:val="clear" w:color="auto" w:fill="FDE9D9" w:themeFill="accent6" w:themeFillTint="33"/>
            <w:vAlign w:val="center"/>
          </w:tcPr>
          <w:p w14:paraId="01994660" w14:textId="77777777" w:rsidR="00500275" w:rsidRPr="006F4D4F" w:rsidRDefault="00500275" w:rsidP="00AF5EC7">
            <w:pPr>
              <w:jc w:val="center"/>
              <w:rPr>
                <w:b/>
                <w:sz w:val="18"/>
                <w:szCs w:val="18"/>
                <w:lang w:val="fr-FR"/>
              </w:rPr>
            </w:pPr>
          </w:p>
        </w:tc>
        <w:tc>
          <w:tcPr>
            <w:tcW w:w="158" w:type="pct"/>
            <w:shd w:val="clear" w:color="auto" w:fill="FDE9D9" w:themeFill="accent6" w:themeFillTint="33"/>
            <w:vAlign w:val="center"/>
          </w:tcPr>
          <w:p w14:paraId="702D80C0" w14:textId="77777777" w:rsidR="00500275" w:rsidRPr="006F4D4F" w:rsidRDefault="00500275" w:rsidP="00AF5EC7">
            <w:pPr>
              <w:jc w:val="center"/>
              <w:rPr>
                <w:b/>
                <w:sz w:val="18"/>
                <w:szCs w:val="18"/>
                <w:lang w:val="fr-FR"/>
              </w:rPr>
            </w:pPr>
          </w:p>
        </w:tc>
        <w:tc>
          <w:tcPr>
            <w:tcW w:w="103" w:type="pct"/>
            <w:shd w:val="clear" w:color="auto" w:fill="FDE9D9" w:themeFill="accent6" w:themeFillTint="33"/>
            <w:vAlign w:val="center"/>
          </w:tcPr>
          <w:p w14:paraId="1CB14894" w14:textId="77777777" w:rsidR="00500275" w:rsidRPr="006F4D4F" w:rsidRDefault="00500275" w:rsidP="00AF5EC7">
            <w:pPr>
              <w:jc w:val="center"/>
              <w:rPr>
                <w:b/>
                <w:sz w:val="18"/>
                <w:szCs w:val="18"/>
                <w:lang w:val="fr-FR"/>
              </w:rPr>
            </w:pPr>
          </w:p>
        </w:tc>
        <w:tc>
          <w:tcPr>
            <w:tcW w:w="95" w:type="pct"/>
            <w:shd w:val="clear" w:color="auto" w:fill="FDE9D9" w:themeFill="accent6" w:themeFillTint="33"/>
            <w:vAlign w:val="center"/>
          </w:tcPr>
          <w:p w14:paraId="583A1A53" w14:textId="77777777" w:rsidR="00500275" w:rsidRPr="006F4D4F" w:rsidRDefault="00500275" w:rsidP="00AF5EC7">
            <w:pPr>
              <w:jc w:val="center"/>
              <w:rPr>
                <w:b/>
                <w:sz w:val="18"/>
                <w:szCs w:val="18"/>
                <w:lang w:val="fr-FR"/>
              </w:rPr>
            </w:pPr>
          </w:p>
        </w:tc>
        <w:tc>
          <w:tcPr>
            <w:tcW w:w="90" w:type="pct"/>
            <w:shd w:val="clear" w:color="auto" w:fill="FDE9D9" w:themeFill="accent6" w:themeFillTint="33"/>
            <w:vAlign w:val="center"/>
          </w:tcPr>
          <w:p w14:paraId="4810C3B5" w14:textId="77777777" w:rsidR="00500275" w:rsidRPr="006F4D4F" w:rsidRDefault="00500275" w:rsidP="00AF5EC7">
            <w:pPr>
              <w:jc w:val="center"/>
              <w:rPr>
                <w:b/>
                <w:sz w:val="18"/>
                <w:szCs w:val="18"/>
                <w:lang w:val="fr-FR"/>
              </w:rPr>
            </w:pPr>
          </w:p>
        </w:tc>
        <w:tc>
          <w:tcPr>
            <w:tcW w:w="110" w:type="pct"/>
            <w:shd w:val="clear" w:color="auto" w:fill="auto"/>
            <w:vAlign w:val="center"/>
          </w:tcPr>
          <w:p w14:paraId="4630E3A0" w14:textId="77777777" w:rsidR="00500275" w:rsidRPr="006F4D4F" w:rsidRDefault="00500275" w:rsidP="00AF5EC7">
            <w:pPr>
              <w:jc w:val="center"/>
              <w:rPr>
                <w:b/>
                <w:sz w:val="18"/>
                <w:szCs w:val="18"/>
                <w:lang w:val="fr-FR"/>
              </w:rPr>
            </w:pPr>
          </w:p>
        </w:tc>
        <w:tc>
          <w:tcPr>
            <w:tcW w:w="110" w:type="pct"/>
            <w:shd w:val="clear" w:color="auto" w:fill="auto"/>
            <w:vAlign w:val="center"/>
          </w:tcPr>
          <w:p w14:paraId="5C99480A" w14:textId="77777777" w:rsidR="00500275" w:rsidRPr="006F4D4F" w:rsidRDefault="00500275" w:rsidP="00AF5EC7">
            <w:pPr>
              <w:jc w:val="center"/>
              <w:rPr>
                <w:b/>
                <w:sz w:val="18"/>
                <w:szCs w:val="18"/>
                <w:lang w:val="fr-FR"/>
              </w:rPr>
            </w:pPr>
          </w:p>
        </w:tc>
        <w:tc>
          <w:tcPr>
            <w:tcW w:w="110" w:type="pct"/>
            <w:shd w:val="clear" w:color="auto" w:fill="auto"/>
            <w:vAlign w:val="center"/>
          </w:tcPr>
          <w:p w14:paraId="7F6D9C71" w14:textId="77777777" w:rsidR="00500275" w:rsidRPr="006F4D4F" w:rsidRDefault="00500275" w:rsidP="00AF5EC7">
            <w:pPr>
              <w:jc w:val="center"/>
              <w:rPr>
                <w:b/>
                <w:sz w:val="18"/>
                <w:szCs w:val="18"/>
                <w:lang w:val="fr-FR"/>
              </w:rPr>
            </w:pPr>
          </w:p>
        </w:tc>
        <w:tc>
          <w:tcPr>
            <w:tcW w:w="110" w:type="pct"/>
            <w:shd w:val="clear" w:color="auto" w:fill="auto"/>
            <w:vAlign w:val="center"/>
          </w:tcPr>
          <w:p w14:paraId="2B17A213" w14:textId="77777777" w:rsidR="00500275" w:rsidRPr="006F4D4F" w:rsidRDefault="00500275" w:rsidP="00AF5EC7">
            <w:pPr>
              <w:jc w:val="center"/>
              <w:rPr>
                <w:b/>
                <w:sz w:val="18"/>
                <w:szCs w:val="18"/>
                <w:lang w:val="fr-FR"/>
              </w:rPr>
            </w:pPr>
          </w:p>
        </w:tc>
        <w:tc>
          <w:tcPr>
            <w:tcW w:w="110" w:type="pct"/>
            <w:shd w:val="clear" w:color="auto" w:fill="auto"/>
            <w:vAlign w:val="center"/>
          </w:tcPr>
          <w:p w14:paraId="44B172AB" w14:textId="77777777" w:rsidR="00500275" w:rsidRPr="006F4D4F" w:rsidRDefault="00500275" w:rsidP="00AF5EC7">
            <w:pPr>
              <w:jc w:val="center"/>
              <w:rPr>
                <w:b/>
                <w:sz w:val="18"/>
                <w:szCs w:val="18"/>
                <w:lang w:val="fr-FR"/>
              </w:rPr>
            </w:pPr>
          </w:p>
        </w:tc>
        <w:tc>
          <w:tcPr>
            <w:tcW w:w="101" w:type="pct"/>
            <w:shd w:val="clear" w:color="auto" w:fill="auto"/>
            <w:vAlign w:val="center"/>
          </w:tcPr>
          <w:p w14:paraId="6688D3B3" w14:textId="77777777" w:rsidR="00500275" w:rsidRPr="006F4D4F" w:rsidRDefault="00500275" w:rsidP="00AF5EC7">
            <w:pPr>
              <w:jc w:val="center"/>
              <w:rPr>
                <w:b/>
                <w:sz w:val="18"/>
                <w:szCs w:val="18"/>
                <w:lang w:val="fr-FR"/>
              </w:rPr>
            </w:pPr>
          </w:p>
        </w:tc>
        <w:tc>
          <w:tcPr>
            <w:tcW w:w="156" w:type="pct"/>
            <w:shd w:val="clear" w:color="auto" w:fill="auto"/>
            <w:vAlign w:val="center"/>
          </w:tcPr>
          <w:p w14:paraId="2A2E621B" w14:textId="77777777" w:rsidR="00500275" w:rsidRPr="006F4D4F" w:rsidRDefault="00500275" w:rsidP="00AF5EC7">
            <w:pPr>
              <w:jc w:val="center"/>
              <w:rPr>
                <w:b/>
                <w:sz w:val="18"/>
                <w:szCs w:val="18"/>
                <w:lang w:val="fr-FR"/>
              </w:rPr>
            </w:pPr>
          </w:p>
        </w:tc>
        <w:tc>
          <w:tcPr>
            <w:tcW w:w="156" w:type="pct"/>
            <w:shd w:val="clear" w:color="auto" w:fill="auto"/>
            <w:vAlign w:val="center"/>
          </w:tcPr>
          <w:p w14:paraId="507664BF" w14:textId="77777777" w:rsidR="00500275" w:rsidRPr="006F4D4F" w:rsidRDefault="00500275" w:rsidP="00AF5EC7">
            <w:pPr>
              <w:jc w:val="center"/>
              <w:rPr>
                <w:b/>
                <w:sz w:val="18"/>
                <w:szCs w:val="18"/>
                <w:lang w:val="fr-FR"/>
              </w:rPr>
            </w:pPr>
          </w:p>
        </w:tc>
        <w:tc>
          <w:tcPr>
            <w:tcW w:w="155" w:type="pct"/>
            <w:shd w:val="clear" w:color="auto" w:fill="auto"/>
            <w:vAlign w:val="center"/>
          </w:tcPr>
          <w:p w14:paraId="6903E367"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5537D576"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5A04F10C" w14:textId="77777777" w:rsidR="00500275" w:rsidRPr="006F4D4F" w:rsidRDefault="00500275" w:rsidP="00AF5EC7">
            <w:pPr>
              <w:jc w:val="center"/>
              <w:rPr>
                <w:b/>
                <w:sz w:val="18"/>
                <w:szCs w:val="18"/>
                <w:lang w:val="fr-FR"/>
              </w:rPr>
            </w:pPr>
          </w:p>
        </w:tc>
        <w:tc>
          <w:tcPr>
            <w:tcW w:w="99" w:type="pct"/>
            <w:shd w:val="clear" w:color="auto" w:fill="F2F2F2" w:themeFill="background1" w:themeFillShade="F2"/>
            <w:vAlign w:val="center"/>
          </w:tcPr>
          <w:p w14:paraId="0AA049C1" w14:textId="77777777" w:rsidR="00500275" w:rsidRPr="006F4D4F" w:rsidRDefault="00500275" w:rsidP="00AF5EC7">
            <w:pPr>
              <w:jc w:val="center"/>
              <w:rPr>
                <w:b/>
                <w:sz w:val="18"/>
                <w:szCs w:val="18"/>
                <w:lang w:val="fr-FR"/>
              </w:rPr>
            </w:pPr>
          </w:p>
        </w:tc>
        <w:tc>
          <w:tcPr>
            <w:tcW w:w="90" w:type="pct"/>
            <w:shd w:val="clear" w:color="auto" w:fill="F2F2F2" w:themeFill="background1" w:themeFillShade="F2"/>
            <w:vAlign w:val="center"/>
          </w:tcPr>
          <w:p w14:paraId="423A3646" w14:textId="77777777" w:rsidR="00500275" w:rsidRPr="006F4D4F" w:rsidRDefault="00500275" w:rsidP="00AF5EC7">
            <w:pPr>
              <w:jc w:val="center"/>
              <w:rPr>
                <w:b/>
                <w:sz w:val="18"/>
                <w:szCs w:val="18"/>
                <w:lang w:val="fr-FR"/>
              </w:rPr>
            </w:pPr>
          </w:p>
        </w:tc>
        <w:tc>
          <w:tcPr>
            <w:tcW w:w="110" w:type="pct"/>
            <w:gridSpan w:val="2"/>
            <w:shd w:val="clear" w:color="auto" w:fill="F2F2F2" w:themeFill="background1" w:themeFillShade="F2"/>
            <w:vAlign w:val="center"/>
          </w:tcPr>
          <w:p w14:paraId="4E40E801"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2B1160A1"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54B4DA67"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392B7A0F"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53F666B7" w14:textId="77777777" w:rsidR="00500275" w:rsidRPr="006F4D4F" w:rsidRDefault="00500275" w:rsidP="00AF5EC7">
            <w:pPr>
              <w:jc w:val="center"/>
              <w:rPr>
                <w:b/>
                <w:sz w:val="18"/>
                <w:szCs w:val="18"/>
                <w:lang w:val="fr-FR"/>
              </w:rPr>
            </w:pPr>
          </w:p>
        </w:tc>
        <w:tc>
          <w:tcPr>
            <w:tcW w:w="149" w:type="pct"/>
            <w:shd w:val="clear" w:color="auto" w:fill="F2F2F2" w:themeFill="background1" w:themeFillShade="F2"/>
            <w:vAlign w:val="center"/>
          </w:tcPr>
          <w:p w14:paraId="2ECF6F72" w14:textId="77777777" w:rsidR="00500275" w:rsidRPr="006F4D4F" w:rsidRDefault="00500275" w:rsidP="00AF5EC7">
            <w:pPr>
              <w:jc w:val="center"/>
              <w:rPr>
                <w:b/>
                <w:sz w:val="18"/>
                <w:szCs w:val="18"/>
                <w:lang w:val="fr-FR"/>
              </w:rPr>
            </w:pPr>
          </w:p>
        </w:tc>
        <w:tc>
          <w:tcPr>
            <w:tcW w:w="156" w:type="pct"/>
            <w:shd w:val="clear" w:color="auto" w:fill="F2F2F2" w:themeFill="background1" w:themeFillShade="F2"/>
            <w:vAlign w:val="center"/>
          </w:tcPr>
          <w:p w14:paraId="66F330A5" w14:textId="77777777" w:rsidR="00500275" w:rsidRPr="006F4D4F" w:rsidRDefault="00500275" w:rsidP="00AF5EC7">
            <w:pPr>
              <w:jc w:val="center"/>
              <w:rPr>
                <w:b/>
                <w:sz w:val="18"/>
                <w:szCs w:val="18"/>
                <w:lang w:val="fr-FR"/>
              </w:rPr>
            </w:pPr>
          </w:p>
        </w:tc>
        <w:tc>
          <w:tcPr>
            <w:tcW w:w="158" w:type="pct"/>
            <w:shd w:val="clear" w:color="auto" w:fill="F2F2F2" w:themeFill="background1" w:themeFillShade="F2"/>
            <w:vAlign w:val="center"/>
          </w:tcPr>
          <w:p w14:paraId="1A9E07AE" w14:textId="77777777" w:rsidR="00500275" w:rsidRPr="006F4D4F" w:rsidRDefault="00500275" w:rsidP="00AF5EC7">
            <w:pPr>
              <w:jc w:val="center"/>
              <w:rPr>
                <w:b/>
                <w:sz w:val="18"/>
                <w:szCs w:val="18"/>
                <w:lang w:val="fr-FR"/>
              </w:rPr>
            </w:pPr>
          </w:p>
        </w:tc>
        <w:tc>
          <w:tcPr>
            <w:tcW w:w="104" w:type="pct"/>
            <w:shd w:val="clear" w:color="auto" w:fill="auto"/>
            <w:vAlign w:val="center"/>
          </w:tcPr>
          <w:p w14:paraId="3B995A9B" w14:textId="77777777" w:rsidR="00500275" w:rsidRPr="006F4D4F" w:rsidRDefault="00500275" w:rsidP="00AF5EC7">
            <w:pPr>
              <w:jc w:val="center"/>
              <w:rPr>
                <w:b/>
                <w:sz w:val="18"/>
                <w:szCs w:val="18"/>
                <w:lang w:val="fr-FR"/>
              </w:rPr>
            </w:pPr>
          </w:p>
        </w:tc>
        <w:tc>
          <w:tcPr>
            <w:tcW w:w="87" w:type="pct"/>
            <w:shd w:val="clear" w:color="auto" w:fill="auto"/>
            <w:vAlign w:val="center"/>
          </w:tcPr>
          <w:p w14:paraId="0535AF39" w14:textId="77777777" w:rsidR="00500275" w:rsidRPr="006F4D4F" w:rsidRDefault="00500275" w:rsidP="00AF5EC7">
            <w:pPr>
              <w:jc w:val="center"/>
              <w:rPr>
                <w:b/>
                <w:sz w:val="18"/>
                <w:szCs w:val="18"/>
                <w:lang w:val="fr-FR"/>
              </w:rPr>
            </w:pPr>
          </w:p>
        </w:tc>
        <w:tc>
          <w:tcPr>
            <w:tcW w:w="126" w:type="pct"/>
            <w:gridSpan w:val="2"/>
            <w:shd w:val="clear" w:color="auto" w:fill="auto"/>
            <w:vAlign w:val="center"/>
          </w:tcPr>
          <w:p w14:paraId="778FD90C" w14:textId="77777777" w:rsidR="00500275" w:rsidRPr="006F4D4F" w:rsidRDefault="00500275" w:rsidP="00AF5EC7">
            <w:pPr>
              <w:jc w:val="center"/>
              <w:rPr>
                <w:b/>
                <w:sz w:val="18"/>
                <w:szCs w:val="18"/>
                <w:lang w:val="fr-FR"/>
              </w:rPr>
            </w:pPr>
          </w:p>
        </w:tc>
        <w:tc>
          <w:tcPr>
            <w:tcW w:w="104" w:type="pct"/>
            <w:gridSpan w:val="2"/>
            <w:shd w:val="clear" w:color="auto" w:fill="auto"/>
            <w:vAlign w:val="center"/>
          </w:tcPr>
          <w:p w14:paraId="64869C2A" w14:textId="77777777" w:rsidR="00500275" w:rsidRPr="006F4D4F" w:rsidRDefault="00500275" w:rsidP="00AF5EC7">
            <w:pPr>
              <w:jc w:val="center"/>
              <w:rPr>
                <w:b/>
                <w:sz w:val="18"/>
                <w:szCs w:val="18"/>
                <w:lang w:val="fr-FR"/>
              </w:rPr>
            </w:pPr>
          </w:p>
        </w:tc>
        <w:tc>
          <w:tcPr>
            <w:tcW w:w="103" w:type="pct"/>
            <w:gridSpan w:val="2"/>
            <w:shd w:val="clear" w:color="auto" w:fill="auto"/>
            <w:vAlign w:val="center"/>
          </w:tcPr>
          <w:p w14:paraId="1B21EC60" w14:textId="77777777" w:rsidR="00500275" w:rsidRPr="006F4D4F" w:rsidRDefault="00500275" w:rsidP="00AF5EC7">
            <w:pPr>
              <w:jc w:val="center"/>
              <w:rPr>
                <w:b/>
                <w:sz w:val="18"/>
                <w:szCs w:val="18"/>
                <w:lang w:val="fr-FR"/>
              </w:rPr>
            </w:pPr>
          </w:p>
        </w:tc>
        <w:tc>
          <w:tcPr>
            <w:tcW w:w="106" w:type="pct"/>
            <w:shd w:val="clear" w:color="auto" w:fill="auto"/>
            <w:vAlign w:val="center"/>
          </w:tcPr>
          <w:p w14:paraId="7F75CEAD" w14:textId="77777777" w:rsidR="00500275" w:rsidRPr="006F4D4F" w:rsidRDefault="00500275" w:rsidP="00AF5EC7">
            <w:pPr>
              <w:jc w:val="center"/>
              <w:rPr>
                <w:b/>
                <w:sz w:val="18"/>
                <w:szCs w:val="18"/>
                <w:lang w:val="fr-FR"/>
              </w:rPr>
            </w:pPr>
          </w:p>
        </w:tc>
        <w:tc>
          <w:tcPr>
            <w:tcW w:w="101" w:type="pct"/>
            <w:shd w:val="clear" w:color="auto" w:fill="auto"/>
            <w:vAlign w:val="center"/>
          </w:tcPr>
          <w:p w14:paraId="6586BEB4" w14:textId="77777777" w:rsidR="00500275" w:rsidRPr="006F4D4F" w:rsidRDefault="00500275" w:rsidP="00AF5EC7">
            <w:pPr>
              <w:jc w:val="center"/>
              <w:rPr>
                <w:b/>
                <w:sz w:val="18"/>
                <w:szCs w:val="18"/>
                <w:lang w:val="fr-FR"/>
              </w:rPr>
            </w:pPr>
          </w:p>
        </w:tc>
        <w:tc>
          <w:tcPr>
            <w:tcW w:w="157" w:type="pct"/>
            <w:gridSpan w:val="2"/>
            <w:shd w:val="clear" w:color="auto" w:fill="auto"/>
            <w:vAlign w:val="center"/>
          </w:tcPr>
          <w:p w14:paraId="7D4EE2F8" w14:textId="77777777" w:rsidR="00500275" w:rsidRPr="006F4D4F" w:rsidRDefault="00500275" w:rsidP="00AF5EC7">
            <w:pPr>
              <w:jc w:val="center"/>
              <w:rPr>
                <w:b/>
                <w:sz w:val="18"/>
                <w:szCs w:val="18"/>
                <w:lang w:val="fr-FR"/>
              </w:rPr>
            </w:pPr>
          </w:p>
        </w:tc>
      </w:tr>
      <w:tr w:rsidR="00FE1DB2" w:rsidRPr="004A302F" w14:paraId="791ADE32" w14:textId="77777777" w:rsidTr="00AF5EC7">
        <w:trPr>
          <w:trHeight w:val="380"/>
        </w:trPr>
        <w:tc>
          <w:tcPr>
            <w:tcW w:w="509" w:type="pct"/>
            <w:gridSpan w:val="2"/>
            <w:shd w:val="clear" w:color="auto" w:fill="auto"/>
            <w:vAlign w:val="center"/>
          </w:tcPr>
          <w:p w14:paraId="28E470FC" w14:textId="77777777" w:rsidR="00500275" w:rsidRPr="006F4D4F" w:rsidRDefault="00500275" w:rsidP="00AF5EC7">
            <w:pPr>
              <w:rPr>
                <w:b/>
                <w:sz w:val="14"/>
                <w:szCs w:val="14"/>
                <w:lang w:val="fr-FR"/>
              </w:rPr>
            </w:pPr>
            <w:r w:rsidRPr="006F4D4F">
              <w:rPr>
                <w:b/>
                <w:sz w:val="14"/>
                <w:szCs w:val="14"/>
                <w:lang w:val="fr-FR"/>
              </w:rPr>
              <w:t> </w:t>
            </w:r>
          </w:p>
        </w:tc>
        <w:tc>
          <w:tcPr>
            <w:tcW w:w="110" w:type="pct"/>
            <w:shd w:val="clear" w:color="auto" w:fill="FDE9D9" w:themeFill="accent6" w:themeFillTint="33"/>
            <w:vAlign w:val="center"/>
          </w:tcPr>
          <w:p w14:paraId="24E70440"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4D9ADC3F" w14:textId="77777777" w:rsidR="00500275" w:rsidRPr="006F4D4F" w:rsidRDefault="00500275" w:rsidP="00AF5EC7">
            <w:pPr>
              <w:jc w:val="center"/>
              <w:rPr>
                <w:b/>
                <w:sz w:val="18"/>
                <w:szCs w:val="18"/>
                <w:lang w:val="fr-FR"/>
              </w:rPr>
            </w:pPr>
          </w:p>
        </w:tc>
        <w:tc>
          <w:tcPr>
            <w:tcW w:w="110" w:type="pct"/>
            <w:shd w:val="clear" w:color="auto" w:fill="FDE9D9" w:themeFill="accent6" w:themeFillTint="33"/>
            <w:vAlign w:val="center"/>
          </w:tcPr>
          <w:p w14:paraId="4900444A" w14:textId="77777777" w:rsidR="00500275" w:rsidRPr="006F4D4F" w:rsidRDefault="00500275" w:rsidP="00AF5EC7">
            <w:pPr>
              <w:jc w:val="center"/>
              <w:rPr>
                <w:b/>
                <w:sz w:val="18"/>
                <w:szCs w:val="18"/>
                <w:lang w:val="fr-FR"/>
              </w:rPr>
            </w:pPr>
          </w:p>
        </w:tc>
        <w:tc>
          <w:tcPr>
            <w:tcW w:w="140" w:type="pct"/>
            <w:shd w:val="clear" w:color="auto" w:fill="FDE9D9" w:themeFill="accent6" w:themeFillTint="33"/>
            <w:vAlign w:val="center"/>
          </w:tcPr>
          <w:p w14:paraId="2A4897D6" w14:textId="77777777" w:rsidR="00500275" w:rsidRPr="006F4D4F" w:rsidRDefault="00500275" w:rsidP="00AF5EC7">
            <w:pPr>
              <w:jc w:val="center"/>
              <w:rPr>
                <w:b/>
                <w:sz w:val="18"/>
                <w:szCs w:val="18"/>
                <w:lang w:val="fr-FR"/>
              </w:rPr>
            </w:pPr>
          </w:p>
        </w:tc>
        <w:tc>
          <w:tcPr>
            <w:tcW w:w="156" w:type="pct"/>
            <w:shd w:val="clear" w:color="auto" w:fill="FDE9D9" w:themeFill="accent6" w:themeFillTint="33"/>
            <w:vAlign w:val="center"/>
          </w:tcPr>
          <w:p w14:paraId="3DF5B520" w14:textId="77777777" w:rsidR="00500275" w:rsidRPr="006F4D4F" w:rsidRDefault="00500275" w:rsidP="00AF5EC7">
            <w:pPr>
              <w:jc w:val="center"/>
              <w:rPr>
                <w:b/>
                <w:sz w:val="18"/>
                <w:szCs w:val="18"/>
                <w:lang w:val="fr-FR"/>
              </w:rPr>
            </w:pPr>
          </w:p>
        </w:tc>
        <w:tc>
          <w:tcPr>
            <w:tcW w:w="158" w:type="pct"/>
            <w:shd w:val="clear" w:color="auto" w:fill="FDE9D9" w:themeFill="accent6" w:themeFillTint="33"/>
            <w:vAlign w:val="center"/>
          </w:tcPr>
          <w:p w14:paraId="163251F0" w14:textId="77777777" w:rsidR="00500275" w:rsidRPr="006F4D4F" w:rsidRDefault="00500275" w:rsidP="00AF5EC7">
            <w:pPr>
              <w:jc w:val="center"/>
              <w:rPr>
                <w:b/>
                <w:sz w:val="18"/>
                <w:szCs w:val="18"/>
                <w:lang w:val="fr-FR"/>
              </w:rPr>
            </w:pPr>
          </w:p>
        </w:tc>
        <w:tc>
          <w:tcPr>
            <w:tcW w:w="103" w:type="pct"/>
            <w:shd w:val="clear" w:color="auto" w:fill="FDE9D9" w:themeFill="accent6" w:themeFillTint="33"/>
            <w:vAlign w:val="center"/>
          </w:tcPr>
          <w:p w14:paraId="237E1857" w14:textId="77777777" w:rsidR="00500275" w:rsidRPr="006F4D4F" w:rsidRDefault="00500275" w:rsidP="00AF5EC7">
            <w:pPr>
              <w:jc w:val="center"/>
              <w:rPr>
                <w:b/>
                <w:sz w:val="18"/>
                <w:szCs w:val="18"/>
                <w:lang w:val="fr-FR"/>
              </w:rPr>
            </w:pPr>
          </w:p>
        </w:tc>
        <w:tc>
          <w:tcPr>
            <w:tcW w:w="95" w:type="pct"/>
            <w:shd w:val="clear" w:color="auto" w:fill="FDE9D9" w:themeFill="accent6" w:themeFillTint="33"/>
            <w:vAlign w:val="center"/>
          </w:tcPr>
          <w:p w14:paraId="37788544" w14:textId="77777777" w:rsidR="00500275" w:rsidRPr="006F4D4F" w:rsidRDefault="00500275" w:rsidP="00AF5EC7">
            <w:pPr>
              <w:jc w:val="center"/>
              <w:rPr>
                <w:b/>
                <w:sz w:val="18"/>
                <w:szCs w:val="18"/>
                <w:lang w:val="fr-FR"/>
              </w:rPr>
            </w:pPr>
          </w:p>
        </w:tc>
        <w:tc>
          <w:tcPr>
            <w:tcW w:w="90" w:type="pct"/>
            <w:shd w:val="clear" w:color="auto" w:fill="FDE9D9" w:themeFill="accent6" w:themeFillTint="33"/>
            <w:vAlign w:val="center"/>
          </w:tcPr>
          <w:p w14:paraId="259D5C5E" w14:textId="77777777" w:rsidR="00500275" w:rsidRPr="006F4D4F" w:rsidRDefault="00500275" w:rsidP="00AF5EC7">
            <w:pPr>
              <w:jc w:val="center"/>
              <w:rPr>
                <w:b/>
                <w:sz w:val="18"/>
                <w:szCs w:val="18"/>
                <w:lang w:val="fr-FR"/>
              </w:rPr>
            </w:pPr>
          </w:p>
        </w:tc>
        <w:tc>
          <w:tcPr>
            <w:tcW w:w="110" w:type="pct"/>
            <w:shd w:val="clear" w:color="auto" w:fill="auto"/>
            <w:vAlign w:val="center"/>
          </w:tcPr>
          <w:p w14:paraId="20ED53BF" w14:textId="77777777" w:rsidR="00500275" w:rsidRPr="006F4D4F" w:rsidRDefault="00500275" w:rsidP="00AF5EC7">
            <w:pPr>
              <w:jc w:val="center"/>
              <w:rPr>
                <w:b/>
                <w:sz w:val="18"/>
                <w:szCs w:val="18"/>
                <w:lang w:val="fr-FR"/>
              </w:rPr>
            </w:pPr>
          </w:p>
        </w:tc>
        <w:tc>
          <w:tcPr>
            <w:tcW w:w="110" w:type="pct"/>
            <w:shd w:val="clear" w:color="auto" w:fill="auto"/>
            <w:vAlign w:val="center"/>
          </w:tcPr>
          <w:p w14:paraId="4BB298CF" w14:textId="77777777" w:rsidR="00500275" w:rsidRPr="006F4D4F" w:rsidRDefault="00500275" w:rsidP="00AF5EC7">
            <w:pPr>
              <w:jc w:val="center"/>
              <w:rPr>
                <w:b/>
                <w:sz w:val="18"/>
                <w:szCs w:val="18"/>
                <w:lang w:val="fr-FR"/>
              </w:rPr>
            </w:pPr>
          </w:p>
        </w:tc>
        <w:tc>
          <w:tcPr>
            <w:tcW w:w="110" w:type="pct"/>
            <w:shd w:val="clear" w:color="auto" w:fill="auto"/>
            <w:vAlign w:val="center"/>
          </w:tcPr>
          <w:p w14:paraId="1D9D0F8C" w14:textId="77777777" w:rsidR="00500275" w:rsidRPr="006F4D4F" w:rsidRDefault="00500275" w:rsidP="00AF5EC7">
            <w:pPr>
              <w:jc w:val="center"/>
              <w:rPr>
                <w:b/>
                <w:sz w:val="18"/>
                <w:szCs w:val="18"/>
                <w:lang w:val="fr-FR"/>
              </w:rPr>
            </w:pPr>
          </w:p>
        </w:tc>
        <w:tc>
          <w:tcPr>
            <w:tcW w:w="110" w:type="pct"/>
            <w:shd w:val="clear" w:color="auto" w:fill="auto"/>
            <w:vAlign w:val="center"/>
          </w:tcPr>
          <w:p w14:paraId="2D6A393D" w14:textId="77777777" w:rsidR="00500275" w:rsidRPr="006F4D4F" w:rsidRDefault="00500275" w:rsidP="00AF5EC7">
            <w:pPr>
              <w:jc w:val="center"/>
              <w:rPr>
                <w:b/>
                <w:sz w:val="18"/>
                <w:szCs w:val="18"/>
                <w:lang w:val="fr-FR"/>
              </w:rPr>
            </w:pPr>
          </w:p>
        </w:tc>
        <w:tc>
          <w:tcPr>
            <w:tcW w:w="110" w:type="pct"/>
            <w:shd w:val="clear" w:color="auto" w:fill="auto"/>
            <w:vAlign w:val="center"/>
          </w:tcPr>
          <w:p w14:paraId="5F22A8A8" w14:textId="77777777" w:rsidR="00500275" w:rsidRPr="006F4D4F" w:rsidRDefault="00500275" w:rsidP="00AF5EC7">
            <w:pPr>
              <w:jc w:val="center"/>
              <w:rPr>
                <w:b/>
                <w:sz w:val="18"/>
                <w:szCs w:val="18"/>
                <w:lang w:val="fr-FR"/>
              </w:rPr>
            </w:pPr>
          </w:p>
        </w:tc>
        <w:tc>
          <w:tcPr>
            <w:tcW w:w="101" w:type="pct"/>
            <w:shd w:val="clear" w:color="auto" w:fill="auto"/>
            <w:vAlign w:val="center"/>
          </w:tcPr>
          <w:p w14:paraId="4FAD2A85" w14:textId="77777777" w:rsidR="00500275" w:rsidRPr="006F4D4F" w:rsidRDefault="00500275" w:rsidP="00AF5EC7">
            <w:pPr>
              <w:jc w:val="center"/>
              <w:rPr>
                <w:b/>
                <w:sz w:val="18"/>
                <w:szCs w:val="18"/>
                <w:lang w:val="fr-FR"/>
              </w:rPr>
            </w:pPr>
          </w:p>
        </w:tc>
        <w:tc>
          <w:tcPr>
            <w:tcW w:w="156" w:type="pct"/>
            <w:shd w:val="clear" w:color="auto" w:fill="auto"/>
            <w:vAlign w:val="center"/>
          </w:tcPr>
          <w:p w14:paraId="414502F6" w14:textId="77777777" w:rsidR="00500275" w:rsidRPr="006F4D4F" w:rsidRDefault="00500275" w:rsidP="00AF5EC7">
            <w:pPr>
              <w:jc w:val="center"/>
              <w:rPr>
                <w:b/>
                <w:sz w:val="18"/>
                <w:szCs w:val="18"/>
                <w:lang w:val="fr-FR"/>
              </w:rPr>
            </w:pPr>
          </w:p>
        </w:tc>
        <w:tc>
          <w:tcPr>
            <w:tcW w:w="156" w:type="pct"/>
            <w:shd w:val="clear" w:color="auto" w:fill="auto"/>
            <w:vAlign w:val="center"/>
          </w:tcPr>
          <w:p w14:paraId="0F8F7E9F" w14:textId="77777777" w:rsidR="00500275" w:rsidRPr="006F4D4F" w:rsidRDefault="00500275" w:rsidP="00AF5EC7">
            <w:pPr>
              <w:jc w:val="center"/>
              <w:rPr>
                <w:b/>
                <w:sz w:val="18"/>
                <w:szCs w:val="18"/>
                <w:lang w:val="fr-FR"/>
              </w:rPr>
            </w:pPr>
          </w:p>
        </w:tc>
        <w:tc>
          <w:tcPr>
            <w:tcW w:w="155" w:type="pct"/>
            <w:shd w:val="clear" w:color="auto" w:fill="auto"/>
            <w:vAlign w:val="center"/>
          </w:tcPr>
          <w:p w14:paraId="0EF958C8"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0ECF9AEB" w14:textId="77777777" w:rsidR="00500275" w:rsidRPr="006F4D4F" w:rsidRDefault="00500275" w:rsidP="00AF5EC7">
            <w:pPr>
              <w:jc w:val="center"/>
              <w:rPr>
                <w:b/>
                <w:sz w:val="18"/>
                <w:szCs w:val="18"/>
                <w:lang w:val="fr-FR"/>
              </w:rPr>
            </w:pPr>
          </w:p>
        </w:tc>
        <w:tc>
          <w:tcPr>
            <w:tcW w:w="105" w:type="pct"/>
            <w:shd w:val="clear" w:color="auto" w:fill="F2F2F2" w:themeFill="background1" w:themeFillShade="F2"/>
            <w:vAlign w:val="center"/>
          </w:tcPr>
          <w:p w14:paraId="4D76EDEE" w14:textId="77777777" w:rsidR="00500275" w:rsidRPr="006F4D4F" w:rsidRDefault="00500275" w:rsidP="00AF5EC7">
            <w:pPr>
              <w:jc w:val="center"/>
              <w:rPr>
                <w:b/>
                <w:sz w:val="18"/>
                <w:szCs w:val="18"/>
                <w:lang w:val="fr-FR"/>
              </w:rPr>
            </w:pPr>
          </w:p>
        </w:tc>
        <w:tc>
          <w:tcPr>
            <w:tcW w:w="99" w:type="pct"/>
            <w:shd w:val="clear" w:color="auto" w:fill="F2F2F2" w:themeFill="background1" w:themeFillShade="F2"/>
            <w:vAlign w:val="center"/>
          </w:tcPr>
          <w:p w14:paraId="6692A504" w14:textId="77777777" w:rsidR="00500275" w:rsidRPr="006F4D4F" w:rsidRDefault="00500275" w:rsidP="00AF5EC7">
            <w:pPr>
              <w:jc w:val="center"/>
              <w:rPr>
                <w:b/>
                <w:sz w:val="18"/>
                <w:szCs w:val="18"/>
                <w:lang w:val="fr-FR"/>
              </w:rPr>
            </w:pPr>
          </w:p>
        </w:tc>
        <w:tc>
          <w:tcPr>
            <w:tcW w:w="90" w:type="pct"/>
            <w:shd w:val="clear" w:color="auto" w:fill="F2F2F2" w:themeFill="background1" w:themeFillShade="F2"/>
            <w:vAlign w:val="center"/>
          </w:tcPr>
          <w:p w14:paraId="22D17753" w14:textId="77777777" w:rsidR="00500275" w:rsidRPr="006F4D4F" w:rsidRDefault="00500275" w:rsidP="00AF5EC7">
            <w:pPr>
              <w:jc w:val="center"/>
              <w:rPr>
                <w:b/>
                <w:sz w:val="18"/>
                <w:szCs w:val="18"/>
                <w:lang w:val="fr-FR"/>
              </w:rPr>
            </w:pPr>
          </w:p>
        </w:tc>
        <w:tc>
          <w:tcPr>
            <w:tcW w:w="110" w:type="pct"/>
            <w:gridSpan w:val="2"/>
            <w:shd w:val="clear" w:color="auto" w:fill="F2F2F2" w:themeFill="background1" w:themeFillShade="F2"/>
            <w:vAlign w:val="center"/>
          </w:tcPr>
          <w:p w14:paraId="58DB8211"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7819BAFC"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0E275C92"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17170CCE" w14:textId="77777777" w:rsidR="00500275" w:rsidRPr="006F4D4F" w:rsidRDefault="00500275" w:rsidP="00AF5EC7">
            <w:pPr>
              <w:jc w:val="center"/>
              <w:rPr>
                <w:b/>
                <w:sz w:val="18"/>
                <w:szCs w:val="18"/>
                <w:lang w:val="fr-FR"/>
              </w:rPr>
            </w:pPr>
          </w:p>
        </w:tc>
        <w:tc>
          <w:tcPr>
            <w:tcW w:w="110" w:type="pct"/>
            <w:shd w:val="clear" w:color="auto" w:fill="F2F2F2" w:themeFill="background1" w:themeFillShade="F2"/>
            <w:vAlign w:val="center"/>
          </w:tcPr>
          <w:p w14:paraId="6A53046A" w14:textId="77777777" w:rsidR="00500275" w:rsidRPr="006F4D4F" w:rsidRDefault="00500275" w:rsidP="00AF5EC7">
            <w:pPr>
              <w:jc w:val="center"/>
              <w:rPr>
                <w:b/>
                <w:sz w:val="18"/>
                <w:szCs w:val="18"/>
                <w:lang w:val="fr-FR"/>
              </w:rPr>
            </w:pPr>
          </w:p>
        </w:tc>
        <w:tc>
          <w:tcPr>
            <w:tcW w:w="149" w:type="pct"/>
            <w:shd w:val="clear" w:color="auto" w:fill="F2F2F2" w:themeFill="background1" w:themeFillShade="F2"/>
            <w:vAlign w:val="center"/>
          </w:tcPr>
          <w:p w14:paraId="0DDD3E96" w14:textId="77777777" w:rsidR="00500275" w:rsidRPr="006F4D4F" w:rsidRDefault="00500275" w:rsidP="00AF5EC7">
            <w:pPr>
              <w:jc w:val="center"/>
              <w:rPr>
                <w:b/>
                <w:sz w:val="18"/>
                <w:szCs w:val="18"/>
                <w:lang w:val="fr-FR"/>
              </w:rPr>
            </w:pPr>
          </w:p>
        </w:tc>
        <w:tc>
          <w:tcPr>
            <w:tcW w:w="156" w:type="pct"/>
            <w:shd w:val="clear" w:color="auto" w:fill="F2F2F2" w:themeFill="background1" w:themeFillShade="F2"/>
            <w:vAlign w:val="center"/>
          </w:tcPr>
          <w:p w14:paraId="7BB6BF6E" w14:textId="77777777" w:rsidR="00500275" w:rsidRPr="006F4D4F" w:rsidRDefault="00500275" w:rsidP="00AF5EC7">
            <w:pPr>
              <w:jc w:val="center"/>
              <w:rPr>
                <w:b/>
                <w:sz w:val="18"/>
                <w:szCs w:val="18"/>
                <w:lang w:val="fr-FR"/>
              </w:rPr>
            </w:pPr>
          </w:p>
        </w:tc>
        <w:tc>
          <w:tcPr>
            <w:tcW w:w="158" w:type="pct"/>
            <w:shd w:val="clear" w:color="auto" w:fill="F2F2F2" w:themeFill="background1" w:themeFillShade="F2"/>
            <w:vAlign w:val="center"/>
          </w:tcPr>
          <w:p w14:paraId="2CDACEFB" w14:textId="77777777" w:rsidR="00500275" w:rsidRPr="006F4D4F" w:rsidRDefault="00500275" w:rsidP="00AF5EC7">
            <w:pPr>
              <w:jc w:val="center"/>
              <w:rPr>
                <w:b/>
                <w:sz w:val="18"/>
                <w:szCs w:val="18"/>
                <w:lang w:val="fr-FR"/>
              </w:rPr>
            </w:pPr>
          </w:p>
        </w:tc>
        <w:tc>
          <w:tcPr>
            <w:tcW w:w="104" w:type="pct"/>
            <w:shd w:val="clear" w:color="auto" w:fill="auto"/>
            <w:vAlign w:val="center"/>
          </w:tcPr>
          <w:p w14:paraId="61433BF0" w14:textId="77777777" w:rsidR="00500275" w:rsidRPr="006F4D4F" w:rsidRDefault="00500275" w:rsidP="00AF5EC7">
            <w:pPr>
              <w:jc w:val="center"/>
              <w:rPr>
                <w:b/>
                <w:sz w:val="18"/>
                <w:szCs w:val="18"/>
                <w:lang w:val="fr-FR"/>
              </w:rPr>
            </w:pPr>
          </w:p>
        </w:tc>
        <w:tc>
          <w:tcPr>
            <w:tcW w:w="87" w:type="pct"/>
            <w:shd w:val="clear" w:color="auto" w:fill="auto"/>
            <w:vAlign w:val="center"/>
          </w:tcPr>
          <w:p w14:paraId="6B5F4E56" w14:textId="77777777" w:rsidR="00500275" w:rsidRPr="006F4D4F" w:rsidRDefault="00500275" w:rsidP="00AF5EC7">
            <w:pPr>
              <w:jc w:val="center"/>
              <w:rPr>
                <w:b/>
                <w:sz w:val="18"/>
                <w:szCs w:val="18"/>
                <w:lang w:val="fr-FR"/>
              </w:rPr>
            </w:pPr>
          </w:p>
        </w:tc>
        <w:tc>
          <w:tcPr>
            <w:tcW w:w="126" w:type="pct"/>
            <w:gridSpan w:val="2"/>
            <w:shd w:val="clear" w:color="auto" w:fill="auto"/>
            <w:vAlign w:val="center"/>
          </w:tcPr>
          <w:p w14:paraId="424D2584" w14:textId="77777777" w:rsidR="00500275" w:rsidRPr="006F4D4F" w:rsidRDefault="00500275" w:rsidP="00AF5EC7">
            <w:pPr>
              <w:jc w:val="center"/>
              <w:rPr>
                <w:b/>
                <w:sz w:val="18"/>
                <w:szCs w:val="18"/>
                <w:lang w:val="fr-FR"/>
              </w:rPr>
            </w:pPr>
          </w:p>
        </w:tc>
        <w:tc>
          <w:tcPr>
            <w:tcW w:w="104" w:type="pct"/>
            <w:gridSpan w:val="2"/>
            <w:shd w:val="clear" w:color="auto" w:fill="auto"/>
            <w:vAlign w:val="center"/>
          </w:tcPr>
          <w:p w14:paraId="24A4FE90" w14:textId="77777777" w:rsidR="00500275" w:rsidRPr="006F4D4F" w:rsidRDefault="00500275" w:rsidP="00AF5EC7">
            <w:pPr>
              <w:jc w:val="center"/>
              <w:rPr>
                <w:b/>
                <w:sz w:val="18"/>
                <w:szCs w:val="18"/>
                <w:lang w:val="fr-FR"/>
              </w:rPr>
            </w:pPr>
          </w:p>
        </w:tc>
        <w:tc>
          <w:tcPr>
            <w:tcW w:w="103" w:type="pct"/>
            <w:gridSpan w:val="2"/>
            <w:shd w:val="clear" w:color="auto" w:fill="auto"/>
            <w:vAlign w:val="center"/>
          </w:tcPr>
          <w:p w14:paraId="68C6AA55" w14:textId="77777777" w:rsidR="00500275" w:rsidRPr="006F4D4F" w:rsidRDefault="00500275" w:rsidP="00AF5EC7">
            <w:pPr>
              <w:jc w:val="center"/>
              <w:rPr>
                <w:b/>
                <w:sz w:val="18"/>
                <w:szCs w:val="18"/>
                <w:lang w:val="fr-FR"/>
              </w:rPr>
            </w:pPr>
          </w:p>
        </w:tc>
        <w:tc>
          <w:tcPr>
            <w:tcW w:w="106" w:type="pct"/>
            <w:shd w:val="clear" w:color="auto" w:fill="auto"/>
            <w:vAlign w:val="center"/>
          </w:tcPr>
          <w:p w14:paraId="28817EC9" w14:textId="77777777" w:rsidR="00500275" w:rsidRPr="006F4D4F" w:rsidRDefault="00500275" w:rsidP="00AF5EC7">
            <w:pPr>
              <w:jc w:val="center"/>
              <w:rPr>
                <w:b/>
                <w:sz w:val="18"/>
                <w:szCs w:val="18"/>
                <w:lang w:val="fr-FR"/>
              </w:rPr>
            </w:pPr>
          </w:p>
        </w:tc>
        <w:tc>
          <w:tcPr>
            <w:tcW w:w="101" w:type="pct"/>
            <w:shd w:val="clear" w:color="auto" w:fill="auto"/>
            <w:vAlign w:val="center"/>
          </w:tcPr>
          <w:p w14:paraId="0AE99AD2" w14:textId="77777777" w:rsidR="00500275" w:rsidRPr="006F4D4F" w:rsidRDefault="00500275" w:rsidP="00AF5EC7">
            <w:pPr>
              <w:jc w:val="center"/>
              <w:rPr>
                <w:b/>
                <w:sz w:val="18"/>
                <w:szCs w:val="18"/>
                <w:lang w:val="fr-FR"/>
              </w:rPr>
            </w:pPr>
          </w:p>
        </w:tc>
        <w:tc>
          <w:tcPr>
            <w:tcW w:w="157" w:type="pct"/>
            <w:gridSpan w:val="2"/>
            <w:shd w:val="clear" w:color="auto" w:fill="auto"/>
            <w:vAlign w:val="center"/>
          </w:tcPr>
          <w:p w14:paraId="3EE52DCD" w14:textId="77777777" w:rsidR="00500275" w:rsidRPr="006F4D4F" w:rsidRDefault="00500275" w:rsidP="00AF5EC7">
            <w:pPr>
              <w:jc w:val="center"/>
              <w:rPr>
                <w:b/>
                <w:sz w:val="18"/>
                <w:szCs w:val="18"/>
                <w:lang w:val="fr-FR"/>
              </w:rPr>
            </w:pPr>
          </w:p>
        </w:tc>
      </w:tr>
    </w:tbl>
    <w:p w14:paraId="7D6C01C3" w14:textId="3861B357" w:rsidR="001D0371" w:rsidRPr="006F4D4F" w:rsidRDefault="001D0371" w:rsidP="00D17A31">
      <w:pPr>
        <w:pStyle w:val="Titre1"/>
      </w:pPr>
      <w:bookmarkStart w:id="526" w:name="_Toc44423217"/>
      <w:bookmarkStart w:id="527" w:name="_Toc44423732"/>
      <w:bookmarkStart w:id="528" w:name="_Toc54336704"/>
      <w:r w:rsidRPr="006F4D4F">
        <w:t>ANNEX</w:t>
      </w:r>
      <w:r w:rsidR="00173874">
        <w:t>E</w:t>
      </w:r>
      <w:r w:rsidRPr="006F4D4F">
        <w:t xml:space="preserve"> 1</w:t>
      </w:r>
      <w:r w:rsidR="00173874">
        <w:t> </w:t>
      </w:r>
      <w:r w:rsidR="00AF5EC7">
        <w:t>–</w:t>
      </w:r>
      <w:r w:rsidRPr="006F4D4F">
        <w:t xml:space="preserve"> </w:t>
      </w:r>
      <w:bookmarkEnd w:id="526"/>
      <w:bookmarkEnd w:id="527"/>
      <w:r w:rsidR="00A904B0" w:rsidRPr="006F4D4F">
        <w:t>Plan</w:t>
      </w:r>
      <w:r w:rsidR="00173874">
        <w:t xml:space="preserve"> de travail indicatif</w:t>
      </w:r>
      <w:bookmarkEnd w:id="528"/>
    </w:p>
    <w:bookmarkEnd w:id="522"/>
    <w:bookmarkEnd w:id="523"/>
    <w:bookmarkEnd w:id="524"/>
    <w:bookmarkEnd w:id="525"/>
    <w:p w14:paraId="121E6F9B" w14:textId="705FFEDA" w:rsidR="00F46611" w:rsidRPr="006F4D4F" w:rsidRDefault="00173874" w:rsidP="00304E6A">
      <w:pPr>
        <w:pStyle w:val="BTCBodyText"/>
        <w:rPr>
          <w:rFonts w:cs="Arial"/>
          <w:lang w:val="fr-FR"/>
        </w:rPr>
      </w:pPr>
      <w:r>
        <w:rPr>
          <w:rFonts w:cs="Arial"/>
          <w:lang w:val="fr-FR"/>
        </w:rPr>
        <w:t>La phase préparatoire, pendant laquelle seront mises en place les structures nécessaires à l’exécution du projet, durera environ 9 mois (orange). La rédaction du plan de travail interviendra dans le cadre des premières activités de la phase préparatoire.</w:t>
      </w:r>
      <w:r w:rsidR="00AF5EC7">
        <w:rPr>
          <w:rFonts w:cs="Arial"/>
          <w:lang w:val="fr-FR"/>
        </w:rPr>
        <w:t xml:space="preserve"> Un </w:t>
      </w:r>
      <w:r w:rsidR="00BC1B6D">
        <w:rPr>
          <w:rFonts w:cs="Arial"/>
          <w:lang w:val="fr-FR"/>
        </w:rPr>
        <w:t>exemple d’</w:t>
      </w:r>
      <w:r w:rsidR="00AF5EC7">
        <w:rPr>
          <w:rFonts w:cs="Arial"/>
          <w:lang w:val="fr-FR"/>
        </w:rPr>
        <w:t xml:space="preserve">organigramme des activités à mettre en œuvre est présenté au chapitre </w:t>
      </w:r>
      <w:r w:rsidR="00304E6A" w:rsidRPr="006F4D4F">
        <w:rPr>
          <w:rFonts w:cs="Arial"/>
          <w:lang w:val="fr-FR"/>
        </w:rPr>
        <w:t>1.6</w:t>
      </w:r>
      <w:r w:rsidR="0081180A" w:rsidRPr="006F4D4F">
        <w:rPr>
          <w:rFonts w:cs="Arial"/>
          <w:lang w:val="fr-FR"/>
        </w:rPr>
        <w:t>.</w:t>
      </w:r>
      <w:bookmarkStart w:id="529" w:name="_Toc20239599"/>
      <w:bookmarkStart w:id="530" w:name="_Toc20239690"/>
    </w:p>
    <w:p w14:paraId="0D7C4C95" w14:textId="77777777" w:rsidR="00304E6A" w:rsidRPr="006F4D4F" w:rsidRDefault="00F46611" w:rsidP="00304E6A">
      <w:pPr>
        <w:pStyle w:val="Notedebasdepage"/>
        <w:rPr>
          <w:lang w:val="fr-FR"/>
        </w:rPr>
      </w:pPr>
      <w:r w:rsidRPr="006F4D4F">
        <w:rPr>
          <w:lang w:val="fr-FR"/>
        </w:rPr>
        <w:br/>
      </w:r>
      <w:bookmarkStart w:id="531" w:name="_Toc44423218"/>
      <w:bookmarkStart w:id="532" w:name="_Toc44423733"/>
    </w:p>
    <w:p w14:paraId="3919BD4A" w14:textId="77777777" w:rsidR="00304E6A" w:rsidRPr="006F4D4F" w:rsidRDefault="00304E6A">
      <w:pPr>
        <w:spacing w:before="0"/>
        <w:rPr>
          <w:rFonts w:eastAsia="Arial Unicode MS"/>
          <w:b/>
          <w:bCs/>
          <w:color w:val="50B848"/>
          <w:kern w:val="1"/>
          <w:sz w:val="32"/>
          <w:szCs w:val="48"/>
          <w:lang w:val="fr-FR"/>
        </w:rPr>
      </w:pPr>
      <w:r w:rsidRPr="006F4D4F">
        <w:rPr>
          <w:lang w:val="fr-FR"/>
        </w:rPr>
        <w:br w:type="page"/>
      </w:r>
    </w:p>
    <w:p w14:paraId="26139AEA" w14:textId="16E421FF" w:rsidR="005216EF" w:rsidRPr="006F4D4F" w:rsidRDefault="005D4A17" w:rsidP="00304E6A">
      <w:pPr>
        <w:pStyle w:val="Titre1"/>
      </w:pPr>
      <w:bookmarkStart w:id="533" w:name="_Toc54336705"/>
      <w:r w:rsidRPr="006F4D4F">
        <w:t>ANNEX</w:t>
      </w:r>
      <w:r w:rsidR="00AF5EC7">
        <w:t>E</w:t>
      </w:r>
      <w:r w:rsidR="00F46611" w:rsidRPr="006F4D4F">
        <w:t xml:space="preserve"> 2</w:t>
      </w:r>
      <w:r w:rsidR="00AF5EC7">
        <w:t> –</w:t>
      </w:r>
      <w:r w:rsidR="00457403" w:rsidRPr="006F4D4F">
        <w:t xml:space="preserve"> </w:t>
      </w:r>
      <w:r w:rsidR="009B46E8" w:rsidRPr="006F4D4F">
        <w:t>Indicat</w:t>
      </w:r>
      <w:r w:rsidR="00AF5EC7">
        <w:t>eurs et moyens de vérification</w:t>
      </w:r>
      <w:bookmarkEnd w:id="529"/>
      <w:bookmarkEnd w:id="530"/>
      <w:bookmarkEnd w:id="531"/>
      <w:bookmarkEnd w:id="532"/>
      <w:r w:rsidR="00152814" w:rsidRPr="006F4D4F">
        <w:rPr>
          <w:rStyle w:val="Appelnotedebasdep"/>
        </w:rPr>
        <w:footnoteReference w:id="10"/>
      </w:r>
      <w:bookmarkEnd w:id="533"/>
    </w:p>
    <w:p w14:paraId="443F311C" w14:textId="36CF87C3" w:rsidR="009622ED" w:rsidRDefault="00AF5EC7" w:rsidP="005D253B">
      <w:pPr>
        <w:pStyle w:val="BTCBodyText"/>
        <w:rPr>
          <w:rFonts w:cs="Arial"/>
          <w:lang w:val="fr-FR"/>
        </w:rPr>
      </w:pPr>
      <w:r>
        <w:rPr>
          <w:rFonts w:cs="Arial"/>
          <w:lang w:val="fr-FR"/>
        </w:rPr>
        <w:t xml:space="preserve">Le cadre logique, les indicateurs et les moyens de vérification seront évalués dans la phase préparatoire. Sur la base des </w:t>
      </w:r>
      <w:r w:rsidR="00331E28">
        <w:rPr>
          <w:rFonts w:cs="Arial"/>
          <w:lang w:val="fr-FR"/>
        </w:rPr>
        <w:t>valeurs</w:t>
      </w:r>
      <w:r>
        <w:rPr>
          <w:rFonts w:cs="Arial"/>
          <w:lang w:val="fr-FR"/>
        </w:rPr>
        <w:t xml:space="preserve"> de référence, l’autorité contractante présentera au </w:t>
      </w:r>
      <w:r w:rsidR="00B2732A">
        <w:rPr>
          <w:rFonts w:cs="Arial"/>
          <w:lang w:val="fr-FR"/>
        </w:rPr>
        <w:t>Comité de Pilotage</w:t>
      </w:r>
      <w:r>
        <w:rPr>
          <w:rFonts w:cs="Arial"/>
          <w:lang w:val="fr-FR"/>
        </w:rPr>
        <w:t xml:space="preserve"> pour accord de nouveaux indicateurs ou des indicateurs complémentaires ou révisés et les sources de vérification. Par ailleurs, les valeurs et les cibles feront l’objet d’un réexamen formel entre 12 et 18 mois après la mise en œuvre, à un point où la plupart des projets sont à un stade de développement avancé. Le Centre de coordination facilitera ce réexamen. </w:t>
      </w:r>
      <w:r w:rsidR="00281A45">
        <w:rPr>
          <w:rFonts w:cs="Arial"/>
          <w:lang w:val="fr-FR"/>
        </w:rPr>
        <w:t>En accord avec la nature axée sur les opportunités du programme, la conception du projet pourra mener la VET Toolbox 2 vers des types d’interventions dont le profil de résultats diffère de celui estimé pendant l’élaboration du projet. Veiller à la conception de projets ayant une pertinence et exerçant un impact majeurs au niveau local plutôt que de projets répondant à un cadre de résu</w:t>
      </w:r>
      <w:r w:rsidR="00331E28">
        <w:rPr>
          <w:rFonts w:cs="Arial"/>
          <w:lang w:val="fr-FR"/>
        </w:rPr>
        <w:t>l</w:t>
      </w:r>
      <w:r w:rsidR="00281A45">
        <w:rPr>
          <w:rFonts w:cs="Arial"/>
          <w:lang w:val="fr-FR"/>
        </w:rPr>
        <w:t>tats est un principe important.</w:t>
      </w:r>
      <w:r w:rsidR="000A20C5">
        <w:rPr>
          <w:rFonts w:cs="Arial"/>
          <w:lang w:val="fr-FR"/>
        </w:rPr>
        <w:t xml:space="preserve"> </w:t>
      </w:r>
      <w:r w:rsidR="00281A45">
        <w:rPr>
          <w:rFonts w:cs="Arial"/>
          <w:lang w:val="fr-FR"/>
        </w:rPr>
        <w:t xml:space="preserve">Il convient de remarquer que le mécanisme n’a pas pour but de réduire l’ambition de la VET Toolbox 2 mais de </w:t>
      </w:r>
      <w:r w:rsidR="00871686">
        <w:rPr>
          <w:rFonts w:cs="Arial"/>
          <w:lang w:val="fr-FR"/>
        </w:rPr>
        <w:t xml:space="preserve">veiller à l’intégration d’une approche adaptative et localement pertinente dans la conception du programme. On pourra par exemple considérer la cible de 75 % dans l’objectif spécifique trop basse ou trop haute en fonction de l’intensité ou du mode de formation. Autre exemple, un niveau élevé d’apprentissage devrait donner lieu à un placement professionnel de 100 % mais aura pour effet de perfectionner les compétences d’un nombre total de personnes </w:t>
      </w:r>
      <w:r w:rsidR="00871686" w:rsidRPr="00CA02FC">
        <w:rPr>
          <w:rFonts w:cs="Arial"/>
          <w:lang w:val="fr-FR"/>
        </w:rPr>
        <w:t>formées moins élevé.</w:t>
      </w:r>
    </w:p>
    <w:p w14:paraId="21224660" w14:textId="77777777" w:rsidR="009622ED" w:rsidRDefault="009622ED">
      <w:pPr>
        <w:spacing w:before="0"/>
        <w:rPr>
          <w:color w:val="auto"/>
          <w:kern w:val="18"/>
          <w:lang w:val="fr-FR"/>
        </w:rPr>
      </w:pPr>
      <w:r>
        <w:rPr>
          <w:lang w:val="fr-FR"/>
        </w:rPr>
        <w:br w:type="page"/>
      </w:r>
    </w:p>
    <w:p w14:paraId="0D398AFC" w14:textId="77777777" w:rsidR="00CA0428" w:rsidRPr="006F4D4F" w:rsidRDefault="00CA0428" w:rsidP="00F712EF">
      <w:pPr>
        <w:rPr>
          <w:lang w:val="fr-FR"/>
        </w:rPr>
      </w:pPr>
    </w:p>
    <w:tbl>
      <w:tblPr>
        <w:tblW w:w="13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067"/>
        <w:gridCol w:w="4395"/>
        <w:gridCol w:w="1843"/>
        <w:gridCol w:w="1842"/>
      </w:tblGrid>
      <w:tr w:rsidR="0013626F" w:rsidRPr="006F4D4F" w14:paraId="7246C246" w14:textId="77777777" w:rsidTr="005D253B">
        <w:trPr>
          <w:jc w:val="center"/>
        </w:trPr>
        <w:tc>
          <w:tcPr>
            <w:tcW w:w="1560" w:type="dxa"/>
            <w:tcBorders>
              <w:bottom w:val="single" w:sz="4" w:space="0" w:color="auto"/>
            </w:tcBorders>
            <w:shd w:val="clear" w:color="auto" w:fill="BFBFBF" w:themeFill="background1" w:themeFillShade="BF"/>
          </w:tcPr>
          <w:p w14:paraId="5F07CD3C" w14:textId="77777777" w:rsidR="0013626F" w:rsidRPr="006F4D4F" w:rsidRDefault="0013626F" w:rsidP="00F46611">
            <w:pPr>
              <w:spacing w:before="0"/>
              <w:rPr>
                <w:rFonts w:ascii="Times New Roman" w:hAnsi="Times New Roman" w:cs="Times New Roman"/>
                <w:color w:val="auto"/>
                <w:sz w:val="24"/>
                <w:szCs w:val="24"/>
                <w:lang w:val="fr-FR" w:eastAsia="en-GB"/>
              </w:rPr>
            </w:pPr>
            <w:bookmarkStart w:id="534" w:name="_Hlk35266491"/>
          </w:p>
        </w:tc>
        <w:tc>
          <w:tcPr>
            <w:tcW w:w="4067" w:type="dxa"/>
            <w:tcBorders>
              <w:bottom w:val="single" w:sz="4" w:space="0" w:color="auto"/>
            </w:tcBorders>
            <w:shd w:val="clear" w:color="auto" w:fill="BFBFBF" w:themeFill="background1" w:themeFillShade="BF"/>
          </w:tcPr>
          <w:p w14:paraId="495953C8" w14:textId="640563FE" w:rsidR="0013626F" w:rsidRPr="006F4D4F" w:rsidRDefault="00A55A8D" w:rsidP="00F46611">
            <w:pPr>
              <w:spacing w:before="0"/>
              <w:jc w:val="center"/>
              <w:rPr>
                <w:rFonts w:ascii="Times New Roman" w:hAnsi="Times New Roman" w:cs="Calibri"/>
                <w:b/>
                <w:color w:val="auto"/>
                <w:lang w:val="fr-FR" w:eastAsia="en-GB"/>
              </w:rPr>
            </w:pPr>
            <w:r>
              <w:rPr>
                <w:rFonts w:ascii="Times New Roman" w:hAnsi="Times New Roman" w:cs="Calibri"/>
                <w:b/>
                <w:color w:val="auto"/>
                <w:lang w:val="fr-FR" w:eastAsia="en-GB"/>
              </w:rPr>
              <w:t>Chaîne de résultats </w:t>
            </w:r>
            <w:r w:rsidR="0013626F" w:rsidRPr="006F4D4F">
              <w:rPr>
                <w:rFonts w:ascii="Times New Roman" w:hAnsi="Times New Roman" w:cs="Calibri"/>
                <w:b/>
                <w:color w:val="auto"/>
                <w:lang w:val="fr-FR" w:eastAsia="en-GB"/>
              </w:rPr>
              <w:t>:</w:t>
            </w:r>
          </w:p>
        </w:tc>
        <w:tc>
          <w:tcPr>
            <w:tcW w:w="4395" w:type="dxa"/>
            <w:tcBorders>
              <w:bottom w:val="single" w:sz="4" w:space="0" w:color="auto"/>
            </w:tcBorders>
            <w:shd w:val="clear" w:color="auto" w:fill="BFBFBF" w:themeFill="background1" w:themeFillShade="BF"/>
          </w:tcPr>
          <w:p w14:paraId="02F00976" w14:textId="17472E6C" w:rsidR="0013626F" w:rsidRPr="006F4D4F" w:rsidRDefault="0013626F" w:rsidP="00F46611">
            <w:pPr>
              <w:spacing w:before="0"/>
              <w:jc w:val="center"/>
              <w:rPr>
                <w:rFonts w:ascii="Times New Roman" w:hAnsi="Times New Roman" w:cs="Calibri"/>
                <w:b/>
                <w:color w:val="auto"/>
                <w:szCs w:val="24"/>
                <w:lang w:val="fr-FR" w:eastAsia="en-GB"/>
              </w:rPr>
            </w:pPr>
            <w:r w:rsidRPr="006F4D4F">
              <w:rPr>
                <w:rFonts w:ascii="Times New Roman" w:hAnsi="Times New Roman" w:cs="Calibri"/>
                <w:b/>
                <w:color w:val="auto"/>
                <w:szCs w:val="24"/>
                <w:lang w:val="fr-FR" w:eastAsia="en-GB"/>
              </w:rPr>
              <w:t>Indicat</w:t>
            </w:r>
            <w:r w:rsidR="00A55A8D">
              <w:rPr>
                <w:rFonts w:ascii="Times New Roman" w:hAnsi="Times New Roman" w:cs="Calibri"/>
                <w:b/>
                <w:color w:val="auto"/>
                <w:szCs w:val="24"/>
                <w:lang w:val="fr-FR" w:eastAsia="en-GB"/>
              </w:rPr>
              <w:t>eurs</w:t>
            </w:r>
          </w:p>
          <w:p w14:paraId="4DA79343" w14:textId="77777777" w:rsidR="0013626F" w:rsidRPr="006F4D4F" w:rsidRDefault="0013626F" w:rsidP="00F46611">
            <w:pPr>
              <w:spacing w:before="0"/>
              <w:rPr>
                <w:rFonts w:ascii="Times New Roman" w:hAnsi="Times New Roman" w:cs="Calibri"/>
                <w:b/>
                <w:color w:val="auto"/>
                <w:szCs w:val="24"/>
                <w:lang w:val="fr-FR" w:eastAsia="en-GB"/>
              </w:rPr>
            </w:pPr>
          </w:p>
        </w:tc>
        <w:tc>
          <w:tcPr>
            <w:tcW w:w="1843" w:type="dxa"/>
            <w:tcBorders>
              <w:bottom w:val="single" w:sz="4" w:space="0" w:color="auto"/>
            </w:tcBorders>
            <w:shd w:val="clear" w:color="auto" w:fill="BFBFBF" w:themeFill="background1" w:themeFillShade="BF"/>
          </w:tcPr>
          <w:p w14:paraId="30C94F4E" w14:textId="4E0935BE" w:rsidR="0013626F" w:rsidRPr="006F4D4F" w:rsidRDefault="0013626F" w:rsidP="00F46611">
            <w:pPr>
              <w:spacing w:before="0"/>
              <w:jc w:val="center"/>
              <w:rPr>
                <w:rFonts w:ascii="Times New Roman" w:hAnsi="Times New Roman" w:cs="Calibri"/>
                <w:b/>
                <w:color w:val="auto"/>
                <w:szCs w:val="24"/>
                <w:lang w:val="fr-FR" w:eastAsia="en-GB"/>
              </w:rPr>
            </w:pPr>
            <w:r w:rsidRPr="006F4D4F">
              <w:rPr>
                <w:rFonts w:ascii="Times New Roman" w:hAnsi="Times New Roman" w:cs="Calibri"/>
                <w:b/>
                <w:color w:val="auto"/>
                <w:szCs w:val="24"/>
                <w:lang w:val="fr-FR" w:eastAsia="en-GB"/>
              </w:rPr>
              <w:t xml:space="preserve">Sources </w:t>
            </w:r>
            <w:r w:rsidR="00A55A8D">
              <w:rPr>
                <w:rFonts w:ascii="Times New Roman" w:hAnsi="Times New Roman" w:cs="Calibri"/>
                <w:b/>
                <w:color w:val="auto"/>
                <w:szCs w:val="24"/>
                <w:lang w:val="fr-FR" w:eastAsia="en-GB"/>
              </w:rPr>
              <w:t>des données</w:t>
            </w:r>
          </w:p>
        </w:tc>
        <w:tc>
          <w:tcPr>
            <w:tcW w:w="1842" w:type="dxa"/>
            <w:tcBorders>
              <w:bottom w:val="single" w:sz="4" w:space="0" w:color="auto"/>
            </w:tcBorders>
            <w:shd w:val="clear" w:color="auto" w:fill="BFBFBF" w:themeFill="background1" w:themeFillShade="BF"/>
          </w:tcPr>
          <w:p w14:paraId="35F42546" w14:textId="523CEF80" w:rsidR="0013626F" w:rsidRPr="006F4D4F" w:rsidRDefault="00A55A8D" w:rsidP="00F46611">
            <w:pPr>
              <w:spacing w:before="0"/>
              <w:jc w:val="center"/>
              <w:rPr>
                <w:rFonts w:ascii="Times New Roman" w:hAnsi="Times New Roman" w:cs="Calibri"/>
                <w:b/>
                <w:color w:val="auto"/>
                <w:szCs w:val="24"/>
                <w:lang w:val="fr-FR" w:eastAsia="en-GB"/>
              </w:rPr>
            </w:pPr>
            <w:r>
              <w:rPr>
                <w:rFonts w:ascii="Times New Roman" w:hAnsi="Times New Roman" w:cs="Calibri"/>
                <w:b/>
                <w:color w:val="auto"/>
                <w:szCs w:val="24"/>
                <w:lang w:val="fr-FR" w:eastAsia="en-GB"/>
              </w:rPr>
              <w:t>Hypothèses</w:t>
            </w:r>
          </w:p>
        </w:tc>
      </w:tr>
      <w:tr w:rsidR="0013626F" w:rsidRPr="006F4D4F" w14:paraId="0F49A3B1" w14:textId="77777777" w:rsidTr="005D253B">
        <w:trPr>
          <w:jc w:val="center"/>
        </w:trPr>
        <w:tc>
          <w:tcPr>
            <w:tcW w:w="1560" w:type="dxa"/>
            <w:shd w:val="clear" w:color="auto" w:fill="D9D9D9" w:themeFill="background1" w:themeFillShade="D9"/>
            <w:vAlign w:val="center"/>
          </w:tcPr>
          <w:p w14:paraId="1F97DB16" w14:textId="0979A6E9" w:rsidR="0013626F" w:rsidRPr="006F4D4F" w:rsidRDefault="0013626F" w:rsidP="00F46611">
            <w:pPr>
              <w:tabs>
                <w:tab w:val="left" w:pos="0"/>
                <w:tab w:val="left" w:pos="132"/>
              </w:tabs>
              <w:spacing w:before="0"/>
              <w:ind w:left="113" w:right="113"/>
              <w:rPr>
                <w:rFonts w:ascii="Times New Roman" w:hAnsi="Times New Roman" w:cs="Calibri"/>
                <w:b/>
                <w:color w:val="auto"/>
                <w:sz w:val="22"/>
                <w:szCs w:val="22"/>
                <w:lang w:val="fr-FR" w:eastAsia="en-GB"/>
              </w:rPr>
            </w:pPr>
            <w:bookmarkStart w:id="535" w:name="_Hlk40801671"/>
            <w:r w:rsidRPr="006F4D4F">
              <w:rPr>
                <w:rFonts w:ascii="Times New Roman" w:hAnsi="Times New Roman" w:cs="Calibri"/>
                <w:b/>
                <w:color w:val="auto"/>
                <w:sz w:val="22"/>
                <w:szCs w:val="22"/>
                <w:lang w:val="fr-FR" w:eastAsia="en-GB"/>
              </w:rPr>
              <w:t>Impact (</w:t>
            </w:r>
            <w:r w:rsidR="00A55A8D">
              <w:rPr>
                <w:rFonts w:ascii="Times New Roman" w:hAnsi="Times New Roman" w:cs="Calibri"/>
                <w:b/>
                <w:color w:val="auto"/>
                <w:sz w:val="22"/>
                <w:szCs w:val="22"/>
                <w:lang w:val="fr-FR" w:eastAsia="en-GB"/>
              </w:rPr>
              <w:t>objectif global</w:t>
            </w:r>
            <w:r w:rsidRPr="006F4D4F">
              <w:rPr>
                <w:rFonts w:ascii="Times New Roman" w:hAnsi="Times New Roman" w:cs="Calibri"/>
                <w:b/>
                <w:color w:val="auto"/>
                <w:sz w:val="22"/>
                <w:szCs w:val="22"/>
                <w:lang w:val="fr-FR" w:eastAsia="en-GB"/>
              </w:rPr>
              <w:t>)</w:t>
            </w:r>
          </w:p>
        </w:tc>
        <w:tc>
          <w:tcPr>
            <w:tcW w:w="4067" w:type="dxa"/>
            <w:shd w:val="clear" w:color="auto" w:fill="FBD4B4" w:themeFill="accent6" w:themeFillTint="66"/>
            <w:vAlign w:val="center"/>
          </w:tcPr>
          <w:p w14:paraId="1FBCA4F3" w14:textId="210A50F9" w:rsidR="0013626F" w:rsidRPr="006F4D4F" w:rsidRDefault="00A55A8D" w:rsidP="00F46611">
            <w:pPr>
              <w:autoSpaceDE w:val="0"/>
              <w:autoSpaceDN w:val="0"/>
              <w:adjustRightInd w:val="0"/>
              <w:spacing w:before="100" w:beforeAutospacing="1" w:after="60"/>
              <w:outlineLvl w:val="5"/>
              <w:rPr>
                <w:rFonts w:ascii="Times New Roman" w:hAnsi="Times New Roman" w:cs="Calibri"/>
                <w:i/>
                <w:color w:val="auto"/>
                <w:sz w:val="22"/>
                <w:szCs w:val="22"/>
                <w:highlight w:val="yellow"/>
                <w:lang w:val="fr-FR" w:eastAsia="en-GB"/>
              </w:rPr>
            </w:pPr>
            <w:r>
              <w:rPr>
                <w:rFonts w:ascii="Times New Roman" w:hAnsi="Times New Roman" w:cs="Times New Roman"/>
                <w:color w:val="auto"/>
                <w:sz w:val="22"/>
                <w:szCs w:val="22"/>
                <w:lang w:val="fr-FR" w:eastAsia="en-GB"/>
              </w:rPr>
              <w:t>Mieux répondre aux besoins en capital humain des programmes d’investissement et de développement de la chaîne de valeur et d’approvisionnement dans certains pays d’Afrique sub-saharienne.</w:t>
            </w:r>
          </w:p>
        </w:tc>
        <w:tc>
          <w:tcPr>
            <w:tcW w:w="4395" w:type="dxa"/>
            <w:shd w:val="clear" w:color="auto" w:fill="FBD4B4" w:themeFill="accent6" w:themeFillTint="66"/>
            <w:vAlign w:val="center"/>
          </w:tcPr>
          <w:p w14:paraId="2310BC78" w14:textId="77777777" w:rsidR="0013626F" w:rsidRPr="006F4D4F" w:rsidRDefault="0013626F" w:rsidP="00F46611">
            <w:pPr>
              <w:autoSpaceDE w:val="0"/>
              <w:autoSpaceDN w:val="0"/>
              <w:adjustRightInd w:val="0"/>
              <w:spacing w:before="100" w:beforeAutospacing="1"/>
              <w:rPr>
                <w:rFonts w:ascii="Times New Roman" w:hAnsi="Times New Roman" w:cs="Calibri"/>
                <w:color w:val="auto"/>
                <w:sz w:val="22"/>
                <w:szCs w:val="22"/>
                <w:lang w:val="fr-FR" w:eastAsia="en-GB"/>
              </w:rPr>
            </w:pPr>
          </w:p>
          <w:p w14:paraId="541B184A" w14:textId="50993942" w:rsidR="0013626F" w:rsidRPr="006F4D4F" w:rsidRDefault="000E0EE4" w:rsidP="00F46611">
            <w:pPr>
              <w:autoSpaceDE w:val="0"/>
              <w:autoSpaceDN w:val="0"/>
              <w:adjustRightInd w:val="0"/>
              <w:spacing w:before="0"/>
              <w:rPr>
                <w:rFonts w:ascii="Times New Roman" w:hAnsi="Times New Roman" w:cs="Calibri"/>
                <w:color w:val="auto"/>
                <w:sz w:val="22"/>
                <w:szCs w:val="22"/>
                <w:lang w:val="fr-FR" w:eastAsia="en-GB"/>
              </w:rPr>
            </w:pPr>
            <w:r w:rsidRPr="006F4D4F">
              <w:rPr>
                <w:rFonts w:ascii="Times New Roman" w:hAnsi="Times New Roman" w:cs="Calibri"/>
                <w:color w:val="auto"/>
                <w:sz w:val="22"/>
                <w:szCs w:val="22"/>
                <w:lang w:val="fr-FR" w:eastAsia="en-GB"/>
              </w:rPr>
              <w:t>3</w:t>
            </w:r>
            <w:r w:rsidR="00A55A8D">
              <w:rPr>
                <w:rFonts w:ascii="Times New Roman" w:hAnsi="Times New Roman" w:cs="Calibri"/>
                <w:color w:val="auto"/>
                <w:sz w:val="22"/>
                <w:szCs w:val="22"/>
                <w:lang w:val="fr-FR" w:eastAsia="en-GB"/>
              </w:rPr>
              <w:t> </w:t>
            </w:r>
            <w:r w:rsidRPr="006F4D4F">
              <w:rPr>
                <w:rFonts w:ascii="Times New Roman" w:hAnsi="Times New Roman" w:cs="Calibri"/>
                <w:color w:val="auto"/>
                <w:sz w:val="22"/>
                <w:szCs w:val="22"/>
                <w:lang w:val="fr-FR" w:eastAsia="en-GB"/>
              </w:rPr>
              <w:t>080</w:t>
            </w:r>
            <w:r w:rsidR="00F712EF" w:rsidRPr="006F4D4F">
              <w:rPr>
                <w:rFonts w:ascii="Times New Roman" w:hAnsi="Times New Roman" w:cs="Calibri"/>
                <w:color w:val="auto"/>
                <w:sz w:val="22"/>
                <w:szCs w:val="22"/>
                <w:lang w:val="fr-FR" w:eastAsia="en-GB"/>
              </w:rPr>
              <w:t xml:space="preserve"> </w:t>
            </w:r>
            <w:r w:rsidR="00A55A8D">
              <w:rPr>
                <w:rFonts w:ascii="Times New Roman" w:hAnsi="Times New Roman" w:cs="Calibri"/>
                <w:color w:val="auto"/>
                <w:sz w:val="22"/>
                <w:szCs w:val="22"/>
                <w:lang w:val="fr-FR" w:eastAsia="en-GB"/>
              </w:rPr>
              <w:t xml:space="preserve">personnes, dont 35 % de femmes et 40 % de jeunes, ayant suivi les programmes de </w:t>
            </w:r>
            <w:r w:rsidR="0068294B">
              <w:rPr>
                <w:rFonts w:ascii="Times New Roman" w:hAnsi="Times New Roman" w:cs="Calibri"/>
                <w:color w:val="auto"/>
                <w:sz w:val="22"/>
                <w:szCs w:val="22"/>
                <w:lang w:val="fr-FR" w:eastAsia="en-GB"/>
              </w:rPr>
              <w:t>développement des compétences</w:t>
            </w:r>
            <w:r w:rsidR="00A55A8D">
              <w:rPr>
                <w:rFonts w:ascii="Times New Roman" w:hAnsi="Times New Roman" w:cs="Calibri"/>
                <w:color w:val="auto"/>
                <w:sz w:val="22"/>
                <w:szCs w:val="22"/>
                <w:lang w:val="fr-FR" w:eastAsia="en-GB"/>
              </w:rPr>
              <w:t xml:space="preserve"> et </w:t>
            </w:r>
            <w:r w:rsidR="009F70FD">
              <w:rPr>
                <w:rFonts w:ascii="Times New Roman" w:hAnsi="Times New Roman" w:cs="Calibri"/>
                <w:color w:val="auto"/>
                <w:sz w:val="22"/>
                <w:szCs w:val="22"/>
                <w:lang w:val="fr-FR" w:eastAsia="en-GB"/>
              </w:rPr>
              <w:t>EFP</w:t>
            </w:r>
            <w:r w:rsidR="00A55A8D">
              <w:rPr>
                <w:rFonts w:ascii="Times New Roman" w:hAnsi="Times New Roman" w:cs="Calibri"/>
                <w:color w:val="auto"/>
                <w:sz w:val="22"/>
                <w:szCs w:val="22"/>
                <w:lang w:val="fr-FR" w:eastAsia="en-GB"/>
              </w:rPr>
              <w:t xml:space="preserve"> soutenus par la présente action :</w:t>
            </w:r>
            <w:r w:rsidR="0013626F" w:rsidRPr="006F4D4F">
              <w:rPr>
                <w:rFonts w:ascii="Times New Roman" w:hAnsi="Times New Roman" w:cs="Calibri"/>
                <w:color w:val="000000" w:themeColor="text1"/>
                <w:sz w:val="22"/>
                <w:szCs w:val="22"/>
                <w:lang w:val="fr-FR" w:eastAsia="en-GB"/>
              </w:rPr>
              <w:t xml:space="preserve"> </w:t>
            </w:r>
          </w:p>
          <w:p w14:paraId="2E7FC0C6" w14:textId="326585C3" w:rsidR="0013626F" w:rsidRPr="006F4D4F" w:rsidRDefault="00A55A8D" w:rsidP="00F46611">
            <w:pPr>
              <w:pStyle w:val="Paragraphedeliste"/>
              <w:numPr>
                <w:ilvl w:val="0"/>
                <w:numId w:val="31"/>
              </w:numPr>
              <w:autoSpaceDE w:val="0"/>
              <w:autoSpaceDN w:val="0"/>
              <w:adjustRightInd w:val="0"/>
              <w:spacing w:before="0"/>
              <w:rPr>
                <w:rFonts w:ascii="Times New Roman" w:hAnsi="Times New Roman" w:cs="Calibri"/>
                <w:color w:val="000000" w:themeColor="text1"/>
                <w:sz w:val="22"/>
                <w:szCs w:val="22"/>
                <w:lang w:val="fr-FR" w:eastAsia="en-GB"/>
              </w:rPr>
            </w:pPr>
            <w:r>
              <w:rPr>
                <w:rFonts w:ascii="Times New Roman" w:hAnsi="Times New Roman" w:cs="Calibri"/>
                <w:color w:val="auto"/>
                <w:sz w:val="22"/>
                <w:szCs w:val="22"/>
                <w:lang w:val="fr-FR" w:eastAsia="en-GB"/>
              </w:rPr>
              <w:t>ont trouvé un emploi décent</w:t>
            </w:r>
            <w:r w:rsidR="00424ACF" w:rsidRPr="006F4D4F">
              <w:rPr>
                <w:rStyle w:val="Appelnotedebasdep"/>
                <w:rFonts w:ascii="Times New Roman" w:hAnsi="Times New Roman" w:cs="Calibri"/>
                <w:color w:val="auto"/>
                <w:sz w:val="22"/>
                <w:szCs w:val="22"/>
                <w:lang w:val="fr-FR" w:eastAsia="en-GB"/>
              </w:rPr>
              <w:footnoteReference w:id="11"/>
            </w:r>
            <w:r w:rsidR="0013626F" w:rsidRPr="006F4D4F">
              <w:rPr>
                <w:rFonts w:ascii="Times New Roman" w:hAnsi="Times New Roman" w:cs="Calibri"/>
                <w:color w:val="auto"/>
                <w:sz w:val="22"/>
                <w:szCs w:val="22"/>
                <w:lang w:val="fr-FR" w:eastAsia="en-GB"/>
              </w:rPr>
              <w:t>,</w:t>
            </w:r>
          </w:p>
          <w:p w14:paraId="7613495D" w14:textId="7893F113" w:rsidR="0013626F" w:rsidRPr="006F4D4F" w:rsidRDefault="0013626F" w:rsidP="00F46611">
            <w:pPr>
              <w:pStyle w:val="Paragraphedeliste"/>
              <w:autoSpaceDE w:val="0"/>
              <w:autoSpaceDN w:val="0"/>
              <w:adjustRightInd w:val="0"/>
              <w:spacing w:before="0"/>
              <w:ind w:left="1080"/>
              <w:rPr>
                <w:rFonts w:ascii="Times New Roman" w:hAnsi="Times New Roman" w:cs="Calibri"/>
                <w:color w:val="000000" w:themeColor="text1"/>
                <w:sz w:val="22"/>
                <w:szCs w:val="22"/>
                <w:lang w:val="fr-FR" w:eastAsia="en-GB"/>
              </w:rPr>
            </w:pPr>
            <w:r w:rsidRPr="006F4D4F">
              <w:rPr>
                <w:rFonts w:ascii="Times New Roman" w:hAnsi="Times New Roman" w:cs="Calibri"/>
                <w:color w:val="auto"/>
                <w:sz w:val="22"/>
                <w:szCs w:val="22"/>
                <w:lang w:val="fr-FR" w:eastAsia="en-GB"/>
              </w:rPr>
              <w:t>o</w:t>
            </w:r>
            <w:r w:rsidR="00A55A8D">
              <w:rPr>
                <w:rFonts w:ascii="Times New Roman" w:hAnsi="Times New Roman" w:cs="Calibri"/>
                <w:color w:val="auto"/>
                <w:sz w:val="22"/>
                <w:szCs w:val="22"/>
                <w:lang w:val="fr-FR" w:eastAsia="en-GB"/>
              </w:rPr>
              <w:t>u</w:t>
            </w:r>
          </w:p>
          <w:p w14:paraId="5CF26207" w14:textId="17F9F0CE" w:rsidR="0013626F" w:rsidRPr="006F4D4F" w:rsidRDefault="00A55A8D" w:rsidP="00F46611">
            <w:pPr>
              <w:pStyle w:val="Paragraphedeliste"/>
              <w:numPr>
                <w:ilvl w:val="0"/>
                <w:numId w:val="31"/>
              </w:numPr>
              <w:autoSpaceDE w:val="0"/>
              <w:autoSpaceDN w:val="0"/>
              <w:adjustRightInd w:val="0"/>
              <w:spacing w:before="0"/>
              <w:rPr>
                <w:rFonts w:ascii="Times New Roman" w:hAnsi="Times New Roman" w:cs="Calibri"/>
                <w:color w:val="000000" w:themeColor="text1"/>
                <w:sz w:val="22"/>
                <w:szCs w:val="22"/>
                <w:lang w:val="fr-FR" w:eastAsia="en-GB"/>
              </w:rPr>
            </w:pPr>
            <w:r>
              <w:rPr>
                <w:rFonts w:ascii="Times New Roman" w:hAnsi="Times New Roman" w:cs="Calibri"/>
                <w:color w:val="auto"/>
                <w:sz w:val="22"/>
                <w:szCs w:val="22"/>
                <w:lang w:val="fr-FR" w:eastAsia="en-GB"/>
              </w:rPr>
              <w:t xml:space="preserve">ont </w:t>
            </w:r>
            <w:r w:rsidR="00CA02FC">
              <w:rPr>
                <w:rFonts w:ascii="Times New Roman" w:hAnsi="Times New Roman" w:cs="Calibri"/>
                <w:color w:val="auto"/>
                <w:sz w:val="22"/>
                <w:szCs w:val="22"/>
                <w:lang w:val="fr-FR" w:eastAsia="en-GB"/>
              </w:rPr>
              <w:t>sauvegardé</w:t>
            </w:r>
            <w:r>
              <w:rPr>
                <w:rFonts w:ascii="Times New Roman" w:hAnsi="Times New Roman" w:cs="Calibri"/>
                <w:color w:val="auto"/>
                <w:sz w:val="22"/>
                <w:szCs w:val="22"/>
                <w:lang w:val="fr-FR" w:eastAsia="en-GB"/>
              </w:rPr>
              <w:t xml:space="preserve"> leur emploi en perfectionnant leurs compétences.</w:t>
            </w:r>
          </w:p>
          <w:p w14:paraId="59A7A073" w14:textId="77777777" w:rsidR="0013626F" w:rsidRPr="006F4D4F" w:rsidRDefault="0013626F" w:rsidP="00F46611">
            <w:pPr>
              <w:autoSpaceDE w:val="0"/>
              <w:autoSpaceDN w:val="0"/>
              <w:adjustRightInd w:val="0"/>
              <w:rPr>
                <w:rFonts w:ascii="Times New Roman" w:hAnsi="Times New Roman" w:cs="Calibri"/>
                <w:color w:val="auto"/>
                <w:sz w:val="22"/>
                <w:szCs w:val="22"/>
                <w:lang w:val="fr-FR" w:eastAsia="en-GB"/>
              </w:rPr>
            </w:pPr>
          </w:p>
        </w:tc>
        <w:tc>
          <w:tcPr>
            <w:tcW w:w="1843" w:type="dxa"/>
            <w:shd w:val="clear" w:color="auto" w:fill="FBD4B4" w:themeFill="accent6" w:themeFillTint="66"/>
            <w:vAlign w:val="center"/>
          </w:tcPr>
          <w:p w14:paraId="0EC349ED" w14:textId="1448C30D" w:rsidR="0013626F" w:rsidRPr="006F4D4F" w:rsidRDefault="00A55A8D" w:rsidP="00F46611">
            <w:pPr>
              <w:autoSpaceDE w:val="0"/>
              <w:autoSpaceDN w:val="0"/>
              <w:adjustRightInd w:val="0"/>
              <w:spacing w:before="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Enquêtes (études de suivi) à commander par l’action.</w:t>
            </w:r>
          </w:p>
          <w:p w14:paraId="5F1B644C" w14:textId="77777777" w:rsidR="0013626F" w:rsidRPr="006F4D4F" w:rsidRDefault="0013626F" w:rsidP="00F46611">
            <w:pPr>
              <w:autoSpaceDE w:val="0"/>
              <w:autoSpaceDN w:val="0"/>
              <w:adjustRightInd w:val="0"/>
              <w:spacing w:before="0"/>
              <w:rPr>
                <w:rFonts w:ascii="Times New Roman" w:hAnsi="Times New Roman" w:cs="Calibri"/>
                <w:color w:val="auto"/>
                <w:szCs w:val="24"/>
                <w:lang w:val="fr-FR" w:eastAsia="en-GB"/>
              </w:rPr>
            </w:pPr>
          </w:p>
        </w:tc>
        <w:tc>
          <w:tcPr>
            <w:tcW w:w="1842" w:type="dxa"/>
            <w:shd w:val="clear" w:color="auto" w:fill="7F7F7F" w:themeFill="text1" w:themeFillTint="80"/>
            <w:vAlign w:val="center"/>
          </w:tcPr>
          <w:p w14:paraId="38E39EA3" w14:textId="7985001B" w:rsidR="0013626F" w:rsidRPr="006F4D4F" w:rsidRDefault="00A55A8D" w:rsidP="00F46611">
            <w:pPr>
              <w:spacing w:before="0"/>
              <w:rPr>
                <w:rFonts w:ascii="Times New Roman" w:hAnsi="Times New Roman" w:cs="Calibri"/>
                <w:i/>
                <w:color w:val="auto"/>
                <w:highlight w:val="yellow"/>
                <w:lang w:val="fr-FR" w:eastAsia="en-GB"/>
              </w:rPr>
            </w:pPr>
            <w:r>
              <w:rPr>
                <w:rFonts w:ascii="Times New Roman" w:hAnsi="Times New Roman" w:cs="Calibri"/>
                <w:i/>
                <w:color w:val="FFFFFF"/>
                <w:lang w:val="fr-FR" w:eastAsia="en-GB"/>
              </w:rPr>
              <w:t>Sans objet</w:t>
            </w:r>
          </w:p>
        </w:tc>
      </w:tr>
      <w:tr w:rsidR="0013626F" w:rsidRPr="004A302F" w14:paraId="623A2BAC" w14:textId="77777777" w:rsidTr="005D253B">
        <w:trPr>
          <w:trHeight w:val="913"/>
          <w:jc w:val="center"/>
        </w:trPr>
        <w:tc>
          <w:tcPr>
            <w:tcW w:w="1560" w:type="dxa"/>
            <w:tcBorders>
              <w:bottom w:val="single" w:sz="4" w:space="0" w:color="auto"/>
            </w:tcBorders>
            <w:shd w:val="clear" w:color="auto" w:fill="D9D9D9" w:themeFill="background1" w:themeFillShade="D9"/>
            <w:vAlign w:val="center"/>
          </w:tcPr>
          <w:p w14:paraId="171973ED" w14:textId="73A2D5AF" w:rsidR="0013626F" w:rsidRPr="006F4D4F" w:rsidRDefault="00A55A8D" w:rsidP="00F46611">
            <w:pPr>
              <w:tabs>
                <w:tab w:val="left" w:pos="12"/>
              </w:tabs>
              <w:spacing w:before="0"/>
              <w:ind w:left="12"/>
              <w:rPr>
                <w:rFonts w:ascii="Times New Roman" w:hAnsi="Times New Roman" w:cs="Calibri"/>
                <w:b/>
                <w:color w:val="auto"/>
                <w:sz w:val="22"/>
                <w:szCs w:val="22"/>
                <w:lang w:val="fr-FR" w:eastAsia="en-GB"/>
              </w:rPr>
            </w:pPr>
            <w:r>
              <w:rPr>
                <w:rFonts w:ascii="Times New Roman" w:hAnsi="Times New Roman" w:cs="Calibri"/>
                <w:b/>
                <w:color w:val="auto"/>
                <w:sz w:val="22"/>
                <w:szCs w:val="22"/>
                <w:lang w:val="fr-FR" w:eastAsia="en-GB"/>
              </w:rPr>
              <w:t>Réalisation(s) (objectif(s) spécifique(s))</w:t>
            </w:r>
          </w:p>
          <w:p w14:paraId="46810E88" w14:textId="77777777" w:rsidR="0013626F" w:rsidRPr="006F4D4F" w:rsidRDefault="0013626F" w:rsidP="00F46611">
            <w:pPr>
              <w:tabs>
                <w:tab w:val="left" w:pos="0"/>
                <w:tab w:val="left" w:pos="132"/>
              </w:tabs>
              <w:spacing w:before="0"/>
              <w:ind w:left="113" w:right="113" w:hanging="101"/>
              <w:rPr>
                <w:rFonts w:ascii="Times New Roman" w:hAnsi="Times New Roman" w:cs="Calibri"/>
                <w:b/>
                <w:color w:val="auto"/>
                <w:szCs w:val="24"/>
                <w:lang w:val="fr-FR" w:eastAsia="en-GB"/>
              </w:rPr>
            </w:pPr>
          </w:p>
        </w:tc>
        <w:tc>
          <w:tcPr>
            <w:tcW w:w="4067" w:type="dxa"/>
            <w:tcBorders>
              <w:bottom w:val="single" w:sz="4" w:space="0" w:color="auto"/>
            </w:tcBorders>
            <w:shd w:val="clear" w:color="auto" w:fill="FBD4B4" w:themeFill="accent6" w:themeFillTint="66"/>
            <w:vAlign w:val="center"/>
          </w:tcPr>
          <w:p w14:paraId="71902082" w14:textId="77777777" w:rsidR="00415C7E" w:rsidRPr="006F4D4F" w:rsidRDefault="00415C7E" w:rsidP="00F46611">
            <w:pPr>
              <w:autoSpaceDE w:val="0"/>
              <w:autoSpaceDN w:val="0"/>
              <w:adjustRightInd w:val="0"/>
              <w:spacing w:before="0"/>
              <w:rPr>
                <w:rFonts w:ascii="Times New Roman" w:hAnsi="Times New Roman" w:cs="Times New Roman"/>
                <w:bCs/>
                <w:color w:val="auto"/>
                <w:sz w:val="22"/>
                <w:szCs w:val="22"/>
                <w:lang w:val="fr-FR" w:eastAsia="en-GB"/>
              </w:rPr>
            </w:pPr>
          </w:p>
          <w:p w14:paraId="60176387" w14:textId="419D4510" w:rsidR="0013626F" w:rsidRPr="006F4D4F" w:rsidRDefault="00A55A8D" w:rsidP="00F46611">
            <w:pPr>
              <w:autoSpaceDE w:val="0"/>
              <w:autoSpaceDN w:val="0"/>
              <w:adjustRightInd w:val="0"/>
              <w:spacing w:before="0"/>
              <w:rPr>
                <w:rFonts w:ascii="Times New Roman" w:hAnsi="Times New Roman" w:cs="Times New Roman"/>
                <w:bCs/>
                <w:color w:val="auto"/>
                <w:sz w:val="22"/>
                <w:szCs w:val="22"/>
                <w:lang w:val="fr-FR" w:eastAsia="en-GB"/>
              </w:rPr>
            </w:pPr>
            <w:r>
              <w:rPr>
                <w:rFonts w:ascii="Times New Roman" w:hAnsi="Times New Roman" w:cs="Times New Roman"/>
                <w:bCs/>
                <w:color w:val="auto"/>
                <w:sz w:val="22"/>
                <w:szCs w:val="22"/>
                <w:lang w:val="fr-FR" w:eastAsia="en-GB"/>
              </w:rPr>
              <w:t xml:space="preserve">Fourniture améliorée de services de </w:t>
            </w:r>
            <w:r w:rsidR="0068294B">
              <w:rPr>
                <w:rFonts w:ascii="Times New Roman" w:hAnsi="Times New Roman" w:cs="Times New Roman"/>
                <w:bCs/>
                <w:color w:val="auto"/>
                <w:sz w:val="22"/>
                <w:szCs w:val="22"/>
                <w:lang w:val="fr-FR" w:eastAsia="en-GB"/>
              </w:rPr>
              <w:t>développement des compétences</w:t>
            </w:r>
            <w:r>
              <w:rPr>
                <w:rFonts w:ascii="Times New Roman" w:hAnsi="Times New Roman" w:cs="Times New Roman"/>
                <w:bCs/>
                <w:color w:val="auto"/>
                <w:sz w:val="22"/>
                <w:szCs w:val="22"/>
                <w:lang w:val="fr-FR" w:eastAsia="en-GB"/>
              </w:rPr>
              <w:t xml:space="preserve"> et </w:t>
            </w:r>
            <w:r w:rsidR="009F70FD">
              <w:rPr>
                <w:rFonts w:ascii="Times New Roman" w:hAnsi="Times New Roman" w:cs="Times New Roman"/>
                <w:bCs/>
                <w:color w:val="auto"/>
                <w:sz w:val="22"/>
                <w:szCs w:val="22"/>
                <w:lang w:val="fr-FR" w:eastAsia="en-GB"/>
              </w:rPr>
              <w:t>EFP</w:t>
            </w:r>
            <w:r>
              <w:rPr>
                <w:rFonts w:ascii="Times New Roman" w:hAnsi="Times New Roman" w:cs="Times New Roman"/>
                <w:bCs/>
                <w:color w:val="auto"/>
                <w:sz w:val="22"/>
                <w:szCs w:val="22"/>
                <w:lang w:val="fr-FR" w:eastAsia="en-GB"/>
              </w:rPr>
              <w:t xml:space="preserve"> répondant aux besoins des investissements.</w:t>
            </w:r>
          </w:p>
          <w:p w14:paraId="7C521000" w14:textId="77777777" w:rsidR="0013626F" w:rsidRPr="006F4D4F" w:rsidRDefault="0013626F" w:rsidP="00F46611">
            <w:pPr>
              <w:autoSpaceDE w:val="0"/>
              <w:autoSpaceDN w:val="0"/>
              <w:adjustRightInd w:val="0"/>
              <w:spacing w:before="0"/>
              <w:rPr>
                <w:rFonts w:ascii="Times New Roman" w:hAnsi="Times New Roman" w:cs="Times New Roman"/>
                <w:color w:val="auto"/>
                <w:sz w:val="22"/>
                <w:szCs w:val="22"/>
                <w:lang w:val="fr-FR" w:eastAsia="en-GB"/>
              </w:rPr>
            </w:pPr>
          </w:p>
          <w:p w14:paraId="733CC7A8" w14:textId="77777777" w:rsidR="0013626F" w:rsidRPr="006F4D4F" w:rsidRDefault="0013626F" w:rsidP="00F46611">
            <w:pPr>
              <w:autoSpaceDE w:val="0"/>
              <w:autoSpaceDN w:val="0"/>
              <w:adjustRightInd w:val="0"/>
              <w:spacing w:before="0"/>
              <w:rPr>
                <w:rFonts w:ascii="Times New Roman" w:hAnsi="Times New Roman" w:cs="Times New Roman"/>
                <w:color w:val="auto"/>
                <w:sz w:val="22"/>
                <w:szCs w:val="22"/>
                <w:lang w:val="fr-FR" w:eastAsia="en-GB"/>
              </w:rPr>
            </w:pPr>
          </w:p>
          <w:p w14:paraId="7DC47B61" w14:textId="77777777" w:rsidR="0013626F" w:rsidRPr="006F4D4F" w:rsidRDefault="0013626F" w:rsidP="00F46611">
            <w:pPr>
              <w:autoSpaceDE w:val="0"/>
              <w:autoSpaceDN w:val="0"/>
              <w:adjustRightInd w:val="0"/>
              <w:spacing w:before="0"/>
              <w:rPr>
                <w:rFonts w:ascii="Times New Roman" w:hAnsi="Times New Roman" w:cs="Times New Roman"/>
                <w:color w:val="auto"/>
                <w:sz w:val="22"/>
                <w:szCs w:val="22"/>
                <w:lang w:val="fr-FR" w:eastAsia="en-GB"/>
              </w:rPr>
            </w:pPr>
          </w:p>
          <w:p w14:paraId="75BE221C" w14:textId="77777777" w:rsidR="0013626F" w:rsidRPr="006F4D4F" w:rsidRDefault="0013626F" w:rsidP="00F46611">
            <w:pPr>
              <w:autoSpaceDE w:val="0"/>
              <w:autoSpaceDN w:val="0"/>
              <w:adjustRightInd w:val="0"/>
              <w:spacing w:before="0"/>
              <w:rPr>
                <w:rFonts w:ascii="Times New Roman" w:hAnsi="Times New Roman" w:cs="Calibri"/>
                <w:i/>
                <w:color w:val="A6A6A6" w:themeColor="background1" w:themeShade="A6"/>
                <w:sz w:val="22"/>
                <w:szCs w:val="22"/>
                <w:highlight w:val="yellow"/>
                <w:lang w:val="fr-FR" w:eastAsia="en-GB"/>
              </w:rPr>
            </w:pPr>
          </w:p>
        </w:tc>
        <w:tc>
          <w:tcPr>
            <w:tcW w:w="4395" w:type="dxa"/>
            <w:tcBorders>
              <w:bottom w:val="single" w:sz="4" w:space="0" w:color="auto"/>
            </w:tcBorders>
            <w:shd w:val="clear" w:color="auto" w:fill="FBD4B4" w:themeFill="accent6" w:themeFillTint="66"/>
            <w:vAlign w:val="center"/>
          </w:tcPr>
          <w:p w14:paraId="36DBC067" w14:textId="77777777" w:rsidR="00415C7E" w:rsidRPr="006F4D4F" w:rsidRDefault="00415C7E" w:rsidP="00F46611">
            <w:pPr>
              <w:autoSpaceDE w:val="0"/>
              <w:autoSpaceDN w:val="0"/>
              <w:adjustRightInd w:val="0"/>
              <w:spacing w:before="0"/>
              <w:rPr>
                <w:rFonts w:ascii="Times New Roman" w:hAnsi="Times New Roman" w:cs="Calibri"/>
                <w:color w:val="000000" w:themeColor="text1"/>
                <w:szCs w:val="24"/>
                <w:lang w:val="fr-FR" w:eastAsia="en-GB"/>
              </w:rPr>
            </w:pPr>
          </w:p>
          <w:p w14:paraId="2B34E720" w14:textId="011C10DE" w:rsidR="0013626F" w:rsidRPr="006F4D4F" w:rsidRDefault="0013626F" w:rsidP="00F46611">
            <w:pPr>
              <w:autoSpaceDE w:val="0"/>
              <w:autoSpaceDN w:val="0"/>
              <w:adjustRightInd w:val="0"/>
              <w:spacing w:before="0"/>
              <w:rPr>
                <w:rFonts w:ascii="Times New Roman" w:hAnsi="Times New Roman" w:cs="Calibri"/>
                <w:color w:val="000000" w:themeColor="text1"/>
                <w:sz w:val="22"/>
                <w:szCs w:val="22"/>
                <w:lang w:val="fr-FR" w:eastAsia="en-GB"/>
              </w:rPr>
            </w:pPr>
            <w:r w:rsidRPr="006F4D4F">
              <w:rPr>
                <w:rFonts w:ascii="Times New Roman" w:hAnsi="Times New Roman" w:cs="Calibri"/>
                <w:color w:val="000000" w:themeColor="text1"/>
                <w:sz w:val="22"/>
                <w:szCs w:val="22"/>
                <w:lang w:val="fr-FR" w:eastAsia="en-GB"/>
              </w:rPr>
              <w:t>75</w:t>
            </w:r>
            <w:r w:rsidR="009F70FD">
              <w:rPr>
                <w:rFonts w:ascii="Times New Roman" w:hAnsi="Times New Roman" w:cs="Calibri"/>
                <w:color w:val="000000" w:themeColor="text1"/>
                <w:sz w:val="22"/>
                <w:szCs w:val="22"/>
                <w:lang w:val="fr-FR" w:eastAsia="en-GB"/>
              </w:rPr>
              <w:t> </w:t>
            </w:r>
            <w:r w:rsidRPr="006F4D4F">
              <w:rPr>
                <w:rFonts w:ascii="Times New Roman" w:hAnsi="Times New Roman" w:cs="Calibri"/>
                <w:color w:val="000000" w:themeColor="text1"/>
                <w:sz w:val="22"/>
                <w:szCs w:val="22"/>
                <w:lang w:val="fr-FR" w:eastAsia="en-GB"/>
              </w:rPr>
              <w:t xml:space="preserve">% </w:t>
            </w:r>
            <w:r w:rsidR="009F70FD">
              <w:rPr>
                <w:rFonts w:ascii="Times New Roman" w:hAnsi="Times New Roman" w:cs="Calibri"/>
                <w:color w:val="000000" w:themeColor="text1"/>
                <w:sz w:val="22"/>
                <w:szCs w:val="22"/>
                <w:lang w:val="fr-FR" w:eastAsia="en-GB"/>
              </w:rPr>
              <w:t>des personnes formées dans le cadre des programmes EFP soutenus ont accès à un stage pratique en entreprise (données ventilées par sexe).</w:t>
            </w:r>
          </w:p>
          <w:p w14:paraId="27938B25" w14:textId="77777777" w:rsidR="0013626F" w:rsidRPr="006F4D4F" w:rsidRDefault="0013626F" w:rsidP="00F46611">
            <w:pPr>
              <w:autoSpaceDE w:val="0"/>
              <w:autoSpaceDN w:val="0"/>
              <w:adjustRightInd w:val="0"/>
              <w:spacing w:before="0"/>
              <w:rPr>
                <w:rFonts w:ascii="Times New Roman" w:hAnsi="Times New Roman" w:cs="Calibri"/>
                <w:color w:val="000000" w:themeColor="text1"/>
                <w:szCs w:val="24"/>
                <w:lang w:val="fr-FR" w:eastAsia="en-GB"/>
              </w:rPr>
            </w:pPr>
          </w:p>
          <w:p w14:paraId="624DE015" w14:textId="77777777" w:rsidR="0013626F" w:rsidRPr="006F4D4F" w:rsidRDefault="0013626F" w:rsidP="00F46611">
            <w:pPr>
              <w:autoSpaceDE w:val="0"/>
              <w:autoSpaceDN w:val="0"/>
              <w:adjustRightInd w:val="0"/>
              <w:spacing w:before="0"/>
              <w:rPr>
                <w:rFonts w:ascii="Times New Roman" w:hAnsi="Times New Roman" w:cs="Calibri"/>
                <w:color w:val="000000" w:themeColor="text1"/>
                <w:szCs w:val="24"/>
                <w:lang w:val="fr-FR" w:eastAsia="en-GB"/>
              </w:rPr>
            </w:pPr>
          </w:p>
          <w:p w14:paraId="609A7712" w14:textId="4DE06F10" w:rsidR="0013626F" w:rsidRPr="006F4D4F" w:rsidRDefault="0013626F" w:rsidP="00F46611">
            <w:pPr>
              <w:autoSpaceDE w:val="0"/>
              <w:autoSpaceDN w:val="0"/>
              <w:adjustRightInd w:val="0"/>
              <w:spacing w:before="0"/>
              <w:rPr>
                <w:rFonts w:ascii="Times New Roman" w:hAnsi="Times New Roman" w:cs="Calibri"/>
                <w:color w:val="000000" w:themeColor="text1"/>
                <w:sz w:val="22"/>
                <w:szCs w:val="22"/>
                <w:lang w:val="fr-FR" w:eastAsia="en-GB"/>
              </w:rPr>
            </w:pPr>
            <w:r w:rsidRPr="006F4D4F">
              <w:rPr>
                <w:rFonts w:ascii="Times New Roman" w:hAnsi="Times New Roman" w:cs="Calibri"/>
                <w:color w:val="000000" w:themeColor="text1"/>
                <w:sz w:val="22"/>
                <w:szCs w:val="22"/>
                <w:lang w:val="fr-FR" w:eastAsia="en-GB"/>
              </w:rPr>
              <w:t>75</w:t>
            </w:r>
            <w:r w:rsidR="009F70FD">
              <w:rPr>
                <w:rFonts w:ascii="Times New Roman" w:hAnsi="Times New Roman" w:cs="Calibri"/>
                <w:color w:val="000000" w:themeColor="text1"/>
                <w:sz w:val="22"/>
                <w:szCs w:val="22"/>
                <w:lang w:val="fr-FR" w:eastAsia="en-GB"/>
              </w:rPr>
              <w:t> </w:t>
            </w:r>
            <w:r w:rsidRPr="006F4D4F">
              <w:rPr>
                <w:rFonts w:ascii="Times New Roman" w:hAnsi="Times New Roman" w:cs="Calibri"/>
                <w:color w:val="000000" w:themeColor="text1"/>
                <w:sz w:val="22"/>
                <w:szCs w:val="22"/>
                <w:lang w:val="fr-FR" w:eastAsia="en-GB"/>
              </w:rPr>
              <w:t xml:space="preserve">% </w:t>
            </w:r>
            <w:r w:rsidR="009F70FD">
              <w:rPr>
                <w:rFonts w:ascii="Times New Roman" w:hAnsi="Times New Roman" w:cs="Calibri"/>
                <w:color w:val="000000" w:themeColor="text1"/>
                <w:sz w:val="22"/>
                <w:szCs w:val="22"/>
                <w:lang w:val="fr-FR" w:eastAsia="en-GB"/>
              </w:rPr>
              <w:t xml:space="preserve">des entreprises considèrent que les programmes de </w:t>
            </w:r>
            <w:r w:rsidR="0068294B">
              <w:rPr>
                <w:rFonts w:ascii="Times New Roman" w:hAnsi="Times New Roman" w:cs="Calibri"/>
                <w:color w:val="000000" w:themeColor="text1"/>
                <w:sz w:val="22"/>
                <w:szCs w:val="22"/>
                <w:lang w:val="fr-FR" w:eastAsia="en-GB"/>
              </w:rPr>
              <w:t>développement des compétences</w:t>
            </w:r>
            <w:r w:rsidR="009F70FD">
              <w:rPr>
                <w:rFonts w:ascii="Times New Roman" w:hAnsi="Times New Roman" w:cs="Calibri"/>
                <w:color w:val="000000" w:themeColor="text1"/>
                <w:sz w:val="22"/>
                <w:szCs w:val="22"/>
                <w:lang w:val="fr-FR" w:eastAsia="en-GB"/>
              </w:rPr>
              <w:t> / EFP soutenus par la présente action correspondent à leurs besoins.</w:t>
            </w:r>
            <w:r w:rsidRPr="006F4D4F">
              <w:rPr>
                <w:rFonts w:ascii="Times New Roman" w:hAnsi="Times New Roman" w:cs="Calibri"/>
                <w:color w:val="000000" w:themeColor="text1"/>
                <w:sz w:val="22"/>
                <w:szCs w:val="22"/>
                <w:lang w:val="fr-FR" w:eastAsia="en-GB"/>
              </w:rPr>
              <w:t xml:space="preserve"> </w:t>
            </w:r>
          </w:p>
          <w:p w14:paraId="20D6C788" w14:textId="77777777" w:rsidR="0013626F" w:rsidRPr="006F4D4F" w:rsidRDefault="0013626F" w:rsidP="00F46611">
            <w:pPr>
              <w:autoSpaceDE w:val="0"/>
              <w:autoSpaceDN w:val="0"/>
              <w:adjustRightInd w:val="0"/>
              <w:spacing w:before="0"/>
              <w:rPr>
                <w:rFonts w:ascii="Times New Roman" w:hAnsi="Times New Roman" w:cs="Calibri"/>
                <w:color w:val="000000" w:themeColor="text1"/>
                <w:szCs w:val="24"/>
                <w:lang w:val="fr-FR" w:eastAsia="en-GB"/>
              </w:rPr>
            </w:pPr>
          </w:p>
          <w:p w14:paraId="6AB165A6" w14:textId="77777777" w:rsidR="0013626F" w:rsidRPr="006F4D4F" w:rsidRDefault="0013626F" w:rsidP="00F46611">
            <w:pPr>
              <w:autoSpaceDE w:val="0"/>
              <w:autoSpaceDN w:val="0"/>
              <w:adjustRightInd w:val="0"/>
              <w:spacing w:before="0"/>
              <w:rPr>
                <w:rFonts w:ascii="Times New Roman" w:hAnsi="Times New Roman" w:cs="Calibri"/>
                <w:color w:val="000000" w:themeColor="text1"/>
                <w:szCs w:val="24"/>
                <w:lang w:val="fr-FR" w:eastAsia="en-GB"/>
              </w:rPr>
            </w:pPr>
          </w:p>
          <w:p w14:paraId="329588D1" w14:textId="77777777" w:rsidR="0013626F" w:rsidRPr="006F4D4F" w:rsidRDefault="0013626F" w:rsidP="00F46611">
            <w:pPr>
              <w:pStyle w:val="Paragraphedeliste"/>
              <w:autoSpaceDE w:val="0"/>
              <w:autoSpaceDN w:val="0"/>
              <w:adjustRightInd w:val="0"/>
              <w:spacing w:before="0"/>
              <w:ind w:left="1080"/>
              <w:rPr>
                <w:rFonts w:ascii="Times New Roman" w:hAnsi="Times New Roman" w:cs="Calibri"/>
                <w:color w:val="000000" w:themeColor="text1"/>
                <w:szCs w:val="24"/>
                <w:lang w:val="fr-FR" w:eastAsia="en-GB"/>
              </w:rPr>
            </w:pPr>
          </w:p>
          <w:p w14:paraId="2DAE88E7" w14:textId="77777777" w:rsidR="0013626F" w:rsidRPr="006F4D4F" w:rsidRDefault="0013626F" w:rsidP="004C1DE1">
            <w:pPr>
              <w:autoSpaceDE w:val="0"/>
              <w:autoSpaceDN w:val="0"/>
              <w:adjustRightInd w:val="0"/>
              <w:spacing w:before="0"/>
              <w:rPr>
                <w:rFonts w:ascii="Times New Roman" w:hAnsi="Times New Roman" w:cs="Calibri"/>
                <w:color w:val="000000" w:themeColor="text1"/>
                <w:szCs w:val="24"/>
                <w:lang w:val="fr-FR" w:eastAsia="en-GB"/>
              </w:rPr>
            </w:pPr>
          </w:p>
        </w:tc>
        <w:tc>
          <w:tcPr>
            <w:tcW w:w="1843" w:type="dxa"/>
            <w:tcBorders>
              <w:bottom w:val="single" w:sz="4" w:space="0" w:color="auto"/>
            </w:tcBorders>
            <w:shd w:val="clear" w:color="auto" w:fill="FBD4B4" w:themeFill="accent6" w:themeFillTint="66"/>
          </w:tcPr>
          <w:p w14:paraId="1BC6CAA1" w14:textId="77777777" w:rsidR="0013626F" w:rsidRPr="006F4D4F" w:rsidRDefault="0013626F" w:rsidP="00F46611">
            <w:pPr>
              <w:autoSpaceDE w:val="0"/>
              <w:autoSpaceDN w:val="0"/>
              <w:adjustRightInd w:val="0"/>
              <w:spacing w:before="0"/>
              <w:rPr>
                <w:rFonts w:ascii="Times New Roman" w:hAnsi="Times New Roman" w:cs="Calibri"/>
                <w:color w:val="auto"/>
                <w:sz w:val="22"/>
                <w:szCs w:val="22"/>
                <w:lang w:val="fr-FR" w:eastAsia="en-GB"/>
              </w:rPr>
            </w:pPr>
          </w:p>
          <w:p w14:paraId="34584B9F" w14:textId="41A5EED9" w:rsidR="0013626F" w:rsidRPr="006F4D4F" w:rsidRDefault="009F70FD" w:rsidP="00F46611">
            <w:pPr>
              <w:spacing w:before="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 xml:space="preserve">Dossiers de formation des </w:t>
            </w:r>
            <w:r w:rsidR="00CA02FC">
              <w:rPr>
                <w:rFonts w:ascii="Times New Roman" w:hAnsi="Times New Roman" w:cs="Calibri"/>
                <w:color w:val="auto"/>
                <w:sz w:val="22"/>
                <w:szCs w:val="22"/>
                <w:lang w:val="fr-FR" w:eastAsia="en-GB"/>
              </w:rPr>
              <w:t>établissements</w:t>
            </w:r>
            <w:r>
              <w:rPr>
                <w:rFonts w:ascii="Times New Roman" w:hAnsi="Times New Roman" w:cs="Calibri"/>
                <w:color w:val="auto"/>
                <w:sz w:val="22"/>
                <w:szCs w:val="22"/>
                <w:lang w:val="fr-FR" w:eastAsia="en-GB"/>
              </w:rPr>
              <w:t xml:space="preserve"> EFP, entreprises.</w:t>
            </w:r>
          </w:p>
          <w:p w14:paraId="3A59D107" w14:textId="77777777" w:rsidR="0013626F" w:rsidRPr="006F4D4F" w:rsidRDefault="0013626F" w:rsidP="00F46611">
            <w:pPr>
              <w:autoSpaceDE w:val="0"/>
              <w:autoSpaceDN w:val="0"/>
              <w:adjustRightInd w:val="0"/>
              <w:spacing w:before="0"/>
              <w:rPr>
                <w:rFonts w:ascii="Times New Roman" w:hAnsi="Times New Roman" w:cs="Calibri"/>
                <w:color w:val="auto"/>
                <w:sz w:val="22"/>
                <w:szCs w:val="22"/>
                <w:lang w:val="fr-FR" w:eastAsia="en-GB"/>
              </w:rPr>
            </w:pPr>
          </w:p>
          <w:p w14:paraId="0DCACC07" w14:textId="7B5FB9DC" w:rsidR="0013626F" w:rsidRPr="006F4D4F" w:rsidRDefault="009F70FD" w:rsidP="00F46611">
            <w:pPr>
              <w:spacing w:before="0"/>
              <w:rPr>
                <w:rFonts w:ascii="Times New Roman" w:hAnsi="Times New Roman" w:cs="Calibri"/>
                <w:color w:val="auto"/>
                <w:sz w:val="22"/>
                <w:szCs w:val="22"/>
                <w:lang w:val="fr-FR" w:eastAsia="en-GB"/>
              </w:rPr>
            </w:pPr>
            <w:r w:rsidRPr="009F70FD">
              <w:rPr>
                <w:rFonts w:ascii="Times New Roman" w:hAnsi="Times New Roman" w:cs="Calibri"/>
                <w:color w:val="auto"/>
                <w:sz w:val="22"/>
                <w:szCs w:val="22"/>
                <w:lang w:val="fr-FR" w:eastAsia="en-GB"/>
              </w:rPr>
              <w:t>Enquêtes (études de suivi) à commander par l’action.</w:t>
            </w:r>
          </w:p>
          <w:p w14:paraId="3801DFFE" w14:textId="77777777" w:rsidR="0013626F" w:rsidRPr="006F4D4F" w:rsidRDefault="0013626F" w:rsidP="00F46611">
            <w:pPr>
              <w:spacing w:before="0"/>
              <w:rPr>
                <w:rFonts w:ascii="Times New Roman" w:hAnsi="Times New Roman" w:cs="Calibri"/>
                <w:color w:val="auto"/>
                <w:sz w:val="22"/>
                <w:szCs w:val="22"/>
                <w:lang w:val="fr-FR" w:eastAsia="en-GB"/>
              </w:rPr>
            </w:pPr>
          </w:p>
          <w:p w14:paraId="4408EA01" w14:textId="5971E113" w:rsidR="0013626F" w:rsidRPr="006F4D4F" w:rsidRDefault="009F70FD" w:rsidP="00F46611">
            <w:pPr>
              <w:spacing w:before="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Évaluation et analyse d’une enquête auprès des entreprises à propos de la pertinence pour le marché du travail.</w:t>
            </w:r>
            <w:r w:rsidR="0013626F" w:rsidRPr="006F4D4F">
              <w:rPr>
                <w:rFonts w:ascii="Times New Roman" w:hAnsi="Times New Roman" w:cs="Calibri"/>
                <w:color w:val="auto"/>
                <w:sz w:val="22"/>
                <w:szCs w:val="22"/>
                <w:lang w:val="fr-FR" w:eastAsia="en-GB"/>
              </w:rPr>
              <w:t xml:space="preserve"> </w:t>
            </w:r>
          </w:p>
          <w:p w14:paraId="25060A72" w14:textId="77777777" w:rsidR="0013626F" w:rsidRPr="006F4D4F" w:rsidRDefault="0013626F" w:rsidP="00F46611">
            <w:pPr>
              <w:spacing w:before="0"/>
              <w:rPr>
                <w:rFonts w:ascii="Times New Roman" w:hAnsi="Times New Roman" w:cs="Calibri"/>
                <w:color w:val="A6A6A6" w:themeColor="background1" w:themeShade="A6"/>
                <w:sz w:val="22"/>
                <w:szCs w:val="22"/>
                <w:lang w:val="fr-FR" w:eastAsia="en-GB"/>
              </w:rPr>
            </w:pPr>
          </w:p>
        </w:tc>
        <w:tc>
          <w:tcPr>
            <w:tcW w:w="1842" w:type="dxa"/>
            <w:shd w:val="clear" w:color="auto" w:fill="auto"/>
            <w:vAlign w:val="center"/>
          </w:tcPr>
          <w:p w14:paraId="3571A6AD" w14:textId="77777777" w:rsidR="00415C7E" w:rsidRPr="006F4D4F" w:rsidRDefault="00415C7E" w:rsidP="00F46611">
            <w:pPr>
              <w:autoSpaceDE w:val="0"/>
              <w:autoSpaceDN w:val="0"/>
              <w:adjustRightInd w:val="0"/>
              <w:spacing w:before="0"/>
              <w:rPr>
                <w:rFonts w:ascii="Times New Roman" w:hAnsi="Times New Roman" w:cs="Calibri"/>
                <w:color w:val="auto"/>
                <w:sz w:val="22"/>
                <w:szCs w:val="22"/>
                <w:lang w:val="fr-FR" w:eastAsia="en-GB"/>
              </w:rPr>
            </w:pPr>
          </w:p>
          <w:p w14:paraId="73CB8855" w14:textId="0E669BE5" w:rsidR="0013626F" w:rsidRPr="006F4D4F" w:rsidRDefault="009F70FD" w:rsidP="00F46611">
            <w:pPr>
              <w:autoSpaceDE w:val="0"/>
              <w:autoSpaceDN w:val="0"/>
              <w:adjustRightInd w:val="0"/>
              <w:spacing w:before="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 xml:space="preserve">Les mesures de formation et les programmes d’enseignement fournis par les </w:t>
            </w:r>
            <w:r w:rsidR="00CA02FC">
              <w:rPr>
                <w:rFonts w:ascii="Times New Roman" w:hAnsi="Times New Roman" w:cs="Calibri"/>
                <w:color w:val="auto"/>
                <w:sz w:val="22"/>
                <w:szCs w:val="22"/>
                <w:lang w:val="fr-FR" w:eastAsia="en-GB"/>
              </w:rPr>
              <w:t>établissements</w:t>
            </w:r>
            <w:r>
              <w:rPr>
                <w:rFonts w:ascii="Times New Roman" w:hAnsi="Times New Roman" w:cs="Calibri"/>
                <w:color w:val="auto"/>
                <w:sz w:val="22"/>
                <w:szCs w:val="22"/>
                <w:lang w:val="fr-FR" w:eastAsia="en-GB"/>
              </w:rPr>
              <w:t xml:space="preserve"> EFP soutenus répondent aux attentes des employeurs du secteur privé.</w:t>
            </w:r>
          </w:p>
        </w:tc>
      </w:tr>
      <w:tr w:rsidR="0013626F" w:rsidRPr="004A302F" w14:paraId="3DB10618" w14:textId="77777777" w:rsidTr="005D253B">
        <w:trPr>
          <w:jc w:val="center"/>
        </w:trPr>
        <w:tc>
          <w:tcPr>
            <w:tcW w:w="1560" w:type="dxa"/>
            <w:shd w:val="clear" w:color="auto" w:fill="D9D9D9" w:themeFill="background1" w:themeFillShade="D9"/>
            <w:vAlign w:val="center"/>
          </w:tcPr>
          <w:p w14:paraId="6CAA5CFE" w14:textId="77777777" w:rsidR="0013626F" w:rsidRPr="006F4D4F" w:rsidRDefault="0013626F" w:rsidP="00F46611">
            <w:pPr>
              <w:tabs>
                <w:tab w:val="left" w:pos="0"/>
                <w:tab w:val="left" w:pos="132"/>
              </w:tabs>
              <w:spacing w:before="0"/>
              <w:rPr>
                <w:rFonts w:ascii="Times New Roman" w:hAnsi="Times New Roman" w:cs="Calibri"/>
                <w:b/>
                <w:color w:val="auto"/>
                <w:szCs w:val="24"/>
                <w:lang w:val="fr-FR" w:eastAsia="en-GB"/>
              </w:rPr>
            </w:pPr>
          </w:p>
        </w:tc>
        <w:tc>
          <w:tcPr>
            <w:tcW w:w="4067" w:type="dxa"/>
            <w:shd w:val="clear" w:color="auto" w:fill="FFFFFF" w:themeFill="background1"/>
          </w:tcPr>
          <w:p w14:paraId="5EBE719C" w14:textId="5971E95D" w:rsidR="0013626F" w:rsidRPr="006F4D4F" w:rsidRDefault="0013626F" w:rsidP="00F46611">
            <w:pPr>
              <w:autoSpaceDE w:val="0"/>
              <w:autoSpaceDN w:val="0"/>
              <w:adjustRightInd w:val="0"/>
              <w:spacing w:before="0"/>
              <w:rPr>
                <w:rFonts w:ascii="Times New Roman" w:hAnsi="Times New Roman" w:cs="Times New Roman"/>
                <w:b/>
                <w:bCs/>
                <w:color w:val="auto"/>
                <w:sz w:val="22"/>
                <w:szCs w:val="22"/>
                <w:lang w:val="fr-FR" w:eastAsia="en-GB"/>
              </w:rPr>
            </w:pPr>
            <w:r w:rsidRPr="006F4D4F">
              <w:rPr>
                <w:rFonts w:ascii="Times New Roman" w:hAnsi="Times New Roman" w:cs="Times New Roman"/>
                <w:b/>
                <w:bCs/>
                <w:color w:val="auto"/>
                <w:sz w:val="22"/>
                <w:szCs w:val="22"/>
                <w:lang w:val="fr-FR" w:eastAsia="en-GB"/>
              </w:rPr>
              <w:t>R</w:t>
            </w:r>
            <w:r w:rsidR="009F70FD">
              <w:rPr>
                <w:rFonts w:ascii="Times New Roman" w:hAnsi="Times New Roman" w:cs="Times New Roman"/>
                <w:b/>
                <w:bCs/>
                <w:color w:val="auto"/>
                <w:sz w:val="22"/>
                <w:szCs w:val="22"/>
                <w:lang w:val="fr-FR" w:eastAsia="en-GB"/>
              </w:rPr>
              <w:t>é</w:t>
            </w:r>
            <w:r w:rsidRPr="006F4D4F">
              <w:rPr>
                <w:rFonts w:ascii="Times New Roman" w:hAnsi="Times New Roman" w:cs="Times New Roman"/>
                <w:b/>
                <w:bCs/>
                <w:color w:val="auto"/>
                <w:sz w:val="22"/>
                <w:szCs w:val="22"/>
                <w:lang w:val="fr-FR" w:eastAsia="en-GB"/>
              </w:rPr>
              <w:t>sult</w:t>
            </w:r>
            <w:r w:rsidR="009F70FD">
              <w:rPr>
                <w:rFonts w:ascii="Times New Roman" w:hAnsi="Times New Roman" w:cs="Times New Roman"/>
                <w:b/>
                <w:bCs/>
                <w:color w:val="auto"/>
                <w:sz w:val="22"/>
                <w:szCs w:val="22"/>
                <w:lang w:val="fr-FR" w:eastAsia="en-GB"/>
              </w:rPr>
              <w:t>at</w:t>
            </w:r>
            <w:r w:rsidRPr="006F4D4F">
              <w:rPr>
                <w:rFonts w:ascii="Times New Roman" w:hAnsi="Times New Roman" w:cs="Times New Roman"/>
                <w:b/>
                <w:bCs/>
                <w:color w:val="auto"/>
                <w:sz w:val="22"/>
                <w:szCs w:val="22"/>
                <w:lang w:val="fr-FR" w:eastAsia="en-GB"/>
              </w:rPr>
              <w:t xml:space="preserve"> 1</w:t>
            </w:r>
            <w:r w:rsidR="009F70FD">
              <w:rPr>
                <w:rFonts w:ascii="Times New Roman" w:hAnsi="Times New Roman" w:cs="Times New Roman"/>
                <w:color w:val="auto"/>
                <w:sz w:val="22"/>
                <w:szCs w:val="22"/>
                <w:lang w:val="fr-FR" w:eastAsia="en-GB"/>
              </w:rPr>
              <w:t>. Amélioration du dialogue</w:t>
            </w:r>
            <w:r w:rsidRPr="006F4D4F">
              <w:rPr>
                <w:rFonts w:ascii="Times New Roman" w:hAnsi="Times New Roman" w:cs="Times New Roman"/>
                <w:b/>
                <w:bCs/>
                <w:color w:val="auto"/>
                <w:sz w:val="22"/>
                <w:szCs w:val="22"/>
                <w:lang w:val="fr-FR" w:eastAsia="en-GB"/>
              </w:rPr>
              <w:t xml:space="preserve"> </w:t>
            </w:r>
            <w:r w:rsidR="009F70FD" w:rsidRPr="009F70FD">
              <w:rPr>
                <w:rFonts w:ascii="Times New Roman" w:hAnsi="Times New Roman" w:cs="Times New Roman"/>
                <w:color w:val="auto"/>
                <w:sz w:val="22"/>
                <w:szCs w:val="22"/>
                <w:lang w:val="fr-FR" w:eastAsia="en-GB"/>
              </w:rPr>
              <w:t xml:space="preserve">public-privé sur le </w:t>
            </w:r>
            <w:r w:rsidR="0068294B">
              <w:rPr>
                <w:rFonts w:ascii="Times New Roman" w:hAnsi="Times New Roman" w:cs="Times New Roman"/>
                <w:color w:val="auto"/>
                <w:sz w:val="22"/>
                <w:szCs w:val="22"/>
                <w:lang w:val="fr-FR" w:eastAsia="en-GB"/>
              </w:rPr>
              <w:t>développement des compétences</w:t>
            </w:r>
            <w:r w:rsidR="009F70FD">
              <w:rPr>
                <w:rFonts w:ascii="Times New Roman" w:hAnsi="Times New Roman" w:cs="Times New Roman"/>
                <w:color w:val="auto"/>
                <w:sz w:val="22"/>
                <w:szCs w:val="22"/>
                <w:lang w:val="fr-FR" w:eastAsia="en-GB"/>
              </w:rPr>
              <w:t xml:space="preserve"> et l’EFP</w:t>
            </w:r>
            <w:r w:rsidR="00CA02FC">
              <w:rPr>
                <w:rFonts w:ascii="Times New Roman" w:hAnsi="Times New Roman" w:cs="Times New Roman"/>
                <w:color w:val="auto"/>
                <w:sz w:val="22"/>
                <w:szCs w:val="22"/>
                <w:lang w:val="fr-FR" w:eastAsia="en-GB"/>
              </w:rPr>
              <w:t xml:space="preserve"> adaptés à l’emploi</w:t>
            </w:r>
            <w:r w:rsidR="009F70FD">
              <w:rPr>
                <w:rFonts w:ascii="Times New Roman" w:hAnsi="Times New Roman" w:cs="Times New Roman"/>
                <w:color w:val="auto"/>
                <w:sz w:val="22"/>
                <w:szCs w:val="22"/>
                <w:lang w:val="fr-FR" w:eastAsia="en-GB"/>
              </w:rPr>
              <w:t>, propice à des investissements.</w:t>
            </w:r>
            <w:r w:rsidRPr="006F4D4F">
              <w:rPr>
                <w:rFonts w:ascii="Times New Roman" w:hAnsi="Times New Roman" w:cs="Times New Roman"/>
                <w:color w:val="auto"/>
                <w:sz w:val="22"/>
                <w:szCs w:val="22"/>
                <w:lang w:val="fr-FR" w:eastAsia="en-GB"/>
              </w:rPr>
              <w:t xml:space="preserve"> </w:t>
            </w:r>
          </w:p>
        </w:tc>
        <w:tc>
          <w:tcPr>
            <w:tcW w:w="4395" w:type="dxa"/>
            <w:shd w:val="clear" w:color="auto" w:fill="FFFFFF" w:themeFill="background1"/>
          </w:tcPr>
          <w:p w14:paraId="4B1958E5" w14:textId="78CA3734" w:rsidR="0013626F" w:rsidRPr="006F4D4F" w:rsidRDefault="00C83213" w:rsidP="00F46611">
            <w:pPr>
              <w:pStyle w:val="Paragraphedeliste"/>
              <w:numPr>
                <w:ilvl w:val="1"/>
                <w:numId w:val="32"/>
              </w:numPr>
              <w:autoSpaceDE w:val="0"/>
              <w:autoSpaceDN w:val="0"/>
              <w:adjustRightInd w:val="0"/>
              <w:spacing w:before="0"/>
              <w:rPr>
                <w:rFonts w:ascii="Times New Roman" w:hAnsi="Times New Roman" w:cs="Times New Roman"/>
                <w:color w:val="auto"/>
                <w:sz w:val="22"/>
                <w:szCs w:val="22"/>
                <w:lang w:val="fr-FR"/>
              </w:rPr>
            </w:pPr>
            <w:r w:rsidRPr="006F4D4F">
              <w:rPr>
                <w:rFonts w:ascii="Times New Roman" w:hAnsi="Times New Roman" w:cs="Times New Roman"/>
                <w:color w:val="auto"/>
                <w:sz w:val="22"/>
                <w:szCs w:val="22"/>
                <w:lang w:val="fr-FR"/>
              </w:rPr>
              <w:t>A</w:t>
            </w:r>
            <w:r w:rsidR="009F70FD">
              <w:rPr>
                <w:rFonts w:ascii="Times New Roman" w:hAnsi="Times New Roman" w:cs="Times New Roman"/>
                <w:color w:val="auto"/>
                <w:sz w:val="22"/>
                <w:szCs w:val="22"/>
                <w:lang w:val="fr-FR"/>
              </w:rPr>
              <w:t xml:space="preserve">u moins 1 dialogue public-privé par pays d’intervention établi ou soutenu dans les secteurs </w:t>
            </w:r>
            <w:r w:rsidR="00DE181C">
              <w:rPr>
                <w:rFonts w:ascii="Times New Roman" w:hAnsi="Times New Roman" w:cs="Times New Roman"/>
                <w:color w:val="auto"/>
                <w:sz w:val="22"/>
                <w:szCs w:val="22"/>
                <w:lang w:val="fr-FR"/>
              </w:rPr>
              <w:t>pertinents pou</w:t>
            </w:r>
            <w:r w:rsidR="009F70FD">
              <w:rPr>
                <w:rFonts w:ascii="Times New Roman" w:hAnsi="Times New Roman" w:cs="Times New Roman"/>
                <w:color w:val="auto"/>
                <w:sz w:val="22"/>
                <w:szCs w:val="22"/>
                <w:lang w:val="fr-FR"/>
              </w:rPr>
              <w:t>r les investissements PIE.</w:t>
            </w:r>
            <w:r w:rsidR="0013626F" w:rsidRPr="006F4D4F">
              <w:rPr>
                <w:rFonts w:ascii="Times New Roman" w:hAnsi="Times New Roman" w:cs="Times New Roman"/>
                <w:color w:val="auto"/>
                <w:sz w:val="22"/>
                <w:szCs w:val="22"/>
                <w:lang w:val="fr-FR"/>
              </w:rPr>
              <w:t xml:space="preserve"> </w:t>
            </w:r>
          </w:p>
          <w:p w14:paraId="26742043" w14:textId="4E3AB17F" w:rsidR="0013626F" w:rsidRPr="006F4D4F" w:rsidRDefault="009F70FD" w:rsidP="00F46611">
            <w:pPr>
              <w:pStyle w:val="Paragraphedeliste"/>
              <w:autoSpaceDE w:val="0"/>
              <w:autoSpaceDN w:val="0"/>
              <w:adjustRightInd w:val="0"/>
              <w:spacing w:before="0"/>
              <w:ind w:left="360"/>
              <w:rPr>
                <w:rFonts w:ascii="Times New Roman" w:hAnsi="Times New Roman" w:cs="Times New Roman"/>
                <w:color w:val="auto"/>
                <w:sz w:val="22"/>
                <w:szCs w:val="22"/>
                <w:lang w:val="fr-FR"/>
              </w:rPr>
            </w:pPr>
            <w:r>
              <w:rPr>
                <w:rFonts w:ascii="Times New Roman" w:hAnsi="Times New Roman" w:cs="Times New Roman"/>
                <w:color w:val="auto"/>
                <w:sz w:val="22"/>
                <w:szCs w:val="22"/>
                <w:lang w:val="fr-FR"/>
              </w:rPr>
              <w:t>Valeur de référence : 0.</w:t>
            </w:r>
          </w:p>
          <w:p w14:paraId="5006605D" w14:textId="486D47A3" w:rsidR="0013626F" w:rsidRPr="006F4D4F" w:rsidRDefault="009F70FD" w:rsidP="00F46611">
            <w:pPr>
              <w:pStyle w:val="Paragraphedeliste"/>
              <w:autoSpaceDE w:val="0"/>
              <w:autoSpaceDN w:val="0"/>
              <w:adjustRightInd w:val="0"/>
              <w:spacing w:before="0"/>
              <w:ind w:left="360"/>
              <w:rPr>
                <w:rFonts w:ascii="Times New Roman" w:hAnsi="Times New Roman" w:cs="Times New Roman"/>
                <w:color w:val="auto"/>
                <w:sz w:val="22"/>
                <w:szCs w:val="22"/>
                <w:lang w:val="fr-FR"/>
              </w:rPr>
            </w:pPr>
            <w:r>
              <w:rPr>
                <w:rFonts w:ascii="Times New Roman" w:hAnsi="Times New Roman" w:cs="Times New Roman"/>
                <w:color w:val="auto"/>
                <w:sz w:val="22"/>
                <w:szCs w:val="22"/>
                <w:lang w:val="fr-FR"/>
              </w:rPr>
              <w:t>Valeur cible</w:t>
            </w:r>
            <w:r w:rsidR="00DE181C">
              <w:rPr>
                <w:rFonts w:ascii="Times New Roman" w:hAnsi="Times New Roman" w:cs="Times New Roman"/>
                <w:color w:val="auto"/>
                <w:sz w:val="22"/>
                <w:szCs w:val="22"/>
                <w:lang w:val="fr-FR"/>
              </w:rPr>
              <w:t> : au moins 1 dialogue public-privé établi ou soutenu par pays d’</w:t>
            </w:r>
            <w:r w:rsidR="00612BA9" w:rsidRPr="006F4D4F">
              <w:rPr>
                <w:rFonts w:ascii="Times New Roman" w:hAnsi="Times New Roman" w:cs="Times New Roman"/>
                <w:color w:val="auto"/>
                <w:sz w:val="22"/>
                <w:szCs w:val="22"/>
                <w:lang w:val="fr-FR"/>
              </w:rPr>
              <w:t>intervention</w:t>
            </w:r>
            <w:r w:rsidR="00DE181C">
              <w:rPr>
                <w:rFonts w:ascii="Times New Roman" w:hAnsi="Times New Roman" w:cs="Times New Roman"/>
                <w:color w:val="auto"/>
                <w:sz w:val="22"/>
                <w:szCs w:val="22"/>
                <w:lang w:val="fr-FR"/>
              </w:rPr>
              <w:t>.</w:t>
            </w:r>
          </w:p>
          <w:p w14:paraId="1FABA834" w14:textId="77777777" w:rsidR="0013626F" w:rsidRPr="006F4D4F" w:rsidRDefault="0013626F" w:rsidP="00F46611">
            <w:pPr>
              <w:pStyle w:val="Paragraphedeliste"/>
              <w:autoSpaceDE w:val="0"/>
              <w:autoSpaceDN w:val="0"/>
              <w:adjustRightInd w:val="0"/>
              <w:spacing w:before="0"/>
              <w:ind w:left="360"/>
              <w:rPr>
                <w:rFonts w:ascii="Times New Roman" w:hAnsi="Times New Roman" w:cs="Calibri"/>
                <w:color w:val="000000" w:themeColor="text1"/>
                <w:szCs w:val="24"/>
                <w:lang w:val="fr-FR" w:eastAsia="en-GB"/>
              </w:rPr>
            </w:pPr>
          </w:p>
          <w:p w14:paraId="17609342" w14:textId="40775F3A" w:rsidR="0013626F" w:rsidRPr="006F4D4F" w:rsidRDefault="00917821" w:rsidP="00F46611">
            <w:pPr>
              <w:pStyle w:val="Paragraphedeliste"/>
              <w:numPr>
                <w:ilvl w:val="1"/>
                <w:numId w:val="32"/>
              </w:numPr>
              <w:autoSpaceDE w:val="0"/>
              <w:autoSpaceDN w:val="0"/>
              <w:adjustRightInd w:val="0"/>
              <w:spacing w:before="0"/>
              <w:rPr>
                <w:rFonts w:ascii="Times New Roman" w:hAnsi="Times New Roman" w:cs="Times New Roman"/>
                <w:color w:val="000000" w:themeColor="text1"/>
                <w:sz w:val="22"/>
                <w:szCs w:val="22"/>
                <w:lang w:val="fr-FR" w:eastAsia="en-GB"/>
              </w:rPr>
            </w:pPr>
            <w:r w:rsidRPr="006F4D4F">
              <w:rPr>
                <w:rFonts w:ascii="Times New Roman" w:hAnsi="Times New Roman" w:cs="Times New Roman"/>
                <w:color w:val="auto"/>
                <w:sz w:val="22"/>
                <w:szCs w:val="22"/>
                <w:lang w:val="fr-FR"/>
              </w:rPr>
              <w:t>80</w:t>
            </w:r>
            <w:r w:rsidR="00DE181C">
              <w:rPr>
                <w:rFonts w:ascii="Times New Roman" w:hAnsi="Times New Roman" w:cs="Times New Roman"/>
                <w:color w:val="auto"/>
                <w:sz w:val="22"/>
                <w:szCs w:val="22"/>
                <w:lang w:val="fr-FR"/>
              </w:rPr>
              <w:t> </w:t>
            </w:r>
            <w:r w:rsidRPr="006F4D4F">
              <w:rPr>
                <w:rFonts w:ascii="Times New Roman" w:hAnsi="Times New Roman" w:cs="Times New Roman"/>
                <w:color w:val="auto"/>
                <w:sz w:val="22"/>
                <w:szCs w:val="22"/>
                <w:lang w:val="fr-FR"/>
              </w:rPr>
              <w:t xml:space="preserve">% </w:t>
            </w:r>
            <w:r w:rsidR="00DE181C">
              <w:rPr>
                <w:rFonts w:ascii="Times New Roman" w:hAnsi="Times New Roman" w:cs="Times New Roman"/>
                <w:color w:val="auto"/>
                <w:sz w:val="22"/>
                <w:szCs w:val="22"/>
                <w:lang w:val="fr-FR"/>
              </w:rPr>
              <w:t xml:space="preserve">des dialogues sur le </w:t>
            </w:r>
            <w:r w:rsidR="0068294B">
              <w:rPr>
                <w:rFonts w:ascii="Times New Roman" w:hAnsi="Times New Roman" w:cs="Times New Roman"/>
                <w:color w:val="auto"/>
                <w:sz w:val="22"/>
                <w:szCs w:val="22"/>
                <w:lang w:val="fr-FR"/>
              </w:rPr>
              <w:t>développement des compétences</w:t>
            </w:r>
            <w:r w:rsidR="00DE181C">
              <w:rPr>
                <w:rFonts w:ascii="Times New Roman" w:hAnsi="Times New Roman" w:cs="Times New Roman"/>
                <w:color w:val="auto"/>
                <w:sz w:val="22"/>
                <w:szCs w:val="22"/>
                <w:lang w:val="fr-FR"/>
              </w:rPr>
              <w:t xml:space="preserve"> et l’EFP </w:t>
            </w:r>
            <w:r w:rsidR="000E64CD">
              <w:rPr>
                <w:rFonts w:ascii="Times New Roman" w:hAnsi="Times New Roman" w:cs="Times New Roman"/>
                <w:color w:val="auto"/>
                <w:sz w:val="22"/>
                <w:szCs w:val="22"/>
                <w:lang w:val="fr-FR"/>
              </w:rPr>
              <w:t xml:space="preserve">adaptés à l’emploi </w:t>
            </w:r>
            <w:r w:rsidR="00DE181C">
              <w:rPr>
                <w:rFonts w:ascii="Times New Roman" w:hAnsi="Times New Roman" w:cs="Times New Roman"/>
                <w:color w:val="auto"/>
                <w:sz w:val="22"/>
                <w:szCs w:val="22"/>
                <w:lang w:val="fr-FR"/>
              </w:rPr>
              <w:t xml:space="preserve">débouchent sur un accord ou un plan d’action sur le </w:t>
            </w:r>
            <w:r w:rsidR="0068294B">
              <w:rPr>
                <w:rFonts w:ascii="Times New Roman" w:hAnsi="Times New Roman" w:cs="Times New Roman"/>
                <w:color w:val="auto"/>
                <w:sz w:val="22"/>
                <w:szCs w:val="22"/>
                <w:lang w:val="fr-FR"/>
              </w:rPr>
              <w:t>développement des compétences</w:t>
            </w:r>
            <w:r w:rsidR="00DE181C">
              <w:rPr>
                <w:rFonts w:ascii="Times New Roman" w:hAnsi="Times New Roman" w:cs="Times New Roman"/>
                <w:color w:val="auto"/>
                <w:sz w:val="22"/>
                <w:szCs w:val="22"/>
                <w:lang w:val="fr-FR"/>
              </w:rPr>
              <w:t xml:space="preserve"> entre les entreprises et les </w:t>
            </w:r>
            <w:r w:rsidR="000E64CD">
              <w:rPr>
                <w:rFonts w:ascii="Times New Roman" w:hAnsi="Times New Roman" w:cs="Times New Roman"/>
                <w:color w:val="auto"/>
                <w:sz w:val="22"/>
                <w:szCs w:val="22"/>
                <w:lang w:val="fr-FR"/>
              </w:rPr>
              <w:t>établissements</w:t>
            </w:r>
            <w:r w:rsidR="00DE181C">
              <w:rPr>
                <w:rFonts w:ascii="Times New Roman" w:hAnsi="Times New Roman" w:cs="Times New Roman"/>
                <w:color w:val="auto"/>
                <w:sz w:val="22"/>
                <w:szCs w:val="22"/>
                <w:lang w:val="fr-FR"/>
              </w:rPr>
              <w:t xml:space="preserve"> de formation professionnelle.</w:t>
            </w:r>
          </w:p>
          <w:p w14:paraId="6EFDFF93" w14:textId="2B67E472" w:rsidR="0013626F" w:rsidRPr="006F4D4F" w:rsidRDefault="00DE181C" w:rsidP="00F46611">
            <w:pPr>
              <w:pStyle w:val="Paragraphedeliste"/>
              <w:autoSpaceDE w:val="0"/>
              <w:autoSpaceDN w:val="0"/>
              <w:adjustRightInd w:val="0"/>
              <w:spacing w:before="0"/>
              <w:ind w:left="360"/>
              <w:rPr>
                <w:rFonts w:ascii="Times New Roman" w:hAnsi="Times New Roman" w:cs="Times New Roman"/>
                <w:color w:val="auto"/>
                <w:sz w:val="22"/>
                <w:szCs w:val="22"/>
                <w:lang w:val="fr-FR"/>
              </w:rPr>
            </w:pPr>
            <w:r>
              <w:rPr>
                <w:rFonts w:ascii="Times New Roman" w:hAnsi="Times New Roman" w:cs="Times New Roman"/>
                <w:color w:val="auto"/>
                <w:sz w:val="22"/>
                <w:szCs w:val="22"/>
                <w:lang w:val="fr-FR"/>
              </w:rPr>
              <w:t>Valeur de référence : 0.</w:t>
            </w:r>
          </w:p>
          <w:p w14:paraId="12C92E64" w14:textId="45EBB04A" w:rsidR="0013626F" w:rsidRPr="006F4D4F" w:rsidRDefault="00DE181C" w:rsidP="00402405">
            <w:pPr>
              <w:pStyle w:val="Paragraphedeliste"/>
              <w:autoSpaceDE w:val="0"/>
              <w:autoSpaceDN w:val="0"/>
              <w:adjustRightInd w:val="0"/>
              <w:spacing w:before="0"/>
              <w:ind w:left="360"/>
              <w:rPr>
                <w:rFonts w:ascii="Times New Roman" w:hAnsi="Times New Roman" w:cs="Times New Roman"/>
                <w:color w:val="000000" w:themeColor="text1"/>
                <w:sz w:val="22"/>
                <w:szCs w:val="22"/>
                <w:lang w:val="fr-FR" w:eastAsia="en-GB"/>
              </w:rPr>
            </w:pPr>
            <w:r>
              <w:rPr>
                <w:rFonts w:ascii="Times New Roman" w:hAnsi="Times New Roman" w:cs="Times New Roman"/>
                <w:color w:val="auto"/>
                <w:sz w:val="22"/>
                <w:szCs w:val="22"/>
                <w:lang w:val="fr-FR"/>
              </w:rPr>
              <w:t xml:space="preserve">Valeur cible : au moins </w:t>
            </w:r>
            <w:r w:rsidR="00612BA9" w:rsidRPr="006F4D4F">
              <w:rPr>
                <w:rFonts w:ascii="Times New Roman" w:hAnsi="Times New Roman" w:cs="Times New Roman"/>
                <w:color w:val="auto"/>
                <w:sz w:val="22"/>
                <w:szCs w:val="22"/>
                <w:lang w:val="fr-FR"/>
              </w:rPr>
              <w:t>80</w:t>
            </w:r>
            <w:r>
              <w:rPr>
                <w:rFonts w:ascii="Times New Roman" w:hAnsi="Times New Roman" w:cs="Times New Roman"/>
                <w:color w:val="auto"/>
                <w:sz w:val="22"/>
                <w:szCs w:val="22"/>
                <w:lang w:val="fr-FR"/>
              </w:rPr>
              <w:t> </w:t>
            </w:r>
            <w:r w:rsidR="00612BA9" w:rsidRPr="006F4D4F">
              <w:rPr>
                <w:rFonts w:ascii="Times New Roman" w:hAnsi="Times New Roman" w:cs="Times New Roman"/>
                <w:color w:val="auto"/>
                <w:sz w:val="22"/>
                <w:szCs w:val="22"/>
                <w:lang w:val="fr-FR"/>
              </w:rPr>
              <w:t xml:space="preserve">% </w:t>
            </w:r>
            <w:r>
              <w:rPr>
                <w:rFonts w:ascii="Times New Roman" w:hAnsi="Times New Roman" w:cs="Times New Roman"/>
                <w:color w:val="auto"/>
                <w:sz w:val="22"/>
                <w:szCs w:val="22"/>
                <w:lang w:val="fr-FR"/>
              </w:rPr>
              <w:t>des dialogues public-privé débouchent sur un accord ou un plan d’action.</w:t>
            </w:r>
            <w:r w:rsidR="0013626F" w:rsidRPr="006F4D4F">
              <w:rPr>
                <w:rFonts w:ascii="Times New Roman" w:hAnsi="Times New Roman" w:cs="Times New Roman"/>
                <w:color w:val="auto"/>
                <w:sz w:val="22"/>
                <w:szCs w:val="22"/>
                <w:lang w:val="fr-FR"/>
              </w:rPr>
              <w:t xml:space="preserve"> </w:t>
            </w:r>
          </w:p>
        </w:tc>
        <w:tc>
          <w:tcPr>
            <w:tcW w:w="1843" w:type="dxa"/>
            <w:shd w:val="clear" w:color="auto" w:fill="FFFFFF" w:themeFill="background1"/>
            <w:vAlign w:val="center"/>
          </w:tcPr>
          <w:p w14:paraId="4B0566C7" w14:textId="3B7B1831" w:rsidR="0013626F" w:rsidRPr="006F4D4F" w:rsidRDefault="00DE181C" w:rsidP="00F46611">
            <w:pPr>
              <w:spacing w:before="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Rapports d’avancement publiés par l’action.</w:t>
            </w:r>
          </w:p>
          <w:p w14:paraId="2944BFD4" w14:textId="77777777" w:rsidR="0013626F" w:rsidRPr="006F4D4F" w:rsidRDefault="0013626F" w:rsidP="00F46611">
            <w:pPr>
              <w:spacing w:before="0"/>
              <w:rPr>
                <w:rFonts w:ascii="Times New Roman" w:hAnsi="Times New Roman" w:cs="Calibri"/>
                <w:color w:val="auto"/>
                <w:sz w:val="22"/>
                <w:szCs w:val="22"/>
                <w:lang w:val="fr-FR" w:eastAsia="en-GB"/>
              </w:rPr>
            </w:pPr>
          </w:p>
          <w:p w14:paraId="4D7FF232" w14:textId="77777777" w:rsidR="0013626F" w:rsidRPr="006F4D4F" w:rsidRDefault="0013626F" w:rsidP="00F46611">
            <w:pPr>
              <w:spacing w:before="0"/>
              <w:rPr>
                <w:rFonts w:ascii="Times New Roman" w:hAnsi="Times New Roman" w:cs="Calibri"/>
                <w:color w:val="auto"/>
                <w:sz w:val="22"/>
                <w:szCs w:val="22"/>
                <w:lang w:val="fr-FR" w:eastAsia="en-GB"/>
              </w:rPr>
            </w:pPr>
          </w:p>
          <w:p w14:paraId="0A56D1FB" w14:textId="3FC25197" w:rsidR="000E0EE4" w:rsidRPr="006F4D4F" w:rsidRDefault="000E0EE4" w:rsidP="00F46611">
            <w:pPr>
              <w:spacing w:before="0"/>
              <w:rPr>
                <w:rFonts w:ascii="Times New Roman" w:hAnsi="Times New Roman" w:cs="Calibri"/>
                <w:color w:val="auto"/>
                <w:sz w:val="22"/>
                <w:szCs w:val="22"/>
                <w:lang w:val="fr-FR" w:eastAsia="en-GB"/>
              </w:rPr>
            </w:pPr>
          </w:p>
          <w:p w14:paraId="1CC0EBAB" w14:textId="77777777" w:rsidR="000E0EE4" w:rsidRPr="006F4D4F" w:rsidRDefault="000E0EE4" w:rsidP="00F46611">
            <w:pPr>
              <w:spacing w:before="0"/>
              <w:rPr>
                <w:rFonts w:ascii="Times New Roman" w:hAnsi="Times New Roman" w:cs="Calibri"/>
                <w:color w:val="auto"/>
                <w:sz w:val="22"/>
                <w:szCs w:val="22"/>
                <w:lang w:val="fr-FR" w:eastAsia="en-GB"/>
              </w:rPr>
            </w:pPr>
          </w:p>
          <w:p w14:paraId="407B3B43" w14:textId="77777777" w:rsidR="0013626F" w:rsidRPr="006F4D4F" w:rsidRDefault="0013626F" w:rsidP="00F46611">
            <w:pPr>
              <w:spacing w:before="0"/>
              <w:rPr>
                <w:rFonts w:ascii="Times New Roman" w:hAnsi="Times New Roman" w:cs="Calibri"/>
                <w:color w:val="auto"/>
                <w:sz w:val="22"/>
                <w:szCs w:val="22"/>
                <w:lang w:val="fr-FR" w:eastAsia="en-GB"/>
              </w:rPr>
            </w:pPr>
          </w:p>
          <w:p w14:paraId="1CF4F8C2" w14:textId="77777777" w:rsidR="007751F4" w:rsidRPr="006F4D4F" w:rsidRDefault="007751F4" w:rsidP="00F46611">
            <w:pPr>
              <w:spacing w:before="0"/>
              <w:rPr>
                <w:rFonts w:ascii="Times New Roman" w:hAnsi="Times New Roman" w:cs="Calibri"/>
                <w:color w:val="auto"/>
                <w:sz w:val="22"/>
                <w:szCs w:val="22"/>
                <w:lang w:val="fr-FR" w:eastAsia="en-GB"/>
              </w:rPr>
            </w:pPr>
          </w:p>
          <w:p w14:paraId="529D3DAC" w14:textId="5B948CDA" w:rsidR="0013626F" w:rsidRPr="006F4D4F" w:rsidRDefault="00917821" w:rsidP="00F46611">
            <w:pPr>
              <w:spacing w:before="0"/>
              <w:rPr>
                <w:rFonts w:ascii="Times New Roman" w:hAnsi="Times New Roman" w:cs="Calibri"/>
                <w:color w:val="auto"/>
                <w:sz w:val="22"/>
                <w:szCs w:val="22"/>
                <w:lang w:val="fr-FR" w:eastAsia="en-GB"/>
              </w:rPr>
            </w:pPr>
            <w:r w:rsidRPr="006F4D4F">
              <w:rPr>
                <w:rFonts w:ascii="Times New Roman" w:hAnsi="Times New Roman" w:cs="Calibri"/>
                <w:color w:val="auto"/>
                <w:sz w:val="22"/>
                <w:szCs w:val="22"/>
                <w:lang w:val="fr-FR" w:eastAsia="en-GB"/>
              </w:rPr>
              <w:t>Analys</w:t>
            </w:r>
            <w:r w:rsidR="00DE181C">
              <w:rPr>
                <w:rFonts w:ascii="Times New Roman" w:hAnsi="Times New Roman" w:cs="Calibri"/>
                <w:color w:val="auto"/>
                <w:sz w:val="22"/>
                <w:szCs w:val="22"/>
                <w:lang w:val="fr-FR" w:eastAsia="en-GB"/>
              </w:rPr>
              <w:t>e des accords / plans d’action</w:t>
            </w:r>
          </w:p>
        </w:tc>
        <w:tc>
          <w:tcPr>
            <w:tcW w:w="1842" w:type="dxa"/>
            <w:vMerge w:val="restart"/>
            <w:shd w:val="clear" w:color="auto" w:fill="auto"/>
            <w:vAlign w:val="center"/>
          </w:tcPr>
          <w:p w14:paraId="7553E27F" w14:textId="12DBB399" w:rsidR="0013626F" w:rsidRPr="006F4D4F" w:rsidRDefault="00DE181C" w:rsidP="00F46611">
            <w:pPr>
              <w:spacing w:before="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 xml:space="preserve">Les </w:t>
            </w:r>
            <w:r w:rsidR="00CA02FC">
              <w:rPr>
                <w:rFonts w:ascii="Times New Roman" w:hAnsi="Times New Roman" w:cs="Calibri"/>
                <w:color w:val="auto"/>
                <w:sz w:val="22"/>
                <w:szCs w:val="22"/>
                <w:lang w:val="fr-FR" w:eastAsia="en-GB"/>
              </w:rPr>
              <w:t>établissements</w:t>
            </w:r>
            <w:r>
              <w:rPr>
                <w:rFonts w:ascii="Times New Roman" w:hAnsi="Times New Roman" w:cs="Calibri"/>
                <w:color w:val="auto"/>
                <w:sz w:val="22"/>
                <w:szCs w:val="22"/>
                <w:lang w:val="fr-FR" w:eastAsia="en-GB"/>
              </w:rPr>
              <w:t xml:space="preserve"> EFP intègreront les nouveaux outils et méthodes proposés par la présente action dans leurs procédures de travail standard / programmes de formation.</w:t>
            </w:r>
          </w:p>
          <w:p w14:paraId="2E251B5F" w14:textId="77777777" w:rsidR="0013626F" w:rsidRPr="006F4D4F" w:rsidRDefault="0013626F" w:rsidP="00F46611">
            <w:pPr>
              <w:spacing w:before="0"/>
              <w:rPr>
                <w:rFonts w:ascii="Times New Roman" w:hAnsi="Times New Roman" w:cs="Calibri"/>
                <w:color w:val="auto"/>
                <w:sz w:val="22"/>
                <w:szCs w:val="22"/>
                <w:lang w:val="fr-FR" w:eastAsia="en-GB"/>
              </w:rPr>
            </w:pPr>
          </w:p>
          <w:p w14:paraId="6097E174" w14:textId="1BFEE1EE" w:rsidR="0013626F" w:rsidRPr="006F4D4F" w:rsidRDefault="00DE181C" w:rsidP="00F46611">
            <w:pPr>
              <w:autoSpaceDE w:val="0"/>
              <w:autoSpaceDN w:val="0"/>
              <w:adjustRightInd w:val="0"/>
              <w:spacing w:before="0"/>
              <w:rPr>
                <w:rFonts w:ascii="Times New Roman" w:hAnsi="Times New Roman" w:cs="Calibri"/>
                <w:color w:val="auto"/>
                <w:szCs w:val="24"/>
                <w:highlight w:val="yellow"/>
                <w:lang w:val="fr-FR" w:eastAsia="en-GB"/>
              </w:rPr>
            </w:pPr>
            <w:r>
              <w:rPr>
                <w:rFonts w:ascii="Times New Roman" w:hAnsi="Times New Roman" w:cs="Calibri"/>
                <w:color w:val="auto"/>
                <w:sz w:val="22"/>
                <w:szCs w:val="22"/>
                <w:lang w:val="fr-FR" w:eastAsia="en-GB"/>
              </w:rPr>
              <w:t xml:space="preserve">Les parties prenantes du PIE appartenant au secteur privé désirent s’engager auprès des </w:t>
            </w:r>
            <w:r w:rsidR="000E64CD">
              <w:rPr>
                <w:rFonts w:ascii="Times New Roman" w:hAnsi="Times New Roman" w:cs="Calibri"/>
                <w:color w:val="auto"/>
                <w:sz w:val="22"/>
                <w:szCs w:val="22"/>
                <w:lang w:val="fr-FR" w:eastAsia="en-GB"/>
              </w:rPr>
              <w:t>établissements</w:t>
            </w:r>
            <w:r>
              <w:rPr>
                <w:rFonts w:ascii="Times New Roman" w:hAnsi="Times New Roman" w:cs="Calibri"/>
                <w:color w:val="auto"/>
                <w:sz w:val="22"/>
                <w:szCs w:val="22"/>
                <w:lang w:val="fr-FR" w:eastAsia="en-GB"/>
              </w:rPr>
              <w:t xml:space="preserve"> EFP pour remplir des postes de formation ou apporter des éclairages pour la mise au point de nouvelles formations.</w:t>
            </w:r>
          </w:p>
        </w:tc>
      </w:tr>
      <w:tr w:rsidR="0013626F" w:rsidRPr="004A302F" w14:paraId="72EA47B5" w14:textId="77777777" w:rsidTr="005D253B">
        <w:trPr>
          <w:jc w:val="center"/>
        </w:trPr>
        <w:tc>
          <w:tcPr>
            <w:tcW w:w="1560" w:type="dxa"/>
            <w:shd w:val="clear" w:color="auto" w:fill="D9D9D9" w:themeFill="background1" w:themeFillShade="D9"/>
            <w:vAlign w:val="center"/>
          </w:tcPr>
          <w:p w14:paraId="4B439039" w14:textId="77777777" w:rsidR="0013626F" w:rsidRPr="006F4D4F" w:rsidRDefault="0013626F" w:rsidP="00F46611">
            <w:pPr>
              <w:tabs>
                <w:tab w:val="left" w:pos="0"/>
                <w:tab w:val="left" w:pos="132"/>
              </w:tabs>
              <w:spacing w:before="0"/>
              <w:rPr>
                <w:rFonts w:ascii="Times New Roman" w:hAnsi="Times New Roman" w:cs="Calibri"/>
                <w:b/>
                <w:color w:val="auto"/>
                <w:szCs w:val="24"/>
                <w:lang w:val="fr-FR" w:eastAsia="en-GB"/>
              </w:rPr>
            </w:pPr>
          </w:p>
        </w:tc>
        <w:tc>
          <w:tcPr>
            <w:tcW w:w="4067" w:type="dxa"/>
            <w:shd w:val="clear" w:color="auto" w:fill="FFFFFF" w:themeFill="background1"/>
          </w:tcPr>
          <w:p w14:paraId="7A00BBD0" w14:textId="13A32F7E" w:rsidR="0013626F" w:rsidRPr="006F4D4F" w:rsidRDefault="0013626F" w:rsidP="00F46611">
            <w:pPr>
              <w:autoSpaceDE w:val="0"/>
              <w:autoSpaceDN w:val="0"/>
              <w:adjustRightInd w:val="0"/>
              <w:spacing w:before="0"/>
              <w:jc w:val="both"/>
              <w:rPr>
                <w:rFonts w:ascii="Times New Roman" w:hAnsi="Times New Roman" w:cs="Times New Roman"/>
                <w:color w:val="auto"/>
                <w:sz w:val="22"/>
                <w:szCs w:val="22"/>
                <w:lang w:val="fr-FR" w:eastAsia="en-GB"/>
              </w:rPr>
            </w:pPr>
            <w:r w:rsidRPr="006F4D4F">
              <w:rPr>
                <w:rFonts w:ascii="Times New Roman" w:hAnsi="Times New Roman" w:cs="Times New Roman"/>
                <w:b/>
                <w:bCs/>
                <w:color w:val="auto"/>
                <w:sz w:val="22"/>
                <w:szCs w:val="22"/>
                <w:lang w:val="fr-FR" w:eastAsia="en-GB"/>
              </w:rPr>
              <w:t>R</w:t>
            </w:r>
            <w:r w:rsidR="00DE181C">
              <w:rPr>
                <w:rFonts w:ascii="Times New Roman" w:hAnsi="Times New Roman" w:cs="Times New Roman"/>
                <w:b/>
                <w:bCs/>
                <w:color w:val="auto"/>
                <w:sz w:val="22"/>
                <w:szCs w:val="22"/>
                <w:lang w:val="fr-FR" w:eastAsia="en-GB"/>
              </w:rPr>
              <w:t>é</w:t>
            </w:r>
            <w:r w:rsidRPr="006F4D4F">
              <w:rPr>
                <w:rFonts w:ascii="Times New Roman" w:hAnsi="Times New Roman" w:cs="Times New Roman"/>
                <w:b/>
                <w:bCs/>
                <w:color w:val="auto"/>
                <w:sz w:val="22"/>
                <w:szCs w:val="22"/>
                <w:lang w:val="fr-FR" w:eastAsia="en-GB"/>
              </w:rPr>
              <w:t>sult</w:t>
            </w:r>
            <w:r w:rsidR="00DE181C">
              <w:rPr>
                <w:rFonts w:ascii="Times New Roman" w:hAnsi="Times New Roman" w:cs="Times New Roman"/>
                <w:b/>
                <w:bCs/>
                <w:color w:val="auto"/>
                <w:sz w:val="22"/>
                <w:szCs w:val="22"/>
                <w:lang w:val="fr-FR" w:eastAsia="en-GB"/>
              </w:rPr>
              <w:t>at</w:t>
            </w:r>
            <w:r w:rsidRPr="006F4D4F">
              <w:rPr>
                <w:rFonts w:ascii="Times New Roman" w:hAnsi="Times New Roman" w:cs="Times New Roman"/>
                <w:b/>
                <w:bCs/>
                <w:color w:val="auto"/>
                <w:sz w:val="22"/>
                <w:szCs w:val="22"/>
                <w:lang w:val="fr-FR" w:eastAsia="en-GB"/>
              </w:rPr>
              <w:t xml:space="preserve"> 2</w:t>
            </w:r>
            <w:r w:rsidR="000E64CD">
              <w:rPr>
                <w:rFonts w:ascii="Times New Roman" w:hAnsi="Times New Roman" w:cs="Times New Roman"/>
                <w:color w:val="auto"/>
                <w:sz w:val="22"/>
                <w:szCs w:val="22"/>
                <w:lang w:val="fr-FR" w:eastAsia="en-GB"/>
              </w:rPr>
              <w:t>.</w:t>
            </w:r>
            <w:r w:rsidRPr="006F4D4F">
              <w:rPr>
                <w:rFonts w:ascii="Times New Roman" w:hAnsi="Times New Roman" w:cs="Times New Roman"/>
                <w:b/>
                <w:bCs/>
                <w:color w:val="auto"/>
                <w:sz w:val="22"/>
                <w:szCs w:val="22"/>
                <w:lang w:val="fr-FR" w:eastAsia="en-GB"/>
              </w:rPr>
              <w:t xml:space="preserve"> </w:t>
            </w:r>
            <w:r w:rsidR="000E64CD">
              <w:rPr>
                <w:rFonts w:ascii="Times New Roman" w:hAnsi="Times New Roman" w:cs="Times New Roman"/>
                <w:color w:val="auto"/>
                <w:sz w:val="22"/>
                <w:szCs w:val="22"/>
                <w:lang w:val="fr-FR" w:eastAsia="en-GB"/>
              </w:rPr>
              <w:t>Accompagnement des parties prenantes EFP pour les aider à dispenser une formation adaptée aux besoins des investissements.</w:t>
            </w:r>
            <w:r w:rsidRPr="006F4D4F">
              <w:rPr>
                <w:rFonts w:ascii="Times New Roman" w:hAnsi="Times New Roman" w:cs="Times New Roman"/>
                <w:bCs/>
                <w:color w:val="auto"/>
                <w:sz w:val="22"/>
                <w:szCs w:val="22"/>
                <w:lang w:val="fr-FR" w:eastAsia="en-GB"/>
              </w:rPr>
              <w:t xml:space="preserve"> </w:t>
            </w:r>
          </w:p>
          <w:p w14:paraId="093203FE" w14:textId="77777777" w:rsidR="0013626F" w:rsidRPr="006F4D4F" w:rsidRDefault="0013626F" w:rsidP="00F46611">
            <w:pPr>
              <w:autoSpaceDE w:val="0"/>
              <w:autoSpaceDN w:val="0"/>
              <w:adjustRightInd w:val="0"/>
              <w:spacing w:before="0"/>
              <w:jc w:val="both"/>
              <w:rPr>
                <w:rFonts w:ascii="Times New Roman" w:hAnsi="Times New Roman" w:cs="Times New Roman"/>
                <w:bCs/>
                <w:color w:val="auto"/>
                <w:sz w:val="22"/>
                <w:szCs w:val="22"/>
                <w:lang w:val="fr-FR" w:eastAsia="en-GB"/>
              </w:rPr>
            </w:pPr>
          </w:p>
          <w:p w14:paraId="5ECFCA43" w14:textId="77777777" w:rsidR="0013626F" w:rsidRPr="006F4D4F" w:rsidRDefault="0013626F" w:rsidP="00F46611">
            <w:pPr>
              <w:autoSpaceDE w:val="0"/>
              <w:autoSpaceDN w:val="0"/>
              <w:adjustRightInd w:val="0"/>
              <w:spacing w:before="0"/>
              <w:rPr>
                <w:rFonts w:ascii="Times New Roman" w:hAnsi="Times New Roman" w:cs="Times New Roman"/>
                <w:b/>
                <w:bCs/>
                <w:color w:val="auto"/>
                <w:lang w:val="fr-FR" w:eastAsia="en-GB"/>
              </w:rPr>
            </w:pPr>
          </w:p>
        </w:tc>
        <w:tc>
          <w:tcPr>
            <w:tcW w:w="4395" w:type="dxa"/>
            <w:shd w:val="clear" w:color="auto" w:fill="auto"/>
          </w:tcPr>
          <w:p w14:paraId="36B74304" w14:textId="0D2E0F90" w:rsidR="00E95F0B" w:rsidRPr="006F4D4F" w:rsidRDefault="00E95F0B" w:rsidP="00E95F0B">
            <w:pPr>
              <w:pStyle w:val="Paragraphedeliste"/>
              <w:numPr>
                <w:ilvl w:val="0"/>
                <w:numId w:val="33"/>
              </w:numPr>
              <w:autoSpaceDE w:val="0"/>
              <w:autoSpaceDN w:val="0"/>
              <w:adjustRightInd w:val="0"/>
              <w:spacing w:before="0"/>
              <w:rPr>
                <w:rFonts w:ascii="Times New Roman" w:hAnsi="Times New Roman" w:cs="Calibri"/>
                <w:color w:val="000000" w:themeColor="text1"/>
                <w:sz w:val="22"/>
                <w:szCs w:val="22"/>
                <w:lang w:val="fr-FR" w:eastAsia="en-GB"/>
              </w:rPr>
            </w:pPr>
            <w:r w:rsidRPr="006F4D4F">
              <w:rPr>
                <w:rFonts w:ascii="Times New Roman" w:hAnsi="Times New Roman" w:cs="Calibri"/>
                <w:color w:val="000000" w:themeColor="text1"/>
                <w:sz w:val="22"/>
                <w:szCs w:val="22"/>
                <w:lang w:val="fr-FR" w:eastAsia="en-GB"/>
              </w:rPr>
              <w:t>80</w:t>
            </w:r>
            <w:r w:rsidR="00DE181C">
              <w:rPr>
                <w:rFonts w:ascii="Times New Roman" w:hAnsi="Times New Roman" w:cs="Calibri"/>
                <w:color w:val="000000" w:themeColor="text1"/>
                <w:sz w:val="22"/>
                <w:szCs w:val="22"/>
                <w:lang w:val="fr-FR" w:eastAsia="en-GB"/>
              </w:rPr>
              <w:t> </w:t>
            </w:r>
            <w:r w:rsidRPr="006F4D4F">
              <w:rPr>
                <w:rFonts w:ascii="Times New Roman" w:hAnsi="Times New Roman" w:cs="Calibri"/>
                <w:color w:val="000000" w:themeColor="text1"/>
                <w:sz w:val="22"/>
                <w:szCs w:val="22"/>
                <w:lang w:val="fr-FR" w:eastAsia="en-GB"/>
              </w:rPr>
              <w:t xml:space="preserve">% </w:t>
            </w:r>
            <w:r w:rsidR="00DE181C">
              <w:rPr>
                <w:rFonts w:ascii="Times New Roman" w:hAnsi="Times New Roman" w:cs="Calibri"/>
                <w:color w:val="000000" w:themeColor="text1"/>
                <w:sz w:val="22"/>
                <w:szCs w:val="22"/>
                <w:lang w:val="fr-FR" w:eastAsia="en-GB"/>
              </w:rPr>
              <w:t xml:space="preserve">des accords ou plans d’action ont débouché sur la mise au point ou l’adaptation de méthodes et modules de formation pour le </w:t>
            </w:r>
            <w:r w:rsidR="0068294B">
              <w:rPr>
                <w:rFonts w:ascii="Times New Roman" w:hAnsi="Times New Roman" w:cs="Calibri"/>
                <w:color w:val="000000" w:themeColor="text1"/>
                <w:sz w:val="22"/>
                <w:szCs w:val="22"/>
                <w:lang w:val="fr-FR" w:eastAsia="en-GB"/>
              </w:rPr>
              <w:t>développement des compétences</w:t>
            </w:r>
            <w:r w:rsidR="00DE181C">
              <w:rPr>
                <w:rFonts w:ascii="Times New Roman" w:hAnsi="Times New Roman" w:cs="Calibri"/>
                <w:color w:val="000000" w:themeColor="text1"/>
                <w:sz w:val="22"/>
                <w:szCs w:val="22"/>
                <w:lang w:val="fr-FR" w:eastAsia="en-GB"/>
              </w:rPr>
              <w:t xml:space="preserve"> axé sur la demande.</w:t>
            </w:r>
          </w:p>
          <w:p w14:paraId="4462AFC3" w14:textId="2A3E7C77" w:rsidR="00E95F0B" w:rsidRPr="006F4D4F" w:rsidRDefault="00DE181C" w:rsidP="00E95F0B">
            <w:pPr>
              <w:pStyle w:val="Paragraphedeliste"/>
              <w:autoSpaceDE w:val="0"/>
              <w:autoSpaceDN w:val="0"/>
              <w:adjustRightInd w:val="0"/>
              <w:spacing w:before="0"/>
              <w:ind w:left="360"/>
              <w:rPr>
                <w:rFonts w:ascii="Times New Roman" w:hAnsi="Times New Roman" w:cs="Calibri"/>
                <w:color w:val="000000" w:themeColor="text1"/>
                <w:sz w:val="22"/>
                <w:szCs w:val="22"/>
                <w:lang w:val="fr-FR" w:eastAsia="en-GB"/>
              </w:rPr>
            </w:pPr>
            <w:r>
              <w:rPr>
                <w:rFonts w:ascii="Times New Roman" w:hAnsi="Times New Roman" w:cs="Calibri"/>
                <w:color w:val="000000" w:themeColor="text1"/>
                <w:sz w:val="22"/>
                <w:szCs w:val="22"/>
                <w:lang w:val="fr-FR" w:eastAsia="en-GB"/>
              </w:rPr>
              <w:t>Valeur de référence : 0.</w:t>
            </w:r>
          </w:p>
          <w:p w14:paraId="2C8A1AE1" w14:textId="7DA2E6A8" w:rsidR="00E95F0B" w:rsidRPr="006F4D4F" w:rsidRDefault="00DE181C" w:rsidP="00E95F0B">
            <w:pPr>
              <w:pStyle w:val="Paragraphedeliste"/>
              <w:autoSpaceDE w:val="0"/>
              <w:autoSpaceDN w:val="0"/>
              <w:adjustRightInd w:val="0"/>
              <w:spacing w:before="0"/>
              <w:ind w:left="360"/>
              <w:rPr>
                <w:rFonts w:ascii="Times New Roman" w:hAnsi="Times New Roman" w:cs="Calibri"/>
                <w:color w:val="000000" w:themeColor="text1"/>
                <w:sz w:val="22"/>
                <w:szCs w:val="22"/>
                <w:lang w:val="fr-FR" w:eastAsia="en-GB"/>
              </w:rPr>
            </w:pPr>
            <w:r>
              <w:rPr>
                <w:rFonts w:ascii="Times New Roman" w:hAnsi="Times New Roman" w:cs="Calibri"/>
                <w:color w:val="000000" w:themeColor="text1"/>
                <w:sz w:val="22"/>
                <w:szCs w:val="22"/>
                <w:lang w:val="fr-FR" w:eastAsia="en-GB"/>
              </w:rPr>
              <w:t>Valeur cible : 80 % des accords ou plans d’action ont débouché sur la mise au point ou sur l’adaptation de méthodes et de modules de formation.</w:t>
            </w:r>
          </w:p>
          <w:p w14:paraId="2B2D4957" w14:textId="77777777" w:rsidR="004B6FD4" w:rsidRPr="006F4D4F" w:rsidRDefault="004B6FD4" w:rsidP="004B6FD4">
            <w:pPr>
              <w:pStyle w:val="Paragraphedeliste"/>
              <w:autoSpaceDE w:val="0"/>
              <w:autoSpaceDN w:val="0"/>
              <w:adjustRightInd w:val="0"/>
              <w:spacing w:before="0"/>
              <w:ind w:left="360"/>
              <w:rPr>
                <w:rFonts w:ascii="Times New Roman" w:hAnsi="Times New Roman" w:cs="Calibri"/>
                <w:color w:val="000000" w:themeColor="text1"/>
                <w:sz w:val="22"/>
                <w:szCs w:val="22"/>
                <w:lang w:val="fr-FR" w:eastAsia="en-GB"/>
              </w:rPr>
            </w:pPr>
          </w:p>
          <w:p w14:paraId="648F65DF" w14:textId="18617049" w:rsidR="0013626F" w:rsidRPr="006F4D4F" w:rsidRDefault="00E95F0B" w:rsidP="00F46611">
            <w:pPr>
              <w:pStyle w:val="Paragraphedeliste"/>
              <w:numPr>
                <w:ilvl w:val="0"/>
                <w:numId w:val="33"/>
              </w:numPr>
              <w:autoSpaceDE w:val="0"/>
              <w:autoSpaceDN w:val="0"/>
              <w:adjustRightInd w:val="0"/>
              <w:spacing w:before="0"/>
              <w:rPr>
                <w:rFonts w:ascii="Times New Roman" w:hAnsi="Times New Roman" w:cs="Calibri"/>
                <w:color w:val="000000" w:themeColor="text1"/>
                <w:sz w:val="22"/>
                <w:szCs w:val="22"/>
                <w:lang w:val="fr-FR" w:eastAsia="en-GB"/>
              </w:rPr>
            </w:pPr>
            <w:r w:rsidRPr="006F4D4F">
              <w:rPr>
                <w:rFonts w:ascii="Times New Roman" w:hAnsi="Times New Roman" w:cs="Calibri"/>
                <w:color w:val="000000" w:themeColor="text1"/>
                <w:sz w:val="22"/>
                <w:szCs w:val="22"/>
                <w:lang w:val="fr-FR" w:eastAsia="en-GB"/>
              </w:rPr>
              <w:t>45</w:t>
            </w:r>
            <w:r w:rsidR="0013626F" w:rsidRPr="006F4D4F">
              <w:rPr>
                <w:rFonts w:ascii="Times New Roman" w:hAnsi="Times New Roman" w:cs="Calibri"/>
                <w:color w:val="000000" w:themeColor="text1"/>
                <w:sz w:val="22"/>
                <w:szCs w:val="22"/>
                <w:lang w:val="fr-FR" w:eastAsia="en-GB"/>
              </w:rPr>
              <w:t xml:space="preserve"> </w:t>
            </w:r>
            <w:r w:rsidR="00DE181C">
              <w:rPr>
                <w:rFonts w:ascii="Times New Roman" w:hAnsi="Times New Roman" w:cs="Calibri"/>
                <w:color w:val="000000" w:themeColor="text1"/>
                <w:sz w:val="22"/>
                <w:szCs w:val="22"/>
                <w:lang w:val="fr-FR" w:eastAsia="en-GB"/>
              </w:rPr>
              <w:t xml:space="preserve">prestataires EFP ont </w:t>
            </w:r>
            <w:r w:rsidR="00575B3C">
              <w:rPr>
                <w:rFonts w:ascii="Times New Roman" w:hAnsi="Times New Roman" w:cs="Calibri"/>
                <w:color w:val="000000" w:themeColor="text1"/>
                <w:sz w:val="22"/>
                <w:szCs w:val="22"/>
                <w:lang w:val="fr-FR" w:eastAsia="en-GB"/>
              </w:rPr>
              <w:t>reçu un soutien : formation du personnel et/ou formation des formateurs et/ou équipements.</w:t>
            </w:r>
          </w:p>
          <w:p w14:paraId="6C440DAD" w14:textId="7A29B40B" w:rsidR="0013626F" w:rsidRPr="006F4D4F" w:rsidRDefault="00575B3C" w:rsidP="00F46611">
            <w:pPr>
              <w:pStyle w:val="Paragraphedeliste"/>
              <w:autoSpaceDE w:val="0"/>
              <w:autoSpaceDN w:val="0"/>
              <w:adjustRightInd w:val="0"/>
              <w:spacing w:before="0"/>
              <w:ind w:left="360"/>
              <w:rPr>
                <w:rFonts w:ascii="Times New Roman" w:hAnsi="Times New Roman" w:cs="Calibri"/>
                <w:color w:val="000000" w:themeColor="text1"/>
                <w:sz w:val="22"/>
                <w:szCs w:val="22"/>
                <w:lang w:val="fr-FR" w:eastAsia="en-GB"/>
              </w:rPr>
            </w:pPr>
            <w:r>
              <w:rPr>
                <w:rFonts w:ascii="Times New Roman" w:hAnsi="Times New Roman" w:cs="Calibri"/>
                <w:color w:val="000000" w:themeColor="text1"/>
                <w:sz w:val="22"/>
                <w:szCs w:val="22"/>
                <w:lang w:val="fr-FR" w:eastAsia="en-GB"/>
              </w:rPr>
              <w:t>Valeur de référence : 0.</w:t>
            </w:r>
          </w:p>
          <w:p w14:paraId="09CD94BF" w14:textId="79033B4A" w:rsidR="0013626F" w:rsidRPr="006F4D4F" w:rsidRDefault="00575B3C" w:rsidP="00F46611">
            <w:pPr>
              <w:pStyle w:val="Paragraphedeliste"/>
              <w:autoSpaceDE w:val="0"/>
              <w:autoSpaceDN w:val="0"/>
              <w:adjustRightInd w:val="0"/>
              <w:spacing w:before="0"/>
              <w:ind w:left="360"/>
              <w:rPr>
                <w:rFonts w:ascii="Times New Roman" w:hAnsi="Times New Roman" w:cs="Calibri"/>
                <w:color w:val="000000" w:themeColor="text1"/>
                <w:sz w:val="22"/>
                <w:szCs w:val="22"/>
                <w:lang w:val="fr-FR" w:eastAsia="en-GB"/>
              </w:rPr>
            </w:pPr>
            <w:r>
              <w:rPr>
                <w:rFonts w:ascii="Times New Roman" w:hAnsi="Times New Roman" w:cs="Calibri"/>
                <w:color w:val="000000" w:themeColor="text1"/>
                <w:sz w:val="22"/>
                <w:szCs w:val="22"/>
                <w:lang w:val="fr-FR" w:eastAsia="en-GB"/>
              </w:rPr>
              <w:t>Valeur cible : 45 prestataires EFP ont reçu un soutien.</w:t>
            </w:r>
          </w:p>
          <w:p w14:paraId="2ED01045" w14:textId="77777777" w:rsidR="0013626F" w:rsidRPr="006F4D4F" w:rsidRDefault="0013626F" w:rsidP="00F46611">
            <w:pPr>
              <w:pStyle w:val="Paragraphedeliste"/>
              <w:autoSpaceDE w:val="0"/>
              <w:autoSpaceDN w:val="0"/>
              <w:adjustRightInd w:val="0"/>
              <w:spacing w:before="0"/>
              <w:ind w:left="360"/>
              <w:rPr>
                <w:rFonts w:ascii="Times New Roman" w:hAnsi="Times New Roman" w:cs="Calibri"/>
                <w:color w:val="000000" w:themeColor="text1"/>
                <w:sz w:val="22"/>
                <w:szCs w:val="22"/>
                <w:lang w:val="fr-FR" w:eastAsia="en-GB"/>
              </w:rPr>
            </w:pPr>
          </w:p>
          <w:p w14:paraId="3720D5BA" w14:textId="2B9FEC11" w:rsidR="0013626F" w:rsidRPr="006F4D4F" w:rsidRDefault="00E95F0B" w:rsidP="00F46611">
            <w:pPr>
              <w:pStyle w:val="Paragraphedeliste"/>
              <w:numPr>
                <w:ilvl w:val="0"/>
                <w:numId w:val="33"/>
              </w:numPr>
              <w:autoSpaceDE w:val="0"/>
              <w:autoSpaceDN w:val="0"/>
              <w:adjustRightInd w:val="0"/>
              <w:spacing w:before="0"/>
              <w:rPr>
                <w:rFonts w:ascii="Times New Roman" w:hAnsi="Times New Roman" w:cs="Calibri"/>
                <w:color w:val="000000" w:themeColor="text1"/>
                <w:sz w:val="22"/>
                <w:szCs w:val="22"/>
                <w:lang w:val="fr-FR" w:eastAsia="en-GB"/>
              </w:rPr>
            </w:pPr>
            <w:r w:rsidRPr="006F4D4F">
              <w:rPr>
                <w:rFonts w:ascii="Times New Roman" w:hAnsi="Times New Roman" w:cs="Calibri"/>
                <w:color w:val="000000" w:themeColor="text1"/>
                <w:sz w:val="22"/>
                <w:szCs w:val="22"/>
                <w:lang w:val="fr-FR" w:eastAsia="en-GB"/>
              </w:rPr>
              <w:t>4</w:t>
            </w:r>
            <w:r w:rsidR="00575B3C">
              <w:rPr>
                <w:rFonts w:ascii="Times New Roman" w:hAnsi="Times New Roman" w:cs="Calibri"/>
                <w:color w:val="000000" w:themeColor="text1"/>
                <w:sz w:val="22"/>
                <w:szCs w:val="22"/>
                <w:lang w:val="fr-FR" w:eastAsia="en-GB"/>
              </w:rPr>
              <w:t> </w:t>
            </w:r>
            <w:r w:rsidRPr="006F4D4F">
              <w:rPr>
                <w:rFonts w:ascii="Times New Roman" w:hAnsi="Times New Roman" w:cs="Calibri"/>
                <w:color w:val="000000" w:themeColor="text1"/>
                <w:sz w:val="22"/>
                <w:szCs w:val="22"/>
                <w:lang w:val="fr-FR" w:eastAsia="en-GB"/>
              </w:rPr>
              <w:t>400</w:t>
            </w:r>
            <w:r w:rsidR="0013626F" w:rsidRPr="006F4D4F">
              <w:rPr>
                <w:rFonts w:ascii="Times New Roman" w:hAnsi="Times New Roman" w:cs="Calibri"/>
                <w:color w:val="000000" w:themeColor="text1"/>
                <w:sz w:val="22"/>
                <w:szCs w:val="22"/>
                <w:lang w:val="fr-FR" w:eastAsia="en-GB"/>
              </w:rPr>
              <w:t xml:space="preserve"> </w:t>
            </w:r>
            <w:r w:rsidR="00575B3C">
              <w:rPr>
                <w:rFonts w:ascii="Times New Roman" w:hAnsi="Times New Roman" w:cs="Calibri"/>
                <w:color w:val="000000" w:themeColor="text1"/>
                <w:sz w:val="22"/>
                <w:szCs w:val="22"/>
                <w:lang w:val="fr-FR" w:eastAsia="en-GB"/>
              </w:rPr>
              <w:t xml:space="preserve">personnes formées par le biais des programmes de </w:t>
            </w:r>
            <w:r w:rsidR="0068294B">
              <w:rPr>
                <w:rFonts w:ascii="Times New Roman" w:hAnsi="Times New Roman" w:cs="Calibri"/>
                <w:color w:val="000000" w:themeColor="text1"/>
                <w:sz w:val="22"/>
                <w:szCs w:val="22"/>
                <w:lang w:val="fr-FR" w:eastAsia="en-GB"/>
              </w:rPr>
              <w:t>développement des compétences</w:t>
            </w:r>
            <w:r w:rsidR="00575B3C">
              <w:rPr>
                <w:rFonts w:ascii="Times New Roman" w:hAnsi="Times New Roman" w:cs="Calibri"/>
                <w:color w:val="000000" w:themeColor="text1"/>
                <w:sz w:val="22"/>
                <w:szCs w:val="22"/>
                <w:lang w:val="fr-FR" w:eastAsia="en-GB"/>
              </w:rPr>
              <w:t> / EFP soutenus suite à la nouvelle approche mise au point avec l’appui de l’action (données ventilées par sexe).</w:t>
            </w:r>
          </w:p>
          <w:p w14:paraId="01B41671" w14:textId="104802E4" w:rsidR="0013626F" w:rsidRPr="006F4D4F" w:rsidRDefault="00575B3C" w:rsidP="00F46611">
            <w:pPr>
              <w:pStyle w:val="Paragraphedeliste"/>
              <w:autoSpaceDE w:val="0"/>
              <w:autoSpaceDN w:val="0"/>
              <w:adjustRightInd w:val="0"/>
              <w:spacing w:before="0"/>
              <w:ind w:left="360"/>
              <w:rPr>
                <w:rFonts w:ascii="Times New Roman" w:hAnsi="Times New Roman" w:cs="Calibri"/>
                <w:color w:val="000000" w:themeColor="text1"/>
                <w:sz w:val="22"/>
                <w:szCs w:val="22"/>
                <w:lang w:val="fr-FR" w:eastAsia="en-GB"/>
              </w:rPr>
            </w:pPr>
            <w:r>
              <w:rPr>
                <w:rFonts w:ascii="Times New Roman" w:hAnsi="Times New Roman" w:cs="Calibri"/>
                <w:color w:val="000000" w:themeColor="text1"/>
                <w:sz w:val="22"/>
                <w:szCs w:val="22"/>
                <w:lang w:val="fr-FR" w:eastAsia="en-GB"/>
              </w:rPr>
              <w:t>Valeur de référence : 0.</w:t>
            </w:r>
          </w:p>
          <w:p w14:paraId="74CDA6AB" w14:textId="4D421DF1" w:rsidR="0013626F" w:rsidRPr="006F4D4F" w:rsidRDefault="00575B3C" w:rsidP="00F46611">
            <w:pPr>
              <w:pStyle w:val="Paragraphedeliste"/>
              <w:autoSpaceDE w:val="0"/>
              <w:autoSpaceDN w:val="0"/>
              <w:adjustRightInd w:val="0"/>
              <w:spacing w:before="0"/>
              <w:ind w:left="360"/>
              <w:rPr>
                <w:rFonts w:ascii="Times New Roman" w:hAnsi="Times New Roman" w:cs="Calibri"/>
                <w:color w:val="000000" w:themeColor="text1"/>
                <w:sz w:val="22"/>
                <w:szCs w:val="22"/>
                <w:lang w:val="fr-FR" w:eastAsia="en-GB"/>
              </w:rPr>
            </w:pPr>
            <w:r>
              <w:rPr>
                <w:rFonts w:ascii="Times New Roman" w:hAnsi="Times New Roman" w:cs="Calibri"/>
                <w:color w:val="000000" w:themeColor="text1"/>
                <w:sz w:val="22"/>
                <w:szCs w:val="22"/>
                <w:lang w:val="fr-FR" w:eastAsia="en-GB"/>
              </w:rPr>
              <w:t>Valeur cible : 4 400 personnes formées.</w:t>
            </w:r>
          </w:p>
          <w:p w14:paraId="107FE21E" w14:textId="77777777" w:rsidR="0013626F" w:rsidRPr="006F4D4F" w:rsidRDefault="0013626F" w:rsidP="00F46611">
            <w:pPr>
              <w:autoSpaceDE w:val="0"/>
              <w:autoSpaceDN w:val="0"/>
              <w:adjustRightInd w:val="0"/>
              <w:spacing w:before="0"/>
              <w:rPr>
                <w:rFonts w:ascii="Times New Roman" w:hAnsi="Times New Roman" w:cs="Times New Roman"/>
                <w:color w:val="auto"/>
                <w:sz w:val="22"/>
                <w:szCs w:val="22"/>
                <w:lang w:val="fr-FR" w:eastAsia="de-DE"/>
              </w:rPr>
            </w:pPr>
          </w:p>
        </w:tc>
        <w:tc>
          <w:tcPr>
            <w:tcW w:w="1843" w:type="dxa"/>
            <w:shd w:val="clear" w:color="auto" w:fill="FFFFFF" w:themeFill="background1"/>
          </w:tcPr>
          <w:p w14:paraId="781961FD" w14:textId="74B18625" w:rsidR="000E0EE4" w:rsidRPr="006F4D4F" w:rsidRDefault="000E0EE4" w:rsidP="00F46611">
            <w:pPr>
              <w:spacing w:before="0"/>
              <w:rPr>
                <w:rFonts w:ascii="Times New Roman" w:hAnsi="Times New Roman" w:cs="Calibri"/>
                <w:color w:val="auto"/>
                <w:sz w:val="22"/>
                <w:szCs w:val="22"/>
                <w:lang w:val="fr-FR" w:eastAsia="en-GB"/>
              </w:rPr>
            </w:pPr>
            <w:r w:rsidRPr="006F4D4F">
              <w:rPr>
                <w:rFonts w:ascii="Times New Roman" w:hAnsi="Times New Roman" w:cs="Calibri"/>
                <w:color w:val="auto"/>
                <w:sz w:val="22"/>
                <w:szCs w:val="22"/>
                <w:lang w:val="fr-FR" w:eastAsia="en-GB"/>
              </w:rPr>
              <w:t>Analys</w:t>
            </w:r>
            <w:r w:rsidR="00575B3C">
              <w:rPr>
                <w:rFonts w:ascii="Times New Roman" w:hAnsi="Times New Roman" w:cs="Calibri"/>
                <w:color w:val="auto"/>
                <w:sz w:val="22"/>
                <w:szCs w:val="22"/>
                <w:lang w:val="fr-FR" w:eastAsia="en-GB"/>
              </w:rPr>
              <w:t>e des méthodes de formation et des plans de contenu des formations.</w:t>
            </w:r>
          </w:p>
          <w:p w14:paraId="7382CD85" w14:textId="77777777" w:rsidR="000E0EE4" w:rsidRPr="006F4D4F" w:rsidRDefault="000E0EE4" w:rsidP="00F46611">
            <w:pPr>
              <w:spacing w:before="0"/>
              <w:rPr>
                <w:rFonts w:ascii="Times New Roman" w:hAnsi="Times New Roman" w:cs="Calibri"/>
                <w:color w:val="auto"/>
                <w:sz w:val="22"/>
                <w:szCs w:val="22"/>
                <w:lang w:val="fr-FR" w:eastAsia="en-GB"/>
              </w:rPr>
            </w:pPr>
          </w:p>
          <w:p w14:paraId="2EAB5EE0" w14:textId="77777777" w:rsidR="000E0EE4" w:rsidRPr="006F4D4F" w:rsidRDefault="000E0EE4" w:rsidP="00F46611">
            <w:pPr>
              <w:spacing w:before="0"/>
              <w:rPr>
                <w:rFonts w:ascii="Times New Roman" w:hAnsi="Times New Roman" w:cs="Calibri"/>
                <w:color w:val="auto"/>
                <w:sz w:val="22"/>
                <w:szCs w:val="22"/>
                <w:lang w:val="fr-FR" w:eastAsia="en-GB"/>
              </w:rPr>
            </w:pPr>
          </w:p>
          <w:p w14:paraId="298A5F5F" w14:textId="77777777" w:rsidR="000E0EE4" w:rsidRPr="006F4D4F" w:rsidRDefault="000E0EE4" w:rsidP="00F46611">
            <w:pPr>
              <w:spacing w:before="0"/>
              <w:rPr>
                <w:rFonts w:ascii="Times New Roman" w:hAnsi="Times New Roman" w:cs="Calibri"/>
                <w:color w:val="auto"/>
                <w:sz w:val="22"/>
                <w:szCs w:val="22"/>
                <w:lang w:val="fr-FR" w:eastAsia="en-GB"/>
              </w:rPr>
            </w:pPr>
          </w:p>
          <w:p w14:paraId="78C6DF07" w14:textId="77777777" w:rsidR="0013626F" w:rsidRPr="006F4D4F" w:rsidRDefault="0013626F" w:rsidP="00F46611">
            <w:pPr>
              <w:spacing w:before="0"/>
              <w:rPr>
                <w:rFonts w:ascii="Times New Roman" w:hAnsi="Times New Roman" w:cs="Calibri"/>
                <w:color w:val="auto"/>
                <w:szCs w:val="24"/>
                <w:lang w:val="fr-FR" w:eastAsia="en-GB"/>
              </w:rPr>
            </w:pPr>
          </w:p>
          <w:p w14:paraId="3F1BA2F5" w14:textId="77777777" w:rsidR="00E95F0B" w:rsidRPr="006F4D4F" w:rsidRDefault="00E95F0B" w:rsidP="00F46611">
            <w:pPr>
              <w:spacing w:before="0"/>
              <w:rPr>
                <w:rFonts w:ascii="Times New Roman" w:hAnsi="Times New Roman" w:cs="Calibri"/>
                <w:color w:val="auto"/>
                <w:szCs w:val="24"/>
                <w:lang w:val="fr-FR" w:eastAsia="en-GB"/>
              </w:rPr>
            </w:pPr>
          </w:p>
          <w:p w14:paraId="00671080" w14:textId="76CC41B6" w:rsidR="0013626F" w:rsidRPr="006F4D4F" w:rsidRDefault="00575B3C" w:rsidP="00F46611">
            <w:pPr>
              <w:spacing w:before="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Dossiers de formation du personnel et listes / inventaire des équipements.</w:t>
            </w:r>
          </w:p>
          <w:p w14:paraId="0CF0A2D8" w14:textId="76BB496B" w:rsidR="0013626F" w:rsidRPr="006F4D4F" w:rsidRDefault="0013626F" w:rsidP="00F46611">
            <w:pPr>
              <w:spacing w:before="0"/>
              <w:rPr>
                <w:rFonts w:ascii="Times New Roman" w:hAnsi="Times New Roman" w:cs="Calibri"/>
                <w:color w:val="auto"/>
                <w:sz w:val="22"/>
                <w:szCs w:val="22"/>
                <w:lang w:val="fr-FR" w:eastAsia="en-GB"/>
              </w:rPr>
            </w:pPr>
          </w:p>
          <w:p w14:paraId="09FC91D3" w14:textId="3972FA2F" w:rsidR="00FD4DC1" w:rsidRPr="006F4D4F" w:rsidRDefault="00FD4DC1" w:rsidP="00F46611">
            <w:pPr>
              <w:spacing w:before="0"/>
              <w:rPr>
                <w:rFonts w:ascii="Times New Roman" w:hAnsi="Times New Roman" w:cs="Calibri"/>
                <w:color w:val="auto"/>
                <w:sz w:val="22"/>
                <w:szCs w:val="22"/>
                <w:lang w:val="fr-FR" w:eastAsia="en-GB"/>
              </w:rPr>
            </w:pPr>
          </w:p>
          <w:p w14:paraId="0AF4AF33" w14:textId="77777777" w:rsidR="00FD4DC1" w:rsidRPr="006F4D4F" w:rsidRDefault="00FD4DC1" w:rsidP="00F46611">
            <w:pPr>
              <w:spacing w:before="0"/>
              <w:rPr>
                <w:rFonts w:ascii="Times New Roman" w:hAnsi="Times New Roman" w:cs="Calibri"/>
                <w:color w:val="auto"/>
                <w:sz w:val="22"/>
                <w:szCs w:val="22"/>
                <w:lang w:val="fr-FR" w:eastAsia="en-GB"/>
              </w:rPr>
            </w:pPr>
          </w:p>
          <w:p w14:paraId="1EF9EB09" w14:textId="1043FFF4" w:rsidR="000E0EE4" w:rsidRPr="006F4D4F" w:rsidRDefault="00575B3C" w:rsidP="000E0EE4">
            <w:pPr>
              <w:spacing w:before="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 xml:space="preserve">Dossiers de formation des </w:t>
            </w:r>
            <w:r w:rsidR="000E64CD">
              <w:rPr>
                <w:rFonts w:ascii="Times New Roman" w:hAnsi="Times New Roman" w:cs="Calibri"/>
                <w:color w:val="auto"/>
                <w:sz w:val="22"/>
                <w:szCs w:val="22"/>
                <w:lang w:val="fr-FR" w:eastAsia="en-GB"/>
              </w:rPr>
              <w:t>établissements</w:t>
            </w:r>
            <w:r>
              <w:rPr>
                <w:rFonts w:ascii="Times New Roman" w:hAnsi="Times New Roman" w:cs="Calibri"/>
                <w:color w:val="auto"/>
                <w:sz w:val="22"/>
                <w:szCs w:val="22"/>
                <w:lang w:val="fr-FR" w:eastAsia="en-GB"/>
              </w:rPr>
              <w:t xml:space="preserve"> EFP, entreprises.</w:t>
            </w:r>
          </w:p>
          <w:p w14:paraId="06A3EF9F" w14:textId="685A394C" w:rsidR="000E0EE4" w:rsidRPr="006F4D4F" w:rsidRDefault="000E0EE4" w:rsidP="00F46611">
            <w:pPr>
              <w:spacing w:before="0"/>
              <w:rPr>
                <w:rFonts w:ascii="Times New Roman" w:hAnsi="Times New Roman" w:cs="Calibri"/>
                <w:color w:val="auto"/>
                <w:sz w:val="22"/>
                <w:szCs w:val="22"/>
                <w:lang w:val="fr-FR" w:eastAsia="en-GB"/>
              </w:rPr>
            </w:pPr>
          </w:p>
        </w:tc>
        <w:tc>
          <w:tcPr>
            <w:tcW w:w="1842" w:type="dxa"/>
            <w:vMerge/>
            <w:vAlign w:val="center"/>
          </w:tcPr>
          <w:p w14:paraId="5A2C5CA0" w14:textId="77777777" w:rsidR="0013626F" w:rsidRPr="006F4D4F" w:rsidRDefault="0013626F" w:rsidP="00F46611">
            <w:pPr>
              <w:autoSpaceDE w:val="0"/>
              <w:autoSpaceDN w:val="0"/>
              <w:adjustRightInd w:val="0"/>
              <w:spacing w:before="0"/>
              <w:rPr>
                <w:rFonts w:ascii="Times New Roman" w:hAnsi="Times New Roman" w:cs="Calibri"/>
                <w:color w:val="auto"/>
                <w:szCs w:val="24"/>
                <w:highlight w:val="yellow"/>
                <w:lang w:val="fr-FR" w:eastAsia="en-GB"/>
              </w:rPr>
            </w:pPr>
          </w:p>
        </w:tc>
      </w:tr>
      <w:tr w:rsidR="0013626F" w:rsidRPr="004A302F" w14:paraId="2F1C879A" w14:textId="77777777" w:rsidTr="005D253B">
        <w:trPr>
          <w:jc w:val="center"/>
        </w:trPr>
        <w:tc>
          <w:tcPr>
            <w:tcW w:w="1560" w:type="dxa"/>
            <w:shd w:val="clear" w:color="auto" w:fill="D9D9D9" w:themeFill="background1" w:themeFillShade="D9"/>
            <w:vAlign w:val="center"/>
          </w:tcPr>
          <w:p w14:paraId="20CDDF0B" w14:textId="77777777" w:rsidR="0013626F" w:rsidRPr="006F4D4F" w:rsidRDefault="0013626F" w:rsidP="00F46611">
            <w:pPr>
              <w:tabs>
                <w:tab w:val="left" w:pos="0"/>
                <w:tab w:val="left" w:pos="132"/>
              </w:tabs>
              <w:spacing w:before="0"/>
              <w:rPr>
                <w:rFonts w:ascii="Times New Roman" w:hAnsi="Times New Roman" w:cs="Calibri"/>
                <w:b/>
                <w:color w:val="auto"/>
                <w:szCs w:val="24"/>
                <w:lang w:val="fr-FR" w:eastAsia="en-GB"/>
              </w:rPr>
            </w:pPr>
          </w:p>
        </w:tc>
        <w:tc>
          <w:tcPr>
            <w:tcW w:w="4067" w:type="dxa"/>
            <w:shd w:val="clear" w:color="auto" w:fill="FFFFFF" w:themeFill="background1"/>
          </w:tcPr>
          <w:p w14:paraId="14F27F3E" w14:textId="1ECA46F2" w:rsidR="0013626F" w:rsidRPr="006F4D4F" w:rsidRDefault="0013626F" w:rsidP="00F46611">
            <w:pPr>
              <w:autoSpaceDE w:val="0"/>
              <w:autoSpaceDN w:val="0"/>
              <w:adjustRightInd w:val="0"/>
              <w:spacing w:before="0"/>
              <w:rPr>
                <w:rFonts w:ascii="Times New Roman" w:hAnsi="Times New Roman" w:cs="Times New Roman"/>
                <w:b/>
                <w:bCs/>
                <w:color w:val="auto"/>
                <w:sz w:val="22"/>
                <w:szCs w:val="22"/>
                <w:lang w:val="fr-FR" w:eastAsia="en-GB"/>
              </w:rPr>
            </w:pPr>
            <w:r w:rsidRPr="006F4D4F">
              <w:rPr>
                <w:rFonts w:ascii="Times New Roman" w:hAnsi="Times New Roman" w:cs="Times New Roman"/>
                <w:b/>
                <w:bCs/>
                <w:color w:val="auto"/>
                <w:sz w:val="22"/>
                <w:szCs w:val="22"/>
                <w:lang w:val="fr-FR" w:eastAsia="en-GB"/>
              </w:rPr>
              <w:t>R</w:t>
            </w:r>
            <w:r w:rsidR="00575B3C">
              <w:rPr>
                <w:rFonts w:ascii="Times New Roman" w:hAnsi="Times New Roman" w:cs="Times New Roman"/>
                <w:b/>
                <w:bCs/>
                <w:color w:val="auto"/>
                <w:sz w:val="22"/>
                <w:szCs w:val="22"/>
                <w:lang w:val="fr-FR" w:eastAsia="en-GB"/>
              </w:rPr>
              <w:t>ésultat 3</w:t>
            </w:r>
            <w:r w:rsidR="00575B3C">
              <w:rPr>
                <w:rFonts w:ascii="Times New Roman" w:hAnsi="Times New Roman" w:cs="Times New Roman"/>
                <w:color w:val="auto"/>
                <w:sz w:val="22"/>
                <w:szCs w:val="22"/>
                <w:lang w:val="fr-FR" w:eastAsia="en-GB"/>
              </w:rPr>
              <w:t>. Stimulation de la réforme de l’EFP en intégrant les leçons tirées de l’expérience pratique dans une offre EFP axée sur les investissements.</w:t>
            </w:r>
          </w:p>
        </w:tc>
        <w:tc>
          <w:tcPr>
            <w:tcW w:w="4395" w:type="dxa"/>
            <w:shd w:val="clear" w:color="auto" w:fill="FFFFFF" w:themeFill="background1"/>
          </w:tcPr>
          <w:p w14:paraId="3608239F" w14:textId="30C16279" w:rsidR="0013626F" w:rsidRPr="006F4D4F" w:rsidRDefault="00575B3C" w:rsidP="00F46611">
            <w:pPr>
              <w:pStyle w:val="Paragraphedeliste"/>
              <w:numPr>
                <w:ilvl w:val="1"/>
                <w:numId w:val="34"/>
              </w:numPr>
              <w:autoSpaceDE w:val="0"/>
              <w:autoSpaceDN w:val="0"/>
              <w:adjustRightInd w:val="0"/>
              <w:spacing w:before="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Dans tous les pays d’intervention, des leçons ont été tirées et présentées à la communauté EFP globale pour renforcer la pertinence et l’inclusivité de la formation.</w:t>
            </w:r>
          </w:p>
          <w:p w14:paraId="714B6A25" w14:textId="5F9A561A" w:rsidR="0013626F" w:rsidRPr="006F4D4F" w:rsidRDefault="00575B3C" w:rsidP="00F46611">
            <w:pPr>
              <w:pStyle w:val="Paragraphedeliste"/>
              <w:autoSpaceDE w:val="0"/>
              <w:autoSpaceDN w:val="0"/>
              <w:adjustRightInd w:val="0"/>
              <w:spacing w:before="0"/>
              <w:ind w:left="36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Valeur de référence : 0.</w:t>
            </w:r>
          </w:p>
          <w:p w14:paraId="7DDBF203" w14:textId="5D26809B" w:rsidR="0013626F" w:rsidRPr="006F4D4F" w:rsidRDefault="00575B3C" w:rsidP="00F46611">
            <w:pPr>
              <w:pStyle w:val="Paragraphedeliste"/>
              <w:autoSpaceDE w:val="0"/>
              <w:autoSpaceDN w:val="0"/>
              <w:adjustRightInd w:val="0"/>
              <w:spacing w:before="0"/>
              <w:ind w:left="36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Valeur cible : des leçons sont tirées et présentées dans tous les pays d’intervention.</w:t>
            </w:r>
          </w:p>
          <w:p w14:paraId="2F341A52" w14:textId="77777777" w:rsidR="00F441CF" w:rsidRPr="006F4D4F" w:rsidRDefault="00F441CF" w:rsidP="00F46611">
            <w:pPr>
              <w:pStyle w:val="Paragraphedeliste"/>
              <w:autoSpaceDE w:val="0"/>
              <w:autoSpaceDN w:val="0"/>
              <w:adjustRightInd w:val="0"/>
              <w:spacing w:before="0"/>
              <w:ind w:left="360"/>
              <w:rPr>
                <w:rFonts w:ascii="Times New Roman" w:hAnsi="Times New Roman" w:cs="Calibri"/>
                <w:color w:val="auto"/>
                <w:sz w:val="22"/>
                <w:szCs w:val="22"/>
                <w:lang w:val="fr-FR" w:eastAsia="en-GB"/>
              </w:rPr>
            </w:pPr>
          </w:p>
          <w:p w14:paraId="00C1EB80" w14:textId="2DF5B007" w:rsidR="00B413B1" w:rsidRPr="006F4D4F" w:rsidRDefault="00575B3C" w:rsidP="0028170E">
            <w:pPr>
              <w:pStyle w:val="Paragraphedeliste"/>
              <w:numPr>
                <w:ilvl w:val="1"/>
                <w:numId w:val="34"/>
              </w:numPr>
              <w:autoSpaceDE w:val="0"/>
              <w:autoSpaceDN w:val="0"/>
              <w:adjustRightInd w:val="0"/>
              <w:spacing w:before="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 xml:space="preserve">Deux recommandations de politique </w:t>
            </w:r>
            <w:r w:rsidR="00404926">
              <w:rPr>
                <w:rFonts w:ascii="Times New Roman" w:hAnsi="Times New Roman" w:cs="Calibri"/>
                <w:color w:val="auto"/>
                <w:sz w:val="22"/>
                <w:szCs w:val="22"/>
                <w:lang w:val="fr-FR" w:eastAsia="en-GB"/>
              </w:rPr>
              <w:t xml:space="preserve">par pays d’intervention </w:t>
            </w:r>
            <w:r>
              <w:rPr>
                <w:rFonts w:ascii="Times New Roman" w:hAnsi="Times New Roman" w:cs="Calibri"/>
                <w:color w:val="auto"/>
                <w:sz w:val="22"/>
                <w:szCs w:val="22"/>
                <w:lang w:val="fr-FR" w:eastAsia="en-GB"/>
              </w:rPr>
              <w:t>ont été tirées des leçons apprises</w:t>
            </w:r>
            <w:r w:rsidR="00404926">
              <w:rPr>
                <w:rFonts w:ascii="Times New Roman" w:hAnsi="Times New Roman" w:cs="Calibri"/>
                <w:color w:val="auto"/>
                <w:sz w:val="22"/>
                <w:szCs w:val="22"/>
                <w:lang w:val="fr-FR" w:eastAsia="en-GB"/>
              </w:rPr>
              <w:t xml:space="preserve"> et présentées aux </w:t>
            </w:r>
            <w:r w:rsidR="00524A6D">
              <w:rPr>
                <w:rFonts w:ascii="Times New Roman" w:hAnsi="Times New Roman" w:cs="Calibri"/>
                <w:color w:val="auto"/>
                <w:sz w:val="22"/>
                <w:szCs w:val="22"/>
                <w:lang w:val="fr-FR" w:eastAsia="en-GB"/>
              </w:rPr>
              <w:t>instances décisionnelles</w:t>
            </w:r>
            <w:r w:rsidR="00404926">
              <w:rPr>
                <w:rFonts w:ascii="Times New Roman" w:hAnsi="Times New Roman" w:cs="Calibri"/>
                <w:color w:val="auto"/>
                <w:sz w:val="22"/>
                <w:szCs w:val="22"/>
                <w:lang w:val="fr-FR" w:eastAsia="en-GB"/>
              </w:rPr>
              <w:t>.</w:t>
            </w:r>
          </w:p>
          <w:p w14:paraId="01807695" w14:textId="513A7B93" w:rsidR="00F441CF" w:rsidRPr="006F4D4F" w:rsidRDefault="00404926" w:rsidP="00B413B1">
            <w:pPr>
              <w:pStyle w:val="Paragraphedeliste"/>
              <w:autoSpaceDE w:val="0"/>
              <w:autoSpaceDN w:val="0"/>
              <w:adjustRightInd w:val="0"/>
              <w:spacing w:before="0"/>
              <w:ind w:left="36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Valeur de référence : 0.</w:t>
            </w:r>
          </w:p>
          <w:p w14:paraId="7533F00B" w14:textId="4A679D48" w:rsidR="00F441CF" w:rsidRPr="006F4D4F" w:rsidRDefault="00404926" w:rsidP="00F441CF">
            <w:pPr>
              <w:pStyle w:val="Paragraphedeliste"/>
              <w:autoSpaceDE w:val="0"/>
              <w:autoSpaceDN w:val="0"/>
              <w:adjustRightInd w:val="0"/>
              <w:spacing w:before="0"/>
              <w:ind w:left="360"/>
              <w:rPr>
                <w:rFonts w:ascii="Times New Roman" w:hAnsi="Times New Roman" w:cs="Calibri"/>
                <w:color w:val="auto"/>
                <w:sz w:val="22"/>
                <w:szCs w:val="22"/>
                <w:lang w:val="fr-FR" w:eastAsia="en-GB"/>
              </w:rPr>
            </w:pPr>
            <w:r>
              <w:rPr>
                <w:rFonts w:ascii="Times New Roman" w:hAnsi="Times New Roman" w:cs="Calibri"/>
                <w:color w:val="auto"/>
                <w:sz w:val="22"/>
                <w:szCs w:val="22"/>
                <w:lang w:val="fr-FR" w:eastAsia="en-GB"/>
              </w:rPr>
              <w:t>Valeur cible : 2 recommandations de politique par pays d’intervention.</w:t>
            </w:r>
          </w:p>
        </w:tc>
        <w:tc>
          <w:tcPr>
            <w:tcW w:w="1843" w:type="dxa"/>
            <w:shd w:val="clear" w:color="auto" w:fill="FFFFFF" w:themeFill="background1"/>
            <w:vAlign w:val="center"/>
          </w:tcPr>
          <w:p w14:paraId="59BCB631" w14:textId="67242AD3" w:rsidR="0013626F" w:rsidRPr="006F4D4F" w:rsidRDefault="0013626F" w:rsidP="00F46611">
            <w:pPr>
              <w:spacing w:before="0"/>
              <w:rPr>
                <w:rFonts w:ascii="Times New Roman" w:hAnsi="Times New Roman" w:cs="Calibri"/>
                <w:color w:val="auto"/>
                <w:sz w:val="22"/>
                <w:szCs w:val="22"/>
                <w:lang w:val="fr-FR" w:eastAsia="en-GB"/>
              </w:rPr>
            </w:pPr>
            <w:r w:rsidRPr="006F4D4F">
              <w:rPr>
                <w:rFonts w:ascii="Times New Roman" w:hAnsi="Times New Roman" w:cs="Calibri"/>
                <w:color w:val="auto"/>
                <w:sz w:val="22"/>
                <w:szCs w:val="22"/>
                <w:lang w:val="fr-FR" w:eastAsia="en-GB"/>
              </w:rPr>
              <w:t>Analys</w:t>
            </w:r>
            <w:r w:rsidR="00404926">
              <w:rPr>
                <w:rFonts w:ascii="Times New Roman" w:hAnsi="Times New Roman" w:cs="Calibri"/>
                <w:color w:val="auto"/>
                <w:sz w:val="22"/>
                <w:szCs w:val="22"/>
                <w:lang w:val="fr-FR" w:eastAsia="en-GB"/>
              </w:rPr>
              <w:t>e de la documentation liée aux leçons et de sa présentation dans les forums concernés.</w:t>
            </w:r>
            <w:r w:rsidRPr="006F4D4F">
              <w:rPr>
                <w:rFonts w:ascii="Times New Roman" w:hAnsi="Times New Roman" w:cs="Calibri"/>
                <w:color w:val="auto"/>
                <w:sz w:val="22"/>
                <w:szCs w:val="22"/>
                <w:lang w:val="fr-FR" w:eastAsia="en-GB"/>
              </w:rPr>
              <w:t xml:space="preserve"> </w:t>
            </w:r>
          </w:p>
          <w:p w14:paraId="05523556" w14:textId="77777777" w:rsidR="00DD033A" w:rsidRPr="006F4D4F" w:rsidRDefault="00DD033A" w:rsidP="00F46611">
            <w:pPr>
              <w:spacing w:before="0"/>
              <w:rPr>
                <w:rFonts w:ascii="Times New Roman" w:hAnsi="Times New Roman" w:cs="Calibri"/>
                <w:color w:val="auto"/>
                <w:sz w:val="22"/>
                <w:szCs w:val="22"/>
                <w:lang w:val="fr-FR" w:eastAsia="en-GB"/>
              </w:rPr>
            </w:pPr>
          </w:p>
          <w:p w14:paraId="686DA186" w14:textId="308A2DEE" w:rsidR="00B1224E" w:rsidRPr="006F4D4F" w:rsidRDefault="00B1224E" w:rsidP="00F46611">
            <w:pPr>
              <w:spacing w:before="0"/>
              <w:rPr>
                <w:rFonts w:ascii="Times New Roman" w:hAnsi="Times New Roman" w:cs="Calibri"/>
                <w:color w:val="auto"/>
                <w:sz w:val="22"/>
                <w:szCs w:val="22"/>
                <w:lang w:val="fr-FR" w:eastAsia="en-GB"/>
              </w:rPr>
            </w:pPr>
          </w:p>
          <w:p w14:paraId="2A373AD1" w14:textId="41CA15E0" w:rsidR="00DD033A" w:rsidRPr="006F4D4F" w:rsidRDefault="00DD033A" w:rsidP="00F46611">
            <w:pPr>
              <w:spacing w:before="0"/>
              <w:rPr>
                <w:rFonts w:ascii="Times New Roman" w:hAnsi="Times New Roman" w:cs="Calibri"/>
                <w:color w:val="auto"/>
                <w:sz w:val="22"/>
                <w:szCs w:val="22"/>
                <w:lang w:val="fr-FR" w:eastAsia="en-GB"/>
              </w:rPr>
            </w:pPr>
            <w:r w:rsidRPr="006F4D4F">
              <w:rPr>
                <w:rFonts w:ascii="Times New Roman" w:hAnsi="Times New Roman" w:cs="Calibri"/>
                <w:color w:val="auto"/>
                <w:sz w:val="22"/>
                <w:szCs w:val="22"/>
                <w:lang w:val="fr-FR" w:eastAsia="en-GB"/>
              </w:rPr>
              <w:t>Analys</w:t>
            </w:r>
            <w:r w:rsidR="00404926">
              <w:rPr>
                <w:rFonts w:ascii="Times New Roman" w:hAnsi="Times New Roman" w:cs="Calibri"/>
                <w:color w:val="auto"/>
                <w:sz w:val="22"/>
                <w:szCs w:val="22"/>
                <w:lang w:val="fr-FR" w:eastAsia="en-GB"/>
              </w:rPr>
              <w:t xml:space="preserve">e de la </w:t>
            </w:r>
            <w:r w:rsidRPr="006F4D4F">
              <w:rPr>
                <w:rFonts w:ascii="Times New Roman" w:hAnsi="Times New Roman" w:cs="Calibri"/>
                <w:color w:val="auto"/>
                <w:sz w:val="22"/>
                <w:szCs w:val="22"/>
                <w:lang w:val="fr-FR" w:eastAsia="en-GB"/>
              </w:rPr>
              <w:t xml:space="preserve">documentation </w:t>
            </w:r>
            <w:r w:rsidR="00404926">
              <w:rPr>
                <w:rFonts w:ascii="Times New Roman" w:hAnsi="Times New Roman" w:cs="Calibri"/>
                <w:color w:val="auto"/>
                <w:sz w:val="22"/>
                <w:szCs w:val="22"/>
                <w:lang w:val="fr-FR" w:eastAsia="en-GB"/>
              </w:rPr>
              <w:t xml:space="preserve">liée aux recommandations de politique et de sa présentation aux </w:t>
            </w:r>
            <w:r w:rsidR="00524A6D">
              <w:rPr>
                <w:rFonts w:ascii="Times New Roman" w:hAnsi="Times New Roman" w:cs="Calibri"/>
                <w:color w:val="auto"/>
                <w:sz w:val="22"/>
                <w:szCs w:val="22"/>
                <w:lang w:val="fr-FR" w:eastAsia="en-GB"/>
              </w:rPr>
              <w:t>instances décisionnelles</w:t>
            </w:r>
            <w:r w:rsidR="00404926">
              <w:rPr>
                <w:rFonts w:ascii="Times New Roman" w:hAnsi="Times New Roman" w:cs="Calibri"/>
                <w:color w:val="auto"/>
                <w:sz w:val="22"/>
                <w:szCs w:val="22"/>
                <w:lang w:val="fr-FR" w:eastAsia="en-GB"/>
              </w:rPr>
              <w:t>.</w:t>
            </w:r>
          </w:p>
          <w:p w14:paraId="648CD7B2" w14:textId="7F4C3918" w:rsidR="00DD033A" w:rsidRPr="006F4D4F" w:rsidRDefault="00DD033A" w:rsidP="00F46611">
            <w:pPr>
              <w:spacing w:before="0"/>
              <w:rPr>
                <w:rFonts w:ascii="Times New Roman" w:hAnsi="Times New Roman" w:cs="Calibri"/>
                <w:color w:val="auto"/>
                <w:sz w:val="22"/>
                <w:szCs w:val="22"/>
                <w:lang w:val="fr-FR" w:eastAsia="en-GB"/>
              </w:rPr>
            </w:pPr>
          </w:p>
        </w:tc>
        <w:tc>
          <w:tcPr>
            <w:tcW w:w="1842" w:type="dxa"/>
            <w:vMerge/>
            <w:vAlign w:val="center"/>
          </w:tcPr>
          <w:p w14:paraId="0A3BB1B1" w14:textId="77777777" w:rsidR="0013626F" w:rsidRPr="006F4D4F" w:rsidRDefault="0013626F" w:rsidP="00F46611">
            <w:pPr>
              <w:autoSpaceDE w:val="0"/>
              <w:autoSpaceDN w:val="0"/>
              <w:adjustRightInd w:val="0"/>
              <w:spacing w:before="0"/>
              <w:rPr>
                <w:rFonts w:ascii="Times New Roman" w:hAnsi="Times New Roman" w:cs="Calibri"/>
                <w:color w:val="auto"/>
                <w:szCs w:val="24"/>
                <w:highlight w:val="yellow"/>
                <w:lang w:val="fr-FR" w:eastAsia="en-GB"/>
              </w:rPr>
            </w:pPr>
          </w:p>
        </w:tc>
      </w:tr>
      <w:bookmarkEnd w:id="534"/>
      <w:bookmarkEnd w:id="535"/>
    </w:tbl>
    <w:p w14:paraId="46A88B26" w14:textId="77777777" w:rsidR="00AC6E78" w:rsidRPr="006F4D4F" w:rsidRDefault="00AC6E78" w:rsidP="0039731A">
      <w:pPr>
        <w:pStyle w:val="BTCBodyText"/>
        <w:rPr>
          <w:rFonts w:cs="Arial"/>
          <w:lang w:val="fr-FR"/>
        </w:rPr>
      </w:pPr>
    </w:p>
    <w:sectPr w:rsidR="00AC6E78" w:rsidRPr="006F4D4F" w:rsidSect="003D37A6">
      <w:pgSz w:w="16839" w:h="11907" w:orient="landscape" w:code="9"/>
      <w:pgMar w:top="1531" w:right="1418" w:bottom="1871" w:left="1531" w:header="720" w:footer="90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AA55B" w14:textId="77777777" w:rsidR="004A302F" w:rsidRDefault="004A302F" w:rsidP="006772F0">
      <w:r>
        <w:separator/>
      </w:r>
    </w:p>
    <w:p w14:paraId="0D364956" w14:textId="77777777" w:rsidR="004A302F" w:rsidRDefault="004A302F" w:rsidP="006772F0"/>
  </w:endnote>
  <w:endnote w:type="continuationSeparator" w:id="0">
    <w:p w14:paraId="2B13C9D1" w14:textId="77777777" w:rsidR="004A302F" w:rsidRDefault="004A302F" w:rsidP="006772F0">
      <w:r>
        <w:continuationSeparator/>
      </w:r>
    </w:p>
    <w:p w14:paraId="31322E38" w14:textId="77777777" w:rsidR="004A302F" w:rsidRDefault="004A302F" w:rsidP="006772F0"/>
  </w:endnote>
  <w:endnote w:type="continuationNotice" w:id="1">
    <w:p w14:paraId="151F7A7C" w14:textId="77777777" w:rsidR="004A302F" w:rsidRDefault="004A30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D12F7" w14:textId="77777777" w:rsidR="004A302F" w:rsidRDefault="004A302F" w:rsidP="00BF1B15">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1E4D3705" w14:textId="77777777" w:rsidR="004A302F" w:rsidRDefault="004A302F" w:rsidP="00BF1B1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39F5B" w14:textId="637AC1A9" w:rsidR="004A302F" w:rsidRPr="009A0CEA" w:rsidRDefault="004A302F" w:rsidP="001450DC">
    <w:pPr>
      <w:pStyle w:val="Pieddepage"/>
      <w:spacing w:before="240"/>
      <w:rPr>
        <w:lang w:val="fr-FR"/>
      </w:rPr>
    </w:pPr>
    <w:r w:rsidRPr="009A0CEA">
      <w:rPr>
        <w:lang w:val="fr-FR"/>
      </w:rPr>
      <w:t>VET Toolbox 2 – Version du 14 juillet 2020</w:t>
    </w:r>
    <w:r w:rsidRPr="009A0CEA">
      <w:rPr>
        <w:lang w:val="fr-FR"/>
      </w:rPr>
      <w:tab/>
    </w:r>
    <w:r w:rsidRPr="009A0CEA">
      <w:rPr>
        <w:lang w:val="fr-FR"/>
      </w:rPr>
      <w:tab/>
      <w:t xml:space="preserve">Page </w:t>
    </w:r>
    <w:r w:rsidRPr="009A0CEA">
      <w:rPr>
        <w:lang w:val="fr-FR"/>
      </w:rPr>
      <w:fldChar w:fldCharType="begin"/>
    </w:r>
    <w:r w:rsidRPr="009A0CEA">
      <w:rPr>
        <w:lang w:val="fr-FR"/>
      </w:rPr>
      <w:instrText xml:space="preserve"> PAGE   \* MERGEFORMAT </w:instrText>
    </w:r>
    <w:r w:rsidRPr="009A0CEA">
      <w:rPr>
        <w:lang w:val="fr-FR"/>
      </w:rPr>
      <w:fldChar w:fldCharType="separate"/>
    </w:r>
    <w:r w:rsidR="00F27BCC">
      <w:rPr>
        <w:noProof/>
        <w:lang w:val="fr-FR"/>
      </w:rPr>
      <w:t>41</w:t>
    </w:r>
    <w:r w:rsidRPr="009A0CEA">
      <w:rPr>
        <w:noProof/>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2CE3D" w14:textId="77777777" w:rsidR="004A302F" w:rsidRDefault="004A302F" w:rsidP="006772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823EE" w14:textId="77777777" w:rsidR="004A302F" w:rsidRDefault="004A302F" w:rsidP="006772F0">
      <w:r>
        <w:separator/>
      </w:r>
    </w:p>
    <w:p w14:paraId="7427573F" w14:textId="77777777" w:rsidR="004A302F" w:rsidRDefault="004A302F" w:rsidP="006772F0"/>
  </w:footnote>
  <w:footnote w:type="continuationSeparator" w:id="0">
    <w:p w14:paraId="6B753E9F" w14:textId="77777777" w:rsidR="004A302F" w:rsidRDefault="004A302F" w:rsidP="006772F0">
      <w:r>
        <w:continuationSeparator/>
      </w:r>
    </w:p>
    <w:p w14:paraId="0BF0479C" w14:textId="77777777" w:rsidR="004A302F" w:rsidRDefault="004A302F" w:rsidP="006772F0"/>
  </w:footnote>
  <w:footnote w:type="continuationNotice" w:id="1">
    <w:p w14:paraId="10E1F357" w14:textId="77777777" w:rsidR="004A302F" w:rsidRDefault="004A302F">
      <w:pPr>
        <w:spacing w:before="0"/>
      </w:pPr>
    </w:p>
  </w:footnote>
  <w:footnote w:id="2">
    <w:p w14:paraId="6DCE8F36" w14:textId="09337791" w:rsidR="004A302F" w:rsidRPr="00323143" w:rsidRDefault="004A302F">
      <w:pPr>
        <w:pStyle w:val="Notedebasdepage"/>
        <w:rPr>
          <w:lang w:val="fr-FR"/>
        </w:rPr>
      </w:pPr>
      <w:r w:rsidRPr="00323143">
        <w:rPr>
          <w:rStyle w:val="Appelnotedebasdep"/>
          <w:lang w:val="fr-FR"/>
        </w:rPr>
        <w:footnoteRef/>
      </w:r>
      <w:r w:rsidRPr="00323143">
        <w:rPr>
          <w:lang w:val="fr-FR"/>
        </w:rPr>
        <w:t xml:space="preserve"> </w:t>
      </w:r>
      <w:r w:rsidRPr="00323143">
        <w:rPr>
          <w:u w:val="single"/>
          <w:lang w:val="fr-FR"/>
        </w:rPr>
        <w:t>https://ec.europa.eu/commission/presscorner/detail/en/fs_20_374</w:t>
      </w:r>
      <w:r w:rsidRPr="00323143">
        <w:rPr>
          <w:lang w:val="fr-FR"/>
        </w:rPr>
        <w:t xml:space="preserve"> (en anglais)</w:t>
      </w:r>
      <w:r>
        <w:rPr>
          <w:lang w:val="fr-FR"/>
        </w:rPr>
        <w:t>.</w:t>
      </w:r>
    </w:p>
  </w:footnote>
  <w:footnote w:id="3">
    <w:p w14:paraId="11EB7A49" w14:textId="01A5C8C1" w:rsidR="004A302F" w:rsidRPr="00323143" w:rsidRDefault="004A302F">
      <w:pPr>
        <w:pStyle w:val="Notedebasdepage"/>
        <w:rPr>
          <w:lang w:val="fr-FR"/>
        </w:rPr>
      </w:pPr>
      <w:r w:rsidRPr="00323143">
        <w:rPr>
          <w:rStyle w:val="Appelnotedebasdep"/>
          <w:lang w:val="fr-FR"/>
        </w:rPr>
        <w:footnoteRef/>
      </w:r>
      <w:r w:rsidRPr="00323143">
        <w:rPr>
          <w:lang w:val="fr-FR"/>
        </w:rPr>
        <w:t xml:space="preserve"> L’Unité de gestion de projet de la VET Toolbox 1 a été rebaptisée Centre de coordination.</w:t>
      </w:r>
    </w:p>
  </w:footnote>
  <w:footnote w:id="4">
    <w:p w14:paraId="10152709" w14:textId="6A0283E2" w:rsidR="004A302F" w:rsidRPr="00323143" w:rsidRDefault="004A302F" w:rsidP="00932479">
      <w:pPr>
        <w:pStyle w:val="Notedebasdepage"/>
        <w:jc w:val="both"/>
        <w:rPr>
          <w:lang w:val="fr-FR"/>
        </w:rPr>
      </w:pPr>
      <w:r w:rsidRPr="00323143">
        <w:rPr>
          <w:rStyle w:val="Appelnotedebasdep"/>
          <w:lang w:val="fr-FR"/>
        </w:rPr>
        <w:footnoteRef/>
      </w:r>
      <w:r w:rsidRPr="00323143">
        <w:rPr>
          <w:lang w:val="fr-FR"/>
        </w:rPr>
        <w:t xml:space="preserve"> Alors qu</w:t>
      </w:r>
      <w:r>
        <w:rPr>
          <w:lang w:val="fr-FR"/>
        </w:rPr>
        <w:t>e</w:t>
      </w:r>
      <w:r w:rsidRPr="00323143">
        <w:rPr>
          <w:lang w:val="fr-FR"/>
        </w:rPr>
        <w:t xml:space="preserve"> les décisions sur l’appui aux investissements (de portefeuille) sont prises Bruxelles</w:t>
      </w:r>
      <w:r>
        <w:rPr>
          <w:lang w:val="fr-FR"/>
        </w:rPr>
        <w:t>,</w:t>
      </w:r>
      <w:r w:rsidRPr="00323143">
        <w:rPr>
          <w:lang w:val="fr-FR"/>
        </w:rPr>
        <w:t xml:space="preserve"> les informations concernant les investissements concrets seront probablement disponibles au niveau des pays et feront partie du dialogue sur les politiques entre la Commission européenne, les États membres, les institutions financières internationales et les parties prenantes nationales.</w:t>
      </w:r>
    </w:p>
  </w:footnote>
  <w:footnote w:id="5">
    <w:p w14:paraId="1588CA59" w14:textId="49723D12" w:rsidR="004A302F" w:rsidRPr="00323143" w:rsidRDefault="004A302F" w:rsidP="009A70E2">
      <w:pPr>
        <w:pStyle w:val="Notedebasdepage"/>
        <w:rPr>
          <w:lang w:val="fr-FR"/>
        </w:rPr>
      </w:pPr>
      <w:r w:rsidRPr="00323143">
        <w:rPr>
          <w:rStyle w:val="Appelnotedebasdep"/>
          <w:lang w:val="fr-FR"/>
        </w:rPr>
        <w:footnoteRef/>
      </w:r>
      <w:r w:rsidRPr="00323143">
        <w:rPr>
          <w:lang w:val="fr-FR"/>
        </w:rPr>
        <w:t xml:space="preserve"> Cet appui n’existait pas dans la configuration actuelle du projet VET Toolbox 1.</w:t>
      </w:r>
    </w:p>
  </w:footnote>
  <w:footnote w:id="6">
    <w:p w14:paraId="7E0F43A1" w14:textId="2316BF87" w:rsidR="004A302F" w:rsidRPr="00323143" w:rsidRDefault="004A302F" w:rsidP="00241116">
      <w:pPr>
        <w:pStyle w:val="Notedebasdepage"/>
        <w:rPr>
          <w:lang w:val="fr-FR"/>
        </w:rPr>
      </w:pPr>
      <w:r w:rsidRPr="00323143">
        <w:rPr>
          <w:rStyle w:val="Appelnotedebasdep"/>
          <w:lang w:val="fr-FR"/>
        </w:rPr>
        <w:footnoteRef/>
      </w:r>
      <w:r w:rsidRPr="00323143">
        <w:rPr>
          <w:lang w:val="fr-FR"/>
        </w:rPr>
        <w:t xml:space="preserve"> Pour les VET Toolbox 1 et 2 ensemble. </w:t>
      </w:r>
    </w:p>
  </w:footnote>
  <w:footnote w:id="7">
    <w:p w14:paraId="2AA27A8A" w14:textId="3FC837B0" w:rsidR="004A302F" w:rsidRPr="00323143" w:rsidRDefault="004A302F" w:rsidP="00241116">
      <w:pPr>
        <w:pStyle w:val="Notedebasdepage"/>
        <w:rPr>
          <w:lang w:val="fr-FR"/>
        </w:rPr>
      </w:pPr>
      <w:r w:rsidRPr="00323143">
        <w:rPr>
          <w:rStyle w:val="Appelnotedebasdep"/>
          <w:lang w:val="fr-FR"/>
        </w:rPr>
        <w:footnoteRef/>
      </w:r>
      <w:r w:rsidRPr="00323143">
        <w:rPr>
          <w:lang w:val="fr-FR"/>
        </w:rPr>
        <w:t xml:space="preserve"> Financé en partie par la VET Toolbox 1 jusqu’en</w:t>
      </w:r>
      <w:r>
        <w:rPr>
          <w:lang w:val="fr-FR"/>
        </w:rPr>
        <w:t xml:space="preserve"> septembre</w:t>
      </w:r>
      <w:r w:rsidRPr="00323143">
        <w:rPr>
          <w:lang w:val="fr-FR"/>
        </w:rPr>
        <w:t xml:space="preserve"> 2022. </w:t>
      </w:r>
    </w:p>
  </w:footnote>
  <w:footnote w:id="8">
    <w:p w14:paraId="6A52941D" w14:textId="06415982" w:rsidR="004A302F" w:rsidRPr="00323143" w:rsidRDefault="004A302F" w:rsidP="00BD2DF1">
      <w:pPr>
        <w:pStyle w:val="Notedebasdepage"/>
        <w:rPr>
          <w:lang w:val="fr-FR"/>
        </w:rPr>
      </w:pPr>
      <w:r w:rsidRPr="00323143">
        <w:rPr>
          <w:rStyle w:val="Appelnotedebasdep"/>
          <w:lang w:val="fr-FR"/>
        </w:rPr>
        <w:footnoteRef/>
      </w:r>
      <w:r w:rsidRPr="00323143">
        <w:rPr>
          <w:lang w:val="fr-FR"/>
        </w:rPr>
        <w:t xml:space="preserve"> Expertise France </w:t>
      </w:r>
      <w:r>
        <w:rPr>
          <w:lang w:val="fr-FR"/>
        </w:rPr>
        <w:t xml:space="preserve">remplacera </w:t>
      </w:r>
      <w:r w:rsidRPr="00323143">
        <w:rPr>
          <w:lang w:val="fr-FR"/>
        </w:rPr>
        <w:t xml:space="preserve">AFD </w:t>
      </w:r>
      <w:r>
        <w:rPr>
          <w:lang w:val="fr-FR"/>
        </w:rPr>
        <w:t xml:space="preserve">au Comité </w:t>
      </w:r>
      <w:r w:rsidR="00B2732A">
        <w:rPr>
          <w:lang w:val="fr-FR"/>
        </w:rPr>
        <w:t>de Pilotage</w:t>
      </w:r>
      <w:r>
        <w:rPr>
          <w:lang w:val="fr-FR"/>
        </w:rPr>
        <w:t xml:space="preserve"> à la fois pour la </w:t>
      </w:r>
      <w:r w:rsidRPr="00323143">
        <w:rPr>
          <w:lang w:val="fr-FR"/>
        </w:rPr>
        <w:t xml:space="preserve">VET Toolbox 1 </w:t>
      </w:r>
      <w:r>
        <w:rPr>
          <w:lang w:val="fr-FR"/>
        </w:rPr>
        <w:t xml:space="preserve">et pour la VET Toolbox </w:t>
      </w:r>
      <w:r w:rsidRPr="00323143">
        <w:rPr>
          <w:lang w:val="fr-FR"/>
        </w:rPr>
        <w:t xml:space="preserve">2. Expertise France </w:t>
      </w:r>
      <w:r>
        <w:rPr>
          <w:lang w:val="fr-FR"/>
        </w:rPr>
        <w:t xml:space="preserve">restera silencieuse lorsque les questions touchant la </w:t>
      </w:r>
      <w:r w:rsidRPr="00323143">
        <w:rPr>
          <w:lang w:val="fr-FR"/>
        </w:rPr>
        <w:t xml:space="preserve">VET Toolbox 1 </w:t>
      </w:r>
      <w:r>
        <w:rPr>
          <w:lang w:val="fr-FR"/>
        </w:rPr>
        <w:t>seront abordées</w:t>
      </w:r>
      <w:r w:rsidRPr="00323143">
        <w:rPr>
          <w:lang w:val="fr-FR"/>
        </w:rPr>
        <w:t xml:space="preserve">. </w:t>
      </w:r>
    </w:p>
  </w:footnote>
  <w:footnote w:id="9">
    <w:p w14:paraId="7226928B" w14:textId="7EE951E8" w:rsidR="004A302F" w:rsidRPr="00323143" w:rsidRDefault="004A302F">
      <w:pPr>
        <w:pStyle w:val="Notedebasdepage"/>
        <w:rPr>
          <w:lang w:val="fr-FR"/>
        </w:rPr>
      </w:pPr>
      <w:r w:rsidRPr="00323143">
        <w:rPr>
          <w:rStyle w:val="Appelnotedebasdep"/>
          <w:lang w:val="fr-FR"/>
        </w:rPr>
        <w:footnoteRef/>
      </w:r>
      <w:r w:rsidRPr="00323143">
        <w:rPr>
          <w:lang w:val="fr-FR"/>
        </w:rPr>
        <w:t xml:space="preserve"> </w:t>
      </w:r>
      <w:r>
        <w:rPr>
          <w:lang w:val="fr-FR"/>
        </w:rPr>
        <w:t xml:space="preserve">Le rôle du </w:t>
      </w:r>
      <w:r w:rsidRPr="00323143">
        <w:rPr>
          <w:lang w:val="fr-FR"/>
        </w:rPr>
        <w:t>BMZ</w:t>
      </w:r>
      <w:r>
        <w:rPr>
          <w:lang w:val="fr-FR"/>
        </w:rPr>
        <w:t xml:space="preserve"> au Comité </w:t>
      </w:r>
      <w:r w:rsidR="00B2732A">
        <w:rPr>
          <w:lang w:val="fr-FR"/>
        </w:rPr>
        <w:t>de Pilotage</w:t>
      </w:r>
      <w:r>
        <w:rPr>
          <w:lang w:val="fr-FR"/>
        </w:rPr>
        <w:t xml:space="preserve"> se </w:t>
      </w:r>
      <w:r w:rsidR="00B2732A">
        <w:rPr>
          <w:lang w:val="fr-FR"/>
        </w:rPr>
        <w:t>limite</w:t>
      </w:r>
      <w:r>
        <w:rPr>
          <w:lang w:val="fr-FR"/>
        </w:rPr>
        <w:t xml:space="preserve"> aux activités mises en œuvre par GIZ uniquement ; la participation du BMZ au Comité </w:t>
      </w:r>
      <w:r w:rsidR="00B2732A">
        <w:rPr>
          <w:lang w:val="fr-FR"/>
        </w:rPr>
        <w:t>de Pilotage</w:t>
      </w:r>
      <w:r>
        <w:rPr>
          <w:lang w:val="fr-FR"/>
        </w:rPr>
        <w:t xml:space="preserve"> est à confirmer.</w:t>
      </w:r>
      <w:r w:rsidRPr="00323143">
        <w:rPr>
          <w:lang w:val="fr-FR"/>
        </w:rPr>
        <w:t xml:space="preserve"> </w:t>
      </w:r>
    </w:p>
  </w:footnote>
  <w:footnote w:id="10">
    <w:p w14:paraId="3BB8D3F1" w14:textId="565FCACB" w:rsidR="004A302F" w:rsidRPr="00323143" w:rsidRDefault="004A302F">
      <w:pPr>
        <w:pStyle w:val="Notedebasdepage"/>
        <w:rPr>
          <w:lang w:val="fr-FR"/>
        </w:rPr>
      </w:pPr>
      <w:r w:rsidRPr="00323143">
        <w:rPr>
          <w:rStyle w:val="Appelnotedebasdep"/>
          <w:lang w:val="fr-FR"/>
        </w:rPr>
        <w:footnoteRef/>
      </w:r>
      <w:r w:rsidRPr="00323143">
        <w:rPr>
          <w:lang w:val="fr-FR"/>
        </w:rPr>
        <w:t xml:space="preserve"> </w:t>
      </w:r>
      <w:r>
        <w:rPr>
          <w:lang w:val="fr-FR"/>
        </w:rPr>
        <w:t xml:space="preserve">Chaque agence contribue aux cibles chiffrées en proportion du nombre de pays d’intervention affectés (voir </w:t>
      </w:r>
      <w:r w:rsidRPr="00323143">
        <w:rPr>
          <w:lang w:val="fr-FR"/>
        </w:rPr>
        <w:t>4.1)</w:t>
      </w:r>
      <w:r>
        <w:rPr>
          <w:lang w:val="fr-FR"/>
        </w:rPr>
        <w:t>.</w:t>
      </w:r>
    </w:p>
  </w:footnote>
  <w:footnote w:id="11">
    <w:p w14:paraId="69FA9731" w14:textId="626C1730" w:rsidR="004A302F" w:rsidRPr="00323143" w:rsidRDefault="004A302F" w:rsidP="00424ACF">
      <w:pPr>
        <w:pStyle w:val="Notedebasdepage"/>
        <w:rPr>
          <w:lang w:val="fr-FR"/>
        </w:rPr>
      </w:pPr>
      <w:r w:rsidRPr="00323143">
        <w:rPr>
          <w:rStyle w:val="Appelnotedebasdep"/>
          <w:lang w:val="fr-FR"/>
        </w:rPr>
        <w:footnoteRef/>
      </w:r>
      <w:r w:rsidRPr="00323143">
        <w:rPr>
          <w:lang w:val="fr-FR"/>
        </w:rPr>
        <w:t xml:space="preserve"> </w:t>
      </w:r>
      <w:r>
        <w:rPr>
          <w:lang w:val="fr-FR"/>
        </w:rPr>
        <w:t>Une personne est considérée employée lorsqu’elle : 1) est âgée de 15 ans ou plus, 2) possède un emploi formel et/ou informel, 3) est salariée ou indépendante ou travaille dans l’entreprise familiale, 4) produit des biens et/ou des services, 5) génère un revenu (monétaire et/ou en nature) par son travail.</w:t>
      </w:r>
    </w:p>
    <w:p w14:paraId="5335E7A5" w14:textId="7554A92F" w:rsidR="004A302F" w:rsidRPr="00323143" w:rsidRDefault="004A302F" w:rsidP="009B5861">
      <w:pPr>
        <w:pStyle w:val="Notedebasdepage"/>
        <w:ind w:left="720"/>
        <w:rPr>
          <w:lang w:val="fr-FR"/>
        </w:rPr>
      </w:pPr>
      <w:r>
        <w:rPr>
          <w:lang w:val="fr-FR"/>
        </w:rPr>
        <w:t>Les critères d’un travail décent sont remplis lorsqu’une situation d’emploi remplit les conditions ci-dessous :</w:t>
      </w:r>
    </w:p>
    <w:p w14:paraId="560473FD" w14:textId="6FD7DD30" w:rsidR="004A302F" w:rsidRPr="00323143" w:rsidRDefault="004A302F" w:rsidP="009B5861">
      <w:pPr>
        <w:pStyle w:val="Notedebasdepage"/>
        <w:ind w:left="720"/>
        <w:rPr>
          <w:lang w:val="fr-FR"/>
        </w:rPr>
      </w:pPr>
      <w:r w:rsidRPr="00323143">
        <w:rPr>
          <w:lang w:val="fr-FR"/>
        </w:rPr>
        <w:t xml:space="preserve">• </w:t>
      </w:r>
      <w:r>
        <w:rPr>
          <w:lang w:val="fr-FR"/>
        </w:rPr>
        <w:t>Les 8 principales normes du travail de l’OIT sont respectées (pas de recours au travail des enfants, pas de recours au travail forcé, liberté d’association et droit à la négociation collective, pas de discrimination, etc.).</w:t>
      </w:r>
      <w:r w:rsidRPr="00323143">
        <w:rPr>
          <w:lang w:val="fr-FR"/>
        </w:rPr>
        <w:t xml:space="preserve"> </w:t>
      </w:r>
    </w:p>
    <w:p w14:paraId="03E2A2F4" w14:textId="50A1775A" w:rsidR="004A302F" w:rsidRPr="00323143" w:rsidRDefault="004A302F" w:rsidP="009B5861">
      <w:pPr>
        <w:pStyle w:val="Notedebasdepage"/>
        <w:ind w:left="720"/>
        <w:rPr>
          <w:lang w:val="fr-FR"/>
        </w:rPr>
      </w:pPr>
      <w:r w:rsidRPr="00323143">
        <w:rPr>
          <w:lang w:val="fr-FR"/>
        </w:rPr>
        <w:t xml:space="preserve">• </w:t>
      </w:r>
      <w:r>
        <w:rPr>
          <w:lang w:val="fr-FR"/>
        </w:rPr>
        <w:t>La personne est employée pendant au moins 20 heures / semaine sur une période d’au moins 26 semaines / an.</w:t>
      </w:r>
      <w:r w:rsidRPr="00323143">
        <w:rPr>
          <w:lang w:val="fr-FR"/>
        </w:rPr>
        <w:t xml:space="preserve"> </w:t>
      </w:r>
    </w:p>
    <w:p w14:paraId="43F089E8" w14:textId="46FB977D" w:rsidR="004A302F" w:rsidRPr="00323143" w:rsidRDefault="004A302F" w:rsidP="009B5861">
      <w:pPr>
        <w:pStyle w:val="Notedebasdepage"/>
        <w:ind w:left="720"/>
        <w:rPr>
          <w:lang w:val="fr-FR"/>
        </w:rPr>
      </w:pPr>
      <w:r w:rsidRPr="00323143">
        <w:rPr>
          <w:lang w:val="fr-FR"/>
        </w:rPr>
        <w:t xml:space="preserve">• </w:t>
      </w:r>
      <w:r>
        <w:rPr>
          <w:lang w:val="fr-FR"/>
        </w:rPr>
        <w:t>L’emploi génère au moins un « revenu de subsistance », par exemple, 1) le salaire minimal national applicable ou 2) un revenu supérieur au seuil de pauvreté des travailleurs international.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073C9" w14:textId="5B9EBE8C" w:rsidR="004A302F" w:rsidRDefault="004A302F" w:rsidP="00FA6DA1">
    <w:pPr>
      <w:pStyle w:val="En-tte"/>
    </w:pPr>
  </w:p>
  <w:p w14:paraId="7776B3CB" w14:textId="77777777" w:rsidR="004A302F" w:rsidRDefault="004A302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833B" w14:textId="77777777" w:rsidR="004A302F" w:rsidRDefault="004A302F" w:rsidP="006772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487D" w14:textId="77777777" w:rsidR="004A302F" w:rsidRPr="00351128" w:rsidRDefault="004A302F" w:rsidP="0035112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7BBE2" w14:textId="77777777" w:rsidR="004A302F" w:rsidRDefault="004A302F" w:rsidP="006772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5E2B5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2581222"/>
    <w:multiLevelType w:val="hybridMultilevel"/>
    <w:tmpl w:val="9E44F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9711D"/>
    <w:multiLevelType w:val="hybridMultilevel"/>
    <w:tmpl w:val="89B6B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C154AF"/>
    <w:multiLevelType w:val="hybridMultilevel"/>
    <w:tmpl w:val="F1526C0A"/>
    <w:lvl w:ilvl="0" w:tplc="0F8CD548">
      <w:start w:val="5"/>
      <w:numFmt w:val="bullet"/>
      <w:lvlText w:val="-"/>
      <w:lvlJc w:val="left"/>
      <w:pPr>
        <w:ind w:left="720" w:hanging="360"/>
      </w:pPr>
      <w:rPr>
        <w:rFonts w:ascii="Arial" w:eastAsia="Times New Roman" w:hAnsi="Arial" w:cs="Arial" w:hint="default"/>
      </w:rPr>
    </w:lvl>
    <w:lvl w:ilvl="1" w:tplc="0F8CD548">
      <w:start w:val="5"/>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448F4"/>
    <w:multiLevelType w:val="hybridMultilevel"/>
    <w:tmpl w:val="DEC81B4E"/>
    <w:lvl w:ilvl="0" w:tplc="DB42014C">
      <w:start w:val="1"/>
      <w:numFmt w:val="bullet"/>
      <w:lvlText w:val=""/>
      <w:lvlJc w:val="left"/>
      <w:pPr>
        <w:ind w:left="720" w:hanging="360"/>
      </w:pPr>
      <w:rPr>
        <w:rFonts w:ascii="Symbol" w:hAnsi="Symbol" w:hint="default"/>
      </w:rPr>
    </w:lvl>
    <w:lvl w:ilvl="1" w:tplc="FD3A289A">
      <w:start w:val="1"/>
      <w:numFmt w:val="bullet"/>
      <w:lvlText w:val="o"/>
      <w:lvlJc w:val="left"/>
      <w:pPr>
        <w:ind w:left="1440" w:hanging="360"/>
      </w:pPr>
      <w:rPr>
        <w:rFonts w:ascii="Courier New" w:hAnsi="Courier New" w:cs="Times New Roman" w:hint="default"/>
      </w:rPr>
    </w:lvl>
    <w:lvl w:ilvl="2" w:tplc="036A39B0">
      <w:start w:val="1"/>
      <w:numFmt w:val="bullet"/>
      <w:lvlText w:val=""/>
      <w:lvlJc w:val="left"/>
      <w:pPr>
        <w:ind w:left="2160" w:hanging="360"/>
      </w:pPr>
      <w:rPr>
        <w:rFonts w:ascii="Wingdings" w:hAnsi="Wingdings" w:hint="default"/>
      </w:rPr>
    </w:lvl>
    <w:lvl w:ilvl="3" w:tplc="8A126D4A">
      <w:start w:val="1"/>
      <w:numFmt w:val="bullet"/>
      <w:lvlText w:val=""/>
      <w:lvlJc w:val="left"/>
      <w:pPr>
        <w:ind w:left="2880" w:hanging="360"/>
      </w:pPr>
      <w:rPr>
        <w:rFonts w:ascii="Symbol" w:hAnsi="Symbol" w:hint="default"/>
      </w:rPr>
    </w:lvl>
    <w:lvl w:ilvl="4" w:tplc="2B48E526">
      <w:start w:val="1"/>
      <w:numFmt w:val="bullet"/>
      <w:lvlText w:val="o"/>
      <w:lvlJc w:val="left"/>
      <w:pPr>
        <w:ind w:left="3600" w:hanging="360"/>
      </w:pPr>
      <w:rPr>
        <w:rFonts w:ascii="Courier New" w:hAnsi="Courier New" w:cs="Times New Roman" w:hint="default"/>
      </w:rPr>
    </w:lvl>
    <w:lvl w:ilvl="5" w:tplc="6C4E5AA4">
      <w:start w:val="1"/>
      <w:numFmt w:val="bullet"/>
      <w:lvlText w:val=""/>
      <w:lvlJc w:val="left"/>
      <w:pPr>
        <w:ind w:left="4320" w:hanging="360"/>
      </w:pPr>
      <w:rPr>
        <w:rFonts w:ascii="Wingdings" w:hAnsi="Wingdings" w:hint="default"/>
      </w:rPr>
    </w:lvl>
    <w:lvl w:ilvl="6" w:tplc="B32E72AC">
      <w:start w:val="1"/>
      <w:numFmt w:val="bullet"/>
      <w:lvlText w:val=""/>
      <w:lvlJc w:val="left"/>
      <w:pPr>
        <w:ind w:left="5040" w:hanging="360"/>
      </w:pPr>
      <w:rPr>
        <w:rFonts w:ascii="Symbol" w:hAnsi="Symbol" w:hint="default"/>
      </w:rPr>
    </w:lvl>
    <w:lvl w:ilvl="7" w:tplc="88F6CB18">
      <w:start w:val="1"/>
      <w:numFmt w:val="bullet"/>
      <w:lvlText w:val="o"/>
      <w:lvlJc w:val="left"/>
      <w:pPr>
        <w:ind w:left="5760" w:hanging="360"/>
      </w:pPr>
      <w:rPr>
        <w:rFonts w:ascii="Courier New" w:hAnsi="Courier New" w:cs="Times New Roman" w:hint="default"/>
      </w:rPr>
    </w:lvl>
    <w:lvl w:ilvl="8" w:tplc="F2DEB11C">
      <w:start w:val="1"/>
      <w:numFmt w:val="bullet"/>
      <w:lvlText w:val=""/>
      <w:lvlJc w:val="left"/>
      <w:pPr>
        <w:ind w:left="6480" w:hanging="360"/>
      </w:pPr>
      <w:rPr>
        <w:rFonts w:ascii="Wingdings" w:hAnsi="Wingdings" w:hint="default"/>
      </w:rPr>
    </w:lvl>
  </w:abstractNum>
  <w:abstractNum w:abstractNumId="5" w15:restartNumberingAfterBreak="0">
    <w:nsid w:val="0EB42F03"/>
    <w:multiLevelType w:val="hybridMultilevel"/>
    <w:tmpl w:val="5ED22F04"/>
    <w:lvl w:ilvl="0" w:tplc="F6C0A5A2">
      <w:start w:val="1"/>
      <w:numFmt w:val="bullet"/>
      <w:lvlText w:val=""/>
      <w:lvlJc w:val="left"/>
      <w:pPr>
        <w:ind w:left="720" w:hanging="360"/>
      </w:pPr>
      <w:rPr>
        <w:rFonts w:ascii="Symbol" w:hAnsi="Symbol" w:hint="default"/>
      </w:rPr>
    </w:lvl>
    <w:lvl w:ilvl="1" w:tplc="A46EAE44">
      <w:start w:val="1"/>
      <w:numFmt w:val="bullet"/>
      <w:lvlText w:val="o"/>
      <w:lvlJc w:val="left"/>
      <w:pPr>
        <w:ind w:left="1440" w:hanging="360"/>
      </w:pPr>
      <w:rPr>
        <w:rFonts w:ascii="Courier New" w:hAnsi="Courier New" w:hint="default"/>
      </w:rPr>
    </w:lvl>
    <w:lvl w:ilvl="2" w:tplc="E21A9D5E">
      <w:start w:val="1"/>
      <w:numFmt w:val="bullet"/>
      <w:lvlText w:val=""/>
      <w:lvlJc w:val="left"/>
      <w:pPr>
        <w:ind w:left="2160" w:hanging="360"/>
      </w:pPr>
      <w:rPr>
        <w:rFonts w:ascii="Wingdings" w:hAnsi="Wingdings" w:hint="default"/>
      </w:rPr>
    </w:lvl>
    <w:lvl w:ilvl="3" w:tplc="C464EB98">
      <w:start w:val="1"/>
      <w:numFmt w:val="bullet"/>
      <w:lvlText w:val=""/>
      <w:lvlJc w:val="left"/>
      <w:pPr>
        <w:ind w:left="2880" w:hanging="360"/>
      </w:pPr>
      <w:rPr>
        <w:rFonts w:ascii="Symbol" w:hAnsi="Symbol" w:hint="default"/>
      </w:rPr>
    </w:lvl>
    <w:lvl w:ilvl="4" w:tplc="B14E923E">
      <w:start w:val="1"/>
      <w:numFmt w:val="bullet"/>
      <w:lvlText w:val="o"/>
      <w:lvlJc w:val="left"/>
      <w:pPr>
        <w:ind w:left="3600" w:hanging="360"/>
      </w:pPr>
      <w:rPr>
        <w:rFonts w:ascii="Courier New" w:hAnsi="Courier New" w:hint="default"/>
      </w:rPr>
    </w:lvl>
    <w:lvl w:ilvl="5" w:tplc="F27287EA">
      <w:start w:val="1"/>
      <w:numFmt w:val="bullet"/>
      <w:lvlText w:val=""/>
      <w:lvlJc w:val="left"/>
      <w:pPr>
        <w:ind w:left="4320" w:hanging="360"/>
      </w:pPr>
      <w:rPr>
        <w:rFonts w:ascii="Wingdings" w:hAnsi="Wingdings" w:hint="default"/>
      </w:rPr>
    </w:lvl>
    <w:lvl w:ilvl="6" w:tplc="BC28FF96">
      <w:start w:val="1"/>
      <w:numFmt w:val="bullet"/>
      <w:lvlText w:val=""/>
      <w:lvlJc w:val="left"/>
      <w:pPr>
        <w:ind w:left="5040" w:hanging="360"/>
      </w:pPr>
      <w:rPr>
        <w:rFonts w:ascii="Symbol" w:hAnsi="Symbol" w:hint="default"/>
      </w:rPr>
    </w:lvl>
    <w:lvl w:ilvl="7" w:tplc="A7B66DEC">
      <w:start w:val="1"/>
      <w:numFmt w:val="bullet"/>
      <w:lvlText w:val="o"/>
      <w:lvlJc w:val="left"/>
      <w:pPr>
        <w:ind w:left="5760" w:hanging="360"/>
      </w:pPr>
      <w:rPr>
        <w:rFonts w:ascii="Courier New" w:hAnsi="Courier New" w:hint="default"/>
      </w:rPr>
    </w:lvl>
    <w:lvl w:ilvl="8" w:tplc="7818ACCC">
      <w:start w:val="1"/>
      <w:numFmt w:val="bullet"/>
      <w:lvlText w:val=""/>
      <w:lvlJc w:val="left"/>
      <w:pPr>
        <w:ind w:left="6480" w:hanging="360"/>
      </w:pPr>
      <w:rPr>
        <w:rFonts w:ascii="Wingdings" w:hAnsi="Wingdings" w:hint="default"/>
      </w:rPr>
    </w:lvl>
  </w:abstractNum>
  <w:abstractNum w:abstractNumId="6" w15:restartNumberingAfterBreak="0">
    <w:nsid w:val="10A00277"/>
    <w:multiLevelType w:val="hybridMultilevel"/>
    <w:tmpl w:val="5DC4C3FC"/>
    <w:lvl w:ilvl="0" w:tplc="4E849D1C">
      <w:start w:val="1"/>
      <w:numFmt w:val="bullet"/>
      <w:pStyle w:val="BTCBullets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038E7"/>
    <w:multiLevelType w:val="hybridMultilevel"/>
    <w:tmpl w:val="594C3878"/>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4D62CC"/>
    <w:multiLevelType w:val="hybridMultilevel"/>
    <w:tmpl w:val="CFAA5262"/>
    <w:lvl w:ilvl="0" w:tplc="E98EA744">
      <w:start w:val="1"/>
      <w:numFmt w:val="bullet"/>
      <w:lvlText w:val=""/>
      <w:lvlJc w:val="left"/>
      <w:pPr>
        <w:ind w:left="720" w:hanging="360"/>
      </w:pPr>
      <w:rPr>
        <w:rFonts w:ascii="Symbol" w:hAnsi="Symbol" w:hint="default"/>
      </w:rPr>
    </w:lvl>
    <w:lvl w:ilvl="1" w:tplc="7278EC18">
      <w:start w:val="1"/>
      <w:numFmt w:val="bullet"/>
      <w:lvlText w:val="o"/>
      <w:lvlJc w:val="left"/>
      <w:pPr>
        <w:ind w:left="1440" w:hanging="360"/>
      </w:pPr>
      <w:rPr>
        <w:rFonts w:ascii="Courier New" w:hAnsi="Courier New" w:hint="default"/>
      </w:rPr>
    </w:lvl>
    <w:lvl w:ilvl="2" w:tplc="EFA29CD6">
      <w:start w:val="1"/>
      <w:numFmt w:val="bullet"/>
      <w:lvlText w:val=""/>
      <w:lvlJc w:val="left"/>
      <w:pPr>
        <w:ind w:left="2160" w:hanging="360"/>
      </w:pPr>
      <w:rPr>
        <w:rFonts w:ascii="Wingdings" w:hAnsi="Wingdings" w:hint="default"/>
      </w:rPr>
    </w:lvl>
    <w:lvl w:ilvl="3" w:tplc="24F2B380">
      <w:start w:val="1"/>
      <w:numFmt w:val="bullet"/>
      <w:lvlText w:val=""/>
      <w:lvlJc w:val="left"/>
      <w:pPr>
        <w:ind w:left="2880" w:hanging="360"/>
      </w:pPr>
      <w:rPr>
        <w:rFonts w:ascii="Symbol" w:hAnsi="Symbol" w:hint="default"/>
      </w:rPr>
    </w:lvl>
    <w:lvl w:ilvl="4" w:tplc="AFCCC4F0">
      <w:start w:val="1"/>
      <w:numFmt w:val="bullet"/>
      <w:lvlText w:val="o"/>
      <w:lvlJc w:val="left"/>
      <w:pPr>
        <w:ind w:left="3600" w:hanging="360"/>
      </w:pPr>
      <w:rPr>
        <w:rFonts w:ascii="Courier New" w:hAnsi="Courier New" w:hint="default"/>
      </w:rPr>
    </w:lvl>
    <w:lvl w:ilvl="5" w:tplc="9C76CB6E">
      <w:start w:val="1"/>
      <w:numFmt w:val="bullet"/>
      <w:lvlText w:val=""/>
      <w:lvlJc w:val="left"/>
      <w:pPr>
        <w:ind w:left="4320" w:hanging="360"/>
      </w:pPr>
      <w:rPr>
        <w:rFonts w:ascii="Wingdings" w:hAnsi="Wingdings" w:hint="default"/>
      </w:rPr>
    </w:lvl>
    <w:lvl w:ilvl="6" w:tplc="C6263206">
      <w:start w:val="1"/>
      <w:numFmt w:val="bullet"/>
      <w:lvlText w:val=""/>
      <w:lvlJc w:val="left"/>
      <w:pPr>
        <w:ind w:left="5040" w:hanging="360"/>
      </w:pPr>
      <w:rPr>
        <w:rFonts w:ascii="Symbol" w:hAnsi="Symbol" w:hint="default"/>
      </w:rPr>
    </w:lvl>
    <w:lvl w:ilvl="7" w:tplc="9120DC3E">
      <w:start w:val="1"/>
      <w:numFmt w:val="bullet"/>
      <w:lvlText w:val="o"/>
      <w:lvlJc w:val="left"/>
      <w:pPr>
        <w:ind w:left="5760" w:hanging="360"/>
      </w:pPr>
      <w:rPr>
        <w:rFonts w:ascii="Courier New" w:hAnsi="Courier New" w:hint="default"/>
      </w:rPr>
    </w:lvl>
    <w:lvl w:ilvl="8" w:tplc="E3D26B06">
      <w:start w:val="1"/>
      <w:numFmt w:val="bullet"/>
      <w:lvlText w:val=""/>
      <w:lvlJc w:val="left"/>
      <w:pPr>
        <w:ind w:left="6480" w:hanging="360"/>
      </w:pPr>
      <w:rPr>
        <w:rFonts w:ascii="Wingdings" w:hAnsi="Wingdings" w:hint="default"/>
      </w:rPr>
    </w:lvl>
  </w:abstractNum>
  <w:abstractNum w:abstractNumId="9" w15:restartNumberingAfterBreak="0">
    <w:nsid w:val="24A80932"/>
    <w:multiLevelType w:val="hybridMultilevel"/>
    <w:tmpl w:val="43207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7540664"/>
    <w:multiLevelType w:val="multilevel"/>
    <w:tmpl w:val="EC925D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836828"/>
    <w:multiLevelType w:val="multilevel"/>
    <w:tmpl w:val="25BE46EA"/>
    <w:lvl w:ilvl="0">
      <w:start w:val="1"/>
      <w:numFmt w:val="decimal"/>
      <w:lvlRestart w:val="0"/>
      <w:lvlText w:val="%1"/>
      <w:lvlJc w:val="left"/>
      <w:pPr>
        <w:tabs>
          <w:tab w:val="num" w:pos="431"/>
        </w:tabs>
        <w:ind w:left="0" w:firstLine="0"/>
      </w:pPr>
      <w:rPr>
        <w:rFonts w:hint="default"/>
        <w:b/>
        <w:color w:val="50B848"/>
        <w:sz w:val="32"/>
      </w:rPr>
    </w:lvl>
    <w:lvl w:ilvl="1">
      <w:start w:val="1"/>
      <w:numFmt w:val="decimal"/>
      <w:lvlText w:val="%1.%2"/>
      <w:lvlJc w:val="left"/>
      <w:pPr>
        <w:tabs>
          <w:tab w:val="num" w:pos="578"/>
        </w:tabs>
        <w:ind w:left="578" w:hanging="578"/>
      </w:pPr>
      <w:rPr>
        <w:rFonts w:hint="default"/>
        <w:b/>
        <w:color w:val="50B848"/>
        <w:sz w:val="28"/>
      </w:rPr>
    </w:lvl>
    <w:lvl w:ilvl="2">
      <w:start w:val="1"/>
      <w:numFmt w:val="decimal"/>
      <w:lvlText w:val="%1.%2.%3"/>
      <w:lvlJc w:val="left"/>
      <w:pPr>
        <w:tabs>
          <w:tab w:val="num" w:pos="720"/>
        </w:tabs>
        <w:ind w:left="720" w:hanging="720"/>
      </w:pPr>
      <w:rPr>
        <w:rFonts w:hint="default"/>
        <w:b/>
        <w:color w:val="50B848"/>
        <w:sz w:val="24"/>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2" w15:restartNumberingAfterBreak="0">
    <w:nsid w:val="2DC80753"/>
    <w:multiLevelType w:val="hybridMultilevel"/>
    <w:tmpl w:val="35624B6E"/>
    <w:lvl w:ilvl="0" w:tplc="28FCC808">
      <w:start w:val="1"/>
      <w:numFmt w:val="decimal"/>
      <w:pStyle w:val="BTCNumberedList"/>
      <w:lvlText w:val="%1."/>
      <w:lvlJc w:val="left"/>
      <w:pPr>
        <w:tabs>
          <w:tab w:val="num" w:pos="1083"/>
        </w:tabs>
        <w:ind w:left="1083" w:hanging="360"/>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3" w15:restartNumberingAfterBreak="0">
    <w:nsid w:val="3406167B"/>
    <w:multiLevelType w:val="multilevel"/>
    <w:tmpl w:val="715C6124"/>
    <w:lvl w:ilvl="0">
      <w:start w:val="1"/>
      <w:numFmt w:val="decimal"/>
      <w:lvlRestart w:val="0"/>
      <w:pStyle w:val="BTCHeading1"/>
      <w:lvlText w:val="%1"/>
      <w:lvlJc w:val="left"/>
      <w:pPr>
        <w:tabs>
          <w:tab w:val="num" w:pos="431"/>
        </w:tabs>
        <w:ind w:left="0" w:firstLine="0"/>
      </w:pPr>
      <w:rPr>
        <w:rFonts w:ascii="Arial" w:hAnsi="Arial" w:cs="Times New Roman" w:hint="default"/>
        <w:b/>
        <w:color w:val="50B848"/>
        <w:sz w:val="32"/>
      </w:rPr>
    </w:lvl>
    <w:lvl w:ilvl="1">
      <w:start w:val="1"/>
      <w:numFmt w:val="decimal"/>
      <w:lvlText w:val="%1.%2"/>
      <w:lvlJc w:val="left"/>
      <w:pPr>
        <w:tabs>
          <w:tab w:val="num" w:pos="2705"/>
        </w:tabs>
        <w:ind w:left="2705" w:hanging="578"/>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1.1"/>
      <w:lvlJc w:val="left"/>
      <w:pPr>
        <w:tabs>
          <w:tab w:val="num" w:pos="720"/>
        </w:tabs>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571"/>
        </w:tabs>
        <w:ind w:left="1571" w:hanging="862"/>
      </w:pPr>
      <w:rPr>
        <w:rFonts w:ascii="Arial" w:hAnsi="Arial" w:cs="Times New Roman" w:hint="default"/>
        <w:color w:val="56B913"/>
      </w:rPr>
    </w:lvl>
    <w:lvl w:ilvl="4">
      <w:start w:val="1"/>
      <w:numFmt w:val="decimal"/>
      <w:lvlText w:val="%1.%2.%3.%4.%5"/>
      <w:lvlJc w:val="left"/>
      <w:pPr>
        <w:tabs>
          <w:tab w:val="num" w:pos="1009"/>
        </w:tabs>
        <w:ind w:left="1009" w:hanging="10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15:restartNumberingAfterBreak="0">
    <w:nsid w:val="349749A7"/>
    <w:multiLevelType w:val="hybridMultilevel"/>
    <w:tmpl w:val="9AE60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F66FC8"/>
    <w:multiLevelType w:val="hybridMultilevel"/>
    <w:tmpl w:val="E5AED804"/>
    <w:lvl w:ilvl="0" w:tplc="A02C5424">
      <w:start w:val="1"/>
      <w:numFmt w:val="decimal"/>
      <w:lvlText w:val="2.%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6FC2F6B"/>
    <w:multiLevelType w:val="hybridMultilevel"/>
    <w:tmpl w:val="97E6E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0E4F40"/>
    <w:multiLevelType w:val="hybridMultilevel"/>
    <w:tmpl w:val="AB0ED970"/>
    <w:lvl w:ilvl="0" w:tplc="04070003">
      <w:start w:val="1"/>
      <w:numFmt w:val="bullet"/>
      <w:lvlText w:val="o"/>
      <w:lvlJc w:val="left"/>
      <w:pPr>
        <w:ind w:left="1485" w:hanging="360"/>
      </w:pPr>
      <w:rPr>
        <w:rFonts w:ascii="Courier New" w:hAnsi="Courier New" w:cs="Courier New"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18" w15:restartNumberingAfterBreak="0">
    <w:nsid w:val="3BAF6243"/>
    <w:multiLevelType w:val="hybridMultilevel"/>
    <w:tmpl w:val="F9B4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3539C"/>
    <w:multiLevelType w:val="hybridMultilevel"/>
    <w:tmpl w:val="B1A0C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5910969"/>
    <w:multiLevelType w:val="hybridMultilevel"/>
    <w:tmpl w:val="D7D81A8E"/>
    <w:lvl w:ilvl="0" w:tplc="07FED570">
      <w:start w:val="1"/>
      <w:numFmt w:val="lowerRoman"/>
      <w:lvlText w:val="%1)"/>
      <w:lvlJc w:val="left"/>
      <w:pPr>
        <w:ind w:left="1080" w:hanging="72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D0C058A"/>
    <w:multiLevelType w:val="hybridMultilevel"/>
    <w:tmpl w:val="BAE8D90E"/>
    <w:name w:val="NumPar"/>
    <w:lvl w:ilvl="0" w:tplc="36B4F474">
      <w:start w:val="1"/>
      <w:numFmt w:val="bullet"/>
      <w:lvlRestart w:val="0"/>
      <w:pStyle w:val="ListDash1"/>
      <w:lvlText w:val="–"/>
      <w:lvlJc w:val="left"/>
      <w:pPr>
        <w:tabs>
          <w:tab w:val="num" w:pos="1134"/>
        </w:tabs>
        <w:ind w:left="1134" w:hanging="283"/>
      </w:pPr>
      <w:rPr>
        <w:rFonts w:ascii="Times New Roman" w:hAnsi="Times New Roman"/>
      </w:rPr>
    </w:lvl>
    <w:lvl w:ilvl="1" w:tplc="C902F3CE">
      <w:numFmt w:val="decimal"/>
      <w:lvlText w:val=""/>
      <w:lvlJc w:val="left"/>
    </w:lvl>
    <w:lvl w:ilvl="2" w:tplc="C1A44DC2">
      <w:numFmt w:val="decimal"/>
      <w:lvlText w:val=""/>
      <w:lvlJc w:val="left"/>
    </w:lvl>
    <w:lvl w:ilvl="3" w:tplc="8796F590">
      <w:numFmt w:val="decimal"/>
      <w:lvlText w:val=""/>
      <w:lvlJc w:val="left"/>
    </w:lvl>
    <w:lvl w:ilvl="4" w:tplc="54B6446C">
      <w:numFmt w:val="decimal"/>
      <w:lvlText w:val=""/>
      <w:lvlJc w:val="left"/>
    </w:lvl>
    <w:lvl w:ilvl="5" w:tplc="31423E32">
      <w:numFmt w:val="decimal"/>
      <w:lvlText w:val=""/>
      <w:lvlJc w:val="left"/>
    </w:lvl>
    <w:lvl w:ilvl="6" w:tplc="4FC6F928">
      <w:numFmt w:val="decimal"/>
      <w:lvlText w:val=""/>
      <w:lvlJc w:val="left"/>
    </w:lvl>
    <w:lvl w:ilvl="7" w:tplc="FBBC23EA">
      <w:numFmt w:val="decimal"/>
      <w:lvlText w:val=""/>
      <w:lvlJc w:val="left"/>
    </w:lvl>
    <w:lvl w:ilvl="8" w:tplc="4794604A">
      <w:numFmt w:val="decimal"/>
      <w:lvlText w:val=""/>
      <w:lvlJc w:val="left"/>
    </w:lvl>
  </w:abstractNum>
  <w:abstractNum w:abstractNumId="22" w15:restartNumberingAfterBreak="0">
    <w:nsid w:val="4E764D27"/>
    <w:multiLevelType w:val="hybridMultilevel"/>
    <w:tmpl w:val="571A1646"/>
    <w:lvl w:ilvl="0" w:tplc="04070001">
      <w:start w:val="1"/>
      <w:numFmt w:val="bullet"/>
      <w:lvlText w:val=""/>
      <w:lvlJc w:val="left"/>
      <w:pPr>
        <w:ind w:left="720" w:hanging="360"/>
      </w:pPr>
      <w:rPr>
        <w:rFonts w:ascii="Symbol" w:hAnsi="Symbol" w:hint="default"/>
      </w:rPr>
    </w:lvl>
    <w:lvl w:ilvl="1" w:tplc="F7B6AD3C">
      <w:numFmt w:val="bullet"/>
      <w:lvlText w:val="•"/>
      <w:lvlJc w:val="left"/>
      <w:pPr>
        <w:ind w:left="1800" w:hanging="7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035B50"/>
    <w:multiLevelType w:val="hybridMultilevel"/>
    <w:tmpl w:val="983A7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836D7A"/>
    <w:multiLevelType w:val="multilevel"/>
    <w:tmpl w:val="40EE77FE"/>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8F5D78"/>
    <w:multiLevelType w:val="hybridMultilevel"/>
    <w:tmpl w:val="25126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371021"/>
    <w:multiLevelType w:val="hybridMultilevel"/>
    <w:tmpl w:val="B818105C"/>
    <w:lvl w:ilvl="0" w:tplc="01EAD6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D066A71"/>
    <w:multiLevelType w:val="hybridMultilevel"/>
    <w:tmpl w:val="769CBC3E"/>
    <w:lvl w:ilvl="0" w:tplc="08090001">
      <w:start w:val="1"/>
      <w:numFmt w:val="bullet"/>
      <w:lvlText w:val=""/>
      <w:lvlJc w:val="left"/>
      <w:pPr>
        <w:ind w:left="720" w:hanging="360"/>
      </w:pPr>
      <w:rPr>
        <w:rFonts w:ascii="Symbol" w:hAnsi="Symbol" w:hint="default"/>
        <w:b/>
        <w:sz w:val="24"/>
        <w:szCs w:val="16"/>
      </w:rPr>
    </w:lvl>
    <w:lvl w:ilvl="1" w:tplc="08090019">
      <w:start w:val="1"/>
      <w:numFmt w:val="lowerLetter"/>
      <w:lvlText w:val="%2."/>
      <w:lvlJc w:val="left"/>
      <w:pPr>
        <w:ind w:left="1440" w:hanging="360"/>
      </w:pPr>
    </w:lvl>
    <w:lvl w:ilvl="2" w:tplc="522E2AD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1069B6"/>
    <w:multiLevelType w:val="hybridMultilevel"/>
    <w:tmpl w:val="8C7005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A0924C6"/>
    <w:multiLevelType w:val="hybridMultilevel"/>
    <w:tmpl w:val="1226ABA6"/>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6C984EA4"/>
    <w:multiLevelType w:val="multilevel"/>
    <w:tmpl w:val="012A1C8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265C59"/>
    <w:multiLevelType w:val="hybridMultilevel"/>
    <w:tmpl w:val="ABA67894"/>
    <w:lvl w:ilvl="0" w:tplc="2B165640">
      <w:start w:val="1"/>
      <w:numFmt w:val="lowerLetter"/>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3652D71"/>
    <w:multiLevelType w:val="hybridMultilevel"/>
    <w:tmpl w:val="ED4E66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82316"/>
    <w:multiLevelType w:val="hybridMultilevel"/>
    <w:tmpl w:val="57140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E943FD0"/>
    <w:multiLevelType w:val="hybridMultilevel"/>
    <w:tmpl w:val="7AB4C0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18"/>
  </w:num>
  <w:num w:numId="5">
    <w:abstractNumId w:val="32"/>
  </w:num>
  <w:num w:numId="6">
    <w:abstractNumId w:val="30"/>
  </w:num>
  <w:num w:numId="7">
    <w:abstractNumId w:val="27"/>
  </w:num>
  <w:num w:numId="8">
    <w:abstractNumId w:val="3"/>
  </w:num>
  <w:num w:numId="9">
    <w:abstractNumId w:val="13"/>
  </w:num>
  <w:num w:numId="10">
    <w:abstractNumId w:val="21"/>
  </w:num>
  <w:num w:numId="11">
    <w:abstractNumId w:val="6"/>
  </w:num>
  <w:num w:numId="12">
    <w:abstractNumId w:val="2"/>
  </w:num>
  <w:num w:numId="13">
    <w:abstractNumId w:val="14"/>
  </w:num>
  <w:num w:numId="14">
    <w:abstractNumId w:val="22"/>
  </w:num>
  <w:num w:numId="15">
    <w:abstractNumId w:val="4"/>
  </w:num>
  <w:num w:numId="16">
    <w:abstractNumId w:val="7"/>
  </w:num>
  <w:num w:numId="17">
    <w:abstractNumId w:val="8"/>
  </w:num>
  <w:num w:numId="18">
    <w:abstractNumId w:val="5"/>
  </w:num>
  <w:num w:numId="19">
    <w:abstractNumId w:val="34"/>
  </w:num>
  <w:num w:numId="20">
    <w:abstractNumId w:val="31"/>
  </w:num>
  <w:num w:numId="21">
    <w:abstractNumId w:val="29"/>
  </w:num>
  <w:num w:numId="22">
    <w:abstractNumId w:val="28"/>
  </w:num>
  <w:num w:numId="23">
    <w:abstractNumId w:val="19"/>
  </w:num>
  <w:num w:numId="24">
    <w:abstractNumId w:val="9"/>
  </w:num>
  <w:num w:numId="25">
    <w:abstractNumId w:val="25"/>
  </w:num>
  <w:num w:numId="26">
    <w:abstractNumId w:val="1"/>
  </w:num>
  <w:num w:numId="27">
    <w:abstractNumId w:val="33"/>
  </w:num>
  <w:num w:numId="28">
    <w:abstractNumId w:val="23"/>
  </w:num>
  <w:num w:numId="29">
    <w:abstractNumId w:val="16"/>
  </w:num>
  <w:num w:numId="30">
    <w:abstractNumId w:val="26"/>
  </w:num>
  <w:num w:numId="31">
    <w:abstractNumId w:val="20"/>
  </w:num>
  <w:num w:numId="32">
    <w:abstractNumId w:val="24"/>
  </w:num>
  <w:num w:numId="33">
    <w:abstractNumId w:val="15"/>
  </w:num>
  <w:num w:numId="34">
    <w:abstractNumId w:val="10"/>
  </w:num>
  <w:num w:numId="35">
    <w:abstractNumId w:val="13"/>
  </w:num>
  <w:num w:numId="36">
    <w:abstractNumId w:val="13"/>
    <w:lvlOverride w:ilvl="0">
      <w:startOverride w:val="1"/>
    </w:lvlOverride>
    <w:lvlOverride w:ilvl="1">
      <w:startOverride w:val="5"/>
    </w:lvlOverride>
  </w:num>
  <w:num w:numId="37">
    <w:abstractNumId w:val="13"/>
    <w:lvlOverride w:ilvl="0">
      <w:startOverride w:val="1"/>
    </w:lvlOverride>
    <w:lvlOverride w:ilvl="1">
      <w:startOverride w:val="5"/>
    </w:lvlOverride>
    <w:lvlOverride w:ilvl="2">
      <w:startOverride w:val="1"/>
    </w:lvlOverride>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1"/>
  <w:activeWritingStyle w:appName="MSWord" w:lang="fr-BE" w:vendorID="64" w:dllVersion="131078" w:nlCheck="1" w:checkStyle="1"/>
  <w:attachedTemplate r:id="rId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7B"/>
    <w:rsid w:val="00000131"/>
    <w:rsid w:val="00001073"/>
    <w:rsid w:val="00001713"/>
    <w:rsid w:val="00001787"/>
    <w:rsid w:val="00002048"/>
    <w:rsid w:val="00006058"/>
    <w:rsid w:val="00006396"/>
    <w:rsid w:val="00007758"/>
    <w:rsid w:val="00011324"/>
    <w:rsid w:val="000133D7"/>
    <w:rsid w:val="00017554"/>
    <w:rsid w:val="000175A4"/>
    <w:rsid w:val="000179C7"/>
    <w:rsid w:val="0002016C"/>
    <w:rsid w:val="00020934"/>
    <w:rsid w:val="000216D4"/>
    <w:rsid w:val="00022622"/>
    <w:rsid w:val="000238CE"/>
    <w:rsid w:val="000242EA"/>
    <w:rsid w:val="000244EC"/>
    <w:rsid w:val="00025BBA"/>
    <w:rsid w:val="00026D34"/>
    <w:rsid w:val="000313C8"/>
    <w:rsid w:val="0003198A"/>
    <w:rsid w:val="00032748"/>
    <w:rsid w:val="00032B21"/>
    <w:rsid w:val="0003309F"/>
    <w:rsid w:val="00033BEA"/>
    <w:rsid w:val="00033D25"/>
    <w:rsid w:val="00034860"/>
    <w:rsid w:val="00036C58"/>
    <w:rsid w:val="00036DE0"/>
    <w:rsid w:val="00037001"/>
    <w:rsid w:val="00040FC5"/>
    <w:rsid w:val="00041A3F"/>
    <w:rsid w:val="00041FAB"/>
    <w:rsid w:val="00042EA1"/>
    <w:rsid w:val="000456D7"/>
    <w:rsid w:val="000460E8"/>
    <w:rsid w:val="0004697C"/>
    <w:rsid w:val="0005090E"/>
    <w:rsid w:val="00051BDE"/>
    <w:rsid w:val="0005449D"/>
    <w:rsid w:val="000552CC"/>
    <w:rsid w:val="00055ECD"/>
    <w:rsid w:val="000565F5"/>
    <w:rsid w:val="000608C9"/>
    <w:rsid w:val="0006277F"/>
    <w:rsid w:val="000632CC"/>
    <w:rsid w:val="00063C48"/>
    <w:rsid w:val="00071F27"/>
    <w:rsid w:val="00072852"/>
    <w:rsid w:val="00072901"/>
    <w:rsid w:val="00073EED"/>
    <w:rsid w:val="00075CD4"/>
    <w:rsid w:val="0007622F"/>
    <w:rsid w:val="00076307"/>
    <w:rsid w:val="000773E1"/>
    <w:rsid w:val="00077442"/>
    <w:rsid w:val="0007750C"/>
    <w:rsid w:val="00077B0B"/>
    <w:rsid w:val="0008506E"/>
    <w:rsid w:val="00085E58"/>
    <w:rsid w:val="00086473"/>
    <w:rsid w:val="00086E80"/>
    <w:rsid w:val="0008789C"/>
    <w:rsid w:val="00087953"/>
    <w:rsid w:val="00087E98"/>
    <w:rsid w:val="00090500"/>
    <w:rsid w:val="000952C4"/>
    <w:rsid w:val="00095834"/>
    <w:rsid w:val="00095F02"/>
    <w:rsid w:val="00096EB8"/>
    <w:rsid w:val="0009780D"/>
    <w:rsid w:val="000A1659"/>
    <w:rsid w:val="000A20C5"/>
    <w:rsid w:val="000A3964"/>
    <w:rsid w:val="000A72C1"/>
    <w:rsid w:val="000B079D"/>
    <w:rsid w:val="000B1823"/>
    <w:rsid w:val="000B1F37"/>
    <w:rsid w:val="000B206C"/>
    <w:rsid w:val="000B474A"/>
    <w:rsid w:val="000B4778"/>
    <w:rsid w:val="000B5496"/>
    <w:rsid w:val="000B5B1F"/>
    <w:rsid w:val="000B5DDE"/>
    <w:rsid w:val="000B6142"/>
    <w:rsid w:val="000B77A5"/>
    <w:rsid w:val="000B7ED5"/>
    <w:rsid w:val="000C037D"/>
    <w:rsid w:val="000C05D5"/>
    <w:rsid w:val="000C09B3"/>
    <w:rsid w:val="000C0A80"/>
    <w:rsid w:val="000C51C7"/>
    <w:rsid w:val="000C66AF"/>
    <w:rsid w:val="000C7787"/>
    <w:rsid w:val="000D00CC"/>
    <w:rsid w:val="000D0CA9"/>
    <w:rsid w:val="000D2EFC"/>
    <w:rsid w:val="000D4919"/>
    <w:rsid w:val="000D50BA"/>
    <w:rsid w:val="000D6F53"/>
    <w:rsid w:val="000D7798"/>
    <w:rsid w:val="000E0145"/>
    <w:rsid w:val="000E0B15"/>
    <w:rsid w:val="000E0EE4"/>
    <w:rsid w:val="000E1322"/>
    <w:rsid w:val="000E1D9E"/>
    <w:rsid w:val="000E2B1E"/>
    <w:rsid w:val="000E3DEE"/>
    <w:rsid w:val="000E406D"/>
    <w:rsid w:val="000E40AF"/>
    <w:rsid w:val="000E523D"/>
    <w:rsid w:val="000E5778"/>
    <w:rsid w:val="000E57EC"/>
    <w:rsid w:val="000E64CD"/>
    <w:rsid w:val="000E6F35"/>
    <w:rsid w:val="000E7ADA"/>
    <w:rsid w:val="000F003A"/>
    <w:rsid w:val="000F1214"/>
    <w:rsid w:val="000F1EBB"/>
    <w:rsid w:val="000F2E60"/>
    <w:rsid w:val="000F326C"/>
    <w:rsid w:val="000F3F39"/>
    <w:rsid w:val="000F522C"/>
    <w:rsid w:val="000F5866"/>
    <w:rsid w:val="0010032B"/>
    <w:rsid w:val="00101879"/>
    <w:rsid w:val="00103AB0"/>
    <w:rsid w:val="001045D3"/>
    <w:rsid w:val="001049E9"/>
    <w:rsid w:val="00105C59"/>
    <w:rsid w:val="00106468"/>
    <w:rsid w:val="00106BB1"/>
    <w:rsid w:val="00113C06"/>
    <w:rsid w:val="00114460"/>
    <w:rsid w:val="00114BEE"/>
    <w:rsid w:val="00116C75"/>
    <w:rsid w:val="00116DBB"/>
    <w:rsid w:val="00120381"/>
    <w:rsid w:val="00121AB1"/>
    <w:rsid w:val="00122787"/>
    <w:rsid w:val="001231F8"/>
    <w:rsid w:val="00123B76"/>
    <w:rsid w:val="00123F9D"/>
    <w:rsid w:val="001248A7"/>
    <w:rsid w:val="00124D48"/>
    <w:rsid w:val="00125C9B"/>
    <w:rsid w:val="00125F52"/>
    <w:rsid w:val="001269E0"/>
    <w:rsid w:val="0013092F"/>
    <w:rsid w:val="001320A8"/>
    <w:rsid w:val="0013236B"/>
    <w:rsid w:val="0013247E"/>
    <w:rsid w:val="0013319B"/>
    <w:rsid w:val="001335DC"/>
    <w:rsid w:val="0013399F"/>
    <w:rsid w:val="0013570A"/>
    <w:rsid w:val="001357FE"/>
    <w:rsid w:val="0013626F"/>
    <w:rsid w:val="001369AA"/>
    <w:rsid w:val="00137B9A"/>
    <w:rsid w:val="00140365"/>
    <w:rsid w:val="001426F3"/>
    <w:rsid w:val="00142719"/>
    <w:rsid w:val="001450DC"/>
    <w:rsid w:val="00145A97"/>
    <w:rsid w:val="00147598"/>
    <w:rsid w:val="00147FAD"/>
    <w:rsid w:val="001516E1"/>
    <w:rsid w:val="00152814"/>
    <w:rsid w:val="00153CD8"/>
    <w:rsid w:val="00155BD5"/>
    <w:rsid w:val="0015752D"/>
    <w:rsid w:val="0016020A"/>
    <w:rsid w:val="001643FB"/>
    <w:rsid w:val="00165C5D"/>
    <w:rsid w:val="00166837"/>
    <w:rsid w:val="00167574"/>
    <w:rsid w:val="00170841"/>
    <w:rsid w:val="00170A46"/>
    <w:rsid w:val="001717A5"/>
    <w:rsid w:val="00171CC9"/>
    <w:rsid w:val="00172A4C"/>
    <w:rsid w:val="00173874"/>
    <w:rsid w:val="00175272"/>
    <w:rsid w:val="001766EF"/>
    <w:rsid w:val="001778EF"/>
    <w:rsid w:val="0018024B"/>
    <w:rsid w:val="00181154"/>
    <w:rsid w:val="00182359"/>
    <w:rsid w:val="00182CB0"/>
    <w:rsid w:val="001843C0"/>
    <w:rsid w:val="00185578"/>
    <w:rsid w:val="00185E3D"/>
    <w:rsid w:val="00185E73"/>
    <w:rsid w:val="001867EF"/>
    <w:rsid w:val="00187825"/>
    <w:rsid w:val="00192551"/>
    <w:rsid w:val="001927A2"/>
    <w:rsid w:val="0019351A"/>
    <w:rsid w:val="00194A9D"/>
    <w:rsid w:val="0019539E"/>
    <w:rsid w:val="00197245"/>
    <w:rsid w:val="00197DBD"/>
    <w:rsid w:val="001A0BB0"/>
    <w:rsid w:val="001A2C70"/>
    <w:rsid w:val="001A3B7D"/>
    <w:rsid w:val="001A4256"/>
    <w:rsid w:val="001B00C9"/>
    <w:rsid w:val="001B0DF6"/>
    <w:rsid w:val="001B29F7"/>
    <w:rsid w:val="001B2C96"/>
    <w:rsid w:val="001B4AA3"/>
    <w:rsid w:val="001B4E5F"/>
    <w:rsid w:val="001B5116"/>
    <w:rsid w:val="001B6919"/>
    <w:rsid w:val="001B7132"/>
    <w:rsid w:val="001B7352"/>
    <w:rsid w:val="001C112E"/>
    <w:rsid w:val="001C1285"/>
    <w:rsid w:val="001C33CF"/>
    <w:rsid w:val="001C5290"/>
    <w:rsid w:val="001C65EA"/>
    <w:rsid w:val="001D0371"/>
    <w:rsid w:val="001D26C4"/>
    <w:rsid w:val="001D43F4"/>
    <w:rsid w:val="001D5393"/>
    <w:rsid w:val="001D6446"/>
    <w:rsid w:val="001D6523"/>
    <w:rsid w:val="001E0AA5"/>
    <w:rsid w:val="001E12B0"/>
    <w:rsid w:val="001E1B59"/>
    <w:rsid w:val="001E2EE8"/>
    <w:rsid w:val="001E3D75"/>
    <w:rsid w:val="001E3F4E"/>
    <w:rsid w:val="001E5F28"/>
    <w:rsid w:val="001E6AAC"/>
    <w:rsid w:val="001E73AA"/>
    <w:rsid w:val="001F1DE0"/>
    <w:rsid w:val="001F3CE2"/>
    <w:rsid w:val="001F3E02"/>
    <w:rsid w:val="001F3F2F"/>
    <w:rsid w:val="001F5474"/>
    <w:rsid w:val="002036B2"/>
    <w:rsid w:val="002038AE"/>
    <w:rsid w:val="00211294"/>
    <w:rsid w:val="00212555"/>
    <w:rsid w:val="00213B01"/>
    <w:rsid w:val="00214CE4"/>
    <w:rsid w:val="00215BCD"/>
    <w:rsid w:val="00220C3D"/>
    <w:rsid w:val="00220DF8"/>
    <w:rsid w:val="00221410"/>
    <w:rsid w:val="00222154"/>
    <w:rsid w:val="00222D21"/>
    <w:rsid w:val="002231D7"/>
    <w:rsid w:val="00223FA1"/>
    <w:rsid w:val="0022634F"/>
    <w:rsid w:val="00227D96"/>
    <w:rsid w:val="00230BFB"/>
    <w:rsid w:val="00232588"/>
    <w:rsid w:val="00233CD6"/>
    <w:rsid w:val="00234407"/>
    <w:rsid w:val="002352C9"/>
    <w:rsid w:val="00237350"/>
    <w:rsid w:val="00237374"/>
    <w:rsid w:val="00241116"/>
    <w:rsid w:val="00241A17"/>
    <w:rsid w:val="00242E74"/>
    <w:rsid w:val="00243251"/>
    <w:rsid w:val="002455A6"/>
    <w:rsid w:val="0025091C"/>
    <w:rsid w:val="002519C8"/>
    <w:rsid w:val="00251CCE"/>
    <w:rsid w:val="00252613"/>
    <w:rsid w:val="00253B3D"/>
    <w:rsid w:val="00256735"/>
    <w:rsid w:val="002572D2"/>
    <w:rsid w:val="00262ACF"/>
    <w:rsid w:val="00264631"/>
    <w:rsid w:val="0026486C"/>
    <w:rsid w:val="00266360"/>
    <w:rsid w:val="00266577"/>
    <w:rsid w:val="002706E4"/>
    <w:rsid w:val="00273551"/>
    <w:rsid w:val="00273707"/>
    <w:rsid w:val="00273C4B"/>
    <w:rsid w:val="00273F00"/>
    <w:rsid w:val="0027479F"/>
    <w:rsid w:val="00274C79"/>
    <w:rsid w:val="0028140C"/>
    <w:rsid w:val="0028170E"/>
    <w:rsid w:val="00281A45"/>
    <w:rsid w:val="00282668"/>
    <w:rsid w:val="00282ECD"/>
    <w:rsid w:val="00283096"/>
    <w:rsid w:val="00284CD6"/>
    <w:rsid w:val="00286666"/>
    <w:rsid w:val="00290314"/>
    <w:rsid w:val="00290396"/>
    <w:rsid w:val="002906F1"/>
    <w:rsid w:val="002908DB"/>
    <w:rsid w:val="00290C02"/>
    <w:rsid w:val="00291155"/>
    <w:rsid w:val="00291F72"/>
    <w:rsid w:val="002943F4"/>
    <w:rsid w:val="0029547F"/>
    <w:rsid w:val="002954E5"/>
    <w:rsid w:val="002A09BE"/>
    <w:rsid w:val="002A22C4"/>
    <w:rsid w:val="002A4471"/>
    <w:rsid w:val="002A5763"/>
    <w:rsid w:val="002A77E8"/>
    <w:rsid w:val="002B00ED"/>
    <w:rsid w:val="002B0C98"/>
    <w:rsid w:val="002B10FC"/>
    <w:rsid w:val="002B2BDB"/>
    <w:rsid w:val="002B2D7D"/>
    <w:rsid w:val="002B2EDB"/>
    <w:rsid w:val="002B31A0"/>
    <w:rsid w:val="002B4274"/>
    <w:rsid w:val="002B67E3"/>
    <w:rsid w:val="002B6B7A"/>
    <w:rsid w:val="002B7148"/>
    <w:rsid w:val="002C1808"/>
    <w:rsid w:val="002C350A"/>
    <w:rsid w:val="002C36A0"/>
    <w:rsid w:val="002C4DAE"/>
    <w:rsid w:val="002C4E21"/>
    <w:rsid w:val="002C52FF"/>
    <w:rsid w:val="002C55BE"/>
    <w:rsid w:val="002C6DF2"/>
    <w:rsid w:val="002C6E49"/>
    <w:rsid w:val="002D0124"/>
    <w:rsid w:val="002D0545"/>
    <w:rsid w:val="002D1165"/>
    <w:rsid w:val="002D2F31"/>
    <w:rsid w:val="002D33D3"/>
    <w:rsid w:val="002D344B"/>
    <w:rsid w:val="002D5845"/>
    <w:rsid w:val="002E1902"/>
    <w:rsid w:val="002E1D38"/>
    <w:rsid w:val="002E1D74"/>
    <w:rsid w:val="002E3A50"/>
    <w:rsid w:val="002E6FED"/>
    <w:rsid w:val="002E71A0"/>
    <w:rsid w:val="002E7522"/>
    <w:rsid w:val="002F1B95"/>
    <w:rsid w:val="002F6BC9"/>
    <w:rsid w:val="002F6C47"/>
    <w:rsid w:val="002F6D2A"/>
    <w:rsid w:val="002F6F2C"/>
    <w:rsid w:val="00302070"/>
    <w:rsid w:val="003022A7"/>
    <w:rsid w:val="00304340"/>
    <w:rsid w:val="00304DAA"/>
    <w:rsid w:val="00304E6A"/>
    <w:rsid w:val="00306529"/>
    <w:rsid w:val="00307008"/>
    <w:rsid w:val="00307318"/>
    <w:rsid w:val="00310E72"/>
    <w:rsid w:val="00312D0E"/>
    <w:rsid w:val="00313811"/>
    <w:rsid w:val="00313CDB"/>
    <w:rsid w:val="00314475"/>
    <w:rsid w:val="003157C1"/>
    <w:rsid w:val="00316B8D"/>
    <w:rsid w:val="00316F19"/>
    <w:rsid w:val="00317C7C"/>
    <w:rsid w:val="00317F3A"/>
    <w:rsid w:val="00322708"/>
    <w:rsid w:val="00323143"/>
    <w:rsid w:val="00325712"/>
    <w:rsid w:val="0032676E"/>
    <w:rsid w:val="00330191"/>
    <w:rsid w:val="003310AB"/>
    <w:rsid w:val="00331E28"/>
    <w:rsid w:val="003322D3"/>
    <w:rsid w:val="00332A34"/>
    <w:rsid w:val="00334420"/>
    <w:rsid w:val="00335B4F"/>
    <w:rsid w:val="00336D2F"/>
    <w:rsid w:val="00336DF5"/>
    <w:rsid w:val="003371A3"/>
    <w:rsid w:val="00337DB1"/>
    <w:rsid w:val="00337FC2"/>
    <w:rsid w:val="00340B5F"/>
    <w:rsid w:val="00340D3F"/>
    <w:rsid w:val="00341DAF"/>
    <w:rsid w:val="00341E49"/>
    <w:rsid w:val="00342BC3"/>
    <w:rsid w:val="003435B5"/>
    <w:rsid w:val="003447B3"/>
    <w:rsid w:val="00344834"/>
    <w:rsid w:val="0034540B"/>
    <w:rsid w:val="00345D4A"/>
    <w:rsid w:val="00346971"/>
    <w:rsid w:val="00347634"/>
    <w:rsid w:val="00351128"/>
    <w:rsid w:val="003521CD"/>
    <w:rsid w:val="00352B78"/>
    <w:rsid w:val="00352E3E"/>
    <w:rsid w:val="00354565"/>
    <w:rsid w:val="00354844"/>
    <w:rsid w:val="00355096"/>
    <w:rsid w:val="00356C45"/>
    <w:rsid w:val="0035700F"/>
    <w:rsid w:val="00361627"/>
    <w:rsid w:val="00362380"/>
    <w:rsid w:val="00362FD0"/>
    <w:rsid w:val="00363A1C"/>
    <w:rsid w:val="00363A8C"/>
    <w:rsid w:val="00365B4E"/>
    <w:rsid w:val="00366523"/>
    <w:rsid w:val="00370713"/>
    <w:rsid w:val="00370A5A"/>
    <w:rsid w:val="00374AB1"/>
    <w:rsid w:val="00374B98"/>
    <w:rsid w:val="003755B4"/>
    <w:rsid w:val="003757B7"/>
    <w:rsid w:val="00375BD7"/>
    <w:rsid w:val="003809A8"/>
    <w:rsid w:val="00380A60"/>
    <w:rsid w:val="00381119"/>
    <w:rsid w:val="00381ACB"/>
    <w:rsid w:val="00382489"/>
    <w:rsid w:val="00382C00"/>
    <w:rsid w:val="00384016"/>
    <w:rsid w:val="00385B5C"/>
    <w:rsid w:val="00387B32"/>
    <w:rsid w:val="00393BE0"/>
    <w:rsid w:val="00394AC8"/>
    <w:rsid w:val="00395A8D"/>
    <w:rsid w:val="00395D9F"/>
    <w:rsid w:val="00396E58"/>
    <w:rsid w:val="00396F4E"/>
    <w:rsid w:val="0039731A"/>
    <w:rsid w:val="003979D4"/>
    <w:rsid w:val="003A18BF"/>
    <w:rsid w:val="003A24D0"/>
    <w:rsid w:val="003A37E4"/>
    <w:rsid w:val="003A39D8"/>
    <w:rsid w:val="003A3E54"/>
    <w:rsid w:val="003A4112"/>
    <w:rsid w:val="003A4889"/>
    <w:rsid w:val="003A4D4E"/>
    <w:rsid w:val="003A6044"/>
    <w:rsid w:val="003A798A"/>
    <w:rsid w:val="003B0AC7"/>
    <w:rsid w:val="003B1CE7"/>
    <w:rsid w:val="003B1D7B"/>
    <w:rsid w:val="003B3546"/>
    <w:rsid w:val="003B5B31"/>
    <w:rsid w:val="003B61C5"/>
    <w:rsid w:val="003B66FD"/>
    <w:rsid w:val="003B7CC1"/>
    <w:rsid w:val="003B7DB1"/>
    <w:rsid w:val="003C073B"/>
    <w:rsid w:val="003C09BC"/>
    <w:rsid w:val="003C1728"/>
    <w:rsid w:val="003C380A"/>
    <w:rsid w:val="003C5692"/>
    <w:rsid w:val="003C6FDF"/>
    <w:rsid w:val="003D1B64"/>
    <w:rsid w:val="003D37A6"/>
    <w:rsid w:val="003D4404"/>
    <w:rsid w:val="003D4BD9"/>
    <w:rsid w:val="003D547A"/>
    <w:rsid w:val="003D59D6"/>
    <w:rsid w:val="003D6C6C"/>
    <w:rsid w:val="003E01AF"/>
    <w:rsid w:val="003E1DA1"/>
    <w:rsid w:val="003E2141"/>
    <w:rsid w:val="003E308D"/>
    <w:rsid w:val="003E34D3"/>
    <w:rsid w:val="003E3D1C"/>
    <w:rsid w:val="003E3F9A"/>
    <w:rsid w:val="003E5153"/>
    <w:rsid w:val="003E589E"/>
    <w:rsid w:val="003E7074"/>
    <w:rsid w:val="003E7312"/>
    <w:rsid w:val="003F084E"/>
    <w:rsid w:val="003F1572"/>
    <w:rsid w:val="003F2EB5"/>
    <w:rsid w:val="003F5B83"/>
    <w:rsid w:val="003F5DD0"/>
    <w:rsid w:val="003F622F"/>
    <w:rsid w:val="003F666D"/>
    <w:rsid w:val="003F7D78"/>
    <w:rsid w:val="004011C4"/>
    <w:rsid w:val="00401A83"/>
    <w:rsid w:val="00401DE2"/>
    <w:rsid w:val="00401FDC"/>
    <w:rsid w:val="00402405"/>
    <w:rsid w:val="00402EE0"/>
    <w:rsid w:val="0040314A"/>
    <w:rsid w:val="0040322B"/>
    <w:rsid w:val="004037B2"/>
    <w:rsid w:val="00403DDF"/>
    <w:rsid w:val="00404926"/>
    <w:rsid w:val="00407ABF"/>
    <w:rsid w:val="00407E97"/>
    <w:rsid w:val="00407ED9"/>
    <w:rsid w:val="004104F1"/>
    <w:rsid w:val="0041054E"/>
    <w:rsid w:val="0041091C"/>
    <w:rsid w:val="00411A60"/>
    <w:rsid w:val="00414B0A"/>
    <w:rsid w:val="00415C7E"/>
    <w:rsid w:val="00415CD1"/>
    <w:rsid w:val="004160F6"/>
    <w:rsid w:val="00416A9A"/>
    <w:rsid w:val="004202B1"/>
    <w:rsid w:val="00420309"/>
    <w:rsid w:val="0042045D"/>
    <w:rsid w:val="00420F43"/>
    <w:rsid w:val="00421E02"/>
    <w:rsid w:val="004225D2"/>
    <w:rsid w:val="00422628"/>
    <w:rsid w:val="00422705"/>
    <w:rsid w:val="004248B3"/>
    <w:rsid w:val="00424ACF"/>
    <w:rsid w:val="004254CF"/>
    <w:rsid w:val="00426111"/>
    <w:rsid w:val="00430708"/>
    <w:rsid w:val="00431702"/>
    <w:rsid w:val="00431A22"/>
    <w:rsid w:val="0043339B"/>
    <w:rsid w:val="0043418F"/>
    <w:rsid w:val="004345CD"/>
    <w:rsid w:val="004356D6"/>
    <w:rsid w:val="00435EE5"/>
    <w:rsid w:val="004366B4"/>
    <w:rsid w:val="00440104"/>
    <w:rsid w:val="00440980"/>
    <w:rsid w:val="00442198"/>
    <w:rsid w:val="00442306"/>
    <w:rsid w:val="00442AC4"/>
    <w:rsid w:val="004444A6"/>
    <w:rsid w:val="004449EF"/>
    <w:rsid w:val="00444CBB"/>
    <w:rsid w:val="00445E0C"/>
    <w:rsid w:val="004460D1"/>
    <w:rsid w:val="00447D44"/>
    <w:rsid w:val="00447EF8"/>
    <w:rsid w:val="0045003D"/>
    <w:rsid w:val="00450B85"/>
    <w:rsid w:val="00455ED5"/>
    <w:rsid w:val="00456529"/>
    <w:rsid w:val="00456AB7"/>
    <w:rsid w:val="00456F4E"/>
    <w:rsid w:val="0045713E"/>
    <w:rsid w:val="00457403"/>
    <w:rsid w:val="00457688"/>
    <w:rsid w:val="0046000C"/>
    <w:rsid w:val="00461866"/>
    <w:rsid w:val="0046623C"/>
    <w:rsid w:val="0046758A"/>
    <w:rsid w:val="00467930"/>
    <w:rsid w:val="00467B08"/>
    <w:rsid w:val="00467E7B"/>
    <w:rsid w:val="00470815"/>
    <w:rsid w:val="00470A81"/>
    <w:rsid w:val="00470AB2"/>
    <w:rsid w:val="00470C63"/>
    <w:rsid w:val="0047111D"/>
    <w:rsid w:val="004712E3"/>
    <w:rsid w:val="00471E5A"/>
    <w:rsid w:val="00472427"/>
    <w:rsid w:val="00472AB0"/>
    <w:rsid w:val="0047441D"/>
    <w:rsid w:val="00474A1F"/>
    <w:rsid w:val="00474E21"/>
    <w:rsid w:val="00474EDD"/>
    <w:rsid w:val="004776B1"/>
    <w:rsid w:val="00477920"/>
    <w:rsid w:val="0048030A"/>
    <w:rsid w:val="0048386B"/>
    <w:rsid w:val="004846DD"/>
    <w:rsid w:val="00484C60"/>
    <w:rsid w:val="00485A05"/>
    <w:rsid w:val="00486080"/>
    <w:rsid w:val="00486A36"/>
    <w:rsid w:val="00487317"/>
    <w:rsid w:val="00487DD5"/>
    <w:rsid w:val="004906CC"/>
    <w:rsid w:val="00491639"/>
    <w:rsid w:val="00491678"/>
    <w:rsid w:val="00493328"/>
    <w:rsid w:val="0049465A"/>
    <w:rsid w:val="00494C4B"/>
    <w:rsid w:val="004955DC"/>
    <w:rsid w:val="00495EC3"/>
    <w:rsid w:val="004A0101"/>
    <w:rsid w:val="004A1AEC"/>
    <w:rsid w:val="004A302F"/>
    <w:rsid w:val="004A5CE3"/>
    <w:rsid w:val="004A6BB7"/>
    <w:rsid w:val="004A74C5"/>
    <w:rsid w:val="004B0137"/>
    <w:rsid w:val="004B093F"/>
    <w:rsid w:val="004B0C08"/>
    <w:rsid w:val="004B109A"/>
    <w:rsid w:val="004B23B7"/>
    <w:rsid w:val="004B2D72"/>
    <w:rsid w:val="004B323F"/>
    <w:rsid w:val="004B54BA"/>
    <w:rsid w:val="004B630D"/>
    <w:rsid w:val="004B6A6C"/>
    <w:rsid w:val="004B6FD4"/>
    <w:rsid w:val="004C1184"/>
    <w:rsid w:val="004C1BEF"/>
    <w:rsid w:val="004C1DE1"/>
    <w:rsid w:val="004C2592"/>
    <w:rsid w:val="004C388D"/>
    <w:rsid w:val="004C4222"/>
    <w:rsid w:val="004C4D7F"/>
    <w:rsid w:val="004C770C"/>
    <w:rsid w:val="004C7DB7"/>
    <w:rsid w:val="004D1077"/>
    <w:rsid w:val="004D200A"/>
    <w:rsid w:val="004D2CF7"/>
    <w:rsid w:val="004D3063"/>
    <w:rsid w:val="004D466F"/>
    <w:rsid w:val="004D51CB"/>
    <w:rsid w:val="004D59B6"/>
    <w:rsid w:val="004D702C"/>
    <w:rsid w:val="004D7F91"/>
    <w:rsid w:val="004E1510"/>
    <w:rsid w:val="004E2AB9"/>
    <w:rsid w:val="004E52F2"/>
    <w:rsid w:val="004E5670"/>
    <w:rsid w:val="004E6A96"/>
    <w:rsid w:val="004F0B43"/>
    <w:rsid w:val="004F2241"/>
    <w:rsid w:val="004F242E"/>
    <w:rsid w:val="004F5B83"/>
    <w:rsid w:val="004F6EAA"/>
    <w:rsid w:val="004F6FE1"/>
    <w:rsid w:val="00500275"/>
    <w:rsid w:val="00503D59"/>
    <w:rsid w:val="00503D93"/>
    <w:rsid w:val="005040DA"/>
    <w:rsid w:val="00505498"/>
    <w:rsid w:val="005059C9"/>
    <w:rsid w:val="00505FF5"/>
    <w:rsid w:val="0050695A"/>
    <w:rsid w:val="005106AA"/>
    <w:rsid w:val="00510B97"/>
    <w:rsid w:val="00511E67"/>
    <w:rsid w:val="005149EE"/>
    <w:rsid w:val="00514EC4"/>
    <w:rsid w:val="00515129"/>
    <w:rsid w:val="00516E27"/>
    <w:rsid w:val="005173EE"/>
    <w:rsid w:val="005203FC"/>
    <w:rsid w:val="005216EF"/>
    <w:rsid w:val="00521CB5"/>
    <w:rsid w:val="00524309"/>
    <w:rsid w:val="00524A6D"/>
    <w:rsid w:val="005257F9"/>
    <w:rsid w:val="005261CE"/>
    <w:rsid w:val="00527023"/>
    <w:rsid w:val="00527409"/>
    <w:rsid w:val="00530291"/>
    <w:rsid w:val="00530B46"/>
    <w:rsid w:val="00533F4B"/>
    <w:rsid w:val="00534219"/>
    <w:rsid w:val="00536E0E"/>
    <w:rsid w:val="00537194"/>
    <w:rsid w:val="005379C8"/>
    <w:rsid w:val="00540136"/>
    <w:rsid w:val="00540A9D"/>
    <w:rsid w:val="00541A02"/>
    <w:rsid w:val="00543733"/>
    <w:rsid w:val="0054373C"/>
    <w:rsid w:val="00545980"/>
    <w:rsid w:val="005462BF"/>
    <w:rsid w:val="0054678E"/>
    <w:rsid w:val="00547A46"/>
    <w:rsid w:val="00547BA0"/>
    <w:rsid w:val="0055133B"/>
    <w:rsid w:val="0055181E"/>
    <w:rsid w:val="00551EDE"/>
    <w:rsid w:val="00553C4C"/>
    <w:rsid w:val="00555F65"/>
    <w:rsid w:val="00556808"/>
    <w:rsid w:val="0055715A"/>
    <w:rsid w:val="00560CD3"/>
    <w:rsid w:val="0056263E"/>
    <w:rsid w:val="00562841"/>
    <w:rsid w:val="00565B7F"/>
    <w:rsid w:val="0056729F"/>
    <w:rsid w:val="00570808"/>
    <w:rsid w:val="00571186"/>
    <w:rsid w:val="005716B4"/>
    <w:rsid w:val="0057174C"/>
    <w:rsid w:val="005720EB"/>
    <w:rsid w:val="005737B4"/>
    <w:rsid w:val="0057437A"/>
    <w:rsid w:val="005752CB"/>
    <w:rsid w:val="00575301"/>
    <w:rsid w:val="0057549D"/>
    <w:rsid w:val="00575B3C"/>
    <w:rsid w:val="00576587"/>
    <w:rsid w:val="00576861"/>
    <w:rsid w:val="00577838"/>
    <w:rsid w:val="00581A3B"/>
    <w:rsid w:val="00581F0B"/>
    <w:rsid w:val="00585533"/>
    <w:rsid w:val="00585663"/>
    <w:rsid w:val="00587785"/>
    <w:rsid w:val="00590E67"/>
    <w:rsid w:val="00592F66"/>
    <w:rsid w:val="00593253"/>
    <w:rsid w:val="005939C8"/>
    <w:rsid w:val="005948CE"/>
    <w:rsid w:val="00594938"/>
    <w:rsid w:val="0059638E"/>
    <w:rsid w:val="005A0E52"/>
    <w:rsid w:val="005A24AE"/>
    <w:rsid w:val="005A25A2"/>
    <w:rsid w:val="005A2CF1"/>
    <w:rsid w:val="005A3A3A"/>
    <w:rsid w:val="005A3C7E"/>
    <w:rsid w:val="005A3FFC"/>
    <w:rsid w:val="005A52C6"/>
    <w:rsid w:val="005A798F"/>
    <w:rsid w:val="005B2A51"/>
    <w:rsid w:val="005B34C3"/>
    <w:rsid w:val="005B36AF"/>
    <w:rsid w:val="005B44B9"/>
    <w:rsid w:val="005B4F33"/>
    <w:rsid w:val="005B7FB9"/>
    <w:rsid w:val="005C0094"/>
    <w:rsid w:val="005C1761"/>
    <w:rsid w:val="005C190D"/>
    <w:rsid w:val="005C1BF6"/>
    <w:rsid w:val="005C2CAF"/>
    <w:rsid w:val="005C3CF8"/>
    <w:rsid w:val="005C48ED"/>
    <w:rsid w:val="005D0679"/>
    <w:rsid w:val="005D075B"/>
    <w:rsid w:val="005D0D56"/>
    <w:rsid w:val="005D1ED1"/>
    <w:rsid w:val="005D253B"/>
    <w:rsid w:val="005D3630"/>
    <w:rsid w:val="005D3950"/>
    <w:rsid w:val="005D4A17"/>
    <w:rsid w:val="005D623C"/>
    <w:rsid w:val="005D696D"/>
    <w:rsid w:val="005D73C8"/>
    <w:rsid w:val="005D7528"/>
    <w:rsid w:val="005D75E7"/>
    <w:rsid w:val="005E2C8A"/>
    <w:rsid w:val="005E407C"/>
    <w:rsid w:val="005E5016"/>
    <w:rsid w:val="005E5C58"/>
    <w:rsid w:val="005E6190"/>
    <w:rsid w:val="005E6DC1"/>
    <w:rsid w:val="005E7522"/>
    <w:rsid w:val="005E76C9"/>
    <w:rsid w:val="005E7903"/>
    <w:rsid w:val="005F0CE0"/>
    <w:rsid w:val="005F1B84"/>
    <w:rsid w:val="005F3748"/>
    <w:rsid w:val="005F3AB5"/>
    <w:rsid w:val="005F4066"/>
    <w:rsid w:val="005F5D51"/>
    <w:rsid w:val="005F77CC"/>
    <w:rsid w:val="00601300"/>
    <w:rsid w:val="006015CC"/>
    <w:rsid w:val="00603EE1"/>
    <w:rsid w:val="006050B6"/>
    <w:rsid w:val="00605B27"/>
    <w:rsid w:val="00606078"/>
    <w:rsid w:val="006113F6"/>
    <w:rsid w:val="00611DDD"/>
    <w:rsid w:val="0061208D"/>
    <w:rsid w:val="0061283E"/>
    <w:rsid w:val="00612BA9"/>
    <w:rsid w:val="0061308D"/>
    <w:rsid w:val="00616113"/>
    <w:rsid w:val="006169BB"/>
    <w:rsid w:val="00617D4B"/>
    <w:rsid w:val="00620F91"/>
    <w:rsid w:val="0062238D"/>
    <w:rsid w:val="00622BFA"/>
    <w:rsid w:val="00623128"/>
    <w:rsid w:val="006237EB"/>
    <w:rsid w:val="00623F0A"/>
    <w:rsid w:val="00626F6E"/>
    <w:rsid w:val="006306E6"/>
    <w:rsid w:val="00631B61"/>
    <w:rsid w:val="00633311"/>
    <w:rsid w:val="0063336B"/>
    <w:rsid w:val="006341BA"/>
    <w:rsid w:val="0063487B"/>
    <w:rsid w:val="00636DB9"/>
    <w:rsid w:val="0064094E"/>
    <w:rsid w:val="00640C9E"/>
    <w:rsid w:val="00641777"/>
    <w:rsid w:val="00641C8F"/>
    <w:rsid w:val="00642A51"/>
    <w:rsid w:val="00644203"/>
    <w:rsid w:val="00644305"/>
    <w:rsid w:val="00644F79"/>
    <w:rsid w:val="00646A9F"/>
    <w:rsid w:val="0064706C"/>
    <w:rsid w:val="00647277"/>
    <w:rsid w:val="00647698"/>
    <w:rsid w:val="00650661"/>
    <w:rsid w:val="0065127B"/>
    <w:rsid w:val="00651E3B"/>
    <w:rsid w:val="006520EE"/>
    <w:rsid w:val="00652F45"/>
    <w:rsid w:val="006539C4"/>
    <w:rsid w:val="00654A91"/>
    <w:rsid w:val="00654BD1"/>
    <w:rsid w:val="00655917"/>
    <w:rsid w:val="00655A20"/>
    <w:rsid w:val="00657F82"/>
    <w:rsid w:val="00660DB7"/>
    <w:rsid w:val="00662E8A"/>
    <w:rsid w:val="00663276"/>
    <w:rsid w:val="006643E9"/>
    <w:rsid w:val="006656C6"/>
    <w:rsid w:val="0066632F"/>
    <w:rsid w:val="00666B32"/>
    <w:rsid w:val="006678B1"/>
    <w:rsid w:val="006712A5"/>
    <w:rsid w:val="006717C6"/>
    <w:rsid w:val="00671EB4"/>
    <w:rsid w:val="0067372A"/>
    <w:rsid w:val="00673EA3"/>
    <w:rsid w:val="0067420B"/>
    <w:rsid w:val="00674583"/>
    <w:rsid w:val="00674A72"/>
    <w:rsid w:val="0067675D"/>
    <w:rsid w:val="006772F0"/>
    <w:rsid w:val="00677982"/>
    <w:rsid w:val="00677DFA"/>
    <w:rsid w:val="0068098F"/>
    <w:rsid w:val="0068294B"/>
    <w:rsid w:val="006921A1"/>
    <w:rsid w:val="0069373E"/>
    <w:rsid w:val="006943B4"/>
    <w:rsid w:val="0069576B"/>
    <w:rsid w:val="006959D4"/>
    <w:rsid w:val="006967BB"/>
    <w:rsid w:val="006A1784"/>
    <w:rsid w:val="006A2039"/>
    <w:rsid w:val="006A245F"/>
    <w:rsid w:val="006A4779"/>
    <w:rsid w:val="006A645F"/>
    <w:rsid w:val="006A700D"/>
    <w:rsid w:val="006A77C1"/>
    <w:rsid w:val="006A7989"/>
    <w:rsid w:val="006B000B"/>
    <w:rsid w:val="006B0116"/>
    <w:rsid w:val="006B1472"/>
    <w:rsid w:val="006B14AB"/>
    <w:rsid w:val="006B24FB"/>
    <w:rsid w:val="006B3190"/>
    <w:rsid w:val="006B3D82"/>
    <w:rsid w:val="006B49BA"/>
    <w:rsid w:val="006B7871"/>
    <w:rsid w:val="006C0503"/>
    <w:rsid w:val="006C3393"/>
    <w:rsid w:val="006C3711"/>
    <w:rsid w:val="006C4159"/>
    <w:rsid w:val="006C67FA"/>
    <w:rsid w:val="006C6C50"/>
    <w:rsid w:val="006C6F06"/>
    <w:rsid w:val="006D14B9"/>
    <w:rsid w:val="006D1D3B"/>
    <w:rsid w:val="006D3075"/>
    <w:rsid w:val="006D3174"/>
    <w:rsid w:val="006D3A4D"/>
    <w:rsid w:val="006D494B"/>
    <w:rsid w:val="006D685C"/>
    <w:rsid w:val="006D6B88"/>
    <w:rsid w:val="006E0AF4"/>
    <w:rsid w:val="006E2FE4"/>
    <w:rsid w:val="006E49EB"/>
    <w:rsid w:val="006E4F12"/>
    <w:rsid w:val="006E5528"/>
    <w:rsid w:val="006E697E"/>
    <w:rsid w:val="006E7292"/>
    <w:rsid w:val="006F212E"/>
    <w:rsid w:val="006F4AAA"/>
    <w:rsid w:val="006F4D4F"/>
    <w:rsid w:val="006F543A"/>
    <w:rsid w:val="006F5D44"/>
    <w:rsid w:val="00701632"/>
    <w:rsid w:val="007024FF"/>
    <w:rsid w:val="007025D1"/>
    <w:rsid w:val="0070274C"/>
    <w:rsid w:val="00702EED"/>
    <w:rsid w:val="00703BD2"/>
    <w:rsid w:val="00704008"/>
    <w:rsid w:val="00704B10"/>
    <w:rsid w:val="0070623A"/>
    <w:rsid w:val="007066D0"/>
    <w:rsid w:val="007104F4"/>
    <w:rsid w:val="007114C5"/>
    <w:rsid w:val="007117E7"/>
    <w:rsid w:val="00711C50"/>
    <w:rsid w:val="00713A44"/>
    <w:rsid w:val="00714DFA"/>
    <w:rsid w:val="00715058"/>
    <w:rsid w:val="00716842"/>
    <w:rsid w:val="0071773F"/>
    <w:rsid w:val="00717C96"/>
    <w:rsid w:val="00721194"/>
    <w:rsid w:val="00722E41"/>
    <w:rsid w:val="0072351F"/>
    <w:rsid w:val="00724815"/>
    <w:rsid w:val="00724BCE"/>
    <w:rsid w:val="00726052"/>
    <w:rsid w:val="0072696B"/>
    <w:rsid w:val="00727B51"/>
    <w:rsid w:val="00730BF4"/>
    <w:rsid w:val="0073195D"/>
    <w:rsid w:val="0073298F"/>
    <w:rsid w:val="00732DEF"/>
    <w:rsid w:val="00733922"/>
    <w:rsid w:val="00733D76"/>
    <w:rsid w:val="00734F73"/>
    <w:rsid w:val="00735BA7"/>
    <w:rsid w:val="00735C34"/>
    <w:rsid w:val="00740436"/>
    <w:rsid w:val="007407B5"/>
    <w:rsid w:val="007424D9"/>
    <w:rsid w:val="007429D0"/>
    <w:rsid w:val="00743BB6"/>
    <w:rsid w:val="00745532"/>
    <w:rsid w:val="007475A7"/>
    <w:rsid w:val="00747639"/>
    <w:rsid w:val="00747685"/>
    <w:rsid w:val="00747E20"/>
    <w:rsid w:val="00750669"/>
    <w:rsid w:val="00752FC4"/>
    <w:rsid w:val="00754773"/>
    <w:rsid w:val="0075553D"/>
    <w:rsid w:val="007564CE"/>
    <w:rsid w:val="00757155"/>
    <w:rsid w:val="00757798"/>
    <w:rsid w:val="007604BE"/>
    <w:rsid w:val="007607A2"/>
    <w:rsid w:val="00760F03"/>
    <w:rsid w:val="0076190A"/>
    <w:rsid w:val="0076208F"/>
    <w:rsid w:val="00767651"/>
    <w:rsid w:val="00771464"/>
    <w:rsid w:val="007729CF"/>
    <w:rsid w:val="00774485"/>
    <w:rsid w:val="00774EEF"/>
    <w:rsid w:val="00774F1B"/>
    <w:rsid w:val="007751F4"/>
    <w:rsid w:val="007759E7"/>
    <w:rsid w:val="00775E82"/>
    <w:rsid w:val="00776F09"/>
    <w:rsid w:val="007817BE"/>
    <w:rsid w:val="00781E6F"/>
    <w:rsid w:val="007840C1"/>
    <w:rsid w:val="00790DDA"/>
    <w:rsid w:val="00791E4E"/>
    <w:rsid w:val="00792990"/>
    <w:rsid w:val="00792F6E"/>
    <w:rsid w:val="007937F0"/>
    <w:rsid w:val="00793A95"/>
    <w:rsid w:val="007942C4"/>
    <w:rsid w:val="00794C33"/>
    <w:rsid w:val="007953DA"/>
    <w:rsid w:val="0079680F"/>
    <w:rsid w:val="007A041B"/>
    <w:rsid w:val="007A1CDD"/>
    <w:rsid w:val="007A3759"/>
    <w:rsid w:val="007A5925"/>
    <w:rsid w:val="007A65FD"/>
    <w:rsid w:val="007A7532"/>
    <w:rsid w:val="007B1D93"/>
    <w:rsid w:val="007B22F8"/>
    <w:rsid w:val="007B3453"/>
    <w:rsid w:val="007B3D5E"/>
    <w:rsid w:val="007B4B7B"/>
    <w:rsid w:val="007B5540"/>
    <w:rsid w:val="007B64C2"/>
    <w:rsid w:val="007B6EDD"/>
    <w:rsid w:val="007B7200"/>
    <w:rsid w:val="007B7306"/>
    <w:rsid w:val="007C0281"/>
    <w:rsid w:val="007C0325"/>
    <w:rsid w:val="007C04B0"/>
    <w:rsid w:val="007C14A8"/>
    <w:rsid w:val="007C1647"/>
    <w:rsid w:val="007C1C24"/>
    <w:rsid w:val="007C2274"/>
    <w:rsid w:val="007C229C"/>
    <w:rsid w:val="007C24C7"/>
    <w:rsid w:val="007C2923"/>
    <w:rsid w:val="007C2FD1"/>
    <w:rsid w:val="007C4F52"/>
    <w:rsid w:val="007C629B"/>
    <w:rsid w:val="007C6513"/>
    <w:rsid w:val="007C6833"/>
    <w:rsid w:val="007C785A"/>
    <w:rsid w:val="007C7A1D"/>
    <w:rsid w:val="007D0D25"/>
    <w:rsid w:val="007D0DC8"/>
    <w:rsid w:val="007D33E3"/>
    <w:rsid w:val="007D4EC4"/>
    <w:rsid w:val="007D6B54"/>
    <w:rsid w:val="007D6DEC"/>
    <w:rsid w:val="007E05C7"/>
    <w:rsid w:val="007E104F"/>
    <w:rsid w:val="007E1BE5"/>
    <w:rsid w:val="007E1E6A"/>
    <w:rsid w:val="007E297E"/>
    <w:rsid w:val="007E2988"/>
    <w:rsid w:val="007E3142"/>
    <w:rsid w:val="007E324A"/>
    <w:rsid w:val="007E38D5"/>
    <w:rsid w:val="007E46D2"/>
    <w:rsid w:val="007E4B99"/>
    <w:rsid w:val="007E4F20"/>
    <w:rsid w:val="007E64C2"/>
    <w:rsid w:val="007E72BD"/>
    <w:rsid w:val="007E7DF6"/>
    <w:rsid w:val="007F0828"/>
    <w:rsid w:val="007F58F9"/>
    <w:rsid w:val="007F61C9"/>
    <w:rsid w:val="007F6E5E"/>
    <w:rsid w:val="00800358"/>
    <w:rsid w:val="00800F62"/>
    <w:rsid w:val="008015BF"/>
    <w:rsid w:val="00801EAF"/>
    <w:rsid w:val="00804C95"/>
    <w:rsid w:val="00805543"/>
    <w:rsid w:val="008063E5"/>
    <w:rsid w:val="0080774D"/>
    <w:rsid w:val="00807DB1"/>
    <w:rsid w:val="00810E96"/>
    <w:rsid w:val="0081180A"/>
    <w:rsid w:val="00813653"/>
    <w:rsid w:val="00815900"/>
    <w:rsid w:val="00816B2D"/>
    <w:rsid w:val="0081783B"/>
    <w:rsid w:val="00820E9D"/>
    <w:rsid w:val="00822476"/>
    <w:rsid w:val="00822A1B"/>
    <w:rsid w:val="0082304F"/>
    <w:rsid w:val="008235C4"/>
    <w:rsid w:val="00823605"/>
    <w:rsid w:val="00823A69"/>
    <w:rsid w:val="00823E21"/>
    <w:rsid w:val="0082567E"/>
    <w:rsid w:val="008263FD"/>
    <w:rsid w:val="00826693"/>
    <w:rsid w:val="0083108A"/>
    <w:rsid w:val="008315F6"/>
    <w:rsid w:val="0083174A"/>
    <w:rsid w:val="0083180A"/>
    <w:rsid w:val="00833C8F"/>
    <w:rsid w:val="00835825"/>
    <w:rsid w:val="008361A6"/>
    <w:rsid w:val="008363C4"/>
    <w:rsid w:val="00836F07"/>
    <w:rsid w:val="00840487"/>
    <w:rsid w:val="00840595"/>
    <w:rsid w:val="00840BB6"/>
    <w:rsid w:val="0084150D"/>
    <w:rsid w:val="00842D0E"/>
    <w:rsid w:val="00843A75"/>
    <w:rsid w:val="00843A83"/>
    <w:rsid w:val="00844AF2"/>
    <w:rsid w:val="00844B0F"/>
    <w:rsid w:val="00845B5D"/>
    <w:rsid w:val="00845B8E"/>
    <w:rsid w:val="0085127C"/>
    <w:rsid w:val="00851BB5"/>
    <w:rsid w:val="00852244"/>
    <w:rsid w:val="008523B2"/>
    <w:rsid w:val="00852509"/>
    <w:rsid w:val="00852684"/>
    <w:rsid w:val="00852EC7"/>
    <w:rsid w:val="008531F9"/>
    <w:rsid w:val="00853AAE"/>
    <w:rsid w:val="00854B10"/>
    <w:rsid w:val="00855DB4"/>
    <w:rsid w:val="0085654E"/>
    <w:rsid w:val="00856903"/>
    <w:rsid w:val="0085757B"/>
    <w:rsid w:val="00857C71"/>
    <w:rsid w:val="00857C8A"/>
    <w:rsid w:val="00857D00"/>
    <w:rsid w:val="00862B8A"/>
    <w:rsid w:val="0086319E"/>
    <w:rsid w:val="008637F3"/>
    <w:rsid w:val="008661BB"/>
    <w:rsid w:val="008664EC"/>
    <w:rsid w:val="00866E2C"/>
    <w:rsid w:val="008676F2"/>
    <w:rsid w:val="00870960"/>
    <w:rsid w:val="00871226"/>
    <w:rsid w:val="0087128F"/>
    <w:rsid w:val="00871686"/>
    <w:rsid w:val="00871871"/>
    <w:rsid w:val="00872BDC"/>
    <w:rsid w:val="008743E9"/>
    <w:rsid w:val="00874B91"/>
    <w:rsid w:val="0087502E"/>
    <w:rsid w:val="00875F52"/>
    <w:rsid w:val="0087618D"/>
    <w:rsid w:val="0087689F"/>
    <w:rsid w:val="00880B79"/>
    <w:rsid w:val="00880B91"/>
    <w:rsid w:val="00881475"/>
    <w:rsid w:val="008821DE"/>
    <w:rsid w:val="00882FD2"/>
    <w:rsid w:val="00883CDA"/>
    <w:rsid w:val="00884CB8"/>
    <w:rsid w:val="00884F91"/>
    <w:rsid w:val="00885142"/>
    <w:rsid w:val="00885E34"/>
    <w:rsid w:val="0088673B"/>
    <w:rsid w:val="00886A77"/>
    <w:rsid w:val="00886D51"/>
    <w:rsid w:val="00891E7E"/>
    <w:rsid w:val="00893369"/>
    <w:rsid w:val="00894630"/>
    <w:rsid w:val="008A000A"/>
    <w:rsid w:val="008A0B66"/>
    <w:rsid w:val="008A20C9"/>
    <w:rsid w:val="008A2EC1"/>
    <w:rsid w:val="008A3174"/>
    <w:rsid w:val="008A4944"/>
    <w:rsid w:val="008A5EF1"/>
    <w:rsid w:val="008A7501"/>
    <w:rsid w:val="008A76C0"/>
    <w:rsid w:val="008B262F"/>
    <w:rsid w:val="008B29D1"/>
    <w:rsid w:val="008B2AB3"/>
    <w:rsid w:val="008B2D1A"/>
    <w:rsid w:val="008B5B5D"/>
    <w:rsid w:val="008C10A7"/>
    <w:rsid w:val="008C16AA"/>
    <w:rsid w:val="008C42A7"/>
    <w:rsid w:val="008C450F"/>
    <w:rsid w:val="008C5264"/>
    <w:rsid w:val="008C555A"/>
    <w:rsid w:val="008C5614"/>
    <w:rsid w:val="008C5641"/>
    <w:rsid w:val="008C6990"/>
    <w:rsid w:val="008C69C6"/>
    <w:rsid w:val="008C6D45"/>
    <w:rsid w:val="008C776B"/>
    <w:rsid w:val="008D1134"/>
    <w:rsid w:val="008D14BB"/>
    <w:rsid w:val="008D1F79"/>
    <w:rsid w:val="008D429C"/>
    <w:rsid w:val="008E08FE"/>
    <w:rsid w:val="008E0E12"/>
    <w:rsid w:val="008E1875"/>
    <w:rsid w:val="008E279B"/>
    <w:rsid w:val="008E384F"/>
    <w:rsid w:val="008E408C"/>
    <w:rsid w:val="008E52F4"/>
    <w:rsid w:val="008E70C8"/>
    <w:rsid w:val="008F06D7"/>
    <w:rsid w:val="008F07D5"/>
    <w:rsid w:val="008F2D30"/>
    <w:rsid w:val="008F34F1"/>
    <w:rsid w:val="008F3E15"/>
    <w:rsid w:val="008F4815"/>
    <w:rsid w:val="008F49AE"/>
    <w:rsid w:val="008F511E"/>
    <w:rsid w:val="008F6042"/>
    <w:rsid w:val="008F6D18"/>
    <w:rsid w:val="009003D1"/>
    <w:rsid w:val="00902037"/>
    <w:rsid w:val="009039E6"/>
    <w:rsid w:val="009044BC"/>
    <w:rsid w:val="00904680"/>
    <w:rsid w:val="00904D61"/>
    <w:rsid w:val="00905F40"/>
    <w:rsid w:val="0090605E"/>
    <w:rsid w:val="00911383"/>
    <w:rsid w:val="0091164D"/>
    <w:rsid w:val="009122E4"/>
    <w:rsid w:val="009128FC"/>
    <w:rsid w:val="009133A2"/>
    <w:rsid w:val="00913EE6"/>
    <w:rsid w:val="0091483F"/>
    <w:rsid w:val="00914CA3"/>
    <w:rsid w:val="00914D20"/>
    <w:rsid w:val="009151BE"/>
    <w:rsid w:val="0091564A"/>
    <w:rsid w:val="009157B1"/>
    <w:rsid w:val="009159AA"/>
    <w:rsid w:val="00915F2C"/>
    <w:rsid w:val="009167DB"/>
    <w:rsid w:val="00917821"/>
    <w:rsid w:val="00917EAE"/>
    <w:rsid w:val="009207F4"/>
    <w:rsid w:val="00922121"/>
    <w:rsid w:val="009226BA"/>
    <w:rsid w:val="009235CC"/>
    <w:rsid w:val="00923A99"/>
    <w:rsid w:val="009246E3"/>
    <w:rsid w:val="009276B1"/>
    <w:rsid w:val="00927D09"/>
    <w:rsid w:val="009301F6"/>
    <w:rsid w:val="0093062B"/>
    <w:rsid w:val="0093078E"/>
    <w:rsid w:val="009316B0"/>
    <w:rsid w:val="00931DF1"/>
    <w:rsid w:val="00932479"/>
    <w:rsid w:val="00935807"/>
    <w:rsid w:val="009372B1"/>
    <w:rsid w:val="00937632"/>
    <w:rsid w:val="00937FBD"/>
    <w:rsid w:val="0094008A"/>
    <w:rsid w:val="0094040D"/>
    <w:rsid w:val="00940634"/>
    <w:rsid w:val="00940741"/>
    <w:rsid w:val="00941308"/>
    <w:rsid w:val="00941431"/>
    <w:rsid w:val="009419D6"/>
    <w:rsid w:val="00942549"/>
    <w:rsid w:val="009429A9"/>
    <w:rsid w:val="00942B4F"/>
    <w:rsid w:val="00942E9F"/>
    <w:rsid w:val="00943A58"/>
    <w:rsid w:val="00944A34"/>
    <w:rsid w:val="009454D0"/>
    <w:rsid w:val="00946985"/>
    <w:rsid w:val="009506BF"/>
    <w:rsid w:val="00953EB4"/>
    <w:rsid w:val="00953EC8"/>
    <w:rsid w:val="00954EB1"/>
    <w:rsid w:val="0095524A"/>
    <w:rsid w:val="00955E26"/>
    <w:rsid w:val="009603AB"/>
    <w:rsid w:val="00960AA5"/>
    <w:rsid w:val="00961BAA"/>
    <w:rsid w:val="009622ED"/>
    <w:rsid w:val="00964D9A"/>
    <w:rsid w:val="00964EAD"/>
    <w:rsid w:val="00966396"/>
    <w:rsid w:val="00971581"/>
    <w:rsid w:val="009734D7"/>
    <w:rsid w:val="00973B94"/>
    <w:rsid w:val="0097434A"/>
    <w:rsid w:val="00974F5F"/>
    <w:rsid w:val="009764DB"/>
    <w:rsid w:val="00977080"/>
    <w:rsid w:val="009774B9"/>
    <w:rsid w:val="00977A90"/>
    <w:rsid w:val="009828AE"/>
    <w:rsid w:val="009853A7"/>
    <w:rsid w:val="00986CB1"/>
    <w:rsid w:val="00986D63"/>
    <w:rsid w:val="00987902"/>
    <w:rsid w:val="00990451"/>
    <w:rsid w:val="009910FE"/>
    <w:rsid w:val="00992431"/>
    <w:rsid w:val="00992D50"/>
    <w:rsid w:val="00994041"/>
    <w:rsid w:val="009948E8"/>
    <w:rsid w:val="00994E87"/>
    <w:rsid w:val="009952B2"/>
    <w:rsid w:val="009967BA"/>
    <w:rsid w:val="00997F22"/>
    <w:rsid w:val="00997FFB"/>
    <w:rsid w:val="009A0CEA"/>
    <w:rsid w:val="009A2860"/>
    <w:rsid w:val="009A2ABD"/>
    <w:rsid w:val="009A2DD9"/>
    <w:rsid w:val="009A32EB"/>
    <w:rsid w:val="009A4852"/>
    <w:rsid w:val="009A488E"/>
    <w:rsid w:val="009A5559"/>
    <w:rsid w:val="009A5708"/>
    <w:rsid w:val="009A5A80"/>
    <w:rsid w:val="009A6300"/>
    <w:rsid w:val="009A660D"/>
    <w:rsid w:val="009A6817"/>
    <w:rsid w:val="009A70E2"/>
    <w:rsid w:val="009B13AB"/>
    <w:rsid w:val="009B19A8"/>
    <w:rsid w:val="009B3DBC"/>
    <w:rsid w:val="009B4338"/>
    <w:rsid w:val="009B46E8"/>
    <w:rsid w:val="009B5861"/>
    <w:rsid w:val="009B6E51"/>
    <w:rsid w:val="009B734D"/>
    <w:rsid w:val="009B7E0B"/>
    <w:rsid w:val="009C031C"/>
    <w:rsid w:val="009C1262"/>
    <w:rsid w:val="009C2CB6"/>
    <w:rsid w:val="009C343E"/>
    <w:rsid w:val="009C3B3E"/>
    <w:rsid w:val="009C5980"/>
    <w:rsid w:val="009C63C8"/>
    <w:rsid w:val="009C679C"/>
    <w:rsid w:val="009C783D"/>
    <w:rsid w:val="009D009F"/>
    <w:rsid w:val="009D0F11"/>
    <w:rsid w:val="009D11B8"/>
    <w:rsid w:val="009D1649"/>
    <w:rsid w:val="009D1A9E"/>
    <w:rsid w:val="009D2D7C"/>
    <w:rsid w:val="009D2F4C"/>
    <w:rsid w:val="009D39DA"/>
    <w:rsid w:val="009D4C81"/>
    <w:rsid w:val="009D5316"/>
    <w:rsid w:val="009E3951"/>
    <w:rsid w:val="009E4CFE"/>
    <w:rsid w:val="009E56D6"/>
    <w:rsid w:val="009E5FDB"/>
    <w:rsid w:val="009E6172"/>
    <w:rsid w:val="009E6B85"/>
    <w:rsid w:val="009E794D"/>
    <w:rsid w:val="009F352E"/>
    <w:rsid w:val="009F70FD"/>
    <w:rsid w:val="009F72D7"/>
    <w:rsid w:val="009F7C97"/>
    <w:rsid w:val="00A00345"/>
    <w:rsid w:val="00A0037D"/>
    <w:rsid w:val="00A0054F"/>
    <w:rsid w:val="00A022C8"/>
    <w:rsid w:val="00A0435E"/>
    <w:rsid w:val="00A056D9"/>
    <w:rsid w:val="00A0591A"/>
    <w:rsid w:val="00A06E97"/>
    <w:rsid w:val="00A130A9"/>
    <w:rsid w:val="00A1329D"/>
    <w:rsid w:val="00A1397A"/>
    <w:rsid w:val="00A140C4"/>
    <w:rsid w:val="00A1445A"/>
    <w:rsid w:val="00A14BFC"/>
    <w:rsid w:val="00A20EA9"/>
    <w:rsid w:val="00A2246D"/>
    <w:rsid w:val="00A22B0C"/>
    <w:rsid w:val="00A23D75"/>
    <w:rsid w:val="00A24FB4"/>
    <w:rsid w:val="00A26440"/>
    <w:rsid w:val="00A265C1"/>
    <w:rsid w:val="00A26FC9"/>
    <w:rsid w:val="00A301A2"/>
    <w:rsid w:val="00A31985"/>
    <w:rsid w:val="00A32326"/>
    <w:rsid w:val="00A32E21"/>
    <w:rsid w:val="00A34839"/>
    <w:rsid w:val="00A34A27"/>
    <w:rsid w:val="00A362B8"/>
    <w:rsid w:val="00A37B25"/>
    <w:rsid w:val="00A41D9C"/>
    <w:rsid w:val="00A42D37"/>
    <w:rsid w:val="00A433E3"/>
    <w:rsid w:val="00A43852"/>
    <w:rsid w:val="00A44BA3"/>
    <w:rsid w:val="00A45000"/>
    <w:rsid w:val="00A46EBF"/>
    <w:rsid w:val="00A50917"/>
    <w:rsid w:val="00A52741"/>
    <w:rsid w:val="00A52B4F"/>
    <w:rsid w:val="00A5335A"/>
    <w:rsid w:val="00A5358D"/>
    <w:rsid w:val="00A54C88"/>
    <w:rsid w:val="00A55A8D"/>
    <w:rsid w:val="00A56A90"/>
    <w:rsid w:val="00A5760E"/>
    <w:rsid w:val="00A57A05"/>
    <w:rsid w:val="00A57B4C"/>
    <w:rsid w:val="00A607F9"/>
    <w:rsid w:val="00A61863"/>
    <w:rsid w:val="00A63931"/>
    <w:rsid w:val="00A66375"/>
    <w:rsid w:val="00A704C6"/>
    <w:rsid w:val="00A71954"/>
    <w:rsid w:val="00A71BDD"/>
    <w:rsid w:val="00A72875"/>
    <w:rsid w:val="00A72957"/>
    <w:rsid w:val="00A7408E"/>
    <w:rsid w:val="00A77F46"/>
    <w:rsid w:val="00A80FAF"/>
    <w:rsid w:val="00A81898"/>
    <w:rsid w:val="00A8286D"/>
    <w:rsid w:val="00A82EE4"/>
    <w:rsid w:val="00A9031F"/>
    <w:rsid w:val="00A904B0"/>
    <w:rsid w:val="00A921D4"/>
    <w:rsid w:val="00A92602"/>
    <w:rsid w:val="00A940F0"/>
    <w:rsid w:val="00A9520D"/>
    <w:rsid w:val="00A95A98"/>
    <w:rsid w:val="00A963C3"/>
    <w:rsid w:val="00A964E0"/>
    <w:rsid w:val="00A97824"/>
    <w:rsid w:val="00A97A02"/>
    <w:rsid w:val="00AA0CB6"/>
    <w:rsid w:val="00AA154C"/>
    <w:rsid w:val="00AA4F57"/>
    <w:rsid w:val="00AA5954"/>
    <w:rsid w:val="00AA6BF3"/>
    <w:rsid w:val="00AB4F8D"/>
    <w:rsid w:val="00AB5F7E"/>
    <w:rsid w:val="00AB7385"/>
    <w:rsid w:val="00AC447C"/>
    <w:rsid w:val="00AC4B5F"/>
    <w:rsid w:val="00AC4E51"/>
    <w:rsid w:val="00AC592D"/>
    <w:rsid w:val="00AC652F"/>
    <w:rsid w:val="00AC6E78"/>
    <w:rsid w:val="00AC74D4"/>
    <w:rsid w:val="00AD20D5"/>
    <w:rsid w:val="00AD50EC"/>
    <w:rsid w:val="00AD55ED"/>
    <w:rsid w:val="00AD5DFD"/>
    <w:rsid w:val="00AD6120"/>
    <w:rsid w:val="00AD6EBA"/>
    <w:rsid w:val="00AE0FDB"/>
    <w:rsid w:val="00AE6092"/>
    <w:rsid w:val="00AE60A8"/>
    <w:rsid w:val="00AE7DEB"/>
    <w:rsid w:val="00AF01D4"/>
    <w:rsid w:val="00AF02F2"/>
    <w:rsid w:val="00AF18A5"/>
    <w:rsid w:val="00AF3B5E"/>
    <w:rsid w:val="00AF4BF1"/>
    <w:rsid w:val="00AF547E"/>
    <w:rsid w:val="00AF5CEB"/>
    <w:rsid w:val="00AF5EC7"/>
    <w:rsid w:val="00AF5FE0"/>
    <w:rsid w:val="00AF725F"/>
    <w:rsid w:val="00AF74BE"/>
    <w:rsid w:val="00B011EA"/>
    <w:rsid w:val="00B03265"/>
    <w:rsid w:val="00B04554"/>
    <w:rsid w:val="00B04D34"/>
    <w:rsid w:val="00B05506"/>
    <w:rsid w:val="00B059F6"/>
    <w:rsid w:val="00B05C19"/>
    <w:rsid w:val="00B06D37"/>
    <w:rsid w:val="00B0757E"/>
    <w:rsid w:val="00B076DB"/>
    <w:rsid w:val="00B11440"/>
    <w:rsid w:val="00B1224E"/>
    <w:rsid w:val="00B15AA2"/>
    <w:rsid w:val="00B16146"/>
    <w:rsid w:val="00B231F8"/>
    <w:rsid w:val="00B23749"/>
    <w:rsid w:val="00B23EC9"/>
    <w:rsid w:val="00B24E9D"/>
    <w:rsid w:val="00B26070"/>
    <w:rsid w:val="00B2732A"/>
    <w:rsid w:val="00B3090E"/>
    <w:rsid w:val="00B31445"/>
    <w:rsid w:val="00B31DED"/>
    <w:rsid w:val="00B32B58"/>
    <w:rsid w:val="00B32F4A"/>
    <w:rsid w:val="00B34625"/>
    <w:rsid w:val="00B350AE"/>
    <w:rsid w:val="00B36749"/>
    <w:rsid w:val="00B413B1"/>
    <w:rsid w:val="00B43384"/>
    <w:rsid w:val="00B43A2B"/>
    <w:rsid w:val="00B44133"/>
    <w:rsid w:val="00B44C29"/>
    <w:rsid w:val="00B47076"/>
    <w:rsid w:val="00B470B4"/>
    <w:rsid w:val="00B474F0"/>
    <w:rsid w:val="00B4765F"/>
    <w:rsid w:val="00B47D5E"/>
    <w:rsid w:val="00B47EAB"/>
    <w:rsid w:val="00B521D8"/>
    <w:rsid w:val="00B5263C"/>
    <w:rsid w:val="00B52DED"/>
    <w:rsid w:val="00B53E36"/>
    <w:rsid w:val="00B561A9"/>
    <w:rsid w:val="00B57457"/>
    <w:rsid w:val="00B60C3C"/>
    <w:rsid w:val="00B60CE8"/>
    <w:rsid w:val="00B61932"/>
    <w:rsid w:val="00B61966"/>
    <w:rsid w:val="00B61F67"/>
    <w:rsid w:val="00B62781"/>
    <w:rsid w:val="00B62815"/>
    <w:rsid w:val="00B63059"/>
    <w:rsid w:val="00B63285"/>
    <w:rsid w:val="00B648A8"/>
    <w:rsid w:val="00B661C1"/>
    <w:rsid w:val="00B70157"/>
    <w:rsid w:val="00B702BC"/>
    <w:rsid w:val="00B7148F"/>
    <w:rsid w:val="00B71BA5"/>
    <w:rsid w:val="00B72412"/>
    <w:rsid w:val="00B7431E"/>
    <w:rsid w:val="00B74751"/>
    <w:rsid w:val="00B74AB2"/>
    <w:rsid w:val="00B74BD8"/>
    <w:rsid w:val="00B7525F"/>
    <w:rsid w:val="00B75632"/>
    <w:rsid w:val="00B75776"/>
    <w:rsid w:val="00B8167A"/>
    <w:rsid w:val="00B82029"/>
    <w:rsid w:val="00B82F8F"/>
    <w:rsid w:val="00B83148"/>
    <w:rsid w:val="00B8632A"/>
    <w:rsid w:val="00B873BE"/>
    <w:rsid w:val="00B8762F"/>
    <w:rsid w:val="00B87A54"/>
    <w:rsid w:val="00B91D7E"/>
    <w:rsid w:val="00B9251E"/>
    <w:rsid w:val="00B94120"/>
    <w:rsid w:val="00B947DA"/>
    <w:rsid w:val="00B95265"/>
    <w:rsid w:val="00B953D6"/>
    <w:rsid w:val="00B958B8"/>
    <w:rsid w:val="00B96181"/>
    <w:rsid w:val="00B96643"/>
    <w:rsid w:val="00B96C98"/>
    <w:rsid w:val="00B97034"/>
    <w:rsid w:val="00BA0028"/>
    <w:rsid w:val="00BA02EB"/>
    <w:rsid w:val="00BA6CFC"/>
    <w:rsid w:val="00BA79BA"/>
    <w:rsid w:val="00BB07A4"/>
    <w:rsid w:val="00BB11EE"/>
    <w:rsid w:val="00BB157C"/>
    <w:rsid w:val="00BB1673"/>
    <w:rsid w:val="00BB16C6"/>
    <w:rsid w:val="00BB1FBD"/>
    <w:rsid w:val="00BB60DE"/>
    <w:rsid w:val="00BB67AA"/>
    <w:rsid w:val="00BB72D7"/>
    <w:rsid w:val="00BB7AB0"/>
    <w:rsid w:val="00BB7B37"/>
    <w:rsid w:val="00BC0C11"/>
    <w:rsid w:val="00BC1B6D"/>
    <w:rsid w:val="00BC31BB"/>
    <w:rsid w:val="00BC3E27"/>
    <w:rsid w:val="00BC46DD"/>
    <w:rsid w:val="00BC4FDF"/>
    <w:rsid w:val="00BD0653"/>
    <w:rsid w:val="00BD2DF1"/>
    <w:rsid w:val="00BD3035"/>
    <w:rsid w:val="00BD60F7"/>
    <w:rsid w:val="00BD62D1"/>
    <w:rsid w:val="00BD7800"/>
    <w:rsid w:val="00BE05D6"/>
    <w:rsid w:val="00BE11CF"/>
    <w:rsid w:val="00BE1D8E"/>
    <w:rsid w:val="00BE1E49"/>
    <w:rsid w:val="00BE4B47"/>
    <w:rsid w:val="00BE52B5"/>
    <w:rsid w:val="00BE554B"/>
    <w:rsid w:val="00BE600D"/>
    <w:rsid w:val="00BE7646"/>
    <w:rsid w:val="00BF1B15"/>
    <w:rsid w:val="00BF1BD2"/>
    <w:rsid w:val="00BF3588"/>
    <w:rsid w:val="00BF3C79"/>
    <w:rsid w:val="00BF3CAF"/>
    <w:rsid w:val="00BF5B23"/>
    <w:rsid w:val="00BF635F"/>
    <w:rsid w:val="00C015B4"/>
    <w:rsid w:val="00C02285"/>
    <w:rsid w:val="00C02C86"/>
    <w:rsid w:val="00C0344B"/>
    <w:rsid w:val="00C03E04"/>
    <w:rsid w:val="00C0488B"/>
    <w:rsid w:val="00C057D3"/>
    <w:rsid w:val="00C07EC2"/>
    <w:rsid w:val="00C114C5"/>
    <w:rsid w:val="00C1228E"/>
    <w:rsid w:val="00C1296F"/>
    <w:rsid w:val="00C1336E"/>
    <w:rsid w:val="00C13CD5"/>
    <w:rsid w:val="00C140FA"/>
    <w:rsid w:val="00C14FDE"/>
    <w:rsid w:val="00C15F7E"/>
    <w:rsid w:val="00C16D56"/>
    <w:rsid w:val="00C1763B"/>
    <w:rsid w:val="00C2048B"/>
    <w:rsid w:val="00C223EA"/>
    <w:rsid w:val="00C2375A"/>
    <w:rsid w:val="00C247BC"/>
    <w:rsid w:val="00C24A5D"/>
    <w:rsid w:val="00C24CBD"/>
    <w:rsid w:val="00C2760F"/>
    <w:rsid w:val="00C27641"/>
    <w:rsid w:val="00C27D26"/>
    <w:rsid w:val="00C36425"/>
    <w:rsid w:val="00C375DD"/>
    <w:rsid w:val="00C37FC0"/>
    <w:rsid w:val="00C4059B"/>
    <w:rsid w:val="00C40BDA"/>
    <w:rsid w:val="00C41699"/>
    <w:rsid w:val="00C43C4D"/>
    <w:rsid w:val="00C44AFC"/>
    <w:rsid w:val="00C44C7E"/>
    <w:rsid w:val="00C526D7"/>
    <w:rsid w:val="00C52B71"/>
    <w:rsid w:val="00C535B1"/>
    <w:rsid w:val="00C53C79"/>
    <w:rsid w:val="00C542CB"/>
    <w:rsid w:val="00C54FBE"/>
    <w:rsid w:val="00C56AD1"/>
    <w:rsid w:val="00C57960"/>
    <w:rsid w:val="00C57C83"/>
    <w:rsid w:val="00C61928"/>
    <w:rsid w:val="00C620B5"/>
    <w:rsid w:val="00C6229E"/>
    <w:rsid w:val="00C63377"/>
    <w:rsid w:val="00C64723"/>
    <w:rsid w:val="00C6599B"/>
    <w:rsid w:val="00C65EB9"/>
    <w:rsid w:val="00C66191"/>
    <w:rsid w:val="00C67EF0"/>
    <w:rsid w:val="00C700AD"/>
    <w:rsid w:val="00C7355E"/>
    <w:rsid w:val="00C73615"/>
    <w:rsid w:val="00C73EF1"/>
    <w:rsid w:val="00C752C0"/>
    <w:rsid w:val="00C76248"/>
    <w:rsid w:val="00C80885"/>
    <w:rsid w:val="00C8088F"/>
    <w:rsid w:val="00C80B49"/>
    <w:rsid w:val="00C80B70"/>
    <w:rsid w:val="00C81DF2"/>
    <w:rsid w:val="00C83213"/>
    <w:rsid w:val="00C8633F"/>
    <w:rsid w:val="00C86A88"/>
    <w:rsid w:val="00C901A1"/>
    <w:rsid w:val="00C92A72"/>
    <w:rsid w:val="00C931D2"/>
    <w:rsid w:val="00C93E1D"/>
    <w:rsid w:val="00C94C80"/>
    <w:rsid w:val="00C95616"/>
    <w:rsid w:val="00C9611F"/>
    <w:rsid w:val="00C979C6"/>
    <w:rsid w:val="00CA02FC"/>
    <w:rsid w:val="00CA0428"/>
    <w:rsid w:val="00CA1652"/>
    <w:rsid w:val="00CA2BDA"/>
    <w:rsid w:val="00CA420C"/>
    <w:rsid w:val="00CA54ED"/>
    <w:rsid w:val="00CA5CF7"/>
    <w:rsid w:val="00CA5FDE"/>
    <w:rsid w:val="00CA7B5C"/>
    <w:rsid w:val="00CB053B"/>
    <w:rsid w:val="00CB0B20"/>
    <w:rsid w:val="00CB140B"/>
    <w:rsid w:val="00CB146C"/>
    <w:rsid w:val="00CB2DAB"/>
    <w:rsid w:val="00CB41F6"/>
    <w:rsid w:val="00CB42D0"/>
    <w:rsid w:val="00CB4C43"/>
    <w:rsid w:val="00CB4F88"/>
    <w:rsid w:val="00CC2F51"/>
    <w:rsid w:val="00CC365C"/>
    <w:rsid w:val="00CC3F09"/>
    <w:rsid w:val="00CC58E9"/>
    <w:rsid w:val="00CC5A4C"/>
    <w:rsid w:val="00CC6417"/>
    <w:rsid w:val="00CC6467"/>
    <w:rsid w:val="00CC6B4B"/>
    <w:rsid w:val="00CC6CA3"/>
    <w:rsid w:val="00CC7457"/>
    <w:rsid w:val="00CC7CEB"/>
    <w:rsid w:val="00CD077F"/>
    <w:rsid w:val="00CD0C6A"/>
    <w:rsid w:val="00CD1E46"/>
    <w:rsid w:val="00CD1E9E"/>
    <w:rsid w:val="00CD24BE"/>
    <w:rsid w:val="00CD3A8B"/>
    <w:rsid w:val="00CD5591"/>
    <w:rsid w:val="00CD5650"/>
    <w:rsid w:val="00CD668A"/>
    <w:rsid w:val="00CD6925"/>
    <w:rsid w:val="00CE03F1"/>
    <w:rsid w:val="00CE0DB4"/>
    <w:rsid w:val="00CE328B"/>
    <w:rsid w:val="00CE44C3"/>
    <w:rsid w:val="00CE48B7"/>
    <w:rsid w:val="00CE5BF4"/>
    <w:rsid w:val="00CE6C9A"/>
    <w:rsid w:val="00CF11EA"/>
    <w:rsid w:val="00CF1854"/>
    <w:rsid w:val="00CF1D69"/>
    <w:rsid w:val="00CF21B9"/>
    <w:rsid w:val="00CF2E18"/>
    <w:rsid w:val="00CF4516"/>
    <w:rsid w:val="00CF67AB"/>
    <w:rsid w:val="00D01029"/>
    <w:rsid w:val="00D02C65"/>
    <w:rsid w:val="00D02C70"/>
    <w:rsid w:val="00D0303B"/>
    <w:rsid w:val="00D03DE2"/>
    <w:rsid w:val="00D03E66"/>
    <w:rsid w:val="00D04969"/>
    <w:rsid w:val="00D05BA7"/>
    <w:rsid w:val="00D10CA9"/>
    <w:rsid w:val="00D11858"/>
    <w:rsid w:val="00D16F7E"/>
    <w:rsid w:val="00D174B8"/>
    <w:rsid w:val="00D17A31"/>
    <w:rsid w:val="00D20311"/>
    <w:rsid w:val="00D213D9"/>
    <w:rsid w:val="00D2241D"/>
    <w:rsid w:val="00D240B3"/>
    <w:rsid w:val="00D242EF"/>
    <w:rsid w:val="00D24C59"/>
    <w:rsid w:val="00D25886"/>
    <w:rsid w:val="00D27202"/>
    <w:rsid w:val="00D27578"/>
    <w:rsid w:val="00D3016E"/>
    <w:rsid w:val="00D357F4"/>
    <w:rsid w:val="00D3613B"/>
    <w:rsid w:val="00D3621C"/>
    <w:rsid w:val="00D37B60"/>
    <w:rsid w:val="00D404C9"/>
    <w:rsid w:val="00D40E55"/>
    <w:rsid w:val="00D40F1A"/>
    <w:rsid w:val="00D41D5E"/>
    <w:rsid w:val="00D42A04"/>
    <w:rsid w:val="00D435FF"/>
    <w:rsid w:val="00D438C8"/>
    <w:rsid w:val="00D45D59"/>
    <w:rsid w:val="00D5186F"/>
    <w:rsid w:val="00D55B91"/>
    <w:rsid w:val="00D5640B"/>
    <w:rsid w:val="00D56749"/>
    <w:rsid w:val="00D56D52"/>
    <w:rsid w:val="00D57CC2"/>
    <w:rsid w:val="00D616EA"/>
    <w:rsid w:val="00D620CC"/>
    <w:rsid w:val="00D639A9"/>
    <w:rsid w:val="00D640B3"/>
    <w:rsid w:val="00D64C8C"/>
    <w:rsid w:val="00D64D7E"/>
    <w:rsid w:val="00D653F5"/>
    <w:rsid w:val="00D66A48"/>
    <w:rsid w:val="00D6735A"/>
    <w:rsid w:val="00D67782"/>
    <w:rsid w:val="00D70A36"/>
    <w:rsid w:val="00D70DC9"/>
    <w:rsid w:val="00D71AFB"/>
    <w:rsid w:val="00D72E9A"/>
    <w:rsid w:val="00D741A6"/>
    <w:rsid w:val="00D74741"/>
    <w:rsid w:val="00D770F2"/>
    <w:rsid w:val="00D77DDB"/>
    <w:rsid w:val="00D80030"/>
    <w:rsid w:val="00D812FF"/>
    <w:rsid w:val="00D81917"/>
    <w:rsid w:val="00D8768D"/>
    <w:rsid w:val="00D879CF"/>
    <w:rsid w:val="00D87AF4"/>
    <w:rsid w:val="00D904DA"/>
    <w:rsid w:val="00D90798"/>
    <w:rsid w:val="00D91CCB"/>
    <w:rsid w:val="00D920F5"/>
    <w:rsid w:val="00D92699"/>
    <w:rsid w:val="00D92F36"/>
    <w:rsid w:val="00D9350B"/>
    <w:rsid w:val="00D935FD"/>
    <w:rsid w:val="00D95F66"/>
    <w:rsid w:val="00D960CE"/>
    <w:rsid w:val="00DA032D"/>
    <w:rsid w:val="00DA0550"/>
    <w:rsid w:val="00DA0D5D"/>
    <w:rsid w:val="00DA106F"/>
    <w:rsid w:val="00DA1455"/>
    <w:rsid w:val="00DA2DDE"/>
    <w:rsid w:val="00DA31B1"/>
    <w:rsid w:val="00DA343D"/>
    <w:rsid w:val="00DA38D1"/>
    <w:rsid w:val="00DA519F"/>
    <w:rsid w:val="00DA6F57"/>
    <w:rsid w:val="00DA7513"/>
    <w:rsid w:val="00DA78AD"/>
    <w:rsid w:val="00DB0FCC"/>
    <w:rsid w:val="00DB1C0C"/>
    <w:rsid w:val="00DB589E"/>
    <w:rsid w:val="00DB6061"/>
    <w:rsid w:val="00DB6B72"/>
    <w:rsid w:val="00DB7CF2"/>
    <w:rsid w:val="00DC09BF"/>
    <w:rsid w:val="00DC12FF"/>
    <w:rsid w:val="00DC1B2B"/>
    <w:rsid w:val="00DC1B49"/>
    <w:rsid w:val="00DC24C1"/>
    <w:rsid w:val="00DC2E24"/>
    <w:rsid w:val="00DC315A"/>
    <w:rsid w:val="00DC32D4"/>
    <w:rsid w:val="00DC39D0"/>
    <w:rsid w:val="00DC4B50"/>
    <w:rsid w:val="00DC4C2D"/>
    <w:rsid w:val="00DC4EA0"/>
    <w:rsid w:val="00DC4FE3"/>
    <w:rsid w:val="00DC6114"/>
    <w:rsid w:val="00DC6415"/>
    <w:rsid w:val="00DD033A"/>
    <w:rsid w:val="00DD0D0B"/>
    <w:rsid w:val="00DD3CCE"/>
    <w:rsid w:val="00DD4838"/>
    <w:rsid w:val="00DD5D77"/>
    <w:rsid w:val="00DD6455"/>
    <w:rsid w:val="00DD6BB6"/>
    <w:rsid w:val="00DD7078"/>
    <w:rsid w:val="00DD720A"/>
    <w:rsid w:val="00DE0255"/>
    <w:rsid w:val="00DE181C"/>
    <w:rsid w:val="00DE1B9E"/>
    <w:rsid w:val="00DE4A5D"/>
    <w:rsid w:val="00DE507A"/>
    <w:rsid w:val="00DE54C2"/>
    <w:rsid w:val="00DE568B"/>
    <w:rsid w:val="00DE6BF1"/>
    <w:rsid w:val="00DE710E"/>
    <w:rsid w:val="00DE7414"/>
    <w:rsid w:val="00DE7CA8"/>
    <w:rsid w:val="00DF0EB6"/>
    <w:rsid w:val="00DF1E4A"/>
    <w:rsid w:val="00DF2464"/>
    <w:rsid w:val="00DF29C9"/>
    <w:rsid w:val="00DF31E2"/>
    <w:rsid w:val="00DF44D1"/>
    <w:rsid w:val="00DF4FF0"/>
    <w:rsid w:val="00DF6789"/>
    <w:rsid w:val="00DF681D"/>
    <w:rsid w:val="00DF7FE8"/>
    <w:rsid w:val="00E02F96"/>
    <w:rsid w:val="00E030C3"/>
    <w:rsid w:val="00E048C5"/>
    <w:rsid w:val="00E04C36"/>
    <w:rsid w:val="00E07BF2"/>
    <w:rsid w:val="00E109B0"/>
    <w:rsid w:val="00E10D96"/>
    <w:rsid w:val="00E1102A"/>
    <w:rsid w:val="00E1373E"/>
    <w:rsid w:val="00E1565C"/>
    <w:rsid w:val="00E15E7A"/>
    <w:rsid w:val="00E225F6"/>
    <w:rsid w:val="00E2291B"/>
    <w:rsid w:val="00E243E3"/>
    <w:rsid w:val="00E26D82"/>
    <w:rsid w:val="00E31A73"/>
    <w:rsid w:val="00E32139"/>
    <w:rsid w:val="00E3581C"/>
    <w:rsid w:val="00E35A16"/>
    <w:rsid w:val="00E35E30"/>
    <w:rsid w:val="00E365A0"/>
    <w:rsid w:val="00E37324"/>
    <w:rsid w:val="00E37DD6"/>
    <w:rsid w:val="00E402CA"/>
    <w:rsid w:val="00E41CE3"/>
    <w:rsid w:val="00E41EC9"/>
    <w:rsid w:val="00E427EF"/>
    <w:rsid w:val="00E4293D"/>
    <w:rsid w:val="00E42D9B"/>
    <w:rsid w:val="00E46B1B"/>
    <w:rsid w:val="00E52C88"/>
    <w:rsid w:val="00E53105"/>
    <w:rsid w:val="00E6091C"/>
    <w:rsid w:val="00E62163"/>
    <w:rsid w:val="00E6262A"/>
    <w:rsid w:val="00E62C81"/>
    <w:rsid w:val="00E643C2"/>
    <w:rsid w:val="00E66BF4"/>
    <w:rsid w:val="00E701C2"/>
    <w:rsid w:val="00E70BE0"/>
    <w:rsid w:val="00E70EC8"/>
    <w:rsid w:val="00E7282D"/>
    <w:rsid w:val="00E72A7E"/>
    <w:rsid w:val="00E731E4"/>
    <w:rsid w:val="00E73336"/>
    <w:rsid w:val="00E7488C"/>
    <w:rsid w:val="00E76739"/>
    <w:rsid w:val="00E80177"/>
    <w:rsid w:val="00E80A12"/>
    <w:rsid w:val="00E824D5"/>
    <w:rsid w:val="00E82FBC"/>
    <w:rsid w:val="00E83DB6"/>
    <w:rsid w:val="00E845D3"/>
    <w:rsid w:val="00E86B4E"/>
    <w:rsid w:val="00E9128D"/>
    <w:rsid w:val="00E92904"/>
    <w:rsid w:val="00E92B45"/>
    <w:rsid w:val="00E92C91"/>
    <w:rsid w:val="00E942D9"/>
    <w:rsid w:val="00E95F0B"/>
    <w:rsid w:val="00EA0B7E"/>
    <w:rsid w:val="00EA0EA2"/>
    <w:rsid w:val="00EA137F"/>
    <w:rsid w:val="00EA1D52"/>
    <w:rsid w:val="00EA3AE0"/>
    <w:rsid w:val="00EA57B3"/>
    <w:rsid w:val="00EA57E6"/>
    <w:rsid w:val="00EB1706"/>
    <w:rsid w:val="00EB1D24"/>
    <w:rsid w:val="00EB3D04"/>
    <w:rsid w:val="00EB5154"/>
    <w:rsid w:val="00EB56CF"/>
    <w:rsid w:val="00EB5A34"/>
    <w:rsid w:val="00EB6892"/>
    <w:rsid w:val="00EB7DB0"/>
    <w:rsid w:val="00EB7E4B"/>
    <w:rsid w:val="00EC0595"/>
    <w:rsid w:val="00EC1BDF"/>
    <w:rsid w:val="00EC26D8"/>
    <w:rsid w:val="00EC3D3E"/>
    <w:rsid w:val="00EC4342"/>
    <w:rsid w:val="00EC5336"/>
    <w:rsid w:val="00EC5BAC"/>
    <w:rsid w:val="00EC66EA"/>
    <w:rsid w:val="00EC7077"/>
    <w:rsid w:val="00ED0257"/>
    <w:rsid w:val="00ED18A7"/>
    <w:rsid w:val="00ED29B2"/>
    <w:rsid w:val="00ED4FB2"/>
    <w:rsid w:val="00ED50F8"/>
    <w:rsid w:val="00ED512A"/>
    <w:rsid w:val="00ED6D97"/>
    <w:rsid w:val="00ED753D"/>
    <w:rsid w:val="00EE1A37"/>
    <w:rsid w:val="00EE298A"/>
    <w:rsid w:val="00EE2C4B"/>
    <w:rsid w:val="00EE2EFA"/>
    <w:rsid w:val="00EE3810"/>
    <w:rsid w:val="00EE44C4"/>
    <w:rsid w:val="00EE4AC5"/>
    <w:rsid w:val="00EE544F"/>
    <w:rsid w:val="00EE5675"/>
    <w:rsid w:val="00EE5CBB"/>
    <w:rsid w:val="00EE5D25"/>
    <w:rsid w:val="00EE6F8D"/>
    <w:rsid w:val="00EF0063"/>
    <w:rsid w:val="00EF0EBD"/>
    <w:rsid w:val="00EF2916"/>
    <w:rsid w:val="00EF318B"/>
    <w:rsid w:val="00EF3678"/>
    <w:rsid w:val="00EF5A71"/>
    <w:rsid w:val="00F02F9B"/>
    <w:rsid w:val="00F02FE6"/>
    <w:rsid w:val="00F0330C"/>
    <w:rsid w:val="00F04317"/>
    <w:rsid w:val="00F06FF9"/>
    <w:rsid w:val="00F073CD"/>
    <w:rsid w:val="00F07A63"/>
    <w:rsid w:val="00F11728"/>
    <w:rsid w:val="00F1224C"/>
    <w:rsid w:val="00F1383F"/>
    <w:rsid w:val="00F14740"/>
    <w:rsid w:val="00F1483D"/>
    <w:rsid w:val="00F1495E"/>
    <w:rsid w:val="00F16BC3"/>
    <w:rsid w:val="00F16D2B"/>
    <w:rsid w:val="00F178DE"/>
    <w:rsid w:val="00F20A91"/>
    <w:rsid w:val="00F21A39"/>
    <w:rsid w:val="00F240D5"/>
    <w:rsid w:val="00F24432"/>
    <w:rsid w:val="00F272B5"/>
    <w:rsid w:val="00F279B0"/>
    <w:rsid w:val="00F27BCC"/>
    <w:rsid w:val="00F27BF8"/>
    <w:rsid w:val="00F31D6E"/>
    <w:rsid w:val="00F323F0"/>
    <w:rsid w:val="00F32D6B"/>
    <w:rsid w:val="00F331EE"/>
    <w:rsid w:val="00F33C53"/>
    <w:rsid w:val="00F341BC"/>
    <w:rsid w:val="00F34923"/>
    <w:rsid w:val="00F34995"/>
    <w:rsid w:val="00F34D62"/>
    <w:rsid w:val="00F3534F"/>
    <w:rsid w:val="00F358A4"/>
    <w:rsid w:val="00F364C9"/>
    <w:rsid w:val="00F37937"/>
    <w:rsid w:val="00F42779"/>
    <w:rsid w:val="00F43627"/>
    <w:rsid w:val="00F441CF"/>
    <w:rsid w:val="00F442B3"/>
    <w:rsid w:val="00F448B6"/>
    <w:rsid w:val="00F45D05"/>
    <w:rsid w:val="00F46611"/>
    <w:rsid w:val="00F508DE"/>
    <w:rsid w:val="00F509E6"/>
    <w:rsid w:val="00F50BEA"/>
    <w:rsid w:val="00F50E27"/>
    <w:rsid w:val="00F52835"/>
    <w:rsid w:val="00F548C6"/>
    <w:rsid w:val="00F55130"/>
    <w:rsid w:val="00F56EDC"/>
    <w:rsid w:val="00F573D7"/>
    <w:rsid w:val="00F57611"/>
    <w:rsid w:val="00F601AB"/>
    <w:rsid w:val="00F6242D"/>
    <w:rsid w:val="00F63825"/>
    <w:rsid w:val="00F65125"/>
    <w:rsid w:val="00F6536B"/>
    <w:rsid w:val="00F66DC7"/>
    <w:rsid w:val="00F67404"/>
    <w:rsid w:val="00F675BC"/>
    <w:rsid w:val="00F712EF"/>
    <w:rsid w:val="00F720D6"/>
    <w:rsid w:val="00F72753"/>
    <w:rsid w:val="00F73EC3"/>
    <w:rsid w:val="00F760B4"/>
    <w:rsid w:val="00F7747C"/>
    <w:rsid w:val="00F7767B"/>
    <w:rsid w:val="00F777EA"/>
    <w:rsid w:val="00F8011F"/>
    <w:rsid w:val="00F83D5F"/>
    <w:rsid w:val="00F840E3"/>
    <w:rsid w:val="00F846DD"/>
    <w:rsid w:val="00F84907"/>
    <w:rsid w:val="00F8561D"/>
    <w:rsid w:val="00F8572D"/>
    <w:rsid w:val="00F85F18"/>
    <w:rsid w:val="00F86029"/>
    <w:rsid w:val="00F86068"/>
    <w:rsid w:val="00F865CB"/>
    <w:rsid w:val="00F8708B"/>
    <w:rsid w:val="00F925E2"/>
    <w:rsid w:val="00F92934"/>
    <w:rsid w:val="00F940CB"/>
    <w:rsid w:val="00F96AE8"/>
    <w:rsid w:val="00F97CB5"/>
    <w:rsid w:val="00F97F72"/>
    <w:rsid w:val="00FA2593"/>
    <w:rsid w:val="00FA3170"/>
    <w:rsid w:val="00FA3205"/>
    <w:rsid w:val="00FA35C2"/>
    <w:rsid w:val="00FA3E53"/>
    <w:rsid w:val="00FA5B6D"/>
    <w:rsid w:val="00FA658E"/>
    <w:rsid w:val="00FA6DA1"/>
    <w:rsid w:val="00FB0EF6"/>
    <w:rsid w:val="00FB135A"/>
    <w:rsid w:val="00FB1D4D"/>
    <w:rsid w:val="00FB40B6"/>
    <w:rsid w:val="00FB425A"/>
    <w:rsid w:val="00FB4609"/>
    <w:rsid w:val="00FB530B"/>
    <w:rsid w:val="00FB610B"/>
    <w:rsid w:val="00FB7CCE"/>
    <w:rsid w:val="00FC0544"/>
    <w:rsid w:val="00FC1348"/>
    <w:rsid w:val="00FC233D"/>
    <w:rsid w:val="00FC2BEF"/>
    <w:rsid w:val="00FC2D1E"/>
    <w:rsid w:val="00FC37B5"/>
    <w:rsid w:val="00FC4AE3"/>
    <w:rsid w:val="00FC4D88"/>
    <w:rsid w:val="00FC6F07"/>
    <w:rsid w:val="00FD083A"/>
    <w:rsid w:val="00FD12CD"/>
    <w:rsid w:val="00FD153F"/>
    <w:rsid w:val="00FD181E"/>
    <w:rsid w:val="00FD1D61"/>
    <w:rsid w:val="00FD201B"/>
    <w:rsid w:val="00FD2B31"/>
    <w:rsid w:val="00FD2D35"/>
    <w:rsid w:val="00FD2E3A"/>
    <w:rsid w:val="00FD32F3"/>
    <w:rsid w:val="00FD39B4"/>
    <w:rsid w:val="00FD458E"/>
    <w:rsid w:val="00FD4DC1"/>
    <w:rsid w:val="00FD5573"/>
    <w:rsid w:val="00FD580A"/>
    <w:rsid w:val="00FD5F84"/>
    <w:rsid w:val="00FE1DB2"/>
    <w:rsid w:val="00FE206C"/>
    <w:rsid w:val="00FE31AF"/>
    <w:rsid w:val="00FE494C"/>
    <w:rsid w:val="00FE750A"/>
    <w:rsid w:val="00FE797F"/>
    <w:rsid w:val="00FF1C5B"/>
    <w:rsid w:val="00FF3532"/>
    <w:rsid w:val="00FF3AA3"/>
    <w:rsid w:val="00FF416F"/>
    <w:rsid w:val="00FF6CA5"/>
    <w:rsid w:val="00FF7806"/>
    <w:rsid w:val="00FF78F0"/>
    <w:rsid w:val="00FF7BC3"/>
    <w:rsid w:val="02354097"/>
    <w:rsid w:val="02CB571A"/>
    <w:rsid w:val="03DCA73D"/>
    <w:rsid w:val="061F11B5"/>
    <w:rsid w:val="06ADA8E2"/>
    <w:rsid w:val="07C5A74D"/>
    <w:rsid w:val="07EF94B6"/>
    <w:rsid w:val="08AB0101"/>
    <w:rsid w:val="0A429371"/>
    <w:rsid w:val="0A7AA08F"/>
    <w:rsid w:val="0C3FB150"/>
    <w:rsid w:val="0D13AFE8"/>
    <w:rsid w:val="0D30F908"/>
    <w:rsid w:val="0DA93F85"/>
    <w:rsid w:val="0DBF6F62"/>
    <w:rsid w:val="0E01E68B"/>
    <w:rsid w:val="0FBF3F33"/>
    <w:rsid w:val="0FF295A9"/>
    <w:rsid w:val="114AAB6A"/>
    <w:rsid w:val="11DEC95E"/>
    <w:rsid w:val="1492FD7D"/>
    <w:rsid w:val="15D0E155"/>
    <w:rsid w:val="191B0233"/>
    <w:rsid w:val="19F6E0BF"/>
    <w:rsid w:val="1A29339F"/>
    <w:rsid w:val="1B4AA511"/>
    <w:rsid w:val="1BCD43E5"/>
    <w:rsid w:val="1C5DB009"/>
    <w:rsid w:val="1DCE60DE"/>
    <w:rsid w:val="1F03F73D"/>
    <w:rsid w:val="1F624FE8"/>
    <w:rsid w:val="22ABDFF9"/>
    <w:rsid w:val="22B47BB9"/>
    <w:rsid w:val="237A37A7"/>
    <w:rsid w:val="250B8A15"/>
    <w:rsid w:val="268DE13F"/>
    <w:rsid w:val="279A59C0"/>
    <w:rsid w:val="282D0DFD"/>
    <w:rsid w:val="29DBB0E9"/>
    <w:rsid w:val="2A781F8D"/>
    <w:rsid w:val="2B4095CA"/>
    <w:rsid w:val="2CA3D0E9"/>
    <w:rsid w:val="2D28C49D"/>
    <w:rsid w:val="2D5F712B"/>
    <w:rsid w:val="2EA1DF27"/>
    <w:rsid w:val="2F6229E6"/>
    <w:rsid w:val="2FA2C01F"/>
    <w:rsid w:val="301AEAEC"/>
    <w:rsid w:val="31C1CE7D"/>
    <w:rsid w:val="33422017"/>
    <w:rsid w:val="38FEA303"/>
    <w:rsid w:val="391E74E8"/>
    <w:rsid w:val="39F7F0C7"/>
    <w:rsid w:val="3A07C206"/>
    <w:rsid w:val="3A6722AB"/>
    <w:rsid w:val="3B0A5509"/>
    <w:rsid w:val="3CA30DEC"/>
    <w:rsid w:val="3D483195"/>
    <w:rsid w:val="3DFD8D1F"/>
    <w:rsid w:val="3E8C4834"/>
    <w:rsid w:val="3ED482F5"/>
    <w:rsid w:val="3ED6AF61"/>
    <w:rsid w:val="3EDC83F7"/>
    <w:rsid w:val="3F1B45C6"/>
    <w:rsid w:val="3F626B6F"/>
    <w:rsid w:val="3F6B511A"/>
    <w:rsid w:val="401ACBE1"/>
    <w:rsid w:val="4076B061"/>
    <w:rsid w:val="4192455A"/>
    <w:rsid w:val="41DFD1C1"/>
    <w:rsid w:val="425E1167"/>
    <w:rsid w:val="4346E38B"/>
    <w:rsid w:val="442794CB"/>
    <w:rsid w:val="453B188B"/>
    <w:rsid w:val="473B8CA4"/>
    <w:rsid w:val="4AE587CC"/>
    <w:rsid w:val="4B199E20"/>
    <w:rsid w:val="4DC32A40"/>
    <w:rsid w:val="4DCE1E1A"/>
    <w:rsid w:val="4E25A98E"/>
    <w:rsid w:val="4E2A9AAD"/>
    <w:rsid w:val="4E571441"/>
    <w:rsid w:val="4EDC9215"/>
    <w:rsid w:val="4FF0CBC4"/>
    <w:rsid w:val="517AC4F7"/>
    <w:rsid w:val="52B679B1"/>
    <w:rsid w:val="5467762F"/>
    <w:rsid w:val="5487810B"/>
    <w:rsid w:val="54A3880C"/>
    <w:rsid w:val="552503B0"/>
    <w:rsid w:val="580F109B"/>
    <w:rsid w:val="5812EEF8"/>
    <w:rsid w:val="59C9DCE4"/>
    <w:rsid w:val="5E67E888"/>
    <w:rsid w:val="5EA86CB3"/>
    <w:rsid w:val="5EC9A56F"/>
    <w:rsid w:val="604D7F9D"/>
    <w:rsid w:val="626B2BA6"/>
    <w:rsid w:val="636F5B5A"/>
    <w:rsid w:val="6378CF31"/>
    <w:rsid w:val="647C9E78"/>
    <w:rsid w:val="65126423"/>
    <w:rsid w:val="683046BB"/>
    <w:rsid w:val="686B4475"/>
    <w:rsid w:val="6B4DECF9"/>
    <w:rsid w:val="6DCAA64C"/>
    <w:rsid w:val="6E284C29"/>
    <w:rsid w:val="6E479BA4"/>
    <w:rsid w:val="6EBCCFBC"/>
    <w:rsid w:val="6F73E5BF"/>
    <w:rsid w:val="6FDCB934"/>
    <w:rsid w:val="70989591"/>
    <w:rsid w:val="71673558"/>
    <w:rsid w:val="74941A51"/>
    <w:rsid w:val="765E78DE"/>
    <w:rsid w:val="77B37B74"/>
    <w:rsid w:val="793883B6"/>
    <w:rsid w:val="7A0A5B0B"/>
    <w:rsid w:val="7A8A783C"/>
    <w:rsid w:val="7BAC561E"/>
    <w:rsid w:val="7C79C909"/>
    <w:rsid w:val="7CAD4E3D"/>
    <w:rsid w:val="7DA5D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D5E1BD"/>
  <w15:docId w15:val="{528EBBAE-D4BF-487E-B1AE-1B399ACA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361627"/>
    <w:pPr>
      <w:spacing w:before="120"/>
    </w:pPr>
    <w:rPr>
      <w:rFonts w:cs="Arial"/>
      <w:color w:val="4F81BD"/>
      <w:lang w:eastAsia="en-US"/>
    </w:rPr>
  </w:style>
  <w:style w:type="paragraph" w:styleId="Titre1">
    <w:name w:val="heading 1"/>
    <w:basedOn w:val="Normal"/>
    <w:next w:val="Normal"/>
    <w:qFormat/>
    <w:rsid w:val="00D17A31"/>
    <w:pPr>
      <w:keepNext/>
      <w:spacing w:before="360" w:after="240"/>
      <w:outlineLvl w:val="0"/>
    </w:pPr>
    <w:rPr>
      <w:rFonts w:eastAsia="Arial Unicode MS"/>
      <w:b/>
      <w:bCs/>
      <w:color w:val="50B848"/>
      <w:kern w:val="1"/>
      <w:sz w:val="32"/>
      <w:szCs w:val="48"/>
      <w:lang w:val="fr-FR"/>
    </w:rPr>
  </w:style>
  <w:style w:type="paragraph" w:styleId="Titre2">
    <w:name w:val="heading 2"/>
    <w:basedOn w:val="BTCHeading2"/>
    <w:next w:val="Normal"/>
    <w:qFormat/>
    <w:rsid w:val="00D17A31"/>
  </w:style>
  <w:style w:type="paragraph" w:styleId="Titre3">
    <w:name w:val="heading 3"/>
    <w:basedOn w:val="Normal"/>
    <w:next w:val="Normal"/>
    <w:qFormat/>
    <w:rsid w:val="00D17A31"/>
    <w:pPr>
      <w:keepNext/>
      <w:spacing w:before="360" w:after="180"/>
      <w:outlineLvl w:val="2"/>
    </w:pPr>
    <w:rPr>
      <w:rFonts w:eastAsia="Arial Unicode MS"/>
      <w:b/>
      <w:bCs/>
      <w:color w:val="000000" w:themeColor="text1"/>
      <w:sz w:val="28"/>
      <w:szCs w:val="28"/>
      <w:lang w:val="fr-FR"/>
    </w:rPr>
  </w:style>
  <w:style w:type="paragraph" w:styleId="Titre4">
    <w:name w:val="heading 4"/>
    <w:basedOn w:val="Normal"/>
    <w:next w:val="Normal"/>
    <w:qFormat/>
    <w:pPr>
      <w:keepNext/>
      <w:spacing w:after="113"/>
      <w:outlineLvl w:val="3"/>
    </w:pPr>
    <w:rPr>
      <w:rFonts w:eastAsia="Arial Unicode MS"/>
      <w:b/>
      <w:bCs/>
      <w:iCs/>
      <w:kern w:val="1"/>
      <w:sz w:val="18"/>
      <w:szCs w:val="18"/>
      <w:lang w:val="fr-FR"/>
    </w:rPr>
  </w:style>
  <w:style w:type="paragraph" w:styleId="Titre5">
    <w:name w:val="heading 5"/>
    <w:basedOn w:val="Normal"/>
    <w:next w:val="Normal"/>
    <w:semiHidden/>
    <w:qFormat/>
    <w:pPr>
      <w:keepNext/>
      <w:spacing w:after="113"/>
      <w:outlineLvl w:val="4"/>
    </w:pPr>
    <w:rPr>
      <w:rFonts w:eastAsia="Arial Unicode MS"/>
      <w:bCs/>
      <w:kern w:val="1"/>
      <w:sz w:val="18"/>
      <w:szCs w:val="18"/>
      <w:lang w:val="fr-FR"/>
    </w:rPr>
  </w:style>
  <w:style w:type="paragraph" w:styleId="Titre6">
    <w:name w:val="heading 6"/>
    <w:aliases w:val="IC - TI Encadré,IE - TI encadré"/>
    <w:basedOn w:val="Normal"/>
    <w:next w:val="Normal"/>
    <w:semiHidden/>
    <w:qFormat/>
    <w:pPr>
      <w:numPr>
        <w:ilvl w:val="5"/>
        <w:numId w:val="2"/>
      </w:numPr>
      <w:spacing w:before="240" w:after="60"/>
      <w:outlineLvl w:val="5"/>
    </w:pPr>
    <w:rPr>
      <w:rFonts w:ascii="Times New Roman" w:hAnsi="Times New Roman"/>
      <w:b/>
      <w:bCs/>
      <w:sz w:val="22"/>
      <w:szCs w:val="22"/>
    </w:rPr>
  </w:style>
  <w:style w:type="paragraph" w:styleId="Titre7">
    <w:name w:val="heading 7"/>
    <w:aliases w:val="centré 12,TI"/>
    <w:basedOn w:val="Normal"/>
    <w:next w:val="Normal"/>
    <w:semiHidden/>
    <w:qFormat/>
    <w:pPr>
      <w:numPr>
        <w:ilvl w:val="6"/>
        <w:numId w:val="2"/>
      </w:numPr>
      <w:spacing w:before="240" w:after="60"/>
      <w:outlineLvl w:val="6"/>
    </w:pPr>
    <w:rPr>
      <w:rFonts w:ascii="Times New Roman" w:hAnsi="Times New Roman"/>
      <w:sz w:val="24"/>
    </w:rPr>
  </w:style>
  <w:style w:type="paragraph" w:styleId="Titre8">
    <w:name w:val="heading 8"/>
    <w:aliases w:val="TE - énumération dans TI"/>
    <w:basedOn w:val="Normal"/>
    <w:next w:val="Normal"/>
    <w:semiHidden/>
    <w:qFormat/>
    <w:pPr>
      <w:numPr>
        <w:ilvl w:val="7"/>
        <w:numId w:val="2"/>
      </w:numPr>
      <w:spacing w:before="240" w:after="60"/>
      <w:outlineLvl w:val="7"/>
    </w:pPr>
    <w:rPr>
      <w:rFonts w:ascii="Times New Roman" w:hAnsi="Times New Roman"/>
      <w:i/>
      <w:iCs/>
      <w:sz w:val="24"/>
    </w:rPr>
  </w:style>
  <w:style w:type="paragraph" w:styleId="Titre9">
    <w:name w:val="heading 9"/>
    <w:aliases w:val="Heading 9-paranum,Reference Appendix"/>
    <w:basedOn w:val="Normal"/>
    <w:next w:val="Normal"/>
    <w:semiHidden/>
    <w:qFormat/>
    <w:pPr>
      <w:numPr>
        <w:ilvl w:val="8"/>
        <w:numId w:val="2"/>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TCDefaultFont">
    <w:name w:val="BTC Default Font"/>
    <w:basedOn w:val="Normal"/>
    <w:uiPriority w:val="2"/>
    <w:semiHidden/>
  </w:style>
  <w:style w:type="paragraph" w:customStyle="1" w:styleId="BTCRegular">
    <w:name w:val="BTC Regular"/>
    <w:link w:val="BTCRegularChar"/>
    <w:uiPriority w:val="2"/>
    <w:semiHidden/>
    <w:pPr>
      <w:widowControl w:val="0"/>
      <w:suppressAutoHyphens/>
      <w:spacing w:before="120" w:after="120" w:line="288" w:lineRule="auto"/>
    </w:pPr>
    <w:rPr>
      <w:kern w:val="18"/>
      <w:lang w:eastAsia="en-US"/>
    </w:rPr>
  </w:style>
  <w:style w:type="paragraph" w:customStyle="1" w:styleId="BTCBodyText">
    <w:name w:val="BTC Body Text"/>
    <w:basedOn w:val="BTCRegular"/>
    <w:link w:val="BTCBodyTextChar"/>
    <w:uiPriority w:val="2"/>
    <w:qFormat/>
    <w:pPr>
      <w:jc w:val="both"/>
    </w:pPr>
  </w:style>
  <w:style w:type="paragraph" w:customStyle="1" w:styleId="BTCGreatTitle">
    <w:name w:val="BTC Great Title"/>
    <w:basedOn w:val="BTCBodyText"/>
    <w:next w:val="BTCSubheading"/>
    <w:qFormat/>
    <w:rsid w:val="00456F4E"/>
    <w:pPr>
      <w:spacing w:before="3402"/>
      <w:ind w:left="1502"/>
    </w:pPr>
    <w:rPr>
      <w:b/>
      <w:caps/>
      <w:color w:val="50B848"/>
      <w:sz w:val="60"/>
    </w:rPr>
  </w:style>
  <w:style w:type="paragraph" w:customStyle="1" w:styleId="BTCSubheading">
    <w:name w:val="BTC Subheading"/>
    <w:basedOn w:val="BTCBodyText"/>
    <w:next w:val="BTCSub-subheading"/>
    <w:qFormat/>
    <w:rsid w:val="009828AE"/>
    <w:pPr>
      <w:spacing w:before="0"/>
    </w:pPr>
    <w:rPr>
      <w:b/>
      <w:caps/>
      <w:color w:val="50B848"/>
      <w:sz w:val="44"/>
    </w:rPr>
  </w:style>
  <w:style w:type="paragraph" w:customStyle="1" w:styleId="BTCContentsheading">
    <w:name w:val="BTC Contents heading"/>
    <w:basedOn w:val="BTCBodyText"/>
    <w:next w:val="BTCBodyText"/>
    <w:uiPriority w:val="1"/>
    <w:qFormat/>
    <w:pPr>
      <w:spacing w:before="240"/>
    </w:pPr>
    <w:rPr>
      <w:b/>
      <w:caps/>
      <w:color w:val="50B848"/>
      <w:sz w:val="32"/>
    </w:rPr>
  </w:style>
  <w:style w:type="paragraph" w:customStyle="1" w:styleId="BTCHeading1">
    <w:name w:val="BTC Heading 1"/>
    <w:basedOn w:val="Normal"/>
    <w:next w:val="BTCBodyText"/>
    <w:autoRedefine/>
    <w:uiPriority w:val="1"/>
    <w:qFormat/>
    <w:rsid w:val="00382C00"/>
    <w:pPr>
      <w:keepNext/>
      <w:pageBreakBefore/>
      <w:widowControl w:val="0"/>
      <w:numPr>
        <w:numId w:val="9"/>
      </w:numPr>
      <w:suppressAutoHyphens/>
      <w:spacing w:after="480" w:line="288" w:lineRule="auto"/>
      <w:jc w:val="both"/>
    </w:pPr>
    <w:rPr>
      <w:rFonts w:cs="Times New Roman"/>
      <w:b/>
      <w:smallCaps/>
      <w:color w:val="50B848"/>
      <w:kern w:val="18"/>
      <w:sz w:val="32"/>
    </w:rPr>
  </w:style>
  <w:style w:type="paragraph" w:styleId="En-tte">
    <w:name w:val="header"/>
    <w:basedOn w:val="Normal"/>
    <w:link w:val="En-tteCar"/>
    <w:uiPriority w:val="99"/>
    <w:pPr>
      <w:tabs>
        <w:tab w:val="center" w:pos="4536"/>
        <w:tab w:val="right" w:pos="9072"/>
      </w:tabs>
    </w:pPr>
  </w:style>
  <w:style w:type="paragraph" w:customStyle="1" w:styleId="BTCHeading2">
    <w:name w:val="BTC Heading 2"/>
    <w:basedOn w:val="BTCBodyText"/>
    <w:next w:val="BTCBodyText"/>
    <w:uiPriority w:val="1"/>
    <w:qFormat/>
    <w:rsid w:val="009C031C"/>
    <w:pPr>
      <w:keepNext/>
      <w:spacing w:before="600" w:after="240"/>
      <w:outlineLvl w:val="1"/>
    </w:pPr>
    <w:rPr>
      <w:b/>
      <w:color w:val="50B848"/>
      <w:sz w:val="28"/>
    </w:rPr>
  </w:style>
  <w:style w:type="paragraph" w:customStyle="1" w:styleId="BTCHeading3">
    <w:name w:val="BTC Heading 3"/>
    <w:basedOn w:val="BTCBodyText"/>
    <w:next w:val="BTCBodyText"/>
    <w:autoRedefine/>
    <w:uiPriority w:val="1"/>
    <w:qFormat/>
    <w:rsid w:val="00382C00"/>
    <w:pPr>
      <w:keepNext/>
      <w:widowControl/>
      <w:spacing w:before="480" w:after="240"/>
      <w:outlineLvl w:val="1"/>
    </w:pPr>
    <w:rPr>
      <w:b/>
      <w:color w:val="000000" w:themeColor="text1"/>
      <w:sz w:val="32"/>
      <w:szCs w:val="32"/>
    </w:rPr>
  </w:style>
  <w:style w:type="paragraph" w:customStyle="1" w:styleId="BTCHeading4">
    <w:name w:val="BTC Heading 4"/>
    <w:basedOn w:val="BTCBodyText"/>
    <w:next w:val="BTCBodyText"/>
    <w:link w:val="BTCHeading4Char"/>
    <w:uiPriority w:val="1"/>
    <w:qFormat/>
    <w:rsid w:val="004D200A"/>
    <w:pPr>
      <w:keepNext/>
      <w:spacing w:before="480" w:line="280" w:lineRule="exact"/>
      <w:outlineLvl w:val="1"/>
    </w:pPr>
    <w:rPr>
      <w:b/>
      <w:color w:val="000000"/>
      <w:sz w:val="22"/>
    </w:rPr>
  </w:style>
  <w:style w:type="paragraph" w:customStyle="1" w:styleId="BTCHeading5">
    <w:name w:val="BTC Heading 5"/>
    <w:basedOn w:val="BTCBodyText"/>
    <w:next w:val="BTCBodyText"/>
    <w:uiPriority w:val="1"/>
    <w:qFormat/>
    <w:rsid w:val="001049E9"/>
    <w:pPr>
      <w:keepNext/>
      <w:spacing w:before="360"/>
      <w:outlineLvl w:val="1"/>
    </w:pPr>
    <w:rPr>
      <w:b/>
      <w:bCs/>
      <w:color w:val="000000"/>
      <w:u w:val="single"/>
    </w:rPr>
  </w:style>
  <w:style w:type="paragraph" w:styleId="TM1">
    <w:name w:val="toc 1"/>
    <w:basedOn w:val="BTCBodyText"/>
    <w:next w:val="BTCBodyText"/>
    <w:autoRedefine/>
    <w:uiPriority w:val="39"/>
    <w:unhideWhenUsed/>
    <w:rsid w:val="001369AA"/>
    <w:pPr>
      <w:widowControl/>
      <w:suppressAutoHyphens w:val="0"/>
      <w:spacing w:line="240" w:lineRule="auto"/>
      <w:jc w:val="left"/>
    </w:pPr>
    <w:rPr>
      <w:rFonts w:asciiTheme="minorHAnsi" w:hAnsiTheme="minorHAnsi" w:cstheme="minorHAnsi"/>
      <w:b/>
      <w:bCs/>
      <w:caps/>
      <w:color w:val="4F81BD"/>
      <w:kern w:val="0"/>
    </w:rPr>
  </w:style>
  <w:style w:type="paragraph" w:styleId="TM2">
    <w:name w:val="toc 2"/>
    <w:basedOn w:val="BTCBodyText"/>
    <w:next w:val="BTCBodyText"/>
    <w:autoRedefine/>
    <w:uiPriority w:val="39"/>
    <w:unhideWhenUsed/>
    <w:rsid w:val="00D17A31"/>
    <w:pPr>
      <w:widowControl/>
      <w:suppressAutoHyphens w:val="0"/>
      <w:spacing w:before="0" w:after="0" w:line="240" w:lineRule="auto"/>
      <w:ind w:left="200"/>
      <w:jc w:val="left"/>
    </w:pPr>
    <w:rPr>
      <w:rFonts w:asciiTheme="minorHAnsi" w:hAnsiTheme="minorHAnsi" w:cstheme="minorHAnsi"/>
      <w:smallCaps/>
      <w:color w:val="4F81BD"/>
      <w:kern w:val="0"/>
    </w:rPr>
  </w:style>
  <w:style w:type="paragraph" w:styleId="TM3">
    <w:name w:val="toc 3"/>
    <w:basedOn w:val="Normal"/>
    <w:next w:val="Normal"/>
    <w:autoRedefine/>
    <w:uiPriority w:val="39"/>
    <w:pPr>
      <w:spacing w:before="0"/>
      <w:ind w:left="400"/>
    </w:pPr>
    <w:rPr>
      <w:rFonts w:asciiTheme="minorHAnsi" w:hAnsiTheme="minorHAnsi" w:cstheme="minorHAnsi"/>
      <w:i/>
      <w:iCs/>
    </w:rPr>
  </w:style>
  <w:style w:type="paragraph" w:styleId="TM4">
    <w:name w:val="toc 4"/>
    <w:basedOn w:val="Normal"/>
    <w:next w:val="Normal"/>
    <w:autoRedefine/>
    <w:uiPriority w:val="39"/>
    <w:pPr>
      <w:spacing w:before="0"/>
      <w:ind w:left="600"/>
    </w:pPr>
    <w:rPr>
      <w:rFonts w:asciiTheme="minorHAnsi" w:hAnsiTheme="minorHAnsi" w:cstheme="minorHAnsi"/>
      <w:sz w:val="18"/>
      <w:szCs w:val="18"/>
    </w:rPr>
  </w:style>
  <w:style w:type="paragraph" w:styleId="TM5">
    <w:name w:val="toc 5"/>
    <w:basedOn w:val="Normal"/>
    <w:next w:val="Normal"/>
    <w:autoRedefine/>
    <w:uiPriority w:val="39"/>
    <w:pPr>
      <w:spacing w:before="0"/>
      <w:ind w:left="800"/>
    </w:pPr>
    <w:rPr>
      <w:rFonts w:asciiTheme="minorHAnsi" w:hAnsiTheme="minorHAnsi" w:cstheme="minorHAnsi"/>
      <w:sz w:val="18"/>
      <w:szCs w:val="18"/>
    </w:rPr>
  </w:style>
  <w:style w:type="paragraph" w:styleId="TM6">
    <w:name w:val="toc 6"/>
    <w:basedOn w:val="Normal"/>
    <w:next w:val="Normal"/>
    <w:autoRedefine/>
    <w:semiHidden/>
    <w:pPr>
      <w:spacing w:before="0"/>
      <w:ind w:left="1000"/>
    </w:pPr>
    <w:rPr>
      <w:rFonts w:asciiTheme="minorHAnsi" w:hAnsiTheme="minorHAnsi" w:cstheme="minorHAnsi"/>
      <w:sz w:val="18"/>
      <w:szCs w:val="18"/>
    </w:rPr>
  </w:style>
  <w:style w:type="paragraph" w:styleId="TM7">
    <w:name w:val="toc 7"/>
    <w:basedOn w:val="Normal"/>
    <w:next w:val="Normal"/>
    <w:autoRedefine/>
    <w:semiHidden/>
    <w:pPr>
      <w:spacing w:before="0"/>
      <w:ind w:left="1200"/>
    </w:pPr>
    <w:rPr>
      <w:rFonts w:asciiTheme="minorHAnsi" w:hAnsiTheme="minorHAnsi" w:cstheme="minorHAnsi"/>
      <w:sz w:val="18"/>
      <w:szCs w:val="18"/>
    </w:rPr>
  </w:style>
  <w:style w:type="paragraph" w:styleId="TM8">
    <w:name w:val="toc 8"/>
    <w:basedOn w:val="Normal"/>
    <w:next w:val="Normal"/>
    <w:autoRedefine/>
    <w:semiHidden/>
    <w:pPr>
      <w:spacing w:before="0"/>
      <w:ind w:left="1400"/>
    </w:pPr>
    <w:rPr>
      <w:rFonts w:asciiTheme="minorHAnsi" w:hAnsiTheme="minorHAnsi" w:cstheme="minorHAnsi"/>
      <w:sz w:val="18"/>
      <w:szCs w:val="18"/>
    </w:rPr>
  </w:style>
  <w:style w:type="paragraph" w:styleId="TM9">
    <w:name w:val="toc 9"/>
    <w:basedOn w:val="Normal"/>
    <w:next w:val="Normal"/>
    <w:autoRedefine/>
    <w:semiHidden/>
    <w:pPr>
      <w:spacing w:before="0"/>
      <w:ind w:left="1600"/>
    </w:pPr>
    <w:rPr>
      <w:rFonts w:asciiTheme="minorHAnsi" w:hAnsiTheme="minorHAnsi" w:cstheme="minorHAnsi"/>
      <w:sz w:val="18"/>
      <w:szCs w:val="18"/>
    </w:rPr>
  </w:style>
  <w:style w:type="paragraph" w:customStyle="1" w:styleId="BTCBulletslist">
    <w:name w:val="BTC Bullets list"/>
    <w:basedOn w:val="BTCBodyText"/>
    <w:autoRedefine/>
    <w:qFormat/>
    <w:rsid w:val="00EC0595"/>
    <w:pPr>
      <w:widowControl/>
      <w:numPr>
        <w:numId w:val="11"/>
      </w:numPr>
      <w:suppressAutoHyphens w:val="0"/>
    </w:pPr>
    <w:rPr>
      <w:color w:val="0070C0"/>
      <w:kern w:val="0"/>
    </w:rPr>
  </w:style>
  <w:style w:type="paragraph" w:customStyle="1" w:styleId="BTCNumberedList">
    <w:name w:val="BTC Numbered List"/>
    <w:basedOn w:val="BTCBodyText"/>
    <w:uiPriority w:val="3"/>
    <w:qFormat/>
    <w:pPr>
      <w:numPr>
        <w:numId w:val="3"/>
      </w:numPr>
    </w:pPr>
  </w:style>
  <w:style w:type="paragraph" w:styleId="Pieddepage">
    <w:name w:val="footer"/>
    <w:basedOn w:val="BTCBodyText"/>
    <w:link w:val="PieddepageCar"/>
    <w:uiPriority w:val="99"/>
    <w:semiHidden/>
    <w:rsid w:val="0091483F"/>
    <w:pPr>
      <w:tabs>
        <w:tab w:val="center" w:pos="4536"/>
        <w:tab w:val="right" w:pos="9072"/>
      </w:tabs>
    </w:pPr>
    <w:rPr>
      <w:sz w:val="16"/>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Fußnote"/>
    <w:basedOn w:val="Normal"/>
    <w:link w:val="NotedebasdepageCar"/>
    <w:qFormat/>
    <w:rsid w:val="00CB41F6"/>
    <w:rPr>
      <w:color w:val="auto"/>
      <w:sz w:val="16"/>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BVI fnr, Char Char, BVI fnr Zchn"/>
    <w:link w:val="BVIfnrChar1"/>
    <w:uiPriority w:val="99"/>
    <w:qFormat/>
    <w:rPr>
      <w:vertAlign w:val="superscript"/>
    </w:rPr>
  </w:style>
  <w:style w:type="character" w:styleId="Numrodepage">
    <w:name w:val="page number"/>
    <w:basedOn w:val="Policepardfaut"/>
    <w:semiHidden/>
  </w:style>
  <w:style w:type="character" w:styleId="Lienhypertexte">
    <w:name w:val="Hyperlink"/>
    <w:uiPriority w:val="99"/>
    <w:unhideWhenUsed/>
    <w:rsid w:val="00220DF8"/>
    <w:rPr>
      <w:color w:val="0000FF"/>
      <w:u w:val="single"/>
    </w:rPr>
  </w:style>
  <w:style w:type="paragraph" w:styleId="Sansinterligne">
    <w:name w:val="No Spacing"/>
    <w:uiPriority w:val="99"/>
    <w:semiHidden/>
    <w:rsid w:val="00430708"/>
    <w:pPr>
      <w:widowControl w:val="0"/>
      <w:suppressAutoHyphens/>
      <w:spacing w:before="120"/>
      <w:jc w:val="both"/>
    </w:pPr>
    <w:rPr>
      <w:rFonts w:cs="Tahoma"/>
      <w:kern w:val="18"/>
      <w:szCs w:val="24"/>
      <w:lang w:eastAsia="en-US"/>
    </w:rPr>
  </w:style>
  <w:style w:type="character" w:customStyle="1" w:styleId="PieddepageCar">
    <w:name w:val="Pied de page Car"/>
    <w:link w:val="Pieddepage"/>
    <w:uiPriority w:val="99"/>
    <w:semiHidden/>
    <w:rsid w:val="007475A7"/>
    <w:rPr>
      <w:kern w:val="18"/>
      <w:sz w:val="16"/>
      <w:lang w:val="en-GB"/>
    </w:rPr>
  </w:style>
  <w:style w:type="paragraph" w:customStyle="1" w:styleId="BTCSub-subheading">
    <w:name w:val="BTC  Sub-subheading"/>
    <w:basedOn w:val="BTCSubheading"/>
    <w:next w:val="BTCBodyText"/>
    <w:autoRedefine/>
    <w:uiPriority w:val="1"/>
    <w:rsid w:val="004C7DB7"/>
    <w:pPr>
      <w:jc w:val="left"/>
    </w:pPr>
    <w:rPr>
      <w:sz w:val="28"/>
    </w:rPr>
  </w:style>
  <w:style w:type="paragraph" w:customStyle="1" w:styleId="BTCHeadingwithoutnumbering">
    <w:name w:val="BTC Heading without numbering"/>
    <w:basedOn w:val="BTCHeading1"/>
    <w:next w:val="BTCBodyText"/>
    <w:autoRedefine/>
    <w:uiPriority w:val="1"/>
    <w:qFormat/>
    <w:rsid w:val="009C031C"/>
    <w:pPr>
      <w:numPr>
        <w:numId w:val="0"/>
      </w:numPr>
      <w:spacing w:line="280" w:lineRule="exact"/>
    </w:pPr>
  </w:style>
  <w:style w:type="paragraph" w:customStyle="1" w:styleId="Style1">
    <w:name w:val="Style1"/>
    <w:basedOn w:val="Normal"/>
    <w:autoRedefine/>
    <w:uiPriority w:val="99"/>
    <w:semiHidden/>
    <w:rsid w:val="00B61932"/>
    <w:rPr>
      <w:color w:val="auto"/>
    </w:rPr>
  </w:style>
  <w:style w:type="paragraph" w:styleId="NormalWeb">
    <w:name w:val="Normal (Web)"/>
    <w:basedOn w:val="Normal"/>
    <w:uiPriority w:val="99"/>
    <w:semiHidden/>
    <w:unhideWhenUsed/>
    <w:rsid w:val="009167DB"/>
    <w:rPr>
      <w:rFonts w:ascii="Times New Roman" w:hAnsi="Times New Roman" w:cs="Times New Roman"/>
      <w:sz w:val="24"/>
      <w:szCs w:val="24"/>
    </w:rPr>
  </w:style>
  <w:style w:type="paragraph" w:styleId="Retraitnormal">
    <w:name w:val="Normal Indent"/>
    <w:basedOn w:val="Normal"/>
    <w:uiPriority w:val="99"/>
    <w:semiHidden/>
    <w:unhideWhenUsed/>
    <w:rsid w:val="009167DB"/>
    <w:pPr>
      <w:ind w:left="720"/>
    </w:pPr>
  </w:style>
  <w:style w:type="paragraph" w:styleId="Textedebulles">
    <w:name w:val="Balloon Text"/>
    <w:basedOn w:val="Normal"/>
    <w:link w:val="TextedebullesCar"/>
    <w:uiPriority w:val="99"/>
    <w:semiHidden/>
    <w:unhideWhenUsed/>
    <w:rsid w:val="0057437A"/>
    <w:pPr>
      <w:spacing w:before="0"/>
    </w:pPr>
    <w:rPr>
      <w:rFonts w:ascii="Tahoma" w:hAnsi="Tahoma" w:cs="Tahoma"/>
      <w:sz w:val="16"/>
      <w:szCs w:val="16"/>
    </w:rPr>
  </w:style>
  <w:style w:type="character" w:customStyle="1" w:styleId="TextedebullesCar">
    <w:name w:val="Texte de bulles Car"/>
    <w:link w:val="Textedebulles"/>
    <w:uiPriority w:val="99"/>
    <w:semiHidden/>
    <w:rsid w:val="0057437A"/>
    <w:rPr>
      <w:rFonts w:ascii="Tahoma" w:hAnsi="Tahoma" w:cs="Tahoma"/>
      <w:color w:val="4F81BD"/>
      <w:sz w:val="16"/>
      <w:szCs w:val="16"/>
      <w:lang w:eastAsia="en-US"/>
    </w:rPr>
  </w:style>
  <w:style w:type="character" w:styleId="Marquedecommentaire">
    <w:name w:val="annotation reference"/>
    <w:uiPriority w:val="99"/>
    <w:unhideWhenUsed/>
    <w:rsid w:val="000E57EC"/>
    <w:rPr>
      <w:sz w:val="16"/>
      <w:szCs w:val="16"/>
    </w:rPr>
  </w:style>
  <w:style w:type="paragraph" w:styleId="Commentaire">
    <w:name w:val="annotation text"/>
    <w:basedOn w:val="Normal"/>
    <w:link w:val="CommentaireCar"/>
    <w:uiPriority w:val="99"/>
    <w:unhideWhenUsed/>
    <w:rsid w:val="000E57EC"/>
  </w:style>
  <w:style w:type="character" w:customStyle="1" w:styleId="CommentaireCar">
    <w:name w:val="Commentaire Car"/>
    <w:link w:val="Commentaire"/>
    <w:uiPriority w:val="99"/>
    <w:rsid w:val="000E57EC"/>
    <w:rPr>
      <w:rFonts w:cs="Arial"/>
      <w:color w:val="4F81BD"/>
      <w:lang w:eastAsia="en-US"/>
    </w:rPr>
  </w:style>
  <w:style w:type="paragraph" w:styleId="Objetducommentaire">
    <w:name w:val="annotation subject"/>
    <w:basedOn w:val="Commentaire"/>
    <w:next w:val="Commentaire"/>
    <w:link w:val="ObjetducommentaireCar"/>
    <w:uiPriority w:val="99"/>
    <w:semiHidden/>
    <w:unhideWhenUsed/>
    <w:rsid w:val="000E57EC"/>
    <w:rPr>
      <w:b/>
      <w:bCs/>
    </w:rPr>
  </w:style>
  <w:style w:type="character" w:customStyle="1" w:styleId="ObjetducommentaireCar">
    <w:name w:val="Objet du commentaire Car"/>
    <w:link w:val="Objetducommentaire"/>
    <w:uiPriority w:val="99"/>
    <w:semiHidden/>
    <w:rsid w:val="000E57EC"/>
    <w:rPr>
      <w:rFonts w:cs="Arial"/>
      <w:b/>
      <w:bCs/>
      <w:color w:val="4F81BD"/>
      <w:lang w:eastAsia="en-US"/>
    </w:rPr>
  </w:style>
  <w:style w:type="table" w:styleId="Grilledutableau">
    <w:name w:val="Table Grid"/>
    <w:basedOn w:val="TableauNormal"/>
    <w:uiPriority w:val="39"/>
    <w:rsid w:val="0019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A4889"/>
    <w:rPr>
      <w:rFonts w:cs="Arial"/>
      <w:color w:val="4F81BD"/>
      <w:lang w:eastAsia="en-US"/>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basedOn w:val="Policepardfaut"/>
    <w:link w:val="Notedebasdepage"/>
    <w:rsid w:val="00CB41F6"/>
    <w:rPr>
      <w:rFonts w:cs="Arial"/>
      <w:sz w:val="16"/>
      <w:lang w:eastAsia="en-US"/>
    </w:rPr>
  </w:style>
  <w:style w:type="character" w:styleId="Lienhypertextesuivivisit">
    <w:name w:val="FollowedHyperlink"/>
    <w:basedOn w:val="Policepardfaut"/>
    <w:uiPriority w:val="99"/>
    <w:semiHidden/>
    <w:unhideWhenUsed/>
    <w:rsid w:val="00FB7CCE"/>
    <w:rPr>
      <w:color w:val="800080" w:themeColor="followedHyperlink"/>
      <w:u w:val="single"/>
    </w:rPr>
  </w:style>
  <w:style w:type="paragraph" w:styleId="Paragraphedeliste">
    <w:name w:val="List Paragraph"/>
    <w:basedOn w:val="Normal"/>
    <w:uiPriority w:val="34"/>
    <w:qFormat/>
    <w:rsid w:val="00E37DD6"/>
    <w:pPr>
      <w:ind w:left="720"/>
      <w:contextualSpacing/>
    </w:pPr>
  </w:style>
  <w:style w:type="paragraph" w:customStyle="1" w:styleId="Styletitlenonumbers">
    <w:name w:val="Style title no numbers"/>
    <w:basedOn w:val="BTCHeading4"/>
    <w:link w:val="StyletitlenonumbersChar"/>
    <w:uiPriority w:val="99"/>
    <w:qFormat/>
    <w:rsid w:val="003A39D8"/>
    <w:pPr>
      <w:widowControl/>
      <w:spacing w:after="240"/>
      <w:jc w:val="center"/>
    </w:pPr>
    <w:rPr>
      <w:b w:val="0"/>
      <w:i/>
      <w:sz w:val="20"/>
    </w:rPr>
  </w:style>
  <w:style w:type="character" w:customStyle="1" w:styleId="BTCRegularChar">
    <w:name w:val="BTC Regular Char"/>
    <w:basedOn w:val="Policepardfaut"/>
    <w:link w:val="BTCRegular"/>
    <w:uiPriority w:val="2"/>
    <w:semiHidden/>
    <w:rsid w:val="00FD12CD"/>
    <w:rPr>
      <w:kern w:val="18"/>
      <w:lang w:eastAsia="en-US"/>
    </w:rPr>
  </w:style>
  <w:style w:type="character" w:customStyle="1" w:styleId="BTCBodyTextChar">
    <w:name w:val="BTC Body Text Char"/>
    <w:basedOn w:val="BTCRegularChar"/>
    <w:link w:val="BTCBodyText"/>
    <w:uiPriority w:val="2"/>
    <w:rsid w:val="00FD12CD"/>
    <w:rPr>
      <w:kern w:val="18"/>
      <w:lang w:eastAsia="en-US"/>
    </w:rPr>
  </w:style>
  <w:style w:type="character" w:customStyle="1" w:styleId="BTCHeading4Char">
    <w:name w:val="BTC Heading 4 Char"/>
    <w:basedOn w:val="BTCBodyTextChar"/>
    <w:link w:val="BTCHeading4"/>
    <w:uiPriority w:val="1"/>
    <w:rsid w:val="004D200A"/>
    <w:rPr>
      <w:b/>
      <w:color w:val="000000"/>
      <w:kern w:val="18"/>
      <w:sz w:val="22"/>
      <w:lang w:eastAsia="en-US"/>
    </w:rPr>
  </w:style>
  <w:style w:type="character" w:customStyle="1" w:styleId="StyletitlenonumbersChar">
    <w:name w:val="Style title no numbers Char"/>
    <w:basedOn w:val="BTCHeading4Char"/>
    <w:link w:val="Styletitlenonumbers"/>
    <w:uiPriority w:val="99"/>
    <w:rsid w:val="003A39D8"/>
    <w:rPr>
      <w:b w:val="0"/>
      <w:i/>
      <w:color w:val="000000"/>
      <w:kern w:val="18"/>
      <w:sz w:val="22"/>
      <w:lang w:eastAsia="en-US"/>
    </w:rPr>
  </w:style>
  <w:style w:type="numbering" w:styleId="111111">
    <w:name w:val="Outline List 2"/>
    <w:basedOn w:val="Aucuneliste"/>
    <w:uiPriority w:val="99"/>
    <w:semiHidden/>
    <w:unhideWhenUsed/>
    <w:rsid w:val="00CB41F6"/>
    <w:pPr>
      <w:numPr>
        <w:numId w:val="6"/>
      </w:numPr>
    </w:pPr>
  </w:style>
  <w:style w:type="character" w:customStyle="1" w:styleId="En-tteCar">
    <w:name w:val="En-tête Car"/>
    <w:basedOn w:val="Policepardfaut"/>
    <w:link w:val="En-tte"/>
    <w:uiPriority w:val="99"/>
    <w:rsid w:val="00FA6DA1"/>
    <w:rPr>
      <w:rFonts w:cs="Arial"/>
      <w:color w:val="4F81BD"/>
      <w:lang w:eastAsia="en-US"/>
    </w:rPr>
  </w:style>
  <w:style w:type="paragraph" w:styleId="En-ttedetabledesmatires">
    <w:name w:val="TOC Heading"/>
    <w:basedOn w:val="Titre1"/>
    <w:next w:val="Normal"/>
    <w:uiPriority w:val="39"/>
    <w:unhideWhenUsed/>
    <w:qFormat/>
    <w:rsid w:val="00361627"/>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Cs w:val="32"/>
      <w:lang w:val="de-DE" w:eastAsia="de-DE"/>
    </w:rPr>
  </w:style>
  <w:style w:type="character" w:customStyle="1" w:styleId="rotkursiv">
    <w:name w:val="rot+kursiv"/>
    <w:basedOn w:val="Policepardfaut"/>
    <w:uiPriority w:val="1"/>
    <w:rsid w:val="007B7200"/>
    <w:rPr>
      <w:i/>
      <w:color w:val="C00000"/>
      <w:lang w:val="en-GB"/>
    </w:rPr>
  </w:style>
  <w:style w:type="character" w:customStyle="1" w:styleId="orange">
    <w:name w:val="orange"/>
    <w:uiPriority w:val="1"/>
    <w:rsid w:val="007B7200"/>
    <w:rPr>
      <w:color w:val="E36C0A" w:themeColor="accent6" w:themeShade="BF"/>
    </w:rPr>
  </w:style>
  <w:style w:type="paragraph" w:customStyle="1" w:styleId="ListDash1">
    <w:name w:val="List Dash 1"/>
    <w:basedOn w:val="Normal"/>
    <w:rsid w:val="00BE4B47"/>
    <w:pPr>
      <w:numPr>
        <w:numId w:val="10"/>
      </w:numPr>
      <w:spacing w:after="120"/>
      <w:jc w:val="both"/>
    </w:pPr>
    <w:rPr>
      <w:rFonts w:ascii="Times New Roman" w:hAnsi="Times New Roman" w:cs="Times New Roman"/>
      <w:color w:val="auto"/>
      <w:sz w:val="24"/>
      <w:szCs w:val="24"/>
      <w:lang w:eastAsia="de-DE"/>
    </w:rPr>
  </w:style>
  <w:style w:type="paragraph" w:customStyle="1" w:styleId="Headinglevel5">
    <w:name w:val="Heading level 5"/>
    <w:basedOn w:val="Normal"/>
    <w:link w:val="Headinglevel5Char"/>
    <w:qFormat/>
    <w:rsid w:val="00BE4B47"/>
    <w:pPr>
      <w:keepNext/>
      <w:spacing w:before="240" w:after="120"/>
      <w:jc w:val="both"/>
    </w:pPr>
    <w:rPr>
      <w:rFonts w:ascii="Times New Roman" w:hAnsi="Times New Roman" w:cs="Times New Roman"/>
      <w:b/>
      <w:bCs/>
      <w:color w:val="auto"/>
      <w:sz w:val="24"/>
      <w:szCs w:val="24"/>
      <w:lang w:eastAsia="en-GB"/>
    </w:rPr>
  </w:style>
  <w:style w:type="character" w:customStyle="1" w:styleId="Headinglevel5Char">
    <w:name w:val="Heading level 5 Char"/>
    <w:basedOn w:val="Policepardfaut"/>
    <w:link w:val="Headinglevel5"/>
    <w:rsid w:val="00BE4B47"/>
    <w:rPr>
      <w:rFonts w:ascii="Times New Roman" w:hAnsi="Times New Roman"/>
      <w:b/>
      <w:bCs/>
      <w:sz w:val="24"/>
      <w:szCs w:val="24"/>
    </w:rPr>
  </w:style>
  <w:style w:type="character" w:styleId="lev">
    <w:name w:val="Strong"/>
    <w:uiPriority w:val="22"/>
    <w:qFormat/>
    <w:rsid w:val="00E427EF"/>
    <w:rPr>
      <w:b/>
      <w:bCs/>
    </w:rPr>
  </w:style>
  <w:style w:type="paragraph" w:customStyle="1" w:styleId="BVIfnrChar1">
    <w:name w:val="BVI fnr Char1"/>
    <w:aliases w:val="footnote reference,Appel note de bas de p.;BVI fnr Car Car Car Car, BVI fnr Car Car,BVI fnr Car, BVI fnr Car Car Car Car, BVI fnr Car Car Car Car Char,Appel note de bas de p..BVI fnr Car Car Car Car, BVI fnr,BVI fnr1"/>
    <w:basedOn w:val="Normal"/>
    <w:link w:val="Appelnotedebasdep"/>
    <w:uiPriority w:val="99"/>
    <w:rsid w:val="00E427EF"/>
    <w:pPr>
      <w:spacing w:before="0" w:after="160" w:line="240" w:lineRule="exact"/>
    </w:pPr>
    <w:rPr>
      <w:rFonts w:cs="Times New Roman"/>
      <w:color w:val="auto"/>
      <w:vertAlign w:val="superscript"/>
      <w:lang w:eastAsia="en-GB"/>
    </w:rPr>
  </w:style>
  <w:style w:type="paragraph" w:customStyle="1" w:styleId="Headline">
    <w:name w:val="Headline"/>
    <w:rsid w:val="00884CB8"/>
    <w:pPr>
      <w:spacing w:before="240" w:after="120"/>
    </w:pPr>
    <w:rPr>
      <w:rFonts w:eastAsia="Arial" w:cs="Arial"/>
      <w:b/>
      <w:color w:val="000000" w:themeColor="text1"/>
      <w:sz w:val="24"/>
      <w:szCs w:val="17"/>
      <w:lang w:eastAsia="en-US"/>
    </w:rPr>
  </w:style>
  <w:style w:type="paragraph" w:customStyle="1" w:styleId="headinglevel6">
    <w:name w:val="heading level 6"/>
    <w:basedOn w:val="Titre3"/>
    <w:link w:val="headinglevel6Char"/>
    <w:qFormat/>
    <w:rsid w:val="00DC39D0"/>
    <w:pPr>
      <w:spacing w:after="120"/>
    </w:pPr>
    <w:rPr>
      <w:rFonts w:ascii="Times New Roman" w:eastAsia="Times New Roman" w:hAnsi="Times New Roman" w:cs="Times New Roman"/>
      <w:i/>
      <w:color w:val="auto"/>
      <w:sz w:val="26"/>
      <w:szCs w:val="26"/>
      <w:lang w:val="en-GB"/>
    </w:rPr>
  </w:style>
  <w:style w:type="character" w:customStyle="1" w:styleId="headinglevel6Char">
    <w:name w:val="heading level 6 Char"/>
    <w:basedOn w:val="Policepardfaut"/>
    <w:link w:val="headinglevel6"/>
    <w:rsid w:val="00DC39D0"/>
    <w:rPr>
      <w:rFonts w:ascii="Times New Roman" w:hAnsi="Times New Roman"/>
      <w:b/>
      <w:bCs/>
      <w:i/>
      <w:sz w:val="26"/>
      <w:szCs w:val="26"/>
      <w:lang w:eastAsia="en-US"/>
    </w:rPr>
  </w:style>
  <w:style w:type="paragraph" w:customStyle="1" w:styleId="Default">
    <w:name w:val="Default"/>
    <w:rsid w:val="00843A75"/>
    <w:pPr>
      <w:autoSpaceDE w:val="0"/>
      <w:autoSpaceDN w:val="0"/>
      <w:adjustRightInd w:val="0"/>
    </w:pPr>
    <w:rPr>
      <w:rFonts w:ascii="Century Gothic" w:hAnsi="Century Gothic" w:cs="Century Gothic"/>
      <w:color w:val="000000"/>
      <w:sz w:val="24"/>
      <w:szCs w:val="24"/>
      <w:lang w:val="de-DE"/>
    </w:rPr>
  </w:style>
  <w:style w:type="paragraph" w:customStyle="1" w:styleId="Pa5">
    <w:name w:val="Pa5"/>
    <w:basedOn w:val="Default"/>
    <w:next w:val="Default"/>
    <w:uiPriority w:val="99"/>
    <w:rsid w:val="00843A75"/>
    <w:pPr>
      <w:spacing w:line="181" w:lineRule="atLeast"/>
    </w:pPr>
    <w:rPr>
      <w:rFonts w:cs="Times New Roman"/>
      <w:color w:val="auto"/>
    </w:rPr>
  </w:style>
  <w:style w:type="paragraph" w:customStyle="1" w:styleId="Pa7">
    <w:name w:val="Pa7"/>
    <w:basedOn w:val="Default"/>
    <w:next w:val="Default"/>
    <w:uiPriority w:val="99"/>
    <w:rsid w:val="00843A75"/>
    <w:pPr>
      <w:spacing w:line="181" w:lineRule="atLeast"/>
    </w:pPr>
    <w:rPr>
      <w:rFonts w:cs="Times New Roman"/>
      <w:color w:val="auto"/>
    </w:rPr>
  </w:style>
  <w:style w:type="paragraph" w:customStyle="1" w:styleId="Pa6">
    <w:name w:val="Pa6"/>
    <w:basedOn w:val="Default"/>
    <w:next w:val="Default"/>
    <w:uiPriority w:val="99"/>
    <w:rsid w:val="00843A75"/>
    <w:pPr>
      <w:spacing w:line="201" w:lineRule="atLeast"/>
    </w:pPr>
    <w:rPr>
      <w:rFonts w:cs="Times New Roman"/>
      <w:color w:val="auto"/>
    </w:rPr>
  </w:style>
  <w:style w:type="character" w:customStyle="1" w:styleId="acopre">
    <w:name w:val="acopre"/>
    <w:basedOn w:val="Policepardfaut"/>
    <w:rsid w:val="006F4D4F"/>
  </w:style>
  <w:style w:type="character" w:styleId="Accentuation">
    <w:name w:val="Emphasis"/>
    <w:basedOn w:val="Policepardfaut"/>
    <w:uiPriority w:val="20"/>
    <w:qFormat/>
    <w:rsid w:val="006F4D4F"/>
    <w:rPr>
      <w:i/>
      <w:iCs/>
    </w:rPr>
  </w:style>
  <w:style w:type="character" w:customStyle="1" w:styleId="hgkelc">
    <w:name w:val="hgkelc"/>
    <w:basedOn w:val="Policepardfaut"/>
    <w:rsid w:val="0046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7722">
      <w:bodyDiv w:val="1"/>
      <w:marLeft w:val="0"/>
      <w:marRight w:val="0"/>
      <w:marTop w:val="0"/>
      <w:marBottom w:val="0"/>
      <w:divBdr>
        <w:top w:val="none" w:sz="0" w:space="0" w:color="auto"/>
        <w:left w:val="none" w:sz="0" w:space="0" w:color="auto"/>
        <w:bottom w:val="none" w:sz="0" w:space="0" w:color="auto"/>
        <w:right w:val="none" w:sz="0" w:space="0" w:color="auto"/>
      </w:divBdr>
    </w:div>
    <w:div w:id="118651659">
      <w:bodyDiv w:val="1"/>
      <w:marLeft w:val="0"/>
      <w:marRight w:val="0"/>
      <w:marTop w:val="0"/>
      <w:marBottom w:val="0"/>
      <w:divBdr>
        <w:top w:val="none" w:sz="0" w:space="0" w:color="auto"/>
        <w:left w:val="none" w:sz="0" w:space="0" w:color="auto"/>
        <w:bottom w:val="none" w:sz="0" w:space="0" w:color="auto"/>
        <w:right w:val="none" w:sz="0" w:space="0" w:color="auto"/>
      </w:divBdr>
      <w:divsChild>
        <w:div w:id="181941358">
          <w:marLeft w:val="0"/>
          <w:marRight w:val="0"/>
          <w:marTop w:val="0"/>
          <w:marBottom w:val="0"/>
          <w:divBdr>
            <w:top w:val="none" w:sz="0" w:space="0" w:color="auto"/>
            <w:left w:val="none" w:sz="0" w:space="0" w:color="auto"/>
            <w:bottom w:val="none" w:sz="0" w:space="0" w:color="auto"/>
            <w:right w:val="none" w:sz="0" w:space="0" w:color="auto"/>
          </w:divBdr>
          <w:divsChild>
            <w:div w:id="811555797">
              <w:marLeft w:val="-225"/>
              <w:marRight w:val="-225"/>
              <w:marTop w:val="0"/>
              <w:marBottom w:val="0"/>
              <w:divBdr>
                <w:top w:val="none" w:sz="0" w:space="0" w:color="auto"/>
                <w:left w:val="none" w:sz="0" w:space="0" w:color="auto"/>
                <w:bottom w:val="none" w:sz="0" w:space="0" w:color="auto"/>
                <w:right w:val="none" w:sz="0" w:space="0" w:color="auto"/>
              </w:divBdr>
              <w:divsChild>
                <w:div w:id="1863544274">
                  <w:marLeft w:val="0"/>
                  <w:marRight w:val="0"/>
                  <w:marTop w:val="0"/>
                  <w:marBottom w:val="0"/>
                  <w:divBdr>
                    <w:top w:val="none" w:sz="0" w:space="0" w:color="auto"/>
                    <w:left w:val="none" w:sz="0" w:space="0" w:color="auto"/>
                    <w:bottom w:val="none" w:sz="0" w:space="0" w:color="auto"/>
                    <w:right w:val="none" w:sz="0" w:space="0" w:color="auto"/>
                  </w:divBdr>
                  <w:divsChild>
                    <w:div w:id="113139915">
                      <w:marLeft w:val="0"/>
                      <w:marRight w:val="0"/>
                      <w:marTop w:val="0"/>
                      <w:marBottom w:val="0"/>
                      <w:divBdr>
                        <w:top w:val="none" w:sz="0" w:space="0" w:color="auto"/>
                        <w:left w:val="none" w:sz="0" w:space="0" w:color="auto"/>
                        <w:bottom w:val="none" w:sz="0" w:space="0" w:color="auto"/>
                        <w:right w:val="none" w:sz="0" w:space="0" w:color="auto"/>
                      </w:divBdr>
                      <w:divsChild>
                        <w:div w:id="708845267">
                          <w:marLeft w:val="0"/>
                          <w:marRight w:val="0"/>
                          <w:marTop w:val="0"/>
                          <w:marBottom w:val="0"/>
                          <w:divBdr>
                            <w:top w:val="none" w:sz="0" w:space="0" w:color="auto"/>
                            <w:left w:val="none" w:sz="0" w:space="0" w:color="auto"/>
                            <w:bottom w:val="none" w:sz="0" w:space="0" w:color="auto"/>
                            <w:right w:val="none" w:sz="0" w:space="0" w:color="auto"/>
                          </w:divBdr>
                          <w:divsChild>
                            <w:div w:id="73555802">
                              <w:marLeft w:val="0"/>
                              <w:marRight w:val="0"/>
                              <w:marTop w:val="0"/>
                              <w:marBottom w:val="0"/>
                              <w:divBdr>
                                <w:top w:val="none" w:sz="0" w:space="0" w:color="auto"/>
                                <w:left w:val="none" w:sz="0" w:space="0" w:color="auto"/>
                                <w:bottom w:val="none" w:sz="0" w:space="0" w:color="auto"/>
                                <w:right w:val="none" w:sz="0" w:space="0" w:color="auto"/>
                              </w:divBdr>
                              <w:divsChild>
                                <w:div w:id="715743165">
                                  <w:marLeft w:val="0"/>
                                  <w:marRight w:val="0"/>
                                  <w:marTop w:val="0"/>
                                  <w:marBottom w:val="0"/>
                                  <w:divBdr>
                                    <w:top w:val="none" w:sz="0" w:space="0" w:color="auto"/>
                                    <w:left w:val="none" w:sz="0" w:space="0" w:color="auto"/>
                                    <w:bottom w:val="none" w:sz="0" w:space="0" w:color="auto"/>
                                    <w:right w:val="none" w:sz="0" w:space="0" w:color="auto"/>
                                  </w:divBdr>
                                  <w:divsChild>
                                    <w:div w:id="656344953">
                                      <w:marLeft w:val="0"/>
                                      <w:marRight w:val="0"/>
                                      <w:marTop w:val="0"/>
                                      <w:marBottom w:val="0"/>
                                      <w:divBdr>
                                        <w:top w:val="none" w:sz="0" w:space="0" w:color="auto"/>
                                        <w:left w:val="dashed" w:sz="18" w:space="4" w:color="DDDDDD"/>
                                        <w:bottom w:val="none" w:sz="0" w:space="0" w:color="auto"/>
                                        <w:right w:val="none" w:sz="0" w:space="0" w:color="auto"/>
                                      </w:divBdr>
                                      <w:divsChild>
                                        <w:div w:id="452865815">
                                          <w:marLeft w:val="0"/>
                                          <w:marRight w:val="0"/>
                                          <w:marTop w:val="0"/>
                                          <w:marBottom w:val="255"/>
                                          <w:divBdr>
                                            <w:top w:val="none" w:sz="0" w:space="0" w:color="auto"/>
                                            <w:left w:val="none" w:sz="0" w:space="0" w:color="auto"/>
                                            <w:bottom w:val="none" w:sz="0" w:space="0" w:color="auto"/>
                                            <w:right w:val="none" w:sz="0" w:space="0" w:color="auto"/>
                                          </w:divBdr>
                                          <w:divsChild>
                                            <w:div w:id="1372999296">
                                              <w:marLeft w:val="0"/>
                                              <w:marRight w:val="0"/>
                                              <w:marTop w:val="0"/>
                                              <w:marBottom w:val="0"/>
                                              <w:divBdr>
                                                <w:top w:val="none" w:sz="0" w:space="0" w:color="auto"/>
                                                <w:left w:val="none" w:sz="0" w:space="0" w:color="auto"/>
                                                <w:bottom w:val="none" w:sz="0" w:space="0" w:color="auto"/>
                                                <w:right w:val="none" w:sz="0" w:space="0" w:color="auto"/>
                                              </w:divBdr>
                                              <w:divsChild>
                                                <w:div w:id="1691224373">
                                                  <w:marLeft w:val="0"/>
                                                  <w:marRight w:val="0"/>
                                                  <w:marTop w:val="0"/>
                                                  <w:marBottom w:val="0"/>
                                                  <w:divBdr>
                                                    <w:top w:val="none" w:sz="0" w:space="0" w:color="auto"/>
                                                    <w:left w:val="single" w:sz="6" w:space="0" w:color="C1C1C1"/>
                                                    <w:bottom w:val="none" w:sz="0" w:space="0" w:color="auto"/>
                                                    <w:right w:val="none" w:sz="0" w:space="0" w:color="auto"/>
                                                  </w:divBdr>
                                                  <w:divsChild>
                                                    <w:div w:id="16948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54456">
      <w:bodyDiv w:val="1"/>
      <w:marLeft w:val="0"/>
      <w:marRight w:val="0"/>
      <w:marTop w:val="0"/>
      <w:marBottom w:val="0"/>
      <w:divBdr>
        <w:top w:val="none" w:sz="0" w:space="0" w:color="auto"/>
        <w:left w:val="none" w:sz="0" w:space="0" w:color="auto"/>
        <w:bottom w:val="none" w:sz="0" w:space="0" w:color="auto"/>
        <w:right w:val="none" w:sz="0" w:space="0" w:color="auto"/>
      </w:divBdr>
      <w:divsChild>
        <w:div w:id="1120419631">
          <w:marLeft w:val="0"/>
          <w:marRight w:val="0"/>
          <w:marTop w:val="0"/>
          <w:marBottom w:val="0"/>
          <w:divBdr>
            <w:top w:val="none" w:sz="0" w:space="0" w:color="auto"/>
            <w:left w:val="none" w:sz="0" w:space="0" w:color="auto"/>
            <w:bottom w:val="none" w:sz="0" w:space="0" w:color="auto"/>
            <w:right w:val="none" w:sz="0" w:space="0" w:color="auto"/>
          </w:divBdr>
          <w:divsChild>
            <w:div w:id="157960579">
              <w:marLeft w:val="-225"/>
              <w:marRight w:val="-225"/>
              <w:marTop w:val="0"/>
              <w:marBottom w:val="0"/>
              <w:divBdr>
                <w:top w:val="none" w:sz="0" w:space="0" w:color="auto"/>
                <w:left w:val="none" w:sz="0" w:space="0" w:color="auto"/>
                <w:bottom w:val="none" w:sz="0" w:space="0" w:color="auto"/>
                <w:right w:val="none" w:sz="0" w:space="0" w:color="auto"/>
              </w:divBdr>
              <w:divsChild>
                <w:div w:id="455872280">
                  <w:marLeft w:val="0"/>
                  <w:marRight w:val="0"/>
                  <w:marTop w:val="0"/>
                  <w:marBottom w:val="0"/>
                  <w:divBdr>
                    <w:top w:val="none" w:sz="0" w:space="0" w:color="auto"/>
                    <w:left w:val="none" w:sz="0" w:space="0" w:color="auto"/>
                    <w:bottom w:val="none" w:sz="0" w:space="0" w:color="auto"/>
                    <w:right w:val="none" w:sz="0" w:space="0" w:color="auto"/>
                  </w:divBdr>
                  <w:divsChild>
                    <w:div w:id="616985509">
                      <w:marLeft w:val="0"/>
                      <w:marRight w:val="0"/>
                      <w:marTop w:val="0"/>
                      <w:marBottom w:val="0"/>
                      <w:divBdr>
                        <w:top w:val="none" w:sz="0" w:space="0" w:color="auto"/>
                        <w:left w:val="none" w:sz="0" w:space="0" w:color="auto"/>
                        <w:bottom w:val="none" w:sz="0" w:space="0" w:color="auto"/>
                        <w:right w:val="none" w:sz="0" w:space="0" w:color="auto"/>
                      </w:divBdr>
                      <w:divsChild>
                        <w:div w:id="1267346272">
                          <w:marLeft w:val="0"/>
                          <w:marRight w:val="0"/>
                          <w:marTop w:val="0"/>
                          <w:marBottom w:val="0"/>
                          <w:divBdr>
                            <w:top w:val="none" w:sz="0" w:space="0" w:color="auto"/>
                            <w:left w:val="none" w:sz="0" w:space="0" w:color="auto"/>
                            <w:bottom w:val="none" w:sz="0" w:space="0" w:color="auto"/>
                            <w:right w:val="none" w:sz="0" w:space="0" w:color="auto"/>
                          </w:divBdr>
                          <w:divsChild>
                            <w:div w:id="1385177376">
                              <w:marLeft w:val="0"/>
                              <w:marRight w:val="0"/>
                              <w:marTop w:val="0"/>
                              <w:marBottom w:val="0"/>
                              <w:divBdr>
                                <w:top w:val="none" w:sz="0" w:space="0" w:color="auto"/>
                                <w:left w:val="none" w:sz="0" w:space="0" w:color="auto"/>
                                <w:bottom w:val="none" w:sz="0" w:space="0" w:color="auto"/>
                                <w:right w:val="none" w:sz="0" w:space="0" w:color="auto"/>
                              </w:divBdr>
                              <w:divsChild>
                                <w:div w:id="1937709907">
                                  <w:marLeft w:val="0"/>
                                  <w:marRight w:val="0"/>
                                  <w:marTop w:val="0"/>
                                  <w:marBottom w:val="0"/>
                                  <w:divBdr>
                                    <w:top w:val="none" w:sz="0" w:space="0" w:color="auto"/>
                                    <w:left w:val="none" w:sz="0" w:space="0" w:color="auto"/>
                                    <w:bottom w:val="none" w:sz="0" w:space="0" w:color="auto"/>
                                    <w:right w:val="none" w:sz="0" w:space="0" w:color="auto"/>
                                  </w:divBdr>
                                  <w:divsChild>
                                    <w:div w:id="1604609798">
                                      <w:marLeft w:val="0"/>
                                      <w:marRight w:val="0"/>
                                      <w:marTop w:val="0"/>
                                      <w:marBottom w:val="0"/>
                                      <w:divBdr>
                                        <w:top w:val="none" w:sz="0" w:space="0" w:color="auto"/>
                                        <w:left w:val="dashed" w:sz="18" w:space="4" w:color="DDDDDD"/>
                                        <w:bottom w:val="none" w:sz="0" w:space="0" w:color="auto"/>
                                        <w:right w:val="none" w:sz="0" w:space="0" w:color="auto"/>
                                      </w:divBdr>
                                      <w:divsChild>
                                        <w:div w:id="86117126">
                                          <w:marLeft w:val="0"/>
                                          <w:marRight w:val="0"/>
                                          <w:marTop w:val="0"/>
                                          <w:marBottom w:val="255"/>
                                          <w:divBdr>
                                            <w:top w:val="none" w:sz="0" w:space="0" w:color="auto"/>
                                            <w:left w:val="none" w:sz="0" w:space="0" w:color="auto"/>
                                            <w:bottom w:val="none" w:sz="0" w:space="0" w:color="auto"/>
                                            <w:right w:val="none" w:sz="0" w:space="0" w:color="auto"/>
                                          </w:divBdr>
                                          <w:divsChild>
                                            <w:div w:id="1454715454">
                                              <w:marLeft w:val="0"/>
                                              <w:marRight w:val="0"/>
                                              <w:marTop w:val="0"/>
                                              <w:marBottom w:val="0"/>
                                              <w:divBdr>
                                                <w:top w:val="none" w:sz="0" w:space="0" w:color="auto"/>
                                                <w:left w:val="none" w:sz="0" w:space="0" w:color="auto"/>
                                                <w:bottom w:val="none" w:sz="0" w:space="0" w:color="auto"/>
                                                <w:right w:val="none" w:sz="0" w:space="0" w:color="auto"/>
                                              </w:divBdr>
                                              <w:divsChild>
                                                <w:div w:id="1465997994">
                                                  <w:marLeft w:val="0"/>
                                                  <w:marRight w:val="0"/>
                                                  <w:marTop w:val="0"/>
                                                  <w:marBottom w:val="0"/>
                                                  <w:divBdr>
                                                    <w:top w:val="none" w:sz="0" w:space="0" w:color="auto"/>
                                                    <w:left w:val="single" w:sz="6" w:space="0" w:color="C1C1C1"/>
                                                    <w:bottom w:val="none" w:sz="0" w:space="0" w:color="auto"/>
                                                    <w:right w:val="none" w:sz="0" w:space="0" w:color="auto"/>
                                                  </w:divBdr>
                                                  <w:divsChild>
                                                    <w:div w:id="17605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702846">
      <w:bodyDiv w:val="1"/>
      <w:marLeft w:val="0"/>
      <w:marRight w:val="0"/>
      <w:marTop w:val="0"/>
      <w:marBottom w:val="0"/>
      <w:divBdr>
        <w:top w:val="none" w:sz="0" w:space="0" w:color="auto"/>
        <w:left w:val="none" w:sz="0" w:space="0" w:color="auto"/>
        <w:bottom w:val="none" w:sz="0" w:space="0" w:color="auto"/>
        <w:right w:val="none" w:sz="0" w:space="0" w:color="auto"/>
      </w:divBdr>
      <w:divsChild>
        <w:div w:id="30035627">
          <w:marLeft w:val="0"/>
          <w:marRight w:val="0"/>
          <w:marTop w:val="0"/>
          <w:marBottom w:val="0"/>
          <w:divBdr>
            <w:top w:val="none" w:sz="0" w:space="0" w:color="auto"/>
            <w:left w:val="none" w:sz="0" w:space="0" w:color="auto"/>
            <w:bottom w:val="none" w:sz="0" w:space="0" w:color="auto"/>
            <w:right w:val="none" w:sz="0" w:space="0" w:color="auto"/>
          </w:divBdr>
          <w:divsChild>
            <w:div w:id="723257408">
              <w:marLeft w:val="0"/>
              <w:marRight w:val="0"/>
              <w:marTop w:val="0"/>
              <w:marBottom w:val="0"/>
              <w:divBdr>
                <w:top w:val="none" w:sz="0" w:space="0" w:color="auto"/>
                <w:left w:val="none" w:sz="0" w:space="0" w:color="auto"/>
                <w:bottom w:val="none" w:sz="0" w:space="0" w:color="auto"/>
                <w:right w:val="none" w:sz="0" w:space="0" w:color="auto"/>
              </w:divBdr>
              <w:divsChild>
                <w:div w:id="1530877495">
                  <w:marLeft w:val="0"/>
                  <w:marRight w:val="0"/>
                  <w:marTop w:val="0"/>
                  <w:marBottom w:val="0"/>
                  <w:divBdr>
                    <w:top w:val="none" w:sz="0" w:space="0" w:color="auto"/>
                    <w:left w:val="none" w:sz="0" w:space="0" w:color="auto"/>
                    <w:bottom w:val="none" w:sz="0" w:space="0" w:color="auto"/>
                    <w:right w:val="none" w:sz="0" w:space="0" w:color="auto"/>
                  </w:divBdr>
                  <w:divsChild>
                    <w:div w:id="1783263122">
                      <w:marLeft w:val="0"/>
                      <w:marRight w:val="0"/>
                      <w:marTop w:val="0"/>
                      <w:marBottom w:val="0"/>
                      <w:divBdr>
                        <w:top w:val="none" w:sz="0" w:space="0" w:color="auto"/>
                        <w:left w:val="none" w:sz="0" w:space="0" w:color="auto"/>
                        <w:bottom w:val="none" w:sz="0" w:space="0" w:color="auto"/>
                        <w:right w:val="none" w:sz="0" w:space="0" w:color="auto"/>
                      </w:divBdr>
                      <w:divsChild>
                        <w:div w:id="586615708">
                          <w:marLeft w:val="0"/>
                          <w:marRight w:val="0"/>
                          <w:marTop w:val="0"/>
                          <w:marBottom w:val="0"/>
                          <w:divBdr>
                            <w:top w:val="none" w:sz="0" w:space="0" w:color="auto"/>
                            <w:left w:val="none" w:sz="0" w:space="0" w:color="auto"/>
                            <w:bottom w:val="none" w:sz="0" w:space="0" w:color="auto"/>
                            <w:right w:val="none" w:sz="0" w:space="0" w:color="auto"/>
                          </w:divBdr>
                          <w:divsChild>
                            <w:div w:id="10493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14964">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98792747">
          <w:marLeft w:val="0"/>
          <w:marRight w:val="0"/>
          <w:marTop w:val="0"/>
          <w:marBottom w:val="0"/>
          <w:divBdr>
            <w:top w:val="none" w:sz="0" w:space="0" w:color="auto"/>
            <w:left w:val="none" w:sz="0" w:space="0" w:color="auto"/>
            <w:bottom w:val="none" w:sz="0" w:space="0" w:color="auto"/>
            <w:right w:val="none" w:sz="0" w:space="0" w:color="auto"/>
          </w:divBdr>
          <w:divsChild>
            <w:div w:id="1209610887">
              <w:marLeft w:val="0"/>
              <w:marRight w:val="0"/>
              <w:marTop w:val="0"/>
              <w:marBottom w:val="0"/>
              <w:divBdr>
                <w:top w:val="none" w:sz="0" w:space="0" w:color="auto"/>
                <w:left w:val="none" w:sz="0" w:space="0" w:color="auto"/>
                <w:bottom w:val="none" w:sz="0" w:space="0" w:color="auto"/>
                <w:right w:val="none" w:sz="0" w:space="0" w:color="auto"/>
              </w:divBdr>
              <w:divsChild>
                <w:div w:id="2085102019">
                  <w:marLeft w:val="0"/>
                  <w:marRight w:val="0"/>
                  <w:marTop w:val="0"/>
                  <w:marBottom w:val="0"/>
                  <w:divBdr>
                    <w:top w:val="none" w:sz="0" w:space="0" w:color="auto"/>
                    <w:left w:val="none" w:sz="0" w:space="0" w:color="auto"/>
                    <w:bottom w:val="none" w:sz="0" w:space="0" w:color="auto"/>
                    <w:right w:val="none" w:sz="0" w:space="0" w:color="auto"/>
                  </w:divBdr>
                  <w:divsChild>
                    <w:div w:id="464130242">
                      <w:marLeft w:val="0"/>
                      <w:marRight w:val="0"/>
                      <w:marTop w:val="0"/>
                      <w:marBottom w:val="0"/>
                      <w:divBdr>
                        <w:top w:val="none" w:sz="0" w:space="0" w:color="auto"/>
                        <w:left w:val="none" w:sz="0" w:space="0" w:color="auto"/>
                        <w:bottom w:val="none" w:sz="0" w:space="0" w:color="auto"/>
                        <w:right w:val="none" w:sz="0" w:space="0" w:color="auto"/>
                      </w:divBdr>
                      <w:divsChild>
                        <w:div w:id="2061976044">
                          <w:marLeft w:val="0"/>
                          <w:marRight w:val="0"/>
                          <w:marTop w:val="0"/>
                          <w:marBottom w:val="0"/>
                          <w:divBdr>
                            <w:top w:val="none" w:sz="0" w:space="0" w:color="auto"/>
                            <w:left w:val="none" w:sz="0" w:space="0" w:color="auto"/>
                            <w:bottom w:val="none" w:sz="0" w:space="0" w:color="auto"/>
                            <w:right w:val="none" w:sz="0" w:space="0" w:color="auto"/>
                          </w:divBdr>
                          <w:divsChild>
                            <w:div w:id="1785537885">
                              <w:marLeft w:val="0"/>
                              <w:marRight w:val="0"/>
                              <w:marTop w:val="15"/>
                              <w:marBottom w:val="0"/>
                              <w:divBdr>
                                <w:top w:val="none" w:sz="0" w:space="0" w:color="auto"/>
                                <w:left w:val="none" w:sz="0" w:space="0" w:color="auto"/>
                                <w:bottom w:val="none" w:sz="0" w:space="0" w:color="auto"/>
                                <w:right w:val="none" w:sz="0" w:space="0" w:color="auto"/>
                              </w:divBdr>
                              <w:divsChild>
                                <w:div w:id="1750426597">
                                  <w:marLeft w:val="0"/>
                                  <w:marRight w:val="0"/>
                                  <w:marTop w:val="0"/>
                                  <w:marBottom w:val="0"/>
                                  <w:divBdr>
                                    <w:top w:val="none" w:sz="0" w:space="0" w:color="auto"/>
                                    <w:left w:val="none" w:sz="0" w:space="0" w:color="auto"/>
                                    <w:bottom w:val="none" w:sz="0" w:space="0" w:color="auto"/>
                                    <w:right w:val="none" w:sz="0" w:space="0" w:color="auto"/>
                                  </w:divBdr>
                                  <w:divsChild>
                                    <w:div w:id="1596206457">
                                      <w:marLeft w:val="0"/>
                                      <w:marRight w:val="0"/>
                                      <w:marTop w:val="0"/>
                                      <w:marBottom w:val="0"/>
                                      <w:divBdr>
                                        <w:top w:val="none" w:sz="0" w:space="0" w:color="auto"/>
                                        <w:left w:val="none" w:sz="0" w:space="0" w:color="auto"/>
                                        <w:bottom w:val="none" w:sz="0" w:space="0" w:color="auto"/>
                                        <w:right w:val="none" w:sz="0" w:space="0" w:color="auto"/>
                                      </w:divBdr>
                                    </w:div>
                                    <w:div w:id="375010495">
                                      <w:marLeft w:val="0"/>
                                      <w:marRight w:val="0"/>
                                      <w:marTop w:val="0"/>
                                      <w:marBottom w:val="0"/>
                                      <w:divBdr>
                                        <w:top w:val="none" w:sz="0" w:space="0" w:color="auto"/>
                                        <w:left w:val="none" w:sz="0" w:space="0" w:color="auto"/>
                                        <w:bottom w:val="none" w:sz="0" w:space="0" w:color="auto"/>
                                        <w:right w:val="none" w:sz="0" w:space="0" w:color="auto"/>
                                      </w:divBdr>
                                    </w:div>
                                    <w:div w:id="482046226">
                                      <w:marLeft w:val="0"/>
                                      <w:marRight w:val="0"/>
                                      <w:marTop w:val="0"/>
                                      <w:marBottom w:val="0"/>
                                      <w:divBdr>
                                        <w:top w:val="none" w:sz="0" w:space="0" w:color="auto"/>
                                        <w:left w:val="none" w:sz="0" w:space="0" w:color="auto"/>
                                        <w:bottom w:val="none" w:sz="0" w:space="0" w:color="auto"/>
                                        <w:right w:val="none" w:sz="0" w:space="0" w:color="auto"/>
                                      </w:divBdr>
                                    </w:div>
                                    <w:div w:id="1921521658">
                                      <w:marLeft w:val="0"/>
                                      <w:marRight w:val="0"/>
                                      <w:marTop w:val="0"/>
                                      <w:marBottom w:val="0"/>
                                      <w:divBdr>
                                        <w:top w:val="none" w:sz="0" w:space="0" w:color="auto"/>
                                        <w:left w:val="none" w:sz="0" w:space="0" w:color="auto"/>
                                        <w:bottom w:val="none" w:sz="0" w:space="0" w:color="auto"/>
                                        <w:right w:val="none" w:sz="0" w:space="0" w:color="auto"/>
                                      </w:divBdr>
                                    </w:div>
                                    <w:div w:id="1752657096">
                                      <w:marLeft w:val="0"/>
                                      <w:marRight w:val="0"/>
                                      <w:marTop w:val="0"/>
                                      <w:marBottom w:val="0"/>
                                      <w:divBdr>
                                        <w:top w:val="none" w:sz="0" w:space="0" w:color="auto"/>
                                        <w:left w:val="none" w:sz="0" w:space="0" w:color="auto"/>
                                        <w:bottom w:val="none" w:sz="0" w:space="0" w:color="auto"/>
                                        <w:right w:val="none" w:sz="0" w:space="0" w:color="auto"/>
                                      </w:divBdr>
                                    </w:div>
                                    <w:div w:id="1770658857">
                                      <w:marLeft w:val="0"/>
                                      <w:marRight w:val="0"/>
                                      <w:marTop w:val="0"/>
                                      <w:marBottom w:val="0"/>
                                      <w:divBdr>
                                        <w:top w:val="none" w:sz="0" w:space="0" w:color="auto"/>
                                        <w:left w:val="none" w:sz="0" w:space="0" w:color="auto"/>
                                        <w:bottom w:val="none" w:sz="0" w:space="0" w:color="auto"/>
                                        <w:right w:val="none" w:sz="0" w:space="0" w:color="auto"/>
                                      </w:divBdr>
                                    </w:div>
                                    <w:div w:id="1674264957">
                                      <w:marLeft w:val="0"/>
                                      <w:marRight w:val="0"/>
                                      <w:marTop w:val="0"/>
                                      <w:marBottom w:val="0"/>
                                      <w:divBdr>
                                        <w:top w:val="none" w:sz="0" w:space="0" w:color="auto"/>
                                        <w:left w:val="none" w:sz="0" w:space="0" w:color="auto"/>
                                        <w:bottom w:val="none" w:sz="0" w:space="0" w:color="auto"/>
                                        <w:right w:val="none" w:sz="0" w:space="0" w:color="auto"/>
                                      </w:divBdr>
                                    </w:div>
                                    <w:div w:id="1997950768">
                                      <w:marLeft w:val="0"/>
                                      <w:marRight w:val="0"/>
                                      <w:marTop w:val="0"/>
                                      <w:marBottom w:val="0"/>
                                      <w:divBdr>
                                        <w:top w:val="none" w:sz="0" w:space="0" w:color="auto"/>
                                        <w:left w:val="none" w:sz="0" w:space="0" w:color="auto"/>
                                        <w:bottom w:val="none" w:sz="0" w:space="0" w:color="auto"/>
                                        <w:right w:val="none" w:sz="0" w:space="0" w:color="auto"/>
                                      </w:divBdr>
                                    </w:div>
                                    <w:div w:id="2127965903">
                                      <w:marLeft w:val="0"/>
                                      <w:marRight w:val="0"/>
                                      <w:marTop w:val="0"/>
                                      <w:marBottom w:val="0"/>
                                      <w:divBdr>
                                        <w:top w:val="none" w:sz="0" w:space="0" w:color="auto"/>
                                        <w:left w:val="none" w:sz="0" w:space="0" w:color="auto"/>
                                        <w:bottom w:val="none" w:sz="0" w:space="0" w:color="auto"/>
                                        <w:right w:val="none" w:sz="0" w:space="0" w:color="auto"/>
                                      </w:divBdr>
                                    </w:div>
                                    <w:div w:id="1385176641">
                                      <w:marLeft w:val="0"/>
                                      <w:marRight w:val="0"/>
                                      <w:marTop w:val="0"/>
                                      <w:marBottom w:val="0"/>
                                      <w:divBdr>
                                        <w:top w:val="none" w:sz="0" w:space="0" w:color="auto"/>
                                        <w:left w:val="none" w:sz="0" w:space="0" w:color="auto"/>
                                        <w:bottom w:val="none" w:sz="0" w:space="0" w:color="auto"/>
                                        <w:right w:val="none" w:sz="0" w:space="0" w:color="auto"/>
                                      </w:divBdr>
                                    </w:div>
                                    <w:div w:id="9179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415026">
      <w:bodyDiv w:val="1"/>
      <w:marLeft w:val="0"/>
      <w:marRight w:val="0"/>
      <w:marTop w:val="0"/>
      <w:marBottom w:val="0"/>
      <w:divBdr>
        <w:top w:val="none" w:sz="0" w:space="0" w:color="auto"/>
        <w:left w:val="none" w:sz="0" w:space="0" w:color="auto"/>
        <w:bottom w:val="none" w:sz="0" w:space="0" w:color="auto"/>
        <w:right w:val="none" w:sz="0" w:space="0" w:color="auto"/>
      </w:divBdr>
    </w:div>
    <w:div w:id="257760939">
      <w:bodyDiv w:val="1"/>
      <w:marLeft w:val="0"/>
      <w:marRight w:val="0"/>
      <w:marTop w:val="0"/>
      <w:marBottom w:val="0"/>
      <w:divBdr>
        <w:top w:val="none" w:sz="0" w:space="0" w:color="auto"/>
        <w:left w:val="none" w:sz="0" w:space="0" w:color="auto"/>
        <w:bottom w:val="none" w:sz="0" w:space="0" w:color="auto"/>
        <w:right w:val="none" w:sz="0" w:space="0" w:color="auto"/>
      </w:divBdr>
      <w:divsChild>
        <w:div w:id="733048783">
          <w:marLeft w:val="0"/>
          <w:marRight w:val="0"/>
          <w:marTop w:val="0"/>
          <w:marBottom w:val="0"/>
          <w:divBdr>
            <w:top w:val="none" w:sz="0" w:space="0" w:color="auto"/>
            <w:left w:val="none" w:sz="0" w:space="0" w:color="auto"/>
            <w:bottom w:val="none" w:sz="0" w:space="0" w:color="auto"/>
            <w:right w:val="none" w:sz="0" w:space="0" w:color="auto"/>
          </w:divBdr>
        </w:div>
      </w:divsChild>
    </w:div>
    <w:div w:id="282660931">
      <w:bodyDiv w:val="1"/>
      <w:marLeft w:val="0"/>
      <w:marRight w:val="0"/>
      <w:marTop w:val="0"/>
      <w:marBottom w:val="0"/>
      <w:divBdr>
        <w:top w:val="none" w:sz="0" w:space="0" w:color="auto"/>
        <w:left w:val="none" w:sz="0" w:space="0" w:color="auto"/>
        <w:bottom w:val="none" w:sz="0" w:space="0" w:color="auto"/>
        <w:right w:val="none" w:sz="0" w:space="0" w:color="auto"/>
      </w:divBdr>
      <w:divsChild>
        <w:div w:id="1355227628">
          <w:marLeft w:val="547"/>
          <w:marRight w:val="0"/>
          <w:marTop w:val="0"/>
          <w:marBottom w:val="0"/>
          <w:divBdr>
            <w:top w:val="none" w:sz="0" w:space="0" w:color="auto"/>
            <w:left w:val="none" w:sz="0" w:space="0" w:color="auto"/>
            <w:bottom w:val="none" w:sz="0" w:space="0" w:color="auto"/>
            <w:right w:val="none" w:sz="0" w:space="0" w:color="auto"/>
          </w:divBdr>
        </w:div>
        <w:div w:id="1344166978">
          <w:marLeft w:val="1166"/>
          <w:marRight w:val="0"/>
          <w:marTop w:val="0"/>
          <w:marBottom w:val="0"/>
          <w:divBdr>
            <w:top w:val="none" w:sz="0" w:space="0" w:color="auto"/>
            <w:left w:val="none" w:sz="0" w:space="0" w:color="auto"/>
            <w:bottom w:val="none" w:sz="0" w:space="0" w:color="auto"/>
            <w:right w:val="none" w:sz="0" w:space="0" w:color="auto"/>
          </w:divBdr>
        </w:div>
        <w:div w:id="338196877">
          <w:marLeft w:val="1166"/>
          <w:marRight w:val="0"/>
          <w:marTop w:val="0"/>
          <w:marBottom w:val="0"/>
          <w:divBdr>
            <w:top w:val="none" w:sz="0" w:space="0" w:color="auto"/>
            <w:left w:val="none" w:sz="0" w:space="0" w:color="auto"/>
            <w:bottom w:val="none" w:sz="0" w:space="0" w:color="auto"/>
            <w:right w:val="none" w:sz="0" w:space="0" w:color="auto"/>
          </w:divBdr>
        </w:div>
        <w:div w:id="442773662">
          <w:marLeft w:val="1166"/>
          <w:marRight w:val="0"/>
          <w:marTop w:val="0"/>
          <w:marBottom w:val="0"/>
          <w:divBdr>
            <w:top w:val="none" w:sz="0" w:space="0" w:color="auto"/>
            <w:left w:val="none" w:sz="0" w:space="0" w:color="auto"/>
            <w:bottom w:val="none" w:sz="0" w:space="0" w:color="auto"/>
            <w:right w:val="none" w:sz="0" w:space="0" w:color="auto"/>
          </w:divBdr>
        </w:div>
        <w:div w:id="955599904">
          <w:marLeft w:val="1166"/>
          <w:marRight w:val="0"/>
          <w:marTop w:val="0"/>
          <w:marBottom w:val="0"/>
          <w:divBdr>
            <w:top w:val="none" w:sz="0" w:space="0" w:color="auto"/>
            <w:left w:val="none" w:sz="0" w:space="0" w:color="auto"/>
            <w:bottom w:val="none" w:sz="0" w:space="0" w:color="auto"/>
            <w:right w:val="none" w:sz="0" w:space="0" w:color="auto"/>
          </w:divBdr>
        </w:div>
      </w:divsChild>
    </w:div>
    <w:div w:id="500581846">
      <w:bodyDiv w:val="1"/>
      <w:marLeft w:val="0"/>
      <w:marRight w:val="0"/>
      <w:marTop w:val="0"/>
      <w:marBottom w:val="0"/>
      <w:divBdr>
        <w:top w:val="none" w:sz="0" w:space="0" w:color="auto"/>
        <w:left w:val="none" w:sz="0" w:space="0" w:color="auto"/>
        <w:bottom w:val="none" w:sz="0" w:space="0" w:color="auto"/>
        <w:right w:val="none" w:sz="0" w:space="0" w:color="auto"/>
      </w:divBdr>
    </w:div>
    <w:div w:id="518397662">
      <w:bodyDiv w:val="1"/>
      <w:marLeft w:val="0"/>
      <w:marRight w:val="0"/>
      <w:marTop w:val="0"/>
      <w:marBottom w:val="0"/>
      <w:divBdr>
        <w:top w:val="none" w:sz="0" w:space="0" w:color="auto"/>
        <w:left w:val="none" w:sz="0" w:space="0" w:color="auto"/>
        <w:bottom w:val="none" w:sz="0" w:space="0" w:color="auto"/>
        <w:right w:val="none" w:sz="0" w:space="0" w:color="auto"/>
      </w:divBdr>
      <w:divsChild>
        <w:div w:id="1162702706">
          <w:marLeft w:val="0"/>
          <w:marRight w:val="0"/>
          <w:marTop w:val="0"/>
          <w:marBottom w:val="0"/>
          <w:divBdr>
            <w:top w:val="none" w:sz="0" w:space="0" w:color="auto"/>
            <w:left w:val="none" w:sz="0" w:space="0" w:color="auto"/>
            <w:bottom w:val="none" w:sz="0" w:space="0" w:color="auto"/>
            <w:right w:val="none" w:sz="0" w:space="0" w:color="auto"/>
          </w:divBdr>
          <w:divsChild>
            <w:div w:id="578950351">
              <w:marLeft w:val="0"/>
              <w:marRight w:val="0"/>
              <w:marTop w:val="0"/>
              <w:marBottom w:val="0"/>
              <w:divBdr>
                <w:top w:val="none" w:sz="0" w:space="0" w:color="auto"/>
                <w:left w:val="none" w:sz="0" w:space="0" w:color="auto"/>
                <w:bottom w:val="none" w:sz="0" w:space="0" w:color="auto"/>
                <w:right w:val="none" w:sz="0" w:space="0" w:color="auto"/>
              </w:divBdr>
              <w:divsChild>
                <w:div w:id="556547551">
                  <w:marLeft w:val="0"/>
                  <w:marRight w:val="0"/>
                  <w:marTop w:val="0"/>
                  <w:marBottom w:val="0"/>
                  <w:divBdr>
                    <w:top w:val="none" w:sz="0" w:space="0" w:color="auto"/>
                    <w:left w:val="none" w:sz="0" w:space="0" w:color="auto"/>
                    <w:bottom w:val="none" w:sz="0" w:space="0" w:color="auto"/>
                    <w:right w:val="none" w:sz="0" w:space="0" w:color="auto"/>
                  </w:divBdr>
                  <w:divsChild>
                    <w:div w:id="1338076462">
                      <w:marLeft w:val="0"/>
                      <w:marRight w:val="0"/>
                      <w:marTop w:val="0"/>
                      <w:marBottom w:val="0"/>
                      <w:divBdr>
                        <w:top w:val="none" w:sz="0" w:space="0" w:color="auto"/>
                        <w:left w:val="none" w:sz="0" w:space="0" w:color="auto"/>
                        <w:bottom w:val="none" w:sz="0" w:space="0" w:color="auto"/>
                        <w:right w:val="none" w:sz="0" w:space="0" w:color="auto"/>
                      </w:divBdr>
                      <w:divsChild>
                        <w:div w:id="1800419417">
                          <w:marLeft w:val="0"/>
                          <w:marRight w:val="0"/>
                          <w:marTop w:val="0"/>
                          <w:marBottom w:val="0"/>
                          <w:divBdr>
                            <w:top w:val="none" w:sz="0" w:space="0" w:color="auto"/>
                            <w:left w:val="none" w:sz="0" w:space="0" w:color="auto"/>
                            <w:bottom w:val="none" w:sz="0" w:space="0" w:color="auto"/>
                            <w:right w:val="none" w:sz="0" w:space="0" w:color="auto"/>
                          </w:divBdr>
                          <w:divsChild>
                            <w:div w:id="957226352">
                              <w:marLeft w:val="0"/>
                              <w:marRight w:val="0"/>
                              <w:marTop w:val="15"/>
                              <w:marBottom w:val="0"/>
                              <w:divBdr>
                                <w:top w:val="none" w:sz="0" w:space="0" w:color="auto"/>
                                <w:left w:val="none" w:sz="0" w:space="0" w:color="auto"/>
                                <w:bottom w:val="none" w:sz="0" w:space="0" w:color="auto"/>
                                <w:right w:val="none" w:sz="0" w:space="0" w:color="auto"/>
                              </w:divBdr>
                              <w:divsChild>
                                <w:div w:id="1351638151">
                                  <w:marLeft w:val="0"/>
                                  <w:marRight w:val="0"/>
                                  <w:marTop w:val="0"/>
                                  <w:marBottom w:val="0"/>
                                  <w:divBdr>
                                    <w:top w:val="none" w:sz="0" w:space="0" w:color="auto"/>
                                    <w:left w:val="none" w:sz="0" w:space="0" w:color="auto"/>
                                    <w:bottom w:val="none" w:sz="0" w:space="0" w:color="auto"/>
                                    <w:right w:val="none" w:sz="0" w:space="0" w:color="auto"/>
                                  </w:divBdr>
                                  <w:divsChild>
                                    <w:div w:id="1514490991">
                                      <w:marLeft w:val="0"/>
                                      <w:marRight w:val="0"/>
                                      <w:marTop w:val="0"/>
                                      <w:marBottom w:val="0"/>
                                      <w:divBdr>
                                        <w:top w:val="none" w:sz="0" w:space="0" w:color="auto"/>
                                        <w:left w:val="none" w:sz="0" w:space="0" w:color="auto"/>
                                        <w:bottom w:val="none" w:sz="0" w:space="0" w:color="auto"/>
                                        <w:right w:val="none" w:sz="0" w:space="0" w:color="auto"/>
                                      </w:divBdr>
                                    </w:div>
                                    <w:div w:id="1325208286">
                                      <w:marLeft w:val="0"/>
                                      <w:marRight w:val="0"/>
                                      <w:marTop w:val="0"/>
                                      <w:marBottom w:val="0"/>
                                      <w:divBdr>
                                        <w:top w:val="none" w:sz="0" w:space="0" w:color="auto"/>
                                        <w:left w:val="none" w:sz="0" w:space="0" w:color="auto"/>
                                        <w:bottom w:val="none" w:sz="0" w:space="0" w:color="auto"/>
                                        <w:right w:val="none" w:sz="0" w:space="0" w:color="auto"/>
                                      </w:divBdr>
                                    </w:div>
                                    <w:div w:id="1785612632">
                                      <w:marLeft w:val="0"/>
                                      <w:marRight w:val="0"/>
                                      <w:marTop w:val="0"/>
                                      <w:marBottom w:val="0"/>
                                      <w:divBdr>
                                        <w:top w:val="none" w:sz="0" w:space="0" w:color="auto"/>
                                        <w:left w:val="none" w:sz="0" w:space="0" w:color="auto"/>
                                        <w:bottom w:val="none" w:sz="0" w:space="0" w:color="auto"/>
                                        <w:right w:val="none" w:sz="0" w:space="0" w:color="auto"/>
                                      </w:divBdr>
                                    </w:div>
                                    <w:div w:id="1295672992">
                                      <w:marLeft w:val="0"/>
                                      <w:marRight w:val="0"/>
                                      <w:marTop w:val="0"/>
                                      <w:marBottom w:val="0"/>
                                      <w:divBdr>
                                        <w:top w:val="none" w:sz="0" w:space="0" w:color="auto"/>
                                        <w:left w:val="none" w:sz="0" w:space="0" w:color="auto"/>
                                        <w:bottom w:val="none" w:sz="0" w:space="0" w:color="auto"/>
                                        <w:right w:val="none" w:sz="0" w:space="0" w:color="auto"/>
                                      </w:divBdr>
                                    </w:div>
                                    <w:div w:id="713775517">
                                      <w:marLeft w:val="0"/>
                                      <w:marRight w:val="0"/>
                                      <w:marTop w:val="0"/>
                                      <w:marBottom w:val="0"/>
                                      <w:divBdr>
                                        <w:top w:val="none" w:sz="0" w:space="0" w:color="auto"/>
                                        <w:left w:val="none" w:sz="0" w:space="0" w:color="auto"/>
                                        <w:bottom w:val="none" w:sz="0" w:space="0" w:color="auto"/>
                                        <w:right w:val="none" w:sz="0" w:space="0" w:color="auto"/>
                                      </w:divBdr>
                                    </w:div>
                                    <w:div w:id="64768946">
                                      <w:marLeft w:val="0"/>
                                      <w:marRight w:val="0"/>
                                      <w:marTop w:val="0"/>
                                      <w:marBottom w:val="0"/>
                                      <w:divBdr>
                                        <w:top w:val="none" w:sz="0" w:space="0" w:color="auto"/>
                                        <w:left w:val="none" w:sz="0" w:space="0" w:color="auto"/>
                                        <w:bottom w:val="none" w:sz="0" w:space="0" w:color="auto"/>
                                        <w:right w:val="none" w:sz="0" w:space="0" w:color="auto"/>
                                      </w:divBdr>
                                    </w:div>
                                    <w:div w:id="492919639">
                                      <w:marLeft w:val="0"/>
                                      <w:marRight w:val="0"/>
                                      <w:marTop w:val="0"/>
                                      <w:marBottom w:val="0"/>
                                      <w:divBdr>
                                        <w:top w:val="none" w:sz="0" w:space="0" w:color="auto"/>
                                        <w:left w:val="none" w:sz="0" w:space="0" w:color="auto"/>
                                        <w:bottom w:val="none" w:sz="0" w:space="0" w:color="auto"/>
                                        <w:right w:val="none" w:sz="0" w:space="0" w:color="auto"/>
                                      </w:divBdr>
                                    </w:div>
                                    <w:div w:id="1230993769">
                                      <w:marLeft w:val="0"/>
                                      <w:marRight w:val="0"/>
                                      <w:marTop w:val="0"/>
                                      <w:marBottom w:val="0"/>
                                      <w:divBdr>
                                        <w:top w:val="none" w:sz="0" w:space="0" w:color="auto"/>
                                        <w:left w:val="none" w:sz="0" w:space="0" w:color="auto"/>
                                        <w:bottom w:val="none" w:sz="0" w:space="0" w:color="auto"/>
                                        <w:right w:val="none" w:sz="0" w:space="0" w:color="auto"/>
                                      </w:divBdr>
                                    </w:div>
                                    <w:div w:id="1604604845">
                                      <w:marLeft w:val="0"/>
                                      <w:marRight w:val="0"/>
                                      <w:marTop w:val="0"/>
                                      <w:marBottom w:val="0"/>
                                      <w:divBdr>
                                        <w:top w:val="none" w:sz="0" w:space="0" w:color="auto"/>
                                        <w:left w:val="none" w:sz="0" w:space="0" w:color="auto"/>
                                        <w:bottom w:val="none" w:sz="0" w:space="0" w:color="auto"/>
                                        <w:right w:val="none" w:sz="0" w:space="0" w:color="auto"/>
                                      </w:divBdr>
                                    </w:div>
                                    <w:div w:id="675301667">
                                      <w:marLeft w:val="0"/>
                                      <w:marRight w:val="0"/>
                                      <w:marTop w:val="0"/>
                                      <w:marBottom w:val="0"/>
                                      <w:divBdr>
                                        <w:top w:val="none" w:sz="0" w:space="0" w:color="auto"/>
                                        <w:left w:val="none" w:sz="0" w:space="0" w:color="auto"/>
                                        <w:bottom w:val="none" w:sz="0" w:space="0" w:color="auto"/>
                                        <w:right w:val="none" w:sz="0" w:space="0" w:color="auto"/>
                                      </w:divBdr>
                                    </w:div>
                                    <w:div w:id="1888684871">
                                      <w:marLeft w:val="0"/>
                                      <w:marRight w:val="0"/>
                                      <w:marTop w:val="0"/>
                                      <w:marBottom w:val="0"/>
                                      <w:divBdr>
                                        <w:top w:val="none" w:sz="0" w:space="0" w:color="auto"/>
                                        <w:left w:val="none" w:sz="0" w:space="0" w:color="auto"/>
                                        <w:bottom w:val="none" w:sz="0" w:space="0" w:color="auto"/>
                                        <w:right w:val="none" w:sz="0" w:space="0" w:color="auto"/>
                                      </w:divBdr>
                                    </w:div>
                                    <w:div w:id="9530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151838">
      <w:bodyDiv w:val="1"/>
      <w:marLeft w:val="0"/>
      <w:marRight w:val="0"/>
      <w:marTop w:val="0"/>
      <w:marBottom w:val="0"/>
      <w:divBdr>
        <w:top w:val="none" w:sz="0" w:space="0" w:color="auto"/>
        <w:left w:val="none" w:sz="0" w:space="0" w:color="auto"/>
        <w:bottom w:val="none" w:sz="0" w:space="0" w:color="auto"/>
        <w:right w:val="none" w:sz="0" w:space="0" w:color="auto"/>
      </w:divBdr>
    </w:div>
    <w:div w:id="902373910">
      <w:bodyDiv w:val="1"/>
      <w:marLeft w:val="0"/>
      <w:marRight w:val="0"/>
      <w:marTop w:val="0"/>
      <w:marBottom w:val="0"/>
      <w:divBdr>
        <w:top w:val="none" w:sz="0" w:space="0" w:color="auto"/>
        <w:left w:val="none" w:sz="0" w:space="0" w:color="auto"/>
        <w:bottom w:val="none" w:sz="0" w:space="0" w:color="auto"/>
        <w:right w:val="none" w:sz="0" w:space="0" w:color="auto"/>
      </w:divBdr>
      <w:divsChild>
        <w:div w:id="2032107043">
          <w:marLeft w:val="0"/>
          <w:marRight w:val="0"/>
          <w:marTop w:val="0"/>
          <w:marBottom w:val="0"/>
          <w:divBdr>
            <w:top w:val="none" w:sz="0" w:space="0" w:color="auto"/>
            <w:left w:val="none" w:sz="0" w:space="0" w:color="auto"/>
            <w:bottom w:val="none" w:sz="0" w:space="0" w:color="auto"/>
            <w:right w:val="none" w:sz="0" w:space="0" w:color="auto"/>
          </w:divBdr>
          <w:divsChild>
            <w:div w:id="435752737">
              <w:marLeft w:val="0"/>
              <w:marRight w:val="0"/>
              <w:marTop w:val="0"/>
              <w:marBottom w:val="0"/>
              <w:divBdr>
                <w:top w:val="none" w:sz="0" w:space="0" w:color="auto"/>
                <w:left w:val="none" w:sz="0" w:space="0" w:color="auto"/>
                <w:bottom w:val="none" w:sz="0" w:space="0" w:color="auto"/>
                <w:right w:val="none" w:sz="0" w:space="0" w:color="auto"/>
              </w:divBdr>
              <w:divsChild>
                <w:div w:id="1971546800">
                  <w:marLeft w:val="0"/>
                  <w:marRight w:val="0"/>
                  <w:marTop w:val="0"/>
                  <w:marBottom w:val="0"/>
                  <w:divBdr>
                    <w:top w:val="none" w:sz="0" w:space="0" w:color="auto"/>
                    <w:left w:val="none" w:sz="0" w:space="0" w:color="auto"/>
                    <w:bottom w:val="none" w:sz="0" w:space="0" w:color="auto"/>
                    <w:right w:val="none" w:sz="0" w:space="0" w:color="auto"/>
                  </w:divBdr>
                  <w:divsChild>
                    <w:div w:id="5974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1152">
      <w:bodyDiv w:val="1"/>
      <w:marLeft w:val="0"/>
      <w:marRight w:val="0"/>
      <w:marTop w:val="0"/>
      <w:marBottom w:val="0"/>
      <w:divBdr>
        <w:top w:val="none" w:sz="0" w:space="0" w:color="auto"/>
        <w:left w:val="none" w:sz="0" w:space="0" w:color="auto"/>
        <w:bottom w:val="none" w:sz="0" w:space="0" w:color="auto"/>
        <w:right w:val="none" w:sz="0" w:space="0" w:color="auto"/>
      </w:divBdr>
      <w:divsChild>
        <w:div w:id="1225289097">
          <w:marLeft w:val="0"/>
          <w:marRight w:val="0"/>
          <w:marTop w:val="0"/>
          <w:marBottom w:val="0"/>
          <w:divBdr>
            <w:top w:val="none" w:sz="0" w:space="0" w:color="auto"/>
            <w:left w:val="none" w:sz="0" w:space="0" w:color="auto"/>
            <w:bottom w:val="none" w:sz="0" w:space="0" w:color="auto"/>
            <w:right w:val="none" w:sz="0" w:space="0" w:color="auto"/>
          </w:divBdr>
        </w:div>
        <w:div w:id="1506482399">
          <w:marLeft w:val="0"/>
          <w:marRight w:val="0"/>
          <w:marTop w:val="0"/>
          <w:marBottom w:val="0"/>
          <w:divBdr>
            <w:top w:val="none" w:sz="0" w:space="0" w:color="auto"/>
            <w:left w:val="none" w:sz="0" w:space="0" w:color="auto"/>
            <w:bottom w:val="none" w:sz="0" w:space="0" w:color="auto"/>
            <w:right w:val="none" w:sz="0" w:space="0" w:color="auto"/>
          </w:divBdr>
        </w:div>
      </w:divsChild>
    </w:div>
    <w:div w:id="1089616750">
      <w:bodyDiv w:val="1"/>
      <w:marLeft w:val="0"/>
      <w:marRight w:val="0"/>
      <w:marTop w:val="0"/>
      <w:marBottom w:val="0"/>
      <w:divBdr>
        <w:top w:val="none" w:sz="0" w:space="0" w:color="auto"/>
        <w:left w:val="none" w:sz="0" w:space="0" w:color="auto"/>
        <w:bottom w:val="none" w:sz="0" w:space="0" w:color="auto"/>
        <w:right w:val="none" w:sz="0" w:space="0" w:color="auto"/>
      </w:divBdr>
      <w:divsChild>
        <w:div w:id="639919990">
          <w:marLeft w:val="0"/>
          <w:marRight w:val="0"/>
          <w:marTop w:val="0"/>
          <w:marBottom w:val="0"/>
          <w:divBdr>
            <w:top w:val="none" w:sz="0" w:space="0" w:color="auto"/>
            <w:left w:val="none" w:sz="0" w:space="0" w:color="auto"/>
            <w:bottom w:val="none" w:sz="0" w:space="0" w:color="auto"/>
            <w:right w:val="none" w:sz="0" w:space="0" w:color="auto"/>
          </w:divBdr>
          <w:divsChild>
            <w:div w:id="1656451838">
              <w:marLeft w:val="0"/>
              <w:marRight w:val="0"/>
              <w:marTop w:val="0"/>
              <w:marBottom w:val="0"/>
              <w:divBdr>
                <w:top w:val="none" w:sz="0" w:space="0" w:color="auto"/>
                <w:left w:val="none" w:sz="0" w:space="0" w:color="auto"/>
                <w:bottom w:val="none" w:sz="0" w:space="0" w:color="auto"/>
                <w:right w:val="none" w:sz="0" w:space="0" w:color="auto"/>
              </w:divBdr>
              <w:divsChild>
                <w:div w:id="1851605876">
                  <w:marLeft w:val="0"/>
                  <w:marRight w:val="0"/>
                  <w:marTop w:val="0"/>
                  <w:marBottom w:val="0"/>
                  <w:divBdr>
                    <w:top w:val="none" w:sz="0" w:space="0" w:color="auto"/>
                    <w:left w:val="none" w:sz="0" w:space="0" w:color="auto"/>
                    <w:bottom w:val="none" w:sz="0" w:space="0" w:color="auto"/>
                    <w:right w:val="none" w:sz="0" w:space="0" w:color="auto"/>
                  </w:divBdr>
                  <w:divsChild>
                    <w:div w:id="588076224">
                      <w:marLeft w:val="0"/>
                      <w:marRight w:val="0"/>
                      <w:marTop w:val="0"/>
                      <w:marBottom w:val="0"/>
                      <w:divBdr>
                        <w:top w:val="none" w:sz="0" w:space="0" w:color="auto"/>
                        <w:left w:val="none" w:sz="0" w:space="0" w:color="auto"/>
                        <w:bottom w:val="none" w:sz="0" w:space="0" w:color="auto"/>
                        <w:right w:val="none" w:sz="0" w:space="0" w:color="auto"/>
                      </w:divBdr>
                      <w:divsChild>
                        <w:div w:id="1532691640">
                          <w:marLeft w:val="0"/>
                          <w:marRight w:val="0"/>
                          <w:marTop w:val="0"/>
                          <w:marBottom w:val="0"/>
                          <w:divBdr>
                            <w:top w:val="none" w:sz="0" w:space="0" w:color="auto"/>
                            <w:left w:val="none" w:sz="0" w:space="0" w:color="auto"/>
                            <w:bottom w:val="none" w:sz="0" w:space="0" w:color="auto"/>
                            <w:right w:val="none" w:sz="0" w:space="0" w:color="auto"/>
                          </w:divBdr>
                          <w:divsChild>
                            <w:div w:id="1923950981">
                              <w:marLeft w:val="0"/>
                              <w:marRight w:val="0"/>
                              <w:marTop w:val="15"/>
                              <w:marBottom w:val="0"/>
                              <w:divBdr>
                                <w:top w:val="none" w:sz="0" w:space="0" w:color="auto"/>
                                <w:left w:val="none" w:sz="0" w:space="0" w:color="auto"/>
                                <w:bottom w:val="none" w:sz="0" w:space="0" w:color="auto"/>
                                <w:right w:val="none" w:sz="0" w:space="0" w:color="auto"/>
                              </w:divBdr>
                              <w:divsChild>
                                <w:div w:id="1042677769">
                                  <w:marLeft w:val="0"/>
                                  <w:marRight w:val="0"/>
                                  <w:marTop w:val="0"/>
                                  <w:marBottom w:val="0"/>
                                  <w:divBdr>
                                    <w:top w:val="none" w:sz="0" w:space="0" w:color="auto"/>
                                    <w:left w:val="none" w:sz="0" w:space="0" w:color="auto"/>
                                    <w:bottom w:val="none" w:sz="0" w:space="0" w:color="auto"/>
                                    <w:right w:val="none" w:sz="0" w:space="0" w:color="auto"/>
                                  </w:divBdr>
                                  <w:divsChild>
                                    <w:div w:id="1351957864">
                                      <w:marLeft w:val="0"/>
                                      <w:marRight w:val="0"/>
                                      <w:marTop w:val="0"/>
                                      <w:marBottom w:val="0"/>
                                      <w:divBdr>
                                        <w:top w:val="none" w:sz="0" w:space="0" w:color="auto"/>
                                        <w:left w:val="none" w:sz="0" w:space="0" w:color="auto"/>
                                        <w:bottom w:val="none" w:sz="0" w:space="0" w:color="auto"/>
                                        <w:right w:val="none" w:sz="0" w:space="0" w:color="auto"/>
                                      </w:divBdr>
                                    </w:div>
                                    <w:div w:id="1240364192">
                                      <w:marLeft w:val="0"/>
                                      <w:marRight w:val="0"/>
                                      <w:marTop w:val="0"/>
                                      <w:marBottom w:val="0"/>
                                      <w:divBdr>
                                        <w:top w:val="none" w:sz="0" w:space="0" w:color="auto"/>
                                        <w:left w:val="none" w:sz="0" w:space="0" w:color="auto"/>
                                        <w:bottom w:val="none" w:sz="0" w:space="0" w:color="auto"/>
                                        <w:right w:val="none" w:sz="0" w:space="0" w:color="auto"/>
                                      </w:divBdr>
                                    </w:div>
                                    <w:div w:id="1116945772">
                                      <w:marLeft w:val="0"/>
                                      <w:marRight w:val="0"/>
                                      <w:marTop w:val="0"/>
                                      <w:marBottom w:val="0"/>
                                      <w:divBdr>
                                        <w:top w:val="none" w:sz="0" w:space="0" w:color="auto"/>
                                        <w:left w:val="none" w:sz="0" w:space="0" w:color="auto"/>
                                        <w:bottom w:val="none" w:sz="0" w:space="0" w:color="auto"/>
                                        <w:right w:val="none" w:sz="0" w:space="0" w:color="auto"/>
                                      </w:divBdr>
                                    </w:div>
                                    <w:div w:id="2021078896">
                                      <w:marLeft w:val="0"/>
                                      <w:marRight w:val="0"/>
                                      <w:marTop w:val="0"/>
                                      <w:marBottom w:val="0"/>
                                      <w:divBdr>
                                        <w:top w:val="none" w:sz="0" w:space="0" w:color="auto"/>
                                        <w:left w:val="none" w:sz="0" w:space="0" w:color="auto"/>
                                        <w:bottom w:val="none" w:sz="0" w:space="0" w:color="auto"/>
                                        <w:right w:val="none" w:sz="0" w:space="0" w:color="auto"/>
                                      </w:divBdr>
                                    </w:div>
                                    <w:div w:id="1394114078">
                                      <w:marLeft w:val="0"/>
                                      <w:marRight w:val="0"/>
                                      <w:marTop w:val="0"/>
                                      <w:marBottom w:val="0"/>
                                      <w:divBdr>
                                        <w:top w:val="none" w:sz="0" w:space="0" w:color="auto"/>
                                        <w:left w:val="none" w:sz="0" w:space="0" w:color="auto"/>
                                        <w:bottom w:val="none" w:sz="0" w:space="0" w:color="auto"/>
                                        <w:right w:val="none" w:sz="0" w:space="0" w:color="auto"/>
                                      </w:divBdr>
                                    </w:div>
                                    <w:div w:id="2069566065">
                                      <w:marLeft w:val="0"/>
                                      <w:marRight w:val="0"/>
                                      <w:marTop w:val="0"/>
                                      <w:marBottom w:val="0"/>
                                      <w:divBdr>
                                        <w:top w:val="none" w:sz="0" w:space="0" w:color="auto"/>
                                        <w:left w:val="none" w:sz="0" w:space="0" w:color="auto"/>
                                        <w:bottom w:val="none" w:sz="0" w:space="0" w:color="auto"/>
                                        <w:right w:val="none" w:sz="0" w:space="0" w:color="auto"/>
                                      </w:divBdr>
                                    </w:div>
                                    <w:div w:id="80107117">
                                      <w:marLeft w:val="0"/>
                                      <w:marRight w:val="0"/>
                                      <w:marTop w:val="0"/>
                                      <w:marBottom w:val="0"/>
                                      <w:divBdr>
                                        <w:top w:val="none" w:sz="0" w:space="0" w:color="auto"/>
                                        <w:left w:val="none" w:sz="0" w:space="0" w:color="auto"/>
                                        <w:bottom w:val="none" w:sz="0" w:space="0" w:color="auto"/>
                                        <w:right w:val="none" w:sz="0" w:space="0" w:color="auto"/>
                                      </w:divBdr>
                                    </w:div>
                                    <w:div w:id="1061710487">
                                      <w:marLeft w:val="0"/>
                                      <w:marRight w:val="0"/>
                                      <w:marTop w:val="0"/>
                                      <w:marBottom w:val="0"/>
                                      <w:divBdr>
                                        <w:top w:val="none" w:sz="0" w:space="0" w:color="auto"/>
                                        <w:left w:val="none" w:sz="0" w:space="0" w:color="auto"/>
                                        <w:bottom w:val="none" w:sz="0" w:space="0" w:color="auto"/>
                                        <w:right w:val="none" w:sz="0" w:space="0" w:color="auto"/>
                                      </w:divBdr>
                                    </w:div>
                                    <w:div w:id="1539128663">
                                      <w:marLeft w:val="0"/>
                                      <w:marRight w:val="0"/>
                                      <w:marTop w:val="0"/>
                                      <w:marBottom w:val="0"/>
                                      <w:divBdr>
                                        <w:top w:val="none" w:sz="0" w:space="0" w:color="auto"/>
                                        <w:left w:val="none" w:sz="0" w:space="0" w:color="auto"/>
                                        <w:bottom w:val="none" w:sz="0" w:space="0" w:color="auto"/>
                                        <w:right w:val="none" w:sz="0" w:space="0" w:color="auto"/>
                                      </w:divBdr>
                                    </w:div>
                                    <w:div w:id="1321426305">
                                      <w:marLeft w:val="0"/>
                                      <w:marRight w:val="0"/>
                                      <w:marTop w:val="0"/>
                                      <w:marBottom w:val="0"/>
                                      <w:divBdr>
                                        <w:top w:val="none" w:sz="0" w:space="0" w:color="auto"/>
                                        <w:left w:val="none" w:sz="0" w:space="0" w:color="auto"/>
                                        <w:bottom w:val="none" w:sz="0" w:space="0" w:color="auto"/>
                                        <w:right w:val="none" w:sz="0" w:space="0" w:color="auto"/>
                                      </w:divBdr>
                                    </w:div>
                                    <w:div w:id="11698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819787">
      <w:bodyDiv w:val="1"/>
      <w:marLeft w:val="0"/>
      <w:marRight w:val="0"/>
      <w:marTop w:val="0"/>
      <w:marBottom w:val="0"/>
      <w:divBdr>
        <w:top w:val="none" w:sz="0" w:space="0" w:color="auto"/>
        <w:left w:val="none" w:sz="0" w:space="0" w:color="auto"/>
        <w:bottom w:val="none" w:sz="0" w:space="0" w:color="auto"/>
        <w:right w:val="none" w:sz="0" w:space="0" w:color="auto"/>
      </w:divBdr>
      <w:divsChild>
        <w:div w:id="162860745">
          <w:marLeft w:val="0"/>
          <w:marRight w:val="0"/>
          <w:marTop w:val="0"/>
          <w:marBottom w:val="0"/>
          <w:divBdr>
            <w:top w:val="none" w:sz="0" w:space="0" w:color="auto"/>
            <w:left w:val="none" w:sz="0" w:space="0" w:color="auto"/>
            <w:bottom w:val="none" w:sz="0" w:space="0" w:color="auto"/>
            <w:right w:val="none" w:sz="0" w:space="0" w:color="auto"/>
          </w:divBdr>
          <w:divsChild>
            <w:div w:id="1563054313">
              <w:marLeft w:val="0"/>
              <w:marRight w:val="0"/>
              <w:marTop w:val="0"/>
              <w:marBottom w:val="0"/>
              <w:divBdr>
                <w:top w:val="none" w:sz="0" w:space="0" w:color="auto"/>
                <w:left w:val="none" w:sz="0" w:space="0" w:color="auto"/>
                <w:bottom w:val="none" w:sz="0" w:space="0" w:color="auto"/>
                <w:right w:val="none" w:sz="0" w:space="0" w:color="auto"/>
              </w:divBdr>
              <w:divsChild>
                <w:div w:id="1550150232">
                  <w:marLeft w:val="0"/>
                  <w:marRight w:val="0"/>
                  <w:marTop w:val="0"/>
                  <w:marBottom w:val="0"/>
                  <w:divBdr>
                    <w:top w:val="none" w:sz="0" w:space="0" w:color="auto"/>
                    <w:left w:val="none" w:sz="0" w:space="0" w:color="auto"/>
                    <w:bottom w:val="none" w:sz="0" w:space="0" w:color="auto"/>
                    <w:right w:val="none" w:sz="0" w:space="0" w:color="auto"/>
                  </w:divBdr>
                  <w:divsChild>
                    <w:div w:id="184708486">
                      <w:marLeft w:val="0"/>
                      <w:marRight w:val="0"/>
                      <w:marTop w:val="0"/>
                      <w:marBottom w:val="0"/>
                      <w:divBdr>
                        <w:top w:val="none" w:sz="0" w:space="0" w:color="auto"/>
                        <w:left w:val="none" w:sz="0" w:space="0" w:color="auto"/>
                        <w:bottom w:val="none" w:sz="0" w:space="0" w:color="auto"/>
                        <w:right w:val="none" w:sz="0" w:space="0" w:color="auto"/>
                      </w:divBdr>
                      <w:divsChild>
                        <w:div w:id="1539507988">
                          <w:marLeft w:val="0"/>
                          <w:marRight w:val="0"/>
                          <w:marTop w:val="0"/>
                          <w:marBottom w:val="0"/>
                          <w:divBdr>
                            <w:top w:val="none" w:sz="0" w:space="0" w:color="auto"/>
                            <w:left w:val="none" w:sz="0" w:space="0" w:color="auto"/>
                            <w:bottom w:val="none" w:sz="0" w:space="0" w:color="auto"/>
                            <w:right w:val="none" w:sz="0" w:space="0" w:color="auto"/>
                          </w:divBdr>
                          <w:divsChild>
                            <w:div w:id="11621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659619">
      <w:bodyDiv w:val="1"/>
      <w:marLeft w:val="0"/>
      <w:marRight w:val="0"/>
      <w:marTop w:val="0"/>
      <w:marBottom w:val="0"/>
      <w:divBdr>
        <w:top w:val="none" w:sz="0" w:space="0" w:color="auto"/>
        <w:left w:val="none" w:sz="0" w:space="0" w:color="auto"/>
        <w:bottom w:val="none" w:sz="0" w:space="0" w:color="auto"/>
        <w:right w:val="none" w:sz="0" w:space="0" w:color="auto"/>
      </w:divBdr>
    </w:div>
    <w:div w:id="1337464975">
      <w:bodyDiv w:val="1"/>
      <w:marLeft w:val="0"/>
      <w:marRight w:val="0"/>
      <w:marTop w:val="0"/>
      <w:marBottom w:val="0"/>
      <w:divBdr>
        <w:top w:val="none" w:sz="0" w:space="0" w:color="auto"/>
        <w:left w:val="none" w:sz="0" w:space="0" w:color="auto"/>
        <w:bottom w:val="none" w:sz="0" w:space="0" w:color="auto"/>
        <w:right w:val="none" w:sz="0" w:space="0" w:color="auto"/>
      </w:divBdr>
    </w:div>
    <w:div w:id="1460416970">
      <w:bodyDiv w:val="1"/>
      <w:marLeft w:val="0"/>
      <w:marRight w:val="0"/>
      <w:marTop w:val="0"/>
      <w:marBottom w:val="0"/>
      <w:divBdr>
        <w:top w:val="none" w:sz="0" w:space="0" w:color="auto"/>
        <w:left w:val="none" w:sz="0" w:space="0" w:color="auto"/>
        <w:bottom w:val="none" w:sz="0" w:space="0" w:color="auto"/>
        <w:right w:val="none" w:sz="0" w:space="0" w:color="auto"/>
      </w:divBdr>
    </w:div>
    <w:div w:id="1512724744">
      <w:bodyDiv w:val="1"/>
      <w:marLeft w:val="0"/>
      <w:marRight w:val="0"/>
      <w:marTop w:val="0"/>
      <w:marBottom w:val="0"/>
      <w:divBdr>
        <w:top w:val="none" w:sz="0" w:space="0" w:color="auto"/>
        <w:left w:val="none" w:sz="0" w:space="0" w:color="auto"/>
        <w:bottom w:val="none" w:sz="0" w:space="0" w:color="auto"/>
        <w:right w:val="none" w:sz="0" w:space="0" w:color="auto"/>
      </w:divBdr>
    </w:div>
    <w:div w:id="1976835721">
      <w:bodyDiv w:val="1"/>
      <w:marLeft w:val="0"/>
      <w:marRight w:val="0"/>
      <w:marTop w:val="0"/>
      <w:marBottom w:val="0"/>
      <w:divBdr>
        <w:top w:val="none" w:sz="0" w:space="0" w:color="auto"/>
        <w:left w:val="none" w:sz="0" w:space="0" w:color="auto"/>
        <w:bottom w:val="none" w:sz="0" w:space="0" w:color="auto"/>
        <w:right w:val="none" w:sz="0" w:space="0" w:color="auto"/>
      </w:divBdr>
    </w:div>
    <w:div w:id="2001426391">
      <w:bodyDiv w:val="1"/>
      <w:marLeft w:val="0"/>
      <w:marRight w:val="0"/>
      <w:marTop w:val="0"/>
      <w:marBottom w:val="0"/>
      <w:divBdr>
        <w:top w:val="none" w:sz="0" w:space="0" w:color="auto"/>
        <w:left w:val="none" w:sz="0" w:space="0" w:color="auto"/>
        <w:bottom w:val="none" w:sz="0" w:space="0" w:color="auto"/>
        <w:right w:val="none" w:sz="0" w:space="0" w:color="auto"/>
      </w:divBdr>
      <w:divsChild>
        <w:div w:id="744573334">
          <w:marLeft w:val="0"/>
          <w:marRight w:val="0"/>
          <w:marTop w:val="0"/>
          <w:marBottom w:val="0"/>
          <w:divBdr>
            <w:top w:val="none" w:sz="0" w:space="0" w:color="auto"/>
            <w:left w:val="none" w:sz="0" w:space="0" w:color="auto"/>
            <w:bottom w:val="none" w:sz="0" w:space="0" w:color="auto"/>
            <w:right w:val="none" w:sz="0" w:space="0" w:color="auto"/>
          </w:divBdr>
        </w:div>
        <w:div w:id="249894640">
          <w:marLeft w:val="0"/>
          <w:marRight w:val="0"/>
          <w:marTop w:val="0"/>
          <w:marBottom w:val="0"/>
          <w:divBdr>
            <w:top w:val="none" w:sz="0" w:space="0" w:color="auto"/>
            <w:left w:val="none" w:sz="0" w:space="0" w:color="auto"/>
            <w:bottom w:val="none" w:sz="0" w:space="0" w:color="auto"/>
            <w:right w:val="none" w:sz="0" w:space="0" w:color="auto"/>
          </w:divBdr>
        </w:div>
      </w:divsChild>
    </w:div>
    <w:div w:id="2096777428">
      <w:bodyDiv w:val="1"/>
      <w:marLeft w:val="0"/>
      <w:marRight w:val="0"/>
      <w:marTop w:val="0"/>
      <w:marBottom w:val="0"/>
      <w:divBdr>
        <w:top w:val="none" w:sz="0" w:space="0" w:color="auto"/>
        <w:left w:val="none" w:sz="0" w:space="0" w:color="auto"/>
        <w:bottom w:val="none" w:sz="0" w:space="0" w:color="auto"/>
        <w:right w:val="none" w:sz="0" w:space="0" w:color="auto"/>
      </w:divBdr>
      <w:divsChild>
        <w:div w:id="1788968585">
          <w:marLeft w:val="0"/>
          <w:marRight w:val="0"/>
          <w:marTop w:val="0"/>
          <w:marBottom w:val="0"/>
          <w:divBdr>
            <w:top w:val="none" w:sz="0" w:space="0" w:color="auto"/>
            <w:left w:val="none" w:sz="0" w:space="0" w:color="auto"/>
            <w:bottom w:val="none" w:sz="0" w:space="0" w:color="auto"/>
            <w:right w:val="none" w:sz="0" w:space="0" w:color="auto"/>
          </w:divBdr>
          <w:divsChild>
            <w:div w:id="1382168653">
              <w:marLeft w:val="0"/>
              <w:marRight w:val="0"/>
              <w:marTop w:val="0"/>
              <w:marBottom w:val="0"/>
              <w:divBdr>
                <w:top w:val="none" w:sz="0" w:space="0" w:color="auto"/>
                <w:left w:val="none" w:sz="0" w:space="0" w:color="auto"/>
                <w:bottom w:val="none" w:sz="0" w:space="0" w:color="auto"/>
                <w:right w:val="none" w:sz="0" w:space="0" w:color="auto"/>
              </w:divBdr>
              <w:divsChild>
                <w:div w:id="15740076">
                  <w:marLeft w:val="0"/>
                  <w:marRight w:val="0"/>
                  <w:marTop w:val="0"/>
                  <w:marBottom w:val="0"/>
                  <w:divBdr>
                    <w:top w:val="none" w:sz="0" w:space="0" w:color="auto"/>
                    <w:left w:val="none" w:sz="0" w:space="0" w:color="auto"/>
                    <w:bottom w:val="none" w:sz="0" w:space="0" w:color="auto"/>
                    <w:right w:val="none" w:sz="0" w:space="0" w:color="auto"/>
                  </w:divBdr>
                  <w:divsChild>
                    <w:div w:id="1053235672">
                      <w:marLeft w:val="0"/>
                      <w:marRight w:val="0"/>
                      <w:marTop w:val="0"/>
                      <w:marBottom w:val="0"/>
                      <w:divBdr>
                        <w:top w:val="none" w:sz="0" w:space="0" w:color="auto"/>
                        <w:left w:val="none" w:sz="0" w:space="0" w:color="auto"/>
                        <w:bottom w:val="none" w:sz="0" w:space="0" w:color="auto"/>
                        <w:right w:val="none" w:sz="0" w:space="0" w:color="auto"/>
                      </w:divBdr>
                      <w:divsChild>
                        <w:div w:id="215508871">
                          <w:marLeft w:val="0"/>
                          <w:marRight w:val="0"/>
                          <w:marTop w:val="0"/>
                          <w:marBottom w:val="0"/>
                          <w:divBdr>
                            <w:top w:val="none" w:sz="0" w:space="0" w:color="auto"/>
                            <w:left w:val="none" w:sz="0" w:space="0" w:color="auto"/>
                            <w:bottom w:val="none" w:sz="0" w:space="0" w:color="auto"/>
                            <w:right w:val="none" w:sz="0" w:space="0" w:color="auto"/>
                          </w:divBdr>
                          <w:divsChild>
                            <w:div w:id="2053117417">
                              <w:marLeft w:val="0"/>
                              <w:marRight w:val="0"/>
                              <w:marTop w:val="15"/>
                              <w:marBottom w:val="0"/>
                              <w:divBdr>
                                <w:top w:val="none" w:sz="0" w:space="0" w:color="auto"/>
                                <w:left w:val="none" w:sz="0" w:space="0" w:color="auto"/>
                                <w:bottom w:val="none" w:sz="0" w:space="0" w:color="auto"/>
                                <w:right w:val="none" w:sz="0" w:space="0" w:color="auto"/>
                              </w:divBdr>
                              <w:divsChild>
                                <w:div w:id="598490673">
                                  <w:marLeft w:val="0"/>
                                  <w:marRight w:val="0"/>
                                  <w:marTop w:val="0"/>
                                  <w:marBottom w:val="0"/>
                                  <w:divBdr>
                                    <w:top w:val="none" w:sz="0" w:space="0" w:color="auto"/>
                                    <w:left w:val="none" w:sz="0" w:space="0" w:color="auto"/>
                                    <w:bottom w:val="none" w:sz="0" w:space="0" w:color="auto"/>
                                    <w:right w:val="none" w:sz="0" w:space="0" w:color="auto"/>
                                  </w:divBdr>
                                  <w:divsChild>
                                    <w:div w:id="41026326">
                                      <w:marLeft w:val="0"/>
                                      <w:marRight w:val="0"/>
                                      <w:marTop w:val="0"/>
                                      <w:marBottom w:val="0"/>
                                      <w:divBdr>
                                        <w:top w:val="none" w:sz="0" w:space="0" w:color="auto"/>
                                        <w:left w:val="none" w:sz="0" w:space="0" w:color="auto"/>
                                        <w:bottom w:val="none" w:sz="0" w:space="0" w:color="auto"/>
                                        <w:right w:val="none" w:sz="0" w:space="0" w:color="auto"/>
                                      </w:divBdr>
                                    </w:div>
                                    <w:div w:id="1726223698">
                                      <w:marLeft w:val="0"/>
                                      <w:marRight w:val="0"/>
                                      <w:marTop w:val="0"/>
                                      <w:marBottom w:val="0"/>
                                      <w:divBdr>
                                        <w:top w:val="none" w:sz="0" w:space="0" w:color="auto"/>
                                        <w:left w:val="none" w:sz="0" w:space="0" w:color="auto"/>
                                        <w:bottom w:val="none" w:sz="0" w:space="0" w:color="auto"/>
                                        <w:right w:val="none" w:sz="0" w:space="0" w:color="auto"/>
                                      </w:divBdr>
                                    </w:div>
                                    <w:div w:id="1832061723">
                                      <w:marLeft w:val="0"/>
                                      <w:marRight w:val="0"/>
                                      <w:marTop w:val="0"/>
                                      <w:marBottom w:val="0"/>
                                      <w:divBdr>
                                        <w:top w:val="none" w:sz="0" w:space="0" w:color="auto"/>
                                        <w:left w:val="none" w:sz="0" w:space="0" w:color="auto"/>
                                        <w:bottom w:val="none" w:sz="0" w:space="0" w:color="auto"/>
                                        <w:right w:val="none" w:sz="0" w:space="0" w:color="auto"/>
                                      </w:divBdr>
                                    </w:div>
                                    <w:div w:id="99835138">
                                      <w:marLeft w:val="0"/>
                                      <w:marRight w:val="0"/>
                                      <w:marTop w:val="0"/>
                                      <w:marBottom w:val="0"/>
                                      <w:divBdr>
                                        <w:top w:val="none" w:sz="0" w:space="0" w:color="auto"/>
                                        <w:left w:val="none" w:sz="0" w:space="0" w:color="auto"/>
                                        <w:bottom w:val="none" w:sz="0" w:space="0" w:color="auto"/>
                                        <w:right w:val="none" w:sz="0" w:space="0" w:color="auto"/>
                                      </w:divBdr>
                                    </w:div>
                                    <w:div w:id="797798281">
                                      <w:marLeft w:val="0"/>
                                      <w:marRight w:val="0"/>
                                      <w:marTop w:val="0"/>
                                      <w:marBottom w:val="0"/>
                                      <w:divBdr>
                                        <w:top w:val="none" w:sz="0" w:space="0" w:color="auto"/>
                                        <w:left w:val="none" w:sz="0" w:space="0" w:color="auto"/>
                                        <w:bottom w:val="none" w:sz="0" w:space="0" w:color="auto"/>
                                        <w:right w:val="none" w:sz="0" w:space="0" w:color="auto"/>
                                      </w:divBdr>
                                    </w:div>
                                    <w:div w:id="1895503529">
                                      <w:marLeft w:val="0"/>
                                      <w:marRight w:val="0"/>
                                      <w:marTop w:val="0"/>
                                      <w:marBottom w:val="0"/>
                                      <w:divBdr>
                                        <w:top w:val="none" w:sz="0" w:space="0" w:color="auto"/>
                                        <w:left w:val="none" w:sz="0" w:space="0" w:color="auto"/>
                                        <w:bottom w:val="none" w:sz="0" w:space="0" w:color="auto"/>
                                        <w:right w:val="none" w:sz="0" w:space="0" w:color="auto"/>
                                      </w:divBdr>
                                    </w:div>
                                    <w:div w:id="15186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7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eblock\Downloads\TP_088_English_TFF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86232F"/>
    <w:rsid w:val="008623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A33920AB5ED429FDA2B99676230A0" ma:contentTypeVersion="6" ma:contentTypeDescription="Een nieuw document maken." ma:contentTypeScope="" ma:versionID="13efa8f44e20020a063f161d02340f81">
  <xsd:schema xmlns:xsd="http://www.w3.org/2001/XMLSchema" xmlns:xs="http://www.w3.org/2001/XMLSchema" xmlns:p="http://schemas.microsoft.com/office/2006/metadata/properties" xmlns:ns2="728b4cf9-fde8-4658-a05d-f0d1ddf7b9e4" xmlns:ns3="16e3fe82-9ce7-4b85-9bc3-2faa93b84738" targetNamespace="http://schemas.microsoft.com/office/2006/metadata/properties" ma:root="true" ma:fieldsID="0099cf4abab78a135ac822c7a1a4f71a" ns2:_="" ns3:_="">
    <xsd:import namespace="728b4cf9-fde8-4658-a05d-f0d1ddf7b9e4"/>
    <xsd:import namespace="16e3fe82-9ce7-4b85-9bc3-2faa93b84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b4cf9-fde8-4658-a05d-f0d1ddf7b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3fe82-9ce7-4b85-9bc3-2faa93b8473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3E2AC5-24D0-446D-B99D-FF1BAFC51BC9}">
  <ds:schemaRefs>
    <ds:schemaRef ds:uri="http://schemas.microsoft.com/sharepoint/v3/contenttype/forms"/>
  </ds:schemaRefs>
</ds:datastoreItem>
</file>

<file path=customXml/itemProps2.xml><?xml version="1.0" encoding="utf-8"?>
<ds:datastoreItem xmlns:ds="http://schemas.openxmlformats.org/officeDocument/2006/customXml" ds:itemID="{8010AD78-BBE3-4C5B-81D3-82342827B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b4cf9-fde8-4658-a05d-f0d1ddf7b9e4"/>
    <ds:schemaRef ds:uri="16e3fe82-9ce7-4b85-9bc3-2faa93b84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76541-D081-4BAE-9A6E-5810D43F5876}">
  <ds:schemaRefs>
    <ds:schemaRef ds:uri="728b4cf9-fde8-4658-a05d-f0d1ddf7b9e4"/>
    <ds:schemaRef ds:uri="http://purl.org/dc/terms/"/>
    <ds:schemaRef ds:uri="http://schemas.microsoft.com/office/2006/documentManagement/types"/>
    <ds:schemaRef ds:uri="16e3fe82-9ce7-4b85-9bc3-2faa93b84738"/>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1DA7A76-79F5-4AC4-A7DE-5B333C80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TP_088_English_TFF_EN</Template>
  <TotalTime>0</TotalTime>
  <Pages>42</Pages>
  <Words>16518</Words>
  <Characters>90850</Characters>
  <Application>Microsoft Office Word</Application>
  <DocSecurity>0</DocSecurity>
  <Lines>757</Lines>
  <Paragraphs>214</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107154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dc:creator>
  <cp:lastModifiedBy>Fiona HUBERS</cp:lastModifiedBy>
  <cp:revision>2</cp:revision>
  <cp:lastPrinted>2020-10-19T10:40:00Z</cp:lastPrinted>
  <dcterms:created xsi:type="dcterms:W3CDTF">2021-01-26T11:55:00Z</dcterms:created>
  <dcterms:modified xsi:type="dcterms:W3CDTF">2021-01-26T11:55:00Z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0x010100CF0A33920AB5ED429FDA2B99676230A0</vt:lpwstr>
  </property>
</Properties>
</file>