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0"/>
        </w:rPr>
        <w:t>TERMS OF REFERENCE</w:t>
      </w:r>
    </w:p>
    <w:p>
      <w:pPr>
        <w:pStyle w:val="Heading1"/>
      </w:pPr>
      <w:r>
        <w:t>I. General Information</w:t>
      </w:r>
    </w:p>
    <w:tbl>
      <w:tblPr>
        <w:tblStyle w:val="TableGrid"/>
        <w:tblW w:type="auto" w:w="0"/>
        <w:jc w:val="center"/>
        <w:tblLook w:firstColumn="1" w:firstRow="1" w:lastColumn="0" w:lastRow="0" w:noHBand="0" w:noVBand="1" w:val="04A0"/>
      </w:tblPr>
      <w:tblGrid>
        <w:gridCol w:w="4896"/>
        <w:gridCol w:w="4896"/>
      </w:tblGrid>
      <w:tr>
        <w:tc>
          <w:tcPr>
            <w:tcW w:type="dxa" w:w="4896"/>
            <w:vAlign w:val="center"/>
          </w:tcPr>
          <w:p>
            <w:r>
              <w:rPr>
                <w:rFonts w:ascii="Arial" w:hAnsi="Arial"/>
                <w:b/>
                <w:sz w:val="18"/>
              </w:rPr>
              <w:t>Title of the Position</w:t>
            </w:r>
          </w:p>
        </w:tc>
        <w:tc>
          <w:tcPr>
            <w:tcW w:type="dxa" w:w="4896"/>
            <w:vAlign w:val="center"/>
          </w:tcPr>
          <w:p>
            <w:r>
              <w:rPr>
                <w:rFonts w:ascii="Arial" w:hAnsi="Arial"/>
                <w:sz w:val="18"/>
              </w:rPr>
              <w:t>Programme Intern – VET4JOB-II</w:t>
            </w:r>
          </w:p>
        </w:tc>
      </w:tr>
      <w:tr>
        <w:tc>
          <w:tcPr>
            <w:tcW w:type="dxa" w:w="4896"/>
            <w:vAlign w:val="center"/>
          </w:tcPr>
          <w:p>
            <w:r>
              <w:rPr>
                <w:rFonts w:ascii="Arial" w:hAnsi="Arial"/>
                <w:b/>
                <w:sz w:val="18"/>
              </w:rPr>
              <w:t>Country</w:t>
            </w:r>
          </w:p>
        </w:tc>
        <w:tc>
          <w:tcPr>
            <w:tcW w:type="dxa" w:w="4896"/>
            <w:vAlign w:val="center"/>
          </w:tcPr>
          <w:p>
            <w:r>
              <w:rPr>
                <w:rFonts w:ascii="Arial" w:hAnsi="Arial"/>
                <w:sz w:val="18"/>
              </w:rPr>
              <w:t>Türkiye</w:t>
            </w:r>
          </w:p>
        </w:tc>
      </w:tr>
      <w:tr>
        <w:tc>
          <w:tcPr>
            <w:tcW w:type="dxa" w:w="4896"/>
            <w:vAlign w:val="center"/>
          </w:tcPr>
          <w:p>
            <w:r>
              <w:rPr>
                <w:rFonts w:ascii="Arial" w:hAnsi="Arial"/>
                <w:b/>
                <w:sz w:val="18"/>
              </w:rPr>
              <w:t>Duty Station</w:t>
            </w:r>
          </w:p>
        </w:tc>
        <w:tc>
          <w:tcPr>
            <w:tcW w:type="dxa" w:w="4896"/>
            <w:vAlign w:val="center"/>
          </w:tcPr>
          <w:p>
            <w:r>
              <w:rPr>
                <w:rFonts w:ascii="Arial" w:hAnsi="Arial"/>
                <w:sz w:val="18"/>
              </w:rPr>
              <w:t>Ankara</w:t>
            </w:r>
          </w:p>
        </w:tc>
      </w:tr>
      <w:tr>
        <w:tc>
          <w:tcPr>
            <w:tcW w:type="dxa" w:w="4896"/>
            <w:vAlign w:val="center"/>
          </w:tcPr>
          <w:p>
            <w:r>
              <w:rPr>
                <w:rFonts w:ascii="Arial" w:hAnsi="Arial"/>
                <w:b/>
                <w:sz w:val="18"/>
              </w:rPr>
              <w:t>Programme</w:t>
            </w:r>
          </w:p>
        </w:tc>
        <w:tc>
          <w:tcPr>
            <w:tcW w:type="dxa" w:w="4896"/>
            <w:vAlign w:val="center"/>
          </w:tcPr>
          <w:p>
            <w:r>
              <w:rPr>
                <w:rFonts w:ascii="Arial" w:hAnsi="Arial"/>
                <w:sz w:val="18"/>
              </w:rPr>
              <w:t>Vocational Education and Training Programme for Employment (VET4JOB II)</w:t>
            </w:r>
          </w:p>
        </w:tc>
      </w:tr>
    </w:tbl>
    <w:p>
      <w:pPr>
        <w:pStyle w:val="Heading1"/>
      </w:pPr>
      <w:r>
        <w:t>II. Background and Context</w:t>
      </w:r>
    </w:p>
    <w:p>
      <w:pPr>
        <w:pStyle w:val="Heading2"/>
      </w:pPr>
      <w:r>
        <w:t>About Expertise France</w:t>
      </w:r>
    </w:p>
    <w:p>
      <w:r>
        <w:t>Expertise France is the French public agency for international cooperation, which implements projects aligned with the Sustainable Development Goals (SDGs) and France’s external action priorities. Its core mission is to support partner countries in enhancing the quality of public policies to address complex environmental, social, economic and security challenges.</w:t>
      </w:r>
    </w:p>
    <w:p>
      <w:pPr>
        <w:pStyle w:val="Heading2"/>
      </w:pPr>
      <w:r>
        <w:t>About the VET4JOB-II Programme</w:t>
      </w:r>
    </w:p>
    <w:p>
      <w:r>
        <w:t>The VET4JOB-II Programme, funded by the European Union Delegation to Türkiye, aims to support skills development for refugees and host communities in Türkiye. The programme provides vocational and apprenticeship training in 14 target provinces to improve employment prospects in line with labour market demands.</w:t>
      </w:r>
    </w:p>
    <w:p>
      <w:pPr>
        <w:pStyle w:val="Heading2"/>
      </w:pPr>
      <w:r>
        <w:t>Purpose of the Internship</w:t>
      </w:r>
    </w:p>
    <w:p>
      <w:r>
        <w:t>The internship will provide practical exposure to the implementation and management of an EU-funded technical cooperation programme. The intern will support programme activities while gaining experience in project implementation, monitoring and evaluation, planning, communication, coordination and operational support.</w:t>
      </w:r>
    </w:p>
    <w:p>
      <w:pPr>
        <w:pStyle w:val="Heading1"/>
      </w:pPr>
      <w:r>
        <w:t>III. Main Responsibilities and Tasks</w:t>
      </w:r>
    </w:p>
    <w:p>
      <w:pPr>
        <w:pStyle w:val="Heading2"/>
      </w:pPr>
      <w:r>
        <w:t>1. Project Implementation and Technical Support</w:t>
      </w:r>
    </w:p>
    <w:p>
      <w:pPr>
        <w:pStyle w:val="ListBullet"/>
      </w:pPr>
      <w:r>
        <w:t>Support the preparation, implementation and follow-up of project activities, including provincial coordination meetings under the Risk Prevention component and activities promoting cooperation between Vocational Training Centres (VTCs) and enterprises.</w:t>
      </w:r>
    </w:p>
    <w:p>
      <w:pPr>
        <w:pStyle w:val="ListBullet"/>
      </w:pPr>
      <w:r>
        <w:t>Assist technical experts in preparing activity materials, documenting discussions, tracking agreed actions and following up on implementation progress.</w:t>
      </w:r>
    </w:p>
    <w:p>
      <w:pPr>
        <w:pStyle w:val="ListBullet"/>
      </w:pPr>
      <w:r>
        <w:t>Participate in selected training sessions, workshops, coordination meetings and field visits, contributing to activity documentation and the collection of participant feedback.</w:t>
      </w:r>
    </w:p>
    <w:p>
      <w:pPr>
        <w:pStyle w:val="ListBullet"/>
      </w:pPr>
      <w:r>
        <w:t>Support the identification of implementation challenges, lessons learned and opportunities to improve the relevance and effectiveness of programme activities.</w:t>
      </w:r>
    </w:p>
    <w:p>
      <w:pPr>
        <w:pStyle w:val="Heading2"/>
      </w:pPr>
      <w:r>
        <w:t>2. Monitoring, Evaluation and Results Assessment</w:t>
      </w:r>
    </w:p>
    <w:p>
      <w:pPr>
        <w:pStyle w:val="ListBullet"/>
      </w:pPr>
      <w:r>
        <w:t>Contribute to the development and refinement of outcome-monitoring approaches, with particular attention to social cohesion, risk prevention and capacity development.</w:t>
      </w:r>
    </w:p>
    <w:p>
      <w:pPr>
        <w:pStyle w:val="ListBullet"/>
      </w:pPr>
      <w:r>
        <w:t>Support the collection, organisation and analysis of quantitative and qualitative information to monitor programme progress and assess emerging results.</w:t>
      </w:r>
    </w:p>
    <w:p>
      <w:pPr>
        <w:pStyle w:val="ListBullet"/>
      </w:pPr>
      <w:r>
        <w:t>Prepare short analytical assessment notes on selected programme components, such as EDUSER-supported employment measures or support provided to apprentices, highlighting progress, preliminary outcomes, implementation challenges and recommendations.</w:t>
      </w:r>
    </w:p>
    <w:p>
      <w:pPr>
        <w:pStyle w:val="ListBullet"/>
      </w:pPr>
      <w:r>
        <w:t>Assist in consolidating activity data, participant feedback and supporting evidence for internal monitoring, periodic reporting and programme learning.</w:t>
      </w:r>
    </w:p>
    <w:p>
      <w:pPr>
        <w:pStyle w:val="ListBullet"/>
      </w:pPr>
      <w:r>
        <w:t>Contribute to identifying lessons learned and practical recommendations to strengthen results-based implementation.</w:t>
      </w:r>
    </w:p>
    <w:p>
      <w:pPr>
        <w:pStyle w:val="Heading2"/>
      </w:pPr>
      <w:r>
        <w:t>3. Programme Planning and Management</w:t>
      </w:r>
    </w:p>
    <w:p>
      <w:pPr>
        <w:pStyle w:val="ListBullet"/>
      </w:pPr>
      <w:r>
        <w:t>Contribute to discussions on improving workplans, monitoring tools and other planning instruments to strengthen implementation efficiency, coordination and follow-up.</w:t>
      </w:r>
    </w:p>
    <w:p>
      <w:pPr>
        <w:pStyle w:val="ListBullet"/>
      </w:pPr>
      <w:r>
        <w:t>Assist in reviewing planned activities against implementation progress, milestones and expected results, identifying potential delays or areas requiring follow-up.</w:t>
      </w:r>
    </w:p>
    <w:p>
      <w:pPr>
        <w:pStyle w:val="ListBullet"/>
      </w:pPr>
      <w:r>
        <w:t>Support the preparation of internal progress updates, meeting briefs, presentations and other programme management documents.</w:t>
      </w:r>
    </w:p>
    <w:p>
      <w:pPr>
        <w:pStyle w:val="ListBullet"/>
      </w:pPr>
      <w:r>
        <w:t>Gain exposure to the coordination of programme components and the interaction between technical implementation, monitoring, procurement, finance and administrative functions.</w:t>
      </w:r>
    </w:p>
    <w:p>
      <w:pPr>
        <w:pStyle w:val="Heading2"/>
      </w:pPr>
      <w:r>
        <w:t>4. Communication, Visibility and Knowledge Management</w:t>
      </w:r>
    </w:p>
    <w:p>
      <w:pPr>
        <w:pStyle w:val="ListBullet"/>
      </w:pPr>
      <w:r>
        <w:t>Support the application of EU visibility requirements and Expertise France corporate identity guidelines in programme activities and communication materials.</w:t>
      </w:r>
    </w:p>
    <w:p>
      <w:pPr>
        <w:pStyle w:val="ListBullet"/>
      </w:pPr>
      <w:r>
        <w:t>Assist in identifying communication and visibility needs for planned activities and ensuring that these are anticipated during activity preparation.</w:t>
      </w:r>
    </w:p>
    <w:p>
      <w:pPr>
        <w:pStyle w:val="ListBullet"/>
      </w:pPr>
      <w:r>
        <w:t>Support the systematic archiving of activity documentation, photographs and other visual materials in accordance with programme requirements.</w:t>
      </w:r>
    </w:p>
    <w:p>
      <w:pPr>
        <w:pStyle w:val="ListBullet"/>
      </w:pPr>
      <w:r>
        <w:t>Contribute to updating programme activity and event records and compiling information for media-monitoring and communication reports.</w:t>
      </w:r>
    </w:p>
    <w:p>
      <w:pPr>
        <w:pStyle w:val="ListBullet"/>
      </w:pPr>
      <w:r>
        <w:t>Assist in documenting good practices, lessons learned and programme results for internal knowledge-sharing purposes.</w:t>
      </w:r>
    </w:p>
    <w:p>
      <w:pPr>
        <w:pStyle w:val="Heading2"/>
      </w:pPr>
      <w:r>
        <w:t>5. Administrative, Operational and Organisational Support</w:t>
      </w:r>
    </w:p>
    <w:p>
      <w:pPr>
        <w:pStyle w:val="ListBullet"/>
      </w:pPr>
      <w:r>
        <w:t>Support the day-to-day administrative and operational activities of the programme team.</w:t>
      </w:r>
    </w:p>
    <w:p>
      <w:pPr>
        <w:pStyle w:val="ListBullet"/>
      </w:pPr>
      <w:r>
        <w:t>Assist in organising meetings, workshops, training sessions and other programme events, including logistical preparations and participant coordination.</w:t>
      </w:r>
    </w:p>
    <w:p>
      <w:pPr>
        <w:pStyle w:val="ListBullet"/>
      </w:pPr>
      <w:r>
        <w:t>Prepare and update participant lists, attendance sheets, meeting minutes and activity records.</w:t>
      </w:r>
    </w:p>
    <w:p>
      <w:pPr>
        <w:pStyle w:val="ListBullet"/>
      </w:pPr>
      <w:r>
        <w:t>Support data entry, database updates, document management and electronic filing.</w:t>
      </w:r>
    </w:p>
    <w:p>
      <w:pPr>
        <w:pStyle w:val="ListBullet"/>
      </w:pPr>
      <w:r>
        <w:t>Assist in collecting, organising and checking supporting documentation required for programme monitoring, reporting and implementation follow-up.</w:t>
      </w:r>
    </w:p>
    <w:p>
      <w:pPr>
        <w:pStyle w:val="ListBullet"/>
      </w:pPr>
      <w:r>
        <w:t>Support internal coordination and the preparation or review of documents in Turkish, French and English, as appropriate.</w:t>
      </w:r>
    </w:p>
    <w:p>
      <w:pPr>
        <w:pStyle w:val="Heading2"/>
      </w:pPr>
      <w:r>
        <w:t>6. Cross-Team Coordination and Professional Development</w:t>
      </w:r>
    </w:p>
    <w:p>
      <w:pPr>
        <w:pStyle w:val="ListBullet"/>
      </w:pPr>
      <w:r>
        <w:t>Work with relevant programme components and support functions through a structured rotation or assignment system, gaining exposure to the different dimensions of programme management.</w:t>
      </w:r>
    </w:p>
    <w:p>
      <w:pPr>
        <w:pStyle w:val="ListBullet"/>
      </w:pPr>
      <w:r>
        <w:t>Participate in internal coordination meetings and contribute to information-sharing between technical experts and the project management team.</w:t>
      </w:r>
    </w:p>
    <w:p>
      <w:pPr>
        <w:pStyle w:val="ListBullet"/>
      </w:pPr>
      <w:r>
        <w:t>Undertake additional tasks relevant to the internship objectives, under appropriate supervision.</w:t>
      </w:r>
    </w:p>
    <w:p>
      <w:pPr>
        <w:pStyle w:val="Heading1"/>
      </w:pPr>
      <w:r>
        <w:t>IV. Work Organisation and Learning Approach</w:t>
      </w:r>
    </w:p>
    <w:p>
      <w:r>
        <w:t>The six-month internship will combine ongoing operational support with structured technical assignments and exposure to programme management functions. Tasks will be planned in coordination with the relevant component leads and support teams, taking into account programme priorities and the intern’s learning objectives.</w:t>
      </w:r>
    </w:p>
    <w:p>
      <w:r>
        <w:t>The internship will be organised around three complementary areas:</w:t>
      </w:r>
    </w:p>
    <w:p>
      <w:pPr>
        <w:pStyle w:val="ListBullet"/>
      </w:pPr>
      <w:r>
        <w:t>Operational exposure: regular support to programme activities, events, documentation and coordination processes.</w:t>
      </w:r>
    </w:p>
    <w:p>
      <w:pPr>
        <w:pStyle w:val="ListBullet"/>
      </w:pPr>
      <w:r>
        <w:t>Technical assignments: substantive contributions to outcome monitoring and at least one analytical assessment of a selected programme component, focusing on implementation progress, emerging outcomes, challenges and lessons learned.</w:t>
      </w:r>
    </w:p>
    <w:p>
      <w:pPr>
        <w:pStyle w:val="ListBullet"/>
      </w:pPr>
      <w:r>
        <w:t>Programme management exposure: participation in planning and monitoring discussions, providing insight into how technical, financial, procurement and administrative functions contribute to programme delivery.</w:t>
      </w:r>
    </w:p>
    <w:p>
      <w:r>
        <w:t>A structured rotation or assignment system may be used to facilitate exposure to different programme functions while ensuring continuity in the delivery of assigned tasks.</w:t>
      </w:r>
    </w:p>
    <w:p>
      <w:pPr>
        <w:pStyle w:val="Heading1"/>
      </w:pPr>
      <w:r>
        <w:t>V. Reporting Line and Overall Report</w:t>
      </w:r>
    </w:p>
    <w:p>
      <w:r>
        <w:t>The intern will work under the functional supervision of the relevant manager or technical expert responsible for the assigned tasks. The Deputy Team Leader will act as the intern’s overall reference supervisor, ensuring coordination across programme components, monitoring the internship’s progress and learning objectives, and providing overall guidance and feedback.</w:t>
      </w:r>
    </w:p>
    <w:p>
      <w:r>
        <w:t>Regular check-ins will be organised with the Deputy Team Leader and, as appropriate, the relevant managers to review progress, provide feedback and adjust assignments in line with programme priorities and the internship’s learning objectives.</w:t>
      </w:r>
    </w:p>
    <w:p>
      <w:r>
        <w:t>At the end of the internship, the intern will prepare one overall report summarising the activities and contributions undertaken, achievements, challenges encountered and key learnings from the six-month placement.</w:t>
      </w:r>
    </w:p>
    <w:p>
      <w:pPr>
        <w:pStyle w:val="Heading1"/>
      </w:pPr>
      <w:r>
        <w:t>VI. Duration and Tentative Starting Date</w:t>
      </w:r>
    </w:p>
    <w:p>
      <w:r>
        <w:t>The internship is expected to last six (6) months, with a tentative starting date of 16 November 2026. The starting date is subject to the completion of the recruitment and internship agreement formalities.</w:t>
      </w:r>
    </w:p>
    <w:p>
      <w:pPr>
        <w:pStyle w:val="Heading1"/>
      </w:pPr>
      <w:r>
        <w:t>VII. Eligibility and Application Requirements</w:t>
      </w:r>
    </w:p>
    <w:p>
      <w:r>
        <w:t>Applicants must meet the following eligibility requirements:</w:t>
      </w:r>
    </w:p>
    <w:p>
      <w:pPr>
        <w:pStyle w:val="ListBullet"/>
      </w:pPr>
      <w:r>
        <w:t>Be enrolled as a student in a recognised educational institution.</w:t>
      </w:r>
    </w:p>
    <w:p>
      <w:pPr>
        <w:pStyle w:val="ListBullet"/>
      </w:pPr>
      <w:r>
        <w:t>Be able to provide a mandatory tripartite internship agreement (convention de stage) signed by the student, the educational institution and Expertise France.</w:t>
      </w:r>
    </w:p>
    <w:p>
      <w:pPr>
        <w:pStyle w:val="ListBullet"/>
      </w:pPr>
      <w:r>
        <w:t>Hold a valid residence permit allowing them to reside in Türkiye for the duration of the internship.</w:t>
      </w:r>
    </w:p>
    <w:p>
      <w:pPr>
        <w:pStyle w:val="ListBullet"/>
      </w:pPr>
      <w:r>
        <w:t>Demonstrate a strong interest in international cooperation, vocational education and training, employment, social cohesion, peace and conflict studies, or related fields.</w:t>
      </w:r>
    </w:p>
    <w:p>
      <w:pPr>
        <w:pStyle w:val="ListBullet"/>
      </w:pPr>
      <w:r>
        <w:t>Have good organisational, analytical and communication skills, with the ability to work in a multicultural team.</w:t>
      </w:r>
    </w:p>
    <w:p>
      <w:pPr>
        <w:pStyle w:val="ListBullet"/>
      </w:pPr>
      <w:r>
        <w:t>Knowledge of English is required; knowledge of Turkish and/or French is an asset.</w:t>
      </w:r>
    </w:p>
    <w:p>
      <w:pPr>
        <w:pStyle w:val="Heading1"/>
      </w:pPr>
      <w:r>
        <w:t>VIII. Application Process</w:t>
      </w:r>
    </w:p>
    <w:p>
      <w:r>
        <w:t>Interested candidates should submit their application by 5 November 2026. Applications should include:</w:t>
      </w:r>
    </w:p>
    <w:p>
      <w:pPr>
        <w:pStyle w:val="ListBullet"/>
      </w:pPr>
      <w:r>
        <w:t>A CV.</w:t>
      </w:r>
    </w:p>
    <w:p>
      <w:pPr>
        <w:pStyle w:val="ListBullet"/>
      </w:pPr>
      <w:r>
        <w:t>A short cover letter outlining the candidate’s motivation and relevant interests or experience.</w:t>
      </w:r>
    </w:p>
    <w:p>
      <w:pPr>
        <w:pStyle w:val="ListBullet"/>
      </w:pPr>
      <w:r>
        <w:t>Confirmation of student enrolment and the ability to obtain a tripartite internship agreement.</w:t>
      </w:r>
    </w:p>
    <w:p>
      <w:r>
        <w:t>Only applications meeting the eligibility requirements will be considered. The tentative starting date is 16 November 2026.</w:t>
      </w:r>
    </w:p>
    <w:p>
      <w:pPr>
        <w:pStyle w:val="Heading1"/>
      </w:pPr>
      <w:r>
        <w:t>IX. Internship Conditions</w:t>
      </w:r>
    </w:p>
    <w:p>
      <w:r>
        <w:t>This is a paid internship. The internship will be based in Ankara, Türkiye, and will be carried out in accordance with the applicable internship agreement and Expertise France procedures.</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VET4JOB-II Programme | Terms of Reference – Programme Intern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