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40478" w14:textId="5CE245E7" w:rsidR="00A3725F" w:rsidRDefault="00951238" w:rsidP="00951238">
      <w:pPr>
        <w:spacing w:after="120" w:line="276" w:lineRule="auto"/>
        <w:jc w:val="both"/>
        <w:rPr>
          <w:rFonts w:ascii="Arial" w:hAnsi="Arial" w:cs="Arial"/>
        </w:rPr>
      </w:pPr>
      <w:r w:rsidRPr="00E77AC8">
        <w:rPr>
          <w:rFonts w:ascii="Arial" w:hAnsi="Arial" w:cs="Arial"/>
          <w:b/>
          <w:bCs/>
        </w:rPr>
        <w:t>Title</w:t>
      </w:r>
      <w:r w:rsidRPr="00E77AC8">
        <w:rPr>
          <w:rFonts w:ascii="Arial" w:hAnsi="Arial" w:cs="Arial"/>
        </w:rPr>
        <w:t xml:space="preserve">: </w:t>
      </w:r>
      <w:r>
        <w:rPr>
          <w:rFonts w:ascii="Arial" w:hAnsi="Arial" w:cs="Arial"/>
        </w:rPr>
        <w:t>Expert</w:t>
      </w:r>
      <w:r w:rsidR="00A3725F">
        <w:rPr>
          <w:rFonts w:ascii="Arial" w:hAnsi="Arial" w:cs="Arial"/>
        </w:rPr>
        <w:t xml:space="preserve"> to undertake a Study on the Regulation of Competition in the Digital Markets in Africa in line with A</w:t>
      </w:r>
      <w:r w:rsidR="00A3725F" w:rsidRPr="00A3725F">
        <w:rPr>
          <w:rFonts w:ascii="Arial" w:hAnsi="Arial" w:cs="Arial"/>
        </w:rPr>
        <w:t>rticl</w:t>
      </w:r>
      <w:r w:rsidR="00A3725F">
        <w:rPr>
          <w:rFonts w:ascii="Arial" w:hAnsi="Arial" w:cs="Arial"/>
        </w:rPr>
        <w:t>e 11 of the AfCFTA Protocol on C</w:t>
      </w:r>
      <w:r w:rsidR="00A3725F" w:rsidRPr="00A3725F">
        <w:rPr>
          <w:rFonts w:ascii="Arial" w:hAnsi="Arial" w:cs="Arial"/>
        </w:rPr>
        <w:t>ompetition</w:t>
      </w:r>
      <w:r w:rsidR="00A3725F">
        <w:rPr>
          <w:rFonts w:ascii="Arial" w:hAnsi="Arial" w:cs="Arial"/>
        </w:rPr>
        <w:t xml:space="preserve"> Policy</w:t>
      </w:r>
    </w:p>
    <w:p w14:paraId="66C7BBCB" w14:textId="77777777" w:rsidR="00951238" w:rsidRPr="009C5405" w:rsidRDefault="00951238" w:rsidP="00951238">
      <w:pPr>
        <w:shd w:val="clear" w:color="auto" w:fill="FFFFFF"/>
        <w:spacing w:after="120"/>
        <w:outlineLvl w:val="0"/>
        <w:rPr>
          <w:rFonts w:ascii="Arial" w:eastAsia="Times New Roman" w:hAnsi="Arial" w:cs="Arial"/>
          <w:color w:val="000057"/>
          <w:sz w:val="23"/>
          <w:szCs w:val="23"/>
          <w:lang w:val="en-GB" w:eastAsia="fr-CH"/>
        </w:rPr>
      </w:pPr>
      <w:r w:rsidRPr="009C5405">
        <w:rPr>
          <w:rFonts w:ascii="Arial" w:hAnsi="Arial" w:cs="Arial"/>
          <w:b/>
          <w:bCs/>
          <w:lang w:val="en-GB"/>
        </w:rPr>
        <w:t>Institution</w:t>
      </w:r>
      <w:r w:rsidRPr="009C5405">
        <w:rPr>
          <w:rFonts w:ascii="Arial" w:eastAsia="Times New Roman" w:hAnsi="Arial" w:cs="Arial"/>
          <w:color w:val="000057"/>
          <w:sz w:val="23"/>
          <w:szCs w:val="23"/>
          <w:lang w:val="en-GB" w:eastAsia="fr-CH"/>
        </w:rPr>
        <w:t>:</w:t>
      </w:r>
      <w:r w:rsidRPr="009C5405">
        <w:rPr>
          <w:rFonts w:ascii="Arial" w:eastAsia="Times New Roman" w:hAnsi="Arial" w:cs="Arial"/>
          <w:b/>
          <w:color w:val="000057"/>
          <w:sz w:val="23"/>
          <w:szCs w:val="23"/>
          <w:lang w:val="en-GB" w:eastAsia="fr-CH"/>
        </w:rPr>
        <w:tab/>
      </w:r>
      <w:r w:rsidRPr="009C5405">
        <w:rPr>
          <w:rFonts w:ascii="Arial" w:hAnsi="Arial" w:cs="Arial"/>
          <w:lang w:val="en-GB" w:eastAsia="zh-CN"/>
        </w:rPr>
        <w:t>AfCFTA Secretariat</w:t>
      </w:r>
    </w:p>
    <w:p w14:paraId="177C47FF" w14:textId="12B15676" w:rsidR="00951238" w:rsidRPr="00951238" w:rsidRDefault="00951238" w:rsidP="00A3725F">
      <w:pPr>
        <w:spacing w:after="120"/>
        <w:jc w:val="both"/>
        <w:rPr>
          <w:rFonts w:ascii="Arial" w:hAnsi="Arial" w:cs="Arial"/>
          <w:lang w:val="en-GB" w:eastAsia="zh-CN"/>
        </w:rPr>
      </w:pPr>
      <w:r>
        <w:rPr>
          <w:rFonts w:ascii="Arial" w:hAnsi="Arial" w:cs="Arial"/>
          <w:b/>
          <w:bCs/>
          <w:lang w:val="en-GB"/>
        </w:rPr>
        <w:t>Directorate</w:t>
      </w:r>
      <w:r w:rsidRPr="00C24A06">
        <w:rPr>
          <w:rFonts w:ascii="Arial" w:eastAsia="Times New Roman" w:hAnsi="Arial" w:cs="Arial"/>
          <w:color w:val="000057"/>
          <w:sz w:val="23"/>
          <w:szCs w:val="23"/>
          <w:lang w:val="en-GB" w:eastAsia="fr-CH"/>
        </w:rPr>
        <w:t xml:space="preserve">: </w:t>
      </w:r>
      <w:r w:rsidRPr="00951238">
        <w:rPr>
          <w:rFonts w:ascii="Arial" w:hAnsi="Arial" w:cs="Arial"/>
          <w:lang w:val="en-GB" w:eastAsia="zh-CN"/>
        </w:rPr>
        <w:t xml:space="preserve">Directorate of </w:t>
      </w:r>
      <w:r w:rsidR="00A3725F">
        <w:rPr>
          <w:rFonts w:ascii="Arial" w:hAnsi="Arial" w:cs="Arial"/>
          <w:lang w:val="en-GB" w:eastAsia="zh-CN"/>
        </w:rPr>
        <w:t>Trade in Goods and Competition</w:t>
      </w:r>
    </w:p>
    <w:p w14:paraId="15E2AEAC" w14:textId="35EAE0EE" w:rsidR="00951238" w:rsidRPr="00C24A06" w:rsidRDefault="00951238" w:rsidP="00A3725F">
      <w:pPr>
        <w:spacing w:after="120"/>
        <w:jc w:val="both"/>
        <w:rPr>
          <w:rFonts w:ascii="Arial" w:hAnsi="Arial" w:cs="Arial"/>
          <w:lang w:val="en-GB" w:eastAsia="fr-FR"/>
        </w:rPr>
      </w:pPr>
      <w:r w:rsidRPr="00E77AC8">
        <w:rPr>
          <w:rFonts w:ascii="Arial" w:hAnsi="Arial" w:cs="Arial"/>
          <w:b/>
          <w:bCs/>
        </w:rPr>
        <w:t>Location</w:t>
      </w:r>
      <w:r w:rsidRPr="00E77AC8">
        <w:rPr>
          <w:rFonts w:ascii="Arial" w:hAnsi="Arial" w:cs="Arial"/>
        </w:rPr>
        <w:t xml:space="preserve">: </w:t>
      </w:r>
      <w:r w:rsidR="00A3725F">
        <w:rPr>
          <w:rFonts w:ascii="Arial" w:hAnsi="Arial" w:cs="Arial"/>
          <w:lang w:eastAsia="zh-CN"/>
        </w:rPr>
        <w:t>Home-based</w:t>
      </w:r>
    </w:p>
    <w:p w14:paraId="3453B654" w14:textId="5E70FA3B" w:rsidR="00951238" w:rsidRPr="00E77AC8" w:rsidRDefault="00951238" w:rsidP="00951238">
      <w:pPr>
        <w:spacing w:after="120"/>
        <w:rPr>
          <w:rFonts w:ascii="Arial" w:hAnsi="Arial" w:cs="Arial"/>
        </w:rPr>
      </w:pPr>
      <w:r>
        <w:rPr>
          <w:rFonts w:ascii="Arial" w:hAnsi="Arial" w:cs="Arial"/>
          <w:b/>
          <w:bCs/>
        </w:rPr>
        <w:t>Expected d</w:t>
      </w:r>
      <w:r w:rsidRPr="00E77AC8">
        <w:rPr>
          <w:rFonts w:ascii="Arial" w:hAnsi="Arial" w:cs="Arial"/>
          <w:b/>
          <w:bCs/>
        </w:rPr>
        <w:t xml:space="preserve">uration: </w:t>
      </w:r>
      <w:r>
        <w:rPr>
          <w:rFonts w:ascii="Arial" w:hAnsi="Arial" w:cs="Arial"/>
        </w:rPr>
        <w:t xml:space="preserve">Short - </w:t>
      </w:r>
      <w:r w:rsidRPr="00E77AC8">
        <w:rPr>
          <w:rFonts w:ascii="Arial" w:hAnsi="Arial" w:cs="Arial"/>
        </w:rPr>
        <w:t>term (</w:t>
      </w:r>
      <w:r w:rsidR="00E47CF6">
        <w:rPr>
          <w:rFonts w:ascii="Arial" w:hAnsi="Arial" w:cs="Arial"/>
        </w:rPr>
        <w:t>3</w:t>
      </w:r>
      <w:r w:rsidR="00A3725F">
        <w:rPr>
          <w:rFonts w:ascii="Arial" w:hAnsi="Arial" w:cs="Arial"/>
        </w:rPr>
        <w:t>.5 – 4</w:t>
      </w:r>
      <w:r>
        <w:rPr>
          <w:rFonts w:ascii="Arial" w:hAnsi="Arial" w:cs="Arial"/>
        </w:rPr>
        <w:t xml:space="preserve">.0 </w:t>
      </w:r>
      <w:r w:rsidRPr="00E77AC8">
        <w:rPr>
          <w:rFonts w:ascii="Arial" w:hAnsi="Arial" w:cs="Arial"/>
        </w:rPr>
        <w:t>months)</w:t>
      </w:r>
    </w:p>
    <w:p w14:paraId="0A86970D" w14:textId="40BEBCC2" w:rsidR="00951238" w:rsidRPr="00E77AC8" w:rsidRDefault="00951238" w:rsidP="00A3725F">
      <w:pPr>
        <w:spacing w:after="120"/>
        <w:rPr>
          <w:rFonts w:ascii="Arial" w:hAnsi="Arial" w:cs="Arial"/>
        </w:rPr>
      </w:pPr>
      <w:r>
        <w:rPr>
          <w:rFonts w:ascii="Arial" w:hAnsi="Arial" w:cs="Arial"/>
          <w:b/>
        </w:rPr>
        <w:t>Expected s</w:t>
      </w:r>
      <w:r w:rsidRPr="00E77AC8">
        <w:rPr>
          <w:rFonts w:ascii="Arial" w:hAnsi="Arial" w:cs="Arial"/>
          <w:b/>
        </w:rPr>
        <w:t>tarting date</w:t>
      </w:r>
      <w:r w:rsidRPr="00E77AC8">
        <w:rPr>
          <w:rFonts w:ascii="Arial" w:hAnsi="Arial" w:cs="Arial"/>
        </w:rPr>
        <w:t xml:space="preserve">: </w:t>
      </w:r>
      <w:r>
        <w:rPr>
          <w:rFonts w:ascii="Arial" w:hAnsi="Arial" w:cs="Arial"/>
        </w:rPr>
        <w:t>1</w:t>
      </w:r>
      <w:r w:rsidR="00A3725F">
        <w:rPr>
          <w:rFonts w:ascii="Arial" w:hAnsi="Arial" w:cs="Arial"/>
        </w:rPr>
        <w:t>6</w:t>
      </w:r>
      <w:r w:rsidRPr="008D5248">
        <w:rPr>
          <w:rFonts w:ascii="Arial" w:hAnsi="Arial" w:cs="Arial"/>
          <w:vertAlign w:val="superscript"/>
        </w:rPr>
        <w:t>th</w:t>
      </w:r>
      <w:r>
        <w:rPr>
          <w:rFonts w:ascii="Arial" w:hAnsi="Arial" w:cs="Arial"/>
        </w:rPr>
        <w:t xml:space="preserve"> </w:t>
      </w:r>
      <w:r w:rsidR="00A3725F">
        <w:rPr>
          <w:rFonts w:ascii="Arial" w:hAnsi="Arial" w:cs="Arial"/>
        </w:rPr>
        <w:t>March</w:t>
      </w:r>
      <w:r>
        <w:rPr>
          <w:rFonts w:ascii="Arial" w:hAnsi="Arial" w:cs="Arial"/>
        </w:rPr>
        <w:t xml:space="preserve"> </w:t>
      </w:r>
      <w:r w:rsidRPr="00E77AC8">
        <w:rPr>
          <w:rFonts w:ascii="Arial" w:hAnsi="Arial" w:cs="Arial"/>
        </w:rPr>
        <w:t>202</w:t>
      </w:r>
      <w:r w:rsidR="00A3725F">
        <w:rPr>
          <w:rFonts w:ascii="Arial" w:hAnsi="Arial" w:cs="Arial"/>
        </w:rPr>
        <w:t>6</w:t>
      </w:r>
    </w:p>
    <w:p w14:paraId="140E9649" w14:textId="77777777" w:rsidR="00951238" w:rsidRDefault="00951238"/>
    <w:p w14:paraId="7C4DFD2D" w14:textId="2057DD9A" w:rsidR="00BF4593" w:rsidRPr="00BF4593" w:rsidRDefault="00096E92" w:rsidP="00096E92">
      <w:pPr>
        <w:pBdr>
          <w:top w:val="none" w:sz="0" w:space="0" w:color="auto"/>
          <w:left w:val="single" w:sz="24" w:space="15" w:color="1981CF"/>
          <w:bottom w:val="none" w:sz="0" w:space="0" w:color="auto"/>
          <w:right w:val="none" w:sz="0" w:space="0" w:color="auto"/>
          <w:between w:val="none" w:sz="0" w:space="0" w:color="auto"/>
          <w:bar w:val="none" w:sz="0" w:color="auto"/>
        </w:pBdr>
        <w:shd w:val="clear" w:color="auto" w:fill="FFFFFF"/>
        <w:spacing w:before="120" w:after="240"/>
        <w:outlineLvl w:val="1"/>
        <w:rPr>
          <w:rFonts w:ascii="Arial" w:eastAsia="Times New Roman" w:hAnsi="Arial" w:cs="Arial"/>
          <w:color w:val="333333"/>
          <w:sz w:val="36"/>
          <w:szCs w:val="36"/>
          <w:bdr w:val="none" w:sz="0" w:space="0" w:color="auto"/>
          <w:lang w:val="en-GB" w:eastAsia="en-GB"/>
        </w:rPr>
      </w:pPr>
      <w:r>
        <w:rPr>
          <w:rFonts w:ascii="Arial" w:eastAsia="Times New Roman" w:hAnsi="Arial" w:cs="Arial"/>
          <w:color w:val="333333"/>
          <w:sz w:val="36"/>
          <w:szCs w:val="36"/>
          <w:bdr w:val="none" w:sz="0" w:space="0" w:color="auto"/>
          <w:lang w:val="en-GB" w:eastAsia="en-GB"/>
        </w:rPr>
        <w:t xml:space="preserve">Introduction and </w:t>
      </w:r>
      <w:r w:rsidR="00BF4593" w:rsidRPr="00BF4593">
        <w:rPr>
          <w:rFonts w:ascii="Arial" w:eastAsia="Times New Roman" w:hAnsi="Arial" w:cs="Arial"/>
          <w:color w:val="333333"/>
          <w:sz w:val="36"/>
          <w:szCs w:val="36"/>
          <w:bdr w:val="none" w:sz="0" w:space="0" w:color="auto"/>
          <w:lang w:val="en-GB" w:eastAsia="en-GB"/>
        </w:rPr>
        <w:t xml:space="preserve">Background </w:t>
      </w:r>
    </w:p>
    <w:p w14:paraId="7F1DDC0C" w14:textId="77777777" w:rsidR="005229B0" w:rsidRPr="00617269" w:rsidRDefault="005229B0" w:rsidP="005229B0">
      <w:pPr>
        <w:spacing w:line="276" w:lineRule="auto"/>
        <w:ind w:left="720"/>
        <w:jc w:val="both"/>
        <w:rPr>
          <w:rFonts w:asciiTheme="majorHAnsi" w:hAnsiTheme="majorHAnsi" w:cstheme="majorHAnsi"/>
          <w:b/>
          <w:color w:val="000000" w:themeColor="text1"/>
          <w:sz w:val="2"/>
          <w:szCs w:val="2"/>
        </w:rPr>
      </w:pPr>
    </w:p>
    <w:p w14:paraId="5C2AC885"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color w:val="000057"/>
          <w:sz w:val="23"/>
          <w:szCs w:val="23"/>
          <w:u w:val="single"/>
          <w:bdr w:val="none" w:sz="0" w:space="0" w:color="auto"/>
          <w:lang w:val="en-GB" w:eastAsia="en-GB"/>
        </w:rPr>
      </w:pPr>
      <w:r w:rsidRPr="00096E92">
        <w:rPr>
          <w:rFonts w:ascii="Arial" w:eastAsia="Times New Roman" w:hAnsi="Arial" w:cs="Arial"/>
          <w:b/>
          <w:color w:val="000057"/>
          <w:sz w:val="23"/>
          <w:szCs w:val="23"/>
          <w:u w:val="single"/>
          <w:bdr w:val="none" w:sz="0" w:space="0" w:color="auto"/>
          <w:lang w:val="en-GB" w:eastAsia="en-GB"/>
        </w:rPr>
        <w:t>Introduction</w:t>
      </w:r>
    </w:p>
    <w:p w14:paraId="705B7E8A"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color w:val="000057"/>
          <w:sz w:val="16"/>
          <w:szCs w:val="16"/>
          <w:bdr w:val="none" w:sz="0" w:space="0" w:color="auto"/>
          <w:lang w:val="en-GB" w:eastAsia="en-GB"/>
        </w:rPr>
      </w:pPr>
    </w:p>
    <w:p w14:paraId="01126760"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val="en-GB" w:eastAsia="en-GB"/>
        </w:rPr>
      </w:pPr>
      <w:r w:rsidRPr="00096E92">
        <w:rPr>
          <w:rFonts w:ascii="Arial" w:eastAsia="Times New Roman" w:hAnsi="Arial" w:cs="Arial"/>
          <w:color w:val="000057"/>
          <w:sz w:val="23"/>
          <w:szCs w:val="23"/>
          <w:bdr w:val="none" w:sz="0" w:space="0" w:color="auto"/>
          <w:lang w:val="en-GB" w:eastAsia="en-GB"/>
        </w:rPr>
        <w:t xml:space="preserve">These Terms of Reference (ToR) are prepared to engage an individual </w:t>
      </w:r>
      <w:bookmarkStart w:id="0" w:name="_Hlk192601873"/>
      <w:r w:rsidRPr="00096E92">
        <w:rPr>
          <w:rFonts w:ascii="Arial" w:eastAsia="Times New Roman" w:hAnsi="Arial" w:cs="Arial"/>
          <w:color w:val="000057"/>
          <w:sz w:val="23"/>
          <w:szCs w:val="23"/>
          <w:bdr w:val="none" w:sz="0" w:space="0" w:color="auto"/>
          <w:lang w:val="en-GB" w:eastAsia="en-GB"/>
        </w:rPr>
        <w:t>consultant</w:t>
      </w:r>
      <w:r w:rsidRPr="00096E92">
        <w:rPr>
          <w:rFonts w:ascii="Arial" w:eastAsia="Times New Roman" w:hAnsi="Arial" w:cs="Arial"/>
          <w:b/>
          <w:bCs/>
          <w:color w:val="000057"/>
          <w:sz w:val="23"/>
          <w:szCs w:val="23"/>
          <w:bdr w:val="none" w:sz="0" w:space="0" w:color="auto"/>
          <w:lang w:val="en-GB" w:eastAsia="en-GB"/>
        </w:rPr>
        <w:t xml:space="preserve"> </w:t>
      </w:r>
      <w:r w:rsidRPr="00096E92">
        <w:rPr>
          <w:rFonts w:ascii="Arial" w:eastAsia="Times New Roman" w:hAnsi="Arial" w:cs="Arial"/>
          <w:color w:val="000057"/>
          <w:sz w:val="23"/>
          <w:szCs w:val="23"/>
          <w:bdr w:val="none" w:sz="0" w:space="0" w:color="auto"/>
          <w:lang w:val="en-GB" w:eastAsia="en-GB"/>
        </w:rPr>
        <w:t xml:space="preserve">to conduct </w:t>
      </w:r>
      <w:bookmarkStart w:id="1" w:name="_Hlk192600619"/>
      <w:r w:rsidRPr="00096E92">
        <w:rPr>
          <w:rFonts w:ascii="Arial" w:eastAsia="Times New Roman" w:hAnsi="Arial" w:cs="Arial"/>
          <w:color w:val="000057"/>
          <w:sz w:val="23"/>
          <w:szCs w:val="23"/>
          <w:bdr w:val="none" w:sz="0" w:space="0" w:color="auto"/>
          <w:lang w:val="en-GB" w:eastAsia="en-GB"/>
        </w:rPr>
        <w:t>a study on the regulation of competition in the digital markets in Africa. The goal is to guide the development of regulations on gatekeepers in accordance with Article 11 of the Protocol on Competition Policy.</w:t>
      </w:r>
      <w:bookmarkEnd w:id="0"/>
      <w:bookmarkEnd w:id="1"/>
    </w:p>
    <w:p w14:paraId="3A148F70"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val="en-GB" w:eastAsia="en-GB"/>
        </w:rPr>
      </w:pPr>
    </w:p>
    <w:p w14:paraId="41CF930E"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color w:val="000057"/>
          <w:sz w:val="23"/>
          <w:szCs w:val="23"/>
          <w:u w:val="single"/>
          <w:bdr w:val="none" w:sz="0" w:space="0" w:color="auto"/>
          <w:lang w:val="en-GB" w:eastAsia="en-GB"/>
        </w:rPr>
      </w:pPr>
      <w:r w:rsidRPr="00096E92">
        <w:rPr>
          <w:rFonts w:ascii="Arial" w:eastAsia="Times New Roman" w:hAnsi="Arial" w:cs="Arial"/>
          <w:b/>
          <w:color w:val="000057"/>
          <w:sz w:val="23"/>
          <w:szCs w:val="23"/>
          <w:u w:val="single"/>
          <w:bdr w:val="none" w:sz="0" w:space="0" w:color="auto"/>
          <w:lang w:val="en-GB" w:eastAsia="en-GB"/>
        </w:rPr>
        <w:t>Background</w:t>
      </w:r>
    </w:p>
    <w:p w14:paraId="53495D72"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color w:val="000057"/>
          <w:sz w:val="16"/>
          <w:szCs w:val="16"/>
          <w:bdr w:val="none" w:sz="0" w:space="0" w:color="auto"/>
          <w:lang w:val="en-GB" w:eastAsia="en-GB"/>
        </w:rPr>
      </w:pPr>
    </w:p>
    <w:p w14:paraId="4092C4B1"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The AfCFTA Agreement came into force on May 30, 2019, with the objective of creating a unified African market for goods and services, facilitated by the movement of individuals to deepen the continent's economic integration in line with the Pan-African vision of "An Integrated, Prosperous and Peaceful Africa," as outlined in the AUC Agenda 2063. Currently, 54 out of 55 African states have signed the Agreement, with 49 ratifications.</w:t>
      </w:r>
    </w:p>
    <w:p w14:paraId="599091D1"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1A36DEC3"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As the largest free trade area in the world, the AfCFTA connects 1.4 billion people with a combined GDP of $3.4 trillion and has the potential to lift 30 million people out of extreme poverty. It is projected to increase Africa’s income by $450 billion by 2035, representing a gain of 7%.</w:t>
      </w:r>
    </w:p>
    <w:p w14:paraId="460C9E87"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6D2A8A04"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During Phase II negotiations, State Parties completed the Protocol on Competition Policy, which was legally reviewed and adopted by the AU Assembly at its 36th Ordinary Session on February 18-19, 2023, in Addis Ababa, Ethiopia. Another significant Protocol addressing digital markets, the Digital Trade Protocol, was adopted by the AU Assembly in February 2024. This Protocol is essential for defining the digital environment necessary for trade within Africa and has implications for the continent's digital trade with the rest of the world. It aims to establish harmonized rules and common principles to facilitate and support digital trade across Africa, emphasizing intra-African digital trade, enhanced cooperation among State Parties, and the creation of a transparent, secure, and trusted digital trade ecosystem.</w:t>
      </w:r>
    </w:p>
    <w:p w14:paraId="13FDA7A7"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0515703D"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 xml:space="preserve">The AfCFTA Protocol on Competition Policy establishes a vital continental framework to ensure the benefits of intra-African trade liberalization are realized and that markets, including digital markets, function efficiently. In many digital markets, there is a tendency toward dominance and concentrated market power among a few operators. This concentration is facilitated by digital business models such as vertical integration and conglomerates, as well as the limited flow of data due to restrictions imposed by digital </w:t>
      </w:r>
      <w:r w:rsidRPr="00096E92">
        <w:rPr>
          <w:rFonts w:ascii="Arial" w:eastAsia="Times New Roman" w:hAnsi="Arial" w:cs="Arial"/>
          <w:color w:val="000057"/>
          <w:sz w:val="23"/>
          <w:szCs w:val="23"/>
          <w:bdr w:val="none" w:sz="0" w:space="0" w:color="auto"/>
          <w:lang w:eastAsia="en-GB"/>
        </w:rPr>
        <w:lastRenderedPageBreak/>
        <w:t xml:space="preserve">players. Such a "winner-takes-most" scenario can stifle the development of healthy digital ecosystems, negatively impacting suppliers and consumers. </w:t>
      </w:r>
    </w:p>
    <w:p w14:paraId="227F7AFA"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0F9D7FBF"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The digital market in Africa is rapidly evolving, characterized by increased participation of various stakeholders, including consumers, businesses, and government entities. This dynamic environment raises critical issues related to competition, market access, and consumer protection. Effective regulation is necessary to foster fair competition, innovation, and growth in the digital sector while addressing anti-competitive practices that may arise.</w:t>
      </w:r>
    </w:p>
    <w:p w14:paraId="283A7B56"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669A4784"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 xml:space="preserve">Article 11 of the Protocol on Competition Policy prohibits an undertaking or a group of undertakings or gatekeepers from abusing the relative position of economic dependence over a customer or supplier if the conduct substantially affects the functioning and structure of competition in the market. Paragraph 5 of Article 11 of the Protocol on Competition Policy mandates the development of a ministerial regulation to designate undertakings as gatekeepers based on the three criteria provided in the definition in Article 1 of the Protocol (significant impact on the market, operation of a core platform connecting business users to end users and entrenched durable position in its operations). </w:t>
      </w:r>
    </w:p>
    <w:p w14:paraId="47B67269"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3D500FB8"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Under its mandate to facilitate the negotiations, the AfCFTA Secretariat is responsible for conducting analyses and providing recommendations to the bodies of the AfCFTA, which has been critical in concluding this process and the adoption of the Protocols and related annexes and regulations, as well as in ensuring that all the required processes and instruments are in place for the successful implementation of the Agreement.</w:t>
      </w:r>
    </w:p>
    <w:p w14:paraId="4377DD0F"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686872C5"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Funded by the EU, Agence Française de Development (AFD), the German Ministry of Development Cooperation (BMZ), Sweden, The Netherlands, Denmark, Finland, and Ireland, the Team Europe Technical Assistance Facility to Support the African Continental Free Trade Area and Continental Economic Integration (EU-TAF), which is implemented by GIZ, Expertise France and FIAPP, is supporting these and other endeavours of the Secretariat to ensure that there is a positive traction of AfCFTA agenda.</w:t>
      </w:r>
    </w:p>
    <w:p w14:paraId="0A07E61B"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16"/>
          <w:szCs w:val="16"/>
          <w:bdr w:val="none" w:sz="0" w:space="0" w:color="auto"/>
          <w:lang w:eastAsia="en-GB"/>
        </w:rPr>
      </w:pPr>
    </w:p>
    <w:p w14:paraId="6C135AEB" w14:textId="77777777" w:rsidR="00096E92" w:rsidRPr="00096E92" w:rsidRDefault="00096E92" w:rsidP="00096E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57"/>
          <w:sz w:val="23"/>
          <w:szCs w:val="23"/>
          <w:bdr w:val="none" w:sz="0" w:space="0" w:color="auto"/>
          <w:lang w:eastAsia="en-GB"/>
        </w:rPr>
      </w:pPr>
      <w:r w:rsidRPr="00096E92">
        <w:rPr>
          <w:rFonts w:ascii="Arial" w:eastAsia="Times New Roman" w:hAnsi="Arial" w:cs="Arial"/>
          <w:color w:val="000057"/>
          <w:sz w:val="23"/>
          <w:szCs w:val="23"/>
          <w:bdr w:val="none" w:sz="0" w:space="0" w:color="auto"/>
          <w:lang w:eastAsia="en-GB"/>
        </w:rPr>
        <w:t>It is based on that background that the AfCFTA Secretariat is recruiting, through the support from Expertise France (EF) under the EU-TAF, an individual consultant to undertake a study on the digital markets landscape in Africa with the view to inform the development of the Regulation mandated by Article 11 of the AfCFTA Protocol on Competition.</w:t>
      </w:r>
    </w:p>
    <w:p w14:paraId="43F66B48" w14:textId="77777777" w:rsidR="005229B0" w:rsidRPr="00096E92" w:rsidRDefault="005229B0" w:rsidP="005229B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ajorHAnsi" w:eastAsia="Times New Roman" w:hAnsiTheme="majorHAnsi" w:cstheme="majorHAnsi"/>
          <w:b/>
          <w:color w:val="000000" w:themeColor="text1"/>
          <w:bdr w:val="none" w:sz="0" w:space="0" w:color="auto"/>
          <w:lang w:eastAsia="de-DE"/>
        </w:rPr>
      </w:pPr>
    </w:p>
    <w:p w14:paraId="1531CE44" w14:textId="58041B5A" w:rsidR="005229B0" w:rsidRPr="00C925C3" w:rsidRDefault="001A760A" w:rsidP="00A5563D">
      <w:pPr>
        <w:pBdr>
          <w:top w:val="none" w:sz="0" w:space="0" w:color="auto"/>
          <w:left w:val="none" w:sz="0" w:space="0" w:color="auto"/>
          <w:bottom w:val="none" w:sz="0" w:space="0" w:color="auto"/>
          <w:right w:val="none" w:sz="0" w:space="0" w:color="auto"/>
          <w:between w:val="none" w:sz="0" w:space="0" w:color="auto"/>
          <w:bar w:val="none" w:sz="0" w:color="auto"/>
        </w:pBdr>
        <w:spacing w:after="180" w:line="276" w:lineRule="auto"/>
        <w:jc w:val="both"/>
        <w:rPr>
          <w:rFonts w:ascii="Arial" w:eastAsia="Times New Roman" w:hAnsi="Arial" w:cs="Arial"/>
          <w:color w:val="333333"/>
          <w:sz w:val="36"/>
          <w:szCs w:val="36"/>
          <w:bdr w:val="none" w:sz="0" w:space="0" w:color="auto"/>
          <w:lang w:val="en-GB" w:eastAsia="en-GB"/>
        </w:rPr>
      </w:pPr>
      <w:r w:rsidRPr="001A760A">
        <w:rPr>
          <w:rFonts w:ascii="Arial" w:eastAsia="Times New Roman" w:hAnsi="Arial" w:cs="Arial"/>
          <w:color w:val="333333"/>
          <w:sz w:val="36"/>
          <w:szCs w:val="36"/>
          <w:bdr w:val="none" w:sz="0" w:space="0" w:color="auto"/>
          <w:lang w:eastAsia="en-GB"/>
        </w:rPr>
        <w:t>Assignment</w:t>
      </w:r>
      <w:r w:rsidR="00C048FB">
        <w:rPr>
          <w:rFonts w:ascii="Arial" w:eastAsia="Times New Roman" w:hAnsi="Arial" w:cs="Arial"/>
          <w:color w:val="333333"/>
          <w:sz w:val="36"/>
          <w:szCs w:val="36"/>
          <w:bdr w:val="none" w:sz="0" w:space="0" w:color="auto"/>
          <w:lang w:eastAsia="en-GB"/>
        </w:rPr>
        <w:t>, Mission Description and Deliverables</w:t>
      </w:r>
    </w:p>
    <w:p w14:paraId="29432D35" w14:textId="38A7E3AF" w:rsidR="00C048FB" w:rsidRPr="00C048FB" w:rsidRDefault="00C048FB" w:rsidP="00C048FB">
      <w:pPr>
        <w:shd w:val="clear" w:color="auto" w:fill="FFFFFF"/>
        <w:rPr>
          <w:rFonts w:ascii="Arial" w:eastAsia="Times New Roman" w:hAnsi="Arial" w:cs="Arial"/>
          <w:b/>
          <w:bCs/>
          <w:color w:val="000057"/>
          <w:sz w:val="23"/>
          <w:szCs w:val="23"/>
          <w:u w:val="single"/>
          <w:bdr w:val="none" w:sz="0" w:space="0" w:color="auto"/>
          <w:lang w:val="en-GB" w:eastAsia="de-DE"/>
        </w:rPr>
      </w:pPr>
      <w:r>
        <w:rPr>
          <w:rFonts w:ascii="Arial" w:eastAsia="Times New Roman" w:hAnsi="Arial" w:cs="Arial"/>
          <w:b/>
          <w:bCs/>
          <w:color w:val="000057"/>
          <w:sz w:val="23"/>
          <w:szCs w:val="23"/>
          <w:u w:val="single"/>
          <w:bdr w:val="none" w:sz="0" w:space="0" w:color="auto"/>
          <w:lang w:val="en-GB" w:eastAsia="de-DE"/>
        </w:rPr>
        <w:t xml:space="preserve">The </w:t>
      </w:r>
      <w:r w:rsidRPr="00C048FB">
        <w:rPr>
          <w:rFonts w:ascii="Arial" w:eastAsia="Times New Roman" w:hAnsi="Arial" w:cs="Arial"/>
          <w:b/>
          <w:bCs/>
          <w:color w:val="000057"/>
          <w:sz w:val="23"/>
          <w:szCs w:val="23"/>
          <w:u w:val="single"/>
          <w:bdr w:val="none" w:sz="0" w:space="0" w:color="auto"/>
          <w:lang w:val="en-GB" w:eastAsia="de-DE"/>
        </w:rPr>
        <w:t>Assignment</w:t>
      </w:r>
    </w:p>
    <w:p w14:paraId="112A072C" w14:textId="77777777" w:rsidR="00C048FB" w:rsidRPr="00C048FB" w:rsidRDefault="00C048FB" w:rsidP="00C048FB">
      <w:pPr>
        <w:shd w:val="clear" w:color="auto" w:fill="FFFFFF"/>
        <w:rPr>
          <w:rFonts w:ascii="Arial" w:eastAsia="Times New Roman" w:hAnsi="Arial" w:cs="Arial"/>
          <w:bCs/>
          <w:color w:val="000057"/>
          <w:sz w:val="23"/>
          <w:szCs w:val="23"/>
          <w:u w:val="single"/>
          <w:bdr w:val="none" w:sz="0" w:space="0" w:color="auto"/>
          <w:lang w:val="en-GB" w:eastAsia="de-DE"/>
        </w:rPr>
      </w:pPr>
    </w:p>
    <w:p w14:paraId="1461F050" w14:textId="77777777" w:rsidR="00C048FB" w:rsidRPr="00C048FB" w:rsidRDefault="00C048FB" w:rsidP="00C048FB">
      <w:pPr>
        <w:shd w:val="clear" w:color="auto" w:fill="FFFFFF"/>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 xml:space="preserve">The Consultant will conduct a </w:t>
      </w:r>
      <w:bookmarkStart w:id="2" w:name="_Hlk192601215"/>
      <w:r w:rsidRPr="00C048FB">
        <w:rPr>
          <w:rFonts w:ascii="Arial" w:eastAsia="Times New Roman" w:hAnsi="Arial" w:cs="Arial"/>
          <w:bCs/>
          <w:color w:val="000057"/>
          <w:sz w:val="23"/>
          <w:szCs w:val="23"/>
          <w:bdr w:val="none" w:sz="0" w:space="0" w:color="auto"/>
          <w:lang w:val="en-GB" w:eastAsia="de-DE"/>
        </w:rPr>
        <w:t xml:space="preserve">study on the digital markets landscape in Africa to inform the development of the regulation on gatekeepers, as outlined in Article 11(5) </w:t>
      </w:r>
      <w:bookmarkEnd w:id="2"/>
      <w:r w:rsidRPr="00C048FB">
        <w:rPr>
          <w:rFonts w:ascii="Arial" w:eastAsia="Times New Roman" w:hAnsi="Arial" w:cs="Arial"/>
          <w:bCs/>
          <w:color w:val="000057"/>
          <w:sz w:val="23"/>
          <w:szCs w:val="23"/>
          <w:bdr w:val="none" w:sz="0" w:space="0" w:color="auto"/>
          <w:lang w:val="en-GB" w:eastAsia="de-DE"/>
        </w:rPr>
        <w:t>of the AfCFTA Protocol on Competition.</w:t>
      </w:r>
    </w:p>
    <w:p w14:paraId="0C4CF1ED" w14:textId="77777777" w:rsidR="00C048FB" w:rsidRPr="00C048FB" w:rsidRDefault="00C048FB" w:rsidP="00C048FB">
      <w:pPr>
        <w:shd w:val="clear" w:color="auto" w:fill="FFFFFF"/>
        <w:rPr>
          <w:rFonts w:ascii="Arial" w:eastAsia="Times New Roman" w:hAnsi="Arial" w:cs="Arial"/>
          <w:bCs/>
          <w:color w:val="000057"/>
          <w:sz w:val="23"/>
          <w:szCs w:val="23"/>
          <w:bdr w:val="none" w:sz="0" w:space="0" w:color="auto"/>
          <w:lang w:val="en-GB" w:eastAsia="de-DE"/>
        </w:rPr>
      </w:pPr>
    </w:p>
    <w:p w14:paraId="7EE9C1CC" w14:textId="77777777" w:rsidR="00C048FB" w:rsidRPr="00C048FB" w:rsidRDefault="00C048FB" w:rsidP="00C048FB">
      <w:pPr>
        <w:shd w:val="clear" w:color="auto" w:fill="FFFFFF"/>
        <w:rPr>
          <w:rFonts w:ascii="Arial" w:eastAsia="Times New Roman" w:hAnsi="Arial" w:cs="Arial"/>
          <w:b/>
          <w:bCs/>
          <w:color w:val="000057"/>
          <w:sz w:val="23"/>
          <w:szCs w:val="23"/>
          <w:u w:val="single"/>
          <w:bdr w:val="none" w:sz="0" w:space="0" w:color="auto"/>
          <w:lang w:val="en-GB" w:eastAsia="de-DE"/>
        </w:rPr>
      </w:pPr>
      <w:r w:rsidRPr="00C048FB">
        <w:rPr>
          <w:rFonts w:ascii="Arial" w:eastAsia="Times New Roman" w:hAnsi="Arial" w:cs="Arial"/>
          <w:b/>
          <w:bCs/>
          <w:color w:val="000057"/>
          <w:sz w:val="23"/>
          <w:szCs w:val="23"/>
          <w:u w:val="single"/>
          <w:bdr w:val="none" w:sz="0" w:space="0" w:color="auto"/>
          <w:lang w:val="en-GB" w:eastAsia="de-DE"/>
        </w:rPr>
        <w:t>Scope of Work and Responsibilities</w:t>
      </w:r>
    </w:p>
    <w:p w14:paraId="68BCB1DB" w14:textId="77777777" w:rsidR="00C048FB" w:rsidRPr="00C048FB" w:rsidRDefault="00C048FB" w:rsidP="00C048FB">
      <w:pPr>
        <w:shd w:val="clear" w:color="auto" w:fill="FFFFFF"/>
        <w:rPr>
          <w:rFonts w:ascii="Arial" w:eastAsia="Times New Roman" w:hAnsi="Arial" w:cs="Arial"/>
          <w:b/>
          <w:bCs/>
          <w:color w:val="000057"/>
          <w:sz w:val="23"/>
          <w:szCs w:val="23"/>
          <w:bdr w:val="none" w:sz="0" w:space="0" w:color="auto"/>
          <w:lang w:val="en-GB" w:eastAsia="de-DE"/>
        </w:rPr>
      </w:pPr>
    </w:p>
    <w:p w14:paraId="2A001D6A" w14:textId="77777777" w:rsidR="00C048FB" w:rsidRPr="00C048FB" w:rsidRDefault="00C048FB" w:rsidP="00C048FB">
      <w:pPr>
        <w:shd w:val="clear" w:color="auto" w:fill="FFFFFF"/>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 xml:space="preserve">The objective of this assignment is to outline the framework for the development of a ministerial regulation that promotes competition in the digital platforms market across Africa. This includes identifying key issues, stakeholders, and strategies for ensuring a </w:t>
      </w:r>
      <w:r w:rsidRPr="00C048FB">
        <w:rPr>
          <w:rFonts w:ascii="Arial" w:eastAsia="Times New Roman" w:hAnsi="Arial" w:cs="Arial"/>
          <w:bCs/>
          <w:color w:val="000057"/>
          <w:sz w:val="23"/>
          <w:szCs w:val="23"/>
          <w:bdr w:val="none" w:sz="0" w:space="0" w:color="auto"/>
          <w:lang w:val="en-GB" w:eastAsia="de-DE"/>
        </w:rPr>
        <w:lastRenderedPageBreak/>
        <w:t>competitive landscape that benefits consumers and businesses alike. The study will primarily cover the following aspects:</w:t>
      </w:r>
    </w:p>
    <w:p w14:paraId="617532D6" w14:textId="77777777" w:rsidR="00C048FB" w:rsidRPr="00C048FB" w:rsidRDefault="00C048FB" w:rsidP="00C048FB">
      <w:pPr>
        <w:shd w:val="clear" w:color="auto" w:fill="FFFFFF"/>
        <w:rPr>
          <w:rFonts w:ascii="Arial" w:eastAsia="Times New Roman" w:hAnsi="Arial" w:cs="Arial"/>
          <w:bCs/>
          <w:color w:val="000057"/>
          <w:sz w:val="16"/>
          <w:szCs w:val="16"/>
          <w:bdr w:val="none" w:sz="0" w:space="0" w:color="auto"/>
          <w:lang w:val="en-GB" w:eastAsia="de-DE"/>
        </w:rPr>
      </w:pPr>
    </w:p>
    <w:p w14:paraId="682C38F2"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Conduct a situational analysis of the existing core platforms operated by undertakings within Africa, including their market shares, services offered, and user demographics;</w:t>
      </w:r>
    </w:p>
    <w:p w14:paraId="039189C3"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Analyze the existing relevant policy, regulatory and institutional frameworks, at national and regional levels as well as international best practices in relation to the designation of gatekeepers in the African context;</w:t>
      </w:r>
    </w:p>
    <w:p w14:paraId="015EBC42"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Map key stakeholders and make meaningful engagement in a way relevant to given stakeholders in the African digital ecosystem, including government agencies, private sector entities, organizations, and consumers, to gain insights into their roles and perspectives within the digital market landscape;</w:t>
      </w:r>
    </w:p>
    <w:p w14:paraId="2A68EF38"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Identify existing regulatory gaps and challenges in overseeing digital markets within Africa and ensuring fair competition within the digital ecosystem;</w:t>
      </w:r>
    </w:p>
    <w:p w14:paraId="16ADF683"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Identify policy direction for the regulation of digital platforms;</w:t>
      </w:r>
    </w:p>
    <w:p w14:paraId="2AD6C34A"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Establish a balanced approach to regulating and deregulating digital platforms to foster market efficiency and innovation across the continent;</w:t>
      </w:r>
    </w:p>
    <w:p w14:paraId="0C0EB8DA"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 xml:space="preserve">Identify and define the key criterion (qualitative or quantitative) to guide in the designation of gatekeepers within the African context;   </w:t>
      </w:r>
    </w:p>
    <w:p w14:paraId="2BD63F8D" w14:textId="77777777" w:rsidR="00C048FB" w:rsidRPr="00C048FB" w:rsidRDefault="00C048FB" w:rsidP="00721BB4">
      <w:pPr>
        <w:numPr>
          <w:ilvl w:val="0"/>
          <w:numId w:val="11"/>
        </w:numPr>
        <w:shd w:val="clear" w:color="auto" w:fill="FFFFFF"/>
        <w:spacing w:after="80"/>
        <w:ind w:left="426" w:hanging="357"/>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 xml:space="preserve">Identify the key thematic areas to be addressed in the proposed regulation that designates undertakings as gatekeepers; </w:t>
      </w:r>
    </w:p>
    <w:p w14:paraId="5550D6D5" w14:textId="77777777" w:rsidR="00C048FB" w:rsidRPr="00C048FB" w:rsidRDefault="00C048FB" w:rsidP="00721BB4">
      <w:pPr>
        <w:numPr>
          <w:ilvl w:val="0"/>
          <w:numId w:val="11"/>
        </w:numPr>
        <w:shd w:val="clear" w:color="auto" w:fill="FFFFFF"/>
        <w:ind w:left="426"/>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Define the scope for the Regulation and the legal texts that could guide the implementation of Article 11 of the Protocol on Competition Policy.</w:t>
      </w:r>
    </w:p>
    <w:p w14:paraId="194E79F8" w14:textId="77777777" w:rsidR="00C048FB" w:rsidRPr="00C048FB" w:rsidRDefault="00C048FB" w:rsidP="00C048FB">
      <w:pPr>
        <w:shd w:val="clear" w:color="auto" w:fill="FFFFFF"/>
        <w:rPr>
          <w:rFonts w:ascii="Arial" w:eastAsia="Times New Roman" w:hAnsi="Arial" w:cs="Arial"/>
          <w:bCs/>
          <w:color w:val="000057"/>
          <w:sz w:val="23"/>
          <w:szCs w:val="23"/>
          <w:bdr w:val="none" w:sz="0" w:space="0" w:color="auto"/>
          <w:lang w:val="en-GB" w:eastAsia="de-DE"/>
        </w:rPr>
      </w:pPr>
    </w:p>
    <w:p w14:paraId="72A9CCF2" w14:textId="77777777" w:rsidR="00C048FB" w:rsidRPr="00C048FB" w:rsidRDefault="00C048FB" w:rsidP="00C048FB">
      <w:pPr>
        <w:shd w:val="clear" w:color="auto" w:fill="FFFFFF"/>
        <w:rPr>
          <w:rFonts w:ascii="Arial" w:eastAsia="Times New Roman" w:hAnsi="Arial" w:cs="Arial"/>
          <w:bCs/>
          <w:color w:val="000057"/>
          <w:sz w:val="23"/>
          <w:szCs w:val="23"/>
          <w:bdr w:val="none" w:sz="0" w:space="0" w:color="auto"/>
          <w:lang w:val="en-GB" w:eastAsia="de-DE"/>
        </w:rPr>
      </w:pPr>
    </w:p>
    <w:p w14:paraId="77286668" w14:textId="77777777" w:rsidR="00C048FB" w:rsidRPr="00F15B60" w:rsidRDefault="00C048FB" w:rsidP="00F15B60">
      <w:pPr>
        <w:shd w:val="clear" w:color="auto" w:fill="FFFFFF"/>
        <w:rPr>
          <w:rFonts w:ascii="Arial" w:eastAsia="Times New Roman" w:hAnsi="Arial" w:cs="Arial"/>
          <w:b/>
          <w:bCs/>
          <w:color w:val="000057"/>
          <w:sz w:val="23"/>
          <w:szCs w:val="23"/>
          <w:u w:val="single"/>
          <w:bdr w:val="none" w:sz="0" w:space="0" w:color="auto"/>
          <w:lang w:val="en-GB" w:eastAsia="de-DE"/>
        </w:rPr>
      </w:pPr>
      <w:r w:rsidRPr="00F15B60">
        <w:rPr>
          <w:rFonts w:ascii="Arial" w:eastAsia="Times New Roman" w:hAnsi="Arial" w:cs="Arial"/>
          <w:b/>
          <w:bCs/>
          <w:color w:val="000057"/>
          <w:sz w:val="23"/>
          <w:szCs w:val="23"/>
          <w:u w:val="single"/>
          <w:bdr w:val="none" w:sz="0" w:space="0" w:color="auto"/>
          <w:lang w:val="en-GB" w:eastAsia="de-DE"/>
        </w:rPr>
        <w:t>Reporting and Deliverables</w:t>
      </w:r>
    </w:p>
    <w:p w14:paraId="63EDA5C8" w14:textId="77777777" w:rsidR="00C048FB" w:rsidRPr="00F15B60" w:rsidRDefault="00C048FB" w:rsidP="00C048FB">
      <w:pPr>
        <w:shd w:val="clear" w:color="auto" w:fill="FFFFFF"/>
        <w:rPr>
          <w:rFonts w:ascii="Arial" w:eastAsia="Times New Roman" w:hAnsi="Arial" w:cs="Arial"/>
          <w:bCs/>
          <w:color w:val="000057"/>
          <w:sz w:val="16"/>
          <w:szCs w:val="16"/>
          <w:bdr w:val="none" w:sz="0" w:space="0" w:color="auto"/>
          <w:lang w:val="en-GB" w:eastAsia="de-DE"/>
        </w:rPr>
      </w:pPr>
    </w:p>
    <w:p w14:paraId="2EFDC931" w14:textId="72A5FE26" w:rsidR="00C048FB" w:rsidRPr="00C048FB" w:rsidRDefault="00C048FB" w:rsidP="00F15B60">
      <w:pPr>
        <w:shd w:val="clear" w:color="auto" w:fill="FFFFFF"/>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In execution of the assignment, the consultant will report to the Director of Trade in Goods and Competition of the AfCFTA Secretariat</w:t>
      </w:r>
      <w:r w:rsidR="00076D66">
        <w:rPr>
          <w:rFonts w:ascii="Arial" w:eastAsia="Times New Roman" w:hAnsi="Arial" w:cs="Arial"/>
          <w:bCs/>
          <w:color w:val="000057"/>
          <w:sz w:val="23"/>
          <w:szCs w:val="23"/>
          <w:bdr w:val="none" w:sz="0" w:space="0" w:color="auto"/>
          <w:lang w:val="en-GB" w:eastAsia="de-DE"/>
        </w:rPr>
        <w:t xml:space="preserve">, </w:t>
      </w:r>
      <w:r w:rsidR="00076D66" w:rsidRPr="00076D66">
        <w:rPr>
          <w:rFonts w:ascii="Arial" w:eastAsia="Times New Roman" w:hAnsi="Arial" w:cs="Arial"/>
          <w:bCs/>
          <w:color w:val="000057"/>
          <w:sz w:val="23"/>
          <w:szCs w:val="23"/>
          <w:bdr w:val="none" w:sz="0" w:space="0" w:color="auto"/>
          <w:lang w:val="en-GB" w:eastAsia="de-DE"/>
        </w:rPr>
        <w:t xml:space="preserve">in </w:t>
      </w:r>
      <w:r w:rsidR="00076D66">
        <w:rPr>
          <w:rFonts w:ascii="Arial" w:eastAsia="Times New Roman" w:hAnsi="Arial" w:cs="Arial"/>
          <w:bCs/>
          <w:color w:val="000057"/>
          <w:sz w:val="23"/>
          <w:szCs w:val="23"/>
          <w:bdr w:val="none" w:sz="0" w:space="0" w:color="auto"/>
          <w:lang w:val="en-GB" w:eastAsia="de-DE"/>
        </w:rPr>
        <w:t xml:space="preserve">coordination with the EF Senior </w:t>
      </w:r>
      <w:r w:rsidR="00076D66" w:rsidRPr="00076D66">
        <w:rPr>
          <w:rFonts w:ascii="Arial" w:eastAsia="Times New Roman" w:hAnsi="Arial" w:cs="Arial"/>
          <w:bCs/>
          <w:color w:val="000057"/>
          <w:sz w:val="23"/>
          <w:szCs w:val="23"/>
          <w:bdr w:val="none" w:sz="0" w:space="0" w:color="auto"/>
          <w:lang w:val="en-GB" w:eastAsia="de-DE"/>
        </w:rPr>
        <w:t>Programme Manager as the EU-TAF focal person</w:t>
      </w:r>
      <w:r w:rsidRPr="00076D66">
        <w:rPr>
          <w:rFonts w:ascii="Arial" w:eastAsia="Times New Roman" w:hAnsi="Arial" w:cs="Arial"/>
          <w:bCs/>
          <w:color w:val="000057"/>
          <w:sz w:val="23"/>
          <w:szCs w:val="23"/>
          <w:bdr w:val="none" w:sz="0" w:space="0" w:color="auto"/>
          <w:lang w:val="en-GB" w:eastAsia="de-DE"/>
        </w:rPr>
        <w:t>.</w:t>
      </w:r>
    </w:p>
    <w:p w14:paraId="591C26FB" w14:textId="77777777" w:rsidR="00C048FB" w:rsidRPr="00F15B60" w:rsidRDefault="00C048FB" w:rsidP="00C048FB">
      <w:pPr>
        <w:shd w:val="clear" w:color="auto" w:fill="FFFFFF"/>
        <w:rPr>
          <w:rFonts w:ascii="Arial" w:eastAsia="Times New Roman" w:hAnsi="Arial" w:cs="Arial"/>
          <w:bCs/>
          <w:color w:val="000057"/>
          <w:sz w:val="16"/>
          <w:szCs w:val="16"/>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 xml:space="preserve"> </w:t>
      </w:r>
    </w:p>
    <w:p w14:paraId="28103E48" w14:textId="77777777" w:rsidR="00C048FB" w:rsidRPr="00C048FB" w:rsidRDefault="00C048FB" w:rsidP="00F15B60">
      <w:pPr>
        <w:shd w:val="clear" w:color="auto" w:fill="FFFFFF"/>
        <w:spacing w:after="80"/>
        <w:rPr>
          <w:rFonts w:ascii="Arial" w:eastAsia="Times New Roman" w:hAnsi="Arial" w:cs="Arial"/>
          <w:bCs/>
          <w:color w:val="000057"/>
          <w:sz w:val="23"/>
          <w:szCs w:val="23"/>
          <w:bdr w:val="none" w:sz="0" w:space="0" w:color="auto"/>
          <w:lang w:val="en-GB" w:eastAsia="de-DE"/>
        </w:rPr>
      </w:pPr>
      <w:r w:rsidRPr="00C048FB">
        <w:rPr>
          <w:rFonts w:ascii="Arial" w:eastAsia="Times New Roman" w:hAnsi="Arial" w:cs="Arial"/>
          <w:bCs/>
          <w:color w:val="000057"/>
          <w:sz w:val="23"/>
          <w:szCs w:val="23"/>
          <w:bdr w:val="none" w:sz="0" w:space="0" w:color="auto"/>
          <w:lang w:val="en-GB" w:eastAsia="de-DE"/>
        </w:rPr>
        <w:t>The consultant will be required to submit:</w:t>
      </w:r>
    </w:p>
    <w:p w14:paraId="1232147E" w14:textId="7EF8707D" w:rsidR="00C048FB" w:rsidRDefault="00C048FB" w:rsidP="00706BD4">
      <w:pPr>
        <w:pStyle w:val="Paragraphedeliste"/>
        <w:numPr>
          <w:ilvl w:val="0"/>
          <w:numId w:val="13"/>
        </w:numPr>
        <w:shd w:val="clear" w:color="auto" w:fill="FFFFFF"/>
        <w:spacing w:after="80"/>
        <w:ind w:left="697" w:hanging="340"/>
        <w:contextualSpacing w:val="0"/>
        <w:rPr>
          <w:rFonts w:ascii="Arial" w:eastAsia="Times New Roman" w:hAnsi="Arial" w:cs="Arial"/>
          <w:bCs/>
          <w:color w:val="000057"/>
          <w:sz w:val="23"/>
          <w:szCs w:val="23"/>
          <w:bdr w:val="none" w:sz="0" w:space="0" w:color="auto"/>
          <w:lang w:val="en-GB" w:eastAsia="de-DE"/>
        </w:rPr>
      </w:pPr>
      <w:r w:rsidRPr="00706BD4">
        <w:rPr>
          <w:rFonts w:ascii="Arial" w:eastAsia="Times New Roman" w:hAnsi="Arial" w:cs="Arial"/>
          <w:bCs/>
          <w:color w:val="000057"/>
          <w:sz w:val="23"/>
          <w:szCs w:val="23"/>
          <w:bdr w:val="none" w:sz="0" w:space="0" w:color="auto"/>
          <w:lang w:val="en-GB" w:eastAsia="de-DE"/>
        </w:rPr>
        <w:t>Inception Report on the 10</w:t>
      </w:r>
      <w:r w:rsidRPr="00706BD4">
        <w:rPr>
          <w:rFonts w:ascii="Arial" w:eastAsia="Times New Roman" w:hAnsi="Arial" w:cs="Arial"/>
          <w:bCs/>
          <w:color w:val="000057"/>
          <w:sz w:val="23"/>
          <w:szCs w:val="23"/>
          <w:bdr w:val="none" w:sz="0" w:space="0" w:color="auto"/>
          <w:vertAlign w:val="superscript"/>
          <w:lang w:val="en-GB" w:eastAsia="de-DE"/>
        </w:rPr>
        <w:t>th</w:t>
      </w:r>
      <w:r w:rsidRPr="00706BD4">
        <w:rPr>
          <w:rFonts w:ascii="Arial" w:eastAsia="Times New Roman" w:hAnsi="Arial" w:cs="Arial"/>
          <w:bCs/>
          <w:color w:val="000057"/>
          <w:sz w:val="23"/>
          <w:szCs w:val="23"/>
          <w:bdr w:val="none" w:sz="0" w:space="0" w:color="auto"/>
          <w:lang w:val="en-GB" w:eastAsia="de-DE"/>
        </w:rPr>
        <w:t xml:space="preserve"> working day of the assignment;</w:t>
      </w:r>
    </w:p>
    <w:p w14:paraId="3D2556BB" w14:textId="77777777" w:rsidR="00706BD4" w:rsidRDefault="00C048FB" w:rsidP="00706BD4">
      <w:pPr>
        <w:pStyle w:val="Paragraphedeliste"/>
        <w:numPr>
          <w:ilvl w:val="0"/>
          <w:numId w:val="13"/>
        </w:numPr>
        <w:shd w:val="clear" w:color="auto" w:fill="FFFFFF"/>
        <w:spacing w:after="80"/>
        <w:ind w:left="697" w:hanging="340"/>
        <w:contextualSpacing w:val="0"/>
        <w:rPr>
          <w:rFonts w:ascii="Arial" w:eastAsia="Times New Roman" w:hAnsi="Arial" w:cs="Arial"/>
          <w:bCs/>
          <w:color w:val="000057"/>
          <w:sz w:val="23"/>
          <w:szCs w:val="23"/>
          <w:bdr w:val="none" w:sz="0" w:space="0" w:color="auto"/>
          <w:lang w:val="en-GB" w:eastAsia="de-DE"/>
        </w:rPr>
      </w:pPr>
      <w:r w:rsidRPr="00706BD4">
        <w:rPr>
          <w:rFonts w:ascii="Arial" w:eastAsia="Times New Roman" w:hAnsi="Arial" w:cs="Arial"/>
          <w:bCs/>
          <w:color w:val="000057"/>
          <w:sz w:val="23"/>
          <w:szCs w:val="23"/>
          <w:bdr w:val="none" w:sz="0" w:space="0" w:color="auto"/>
          <w:lang w:val="en-GB" w:eastAsia="de-DE"/>
        </w:rPr>
        <w:t>Draft Study Report on the 40</w:t>
      </w:r>
      <w:r w:rsidRPr="00706BD4">
        <w:rPr>
          <w:rFonts w:ascii="Arial" w:eastAsia="Times New Roman" w:hAnsi="Arial" w:cs="Arial"/>
          <w:bCs/>
          <w:color w:val="000057"/>
          <w:sz w:val="23"/>
          <w:szCs w:val="23"/>
          <w:bdr w:val="none" w:sz="0" w:space="0" w:color="auto"/>
          <w:vertAlign w:val="superscript"/>
          <w:lang w:val="en-GB" w:eastAsia="de-DE"/>
        </w:rPr>
        <w:t>th</w:t>
      </w:r>
      <w:r w:rsidRPr="00706BD4">
        <w:rPr>
          <w:rFonts w:ascii="Arial" w:eastAsia="Times New Roman" w:hAnsi="Arial" w:cs="Arial"/>
          <w:bCs/>
          <w:color w:val="000057"/>
          <w:sz w:val="23"/>
          <w:szCs w:val="23"/>
          <w:bdr w:val="none" w:sz="0" w:space="0" w:color="auto"/>
          <w:lang w:val="en-GB" w:eastAsia="de-DE"/>
        </w:rPr>
        <w:t xml:space="preserve"> working day of the assignment; and</w:t>
      </w:r>
    </w:p>
    <w:p w14:paraId="57891278" w14:textId="40093AE6" w:rsidR="00C048FB" w:rsidRPr="00706BD4" w:rsidRDefault="00076D66" w:rsidP="00706BD4">
      <w:pPr>
        <w:pStyle w:val="Paragraphedeliste"/>
        <w:numPr>
          <w:ilvl w:val="0"/>
          <w:numId w:val="13"/>
        </w:numPr>
        <w:shd w:val="clear" w:color="auto" w:fill="FFFFFF"/>
        <w:spacing w:after="80"/>
        <w:ind w:left="697" w:hanging="340"/>
        <w:contextualSpacing w:val="0"/>
        <w:rPr>
          <w:rFonts w:ascii="Arial" w:eastAsia="Times New Roman" w:hAnsi="Arial" w:cs="Arial"/>
          <w:bCs/>
          <w:color w:val="000057"/>
          <w:sz w:val="23"/>
          <w:szCs w:val="23"/>
          <w:bdr w:val="none" w:sz="0" w:space="0" w:color="auto"/>
          <w:lang w:val="en-GB" w:eastAsia="de-DE"/>
        </w:rPr>
      </w:pPr>
      <w:r w:rsidRPr="00706BD4">
        <w:rPr>
          <w:rFonts w:ascii="Arial" w:eastAsia="Times New Roman" w:hAnsi="Arial" w:cs="Arial"/>
          <w:bCs/>
          <w:color w:val="000057"/>
          <w:sz w:val="23"/>
          <w:szCs w:val="23"/>
          <w:bdr w:val="none" w:sz="0" w:space="0" w:color="auto"/>
          <w:lang w:val="en-GB" w:eastAsia="de-DE"/>
        </w:rPr>
        <w:t>F</w:t>
      </w:r>
      <w:r w:rsidR="00C048FB" w:rsidRPr="00706BD4">
        <w:rPr>
          <w:rFonts w:ascii="Arial" w:eastAsia="Times New Roman" w:hAnsi="Arial" w:cs="Arial"/>
          <w:bCs/>
          <w:color w:val="000057"/>
          <w:sz w:val="23"/>
          <w:szCs w:val="23"/>
          <w:bdr w:val="none" w:sz="0" w:space="0" w:color="auto"/>
          <w:lang w:val="en-GB" w:eastAsia="de-DE"/>
        </w:rPr>
        <w:t>inal Study Report addressing all the Tasks in these TORs on the 60</w:t>
      </w:r>
      <w:r w:rsidR="00C048FB" w:rsidRPr="00706BD4">
        <w:rPr>
          <w:rFonts w:ascii="Arial" w:eastAsia="Times New Roman" w:hAnsi="Arial" w:cs="Arial"/>
          <w:bCs/>
          <w:color w:val="000057"/>
          <w:sz w:val="23"/>
          <w:szCs w:val="23"/>
          <w:bdr w:val="none" w:sz="0" w:space="0" w:color="auto"/>
          <w:vertAlign w:val="superscript"/>
          <w:lang w:val="en-GB" w:eastAsia="de-DE"/>
        </w:rPr>
        <w:t>th</w:t>
      </w:r>
      <w:r w:rsidR="00C048FB" w:rsidRPr="00706BD4">
        <w:rPr>
          <w:rFonts w:ascii="Arial" w:eastAsia="Times New Roman" w:hAnsi="Arial" w:cs="Arial"/>
          <w:bCs/>
          <w:color w:val="000057"/>
          <w:sz w:val="23"/>
          <w:szCs w:val="23"/>
          <w:bdr w:val="none" w:sz="0" w:space="0" w:color="auto"/>
          <w:lang w:val="en-GB" w:eastAsia="de-DE"/>
        </w:rPr>
        <w:t xml:space="preserve"> working day.</w:t>
      </w:r>
    </w:p>
    <w:p w14:paraId="46FFBD04" w14:textId="77777777" w:rsidR="00C048FB" w:rsidRPr="00C048FB" w:rsidRDefault="00C048FB" w:rsidP="00996C75">
      <w:pPr>
        <w:shd w:val="clear" w:color="auto" w:fill="FFFFFF"/>
        <w:rPr>
          <w:rFonts w:ascii="Arial" w:eastAsia="Times New Roman" w:hAnsi="Arial" w:cs="Arial"/>
          <w:bCs/>
          <w:color w:val="000057"/>
          <w:sz w:val="23"/>
          <w:szCs w:val="23"/>
          <w:bdr w:val="none" w:sz="0" w:space="0" w:color="auto"/>
          <w:lang w:val="en-GB" w:eastAsia="de-DE"/>
        </w:rPr>
      </w:pPr>
    </w:p>
    <w:p w14:paraId="1FB595FE" w14:textId="7F415E4D" w:rsidR="00706BD4" w:rsidRDefault="00706BD4" w:rsidP="00706BD4">
      <w:pPr>
        <w:shd w:val="clear" w:color="auto" w:fill="FFFFFF"/>
        <w:rPr>
          <w:rFonts w:ascii="Arial" w:eastAsia="Times New Roman" w:hAnsi="Arial" w:cs="Arial"/>
          <w:b/>
          <w:color w:val="000057"/>
          <w:sz w:val="23"/>
          <w:szCs w:val="23"/>
          <w:u w:val="single"/>
          <w:bdr w:val="none" w:sz="0" w:space="0" w:color="auto"/>
          <w:lang w:val="en-GB" w:eastAsia="de-DE"/>
        </w:rPr>
      </w:pPr>
      <w:r w:rsidRPr="00706BD4">
        <w:rPr>
          <w:rFonts w:ascii="Arial" w:eastAsia="Times New Roman" w:hAnsi="Arial" w:cs="Arial"/>
          <w:b/>
          <w:color w:val="000057"/>
          <w:sz w:val="23"/>
          <w:szCs w:val="23"/>
          <w:u w:val="single"/>
          <w:bdr w:val="none" w:sz="0" w:space="0" w:color="auto"/>
          <w:lang w:val="en-GB" w:eastAsia="de-DE"/>
        </w:rPr>
        <w:t>Terms of Payment</w:t>
      </w:r>
    </w:p>
    <w:p w14:paraId="09CBABC2" w14:textId="77777777" w:rsidR="00706BD4" w:rsidRPr="00706BD4" w:rsidRDefault="00706BD4" w:rsidP="00706BD4">
      <w:pPr>
        <w:shd w:val="clear" w:color="auto" w:fill="FFFFFF"/>
        <w:rPr>
          <w:rFonts w:ascii="Arial" w:eastAsia="Times New Roman" w:hAnsi="Arial" w:cs="Arial"/>
          <w:b/>
          <w:color w:val="000057"/>
          <w:sz w:val="16"/>
          <w:szCs w:val="16"/>
          <w:u w:val="single"/>
          <w:bdr w:val="none" w:sz="0" w:space="0" w:color="auto"/>
          <w:lang w:val="en-GB" w:eastAsia="de-DE"/>
        </w:rPr>
      </w:pPr>
    </w:p>
    <w:p w14:paraId="14480199" w14:textId="6588E7A6" w:rsidR="00706BD4" w:rsidRDefault="00706BD4" w:rsidP="00706BD4">
      <w:pPr>
        <w:pStyle w:val="Paragraphedeliste"/>
        <w:numPr>
          <w:ilvl w:val="0"/>
          <w:numId w:val="14"/>
        </w:numPr>
        <w:shd w:val="clear" w:color="auto" w:fill="FFFFFF"/>
        <w:spacing w:after="80"/>
        <w:ind w:left="697" w:hanging="340"/>
        <w:contextualSpacing w:val="0"/>
        <w:rPr>
          <w:rFonts w:ascii="Arial" w:eastAsia="Times New Roman" w:hAnsi="Arial" w:cs="Arial"/>
          <w:bCs/>
          <w:color w:val="000057"/>
          <w:sz w:val="23"/>
          <w:szCs w:val="23"/>
          <w:bdr w:val="none" w:sz="0" w:space="0" w:color="auto"/>
          <w:lang w:val="en-GB" w:eastAsia="de-DE"/>
        </w:rPr>
      </w:pPr>
      <w:r w:rsidRPr="00706BD4">
        <w:rPr>
          <w:rFonts w:ascii="Arial" w:eastAsia="Times New Roman" w:hAnsi="Arial" w:cs="Arial"/>
          <w:bCs/>
          <w:color w:val="000057"/>
          <w:sz w:val="23"/>
          <w:szCs w:val="23"/>
          <w:bdr w:val="none" w:sz="0" w:space="0" w:color="auto"/>
          <w:lang w:val="en-GB" w:eastAsia="de-DE"/>
        </w:rPr>
        <w:t>15% Payment of Contract Amount upon submission Inception Report and approved by AfCFTA;</w:t>
      </w:r>
    </w:p>
    <w:p w14:paraId="297219A2" w14:textId="5E5CD9C5" w:rsidR="00706BD4" w:rsidRPr="00706BD4" w:rsidRDefault="00706BD4" w:rsidP="00706BD4">
      <w:pPr>
        <w:pStyle w:val="Paragraphedeliste"/>
        <w:numPr>
          <w:ilvl w:val="0"/>
          <w:numId w:val="14"/>
        </w:numPr>
        <w:shd w:val="clear" w:color="auto" w:fill="FFFFFF"/>
        <w:spacing w:after="80"/>
        <w:ind w:left="697" w:hanging="340"/>
        <w:contextualSpacing w:val="0"/>
        <w:rPr>
          <w:rFonts w:ascii="Arial" w:eastAsia="Times New Roman" w:hAnsi="Arial" w:cs="Arial"/>
          <w:bCs/>
          <w:color w:val="000057"/>
          <w:sz w:val="23"/>
          <w:szCs w:val="23"/>
          <w:bdr w:val="none" w:sz="0" w:space="0" w:color="auto"/>
          <w:lang w:val="en-GB" w:eastAsia="de-DE"/>
        </w:rPr>
      </w:pPr>
      <w:r w:rsidRPr="00706BD4">
        <w:rPr>
          <w:rFonts w:ascii="Arial" w:eastAsia="Times New Roman" w:hAnsi="Arial" w:cs="Arial"/>
          <w:bCs/>
          <w:color w:val="000057"/>
          <w:sz w:val="23"/>
          <w:szCs w:val="23"/>
          <w:bdr w:val="none" w:sz="0" w:space="0" w:color="auto"/>
          <w:lang w:val="en-GB" w:eastAsia="de-DE"/>
        </w:rPr>
        <w:t>45% Payment upon acceptance by AfCFTA of the Draft Study Report;</w:t>
      </w:r>
    </w:p>
    <w:p w14:paraId="194E2788" w14:textId="11485343" w:rsidR="00706BD4" w:rsidRPr="00706BD4" w:rsidRDefault="00706BD4" w:rsidP="00706BD4">
      <w:pPr>
        <w:pStyle w:val="Paragraphedeliste"/>
        <w:numPr>
          <w:ilvl w:val="0"/>
          <w:numId w:val="14"/>
        </w:numPr>
        <w:shd w:val="clear" w:color="auto" w:fill="FFFFFF"/>
        <w:spacing w:after="80"/>
        <w:ind w:left="697" w:hanging="340"/>
        <w:contextualSpacing w:val="0"/>
        <w:rPr>
          <w:rFonts w:ascii="Arial" w:eastAsia="Times New Roman" w:hAnsi="Arial" w:cs="Arial"/>
          <w:bCs/>
          <w:color w:val="000057"/>
          <w:sz w:val="23"/>
          <w:szCs w:val="23"/>
          <w:bdr w:val="none" w:sz="0" w:space="0" w:color="auto"/>
          <w:lang w:val="en-GB" w:eastAsia="de-DE"/>
        </w:rPr>
      </w:pPr>
      <w:r w:rsidRPr="00706BD4">
        <w:rPr>
          <w:rFonts w:ascii="Arial" w:eastAsia="Times New Roman" w:hAnsi="Arial" w:cs="Arial"/>
          <w:bCs/>
          <w:color w:val="000057"/>
          <w:sz w:val="23"/>
          <w:szCs w:val="23"/>
          <w:bdr w:val="none" w:sz="0" w:space="0" w:color="auto"/>
          <w:lang w:val="en-GB" w:eastAsia="de-DE"/>
        </w:rPr>
        <w:t>40% Payment upon acceptance by AfCFTA of the Final Study Report.</w:t>
      </w:r>
    </w:p>
    <w:p w14:paraId="664F516A" w14:textId="77777777" w:rsidR="00706BD4" w:rsidRPr="00706BD4" w:rsidRDefault="00706BD4" w:rsidP="00706BD4">
      <w:pPr>
        <w:shd w:val="clear" w:color="auto" w:fill="FFFFFF"/>
        <w:rPr>
          <w:rFonts w:ascii="Arial" w:eastAsia="Times New Roman" w:hAnsi="Arial" w:cs="Arial"/>
          <w:b/>
          <w:color w:val="000057"/>
          <w:sz w:val="23"/>
          <w:szCs w:val="23"/>
          <w:u w:val="single"/>
          <w:bdr w:val="none" w:sz="0" w:space="0" w:color="auto"/>
          <w:lang w:val="en-GB" w:eastAsia="de-DE"/>
        </w:rPr>
      </w:pPr>
    </w:p>
    <w:p w14:paraId="0BF33484" w14:textId="77777777" w:rsidR="00706BD4" w:rsidRPr="00706BD4" w:rsidRDefault="00706BD4" w:rsidP="00706BD4">
      <w:pPr>
        <w:shd w:val="clear" w:color="auto" w:fill="FFFFFF"/>
        <w:rPr>
          <w:rFonts w:ascii="Arial" w:eastAsia="Times New Roman" w:hAnsi="Arial" w:cs="Arial"/>
          <w:b/>
          <w:color w:val="000057"/>
          <w:sz w:val="23"/>
          <w:szCs w:val="23"/>
          <w:u w:val="single"/>
          <w:bdr w:val="none" w:sz="0" w:space="0" w:color="auto"/>
          <w:lang w:val="en-GB" w:eastAsia="de-DE"/>
        </w:rPr>
      </w:pPr>
      <w:r w:rsidRPr="00706BD4">
        <w:rPr>
          <w:rFonts w:ascii="Arial" w:eastAsia="Times New Roman" w:hAnsi="Arial" w:cs="Arial"/>
          <w:b/>
          <w:color w:val="000057"/>
          <w:sz w:val="23"/>
          <w:szCs w:val="23"/>
          <w:u w:val="single"/>
          <w:bdr w:val="none" w:sz="0" w:space="0" w:color="auto"/>
          <w:lang w:val="en-GB" w:eastAsia="de-DE"/>
        </w:rPr>
        <w:t>Duration</w:t>
      </w:r>
    </w:p>
    <w:p w14:paraId="0C3259BD" w14:textId="77777777" w:rsidR="00706BD4" w:rsidRPr="00721BB4" w:rsidRDefault="00706BD4" w:rsidP="00706BD4">
      <w:pPr>
        <w:shd w:val="clear" w:color="auto" w:fill="FFFFFF"/>
        <w:rPr>
          <w:rFonts w:ascii="Arial" w:eastAsia="Times New Roman" w:hAnsi="Arial" w:cs="Arial"/>
          <w:b/>
          <w:color w:val="000057"/>
          <w:sz w:val="16"/>
          <w:szCs w:val="16"/>
          <w:u w:val="single"/>
          <w:bdr w:val="none" w:sz="0" w:space="0" w:color="auto"/>
          <w:lang w:val="en-GB" w:eastAsia="de-DE"/>
        </w:rPr>
      </w:pPr>
    </w:p>
    <w:p w14:paraId="02A95A77" w14:textId="77777777" w:rsidR="00706BD4" w:rsidRPr="00706BD4" w:rsidRDefault="00706BD4" w:rsidP="00706BD4">
      <w:pPr>
        <w:shd w:val="clear" w:color="auto" w:fill="FFFFFF"/>
        <w:rPr>
          <w:rFonts w:ascii="Arial" w:eastAsia="Times New Roman" w:hAnsi="Arial" w:cs="Arial"/>
          <w:bCs/>
          <w:color w:val="000057"/>
          <w:sz w:val="23"/>
          <w:szCs w:val="23"/>
          <w:bdr w:val="none" w:sz="0" w:space="0" w:color="auto"/>
          <w:lang w:val="en-GB" w:eastAsia="de-DE"/>
        </w:rPr>
      </w:pPr>
      <w:r w:rsidRPr="00706BD4">
        <w:rPr>
          <w:rFonts w:ascii="Arial" w:eastAsia="Times New Roman" w:hAnsi="Arial" w:cs="Arial"/>
          <w:bCs/>
          <w:color w:val="000057"/>
          <w:sz w:val="23"/>
          <w:szCs w:val="23"/>
          <w:bdr w:val="none" w:sz="0" w:space="0" w:color="auto"/>
          <w:lang w:val="en-GB" w:eastAsia="de-DE"/>
        </w:rPr>
        <w:t xml:space="preserve">The Consultancy service shall be for 60 working days within a period of three months and a half from the date of the contract signing by both parties. </w:t>
      </w:r>
    </w:p>
    <w:p w14:paraId="468328A2" w14:textId="44FE5AC9" w:rsidR="00C048FB" w:rsidRDefault="00C048FB" w:rsidP="00996C75">
      <w:pPr>
        <w:shd w:val="clear" w:color="auto" w:fill="FFFFFF"/>
        <w:rPr>
          <w:rFonts w:ascii="Arial" w:eastAsia="Times New Roman" w:hAnsi="Arial" w:cs="Arial"/>
          <w:b/>
          <w:color w:val="000057"/>
          <w:sz w:val="23"/>
          <w:szCs w:val="23"/>
          <w:u w:val="single"/>
          <w:bdr w:val="none" w:sz="0" w:space="0" w:color="auto"/>
          <w:lang w:val="en-GB" w:eastAsia="de-DE"/>
        </w:rPr>
      </w:pPr>
    </w:p>
    <w:p w14:paraId="6CED9B6C" w14:textId="77777777" w:rsidR="00721BB4" w:rsidRDefault="00721BB4" w:rsidP="00996C75">
      <w:pPr>
        <w:shd w:val="clear" w:color="auto" w:fill="FFFFFF"/>
        <w:rPr>
          <w:rFonts w:ascii="Arial" w:eastAsia="Times New Roman" w:hAnsi="Arial" w:cs="Arial"/>
          <w:b/>
          <w:color w:val="000057"/>
          <w:sz w:val="23"/>
          <w:szCs w:val="23"/>
          <w:u w:val="single"/>
          <w:bdr w:val="none" w:sz="0" w:space="0" w:color="auto"/>
          <w:lang w:val="en-GB" w:eastAsia="de-DE"/>
        </w:rPr>
      </w:pPr>
    </w:p>
    <w:p w14:paraId="09968DFE" w14:textId="183F070E" w:rsidR="006629B1" w:rsidRPr="006629B1" w:rsidRDefault="006629B1" w:rsidP="006629B1">
      <w:pPr>
        <w:pBdr>
          <w:top w:val="none" w:sz="0" w:space="0" w:color="auto"/>
          <w:left w:val="single" w:sz="24" w:space="15" w:color="1981CF"/>
          <w:bottom w:val="none" w:sz="0" w:space="0" w:color="auto"/>
          <w:right w:val="none" w:sz="0" w:space="0" w:color="auto"/>
          <w:between w:val="none" w:sz="0" w:space="0" w:color="auto"/>
          <w:bar w:val="none" w:sz="0" w:color="auto"/>
        </w:pBdr>
        <w:shd w:val="clear" w:color="auto" w:fill="FFFFFF"/>
        <w:spacing w:after="240"/>
        <w:outlineLvl w:val="1"/>
        <w:rPr>
          <w:rFonts w:ascii="Arial" w:eastAsia="Times New Roman" w:hAnsi="Arial" w:cs="Arial"/>
          <w:color w:val="333333"/>
          <w:sz w:val="36"/>
          <w:szCs w:val="36"/>
          <w:bdr w:val="none" w:sz="0" w:space="0" w:color="auto"/>
          <w:lang w:val="en-GB" w:eastAsia="en-GB"/>
        </w:rPr>
      </w:pPr>
      <w:r w:rsidRPr="006629B1">
        <w:rPr>
          <w:rFonts w:ascii="Arial" w:eastAsia="Times New Roman" w:hAnsi="Arial" w:cs="Arial"/>
          <w:color w:val="333333"/>
          <w:sz w:val="36"/>
          <w:szCs w:val="36"/>
          <w:bdr w:val="none" w:sz="0" w:space="0" w:color="auto"/>
          <w:lang w:val="en-GB" w:eastAsia="en-GB"/>
        </w:rPr>
        <w:t>Required profile</w:t>
      </w:r>
      <w:r w:rsidR="00721BB4">
        <w:rPr>
          <w:rFonts w:ascii="Arial" w:eastAsia="Times New Roman" w:hAnsi="Arial" w:cs="Arial"/>
          <w:color w:val="333333"/>
          <w:sz w:val="36"/>
          <w:szCs w:val="36"/>
          <w:bdr w:val="none" w:sz="0" w:space="0" w:color="auto"/>
          <w:lang w:val="en-GB" w:eastAsia="en-GB"/>
        </w:rPr>
        <w:t>, submission, and evaluation criteria</w:t>
      </w:r>
    </w:p>
    <w:p w14:paraId="6D152D5F" w14:textId="77777777" w:rsidR="00721BB4" w:rsidRDefault="00721BB4" w:rsidP="00721BB4">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Times New Roman" w:hAnsi="Arial" w:cs="Arial"/>
          <w:b/>
          <w:color w:val="000057"/>
          <w:sz w:val="23"/>
          <w:szCs w:val="23"/>
          <w:u w:val="single"/>
          <w:bdr w:val="none" w:sz="0" w:space="0" w:color="auto"/>
          <w:lang w:val="en-GB" w:eastAsia="de-DE"/>
        </w:rPr>
      </w:pPr>
      <w:r>
        <w:rPr>
          <w:rFonts w:ascii="Arial" w:eastAsia="Times New Roman" w:hAnsi="Arial" w:cs="Arial"/>
          <w:b/>
          <w:color w:val="000057"/>
          <w:sz w:val="23"/>
          <w:szCs w:val="23"/>
          <w:u w:val="single"/>
          <w:bdr w:val="none" w:sz="0" w:space="0" w:color="auto"/>
          <w:lang w:val="en-GB" w:eastAsia="de-DE"/>
        </w:rPr>
        <w:lastRenderedPageBreak/>
        <w:t>Required Profile</w:t>
      </w:r>
    </w:p>
    <w:p w14:paraId="2B952F62" w14:textId="2E5E2744" w:rsidR="005229B0" w:rsidRPr="00721BB4" w:rsidRDefault="006629B1" w:rsidP="00721BB4">
      <w:p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left="567"/>
        <w:jc w:val="both"/>
        <w:rPr>
          <w:rFonts w:ascii="Arial" w:eastAsia="Times New Roman" w:hAnsi="Arial" w:cs="Arial"/>
          <w:b/>
          <w:i/>
          <w:iCs/>
          <w:color w:val="000057"/>
          <w:sz w:val="23"/>
          <w:szCs w:val="23"/>
          <w:bdr w:val="none" w:sz="0" w:space="0" w:color="auto"/>
          <w:lang w:val="en-GB" w:eastAsia="de-DE"/>
        </w:rPr>
      </w:pPr>
      <w:r w:rsidRPr="00721BB4">
        <w:rPr>
          <w:rFonts w:ascii="Arial" w:eastAsia="Times New Roman" w:hAnsi="Arial" w:cs="Arial"/>
          <w:b/>
          <w:i/>
          <w:iCs/>
          <w:color w:val="000057"/>
          <w:sz w:val="23"/>
          <w:szCs w:val="23"/>
          <w:bdr w:val="none" w:sz="0" w:space="0" w:color="auto"/>
          <w:lang w:val="en-GB" w:eastAsia="de-DE"/>
        </w:rPr>
        <w:t>Qualifications and skills</w:t>
      </w:r>
    </w:p>
    <w:p w14:paraId="1661EED3" w14:textId="77777777" w:rsidR="00C82B0A" w:rsidRPr="009F764D" w:rsidRDefault="00C82B0A" w:rsidP="00C82B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ajorHAnsi" w:eastAsia="Calibri" w:hAnsiTheme="majorHAnsi" w:cstheme="majorHAnsi"/>
          <w:b/>
          <w:color w:val="000000" w:themeColor="text1"/>
          <w:sz w:val="2"/>
          <w:szCs w:val="2"/>
          <w:bdr w:val="none" w:sz="0" w:space="0" w:color="auto"/>
          <w:lang w:val="en-GB"/>
        </w:rPr>
      </w:pPr>
    </w:p>
    <w:p w14:paraId="4613D457"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The consultant shall hold at least a University Master’s Degree in Trade, Competition Law, Economics, Information, Communications and Technology, Public Policy or International relations.</w:t>
      </w:r>
    </w:p>
    <w:p w14:paraId="01C5F696"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 xml:space="preserve">Additional qualification or certification in competition law will be an advantage. </w:t>
      </w:r>
    </w:p>
    <w:p w14:paraId="229177F7" w14:textId="77777777" w:rsidR="00C82B0A" w:rsidRPr="00C82B0A" w:rsidRDefault="00C82B0A" w:rsidP="00C82B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ajorHAnsi" w:eastAsia="Calibri" w:hAnsiTheme="majorHAnsi" w:cstheme="majorHAnsi"/>
          <w:color w:val="000000" w:themeColor="text1"/>
          <w:sz w:val="20"/>
          <w:szCs w:val="20"/>
          <w:bdr w:val="none" w:sz="0" w:space="0" w:color="auto"/>
          <w:lang w:val="en-GB"/>
        </w:rPr>
      </w:pPr>
    </w:p>
    <w:p w14:paraId="41B3FD4C" w14:textId="77777777" w:rsidR="00C82B0A" w:rsidRPr="00721BB4" w:rsidRDefault="00C82B0A" w:rsidP="00721BB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ascii="Arial" w:eastAsia="Times New Roman" w:hAnsi="Arial" w:cs="Arial"/>
          <w:b/>
          <w:i/>
          <w:iCs/>
          <w:color w:val="000057"/>
          <w:sz w:val="23"/>
          <w:szCs w:val="23"/>
          <w:bdr w:val="none" w:sz="0" w:space="0" w:color="auto"/>
          <w:lang w:val="en-GB" w:eastAsia="de-DE"/>
        </w:rPr>
      </w:pPr>
      <w:r w:rsidRPr="00721BB4">
        <w:rPr>
          <w:rFonts w:ascii="Arial" w:eastAsia="Times New Roman" w:hAnsi="Arial" w:cs="Arial"/>
          <w:b/>
          <w:i/>
          <w:iCs/>
          <w:color w:val="000057"/>
          <w:sz w:val="23"/>
          <w:szCs w:val="23"/>
          <w:bdr w:val="none" w:sz="0" w:space="0" w:color="auto"/>
          <w:lang w:val="en-GB" w:eastAsia="de-DE"/>
        </w:rPr>
        <w:t xml:space="preserve">Professional experience </w:t>
      </w:r>
    </w:p>
    <w:p w14:paraId="310930CA"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 xml:space="preserve">A minimum of Ten (10) years of relevant professional experience in competition policy and law, Economics, Information, Communications and Technology. </w:t>
      </w:r>
    </w:p>
    <w:p w14:paraId="48A1899A"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Demonstrated knowledge and understanding of the digital markets at both continental and global levels.</w:t>
      </w:r>
    </w:p>
    <w:p w14:paraId="7828B913"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Proven experience in conducting at least two qualitative and quantitative research studies, specifically focussing on digital platforms in both African and global contexts.</w:t>
      </w:r>
    </w:p>
    <w:p w14:paraId="4D510FD4"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 xml:space="preserve">Knowledge and demonstrated experience in the drafting of regional competition laws and regulations. </w:t>
      </w:r>
    </w:p>
    <w:p w14:paraId="39D910A8"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In-depth understanding of African competition regimes and awareness of recent developments in this field.</w:t>
      </w:r>
    </w:p>
    <w:p w14:paraId="5760D24C"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Proficiency in English and/or French. A working knowledge of the other AU languages will be an added advantage.</w:t>
      </w:r>
    </w:p>
    <w:p w14:paraId="3870A293" w14:textId="77777777" w:rsidR="00C82B0A" w:rsidRPr="00C82B0A" w:rsidRDefault="00C82B0A" w:rsidP="00C82B0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64" w:lineRule="auto"/>
        <w:ind w:left="397" w:hanging="284"/>
        <w:jc w:val="both"/>
        <w:rPr>
          <w:rFonts w:ascii="Arial" w:eastAsia="Calibri" w:hAnsi="Arial" w:cs="Arial"/>
          <w:color w:val="000057"/>
          <w:sz w:val="23"/>
          <w:szCs w:val="23"/>
          <w:bdr w:val="none" w:sz="0" w:space="0" w:color="auto"/>
        </w:rPr>
      </w:pPr>
      <w:r w:rsidRPr="00C82B0A">
        <w:rPr>
          <w:rFonts w:ascii="Arial" w:eastAsia="Calibri" w:hAnsi="Arial" w:cs="Arial"/>
          <w:color w:val="000057"/>
          <w:sz w:val="23"/>
          <w:szCs w:val="23"/>
          <w:bdr w:val="none" w:sz="0" w:space="0" w:color="auto"/>
        </w:rPr>
        <w:t>The consultant must show proficiency in Word, Excel and Power Point.</w:t>
      </w:r>
    </w:p>
    <w:p w14:paraId="249B46F0" w14:textId="18186702" w:rsidR="006B1033" w:rsidRPr="00721BB4" w:rsidRDefault="006B1033" w:rsidP="00C82B0A">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16"/>
          <w:szCs w:val="16"/>
          <w:bdr w:val="none" w:sz="0" w:space="0" w:color="auto"/>
        </w:rPr>
      </w:pPr>
    </w:p>
    <w:p w14:paraId="68710C9B" w14:textId="77777777" w:rsidR="009F764D" w:rsidRPr="009F764D" w:rsidRDefault="009F764D" w:rsidP="009F764D">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b/>
          <w:color w:val="000057"/>
          <w:sz w:val="23"/>
          <w:szCs w:val="23"/>
          <w:u w:val="single"/>
          <w:bdr w:val="none" w:sz="0" w:space="0" w:color="auto"/>
          <w:lang w:val="en-GB"/>
        </w:rPr>
      </w:pPr>
      <w:bookmarkStart w:id="3" w:name="_Hlk128569676"/>
      <w:r w:rsidRPr="009F764D">
        <w:rPr>
          <w:rFonts w:ascii="Arial" w:eastAsia="Calibri" w:hAnsi="Arial" w:cs="Arial"/>
          <w:b/>
          <w:color w:val="000057"/>
          <w:sz w:val="23"/>
          <w:szCs w:val="23"/>
          <w:u w:val="single"/>
          <w:bdr w:val="none" w:sz="0" w:space="0" w:color="auto"/>
          <w:lang w:val="en-GB"/>
        </w:rPr>
        <w:t>Submission of CVs, Technical Proposal and Work Plan</w:t>
      </w:r>
    </w:p>
    <w:p w14:paraId="53FD93AA" w14:textId="59535C6C" w:rsidR="009F764D" w:rsidRDefault="009F764D" w:rsidP="009F764D">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lang w:val="en-GB"/>
        </w:rPr>
      </w:pPr>
      <w:r w:rsidRPr="009F764D">
        <w:rPr>
          <w:rFonts w:ascii="Arial" w:eastAsia="Calibri" w:hAnsi="Arial" w:cs="Arial"/>
          <w:color w:val="000057"/>
          <w:sz w:val="23"/>
          <w:szCs w:val="23"/>
          <w:bdr w:val="none" w:sz="0" w:space="0" w:color="auto"/>
          <w:lang w:val="en-GB"/>
        </w:rPr>
        <w:t>A detailed CV and a Technical and Financial Proposal (including a Work Plan indicating key activities to be undertaken, deliverables at key stages/phases) should be submitted.</w:t>
      </w:r>
    </w:p>
    <w:p w14:paraId="6E0D864E" w14:textId="77777777" w:rsidR="009F764D" w:rsidRPr="009F764D" w:rsidRDefault="009F764D" w:rsidP="009F764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000057"/>
          <w:sz w:val="18"/>
          <w:szCs w:val="18"/>
          <w:bdr w:val="none" w:sz="0" w:space="0" w:color="auto"/>
          <w:lang w:val="en-GB"/>
        </w:rPr>
      </w:pPr>
    </w:p>
    <w:p w14:paraId="4216B62D" w14:textId="77777777" w:rsidR="009F764D" w:rsidRPr="009F764D" w:rsidRDefault="009F764D" w:rsidP="00721BB4">
      <w:pPr>
        <w:pStyle w:val="Paragraphedeliste"/>
        <w:numPr>
          <w:ilvl w:val="0"/>
          <w:numId w:val="22"/>
        </w:numPr>
        <w:shd w:val="clear" w:color="auto" w:fill="FFFFFF"/>
        <w:spacing w:after="80"/>
        <w:ind w:left="567" w:hanging="340"/>
        <w:contextualSpacing w:val="0"/>
        <w:rPr>
          <w:rFonts w:ascii="Arial" w:eastAsia="Calibri" w:hAnsi="Arial" w:cs="Arial"/>
          <w:color w:val="000057"/>
          <w:sz w:val="23"/>
          <w:szCs w:val="23"/>
          <w:bdr w:val="none" w:sz="0" w:space="0" w:color="auto"/>
          <w:lang w:val="en-GB"/>
        </w:rPr>
      </w:pPr>
      <w:r w:rsidRPr="00510FE0">
        <w:rPr>
          <w:rFonts w:ascii="Arial" w:eastAsia="Calibri" w:hAnsi="Arial" w:cs="Arial"/>
          <w:i/>
          <w:iCs/>
          <w:color w:val="000057"/>
          <w:sz w:val="23"/>
          <w:szCs w:val="23"/>
          <w:u w:val="single"/>
          <w:bdr w:val="none" w:sz="0" w:space="0" w:color="auto"/>
          <w:lang w:val="en-GB"/>
        </w:rPr>
        <w:t>Detailed CV</w:t>
      </w:r>
      <w:r w:rsidRPr="009F764D">
        <w:rPr>
          <w:rFonts w:ascii="Arial" w:eastAsia="Calibri" w:hAnsi="Arial" w:cs="Arial"/>
          <w:color w:val="000057"/>
          <w:sz w:val="23"/>
          <w:szCs w:val="23"/>
          <w:bdr w:val="none" w:sz="0" w:space="0" w:color="auto"/>
          <w:lang w:val="en-GB"/>
        </w:rPr>
        <w:t xml:space="preserve"> outlining the following: </w:t>
      </w:r>
    </w:p>
    <w:p w14:paraId="7C57B8E1" w14:textId="4C7735A4" w:rsidR="009F764D" w:rsidRDefault="009F764D" w:rsidP="00721BB4">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left="981" w:hanging="357"/>
        <w:contextualSpacing w:val="0"/>
        <w:jc w:val="both"/>
        <w:rPr>
          <w:rFonts w:ascii="Arial" w:eastAsia="Calibri" w:hAnsi="Arial" w:cs="Arial"/>
          <w:color w:val="000057"/>
          <w:sz w:val="23"/>
          <w:szCs w:val="23"/>
          <w:bdr w:val="none" w:sz="0" w:space="0" w:color="auto"/>
          <w:lang w:val="en-GB"/>
        </w:rPr>
      </w:pPr>
      <w:r w:rsidRPr="00721BB4">
        <w:rPr>
          <w:rFonts w:ascii="Arial" w:eastAsia="Calibri" w:hAnsi="Arial" w:cs="Arial"/>
          <w:color w:val="000057"/>
          <w:sz w:val="23"/>
          <w:szCs w:val="23"/>
          <w:bdr w:val="none" w:sz="0" w:space="0" w:color="auto"/>
          <w:lang w:val="en-GB"/>
        </w:rPr>
        <w:t>Educational and Professional Qualification/Certifications</w:t>
      </w:r>
      <w:r w:rsidR="00721BB4">
        <w:rPr>
          <w:rFonts w:ascii="Arial" w:eastAsia="Calibri" w:hAnsi="Arial" w:cs="Arial"/>
          <w:color w:val="000057"/>
          <w:sz w:val="23"/>
          <w:szCs w:val="23"/>
          <w:bdr w:val="none" w:sz="0" w:space="0" w:color="auto"/>
          <w:lang w:val="en-GB"/>
        </w:rPr>
        <w:t>;</w:t>
      </w:r>
    </w:p>
    <w:p w14:paraId="4C5C9C74" w14:textId="1451A188" w:rsidR="009F764D" w:rsidRDefault="009F764D" w:rsidP="00721BB4">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left="981" w:hanging="357"/>
        <w:contextualSpacing w:val="0"/>
        <w:jc w:val="both"/>
        <w:rPr>
          <w:rFonts w:ascii="Arial" w:eastAsia="Calibri" w:hAnsi="Arial" w:cs="Arial"/>
          <w:color w:val="000057"/>
          <w:sz w:val="23"/>
          <w:szCs w:val="23"/>
          <w:bdr w:val="none" w:sz="0" w:space="0" w:color="auto"/>
          <w:lang w:val="en-GB"/>
        </w:rPr>
      </w:pPr>
      <w:r w:rsidRPr="00721BB4">
        <w:rPr>
          <w:rFonts w:ascii="Arial" w:eastAsia="Calibri" w:hAnsi="Arial" w:cs="Arial"/>
          <w:color w:val="000057"/>
          <w:sz w:val="23"/>
          <w:szCs w:val="23"/>
          <w:bdr w:val="none" w:sz="0" w:space="0" w:color="auto"/>
          <w:lang w:val="en-GB"/>
        </w:rPr>
        <w:t xml:space="preserve">Relevant experience in similar assignment as backed by attached copies of testimonials in form of reference letters/completion </w:t>
      </w:r>
      <w:r w:rsidR="00721BB4">
        <w:rPr>
          <w:rFonts w:ascii="Arial" w:eastAsia="Calibri" w:hAnsi="Arial" w:cs="Arial"/>
          <w:color w:val="000057"/>
          <w:sz w:val="23"/>
          <w:szCs w:val="23"/>
          <w:bdr w:val="none" w:sz="0" w:space="0" w:color="auto"/>
          <w:lang w:val="en-GB"/>
        </w:rPr>
        <w:t>certificates/contracts;</w:t>
      </w:r>
    </w:p>
    <w:p w14:paraId="17EAECC7" w14:textId="1AE48962" w:rsidR="009F764D" w:rsidRDefault="009F764D" w:rsidP="00721BB4">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left="981" w:hanging="357"/>
        <w:contextualSpacing w:val="0"/>
        <w:jc w:val="both"/>
        <w:rPr>
          <w:rFonts w:ascii="Arial" w:eastAsia="Calibri" w:hAnsi="Arial" w:cs="Arial"/>
          <w:color w:val="000057"/>
          <w:sz w:val="23"/>
          <w:szCs w:val="23"/>
          <w:bdr w:val="none" w:sz="0" w:space="0" w:color="auto"/>
          <w:lang w:val="en-GB"/>
        </w:rPr>
      </w:pPr>
      <w:r w:rsidRPr="00721BB4">
        <w:rPr>
          <w:rFonts w:ascii="Arial" w:eastAsia="Calibri" w:hAnsi="Arial" w:cs="Arial"/>
          <w:color w:val="000057"/>
          <w:sz w:val="23"/>
          <w:szCs w:val="23"/>
          <w:bdr w:val="none" w:sz="0" w:space="0" w:color="auto"/>
          <w:lang w:val="en-GB"/>
        </w:rPr>
        <w:t>The CV must clearly indicate the number of similar assignments and specific dates/periods the same were undertaken</w:t>
      </w:r>
      <w:r w:rsidR="00721BB4">
        <w:rPr>
          <w:rFonts w:ascii="Arial" w:eastAsia="Calibri" w:hAnsi="Arial" w:cs="Arial"/>
          <w:color w:val="000057"/>
          <w:sz w:val="23"/>
          <w:szCs w:val="23"/>
          <w:bdr w:val="none" w:sz="0" w:space="0" w:color="auto"/>
          <w:lang w:val="en-GB"/>
        </w:rPr>
        <w:t>;</w:t>
      </w:r>
      <w:r w:rsidRPr="00721BB4">
        <w:rPr>
          <w:rFonts w:ascii="Arial" w:eastAsia="Calibri" w:hAnsi="Arial" w:cs="Arial"/>
          <w:color w:val="000057"/>
          <w:sz w:val="23"/>
          <w:szCs w:val="23"/>
          <w:bdr w:val="none" w:sz="0" w:space="0" w:color="auto"/>
          <w:lang w:val="en-GB"/>
        </w:rPr>
        <w:t xml:space="preserve"> </w:t>
      </w:r>
    </w:p>
    <w:p w14:paraId="2A8A5195" w14:textId="261A0AB1" w:rsidR="009F764D" w:rsidRPr="00721BB4" w:rsidRDefault="009F764D" w:rsidP="00721BB4">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left="981" w:hanging="357"/>
        <w:contextualSpacing w:val="0"/>
        <w:jc w:val="both"/>
        <w:rPr>
          <w:rFonts w:ascii="Arial" w:eastAsia="Calibri" w:hAnsi="Arial" w:cs="Arial"/>
          <w:color w:val="000057"/>
          <w:sz w:val="23"/>
          <w:szCs w:val="23"/>
          <w:bdr w:val="none" w:sz="0" w:space="0" w:color="auto"/>
          <w:lang w:val="en-GB"/>
        </w:rPr>
      </w:pPr>
      <w:r w:rsidRPr="00721BB4">
        <w:rPr>
          <w:rFonts w:ascii="Arial" w:eastAsia="Calibri" w:hAnsi="Arial" w:cs="Arial"/>
          <w:color w:val="000057"/>
          <w:sz w:val="23"/>
          <w:szCs w:val="23"/>
          <w:bdr w:val="none" w:sz="0" w:space="0" w:color="auto"/>
          <w:lang w:val="en-GB"/>
        </w:rPr>
        <w:t>References with Phone number and email addresses.</w:t>
      </w:r>
    </w:p>
    <w:p w14:paraId="582010AF" w14:textId="77777777" w:rsidR="009F764D" w:rsidRPr="009F764D" w:rsidRDefault="009F764D" w:rsidP="009F764D">
      <w:pPr>
        <w:pBdr>
          <w:top w:val="none" w:sz="0" w:space="0" w:color="auto"/>
          <w:left w:val="none" w:sz="0" w:space="0" w:color="auto"/>
          <w:bottom w:val="none" w:sz="0" w:space="0" w:color="auto"/>
          <w:right w:val="none" w:sz="0" w:space="0" w:color="auto"/>
          <w:between w:val="none" w:sz="0" w:space="0" w:color="auto"/>
          <w:bar w:val="none" w:sz="0" w:color="auto"/>
        </w:pBdr>
        <w:spacing w:before="120"/>
        <w:ind w:left="1979"/>
        <w:jc w:val="both"/>
        <w:rPr>
          <w:rFonts w:ascii="Arial" w:eastAsia="Calibri" w:hAnsi="Arial" w:cs="Arial"/>
          <w:color w:val="000057"/>
          <w:sz w:val="16"/>
          <w:szCs w:val="16"/>
          <w:bdr w:val="none" w:sz="0" w:space="0" w:color="auto"/>
          <w:lang w:val="en-GB"/>
        </w:rPr>
      </w:pPr>
    </w:p>
    <w:p w14:paraId="176878F4" w14:textId="77777777" w:rsidR="009F764D" w:rsidRPr="009F764D" w:rsidRDefault="009F764D" w:rsidP="00721BB4">
      <w:pPr>
        <w:pStyle w:val="Paragraphedeliste"/>
        <w:numPr>
          <w:ilvl w:val="0"/>
          <w:numId w:val="22"/>
        </w:numPr>
        <w:shd w:val="clear" w:color="auto" w:fill="FFFFFF"/>
        <w:spacing w:after="80"/>
        <w:ind w:left="567" w:hanging="340"/>
        <w:contextualSpacing w:val="0"/>
        <w:rPr>
          <w:rFonts w:ascii="Arial" w:eastAsia="Calibri" w:hAnsi="Arial" w:cs="Arial"/>
          <w:color w:val="000057"/>
          <w:sz w:val="23"/>
          <w:szCs w:val="23"/>
          <w:bdr w:val="none" w:sz="0" w:space="0" w:color="auto"/>
          <w:lang w:val="en-GB"/>
        </w:rPr>
      </w:pPr>
      <w:r w:rsidRPr="00510FE0">
        <w:rPr>
          <w:rFonts w:ascii="Arial" w:eastAsia="Calibri" w:hAnsi="Arial" w:cs="Arial"/>
          <w:i/>
          <w:iCs/>
          <w:color w:val="000057"/>
          <w:sz w:val="23"/>
          <w:szCs w:val="23"/>
          <w:u w:val="single"/>
          <w:bdr w:val="none" w:sz="0" w:space="0" w:color="auto"/>
          <w:lang w:val="en-GB"/>
        </w:rPr>
        <w:t>Technical and Financial Proposal</w:t>
      </w:r>
      <w:r w:rsidRPr="009F764D">
        <w:rPr>
          <w:rFonts w:ascii="Arial" w:eastAsia="Calibri" w:hAnsi="Arial" w:cs="Arial"/>
          <w:color w:val="000057"/>
          <w:sz w:val="23"/>
          <w:szCs w:val="23"/>
          <w:bdr w:val="none" w:sz="0" w:space="0" w:color="auto"/>
          <w:lang w:val="en-GB"/>
        </w:rPr>
        <w:t xml:space="preserve">. The proposal should outline the following: </w:t>
      </w:r>
    </w:p>
    <w:p w14:paraId="1DF4E87B" w14:textId="1AF458D1" w:rsidR="009F764D" w:rsidRPr="00721BB4" w:rsidRDefault="009F764D" w:rsidP="00721BB4">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left="981" w:hanging="357"/>
        <w:contextualSpacing w:val="0"/>
        <w:jc w:val="both"/>
        <w:rPr>
          <w:rFonts w:ascii="Arial" w:eastAsia="Calibri" w:hAnsi="Arial" w:cs="Arial"/>
          <w:color w:val="000057"/>
          <w:sz w:val="23"/>
          <w:szCs w:val="23"/>
          <w:bdr w:val="none" w:sz="0" w:space="0" w:color="auto"/>
          <w:lang w:val="en-GB"/>
        </w:rPr>
      </w:pPr>
      <w:r w:rsidRPr="009F764D">
        <w:rPr>
          <w:rFonts w:ascii="Arial" w:eastAsia="Calibri" w:hAnsi="Arial" w:cs="Arial"/>
          <w:color w:val="000057"/>
          <w:sz w:val="23"/>
          <w:szCs w:val="23"/>
          <w:bdr w:val="none" w:sz="0" w:space="0" w:color="auto"/>
          <w:lang w:val="en-GB"/>
        </w:rPr>
        <w:t>Technical Approach and Methodology: The consultant is required to prepare and submit a clear and simple but detailed technical approach and methodology demonstrating his/her understanding of the assignment while also outlining his/her objectives, activities, deliverables and ou</w:t>
      </w:r>
      <w:r w:rsidR="00721BB4">
        <w:rPr>
          <w:rFonts w:ascii="Arial" w:eastAsia="Calibri" w:hAnsi="Arial" w:cs="Arial"/>
          <w:color w:val="000057"/>
          <w:sz w:val="23"/>
          <w:szCs w:val="23"/>
          <w:bdr w:val="none" w:sz="0" w:space="0" w:color="auto"/>
          <w:lang w:val="en-GB"/>
        </w:rPr>
        <w:t>tput relevant to the assignment;</w:t>
      </w:r>
      <w:r w:rsidRPr="009F764D">
        <w:rPr>
          <w:rFonts w:ascii="Arial" w:eastAsia="Calibri" w:hAnsi="Arial" w:cs="Arial"/>
          <w:color w:val="000057"/>
          <w:sz w:val="23"/>
          <w:szCs w:val="23"/>
          <w:bdr w:val="none" w:sz="0" w:space="0" w:color="auto"/>
          <w:lang w:val="en-GB"/>
        </w:rPr>
        <w:t xml:space="preserve"> </w:t>
      </w:r>
    </w:p>
    <w:p w14:paraId="5787873B" w14:textId="2B000D96" w:rsidR="009F764D" w:rsidRDefault="009F764D" w:rsidP="00721BB4">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left="981" w:hanging="357"/>
        <w:contextualSpacing w:val="0"/>
        <w:jc w:val="both"/>
        <w:rPr>
          <w:rFonts w:ascii="Arial" w:eastAsia="Calibri" w:hAnsi="Arial" w:cs="Arial"/>
          <w:color w:val="000057"/>
          <w:sz w:val="23"/>
          <w:szCs w:val="23"/>
          <w:bdr w:val="none" w:sz="0" w:space="0" w:color="auto"/>
          <w:lang w:val="en-GB"/>
        </w:rPr>
      </w:pPr>
      <w:r w:rsidRPr="009F764D">
        <w:rPr>
          <w:rFonts w:ascii="Arial" w:eastAsia="Calibri" w:hAnsi="Arial" w:cs="Arial"/>
          <w:color w:val="000057"/>
          <w:sz w:val="23"/>
          <w:szCs w:val="23"/>
          <w:bdr w:val="none" w:sz="0" w:space="0" w:color="auto"/>
          <w:lang w:val="en-GB"/>
        </w:rPr>
        <w:t>Financial Proposal.</w:t>
      </w:r>
    </w:p>
    <w:p w14:paraId="055BC664" w14:textId="26A61869" w:rsidR="009F764D" w:rsidRPr="00721BB4" w:rsidRDefault="009F764D" w:rsidP="00721BB4">
      <w:pPr>
        <w:pStyle w:val="Paragraphedelis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ind w:left="981" w:hanging="357"/>
        <w:contextualSpacing w:val="0"/>
        <w:jc w:val="both"/>
        <w:rPr>
          <w:rFonts w:ascii="Arial" w:eastAsia="Calibri" w:hAnsi="Arial" w:cs="Arial"/>
          <w:color w:val="000057"/>
          <w:sz w:val="23"/>
          <w:szCs w:val="23"/>
          <w:bdr w:val="none" w:sz="0" w:space="0" w:color="auto"/>
          <w:lang w:val="en-GB"/>
        </w:rPr>
      </w:pPr>
      <w:r w:rsidRPr="00721BB4">
        <w:rPr>
          <w:rFonts w:ascii="Arial" w:eastAsia="Calibri" w:hAnsi="Arial" w:cs="Arial"/>
          <w:color w:val="000057"/>
          <w:sz w:val="23"/>
          <w:szCs w:val="23"/>
          <w:bdr w:val="none" w:sz="0" w:space="0" w:color="auto"/>
        </w:rPr>
        <w:t xml:space="preserve">Detailed Work Plan that indicates the key activities to be undertaken, </w:t>
      </w:r>
      <w:bookmarkEnd w:id="3"/>
    </w:p>
    <w:p w14:paraId="3D53A183" w14:textId="144A7844" w:rsidR="002567C1" w:rsidRPr="009F764D" w:rsidRDefault="002567C1" w:rsidP="00721BB4">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b/>
          <w:color w:val="000057"/>
          <w:sz w:val="23"/>
          <w:szCs w:val="23"/>
          <w:u w:val="single"/>
          <w:bdr w:val="none" w:sz="0" w:space="0" w:color="auto"/>
          <w:lang w:val="en-GB"/>
        </w:rPr>
      </w:pPr>
      <w:r w:rsidRPr="009F764D">
        <w:rPr>
          <w:rFonts w:ascii="Arial" w:eastAsia="Calibri" w:hAnsi="Arial" w:cs="Arial"/>
          <w:b/>
          <w:color w:val="000057"/>
          <w:sz w:val="23"/>
          <w:szCs w:val="23"/>
          <w:u w:val="single"/>
          <w:bdr w:val="none" w:sz="0" w:space="0" w:color="auto"/>
          <w:lang w:val="en-GB"/>
        </w:rPr>
        <w:lastRenderedPageBreak/>
        <w:t xml:space="preserve">Evaluation criteria </w:t>
      </w:r>
    </w:p>
    <w:p w14:paraId="4C67E4DF" w14:textId="77777777" w:rsidR="002567C1" w:rsidRPr="00721BB4"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b/>
          <w:color w:val="000057"/>
          <w:sz w:val="10"/>
          <w:szCs w:val="10"/>
          <w:bdr w:val="none" w:sz="0" w:space="0" w:color="auto"/>
          <w:lang w:val="en-GB"/>
        </w:rPr>
      </w:pPr>
    </w:p>
    <w:p w14:paraId="48C42763" w14:textId="77777777" w:rsidR="002567C1" w:rsidRPr="002567C1" w:rsidRDefault="002567C1" w:rsidP="00721BB4">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lang w:val="en-GB"/>
        </w:rPr>
      </w:pPr>
      <w:r w:rsidRPr="002567C1">
        <w:rPr>
          <w:rFonts w:ascii="Arial" w:eastAsia="Calibri" w:hAnsi="Arial" w:cs="Arial"/>
          <w:color w:val="000057"/>
          <w:sz w:val="23"/>
          <w:szCs w:val="23"/>
          <w:bdr w:val="none" w:sz="0" w:space="0" w:color="auto"/>
          <w:lang w:val="en-GB"/>
        </w:rPr>
        <w:t>Interested Consultant should provide information on her/his qualifications and experience demonstrating their ability to undertake the assignment (CV, reference to similar services, experience in similar assignments, etc.). The consultants on the shortlist will be evaluated on the following criteria based on their updated resume.</w:t>
      </w:r>
    </w:p>
    <w:p w14:paraId="1C2740D4" w14:textId="286E958D"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lang w:val="en-GB"/>
        </w:rPr>
      </w:pPr>
    </w:p>
    <w:tbl>
      <w:tblPr>
        <w:tblW w:w="9350" w:type="dxa"/>
        <w:tblCellMar>
          <w:left w:w="10" w:type="dxa"/>
          <w:right w:w="10" w:type="dxa"/>
        </w:tblCellMar>
        <w:tblLook w:val="04A0" w:firstRow="1" w:lastRow="0" w:firstColumn="1" w:lastColumn="0" w:noHBand="0" w:noVBand="1"/>
      </w:tblPr>
      <w:tblGrid>
        <w:gridCol w:w="535"/>
        <w:gridCol w:w="2160"/>
        <w:gridCol w:w="5130"/>
        <w:gridCol w:w="1525"/>
      </w:tblGrid>
      <w:tr w:rsidR="002567C1" w:rsidRPr="002567C1" w14:paraId="0E928860" w14:textId="77777777" w:rsidTr="00F94AA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ECF32"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b/>
                <w:bCs/>
                <w:color w:val="000057"/>
                <w:sz w:val="23"/>
                <w:szCs w:val="23"/>
                <w:bdr w:val="none" w:sz="0" w:space="0" w:color="auto"/>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F8442"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b/>
                <w:bCs/>
                <w:color w:val="000057"/>
                <w:sz w:val="23"/>
                <w:szCs w:val="23"/>
                <w:bdr w:val="none" w:sz="0" w:space="0" w:color="auto"/>
              </w:rPr>
            </w:pPr>
            <w:r w:rsidRPr="002567C1">
              <w:rPr>
                <w:rFonts w:ascii="Arial" w:eastAsia="Calibri" w:hAnsi="Arial" w:cs="Arial"/>
                <w:b/>
                <w:bCs/>
                <w:color w:val="000057"/>
                <w:sz w:val="23"/>
                <w:szCs w:val="23"/>
                <w:bdr w:val="none" w:sz="0" w:space="0" w:color="auto"/>
              </w:rPr>
              <w:t>Criteria</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C2AC"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b/>
                <w:bCs/>
                <w:color w:val="000057"/>
                <w:sz w:val="23"/>
                <w:szCs w:val="23"/>
                <w:bdr w:val="none" w:sz="0" w:space="0" w:color="auto"/>
              </w:rPr>
            </w:pPr>
            <w:r w:rsidRPr="002567C1">
              <w:rPr>
                <w:rFonts w:ascii="Arial" w:eastAsia="Calibri" w:hAnsi="Arial" w:cs="Arial"/>
                <w:b/>
                <w:bCs/>
                <w:color w:val="000057"/>
                <w:sz w:val="23"/>
                <w:szCs w:val="23"/>
                <w:bdr w:val="none" w:sz="0" w:space="0" w:color="auto"/>
              </w:rPr>
              <w:t>Particulars</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3381"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b/>
                <w:bCs/>
                <w:color w:val="000057"/>
                <w:sz w:val="23"/>
                <w:szCs w:val="23"/>
                <w:bdr w:val="none" w:sz="0" w:space="0" w:color="auto"/>
              </w:rPr>
            </w:pPr>
            <w:r w:rsidRPr="002567C1">
              <w:rPr>
                <w:rFonts w:ascii="Arial" w:eastAsia="Calibri" w:hAnsi="Arial" w:cs="Arial"/>
                <w:b/>
                <w:bCs/>
                <w:color w:val="000057"/>
                <w:sz w:val="23"/>
                <w:szCs w:val="23"/>
                <w:bdr w:val="none" w:sz="0" w:space="0" w:color="auto"/>
              </w:rPr>
              <w:t>Max Points Allocated</w:t>
            </w:r>
          </w:p>
        </w:tc>
      </w:tr>
      <w:tr w:rsidR="002567C1" w:rsidRPr="002567C1" w14:paraId="6EA232F8" w14:textId="77777777" w:rsidTr="00F94AA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67A4F"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1.</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EF25B"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General Education Qualification and Professional Training</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455BE"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Consultant to indicate the name and type of degree obtained, the year of the degree and must attach </w:t>
            </w:r>
            <w:r w:rsidRPr="002567C1">
              <w:rPr>
                <w:rFonts w:ascii="Arial" w:eastAsia="Calibri" w:hAnsi="Arial" w:cs="Arial"/>
                <w:color w:val="000057"/>
                <w:sz w:val="23"/>
                <w:szCs w:val="23"/>
                <w:u w:val="single"/>
                <w:bdr w:val="none" w:sz="0" w:space="0" w:color="auto"/>
              </w:rPr>
              <w:t>copies of certificates</w:t>
            </w:r>
            <w:r w:rsidRPr="002567C1">
              <w:rPr>
                <w:rFonts w:ascii="Arial" w:eastAsia="Calibri" w:hAnsi="Arial" w:cs="Arial"/>
                <w:color w:val="000057"/>
                <w:sz w:val="23"/>
                <w:szCs w:val="23"/>
                <w:bdr w:val="none" w:sz="0" w:space="0" w:color="auto"/>
              </w:rPr>
              <w:t xml:space="preserve"> to support </w:t>
            </w:r>
            <w:r w:rsidRPr="002567C1">
              <w:rPr>
                <w:rFonts w:ascii="Arial" w:eastAsia="Calibri" w:hAnsi="Arial" w:cs="Arial"/>
                <w:b/>
                <w:bCs/>
                <w:color w:val="000057"/>
                <w:sz w:val="23"/>
                <w:szCs w:val="23"/>
                <w:u w:val="single"/>
                <w:bdr w:val="none" w:sz="0" w:space="0" w:color="auto"/>
              </w:rPr>
              <w:t>qualifications</w:t>
            </w:r>
            <w:r w:rsidRPr="002567C1">
              <w:rPr>
                <w:rFonts w:ascii="Arial" w:eastAsia="Calibri" w:hAnsi="Arial" w:cs="Arial"/>
                <w:color w:val="000057"/>
                <w:sz w:val="23"/>
                <w:szCs w:val="23"/>
                <w:bdr w:val="none" w:sz="0" w:space="0" w:color="auto"/>
              </w:rPr>
              <w:t xml:space="preserve"> </w:t>
            </w:r>
          </w:p>
          <w:p w14:paraId="120A14D8" w14:textId="77777777" w:rsidR="002567C1" w:rsidRPr="002567C1" w:rsidRDefault="002567C1" w:rsidP="00A65A3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Relevance – </w:t>
            </w:r>
            <w:r w:rsidRPr="002567C1">
              <w:rPr>
                <w:rFonts w:ascii="Arial" w:eastAsia="Calibri" w:hAnsi="Arial" w:cs="Arial"/>
                <w:color w:val="000057"/>
                <w:sz w:val="23"/>
                <w:szCs w:val="23"/>
                <w:u w:val="single"/>
                <w:bdr w:val="none" w:sz="0" w:space="0" w:color="auto"/>
              </w:rPr>
              <w:t>08 points</w:t>
            </w:r>
          </w:p>
          <w:p w14:paraId="27CE6C80" w14:textId="77777777" w:rsidR="002567C1" w:rsidRPr="002567C1" w:rsidRDefault="002567C1" w:rsidP="00A65A3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Attached certificates – </w:t>
            </w:r>
            <w:r w:rsidRPr="002567C1">
              <w:rPr>
                <w:rFonts w:ascii="Arial" w:eastAsia="Calibri" w:hAnsi="Arial" w:cs="Arial"/>
                <w:color w:val="000057"/>
                <w:sz w:val="23"/>
                <w:szCs w:val="23"/>
                <w:u w:val="single"/>
                <w:bdr w:val="none" w:sz="0" w:space="0" w:color="auto"/>
              </w:rPr>
              <w:t>07 points</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2FA9"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15</w:t>
            </w:r>
          </w:p>
        </w:tc>
      </w:tr>
      <w:tr w:rsidR="002567C1" w:rsidRPr="002567C1" w14:paraId="64112357" w14:textId="77777777" w:rsidTr="00F94AA8">
        <w:trPr>
          <w:trHeight w:val="6047"/>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A465C"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A1169"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Experience Related to the Assignment</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C8C1" w14:textId="5AE23565" w:rsidR="002567C1" w:rsidRPr="002567C1" w:rsidRDefault="002567C1" w:rsidP="00FE3E9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b/>
                <w:bCs/>
                <w:color w:val="000057"/>
                <w:sz w:val="23"/>
                <w:szCs w:val="23"/>
                <w:u w:val="single"/>
                <w:bdr w:val="none" w:sz="0" w:space="0" w:color="auto"/>
              </w:rPr>
              <w:t>Experience</w:t>
            </w:r>
            <w:r w:rsidRPr="002567C1">
              <w:rPr>
                <w:rFonts w:ascii="Arial" w:eastAsia="Calibri" w:hAnsi="Arial" w:cs="Arial"/>
                <w:color w:val="000057"/>
                <w:sz w:val="23"/>
                <w:szCs w:val="23"/>
                <w:bdr w:val="none" w:sz="0" w:space="0" w:color="auto"/>
              </w:rPr>
              <w:t xml:space="preserve"> must be clearly outlined in the CV and this must be backed by testimonials </w:t>
            </w:r>
            <w:r w:rsidRPr="002567C1">
              <w:rPr>
                <w:rFonts w:ascii="Arial" w:eastAsia="Calibri" w:hAnsi="Arial" w:cs="Arial"/>
                <w:color w:val="000057"/>
                <w:sz w:val="23"/>
                <w:szCs w:val="23"/>
                <w:bdr w:val="none" w:sz="0" w:space="0" w:color="auto"/>
                <w:lang w:val="en-GB"/>
              </w:rPr>
              <w:t xml:space="preserve">in form of </w:t>
            </w:r>
            <w:r w:rsidRPr="002567C1">
              <w:rPr>
                <w:rFonts w:ascii="Arial" w:eastAsia="Calibri" w:hAnsi="Arial" w:cs="Arial"/>
                <w:color w:val="000057"/>
                <w:sz w:val="23"/>
                <w:szCs w:val="23"/>
                <w:u w:val="single"/>
                <w:bdr w:val="none" w:sz="0" w:space="0" w:color="auto"/>
                <w:lang w:val="en-GB"/>
              </w:rPr>
              <w:t>reference letters</w:t>
            </w:r>
            <w:r w:rsidR="00FE3E91">
              <w:rPr>
                <w:rFonts w:ascii="Arial" w:eastAsia="Calibri" w:hAnsi="Arial" w:cs="Arial"/>
                <w:color w:val="000057"/>
                <w:sz w:val="23"/>
                <w:szCs w:val="23"/>
                <w:u w:val="single"/>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w:t>
            </w:r>
            <w:r w:rsidR="00FE3E91">
              <w:rPr>
                <w:rFonts w:ascii="Arial" w:eastAsia="Calibri" w:hAnsi="Arial" w:cs="Arial"/>
                <w:color w:val="000057"/>
                <w:sz w:val="23"/>
                <w:szCs w:val="23"/>
                <w:u w:val="single"/>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completion certificates/</w:t>
            </w:r>
            <w:r w:rsidR="00FE3E91">
              <w:rPr>
                <w:rFonts w:ascii="Arial" w:eastAsia="Calibri" w:hAnsi="Arial" w:cs="Arial"/>
                <w:color w:val="000057"/>
                <w:sz w:val="23"/>
                <w:szCs w:val="23"/>
                <w:u w:val="single"/>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contracts</w:t>
            </w:r>
            <w:r w:rsidRPr="002567C1">
              <w:rPr>
                <w:rFonts w:ascii="Arial" w:eastAsia="Calibri" w:hAnsi="Arial" w:cs="Arial"/>
                <w:color w:val="000057"/>
                <w:sz w:val="23"/>
                <w:szCs w:val="23"/>
                <w:bdr w:val="none" w:sz="0" w:space="0" w:color="auto"/>
                <w:lang w:val="en-GB"/>
              </w:rPr>
              <w:t>.</w:t>
            </w:r>
          </w:p>
          <w:p w14:paraId="59346542" w14:textId="77777777" w:rsidR="002567C1" w:rsidRPr="002567C1" w:rsidRDefault="002567C1" w:rsidP="00A65A3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lang w:val="en-GB"/>
              </w:rPr>
              <w:t xml:space="preserve">A minimum of Ten (10) years of relevant professional experience in relevant field – </w:t>
            </w:r>
            <w:r w:rsidRPr="002567C1">
              <w:rPr>
                <w:rFonts w:ascii="Arial" w:eastAsia="Calibri" w:hAnsi="Arial" w:cs="Arial"/>
                <w:color w:val="000057"/>
                <w:sz w:val="23"/>
                <w:szCs w:val="23"/>
                <w:u w:val="single"/>
                <w:bdr w:val="none" w:sz="0" w:space="0" w:color="auto"/>
                <w:lang w:val="en-GB"/>
              </w:rPr>
              <w:t>07 Points</w:t>
            </w:r>
            <w:r w:rsidRPr="002567C1">
              <w:rPr>
                <w:rFonts w:ascii="Arial" w:eastAsia="Calibri" w:hAnsi="Arial" w:cs="Arial"/>
                <w:b/>
                <w:bCs/>
                <w:color w:val="000057"/>
                <w:sz w:val="23"/>
                <w:szCs w:val="23"/>
                <w:bdr w:val="none" w:sz="0" w:space="0" w:color="auto"/>
                <w:lang w:val="en-GB"/>
              </w:rPr>
              <w:t xml:space="preserve"> </w:t>
            </w:r>
          </w:p>
          <w:p w14:paraId="4A1D8A50" w14:textId="77777777" w:rsidR="002567C1" w:rsidRPr="002567C1" w:rsidRDefault="002567C1" w:rsidP="00A65A3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lang w:val="en-GB"/>
              </w:rPr>
              <w:t xml:space="preserve">Demonstrated knowledge and understanding of the digital markets at both continental and global levels – </w:t>
            </w:r>
            <w:r w:rsidRPr="002567C1">
              <w:rPr>
                <w:rFonts w:ascii="Arial" w:eastAsia="Calibri" w:hAnsi="Arial" w:cs="Arial"/>
                <w:color w:val="000057"/>
                <w:sz w:val="23"/>
                <w:szCs w:val="23"/>
                <w:u w:val="single"/>
                <w:bdr w:val="none" w:sz="0" w:space="0" w:color="auto"/>
                <w:lang w:val="en-GB"/>
              </w:rPr>
              <w:t>12 Points</w:t>
            </w:r>
            <w:r w:rsidRPr="002567C1">
              <w:rPr>
                <w:rFonts w:ascii="Arial" w:eastAsia="Calibri" w:hAnsi="Arial" w:cs="Arial"/>
                <w:b/>
                <w:bCs/>
                <w:color w:val="000057"/>
                <w:sz w:val="23"/>
                <w:szCs w:val="23"/>
                <w:bdr w:val="none" w:sz="0" w:space="0" w:color="auto"/>
                <w:lang w:val="en-GB"/>
              </w:rPr>
              <w:t xml:space="preserve"> </w:t>
            </w:r>
          </w:p>
          <w:p w14:paraId="6A500A22" w14:textId="77777777" w:rsidR="002567C1" w:rsidRPr="002567C1" w:rsidRDefault="002567C1" w:rsidP="00A65A3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u w:val="single"/>
                <w:bdr w:val="none" w:sz="0" w:space="0" w:color="auto"/>
              </w:rPr>
            </w:pPr>
            <w:r w:rsidRPr="002567C1">
              <w:rPr>
                <w:rFonts w:ascii="Arial" w:eastAsia="Calibri" w:hAnsi="Arial" w:cs="Arial"/>
                <w:color w:val="000057"/>
                <w:sz w:val="23"/>
                <w:szCs w:val="23"/>
                <w:bdr w:val="none" w:sz="0" w:space="0" w:color="auto"/>
                <w:lang w:val="en-GB"/>
              </w:rPr>
              <w:t xml:space="preserve">Proven experience in conducting at least two qualitative and quantitative research, with a specific focus on digital platforms in both African and global contexts – </w:t>
            </w:r>
            <w:r w:rsidRPr="002567C1">
              <w:rPr>
                <w:rFonts w:ascii="Arial" w:eastAsia="Calibri" w:hAnsi="Arial" w:cs="Arial"/>
                <w:color w:val="000057"/>
                <w:sz w:val="23"/>
                <w:szCs w:val="23"/>
                <w:u w:val="single"/>
                <w:bdr w:val="none" w:sz="0" w:space="0" w:color="auto"/>
                <w:lang w:val="en-GB"/>
              </w:rPr>
              <w:t xml:space="preserve">08 points </w:t>
            </w:r>
          </w:p>
          <w:p w14:paraId="1BA1A9D9" w14:textId="375DB1F0" w:rsidR="002567C1" w:rsidRPr="002567C1" w:rsidRDefault="002567C1" w:rsidP="00A65A3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u w:val="single"/>
                <w:bdr w:val="none" w:sz="0" w:space="0" w:color="auto"/>
              </w:rPr>
            </w:pPr>
            <w:r w:rsidRPr="002567C1">
              <w:rPr>
                <w:rFonts w:ascii="Arial" w:eastAsia="Calibri" w:hAnsi="Arial" w:cs="Arial"/>
                <w:color w:val="000057"/>
                <w:sz w:val="23"/>
                <w:szCs w:val="23"/>
                <w:bdr w:val="none" w:sz="0" w:space="0" w:color="auto"/>
                <w:lang w:val="en-GB"/>
              </w:rPr>
              <w:t xml:space="preserve">Demonstrated experience in the legal drafting of regional competition laws – </w:t>
            </w:r>
            <w:r w:rsidRPr="002567C1">
              <w:rPr>
                <w:rFonts w:ascii="Arial" w:eastAsia="Calibri" w:hAnsi="Arial" w:cs="Arial"/>
                <w:color w:val="000057"/>
                <w:sz w:val="23"/>
                <w:szCs w:val="23"/>
                <w:u w:val="single"/>
                <w:bdr w:val="none" w:sz="0" w:space="0" w:color="auto"/>
                <w:lang w:val="en-GB"/>
              </w:rPr>
              <w:t xml:space="preserve">04 </w:t>
            </w:r>
            <w:r w:rsidR="00A65A30">
              <w:rPr>
                <w:rFonts w:ascii="Arial" w:eastAsia="Calibri" w:hAnsi="Arial" w:cs="Arial"/>
                <w:color w:val="000057"/>
                <w:sz w:val="23"/>
                <w:szCs w:val="23"/>
                <w:u w:val="single"/>
                <w:bdr w:val="none" w:sz="0" w:space="0" w:color="auto"/>
                <w:lang w:val="en-GB"/>
              </w:rPr>
              <w:t>points</w:t>
            </w:r>
          </w:p>
          <w:p w14:paraId="23FDA819" w14:textId="77777777" w:rsidR="002567C1" w:rsidRPr="002567C1" w:rsidRDefault="002567C1" w:rsidP="00A65A3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lang w:val="en-GB"/>
              </w:rPr>
              <w:t xml:space="preserve">Demonstrated understanding of African competition regimes and awareness of recent developments in this field – </w:t>
            </w:r>
            <w:r w:rsidRPr="002567C1">
              <w:rPr>
                <w:rFonts w:ascii="Arial" w:eastAsia="Calibri" w:hAnsi="Arial" w:cs="Arial"/>
                <w:color w:val="000057"/>
                <w:sz w:val="23"/>
                <w:szCs w:val="23"/>
                <w:u w:val="single"/>
                <w:bdr w:val="none" w:sz="0" w:space="0" w:color="auto"/>
                <w:lang w:val="en-GB"/>
              </w:rPr>
              <w:t>04 points</w:t>
            </w:r>
          </w:p>
          <w:p w14:paraId="55269EBF"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4F328"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35</w:t>
            </w:r>
          </w:p>
        </w:tc>
      </w:tr>
      <w:tr w:rsidR="002567C1" w:rsidRPr="002567C1" w14:paraId="178AAF32" w14:textId="77777777" w:rsidTr="00F94AA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5AA55"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3.</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43DAC"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Workplan/ Technical Approach and Methodology</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AB35"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As indicated in the </w:t>
            </w:r>
            <w:r w:rsidRPr="002567C1">
              <w:rPr>
                <w:rFonts w:ascii="Arial" w:eastAsia="Calibri" w:hAnsi="Arial" w:cs="Arial"/>
                <w:b/>
                <w:bCs/>
                <w:color w:val="000057"/>
                <w:sz w:val="23"/>
                <w:szCs w:val="23"/>
                <w:u w:val="single"/>
                <w:bdr w:val="none" w:sz="0" w:space="0" w:color="auto"/>
              </w:rPr>
              <w:t>Technical Proposal</w:t>
            </w:r>
            <w:r w:rsidRPr="002567C1">
              <w:rPr>
                <w:rFonts w:ascii="Arial" w:eastAsia="Calibri" w:hAnsi="Arial" w:cs="Arial"/>
                <w:color w:val="000057"/>
                <w:sz w:val="23"/>
                <w:szCs w:val="23"/>
                <w:bdr w:val="none" w:sz="0" w:space="0" w:color="auto"/>
              </w:rPr>
              <w:t xml:space="preserve"> the following will be assessed.</w:t>
            </w:r>
          </w:p>
          <w:p w14:paraId="189AC651" w14:textId="77777777" w:rsidR="002567C1" w:rsidRPr="002567C1" w:rsidRDefault="002567C1" w:rsidP="00A65A3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u w:val="single"/>
                <w:bdr w:val="none" w:sz="0" w:space="0" w:color="auto"/>
              </w:rPr>
            </w:pPr>
            <w:r w:rsidRPr="002567C1">
              <w:rPr>
                <w:rFonts w:ascii="Arial" w:eastAsia="Calibri" w:hAnsi="Arial" w:cs="Arial"/>
                <w:color w:val="000057"/>
                <w:sz w:val="23"/>
                <w:szCs w:val="23"/>
                <w:bdr w:val="none" w:sz="0" w:space="0" w:color="auto"/>
              </w:rPr>
              <w:t xml:space="preserve">Demonstrated understanding of the assigning </w:t>
            </w:r>
            <w:r w:rsidRPr="002567C1">
              <w:rPr>
                <w:rFonts w:ascii="Arial" w:eastAsia="Calibri" w:hAnsi="Arial" w:cs="Arial"/>
                <w:color w:val="000057"/>
                <w:sz w:val="23"/>
                <w:szCs w:val="23"/>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06 points</w:t>
            </w:r>
          </w:p>
          <w:p w14:paraId="04B6DA26" w14:textId="77777777" w:rsidR="002567C1" w:rsidRPr="002567C1" w:rsidRDefault="002567C1" w:rsidP="00A65A3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lastRenderedPageBreak/>
              <w:t xml:space="preserve">Work plan </w:t>
            </w:r>
            <w:r w:rsidRPr="002567C1">
              <w:rPr>
                <w:rFonts w:ascii="Arial" w:eastAsia="Calibri" w:hAnsi="Arial" w:cs="Arial"/>
                <w:color w:val="000057"/>
                <w:sz w:val="23"/>
                <w:szCs w:val="23"/>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06 points</w:t>
            </w:r>
          </w:p>
          <w:p w14:paraId="75DB8EEC" w14:textId="77777777" w:rsidR="002567C1" w:rsidRPr="002567C1" w:rsidRDefault="002567C1" w:rsidP="00A65A3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Objectives </w:t>
            </w:r>
            <w:r w:rsidRPr="002567C1">
              <w:rPr>
                <w:rFonts w:ascii="Arial" w:eastAsia="Calibri" w:hAnsi="Arial" w:cs="Arial"/>
                <w:color w:val="000057"/>
                <w:sz w:val="23"/>
                <w:szCs w:val="23"/>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06 points</w:t>
            </w:r>
          </w:p>
          <w:p w14:paraId="0306F541" w14:textId="77777777" w:rsidR="002567C1" w:rsidRPr="002567C1" w:rsidRDefault="002567C1" w:rsidP="00A65A3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Activities </w:t>
            </w:r>
            <w:r w:rsidRPr="002567C1">
              <w:rPr>
                <w:rFonts w:ascii="Arial" w:eastAsia="Calibri" w:hAnsi="Arial" w:cs="Arial"/>
                <w:color w:val="000057"/>
                <w:sz w:val="23"/>
                <w:szCs w:val="23"/>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06 points</w:t>
            </w:r>
            <w:r w:rsidRPr="002567C1" w:rsidDel="002934DD">
              <w:rPr>
                <w:rFonts w:ascii="Arial" w:eastAsia="Calibri" w:hAnsi="Arial" w:cs="Arial"/>
                <w:color w:val="000057"/>
                <w:sz w:val="23"/>
                <w:szCs w:val="23"/>
                <w:bdr w:val="none" w:sz="0" w:space="0" w:color="auto"/>
              </w:rPr>
              <w:t xml:space="preserve"> </w:t>
            </w:r>
          </w:p>
          <w:p w14:paraId="3CFB5DB6" w14:textId="77777777" w:rsidR="002567C1" w:rsidRPr="002567C1" w:rsidRDefault="002567C1" w:rsidP="00A65A3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454" w:hanging="227"/>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Deliverables </w:t>
            </w:r>
            <w:r w:rsidRPr="002567C1">
              <w:rPr>
                <w:rFonts w:ascii="Arial" w:eastAsia="Calibri" w:hAnsi="Arial" w:cs="Arial"/>
                <w:color w:val="000057"/>
                <w:sz w:val="23"/>
                <w:szCs w:val="23"/>
                <w:bdr w:val="none" w:sz="0" w:space="0" w:color="auto"/>
                <w:lang w:val="en-GB"/>
              </w:rPr>
              <w:t xml:space="preserve">– </w:t>
            </w:r>
            <w:r w:rsidRPr="002567C1">
              <w:rPr>
                <w:rFonts w:ascii="Arial" w:eastAsia="Calibri" w:hAnsi="Arial" w:cs="Arial"/>
                <w:color w:val="000057"/>
                <w:sz w:val="23"/>
                <w:szCs w:val="23"/>
                <w:u w:val="single"/>
                <w:bdr w:val="none" w:sz="0" w:space="0" w:color="auto"/>
                <w:lang w:val="en-GB"/>
              </w:rPr>
              <w:t>06 points</w:t>
            </w:r>
          </w:p>
          <w:p w14:paraId="1246D136"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4B0AD"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lastRenderedPageBreak/>
              <w:t>30</w:t>
            </w:r>
          </w:p>
        </w:tc>
      </w:tr>
      <w:tr w:rsidR="002567C1" w:rsidRPr="002567C1" w14:paraId="4222CFFD" w14:textId="77777777" w:rsidTr="00F94AA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FDC8B"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lastRenderedPageBreak/>
              <w:t>4.</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C8FFE"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Financial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CF8C3"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 xml:space="preserve">A </w:t>
            </w:r>
            <w:r w:rsidRPr="002567C1">
              <w:rPr>
                <w:rFonts w:ascii="Arial" w:eastAsia="Calibri" w:hAnsi="Arial" w:cs="Arial"/>
                <w:b/>
                <w:bCs/>
                <w:color w:val="000057"/>
                <w:sz w:val="23"/>
                <w:szCs w:val="23"/>
                <w:u w:val="single"/>
                <w:bdr w:val="none" w:sz="0" w:space="0" w:color="auto"/>
              </w:rPr>
              <w:t>Financial Proposal</w:t>
            </w:r>
            <w:r w:rsidRPr="002567C1">
              <w:rPr>
                <w:rFonts w:ascii="Arial" w:eastAsia="Calibri" w:hAnsi="Arial" w:cs="Arial"/>
                <w:color w:val="000057"/>
                <w:sz w:val="23"/>
                <w:szCs w:val="23"/>
                <w:bdr w:val="none" w:sz="0" w:space="0" w:color="auto"/>
              </w:rPr>
              <w:t xml:space="preserve"> within the maximum budget of € 45,000.</w:t>
            </w:r>
          </w:p>
          <w:p w14:paraId="3F40237C"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334D"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rPr>
            </w:pPr>
            <w:r w:rsidRPr="002567C1">
              <w:rPr>
                <w:rFonts w:ascii="Arial" w:eastAsia="Calibri" w:hAnsi="Arial" w:cs="Arial"/>
                <w:color w:val="000057"/>
                <w:sz w:val="23"/>
                <w:szCs w:val="23"/>
                <w:bdr w:val="none" w:sz="0" w:space="0" w:color="auto"/>
              </w:rPr>
              <w:t>20</w:t>
            </w:r>
          </w:p>
        </w:tc>
      </w:tr>
    </w:tbl>
    <w:p w14:paraId="4C91ED88" w14:textId="77777777" w:rsidR="002567C1" w:rsidRPr="002567C1" w:rsidRDefault="002567C1" w:rsidP="002567C1">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lang w:val="en-GB"/>
        </w:rPr>
      </w:pPr>
    </w:p>
    <w:p w14:paraId="15526555" w14:textId="77777777" w:rsidR="002567C1" w:rsidRPr="002567C1" w:rsidRDefault="002567C1" w:rsidP="00510FE0">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lang w:val="en-GB"/>
        </w:rPr>
      </w:pPr>
      <w:bookmarkStart w:id="4" w:name="_GoBack"/>
      <w:bookmarkEnd w:id="4"/>
      <w:r w:rsidRPr="002567C1">
        <w:rPr>
          <w:rFonts w:ascii="Arial" w:eastAsia="Calibri" w:hAnsi="Arial" w:cs="Arial"/>
          <w:color w:val="000057"/>
          <w:sz w:val="23"/>
          <w:szCs w:val="23"/>
          <w:bdr w:val="none" w:sz="0" w:space="0" w:color="auto"/>
          <w:lang w:val="en-GB"/>
        </w:rPr>
        <w:t>The minimum qualifying technical score is 70 Points. The highest ranked technical proposals, together with a financial proposal within the stated budget of €45,000, will be pre-selected in view of contract award. The AfCFTA Secretariat and Expertise France will conduct interviews and possibly other competency assessment of the Consultant, with the view to ascertain his or her credibility in performing this assignment. All consultants will be ranked and the first on the list will be selected for the assignment if his/her final fee rate is within the budget.</w:t>
      </w:r>
    </w:p>
    <w:p w14:paraId="5C183EEF" w14:textId="77777777" w:rsidR="00F851EF" w:rsidRPr="002567C1" w:rsidRDefault="00F851EF" w:rsidP="00C82B0A">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Fonts w:ascii="Arial" w:eastAsia="Calibri" w:hAnsi="Arial" w:cs="Arial"/>
          <w:color w:val="000057"/>
          <w:sz w:val="23"/>
          <w:szCs w:val="23"/>
          <w:bdr w:val="none" w:sz="0" w:space="0" w:color="auto"/>
          <w:lang w:val="en-GB"/>
        </w:rPr>
      </w:pPr>
    </w:p>
    <w:sectPr w:rsidR="00F851EF" w:rsidRPr="002567C1" w:rsidSect="00C65F35">
      <w:footerReference w:type="first" r:id="rId7"/>
      <w:pgSz w:w="11906" w:h="16838"/>
      <w:pgMar w:top="1247" w:right="1361" w:bottom="124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022FA" w14:textId="77777777" w:rsidR="005356D1" w:rsidRDefault="005356D1" w:rsidP="00B04DED">
      <w:r>
        <w:separator/>
      </w:r>
    </w:p>
  </w:endnote>
  <w:endnote w:type="continuationSeparator" w:id="0">
    <w:p w14:paraId="7DB4F272" w14:textId="77777777" w:rsidR="005356D1" w:rsidRDefault="005356D1" w:rsidP="00B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14F7352" w14:paraId="5983BF9F" w14:textId="77777777" w:rsidTr="614F7352">
      <w:tc>
        <w:tcPr>
          <w:tcW w:w="3005" w:type="dxa"/>
        </w:tcPr>
        <w:p w14:paraId="5328A09E" w14:textId="4976EE46" w:rsidR="614F7352" w:rsidRDefault="614F7352" w:rsidP="614F7352">
          <w:pPr>
            <w:pStyle w:val="En-tte"/>
            <w:ind w:left="-115"/>
          </w:pPr>
        </w:p>
      </w:tc>
      <w:tc>
        <w:tcPr>
          <w:tcW w:w="3005" w:type="dxa"/>
        </w:tcPr>
        <w:p w14:paraId="0107FC7E" w14:textId="4FCBA3BE" w:rsidR="614F7352" w:rsidRDefault="614F7352" w:rsidP="614F7352">
          <w:pPr>
            <w:pStyle w:val="En-tte"/>
            <w:jc w:val="center"/>
          </w:pPr>
        </w:p>
      </w:tc>
      <w:tc>
        <w:tcPr>
          <w:tcW w:w="3005" w:type="dxa"/>
        </w:tcPr>
        <w:p w14:paraId="09BD8D8E" w14:textId="459A9A65" w:rsidR="614F7352" w:rsidRDefault="614F7352" w:rsidP="614F7352">
          <w:pPr>
            <w:pStyle w:val="En-tte"/>
            <w:ind w:right="-115"/>
            <w:jc w:val="right"/>
          </w:pPr>
        </w:p>
      </w:tc>
    </w:tr>
  </w:tbl>
  <w:p w14:paraId="0B03F912" w14:textId="02280C47" w:rsidR="614F7352" w:rsidRDefault="614F7352" w:rsidP="614F735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0AC02" w14:textId="77777777" w:rsidR="005356D1" w:rsidRDefault="005356D1" w:rsidP="00B04DED">
      <w:r>
        <w:separator/>
      </w:r>
    </w:p>
  </w:footnote>
  <w:footnote w:type="continuationSeparator" w:id="0">
    <w:p w14:paraId="4FDBF03B" w14:textId="77777777" w:rsidR="005356D1" w:rsidRDefault="005356D1" w:rsidP="00B04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22C"/>
    <w:multiLevelType w:val="multilevel"/>
    <w:tmpl w:val="BDA4D142"/>
    <w:lvl w:ilvl="0">
      <w:start w:val="1"/>
      <w:numFmt w:val="decimal"/>
      <w:lvlText w:val="%1."/>
      <w:lvlJc w:val="left"/>
      <w:pPr>
        <w:ind w:left="36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C6771"/>
    <w:multiLevelType w:val="multilevel"/>
    <w:tmpl w:val="E86ABBE6"/>
    <w:lvl w:ilvl="0">
      <w:start w:val="1"/>
      <w:numFmt w:val="decimal"/>
      <w:lvlText w:val="%1."/>
      <w:lvlJc w:val="left"/>
      <w:pPr>
        <w:ind w:left="411" w:hanging="411"/>
      </w:pPr>
      <w:rPr>
        <w:rFonts w:hint="default"/>
        <w:b w:val="0"/>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0B68BD"/>
    <w:multiLevelType w:val="hybridMultilevel"/>
    <w:tmpl w:val="CE82E648"/>
    <w:lvl w:ilvl="0" w:tplc="AD4260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5E56E7"/>
    <w:multiLevelType w:val="hybridMultilevel"/>
    <w:tmpl w:val="56520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67943"/>
    <w:multiLevelType w:val="hybridMultilevel"/>
    <w:tmpl w:val="ADD43138"/>
    <w:lvl w:ilvl="0" w:tplc="B498DCF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E90894"/>
    <w:multiLevelType w:val="hybridMultilevel"/>
    <w:tmpl w:val="8A963E54"/>
    <w:lvl w:ilvl="0" w:tplc="20000017">
      <w:start w:val="1"/>
      <w:numFmt w:val="lowerLetter"/>
      <w:lvlText w:val="%1)"/>
      <w:lvlJc w:val="left"/>
      <w:pPr>
        <w:ind w:left="720" w:hanging="360"/>
      </w:p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6" w15:restartNumberingAfterBreak="0">
    <w:nsid w:val="19406B9C"/>
    <w:multiLevelType w:val="hybridMultilevel"/>
    <w:tmpl w:val="2FCC00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D374B4"/>
    <w:multiLevelType w:val="hybridMultilevel"/>
    <w:tmpl w:val="E8DE25B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1F5728C"/>
    <w:multiLevelType w:val="hybridMultilevel"/>
    <w:tmpl w:val="74A8BA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2001C65"/>
    <w:multiLevelType w:val="hybridMultilevel"/>
    <w:tmpl w:val="ADD43138"/>
    <w:lvl w:ilvl="0" w:tplc="B498DCF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47133B2"/>
    <w:multiLevelType w:val="hybridMultilevel"/>
    <w:tmpl w:val="ADD43138"/>
    <w:lvl w:ilvl="0" w:tplc="B498DCF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6151DED"/>
    <w:multiLevelType w:val="hybridMultilevel"/>
    <w:tmpl w:val="40ECE7E6"/>
    <w:lvl w:ilvl="0" w:tplc="04090019">
      <w:start w:val="1"/>
      <w:numFmt w:val="lowerLetter"/>
      <w:lvlText w:val="%1."/>
      <w:lvlJc w:val="left"/>
      <w:pPr>
        <w:ind w:left="1260" w:hanging="360"/>
      </w:pPr>
    </w:lvl>
    <w:lvl w:ilvl="1" w:tplc="0409000B">
      <w:start w:val="1"/>
      <w:numFmt w:val="bullet"/>
      <w:lvlText w:val=""/>
      <w:lvlJc w:val="left"/>
      <w:pPr>
        <w:ind w:left="1980" w:hanging="360"/>
      </w:pPr>
      <w:rPr>
        <w:rFonts w:ascii="Wingdings" w:hAnsi="Wingdings" w:hint="default"/>
      </w:rPr>
    </w:lvl>
    <w:lvl w:ilvl="2" w:tplc="E95AE326">
      <w:start w:val="1"/>
      <w:numFmt w:val="decimal"/>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7E81867"/>
    <w:multiLevelType w:val="hybridMultilevel"/>
    <w:tmpl w:val="C706C098"/>
    <w:lvl w:ilvl="0" w:tplc="04090019">
      <w:start w:val="1"/>
      <w:numFmt w:val="lowerLetter"/>
      <w:lvlText w:val="%1."/>
      <w:lvlJc w:val="left"/>
      <w:pPr>
        <w:ind w:left="1260" w:hanging="360"/>
      </w:pPr>
    </w:lvl>
    <w:lvl w:ilvl="1" w:tplc="0409000B">
      <w:start w:val="1"/>
      <w:numFmt w:val="bullet"/>
      <w:lvlText w:val=""/>
      <w:lvlJc w:val="left"/>
      <w:pPr>
        <w:ind w:left="1980" w:hanging="360"/>
      </w:pPr>
      <w:rPr>
        <w:rFonts w:ascii="Wingdings" w:hAnsi="Wingding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45555E6"/>
    <w:multiLevelType w:val="hybridMultilevel"/>
    <w:tmpl w:val="393619B2"/>
    <w:lvl w:ilvl="0" w:tplc="0809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00420B9"/>
    <w:multiLevelType w:val="multilevel"/>
    <w:tmpl w:val="02D4BB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0053AB4"/>
    <w:multiLevelType w:val="multilevel"/>
    <w:tmpl w:val="B1D6EF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20E4453"/>
    <w:multiLevelType w:val="hybridMultilevel"/>
    <w:tmpl w:val="ADD43138"/>
    <w:lvl w:ilvl="0" w:tplc="B498DCF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21A2BEB"/>
    <w:multiLevelType w:val="hybridMultilevel"/>
    <w:tmpl w:val="2940F9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511F3D"/>
    <w:multiLevelType w:val="hybridMultilevel"/>
    <w:tmpl w:val="2940F9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8530FA"/>
    <w:multiLevelType w:val="multilevel"/>
    <w:tmpl w:val="2F3A52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79D526A9"/>
    <w:multiLevelType w:val="hybridMultilevel"/>
    <w:tmpl w:val="AE0201F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A4A2B9B"/>
    <w:multiLevelType w:val="hybridMultilevel"/>
    <w:tmpl w:val="4C748D5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EF263FC"/>
    <w:multiLevelType w:val="multilevel"/>
    <w:tmpl w:val="1F6265C8"/>
    <w:lvl w:ilvl="0">
      <w:start w:val="1"/>
      <w:numFmt w:val="upperRoman"/>
      <w:lvlText w:val="%1."/>
      <w:lvlJc w:val="right"/>
      <w:pPr>
        <w:ind w:left="54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3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2"/>
  </w:num>
  <w:num w:numId="3">
    <w:abstractNumId w:val="0"/>
  </w:num>
  <w:num w:numId="4">
    <w:abstractNumId w:val="5"/>
  </w:num>
  <w:num w:numId="5">
    <w:abstractNumId w:val="21"/>
  </w:num>
  <w:num w:numId="6">
    <w:abstractNumId w:val="18"/>
  </w:num>
  <w:num w:numId="7">
    <w:abstractNumId w:val="3"/>
  </w:num>
  <w:num w:numId="8">
    <w:abstractNumId w:val="17"/>
  </w:num>
  <w:num w:numId="9">
    <w:abstractNumId w:val="13"/>
  </w:num>
  <w:num w:numId="10">
    <w:abstractNumId w:val="1"/>
  </w:num>
  <w:num w:numId="11">
    <w:abstractNumId w:val="8"/>
  </w:num>
  <w:num w:numId="12">
    <w:abstractNumId w:val="6"/>
  </w:num>
  <w:num w:numId="13">
    <w:abstractNumId w:val="16"/>
  </w:num>
  <w:num w:numId="14">
    <w:abstractNumId w:val="9"/>
  </w:num>
  <w:num w:numId="15">
    <w:abstractNumId w:val="14"/>
  </w:num>
  <w:num w:numId="16">
    <w:abstractNumId w:val="15"/>
  </w:num>
  <w:num w:numId="17">
    <w:abstractNumId w:val="19"/>
  </w:num>
  <w:num w:numId="18">
    <w:abstractNumId w:val="20"/>
  </w:num>
  <w:num w:numId="19">
    <w:abstractNumId w:val="11"/>
  </w:num>
  <w:num w:numId="20">
    <w:abstractNumId w:val="12"/>
  </w:num>
  <w:num w:numId="21">
    <w:abstractNumId w:val="4"/>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ED"/>
    <w:rsid w:val="00016974"/>
    <w:rsid w:val="000715D5"/>
    <w:rsid w:val="00076D66"/>
    <w:rsid w:val="00096097"/>
    <w:rsid w:val="00096E92"/>
    <w:rsid w:val="00131CC3"/>
    <w:rsid w:val="001650DD"/>
    <w:rsid w:val="001954BA"/>
    <w:rsid w:val="00197269"/>
    <w:rsid w:val="001A583A"/>
    <w:rsid w:val="001A760A"/>
    <w:rsid w:val="0022488F"/>
    <w:rsid w:val="002255EF"/>
    <w:rsid w:val="00241748"/>
    <w:rsid w:val="00243A7E"/>
    <w:rsid w:val="00246811"/>
    <w:rsid w:val="002567C1"/>
    <w:rsid w:val="00271DC7"/>
    <w:rsid w:val="0027788E"/>
    <w:rsid w:val="002869C4"/>
    <w:rsid w:val="0029428B"/>
    <w:rsid w:val="002B49C7"/>
    <w:rsid w:val="002D2676"/>
    <w:rsid w:val="00303190"/>
    <w:rsid w:val="0030455C"/>
    <w:rsid w:val="00336852"/>
    <w:rsid w:val="00343F71"/>
    <w:rsid w:val="003571CD"/>
    <w:rsid w:val="003810E8"/>
    <w:rsid w:val="0039019A"/>
    <w:rsid w:val="00390E12"/>
    <w:rsid w:val="003F1A16"/>
    <w:rsid w:val="00451F83"/>
    <w:rsid w:val="004676AE"/>
    <w:rsid w:val="0047217E"/>
    <w:rsid w:val="004B6DE3"/>
    <w:rsid w:val="004E3AE5"/>
    <w:rsid w:val="00510FE0"/>
    <w:rsid w:val="005229B0"/>
    <w:rsid w:val="00531BEC"/>
    <w:rsid w:val="005356D1"/>
    <w:rsid w:val="005475E7"/>
    <w:rsid w:val="005742B3"/>
    <w:rsid w:val="005817B4"/>
    <w:rsid w:val="00587C19"/>
    <w:rsid w:val="00594C1A"/>
    <w:rsid w:val="005A1698"/>
    <w:rsid w:val="005C12E0"/>
    <w:rsid w:val="005C3F2A"/>
    <w:rsid w:val="005C5137"/>
    <w:rsid w:val="005F0F03"/>
    <w:rsid w:val="006026ED"/>
    <w:rsid w:val="00611056"/>
    <w:rsid w:val="00617269"/>
    <w:rsid w:val="0062081E"/>
    <w:rsid w:val="00633B7E"/>
    <w:rsid w:val="00637CFB"/>
    <w:rsid w:val="0064513B"/>
    <w:rsid w:val="00657D94"/>
    <w:rsid w:val="006629B1"/>
    <w:rsid w:val="006B1033"/>
    <w:rsid w:val="0070206B"/>
    <w:rsid w:val="00706BD4"/>
    <w:rsid w:val="00721BB4"/>
    <w:rsid w:val="00732990"/>
    <w:rsid w:val="00740E79"/>
    <w:rsid w:val="00774A7A"/>
    <w:rsid w:val="00783D79"/>
    <w:rsid w:val="007B31AA"/>
    <w:rsid w:val="007B6570"/>
    <w:rsid w:val="00837738"/>
    <w:rsid w:val="00860888"/>
    <w:rsid w:val="00897ED4"/>
    <w:rsid w:val="008C492E"/>
    <w:rsid w:val="008D38E7"/>
    <w:rsid w:val="008F18B4"/>
    <w:rsid w:val="008F413A"/>
    <w:rsid w:val="0093281C"/>
    <w:rsid w:val="00951238"/>
    <w:rsid w:val="00996C75"/>
    <w:rsid w:val="009F764D"/>
    <w:rsid w:val="00A3725F"/>
    <w:rsid w:val="00A43EE6"/>
    <w:rsid w:val="00A5563D"/>
    <w:rsid w:val="00A65A30"/>
    <w:rsid w:val="00A67826"/>
    <w:rsid w:val="00A957FF"/>
    <w:rsid w:val="00AB504F"/>
    <w:rsid w:val="00AE0E5D"/>
    <w:rsid w:val="00B04DED"/>
    <w:rsid w:val="00B23A49"/>
    <w:rsid w:val="00B4069A"/>
    <w:rsid w:val="00B6124A"/>
    <w:rsid w:val="00BE44B5"/>
    <w:rsid w:val="00BF4593"/>
    <w:rsid w:val="00C048FB"/>
    <w:rsid w:val="00C14FE5"/>
    <w:rsid w:val="00C16628"/>
    <w:rsid w:val="00C3270F"/>
    <w:rsid w:val="00C35F54"/>
    <w:rsid w:val="00C578BD"/>
    <w:rsid w:val="00C604FB"/>
    <w:rsid w:val="00C627DB"/>
    <w:rsid w:val="00C65F35"/>
    <w:rsid w:val="00C82B0A"/>
    <w:rsid w:val="00C85576"/>
    <w:rsid w:val="00C925C3"/>
    <w:rsid w:val="00C97FAF"/>
    <w:rsid w:val="00CA4499"/>
    <w:rsid w:val="00CB6ECC"/>
    <w:rsid w:val="00CC5ACF"/>
    <w:rsid w:val="00CE03BA"/>
    <w:rsid w:val="00CF20B6"/>
    <w:rsid w:val="00D4548E"/>
    <w:rsid w:val="00D64FB7"/>
    <w:rsid w:val="00DB1C5A"/>
    <w:rsid w:val="00DB2F0F"/>
    <w:rsid w:val="00E27DF0"/>
    <w:rsid w:val="00E3380F"/>
    <w:rsid w:val="00E47CF6"/>
    <w:rsid w:val="00E876D5"/>
    <w:rsid w:val="00E94CC7"/>
    <w:rsid w:val="00EE5321"/>
    <w:rsid w:val="00EE619D"/>
    <w:rsid w:val="00EF2811"/>
    <w:rsid w:val="00F0626E"/>
    <w:rsid w:val="00F06732"/>
    <w:rsid w:val="00F15B60"/>
    <w:rsid w:val="00F3534E"/>
    <w:rsid w:val="00F41080"/>
    <w:rsid w:val="00F51E8E"/>
    <w:rsid w:val="00F851EF"/>
    <w:rsid w:val="00F85358"/>
    <w:rsid w:val="00FB3D0B"/>
    <w:rsid w:val="00FC448B"/>
    <w:rsid w:val="00FE3E91"/>
    <w:rsid w:val="614F73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5D10D"/>
  <w15:chartTrackingRefBased/>
  <w15:docId w15:val="{963E7EC3-9DA6-40D4-890F-B980B857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45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ED"/>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sz w:val="22"/>
      <w:szCs w:val="22"/>
      <w:bdr w:val="none" w:sz="0" w:space="0" w:color="auto"/>
    </w:rPr>
  </w:style>
  <w:style w:type="character" w:customStyle="1" w:styleId="En-tteCar">
    <w:name w:val="En-tête Car"/>
    <w:basedOn w:val="Policepardfaut"/>
    <w:link w:val="En-tte"/>
    <w:uiPriority w:val="99"/>
    <w:rsid w:val="00B04DED"/>
  </w:style>
  <w:style w:type="paragraph" w:styleId="Pieddepage">
    <w:name w:val="footer"/>
    <w:basedOn w:val="Normal"/>
    <w:link w:val="PieddepageCar"/>
    <w:uiPriority w:val="99"/>
    <w:unhideWhenUsed/>
    <w:rsid w:val="00B04DED"/>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sz w:val="22"/>
      <w:szCs w:val="22"/>
      <w:bdr w:val="none" w:sz="0" w:space="0" w:color="auto"/>
    </w:rPr>
  </w:style>
  <w:style w:type="character" w:customStyle="1" w:styleId="PieddepageCar">
    <w:name w:val="Pied de page Car"/>
    <w:basedOn w:val="Policepardfaut"/>
    <w:link w:val="Pieddepage"/>
    <w:uiPriority w:val="99"/>
    <w:rsid w:val="00B04DED"/>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No Spacing1,Bullets,List Paragraph (numbered (a)),COMESA Text 2,Standard 12 pt,List Bulet,Liste de points,Numbered List Paragraph,Colorful List Accent 1,AB List 1,Bullet Points,List Paragraph1,ProcessA,Liste couleur - Accent 14,3,L"/>
    <w:basedOn w:val="Normal"/>
    <w:link w:val="ParagraphedelisteCar"/>
    <w:uiPriority w:val="34"/>
    <w:qFormat/>
    <w:rsid w:val="00E3380F"/>
    <w:pPr>
      <w:ind w:left="720"/>
      <w:contextualSpacing/>
    </w:pPr>
  </w:style>
  <w:style w:type="character" w:styleId="Numrodepage">
    <w:name w:val="page number"/>
    <w:basedOn w:val="Policepardfaut"/>
    <w:uiPriority w:val="99"/>
    <w:semiHidden/>
    <w:unhideWhenUsed/>
    <w:rsid w:val="00131CC3"/>
  </w:style>
  <w:style w:type="character" w:customStyle="1" w:styleId="ParagraphedelisteCar">
    <w:name w:val="Paragraphe de liste Car"/>
    <w:aliases w:val="No Spacing1 Car,Bullets Car,List Paragraph (numbered (a)) Car,COMESA Text 2 Car,Standard 12 pt Car,List Bulet Car,Liste de points Car,Numbered List Paragraph Car,Colorful List Accent 1 Car,AB List 1 Car,Bullet Points Car,3 Car"/>
    <w:link w:val="Paragraphedeliste"/>
    <w:uiPriority w:val="34"/>
    <w:qFormat/>
    <w:locked/>
    <w:rsid w:val="005229B0"/>
    <w:rPr>
      <w:rFonts w:ascii="Times New Roman" w:eastAsia="Arial Unicode MS" w:hAnsi="Times New Roman" w:cs="Times New Roman"/>
      <w:sz w:val="24"/>
      <w:szCs w:val="24"/>
      <w:bdr w:val="nil"/>
      <w:lang w:val="en-US"/>
    </w:rPr>
  </w:style>
  <w:style w:type="paragraph" w:customStyle="1" w:styleId="Default">
    <w:name w:val="Default"/>
    <w:rsid w:val="005229B0"/>
    <w:pPr>
      <w:autoSpaceDE w:val="0"/>
      <w:autoSpaceDN w:val="0"/>
      <w:adjustRightInd w:val="0"/>
      <w:spacing w:after="0" w:line="240" w:lineRule="auto"/>
    </w:pPr>
    <w:rPr>
      <w:rFonts w:ascii="Gill Sans MT" w:hAnsi="Gill Sans MT" w:cs="Gill Sans MT"/>
      <w:color w:val="000000"/>
      <w:sz w:val="24"/>
      <w:szCs w:val="24"/>
      <w:lang w:val="en-US"/>
    </w:rPr>
  </w:style>
  <w:style w:type="paragraph" w:styleId="Textedebulles">
    <w:name w:val="Balloon Text"/>
    <w:basedOn w:val="Normal"/>
    <w:link w:val="TextedebullesCar"/>
    <w:uiPriority w:val="99"/>
    <w:semiHidden/>
    <w:unhideWhenUsed/>
    <w:rsid w:val="00BE44B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44B5"/>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fCFTA Colors">
      <a:dk1>
        <a:sysClr val="windowText" lastClr="000000"/>
      </a:dk1>
      <a:lt1>
        <a:sysClr val="window" lastClr="FFFFFF"/>
      </a:lt1>
      <a:dk2>
        <a:srgbClr val="941F3A"/>
      </a:dk2>
      <a:lt2>
        <a:srgbClr val="FFFFFF"/>
      </a:lt2>
      <a:accent1>
        <a:srgbClr val="941F3A"/>
      </a:accent1>
      <a:accent2>
        <a:srgbClr val="339446"/>
      </a:accent2>
      <a:accent3>
        <a:srgbClr val="C3A466"/>
      </a:accent3>
      <a:accent4>
        <a:srgbClr val="F4A51F"/>
      </a:accent4>
      <a:accent5>
        <a:srgbClr val="111111"/>
      </a:accent5>
      <a:accent6>
        <a:srgbClr val="FFFFFF"/>
      </a:accent6>
      <a:hlink>
        <a:srgbClr val="FFFFFF"/>
      </a:hlink>
      <a:folHlink>
        <a:srgbClr val="339446"/>
      </a:folHlink>
    </a:clrScheme>
    <a:fontScheme name="AfCFTA Official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2025</Words>
  <Characters>11139</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BLEWUBE</dc:creator>
  <cp:keywords/>
  <dc:description/>
  <cp:lastModifiedBy>Medhy MEHAMHA</cp:lastModifiedBy>
  <cp:revision>18</cp:revision>
  <cp:lastPrinted>2024-08-28T08:47:00Z</cp:lastPrinted>
  <dcterms:created xsi:type="dcterms:W3CDTF">2026-02-26T08:19:00Z</dcterms:created>
  <dcterms:modified xsi:type="dcterms:W3CDTF">2026-02-26T09:53:00Z</dcterms:modified>
</cp:coreProperties>
</file>