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98DCCB" w14:textId="77777777" w:rsidR="00B94CA4" w:rsidRDefault="00B94CA4" w:rsidP="00C911D3">
      <w:pPr>
        <w:pBdr>
          <w:top w:val="single" w:sz="24" w:space="7" w:color="0F6E56"/>
        </w:pBdr>
      </w:pPr>
    </w:p>
    <w:p w14:paraId="2E5B1F3B" w14:textId="5195ECAB" w:rsidR="00B94CA4" w:rsidRDefault="00C911D3">
      <w:pPr>
        <w:spacing w:before="160"/>
      </w:pPr>
      <w:r>
        <w:rPr>
          <w:noProof/>
          <w:lang w:val="fr-FR" w:eastAsia="fr-FR"/>
        </w:rPr>
        <w:drawing>
          <wp:inline distT="0" distB="0" distL="0" distR="0" wp14:anchorId="7FA52E50" wp14:editId="2640E198">
            <wp:extent cx="6718479" cy="996950"/>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96137" cy="1038152"/>
                    </a:xfrm>
                    <a:prstGeom prst="rect">
                      <a:avLst/>
                    </a:prstGeom>
                    <a:noFill/>
                  </pic:spPr>
                </pic:pic>
              </a:graphicData>
            </a:graphic>
          </wp:inline>
        </w:drawing>
      </w:r>
    </w:p>
    <w:p w14:paraId="1DECC656" w14:textId="77777777" w:rsidR="00000504" w:rsidRDefault="00000504">
      <w:pPr>
        <w:spacing w:before="80" w:after="80"/>
        <w:rPr>
          <w:b/>
          <w:bCs/>
          <w:caps/>
          <w:color w:val="0F6E56"/>
          <w:sz w:val="15"/>
          <w:szCs w:val="15"/>
        </w:rPr>
      </w:pPr>
    </w:p>
    <w:p w14:paraId="4B67E37E" w14:textId="77777777" w:rsidR="00000504" w:rsidRDefault="00000504">
      <w:pPr>
        <w:spacing w:before="80" w:after="80"/>
        <w:rPr>
          <w:b/>
          <w:bCs/>
          <w:caps/>
          <w:color w:val="0F6E56"/>
          <w:sz w:val="15"/>
          <w:szCs w:val="15"/>
        </w:rPr>
      </w:pPr>
    </w:p>
    <w:p w14:paraId="78C9D8D9" w14:textId="1F81A371" w:rsidR="00B94CA4" w:rsidRPr="004277C2" w:rsidRDefault="00CD2FC7">
      <w:pPr>
        <w:spacing w:before="80" w:after="80"/>
        <w:rPr>
          <w:sz w:val="32"/>
          <w:szCs w:val="32"/>
        </w:rPr>
      </w:pPr>
      <w:r w:rsidRPr="004277C2">
        <w:rPr>
          <w:b/>
          <w:bCs/>
          <w:caps/>
          <w:color w:val="0F6E56"/>
          <w:sz w:val="22"/>
          <w:szCs w:val="22"/>
        </w:rPr>
        <w:t>TERMS OF REFERENCE</w:t>
      </w:r>
    </w:p>
    <w:p w14:paraId="3B4BA1DA" w14:textId="56EDEAC4" w:rsidR="00B94CA4" w:rsidRPr="00F35AFE" w:rsidRDefault="00CD2FC7" w:rsidP="00F35AFE">
      <w:pPr>
        <w:spacing w:after="40"/>
        <w:rPr>
          <w:color w:val="002060"/>
        </w:rPr>
      </w:pPr>
      <w:r w:rsidRPr="00F35AFE">
        <w:rPr>
          <w:b/>
          <w:bCs/>
          <w:color w:val="002060"/>
          <w:sz w:val="36"/>
          <w:szCs w:val="36"/>
        </w:rPr>
        <w:t>Gender and Social</w:t>
      </w:r>
      <w:r w:rsidR="00F35AFE" w:rsidRPr="00F35AFE">
        <w:rPr>
          <w:color w:val="002060"/>
        </w:rPr>
        <w:t xml:space="preserve"> </w:t>
      </w:r>
      <w:r w:rsidRPr="00F35AFE">
        <w:rPr>
          <w:b/>
          <w:bCs/>
          <w:color w:val="002060"/>
          <w:sz w:val="36"/>
          <w:szCs w:val="36"/>
        </w:rPr>
        <w:t>Inclusion Expert</w:t>
      </w:r>
    </w:p>
    <w:p w14:paraId="5F8D06D4" w14:textId="77777777" w:rsidR="00B94CA4" w:rsidRDefault="00B94CA4">
      <w:pPr>
        <w:pBdr>
          <w:bottom w:val="single" w:sz="6" w:space="1" w:color="2E75B6"/>
        </w:pBdr>
        <w:spacing w:after="140"/>
      </w:pPr>
    </w:p>
    <w:p w14:paraId="404BDCAA" w14:textId="77777777" w:rsidR="00B94CA4" w:rsidRDefault="00B94CA4">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776"/>
        <w:gridCol w:w="5584"/>
      </w:tblGrid>
      <w:tr w:rsidR="00B94CA4" w14:paraId="241A6EAA" w14:textId="77777777" w:rsidTr="007B221D">
        <w:tc>
          <w:tcPr>
            <w:tcW w:w="3776" w:type="dxa"/>
            <w:tcBorders>
              <w:top w:val="single" w:sz="3" w:space="0" w:color="CCCCCC"/>
              <w:left w:val="single" w:sz="3" w:space="0" w:color="CCCCCC"/>
              <w:bottom w:val="single" w:sz="3" w:space="0" w:color="CCCCCC"/>
              <w:right w:val="single" w:sz="3" w:space="0" w:color="CCCCCC"/>
            </w:tcBorders>
            <w:shd w:val="clear" w:color="auto" w:fill="F1EFE8"/>
            <w:tcMar>
              <w:top w:w="75" w:type="dxa"/>
              <w:left w:w="140" w:type="dxa"/>
              <w:bottom w:w="75" w:type="dxa"/>
              <w:right w:w="100" w:type="dxa"/>
            </w:tcMar>
          </w:tcPr>
          <w:p w14:paraId="395D43F2" w14:textId="77777777" w:rsidR="00B94CA4" w:rsidRDefault="00CD2FC7">
            <w:pPr>
              <w:spacing w:before="80" w:after="80"/>
            </w:pPr>
            <w:r>
              <w:rPr>
                <w:b/>
                <w:bCs/>
                <w:color w:val="2C2C2A"/>
                <w:sz w:val="19"/>
                <w:szCs w:val="19"/>
              </w:rPr>
              <w:t>Position title</w:t>
            </w:r>
          </w:p>
        </w:tc>
        <w:tc>
          <w:tcPr>
            <w:tcW w:w="5584" w:type="dxa"/>
            <w:tcBorders>
              <w:top w:val="single" w:sz="3" w:space="0" w:color="CCCCCC"/>
              <w:left w:val="single" w:sz="3" w:space="0" w:color="CCCCCC"/>
              <w:bottom w:val="single" w:sz="3" w:space="0" w:color="CCCCCC"/>
              <w:right w:val="single" w:sz="3" w:space="0" w:color="CCCCCC"/>
            </w:tcBorders>
            <w:shd w:val="clear" w:color="auto" w:fill="F1EFE8"/>
            <w:tcMar>
              <w:top w:w="75" w:type="dxa"/>
              <w:left w:w="140" w:type="dxa"/>
              <w:bottom w:w="75" w:type="dxa"/>
              <w:right w:w="140" w:type="dxa"/>
            </w:tcMar>
          </w:tcPr>
          <w:p w14:paraId="4A045AC1" w14:textId="77777777" w:rsidR="00B94CA4" w:rsidRDefault="00CD2FC7">
            <w:pPr>
              <w:spacing w:before="80" w:after="80"/>
            </w:pPr>
            <w:r>
              <w:rPr>
                <w:color w:val="2C2C2A"/>
                <w:sz w:val="19"/>
                <w:szCs w:val="19"/>
              </w:rPr>
              <w:t>Gender and Social Inclusion Expert</w:t>
            </w:r>
          </w:p>
        </w:tc>
      </w:tr>
      <w:tr w:rsidR="00B94CA4" w14:paraId="6D8D5A38" w14:textId="77777777" w:rsidTr="007B221D">
        <w:tc>
          <w:tcPr>
            <w:tcW w:w="3776" w:type="dxa"/>
            <w:tcBorders>
              <w:top w:val="single" w:sz="3" w:space="0" w:color="CCCCCC"/>
              <w:left w:val="single" w:sz="3" w:space="0" w:color="CCCCCC"/>
              <w:bottom w:val="single" w:sz="3" w:space="0" w:color="CCCCCC"/>
              <w:right w:val="single" w:sz="3" w:space="0" w:color="CCCCCC"/>
            </w:tcBorders>
            <w:shd w:val="clear" w:color="auto" w:fill="FFFFFF"/>
            <w:tcMar>
              <w:top w:w="75" w:type="dxa"/>
              <w:left w:w="140" w:type="dxa"/>
              <w:bottom w:w="75" w:type="dxa"/>
              <w:right w:w="100" w:type="dxa"/>
            </w:tcMar>
          </w:tcPr>
          <w:p w14:paraId="25142D5A" w14:textId="77777777" w:rsidR="00B94CA4" w:rsidRDefault="00CD2FC7">
            <w:pPr>
              <w:spacing w:before="80" w:after="80"/>
            </w:pPr>
            <w:r>
              <w:rPr>
                <w:b/>
                <w:bCs/>
                <w:color w:val="2C2C2A"/>
                <w:sz w:val="19"/>
                <w:szCs w:val="19"/>
              </w:rPr>
              <w:t>Project</w:t>
            </w:r>
          </w:p>
        </w:tc>
        <w:tc>
          <w:tcPr>
            <w:tcW w:w="5584" w:type="dxa"/>
            <w:tcBorders>
              <w:top w:val="single" w:sz="3" w:space="0" w:color="CCCCCC"/>
              <w:left w:val="single" w:sz="3" w:space="0" w:color="CCCCCC"/>
              <w:bottom w:val="single" w:sz="3" w:space="0" w:color="CCCCCC"/>
              <w:right w:val="single" w:sz="3" w:space="0" w:color="CCCCCC"/>
            </w:tcBorders>
            <w:shd w:val="clear" w:color="auto" w:fill="FFFFFF"/>
            <w:tcMar>
              <w:top w:w="75" w:type="dxa"/>
              <w:left w:w="140" w:type="dxa"/>
              <w:bottom w:w="75" w:type="dxa"/>
              <w:right w:w="140" w:type="dxa"/>
            </w:tcMar>
          </w:tcPr>
          <w:p w14:paraId="121C9503" w14:textId="77777777" w:rsidR="00B94CA4" w:rsidRDefault="00CD2FC7">
            <w:pPr>
              <w:spacing w:before="80" w:after="80"/>
            </w:pPr>
            <w:r>
              <w:rPr>
                <w:color w:val="2C2C2A"/>
                <w:sz w:val="19"/>
                <w:szCs w:val="19"/>
              </w:rPr>
              <w:t>Private Sector Development in Liberia (PSD Liberia) — EU-funded, EUR 25M, 48 months</w:t>
            </w:r>
          </w:p>
        </w:tc>
      </w:tr>
      <w:tr w:rsidR="004A4E61" w14:paraId="0F674943" w14:textId="77777777" w:rsidTr="007B221D">
        <w:tc>
          <w:tcPr>
            <w:tcW w:w="3776" w:type="dxa"/>
            <w:tcBorders>
              <w:top w:val="single" w:sz="3" w:space="0" w:color="CCCCCC"/>
              <w:left w:val="single" w:sz="3" w:space="0" w:color="CCCCCC"/>
              <w:bottom w:val="single" w:sz="3" w:space="0" w:color="CCCCCC"/>
              <w:right w:val="single" w:sz="3" w:space="0" w:color="CCCCCC"/>
            </w:tcBorders>
            <w:shd w:val="clear" w:color="auto" w:fill="F1EFE8"/>
            <w:tcMar>
              <w:top w:w="75" w:type="dxa"/>
              <w:left w:w="140" w:type="dxa"/>
              <w:bottom w:w="75" w:type="dxa"/>
              <w:right w:w="100" w:type="dxa"/>
            </w:tcMar>
          </w:tcPr>
          <w:p w14:paraId="59954BFE" w14:textId="6AB2E4F7" w:rsidR="004A4E61" w:rsidRDefault="004A4E61">
            <w:pPr>
              <w:spacing w:before="80" w:after="80"/>
              <w:rPr>
                <w:b/>
                <w:bCs/>
                <w:color w:val="2C2C2A"/>
                <w:sz w:val="19"/>
                <w:szCs w:val="19"/>
              </w:rPr>
            </w:pPr>
            <w:r>
              <w:rPr>
                <w:b/>
                <w:bCs/>
                <w:color w:val="2C2C2A"/>
                <w:sz w:val="19"/>
                <w:szCs w:val="19"/>
              </w:rPr>
              <w:t>Donor</w:t>
            </w:r>
          </w:p>
        </w:tc>
        <w:tc>
          <w:tcPr>
            <w:tcW w:w="5584" w:type="dxa"/>
            <w:tcBorders>
              <w:top w:val="single" w:sz="3" w:space="0" w:color="CCCCCC"/>
              <w:left w:val="single" w:sz="3" w:space="0" w:color="CCCCCC"/>
              <w:bottom w:val="single" w:sz="3" w:space="0" w:color="CCCCCC"/>
              <w:right w:val="single" w:sz="3" w:space="0" w:color="CCCCCC"/>
            </w:tcBorders>
            <w:shd w:val="clear" w:color="auto" w:fill="F1EFE8"/>
            <w:tcMar>
              <w:top w:w="75" w:type="dxa"/>
              <w:left w:w="140" w:type="dxa"/>
              <w:bottom w:w="75" w:type="dxa"/>
              <w:right w:w="140" w:type="dxa"/>
            </w:tcMar>
          </w:tcPr>
          <w:p w14:paraId="4F912C8F" w14:textId="19BDE377" w:rsidR="004A4E61" w:rsidRDefault="004A4E61">
            <w:pPr>
              <w:spacing w:before="80" w:after="80"/>
              <w:rPr>
                <w:color w:val="2C2C2A"/>
                <w:sz w:val="19"/>
                <w:szCs w:val="19"/>
              </w:rPr>
            </w:pPr>
            <w:r>
              <w:rPr>
                <w:color w:val="2C2C2A"/>
                <w:sz w:val="19"/>
                <w:szCs w:val="19"/>
              </w:rPr>
              <w:t>European Union Delegation</w:t>
            </w:r>
          </w:p>
        </w:tc>
      </w:tr>
      <w:tr w:rsidR="00B94CA4" w14:paraId="5798CBCA" w14:textId="77777777" w:rsidTr="007B221D">
        <w:tc>
          <w:tcPr>
            <w:tcW w:w="3776" w:type="dxa"/>
            <w:tcBorders>
              <w:top w:val="single" w:sz="3" w:space="0" w:color="CCCCCC"/>
              <w:left w:val="single" w:sz="3" w:space="0" w:color="CCCCCC"/>
              <w:bottom w:val="single" w:sz="3" w:space="0" w:color="CCCCCC"/>
              <w:right w:val="single" w:sz="3" w:space="0" w:color="CCCCCC"/>
            </w:tcBorders>
            <w:shd w:val="clear" w:color="auto" w:fill="F1EFE8"/>
            <w:tcMar>
              <w:top w:w="75" w:type="dxa"/>
              <w:left w:w="140" w:type="dxa"/>
              <w:bottom w:w="75" w:type="dxa"/>
              <w:right w:w="100" w:type="dxa"/>
            </w:tcMar>
          </w:tcPr>
          <w:p w14:paraId="62CB1725" w14:textId="77777777" w:rsidR="00B94CA4" w:rsidRDefault="00CD2FC7">
            <w:pPr>
              <w:spacing w:before="80" w:after="80"/>
            </w:pPr>
            <w:r>
              <w:rPr>
                <w:b/>
                <w:bCs/>
                <w:color w:val="2C2C2A"/>
                <w:sz w:val="19"/>
                <w:szCs w:val="19"/>
              </w:rPr>
              <w:t>Contracting authority</w:t>
            </w:r>
          </w:p>
        </w:tc>
        <w:tc>
          <w:tcPr>
            <w:tcW w:w="5584" w:type="dxa"/>
            <w:tcBorders>
              <w:top w:val="single" w:sz="3" w:space="0" w:color="CCCCCC"/>
              <w:left w:val="single" w:sz="3" w:space="0" w:color="CCCCCC"/>
              <w:bottom w:val="single" w:sz="3" w:space="0" w:color="CCCCCC"/>
              <w:right w:val="single" w:sz="3" w:space="0" w:color="CCCCCC"/>
            </w:tcBorders>
            <w:shd w:val="clear" w:color="auto" w:fill="F1EFE8"/>
            <w:tcMar>
              <w:top w:w="75" w:type="dxa"/>
              <w:left w:w="140" w:type="dxa"/>
              <w:bottom w:w="75" w:type="dxa"/>
              <w:right w:w="140" w:type="dxa"/>
            </w:tcMar>
          </w:tcPr>
          <w:p w14:paraId="2443C993" w14:textId="4925B594" w:rsidR="00B94CA4" w:rsidRDefault="00CD2FC7">
            <w:pPr>
              <w:spacing w:before="80" w:after="80"/>
            </w:pPr>
            <w:r>
              <w:rPr>
                <w:color w:val="2C2C2A"/>
                <w:sz w:val="19"/>
                <w:szCs w:val="19"/>
              </w:rPr>
              <w:t xml:space="preserve">Expertise </w:t>
            </w:r>
            <w:r w:rsidR="007B221D">
              <w:rPr>
                <w:color w:val="2C2C2A"/>
                <w:sz w:val="19"/>
                <w:szCs w:val="19"/>
              </w:rPr>
              <w:t>France |</w:t>
            </w:r>
            <w:r>
              <w:rPr>
                <w:color w:val="2C2C2A"/>
                <w:sz w:val="19"/>
                <w:szCs w:val="19"/>
              </w:rPr>
              <w:t xml:space="preserve">  Co-implemented with ILO</w:t>
            </w:r>
          </w:p>
        </w:tc>
      </w:tr>
      <w:tr w:rsidR="00B94CA4" w14:paraId="20E9933D" w14:textId="77777777" w:rsidTr="007B221D">
        <w:tc>
          <w:tcPr>
            <w:tcW w:w="3776" w:type="dxa"/>
            <w:tcBorders>
              <w:top w:val="single" w:sz="3" w:space="0" w:color="CCCCCC"/>
              <w:left w:val="single" w:sz="3" w:space="0" w:color="CCCCCC"/>
              <w:bottom w:val="single" w:sz="3" w:space="0" w:color="CCCCCC"/>
              <w:right w:val="single" w:sz="3" w:space="0" w:color="CCCCCC"/>
            </w:tcBorders>
            <w:shd w:val="clear" w:color="auto" w:fill="FFFFFF"/>
            <w:tcMar>
              <w:top w:w="75" w:type="dxa"/>
              <w:left w:w="140" w:type="dxa"/>
              <w:bottom w:w="75" w:type="dxa"/>
              <w:right w:w="100" w:type="dxa"/>
            </w:tcMar>
          </w:tcPr>
          <w:p w14:paraId="1BCEF7DA" w14:textId="77777777" w:rsidR="00B94CA4" w:rsidRDefault="00CD2FC7">
            <w:pPr>
              <w:spacing w:before="80" w:after="80"/>
            </w:pPr>
            <w:r>
              <w:rPr>
                <w:b/>
                <w:bCs/>
                <w:color w:val="2C2C2A"/>
                <w:sz w:val="19"/>
                <w:szCs w:val="19"/>
              </w:rPr>
              <w:t>Mission country</w:t>
            </w:r>
          </w:p>
        </w:tc>
        <w:tc>
          <w:tcPr>
            <w:tcW w:w="5584" w:type="dxa"/>
            <w:tcBorders>
              <w:top w:val="single" w:sz="3" w:space="0" w:color="CCCCCC"/>
              <w:left w:val="single" w:sz="3" w:space="0" w:color="CCCCCC"/>
              <w:bottom w:val="single" w:sz="3" w:space="0" w:color="CCCCCC"/>
              <w:right w:val="single" w:sz="3" w:space="0" w:color="CCCCCC"/>
            </w:tcBorders>
            <w:shd w:val="clear" w:color="auto" w:fill="FFFFFF"/>
            <w:tcMar>
              <w:top w:w="75" w:type="dxa"/>
              <w:left w:w="140" w:type="dxa"/>
              <w:bottom w:w="75" w:type="dxa"/>
              <w:right w:w="140" w:type="dxa"/>
            </w:tcMar>
          </w:tcPr>
          <w:p w14:paraId="6E071626" w14:textId="77777777" w:rsidR="00B94CA4" w:rsidRDefault="00CD2FC7">
            <w:pPr>
              <w:spacing w:before="80" w:after="80"/>
            </w:pPr>
            <w:r>
              <w:rPr>
                <w:color w:val="2C2C2A"/>
                <w:sz w:val="19"/>
                <w:szCs w:val="19"/>
              </w:rPr>
              <w:t>Liberia</w:t>
            </w:r>
          </w:p>
        </w:tc>
      </w:tr>
      <w:tr w:rsidR="00B94CA4" w14:paraId="31B357AB" w14:textId="77777777" w:rsidTr="007B221D">
        <w:tc>
          <w:tcPr>
            <w:tcW w:w="3776" w:type="dxa"/>
            <w:tcBorders>
              <w:top w:val="single" w:sz="3" w:space="0" w:color="CCCCCC"/>
              <w:left w:val="single" w:sz="3" w:space="0" w:color="CCCCCC"/>
              <w:bottom w:val="single" w:sz="3" w:space="0" w:color="CCCCCC"/>
              <w:right w:val="single" w:sz="3" w:space="0" w:color="CCCCCC"/>
            </w:tcBorders>
            <w:shd w:val="clear" w:color="auto" w:fill="F1EFE8"/>
            <w:tcMar>
              <w:top w:w="75" w:type="dxa"/>
              <w:left w:w="140" w:type="dxa"/>
              <w:bottom w:w="75" w:type="dxa"/>
              <w:right w:w="100" w:type="dxa"/>
            </w:tcMar>
          </w:tcPr>
          <w:p w14:paraId="3BC24023" w14:textId="77777777" w:rsidR="00B94CA4" w:rsidRDefault="00CD2FC7">
            <w:pPr>
              <w:spacing w:before="80" w:after="80"/>
            </w:pPr>
            <w:r>
              <w:rPr>
                <w:b/>
                <w:bCs/>
                <w:color w:val="2C2C2A"/>
                <w:sz w:val="19"/>
                <w:szCs w:val="19"/>
              </w:rPr>
              <w:t>Assignment structure</w:t>
            </w:r>
          </w:p>
        </w:tc>
        <w:tc>
          <w:tcPr>
            <w:tcW w:w="5584" w:type="dxa"/>
            <w:tcBorders>
              <w:top w:val="single" w:sz="3" w:space="0" w:color="CCCCCC"/>
              <w:left w:val="single" w:sz="3" w:space="0" w:color="CCCCCC"/>
              <w:bottom w:val="single" w:sz="3" w:space="0" w:color="CCCCCC"/>
              <w:right w:val="single" w:sz="3" w:space="0" w:color="CCCCCC"/>
            </w:tcBorders>
            <w:shd w:val="clear" w:color="auto" w:fill="F1EFE8"/>
            <w:tcMar>
              <w:top w:w="75" w:type="dxa"/>
              <w:left w:w="140" w:type="dxa"/>
              <w:bottom w:w="75" w:type="dxa"/>
              <w:right w:w="140" w:type="dxa"/>
            </w:tcMar>
          </w:tcPr>
          <w:p w14:paraId="2623424D" w14:textId="77777777" w:rsidR="00B94CA4" w:rsidRDefault="00CD2FC7">
            <w:pPr>
              <w:spacing w:before="80" w:after="80"/>
            </w:pPr>
            <w:r>
              <w:rPr>
                <w:color w:val="2C2C2A"/>
                <w:sz w:val="19"/>
                <w:szCs w:val="19"/>
              </w:rPr>
              <w:t>Two-phase individual consultancy</w:t>
            </w:r>
          </w:p>
        </w:tc>
      </w:tr>
      <w:tr w:rsidR="00B94CA4" w14:paraId="73F6E008" w14:textId="77777777" w:rsidTr="007B221D">
        <w:tc>
          <w:tcPr>
            <w:tcW w:w="3776" w:type="dxa"/>
            <w:tcBorders>
              <w:top w:val="single" w:sz="3" w:space="0" w:color="CCCCCC"/>
              <w:left w:val="single" w:sz="3" w:space="0" w:color="CCCCCC"/>
              <w:bottom w:val="single" w:sz="3" w:space="0" w:color="CCCCCC"/>
              <w:right w:val="single" w:sz="3" w:space="0" w:color="CCCCCC"/>
            </w:tcBorders>
            <w:shd w:val="clear" w:color="auto" w:fill="FFFFFF"/>
            <w:tcMar>
              <w:top w:w="75" w:type="dxa"/>
              <w:left w:w="140" w:type="dxa"/>
              <w:bottom w:w="75" w:type="dxa"/>
              <w:right w:w="100" w:type="dxa"/>
            </w:tcMar>
          </w:tcPr>
          <w:p w14:paraId="483710D7" w14:textId="77777777" w:rsidR="00B94CA4" w:rsidRDefault="00CD2FC7">
            <w:pPr>
              <w:spacing w:before="80" w:after="80"/>
            </w:pPr>
            <w:r>
              <w:rPr>
                <w:b/>
                <w:bCs/>
                <w:color w:val="2C2C2A"/>
                <w:sz w:val="19"/>
                <w:szCs w:val="19"/>
              </w:rPr>
              <w:t>Phase 1 — Inception</w:t>
            </w:r>
          </w:p>
        </w:tc>
        <w:tc>
          <w:tcPr>
            <w:tcW w:w="5584" w:type="dxa"/>
            <w:tcBorders>
              <w:top w:val="single" w:sz="3" w:space="0" w:color="CCCCCC"/>
              <w:left w:val="single" w:sz="3" w:space="0" w:color="CCCCCC"/>
              <w:bottom w:val="single" w:sz="3" w:space="0" w:color="CCCCCC"/>
              <w:right w:val="single" w:sz="3" w:space="0" w:color="CCCCCC"/>
            </w:tcBorders>
            <w:shd w:val="clear" w:color="auto" w:fill="FFFFFF"/>
            <w:tcMar>
              <w:top w:w="75" w:type="dxa"/>
              <w:left w:w="140" w:type="dxa"/>
              <w:bottom w:w="75" w:type="dxa"/>
              <w:right w:w="140" w:type="dxa"/>
            </w:tcMar>
          </w:tcPr>
          <w:p w14:paraId="038DDA28" w14:textId="77777777" w:rsidR="00B94CA4" w:rsidRDefault="00CD2FC7">
            <w:pPr>
              <w:spacing w:before="80" w:after="80"/>
            </w:pPr>
            <w:r>
              <w:rPr>
                <w:color w:val="2C2C2A"/>
                <w:sz w:val="19"/>
                <w:szCs w:val="19"/>
              </w:rPr>
              <w:t>May – July 2026  (approx. 20 working days)</w:t>
            </w:r>
          </w:p>
        </w:tc>
      </w:tr>
      <w:tr w:rsidR="00B94CA4" w14:paraId="52FD84C3" w14:textId="77777777" w:rsidTr="007B221D">
        <w:tc>
          <w:tcPr>
            <w:tcW w:w="3776" w:type="dxa"/>
            <w:tcBorders>
              <w:top w:val="single" w:sz="3" w:space="0" w:color="CCCCCC"/>
              <w:left w:val="single" w:sz="3" w:space="0" w:color="CCCCCC"/>
              <w:bottom w:val="single" w:sz="3" w:space="0" w:color="CCCCCC"/>
              <w:right w:val="single" w:sz="3" w:space="0" w:color="CCCCCC"/>
            </w:tcBorders>
            <w:shd w:val="clear" w:color="auto" w:fill="F1EFE8"/>
            <w:tcMar>
              <w:top w:w="75" w:type="dxa"/>
              <w:left w:w="140" w:type="dxa"/>
              <w:bottom w:w="75" w:type="dxa"/>
              <w:right w:w="100" w:type="dxa"/>
            </w:tcMar>
          </w:tcPr>
          <w:p w14:paraId="60FD9940" w14:textId="77777777" w:rsidR="00B94CA4" w:rsidRDefault="00CD2FC7">
            <w:pPr>
              <w:spacing w:before="80" w:after="80"/>
            </w:pPr>
            <w:r>
              <w:rPr>
                <w:b/>
                <w:bCs/>
                <w:color w:val="2C2C2A"/>
                <w:sz w:val="19"/>
                <w:szCs w:val="19"/>
              </w:rPr>
              <w:t>Phase 2 — Implementation support</w:t>
            </w:r>
          </w:p>
        </w:tc>
        <w:tc>
          <w:tcPr>
            <w:tcW w:w="5584" w:type="dxa"/>
            <w:tcBorders>
              <w:top w:val="single" w:sz="3" w:space="0" w:color="CCCCCC"/>
              <w:left w:val="single" w:sz="3" w:space="0" w:color="CCCCCC"/>
              <w:bottom w:val="single" w:sz="3" w:space="0" w:color="CCCCCC"/>
              <w:right w:val="single" w:sz="3" w:space="0" w:color="CCCCCC"/>
            </w:tcBorders>
            <w:shd w:val="clear" w:color="auto" w:fill="F1EFE8"/>
            <w:tcMar>
              <w:top w:w="75" w:type="dxa"/>
              <w:left w:w="140" w:type="dxa"/>
              <w:bottom w:w="75" w:type="dxa"/>
              <w:right w:w="140" w:type="dxa"/>
            </w:tcMar>
          </w:tcPr>
          <w:p w14:paraId="7BED2050" w14:textId="77777777" w:rsidR="00B94CA4" w:rsidRDefault="00CD2FC7">
            <w:pPr>
              <w:spacing w:before="80" w:after="80"/>
            </w:pPr>
            <w:r>
              <w:rPr>
                <w:color w:val="2C2C2A"/>
                <w:sz w:val="19"/>
                <w:szCs w:val="19"/>
              </w:rPr>
              <w:t>August 2026 – June 2027  (approx. 30 working days)</w:t>
            </w:r>
          </w:p>
        </w:tc>
      </w:tr>
      <w:tr w:rsidR="00B94CA4" w14:paraId="308FFBA0" w14:textId="77777777" w:rsidTr="007B221D">
        <w:tc>
          <w:tcPr>
            <w:tcW w:w="3776" w:type="dxa"/>
            <w:tcBorders>
              <w:top w:val="single" w:sz="3" w:space="0" w:color="CCCCCC"/>
              <w:left w:val="single" w:sz="3" w:space="0" w:color="CCCCCC"/>
              <w:bottom w:val="single" w:sz="3" w:space="0" w:color="CCCCCC"/>
              <w:right w:val="single" w:sz="3" w:space="0" w:color="CCCCCC"/>
            </w:tcBorders>
            <w:shd w:val="clear" w:color="auto" w:fill="FFFFFF"/>
            <w:tcMar>
              <w:top w:w="75" w:type="dxa"/>
              <w:left w:w="140" w:type="dxa"/>
              <w:bottom w:w="75" w:type="dxa"/>
              <w:right w:w="100" w:type="dxa"/>
            </w:tcMar>
          </w:tcPr>
          <w:p w14:paraId="62DB15AA" w14:textId="77777777" w:rsidR="00B94CA4" w:rsidRDefault="00CD2FC7">
            <w:pPr>
              <w:spacing w:before="80" w:after="80"/>
            </w:pPr>
            <w:r>
              <w:rPr>
                <w:b/>
                <w:bCs/>
                <w:color w:val="2C2C2A"/>
                <w:sz w:val="19"/>
                <w:szCs w:val="19"/>
              </w:rPr>
              <w:t>Total level of effort</w:t>
            </w:r>
          </w:p>
        </w:tc>
        <w:tc>
          <w:tcPr>
            <w:tcW w:w="5584" w:type="dxa"/>
            <w:tcBorders>
              <w:top w:val="single" w:sz="3" w:space="0" w:color="CCCCCC"/>
              <w:left w:val="single" w:sz="3" w:space="0" w:color="CCCCCC"/>
              <w:bottom w:val="single" w:sz="3" w:space="0" w:color="CCCCCC"/>
              <w:right w:val="single" w:sz="3" w:space="0" w:color="CCCCCC"/>
            </w:tcBorders>
            <w:shd w:val="clear" w:color="auto" w:fill="FFFFFF"/>
            <w:tcMar>
              <w:top w:w="75" w:type="dxa"/>
              <w:left w:w="140" w:type="dxa"/>
              <w:bottom w:w="75" w:type="dxa"/>
              <w:right w:w="140" w:type="dxa"/>
            </w:tcMar>
          </w:tcPr>
          <w:p w14:paraId="09DAF905" w14:textId="19C43632" w:rsidR="00B94CA4" w:rsidRDefault="00CD2FC7">
            <w:pPr>
              <w:spacing w:before="80" w:after="80"/>
            </w:pPr>
            <w:r>
              <w:rPr>
                <w:color w:val="2C2C2A"/>
                <w:sz w:val="19"/>
                <w:szCs w:val="19"/>
              </w:rPr>
              <w:t>~5</w:t>
            </w:r>
            <w:r w:rsidR="00F35AFE">
              <w:rPr>
                <w:color w:val="2C2C2A"/>
                <w:sz w:val="19"/>
                <w:szCs w:val="19"/>
              </w:rPr>
              <w:t>2</w:t>
            </w:r>
            <w:r>
              <w:rPr>
                <w:color w:val="2C2C2A"/>
                <w:sz w:val="19"/>
                <w:szCs w:val="19"/>
              </w:rPr>
              <w:t xml:space="preserve"> working days</w:t>
            </w:r>
          </w:p>
        </w:tc>
      </w:tr>
      <w:tr w:rsidR="00B94CA4" w14:paraId="03313162" w14:textId="77777777" w:rsidTr="007B221D">
        <w:tc>
          <w:tcPr>
            <w:tcW w:w="3776" w:type="dxa"/>
            <w:tcBorders>
              <w:top w:val="single" w:sz="3" w:space="0" w:color="CCCCCC"/>
              <w:left w:val="single" w:sz="3" w:space="0" w:color="CCCCCC"/>
              <w:bottom w:val="single" w:sz="3" w:space="0" w:color="CCCCCC"/>
              <w:right w:val="single" w:sz="3" w:space="0" w:color="CCCCCC"/>
            </w:tcBorders>
            <w:shd w:val="clear" w:color="auto" w:fill="F1EFE8"/>
            <w:tcMar>
              <w:top w:w="75" w:type="dxa"/>
              <w:left w:w="140" w:type="dxa"/>
              <w:bottom w:w="75" w:type="dxa"/>
              <w:right w:w="100" w:type="dxa"/>
            </w:tcMar>
          </w:tcPr>
          <w:p w14:paraId="1EB4F58E" w14:textId="77777777" w:rsidR="00B94CA4" w:rsidRDefault="00CD2FC7">
            <w:pPr>
              <w:spacing w:before="80" w:after="80"/>
            </w:pPr>
            <w:r>
              <w:rPr>
                <w:b/>
                <w:bCs/>
                <w:color w:val="2C2C2A"/>
                <w:sz w:val="19"/>
                <w:szCs w:val="19"/>
              </w:rPr>
              <w:t>Location</w:t>
            </w:r>
          </w:p>
        </w:tc>
        <w:tc>
          <w:tcPr>
            <w:tcW w:w="5584" w:type="dxa"/>
            <w:tcBorders>
              <w:top w:val="single" w:sz="3" w:space="0" w:color="CCCCCC"/>
              <w:left w:val="single" w:sz="3" w:space="0" w:color="CCCCCC"/>
              <w:bottom w:val="single" w:sz="3" w:space="0" w:color="CCCCCC"/>
              <w:right w:val="single" w:sz="3" w:space="0" w:color="CCCCCC"/>
            </w:tcBorders>
            <w:shd w:val="clear" w:color="auto" w:fill="F1EFE8"/>
            <w:tcMar>
              <w:top w:w="75" w:type="dxa"/>
              <w:left w:w="140" w:type="dxa"/>
              <w:bottom w:w="75" w:type="dxa"/>
              <w:right w:w="140" w:type="dxa"/>
            </w:tcMar>
          </w:tcPr>
          <w:p w14:paraId="1F3D068E" w14:textId="77777777" w:rsidR="00B94CA4" w:rsidRDefault="00CD2FC7">
            <w:pPr>
              <w:spacing w:before="80" w:after="80"/>
            </w:pPr>
            <w:r>
              <w:rPr>
                <w:color w:val="2C2C2A"/>
                <w:sz w:val="19"/>
                <w:szCs w:val="19"/>
              </w:rPr>
              <w:t>Liberia-based (Monrovia + field missions to project counties)</w:t>
            </w:r>
          </w:p>
        </w:tc>
      </w:tr>
      <w:tr w:rsidR="00B94CA4" w14:paraId="547E666C" w14:textId="77777777" w:rsidTr="007B221D">
        <w:tc>
          <w:tcPr>
            <w:tcW w:w="3776" w:type="dxa"/>
            <w:tcBorders>
              <w:top w:val="single" w:sz="3" w:space="0" w:color="CCCCCC"/>
              <w:left w:val="single" w:sz="3" w:space="0" w:color="CCCCCC"/>
              <w:bottom w:val="single" w:sz="3" w:space="0" w:color="CCCCCC"/>
              <w:right w:val="single" w:sz="3" w:space="0" w:color="CCCCCC"/>
            </w:tcBorders>
            <w:shd w:val="clear" w:color="auto" w:fill="FFFFFF"/>
            <w:tcMar>
              <w:top w:w="75" w:type="dxa"/>
              <w:left w:w="140" w:type="dxa"/>
              <w:bottom w:w="75" w:type="dxa"/>
              <w:right w:w="100" w:type="dxa"/>
            </w:tcMar>
          </w:tcPr>
          <w:p w14:paraId="11402E22" w14:textId="77777777" w:rsidR="00B94CA4" w:rsidRDefault="00CD2FC7">
            <w:pPr>
              <w:spacing w:before="80" w:after="80"/>
            </w:pPr>
            <w:r>
              <w:rPr>
                <w:b/>
                <w:bCs/>
                <w:color w:val="2C2C2A"/>
                <w:sz w:val="19"/>
                <w:szCs w:val="19"/>
              </w:rPr>
              <w:t>Start date</w:t>
            </w:r>
          </w:p>
        </w:tc>
        <w:tc>
          <w:tcPr>
            <w:tcW w:w="5584" w:type="dxa"/>
            <w:tcBorders>
              <w:top w:val="single" w:sz="3" w:space="0" w:color="CCCCCC"/>
              <w:left w:val="single" w:sz="3" w:space="0" w:color="CCCCCC"/>
              <w:bottom w:val="single" w:sz="3" w:space="0" w:color="CCCCCC"/>
              <w:right w:val="single" w:sz="3" w:space="0" w:color="CCCCCC"/>
            </w:tcBorders>
            <w:shd w:val="clear" w:color="auto" w:fill="FFFFFF"/>
            <w:tcMar>
              <w:top w:w="75" w:type="dxa"/>
              <w:left w:w="140" w:type="dxa"/>
              <w:bottom w:w="75" w:type="dxa"/>
              <w:right w:w="140" w:type="dxa"/>
            </w:tcMar>
          </w:tcPr>
          <w:p w14:paraId="6636844D" w14:textId="44D05034" w:rsidR="00B94CA4" w:rsidRDefault="00F35AFE">
            <w:pPr>
              <w:spacing w:before="80" w:after="80"/>
            </w:pPr>
            <w:r>
              <w:rPr>
                <w:color w:val="2C2C2A"/>
                <w:sz w:val="19"/>
                <w:szCs w:val="19"/>
              </w:rPr>
              <w:t>25</w:t>
            </w:r>
            <w:r w:rsidR="00CD2FC7">
              <w:rPr>
                <w:color w:val="2C2C2A"/>
                <w:sz w:val="19"/>
                <w:szCs w:val="19"/>
              </w:rPr>
              <w:t xml:space="preserve"> May 2026</w:t>
            </w:r>
          </w:p>
        </w:tc>
      </w:tr>
      <w:tr w:rsidR="00B94CA4" w14:paraId="54D08A33" w14:textId="77777777" w:rsidTr="007B221D">
        <w:tc>
          <w:tcPr>
            <w:tcW w:w="3776" w:type="dxa"/>
            <w:tcBorders>
              <w:top w:val="single" w:sz="3" w:space="0" w:color="CCCCCC"/>
              <w:left w:val="single" w:sz="3" w:space="0" w:color="CCCCCC"/>
              <w:bottom w:val="single" w:sz="3" w:space="0" w:color="CCCCCC"/>
              <w:right w:val="single" w:sz="3" w:space="0" w:color="CCCCCC"/>
            </w:tcBorders>
            <w:shd w:val="clear" w:color="auto" w:fill="F1EFE8"/>
            <w:tcMar>
              <w:top w:w="75" w:type="dxa"/>
              <w:left w:w="140" w:type="dxa"/>
              <w:bottom w:w="75" w:type="dxa"/>
              <w:right w:w="100" w:type="dxa"/>
            </w:tcMar>
          </w:tcPr>
          <w:p w14:paraId="102C1F05" w14:textId="77777777" w:rsidR="00B94CA4" w:rsidRDefault="00CD2FC7">
            <w:pPr>
              <w:spacing w:before="80" w:after="80"/>
            </w:pPr>
            <w:r>
              <w:rPr>
                <w:b/>
                <w:bCs/>
                <w:color w:val="2C2C2A"/>
                <w:sz w:val="19"/>
                <w:szCs w:val="19"/>
              </w:rPr>
              <w:t>Application deadline</w:t>
            </w:r>
          </w:p>
        </w:tc>
        <w:tc>
          <w:tcPr>
            <w:tcW w:w="5584" w:type="dxa"/>
            <w:tcBorders>
              <w:top w:val="single" w:sz="3" w:space="0" w:color="CCCCCC"/>
              <w:left w:val="single" w:sz="3" w:space="0" w:color="CCCCCC"/>
              <w:bottom w:val="single" w:sz="3" w:space="0" w:color="CCCCCC"/>
              <w:right w:val="single" w:sz="3" w:space="0" w:color="CCCCCC"/>
            </w:tcBorders>
            <w:shd w:val="clear" w:color="auto" w:fill="F1EFE8"/>
            <w:tcMar>
              <w:top w:w="75" w:type="dxa"/>
              <w:left w:w="140" w:type="dxa"/>
              <w:bottom w:w="75" w:type="dxa"/>
              <w:right w:w="140" w:type="dxa"/>
            </w:tcMar>
          </w:tcPr>
          <w:p w14:paraId="07AEB7DF" w14:textId="6FBE13B9" w:rsidR="00B94CA4" w:rsidRDefault="00E2339F">
            <w:pPr>
              <w:spacing w:before="80" w:after="80"/>
            </w:pPr>
            <w:r>
              <w:rPr>
                <w:color w:val="2C2C2A"/>
                <w:sz w:val="19"/>
                <w:szCs w:val="19"/>
              </w:rPr>
              <w:t>18 May 2026, 11:55pm</w:t>
            </w:r>
          </w:p>
        </w:tc>
      </w:tr>
    </w:tbl>
    <w:p w14:paraId="5F52BC76" w14:textId="77777777" w:rsidR="00B94CA4" w:rsidRDefault="00B94CA4">
      <w:pPr>
        <w:spacing w:before="120"/>
      </w:pPr>
    </w:p>
    <w:tbl>
      <w:tblPr>
        <w:tblW w:w="9360" w:type="dxa"/>
        <w:tblBorders>
          <w:top w:val="single" w:sz="4" w:space="0" w:color="0F6E56"/>
          <w:left w:val="single" w:sz="4" w:space="0" w:color="0F6E56"/>
          <w:bottom w:val="single" w:sz="4" w:space="0" w:color="0F6E56"/>
          <w:right w:val="single" w:sz="4" w:space="0" w:color="0F6E56"/>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94CA4" w14:paraId="2A57497A" w14:textId="77777777">
        <w:tc>
          <w:tcPr>
            <w:tcW w:w="9360" w:type="dxa"/>
            <w:tcBorders>
              <w:top w:val="single" w:sz="4" w:space="0" w:color="0F6E56"/>
              <w:left w:val="single" w:sz="4" w:space="0" w:color="0F6E56"/>
              <w:bottom w:val="single" w:sz="4" w:space="0" w:color="0F6E56"/>
              <w:right w:val="single" w:sz="4" w:space="0" w:color="0F6E56"/>
            </w:tcBorders>
            <w:shd w:val="clear" w:color="auto" w:fill="E1F5EE"/>
            <w:tcMar>
              <w:top w:w="130" w:type="dxa"/>
              <w:left w:w="200" w:type="dxa"/>
              <w:bottom w:w="130" w:type="dxa"/>
              <w:right w:w="200" w:type="dxa"/>
            </w:tcMar>
          </w:tcPr>
          <w:p w14:paraId="0414F754" w14:textId="77777777" w:rsidR="00B94CA4" w:rsidRDefault="00CD2FC7">
            <w:pPr>
              <w:spacing w:after="80"/>
            </w:pPr>
            <w:r>
              <w:rPr>
                <w:b/>
                <w:bCs/>
                <w:color w:val="0F6E56"/>
                <w:sz w:val="17"/>
                <w:szCs w:val="17"/>
              </w:rPr>
              <w:t>The mandate</w:t>
            </w:r>
          </w:p>
          <w:p w14:paraId="3360F9AE" w14:textId="386A8CE9" w:rsidR="00B94CA4" w:rsidRPr="00F84850" w:rsidRDefault="008E58E8" w:rsidP="004A4E61">
            <w:pPr>
              <w:spacing w:before="70" w:after="70"/>
              <w:jc w:val="both"/>
              <w:rPr>
                <w:sz w:val="18"/>
                <w:szCs w:val="18"/>
              </w:rPr>
            </w:pPr>
            <w:r w:rsidRPr="00F84850">
              <w:rPr>
                <w:color w:val="2C2C2A"/>
                <w:sz w:val="18"/>
                <w:szCs w:val="18"/>
              </w:rPr>
              <w:t xml:space="preserve">This is a strategic and operational role focused on embedding gender and social inclusion across the PSD Liberia Project. Despite </w:t>
            </w:r>
            <w:r w:rsidR="004A4E61">
              <w:rPr>
                <w:color w:val="2C2C2A"/>
                <w:sz w:val="18"/>
                <w:szCs w:val="18"/>
              </w:rPr>
              <w:t xml:space="preserve">the central role played by </w:t>
            </w:r>
            <w:r w:rsidRPr="00F84850">
              <w:rPr>
                <w:color w:val="2C2C2A"/>
                <w:sz w:val="18"/>
                <w:szCs w:val="18"/>
              </w:rPr>
              <w:t>women</w:t>
            </w:r>
            <w:r w:rsidR="004A4E61">
              <w:rPr>
                <w:color w:val="2C2C2A"/>
                <w:sz w:val="18"/>
                <w:szCs w:val="18"/>
              </w:rPr>
              <w:t xml:space="preserve">, youth and persons with disabilities (PWD) </w:t>
            </w:r>
            <w:r w:rsidRPr="00F84850">
              <w:rPr>
                <w:color w:val="2C2C2A"/>
                <w:sz w:val="18"/>
                <w:szCs w:val="18"/>
              </w:rPr>
              <w:t xml:space="preserve">in cassava processing, aquaculture trade, and wood micro-enterprises, they remain excluded from leadership, finance, and decision-making. The Gender and Social Inclusion Expert will establish and operationalize a gender-transformative framework during inception and implementation, integrating inclusive approaches into interventions, partner </w:t>
            </w:r>
            <w:proofErr w:type="spellStart"/>
            <w:r w:rsidRPr="00F84850">
              <w:rPr>
                <w:color w:val="2C2C2A"/>
                <w:sz w:val="18"/>
                <w:szCs w:val="18"/>
              </w:rPr>
              <w:t>workplans</w:t>
            </w:r>
            <w:proofErr w:type="spellEnd"/>
            <w:r w:rsidRPr="00F84850">
              <w:rPr>
                <w:color w:val="2C2C2A"/>
                <w:sz w:val="18"/>
                <w:szCs w:val="18"/>
              </w:rPr>
              <w:t>, and pilot activities, with clear expectations for measurable and practical results.</w:t>
            </w:r>
          </w:p>
        </w:tc>
      </w:tr>
    </w:tbl>
    <w:p w14:paraId="71AA88D0" w14:textId="77777777" w:rsidR="00B94CA4" w:rsidRDefault="00B94CA4">
      <w:pPr>
        <w:spacing w:before="200"/>
      </w:pPr>
    </w:p>
    <w:p w14:paraId="364F75F2" w14:textId="77777777" w:rsidR="00B94CA4" w:rsidRDefault="00CD2FC7">
      <w:r>
        <w:br w:type="page"/>
      </w:r>
    </w:p>
    <w:p w14:paraId="216C8B6C" w14:textId="77777777" w:rsidR="00B94CA4" w:rsidRDefault="00CD2FC7">
      <w:pPr>
        <w:pBdr>
          <w:bottom w:val="single" w:sz="6" w:space="1" w:color="2E75B6"/>
        </w:pBdr>
        <w:spacing w:before="280" w:after="100"/>
      </w:pPr>
      <w:r>
        <w:rPr>
          <w:b/>
          <w:bCs/>
          <w:color w:val="1F3864"/>
          <w:sz w:val="22"/>
          <w:szCs w:val="22"/>
        </w:rPr>
        <w:lastRenderedPageBreak/>
        <w:t>I.  Background and Context</w:t>
      </w:r>
    </w:p>
    <w:p w14:paraId="5C2D8526" w14:textId="77777777" w:rsidR="00B94CA4" w:rsidRDefault="00CD2FC7">
      <w:pPr>
        <w:spacing w:before="180" w:after="70"/>
      </w:pPr>
      <w:r>
        <w:rPr>
          <w:b/>
          <w:bCs/>
          <w:color w:val="0F6E56"/>
        </w:rPr>
        <w:t>A.  Expertise France and the PSD Liberia Project</w:t>
      </w:r>
    </w:p>
    <w:p w14:paraId="5959F79E" w14:textId="77777777" w:rsidR="00B94CA4" w:rsidRDefault="00CD2FC7" w:rsidP="00C020A8">
      <w:pPr>
        <w:spacing w:before="70" w:after="70"/>
        <w:jc w:val="both"/>
      </w:pPr>
      <w:r>
        <w:rPr>
          <w:color w:val="2C2C2A"/>
        </w:rPr>
        <w:t xml:space="preserve">Expertise France is France's public agency for international technical cooperation, a member of the AFD Group, operating across 140 countries with a EUR 450 million portfolio. The Private Sector Development in Liberia (PSD Liberia) Project is a EUR 25 million EU-funded initiative (October 2025 – September 2029), co-implemented by Expertise France and the International </w:t>
      </w:r>
      <w:proofErr w:type="spellStart"/>
      <w:r>
        <w:rPr>
          <w:color w:val="2C2C2A"/>
        </w:rPr>
        <w:t>Labour</w:t>
      </w:r>
      <w:proofErr w:type="spellEnd"/>
      <w:r>
        <w:rPr>
          <w:color w:val="2C2C2A"/>
        </w:rPr>
        <w:t xml:space="preserve"> Organization (ILO), currently in its inception phase.</w:t>
      </w:r>
    </w:p>
    <w:p w14:paraId="6B7D490E" w14:textId="77777777" w:rsidR="00B94CA4" w:rsidRDefault="00CD2FC7" w:rsidP="00C020A8">
      <w:pPr>
        <w:spacing w:before="70" w:after="70"/>
        <w:jc w:val="both"/>
      </w:pPr>
      <w:r>
        <w:rPr>
          <w:color w:val="2C2C2A"/>
        </w:rPr>
        <w:t>The project's overall objective is to increase the competitiveness, inclusivity, and environmental sustainability of Liberia's cassava, fisheries, and wood processing value chains — fostering decent job creation, economic growth, and MSME competitiveness. Its specific objective targets MSMEs owned by women, youth, and persons with disabilities to increase productivity and product quality while offering decent working conditions and committing to environmental sustainability standards.</w:t>
      </w:r>
    </w:p>
    <w:p w14:paraId="40688410" w14:textId="77777777" w:rsidR="00B94CA4" w:rsidRDefault="00CD2FC7" w:rsidP="00C020A8">
      <w:pPr>
        <w:spacing w:before="70" w:after="70"/>
        <w:jc w:val="both"/>
      </w:pPr>
      <w:r>
        <w:rPr>
          <w:color w:val="2C2C2A"/>
        </w:rPr>
        <w:t>The project operates through three components: (</w:t>
      </w:r>
      <w:proofErr w:type="spellStart"/>
      <w:r>
        <w:rPr>
          <w:color w:val="2C2C2A"/>
        </w:rPr>
        <w:t>i</w:t>
      </w:r>
      <w:proofErr w:type="spellEnd"/>
      <w:r>
        <w:rPr>
          <w:color w:val="2C2C2A"/>
        </w:rPr>
        <w:t xml:space="preserve">) improved regulatory frameworks through public-private dialogue and institutional capacity development; (ii) improved MSME skills and competitiveness across the three target value chains; and (iii) enhanced national capacity for employment creation and inclusive access to decent work, including for </w:t>
      </w:r>
      <w:proofErr w:type="spellStart"/>
      <w:r>
        <w:rPr>
          <w:color w:val="2C2C2A"/>
        </w:rPr>
        <w:t>marginalised</w:t>
      </w:r>
      <w:proofErr w:type="spellEnd"/>
      <w:r>
        <w:rPr>
          <w:color w:val="2C2C2A"/>
        </w:rPr>
        <w:t xml:space="preserve"> groups.</w:t>
      </w:r>
    </w:p>
    <w:p w14:paraId="049F3BE6" w14:textId="77777777" w:rsidR="00B94CA4" w:rsidRDefault="00B94CA4">
      <w:pPr>
        <w:spacing w:before="60"/>
      </w:pPr>
    </w:p>
    <w:p w14:paraId="6BC9911D" w14:textId="77777777" w:rsidR="00B94CA4" w:rsidRDefault="00CD2FC7">
      <w:pPr>
        <w:spacing w:before="180" w:after="70"/>
      </w:pPr>
      <w:r>
        <w:rPr>
          <w:b/>
          <w:bCs/>
          <w:color w:val="0F6E56"/>
        </w:rPr>
        <w:t>B.  Gender and social inclusion in Liberia's target value chains</w:t>
      </w:r>
    </w:p>
    <w:p w14:paraId="2ED0E5F8" w14:textId="77777777" w:rsidR="00B94CA4" w:rsidRDefault="00CD2FC7" w:rsidP="00C020A8">
      <w:pPr>
        <w:spacing w:before="70" w:after="70"/>
        <w:jc w:val="both"/>
      </w:pPr>
      <w:r>
        <w:rPr>
          <w:color w:val="2C2C2A"/>
        </w:rPr>
        <w:t xml:space="preserve">Liberia's cassava, fisheries, and wood processing sectors present both acute gender inequalities and substantial opportunities for transformation. Women constitute 60–70% of cassava farmers and processors, dominate artisanal fish trading and small-scale aquaculture activities, and represent the primary informal </w:t>
      </w:r>
      <w:proofErr w:type="spellStart"/>
      <w:r>
        <w:rPr>
          <w:color w:val="2C2C2A"/>
        </w:rPr>
        <w:t>labour</w:t>
      </w:r>
      <w:proofErr w:type="spellEnd"/>
      <w:r>
        <w:rPr>
          <w:color w:val="2C2C2A"/>
        </w:rPr>
        <w:t xml:space="preserve"> in wood and furniture micro-enterprises. Despite this productive centrality, women are systematically excluded from cooperative leadership, investment decisions, off-take negotiations, quality certification, and formal financial services.</w:t>
      </w:r>
    </w:p>
    <w:p w14:paraId="1F132C3E" w14:textId="77777777" w:rsidR="00B94CA4" w:rsidRDefault="00CD2FC7" w:rsidP="00C020A8">
      <w:pPr>
        <w:spacing w:before="70" w:after="70"/>
        <w:jc w:val="both"/>
      </w:pPr>
      <w:r>
        <w:rPr>
          <w:color w:val="2C2C2A"/>
        </w:rPr>
        <w:t xml:space="preserve">Structural barriers — land tenure restrictions, male co-signatory credit requirements, disproportionate unpaid care burdens, attitudinal exclusion from PPD — operate at every node of every value chain. Youth face compounded age and gender discrimination. Persons with disabilities (PWDs) remain largely invisible in economic support </w:t>
      </w:r>
      <w:proofErr w:type="spellStart"/>
      <w:r>
        <w:rPr>
          <w:color w:val="2C2C2A"/>
        </w:rPr>
        <w:t>programmes</w:t>
      </w:r>
      <w:proofErr w:type="spellEnd"/>
      <w:r>
        <w:rPr>
          <w:color w:val="2C2C2A"/>
        </w:rPr>
        <w:t xml:space="preserve">. Prior initiatives — CASTRAP, RETRAP, and STAR-P — have documented these dynamics comprehensively. </w:t>
      </w:r>
      <w:r w:rsidRPr="00C020A8">
        <w:rPr>
          <w:b/>
          <w:bCs/>
          <w:color w:val="2C2C2A"/>
        </w:rPr>
        <w:t>This assignment does not start from zero</w:t>
      </w:r>
      <w:r>
        <w:rPr>
          <w:color w:val="2C2C2A"/>
        </w:rPr>
        <w:t>. The task is to translate existing evidence into commercial and institutional action.</w:t>
      </w:r>
    </w:p>
    <w:p w14:paraId="3D951580" w14:textId="77777777" w:rsidR="00B94CA4" w:rsidRDefault="00B94CA4">
      <w:pPr>
        <w:spacing w:before="60"/>
      </w:pPr>
    </w:p>
    <w:p w14:paraId="1B669436" w14:textId="77777777" w:rsidR="00B94CA4" w:rsidRDefault="00CD2FC7">
      <w:pPr>
        <w:spacing w:before="180" w:after="70"/>
      </w:pPr>
      <w:r>
        <w:rPr>
          <w:b/>
          <w:bCs/>
          <w:color w:val="0F6E56"/>
        </w:rPr>
        <w:t>C.  Strategic framework</w:t>
      </w:r>
    </w:p>
    <w:p w14:paraId="4950A4BF" w14:textId="77777777" w:rsidR="00B94CA4" w:rsidRDefault="00CD2FC7">
      <w:pPr>
        <w:spacing w:before="70" w:after="70"/>
      </w:pPr>
      <w:r>
        <w:rPr>
          <w:color w:val="2C2C2A"/>
        </w:rPr>
        <w:t>This mandate operates within six complementary frameworks:</w:t>
      </w:r>
    </w:p>
    <w:p w14:paraId="35CD1804" w14:textId="77777777" w:rsidR="00B94CA4" w:rsidRDefault="00B94CA4">
      <w:pPr>
        <w:spacing w:before="60"/>
      </w:pPr>
    </w:p>
    <w:tbl>
      <w:tblPr>
        <w:tblW w:w="9360" w:type="dxa"/>
        <w:tblBorders>
          <w:top w:val="nil"/>
          <w:left w:val="nil"/>
          <w:bottom w:val="nil"/>
          <w:right w:val="nil"/>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
        <w:gridCol w:w="9260"/>
      </w:tblGrid>
      <w:tr w:rsidR="00B94CA4" w14:paraId="7BC7962E" w14:textId="77777777">
        <w:tc>
          <w:tcPr>
            <w:tcW w:w="100" w:type="dxa"/>
            <w:tcBorders>
              <w:top w:val="nil"/>
              <w:left w:val="nil"/>
              <w:bottom w:val="nil"/>
              <w:right w:val="nil"/>
            </w:tcBorders>
            <w:shd w:val="clear" w:color="auto" w:fill="534AB7"/>
            <w:tcMar>
              <w:top w:w="0" w:type="dxa"/>
              <w:left w:w="0" w:type="dxa"/>
              <w:bottom w:w="0" w:type="dxa"/>
              <w:right w:w="0" w:type="dxa"/>
            </w:tcMar>
          </w:tcPr>
          <w:p w14:paraId="181F291F" w14:textId="77777777" w:rsidR="00B94CA4" w:rsidRDefault="00B94CA4">
            <w:pPr>
              <w:spacing w:before="80" w:after="80"/>
            </w:pPr>
          </w:p>
        </w:tc>
        <w:tc>
          <w:tcPr>
            <w:tcW w:w="9260" w:type="dxa"/>
            <w:tcBorders>
              <w:top w:val="single" w:sz="3" w:space="0" w:color="DDDDDD"/>
              <w:left w:val="nil"/>
              <w:bottom w:val="single" w:sz="3" w:space="0" w:color="DDDDDD"/>
              <w:right w:val="single" w:sz="3" w:space="0" w:color="DDDDDD"/>
            </w:tcBorders>
            <w:shd w:val="clear" w:color="auto" w:fill="EEEDFE"/>
            <w:tcMar>
              <w:top w:w="110" w:type="dxa"/>
              <w:left w:w="200" w:type="dxa"/>
              <w:bottom w:w="110" w:type="dxa"/>
              <w:right w:w="160" w:type="dxa"/>
            </w:tcMar>
          </w:tcPr>
          <w:p w14:paraId="7E7951AA" w14:textId="77777777" w:rsidR="00B94CA4" w:rsidRPr="004A4E61" w:rsidRDefault="00CD2FC7">
            <w:pPr>
              <w:spacing w:after="70"/>
              <w:rPr>
                <w:lang w:val="fr-FR"/>
              </w:rPr>
            </w:pPr>
            <w:r w:rsidRPr="004A4E61">
              <w:rPr>
                <w:b/>
                <w:bCs/>
                <w:color w:val="534AB7"/>
                <w:sz w:val="18"/>
                <w:szCs w:val="18"/>
                <w:lang w:val="fr-FR"/>
              </w:rPr>
              <w:t xml:space="preserve">EU </w:t>
            </w:r>
            <w:proofErr w:type="spellStart"/>
            <w:r w:rsidRPr="004A4E61">
              <w:rPr>
                <w:b/>
                <w:bCs/>
                <w:color w:val="534AB7"/>
                <w:sz w:val="18"/>
                <w:szCs w:val="18"/>
                <w:lang w:val="fr-FR"/>
              </w:rPr>
              <w:t>Gender</w:t>
            </w:r>
            <w:proofErr w:type="spellEnd"/>
            <w:r w:rsidRPr="004A4E61">
              <w:rPr>
                <w:b/>
                <w:bCs/>
                <w:color w:val="534AB7"/>
                <w:sz w:val="18"/>
                <w:szCs w:val="18"/>
                <w:lang w:val="fr-FR"/>
              </w:rPr>
              <w:t xml:space="preserve"> Action Plan III (GAP III, 2021–2025)</w:t>
            </w:r>
          </w:p>
          <w:p w14:paraId="0F3EEAEF" w14:textId="77777777" w:rsidR="00B94CA4" w:rsidRDefault="00CD2FC7" w:rsidP="00C020A8">
            <w:pPr>
              <w:spacing w:before="70" w:after="70"/>
              <w:jc w:val="both"/>
            </w:pPr>
            <w:r>
              <w:rPr>
                <w:color w:val="2C2C2A"/>
              </w:rPr>
              <w:t>Mandates 85% gender integration in EU external actions through transformative approaches. Requires: women's ownership of productive assets and share of value-added revenues; gender-responsive investment and finance mechanisms; GAP III-aligned, sex-disaggregated indicators in the logical framework; and systematic reporting on women's economic empowerment outcomes.</w:t>
            </w:r>
          </w:p>
        </w:tc>
      </w:tr>
    </w:tbl>
    <w:p w14:paraId="32D96E3B" w14:textId="77777777" w:rsidR="00B94CA4" w:rsidRDefault="00B94CA4">
      <w:pPr>
        <w:spacing w:before="70"/>
      </w:pPr>
    </w:p>
    <w:tbl>
      <w:tblPr>
        <w:tblW w:w="9360" w:type="dxa"/>
        <w:tblBorders>
          <w:top w:val="nil"/>
          <w:left w:val="nil"/>
          <w:bottom w:val="nil"/>
          <w:right w:val="nil"/>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
        <w:gridCol w:w="9260"/>
      </w:tblGrid>
      <w:tr w:rsidR="00B94CA4" w14:paraId="4C51DEDC" w14:textId="77777777">
        <w:tc>
          <w:tcPr>
            <w:tcW w:w="100" w:type="dxa"/>
            <w:tcBorders>
              <w:top w:val="nil"/>
              <w:left w:val="nil"/>
              <w:bottom w:val="nil"/>
              <w:right w:val="nil"/>
            </w:tcBorders>
            <w:shd w:val="clear" w:color="auto" w:fill="0F6E56"/>
            <w:tcMar>
              <w:top w:w="0" w:type="dxa"/>
              <w:left w:w="0" w:type="dxa"/>
              <w:bottom w:w="0" w:type="dxa"/>
              <w:right w:w="0" w:type="dxa"/>
            </w:tcMar>
          </w:tcPr>
          <w:p w14:paraId="5A66894D" w14:textId="77777777" w:rsidR="00B94CA4" w:rsidRDefault="00B94CA4">
            <w:pPr>
              <w:spacing w:before="80" w:after="80"/>
            </w:pPr>
          </w:p>
        </w:tc>
        <w:tc>
          <w:tcPr>
            <w:tcW w:w="9260" w:type="dxa"/>
            <w:tcBorders>
              <w:top w:val="single" w:sz="3" w:space="0" w:color="DDDDDD"/>
              <w:left w:val="nil"/>
              <w:bottom w:val="single" w:sz="3" w:space="0" w:color="DDDDDD"/>
              <w:right w:val="single" w:sz="3" w:space="0" w:color="DDDDDD"/>
            </w:tcBorders>
            <w:shd w:val="clear" w:color="auto" w:fill="E1F5EE"/>
            <w:tcMar>
              <w:top w:w="110" w:type="dxa"/>
              <w:left w:w="200" w:type="dxa"/>
              <w:bottom w:w="110" w:type="dxa"/>
              <w:right w:w="160" w:type="dxa"/>
            </w:tcMar>
          </w:tcPr>
          <w:p w14:paraId="2AAE2DD5" w14:textId="77777777" w:rsidR="00B94CA4" w:rsidRDefault="00CD2FC7">
            <w:pPr>
              <w:spacing w:after="70"/>
            </w:pPr>
            <w:r>
              <w:rPr>
                <w:b/>
                <w:bCs/>
                <w:color w:val="0F6E56"/>
                <w:sz w:val="18"/>
                <w:szCs w:val="18"/>
              </w:rPr>
              <w:t>ILO Decent Work Agenda</w:t>
            </w:r>
          </w:p>
          <w:p w14:paraId="77211C91" w14:textId="77777777" w:rsidR="00B94CA4" w:rsidRDefault="00CD2FC7" w:rsidP="00C020A8">
            <w:pPr>
              <w:spacing w:before="70" w:after="70"/>
              <w:jc w:val="both"/>
            </w:pPr>
            <w:r>
              <w:rPr>
                <w:color w:val="2C2C2A"/>
              </w:rPr>
              <w:t xml:space="preserve">Frames gender equality as a </w:t>
            </w:r>
            <w:proofErr w:type="spellStart"/>
            <w:r>
              <w:rPr>
                <w:color w:val="2C2C2A"/>
              </w:rPr>
              <w:t>labour</w:t>
            </w:r>
            <w:proofErr w:type="spellEnd"/>
            <w:r>
              <w:rPr>
                <w:color w:val="2C2C2A"/>
              </w:rPr>
              <w:t xml:space="preserve"> right, covering: elimination of gender-based wage discrimination and occupational segregation; GBV prevention in value chain workplaces; International </w:t>
            </w:r>
            <w:proofErr w:type="spellStart"/>
            <w:r>
              <w:rPr>
                <w:color w:val="2C2C2A"/>
              </w:rPr>
              <w:t>Labour</w:t>
            </w:r>
            <w:proofErr w:type="spellEnd"/>
            <w:r>
              <w:rPr>
                <w:color w:val="2C2C2A"/>
              </w:rPr>
              <w:t xml:space="preserve"> Standards in cooperative governance; and PWD inclusion under ILO C159.</w:t>
            </w:r>
          </w:p>
        </w:tc>
      </w:tr>
    </w:tbl>
    <w:p w14:paraId="7BDF853F" w14:textId="77777777" w:rsidR="00B94CA4" w:rsidRDefault="00B94CA4">
      <w:pPr>
        <w:spacing w:before="70"/>
      </w:pPr>
    </w:p>
    <w:tbl>
      <w:tblPr>
        <w:tblW w:w="9360" w:type="dxa"/>
        <w:tblBorders>
          <w:top w:val="nil"/>
          <w:left w:val="nil"/>
          <w:bottom w:val="nil"/>
          <w:right w:val="nil"/>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
        <w:gridCol w:w="9260"/>
      </w:tblGrid>
      <w:tr w:rsidR="00B94CA4" w14:paraId="5278CC19" w14:textId="77777777">
        <w:tc>
          <w:tcPr>
            <w:tcW w:w="100" w:type="dxa"/>
            <w:tcBorders>
              <w:top w:val="nil"/>
              <w:left w:val="nil"/>
              <w:bottom w:val="nil"/>
              <w:right w:val="nil"/>
            </w:tcBorders>
            <w:shd w:val="clear" w:color="auto" w:fill="854F0B"/>
            <w:tcMar>
              <w:top w:w="0" w:type="dxa"/>
              <w:left w:w="0" w:type="dxa"/>
              <w:bottom w:w="0" w:type="dxa"/>
              <w:right w:w="0" w:type="dxa"/>
            </w:tcMar>
          </w:tcPr>
          <w:p w14:paraId="4907AE3C" w14:textId="77777777" w:rsidR="00B94CA4" w:rsidRDefault="00B94CA4">
            <w:pPr>
              <w:spacing w:before="80" w:after="80"/>
            </w:pPr>
          </w:p>
        </w:tc>
        <w:tc>
          <w:tcPr>
            <w:tcW w:w="9260" w:type="dxa"/>
            <w:tcBorders>
              <w:top w:val="single" w:sz="3" w:space="0" w:color="DDDDDD"/>
              <w:left w:val="nil"/>
              <w:bottom w:val="single" w:sz="3" w:space="0" w:color="DDDDDD"/>
              <w:right w:val="single" w:sz="3" w:space="0" w:color="DDDDDD"/>
            </w:tcBorders>
            <w:shd w:val="clear" w:color="auto" w:fill="FAEEDA"/>
            <w:tcMar>
              <w:top w:w="110" w:type="dxa"/>
              <w:left w:w="200" w:type="dxa"/>
              <w:bottom w:w="110" w:type="dxa"/>
              <w:right w:w="160" w:type="dxa"/>
            </w:tcMar>
          </w:tcPr>
          <w:p w14:paraId="46B40073" w14:textId="77777777" w:rsidR="00B94CA4" w:rsidRDefault="00CD2FC7">
            <w:pPr>
              <w:spacing w:after="70"/>
            </w:pPr>
            <w:r>
              <w:rPr>
                <w:b/>
                <w:bCs/>
                <w:color w:val="854F0B"/>
                <w:sz w:val="18"/>
                <w:szCs w:val="18"/>
              </w:rPr>
              <w:t>Liberia National Gender Policy and National Agricultural Gender Policy</w:t>
            </w:r>
          </w:p>
          <w:p w14:paraId="02820EA7" w14:textId="28AC478E" w:rsidR="00B94CA4" w:rsidRDefault="00CD2FC7" w:rsidP="00C020A8">
            <w:pPr>
              <w:spacing w:before="70" w:after="70"/>
              <w:jc w:val="both"/>
            </w:pPr>
            <w:r>
              <w:rPr>
                <w:color w:val="2C2C2A"/>
              </w:rPr>
              <w:t xml:space="preserve">National frameworks </w:t>
            </w:r>
            <w:r w:rsidR="00F84850">
              <w:rPr>
                <w:color w:val="2C2C2A"/>
              </w:rPr>
              <w:t>require</w:t>
            </w:r>
            <w:r>
              <w:rPr>
                <w:color w:val="2C2C2A"/>
              </w:rPr>
              <w:t xml:space="preserve"> gender-equitable access to land, inputs, extension, finance, and markets. All project gender commitments must be grounded in and traceable to these policies. The Gender Expert is responsible for ensuring this alignment across all three project components.</w:t>
            </w:r>
          </w:p>
        </w:tc>
      </w:tr>
    </w:tbl>
    <w:p w14:paraId="7F3AB418" w14:textId="77777777" w:rsidR="00B94CA4" w:rsidRDefault="00B94CA4">
      <w:pPr>
        <w:spacing w:before="70"/>
      </w:pPr>
    </w:p>
    <w:tbl>
      <w:tblPr>
        <w:tblW w:w="9360" w:type="dxa"/>
        <w:tblBorders>
          <w:top w:val="nil"/>
          <w:left w:val="nil"/>
          <w:bottom w:val="nil"/>
          <w:right w:val="nil"/>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
        <w:gridCol w:w="9260"/>
      </w:tblGrid>
      <w:tr w:rsidR="00B94CA4" w14:paraId="59B4B87D" w14:textId="77777777">
        <w:tc>
          <w:tcPr>
            <w:tcW w:w="100" w:type="dxa"/>
            <w:tcBorders>
              <w:top w:val="nil"/>
              <w:left w:val="nil"/>
              <w:bottom w:val="nil"/>
              <w:right w:val="nil"/>
            </w:tcBorders>
            <w:shd w:val="clear" w:color="auto" w:fill="993C1D"/>
            <w:tcMar>
              <w:top w:w="0" w:type="dxa"/>
              <w:left w:w="0" w:type="dxa"/>
              <w:bottom w:w="0" w:type="dxa"/>
              <w:right w:w="0" w:type="dxa"/>
            </w:tcMar>
          </w:tcPr>
          <w:p w14:paraId="0A1C0BD6" w14:textId="77777777" w:rsidR="00B94CA4" w:rsidRDefault="00B94CA4">
            <w:pPr>
              <w:spacing w:before="80" w:after="80"/>
            </w:pPr>
          </w:p>
        </w:tc>
        <w:tc>
          <w:tcPr>
            <w:tcW w:w="9260" w:type="dxa"/>
            <w:tcBorders>
              <w:top w:val="single" w:sz="3" w:space="0" w:color="DDDDDD"/>
              <w:left w:val="nil"/>
              <w:bottom w:val="single" w:sz="3" w:space="0" w:color="DDDDDD"/>
              <w:right w:val="single" w:sz="3" w:space="0" w:color="DDDDDD"/>
            </w:tcBorders>
            <w:shd w:val="clear" w:color="auto" w:fill="FAECE7"/>
            <w:tcMar>
              <w:top w:w="110" w:type="dxa"/>
              <w:left w:w="200" w:type="dxa"/>
              <w:bottom w:w="110" w:type="dxa"/>
              <w:right w:w="160" w:type="dxa"/>
            </w:tcMar>
          </w:tcPr>
          <w:p w14:paraId="70FEC1D1" w14:textId="77777777" w:rsidR="00B94CA4" w:rsidRDefault="00CD2FC7">
            <w:pPr>
              <w:spacing w:after="70"/>
            </w:pPr>
            <w:r>
              <w:rPr>
                <w:b/>
                <w:bCs/>
                <w:color w:val="993C1D"/>
                <w:sz w:val="18"/>
                <w:szCs w:val="18"/>
              </w:rPr>
              <w:t>STAR-P Gender Analysis — primary evidence base</w:t>
            </w:r>
          </w:p>
          <w:p w14:paraId="785E6E27" w14:textId="77777777" w:rsidR="00B94CA4" w:rsidRDefault="00CD2FC7" w:rsidP="00C020A8">
            <w:pPr>
              <w:spacing w:before="70" w:after="70"/>
              <w:jc w:val="both"/>
            </w:pPr>
            <w:r>
              <w:rPr>
                <w:color w:val="2C2C2A"/>
              </w:rPr>
              <w:t xml:space="preserve">The STAR-P Gender Analysis is the primary sector-specific background document for this assignment. Candidates are expected to be familiar with its findings on structural constraints (unpaid </w:t>
            </w:r>
            <w:proofErr w:type="spellStart"/>
            <w:r>
              <w:rPr>
                <w:color w:val="2C2C2A"/>
              </w:rPr>
              <w:t>labour</w:t>
            </w:r>
            <w:proofErr w:type="spellEnd"/>
            <w:r>
              <w:rPr>
                <w:color w:val="2C2C2A"/>
              </w:rPr>
              <w:t xml:space="preserve"> burdens, asset ownership gaps, institutional capacity weaknesses), which constitute the analytical starting point — not background reading — for this role.</w:t>
            </w:r>
          </w:p>
        </w:tc>
      </w:tr>
    </w:tbl>
    <w:p w14:paraId="05168A07" w14:textId="77777777" w:rsidR="00B94CA4" w:rsidRDefault="00B94CA4">
      <w:pPr>
        <w:spacing w:before="70"/>
      </w:pPr>
    </w:p>
    <w:tbl>
      <w:tblPr>
        <w:tblW w:w="9360" w:type="dxa"/>
        <w:tblBorders>
          <w:top w:val="nil"/>
          <w:left w:val="nil"/>
          <w:bottom w:val="nil"/>
          <w:right w:val="nil"/>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
        <w:gridCol w:w="9260"/>
      </w:tblGrid>
      <w:tr w:rsidR="00B94CA4" w14:paraId="06DB4DA5" w14:textId="77777777">
        <w:tc>
          <w:tcPr>
            <w:tcW w:w="100" w:type="dxa"/>
            <w:tcBorders>
              <w:top w:val="nil"/>
              <w:left w:val="nil"/>
              <w:bottom w:val="nil"/>
              <w:right w:val="nil"/>
            </w:tcBorders>
            <w:shd w:val="clear" w:color="auto" w:fill="3B6D11"/>
            <w:tcMar>
              <w:top w:w="0" w:type="dxa"/>
              <w:left w:w="0" w:type="dxa"/>
              <w:bottom w:w="0" w:type="dxa"/>
              <w:right w:w="0" w:type="dxa"/>
            </w:tcMar>
          </w:tcPr>
          <w:p w14:paraId="4CB9D043" w14:textId="77777777" w:rsidR="00B94CA4" w:rsidRDefault="00B94CA4">
            <w:pPr>
              <w:spacing w:before="80" w:after="80"/>
            </w:pPr>
          </w:p>
        </w:tc>
        <w:tc>
          <w:tcPr>
            <w:tcW w:w="9260" w:type="dxa"/>
            <w:tcBorders>
              <w:top w:val="single" w:sz="3" w:space="0" w:color="DDDDDD"/>
              <w:left w:val="nil"/>
              <w:bottom w:val="single" w:sz="3" w:space="0" w:color="DDDDDD"/>
              <w:right w:val="single" w:sz="3" w:space="0" w:color="DDDDDD"/>
            </w:tcBorders>
            <w:shd w:val="clear" w:color="auto" w:fill="EAF3DE"/>
            <w:tcMar>
              <w:top w:w="110" w:type="dxa"/>
              <w:left w:w="200" w:type="dxa"/>
              <w:bottom w:w="110" w:type="dxa"/>
              <w:right w:w="160" w:type="dxa"/>
            </w:tcMar>
          </w:tcPr>
          <w:p w14:paraId="0F776A24" w14:textId="77777777" w:rsidR="00B94CA4" w:rsidRDefault="00CD2FC7">
            <w:pPr>
              <w:spacing w:after="70"/>
            </w:pPr>
            <w:r>
              <w:rPr>
                <w:b/>
                <w:bCs/>
                <w:color w:val="3B6D11"/>
                <w:sz w:val="18"/>
                <w:szCs w:val="18"/>
              </w:rPr>
              <w:t>CEDAW, SDGs (5 &amp; 8), ECOWAS Gender Policy, AU GEWE</w:t>
            </w:r>
          </w:p>
          <w:p w14:paraId="732FABB6" w14:textId="77777777" w:rsidR="00B94CA4" w:rsidRDefault="00CD2FC7" w:rsidP="00C020A8">
            <w:pPr>
              <w:spacing w:before="70" w:after="70"/>
              <w:jc w:val="both"/>
            </w:pPr>
            <w:r>
              <w:rPr>
                <w:color w:val="2C2C2A"/>
              </w:rPr>
              <w:t>International and regional accountability frameworks setting binding and aspirational targets for women's economic participation, decent work, and gender-responsive governance. PSD Liberia indicators must contribute to all of these, and the Gender Expert's technical proposal must demonstrate how.</w:t>
            </w:r>
          </w:p>
        </w:tc>
      </w:tr>
    </w:tbl>
    <w:p w14:paraId="263E7568" w14:textId="77777777" w:rsidR="00B94CA4" w:rsidRDefault="00B94CA4">
      <w:pPr>
        <w:spacing w:before="200"/>
      </w:pPr>
    </w:p>
    <w:p w14:paraId="452ACEAE" w14:textId="77777777" w:rsidR="00B94CA4" w:rsidRDefault="00CD2FC7">
      <w:r>
        <w:br w:type="page"/>
      </w:r>
    </w:p>
    <w:p w14:paraId="1647B005" w14:textId="77777777" w:rsidR="00B94CA4" w:rsidRDefault="00CD2FC7">
      <w:pPr>
        <w:pBdr>
          <w:bottom w:val="single" w:sz="6" w:space="1" w:color="2E75B6"/>
        </w:pBdr>
        <w:spacing w:before="280" w:after="100"/>
      </w:pPr>
      <w:r>
        <w:rPr>
          <w:b/>
          <w:bCs/>
          <w:color w:val="1F3864"/>
          <w:sz w:val="22"/>
          <w:szCs w:val="22"/>
        </w:rPr>
        <w:lastRenderedPageBreak/>
        <w:t>II.  Objectives</w:t>
      </w:r>
    </w:p>
    <w:p w14:paraId="57387C3E" w14:textId="77777777" w:rsidR="00B94CA4" w:rsidRDefault="00CD2FC7">
      <w:pPr>
        <w:spacing w:before="180" w:after="70"/>
      </w:pPr>
      <w:r>
        <w:rPr>
          <w:b/>
          <w:bCs/>
          <w:color w:val="0F6E56"/>
        </w:rPr>
        <w:t>General objective</w:t>
      </w:r>
    </w:p>
    <w:p w14:paraId="2D033ADB" w14:textId="77777777" w:rsidR="00B94CA4" w:rsidRDefault="00CD2FC7" w:rsidP="007B221D">
      <w:pPr>
        <w:spacing w:before="70" w:after="70"/>
        <w:jc w:val="both"/>
      </w:pPr>
      <w:r>
        <w:rPr>
          <w:color w:val="2C2C2A"/>
        </w:rPr>
        <w:t>The Gender and Social Inclusion Expert will design and operationalize the project's gender-transformative and socially inclusive approach across both phases — establishing the strategic architecture during inception and embedding it into live interventions during implementation — generating measurable change in women's economic agency, youth inclusion, and PWD participation within the project timeline and sustainable beyond it.</w:t>
      </w:r>
    </w:p>
    <w:p w14:paraId="6FF59F59" w14:textId="77777777" w:rsidR="00B94CA4" w:rsidRDefault="00B94CA4">
      <w:pPr>
        <w:spacing w:before="60"/>
      </w:pPr>
    </w:p>
    <w:p w14:paraId="3CEF1796" w14:textId="77777777" w:rsidR="00B94CA4" w:rsidRDefault="00CD2FC7">
      <w:pPr>
        <w:spacing w:before="180" w:after="70"/>
      </w:pPr>
      <w:r>
        <w:rPr>
          <w:b/>
          <w:bCs/>
          <w:color w:val="0F6E56"/>
        </w:rPr>
        <w:t>Specific objectives</w:t>
      </w:r>
    </w:p>
    <w:p w14:paraId="3B68B1E1" w14:textId="77777777" w:rsidR="00B94CA4" w:rsidRDefault="00B94CA4">
      <w:pPr>
        <w:spacing w:before="60"/>
      </w:pPr>
    </w:p>
    <w:tbl>
      <w:tblPr>
        <w:tblW w:w="9360" w:type="dxa"/>
        <w:tblBorders>
          <w:top w:val="nil"/>
          <w:left w:val="nil"/>
          <w:bottom w:val="nil"/>
          <w:right w:val="nil"/>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
        <w:gridCol w:w="9260"/>
      </w:tblGrid>
      <w:tr w:rsidR="00B94CA4" w14:paraId="4736C1C4" w14:textId="77777777">
        <w:tc>
          <w:tcPr>
            <w:tcW w:w="100" w:type="dxa"/>
            <w:tcBorders>
              <w:top w:val="nil"/>
              <w:left w:val="nil"/>
              <w:bottom w:val="nil"/>
              <w:right w:val="nil"/>
            </w:tcBorders>
            <w:shd w:val="clear" w:color="auto" w:fill="0F6E56"/>
            <w:tcMar>
              <w:top w:w="0" w:type="dxa"/>
              <w:left w:w="0" w:type="dxa"/>
              <w:bottom w:w="0" w:type="dxa"/>
              <w:right w:w="0" w:type="dxa"/>
            </w:tcMar>
          </w:tcPr>
          <w:p w14:paraId="3A7CDD28" w14:textId="77777777" w:rsidR="00B94CA4" w:rsidRDefault="00B94CA4">
            <w:pPr>
              <w:spacing w:before="80" w:after="80"/>
            </w:pPr>
          </w:p>
        </w:tc>
        <w:tc>
          <w:tcPr>
            <w:tcW w:w="9260" w:type="dxa"/>
            <w:tcBorders>
              <w:top w:val="single" w:sz="3" w:space="0" w:color="DDDDDD"/>
              <w:left w:val="nil"/>
              <w:bottom w:val="single" w:sz="3" w:space="0" w:color="DDDDDD"/>
              <w:right w:val="single" w:sz="3" w:space="0" w:color="DDDDDD"/>
            </w:tcBorders>
            <w:shd w:val="clear" w:color="auto" w:fill="E1F5EE"/>
            <w:tcMar>
              <w:top w:w="110" w:type="dxa"/>
              <w:left w:w="200" w:type="dxa"/>
              <w:bottom w:w="110" w:type="dxa"/>
              <w:right w:w="160" w:type="dxa"/>
            </w:tcMar>
          </w:tcPr>
          <w:p w14:paraId="633D07E5" w14:textId="77777777" w:rsidR="00B94CA4" w:rsidRDefault="00CD2FC7">
            <w:pPr>
              <w:spacing w:after="70"/>
            </w:pPr>
            <w:r>
              <w:rPr>
                <w:b/>
                <w:bCs/>
                <w:color w:val="0F6E56"/>
                <w:sz w:val="18"/>
                <w:szCs w:val="18"/>
              </w:rPr>
              <w:t>Phase 1 — Inception (May–July 2026)</w:t>
            </w:r>
          </w:p>
          <w:p w14:paraId="3764B728" w14:textId="5509DBD8" w:rsidR="00B94CA4" w:rsidRDefault="00CD2FC7" w:rsidP="007B221D">
            <w:pPr>
              <w:pStyle w:val="Paragraphedeliste"/>
              <w:numPr>
                <w:ilvl w:val="0"/>
                <w:numId w:val="2"/>
              </w:numPr>
              <w:spacing w:before="50" w:after="50"/>
              <w:jc w:val="both"/>
            </w:pPr>
            <w:r>
              <w:rPr>
                <w:color w:val="2C2C2A"/>
              </w:rPr>
              <w:t xml:space="preserve">Map and </w:t>
            </w:r>
            <w:proofErr w:type="spellStart"/>
            <w:r>
              <w:rPr>
                <w:color w:val="2C2C2A"/>
              </w:rPr>
              <w:t>analyse</w:t>
            </w:r>
            <w:proofErr w:type="spellEnd"/>
            <w:r>
              <w:rPr>
                <w:color w:val="2C2C2A"/>
              </w:rPr>
              <w:t xml:space="preserve"> the gender and social inclusion ecosystem across Liberia's target sectors, extracting operational lessons from CASTRAP, RETRAP, STAR-P</w:t>
            </w:r>
            <w:r w:rsidR="007B221D">
              <w:rPr>
                <w:color w:val="2C2C2A"/>
              </w:rPr>
              <w:t xml:space="preserve"> Projects</w:t>
            </w:r>
            <w:r w:rsidR="007B221D">
              <w:rPr>
                <w:rStyle w:val="Appelnotedebasdep"/>
                <w:color w:val="2C2C2A"/>
              </w:rPr>
              <w:footnoteReference w:id="1"/>
            </w:r>
            <w:r>
              <w:rPr>
                <w:color w:val="2C2C2A"/>
              </w:rPr>
              <w:t xml:space="preserve">, and complementary </w:t>
            </w:r>
            <w:proofErr w:type="spellStart"/>
            <w:r>
              <w:rPr>
                <w:color w:val="2C2C2A"/>
              </w:rPr>
              <w:t>programmes</w:t>
            </w:r>
            <w:proofErr w:type="spellEnd"/>
            <w:r>
              <w:rPr>
                <w:color w:val="2C2C2A"/>
              </w:rPr>
              <w:t>;</w:t>
            </w:r>
          </w:p>
          <w:p w14:paraId="215B8AA5" w14:textId="77777777" w:rsidR="004A4E61" w:rsidRDefault="004A4E61">
            <w:pPr>
              <w:pStyle w:val="Paragraphedeliste"/>
              <w:numPr>
                <w:ilvl w:val="0"/>
                <w:numId w:val="2"/>
              </w:numPr>
              <w:spacing w:before="50" w:after="50"/>
            </w:pPr>
            <w:r>
              <w:t>Establish a disaggregated gender and social inclusion baseline across the aquaculture, cassava, and wood processing value chains — building on existing evidence to address specific remaining data gaps rather than duplicating what is already known. The aquaculture component is likely to be less substantial, as much of the relevant data may already have been collected through previous project assessments.</w:t>
            </w:r>
          </w:p>
          <w:p w14:paraId="1C639584" w14:textId="44A5A298" w:rsidR="00B94CA4" w:rsidRDefault="00CD2FC7">
            <w:pPr>
              <w:pStyle w:val="Paragraphedeliste"/>
              <w:numPr>
                <w:ilvl w:val="0"/>
                <w:numId w:val="2"/>
              </w:numPr>
              <w:spacing w:before="50" w:after="50"/>
            </w:pPr>
            <w:r>
              <w:rPr>
                <w:color w:val="2C2C2A"/>
              </w:rPr>
              <w:t>Develop a comprehensive Gender Action Plan (GAP) and Social Inclusion Strategy that provide the project's operational roadmap across all three components, aligned with EU GAP III, Liberia's National Gender Policy, CEDAW, and AU GEWE;</w:t>
            </w:r>
          </w:p>
          <w:p w14:paraId="336BBCCD" w14:textId="77777777" w:rsidR="00B94CA4" w:rsidRDefault="00CD2FC7">
            <w:pPr>
              <w:pStyle w:val="Paragraphedeliste"/>
              <w:numPr>
                <w:ilvl w:val="0"/>
                <w:numId w:val="2"/>
              </w:numPr>
              <w:spacing w:before="50" w:after="50"/>
            </w:pPr>
            <w:r>
              <w:rPr>
                <w:color w:val="2C2C2A"/>
              </w:rPr>
              <w:t>Integrate gender-responsive and disability-inclusive indicators into the MEAL framework — before data collection begins — establishing mandatory disaggregation protocols and outcome-level measurement standards.</w:t>
            </w:r>
          </w:p>
        </w:tc>
      </w:tr>
    </w:tbl>
    <w:p w14:paraId="1AB44603" w14:textId="77777777" w:rsidR="00B94CA4" w:rsidRDefault="00B94CA4">
      <w:pPr>
        <w:spacing w:before="80"/>
      </w:pPr>
    </w:p>
    <w:tbl>
      <w:tblPr>
        <w:tblW w:w="9360" w:type="dxa"/>
        <w:tblBorders>
          <w:top w:val="nil"/>
          <w:left w:val="nil"/>
          <w:bottom w:val="nil"/>
          <w:right w:val="nil"/>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
        <w:gridCol w:w="9260"/>
      </w:tblGrid>
      <w:tr w:rsidR="00B94CA4" w14:paraId="468560CF" w14:textId="77777777">
        <w:tc>
          <w:tcPr>
            <w:tcW w:w="100" w:type="dxa"/>
            <w:tcBorders>
              <w:top w:val="nil"/>
              <w:left w:val="nil"/>
              <w:bottom w:val="nil"/>
              <w:right w:val="nil"/>
            </w:tcBorders>
            <w:shd w:val="clear" w:color="auto" w:fill="854F0B"/>
            <w:tcMar>
              <w:top w:w="0" w:type="dxa"/>
              <w:left w:w="0" w:type="dxa"/>
              <w:bottom w:w="0" w:type="dxa"/>
              <w:right w:w="0" w:type="dxa"/>
            </w:tcMar>
          </w:tcPr>
          <w:p w14:paraId="10EE9159" w14:textId="77777777" w:rsidR="00B94CA4" w:rsidRDefault="00B94CA4">
            <w:pPr>
              <w:spacing w:before="80" w:after="80"/>
            </w:pPr>
          </w:p>
        </w:tc>
        <w:tc>
          <w:tcPr>
            <w:tcW w:w="9260" w:type="dxa"/>
            <w:tcBorders>
              <w:top w:val="single" w:sz="3" w:space="0" w:color="DDDDDD"/>
              <w:left w:val="nil"/>
              <w:bottom w:val="single" w:sz="3" w:space="0" w:color="DDDDDD"/>
              <w:right w:val="single" w:sz="3" w:space="0" w:color="DDDDDD"/>
            </w:tcBorders>
            <w:shd w:val="clear" w:color="auto" w:fill="FAEEDA"/>
            <w:tcMar>
              <w:top w:w="110" w:type="dxa"/>
              <w:left w:w="200" w:type="dxa"/>
              <w:bottom w:w="110" w:type="dxa"/>
              <w:right w:w="160" w:type="dxa"/>
            </w:tcMar>
          </w:tcPr>
          <w:p w14:paraId="2B4AB5E9" w14:textId="77777777" w:rsidR="00B94CA4" w:rsidRDefault="00CD2FC7">
            <w:pPr>
              <w:spacing w:after="70"/>
            </w:pPr>
            <w:r>
              <w:rPr>
                <w:b/>
                <w:bCs/>
                <w:color w:val="854F0B"/>
                <w:sz w:val="18"/>
                <w:szCs w:val="18"/>
              </w:rPr>
              <w:t>Phase 2 — Implementation support (August 2026 – June 2027)</w:t>
            </w:r>
          </w:p>
          <w:p w14:paraId="6C31766C" w14:textId="77777777" w:rsidR="00B94CA4" w:rsidRDefault="00CD2FC7">
            <w:pPr>
              <w:pStyle w:val="Paragraphedeliste"/>
              <w:numPr>
                <w:ilvl w:val="0"/>
                <w:numId w:val="2"/>
              </w:numPr>
              <w:spacing w:before="50" w:after="50"/>
            </w:pPr>
            <w:r>
              <w:rPr>
                <w:color w:val="2C2C2A"/>
              </w:rPr>
              <w:t>Provide ongoing, embedded technical advisory to the project team and implementing partners on gender integration in investment design, value chain interventions, PPD, TVET, and access to finance;</w:t>
            </w:r>
          </w:p>
          <w:p w14:paraId="4098F1B7" w14:textId="77777777" w:rsidR="00B94CA4" w:rsidRDefault="00CD2FC7">
            <w:pPr>
              <w:pStyle w:val="Paragraphedeliste"/>
              <w:numPr>
                <w:ilvl w:val="0"/>
                <w:numId w:val="2"/>
              </w:numPr>
              <w:spacing w:before="50" w:after="50"/>
            </w:pPr>
            <w:r>
              <w:rPr>
                <w:color w:val="2C2C2A"/>
              </w:rPr>
              <w:t xml:space="preserve">Design and deliver targeted, audience-differentiated capacity-building </w:t>
            </w:r>
            <w:proofErr w:type="spellStart"/>
            <w:r>
              <w:rPr>
                <w:color w:val="2C2C2A"/>
              </w:rPr>
              <w:t>programmes</w:t>
            </w:r>
            <w:proofErr w:type="spellEnd"/>
            <w:r>
              <w:rPr>
                <w:color w:val="2C2C2A"/>
              </w:rPr>
              <w:t xml:space="preserve"> — beginning with institutional capacity baselines — for project staff, sector consultants, implementing partners, private sector actors, and government counterparts;</w:t>
            </w:r>
          </w:p>
          <w:p w14:paraId="467DC349" w14:textId="77777777" w:rsidR="00B94CA4" w:rsidRDefault="00CD2FC7">
            <w:pPr>
              <w:pStyle w:val="Paragraphedeliste"/>
              <w:numPr>
                <w:ilvl w:val="0"/>
                <w:numId w:val="2"/>
              </w:numPr>
              <w:spacing w:before="50" w:after="50"/>
            </w:pPr>
            <w:r>
              <w:rPr>
                <w:color w:val="2C2C2A"/>
              </w:rPr>
              <w:t xml:space="preserve">Provide structured technical advisory notes and document review inputs to support gender mainstreaming in partner </w:t>
            </w:r>
            <w:proofErr w:type="spellStart"/>
            <w:r>
              <w:rPr>
                <w:color w:val="2C2C2A"/>
              </w:rPr>
              <w:t>workplans</w:t>
            </w:r>
            <w:proofErr w:type="spellEnd"/>
            <w:r>
              <w:rPr>
                <w:color w:val="2C2C2A"/>
              </w:rPr>
              <w:t xml:space="preserve">, </w:t>
            </w:r>
            <w:proofErr w:type="spellStart"/>
            <w:r>
              <w:rPr>
                <w:color w:val="2C2C2A"/>
              </w:rPr>
              <w:t>ToRs</w:t>
            </w:r>
            <w:proofErr w:type="spellEnd"/>
            <w:r>
              <w:rPr>
                <w:color w:val="2C2C2A"/>
              </w:rPr>
              <w:t>, training materials, and pilot intervention designs;</w:t>
            </w:r>
          </w:p>
          <w:p w14:paraId="61B99E23" w14:textId="0E76929D" w:rsidR="00B94CA4" w:rsidRDefault="00CD2FC7">
            <w:pPr>
              <w:pStyle w:val="Paragraphedeliste"/>
              <w:numPr>
                <w:ilvl w:val="0"/>
                <w:numId w:val="2"/>
              </w:numPr>
              <w:spacing w:before="50" w:after="50"/>
            </w:pPr>
            <w:r>
              <w:rPr>
                <w:color w:val="2C2C2A"/>
              </w:rPr>
              <w:t>Lead adaptive management of the GAP through semi-annual reviews</w:t>
            </w:r>
            <w:r w:rsidR="009E2C56">
              <w:rPr>
                <w:color w:val="2C2C2A"/>
              </w:rPr>
              <w:t xml:space="preserve"> and an annual revision process. </w:t>
            </w:r>
            <w:r w:rsidR="009E2C56">
              <w:t>One substantial review will be particularly important for the cassava and wood processing sectors once consortium partners have completed their inception phase (tentatively by December 2026);</w:t>
            </w:r>
          </w:p>
          <w:p w14:paraId="28F47DA8" w14:textId="77777777" w:rsidR="00B94CA4" w:rsidRDefault="00CD2FC7">
            <w:pPr>
              <w:pStyle w:val="Paragraphedeliste"/>
              <w:numPr>
                <w:ilvl w:val="0"/>
                <w:numId w:val="2"/>
              </w:numPr>
              <w:spacing w:before="50" w:after="50"/>
            </w:pPr>
            <w:r>
              <w:rPr>
                <w:color w:val="2C2C2A"/>
              </w:rPr>
              <w:t>Facilitate active coordination with complementary gender and inclusion initiatives — not courtesy information-sharing, but scheduled joint planning and co-designed activities.</w:t>
            </w:r>
          </w:p>
        </w:tc>
      </w:tr>
    </w:tbl>
    <w:p w14:paraId="05DFC9AF" w14:textId="77777777" w:rsidR="00B94CA4" w:rsidRDefault="00B94CA4">
      <w:pPr>
        <w:spacing w:before="200"/>
      </w:pPr>
    </w:p>
    <w:p w14:paraId="7548E1F0" w14:textId="77777777" w:rsidR="00B94CA4" w:rsidRDefault="00CD2FC7">
      <w:r>
        <w:br w:type="page"/>
      </w:r>
    </w:p>
    <w:p w14:paraId="0810AA34" w14:textId="77777777" w:rsidR="00B94CA4" w:rsidRDefault="00CD2FC7">
      <w:pPr>
        <w:pBdr>
          <w:bottom w:val="single" w:sz="6" w:space="1" w:color="2E75B6"/>
        </w:pBdr>
        <w:spacing w:before="280" w:after="100"/>
      </w:pPr>
      <w:r>
        <w:rPr>
          <w:b/>
          <w:bCs/>
          <w:color w:val="1F3864"/>
          <w:sz w:val="22"/>
          <w:szCs w:val="22"/>
        </w:rPr>
        <w:lastRenderedPageBreak/>
        <w:t>III.  Scope of Work — Phase 1: Inception</w:t>
      </w:r>
    </w:p>
    <w:p w14:paraId="025E43AB" w14:textId="77777777" w:rsidR="00B94CA4" w:rsidRDefault="00CD2FC7">
      <w:pPr>
        <w:spacing w:before="70" w:after="70"/>
      </w:pPr>
      <w:r>
        <w:rPr>
          <w:color w:val="2C2C2A"/>
        </w:rPr>
        <w:t xml:space="preserve">Phase 1 activities are sequenced logically: outputs from earlier tasks feed directly into later ones. The timeline is indicative and may be adjusted with </w:t>
      </w:r>
      <w:proofErr w:type="spellStart"/>
      <w:r>
        <w:rPr>
          <w:color w:val="2C2C2A"/>
        </w:rPr>
        <w:t>Programme</w:t>
      </w:r>
      <w:proofErr w:type="spellEnd"/>
      <w:r>
        <w:rPr>
          <w:color w:val="2C2C2A"/>
        </w:rPr>
        <w:t xml:space="preserve"> Manager agreement as the project develops.</w:t>
      </w:r>
    </w:p>
    <w:p w14:paraId="7556A221" w14:textId="77777777" w:rsidR="00B94CA4" w:rsidRDefault="00B94CA4">
      <w:pPr>
        <w:spacing w:before="80"/>
      </w:pPr>
    </w:p>
    <w:tbl>
      <w:tblPr>
        <w:tblW w:w="9360" w:type="dxa"/>
        <w:tblBorders>
          <w:top w:val="single" w:sz="4" w:space="0" w:color="0F6E56"/>
          <w:left w:val="single" w:sz="4" w:space="0" w:color="0F6E56"/>
          <w:bottom w:val="single" w:sz="4" w:space="0" w:color="0F6E56"/>
          <w:right w:val="single" w:sz="4" w:space="0" w:color="0F6E56"/>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94CA4" w14:paraId="0AE5CD5D" w14:textId="77777777">
        <w:tc>
          <w:tcPr>
            <w:tcW w:w="9360" w:type="dxa"/>
            <w:tcBorders>
              <w:top w:val="single" w:sz="4" w:space="0" w:color="0F6E56"/>
              <w:left w:val="single" w:sz="4" w:space="0" w:color="0F6E56"/>
              <w:bottom w:val="single" w:sz="4" w:space="0" w:color="0F6E56"/>
              <w:right w:val="single" w:sz="4" w:space="0" w:color="0F6E56"/>
            </w:tcBorders>
            <w:shd w:val="clear" w:color="auto" w:fill="0F6E56"/>
            <w:tcMar>
              <w:top w:w="90" w:type="dxa"/>
              <w:left w:w="180" w:type="dxa"/>
              <w:bottom w:w="90" w:type="dxa"/>
              <w:right w:w="180" w:type="dxa"/>
            </w:tcMar>
          </w:tcPr>
          <w:p w14:paraId="1796AFDF" w14:textId="77777777" w:rsidR="00B94CA4" w:rsidRDefault="00CD2FC7">
            <w:r>
              <w:rPr>
                <w:b/>
                <w:bCs/>
                <w:caps/>
                <w:color w:val="FFFFFF"/>
                <w:sz w:val="19"/>
                <w:szCs w:val="19"/>
              </w:rPr>
              <w:t>PHASE 1 — INCEPTION  |  May – July 2026  |  ~20 working days</w:t>
            </w:r>
          </w:p>
        </w:tc>
      </w:tr>
    </w:tbl>
    <w:p w14:paraId="2D0429F9" w14:textId="77777777" w:rsidR="00B94CA4" w:rsidRDefault="00B94CA4">
      <w:pPr>
        <w:spacing w:before="80"/>
      </w:pPr>
    </w:p>
    <w:p w14:paraId="13CB1059" w14:textId="77777777" w:rsidR="00B94CA4" w:rsidRDefault="00CD2FC7">
      <w:pPr>
        <w:spacing w:before="180" w:after="70"/>
      </w:pPr>
      <w:r>
        <w:rPr>
          <w:b/>
          <w:bCs/>
          <w:color w:val="0F6E56"/>
        </w:rPr>
        <w:t>Task A.  Stakeholder mapping and lessons-learned review</w:t>
      </w:r>
    </w:p>
    <w:p w14:paraId="703EE678" w14:textId="77777777" w:rsidR="00B94CA4" w:rsidRDefault="00CD2FC7" w:rsidP="00CE08AF">
      <w:pPr>
        <w:spacing w:before="70" w:after="70"/>
        <w:jc w:val="both"/>
      </w:pPr>
      <w:r>
        <w:rPr>
          <w:color w:val="2C2C2A"/>
        </w:rPr>
        <w:t xml:space="preserve">Conduct </w:t>
      </w:r>
      <w:r w:rsidRPr="009E2C56">
        <w:rPr>
          <w:b/>
          <w:color w:val="2C2C2A"/>
        </w:rPr>
        <w:t>a systematic mapping of the gender and social inclusion ecosystem</w:t>
      </w:r>
      <w:r>
        <w:rPr>
          <w:color w:val="2C2C2A"/>
        </w:rPr>
        <w:t xml:space="preserve"> across Liberia's target sectors. The mapping must not merely list actors — it must assess each institution's gender mainstreaming capacity, identify active coordination mechanisms and gaps, and extract operational decisions relevant to project design.</w:t>
      </w:r>
    </w:p>
    <w:p w14:paraId="381C7604" w14:textId="77777777" w:rsidR="00B94CA4" w:rsidRDefault="00CD2FC7">
      <w:pPr>
        <w:spacing w:before="70" w:after="70"/>
      </w:pPr>
      <w:r>
        <w:rPr>
          <w:color w:val="2C2C2A"/>
        </w:rPr>
        <w:t>Coverage must include:</w:t>
      </w:r>
    </w:p>
    <w:p w14:paraId="36E84B00" w14:textId="77777777" w:rsidR="00B94CA4" w:rsidRDefault="00CD2FC7">
      <w:pPr>
        <w:pStyle w:val="Paragraphedeliste"/>
        <w:numPr>
          <w:ilvl w:val="0"/>
          <w:numId w:val="2"/>
        </w:numPr>
        <w:spacing w:before="50" w:after="50"/>
      </w:pPr>
      <w:r>
        <w:rPr>
          <w:color w:val="2C2C2A"/>
        </w:rPr>
        <w:t xml:space="preserve">Government institutions: </w:t>
      </w:r>
      <w:proofErr w:type="spellStart"/>
      <w:r>
        <w:rPr>
          <w:color w:val="2C2C2A"/>
        </w:rPr>
        <w:t>MoGCS</w:t>
      </w:r>
      <w:proofErr w:type="spellEnd"/>
      <w:r>
        <w:rPr>
          <w:color w:val="2C2C2A"/>
        </w:rPr>
        <w:t xml:space="preserve">, </w:t>
      </w:r>
      <w:proofErr w:type="spellStart"/>
      <w:r>
        <w:rPr>
          <w:color w:val="2C2C2A"/>
        </w:rPr>
        <w:t>MoCI</w:t>
      </w:r>
      <w:proofErr w:type="spellEnd"/>
      <w:r>
        <w:rPr>
          <w:color w:val="2C2C2A"/>
        </w:rPr>
        <w:t xml:space="preserve">, </w:t>
      </w:r>
      <w:proofErr w:type="spellStart"/>
      <w:r>
        <w:rPr>
          <w:color w:val="2C2C2A"/>
        </w:rPr>
        <w:t>MoA</w:t>
      </w:r>
      <w:proofErr w:type="spellEnd"/>
      <w:r>
        <w:rPr>
          <w:color w:val="2C2C2A"/>
        </w:rPr>
        <w:t xml:space="preserve">, </w:t>
      </w:r>
      <w:proofErr w:type="spellStart"/>
      <w:r>
        <w:rPr>
          <w:color w:val="2C2C2A"/>
        </w:rPr>
        <w:t>MoL</w:t>
      </w:r>
      <w:proofErr w:type="spellEnd"/>
      <w:r>
        <w:rPr>
          <w:color w:val="2C2C2A"/>
        </w:rPr>
        <w:t xml:space="preserve">, NCD, </w:t>
      </w:r>
      <w:proofErr w:type="spellStart"/>
      <w:r>
        <w:rPr>
          <w:color w:val="2C2C2A"/>
        </w:rPr>
        <w:t>NaFAA</w:t>
      </w:r>
      <w:proofErr w:type="spellEnd"/>
      <w:r>
        <w:rPr>
          <w:color w:val="2C2C2A"/>
        </w:rPr>
        <w:t>, LTEVTC, NIC;</w:t>
      </w:r>
    </w:p>
    <w:p w14:paraId="089206C9" w14:textId="77777777" w:rsidR="00B94CA4" w:rsidRDefault="00CD2FC7">
      <w:pPr>
        <w:pStyle w:val="Paragraphedeliste"/>
        <w:numPr>
          <w:ilvl w:val="0"/>
          <w:numId w:val="2"/>
        </w:numPr>
        <w:spacing w:before="50" w:after="50"/>
      </w:pPr>
      <w:r>
        <w:rPr>
          <w:color w:val="2C2C2A"/>
        </w:rPr>
        <w:t>Women's business networks, cooperatives, and producer associations across cassava, fisheries, and wood processing;</w:t>
      </w:r>
    </w:p>
    <w:p w14:paraId="651B00F1" w14:textId="77777777" w:rsidR="00B94CA4" w:rsidRDefault="00CD2FC7">
      <w:pPr>
        <w:pStyle w:val="Paragraphedeliste"/>
        <w:numPr>
          <w:ilvl w:val="0"/>
          <w:numId w:val="2"/>
        </w:numPr>
        <w:spacing w:before="50" w:after="50"/>
      </w:pPr>
      <w:r>
        <w:rPr>
          <w:color w:val="2C2C2A"/>
        </w:rPr>
        <w:t>Organizations of Persons with Disabilities (OPDs) active in economic participation and advocacy;</w:t>
      </w:r>
    </w:p>
    <w:p w14:paraId="58001908" w14:textId="77777777" w:rsidR="00B94CA4" w:rsidRDefault="00CD2FC7">
      <w:pPr>
        <w:pStyle w:val="Paragraphedeliste"/>
        <w:numPr>
          <w:ilvl w:val="0"/>
          <w:numId w:val="2"/>
        </w:numPr>
        <w:spacing w:before="50" w:after="50"/>
      </w:pPr>
      <w:r>
        <w:rPr>
          <w:color w:val="2C2C2A"/>
        </w:rPr>
        <w:t>Youth employment platforms and associations relevant to the target sectors;</w:t>
      </w:r>
    </w:p>
    <w:p w14:paraId="16CD2EEF" w14:textId="77777777" w:rsidR="00B94CA4" w:rsidRDefault="00CD2FC7">
      <w:pPr>
        <w:pStyle w:val="Paragraphedeliste"/>
        <w:numPr>
          <w:ilvl w:val="0"/>
          <w:numId w:val="2"/>
        </w:numPr>
        <w:spacing w:before="50" w:after="50"/>
      </w:pPr>
      <w:r>
        <w:rPr>
          <w:color w:val="2C2C2A"/>
        </w:rPr>
        <w:t>Financial service providers — RCFIs, MFIs, VSLAs — assessed for gender-responsive product availability and borrower eligibility conditions;</w:t>
      </w:r>
    </w:p>
    <w:p w14:paraId="588E574C" w14:textId="77777777" w:rsidR="00B94CA4" w:rsidRDefault="00CD2FC7">
      <w:pPr>
        <w:pStyle w:val="Paragraphedeliste"/>
        <w:numPr>
          <w:ilvl w:val="0"/>
          <w:numId w:val="2"/>
        </w:numPr>
        <w:spacing w:before="50" w:after="50"/>
      </w:pPr>
      <w:r>
        <w:rPr>
          <w:color w:val="2C2C2A"/>
        </w:rPr>
        <w:t>TVET institutions — assessed for gender-responsive curriculum, disability-accessible infrastructure, and RPL availability;</w:t>
      </w:r>
    </w:p>
    <w:p w14:paraId="67B7DB98" w14:textId="77777777" w:rsidR="00B94CA4" w:rsidRDefault="00CD2FC7">
      <w:pPr>
        <w:pStyle w:val="Paragraphedeliste"/>
        <w:numPr>
          <w:ilvl w:val="0"/>
          <w:numId w:val="2"/>
        </w:numPr>
        <w:spacing w:before="50" w:after="50"/>
      </w:pPr>
      <w:r>
        <w:rPr>
          <w:color w:val="2C2C2A"/>
        </w:rPr>
        <w:t>Development partners, NGOs, and CSOs active in gender and social inclusion programming in the target sectors;</w:t>
      </w:r>
    </w:p>
    <w:p w14:paraId="13704005" w14:textId="77777777" w:rsidR="00B94CA4" w:rsidRDefault="00CD2FC7">
      <w:pPr>
        <w:pStyle w:val="Paragraphedeliste"/>
        <w:numPr>
          <w:ilvl w:val="0"/>
          <w:numId w:val="2"/>
        </w:numPr>
        <w:spacing w:before="50" w:after="50"/>
      </w:pPr>
      <w:r>
        <w:rPr>
          <w:color w:val="2C2C2A"/>
        </w:rPr>
        <w:t>Private sector actors — processors, traders, agribusinesses — assessed for existing inclusive hiring and procurement practices.</w:t>
      </w:r>
    </w:p>
    <w:p w14:paraId="5454C593" w14:textId="77777777" w:rsidR="00B94CA4" w:rsidRDefault="00CD2FC7">
      <w:pPr>
        <w:spacing w:before="70" w:after="70"/>
      </w:pPr>
      <w:r>
        <w:rPr>
          <w:color w:val="2C2C2A"/>
        </w:rPr>
        <w:t>The lessons-learned review must extract operational findings from:</w:t>
      </w:r>
    </w:p>
    <w:p w14:paraId="532C765D" w14:textId="77777777" w:rsidR="00B94CA4" w:rsidRDefault="00CD2FC7">
      <w:pPr>
        <w:pStyle w:val="Paragraphedeliste"/>
        <w:numPr>
          <w:ilvl w:val="0"/>
          <w:numId w:val="2"/>
        </w:numPr>
        <w:spacing w:before="50" w:after="50"/>
      </w:pPr>
      <w:r>
        <w:rPr>
          <w:color w:val="2C2C2A"/>
        </w:rPr>
        <w:t>CASTRAP: cooperative governance models, women's exclusion from HQCF processing and investment decisions, VSLA performance, BSO effectiveness;</w:t>
      </w:r>
    </w:p>
    <w:p w14:paraId="6BC59F14" w14:textId="77777777" w:rsidR="00B94CA4" w:rsidRDefault="00CD2FC7">
      <w:pPr>
        <w:pStyle w:val="Paragraphedeliste"/>
        <w:numPr>
          <w:ilvl w:val="0"/>
          <w:numId w:val="2"/>
        </w:numPr>
        <w:spacing w:before="50" w:after="50"/>
      </w:pPr>
      <w:r>
        <w:rPr>
          <w:color w:val="2C2C2A"/>
        </w:rPr>
        <w:t>RETRAP: rural enterprise inclusion approaches, mobility and infrastructure constraints affecting women's market participation;</w:t>
      </w:r>
    </w:p>
    <w:p w14:paraId="1774C58B" w14:textId="5DBA6594" w:rsidR="00B94CA4" w:rsidRDefault="00CD2FC7">
      <w:pPr>
        <w:pStyle w:val="Paragraphedeliste"/>
        <w:numPr>
          <w:ilvl w:val="0"/>
          <w:numId w:val="2"/>
        </w:numPr>
        <w:spacing w:before="50" w:after="50"/>
      </w:pPr>
      <w:r>
        <w:rPr>
          <w:color w:val="2C2C2A"/>
        </w:rPr>
        <w:t xml:space="preserve">STAR-P Gender Analysis: structural constraints documented for cassava, </w:t>
      </w:r>
      <w:r w:rsidR="009E2C56">
        <w:rPr>
          <w:color w:val="2C2C2A"/>
        </w:rPr>
        <w:t>aquaculture</w:t>
      </w:r>
      <w:r>
        <w:rPr>
          <w:color w:val="2C2C2A"/>
        </w:rPr>
        <w:t>, and wood — treated as primary evidence, providing the analytical starting point for this assignment;</w:t>
      </w:r>
    </w:p>
    <w:p w14:paraId="75CB21F6" w14:textId="77777777" w:rsidR="00B94CA4" w:rsidRDefault="00CD2FC7">
      <w:pPr>
        <w:pStyle w:val="Paragraphedeliste"/>
        <w:numPr>
          <w:ilvl w:val="0"/>
          <w:numId w:val="2"/>
        </w:numPr>
        <w:spacing w:before="50" w:after="50"/>
      </w:pPr>
      <w:r>
        <w:rPr>
          <w:color w:val="2C2C2A"/>
        </w:rPr>
        <w:t>EU GAP III and Liberia National Agricultural Gender Policy: operational requirements for this project's design and reporting;</w:t>
      </w:r>
    </w:p>
    <w:p w14:paraId="0CE2CA9D" w14:textId="77777777" w:rsidR="00B94CA4" w:rsidRDefault="00CD2FC7">
      <w:pPr>
        <w:pStyle w:val="Paragraphedeliste"/>
        <w:numPr>
          <w:ilvl w:val="0"/>
          <w:numId w:val="2"/>
        </w:numPr>
        <w:spacing w:before="50" w:after="50"/>
      </w:pPr>
      <w:r>
        <w:rPr>
          <w:color w:val="2C2C2A"/>
        </w:rPr>
        <w:t>UNDP gender strategy and programming: inclusive livelihood and enterprise models relevant to Liberia;</w:t>
      </w:r>
    </w:p>
    <w:p w14:paraId="7383A068" w14:textId="40C4F958" w:rsidR="00B94CA4" w:rsidRPr="009E2C56" w:rsidRDefault="00CD2FC7">
      <w:pPr>
        <w:pStyle w:val="Paragraphedeliste"/>
        <w:numPr>
          <w:ilvl w:val="0"/>
          <w:numId w:val="2"/>
        </w:numPr>
        <w:spacing w:before="50" w:after="50"/>
      </w:pPr>
      <w:r>
        <w:rPr>
          <w:color w:val="2C2C2A"/>
        </w:rPr>
        <w:t>EU Team Europe Initiatives: Spotlight, TVET Youth Rising, Seeds4Liberia — for coordination potential and duplication risks.</w:t>
      </w:r>
    </w:p>
    <w:p w14:paraId="1BAD988A" w14:textId="77777777" w:rsidR="00B94CA4" w:rsidRDefault="00CD2FC7" w:rsidP="00CE08AF">
      <w:pPr>
        <w:spacing w:before="70" w:after="70"/>
        <w:jc w:val="both"/>
      </w:pPr>
      <w:r>
        <w:rPr>
          <w:color w:val="2C2C2A"/>
        </w:rPr>
        <w:t>The output is a structured reference document — not a one-time report — that will be actively used by the project team throughout implementation. It must include a gap and overlap matrix, a partnership recommendation list, and an institutional capacity summary per key partner organization.</w:t>
      </w:r>
    </w:p>
    <w:p w14:paraId="6DC1A931" w14:textId="77777777" w:rsidR="00B94CA4" w:rsidRDefault="00B94CA4">
      <w:pPr>
        <w:spacing w:before="60"/>
      </w:pPr>
    </w:p>
    <w:p w14:paraId="3984AC72" w14:textId="77777777" w:rsidR="00B94CA4" w:rsidRDefault="00CD2FC7">
      <w:pPr>
        <w:spacing w:before="180" w:after="70"/>
      </w:pPr>
      <w:r>
        <w:rPr>
          <w:b/>
          <w:bCs/>
          <w:color w:val="0F6E56"/>
        </w:rPr>
        <w:t>Task B.  Holistic and sector-based gender and social inclusion analysis</w:t>
      </w:r>
    </w:p>
    <w:p w14:paraId="31D85DC4" w14:textId="68D4EA3B" w:rsidR="00B94CA4" w:rsidRDefault="00CD2FC7" w:rsidP="00CE08AF">
      <w:pPr>
        <w:spacing w:before="70" w:after="70"/>
        <w:jc w:val="both"/>
      </w:pPr>
      <w:r w:rsidRPr="009E2C56">
        <w:rPr>
          <w:color w:val="2C2C2A"/>
        </w:rPr>
        <w:t>Build on the stakeholder mapping</w:t>
      </w:r>
      <w:r w:rsidR="00CE08AF" w:rsidRPr="009E2C56">
        <w:rPr>
          <w:color w:val="2C2C2A"/>
        </w:rPr>
        <w:t xml:space="preserve">, </w:t>
      </w:r>
      <w:r w:rsidRPr="009E2C56">
        <w:rPr>
          <w:color w:val="2C2C2A"/>
        </w:rPr>
        <w:t xml:space="preserve"> lessons-learned review</w:t>
      </w:r>
      <w:r w:rsidR="00CE08AF" w:rsidRPr="009E2C56">
        <w:rPr>
          <w:color w:val="2C2C2A"/>
        </w:rPr>
        <w:t xml:space="preserve">, and findings from </w:t>
      </w:r>
      <w:r w:rsidR="00A6552D" w:rsidRPr="009E2C56">
        <w:rPr>
          <w:color w:val="2C2C2A"/>
        </w:rPr>
        <w:t xml:space="preserve">ongoing </w:t>
      </w:r>
      <w:r w:rsidR="00CE08AF" w:rsidRPr="009E2C56">
        <w:rPr>
          <w:color w:val="2C2C2A"/>
        </w:rPr>
        <w:t xml:space="preserve">sectoral market </w:t>
      </w:r>
      <w:r w:rsidR="00A6552D" w:rsidRPr="009E2C56">
        <w:rPr>
          <w:color w:val="2C2C2A"/>
        </w:rPr>
        <w:t>assessment</w:t>
      </w:r>
      <w:r w:rsidR="00A6552D" w:rsidRPr="009E2C56">
        <w:rPr>
          <w:rStyle w:val="Appelnotedebasdep"/>
          <w:color w:val="2C2C2A"/>
        </w:rPr>
        <w:footnoteReference w:id="2"/>
      </w:r>
      <w:r w:rsidRPr="009E2C56">
        <w:rPr>
          <w:color w:val="2C2C2A"/>
        </w:rPr>
        <w:t xml:space="preserve"> to </w:t>
      </w:r>
      <w:r w:rsidRPr="009E2C56">
        <w:rPr>
          <w:b/>
          <w:color w:val="2C2C2A"/>
        </w:rPr>
        <w:t>conduct a primary-data gender analysis</w:t>
      </w:r>
      <w:r w:rsidRPr="009E2C56">
        <w:rPr>
          <w:color w:val="2C2C2A"/>
        </w:rPr>
        <w:t xml:space="preserve"> across</w:t>
      </w:r>
      <w:r>
        <w:rPr>
          <w:color w:val="2C2C2A"/>
        </w:rPr>
        <w:t xml:space="preserve"> cassava</w:t>
      </w:r>
      <w:r w:rsidR="00CE08AF">
        <w:rPr>
          <w:color w:val="2C2C2A"/>
        </w:rPr>
        <w:t>, aquaculture</w:t>
      </w:r>
      <w:r>
        <w:rPr>
          <w:color w:val="2C2C2A"/>
        </w:rPr>
        <w:t xml:space="preserve"> and wood processing value chains in targeted project counties. The analysis must fill specific evidence gaps and establish a project-calibrated baseline — not repeat what CASTRAP</w:t>
      </w:r>
      <w:r w:rsidR="00CE08AF">
        <w:rPr>
          <w:color w:val="2C2C2A"/>
        </w:rPr>
        <w:t>, RETRAP,</w:t>
      </w:r>
      <w:r>
        <w:rPr>
          <w:color w:val="2C2C2A"/>
        </w:rPr>
        <w:t xml:space="preserve"> and STAR-P already documented.</w:t>
      </w:r>
      <w:r w:rsidR="007878FC">
        <w:rPr>
          <w:color w:val="2C2C2A"/>
        </w:rPr>
        <w:t xml:space="preserve"> </w:t>
      </w:r>
      <w:r w:rsidR="007878FC">
        <w:t>This work will need to be conducted in close collaboration with the ILO, which has a key role to play in ensuring the inclusion of persons with disabilities (PWDs).</w:t>
      </w:r>
    </w:p>
    <w:p w14:paraId="54920590" w14:textId="42BB5AF1" w:rsidR="00B94CA4" w:rsidRDefault="00CD2FC7">
      <w:pPr>
        <w:spacing w:before="70" w:after="70"/>
      </w:pPr>
      <w:r>
        <w:rPr>
          <w:color w:val="2C2C2A"/>
        </w:rPr>
        <w:lastRenderedPageBreak/>
        <w:t xml:space="preserve">At minimum, the analysis will capture </w:t>
      </w:r>
      <w:r w:rsidR="00A6552D">
        <w:rPr>
          <w:color w:val="2C2C2A"/>
        </w:rPr>
        <w:t>the following</w:t>
      </w:r>
      <w:r>
        <w:rPr>
          <w:color w:val="2C2C2A"/>
        </w:rPr>
        <w:t>— disaggregated by sex, age, and disability status:</w:t>
      </w:r>
    </w:p>
    <w:p w14:paraId="00EC4B98" w14:textId="77777777" w:rsidR="00B94CA4" w:rsidRDefault="00CD2FC7">
      <w:pPr>
        <w:pStyle w:val="Paragraphedeliste"/>
        <w:numPr>
          <w:ilvl w:val="0"/>
          <w:numId w:val="2"/>
        </w:numPr>
        <w:spacing w:before="50" w:after="50"/>
      </w:pPr>
      <w:r>
        <w:rPr>
          <w:color w:val="2C2C2A"/>
        </w:rPr>
        <w:t>Participation rates and decision-making power at each value chain node, with specific attention to the shift from primary production to higher-value processing and commercial activities;</w:t>
      </w:r>
    </w:p>
    <w:p w14:paraId="041CB760" w14:textId="77777777" w:rsidR="00B94CA4" w:rsidRDefault="00CD2FC7">
      <w:pPr>
        <w:pStyle w:val="Paragraphedeliste"/>
        <w:numPr>
          <w:ilvl w:val="0"/>
          <w:numId w:val="2"/>
        </w:numPr>
        <w:spacing w:before="50" w:after="50"/>
      </w:pPr>
      <w:r>
        <w:rPr>
          <w:color w:val="2C2C2A"/>
        </w:rPr>
        <w:t>Ownership and control of productive assets: land, equipment, working capital, storage, digital tools;</w:t>
      </w:r>
    </w:p>
    <w:p w14:paraId="5CB39758" w14:textId="77777777" w:rsidR="00B94CA4" w:rsidRDefault="00CD2FC7">
      <w:pPr>
        <w:pStyle w:val="Paragraphedeliste"/>
        <w:numPr>
          <w:ilvl w:val="0"/>
          <w:numId w:val="2"/>
        </w:numPr>
        <w:spacing w:before="50" w:after="50"/>
      </w:pPr>
      <w:r>
        <w:rPr>
          <w:color w:val="2C2C2A"/>
        </w:rPr>
        <w:t>Barriers to market access, enterprise formalization, financial services, skills development, and PPD participation — structural (legal, regulatory), social (norms, mobility, care burdens), and institutional;</w:t>
      </w:r>
    </w:p>
    <w:p w14:paraId="70C1FC84" w14:textId="77777777" w:rsidR="00B94CA4" w:rsidRDefault="00CD2FC7">
      <w:pPr>
        <w:pStyle w:val="Paragraphedeliste"/>
        <w:numPr>
          <w:ilvl w:val="0"/>
          <w:numId w:val="2"/>
        </w:numPr>
        <w:spacing w:before="50" w:after="50"/>
      </w:pPr>
      <w:r>
        <w:rPr>
          <w:color w:val="2C2C2A"/>
        </w:rPr>
        <w:t>Unpaid care burden distribution and its specific impact on women's time available for market activities — by value chain and project county;</w:t>
      </w:r>
    </w:p>
    <w:p w14:paraId="5D0143F8" w14:textId="77777777" w:rsidR="00B94CA4" w:rsidRDefault="00CD2FC7">
      <w:pPr>
        <w:pStyle w:val="Paragraphedeliste"/>
        <w:numPr>
          <w:ilvl w:val="0"/>
          <w:numId w:val="2"/>
        </w:numPr>
        <w:spacing w:before="50" w:after="50"/>
      </w:pPr>
      <w:r>
        <w:rPr>
          <w:color w:val="2C2C2A"/>
        </w:rPr>
        <w:t xml:space="preserve">GBV risks in value chain workplaces: cassava processing </w:t>
      </w:r>
      <w:proofErr w:type="spellStart"/>
      <w:r>
        <w:rPr>
          <w:color w:val="2C2C2A"/>
        </w:rPr>
        <w:t>centres</w:t>
      </w:r>
      <w:proofErr w:type="spellEnd"/>
      <w:r>
        <w:rPr>
          <w:color w:val="2C2C2A"/>
        </w:rPr>
        <w:t>, wood workshops, fish landing sites, market spaces;</w:t>
      </w:r>
    </w:p>
    <w:p w14:paraId="14997037" w14:textId="77777777" w:rsidR="00B94CA4" w:rsidRDefault="00CD2FC7">
      <w:pPr>
        <w:pStyle w:val="Paragraphedeliste"/>
        <w:numPr>
          <w:ilvl w:val="0"/>
          <w:numId w:val="2"/>
        </w:numPr>
        <w:spacing w:before="50" w:after="50"/>
      </w:pPr>
      <w:r>
        <w:rPr>
          <w:color w:val="2C2C2A"/>
        </w:rPr>
        <w:t xml:space="preserve">Male attitudes, household decision-making dynamics, and community-level entry points for </w:t>
      </w:r>
      <w:proofErr w:type="spellStart"/>
      <w:r>
        <w:rPr>
          <w:color w:val="2C2C2A"/>
        </w:rPr>
        <w:t>behaviour</w:t>
      </w:r>
      <w:proofErr w:type="spellEnd"/>
      <w:r>
        <w:rPr>
          <w:color w:val="2C2C2A"/>
        </w:rPr>
        <w:t xml:space="preserve"> change programming;</w:t>
      </w:r>
    </w:p>
    <w:p w14:paraId="5D72AFC4" w14:textId="77777777" w:rsidR="00B94CA4" w:rsidRDefault="00CD2FC7">
      <w:pPr>
        <w:pStyle w:val="Paragraphedeliste"/>
        <w:numPr>
          <w:ilvl w:val="0"/>
          <w:numId w:val="2"/>
        </w:numPr>
        <w:spacing w:before="50" w:after="50"/>
      </w:pPr>
      <w:r>
        <w:rPr>
          <w:color w:val="2C2C2A"/>
        </w:rPr>
        <w:t>Youth-specific constraints: employment discrimination, skills access gaps, cooperative membership exclusions, start-up finance barriers;</w:t>
      </w:r>
    </w:p>
    <w:p w14:paraId="13CDDE7A" w14:textId="77777777" w:rsidR="00B94CA4" w:rsidRDefault="00CD2FC7">
      <w:pPr>
        <w:pStyle w:val="Paragraphedeliste"/>
        <w:numPr>
          <w:ilvl w:val="0"/>
          <w:numId w:val="2"/>
        </w:numPr>
        <w:spacing w:before="50" w:after="50"/>
      </w:pPr>
      <w:r>
        <w:rPr>
          <w:color w:val="2C2C2A"/>
        </w:rPr>
        <w:t>PWD-specific constraints: attitudinal barriers, inaccessible infrastructure, exclusion from apprenticeship schemes and enterprise support;</w:t>
      </w:r>
    </w:p>
    <w:p w14:paraId="5BDCB3DA" w14:textId="77777777" w:rsidR="00B94CA4" w:rsidRDefault="00CD2FC7">
      <w:pPr>
        <w:pStyle w:val="Paragraphedeliste"/>
        <w:numPr>
          <w:ilvl w:val="0"/>
          <w:numId w:val="2"/>
        </w:numPr>
        <w:spacing w:before="50" w:after="50"/>
      </w:pPr>
      <w:r>
        <w:rPr>
          <w:color w:val="2C2C2A"/>
        </w:rPr>
        <w:t>Institutional gender mainstreaming capacity: per-organization capacity assessment for each key project partner.</w:t>
      </w:r>
    </w:p>
    <w:p w14:paraId="5D00E1B2" w14:textId="77777777" w:rsidR="00B94CA4" w:rsidRDefault="00CD2FC7">
      <w:pPr>
        <w:spacing w:before="70" w:after="70"/>
      </w:pPr>
      <w:r w:rsidRPr="00A6552D">
        <w:rPr>
          <w:b/>
          <w:bCs/>
          <w:color w:val="2C2C2A"/>
        </w:rPr>
        <w:t>Methods</w:t>
      </w:r>
      <w:r>
        <w:rPr>
          <w:color w:val="2C2C2A"/>
        </w:rPr>
        <w:t>: structured enterprise surveys, KIIs, gender-disaggregated FGDs (conducted separately for men and women), participatory rural appraisal, secondary data synthesis. Sex, age, and disability disaggregation are mandatory minimum standards on all primary data.</w:t>
      </w:r>
    </w:p>
    <w:p w14:paraId="05DF4575" w14:textId="77777777" w:rsidR="00B94CA4" w:rsidRDefault="00B94CA4">
      <w:pPr>
        <w:spacing w:before="60"/>
      </w:pPr>
    </w:p>
    <w:p w14:paraId="61783A2C" w14:textId="77777777" w:rsidR="00B94CA4" w:rsidRDefault="00CD2FC7">
      <w:pPr>
        <w:spacing w:before="180" w:after="70"/>
      </w:pPr>
      <w:r>
        <w:rPr>
          <w:b/>
          <w:bCs/>
          <w:color w:val="0F6E56"/>
        </w:rPr>
        <w:t>Task C.  Gender Action Plan and Social Inclusion Strategy</w:t>
      </w:r>
    </w:p>
    <w:p w14:paraId="5C5C8B51" w14:textId="58E4D34A" w:rsidR="00B94CA4" w:rsidRDefault="00CD2FC7" w:rsidP="00A6552D">
      <w:pPr>
        <w:spacing w:before="70" w:after="70"/>
        <w:jc w:val="both"/>
      </w:pPr>
      <w:r>
        <w:rPr>
          <w:color w:val="2C2C2A"/>
        </w:rPr>
        <w:t>Develop the project's primary gender accountability document — co-designed with project staff, ILO, government counterparts</w:t>
      </w:r>
      <w:r w:rsidR="00A6552D">
        <w:rPr>
          <w:color w:val="2C2C2A"/>
        </w:rPr>
        <w:t xml:space="preserve"> (</w:t>
      </w:r>
      <w:proofErr w:type="spellStart"/>
      <w:r w:rsidR="00A6552D">
        <w:rPr>
          <w:color w:val="2C2C2A"/>
        </w:rPr>
        <w:t>NAaFA</w:t>
      </w:r>
      <w:proofErr w:type="spellEnd"/>
      <w:r w:rsidR="00A6552D">
        <w:rPr>
          <w:color w:val="2C2C2A"/>
        </w:rPr>
        <w:t xml:space="preserve">, </w:t>
      </w:r>
      <w:proofErr w:type="spellStart"/>
      <w:r w:rsidR="00A6552D">
        <w:rPr>
          <w:color w:val="2C2C2A"/>
        </w:rPr>
        <w:t>MoA</w:t>
      </w:r>
      <w:proofErr w:type="spellEnd"/>
      <w:r w:rsidR="00A6552D">
        <w:rPr>
          <w:color w:val="2C2C2A"/>
        </w:rPr>
        <w:t xml:space="preserve">, </w:t>
      </w:r>
      <w:proofErr w:type="spellStart"/>
      <w:r w:rsidR="00A6552D">
        <w:rPr>
          <w:color w:val="2C2C2A"/>
        </w:rPr>
        <w:t>MoCI</w:t>
      </w:r>
      <w:proofErr w:type="spellEnd"/>
      <w:r w:rsidR="00A6552D">
        <w:rPr>
          <w:color w:val="2C2C2A"/>
        </w:rPr>
        <w:t xml:space="preserve">, LCC, NIC, </w:t>
      </w:r>
      <w:proofErr w:type="spellStart"/>
      <w:r w:rsidR="00A6552D">
        <w:rPr>
          <w:color w:val="2C2C2A"/>
        </w:rPr>
        <w:t>etc</w:t>
      </w:r>
      <w:proofErr w:type="spellEnd"/>
      <w:r w:rsidR="00A6552D">
        <w:rPr>
          <w:color w:val="2C2C2A"/>
        </w:rPr>
        <w:t>)</w:t>
      </w:r>
      <w:r>
        <w:rPr>
          <w:color w:val="2C2C2A"/>
        </w:rPr>
        <w:t>, and private sector partners. The GAP and Social Inclusion Strategy must be anchored in the evidence from Tasks A and B, and explicitly aligned with Liberia's National Gender Policy, National Agricultural Gender Policy, EU GAP III, CEDAW, SDG 5 and 8, ECOWAS Gender Policy, and AU GEWE.</w:t>
      </w:r>
    </w:p>
    <w:p w14:paraId="65597A64" w14:textId="77777777" w:rsidR="00B94CA4" w:rsidRDefault="00CD2FC7">
      <w:pPr>
        <w:spacing w:before="70" w:after="70"/>
      </w:pPr>
      <w:r>
        <w:rPr>
          <w:color w:val="2C2C2A"/>
        </w:rPr>
        <w:t>The GAP and Social Inclusion Strategy will specify:</w:t>
      </w:r>
    </w:p>
    <w:p w14:paraId="34B9319C" w14:textId="77777777" w:rsidR="00B94CA4" w:rsidRDefault="00CD2FC7">
      <w:pPr>
        <w:pStyle w:val="Paragraphedeliste"/>
        <w:numPr>
          <w:ilvl w:val="0"/>
          <w:numId w:val="2"/>
        </w:numPr>
        <w:spacing w:before="50" w:after="50"/>
      </w:pPr>
      <w:r>
        <w:rPr>
          <w:color w:val="2C2C2A"/>
        </w:rPr>
        <w:t>A gender equality objective with quantified targets and a theory of change from inputs to structural outcomes at individual, enterprise, and sector levels;</w:t>
      </w:r>
    </w:p>
    <w:p w14:paraId="3FB0FB00" w14:textId="77777777" w:rsidR="00B94CA4" w:rsidRDefault="00CD2FC7">
      <w:pPr>
        <w:pStyle w:val="Paragraphedeliste"/>
        <w:numPr>
          <w:ilvl w:val="0"/>
          <w:numId w:val="2"/>
        </w:numPr>
        <w:spacing w:before="50" w:after="50"/>
      </w:pPr>
      <w:r>
        <w:rPr>
          <w:color w:val="2C2C2A"/>
        </w:rPr>
        <w:t>Activity-level gender integration specifications for all three project components — named responsibilities, milestones, budget considerations, and accountability mechanisms;</w:t>
      </w:r>
    </w:p>
    <w:p w14:paraId="0399F3DD" w14:textId="77777777" w:rsidR="00B94CA4" w:rsidRDefault="00CD2FC7">
      <w:pPr>
        <w:pStyle w:val="Paragraphedeliste"/>
        <w:numPr>
          <w:ilvl w:val="0"/>
          <w:numId w:val="2"/>
        </w:numPr>
        <w:spacing w:before="50" w:after="50"/>
      </w:pPr>
      <w:r>
        <w:rPr>
          <w:color w:val="2C2C2A"/>
        </w:rPr>
        <w:t xml:space="preserve">A Social Inclusion Strategy covering: youth economic empowerment with specific TVET and enterprise targets; PWD workplace inclusion aligned with CRPD requirements; male engagement and household-level </w:t>
      </w:r>
      <w:proofErr w:type="spellStart"/>
      <w:r>
        <w:rPr>
          <w:color w:val="2C2C2A"/>
        </w:rPr>
        <w:t>behaviour</w:t>
      </w:r>
      <w:proofErr w:type="spellEnd"/>
      <w:r>
        <w:rPr>
          <w:color w:val="2C2C2A"/>
        </w:rPr>
        <w:t xml:space="preserve"> change strategies;</w:t>
      </w:r>
    </w:p>
    <w:p w14:paraId="442D15FD" w14:textId="77777777" w:rsidR="00B94CA4" w:rsidRDefault="00CD2FC7">
      <w:pPr>
        <w:pStyle w:val="Paragraphedeliste"/>
        <w:numPr>
          <w:ilvl w:val="0"/>
          <w:numId w:val="2"/>
        </w:numPr>
        <w:spacing w:before="50" w:after="50"/>
      </w:pPr>
      <w:r>
        <w:rPr>
          <w:color w:val="2C2C2A"/>
        </w:rPr>
        <w:t>A gender-responsive indicator framework measuring access, agency, and economic advancement — not only participation headcounts — aligned with EU GAP III, SDG 5 and 8, and the Liberia National Gender Policy monitoring system;</w:t>
      </w:r>
    </w:p>
    <w:p w14:paraId="10B1674D" w14:textId="77777777" w:rsidR="00B94CA4" w:rsidRDefault="00CD2FC7">
      <w:pPr>
        <w:pStyle w:val="Paragraphedeliste"/>
        <w:numPr>
          <w:ilvl w:val="0"/>
          <w:numId w:val="2"/>
        </w:numPr>
        <w:spacing w:before="50" w:after="50"/>
      </w:pPr>
      <w:r>
        <w:rPr>
          <w:color w:val="2C2C2A"/>
        </w:rPr>
        <w:t>Budget considerations and resource mobilization recommendations for gender integration across all components;</w:t>
      </w:r>
    </w:p>
    <w:p w14:paraId="00D4A707" w14:textId="77777777" w:rsidR="00B94CA4" w:rsidRDefault="00CD2FC7">
      <w:pPr>
        <w:pStyle w:val="Paragraphedeliste"/>
        <w:numPr>
          <w:ilvl w:val="0"/>
          <w:numId w:val="2"/>
        </w:numPr>
        <w:spacing w:before="50" w:after="50"/>
      </w:pPr>
      <w:r>
        <w:rPr>
          <w:color w:val="2C2C2A"/>
        </w:rPr>
        <w:t>A semi-annual monitoring and adaptive management mechanism: the GAP is a living document, with a formal annual revision each December.</w:t>
      </w:r>
    </w:p>
    <w:p w14:paraId="791877E7" w14:textId="011C7358" w:rsidR="00B94CA4" w:rsidRDefault="00CD2FC7">
      <w:pPr>
        <w:spacing w:before="70" w:after="70"/>
      </w:pPr>
      <w:r>
        <w:rPr>
          <w:color w:val="2C2C2A"/>
        </w:rPr>
        <w:t>The GAP will be submitted to the</w:t>
      </w:r>
      <w:r w:rsidR="00A6552D">
        <w:rPr>
          <w:color w:val="2C2C2A"/>
        </w:rPr>
        <w:t xml:space="preserve"> PSD</w:t>
      </w:r>
      <w:r>
        <w:rPr>
          <w:color w:val="2C2C2A"/>
        </w:rPr>
        <w:t xml:space="preserve"> </w:t>
      </w:r>
      <w:r w:rsidR="007878FC">
        <w:rPr>
          <w:color w:val="2C2C2A"/>
        </w:rPr>
        <w:t xml:space="preserve">Liberia </w:t>
      </w:r>
      <w:r>
        <w:rPr>
          <w:color w:val="2C2C2A"/>
        </w:rPr>
        <w:t>Steering Committee for approval. It constitutes the primary reference for gender-related EU Delegation reporting throughout the project lifecycle.</w:t>
      </w:r>
    </w:p>
    <w:p w14:paraId="3ABCDA3F" w14:textId="77777777" w:rsidR="00B94CA4" w:rsidRDefault="00B94CA4">
      <w:pPr>
        <w:spacing w:before="60"/>
      </w:pPr>
    </w:p>
    <w:p w14:paraId="7A0D7588" w14:textId="77777777" w:rsidR="00B94CA4" w:rsidRDefault="00CD2FC7">
      <w:pPr>
        <w:spacing w:before="180" w:after="70"/>
      </w:pPr>
      <w:r>
        <w:rPr>
          <w:b/>
          <w:bCs/>
          <w:color w:val="0F6E56"/>
        </w:rPr>
        <w:t>Task D.  MEAL framework gender and inclusion integration</w:t>
      </w:r>
    </w:p>
    <w:p w14:paraId="42B67068" w14:textId="30A1871C" w:rsidR="007878FC" w:rsidRDefault="007878FC">
      <w:pPr>
        <w:spacing w:before="70" w:after="70"/>
      </w:pPr>
      <w:r>
        <w:t>Before primary data collection begins, support the MEAL team (MEAL inception expert + MEAL manager) in integrating gender-responsive and disability-inclusive indicators into the project’s logical framework and MEAL plan. Indicators introduced after data collection has started cannot effectively capture baseline changes; this task must therefore be completed during the inception phase.</w:t>
      </w:r>
    </w:p>
    <w:p w14:paraId="75DF178E" w14:textId="46FBBE0A" w:rsidR="00B94CA4" w:rsidRDefault="00CD2FC7">
      <w:pPr>
        <w:spacing w:before="70" w:after="70"/>
      </w:pPr>
      <w:r>
        <w:rPr>
          <w:color w:val="2C2C2A"/>
        </w:rPr>
        <w:t>The MEAL integration must:</w:t>
      </w:r>
    </w:p>
    <w:p w14:paraId="0A97A796" w14:textId="77777777" w:rsidR="00B94CA4" w:rsidRDefault="00CD2FC7">
      <w:pPr>
        <w:pStyle w:val="Paragraphedeliste"/>
        <w:numPr>
          <w:ilvl w:val="0"/>
          <w:numId w:val="2"/>
        </w:numPr>
        <w:spacing w:before="50" w:after="50"/>
      </w:pPr>
      <w:r>
        <w:rPr>
          <w:color w:val="2C2C2A"/>
        </w:rPr>
        <w:lastRenderedPageBreak/>
        <w:t>Establish mandatory sex, age, and disability disaggregation on all beneficiary data as a project-wide data quality standard;</w:t>
      </w:r>
    </w:p>
    <w:p w14:paraId="7704E8DA" w14:textId="77777777" w:rsidR="00B94CA4" w:rsidRDefault="00CD2FC7">
      <w:pPr>
        <w:pStyle w:val="Paragraphedeliste"/>
        <w:numPr>
          <w:ilvl w:val="0"/>
          <w:numId w:val="2"/>
        </w:numPr>
        <w:spacing w:before="50" w:after="50"/>
      </w:pPr>
      <w:r>
        <w:rPr>
          <w:color w:val="2C2C2A"/>
        </w:rPr>
        <w:t>Introduce three-dimension measurement — access, agency, and economic advancement — as the framework for all gender and inclusion indicators;</w:t>
      </w:r>
    </w:p>
    <w:p w14:paraId="1265D85A" w14:textId="77777777" w:rsidR="00B94CA4" w:rsidRDefault="00CD2FC7">
      <w:pPr>
        <w:pStyle w:val="Paragraphedeliste"/>
        <w:numPr>
          <w:ilvl w:val="0"/>
          <w:numId w:val="2"/>
        </w:numPr>
        <w:spacing w:before="50" w:after="50"/>
      </w:pPr>
      <w:r>
        <w:rPr>
          <w:color w:val="2C2C2A"/>
        </w:rPr>
        <w:t>Specify data collection instruments and quality assurance protocols per indicator;</w:t>
      </w:r>
    </w:p>
    <w:p w14:paraId="6829B090" w14:textId="77777777" w:rsidR="00B94CA4" w:rsidRDefault="00CD2FC7">
      <w:pPr>
        <w:pStyle w:val="Paragraphedeliste"/>
        <w:numPr>
          <w:ilvl w:val="0"/>
          <w:numId w:val="2"/>
        </w:numPr>
        <w:spacing w:before="50" w:after="50"/>
      </w:pPr>
      <w:r>
        <w:rPr>
          <w:color w:val="2C2C2A"/>
        </w:rPr>
        <w:t>Define Year 1 gender-related targets aligned with GAP activity specifications;</w:t>
      </w:r>
    </w:p>
    <w:p w14:paraId="2267632D" w14:textId="77777777" w:rsidR="00B94CA4" w:rsidRDefault="00CD2FC7">
      <w:pPr>
        <w:pStyle w:val="Paragraphedeliste"/>
        <w:numPr>
          <w:ilvl w:val="0"/>
          <w:numId w:val="2"/>
        </w:numPr>
        <w:spacing w:before="50" w:after="50"/>
      </w:pPr>
      <w:r>
        <w:rPr>
          <w:color w:val="2C2C2A"/>
        </w:rPr>
        <w:t>Develop a data disaggregation protocol and audit all data collection instruments before field deployment.</w:t>
      </w:r>
    </w:p>
    <w:p w14:paraId="7354672C" w14:textId="77777777" w:rsidR="00B94CA4" w:rsidRDefault="00B94CA4">
      <w:pPr>
        <w:spacing w:before="100"/>
      </w:pPr>
    </w:p>
    <w:p w14:paraId="0806FB2C" w14:textId="77777777" w:rsidR="00B94CA4" w:rsidRDefault="00CD2FC7">
      <w:pPr>
        <w:pBdr>
          <w:bottom w:val="single" w:sz="6" w:space="1" w:color="2E75B6"/>
        </w:pBdr>
        <w:spacing w:before="280" w:after="100"/>
      </w:pPr>
      <w:r>
        <w:rPr>
          <w:b/>
          <w:bCs/>
          <w:color w:val="1F3864"/>
          <w:sz w:val="22"/>
          <w:szCs w:val="22"/>
        </w:rPr>
        <w:t>IV.  Scope of Work — Phase 2: Implementation Support</w:t>
      </w:r>
    </w:p>
    <w:p w14:paraId="0EDE87F3" w14:textId="77777777" w:rsidR="00B94CA4" w:rsidRDefault="00CD2FC7">
      <w:pPr>
        <w:spacing w:before="70" w:after="70"/>
      </w:pPr>
      <w:r>
        <w:rPr>
          <w:color w:val="2C2C2A"/>
        </w:rPr>
        <w:t>Phase 2 activities are demand-driven and need-responsive within the agreed scope. The Expert will work in close coordination with component leads, value chain coordinators, and the ILO gender focal point throughout this phase.</w:t>
      </w:r>
    </w:p>
    <w:p w14:paraId="0A123B44" w14:textId="77777777" w:rsidR="00B94CA4" w:rsidRDefault="00B94CA4">
      <w:pPr>
        <w:spacing w:before="80"/>
      </w:pPr>
    </w:p>
    <w:tbl>
      <w:tblPr>
        <w:tblW w:w="9360" w:type="dxa"/>
        <w:tblBorders>
          <w:top w:val="single" w:sz="4" w:space="0" w:color="854F0B"/>
          <w:left w:val="single" w:sz="4" w:space="0" w:color="854F0B"/>
          <w:bottom w:val="single" w:sz="4" w:space="0" w:color="854F0B"/>
          <w:right w:val="single" w:sz="4" w:space="0" w:color="854F0B"/>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94CA4" w14:paraId="391C3467" w14:textId="77777777">
        <w:tc>
          <w:tcPr>
            <w:tcW w:w="9360" w:type="dxa"/>
            <w:tcBorders>
              <w:top w:val="single" w:sz="4" w:space="0" w:color="854F0B"/>
              <w:left w:val="single" w:sz="4" w:space="0" w:color="854F0B"/>
              <w:bottom w:val="single" w:sz="4" w:space="0" w:color="854F0B"/>
              <w:right w:val="single" w:sz="4" w:space="0" w:color="854F0B"/>
            </w:tcBorders>
            <w:shd w:val="clear" w:color="auto" w:fill="854F0B"/>
            <w:tcMar>
              <w:top w:w="90" w:type="dxa"/>
              <w:left w:w="180" w:type="dxa"/>
              <w:bottom w:w="90" w:type="dxa"/>
              <w:right w:w="180" w:type="dxa"/>
            </w:tcMar>
          </w:tcPr>
          <w:p w14:paraId="787845D7" w14:textId="77777777" w:rsidR="00B94CA4" w:rsidRDefault="00CD2FC7">
            <w:r>
              <w:rPr>
                <w:b/>
                <w:bCs/>
                <w:caps/>
                <w:color w:val="FFFFFF"/>
                <w:sz w:val="19"/>
                <w:szCs w:val="19"/>
              </w:rPr>
              <w:t>PHASE 2 — IMPLEMENTATION SUPPORT  |  August 2026 – June 2027  |  ~30 working days</w:t>
            </w:r>
          </w:p>
        </w:tc>
      </w:tr>
    </w:tbl>
    <w:p w14:paraId="0A133175" w14:textId="77777777" w:rsidR="00B94CA4" w:rsidRDefault="00B94CA4">
      <w:pPr>
        <w:spacing w:before="80"/>
      </w:pPr>
    </w:p>
    <w:p w14:paraId="1D5D0769" w14:textId="77777777" w:rsidR="00B94CA4" w:rsidRDefault="00CD2FC7">
      <w:pPr>
        <w:spacing w:before="180" w:after="70"/>
      </w:pPr>
      <w:r>
        <w:rPr>
          <w:b/>
          <w:bCs/>
          <w:color w:val="0F6E56"/>
        </w:rPr>
        <w:t>Task E.  Technical advisory across all project components</w:t>
      </w:r>
    </w:p>
    <w:p w14:paraId="14F1F993" w14:textId="77777777" w:rsidR="00B94CA4" w:rsidRDefault="00CD2FC7" w:rsidP="00A6552D">
      <w:pPr>
        <w:spacing w:before="70" w:after="70"/>
        <w:jc w:val="both"/>
      </w:pPr>
      <w:r>
        <w:rPr>
          <w:color w:val="2C2C2A"/>
        </w:rPr>
        <w:t>Provide ongoing, embedded technical advisory — not periodic reviews. The Expert will actively participate in the design and quality assurance of project interventions, with the following non-negotiable gender requirements by area:</w:t>
      </w:r>
    </w:p>
    <w:p w14:paraId="2200393F" w14:textId="77777777" w:rsidR="00B94CA4" w:rsidRDefault="00B94CA4">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B94CA4" w14:paraId="444C1C7E" w14:textId="77777777">
        <w:tc>
          <w:tcPr>
            <w:tcW w:w="2200" w:type="dxa"/>
            <w:tcBorders>
              <w:top w:val="single" w:sz="4" w:space="0" w:color="0F6E56"/>
              <w:left w:val="single" w:sz="4" w:space="0" w:color="0F6E56"/>
              <w:bottom w:val="single" w:sz="4" w:space="0" w:color="0F6E56"/>
              <w:right w:val="single" w:sz="4" w:space="0" w:color="0F6E56"/>
            </w:tcBorders>
            <w:shd w:val="clear" w:color="auto" w:fill="0F6E56"/>
            <w:tcMar>
              <w:top w:w="70" w:type="dxa"/>
              <w:left w:w="120" w:type="dxa"/>
              <w:bottom w:w="70" w:type="dxa"/>
              <w:right w:w="120" w:type="dxa"/>
            </w:tcMar>
          </w:tcPr>
          <w:p w14:paraId="7DA0EC3E" w14:textId="77777777" w:rsidR="00B94CA4" w:rsidRDefault="00CD2FC7">
            <w:pPr>
              <w:spacing w:before="80" w:after="80"/>
            </w:pPr>
            <w:r>
              <w:rPr>
                <w:b/>
                <w:bCs/>
                <w:caps/>
                <w:color w:val="FFFFFF"/>
                <w:sz w:val="16"/>
                <w:szCs w:val="16"/>
              </w:rPr>
              <w:t>Area</w:t>
            </w:r>
          </w:p>
        </w:tc>
        <w:tc>
          <w:tcPr>
            <w:tcW w:w="7160" w:type="dxa"/>
            <w:tcBorders>
              <w:top w:val="single" w:sz="4" w:space="0" w:color="0F6E56"/>
              <w:left w:val="single" w:sz="4" w:space="0" w:color="0F6E56"/>
              <w:bottom w:val="single" w:sz="4" w:space="0" w:color="0F6E56"/>
              <w:right w:val="single" w:sz="4" w:space="0" w:color="0F6E56"/>
            </w:tcBorders>
            <w:shd w:val="clear" w:color="auto" w:fill="0F6E56"/>
            <w:tcMar>
              <w:top w:w="70" w:type="dxa"/>
              <w:left w:w="120" w:type="dxa"/>
              <w:bottom w:w="70" w:type="dxa"/>
              <w:right w:w="120" w:type="dxa"/>
            </w:tcMar>
          </w:tcPr>
          <w:p w14:paraId="2193F5DE" w14:textId="77777777" w:rsidR="00B94CA4" w:rsidRDefault="00CD2FC7">
            <w:pPr>
              <w:spacing w:before="80" w:after="80"/>
            </w:pPr>
            <w:r>
              <w:rPr>
                <w:b/>
                <w:bCs/>
                <w:caps/>
                <w:color w:val="FFFFFF"/>
                <w:sz w:val="16"/>
                <w:szCs w:val="16"/>
              </w:rPr>
              <w:t>Non-negotiable gender requirements — what the advisory must deliver</w:t>
            </w:r>
          </w:p>
        </w:tc>
      </w:tr>
      <w:tr w:rsidR="00B94CA4" w14:paraId="705DF8EE" w14:textId="77777777">
        <w:tc>
          <w:tcPr>
            <w:tcW w:w="220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36EDD542" w14:textId="77777777" w:rsidR="00B94CA4" w:rsidRDefault="00CD2FC7">
            <w:pPr>
              <w:spacing w:before="80" w:after="80"/>
            </w:pPr>
            <w:r>
              <w:rPr>
                <w:b/>
                <w:bCs/>
                <w:color w:val="0F6E56"/>
                <w:sz w:val="18"/>
                <w:szCs w:val="18"/>
              </w:rPr>
              <w:t>Investment &amp; business model design</w:t>
            </w:r>
          </w:p>
        </w:tc>
        <w:tc>
          <w:tcPr>
            <w:tcW w:w="716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5D1B0364" w14:textId="77777777" w:rsidR="00B94CA4" w:rsidRDefault="00CD2FC7" w:rsidP="00A6552D">
            <w:pPr>
              <w:spacing w:before="80" w:after="80"/>
              <w:jc w:val="both"/>
            </w:pPr>
            <w:r>
              <w:rPr>
                <w:color w:val="2C2C2A"/>
                <w:sz w:val="18"/>
                <w:szCs w:val="18"/>
              </w:rPr>
              <w:t>Investment screening criteria must include: women's enterprise ownership thresholds; inclusive hiring requirements; equitable off-take pricing. Unit economics models must incorporate women's productive contributions and unpaid care cost burdens. Each pilot design note includes a mandatory gender and inclusion annex with measurable targets.</w:t>
            </w:r>
          </w:p>
        </w:tc>
      </w:tr>
      <w:tr w:rsidR="00B94CA4" w14:paraId="6D8D8524" w14:textId="77777777">
        <w:tc>
          <w:tcPr>
            <w:tcW w:w="2200"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6023A7FD" w14:textId="77777777" w:rsidR="00B94CA4" w:rsidRDefault="00CD2FC7">
            <w:pPr>
              <w:spacing w:before="80" w:after="80"/>
            </w:pPr>
            <w:r>
              <w:rPr>
                <w:b/>
                <w:bCs/>
                <w:color w:val="0F6E56"/>
                <w:sz w:val="18"/>
                <w:szCs w:val="18"/>
              </w:rPr>
              <w:t>Access to finance</w:t>
            </w:r>
          </w:p>
        </w:tc>
        <w:tc>
          <w:tcPr>
            <w:tcW w:w="7160"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52F0738B" w14:textId="77777777" w:rsidR="00B94CA4" w:rsidRDefault="00CD2FC7" w:rsidP="00A6552D">
            <w:pPr>
              <w:spacing w:before="80" w:after="80"/>
              <w:jc w:val="both"/>
            </w:pPr>
            <w:r>
              <w:rPr>
                <w:color w:val="2C2C2A"/>
                <w:sz w:val="18"/>
                <w:szCs w:val="18"/>
              </w:rPr>
              <w:t>No male co-signatory clauses in VSLA-to-RCFI or group guarantee mechanisms. Blended finance instruments designate women-led enterprises as first-priority beneficiaries with transparent allocation criteria. Financial product recommendations specify collateral, repayment schedule, and delivery channel changes addressing documented gender barriers.</w:t>
            </w:r>
          </w:p>
        </w:tc>
      </w:tr>
      <w:tr w:rsidR="00B94CA4" w14:paraId="7366B0EE" w14:textId="77777777">
        <w:tc>
          <w:tcPr>
            <w:tcW w:w="220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6939BAA0" w14:textId="77777777" w:rsidR="00B94CA4" w:rsidRDefault="00CD2FC7">
            <w:pPr>
              <w:spacing w:before="80" w:after="80"/>
            </w:pPr>
            <w:r>
              <w:rPr>
                <w:b/>
                <w:bCs/>
                <w:color w:val="0F6E56"/>
                <w:sz w:val="18"/>
                <w:szCs w:val="18"/>
              </w:rPr>
              <w:t>TVET and enterprise support</w:t>
            </w:r>
          </w:p>
        </w:tc>
        <w:tc>
          <w:tcPr>
            <w:tcW w:w="716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66B97266" w14:textId="77777777" w:rsidR="00B94CA4" w:rsidRDefault="00CD2FC7" w:rsidP="00A6552D">
            <w:pPr>
              <w:spacing w:before="80" w:after="80"/>
              <w:jc w:val="both"/>
            </w:pPr>
            <w:r>
              <w:rPr>
                <w:color w:val="2C2C2A"/>
                <w:sz w:val="18"/>
                <w:szCs w:val="18"/>
              </w:rPr>
              <w:t>All training modules: timetabling adapted to care responsibilities; accessible locations; RPL pathways for women with informal sector experience. Apprenticeship scheme: explicit women and youth targets; anti-discrimination employer contracts; female supervisor provisions. Skills Technical Working Group: women's associations and OPDs as full voting members, not observers.</w:t>
            </w:r>
          </w:p>
        </w:tc>
      </w:tr>
      <w:tr w:rsidR="00B94CA4" w14:paraId="44657579" w14:textId="77777777">
        <w:tc>
          <w:tcPr>
            <w:tcW w:w="2200"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459EA0A8" w14:textId="77777777" w:rsidR="00B94CA4" w:rsidRDefault="00CD2FC7">
            <w:pPr>
              <w:spacing w:before="80" w:after="80"/>
            </w:pPr>
            <w:r>
              <w:rPr>
                <w:b/>
                <w:bCs/>
                <w:color w:val="0F6E56"/>
                <w:sz w:val="18"/>
                <w:szCs w:val="18"/>
              </w:rPr>
              <w:t>PPD and policy reform</w:t>
            </w:r>
          </w:p>
        </w:tc>
        <w:tc>
          <w:tcPr>
            <w:tcW w:w="7160"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71863328" w14:textId="77777777" w:rsidR="00B94CA4" w:rsidRDefault="00CD2FC7" w:rsidP="00867725">
            <w:pPr>
              <w:spacing w:before="80" w:after="80"/>
              <w:jc w:val="both"/>
            </w:pPr>
            <w:r>
              <w:rPr>
                <w:color w:val="2C2C2A"/>
                <w:sz w:val="18"/>
                <w:szCs w:val="18"/>
              </w:rPr>
              <w:t>Women's associations, youth networks, and OPDs hold co-convener status — not observer seats — in formal PPD platforms. Regulatory reform analyses explicitly identify and address gender-discriminatory provisions. Dedicated PPD sessions engage private sector directly on gender-responsive procurement and disability workplace accommodation.</w:t>
            </w:r>
          </w:p>
        </w:tc>
      </w:tr>
      <w:tr w:rsidR="00B94CA4" w14:paraId="1774900E" w14:textId="77777777">
        <w:tc>
          <w:tcPr>
            <w:tcW w:w="220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03588B30" w14:textId="2F017A5C" w:rsidR="00B94CA4" w:rsidRDefault="00CD2FC7">
            <w:pPr>
              <w:spacing w:before="80" w:after="80"/>
            </w:pPr>
            <w:r>
              <w:rPr>
                <w:b/>
                <w:bCs/>
                <w:color w:val="0F6E56"/>
                <w:sz w:val="18"/>
                <w:szCs w:val="18"/>
              </w:rPr>
              <w:t xml:space="preserve">Social norms and </w:t>
            </w:r>
            <w:r w:rsidR="00867725">
              <w:rPr>
                <w:b/>
                <w:bCs/>
                <w:color w:val="0F6E56"/>
                <w:sz w:val="18"/>
                <w:szCs w:val="18"/>
              </w:rPr>
              <w:t>behavior</w:t>
            </w:r>
            <w:r>
              <w:rPr>
                <w:b/>
                <w:bCs/>
                <w:color w:val="0F6E56"/>
                <w:sz w:val="18"/>
                <w:szCs w:val="18"/>
              </w:rPr>
              <w:t xml:space="preserve"> change</w:t>
            </w:r>
          </w:p>
        </w:tc>
        <w:tc>
          <w:tcPr>
            <w:tcW w:w="716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76E056F3" w14:textId="77777777" w:rsidR="00B94CA4" w:rsidRDefault="00CD2FC7" w:rsidP="00867725">
            <w:pPr>
              <w:spacing w:before="80" w:after="80"/>
              <w:jc w:val="both"/>
            </w:pPr>
            <w:r>
              <w:rPr>
                <w:color w:val="2C2C2A"/>
                <w:sz w:val="18"/>
                <w:szCs w:val="18"/>
              </w:rPr>
              <w:t xml:space="preserve">Male engagement strategies integrated into all community-facing activities — not </w:t>
            </w:r>
            <w:proofErr w:type="spellStart"/>
            <w:r>
              <w:rPr>
                <w:color w:val="2C2C2A"/>
                <w:sz w:val="18"/>
                <w:szCs w:val="18"/>
              </w:rPr>
              <w:t>siloed</w:t>
            </w:r>
            <w:proofErr w:type="spellEnd"/>
            <w:r>
              <w:rPr>
                <w:color w:val="2C2C2A"/>
                <w:sz w:val="18"/>
                <w:szCs w:val="18"/>
              </w:rPr>
              <w:t xml:space="preserve"> as a separate activity. Household-level </w:t>
            </w:r>
            <w:proofErr w:type="spellStart"/>
            <w:r>
              <w:rPr>
                <w:color w:val="2C2C2A"/>
                <w:sz w:val="18"/>
                <w:szCs w:val="18"/>
              </w:rPr>
              <w:t>behaviour</w:t>
            </w:r>
            <w:proofErr w:type="spellEnd"/>
            <w:r>
              <w:rPr>
                <w:color w:val="2C2C2A"/>
                <w:sz w:val="18"/>
                <w:szCs w:val="18"/>
              </w:rPr>
              <w:t xml:space="preserve"> change communication embedded in enterprise support </w:t>
            </w:r>
            <w:proofErr w:type="spellStart"/>
            <w:r>
              <w:rPr>
                <w:color w:val="2C2C2A"/>
                <w:sz w:val="18"/>
                <w:szCs w:val="18"/>
              </w:rPr>
              <w:t>programmes</w:t>
            </w:r>
            <w:proofErr w:type="spellEnd"/>
            <w:r>
              <w:rPr>
                <w:color w:val="2C2C2A"/>
                <w:sz w:val="18"/>
                <w:szCs w:val="18"/>
              </w:rPr>
              <w:t>. Facilitated community dialogues per project county addressing norms limiting women's market participation.</w:t>
            </w:r>
          </w:p>
        </w:tc>
      </w:tr>
      <w:tr w:rsidR="00B94CA4" w14:paraId="4B8DE5CA" w14:textId="77777777">
        <w:tc>
          <w:tcPr>
            <w:tcW w:w="2200"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6DC73297" w14:textId="77777777" w:rsidR="00B94CA4" w:rsidRDefault="00CD2FC7">
            <w:pPr>
              <w:spacing w:before="80" w:after="80"/>
            </w:pPr>
            <w:r>
              <w:rPr>
                <w:b/>
                <w:bCs/>
                <w:color w:val="0F6E56"/>
                <w:sz w:val="18"/>
                <w:szCs w:val="18"/>
              </w:rPr>
              <w:t>Cross-component coordination</w:t>
            </w:r>
          </w:p>
        </w:tc>
        <w:tc>
          <w:tcPr>
            <w:tcW w:w="7160"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0DECABF7" w14:textId="77777777" w:rsidR="00B94CA4" w:rsidRDefault="00CD2FC7" w:rsidP="00867725">
            <w:pPr>
              <w:spacing w:before="80" w:after="80"/>
              <w:jc w:val="both"/>
            </w:pPr>
            <w:r>
              <w:rPr>
                <w:color w:val="2C2C2A"/>
                <w:sz w:val="18"/>
                <w:szCs w:val="18"/>
              </w:rPr>
              <w:t xml:space="preserve">Review and provide gender inputs to all </w:t>
            </w:r>
            <w:proofErr w:type="spellStart"/>
            <w:r>
              <w:rPr>
                <w:color w:val="2C2C2A"/>
                <w:sz w:val="18"/>
                <w:szCs w:val="18"/>
              </w:rPr>
              <w:t>ToRs</w:t>
            </w:r>
            <w:proofErr w:type="spellEnd"/>
            <w:r>
              <w:rPr>
                <w:color w:val="2C2C2A"/>
                <w:sz w:val="18"/>
                <w:szCs w:val="18"/>
              </w:rPr>
              <w:t xml:space="preserve">, partner </w:t>
            </w:r>
            <w:proofErr w:type="spellStart"/>
            <w:r>
              <w:rPr>
                <w:color w:val="2C2C2A"/>
                <w:sz w:val="18"/>
                <w:szCs w:val="18"/>
              </w:rPr>
              <w:t>workplans</w:t>
            </w:r>
            <w:proofErr w:type="spellEnd"/>
            <w:r>
              <w:rPr>
                <w:color w:val="2C2C2A"/>
                <w:sz w:val="18"/>
                <w:szCs w:val="18"/>
              </w:rPr>
              <w:t>, training materials, and pilot intervention designs before finalization. Minimum 5-working-day turnaround on technical advisory note requests.</w:t>
            </w:r>
          </w:p>
        </w:tc>
      </w:tr>
    </w:tbl>
    <w:p w14:paraId="1DB56607" w14:textId="77777777" w:rsidR="00B94CA4" w:rsidRDefault="00B94CA4">
      <w:pPr>
        <w:spacing w:before="60"/>
      </w:pPr>
    </w:p>
    <w:p w14:paraId="5317E6BF" w14:textId="77777777" w:rsidR="00B94CA4" w:rsidRDefault="00CD2FC7">
      <w:pPr>
        <w:spacing w:before="180" w:after="70"/>
      </w:pPr>
      <w:r>
        <w:rPr>
          <w:b/>
          <w:bCs/>
          <w:color w:val="0F6E56"/>
        </w:rPr>
        <w:t>Task F.  Capacity building and awareness</w:t>
      </w:r>
    </w:p>
    <w:p w14:paraId="56FBFCCF" w14:textId="77777777" w:rsidR="00B94CA4" w:rsidRDefault="00CD2FC7" w:rsidP="00867725">
      <w:pPr>
        <w:spacing w:before="70" w:after="70"/>
        <w:jc w:val="both"/>
      </w:pPr>
      <w:r>
        <w:rPr>
          <w:color w:val="2C2C2A"/>
        </w:rPr>
        <w:t xml:space="preserve">Design and deliver a phased, audience-differentiated capacity-building </w:t>
      </w:r>
      <w:proofErr w:type="spellStart"/>
      <w:r>
        <w:rPr>
          <w:color w:val="2C2C2A"/>
        </w:rPr>
        <w:t>programme</w:t>
      </w:r>
      <w:proofErr w:type="spellEnd"/>
      <w:r>
        <w:rPr>
          <w:color w:val="2C2C2A"/>
        </w:rPr>
        <w:t>. Begin each cohort with an institutional capacity baseline assessment — diagnosing starting points before designing content — and structure training to build toward independent application, not consultation dependency:</w:t>
      </w:r>
    </w:p>
    <w:p w14:paraId="1C1E7FB9" w14:textId="77777777" w:rsidR="00B94CA4" w:rsidRDefault="00B94CA4">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53"/>
        <w:gridCol w:w="3112"/>
        <w:gridCol w:w="1800"/>
        <w:gridCol w:w="1895"/>
      </w:tblGrid>
      <w:tr w:rsidR="00B94CA4" w14:paraId="152C8771" w14:textId="77777777" w:rsidTr="00867725">
        <w:tc>
          <w:tcPr>
            <w:tcW w:w="2553" w:type="dxa"/>
            <w:tcBorders>
              <w:top w:val="single" w:sz="4" w:space="0" w:color="0F6E56"/>
              <w:left w:val="single" w:sz="4" w:space="0" w:color="0F6E56"/>
              <w:bottom w:val="single" w:sz="4" w:space="0" w:color="0F6E56"/>
              <w:right w:val="single" w:sz="4" w:space="0" w:color="0F6E56"/>
            </w:tcBorders>
            <w:shd w:val="clear" w:color="auto" w:fill="0F6E56"/>
            <w:tcMar>
              <w:top w:w="70" w:type="dxa"/>
              <w:left w:w="120" w:type="dxa"/>
              <w:bottom w:w="70" w:type="dxa"/>
              <w:right w:w="120" w:type="dxa"/>
            </w:tcMar>
          </w:tcPr>
          <w:p w14:paraId="59168C9C" w14:textId="77777777" w:rsidR="00B94CA4" w:rsidRDefault="00CD2FC7">
            <w:pPr>
              <w:spacing w:before="80" w:after="80"/>
            </w:pPr>
            <w:r>
              <w:rPr>
                <w:b/>
                <w:bCs/>
                <w:caps/>
                <w:color w:val="FFFFFF"/>
                <w:sz w:val="16"/>
                <w:szCs w:val="16"/>
              </w:rPr>
              <w:t>Audience</w:t>
            </w:r>
          </w:p>
        </w:tc>
        <w:tc>
          <w:tcPr>
            <w:tcW w:w="3112" w:type="dxa"/>
            <w:tcBorders>
              <w:top w:val="single" w:sz="4" w:space="0" w:color="0F6E56"/>
              <w:left w:val="single" w:sz="4" w:space="0" w:color="0F6E56"/>
              <w:bottom w:val="single" w:sz="4" w:space="0" w:color="0F6E56"/>
              <w:right w:val="single" w:sz="4" w:space="0" w:color="0F6E56"/>
            </w:tcBorders>
            <w:shd w:val="clear" w:color="auto" w:fill="0F6E56"/>
            <w:tcMar>
              <w:top w:w="70" w:type="dxa"/>
              <w:left w:w="120" w:type="dxa"/>
              <w:bottom w:w="70" w:type="dxa"/>
              <w:right w:w="120" w:type="dxa"/>
            </w:tcMar>
          </w:tcPr>
          <w:p w14:paraId="511D238C" w14:textId="77777777" w:rsidR="00B94CA4" w:rsidRDefault="00CD2FC7">
            <w:pPr>
              <w:spacing w:before="80" w:after="80"/>
            </w:pPr>
            <w:r>
              <w:rPr>
                <w:b/>
                <w:bCs/>
                <w:caps/>
                <w:color w:val="FFFFFF"/>
                <w:sz w:val="16"/>
                <w:szCs w:val="16"/>
              </w:rPr>
              <w:t>Content focus</w:t>
            </w:r>
          </w:p>
        </w:tc>
        <w:tc>
          <w:tcPr>
            <w:tcW w:w="1800" w:type="dxa"/>
            <w:tcBorders>
              <w:top w:val="single" w:sz="4" w:space="0" w:color="0F6E56"/>
              <w:left w:val="single" w:sz="4" w:space="0" w:color="0F6E56"/>
              <w:bottom w:val="single" w:sz="4" w:space="0" w:color="0F6E56"/>
              <w:right w:val="single" w:sz="4" w:space="0" w:color="0F6E56"/>
            </w:tcBorders>
            <w:shd w:val="clear" w:color="auto" w:fill="0F6E56"/>
            <w:tcMar>
              <w:top w:w="70" w:type="dxa"/>
              <w:left w:w="120" w:type="dxa"/>
              <w:bottom w:w="70" w:type="dxa"/>
              <w:right w:w="120" w:type="dxa"/>
            </w:tcMar>
          </w:tcPr>
          <w:p w14:paraId="65E99AC2" w14:textId="77777777" w:rsidR="00B94CA4" w:rsidRDefault="00CD2FC7">
            <w:pPr>
              <w:spacing w:before="80" w:after="80"/>
            </w:pPr>
            <w:r>
              <w:rPr>
                <w:b/>
                <w:bCs/>
                <w:caps/>
                <w:color w:val="FFFFFF"/>
                <w:sz w:val="16"/>
                <w:szCs w:val="16"/>
              </w:rPr>
              <w:t>Format</w:t>
            </w:r>
          </w:p>
        </w:tc>
        <w:tc>
          <w:tcPr>
            <w:tcW w:w="1895" w:type="dxa"/>
            <w:tcBorders>
              <w:top w:val="single" w:sz="4" w:space="0" w:color="0F6E56"/>
              <w:left w:val="single" w:sz="4" w:space="0" w:color="0F6E56"/>
              <w:bottom w:val="single" w:sz="4" w:space="0" w:color="0F6E56"/>
              <w:right w:val="single" w:sz="4" w:space="0" w:color="0F6E56"/>
            </w:tcBorders>
            <w:shd w:val="clear" w:color="auto" w:fill="0F6E56"/>
            <w:tcMar>
              <w:top w:w="70" w:type="dxa"/>
              <w:left w:w="120" w:type="dxa"/>
              <w:bottom w:w="70" w:type="dxa"/>
              <w:right w:w="120" w:type="dxa"/>
            </w:tcMar>
          </w:tcPr>
          <w:p w14:paraId="4DE2E9B4" w14:textId="77777777" w:rsidR="00B94CA4" w:rsidRDefault="00CD2FC7">
            <w:pPr>
              <w:spacing w:before="80" w:after="80"/>
            </w:pPr>
            <w:r>
              <w:rPr>
                <w:b/>
                <w:bCs/>
                <w:caps/>
                <w:color w:val="FFFFFF"/>
                <w:sz w:val="16"/>
                <w:szCs w:val="16"/>
              </w:rPr>
              <w:t>Timing</w:t>
            </w:r>
          </w:p>
        </w:tc>
      </w:tr>
      <w:tr w:rsidR="00B94CA4" w14:paraId="3C03A5C9" w14:textId="77777777" w:rsidTr="00867725">
        <w:tc>
          <w:tcPr>
            <w:tcW w:w="2553"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6854C6DA" w14:textId="08D18329" w:rsidR="00B94CA4" w:rsidRDefault="00CD2FC7">
            <w:pPr>
              <w:spacing w:before="80" w:after="80"/>
            </w:pPr>
            <w:r>
              <w:rPr>
                <w:b/>
                <w:bCs/>
                <w:color w:val="0F6E56"/>
                <w:sz w:val="18"/>
                <w:szCs w:val="18"/>
              </w:rPr>
              <w:t>Full project team (EF &amp; ILO)</w:t>
            </w:r>
            <w:r w:rsidR="00867725">
              <w:rPr>
                <w:b/>
                <w:bCs/>
                <w:color w:val="0F6E56"/>
                <w:sz w:val="18"/>
                <w:szCs w:val="18"/>
              </w:rPr>
              <w:t xml:space="preserve"> and PPD Steering Committee</w:t>
            </w:r>
          </w:p>
        </w:tc>
        <w:tc>
          <w:tcPr>
            <w:tcW w:w="3112"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175D7A01" w14:textId="41D00652" w:rsidR="00B94CA4" w:rsidRDefault="00867725" w:rsidP="00867725">
            <w:pPr>
              <w:spacing w:before="80" w:after="80"/>
              <w:jc w:val="both"/>
            </w:pPr>
            <w:proofErr w:type="spellStart"/>
            <w:r>
              <w:rPr>
                <w:color w:val="2C2C2A"/>
                <w:sz w:val="18"/>
                <w:szCs w:val="18"/>
              </w:rPr>
              <w:t>GoL</w:t>
            </w:r>
            <w:proofErr w:type="spellEnd"/>
            <w:r>
              <w:rPr>
                <w:color w:val="2C2C2A"/>
                <w:sz w:val="18"/>
                <w:szCs w:val="18"/>
              </w:rPr>
              <w:t xml:space="preserve"> Gender Mainstreaming Focus;</w:t>
            </w:r>
            <w:r w:rsidR="00CD2FC7">
              <w:rPr>
                <w:color w:val="2C2C2A"/>
                <w:sz w:val="18"/>
                <w:szCs w:val="18"/>
              </w:rPr>
              <w:t xml:space="preserve"> GAP III compliance; gender analysis methods; investment and enterprise gender lens; MEAL integration</w:t>
            </w:r>
          </w:p>
        </w:tc>
        <w:tc>
          <w:tcPr>
            <w:tcW w:w="180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781E45E9" w14:textId="77777777" w:rsidR="00B94CA4" w:rsidRDefault="00CD2FC7">
            <w:pPr>
              <w:spacing w:before="80" w:after="80"/>
            </w:pPr>
            <w:r>
              <w:rPr>
                <w:color w:val="2C2C2A"/>
                <w:sz w:val="18"/>
                <w:szCs w:val="18"/>
              </w:rPr>
              <w:t>3-day workshop + quarterly coaching sessions</w:t>
            </w:r>
          </w:p>
        </w:tc>
        <w:tc>
          <w:tcPr>
            <w:tcW w:w="1895"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3C6CFBC6" w14:textId="77777777" w:rsidR="00B94CA4" w:rsidRDefault="00CD2FC7">
            <w:pPr>
              <w:spacing w:before="80" w:after="80"/>
            </w:pPr>
            <w:r>
              <w:rPr>
                <w:color w:val="2C2C2A"/>
                <w:sz w:val="18"/>
                <w:szCs w:val="18"/>
              </w:rPr>
              <w:t>Month 1 of Phase 2</w:t>
            </w:r>
          </w:p>
        </w:tc>
      </w:tr>
      <w:tr w:rsidR="00B94CA4" w14:paraId="66D31FFC" w14:textId="77777777" w:rsidTr="00867725">
        <w:tc>
          <w:tcPr>
            <w:tcW w:w="2553"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72FBD51A" w14:textId="77777777" w:rsidR="00B94CA4" w:rsidRDefault="00CD2FC7">
            <w:pPr>
              <w:spacing w:before="80" w:after="80"/>
            </w:pPr>
            <w:r>
              <w:rPr>
                <w:b/>
                <w:bCs/>
                <w:color w:val="0F6E56"/>
                <w:sz w:val="18"/>
                <w:szCs w:val="18"/>
              </w:rPr>
              <w:t>Value chain coordinators and investment analysts</w:t>
            </w:r>
          </w:p>
        </w:tc>
        <w:tc>
          <w:tcPr>
            <w:tcW w:w="3112"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422B326B" w14:textId="77777777" w:rsidR="00B94CA4" w:rsidRDefault="00CD2FC7">
            <w:pPr>
              <w:spacing w:before="80" w:after="80"/>
            </w:pPr>
            <w:r>
              <w:rPr>
                <w:color w:val="2C2C2A"/>
                <w:sz w:val="18"/>
                <w:szCs w:val="18"/>
              </w:rPr>
              <w:t>Market-oriented gender analysis; business model gender assessment; unpaid care in unit economics; disaggregated field data collection</w:t>
            </w:r>
          </w:p>
        </w:tc>
        <w:tc>
          <w:tcPr>
            <w:tcW w:w="1800"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0E3A02F9" w14:textId="77777777" w:rsidR="00B94CA4" w:rsidRDefault="00CD2FC7">
            <w:pPr>
              <w:spacing w:before="80" w:after="80"/>
            </w:pPr>
            <w:r>
              <w:rPr>
                <w:color w:val="2C2C2A"/>
                <w:sz w:val="18"/>
                <w:szCs w:val="18"/>
              </w:rPr>
              <w:t>2-day technical workshop + field peer review</w:t>
            </w:r>
          </w:p>
        </w:tc>
        <w:tc>
          <w:tcPr>
            <w:tcW w:w="1895"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6290C499" w14:textId="77777777" w:rsidR="00B94CA4" w:rsidRDefault="00CD2FC7">
            <w:pPr>
              <w:spacing w:before="80" w:after="80"/>
            </w:pPr>
            <w:r>
              <w:rPr>
                <w:color w:val="2C2C2A"/>
                <w:sz w:val="18"/>
                <w:szCs w:val="18"/>
              </w:rPr>
              <w:t>Month 2</w:t>
            </w:r>
          </w:p>
        </w:tc>
      </w:tr>
      <w:tr w:rsidR="00B94CA4" w14:paraId="51A99255" w14:textId="77777777" w:rsidTr="00867725">
        <w:tc>
          <w:tcPr>
            <w:tcW w:w="2553"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4C7EF0CB" w14:textId="77777777" w:rsidR="00B94CA4" w:rsidRDefault="00CD2FC7">
            <w:pPr>
              <w:spacing w:before="80" w:after="80"/>
            </w:pPr>
            <w:r>
              <w:rPr>
                <w:b/>
                <w:bCs/>
                <w:color w:val="0F6E56"/>
                <w:sz w:val="18"/>
                <w:szCs w:val="18"/>
              </w:rPr>
              <w:t>Government counterparts (</w:t>
            </w:r>
            <w:proofErr w:type="spellStart"/>
            <w:r>
              <w:rPr>
                <w:b/>
                <w:bCs/>
                <w:color w:val="0F6E56"/>
                <w:sz w:val="18"/>
                <w:szCs w:val="18"/>
              </w:rPr>
              <w:t>MoGCS</w:t>
            </w:r>
            <w:proofErr w:type="spellEnd"/>
            <w:r>
              <w:rPr>
                <w:b/>
                <w:bCs/>
                <w:color w:val="0F6E56"/>
                <w:sz w:val="18"/>
                <w:szCs w:val="18"/>
              </w:rPr>
              <w:t xml:space="preserve">, </w:t>
            </w:r>
            <w:proofErr w:type="spellStart"/>
            <w:r>
              <w:rPr>
                <w:b/>
                <w:bCs/>
                <w:color w:val="0F6E56"/>
                <w:sz w:val="18"/>
                <w:szCs w:val="18"/>
              </w:rPr>
              <w:t>MoCI</w:t>
            </w:r>
            <w:proofErr w:type="spellEnd"/>
            <w:r>
              <w:rPr>
                <w:b/>
                <w:bCs/>
                <w:color w:val="0F6E56"/>
                <w:sz w:val="18"/>
                <w:szCs w:val="18"/>
              </w:rPr>
              <w:t xml:space="preserve">, </w:t>
            </w:r>
            <w:proofErr w:type="spellStart"/>
            <w:r>
              <w:rPr>
                <w:b/>
                <w:bCs/>
                <w:color w:val="0F6E56"/>
                <w:sz w:val="18"/>
                <w:szCs w:val="18"/>
              </w:rPr>
              <w:t>MoA</w:t>
            </w:r>
            <w:proofErr w:type="spellEnd"/>
            <w:r>
              <w:rPr>
                <w:b/>
                <w:bCs/>
                <w:color w:val="0F6E56"/>
                <w:sz w:val="18"/>
                <w:szCs w:val="18"/>
              </w:rPr>
              <w:t xml:space="preserve">, NCD, </w:t>
            </w:r>
            <w:proofErr w:type="spellStart"/>
            <w:r>
              <w:rPr>
                <w:b/>
                <w:bCs/>
                <w:color w:val="0F6E56"/>
                <w:sz w:val="18"/>
                <w:szCs w:val="18"/>
              </w:rPr>
              <w:t>MoL</w:t>
            </w:r>
            <w:proofErr w:type="spellEnd"/>
            <w:r>
              <w:rPr>
                <w:b/>
                <w:bCs/>
                <w:color w:val="0F6E56"/>
                <w:sz w:val="18"/>
                <w:szCs w:val="18"/>
              </w:rPr>
              <w:t xml:space="preserve">, </w:t>
            </w:r>
            <w:proofErr w:type="spellStart"/>
            <w:r>
              <w:rPr>
                <w:b/>
                <w:bCs/>
                <w:color w:val="0F6E56"/>
                <w:sz w:val="18"/>
                <w:szCs w:val="18"/>
              </w:rPr>
              <w:t>NaFAA</w:t>
            </w:r>
            <w:proofErr w:type="spellEnd"/>
            <w:r>
              <w:rPr>
                <w:b/>
                <w:bCs/>
                <w:color w:val="0F6E56"/>
                <w:sz w:val="18"/>
                <w:szCs w:val="18"/>
              </w:rPr>
              <w:t>)</w:t>
            </w:r>
          </w:p>
        </w:tc>
        <w:tc>
          <w:tcPr>
            <w:tcW w:w="3112"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3CE88B51" w14:textId="77777777" w:rsidR="00B94CA4" w:rsidRDefault="00CD2FC7">
            <w:pPr>
              <w:spacing w:before="80" w:after="80"/>
            </w:pPr>
            <w:r>
              <w:rPr>
                <w:color w:val="2C2C2A"/>
                <w:sz w:val="18"/>
                <w:szCs w:val="18"/>
              </w:rPr>
              <w:t>National Gender Policy operationalization; PPD inclusion standards; gender-responsive regulatory reform; gender budgeting</w:t>
            </w:r>
          </w:p>
        </w:tc>
        <w:tc>
          <w:tcPr>
            <w:tcW w:w="180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403567A9" w14:textId="77777777" w:rsidR="00B94CA4" w:rsidRDefault="00CD2FC7">
            <w:pPr>
              <w:spacing w:before="80" w:after="80"/>
            </w:pPr>
            <w:r>
              <w:rPr>
                <w:color w:val="2C2C2A"/>
                <w:sz w:val="18"/>
                <w:szCs w:val="18"/>
              </w:rPr>
              <w:t>2-day workshop, Monrovia</w:t>
            </w:r>
          </w:p>
        </w:tc>
        <w:tc>
          <w:tcPr>
            <w:tcW w:w="1895"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5BD691F0" w14:textId="77777777" w:rsidR="00B94CA4" w:rsidRDefault="00CD2FC7">
            <w:pPr>
              <w:spacing w:before="80" w:after="80"/>
            </w:pPr>
            <w:r>
              <w:rPr>
                <w:color w:val="2C2C2A"/>
                <w:sz w:val="18"/>
                <w:szCs w:val="18"/>
              </w:rPr>
              <w:t>Month 3 and Month 9</w:t>
            </w:r>
          </w:p>
        </w:tc>
      </w:tr>
      <w:tr w:rsidR="00B94CA4" w14:paraId="03D87901" w14:textId="77777777" w:rsidTr="00867725">
        <w:tc>
          <w:tcPr>
            <w:tcW w:w="2553"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715FA12A" w14:textId="77777777" w:rsidR="00B94CA4" w:rsidRDefault="00CD2FC7">
            <w:pPr>
              <w:spacing w:before="80" w:after="80"/>
            </w:pPr>
            <w:r>
              <w:rPr>
                <w:b/>
                <w:bCs/>
                <w:color w:val="0F6E56"/>
                <w:sz w:val="18"/>
                <w:szCs w:val="18"/>
              </w:rPr>
              <w:t>Private sector: processors, cooperatives, BSOs</w:t>
            </w:r>
          </w:p>
        </w:tc>
        <w:tc>
          <w:tcPr>
            <w:tcW w:w="3112"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7CB6C3BC" w14:textId="77777777" w:rsidR="00B94CA4" w:rsidRDefault="00CD2FC7">
            <w:pPr>
              <w:spacing w:before="80" w:after="80"/>
            </w:pPr>
            <w:r>
              <w:rPr>
                <w:color w:val="2C2C2A"/>
                <w:sz w:val="18"/>
                <w:szCs w:val="18"/>
              </w:rPr>
              <w:t>Inclusive hiring and promotion; gender pay equity; male engagement; disability accommodation; gender-responsive supply chain practices</w:t>
            </w:r>
          </w:p>
        </w:tc>
        <w:tc>
          <w:tcPr>
            <w:tcW w:w="1800"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0A8010B1" w14:textId="77777777" w:rsidR="00B94CA4" w:rsidRDefault="00CD2FC7">
            <w:pPr>
              <w:spacing w:before="80" w:after="80"/>
            </w:pPr>
            <w:r>
              <w:rPr>
                <w:color w:val="2C2C2A"/>
                <w:sz w:val="18"/>
                <w:szCs w:val="18"/>
              </w:rPr>
              <w:t>Half-day sector workshop × 3 value chains</w:t>
            </w:r>
          </w:p>
        </w:tc>
        <w:tc>
          <w:tcPr>
            <w:tcW w:w="1895"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6E0D007C" w14:textId="77777777" w:rsidR="00B94CA4" w:rsidRDefault="00CD2FC7">
            <w:pPr>
              <w:spacing w:before="80" w:after="80"/>
            </w:pPr>
            <w:r>
              <w:rPr>
                <w:color w:val="2C2C2A"/>
                <w:sz w:val="18"/>
                <w:szCs w:val="18"/>
              </w:rPr>
              <w:t>Month 4–6</w:t>
            </w:r>
          </w:p>
        </w:tc>
      </w:tr>
      <w:tr w:rsidR="00B94CA4" w14:paraId="1AA52823" w14:textId="77777777" w:rsidTr="00867725">
        <w:tc>
          <w:tcPr>
            <w:tcW w:w="2553"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22A6DAD4" w14:textId="77777777" w:rsidR="00B94CA4" w:rsidRDefault="00CD2FC7">
            <w:pPr>
              <w:spacing w:before="80" w:after="80"/>
            </w:pPr>
            <w:r>
              <w:rPr>
                <w:b/>
                <w:bCs/>
                <w:color w:val="0F6E56"/>
                <w:sz w:val="18"/>
                <w:szCs w:val="18"/>
              </w:rPr>
              <w:t>TVET providers and training institutions</w:t>
            </w:r>
          </w:p>
        </w:tc>
        <w:tc>
          <w:tcPr>
            <w:tcW w:w="3112"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7625CB15" w14:textId="77777777" w:rsidR="00B94CA4" w:rsidRDefault="00CD2FC7">
            <w:pPr>
              <w:spacing w:before="80" w:after="80"/>
            </w:pPr>
            <w:r>
              <w:rPr>
                <w:color w:val="2C2C2A"/>
                <w:sz w:val="18"/>
                <w:szCs w:val="18"/>
              </w:rPr>
              <w:t>Gender-responsive curriculum design; disability-accessible training infrastructure; RPL for women with informal experience</w:t>
            </w:r>
          </w:p>
        </w:tc>
        <w:tc>
          <w:tcPr>
            <w:tcW w:w="180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22ECDD31" w14:textId="77777777" w:rsidR="00B94CA4" w:rsidRDefault="00CD2FC7">
            <w:pPr>
              <w:spacing w:before="80" w:after="80"/>
            </w:pPr>
            <w:r>
              <w:rPr>
                <w:color w:val="2C2C2A"/>
                <w:sz w:val="18"/>
                <w:szCs w:val="18"/>
              </w:rPr>
              <w:t>1-day joint workshop with ILO</w:t>
            </w:r>
          </w:p>
        </w:tc>
        <w:tc>
          <w:tcPr>
            <w:tcW w:w="1895"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73EE5E50" w14:textId="77777777" w:rsidR="00B94CA4" w:rsidRDefault="00CD2FC7">
            <w:pPr>
              <w:spacing w:before="80" w:after="80"/>
            </w:pPr>
            <w:r>
              <w:rPr>
                <w:color w:val="2C2C2A"/>
                <w:sz w:val="18"/>
                <w:szCs w:val="18"/>
              </w:rPr>
              <w:t>Month 5</w:t>
            </w:r>
          </w:p>
        </w:tc>
      </w:tr>
      <w:tr w:rsidR="00B94CA4" w14:paraId="6C5287E0" w14:textId="77777777" w:rsidTr="00867725">
        <w:tc>
          <w:tcPr>
            <w:tcW w:w="2553"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4D0190F8" w14:textId="77777777" w:rsidR="00B94CA4" w:rsidRDefault="00CD2FC7">
            <w:pPr>
              <w:spacing w:before="80" w:after="80"/>
            </w:pPr>
            <w:r>
              <w:rPr>
                <w:b/>
                <w:bCs/>
                <w:color w:val="0F6E56"/>
                <w:sz w:val="18"/>
                <w:szCs w:val="18"/>
              </w:rPr>
              <w:t>Women's associations and OPDs</w:t>
            </w:r>
          </w:p>
        </w:tc>
        <w:tc>
          <w:tcPr>
            <w:tcW w:w="3112"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50235428" w14:textId="77777777" w:rsidR="00B94CA4" w:rsidRDefault="00CD2FC7">
            <w:pPr>
              <w:spacing w:before="80" w:after="80"/>
            </w:pPr>
            <w:r>
              <w:rPr>
                <w:color w:val="2C2C2A"/>
                <w:sz w:val="18"/>
                <w:szCs w:val="18"/>
              </w:rPr>
              <w:t>Rights-based enterprise development; PPD co-convener skills; advocacy documentation; market systems engagement</w:t>
            </w:r>
          </w:p>
        </w:tc>
        <w:tc>
          <w:tcPr>
            <w:tcW w:w="1800"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7660691B" w14:textId="77777777" w:rsidR="00B94CA4" w:rsidRDefault="00CD2FC7">
            <w:pPr>
              <w:spacing w:before="80" w:after="80"/>
            </w:pPr>
            <w:r>
              <w:rPr>
                <w:color w:val="2C2C2A"/>
                <w:sz w:val="18"/>
                <w:szCs w:val="18"/>
              </w:rPr>
              <w:t>2-day participatory training in project counties</w:t>
            </w:r>
          </w:p>
        </w:tc>
        <w:tc>
          <w:tcPr>
            <w:tcW w:w="1895"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6BAD2432" w14:textId="77777777" w:rsidR="00B94CA4" w:rsidRDefault="00CD2FC7">
            <w:pPr>
              <w:spacing w:before="80" w:after="80"/>
            </w:pPr>
            <w:r>
              <w:rPr>
                <w:color w:val="2C2C2A"/>
                <w:sz w:val="18"/>
                <w:szCs w:val="18"/>
              </w:rPr>
              <w:t>Month 3 and Month 9</w:t>
            </w:r>
          </w:p>
        </w:tc>
      </w:tr>
      <w:tr w:rsidR="00B94CA4" w14:paraId="152F0EB3" w14:textId="77777777" w:rsidTr="00867725">
        <w:tc>
          <w:tcPr>
            <w:tcW w:w="2553"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35338400" w14:textId="77777777" w:rsidR="00B94CA4" w:rsidRDefault="00CD2FC7">
            <w:pPr>
              <w:spacing w:before="80" w:after="80"/>
            </w:pPr>
            <w:r>
              <w:rPr>
                <w:b/>
                <w:bCs/>
                <w:color w:val="0F6E56"/>
                <w:sz w:val="18"/>
                <w:szCs w:val="18"/>
              </w:rPr>
              <w:t>Community and household level</w:t>
            </w:r>
          </w:p>
        </w:tc>
        <w:tc>
          <w:tcPr>
            <w:tcW w:w="3112"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145BD5EF" w14:textId="77777777" w:rsidR="00B94CA4" w:rsidRDefault="00CD2FC7">
            <w:pPr>
              <w:spacing w:before="80" w:after="80"/>
            </w:pPr>
            <w:r>
              <w:rPr>
                <w:color w:val="2C2C2A"/>
                <w:sz w:val="18"/>
                <w:szCs w:val="18"/>
              </w:rPr>
              <w:t>Male engagement; household income and decision-making; community sensitization on women's market participation rights</w:t>
            </w:r>
          </w:p>
        </w:tc>
        <w:tc>
          <w:tcPr>
            <w:tcW w:w="180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222AF4D0" w14:textId="77777777" w:rsidR="00B94CA4" w:rsidRDefault="00CD2FC7">
            <w:pPr>
              <w:spacing w:before="80" w:after="80"/>
            </w:pPr>
            <w:r>
              <w:rPr>
                <w:color w:val="2C2C2A"/>
                <w:sz w:val="18"/>
                <w:szCs w:val="18"/>
              </w:rPr>
              <w:t>Facilitated community dialogues per project county</w:t>
            </w:r>
          </w:p>
        </w:tc>
        <w:tc>
          <w:tcPr>
            <w:tcW w:w="1895"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64FE91DF" w14:textId="77777777" w:rsidR="00B94CA4" w:rsidRDefault="00CD2FC7">
            <w:pPr>
              <w:spacing w:before="80" w:after="80"/>
            </w:pPr>
            <w:r>
              <w:rPr>
                <w:color w:val="2C2C2A"/>
                <w:sz w:val="18"/>
                <w:szCs w:val="18"/>
              </w:rPr>
              <w:t>Month 4–7</w:t>
            </w:r>
          </w:p>
        </w:tc>
      </w:tr>
    </w:tbl>
    <w:p w14:paraId="4953B814" w14:textId="77777777" w:rsidR="00B94CA4" w:rsidRDefault="00B94CA4">
      <w:pPr>
        <w:spacing w:before="60"/>
      </w:pPr>
    </w:p>
    <w:p w14:paraId="2BC9A2F2" w14:textId="77777777" w:rsidR="00B94CA4" w:rsidRDefault="00CD2FC7">
      <w:pPr>
        <w:spacing w:before="180" w:after="70"/>
      </w:pPr>
      <w:r>
        <w:rPr>
          <w:b/>
          <w:bCs/>
          <w:color w:val="0F6E56"/>
        </w:rPr>
        <w:t>Task G.  Adaptive management and GAP revision</w:t>
      </w:r>
    </w:p>
    <w:p w14:paraId="1AA95390" w14:textId="77777777" w:rsidR="007878FC" w:rsidRDefault="007878FC">
      <w:pPr>
        <w:spacing w:before="60"/>
        <w:rPr>
          <w:color w:val="2C2C2A"/>
        </w:rPr>
      </w:pPr>
      <w:r w:rsidRPr="007878FC">
        <w:rPr>
          <w:color w:val="2C2C2A"/>
        </w:rPr>
        <w:t xml:space="preserve">Lead semi-annual GESI progress reviews and the December 2026 and subsequent annual GAP revision processes. Each review will: assess indicator progress against targets; document operational lessons on what is and is not working; propose specific adaptations to GAP activities; and update inclusion targets based on enterprise and sector-level evidence. </w:t>
      </w:r>
    </w:p>
    <w:p w14:paraId="5F1A5CBC" w14:textId="0400AEC3" w:rsidR="00B94CA4" w:rsidRDefault="007878FC">
      <w:pPr>
        <w:spacing w:before="60"/>
        <w:rPr>
          <w:color w:val="2C2C2A"/>
        </w:rPr>
      </w:pPr>
      <w:r w:rsidRPr="007878FC">
        <w:rPr>
          <w:color w:val="2C2C2A"/>
        </w:rPr>
        <w:t xml:space="preserve">The reviews will also need to take into account the inception work completed by the consortium partners in the cassava and wood processing sectors, in order to update and consolidate the GAP into a coherent and operational framework across all project components. The semi-annual reports will be timed to Steering Committee meetings for direct use in </w:t>
      </w:r>
      <w:proofErr w:type="spellStart"/>
      <w:r w:rsidRPr="007878FC">
        <w:rPr>
          <w:color w:val="2C2C2A"/>
        </w:rPr>
        <w:t>programme</w:t>
      </w:r>
      <w:proofErr w:type="spellEnd"/>
      <w:r w:rsidRPr="007878FC">
        <w:rPr>
          <w:color w:val="2C2C2A"/>
        </w:rPr>
        <w:t xml:space="preserve"> management decision-making.</w:t>
      </w:r>
    </w:p>
    <w:p w14:paraId="293D2F0E" w14:textId="77777777" w:rsidR="007878FC" w:rsidRDefault="007878FC">
      <w:pPr>
        <w:spacing w:before="60"/>
      </w:pPr>
    </w:p>
    <w:p w14:paraId="116492CF" w14:textId="77777777" w:rsidR="00B94CA4" w:rsidRDefault="00CD2FC7">
      <w:pPr>
        <w:spacing w:before="180" w:after="70"/>
      </w:pPr>
      <w:r>
        <w:rPr>
          <w:b/>
          <w:bCs/>
          <w:color w:val="0F6E56"/>
        </w:rPr>
        <w:lastRenderedPageBreak/>
        <w:t>Task H.  Synergies and coordination</w:t>
      </w:r>
    </w:p>
    <w:p w14:paraId="5A60C200" w14:textId="77777777" w:rsidR="00B94CA4" w:rsidRDefault="00CD2FC7">
      <w:pPr>
        <w:spacing w:before="70" w:after="70"/>
      </w:pPr>
      <w:r>
        <w:rPr>
          <w:color w:val="2C2C2A"/>
        </w:rPr>
        <w:t>Map and actively maintain coordination with complementary gender and inclusion initiatives operating in Liberia. Coordination means scheduled joint planning sessions, shared data, and co-designed activities — not one-way information-sharing. Priority coordination partners:</w:t>
      </w:r>
    </w:p>
    <w:p w14:paraId="4CFF59AF" w14:textId="77777777" w:rsidR="00B94CA4" w:rsidRDefault="00CD2FC7">
      <w:pPr>
        <w:pStyle w:val="Paragraphedeliste"/>
        <w:numPr>
          <w:ilvl w:val="0"/>
          <w:numId w:val="2"/>
        </w:numPr>
        <w:spacing w:before="50" w:after="50"/>
      </w:pPr>
      <w:r>
        <w:rPr>
          <w:color w:val="2C2C2A"/>
        </w:rPr>
        <w:t xml:space="preserve">EU Spotlight Initiative — Liberia country </w:t>
      </w:r>
      <w:proofErr w:type="spellStart"/>
      <w:r>
        <w:rPr>
          <w:color w:val="2C2C2A"/>
        </w:rPr>
        <w:t>programme</w:t>
      </w:r>
      <w:proofErr w:type="spellEnd"/>
      <w:r>
        <w:rPr>
          <w:color w:val="2C2C2A"/>
        </w:rPr>
        <w:t>;</w:t>
      </w:r>
    </w:p>
    <w:p w14:paraId="7B2066B0" w14:textId="77777777" w:rsidR="00B94CA4" w:rsidRDefault="00CD2FC7">
      <w:pPr>
        <w:pStyle w:val="Paragraphedeliste"/>
        <w:numPr>
          <w:ilvl w:val="0"/>
          <w:numId w:val="2"/>
        </w:numPr>
        <w:spacing w:before="50" w:after="50"/>
      </w:pPr>
      <w:r>
        <w:rPr>
          <w:color w:val="2C2C2A"/>
        </w:rPr>
        <w:t>TVET Youth Rising — curriculum and apprenticeship coordination;</w:t>
      </w:r>
    </w:p>
    <w:p w14:paraId="25105F28" w14:textId="77777777" w:rsidR="00B94CA4" w:rsidRDefault="00CD2FC7">
      <w:pPr>
        <w:pStyle w:val="Paragraphedeliste"/>
        <w:numPr>
          <w:ilvl w:val="0"/>
          <w:numId w:val="2"/>
        </w:numPr>
        <w:spacing w:before="50" w:after="50"/>
      </w:pPr>
      <w:r>
        <w:rPr>
          <w:color w:val="2C2C2A"/>
        </w:rPr>
        <w:t xml:space="preserve">ILO gender and </w:t>
      </w:r>
      <w:proofErr w:type="spellStart"/>
      <w:r>
        <w:rPr>
          <w:color w:val="2C2C2A"/>
        </w:rPr>
        <w:t>labour</w:t>
      </w:r>
      <w:proofErr w:type="spellEnd"/>
      <w:r>
        <w:rPr>
          <w:color w:val="2C2C2A"/>
        </w:rPr>
        <w:t xml:space="preserve"> rights </w:t>
      </w:r>
      <w:proofErr w:type="spellStart"/>
      <w:r>
        <w:rPr>
          <w:color w:val="2C2C2A"/>
        </w:rPr>
        <w:t>programmes</w:t>
      </w:r>
      <w:proofErr w:type="spellEnd"/>
      <w:r>
        <w:rPr>
          <w:color w:val="2C2C2A"/>
        </w:rPr>
        <w:t xml:space="preserve"> — decent work standards and GBV prevention;</w:t>
      </w:r>
    </w:p>
    <w:p w14:paraId="001F46B2" w14:textId="77777777" w:rsidR="00B94CA4" w:rsidRDefault="00CD2FC7">
      <w:pPr>
        <w:pStyle w:val="Paragraphedeliste"/>
        <w:numPr>
          <w:ilvl w:val="0"/>
          <w:numId w:val="2"/>
        </w:numPr>
        <w:spacing w:before="50" w:after="50"/>
      </w:pPr>
      <w:r>
        <w:rPr>
          <w:color w:val="2C2C2A"/>
        </w:rPr>
        <w:t>UNDP gender and livelihoods programming — enterprise development models;</w:t>
      </w:r>
    </w:p>
    <w:p w14:paraId="4AE7C0E1" w14:textId="77777777" w:rsidR="00B94CA4" w:rsidRDefault="00CD2FC7">
      <w:pPr>
        <w:pStyle w:val="Paragraphedeliste"/>
        <w:numPr>
          <w:ilvl w:val="0"/>
          <w:numId w:val="2"/>
        </w:numPr>
        <w:spacing w:before="50" w:after="50"/>
      </w:pPr>
      <w:proofErr w:type="spellStart"/>
      <w:r>
        <w:rPr>
          <w:color w:val="2C2C2A"/>
        </w:rPr>
        <w:t>MoGCS</w:t>
      </w:r>
      <w:proofErr w:type="spellEnd"/>
      <w:r>
        <w:rPr>
          <w:color w:val="2C2C2A"/>
        </w:rPr>
        <w:t xml:space="preserve"> and </w:t>
      </w:r>
      <w:proofErr w:type="spellStart"/>
      <w:r>
        <w:rPr>
          <w:color w:val="2C2C2A"/>
        </w:rPr>
        <w:t>MoA</w:t>
      </w:r>
      <w:proofErr w:type="spellEnd"/>
      <w:r>
        <w:rPr>
          <w:color w:val="2C2C2A"/>
        </w:rPr>
        <w:t xml:space="preserve"> gender units — national gender policy implementation;</w:t>
      </w:r>
    </w:p>
    <w:p w14:paraId="37DF43A5" w14:textId="5CA210A2" w:rsidR="00B94CA4" w:rsidRPr="008467CF" w:rsidRDefault="008467CF">
      <w:pPr>
        <w:pStyle w:val="Paragraphedeliste"/>
        <w:numPr>
          <w:ilvl w:val="0"/>
          <w:numId w:val="2"/>
        </w:numPr>
        <w:spacing w:before="50" w:after="50"/>
        <w:rPr>
          <w:lang w:val="fr-FR"/>
        </w:rPr>
      </w:pPr>
      <w:r w:rsidRPr="008467CF">
        <w:rPr>
          <w:color w:val="2C2C2A"/>
          <w:lang w:val="fr-FR"/>
        </w:rPr>
        <w:t xml:space="preserve">P2P Initiative </w:t>
      </w:r>
      <w:r w:rsidR="00CD2FC7" w:rsidRPr="008467CF">
        <w:rPr>
          <w:color w:val="2C2C2A"/>
          <w:lang w:val="fr-FR"/>
        </w:rPr>
        <w:t>— EU Team Europe Initiative synergies.</w:t>
      </w:r>
    </w:p>
    <w:p w14:paraId="0B32D2E2" w14:textId="77777777" w:rsidR="00B94CA4" w:rsidRPr="008467CF" w:rsidRDefault="00B94CA4">
      <w:pPr>
        <w:spacing w:before="200"/>
        <w:rPr>
          <w:lang w:val="fr-FR"/>
        </w:rPr>
      </w:pPr>
    </w:p>
    <w:p w14:paraId="37D0D595" w14:textId="77777777" w:rsidR="00B94CA4" w:rsidRPr="008467CF" w:rsidRDefault="00CD2FC7">
      <w:pPr>
        <w:rPr>
          <w:lang w:val="fr-FR"/>
        </w:rPr>
      </w:pPr>
      <w:r w:rsidRPr="008467CF">
        <w:rPr>
          <w:lang w:val="fr-FR"/>
        </w:rPr>
        <w:br w:type="page"/>
      </w:r>
    </w:p>
    <w:p w14:paraId="619E98C8" w14:textId="77777777" w:rsidR="00B94CA4" w:rsidRDefault="00CD2FC7">
      <w:pPr>
        <w:pBdr>
          <w:bottom w:val="single" w:sz="6" w:space="1" w:color="2E75B6"/>
        </w:pBdr>
        <w:spacing w:before="280" w:after="100"/>
      </w:pPr>
      <w:r>
        <w:rPr>
          <w:b/>
          <w:bCs/>
          <w:color w:val="1F3864"/>
          <w:sz w:val="22"/>
          <w:szCs w:val="22"/>
        </w:rPr>
        <w:lastRenderedPageBreak/>
        <w:t>V.  Deliverables</w:t>
      </w:r>
    </w:p>
    <w:p w14:paraId="1C5820D4" w14:textId="77777777" w:rsidR="00B94CA4" w:rsidRDefault="00CD2FC7">
      <w:pPr>
        <w:spacing w:before="70" w:after="70"/>
      </w:pPr>
      <w:r>
        <w:rPr>
          <w:color w:val="2C2C2A"/>
        </w:rPr>
        <w:t>All deliverables will be submitted in Microsoft Word and PDF formats. Documents must be free of tracked changes and comments before submission. PowerPoint presentations must be professional quality, audience-appropriate, and designed for direct use by the stated audience without consultant facilitation.</w:t>
      </w:r>
    </w:p>
    <w:p w14:paraId="7BF01544" w14:textId="77777777" w:rsidR="00B94CA4" w:rsidRDefault="00B94CA4">
      <w:pPr>
        <w:spacing w:before="80"/>
      </w:pPr>
    </w:p>
    <w:p w14:paraId="446CD102" w14:textId="77777777" w:rsidR="00B94CA4" w:rsidRDefault="00CD2FC7">
      <w:pPr>
        <w:spacing w:before="180" w:after="70"/>
      </w:pPr>
      <w:r>
        <w:rPr>
          <w:b/>
          <w:bCs/>
          <w:color w:val="0F6E56"/>
        </w:rPr>
        <w:t>Phase 1 deliverables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0"/>
        <w:gridCol w:w="1971"/>
        <w:gridCol w:w="4176"/>
        <w:gridCol w:w="1652"/>
        <w:gridCol w:w="1701"/>
      </w:tblGrid>
      <w:tr w:rsidR="00B94CA4" w14:paraId="35F548F5" w14:textId="77777777" w:rsidTr="008467CF">
        <w:tc>
          <w:tcPr>
            <w:tcW w:w="560" w:type="dxa"/>
            <w:tcBorders>
              <w:top w:val="single" w:sz="4" w:space="0" w:color="0F6E56"/>
              <w:left w:val="single" w:sz="4" w:space="0" w:color="0F6E56"/>
              <w:bottom w:val="single" w:sz="4" w:space="0" w:color="0F6E56"/>
              <w:right w:val="single" w:sz="4" w:space="0" w:color="0F6E56"/>
            </w:tcBorders>
            <w:shd w:val="clear" w:color="auto" w:fill="0F6E56"/>
            <w:tcMar>
              <w:top w:w="70" w:type="dxa"/>
              <w:left w:w="120" w:type="dxa"/>
              <w:bottom w:w="70" w:type="dxa"/>
              <w:right w:w="120" w:type="dxa"/>
            </w:tcMar>
          </w:tcPr>
          <w:p w14:paraId="1D9B0495" w14:textId="77777777" w:rsidR="00B94CA4" w:rsidRDefault="00CD2FC7">
            <w:pPr>
              <w:spacing w:before="80" w:after="80"/>
            </w:pPr>
            <w:r>
              <w:rPr>
                <w:b/>
                <w:bCs/>
                <w:caps/>
                <w:color w:val="FFFFFF"/>
                <w:sz w:val="16"/>
                <w:szCs w:val="16"/>
              </w:rPr>
              <w:t>Ref</w:t>
            </w:r>
          </w:p>
        </w:tc>
        <w:tc>
          <w:tcPr>
            <w:tcW w:w="1971" w:type="dxa"/>
            <w:tcBorders>
              <w:top w:val="single" w:sz="4" w:space="0" w:color="0F6E56"/>
              <w:left w:val="single" w:sz="4" w:space="0" w:color="0F6E56"/>
              <w:bottom w:val="single" w:sz="4" w:space="0" w:color="0F6E56"/>
              <w:right w:val="single" w:sz="4" w:space="0" w:color="0F6E56"/>
            </w:tcBorders>
            <w:shd w:val="clear" w:color="auto" w:fill="0F6E56"/>
            <w:tcMar>
              <w:top w:w="70" w:type="dxa"/>
              <w:left w:w="120" w:type="dxa"/>
              <w:bottom w:w="70" w:type="dxa"/>
              <w:right w:w="120" w:type="dxa"/>
            </w:tcMar>
          </w:tcPr>
          <w:p w14:paraId="5F0B8D36" w14:textId="77777777" w:rsidR="00B94CA4" w:rsidRDefault="00CD2FC7">
            <w:pPr>
              <w:spacing w:before="80" w:after="80"/>
            </w:pPr>
            <w:r>
              <w:rPr>
                <w:b/>
                <w:bCs/>
                <w:caps/>
                <w:color w:val="FFFFFF"/>
                <w:sz w:val="16"/>
                <w:szCs w:val="16"/>
              </w:rPr>
              <w:t>Deliverable</w:t>
            </w:r>
          </w:p>
        </w:tc>
        <w:tc>
          <w:tcPr>
            <w:tcW w:w="4176" w:type="dxa"/>
            <w:tcBorders>
              <w:top w:val="single" w:sz="4" w:space="0" w:color="0F6E56"/>
              <w:left w:val="single" w:sz="4" w:space="0" w:color="0F6E56"/>
              <w:bottom w:val="single" w:sz="4" w:space="0" w:color="0F6E56"/>
              <w:right w:val="single" w:sz="4" w:space="0" w:color="0F6E56"/>
            </w:tcBorders>
            <w:shd w:val="clear" w:color="auto" w:fill="0F6E56"/>
            <w:tcMar>
              <w:top w:w="70" w:type="dxa"/>
              <w:left w:w="120" w:type="dxa"/>
              <w:bottom w:w="70" w:type="dxa"/>
              <w:right w:w="120" w:type="dxa"/>
            </w:tcMar>
          </w:tcPr>
          <w:p w14:paraId="59353C96" w14:textId="77777777" w:rsidR="00B94CA4" w:rsidRDefault="00CD2FC7">
            <w:pPr>
              <w:spacing w:before="80" w:after="80"/>
            </w:pPr>
            <w:r>
              <w:rPr>
                <w:b/>
                <w:bCs/>
                <w:caps/>
                <w:color w:val="FFFFFF"/>
                <w:sz w:val="16"/>
                <w:szCs w:val="16"/>
              </w:rPr>
              <w:t>Content — what it must contain</w:t>
            </w:r>
          </w:p>
        </w:tc>
        <w:tc>
          <w:tcPr>
            <w:tcW w:w="1652" w:type="dxa"/>
            <w:tcBorders>
              <w:top w:val="single" w:sz="4" w:space="0" w:color="0F6E56"/>
              <w:left w:val="single" w:sz="4" w:space="0" w:color="0F6E56"/>
              <w:bottom w:val="single" w:sz="4" w:space="0" w:color="0F6E56"/>
              <w:right w:val="single" w:sz="4" w:space="0" w:color="0F6E56"/>
            </w:tcBorders>
            <w:shd w:val="clear" w:color="auto" w:fill="0F6E56"/>
            <w:tcMar>
              <w:top w:w="70" w:type="dxa"/>
              <w:left w:w="120" w:type="dxa"/>
              <w:bottom w:w="70" w:type="dxa"/>
              <w:right w:w="120" w:type="dxa"/>
            </w:tcMar>
          </w:tcPr>
          <w:p w14:paraId="6A623CE0" w14:textId="3BEA0CAE" w:rsidR="00B94CA4" w:rsidRDefault="00CD2FC7">
            <w:pPr>
              <w:spacing w:before="80" w:after="80"/>
            </w:pPr>
            <w:r>
              <w:rPr>
                <w:b/>
                <w:bCs/>
                <w:caps/>
                <w:color w:val="FFFFFF"/>
                <w:sz w:val="16"/>
                <w:szCs w:val="16"/>
              </w:rPr>
              <w:t>Format</w:t>
            </w:r>
            <w:r w:rsidR="008467CF">
              <w:rPr>
                <w:b/>
                <w:bCs/>
                <w:caps/>
                <w:color w:val="FFFFFF"/>
                <w:sz w:val="16"/>
                <w:szCs w:val="16"/>
              </w:rPr>
              <w:t>*</w:t>
            </w:r>
          </w:p>
        </w:tc>
        <w:tc>
          <w:tcPr>
            <w:tcW w:w="1701" w:type="dxa"/>
            <w:tcBorders>
              <w:top w:val="single" w:sz="4" w:space="0" w:color="0F6E56"/>
              <w:left w:val="single" w:sz="4" w:space="0" w:color="0F6E56"/>
              <w:bottom w:val="single" w:sz="4" w:space="0" w:color="0F6E56"/>
              <w:right w:val="single" w:sz="4" w:space="0" w:color="0F6E56"/>
            </w:tcBorders>
            <w:shd w:val="clear" w:color="auto" w:fill="0F6E56"/>
            <w:tcMar>
              <w:top w:w="70" w:type="dxa"/>
              <w:left w:w="120" w:type="dxa"/>
              <w:bottom w:w="70" w:type="dxa"/>
              <w:right w:w="120" w:type="dxa"/>
            </w:tcMar>
          </w:tcPr>
          <w:p w14:paraId="55C65D47" w14:textId="77777777" w:rsidR="00B94CA4" w:rsidRDefault="00CD2FC7">
            <w:pPr>
              <w:spacing w:before="80" w:after="80"/>
            </w:pPr>
            <w:r>
              <w:rPr>
                <w:b/>
                <w:bCs/>
                <w:caps/>
                <w:color w:val="FFFFFF"/>
                <w:sz w:val="16"/>
                <w:szCs w:val="16"/>
              </w:rPr>
              <w:t>Due</w:t>
            </w:r>
          </w:p>
        </w:tc>
      </w:tr>
      <w:tr w:rsidR="00B94CA4" w14:paraId="5A1E3CE5" w14:textId="77777777" w:rsidTr="008467CF">
        <w:tc>
          <w:tcPr>
            <w:tcW w:w="56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1DFCA284" w14:textId="77777777" w:rsidR="00B94CA4" w:rsidRDefault="00CD2FC7">
            <w:pPr>
              <w:spacing w:before="80" w:after="80"/>
            </w:pPr>
            <w:r>
              <w:rPr>
                <w:b/>
                <w:bCs/>
                <w:color w:val="0F6E56"/>
                <w:sz w:val="18"/>
                <w:szCs w:val="18"/>
              </w:rPr>
              <w:t>D1</w:t>
            </w:r>
          </w:p>
        </w:tc>
        <w:tc>
          <w:tcPr>
            <w:tcW w:w="1971"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7FF36EAD" w14:textId="77777777" w:rsidR="00B94CA4" w:rsidRDefault="00CD2FC7">
            <w:pPr>
              <w:spacing w:before="80" w:after="80"/>
            </w:pPr>
            <w:r>
              <w:rPr>
                <w:color w:val="2C2C2A"/>
                <w:sz w:val="18"/>
                <w:szCs w:val="18"/>
              </w:rPr>
              <w:t xml:space="preserve">Inception Report and </w:t>
            </w:r>
            <w:proofErr w:type="spellStart"/>
            <w:r>
              <w:rPr>
                <w:color w:val="2C2C2A"/>
                <w:sz w:val="18"/>
                <w:szCs w:val="18"/>
              </w:rPr>
              <w:t>Workplan</w:t>
            </w:r>
            <w:proofErr w:type="spellEnd"/>
            <w:r>
              <w:rPr>
                <w:color w:val="2C2C2A"/>
                <w:sz w:val="18"/>
                <w:szCs w:val="18"/>
              </w:rPr>
              <w:t xml:space="preserve"> (max. 15 pages)</w:t>
            </w:r>
          </w:p>
        </w:tc>
        <w:tc>
          <w:tcPr>
            <w:tcW w:w="4176"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38E9E30D" w14:textId="77777777" w:rsidR="00B94CA4" w:rsidRDefault="00CD2FC7">
            <w:pPr>
              <w:spacing w:before="80" w:after="80"/>
            </w:pPr>
            <w:r>
              <w:rPr>
                <w:color w:val="2C2C2A"/>
                <w:sz w:val="18"/>
                <w:szCs w:val="18"/>
              </w:rPr>
              <w:t xml:space="preserve">Analytical framework; STAR-P and prior </w:t>
            </w:r>
            <w:proofErr w:type="spellStart"/>
            <w:r>
              <w:rPr>
                <w:color w:val="2C2C2A"/>
                <w:sz w:val="18"/>
                <w:szCs w:val="18"/>
              </w:rPr>
              <w:t>programme</w:t>
            </w:r>
            <w:proofErr w:type="spellEnd"/>
            <w:r>
              <w:rPr>
                <w:color w:val="2C2C2A"/>
                <w:sz w:val="18"/>
                <w:szCs w:val="18"/>
              </w:rPr>
              <w:t xml:space="preserve"> integration strategy; methodology for Tasks B–D; phased field mission plan; stakeholder engagement plan; timeline for all deliverables. PM approval required before fieldwork.</w:t>
            </w:r>
          </w:p>
        </w:tc>
        <w:tc>
          <w:tcPr>
            <w:tcW w:w="1652"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7FB83B77" w14:textId="77777777" w:rsidR="00B94CA4" w:rsidRDefault="00CD2FC7">
            <w:pPr>
              <w:spacing w:before="80" w:after="80"/>
            </w:pPr>
            <w:r>
              <w:rPr>
                <w:color w:val="2C2C2A"/>
                <w:sz w:val="18"/>
                <w:szCs w:val="18"/>
              </w:rPr>
              <w:t>Word + PDF</w:t>
            </w:r>
          </w:p>
        </w:tc>
        <w:tc>
          <w:tcPr>
            <w:tcW w:w="1701"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59CE4AF3" w14:textId="77777777" w:rsidR="00B94CA4" w:rsidRDefault="00CD2FC7">
            <w:pPr>
              <w:spacing w:before="80" w:after="80"/>
            </w:pPr>
            <w:r>
              <w:rPr>
                <w:color w:val="2C2C2A"/>
                <w:sz w:val="18"/>
                <w:szCs w:val="18"/>
              </w:rPr>
              <w:t>Week 2 of May 2026</w:t>
            </w:r>
          </w:p>
        </w:tc>
      </w:tr>
      <w:tr w:rsidR="00B94CA4" w14:paraId="55F75021" w14:textId="77777777" w:rsidTr="008467CF">
        <w:tc>
          <w:tcPr>
            <w:tcW w:w="560"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5512F741" w14:textId="77777777" w:rsidR="00B94CA4" w:rsidRDefault="00CD2FC7">
            <w:pPr>
              <w:spacing w:before="80" w:after="80"/>
            </w:pPr>
            <w:r>
              <w:rPr>
                <w:b/>
                <w:bCs/>
                <w:color w:val="0F6E56"/>
                <w:sz w:val="18"/>
                <w:szCs w:val="18"/>
              </w:rPr>
              <w:t>D2</w:t>
            </w:r>
          </w:p>
        </w:tc>
        <w:tc>
          <w:tcPr>
            <w:tcW w:w="1971"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53A45F30" w14:textId="77777777" w:rsidR="00B94CA4" w:rsidRDefault="00CD2FC7">
            <w:pPr>
              <w:spacing w:before="80" w:after="80"/>
            </w:pPr>
            <w:r>
              <w:rPr>
                <w:color w:val="2C2C2A"/>
                <w:sz w:val="18"/>
                <w:szCs w:val="18"/>
              </w:rPr>
              <w:t>Stakeholder Map and Lessons-Learned Report (max. 20 pages + annexes)</w:t>
            </w:r>
          </w:p>
        </w:tc>
        <w:tc>
          <w:tcPr>
            <w:tcW w:w="4176"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63E4A7D3" w14:textId="77777777" w:rsidR="00B94CA4" w:rsidRDefault="00CD2FC7">
            <w:pPr>
              <w:spacing w:before="80" w:after="80"/>
            </w:pPr>
            <w:r>
              <w:rPr>
                <w:color w:val="2C2C2A"/>
                <w:sz w:val="18"/>
                <w:szCs w:val="18"/>
              </w:rPr>
              <w:t xml:space="preserve">Full actor map with per-institution gender capacity assessment; gap and overlap matrix; partnership recommendations; operational lessons from CASTRAP, RETRAP, STAR-P, and complementary </w:t>
            </w:r>
            <w:proofErr w:type="spellStart"/>
            <w:r>
              <w:rPr>
                <w:color w:val="2C2C2A"/>
                <w:sz w:val="18"/>
                <w:szCs w:val="18"/>
              </w:rPr>
              <w:t>programmes</w:t>
            </w:r>
            <w:proofErr w:type="spellEnd"/>
            <w:r>
              <w:rPr>
                <w:color w:val="2C2C2A"/>
                <w:sz w:val="18"/>
                <w:szCs w:val="18"/>
              </w:rPr>
              <w:t>.</w:t>
            </w:r>
          </w:p>
        </w:tc>
        <w:tc>
          <w:tcPr>
            <w:tcW w:w="1652"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56073F5D" w14:textId="77777777" w:rsidR="00B94CA4" w:rsidRDefault="00CD2FC7">
            <w:pPr>
              <w:spacing w:before="80" w:after="80"/>
            </w:pPr>
            <w:r>
              <w:rPr>
                <w:color w:val="2C2C2A"/>
                <w:sz w:val="18"/>
                <w:szCs w:val="18"/>
              </w:rPr>
              <w:t>Word + PDF + 10-slide PPT</w:t>
            </w:r>
          </w:p>
        </w:tc>
        <w:tc>
          <w:tcPr>
            <w:tcW w:w="1701"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6F16BA55" w14:textId="77777777" w:rsidR="00B94CA4" w:rsidRDefault="00CD2FC7">
            <w:pPr>
              <w:spacing w:before="80" w:after="80"/>
            </w:pPr>
            <w:r>
              <w:rPr>
                <w:color w:val="2C2C2A"/>
                <w:sz w:val="18"/>
                <w:szCs w:val="18"/>
              </w:rPr>
              <w:t>End of May 2026</w:t>
            </w:r>
          </w:p>
        </w:tc>
      </w:tr>
      <w:tr w:rsidR="00B94CA4" w14:paraId="56ACA1DE" w14:textId="77777777" w:rsidTr="008467CF">
        <w:tc>
          <w:tcPr>
            <w:tcW w:w="56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0BC9E892" w14:textId="77777777" w:rsidR="00B94CA4" w:rsidRDefault="00CD2FC7">
            <w:pPr>
              <w:spacing w:before="80" w:after="80"/>
            </w:pPr>
            <w:r>
              <w:rPr>
                <w:b/>
                <w:bCs/>
                <w:color w:val="0F6E56"/>
                <w:sz w:val="18"/>
                <w:szCs w:val="18"/>
              </w:rPr>
              <w:t>D3</w:t>
            </w:r>
          </w:p>
        </w:tc>
        <w:tc>
          <w:tcPr>
            <w:tcW w:w="1971"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5BEBCFB3" w14:textId="77777777" w:rsidR="00B94CA4" w:rsidRDefault="00CD2FC7">
            <w:pPr>
              <w:spacing w:before="80" w:after="80"/>
            </w:pPr>
            <w:r>
              <w:rPr>
                <w:color w:val="2C2C2A"/>
                <w:sz w:val="18"/>
                <w:szCs w:val="18"/>
              </w:rPr>
              <w:t>Gender and Social Inclusion Assessment and Baseline Report (max. 40 pages + annexes)</w:t>
            </w:r>
          </w:p>
        </w:tc>
        <w:tc>
          <w:tcPr>
            <w:tcW w:w="4176"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008BFBBE" w14:textId="77777777" w:rsidR="00B94CA4" w:rsidRDefault="00CD2FC7">
            <w:pPr>
              <w:spacing w:before="80" w:after="80"/>
            </w:pPr>
            <w:r>
              <w:rPr>
                <w:color w:val="2C2C2A"/>
                <w:sz w:val="18"/>
                <w:szCs w:val="18"/>
              </w:rPr>
              <w:t>Primary-data assessment across cassava and wood value chains; disaggregated baseline by sex, age, and disability; market opportunity identification per value chain and gender group; institutional capacity per key partner; male engagement landscape; PWD participation assessment.</w:t>
            </w:r>
          </w:p>
        </w:tc>
        <w:tc>
          <w:tcPr>
            <w:tcW w:w="1652"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15456937" w14:textId="77777777" w:rsidR="00B94CA4" w:rsidRDefault="00CD2FC7">
            <w:pPr>
              <w:spacing w:before="80" w:after="80"/>
            </w:pPr>
            <w:r>
              <w:rPr>
                <w:color w:val="2C2C2A"/>
                <w:sz w:val="18"/>
                <w:szCs w:val="18"/>
              </w:rPr>
              <w:t>Word + PDF + 15-slide PPT</w:t>
            </w:r>
          </w:p>
        </w:tc>
        <w:tc>
          <w:tcPr>
            <w:tcW w:w="1701"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22E21782" w14:textId="77777777" w:rsidR="00B94CA4" w:rsidRDefault="00CD2FC7">
            <w:pPr>
              <w:spacing w:before="80" w:after="80"/>
            </w:pPr>
            <w:r>
              <w:rPr>
                <w:color w:val="2C2C2A"/>
                <w:sz w:val="18"/>
                <w:szCs w:val="18"/>
              </w:rPr>
              <w:t>End of June 2026</w:t>
            </w:r>
          </w:p>
        </w:tc>
      </w:tr>
      <w:tr w:rsidR="00B94CA4" w14:paraId="4C4DA236" w14:textId="77777777" w:rsidTr="008467CF">
        <w:tc>
          <w:tcPr>
            <w:tcW w:w="560"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37CA965B" w14:textId="77777777" w:rsidR="00B94CA4" w:rsidRDefault="00CD2FC7">
            <w:pPr>
              <w:spacing w:before="80" w:after="80"/>
            </w:pPr>
            <w:r>
              <w:rPr>
                <w:b/>
                <w:bCs/>
                <w:color w:val="0F6E56"/>
                <w:sz w:val="18"/>
                <w:szCs w:val="18"/>
              </w:rPr>
              <w:t>D4</w:t>
            </w:r>
          </w:p>
        </w:tc>
        <w:tc>
          <w:tcPr>
            <w:tcW w:w="1971"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71F6F4FA" w14:textId="77777777" w:rsidR="00B94CA4" w:rsidRDefault="00CD2FC7">
            <w:pPr>
              <w:spacing w:before="80" w:after="80"/>
            </w:pPr>
            <w:r>
              <w:rPr>
                <w:color w:val="2C2C2A"/>
                <w:sz w:val="18"/>
                <w:szCs w:val="18"/>
              </w:rPr>
              <w:t>Gender Action Plan and Social Inclusion Strategy (max. 35 pages)</w:t>
            </w:r>
          </w:p>
        </w:tc>
        <w:tc>
          <w:tcPr>
            <w:tcW w:w="4176"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2A210572" w14:textId="77777777" w:rsidR="00B94CA4" w:rsidRDefault="00CD2FC7">
            <w:pPr>
              <w:spacing w:before="80" w:after="80"/>
            </w:pPr>
            <w:r>
              <w:rPr>
                <w:color w:val="2C2C2A"/>
                <w:sz w:val="18"/>
                <w:szCs w:val="18"/>
              </w:rPr>
              <w:t>Full GAP anchored in Liberia National Gender Policy, EU GAP III, CEDAW, SDG 5 &amp; 8, ECOWAS Gender Policy, AU GEWE; Social Inclusion Strategy for youth, PWDs, and male engagement; activity specs for all 3 components; budget considerations; monitoring mechanism. Steering Committee approval required.</w:t>
            </w:r>
          </w:p>
        </w:tc>
        <w:tc>
          <w:tcPr>
            <w:tcW w:w="1652"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4FDAAC2C" w14:textId="77777777" w:rsidR="00B94CA4" w:rsidRDefault="00CD2FC7">
            <w:pPr>
              <w:spacing w:before="80" w:after="80"/>
            </w:pPr>
            <w:r>
              <w:rPr>
                <w:color w:val="2C2C2A"/>
                <w:sz w:val="18"/>
                <w:szCs w:val="18"/>
              </w:rPr>
              <w:t>Word + PDF</w:t>
            </w:r>
          </w:p>
        </w:tc>
        <w:tc>
          <w:tcPr>
            <w:tcW w:w="1701"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130BF1F3" w14:textId="6874432F" w:rsidR="00B94CA4" w:rsidRDefault="00CD2FC7">
            <w:pPr>
              <w:spacing w:before="80" w:after="80"/>
            </w:pPr>
            <w:r>
              <w:rPr>
                <w:color w:val="2C2C2A"/>
                <w:sz w:val="18"/>
                <w:szCs w:val="18"/>
              </w:rPr>
              <w:t>End of July 2026</w:t>
            </w:r>
            <w:r w:rsidR="008467CF">
              <w:rPr>
                <w:color w:val="2C2C2A"/>
                <w:sz w:val="18"/>
                <w:szCs w:val="18"/>
              </w:rPr>
              <w:t xml:space="preserve"> [with the draft version Mid-July 2026]</w:t>
            </w:r>
          </w:p>
        </w:tc>
      </w:tr>
      <w:tr w:rsidR="00B94CA4" w14:paraId="6D2CF37C" w14:textId="77777777" w:rsidTr="008467CF">
        <w:tc>
          <w:tcPr>
            <w:tcW w:w="56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5954CE87" w14:textId="77777777" w:rsidR="00B94CA4" w:rsidRDefault="00CD2FC7">
            <w:pPr>
              <w:spacing w:before="80" w:after="80"/>
            </w:pPr>
            <w:r>
              <w:rPr>
                <w:b/>
                <w:bCs/>
                <w:color w:val="0F6E56"/>
                <w:sz w:val="18"/>
                <w:szCs w:val="18"/>
              </w:rPr>
              <w:t>D5</w:t>
            </w:r>
          </w:p>
        </w:tc>
        <w:tc>
          <w:tcPr>
            <w:tcW w:w="1971"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2583F3E0" w14:textId="77777777" w:rsidR="00B94CA4" w:rsidRDefault="00CD2FC7">
            <w:pPr>
              <w:spacing w:before="80" w:after="80"/>
            </w:pPr>
            <w:r>
              <w:rPr>
                <w:color w:val="2C2C2A"/>
                <w:sz w:val="18"/>
                <w:szCs w:val="18"/>
              </w:rPr>
              <w:t>MEAL Gender Integration Report (max. 15 pages)</w:t>
            </w:r>
          </w:p>
        </w:tc>
        <w:tc>
          <w:tcPr>
            <w:tcW w:w="4176"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522FA241" w14:textId="77777777" w:rsidR="00B94CA4" w:rsidRDefault="00CD2FC7">
            <w:pPr>
              <w:spacing w:before="80" w:after="80"/>
            </w:pPr>
            <w:r>
              <w:rPr>
                <w:color w:val="2C2C2A"/>
                <w:sz w:val="18"/>
                <w:szCs w:val="18"/>
              </w:rPr>
              <w:t xml:space="preserve">Three-dimension indicator framework (access, agency, advancement); data disaggregation protocol; data collection instrument review; Year 1 targets; MEAL plan gender integration </w:t>
            </w:r>
            <w:proofErr w:type="spellStart"/>
            <w:r>
              <w:rPr>
                <w:color w:val="2C2C2A"/>
                <w:sz w:val="18"/>
                <w:szCs w:val="18"/>
              </w:rPr>
              <w:t>annexe</w:t>
            </w:r>
            <w:proofErr w:type="spellEnd"/>
            <w:r>
              <w:rPr>
                <w:color w:val="2C2C2A"/>
                <w:sz w:val="18"/>
                <w:szCs w:val="18"/>
              </w:rPr>
              <w:t>.</w:t>
            </w:r>
          </w:p>
        </w:tc>
        <w:tc>
          <w:tcPr>
            <w:tcW w:w="1652"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08707534" w14:textId="77777777" w:rsidR="00B94CA4" w:rsidRDefault="00CD2FC7">
            <w:pPr>
              <w:spacing w:before="80" w:after="80"/>
            </w:pPr>
            <w:r>
              <w:rPr>
                <w:color w:val="2C2C2A"/>
                <w:sz w:val="18"/>
                <w:szCs w:val="18"/>
              </w:rPr>
              <w:t>Word + PDF</w:t>
            </w:r>
          </w:p>
        </w:tc>
        <w:tc>
          <w:tcPr>
            <w:tcW w:w="1701"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5D4CFA58" w14:textId="77777777" w:rsidR="00B94CA4" w:rsidRDefault="00CD2FC7">
            <w:pPr>
              <w:spacing w:before="80" w:after="80"/>
            </w:pPr>
            <w:r>
              <w:rPr>
                <w:color w:val="2C2C2A"/>
                <w:sz w:val="18"/>
                <w:szCs w:val="18"/>
              </w:rPr>
              <w:t>Concurrent with D3 — June 2026</w:t>
            </w:r>
          </w:p>
        </w:tc>
      </w:tr>
    </w:tbl>
    <w:p w14:paraId="7085BD00" w14:textId="77777777" w:rsidR="00B94CA4" w:rsidRDefault="00B94CA4">
      <w:pPr>
        <w:spacing w:before="80"/>
      </w:pPr>
    </w:p>
    <w:p w14:paraId="55B0AB00" w14:textId="77777777" w:rsidR="00B94CA4" w:rsidRDefault="00CD2FC7">
      <w:pPr>
        <w:spacing w:before="180" w:after="70"/>
      </w:pPr>
      <w:r>
        <w:rPr>
          <w:b/>
          <w:bCs/>
          <w:color w:val="0F6E56"/>
        </w:rPr>
        <w:t>Phase 2 deliverables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2"/>
        <w:gridCol w:w="1970"/>
        <w:gridCol w:w="4172"/>
        <w:gridCol w:w="1299"/>
        <w:gridCol w:w="2047"/>
      </w:tblGrid>
      <w:tr w:rsidR="00B94CA4" w14:paraId="4482B56B" w14:textId="77777777" w:rsidTr="008467CF">
        <w:tc>
          <w:tcPr>
            <w:tcW w:w="572" w:type="dxa"/>
            <w:tcBorders>
              <w:top w:val="single" w:sz="4" w:space="0" w:color="854F0B"/>
              <w:left w:val="single" w:sz="4" w:space="0" w:color="854F0B"/>
              <w:bottom w:val="single" w:sz="4" w:space="0" w:color="854F0B"/>
              <w:right w:val="single" w:sz="4" w:space="0" w:color="854F0B"/>
            </w:tcBorders>
            <w:shd w:val="clear" w:color="auto" w:fill="854F0B"/>
            <w:tcMar>
              <w:top w:w="70" w:type="dxa"/>
              <w:left w:w="120" w:type="dxa"/>
              <w:bottom w:w="70" w:type="dxa"/>
              <w:right w:w="120" w:type="dxa"/>
            </w:tcMar>
          </w:tcPr>
          <w:p w14:paraId="759CFE88" w14:textId="77777777" w:rsidR="00B94CA4" w:rsidRDefault="00CD2FC7">
            <w:pPr>
              <w:spacing w:before="80" w:after="80"/>
            </w:pPr>
            <w:r>
              <w:rPr>
                <w:b/>
                <w:bCs/>
                <w:caps/>
                <w:color w:val="FFFFFF"/>
                <w:sz w:val="16"/>
                <w:szCs w:val="16"/>
              </w:rPr>
              <w:t>Ref</w:t>
            </w:r>
          </w:p>
        </w:tc>
        <w:tc>
          <w:tcPr>
            <w:tcW w:w="1970" w:type="dxa"/>
            <w:tcBorders>
              <w:top w:val="single" w:sz="4" w:space="0" w:color="854F0B"/>
              <w:left w:val="single" w:sz="4" w:space="0" w:color="854F0B"/>
              <w:bottom w:val="single" w:sz="4" w:space="0" w:color="854F0B"/>
              <w:right w:val="single" w:sz="4" w:space="0" w:color="854F0B"/>
            </w:tcBorders>
            <w:shd w:val="clear" w:color="auto" w:fill="854F0B"/>
            <w:tcMar>
              <w:top w:w="70" w:type="dxa"/>
              <w:left w:w="120" w:type="dxa"/>
              <w:bottom w:w="70" w:type="dxa"/>
              <w:right w:w="120" w:type="dxa"/>
            </w:tcMar>
          </w:tcPr>
          <w:p w14:paraId="22DD97F3" w14:textId="77777777" w:rsidR="00B94CA4" w:rsidRDefault="00CD2FC7">
            <w:pPr>
              <w:spacing w:before="80" w:after="80"/>
            </w:pPr>
            <w:r>
              <w:rPr>
                <w:b/>
                <w:bCs/>
                <w:caps/>
                <w:color w:val="FFFFFF"/>
                <w:sz w:val="16"/>
                <w:szCs w:val="16"/>
              </w:rPr>
              <w:t>Deliverable</w:t>
            </w:r>
          </w:p>
        </w:tc>
        <w:tc>
          <w:tcPr>
            <w:tcW w:w="4172" w:type="dxa"/>
            <w:tcBorders>
              <w:top w:val="single" w:sz="4" w:space="0" w:color="854F0B"/>
              <w:left w:val="single" w:sz="4" w:space="0" w:color="854F0B"/>
              <w:bottom w:val="single" w:sz="4" w:space="0" w:color="854F0B"/>
              <w:right w:val="single" w:sz="4" w:space="0" w:color="854F0B"/>
            </w:tcBorders>
            <w:shd w:val="clear" w:color="auto" w:fill="854F0B"/>
            <w:tcMar>
              <w:top w:w="70" w:type="dxa"/>
              <w:left w:w="120" w:type="dxa"/>
              <w:bottom w:w="70" w:type="dxa"/>
              <w:right w:w="120" w:type="dxa"/>
            </w:tcMar>
          </w:tcPr>
          <w:p w14:paraId="2A1B1886" w14:textId="77777777" w:rsidR="00B94CA4" w:rsidRDefault="00CD2FC7">
            <w:pPr>
              <w:spacing w:before="80" w:after="80"/>
            </w:pPr>
            <w:r>
              <w:rPr>
                <w:b/>
                <w:bCs/>
                <w:caps/>
                <w:color w:val="FFFFFF"/>
                <w:sz w:val="16"/>
                <w:szCs w:val="16"/>
              </w:rPr>
              <w:t>Content — what it must contain</w:t>
            </w:r>
          </w:p>
        </w:tc>
        <w:tc>
          <w:tcPr>
            <w:tcW w:w="1299" w:type="dxa"/>
            <w:tcBorders>
              <w:top w:val="single" w:sz="4" w:space="0" w:color="854F0B"/>
              <w:left w:val="single" w:sz="4" w:space="0" w:color="854F0B"/>
              <w:bottom w:val="single" w:sz="4" w:space="0" w:color="854F0B"/>
              <w:right w:val="single" w:sz="4" w:space="0" w:color="854F0B"/>
            </w:tcBorders>
            <w:shd w:val="clear" w:color="auto" w:fill="854F0B"/>
            <w:tcMar>
              <w:top w:w="70" w:type="dxa"/>
              <w:left w:w="120" w:type="dxa"/>
              <w:bottom w:w="70" w:type="dxa"/>
              <w:right w:w="120" w:type="dxa"/>
            </w:tcMar>
          </w:tcPr>
          <w:p w14:paraId="6C889EF3" w14:textId="271387F5" w:rsidR="00B94CA4" w:rsidRDefault="00CD2FC7">
            <w:pPr>
              <w:spacing w:before="80" w:after="80"/>
            </w:pPr>
            <w:r>
              <w:rPr>
                <w:b/>
                <w:bCs/>
                <w:caps/>
                <w:color w:val="FFFFFF"/>
                <w:sz w:val="16"/>
                <w:szCs w:val="16"/>
              </w:rPr>
              <w:t>Format</w:t>
            </w:r>
            <w:r w:rsidR="008467CF">
              <w:rPr>
                <w:b/>
                <w:bCs/>
                <w:caps/>
                <w:color w:val="FFFFFF"/>
                <w:sz w:val="16"/>
                <w:szCs w:val="16"/>
              </w:rPr>
              <w:t>*</w:t>
            </w:r>
          </w:p>
        </w:tc>
        <w:tc>
          <w:tcPr>
            <w:tcW w:w="2047" w:type="dxa"/>
            <w:tcBorders>
              <w:top w:val="single" w:sz="4" w:space="0" w:color="854F0B"/>
              <w:left w:val="single" w:sz="4" w:space="0" w:color="854F0B"/>
              <w:bottom w:val="single" w:sz="4" w:space="0" w:color="854F0B"/>
              <w:right w:val="single" w:sz="4" w:space="0" w:color="854F0B"/>
            </w:tcBorders>
            <w:shd w:val="clear" w:color="auto" w:fill="854F0B"/>
            <w:tcMar>
              <w:top w:w="70" w:type="dxa"/>
              <w:left w:w="120" w:type="dxa"/>
              <w:bottom w:w="70" w:type="dxa"/>
              <w:right w:w="120" w:type="dxa"/>
            </w:tcMar>
          </w:tcPr>
          <w:p w14:paraId="5046BB0D" w14:textId="77777777" w:rsidR="00B94CA4" w:rsidRDefault="00CD2FC7">
            <w:pPr>
              <w:spacing w:before="80" w:after="80"/>
            </w:pPr>
            <w:r>
              <w:rPr>
                <w:b/>
                <w:bCs/>
                <w:caps/>
                <w:color w:val="FFFFFF"/>
                <w:sz w:val="16"/>
                <w:szCs w:val="16"/>
              </w:rPr>
              <w:t>Due</w:t>
            </w:r>
          </w:p>
        </w:tc>
      </w:tr>
      <w:tr w:rsidR="00B94CA4" w14:paraId="5A26CCA4" w14:textId="77777777" w:rsidTr="008467CF">
        <w:tc>
          <w:tcPr>
            <w:tcW w:w="572"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65769F96" w14:textId="77777777" w:rsidR="00B94CA4" w:rsidRDefault="00CD2FC7">
            <w:pPr>
              <w:spacing w:before="80" w:after="80"/>
            </w:pPr>
            <w:r>
              <w:rPr>
                <w:b/>
                <w:bCs/>
                <w:color w:val="854F0B"/>
                <w:sz w:val="18"/>
                <w:szCs w:val="18"/>
              </w:rPr>
              <w:t>D6</w:t>
            </w:r>
          </w:p>
        </w:tc>
        <w:tc>
          <w:tcPr>
            <w:tcW w:w="197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12D535E8" w14:textId="77777777" w:rsidR="00B94CA4" w:rsidRDefault="00CD2FC7">
            <w:pPr>
              <w:spacing w:before="80" w:after="80"/>
            </w:pPr>
            <w:r>
              <w:rPr>
                <w:color w:val="2C2C2A"/>
                <w:sz w:val="18"/>
                <w:szCs w:val="18"/>
              </w:rPr>
              <w:t>Capacity-Building Toolkit and Facilitation Guide</w:t>
            </w:r>
          </w:p>
        </w:tc>
        <w:tc>
          <w:tcPr>
            <w:tcW w:w="4172"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1881B4CA" w14:textId="77777777" w:rsidR="00B94CA4" w:rsidRDefault="00CD2FC7">
            <w:pPr>
              <w:spacing w:before="80" w:after="80"/>
            </w:pPr>
            <w:r>
              <w:rPr>
                <w:color w:val="2C2C2A"/>
                <w:sz w:val="18"/>
                <w:szCs w:val="18"/>
              </w:rPr>
              <w:t>Full capacity-building curriculum for all seven audiences (Task F); facilitation guides per session; pre- and post-assessment tools; reference toolkit for ongoing use by project staff without consultant support.</w:t>
            </w:r>
          </w:p>
        </w:tc>
        <w:tc>
          <w:tcPr>
            <w:tcW w:w="1299"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43016301" w14:textId="77777777" w:rsidR="00B94CA4" w:rsidRDefault="00CD2FC7">
            <w:pPr>
              <w:spacing w:before="80" w:after="80"/>
            </w:pPr>
            <w:r>
              <w:rPr>
                <w:color w:val="2C2C2A"/>
                <w:sz w:val="18"/>
                <w:szCs w:val="18"/>
              </w:rPr>
              <w:t>Word + PDF + PPT per module</w:t>
            </w:r>
          </w:p>
        </w:tc>
        <w:tc>
          <w:tcPr>
            <w:tcW w:w="2047"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273FEAFE" w14:textId="77777777" w:rsidR="00B94CA4" w:rsidRDefault="00CD2FC7">
            <w:pPr>
              <w:spacing w:before="80" w:after="80"/>
            </w:pPr>
            <w:r>
              <w:rPr>
                <w:color w:val="2C2C2A"/>
                <w:sz w:val="18"/>
                <w:szCs w:val="18"/>
              </w:rPr>
              <w:t>Month 2 of Phase 2</w:t>
            </w:r>
          </w:p>
        </w:tc>
      </w:tr>
      <w:tr w:rsidR="00B94CA4" w14:paraId="727D6634" w14:textId="77777777" w:rsidTr="008467CF">
        <w:tc>
          <w:tcPr>
            <w:tcW w:w="572"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1D859C87" w14:textId="77777777" w:rsidR="00B94CA4" w:rsidRDefault="00CD2FC7">
            <w:pPr>
              <w:spacing w:before="80" w:after="80"/>
            </w:pPr>
            <w:r>
              <w:rPr>
                <w:b/>
                <w:bCs/>
                <w:color w:val="854F0B"/>
                <w:sz w:val="18"/>
                <w:szCs w:val="18"/>
              </w:rPr>
              <w:t>D7</w:t>
            </w:r>
          </w:p>
        </w:tc>
        <w:tc>
          <w:tcPr>
            <w:tcW w:w="1970"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29D29E91" w14:textId="77777777" w:rsidR="00B94CA4" w:rsidRDefault="00CD2FC7">
            <w:pPr>
              <w:spacing w:before="80" w:after="80"/>
            </w:pPr>
            <w:r>
              <w:rPr>
                <w:color w:val="2C2C2A"/>
                <w:sz w:val="18"/>
                <w:szCs w:val="18"/>
              </w:rPr>
              <w:t>Technical Advisory Notes (min. 8 over Phase 2)</w:t>
            </w:r>
          </w:p>
        </w:tc>
        <w:tc>
          <w:tcPr>
            <w:tcW w:w="4172"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1019EB02" w14:textId="77777777" w:rsidR="00B94CA4" w:rsidRDefault="00CD2FC7">
            <w:pPr>
              <w:spacing w:before="80" w:after="80"/>
            </w:pPr>
            <w:r>
              <w:rPr>
                <w:color w:val="2C2C2A"/>
                <w:sz w:val="18"/>
                <w:szCs w:val="18"/>
              </w:rPr>
              <w:t xml:space="preserve">Structured 2–3 page technical inputs to specific project decisions, </w:t>
            </w:r>
            <w:proofErr w:type="spellStart"/>
            <w:r>
              <w:rPr>
                <w:color w:val="2C2C2A"/>
                <w:sz w:val="18"/>
                <w:szCs w:val="18"/>
              </w:rPr>
              <w:t>ToRs</w:t>
            </w:r>
            <w:proofErr w:type="spellEnd"/>
            <w:r>
              <w:rPr>
                <w:color w:val="2C2C2A"/>
                <w:sz w:val="18"/>
                <w:szCs w:val="18"/>
              </w:rPr>
              <w:t xml:space="preserve">, </w:t>
            </w:r>
            <w:proofErr w:type="spellStart"/>
            <w:r>
              <w:rPr>
                <w:color w:val="2C2C2A"/>
                <w:sz w:val="18"/>
                <w:szCs w:val="18"/>
              </w:rPr>
              <w:t>workplans</w:t>
            </w:r>
            <w:proofErr w:type="spellEnd"/>
            <w:r>
              <w:rPr>
                <w:color w:val="2C2C2A"/>
                <w:sz w:val="18"/>
                <w:szCs w:val="18"/>
              </w:rPr>
              <w:t>, pilot intervention designs, and MEAL tools. Each note issued within 5 working days of request.</w:t>
            </w:r>
          </w:p>
        </w:tc>
        <w:tc>
          <w:tcPr>
            <w:tcW w:w="1299"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4D596665" w14:textId="77777777" w:rsidR="00B94CA4" w:rsidRDefault="00CD2FC7">
            <w:pPr>
              <w:spacing w:before="80" w:after="80"/>
            </w:pPr>
            <w:r>
              <w:rPr>
                <w:color w:val="2C2C2A"/>
                <w:sz w:val="18"/>
                <w:szCs w:val="18"/>
              </w:rPr>
              <w:t>Word + PDF</w:t>
            </w:r>
          </w:p>
        </w:tc>
        <w:tc>
          <w:tcPr>
            <w:tcW w:w="2047"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79BA1325" w14:textId="77777777" w:rsidR="00B94CA4" w:rsidRDefault="00CD2FC7">
            <w:pPr>
              <w:spacing w:before="80" w:after="80"/>
            </w:pPr>
            <w:r>
              <w:rPr>
                <w:color w:val="2C2C2A"/>
                <w:sz w:val="18"/>
                <w:szCs w:val="18"/>
              </w:rPr>
              <w:t>On request throughout Phase 2</w:t>
            </w:r>
          </w:p>
        </w:tc>
      </w:tr>
      <w:tr w:rsidR="00B94CA4" w14:paraId="5284CAFE" w14:textId="77777777" w:rsidTr="008467CF">
        <w:tc>
          <w:tcPr>
            <w:tcW w:w="572"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4FC6CB28" w14:textId="77777777" w:rsidR="00B94CA4" w:rsidRDefault="00CD2FC7">
            <w:pPr>
              <w:spacing w:before="80" w:after="80"/>
            </w:pPr>
            <w:r>
              <w:rPr>
                <w:b/>
                <w:bCs/>
                <w:color w:val="854F0B"/>
                <w:sz w:val="18"/>
                <w:szCs w:val="18"/>
              </w:rPr>
              <w:lastRenderedPageBreak/>
              <w:t>D8</w:t>
            </w:r>
          </w:p>
        </w:tc>
        <w:tc>
          <w:tcPr>
            <w:tcW w:w="197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186C9786" w14:textId="77777777" w:rsidR="00B94CA4" w:rsidRDefault="00CD2FC7">
            <w:pPr>
              <w:spacing w:before="80" w:after="80"/>
            </w:pPr>
            <w:r>
              <w:rPr>
                <w:color w:val="2C2C2A"/>
                <w:sz w:val="18"/>
                <w:szCs w:val="18"/>
              </w:rPr>
              <w:t>Semi-Annual GESI Progress Reports (max. 15 pages each)</w:t>
            </w:r>
          </w:p>
        </w:tc>
        <w:tc>
          <w:tcPr>
            <w:tcW w:w="4172"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18FDA8ED" w14:textId="77777777" w:rsidR="00B94CA4" w:rsidRDefault="00CD2FC7">
            <w:pPr>
              <w:spacing w:before="80" w:after="80"/>
            </w:pPr>
            <w:r>
              <w:rPr>
                <w:color w:val="2C2C2A"/>
                <w:sz w:val="18"/>
                <w:szCs w:val="18"/>
              </w:rPr>
              <w:t>GAP indicator progress; market-level evidence on women's economic advancement; agency and decision-making shifts; social norm changes tracked; lessons learned; adaptive management recommendations.</w:t>
            </w:r>
          </w:p>
        </w:tc>
        <w:tc>
          <w:tcPr>
            <w:tcW w:w="1299"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56465D3E" w14:textId="77777777" w:rsidR="00B94CA4" w:rsidRDefault="00CD2FC7">
            <w:pPr>
              <w:spacing w:before="80" w:after="80"/>
            </w:pPr>
            <w:r>
              <w:rPr>
                <w:color w:val="2C2C2A"/>
                <w:sz w:val="18"/>
                <w:szCs w:val="18"/>
              </w:rPr>
              <w:t>Word + PDF</w:t>
            </w:r>
          </w:p>
        </w:tc>
        <w:tc>
          <w:tcPr>
            <w:tcW w:w="2047"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647408DC" w14:textId="77777777" w:rsidR="00B94CA4" w:rsidRDefault="00CD2FC7">
            <w:pPr>
              <w:spacing w:before="80" w:after="80"/>
            </w:pPr>
            <w:r>
              <w:rPr>
                <w:color w:val="2C2C2A"/>
                <w:sz w:val="18"/>
                <w:szCs w:val="18"/>
              </w:rPr>
              <w:t>December 2026 and June 2027</w:t>
            </w:r>
          </w:p>
        </w:tc>
      </w:tr>
      <w:tr w:rsidR="00B94CA4" w14:paraId="0CAB3FD1" w14:textId="77777777" w:rsidTr="008467CF">
        <w:tc>
          <w:tcPr>
            <w:tcW w:w="572"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4B6C61C4" w14:textId="77777777" w:rsidR="00B94CA4" w:rsidRDefault="00CD2FC7">
            <w:pPr>
              <w:spacing w:before="80" w:after="80"/>
            </w:pPr>
            <w:r>
              <w:rPr>
                <w:b/>
                <w:bCs/>
                <w:color w:val="854F0B"/>
                <w:sz w:val="18"/>
                <w:szCs w:val="18"/>
              </w:rPr>
              <w:t>D9</w:t>
            </w:r>
          </w:p>
        </w:tc>
        <w:tc>
          <w:tcPr>
            <w:tcW w:w="1970"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17EF80D6" w14:textId="77777777" w:rsidR="00B94CA4" w:rsidRDefault="00CD2FC7">
            <w:pPr>
              <w:spacing w:before="80" w:after="80"/>
            </w:pPr>
            <w:r>
              <w:rPr>
                <w:color w:val="2C2C2A"/>
                <w:sz w:val="18"/>
                <w:szCs w:val="18"/>
              </w:rPr>
              <w:t>Annual GAP Review and Update (max. 12 pages)</w:t>
            </w:r>
          </w:p>
        </w:tc>
        <w:tc>
          <w:tcPr>
            <w:tcW w:w="4172"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5A2E430B" w14:textId="77777777" w:rsidR="00B94CA4" w:rsidRDefault="00CD2FC7">
            <w:pPr>
              <w:spacing w:before="80" w:after="80"/>
            </w:pPr>
            <w:r>
              <w:rPr>
                <w:color w:val="2C2C2A"/>
                <w:sz w:val="18"/>
                <w:szCs w:val="18"/>
              </w:rPr>
              <w:t>Revised GAP incorporating evidence from D8; updated targets and activity specifications; adaptive management rationale documented; budget revision recommendations.</w:t>
            </w:r>
          </w:p>
        </w:tc>
        <w:tc>
          <w:tcPr>
            <w:tcW w:w="1299"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3BCEEAC4" w14:textId="77777777" w:rsidR="00B94CA4" w:rsidRDefault="00CD2FC7">
            <w:pPr>
              <w:spacing w:before="80" w:after="80"/>
            </w:pPr>
            <w:r>
              <w:rPr>
                <w:color w:val="2C2C2A"/>
                <w:sz w:val="18"/>
                <w:szCs w:val="18"/>
              </w:rPr>
              <w:t>Word + PDF</w:t>
            </w:r>
          </w:p>
        </w:tc>
        <w:tc>
          <w:tcPr>
            <w:tcW w:w="2047"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0C113F04" w14:textId="77777777" w:rsidR="00B94CA4" w:rsidRDefault="00CD2FC7">
            <w:pPr>
              <w:spacing w:before="80" w:after="80"/>
            </w:pPr>
            <w:r>
              <w:rPr>
                <w:color w:val="2C2C2A"/>
                <w:sz w:val="18"/>
                <w:szCs w:val="18"/>
              </w:rPr>
              <w:t>December 2026</w:t>
            </w:r>
          </w:p>
        </w:tc>
      </w:tr>
      <w:tr w:rsidR="00B94CA4" w14:paraId="7B51373B" w14:textId="77777777" w:rsidTr="008467CF">
        <w:tc>
          <w:tcPr>
            <w:tcW w:w="572"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20BBF3B8" w14:textId="77777777" w:rsidR="00B94CA4" w:rsidRDefault="00CD2FC7">
            <w:pPr>
              <w:spacing w:before="80" w:after="80"/>
            </w:pPr>
            <w:r>
              <w:rPr>
                <w:b/>
                <w:bCs/>
                <w:color w:val="854F0B"/>
                <w:sz w:val="18"/>
                <w:szCs w:val="18"/>
              </w:rPr>
              <w:t>D10</w:t>
            </w:r>
          </w:p>
        </w:tc>
        <w:tc>
          <w:tcPr>
            <w:tcW w:w="197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6581958F" w14:textId="77777777" w:rsidR="00B94CA4" w:rsidRDefault="00CD2FC7">
            <w:pPr>
              <w:spacing w:before="80" w:after="80"/>
            </w:pPr>
            <w:r>
              <w:rPr>
                <w:color w:val="2C2C2A"/>
                <w:sz w:val="18"/>
                <w:szCs w:val="18"/>
              </w:rPr>
              <w:t>Annual Field Mission Reports (max. 10 pages each)</w:t>
            </w:r>
          </w:p>
        </w:tc>
        <w:tc>
          <w:tcPr>
            <w:tcW w:w="4172"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3753863C" w14:textId="77777777" w:rsidR="00B94CA4" w:rsidRDefault="00CD2FC7">
            <w:pPr>
              <w:spacing w:before="80" w:after="80"/>
            </w:pPr>
            <w:r>
              <w:rPr>
                <w:color w:val="2C2C2A"/>
                <w:sz w:val="18"/>
                <w:szCs w:val="18"/>
              </w:rPr>
              <w:t xml:space="preserve">County-level consultations; gender and social inclusion dynamics observed; norm shifts documented; </w:t>
            </w:r>
            <w:proofErr w:type="spellStart"/>
            <w:r>
              <w:rPr>
                <w:color w:val="2C2C2A"/>
                <w:sz w:val="18"/>
                <w:szCs w:val="18"/>
              </w:rPr>
              <w:t>programme</w:t>
            </w:r>
            <w:proofErr w:type="spellEnd"/>
            <w:r>
              <w:rPr>
                <w:color w:val="2C2C2A"/>
                <w:sz w:val="18"/>
                <w:szCs w:val="18"/>
              </w:rPr>
              <w:t xml:space="preserve"> management recommendations.</w:t>
            </w:r>
          </w:p>
        </w:tc>
        <w:tc>
          <w:tcPr>
            <w:tcW w:w="1299"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1A518C3B" w14:textId="77777777" w:rsidR="00B94CA4" w:rsidRDefault="00CD2FC7">
            <w:pPr>
              <w:spacing w:before="80" w:after="80"/>
            </w:pPr>
            <w:r>
              <w:rPr>
                <w:color w:val="2C2C2A"/>
                <w:sz w:val="18"/>
                <w:szCs w:val="18"/>
              </w:rPr>
              <w:t>Word + PDF</w:t>
            </w:r>
          </w:p>
        </w:tc>
        <w:tc>
          <w:tcPr>
            <w:tcW w:w="2047"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457D8482" w14:textId="77777777" w:rsidR="00B94CA4" w:rsidRDefault="00CD2FC7">
            <w:pPr>
              <w:spacing w:before="80" w:after="80"/>
            </w:pPr>
            <w:r>
              <w:rPr>
                <w:color w:val="2C2C2A"/>
                <w:sz w:val="18"/>
                <w:szCs w:val="18"/>
              </w:rPr>
              <w:t>15 days post-mission</w:t>
            </w:r>
          </w:p>
        </w:tc>
      </w:tr>
    </w:tbl>
    <w:p w14:paraId="75C0C1A0" w14:textId="77777777" w:rsidR="00B94CA4" w:rsidRDefault="00B94CA4">
      <w:pPr>
        <w:spacing w:before="200"/>
      </w:pPr>
    </w:p>
    <w:p w14:paraId="7ED1063D" w14:textId="5D9E5E97" w:rsidR="00B94CA4" w:rsidRDefault="008467CF" w:rsidP="008467CF">
      <w:r>
        <w:t>*</w:t>
      </w:r>
      <w:r w:rsidRPr="008467CF">
        <w:t xml:space="preserve"> </w:t>
      </w:r>
      <w:r w:rsidRPr="008467CF">
        <w:rPr>
          <w:i/>
        </w:rPr>
        <w:t>The formats are indicative only and may be adjusted based on discussions with the consultant, the consortium partners, and the EUD.</w:t>
      </w:r>
      <w:r w:rsidR="00CD2FC7">
        <w:br w:type="page"/>
      </w:r>
    </w:p>
    <w:p w14:paraId="33E960C0" w14:textId="77777777" w:rsidR="00B94CA4" w:rsidRDefault="00CD2FC7">
      <w:pPr>
        <w:pBdr>
          <w:bottom w:val="single" w:sz="6" w:space="1" w:color="2E75B6"/>
        </w:pBdr>
        <w:spacing w:before="280" w:after="100"/>
      </w:pPr>
      <w:r>
        <w:rPr>
          <w:b/>
          <w:bCs/>
          <w:color w:val="1F3864"/>
          <w:sz w:val="22"/>
          <w:szCs w:val="22"/>
        </w:rPr>
        <w:lastRenderedPageBreak/>
        <w:t>VI.  Deliverables Timeline and Level of Effort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1"/>
        <w:gridCol w:w="3511"/>
        <w:gridCol w:w="1187"/>
        <w:gridCol w:w="2619"/>
        <w:gridCol w:w="1472"/>
      </w:tblGrid>
      <w:tr w:rsidR="00B94CA4" w14:paraId="4ECF03E4" w14:textId="77777777">
        <w:tc>
          <w:tcPr>
            <w:tcW w:w="380" w:type="dxa"/>
            <w:tcBorders>
              <w:top w:val="single" w:sz="4" w:space="0" w:color="1F3864"/>
              <w:left w:val="single" w:sz="4" w:space="0" w:color="1F3864"/>
              <w:bottom w:val="single" w:sz="4" w:space="0" w:color="1F3864"/>
              <w:right w:val="single" w:sz="4" w:space="0" w:color="1F3864"/>
            </w:tcBorders>
            <w:shd w:val="clear" w:color="auto" w:fill="1F3864"/>
            <w:tcMar>
              <w:top w:w="70" w:type="dxa"/>
              <w:left w:w="120" w:type="dxa"/>
              <w:bottom w:w="70" w:type="dxa"/>
              <w:right w:w="120" w:type="dxa"/>
            </w:tcMar>
          </w:tcPr>
          <w:p w14:paraId="1B3172B4" w14:textId="77777777" w:rsidR="00B94CA4" w:rsidRDefault="00CD2FC7">
            <w:pPr>
              <w:spacing w:before="80" w:after="80"/>
            </w:pPr>
            <w:r>
              <w:rPr>
                <w:b/>
                <w:bCs/>
                <w:caps/>
                <w:color w:val="FFFFFF"/>
                <w:sz w:val="16"/>
                <w:szCs w:val="16"/>
              </w:rPr>
              <w:t>Ref</w:t>
            </w:r>
          </w:p>
        </w:tc>
        <w:tc>
          <w:tcPr>
            <w:tcW w:w="3600" w:type="dxa"/>
            <w:tcBorders>
              <w:top w:val="single" w:sz="4" w:space="0" w:color="1F3864"/>
              <w:left w:val="single" w:sz="4" w:space="0" w:color="1F3864"/>
              <w:bottom w:val="single" w:sz="4" w:space="0" w:color="1F3864"/>
              <w:right w:val="single" w:sz="4" w:space="0" w:color="1F3864"/>
            </w:tcBorders>
            <w:shd w:val="clear" w:color="auto" w:fill="1F3864"/>
            <w:tcMar>
              <w:top w:w="70" w:type="dxa"/>
              <w:left w:w="120" w:type="dxa"/>
              <w:bottom w:w="70" w:type="dxa"/>
              <w:right w:w="120" w:type="dxa"/>
            </w:tcMar>
          </w:tcPr>
          <w:p w14:paraId="530A2BC5" w14:textId="77777777" w:rsidR="00B94CA4" w:rsidRDefault="00CD2FC7">
            <w:pPr>
              <w:spacing w:before="80" w:after="80"/>
            </w:pPr>
            <w:r>
              <w:rPr>
                <w:b/>
                <w:bCs/>
                <w:caps/>
                <w:color w:val="FFFFFF"/>
                <w:sz w:val="16"/>
                <w:szCs w:val="16"/>
              </w:rPr>
              <w:t>Deliverable</w:t>
            </w:r>
          </w:p>
        </w:tc>
        <w:tc>
          <w:tcPr>
            <w:tcW w:w="1200" w:type="dxa"/>
            <w:tcBorders>
              <w:top w:val="single" w:sz="4" w:space="0" w:color="1F3864"/>
              <w:left w:val="single" w:sz="4" w:space="0" w:color="1F3864"/>
              <w:bottom w:val="single" w:sz="4" w:space="0" w:color="1F3864"/>
              <w:right w:val="single" w:sz="4" w:space="0" w:color="1F3864"/>
            </w:tcBorders>
            <w:shd w:val="clear" w:color="auto" w:fill="1F3864"/>
            <w:tcMar>
              <w:top w:w="70" w:type="dxa"/>
              <w:left w:w="120" w:type="dxa"/>
              <w:bottom w:w="70" w:type="dxa"/>
              <w:right w:w="120" w:type="dxa"/>
            </w:tcMar>
          </w:tcPr>
          <w:p w14:paraId="483E103D" w14:textId="77777777" w:rsidR="00B94CA4" w:rsidRDefault="00CD2FC7">
            <w:pPr>
              <w:spacing w:before="80" w:after="80"/>
            </w:pPr>
            <w:r>
              <w:rPr>
                <w:b/>
                <w:bCs/>
                <w:caps/>
                <w:color w:val="FFFFFF"/>
                <w:sz w:val="16"/>
                <w:szCs w:val="16"/>
              </w:rPr>
              <w:t>Est. days</w:t>
            </w:r>
          </w:p>
        </w:tc>
        <w:tc>
          <w:tcPr>
            <w:tcW w:w="2680" w:type="dxa"/>
            <w:tcBorders>
              <w:top w:val="single" w:sz="4" w:space="0" w:color="1F3864"/>
              <w:left w:val="single" w:sz="4" w:space="0" w:color="1F3864"/>
              <w:bottom w:val="single" w:sz="4" w:space="0" w:color="1F3864"/>
              <w:right w:val="single" w:sz="4" w:space="0" w:color="1F3864"/>
            </w:tcBorders>
            <w:shd w:val="clear" w:color="auto" w:fill="1F3864"/>
            <w:tcMar>
              <w:top w:w="70" w:type="dxa"/>
              <w:left w:w="120" w:type="dxa"/>
              <w:bottom w:w="70" w:type="dxa"/>
              <w:right w:w="120" w:type="dxa"/>
            </w:tcMar>
          </w:tcPr>
          <w:p w14:paraId="1001CEAD" w14:textId="77777777" w:rsidR="00B94CA4" w:rsidRDefault="00CD2FC7">
            <w:pPr>
              <w:spacing w:before="80" w:after="80"/>
            </w:pPr>
            <w:r>
              <w:rPr>
                <w:b/>
                <w:bCs/>
                <w:caps/>
                <w:color w:val="FFFFFF"/>
                <w:sz w:val="16"/>
                <w:szCs w:val="16"/>
              </w:rPr>
              <w:t>Timeline</w:t>
            </w:r>
          </w:p>
        </w:tc>
        <w:tc>
          <w:tcPr>
            <w:tcW w:w="1500" w:type="dxa"/>
            <w:tcBorders>
              <w:top w:val="single" w:sz="4" w:space="0" w:color="1F3864"/>
              <w:left w:val="single" w:sz="4" w:space="0" w:color="1F3864"/>
              <w:bottom w:val="single" w:sz="4" w:space="0" w:color="1F3864"/>
              <w:right w:val="single" w:sz="4" w:space="0" w:color="1F3864"/>
            </w:tcBorders>
            <w:shd w:val="clear" w:color="auto" w:fill="1F3864"/>
            <w:tcMar>
              <w:top w:w="70" w:type="dxa"/>
              <w:left w:w="120" w:type="dxa"/>
              <w:bottom w:w="70" w:type="dxa"/>
              <w:right w:w="120" w:type="dxa"/>
            </w:tcMar>
          </w:tcPr>
          <w:p w14:paraId="30628682" w14:textId="77777777" w:rsidR="00B94CA4" w:rsidRDefault="00CD2FC7">
            <w:pPr>
              <w:spacing w:before="80" w:after="80"/>
            </w:pPr>
            <w:r>
              <w:rPr>
                <w:b/>
                <w:bCs/>
                <w:caps/>
                <w:color w:val="FFFFFF"/>
                <w:sz w:val="16"/>
                <w:szCs w:val="16"/>
              </w:rPr>
              <w:t>Phase</w:t>
            </w:r>
          </w:p>
        </w:tc>
      </w:tr>
      <w:tr w:rsidR="00B94CA4" w14:paraId="7E41669A" w14:textId="77777777">
        <w:tc>
          <w:tcPr>
            <w:tcW w:w="38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76D5136C" w14:textId="77777777" w:rsidR="00B94CA4" w:rsidRDefault="00CD2FC7">
            <w:pPr>
              <w:spacing w:before="80" w:after="80"/>
            </w:pPr>
            <w:r>
              <w:rPr>
                <w:b/>
                <w:bCs/>
                <w:color w:val="1F3864"/>
                <w:sz w:val="18"/>
                <w:szCs w:val="18"/>
              </w:rPr>
              <w:t>D1</w:t>
            </w:r>
          </w:p>
        </w:tc>
        <w:tc>
          <w:tcPr>
            <w:tcW w:w="360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67570F04" w14:textId="77777777" w:rsidR="00B94CA4" w:rsidRDefault="00CD2FC7">
            <w:pPr>
              <w:spacing w:before="80" w:after="80"/>
            </w:pPr>
            <w:r>
              <w:rPr>
                <w:color w:val="2C2C2A"/>
                <w:sz w:val="18"/>
                <w:szCs w:val="18"/>
              </w:rPr>
              <w:t xml:space="preserve">Inception Report and </w:t>
            </w:r>
            <w:proofErr w:type="spellStart"/>
            <w:r>
              <w:rPr>
                <w:color w:val="2C2C2A"/>
                <w:sz w:val="18"/>
                <w:szCs w:val="18"/>
              </w:rPr>
              <w:t>Workplan</w:t>
            </w:r>
            <w:proofErr w:type="spellEnd"/>
          </w:p>
        </w:tc>
        <w:tc>
          <w:tcPr>
            <w:tcW w:w="120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11E8052A" w14:textId="32E74314" w:rsidR="00B94CA4" w:rsidRDefault="00867725">
            <w:pPr>
              <w:spacing w:before="80" w:after="80"/>
            </w:pPr>
            <w:r>
              <w:t>5</w:t>
            </w:r>
          </w:p>
        </w:tc>
        <w:tc>
          <w:tcPr>
            <w:tcW w:w="268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0D1AE7A4" w14:textId="77777777" w:rsidR="00B94CA4" w:rsidRDefault="00CD2FC7">
            <w:pPr>
              <w:spacing w:before="80" w:after="80"/>
            </w:pPr>
            <w:r>
              <w:rPr>
                <w:color w:val="2C2C2A"/>
                <w:sz w:val="18"/>
                <w:szCs w:val="18"/>
              </w:rPr>
              <w:t>Week 2, May 2026</w:t>
            </w:r>
          </w:p>
        </w:tc>
        <w:tc>
          <w:tcPr>
            <w:tcW w:w="150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5C3527B6" w14:textId="77777777" w:rsidR="00B94CA4" w:rsidRDefault="00CD2FC7">
            <w:pPr>
              <w:spacing w:before="80" w:after="80"/>
            </w:pPr>
            <w:r>
              <w:rPr>
                <w:color w:val="2C2C2A"/>
                <w:sz w:val="18"/>
                <w:szCs w:val="18"/>
              </w:rPr>
              <w:t>Phase 1</w:t>
            </w:r>
          </w:p>
        </w:tc>
      </w:tr>
      <w:tr w:rsidR="00B94CA4" w14:paraId="29ED3A89" w14:textId="77777777">
        <w:tc>
          <w:tcPr>
            <w:tcW w:w="380"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2E0A1AF5" w14:textId="77777777" w:rsidR="00B94CA4" w:rsidRDefault="00CD2FC7">
            <w:pPr>
              <w:spacing w:before="80" w:after="80"/>
            </w:pPr>
            <w:r>
              <w:rPr>
                <w:b/>
                <w:bCs/>
                <w:color w:val="1F3864"/>
                <w:sz w:val="18"/>
                <w:szCs w:val="18"/>
              </w:rPr>
              <w:t>D2</w:t>
            </w:r>
          </w:p>
        </w:tc>
        <w:tc>
          <w:tcPr>
            <w:tcW w:w="3600"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54B8E9F7" w14:textId="77777777" w:rsidR="00B94CA4" w:rsidRDefault="00CD2FC7">
            <w:pPr>
              <w:spacing w:before="80" w:after="80"/>
            </w:pPr>
            <w:r>
              <w:rPr>
                <w:color w:val="2C2C2A"/>
                <w:sz w:val="18"/>
                <w:szCs w:val="18"/>
              </w:rPr>
              <w:t>Stakeholder Map and Lessons-Learned Report</w:t>
            </w:r>
          </w:p>
        </w:tc>
        <w:tc>
          <w:tcPr>
            <w:tcW w:w="1200"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54F49513" w14:textId="77777777" w:rsidR="00B94CA4" w:rsidRDefault="00CD2FC7">
            <w:pPr>
              <w:spacing w:before="80" w:after="80"/>
            </w:pPr>
            <w:r>
              <w:rPr>
                <w:color w:val="2C2C2A"/>
                <w:sz w:val="18"/>
                <w:szCs w:val="18"/>
              </w:rPr>
              <w:t>5</w:t>
            </w:r>
          </w:p>
        </w:tc>
        <w:tc>
          <w:tcPr>
            <w:tcW w:w="2680"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4607ECC4" w14:textId="77777777" w:rsidR="00B94CA4" w:rsidRDefault="00CD2FC7">
            <w:pPr>
              <w:spacing w:before="80" w:after="80"/>
            </w:pPr>
            <w:r>
              <w:rPr>
                <w:color w:val="2C2C2A"/>
                <w:sz w:val="18"/>
                <w:szCs w:val="18"/>
              </w:rPr>
              <w:t>End of May 2026</w:t>
            </w:r>
          </w:p>
        </w:tc>
        <w:tc>
          <w:tcPr>
            <w:tcW w:w="1500"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39130680" w14:textId="77777777" w:rsidR="00B94CA4" w:rsidRDefault="00CD2FC7">
            <w:pPr>
              <w:spacing w:before="80" w:after="80"/>
            </w:pPr>
            <w:r>
              <w:rPr>
                <w:color w:val="2C2C2A"/>
                <w:sz w:val="18"/>
                <w:szCs w:val="18"/>
              </w:rPr>
              <w:t>Phase 1</w:t>
            </w:r>
          </w:p>
        </w:tc>
      </w:tr>
      <w:tr w:rsidR="00B94CA4" w14:paraId="7BE10F63" w14:textId="77777777">
        <w:tc>
          <w:tcPr>
            <w:tcW w:w="38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0CEB720A" w14:textId="77777777" w:rsidR="00B94CA4" w:rsidRDefault="00CD2FC7">
            <w:pPr>
              <w:spacing w:before="80" w:after="80"/>
            </w:pPr>
            <w:r>
              <w:rPr>
                <w:b/>
                <w:bCs/>
                <w:color w:val="1F3864"/>
                <w:sz w:val="18"/>
                <w:szCs w:val="18"/>
              </w:rPr>
              <w:t>D3</w:t>
            </w:r>
          </w:p>
        </w:tc>
        <w:tc>
          <w:tcPr>
            <w:tcW w:w="360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3F829C0F" w14:textId="77777777" w:rsidR="00B94CA4" w:rsidRDefault="00CD2FC7">
            <w:pPr>
              <w:spacing w:before="80" w:after="80"/>
            </w:pPr>
            <w:r>
              <w:rPr>
                <w:color w:val="2C2C2A"/>
                <w:sz w:val="18"/>
                <w:szCs w:val="18"/>
              </w:rPr>
              <w:t>GESI Assessment and Baseline Report</w:t>
            </w:r>
          </w:p>
        </w:tc>
        <w:tc>
          <w:tcPr>
            <w:tcW w:w="120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10A9CEA8" w14:textId="77777777" w:rsidR="00B94CA4" w:rsidRDefault="00CD2FC7">
            <w:pPr>
              <w:spacing w:before="80" w:after="80"/>
            </w:pPr>
            <w:r>
              <w:rPr>
                <w:color w:val="2C2C2A"/>
                <w:sz w:val="18"/>
                <w:szCs w:val="18"/>
              </w:rPr>
              <w:t>8</w:t>
            </w:r>
          </w:p>
        </w:tc>
        <w:tc>
          <w:tcPr>
            <w:tcW w:w="268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5D69C963" w14:textId="77777777" w:rsidR="00B94CA4" w:rsidRDefault="00CD2FC7">
            <w:pPr>
              <w:spacing w:before="80" w:after="80"/>
            </w:pPr>
            <w:r>
              <w:rPr>
                <w:color w:val="2C2C2A"/>
                <w:sz w:val="18"/>
                <w:szCs w:val="18"/>
              </w:rPr>
              <w:t>End of June 2026</w:t>
            </w:r>
          </w:p>
        </w:tc>
        <w:tc>
          <w:tcPr>
            <w:tcW w:w="150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3E5FCA4F" w14:textId="77777777" w:rsidR="00B94CA4" w:rsidRDefault="00CD2FC7">
            <w:pPr>
              <w:spacing w:before="80" w:after="80"/>
            </w:pPr>
            <w:r>
              <w:rPr>
                <w:color w:val="2C2C2A"/>
                <w:sz w:val="18"/>
                <w:szCs w:val="18"/>
              </w:rPr>
              <w:t>Phase 1</w:t>
            </w:r>
          </w:p>
        </w:tc>
      </w:tr>
      <w:tr w:rsidR="00B94CA4" w14:paraId="0C28713D" w14:textId="77777777">
        <w:tc>
          <w:tcPr>
            <w:tcW w:w="380"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04184F3E" w14:textId="77777777" w:rsidR="00B94CA4" w:rsidRDefault="00CD2FC7">
            <w:pPr>
              <w:spacing w:before="80" w:after="80"/>
            </w:pPr>
            <w:r>
              <w:rPr>
                <w:b/>
                <w:bCs/>
                <w:color w:val="1F3864"/>
                <w:sz w:val="18"/>
                <w:szCs w:val="18"/>
              </w:rPr>
              <w:t>D4</w:t>
            </w:r>
          </w:p>
        </w:tc>
        <w:tc>
          <w:tcPr>
            <w:tcW w:w="3600"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33A49DD2" w14:textId="77777777" w:rsidR="00B94CA4" w:rsidRDefault="00CD2FC7">
            <w:pPr>
              <w:spacing w:before="80" w:after="80"/>
            </w:pPr>
            <w:r>
              <w:rPr>
                <w:color w:val="2C2C2A"/>
                <w:sz w:val="18"/>
                <w:szCs w:val="18"/>
              </w:rPr>
              <w:t>Gender Action Plan and Social Inclusion Strategy</w:t>
            </w:r>
          </w:p>
        </w:tc>
        <w:tc>
          <w:tcPr>
            <w:tcW w:w="1200"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4D473FC7" w14:textId="77777777" w:rsidR="00B94CA4" w:rsidRDefault="00CD2FC7">
            <w:pPr>
              <w:spacing w:before="80" w:after="80"/>
            </w:pPr>
            <w:r>
              <w:rPr>
                <w:color w:val="2C2C2A"/>
                <w:sz w:val="18"/>
                <w:szCs w:val="18"/>
              </w:rPr>
              <w:t>5</w:t>
            </w:r>
          </w:p>
        </w:tc>
        <w:tc>
          <w:tcPr>
            <w:tcW w:w="2680"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4166A1DD" w14:textId="77777777" w:rsidR="00B94CA4" w:rsidRDefault="00CD2FC7">
            <w:pPr>
              <w:spacing w:before="80" w:after="80"/>
            </w:pPr>
            <w:r>
              <w:rPr>
                <w:color w:val="2C2C2A"/>
                <w:sz w:val="18"/>
                <w:szCs w:val="18"/>
              </w:rPr>
              <w:t>End of July 2026</w:t>
            </w:r>
          </w:p>
        </w:tc>
        <w:tc>
          <w:tcPr>
            <w:tcW w:w="1500"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195C7CB2" w14:textId="77777777" w:rsidR="00B94CA4" w:rsidRDefault="00CD2FC7">
            <w:pPr>
              <w:spacing w:before="80" w:after="80"/>
            </w:pPr>
            <w:r>
              <w:rPr>
                <w:color w:val="2C2C2A"/>
                <w:sz w:val="18"/>
                <w:szCs w:val="18"/>
              </w:rPr>
              <w:t>Phase 1</w:t>
            </w:r>
          </w:p>
        </w:tc>
      </w:tr>
      <w:tr w:rsidR="00B94CA4" w14:paraId="43D9E244" w14:textId="77777777">
        <w:tc>
          <w:tcPr>
            <w:tcW w:w="38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068CE9F6" w14:textId="77777777" w:rsidR="00B94CA4" w:rsidRDefault="00CD2FC7">
            <w:pPr>
              <w:spacing w:before="80" w:after="80"/>
            </w:pPr>
            <w:r>
              <w:rPr>
                <w:b/>
                <w:bCs/>
                <w:color w:val="1F3864"/>
                <w:sz w:val="18"/>
                <w:szCs w:val="18"/>
              </w:rPr>
              <w:t>D5</w:t>
            </w:r>
          </w:p>
        </w:tc>
        <w:tc>
          <w:tcPr>
            <w:tcW w:w="360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66F829B4" w14:textId="77777777" w:rsidR="00B94CA4" w:rsidRDefault="00CD2FC7">
            <w:pPr>
              <w:spacing w:before="80" w:after="80"/>
            </w:pPr>
            <w:r>
              <w:rPr>
                <w:color w:val="2C2C2A"/>
                <w:sz w:val="18"/>
                <w:szCs w:val="18"/>
              </w:rPr>
              <w:t>MEAL Gender Integration Report</w:t>
            </w:r>
          </w:p>
        </w:tc>
        <w:tc>
          <w:tcPr>
            <w:tcW w:w="120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5964C617" w14:textId="77777777" w:rsidR="00B94CA4" w:rsidRDefault="00CD2FC7">
            <w:pPr>
              <w:spacing w:before="80" w:after="80"/>
            </w:pPr>
            <w:r>
              <w:rPr>
                <w:color w:val="2C2C2A"/>
                <w:sz w:val="18"/>
                <w:szCs w:val="18"/>
              </w:rPr>
              <w:t>3</w:t>
            </w:r>
          </w:p>
        </w:tc>
        <w:tc>
          <w:tcPr>
            <w:tcW w:w="268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0A10492F" w14:textId="77777777" w:rsidR="00B94CA4" w:rsidRDefault="00CD2FC7">
            <w:pPr>
              <w:spacing w:before="80" w:after="80"/>
            </w:pPr>
            <w:r>
              <w:rPr>
                <w:color w:val="2C2C2A"/>
                <w:sz w:val="18"/>
                <w:szCs w:val="18"/>
              </w:rPr>
              <w:t>June 2026 (concurrent with D3)</w:t>
            </w:r>
          </w:p>
        </w:tc>
        <w:tc>
          <w:tcPr>
            <w:tcW w:w="150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2DD447F9" w14:textId="77777777" w:rsidR="00B94CA4" w:rsidRDefault="00CD2FC7">
            <w:pPr>
              <w:spacing w:before="80" w:after="80"/>
            </w:pPr>
            <w:r>
              <w:rPr>
                <w:color w:val="2C2C2A"/>
                <w:sz w:val="18"/>
                <w:szCs w:val="18"/>
              </w:rPr>
              <w:t>Phase 1</w:t>
            </w:r>
          </w:p>
        </w:tc>
      </w:tr>
      <w:tr w:rsidR="00B94CA4" w14:paraId="454F156F" w14:textId="77777777">
        <w:tc>
          <w:tcPr>
            <w:tcW w:w="380"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18CA1722" w14:textId="77777777" w:rsidR="00B94CA4" w:rsidRDefault="00B94CA4">
            <w:pPr>
              <w:spacing w:before="80" w:after="80"/>
            </w:pPr>
          </w:p>
        </w:tc>
        <w:tc>
          <w:tcPr>
            <w:tcW w:w="3600"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1BE63152" w14:textId="77777777" w:rsidR="00B94CA4" w:rsidRDefault="00CD2FC7">
            <w:pPr>
              <w:spacing w:before="80" w:after="80"/>
            </w:pPr>
            <w:r>
              <w:rPr>
                <w:color w:val="2C2C2A"/>
                <w:sz w:val="18"/>
                <w:szCs w:val="18"/>
              </w:rPr>
              <w:t>Phase 1 subtotal</w:t>
            </w:r>
          </w:p>
        </w:tc>
        <w:tc>
          <w:tcPr>
            <w:tcW w:w="1200"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68FED294" w14:textId="76FCFC8D" w:rsidR="00B94CA4" w:rsidRDefault="00CD2FC7">
            <w:pPr>
              <w:spacing w:before="80" w:after="80"/>
            </w:pPr>
            <w:r>
              <w:rPr>
                <w:color w:val="2C2C2A"/>
                <w:sz w:val="18"/>
                <w:szCs w:val="18"/>
              </w:rPr>
              <w:t>~2</w:t>
            </w:r>
            <w:r w:rsidR="00867725">
              <w:rPr>
                <w:color w:val="2C2C2A"/>
                <w:sz w:val="18"/>
                <w:szCs w:val="18"/>
              </w:rPr>
              <w:t>2</w:t>
            </w:r>
            <w:r>
              <w:rPr>
                <w:color w:val="2C2C2A"/>
                <w:sz w:val="18"/>
                <w:szCs w:val="18"/>
              </w:rPr>
              <w:t xml:space="preserve"> days</w:t>
            </w:r>
          </w:p>
        </w:tc>
        <w:tc>
          <w:tcPr>
            <w:tcW w:w="2680"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12E17606" w14:textId="77777777" w:rsidR="00B94CA4" w:rsidRDefault="00CD2FC7">
            <w:pPr>
              <w:spacing w:before="80" w:after="80"/>
            </w:pPr>
            <w:r>
              <w:rPr>
                <w:color w:val="2C2C2A"/>
                <w:sz w:val="18"/>
                <w:szCs w:val="18"/>
              </w:rPr>
              <w:t>May – July 2026</w:t>
            </w:r>
          </w:p>
        </w:tc>
        <w:tc>
          <w:tcPr>
            <w:tcW w:w="1500"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6E797A20" w14:textId="77777777" w:rsidR="00B94CA4" w:rsidRDefault="00B94CA4">
            <w:pPr>
              <w:spacing w:before="80" w:after="80"/>
            </w:pPr>
          </w:p>
        </w:tc>
      </w:tr>
      <w:tr w:rsidR="00B94CA4" w14:paraId="173F7A90" w14:textId="77777777">
        <w:tc>
          <w:tcPr>
            <w:tcW w:w="38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05F62E40" w14:textId="77777777" w:rsidR="00B94CA4" w:rsidRDefault="00CD2FC7">
            <w:pPr>
              <w:spacing w:before="80" w:after="80"/>
            </w:pPr>
            <w:r>
              <w:rPr>
                <w:b/>
                <w:bCs/>
                <w:color w:val="1F3864"/>
                <w:sz w:val="18"/>
                <w:szCs w:val="18"/>
              </w:rPr>
              <w:t>D6</w:t>
            </w:r>
          </w:p>
        </w:tc>
        <w:tc>
          <w:tcPr>
            <w:tcW w:w="360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50590871" w14:textId="77777777" w:rsidR="00B94CA4" w:rsidRDefault="00CD2FC7">
            <w:pPr>
              <w:spacing w:before="80" w:after="80"/>
            </w:pPr>
            <w:r>
              <w:rPr>
                <w:color w:val="2C2C2A"/>
                <w:sz w:val="18"/>
                <w:szCs w:val="18"/>
              </w:rPr>
              <w:t>Capacity-Building Toolkit and Facilitation Guide</w:t>
            </w:r>
          </w:p>
        </w:tc>
        <w:tc>
          <w:tcPr>
            <w:tcW w:w="120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02A5C3ED" w14:textId="77777777" w:rsidR="00B94CA4" w:rsidRDefault="00CD2FC7">
            <w:pPr>
              <w:spacing w:before="80" w:after="80"/>
            </w:pPr>
            <w:r>
              <w:rPr>
                <w:color w:val="2C2C2A"/>
                <w:sz w:val="18"/>
                <w:szCs w:val="18"/>
              </w:rPr>
              <w:t>6</w:t>
            </w:r>
          </w:p>
        </w:tc>
        <w:tc>
          <w:tcPr>
            <w:tcW w:w="268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2C5A0BA7" w14:textId="77777777" w:rsidR="00B94CA4" w:rsidRDefault="00CD2FC7">
            <w:pPr>
              <w:spacing w:before="80" w:after="80"/>
            </w:pPr>
            <w:r>
              <w:rPr>
                <w:color w:val="2C2C2A"/>
                <w:sz w:val="18"/>
                <w:szCs w:val="18"/>
              </w:rPr>
              <w:t>September 2026</w:t>
            </w:r>
          </w:p>
        </w:tc>
        <w:tc>
          <w:tcPr>
            <w:tcW w:w="150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157DD420" w14:textId="77777777" w:rsidR="00B94CA4" w:rsidRDefault="00CD2FC7">
            <w:pPr>
              <w:spacing w:before="80" w:after="80"/>
            </w:pPr>
            <w:r>
              <w:rPr>
                <w:color w:val="2C2C2A"/>
                <w:sz w:val="18"/>
                <w:szCs w:val="18"/>
              </w:rPr>
              <w:t>Phase 2</w:t>
            </w:r>
          </w:p>
        </w:tc>
      </w:tr>
      <w:tr w:rsidR="00B94CA4" w14:paraId="141CB462" w14:textId="77777777">
        <w:tc>
          <w:tcPr>
            <w:tcW w:w="380"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794D9CDB" w14:textId="77777777" w:rsidR="00B94CA4" w:rsidRDefault="00CD2FC7">
            <w:pPr>
              <w:spacing w:before="80" w:after="80"/>
            </w:pPr>
            <w:r>
              <w:rPr>
                <w:b/>
                <w:bCs/>
                <w:color w:val="1F3864"/>
                <w:sz w:val="18"/>
                <w:szCs w:val="18"/>
              </w:rPr>
              <w:t>D7</w:t>
            </w:r>
          </w:p>
        </w:tc>
        <w:tc>
          <w:tcPr>
            <w:tcW w:w="3600"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318786C1" w14:textId="77777777" w:rsidR="00B94CA4" w:rsidRDefault="00CD2FC7">
            <w:pPr>
              <w:spacing w:before="80" w:after="80"/>
            </w:pPr>
            <w:r>
              <w:rPr>
                <w:color w:val="2C2C2A"/>
                <w:sz w:val="18"/>
                <w:szCs w:val="18"/>
              </w:rPr>
              <w:t>Technical Advisory Notes (min. 8)</w:t>
            </w:r>
          </w:p>
        </w:tc>
        <w:tc>
          <w:tcPr>
            <w:tcW w:w="1200"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37496412" w14:textId="77777777" w:rsidR="00B94CA4" w:rsidRDefault="00CD2FC7">
            <w:pPr>
              <w:spacing w:before="80" w:after="80"/>
            </w:pPr>
            <w:r>
              <w:rPr>
                <w:color w:val="2C2C2A"/>
                <w:sz w:val="18"/>
                <w:szCs w:val="18"/>
              </w:rPr>
              <w:t>8</w:t>
            </w:r>
          </w:p>
        </w:tc>
        <w:tc>
          <w:tcPr>
            <w:tcW w:w="2680"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1590C4BC" w14:textId="77777777" w:rsidR="00B94CA4" w:rsidRDefault="00CD2FC7">
            <w:pPr>
              <w:spacing w:before="80" w:after="80"/>
            </w:pPr>
            <w:r>
              <w:rPr>
                <w:color w:val="2C2C2A"/>
                <w:sz w:val="18"/>
                <w:szCs w:val="18"/>
              </w:rPr>
              <w:t>August 2026 – June 2027 (on request)</w:t>
            </w:r>
          </w:p>
        </w:tc>
        <w:tc>
          <w:tcPr>
            <w:tcW w:w="1500"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6DD80AA1" w14:textId="77777777" w:rsidR="00B94CA4" w:rsidRDefault="00CD2FC7">
            <w:pPr>
              <w:spacing w:before="80" w:after="80"/>
            </w:pPr>
            <w:r>
              <w:rPr>
                <w:color w:val="2C2C2A"/>
                <w:sz w:val="18"/>
                <w:szCs w:val="18"/>
              </w:rPr>
              <w:t>Phase 2</w:t>
            </w:r>
          </w:p>
        </w:tc>
      </w:tr>
      <w:tr w:rsidR="00B94CA4" w14:paraId="5E4B89A4" w14:textId="77777777">
        <w:tc>
          <w:tcPr>
            <w:tcW w:w="38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2C40CAAD" w14:textId="77777777" w:rsidR="00B94CA4" w:rsidRDefault="00CD2FC7">
            <w:pPr>
              <w:spacing w:before="80" w:after="80"/>
            </w:pPr>
            <w:r>
              <w:rPr>
                <w:b/>
                <w:bCs/>
                <w:color w:val="1F3864"/>
                <w:sz w:val="18"/>
                <w:szCs w:val="18"/>
              </w:rPr>
              <w:t>D8</w:t>
            </w:r>
          </w:p>
        </w:tc>
        <w:tc>
          <w:tcPr>
            <w:tcW w:w="360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4CAC15BB" w14:textId="77777777" w:rsidR="00B94CA4" w:rsidRDefault="00CD2FC7">
            <w:pPr>
              <w:spacing w:before="80" w:after="80"/>
            </w:pPr>
            <w:r>
              <w:rPr>
                <w:color w:val="2C2C2A"/>
                <w:sz w:val="18"/>
                <w:szCs w:val="18"/>
              </w:rPr>
              <w:t>Semi-Annual GESI Progress Reports (×2)</w:t>
            </w:r>
          </w:p>
        </w:tc>
        <w:tc>
          <w:tcPr>
            <w:tcW w:w="120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00CA7A55" w14:textId="77777777" w:rsidR="00B94CA4" w:rsidRDefault="00CD2FC7">
            <w:pPr>
              <w:spacing w:before="80" w:after="80"/>
            </w:pPr>
            <w:r>
              <w:rPr>
                <w:color w:val="2C2C2A"/>
                <w:sz w:val="18"/>
                <w:szCs w:val="18"/>
              </w:rPr>
              <w:t>4</w:t>
            </w:r>
          </w:p>
        </w:tc>
        <w:tc>
          <w:tcPr>
            <w:tcW w:w="268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72C3C8B9" w14:textId="77777777" w:rsidR="00B94CA4" w:rsidRDefault="00CD2FC7">
            <w:pPr>
              <w:spacing w:before="80" w:after="80"/>
            </w:pPr>
            <w:r>
              <w:rPr>
                <w:color w:val="2C2C2A"/>
                <w:sz w:val="18"/>
                <w:szCs w:val="18"/>
              </w:rPr>
              <w:t>December 2026 + June 2027</w:t>
            </w:r>
          </w:p>
        </w:tc>
        <w:tc>
          <w:tcPr>
            <w:tcW w:w="150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5BF843BD" w14:textId="77777777" w:rsidR="00B94CA4" w:rsidRDefault="00CD2FC7">
            <w:pPr>
              <w:spacing w:before="80" w:after="80"/>
            </w:pPr>
            <w:r>
              <w:rPr>
                <w:color w:val="2C2C2A"/>
                <w:sz w:val="18"/>
                <w:szCs w:val="18"/>
              </w:rPr>
              <w:t>Phase 2</w:t>
            </w:r>
          </w:p>
        </w:tc>
      </w:tr>
      <w:tr w:rsidR="00B94CA4" w14:paraId="7A306C68" w14:textId="77777777">
        <w:tc>
          <w:tcPr>
            <w:tcW w:w="380"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12EC4C92" w14:textId="77777777" w:rsidR="00B94CA4" w:rsidRDefault="00CD2FC7">
            <w:pPr>
              <w:spacing w:before="80" w:after="80"/>
            </w:pPr>
            <w:r>
              <w:rPr>
                <w:b/>
                <w:bCs/>
                <w:color w:val="1F3864"/>
                <w:sz w:val="18"/>
                <w:szCs w:val="18"/>
              </w:rPr>
              <w:t>D9</w:t>
            </w:r>
          </w:p>
        </w:tc>
        <w:tc>
          <w:tcPr>
            <w:tcW w:w="3600"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0E423769" w14:textId="77777777" w:rsidR="00B94CA4" w:rsidRDefault="00CD2FC7">
            <w:pPr>
              <w:spacing w:before="80" w:after="80"/>
            </w:pPr>
            <w:r>
              <w:rPr>
                <w:color w:val="2C2C2A"/>
                <w:sz w:val="18"/>
                <w:szCs w:val="18"/>
              </w:rPr>
              <w:t>Annual GAP Review and Update</w:t>
            </w:r>
          </w:p>
        </w:tc>
        <w:tc>
          <w:tcPr>
            <w:tcW w:w="1200"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1D547DBB" w14:textId="77777777" w:rsidR="00B94CA4" w:rsidRDefault="00CD2FC7">
            <w:pPr>
              <w:spacing w:before="80" w:after="80"/>
            </w:pPr>
            <w:r>
              <w:rPr>
                <w:color w:val="2C2C2A"/>
                <w:sz w:val="18"/>
                <w:szCs w:val="18"/>
              </w:rPr>
              <w:t>4</w:t>
            </w:r>
          </w:p>
        </w:tc>
        <w:tc>
          <w:tcPr>
            <w:tcW w:w="2680"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4D682674" w14:textId="77777777" w:rsidR="00B94CA4" w:rsidRDefault="00CD2FC7">
            <w:pPr>
              <w:spacing w:before="80" w:after="80"/>
            </w:pPr>
            <w:r>
              <w:rPr>
                <w:color w:val="2C2C2A"/>
                <w:sz w:val="18"/>
                <w:szCs w:val="18"/>
              </w:rPr>
              <w:t>December 2026</w:t>
            </w:r>
          </w:p>
        </w:tc>
        <w:tc>
          <w:tcPr>
            <w:tcW w:w="1500"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2F9820D6" w14:textId="77777777" w:rsidR="00B94CA4" w:rsidRDefault="00CD2FC7">
            <w:pPr>
              <w:spacing w:before="80" w:after="80"/>
            </w:pPr>
            <w:r>
              <w:rPr>
                <w:color w:val="2C2C2A"/>
                <w:sz w:val="18"/>
                <w:szCs w:val="18"/>
              </w:rPr>
              <w:t>Phase 2</w:t>
            </w:r>
          </w:p>
        </w:tc>
      </w:tr>
      <w:tr w:rsidR="00B94CA4" w14:paraId="3478FC10" w14:textId="77777777">
        <w:tc>
          <w:tcPr>
            <w:tcW w:w="38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2EBBDA9A" w14:textId="77777777" w:rsidR="00B94CA4" w:rsidRDefault="00CD2FC7">
            <w:pPr>
              <w:spacing w:before="80" w:after="80"/>
            </w:pPr>
            <w:r>
              <w:rPr>
                <w:b/>
                <w:bCs/>
                <w:color w:val="1F3864"/>
                <w:sz w:val="18"/>
                <w:szCs w:val="18"/>
              </w:rPr>
              <w:t>D10</w:t>
            </w:r>
          </w:p>
        </w:tc>
        <w:tc>
          <w:tcPr>
            <w:tcW w:w="360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77BE137E" w14:textId="77777777" w:rsidR="00B94CA4" w:rsidRDefault="00CD2FC7">
            <w:pPr>
              <w:spacing w:before="80" w:after="80"/>
            </w:pPr>
            <w:r>
              <w:rPr>
                <w:color w:val="2C2C2A"/>
                <w:sz w:val="18"/>
                <w:szCs w:val="18"/>
              </w:rPr>
              <w:t>Annual Field Mission Reports</w:t>
            </w:r>
          </w:p>
        </w:tc>
        <w:tc>
          <w:tcPr>
            <w:tcW w:w="120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51FEC8E6" w14:textId="77777777" w:rsidR="00B94CA4" w:rsidRDefault="00CD2FC7">
            <w:pPr>
              <w:spacing w:before="80" w:after="80"/>
            </w:pPr>
            <w:r>
              <w:rPr>
                <w:color w:val="2C2C2A"/>
                <w:sz w:val="18"/>
                <w:szCs w:val="18"/>
              </w:rPr>
              <w:t>5</w:t>
            </w:r>
          </w:p>
        </w:tc>
        <w:tc>
          <w:tcPr>
            <w:tcW w:w="268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366E10C6" w14:textId="77777777" w:rsidR="00B94CA4" w:rsidRDefault="00CD2FC7">
            <w:pPr>
              <w:spacing w:before="80" w:after="80"/>
            </w:pPr>
            <w:r>
              <w:rPr>
                <w:color w:val="2C2C2A"/>
                <w:sz w:val="18"/>
                <w:szCs w:val="18"/>
              </w:rPr>
              <w:t>Within 15 days of each mission</w:t>
            </w:r>
          </w:p>
        </w:tc>
        <w:tc>
          <w:tcPr>
            <w:tcW w:w="150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37864104" w14:textId="77777777" w:rsidR="00B94CA4" w:rsidRDefault="00CD2FC7">
            <w:pPr>
              <w:spacing w:before="80" w:after="80"/>
            </w:pPr>
            <w:r>
              <w:rPr>
                <w:color w:val="2C2C2A"/>
                <w:sz w:val="18"/>
                <w:szCs w:val="18"/>
              </w:rPr>
              <w:t>Phase 2</w:t>
            </w:r>
          </w:p>
        </w:tc>
      </w:tr>
      <w:tr w:rsidR="00B94CA4" w14:paraId="13F6E5DF" w14:textId="77777777">
        <w:tc>
          <w:tcPr>
            <w:tcW w:w="380"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206AC1D7" w14:textId="77777777" w:rsidR="00B94CA4" w:rsidRDefault="00B94CA4">
            <w:pPr>
              <w:spacing w:before="80" w:after="80"/>
            </w:pPr>
          </w:p>
        </w:tc>
        <w:tc>
          <w:tcPr>
            <w:tcW w:w="3600"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3A9B0848" w14:textId="77777777" w:rsidR="00B94CA4" w:rsidRDefault="00CD2FC7">
            <w:pPr>
              <w:spacing w:before="80" w:after="80"/>
            </w:pPr>
            <w:r>
              <w:rPr>
                <w:color w:val="2C2C2A"/>
                <w:sz w:val="18"/>
                <w:szCs w:val="18"/>
              </w:rPr>
              <w:t>Phase 2 subtotal</w:t>
            </w:r>
          </w:p>
        </w:tc>
        <w:tc>
          <w:tcPr>
            <w:tcW w:w="1200"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68998E51" w14:textId="77777777" w:rsidR="00B94CA4" w:rsidRDefault="00CD2FC7">
            <w:pPr>
              <w:spacing w:before="80" w:after="80"/>
            </w:pPr>
            <w:r>
              <w:rPr>
                <w:color w:val="2C2C2A"/>
                <w:sz w:val="18"/>
                <w:szCs w:val="18"/>
              </w:rPr>
              <w:t>~30 days</w:t>
            </w:r>
          </w:p>
        </w:tc>
        <w:tc>
          <w:tcPr>
            <w:tcW w:w="2680"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65F5A34C" w14:textId="77777777" w:rsidR="00B94CA4" w:rsidRDefault="00CD2FC7">
            <w:pPr>
              <w:spacing w:before="80" w:after="80"/>
            </w:pPr>
            <w:r>
              <w:rPr>
                <w:color w:val="2C2C2A"/>
                <w:sz w:val="18"/>
                <w:szCs w:val="18"/>
              </w:rPr>
              <w:t>August 2026 – June 2027</w:t>
            </w:r>
          </w:p>
        </w:tc>
        <w:tc>
          <w:tcPr>
            <w:tcW w:w="1500"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1B868DB4" w14:textId="77777777" w:rsidR="00B94CA4" w:rsidRDefault="00B94CA4">
            <w:pPr>
              <w:spacing w:before="80" w:after="80"/>
            </w:pPr>
          </w:p>
        </w:tc>
      </w:tr>
      <w:tr w:rsidR="00B94CA4" w14:paraId="4C80971A" w14:textId="77777777">
        <w:tc>
          <w:tcPr>
            <w:tcW w:w="38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01DD4753" w14:textId="77777777" w:rsidR="00B94CA4" w:rsidRDefault="00B94CA4">
            <w:pPr>
              <w:spacing w:before="80" w:after="80"/>
            </w:pPr>
          </w:p>
        </w:tc>
        <w:tc>
          <w:tcPr>
            <w:tcW w:w="360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2105EE2E" w14:textId="77777777" w:rsidR="00B94CA4" w:rsidRDefault="00CD2FC7">
            <w:pPr>
              <w:spacing w:before="80" w:after="80"/>
            </w:pPr>
            <w:r>
              <w:rPr>
                <w:color w:val="2C2C2A"/>
                <w:sz w:val="18"/>
                <w:szCs w:val="18"/>
              </w:rPr>
              <w:t>TOTAL</w:t>
            </w:r>
          </w:p>
        </w:tc>
        <w:tc>
          <w:tcPr>
            <w:tcW w:w="120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7B8F28EF" w14:textId="3EA0FA23" w:rsidR="00B94CA4" w:rsidRDefault="00CD2FC7">
            <w:pPr>
              <w:spacing w:before="80" w:after="80"/>
            </w:pPr>
            <w:r>
              <w:rPr>
                <w:color w:val="2C2C2A"/>
                <w:sz w:val="18"/>
                <w:szCs w:val="18"/>
              </w:rPr>
              <w:t>~5</w:t>
            </w:r>
            <w:r w:rsidR="00867725">
              <w:rPr>
                <w:color w:val="2C2C2A"/>
                <w:sz w:val="18"/>
                <w:szCs w:val="18"/>
              </w:rPr>
              <w:t>2</w:t>
            </w:r>
            <w:r>
              <w:rPr>
                <w:color w:val="2C2C2A"/>
                <w:sz w:val="18"/>
                <w:szCs w:val="18"/>
              </w:rPr>
              <w:t xml:space="preserve"> working days</w:t>
            </w:r>
          </w:p>
        </w:tc>
        <w:tc>
          <w:tcPr>
            <w:tcW w:w="268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3E2261F2" w14:textId="77777777" w:rsidR="00B94CA4" w:rsidRDefault="00CD2FC7">
            <w:pPr>
              <w:spacing w:before="80" w:after="80"/>
            </w:pPr>
            <w:r>
              <w:rPr>
                <w:color w:val="2C2C2A"/>
                <w:sz w:val="18"/>
                <w:szCs w:val="18"/>
              </w:rPr>
              <w:t>May 2026 – June 2027</w:t>
            </w:r>
          </w:p>
        </w:tc>
        <w:tc>
          <w:tcPr>
            <w:tcW w:w="150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481443FA" w14:textId="77777777" w:rsidR="00B94CA4" w:rsidRDefault="00B94CA4">
            <w:pPr>
              <w:spacing w:before="80" w:after="80"/>
            </w:pPr>
          </w:p>
        </w:tc>
      </w:tr>
    </w:tbl>
    <w:p w14:paraId="7C318CA5" w14:textId="77777777" w:rsidR="00B94CA4" w:rsidRDefault="00B94CA4">
      <w:pPr>
        <w:spacing w:before="200"/>
      </w:pPr>
    </w:p>
    <w:p w14:paraId="13ED8BBB" w14:textId="77777777" w:rsidR="00B94CA4" w:rsidRDefault="00CD2FC7">
      <w:r>
        <w:br w:type="page"/>
      </w:r>
    </w:p>
    <w:p w14:paraId="1B164D18" w14:textId="77777777" w:rsidR="00B94CA4" w:rsidRDefault="00CD2FC7">
      <w:pPr>
        <w:pBdr>
          <w:bottom w:val="single" w:sz="6" w:space="1" w:color="2E75B6"/>
        </w:pBdr>
        <w:spacing w:before="280" w:after="100"/>
      </w:pPr>
      <w:r>
        <w:rPr>
          <w:b/>
          <w:bCs/>
          <w:color w:val="1F3864"/>
          <w:sz w:val="22"/>
          <w:szCs w:val="22"/>
        </w:rPr>
        <w:lastRenderedPageBreak/>
        <w:t>VII.  Methodology</w:t>
      </w:r>
    </w:p>
    <w:p w14:paraId="4198421F" w14:textId="77777777" w:rsidR="00B94CA4" w:rsidRDefault="00CD2FC7" w:rsidP="00867725">
      <w:pPr>
        <w:spacing w:before="70" w:after="70"/>
        <w:jc w:val="both"/>
      </w:pPr>
      <w:r>
        <w:rPr>
          <w:color w:val="2C2C2A"/>
        </w:rPr>
        <w:t xml:space="preserve">The Expert will submit a detailed methodology proposal as part of D1 (Inception Report), for </w:t>
      </w:r>
      <w:proofErr w:type="spellStart"/>
      <w:r>
        <w:rPr>
          <w:color w:val="2C2C2A"/>
        </w:rPr>
        <w:t>Programme</w:t>
      </w:r>
      <w:proofErr w:type="spellEnd"/>
      <w:r>
        <w:rPr>
          <w:color w:val="2C2C2A"/>
        </w:rPr>
        <w:t xml:space="preserve"> Manager approval before fieldwork commences. The methodology must integrate all of the following:</w:t>
      </w:r>
    </w:p>
    <w:p w14:paraId="092D8624" w14:textId="77777777" w:rsidR="00B94CA4" w:rsidRDefault="00B94CA4">
      <w:pPr>
        <w:spacing w:before="60"/>
      </w:pPr>
    </w:p>
    <w:p w14:paraId="327FD59E" w14:textId="77777777" w:rsidR="00B94CA4" w:rsidRDefault="00CD2FC7" w:rsidP="00867725">
      <w:pPr>
        <w:pStyle w:val="Paragraphedeliste"/>
        <w:numPr>
          <w:ilvl w:val="0"/>
          <w:numId w:val="2"/>
        </w:numPr>
        <w:spacing w:before="50" w:after="50"/>
        <w:jc w:val="both"/>
      </w:pPr>
      <w:r>
        <w:rPr>
          <w:color w:val="2C2C2A"/>
        </w:rPr>
        <w:t>A rights-based, participatory approach — women, youth, and PWDs as analytical contributors, not data subjects;</w:t>
      </w:r>
    </w:p>
    <w:p w14:paraId="6D32CD43" w14:textId="77777777" w:rsidR="00B94CA4" w:rsidRDefault="00CD2FC7" w:rsidP="00867725">
      <w:pPr>
        <w:pStyle w:val="Paragraphedeliste"/>
        <w:numPr>
          <w:ilvl w:val="0"/>
          <w:numId w:val="2"/>
        </w:numPr>
        <w:spacing w:before="50" w:after="50"/>
        <w:jc w:val="both"/>
      </w:pPr>
      <w:r>
        <w:rPr>
          <w:color w:val="2C2C2A"/>
        </w:rPr>
        <w:t>A market-oriented analytical lens — identifying commercially viable opportunities for women at each value chain node, not only documenting barriers;</w:t>
      </w:r>
    </w:p>
    <w:p w14:paraId="50F96C63" w14:textId="77777777" w:rsidR="00B94CA4" w:rsidRDefault="00CD2FC7" w:rsidP="00867725">
      <w:pPr>
        <w:pStyle w:val="Paragraphedeliste"/>
        <w:numPr>
          <w:ilvl w:val="0"/>
          <w:numId w:val="2"/>
        </w:numPr>
        <w:spacing w:before="50" w:after="50"/>
        <w:jc w:val="both"/>
      </w:pPr>
      <w:r>
        <w:rPr>
          <w:color w:val="2C2C2A"/>
        </w:rPr>
        <w:t>Mixed quantitative and qualitative methods with mandatory sex, age, and disability disaggregation of all primary data;</w:t>
      </w:r>
    </w:p>
    <w:p w14:paraId="0BC00548" w14:textId="77777777" w:rsidR="00B94CA4" w:rsidRDefault="00CD2FC7" w:rsidP="00867725">
      <w:pPr>
        <w:pStyle w:val="Paragraphedeliste"/>
        <w:numPr>
          <w:ilvl w:val="0"/>
          <w:numId w:val="2"/>
        </w:numPr>
        <w:spacing w:before="50" w:after="50"/>
        <w:jc w:val="both"/>
      </w:pPr>
      <w:r>
        <w:rPr>
          <w:color w:val="2C2C2A"/>
        </w:rPr>
        <w:t xml:space="preserve">An intersectional lens — gender, age, disability, geography, and economic status </w:t>
      </w:r>
      <w:proofErr w:type="spellStart"/>
      <w:r>
        <w:rPr>
          <w:color w:val="2C2C2A"/>
        </w:rPr>
        <w:t>analysed</w:t>
      </w:r>
      <w:proofErr w:type="spellEnd"/>
      <w:r>
        <w:rPr>
          <w:color w:val="2C2C2A"/>
        </w:rPr>
        <w:t xml:space="preserve"> in combination;</w:t>
      </w:r>
    </w:p>
    <w:p w14:paraId="60976389" w14:textId="77777777" w:rsidR="00B94CA4" w:rsidRDefault="00CD2FC7" w:rsidP="00867725">
      <w:pPr>
        <w:pStyle w:val="Paragraphedeliste"/>
        <w:numPr>
          <w:ilvl w:val="0"/>
          <w:numId w:val="2"/>
        </w:numPr>
        <w:spacing w:before="50" w:after="50"/>
        <w:jc w:val="both"/>
      </w:pPr>
      <w:r>
        <w:rPr>
          <w:color w:val="2C2C2A"/>
        </w:rPr>
        <w:t>Separate FGDs for men and women — to surface household and community decision-making dynamics that mixed-group sessions suppress;</w:t>
      </w:r>
    </w:p>
    <w:p w14:paraId="2AD26A71" w14:textId="77777777" w:rsidR="00B94CA4" w:rsidRDefault="00CD2FC7" w:rsidP="00867725">
      <w:pPr>
        <w:pStyle w:val="Paragraphedeliste"/>
        <w:numPr>
          <w:ilvl w:val="0"/>
          <w:numId w:val="2"/>
        </w:numPr>
        <w:spacing w:before="50" w:after="50"/>
        <w:jc w:val="both"/>
      </w:pPr>
      <w:r>
        <w:rPr>
          <w:color w:val="2C2C2A"/>
        </w:rPr>
        <w:t xml:space="preserve">A male engagement methodology — identifying entry points for </w:t>
      </w:r>
      <w:proofErr w:type="spellStart"/>
      <w:r>
        <w:rPr>
          <w:color w:val="2C2C2A"/>
        </w:rPr>
        <w:t>behaviour</w:t>
      </w:r>
      <w:proofErr w:type="spellEnd"/>
      <w:r>
        <w:rPr>
          <w:color w:val="2C2C2A"/>
        </w:rPr>
        <w:t xml:space="preserve"> change at household and community level in each project county;</w:t>
      </w:r>
    </w:p>
    <w:p w14:paraId="654A4B90" w14:textId="77777777" w:rsidR="00B94CA4" w:rsidRDefault="00CD2FC7" w:rsidP="00867725">
      <w:pPr>
        <w:pStyle w:val="Paragraphedeliste"/>
        <w:numPr>
          <w:ilvl w:val="0"/>
          <w:numId w:val="2"/>
        </w:numPr>
        <w:spacing w:before="50" w:after="50"/>
        <w:jc w:val="both"/>
      </w:pPr>
      <w:r>
        <w:rPr>
          <w:color w:val="2C2C2A"/>
        </w:rPr>
        <w:t>A theory-of-change framework tracking from inputs to structural changes in market participation, asset ownership, and decision-making power — not activity counts or attendance figures;</w:t>
      </w:r>
    </w:p>
    <w:p w14:paraId="6E41BD55" w14:textId="77777777" w:rsidR="00B94CA4" w:rsidRDefault="00CD2FC7" w:rsidP="00867725">
      <w:pPr>
        <w:pStyle w:val="Paragraphedeliste"/>
        <w:numPr>
          <w:ilvl w:val="0"/>
          <w:numId w:val="2"/>
        </w:numPr>
        <w:spacing w:before="50" w:after="50"/>
        <w:jc w:val="both"/>
      </w:pPr>
      <w:r>
        <w:rPr>
          <w:color w:val="2C2C2A"/>
        </w:rPr>
        <w:t>Coordination protocols with ILO gender specialists, the MEAL Manager, the aquaculture component lead, and complementary external initiatives;</w:t>
      </w:r>
    </w:p>
    <w:p w14:paraId="6B0966E7" w14:textId="77777777" w:rsidR="00B94CA4" w:rsidRDefault="00CD2FC7" w:rsidP="00867725">
      <w:pPr>
        <w:pStyle w:val="Paragraphedeliste"/>
        <w:numPr>
          <w:ilvl w:val="0"/>
          <w:numId w:val="2"/>
        </w:numPr>
        <w:spacing w:before="50" w:after="50"/>
        <w:jc w:val="both"/>
      </w:pPr>
      <w:r>
        <w:rPr>
          <w:color w:val="2C2C2A"/>
        </w:rPr>
        <w:t>An adaptive management mechanism enabling real-time updates to the GAP and GESI tools based on emerging evidence.</w:t>
      </w:r>
    </w:p>
    <w:p w14:paraId="62BDA407" w14:textId="77777777" w:rsidR="00B94CA4" w:rsidRDefault="00B94CA4">
      <w:pPr>
        <w:spacing w:before="80"/>
      </w:pPr>
    </w:p>
    <w:p w14:paraId="204A80FA" w14:textId="77777777" w:rsidR="00B94CA4" w:rsidRDefault="00CD2FC7" w:rsidP="00867725">
      <w:pPr>
        <w:spacing w:before="70" w:after="70"/>
        <w:jc w:val="both"/>
      </w:pPr>
      <w:r>
        <w:rPr>
          <w:color w:val="2C2C2A"/>
        </w:rPr>
        <w:t xml:space="preserve">A methodology scoping session will be convened within the first week of mobilization — Expert, </w:t>
      </w:r>
      <w:proofErr w:type="spellStart"/>
      <w:r>
        <w:rPr>
          <w:color w:val="2C2C2A"/>
        </w:rPr>
        <w:t>Programme</w:t>
      </w:r>
      <w:proofErr w:type="spellEnd"/>
      <w:r>
        <w:rPr>
          <w:color w:val="2C2C2A"/>
        </w:rPr>
        <w:t xml:space="preserve"> Manager, ILO gender focal point, MEAL Manager, value chain coordinators, and aquaculture component lead — to confirm the approach, align timelines, and agree the detailed </w:t>
      </w:r>
      <w:proofErr w:type="spellStart"/>
      <w:r>
        <w:rPr>
          <w:color w:val="2C2C2A"/>
        </w:rPr>
        <w:t>workplan</w:t>
      </w:r>
      <w:proofErr w:type="spellEnd"/>
      <w:r>
        <w:rPr>
          <w:color w:val="2C2C2A"/>
        </w:rPr>
        <w:t xml:space="preserve"> for Phase 1.</w:t>
      </w:r>
    </w:p>
    <w:p w14:paraId="6542C7E4" w14:textId="77777777" w:rsidR="00B94CA4" w:rsidRDefault="00B94CA4">
      <w:pPr>
        <w:spacing w:before="200"/>
      </w:pPr>
    </w:p>
    <w:p w14:paraId="4DFB6432" w14:textId="77777777" w:rsidR="00B94CA4" w:rsidRDefault="00CD2FC7">
      <w:r>
        <w:br w:type="page"/>
      </w:r>
    </w:p>
    <w:p w14:paraId="403FC15C" w14:textId="77777777" w:rsidR="00B94CA4" w:rsidRDefault="00CD2FC7">
      <w:pPr>
        <w:pBdr>
          <w:bottom w:val="single" w:sz="6" w:space="1" w:color="2E75B6"/>
        </w:pBdr>
        <w:spacing w:before="280" w:after="100"/>
      </w:pPr>
      <w:r>
        <w:rPr>
          <w:b/>
          <w:bCs/>
          <w:color w:val="1F3864"/>
          <w:sz w:val="22"/>
          <w:szCs w:val="22"/>
        </w:rPr>
        <w:lastRenderedPageBreak/>
        <w:t>VIII.  Required Qualifications</w:t>
      </w:r>
    </w:p>
    <w:p w14:paraId="68E9AF2D" w14:textId="77777777" w:rsidR="00B94CA4" w:rsidRDefault="00CD2FC7">
      <w:pPr>
        <w:spacing w:before="180" w:after="70"/>
      </w:pPr>
      <w:r>
        <w:rPr>
          <w:b/>
          <w:bCs/>
          <w:color w:val="0F6E56"/>
        </w:rPr>
        <w:t>Education</w:t>
      </w:r>
    </w:p>
    <w:p w14:paraId="67F2397F" w14:textId="77777777" w:rsidR="00B94CA4" w:rsidRDefault="00CD2FC7" w:rsidP="00F35AFE">
      <w:pPr>
        <w:spacing w:before="70" w:after="70"/>
        <w:jc w:val="both"/>
      </w:pPr>
      <w:r>
        <w:rPr>
          <w:color w:val="2C2C2A"/>
        </w:rPr>
        <w:t>Master's degree or equivalent in gender studies, development economics, international development, anthropology, public policy, or a related field. A first degree in a technical discipline (agronomy, law, business) combined with postgraduate specialization in gender and social inclusion is equally acceptable.</w:t>
      </w:r>
    </w:p>
    <w:p w14:paraId="5294A968" w14:textId="77777777" w:rsidR="00B94CA4" w:rsidRDefault="00B94CA4">
      <w:pPr>
        <w:spacing w:before="60"/>
      </w:pPr>
    </w:p>
    <w:p w14:paraId="2C33E6AE" w14:textId="77777777" w:rsidR="00B94CA4" w:rsidRDefault="00CD2FC7">
      <w:pPr>
        <w:spacing w:before="180" w:after="70"/>
      </w:pPr>
      <w:r>
        <w:rPr>
          <w:b/>
          <w:bCs/>
          <w:color w:val="0F6E56"/>
        </w:rPr>
        <w:t>Experience — mandatory requirements</w:t>
      </w:r>
    </w:p>
    <w:p w14:paraId="5E256A44" w14:textId="77777777" w:rsidR="00B94CA4" w:rsidRDefault="00CD2FC7">
      <w:pPr>
        <w:pStyle w:val="Paragraphedeliste"/>
        <w:numPr>
          <w:ilvl w:val="0"/>
          <w:numId w:val="2"/>
        </w:numPr>
        <w:spacing w:before="50" w:after="50"/>
      </w:pPr>
      <w:r>
        <w:rPr>
          <w:color w:val="2C2C2A"/>
        </w:rPr>
        <w:t>Minimum 7 years of professional experience in gender equality, social inclusion, and economic development — with demonstrated specialization in private sector development or agricultural value chains, not exclusively social protection or health;</w:t>
      </w:r>
    </w:p>
    <w:p w14:paraId="5C6A905D" w14:textId="77777777" w:rsidR="00B94CA4" w:rsidRDefault="00CD2FC7">
      <w:pPr>
        <w:pStyle w:val="Paragraphedeliste"/>
        <w:numPr>
          <w:ilvl w:val="0"/>
          <w:numId w:val="2"/>
        </w:numPr>
        <w:spacing w:before="50" w:after="50"/>
      </w:pPr>
      <w:r>
        <w:rPr>
          <w:color w:val="2C2C2A"/>
        </w:rPr>
        <w:t xml:space="preserve">Proven experience designing and implementing gender mainstreaming in EU-funded or equivalent major donor-funded </w:t>
      </w:r>
      <w:proofErr w:type="spellStart"/>
      <w:r>
        <w:rPr>
          <w:color w:val="2C2C2A"/>
        </w:rPr>
        <w:t>programmes</w:t>
      </w:r>
      <w:proofErr w:type="spellEnd"/>
      <w:r>
        <w:rPr>
          <w:color w:val="2C2C2A"/>
        </w:rPr>
        <w:t>; demonstrated familiarity with EU GAP III requirements and reporting obligations is essential;</w:t>
      </w:r>
    </w:p>
    <w:p w14:paraId="7F311B92" w14:textId="77777777" w:rsidR="00B94CA4" w:rsidRDefault="00CD2FC7">
      <w:pPr>
        <w:pStyle w:val="Paragraphedeliste"/>
        <w:numPr>
          <w:ilvl w:val="0"/>
          <w:numId w:val="2"/>
        </w:numPr>
        <w:spacing w:before="50" w:after="50"/>
      </w:pPr>
      <w:r>
        <w:rPr>
          <w:color w:val="2C2C2A"/>
        </w:rPr>
        <w:t xml:space="preserve">Demonstrated experience integrating gender analysis into value chain development, MSME competitiveness, access to finance, and investment </w:t>
      </w:r>
      <w:proofErr w:type="spellStart"/>
      <w:r>
        <w:rPr>
          <w:color w:val="2C2C2A"/>
        </w:rPr>
        <w:t>programme</w:t>
      </w:r>
      <w:proofErr w:type="spellEnd"/>
      <w:r>
        <w:rPr>
          <w:color w:val="2C2C2A"/>
        </w:rPr>
        <w:t xml:space="preserve"> design — with evidence of market-oriented outcomes;</w:t>
      </w:r>
    </w:p>
    <w:p w14:paraId="19FB9D70" w14:textId="77777777" w:rsidR="00B94CA4" w:rsidRDefault="00CD2FC7">
      <w:pPr>
        <w:pStyle w:val="Paragraphedeliste"/>
        <w:numPr>
          <w:ilvl w:val="0"/>
          <w:numId w:val="2"/>
        </w:numPr>
        <w:spacing w:before="50" w:after="50"/>
      </w:pPr>
      <w:r>
        <w:rPr>
          <w:color w:val="2C2C2A"/>
        </w:rPr>
        <w:t>Proven experience developing Gender Action Plans compliant with EU, UNDP, or equivalent donor requirements — with evidence of adaptive management and monitoring in practice;</w:t>
      </w:r>
    </w:p>
    <w:p w14:paraId="64D38CA7" w14:textId="77777777" w:rsidR="00B94CA4" w:rsidRDefault="00CD2FC7">
      <w:pPr>
        <w:pStyle w:val="Paragraphedeliste"/>
        <w:numPr>
          <w:ilvl w:val="0"/>
          <w:numId w:val="2"/>
        </w:numPr>
        <w:spacing w:before="50" w:after="50"/>
      </w:pPr>
      <w:r>
        <w:rPr>
          <w:color w:val="2C2C2A"/>
        </w:rPr>
        <w:t xml:space="preserve">Experience with male engagement strategies, household-level </w:t>
      </w:r>
      <w:proofErr w:type="spellStart"/>
      <w:r>
        <w:rPr>
          <w:color w:val="2C2C2A"/>
        </w:rPr>
        <w:t>behaviour</w:t>
      </w:r>
      <w:proofErr w:type="spellEnd"/>
      <w:r>
        <w:rPr>
          <w:color w:val="2C2C2A"/>
        </w:rPr>
        <w:t xml:space="preserve"> change, and community sensitization on gender norms in agricultural or PSD contexts in Sub-Saharan Africa;</w:t>
      </w:r>
    </w:p>
    <w:p w14:paraId="22C7E100" w14:textId="77777777" w:rsidR="00B94CA4" w:rsidRDefault="00CD2FC7">
      <w:pPr>
        <w:pStyle w:val="Paragraphedeliste"/>
        <w:numPr>
          <w:ilvl w:val="0"/>
          <w:numId w:val="2"/>
        </w:numPr>
        <w:spacing w:before="50" w:after="50"/>
      </w:pPr>
      <w:r>
        <w:rPr>
          <w:color w:val="2C2C2A"/>
        </w:rPr>
        <w:t>Demonstrated experience conducting field-based gender assessments using mixed methods — structured surveys, separate-gender KIIs and FGDs — in resource-constrained settings;</w:t>
      </w:r>
    </w:p>
    <w:p w14:paraId="690F79EA" w14:textId="77777777" w:rsidR="00B94CA4" w:rsidRDefault="00CD2FC7">
      <w:pPr>
        <w:pStyle w:val="Paragraphedeliste"/>
        <w:numPr>
          <w:ilvl w:val="0"/>
          <w:numId w:val="2"/>
        </w:numPr>
        <w:spacing w:before="50" w:after="50"/>
      </w:pPr>
      <w:r>
        <w:rPr>
          <w:color w:val="2C2C2A"/>
        </w:rPr>
        <w:t>Experience supporting disability inclusion in economic development settings, with working knowledge of the CRPD and ILO C159;</w:t>
      </w:r>
    </w:p>
    <w:p w14:paraId="11C4F9B3" w14:textId="77777777" w:rsidR="00B94CA4" w:rsidRDefault="00CD2FC7">
      <w:pPr>
        <w:pStyle w:val="Paragraphedeliste"/>
        <w:numPr>
          <w:ilvl w:val="0"/>
          <w:numId w:val="2"/>
        </w:numPr>
        <w:spacing w:before="50" w:after="50"/>
      </w:pPr>
      <w:r>
        <w:rPr>
          <w:color w:val="2C2C2A"/>
        </w:rPr>
        <w:t>Experience contributing to MEAL frameworks, including gender-sensitive indicator design, data disaggregation protocols, and outcome-level measurement;</w:t>
      </w:r>
    </w:p>
    <w:p w14:paraId="4CAC0CE3" w14:textId="5CE1E5B1" w:rsidR="00B94CA4" w:rsidRDefault="00CD2FC7">
      <w:pPr>
        <w:pStyle w:val="Paragraphedeliste"/>
        <w:numPr>
          <w:ilvl w:val="0"/>
          <w:numId w:val="2"/>
        </w:numPr>
        <w:spacing w:before="50" w:after="50"/>
      </w:pPr>
      <w:r>
        <w:rPr>
          <w:color w:val="2C2C2A"/>
        </w:rPr>
        <w:t xml:space="preserve">Substantive prior experience in Liberia is mandatory. Candidates without it will not be considered. Familiarity with </w:t>
      </w:r>
      <w:r w:rsidR="00F35AFE">
        <w:rPr>
          <w:color w:val="2C2C2A"/>
        </w:rPr>
        <w:t xml:space="preserve">CASTRAP, RETRAP, </w:t>
      </w:r>
      <w:r>
        <w:rPr>
          <w:color w:val="2C2C2A"/>
        </w:rPr>
        <w:t>STAR-P Gender Analysis findings is a strong advantage.</w:t>
      </w:r>
    </w:p>
    <w:p w14:paraId="7F773787" w14:textId="77777777" w:rsidR="00B94CA4" w:rsidRDefault="00B94CA4">
      <w:pPr>
        <w:spacing w:before="60"/>
      </w:pPr>
    </w:p>
    <w:p w14:paraId="1B9A38CC" w14:textId="77777777" w:rsidR="00B94CA4" w:rsidRDefault="00CD2FC7">
      <w:pPr>
        <w:spacing w:before="180" w:after="70"/>
      </w:pPr>
      <w:r>
        <w:rPr>
          <w:b/>
          <w:bCs/>
          <w:color w:val="0F6E56"/>
        </w:rPr>
        <w:t>Technical skills</w:t>
      </w:r>
    </w:p>
    <w:p w14:paraId="06819C3E" w14:textId="77777777" w:rsidR="00B94CA4" w:rsidRDefault="00CD2FC7">
      <w:pPr>
        <w:pStyle w:val="Paragraphedeliste"/>
        <w:numPr>
          <w:ilvl w:val="0"/>
          <w:numId w:val="2"/>
        </w:numPr>
        <w:spacing w:before="50" w:after="50"/>
      </w:pPr>
      <w:r>
        <w:rPr>
          <w:color w:val="2C2C2A"/>
        </w:rPr>
        <w:t>Market-oriented gender analysis — identifying commercially viable opportunities for women at each value chain node;</w:t>
      </w:r>
    </w:p>
    <w:p w14:paraId="3553977E" w14:textId="77777777" w:rsidR="00B94CA4" w:rsidRDefault="00CD2FC7">
      <w:pPr>
        <w:pStyle w:val="Paragraphedeliste"/>
        <w:numPr>
          <w:ilvl w:val="0"/>
          <w:numId w:val="2"/>
        </w:numPr>
        <w:spacing w:before="50" w:after="50"/>
      </w:pPr>
      <w:r>
        <w:rPr>
          <w:color w:val="2C2C2A"/>
        </w:rPr>
        <w:t>Analytical writing for EU donor, government, private sector, and community audiences — concise, evidence-based, decision-ready;</w:t>
      </w:r>
    </w:p>
    <w:p w14:paraId="62E7939D" w14:textId="77777777" w:rsidR="00B94CA4" w:rsidRDefault="00CD2FC7">
      <w:pPr>
        <w:pStyle w:val="Paragraphedeliste"/>
        <w:numPr>
          <w:ilvl w:val="0"/>
          <w:numId w:val="2"/>
        </w:numPr>
        <w:spacing w:before="50" w:after="50"/>
      </w:pPr>
      <w:r>
        <w:rPr>
          <w:color w:val="2C2C2A"/>
        </w:rPr>
        <w:t>Facilitation of technical workshops and community-level participatory processes across diverse and multi-lingual settings;</w:t>
      </w:r>
    </w:p>
    <w:p w14:paraId="6916DBE1" w14:textId="77777777" w:rsidR="00B94CA4" w:rsidRDefault="00CD2FC7">
      <w:pPr>
        <w:pStyle w:val="Paragraphedeliste"/>
        <w:numPr>
          <w:ilvl w:val="0"/>
          <w:numId w:val="2"/>
        </w:numPr>
        <w:spacing w:before="50" w:after="50"/>
      </w:pPr>
      <w:r>
        <w:rPr>
          <w:color w:val="2C2C2A"/>
        </w:rPr>
        <w:t>Intersectional analysis — gender, age, disability, geography, and economic status applied simultaneously;</w:t>
      </w:r>
    </w:p>
    <w:p w14:paraId="2CFE2B85" w14:textId="77777777" w:rsidR="00B94CA4" w:rsidRDefault="00CD2FC7">
      <w:pPr>
        <w:pStyle w:val="Paragraphedeliste"/>
        <w:numPr>
          <w:ilvl w:val="0"/>
          <w:numId w:val="2"/>
        </w:numPr>
        <w:spacing w:before="50" w:after="50"/>
      </w:pPr>
      <w:r>
        <w:rPr>
          <w:color w:val="2C2C2A"/>
        </w:rPr>
        <w:t>Knowledge of EU GAP III, CEDAW, SDG 5 and 8, ECOWAS Gender Policy, AU GEWE, and Liberia's national gender policy architecture;</w:t>
      </w:r>
    </w:p>
    <w:p w14:paraId="2DD84C8F" w14:textId="77777777" w:rsidR="00B94CA4" w:rsidRDefault="00CD2FC7">
      <w:pPr>
        <w:pStyle w:val="Paragraphedeliste"/>
        <w:numPr>
          <w:ilvl w:val="0"/>
          <w:numId w:val="2"/>
        </w:numPr>
        <w:spacing w:before="50" w:after="50"/>
      </w:pPr>
      <w:r>
        <w:rPr>
          <w:color w:val="2C2C2A"/>
        </w:rPr>
        <w:t>Organizational capacity to manage a phased, multi-deliverable consultancy across two phases with substantial autonomy;</w:t>
      </w:r>
    </w:p>
    <w:p w14:paraId="5DFDC91D" w14:textId="77777777" w:rsidR="00B94CA4" w:rsidRDefault="00CD2FC7">
      <w:pPr>
        <w:pStyle w:val="Paragraphedeliste"/>
        <w:numPr>
          <w:ilvl w:val="0"/>
          <w:numId w:val="2"/>
        </w:numPr>
        <w:spacing w:before="50" w:after="50"/>
      </w:pPr>
      <w:r>
        <w:rPr>
          <w:color w:val="2C2C2A"/>
        </w:rPr>
        <w:t>Full professional English is mandatory; working knowledge of French is an asset.</w:t>
      </w:r>
    </w:p>
    <w:p w14:paraId="6C193C18" w14:textId="77777777" w:rsidR="00B94CA4" w:rsidRDefault="00B94CA4">
      <w:pPr>
        <w:spacing w:before="200"/>
      </w:pPr>
    </w:p>
    <w:p w14:paraId="1F234767" w14:textId="77777777" w:rsidR="00B94CA4" w:rsidRDefault="00CD2FC7">
      <w:pPr>
        <w:pBdr>
          <w:bottom w:val="single" w:sz="6" w:space="1" w:color="2E75B6"/>
        </w:pBdr>
        <w:spacing w:before="280" w:after="100"/>
      </w:pPr>
      <w:r>
        <w:rPr>
          <w:b/>
          <w:bCs/>
          <w:color w:val="1F3864"/>
          <w:sz w:val="22"/>
          <w:szCs w:val="22"/>
        </w:rPr>
        <w:t>IX.  Reporting Arrangements</w:t>
      </w:r>
    </w:p>
    <w:p w14:paraId="2776F670" w14:textId="77777777" w:rsidR="00B94CA4" w:rsidRDefault="00CD2FC7">
      <w:pPr>
        <w:spacing w:before="70" w:after="70"/>
      </w:pPr>
      <w:r>
        <w:rPr>
          <w:color w:val="2C2C2A"/>
        </w:rPr>
        <w:t xml:space="preserve">The Expert will report directly to the </w:t>
      </w:r>
      <w:proofErr w:type="spellStart"/>
      <w:r>
        <w:rPr>
          <w:color w:val="2C2C2A"/>
        </w:rPr>
        <w:t>Programme</w:t>
      </w:r>
      <w:proofErr w:type="spellEnd"/>
      <w:r>
        <w:rPr>
          <w:color w:val="2C2C2A"/>
        </w:rPr>
        <w:t xml:space="preserve"> Manager, Expertise France Liberia, with technical coordination with the ILO gender focal point. Reporting requirements:</w:t>
      </w:r>
    </w:p>
    <w:p w14:paraId="19D8ED1F" w14:textId="77777777" w:rsidR="00B94CA4" w:rsidRDefault="00B94CA4">
      <w:pPr>
        <w:spacing w:before="60"/>
      </w:pPr>
    </w:p>
    <w:p w14:paraId="320D8E36" w14:textId="77777777" w:rsidR="00B94CA4" w:rsidRDefault="00CD2FC7">
      <w:pPr>
        <w:pStyle w:val="Paragraphedeliste"/>
        <w:numPr>
          <w:ilvl w:val="0"/>
          <w:numId w:val="2"/>
        </w:numPr>
        <w:spacing w:before="50" w:after="50"/>
      </w:pPr>
      <w:r>
        <w:rPr>
          <w:color w:val="2C2C2A"/>
        </w:rPr>
        <w:lastRenderedPageBreak/>
        <w:t xml:space="preserve">Phase 1: weekly brief (written, max. 1 page) to the </w:t>
      </w:r>
      <w:proofErr w:type="spellStart"/>
      <w:r>
        <w:rPr>
          <w:color w:val="2C2C2A"/>
        </w:rPr>
        <w:t>Programme</w:t>
      </w:r>
      <w:proofErr w:type="spellEnd"/>
      <w:r>
        <w:rPr>
          <w:color w:val="2C2C2A"/>
        </w:rPr>
        <w:t xml:space="preserve"> Manager on progress, emerging issues, and upcoming activities;</w:t>
      </w:r>
    </w:p>
    <w:p w14:paraId="4D158030" w14:textId="77777777" w:rsidR="00B94CA4" w:rsidRDefault="00CD2FC7">
      <w:pPr>
        <w:pStyle w:val="Paragraphedeliste"/>
        <w:numPr>
          <w:ilvl w:val="0"/>
          <w:numId w:val="2"/>
        </w:numPr>
        <w:spacing w:before="50" w:after="50"/>
      </w:pPr>
      <w:r>
        <w:rPr>
          <w:color w:val="2C2C2A"/>
        </w:rPr>
        <w:t>Phase 2: bi-weekly brief during active working periods;</w:t>
      </w:r>
    </w:p>
    <w:p w14:paraId="4CE391B8" w14:textId="77777777" w:rsidR="00B94CA4" w:rsidRDefault="00CD2FC7">
      <w:pPr>
        <w:pStyle w:val="Paragraphedeliste"/>
        <w:numPr>
          <w:ilvl w:val="0"/>
          <w:numId w:val="2"/>
        </w:numPr>
        <w:spacing w:before="50" w:after="50"/>
      </w:pPr>
      <w:r>
        <w:rPr>
          <w:color w:val="2C2C2A"/>
        </w:rPr>
        <w:t xml:space="preserve">All deliverables submitted to the </w:t>
      </w:r>
      <w:proofErr w:type="spellStart"/>
      <w:r>
        <w:rPr>
          <w:color w:val="2C2C2A"/>
        </w:rPr>
        <w:t>Programme</w:t>
      </w:r>
      <w:proofErr w:type="spellEnd"/>
      <w:r>
        <w:rPr>
          <w:color w:val="2C2C2A"/>
        </w:rPr>
        <w:t xml:space="preserve"> Manager for review and approval before finalization. MEAL deliverables reviewed jointly with the MEAL Manager;</w:t>
      </w:r>
    </w:p>
    <w:p w14:paraId="515A2958" w14:textId="77777777" w:rsidR="00B94CA4" w:rsidRDefault="00CD2FC7">
      <w:pPr>
        <w:pStyle w:val="Paragraphedeliste"/>
        <w:numPr>
          <w:ilvl w:val="0"/>
          <w:numId w:val="2"/>
        </w:numPr>
        <w:spacing w:before="50" w:after="50"/>
      </w:pPr>
      <w:r>
        <w:rPr>
          <w:color w:val="2C2C2A"/>
        </w:rPr>
        <w:t>Capacity-building sessions coordinated with the relevant component lead and approved at least 10 working days in advance;</w:t>
      </w:r>
    </w:p>
    <w:p w14:paraId="0AF0E538" w14:textId="77777777" w:rsidR="00B94CA4" w:rsidRDefault="00CD2FC7">
      <w:pPr>
        <w:pStyle w:val="Paragraphedeliste"/>
        <w:numPr>
          <w:ilvl w:val="0"/>
          <w:numId w:val="2"/>
        </w:numPr>
        <w:spacing w:before="50" w:after="50"/>
      </w:pPr>
      <w:r>
        <w:rPr>
          <w:color w:val="2C2C2A"/>
        </w:rPr>
        <w:t xml:space="preserve">Technical Advisory Notes (D7) submitted within 5 working days of receiving a formal request from the </w:t>
      </w:r>
      <w:proofErr w:type="spellStart"/>
      <w:r>
        <w:rPr>
          <w:color w:val="2C2C2A"/>
        </w:rPr>
        <w:t>Programme</w:t>
      </w:r>
      <w:proofErr w:type="spellEnd"/>
      <w:r>
        <w:rPr>
          <w:color w:val="2C2C2A"/>
        </w:rPr>
        <w:t xml:space="preserve"> Manager or component lead.</w:t>
      </w:r>
    </w:p>
    <w:p w14:paraId="56965D6C" w14:textId="77777777" w:rsidR="00B94CA4" w:rsidRDefault="00B94CA4">
      <w:pPr>
        <w:spacing w:before="200"/>
      </w:pPr>
    </w:p>
    <w:p w14:paraId="618AEE65" w14:textId="77777777" w:rsidR="00B94CA4" w:rsidRDefault="00CD2FC7">
      <w:pPr>
        <w:pBdr>
          <w:bottom w:val="single" w:sz="6" w:space="1" w:color="2E75B6"/>
        </w:pBdr>
        <w:spacing w:before="280" w:after="100"/>
      </w:pPr>
      <w:r>
        <w:rPr>
          <w:b/>
          <w:bCs/>
          <w:color w:val="1F3864"/>
          <w:sz w:val="22"/>
          <w:szCs w:val="22"/>
        </w:rPr>
        <w:t>X.  Duration and Level of Effort</w:t>
      </w:r>
    </w:p>
    <w:p w14:paraId="29E883B1" w14:textId="5F19633B" w:rsidR="00B94CA4" w:rsidRDefault="00CD2FC7">
      <w:pPr>
        <w:spacing w:before="70" w:after="70"/>
      </w:pPr>
      <w:r>
        <w:rPr>
          <w:color w:val="2C2C2A"/>
        </w:rPr>
        <w:t>The consultancy covers two phases running from 1 May 2026 to 30 June 2027, with a total level of effort of approximately 5</w:t>
      </w:r>
      <w:r w:rsidR="00F35AFE">
        <w:rPr>
          <w:color w:val="2C2C2A"/>
        </w:rPr>
        <w:t>2</w:t>
      </w:r>
      <w:r>
        <w:rPr>
          <w:color w:val="2C2C2A"/>
        </w:rPr>
        <w:t xml:space="preserve"> working days. The distribution is:</w:t>
      </w:r>
    </w:p>
    <w:p w14:paraId="5810DF76" w14:textId="77777777" w:rsidR="00B94CA4" w:rsidRDefault="00B94CA4">
      <w:pPr>
        <w:spacing w:before="60"/>
      </w:pPr>
    </w:p>
    <w:p w14:paraId="1A599A9F" w14:textId="737A721D" w:rsidR="00B94CA4" w:rsidRDefault="00CD2FC7">
      <w:pPr>
        <w:pStyle w:val="Paragraphedeliste"/>
        <w:numPr>
          <w:ilvl w:val="0"/>
          <w:numId w:val="2"/>
        </w:numPr>
        <w:spacing w:before="50" w:after="50"/>
      </w:pPr>
      <w:r>
        <w:rPr>
          <w:color w:val="2C2C2A"/>
        </w:rPr>
        <w:t>Phase 1 — Inception (May–July 2026): approximately 2</w:t>
      </w:r>
      <w:r w:rsidR="00F35AFE">
        <w:rPr>
          <w:color w:val="2C2C2A"/>
        </w:rPr>
        <w:t>2</w:t>
      </w:r>
      <w:r>
        <w:rPr>
          <w:color w:val="2C2C2A"/>
        </w:rPr>
        <w:t xml:space="preserve"> working days, with the highest concentration of effort in May and June;</w:t>
      </w:r>
    </w:p>
    <w:p w14:paraId="7A8D76B0" w14:textId="77777777" w:rsidR="00B94CA4" w:rsidRDefault="00CD2FC7">
      <w:pPr>
        <w:pStyle w:val="Paragraphedeliste"/>
        <w:numPr>
          <w:ilvl w:val="0"/>
          <w:numId w:val="2"/>
        </w:numPr>
        <w:spacing w:before="50" w:after="50"/>
      </w:pPr>
      <w:r>
        <w:rPr>
          <w:color w:val="2C2C2A"/>
        </w:rPr>
        <w:t>Phase 2 — Implementation support (August 2026–June 2027): approximately 30 working days, distributed across the period in a needs-based, adaptive manner, with expected peaks in September–October 2026 (capacity-building delivery) and November–December 2026 (GAP review);</w:t>
      </w:r>
    </w:p>
    <w:p w14:paraId="200F2F3B" w14:textId="77777777" w:rsidR="00B94CA4" w:rsidRDefault="00CD2FC7">
      <w:pPr>
        <w:pStyle w:val="Paragraphedeliste"/>
        <w:numPr>
          <w:ilvl w:val="0"/>
          <w:numId w:val="2"/>
        </w:numPr>
        <w:spacing w:before="50" w:after="50"/>
      </w:pPr>
      <w:r>
        <w:rPr>
          <w:color w:val="2C2C2A"/>
        </w:rPr>
        <w:t xml:space="preserve">The distribution of Phase 2 days may be adjusted by mutual agreement between the Expert and the </w:t>
      </w:r>
      <w:proofErr w:type="spellStart"/>
      <w:r>
        <w:rPr>
          <w:color w:val="2C2C2A"/>
        </w:rPr>
        <w:t>Programme</w:t>
      </w:r>
      <w:proofErr w:type="spellEnd"/>
      <w:r>
        <w:rPr>
          <w:color w:val="2C2C2A"/>
        </w:rPr>
        <w:t xml:space="preserve"> Manager, provided the total level of effort remains within the contracted maximum.</w:t>
      </w:r>
    </w:p>
    <w:p w14:paraId="0193B67D" w14:textId="77777777" w:rsidR="00B94CA4" w:rsidRDefault="00B94CA4">
      <w:pPr>
        <w:spacing w:before="200"/>
      </w:pPr>
    </w:p>
    <w:p w14:paraId="1ACC9AE6" w14:textId="77777777" w:rsidR="00B94CA4" w:rsidRDefault="00CD2FC7">
      <w:r>
        <w:br w:type="page"/>
      </w:r>
    </w:p>
    <w:p w14:paraId="365F39F4" w14:textId="77777777" w:rsidR="00B94CA4" w:rsidRDefault="00CD2FC7">
      <w:pPr>
        <w:pBdr>
          <w:bottom w:val="single" w:sz="6" w:space="1" w:color="2E75B6"/>
        </w:pBdr>
        <w:spacing w:before="280" w:after="100"/>
      </w:pPr>
      <w:r>
        <w:rPr>
          <w:b/>
          <w:bCs/>
          <w:color w:val="1F3864"/>
          <w:sz w:val="22"/>
          <w:szCs w:val="22"/>
        </w:rPr>
        <w:lastRenderedPageBreak/>
        <w:t>XI.  Evaluation Criteria</w:t>
      </w:r>
    </w:p>
    <w:p w14:paraId="7E3F2728" w14:textId="77777777" w:rsidR="00B94CA4" w:rsidRDefault="00CD2FC7">
      <w:pPr>
        <w:spacing w:before="70" w:after="70"/>
      </w:pPr>
      <w:r>
        <w:rPr>
          <w:color w:val="2C2C2A"/>
        </w:rPr>
        <w:t>Technical proposal: 70</w:t>
      </w:r>
      <w:proofErr w:type="gramStart"/>
      <w:r>
        <w:rPr>
          <w:color w:val="2C2C2A"/>
        </w:rPr>
        <w:t>%  ·</w:t>
      </w:r>
      <w:proofErr w:type="gramEnd"/>
      <w:r>
        <w:rPr>
          <w:color w:val="2C2C2A"/>
        </w:rPr>
        <w:t xml:space="preserve">  Financial proposal: 30%. Evaluated by a panel of at least three evaluators including a senior Expertise France </w:t>
      </w:r>
      <w:proofErr w:type="spellStart"/>
      <w:r>
        <w:rPr>
          <w:color w:val="2C2C2A"/>
        </w:rPr>
        <w:t>programme</w:t>
      </w:r>
      <w:proofErr w:type="spellEnd"/>
      <w:r>
        <w:rPr>
          <w:color w:val="2C2C2A"/>
        </w:rPr>
        <w:t xml:space="preserve"> officer, an ILO gender specialist, and an independent evaluator. Technical proposals that cite frameworks without specifying operational implications will score lower.</w:t>
      </w:r>
    </w:p>
    <w:p w14:paraId="57CE2610" w14:textId="77777777" w:rsidR="00B94CA4" w:rsidRDefault="00B94CA4">
      <w:pPr>
        <w:spacing w:before="8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1200"/>
        <w:gridCol w:w="5376"/>
      </w:tblGrid>
      <w:tr w:rsidR="00B94CA4" w14:paraId="39BE6C82" w14:textId="77777777" w:rsidTr="008467CF">
        <w:tc>
          <w:tcPr>
            <w:tcW w:w="3200" w:type="dxa"/>
            <w:tcBorders>
              <w:top w:val="single" w:sz="4" w:space="0" w:color="0F6E56"/>
              <w:left w:val="single" w:sz="4" w:space="0" w:color="0F6E56"/>
              <w:bottom w:val="single" w:sz="4" w:space="0" w:color="0F6E56"/>
              <w:right w:val="single" w:sz="4" w:space="0" w:color="0F6E56"/>
            </w:tcBorders>
            <w:shd w:val="clear" w:color="auto" w:fill="0F6E56"/>
            <w:tcMar>
              <w:top w:w="70" w:type="dxa"/>
              <w:left w:w="120" w:type="dxa"/>
              <w:bottom w:w="70" w:type="dxa"/>
              <w:right w:w="120" w:type="dxa"/>
            </w:tcMar>
          </w:tcPr>
          <w:p w14:paraId="1A970975" w14:textId="77777777" w:rsidR="00B94CA4" w:rsidRDefault="00CD2FC7">
            <w:pPr>
              <w:spacing w:before="80" w:after="80"/>
            </w:pPr>
            <w:r>
              <w:rPr>
                <w:b/>
                <w:bCs/>
                <w:caps/>
                <w:color w:val="FFFFFF"/>
                <w:sz w:val="16"/>
                <w:szCs w:val="16"/>
              </w:rPr>
              <w:t>Criterion</w:t>
            </w:r>
          </w:p>
        </w:tc>
        <w:tc>
          <w:tcPr>
            <w:tcW w:w="1200" w:type="dxa"/>
            <w:tcBorders>
              <w:top w:val="single" w:sz="4" w:space="0" w:color="0F6E56"/>
              <w:left w:val="single" w:sz="4" w:space="0" w:color="0F6E56"/>
              <w:bottom w:val="single" w:sz="4" w:space="0" w:color="0F6E56"/>
              <w:right w:val="single" w:sz="4" w:space="0" w:color="0F6E56"/>
            </w:tcBorders>
            <w:shd w:val="clear" w:color="auto" w:fill="0F6E56"/>
            <w:tcMar>
              <w:top w:w="70" w:type="dxa"/>
              <w:left w:w="120" w:type="dxa"/>
              <w:bottom w:w="70" w:type="dxa"/>
              <w:right w:w="120" w:type="dxa"/>
            </w:tcMar>
          </w:tcPr>
          <w:p w14:paraId="2F529895" w14:textId="77777777" w:rsidR="00B94CA4" w:rsidRDefault="00CD2FC7">
            <w:pPr>
              <w:spacing w:before="80" w:after="80"/>
            </w:pPr>
            <w:r>
              <w:rPr>
                <w:b/>
                <w:bCs/>
                <w:caps/>
                <w:color w:val="FFFFFF"/>
                <w:sz w:val="16"/>
                <w:szCs w:val="16"/>
              </w:rPr>
              <w:t>Weight</w:t>
            </w:r>
          </w:p>
        </w:tc>
        <w:tc>
          <w:tcPr>
            <w:tcW w:w="5376" w:type="dxa"/>
            <w:tcBorders>
              <w:top w:val="single" w:sz="4" w:space="0" w:color="0F6E56"/>
              <w:left w:val="single" w:sz="4" w:space="0" w:color="0F6E56"/>
              <w:bottom w:val="single" w:sz="4" w:space="0" w:color="0F6E56"/>
              <w:right w:val="single" w:sz="4" w:space="0" w:color="0F6E56"/>
            </w:tcBorders>
            <w:shd w:val="clear" w:color="auto" w:fill="0F6E56"/>
            <w:tcMar>
              <w:top w:w="70" w:type="dxa"/>
              <w:left w:w="120" w:type="dxa"/>
              <w:bottom w:w="70" w:type="dxa"/>
              <w:right w:w="120" w:type="dxa"/>
            </w:tcMar>
          </w:tcPr>
          <w:p w14:paraId="0EB4661F" w14:textId="77777777" w:rsidR="00B94CA4" w:rsidRDefault="00CD2FC7">
            <w:pPr>
              <w:spacing w:before="80" w:after="80"/>
            </w:pPr>
            <w:r>
              <w:rPr>
                <w:b/>
                <w:bCs/>
                <w:caps/>
                <w:color w:val="FFFFFF"/>
                <w:sz w:val="16"/>
                <w:szCs w:val="16"/>
              </w:rPr>
              <w:t>Scoring guidance</w:t>
            </w:r>
          </w:p>
        </w:tc>
      </w:tr>
      <w:tr w:rsidR="00B94CA4" w14:paraId="4C9D0169" w14:textId="77777777" w:rsidTr="008467CF">
        <w:tc>
          <w:tcPr>
            <w:tcW w:w="320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5955885F" w14:textId="77777777" w:rsidR="00B94CA4" w:rsidRDefault="00CD2FC7">
            <w:pPr>
              <w:spacing w:before="80" w:after="80"/>
            </w:pPr>
            <w:r>
              <w:rPr>
                <w:b/>
                <w:bCs/>
                <w:color w:val="0F6E56"/>
                <w:sz w:val="18"/>
                <w:szCs w:val="18"/>
              </w:rPr>
              <w:t>Education — relevance and level</w:t>
            </w:r>
          </w:p>
        </w:tc>
        <w:tc>
          <w:tcPr>
            <w:tcW w:w="120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415D99DA" w14:textId="77777777" w:rsidR="00B94CA4" w:rsidRDefault="00CD2FC7">
            <w:pPr>
              <w:spacing w:before="80" w:after="80"/>
            </w:pPr>
            <w:r>
              <w:rPr>
                <w:color w:val="2C2C2A"/>
                <w:sz w:val="18"/>
                <w:szCs w:val="18"/>
              </w:rPr>
              <w:t>10%</w:t>
            </w:r>
          </w:p>
        </w:tc>
        <w:tc>
          <w:tcPr>
            <w:tcW w:w="5376"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3EE404E8" w14:textId="77777777" w:rsidR="00B94CA4" w:rsidRDefault="00CD2FC7">
            <w:pPr>
              <w:spacing w:before="80" w:after="80"/>
            </w:pPr>
            <w:r>
              <w:rPr>
                <w:color w:val="2C2C2A"/>
                <w:sz w:val="18"/>
                <w:szCs w:val="18"/>
              </w:rPr>
              <w:t>Master's in directly relevant field: 10 pts. Adjacent field: 7 pts. Bachelor's with strong experience: 4 pts.</w:t>
            </w:r>
          </w:p>
        </w:tc>
      </w:tr>
      <w:tr w:rsidR="00B94CA4" w14:paraId="541EF7B8" w14:textId="77777777" w:rsidTr="008467CF">
        <w:tc>
          <w:tcPr>
            <w:tcW w:w="3200"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3E4BFDC6" w14:textId="77777777" w:rsidR="00B94CA4" w:rsidRDefault="00CD2FC7">
            <w:pPr>
              <w:spacing w:before="80" w:after="80"/>
            </w:pPr>
            <w:r>
              <w:rPr>
                <w:b/>
                <w:bCs/>
                <w:color w:val="0F6E56"/>
                <w:sz w:val="18"/>
                <w:szCs w:val="18"/>
              </w:rPr>
              <w:t>GESI and PSD experience — years and quality</w:t>
            </w:r>
          </w:p>
        </w:tc>
        <w:tc>
          <w:tcPr>
            <w:tcW w:w="1200"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04536C9A" w14:textId="77777777" w:rsidR="00B94CA4" w:rsidRDefault="00CD2FC7">
            <w:pPr>
              <w:spacing w:before="80" w:after="80"/>
            </w:pPr>
            <w:r>
              <w:rPr>
                <w:color w:val="2C2C2A"/>
                <w:sz w:val="18"/>
                <w:szCs w:val="18"/>
              </w:rPr>
              <w:t>20%</w:t>
            </w:r>
          </w:p>
        </w:tc>
        <w:tc>
          <w:tcPr>
            <w:tcW w:w="5376"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0F79F0FE" w14:textId="77777777" w:rsidR="00B94CA4" w:rsidRDefault="00CD2FC7">
            <w:pPr>
              <w:spacing w:before="80" w:after="80"/>
            </w:pPr>
            <w:r>
              <w:rPr>
                <w:color w:val="2C2C2A"/>
                <w:sz w:val="18"/>
                <w:szCs w:val="18"/>
              </w:rPr>
              <w:t>10+ years, PSD/value chain focus, market-oriented outcomes: 20 pts. 7–9 years: 15 pts. Under 7 years: disqualifying.</w:t>
            </w:r>
          </w:p>
        </w:tc>
      </w:tr>
      <w:tr w:rsidR="00B94CA4" w14:paraId="78F82500" w14:textId="77777777" w:rsidTr="008467CF">
        <w:tc>
          <w:tcPr>
            <w:tcW w:w="320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43123791" w14:textId="77777777" w:rsidR="00B94CA4" w:rsidRDefault="00CD2FC7">
            <w:pPr>
              <w:spacing w:before="80" w:after="80"/>
            </w:pPr>
            <w:r>
              <w:rPr>
                <w:b/>
                <w:bCs/>
                <w:color w:val="0F6E56"/>
                <w:sz w:val="18"/>
                <w:szCs w:val="18"/>
              </w:rPr>
              <w:t xml:space="preserve">Liberia experience — depth and </w:t>
            </w:r>
            <w:proofErr w:type="spellStart"/>
            <w:r>
              <w:rPr>
                <w:b/>
                <w:bCs/>
                <w:color w:val="0F6E56"/>
                <w:sz w:val="18"/>
                <w:szCs w:val="18"/>
              </w:rPr>
              <w:t>recency</w:t>
            </w:r>
            <w:proofErr w:type="spellEnd"/>
          </w:p>
        </w:tc>
        <w:tc>
          <w:tcPr>
            <w:tcW w:w="120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2CEA9AD5" w14:textId="77777777" w:rsidR="00B94CA4" w:rsidRDefault="00CD2FC7">
            <w:pPr>
              <w:spacing w:before="80" w:after="80"/>
            </w:pPr>
            <w:r>
              <w:rPr>
                <w:color w:val="2C2C2A"/>
                <w:sz w:val="18"/>
                <w:szCs w:val="18"/>
              </w:rPr>
              <w:t>15%</w:t>
            </w:r>
          </w:p>
        </w:tc>
        <w:tc>
          <w:tcPr>
            <w:tcW w:w="5376"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3F429919" w14:textId="77777777" w:rsidR="00B94CA4" w:rsidRDefault="00CD2FC7">
            <w:pPr>
              <w:spacing w:before="80" w:after="80"/>
            </w:pPr>
            <w:r>
              <w:rPr>
                <w:color w:val="2C2C2A"/>
                <w:sz w:val="18"/>
                <w:szCs w:val="18"/>
              </w:rPr>
              <w:t>Substantive, within last 3 years, including STAR-P familiarity: 15 pts. Prior but not recent: 8 pts. No Liberia experience: disqualifying.</w:t>
            </w:r>
          </w:p>
        </w:tc>
      </w:tr>
      <w:tr w:rsidR="00B94CA4" w14:paraId="6A6E0D59" w14:textId="77777777" w:rsidTr="008467CF">
        <w:tc>
          <w:tcPr>
            <w:tcW w:w="3200"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62B077CB" w14:textId="77777777" w:rsidR="00B94CA4" w:rsidRDefault="00CD2FC7">
            <w:pPr>
              <w:spacing w:before="80" w:after="80"/>
            </w:pPr>
            <w:r>
              <w:rPr>
                <w:b/>
                <w:bCs/>
                <w:color w:val="0F6E56"/>
                <w:sz w:val="18"/>
                <w:szCs w:val="18"/>
              </w:rPr>
              <w:t>Technical proposal quality</w:t>
            </w:r>
          </w:p>
        </w:tc>
        <w:tc>
          <w:tcPr>
            <w:tcW w:w="1200"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26F09E42" w14:textId="77777777" w:rsidR="00B94CA4" w:rsidRDefault="00CD2FC7">
            <w:pPr>
              <w:spacing w:before="80" w:after="80"/>
            </w:pPr>
            <w:r>
              <w:rPr>
                <w:color w:val="2C2C2A"/>
                <w:sz w:val="18"/>
                <w:szCs w:val="18"/>
              </w:rPr>
              <w:t>20%</w:t>
            </w:r>
          </w:p>
        </w:tc>
        <w:tc>
          <w:tcPr>
            <w:tcW w:w="5376"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77F418F3" w14:textId="77777777" w:rsidR="00B94CA4" w:rsidRDefault="00CD2FC7">
            <w:pPr>
              <w:spacing w:before="80" w:after="80"/>
            </w:pPr>
            <w:r>
              <w:rPr>
                <w:color w:val="2C2C2A"/>
                <w:sz w:val="18"/>
                <w:szCs w:val="18"/>
              </w:rPr>
              <w:t xml:space="preserve">Scored on: STAR-P integration; two-phase </w:t>
            </w:r>
            <w:proofErr w:type="spellStart"/>
            <w:r>
              <w:rPr>
                <w:color w:val="2C2C2A"/>
                <w:sz w:val="18"/>
                <w:szCs w:val="18"/>
              </w:rPr>
              <w:t>workplan</w:t>
            </w:r>
            <w:proofErr w:type="spellEnd"/>
            <w:r>
              <w:rPr>
                <w:color w:val="2C2C2A"/>
                <w:sz w:val="18"/>
                <w:szCs w:val="18"/>
              </w:rPr>
              <w:t xml:space="preserve"> realism; methodology quality; market-orientation of gender approach; male engagement strategy; GAP III and National Gender Policy alignment.</w:t>
            </w:r>
          </w:p>
        </w:tc>
      </w:tr>
      <w:tr w:rsidR="00B94CA4" w14:paraId="1F1D0444" w14:textId="77777777" w:rsidTr="008467CF">
        <w:tc>
          <w:tcPr>
            <w:tcW w:w="320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1B02FEE7" w14:textId="77777777" w:rsidR="00B94CA4" w:rsidRDefault="00CD2FC7">
            <w:pPr>
              <w:spacing w:before="80" w:after="80"/>
            </w:pPr>
            <w:r>
              <w:rPr>
                <w:b/>
                <w:bCs/>
                <w:color w:val="0F6E56"/>
                <w:sz w:val="18"/>
                <w:szCs w:val="18"/>
              </w:rPr>
              <w:t>EU/GAP III and national policy competency</w:t>
            </w:r>
          </w:p>
        </w:tc>
        <w:tc>
          <w:tcPr>
            <w:tcW w:w="120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5CF9A926" w14:textId="77777777" w:rsidR="00B94CA4" w:rsidRDefault="00CD2FC7">
            <w:pPr>
              <w:spacing w:before="80" w:after="80"/>
            </w:pPr>
            <w:r>
              <w:rPr>
                <w:color w:val="2C2C2A"/>
                <w:sz w:val="18"/>
                <w:szCs w:val="18"/>
              </w:rPr>
              <w:t>10%</w:t>
            </w:r>
          </w:p>
        </w:tc>
        <w:tc>
          <w:tcPr>
            <w:tcW w:w="5376"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70DB10B6" w14:textId="77777777" w:rsidR="00B94CA4" w:rsidRDefault="00CD2FC7">
            <w:pPr>
              <w:spacing w:before="80" w:after="80"/>
            </w:pPr>
            <w:r>
              <w:rPr>
                <w:color w:val="2C2C2A"/>
                <w:sz w:val="18"/>
                <w:szCs w:val="18"/>
              </w:rPr>
              <w:t>Lead gender advisor on 2+ EU projects with documented GAP III compliance AND familiarity with Liberia's national gender policy architecture: 10 pts. EU experience only: 6 pts.</w:t>
            </w:r>
          </w:p>
        </w:tc>
      </w:tr>
      <w:tr w:rsidR="00B94CA4" w14:paraId="277C661F" w14:textId="77777777" w:rsidTr="008467CF">
        <w:tc>
          <w:tcPr>
            <w:tcW w:w="3200"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373958C7" w14:textId="77777777" w:rsidR="00B94CA4" w:rsidRDefault="00CD2FC7">
            <w:pPr>
              <w:spacing w:before="80" w:after="80"/>
            </w:pPr>
            <w:r>
              <w:rPr>
                <w:b/>
                <w:bCs/>
                <w:color w:val="0F6E56"/>
                <w:sz w:val="18"/>
                <w:szCs w:val="18"/>
              </w:rPr>
              <w:t xml:space="preserve">Male engagement and </w:t>
            </w:r>
            <w:proofErr w:type="spellStart"/>
            <w:r>
              <w:rPr>
                <w:b/>
                <w:bCs/>
                <w:color w:val="0F6E56"/>
                <w:sz w:val="18"/>
                <w:szCs w:val="18"/>
              </w:rPr>
              <w:t>behaviour</w:t>
            </w:r>
            <w:proofErr w:type="spellEnd"/>
            <w:r>
              <w:rPr>
                <w:b/>
                <w:bCs/>
                <w:color w:val="0F6E56"/>
                <w:sz w:val="18"/>
                <w:szCs w:val="18"/>
              </w:rPr>
              <w:t xml:space="preserve"> change competency</w:t>
            </w:r>
          </w:p>
        </w:tc>
        <w:tc>
          <w:tcPr>
            <w:tcW w:w="1200"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2E0FAD59" w14:textId="77777777" w:rsidR="00B94CA4" w:rsidRDefault="00CD2FC7">
            <w:pPr>
              <w:spacing w:before="80" w:after="80"/>
            </w:pPr>
            <w:r>
              <w:rPr>
                <w:color w:val="2C2C2A"/>
                <w:sz w:val="18"/>
                <w:szCs w:val="18"/>
              </w:rPr>
              <w:t>10%</w:t>
            </w:r>
          </w:p>
        </w:tc>
        <w:tc>
          <w:tcPr>
            <w:tcW w:w="5376"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2A7A0E1E" w14:textId="77777777" w:rsidR="00B94CA4" w:rsidRDefault="00CD2FC7">
            <w:pPr>
              <w:spacing w:before="80" w:after="80"/>
            </w:pPr>
            <w:r>
              <w:rPr>
                <w:color w:val="2C2C2A"/>
                <w:sz w:val="18"/>
                <w:szCs w:val="18"/>
              </w:rPr>
              <w:t xml:space="preserve">Specific experience designing and delivering male engagement or community norm-change </w:t>
            </w:r>
            <w:proofErr w:type="spellStart"/>
            <w:r>
              <w:rPr>
                <w:color w:val="2C2C2A"/>
                <w:sz w:val="18"/>
                <w:szCs w:val="18"/>
              </w:rPr>
              <w:t>programmes</w:t>
            </w:r>
            <w:proofErr w:type="spellEnd"/>
            <w:r>
              <w:rPr>
                <w:color w:val="2C2C2A"/>
                <w:sz w:val="18"/>
                <w:szCs w:val="18"/>
              </w:rPr>
              <w:t xml:space="preserve"> in agricultural or PSD contexts: 10 pts. General awareness: 5 pts.</w:t>
            </w:r>
          </w:p>
        </w:tc>
      </w:tr>
      <w:tr w:rsidR="00B94CA4" w14:paraId="615802A3" w14:textId="77777777" w:rsidTr="008467CF">
        <w:tc>
          <w:tcPr>
            <w:tcW w:w="320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6A668934" w14:textId="77777777" w:rsidR="00B94CA4" w:rsidRDefault="00CD2FC7">
            <w:pPr>
              <w:spacing w:before="80" w:after="80"/>
            </w:pPr>
            <w:r>
              <w:rPr>
                <w:b/>
                <w:bCs/>
                <w:color w:val="0F6E56"/>
                <w:sz w:val="18"/>
                <w:szCs w:val="18"/>
              </w:rPr>
              <w:t>Disability and OPD inclusion competency</w:t>
            </w:r>
          </w:p>
        </w:tc>
        <w:tc>
          <w:tcPr>
            <w:tcW w:w="120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7AAA76D7" w14:textId="77777777" w:rsidR="00B94CA4" w:rsidRDefault="00CD2FC7">
            <w:pPr>
              <w:spacing w:before="80" w:after="80"/>
            </w:pPr>
            <w:r>
              <w:rPr>
                <w:color w:val="2C2C2A"/>
                <w:sz w:val="18"/>
                <w:szCs w:val="18"/>
              </w:rPr>
              <w:t>5%</w:t>
            </w:r>
          </w:p>
        </w:tc>
        <w:tc>
          <w:tcPr>
            <w:tcW w:w="5376"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789E05F8" w14:textId="77777777" w:rsidR="00B94CA4" w:rsidRDefault="00CD2FC7">
            <w:pPr>
              <w:spacing w:before="80" w:after="80"/>
            </w:pPr>
            <w:r>
              <w:rPr>
                <w:color w:val="2C2C2A"/>
                <w:sz w:val="18"/>
                <w:szCs w:val="18"/>
              </w:rPr>
              <w:t>Specific OPD engagement, disability workplace audits, or CRPD-aligned economic inclusion experience: 5 pts. General inclusion: 3 pts.</w:t>
            </w:r>
          </w:p>
        </w:tc>
      </w:tr>
      <w:tr w:rsidR="00B94CA4" w14:paraId="3BA2CE1C" w14:textId="77777777" w:rsidTr="008467CF">
        <w:tc>
          <w:tcPr>
            <w:tcW w:w="3200"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086A17B0" w14:textId="77777777" w:rsidR="00B94CA4" w:rsidRDefault="00CD2FC7">
            <w:pPr>
              <w:spacing w:before="80" w:after="80"/>
            </w:pPr>
            <w:r>
              <w:rPr>
                <w:b/>
                <w:bCs/>
                <w:color w:val="0F6E56"/>
                <w:sz w:val="18"/>
                <w:szCs w:val="18"/>
              </w:rPr>
              <w:t>Capacity-building design and facilitation</w:t>
            </w:r>
          </w:p>
        </w:tc>
        <w:tc>
          <w:tcPr>
            <w:tcW w:w="1200"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691B60B3" w14:textId="77777777" w:rsidR="00B94CA4" w:rsidRDefault="00CD2FC7">
            <w:pPr>
              <w:spacing w:before="80" w:after="80"/>
            </w:pPr>
            <w:r>
              <w:rPr>
                <w:color w:val="2C2C2A"/>
                <w:sz w:val="18"/>
                <w:szCs w:val="18"/>
              </w:rPr>
              <w:t>5%</w:t>
            </w:r>
          </w:p>
        </w:tc>
        <w:tc>
          <w:tcPr>
            <w:tcW w:w="5376" w:type="dxa"/>
            <w:tcBorders>
              <w:top w:val="single" w:sz="3" w:space="0" w:color="CCCCCC"/>
              <w:left w:val="single" w:sz="3" w:space="0" w:color="CCCCCC"/>
              <w:bottom w:val="single" w:sz="3" w:space="0" w:color="CCCCCC"/>
              <w:right w:val="single" w:sz="3" w:space="0" w:color="CCCCCC"/>
            </w:tcBorders>
            <w:shd w:val="clear" w:color="auto" w:fill="FFFFFF"/>
            <w:tcMar>
              <w:top w:w="70" w:type="dxa"/>
              <w:left w:w="120" w:type="dxa"/>
              <w:bottom w:w="70" w:type="dxa"/>
              <w:right w:w="120" w:type="dxa"/>
            </w:tcMar>
          </w:tcPr>
          <w:p w14:paraId="5A59A1D8" w14:textId="77777777" w:rsidR="00B94CA4" w:rsidRDefault="00CD2FC7">
            <w:pPr>
              <w:spacing w:before="80" w:after="80"/>
            </w:pPr>
            <w:r>
              <w:rPr>
                <w:color w:val="2C2C2A"/>
                <w:sz w:val="18"/>
                <w:szCs w:val="18"/>
              </w:rPr>
              <w:t>Evidence of institutional capacity assessment followed by targeted, multi-audience training with documented outcomes.</w:t>
            </w:r>
          </w:p>
        </w:tc>
      </w:tr>
      <w:tr w:rsidR="00B94CA4" w14:paraId="12739456" w14:textId="77777777" w:rsidTr="008467CF">
        <w:tc>
          <w:tcPr>
            <w:tcW w:w="320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6FC9DE90" w14:textId="77777777" w:rsidR="00B94CA4" w:rsidRDefault="00CD2FC7">
            <w:pPr>
              <w:spacing w:before="80" w:after="80"/>
            </w:pPr>
            <w:r>
              <w:rPr>
                <w:b/>
                <w:bCs/>
                <w:color w:val="0F6E56"/>
                <w:sz w:val="18"/>
                <w:szCs w:val="18"/>
              </w:rPr>
              <w:t>Financial proposal — competitiveness</w:t>
            </w:r>
          </w:p>
        </w:tc>
        <w:tc>
          <w:tcPr>
            <w:tcW w:w="1200"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2E6C24B6" w14:textId="77777777" w:rsidR="00B94CA4" w:rsidRDefault="00CD2FC7">
            <w:pPr>
              <w:spacing w:before="80" w:after="80"/>
            </w:pPr>
            <w:r>
              <w:rPr>
                <w:color w:val="2C2C2A"/>
                <w:sz w:val="18"/>
                <w:szCs w:val="18"/>
              </w:rPr>
              <w:t>5%</w:t>
            </w:r>
          </w:p>
        </w:tc>
        <w:tc>
          <w:tcPr>
            <w:tcW w:w="5376" w:type="dxa"/>
            <w:tcBorders>
              <w:top w:val="single" w:sz="3" w:space="0" w:color="CCCCCC"/>
              <w:left w:val="single" w:sz="3" w:space="0" w:color="CCCCCC"/>
              <w:bottom w:val="single" w:sz="3" w:space="0" w:color="CCCCCC"/>
              <w:right w:val="single" w:sz="3" w:space="0" w:color="CCCCCC"/>
            </w:tcBorders>
            <w:shd w:val="clear" w:color="auto" w:fill="F7F6F2"/>
            <w:tcMar>
              <w:top w:w="70" w:type="dxa"/>
              <w:left w:w="120" w:type="dxa"/>
              <w:bottom w:w="70" w:type="dxa"/>
              <w:right w:w="120" w:type="dxa"/>
            </w:tcMar>
          </w:tcPr>
          <w:p w14:paraId="05C93143" w14:textId="77777777" w:rsidR="00B94CA4" w:rsidRDefault="00CD2FC7">
            <w:pPr>
              <w:spacing w:before="80" w:after="80"/>
            </w:pPr>
            <w:r>
              <w:rPr>
                <w:color w:val="2C2C2A"/>
                <w:sz w:val="18"/>
                <w:szCs w:val="18"/>
              </w:rPr>
              <w:t>Evaluated against Expertise France benchmark rates for equivalent senior consultant profile and Liberia cost context.</w:t>
            </w:r>
          </w:p>
        </w:tc>
      </w:tr>
    </w:tbl>
    <w:p w14:paraId="770E552C" w14:textId="77777777" w:rsidR="00B94CA4" w:rsidRDefault="00B94CA4">
      <w:pPr>
        <w:spacing w:before="200"/>
      </w:pPr>
    </w:p>
    <w:p w14:paraId="7BE66015" w14:textId="77777777" w:rsidR="00B94CA4" w:rsidRDefault="00CD2FC7">
      <w:pPr>
        <w:pBdr>
          <w:bottom w:val="single" w:sz="6" w:space="1" w:color="2E75B6"/>
        </w:pBdr>
        <w:spacing w:before="280" w:after="100"/>
      </w:pPr>
      <w:r>
        <w:rPr>
          <w:b/>
          <w:bCs/>
          <w:color w:val="1F3864"/>
          <w:sz w:val="22"/>
          <w:szCs w:val="22"/>
        </w:rPr>
        <w:t>XII.  How to Apply</w:t>
      </w:r>
    </w:p>
    <w:p w14:paraId="51ED9243" w14:textId="7BEBD29B" w:rsidR="00B94CA4" w:rsidRDefault="003E5140" w:rsidP="003E5140">
      <w:pPr>
        <w:spacing w:before="70" w:after="70"/>
      </w:pPr>
      <w:r>
        <w:rPr>
          <w:color w:val="2C2C2A"/>
        </w:rPr>
        <w:t xml:space="preserve">Submit all of the following to the email address </w:t>
      </w:r>
      <w:r>
        <w:rPr>
          <w:rStyle w:val="lev"/>
          <w:color w:val="2C2C2A"/>
          <w:u w:val="single"/>
        </w:rPr>
        <w:t>recruitment.liberia@expertisefrance.fr</w:t>
      </w:r>
      <w:r>
        <w:rPr>
          <w:color w:val="2C2C2A"/>
        </w:rPr>
        <w:t xml:space="preserve"> with the subject line “Gender Expert” by </w:t>
      </w:r>
      <w:r>
        <w:rPr>
          <w:rStyle w:val="lev"/>
          <w:color w:val="2C2C2A"/>
        </w:rPr>
        <w:t>18 May 2026 at 11:55 p.m</w:t>
      </w:r>
      <w:r w:rsidR="00CD2FC7">
        <w:rPr>
          <w:color w:val="2C2C2A"/>
        </w:rPr>
        <w:t>. Incomplete applications will not be assessed.</w:t>
      </w:r>
      <w:bookmarkStart w:id="0" w:name="_GoBack"/>
      <w:bookmarkEnd w:id="0"/>
    </w:p>
    <w:p w14:paraId="2211057C" w14:textId="77777777" w:rsidR="00B94CA4" w:rsidRDefault="00CD2FC7">
      <w:pPr>
        <w:pStyle w:val="Paragraphedeliste"/>
        <w:numPr>
          <w:ilvl w:val="0"/>
          <w:numId w:val="2"/>
        </w:numPr>
        <w:spacing w:before="50" w:after="50"/>
      </w:pPr>
      <w:r>
        <w:rPr>
          <w:color w:val="2C2C2A"/>
        </w:rPr>
        <w:t>CV (max. 5 pages) — structured to demonstrate competencies against Section VIII. Make it easy for the panel to find the evidence.</w:t>
      </w:r>
    </w:p>
    <w:p w14:paraId="020C242B" w14:textId="5324E9D4" w:rsidR="00B94CA4" w:rsidRDefault="00CD2FC7">
      <w:pPr>
        <w:pStyle w:val="Paragraphedeliste"/>
        <w:numPr>
          <w:ilvl w:val="0"/>
          <w:numId w:val="2"/>
        </w:numPr>
        <w:spacing w:before="50" w:after="50"/>
      </w:pPr>
      <w:r>
        <w:rPr>
          <w:color w:val="2C2C2A"/>
        </w:rPr>
        <w:t xml:space="preserve">Technical offer (max. 4 pages) — understanding of the two-phase assignment; proposed methodology, male engagement approach, and phased delivery plan; </w:t>
      </w:r>
      <w:proofErr w:type="spellStart"/>
      <w:r>
        <w:rPr>
          <w:color w:val="2C2C2A"/>
        </w:rPr>
        <w:t>workplan</w:t>
      </w:r>
      <w:proofErr w:type="spellEnd"/>
      <w:r>
        <w:rPr>
          <w:color w:val="2C2C2A"/>
        </w:rPr>
        <w:t xml:space="preserve"> aligned with Section VI timelines; approach to building independent capacity and institutional sustainability.</w:t>
      </w:r>
    </w:p>
    <w:p w14:paraId="26D428FD" w14:textId="77777777" w:rsidR="00B94CA4" w:rsidRDefault="00CD2FC7">
      <w:pPr>
        <w:pStyle w:val="Paragraphedeliste"/>
        <w:numPr>
          <w:ilvl w:val="0"/>
          <w:numId w:val="2"/>
        </w:numPr>
        <w:spacing w:before="50" w:after="50"/>
      </w:pPr>
      <w:r>
        <w:rPr>
          <w:color w:val="2C2C2A"/>
        </w:rPr>
        <w:t xml:space="preserve">Two professional references — at least one from an EU-funded </w:t>
      </w:r>
      <w:proofErr w:type="spellStart"/>
      <w:r>
        <w:rPr>
          <w:color w:val="2C2C2A"/>
        </w:rPr>
        <w:t>programme</w:t>
      </w:r>
      <w:proofErr w:type="spellEnd"/>
      <w:r>
        <w:rPr>
          <w:color w:val="2C2C2A"/>
        </w:rPr>
        <w:t xml:space="preserve"> with documented GAP III compliance; at least one from a Liberia-based assignment. Include names, titles, organizations, and contact details.</w:t>
      </w:r>
    </w:p>
    <w:p w14:paraId="34354190" w14:textId="77777777" w:rsidR="00B94CA4" w:rsidRDefault="00CD2FC7">
      <w:pPr>
        <w:pStyle w:val="Paragraphedeliste"/>
        <w:numPr>
          <w:ilvl w:val="0"/>
          <w:numId w:val="2"/>
        </w:numPr>
        <w:spacing w:before="50" w:after="50"/>
      </w:pPr>
      <w:r>
        <w:rPr>
          <w:color w:val="2C2C2A"/>
        </w:rPr>
        <w:t>One writing sample (last five years) — a gender assessment, GAP, market-oriented gender analysis, or equivalent analytical document demonstrating quality and orientation.</w:t>
      </w:r>
    </w:p>
    <w:p w14:paraId="7A20FF03" w14:textId="77777777" w:rsidR="00B94CA4" w:rsidRDefault="00CD2FC7">
      <w:pPr>
        <w:pStyle w:val="Paragraphedeliste"/>
        <w:numPr>
          <w:ilvl w:val="0"/>
          <w:numId w:val="2"/>
        </w:numPr>
        <w:spacing w:before="50" w:after="50"/>
      </w:pPr>
      <w:r>
        <w:rPr>
          <w:color w:val="2C2C2A"/>
        </w:rPr>
        <w:lastRenderedPageBreak/>
        <w:t>Financial offer in a separate sealed document — daily fees, estimated mission expenses, applicable taxes.</w:t>
      </w:r>
    </w:p>
    <w:p w14:paraId="5EE3FDCA" w14:textId="77777777" w:rsidR="00B94CA4" w:rsidRDefault="00B94CA4">
      <w:pPr>
        <w:spacing w:before="80"/>
      </w:pPr>
    </w:p>
    <w:p w14:paraId="6B8C1735" w14:textId="77777777" w:rsidR="00B94CA4" w:rsidRDefault="00CD2FC7">
      <w:pPr>
        <w:spacing w:before="70" w:after="70"/>
      </w:pPr>
      <w:r>
        <w:rPr>
          <w:color w:val="2C2C2A"/>
        </w:rPr>
        <w:t>Only shortlisted candidates will be contacted. Shortlisted candidates will be invited to a structured competency interview prior to final selection.</w:t>
      </w:r>
    </w:p>
    <w:p w14:paraId="78632A83" w14:textId="77777777" w:rsidR="00B94CA4" w:rsidRDefault="00B94CA4">
      <w:pPr>
        <w:spacing w:before="100"/>
      </w:pPr>
    </w:p>
    <w:tbl>
      <w:tblPr>
        <w:tblW w:w="9360" w:type="dxa"/>
        <w:tblBorders>
          <w:top w:val="nil"/>
          <w:left w:val="nil"/>
          <w:bottom w:val="nil"/>
          <w:right w:val="nil"/>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
        <w:gridCol w:w="9260"/>
      </w:tblGrid>
      <w:tr w:rsidR="00B94CA4" w14:paraId="4ACDE9AF" w14:textId="77777777" w:rsidTr="00F35AFE">
        <w:tc>
          <w:tcPr>
            <w:tcW w:w="100" w:type="dxa"/>
            <w:tcBorders>
              <w:top w:val="nil"/>
              <w:left w:val="nil"/>
              <w:bottom w:val="nil"/>
              <w:right w:val="nil"/>
            </w:tcBorders>
            <w:shd w:val="clear" w:color="auto" w:fill="0F6E56"/>
            <w:tcMar>
              <w:top w:w="0" w:type="dxa"/>
              <w:left w:w="0" w:type="dxa"/>
              <w:bottom w:w="0" w:type="dxa"/>
              <w:right w:w="0" w:type="dxa"/>
            </w:tcMar>
          </w:tcPr>
          <w:p w14:paraId="0F62D0EA" w14:textId="77777777" w:rsidR="00B94CA4" w:rsidRDefault="00B94CA4">
            <w:pPr>
              <w:spacing w:before="80" w:after="80"/>
            </w:pPr>
          </w:p>
        </w:tc>
        <w:tc>
          <w:tcPr>
            <w:tcW w:w="9260" w:type="dxa"/>
            <w:tcBorders>
              <w:top w:val="single" w:sz="3" w:space="0" w:color="DDDDDD"/>
              <w:left w:val="nil"/>
              <w:bottom w:val="single" w:sz="3" w:space="0" w:color="DDDDDD"/>
              <w:right w:val="single" w:sz="3" w:space="0" w:color="DDDDDD"/>
            </w:tcBorders>
            <w:shd w:val="clear" w:color="auto" w:fill="DEEAF6" w:themeFill="accent5" w:themeFillTint="33"/>
            <w:tcMar>
              <w:top w:w="110" w:type="dxa"/>
              <w:left w:w="200" w:type="dxa"/>
              <w:bottom w:w="110" w:type="dxa"/>
              <w:right w:w="160" w:type="dxa"/>
            </w:tcMar>
          </w:tcPr>
          <w:p w14:paraId="5CF55515" w14:textId="77777777" w:rsidR="00B94CA4" w:rsidRDefault="00CD2FC7">
            <w:pPr>
              <w:spacing w:before="70" w:after="70"/>
            </w:pPr>
            <w:r>
              <w:rPr>
                <w:color w:val="2C2C2A"/>
              </w:rPr>
              <w:t xml:space="preserve">Expertise France and ILO are committed to building a diverse, inclusive project team. We strongly encourage applications from qualified women, persons with disabilities, and candidates from diverse professional and geographic backgrounds. All candidates are evaluated solely on merit against the criteria in this </w:t>
            </w:r>
            <w:proofErr w:type="spellStart"/>
            <w:r>
              <w:rPr>
                <w:color w:val="2C2C2A"/>
              </w:rPr>
              <w:t>ToR</w:t>
            </w:r>
            <w:proofErr w:type="spellEnd"/>
            <w:r>
              <w:rPr>
                <w:color w:val="2C2C2A"/>
              </w:rPr>
              <w:t>. Reasonable accommodations are provided for applicants and staff with disabilities.</w:t>
            </w:r>
          </w:p>
        </w:tc>
      </w:tr>
    </w:tbl>
    <w:p w14:paraId="588ABD5B" w14:textId="77777777" w:rsidR="00B94CA4" w:rsidRDefault="00B94CA4">
      <w:pPr>
        <w:spacing w:before="60"/>
      </w:pPr>
    </w:p>
    <w:p w14:paraId="5D8F43A5" w14:textId="77777777" w:rsidR="00B94CA4" w:rsidRDefault="00B94CA4">
      <w:pPr>
        <w:pBdr>
          <w:bottom w:val="single" w:sz="24" w:space="0" w:color="0F6E56"/>
        </w:pBdr>
        <w:spacing w:before="80"/>
      </w:pPr>
    </w:p>
    <w:p w14:paraId="69565902" w14:textId="77777777" w:rsidR="002A01F3" w:rsidRDefault="002A01F3">
      <w:pPr>
        <w:pBdr>
          <w:bottom w:val="single" w:sz="24" w:space="0" w:color="0F6E56"/>
        </w:pBdr>
        <w:spacing w:before="80"/>
      </w:pPr>
    </w:p>
    <w:sectPr w:rsidR="002A01F3">
      <w:footerReference w:type="default" r:id="rId9"/>
      <w:pgSz w:w="12240" w:h="15840"/>
      <w:pgMar w:top="1000" w:right="1200" w:bottom="10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7717E" w14:textId="77777777" w:rsidR="00292260" w:rsidRDefault="00292260">
      <w:r>
        <w:separator/>
      </w:r>
    </w:p>
  </w:endnote>
  <w:endnote w:type="continuationSeparator" w:id="0">
    <w:p w14:paraId="32E739AB" w14:textId="77777777" w:rsidR="00292260" w:rsidRDefault="00292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66D21" w14:textId="6FBD4E4B" w:rsidR="004A4E61" w:rsidRDefault="004A4E61">
    <w:pPr>
      <w:pBdr>
        <w:top w:val="single" w:sz="2" w:space="1" w:color="DDDDDD"/>
      </w:pBdr>
      <w:tabs>
        <w:tab w:val="right" w:pos="9360"/>
      </w:tabs>
      <w:spacing w:before="80"/>
    </w:pPr>
    <w:r>
      <w:rPr>
        <w:color w:val="888780"/>
        <w:sz w:val="13"/>
        <w:szCs w:val="13"/>
      </w:rPr>
      <w:t>EU-funded PSD Liberia  ·  Expertise France &amp; ILO</w:t>
    </w:r>
    <w:r>
      <w:tab/>
    </w:r>
    <w:r>
      <w:rPr>
        <w:color w:val="888780"/>
        <w:sz w:val="13"/>
        <w:szCs w:val="13"/>
      </w:rPr>
      <w:t xml:space="preserve">Page </w:t>
    </w:r>
    <w:r>
      <w:fldChar w:fldCharType="begin"/>
    </w:r>
    <w:r>
      <w:instrText>PAGE</w:instrText>
    </w:r>
    <w:r>
      <w:fldChar w:fldCharType="separate"/>
    </w:r>
    <w:r w:rsidR="003E5140">
      <w:rPr>
        <w:noProof/>
      </w:rPr>
      <w:t>17</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AB5B5" w14:textId="77777777" w:rsidR="00292260" w:rsidRDefault="00292260">
      <w:r>
        <w:separator/>
      </w:r>
    </w:p>
  </w:footnote>
  <w:footnote w:type="continuationSeparator" w:id="0">
    <w:p w14:paraId="6D4AC631" w14:textId="77777777" w:rsidR="00292260" w:rsidRDefault="00292260">
      <w:r>
        <w:continuationSeparator/>
      </w:r>
    </w:p>
  </w:footnote>
  <w:footnote w:id="1">
    <w:p w14:paraId="7643CECC" w14:textId="5676E368" w:rsidR="004A4E61" w:rsidRDefault="004A4E61">
      <w:pPr>
        <w:pStyle w:val="Notedebasdepage"/>
      </w:pPr>
      <w:r>
        <w:rPr>
          <w:rStyle w:val="Appelnotedebasdep"/>
        </w:rPr>
        <w:footnoteRef/>
      </w:r>
      <w:r>
        <w:t xml:space="preserve"> </w:t>
      </w:r>
      <w:r w:rsidRPr="007B221D">
        <w:rPr>
          <w:color w:val="2C2C2A"/>
          <w:sz w:val="18"/>
          <w:szCs w:val="18"/>
        </w:rPr>
        <w:t>CASTRAP, RETRAP, STAR-P have been the most consequential projects implement funded by the EU, World Bank and IFAD over the past 5 to 7 years.</w:t>
      </w:r>
    </w:p>
  </w:footnote>
  <w:footnote w:id="2">
    <w:p w14:paraId="72DE65D6" w14:textId="3305B65D" w:rsidR="004A4E61" w:rsidRDefault="004A4E61">
      <w:pPr>
        <w:pStyle w:val="Notedebasdepage"/>
      </w:pPr>
      <w:r w:rsidRPr="00A6552D">
        <w:rPr>
          <w:rStyle w:val="Appelnotedebasdep"/>
          <w:sz w:val="18"/>
          <w:szCs w:val="18"/>
        </w:rPr>
        <w:footnoteRef/>
      </w:r>
      <w:r w:rsidRPr="00A6552D">
        <w:rPr>
          <w:sz w:val="18"/>
          <w:szCs w:val="18"/>
        </w:rPr>
        <w:t xml:space="preserve"> The PSD Liberia Project is also commissioning 3 market assessment studies covering the aquaculture, cassava, and wood processing sectors.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710D"/>
    <w:multiLevelType w:val="hybridMultilevel"/>
    <w:tmpl w:val="B838B50C"/>
    <w:lvl w:ilvl="0" w:tplc="395E55AA">
      <w:start w:val="1"/>
      <w:numFmt w:val="bullet"/>
      <w:lvlText w:val="•"/>
      <w:lvlJc w:val="left"/>
      <w:pPr>
        <w:ind w:left="480" w:hanging="300"/>
      </w:pPr>
    </w:lvl>
    <w:lvl w:ilvl="1" w:tplc="D368F816">
      <w:numFmt w:val="decimal"/>
      <w:lvlText w:val=""/>
      <w:lvlJc w:val="left"/>
    </w:lvl>
    <w:lvl w:ilvl="2" w:tplc="F72A8CD4">
      <w:numFmt w:val="decimal"/>
      <w:lvlText w:val=""/>
      <w:lvlJc w:val="left"/>
    </w:lvl>
    <w:lvl w:ilvl="3" w:tplc="422AC47C">
      <w:numFmt w:val="decimal"/>
      <w:lvlText w:val=""/>
      <w:lvlJc w:val="left"/>
    </w:lvl>
    <w:lvl w:ilvl="4" w:tplc="69041DFE">
      <w:numFmt w:val="decimal"/>
      <w:lvlText w:val=""/>
      <w:lvlJc w:val="left"/>
    </w:lvl>
    <w:lvl w:ilvl="5" w:tplc="F348BA66">
      <w:numFmt w:val="decimal"/>
      <w:lvlText w:val=""/>
      <w:lvlJc w:val="left"/>
    </w:lvl>
    <w:lvl w:ilvl="6" w:tplc="523ADBCA">
      <w:numFmt w:val="decimal"/>
      <w:lvlText w:val=""/>
      <w:lvlJc w:val="left"/>
    </w:lvl>
    <w:lvl w:ilvl="7" w:tplc="97922C6A">
      <w:numFmt w:val="decimal"/>
      <w:lvlText w:val=""/>
      <w:lvlJc w:val="left"/>
    </w:lvl>
    <w:lvl w:ilvl="8" w:tplc="2BD63E64">
      <w:numFmt w:val="decimal"/>
      <w:lvlText w:val=""/>
      <w:lvlJc w:val="left"/>
    </w:lvl>
  </w:abstractNum>
  <w:abstractNum w:abstractNumId="1" w15:restartNumberingAfterBreak="0">
    <w:nsid w:val="0D7B5355"/>
    <w:multiLevelType w:val="hybridMultilevel"/>
    <w:tmpl w:val="69486D8A"/>
    <w:lvl w:ilvl="0" w:tplc="B11CF1A8">
      <w:start w:val="1"/>
      <w:numFmt w:val="bullet"/>
      <w:lvlText w:val="–"/>
      <w:lvlJc w:val="left"/>
      <w:pPr>
        <w:ind w:left="760" w:hanging="280"/>
      </w:pPr>
    </w:lvl>
    <w:lvl w:ilvl="1" w:tplc="64C8BDE6">
      <w:numFmt w:val="decimal"/>
      <w:lvlText w:val=""/>
      <w:lvlJc w:val="left"/>
    </w:lvl>
    <w:lvl w:ilvl="2" w:tplc="A8E28DA0">
      <w:numFmt w:val="decimal"/>
      <w:lvlText w:val=""/>
      <w:lvlJc w:val="left"/>
    </w:lvl>
    <w:lvl w:ilvl="3" w:tplc="BC82493A">
      <w:numFmt w:val="decimal"/>
      <w:lvlText w:val=""/>
      <w:lvlJc w:val="left"/>
    </w:lvl>
    <w:lvl w:ilvl="4" w:tplc="9F982C9C">
      <w:numFmt w:val="decimal"/>
      <w:lvlText w:val=""/>
      <w:lvlJc w:val="left"/>
    </w:lvl>
    <w:lvl w:ilvl="5" w:tplc="A9D6EBF8">
      <w:numFmt w:val="decimal"/>
      <w:lvlText w:val=""/>
      <w:lvlJc w:val="left"/>
    </w:lvl>
    <w:lvl w:ilvl="6" w:tplc="2CDEA50C">
      <w:numFmt w:val="decimal"/>
      <w:lvlText w:val=""/>
      <w:lvlJc w:val="left"/>
    </w:lvl>
    <w:lvl w:ilvl="7" w:tplc="4D9476BE">
      <w:numFmt w:val="decimal"/>
      <w:lvlText w:val=""/>
      <w:lvlJc w:val="left"/>
    </w:lvl>
    <w:lvl w:ilvl="8" w:tplc="F0D4A7A8">
      <w:numFmt w:val="decimal"/>
      <w:lvlText w:val=""/>
      <w:lvlJc w:val="left"/>
    </w:lvl>
  </w:abstractNum>
  <w:abstractNum w:abstractNumId="2" w15:restartNumberingAfterBreak="0">
    <w:nsid w:val="36F17DB1"/>
    <w:multiLevelType w:val="hybridMultilevel"/>
    <w:tmpl w:val="64268224"/>
    <w:lvl w:ilvl="0" w:tplc="0608C26C">
      <w:start w:val="1"/>
      <w:numFmt w:val="bullet"/>
      <w:lvlText w:val="●"/>
      <w:lvlJc w:val="left"/>
      <w:pPr>
        <w:ind w:left="720" w:hanging="360"/>
      </w:pPr>
    </w:lvl>
    <w:lvl w:ilvl="1" w:tplc="47DC1822">
      <w:start w:val="1"/>
      <w:numFmt w:val="bullet"/>
      <w:lvlText w:val="○"/>
      <w:lvlJc w:val="left"/>
      <w:pPr>
        <w:ind w:left="1440" w:hanging="360"/>
      </w:pPr>
    </w:lvl>
    <w:lvl w:ilvl="2" w:tplc="55F87D78">
      <w:start w:val="1"/>
      <w:numFmt w:val="bullet"/>
      <w:lvlText w:val="■"/>
      <w:lvlJc w:val="left"/>
      <w:pPr>
        <w:ind w:left="2160" w:hanging="360"/>
      </w:pPr>
    </w:lvl>
    <w:lvl w:ilvl="3" w:tplc="ED487EFE">
      <w:start w:val="1"/>
      <w:numFmt w:val="bullet"/>
      <w:lvlText w:val="●"/>
      <w:lvlJc w:val="left"/>
      <w:pPr>
        <w:ind w:left="2880" w:hanging="360"/>
      </w:pPr>
    </w:lvl>
    <w:lvl w:ilvl="4" w:tplc="38B28D9A">
      <w:start w:val="1"/>
      <w:numFmt w:val="bullet"/>
      <w:lvlText w:val="○"/>
      <w:lvlJc w:val="left"/>
      <w:pPr>
        <w:ind w:left="3600" w:hanging="360"/>
      </w:pPr>
    </w:lvl>
    <w:lvl w:ilvl="5" w:tplc="B70E0A98">
      <w:start w:val="1"/>
      <w:numFmt w:val="bullet"/>
      <w:lvlText w:val="■"/>
      <w:lvlJc w:val="left"/>
      <w:pPr>
        <w:ind w:left="4320" w:hanging="360"/>
      </w:pPr>
    </w:lvl>
    <w:lvl w:ilvl="6" w:tplc="C2D88808">
      <w:start w:val="1"/>
      <w:numFmt w:val="bullet"/>
      <w:lvlText w:val="●"/>
      <w:lvlJc w:val="left"/>
      <w:pPr>
        <w:ind w:left="5040" w:hanging="360"/>
      </w:pPr>
    </w:lvl>
    <w:lvl w:ilvl="7" w:tplc="0CD497C8">
      <w:start w:val="1"/>
      <w:numFmt w:val="bullet"/>
      <w:lvlText w:val="●"/>
      <w:lvlJc w:val="left"/>
      <w:pPr>
        <w:ind w:left="5760" w:hanging="360"/>
      </w:pPr>
    </w:lvl>
    <w:lvl w:ilvl="8" w:tplc="538E05B2">
      <w:start w:val="1"/>
      <w:numFmt w:val="bullet"/>
      <w:lvlText w:val="●"/>
      <w:lvlJc w:val="left"/>
      <w:pPr>
        <w:ind w:left="6480" w:hanging="360"/>
      </w:pPr>
    </w:lvl>
  </w:abstractNum>
  <w:abstractNum w:abstractNumId="3" w15:restartNumberingAfterBreak="0">
    <w:nsid w:val="417142B5"/>
    <w:multiLevelType w:val="hybridMultilevel"/>
    <w:tmpl w:val="D1A08646"/>
    <w:lvl w:ilvl="0" w:tplc="F78E9FB8">
      <w:start w:val="15"/>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num>
  <w:num w:numId="2">
    <w:abstractNumId w:val="0"/>
    <w:lvlOverride w:ilvl="0">
      <w:startOverride w:val="1"/>
    </w:lvlOverride>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CA4"/>
    <w:rsid w:val="00000504"/>
    <w:rsid w:val="00292260"/>
    <w:rsid w:val="002A01F3"/>
    <w:rsid w:val="002A0B58"/>
    <w:rsid w:val="003E5140"/>
    <w:rsid w:val="004277C2"/>
    <w:rsid w:val="004A4E61"/>
    <w:rsid w:val="007878FC"/>
    <w:rsid w:val="007A5194"/>
    <w:rsid w:val="007B221D"/>
    <w:rsid w:val="008467CF"/>
    <w:rsid w:val="008650A7"/>
    <w:rsid w:val="00867725"/>
    <w:rsid w:val="008E58E8"/>
    <w:rsid w:val="009663B3"/>
    <w:rsid w:val="00994F25"/>
    <w:rsid w:val="009E2C56"/>
    <w:rsid w:val="00A6552D"/>
    <w:rsid w:val="00B94CA4"/>
    <w:rsid w:val="00BA4F07"/>
    <w:rsid w:val="00C020A8"/>
    <w:rsid w:val="00C911D3"/>
    <w:rsid w:val="00CD2FC7"/>
    <w:rsid w:val="00CE08AF"/>
    <w:rsid w:val="00E2339F"/>
    <w:rsid w:val="00F35AFE"/>
    <w:rsid w:val="00F84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22AAC"/>
  <w15:docId w15:val="{92069A36-168E-4502-B2E5-D59B724A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Strong1">
    <w:name w:val="Strong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style>
  <w:style w:type="character" w:customStyle="1" w:styleId="NotedefinCar">
    <w:name w:val="Note de fin Car"/>
    <w:link w:val="Notedefin"/>
    <w:uiPriority w:val="99"/>
    <w:semiHidden/>
    <w:unhideWhenUsed/>
    <w:rPr>
      <w:sz w:val="20"/>
      <w:szCs w:val="20"/>
    </w:rPr>
  </w:style>
  <w:style w:type="paragraph" w:styleId="En-tte">
    <w:name w:val="header"/>
    <w:basedOn w:val="Normal"/>
    <w:link w:val="En-tteCar"/>
    <w:uiPriority w:val="99"/>
    <w:unhideWhenUsed/>
    <w:rsid w:val="007B221D"/>
    <w:pPr>
      <w:tabs>
        <w:tab w:val="center" w:pos="4680"/>
        <w:tab w:val="right" w:pos="9360"/>
      </w:tabs>
    </w:pPr>
  </w:style>
  <w:style w:type="character" w:customStyle="1" w:styleId="En-tteCar">
    <w:name w:val="En-tête Car"/>
    <w:basedOn w:val="Policepardfaut"/>
    <w:link w:val="En-tte"/>
    <w:uiPriority w:val="99"/>
    <w:rsid w:val="007B221D"/>
  </w:style>
  <w:style w:type="paragraph" w:styleId="Pieddepage">
    <w:name w:val="footer"/>
    <w:basedOn w:val="Normal"/>
    <w:link w:val="PieddepageCar"/>
    <w:uiPriority w:val="99"/>
    <w:unhideWhenUsed/>
    <w:rsid w:val="007B221D"/>
    <w:pPr>
      <w:tabs>
        <w:tab w:val="center" w:pos="4680"/>
        <w:tab w:val="right" w:pos="9360"/>
      </w:tabs>
    </w:pPr>
  </w:style>
  <w:style w:type="character" w:customStyle="1" w:styleId="PieddepageCar">
    <w:name w:val="Pied de page Car"/>
    <w:basedOn w:val="Policepardfaut"/>
    <w:link w:val="Pieddepage"/>
    <w:uiPriority w:val="99"/>
    <w:rsid w:val="007B221D"/>
  </w:style>
  <w:style w:type="character" w:styleId="lev">
    <w:name w:val="Strong"/>
    <w:basedOn w:val="Policepardfaut"/>
    <w:uiPriority w:val="22"/>
    <w:qFormat/>
    <w:rsid w:val="003E51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2297D-2BC6-4EC5-BEF1-3DA7BD58D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17</Pages>
  <Words>5718</Words>
  <Characters>31452</Characters>
  <Application>Microsoft Office Word</Application>
  <DocSecurity>0</DocSecurity>
  <Lines>262</Lines>
  <Paragraphs>74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Swann REMY</cp:lastModifiedBy>
  <cp:revision>3</cp:revision>
  <dcterms:created xsi:type="dcterms:W3CDTF">2026-05-11T16:19:00Z</dcterms:created>
  <dcterms:modified xsi:type="dcterms:W3CDTF">2026-05-11T16:44:00Z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a2a8230a-49c1-4fc9-9fed-c16e2f59d1dd</vt:lpwstr>
  </property>
</Properties>
</file>