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F91C1" w14:textId="77777777" w:rsidR="00494B82" w:rsidRDefault="00000000">
      <w:pPr>
        <w:pBdr>
          <w:top w:val="single" w:sz="4" w:space="2" w:color="000000"/>
          <w:left w:val="single" w:sz="4" w:space="4" w:color="000000"/>
          <w:bottom w:val="single" w:sz="4" w:space="2" w:color="000000"/>
          <w:right w:val="single" w:sz="4" w:space="4" w:color="000000"/>
        </w:pBdr>
        <w:spacing w:after="200"/>
        <w:jc w:val="center"/>
        <w:rPr>
          <w:sz w:val="22"/>
          <w:szCs w:val="22"/>
        </w:rPr>
      </w:pPr>
      <w:r>
        <w:rPr>
          <w:b/>
          <w:bCs/>
          <w:sz w:val="22"/>
          <w:szCs w:val="22"/>
        </w:rPr>
        <w:t>TERMS OF REFERENCE</w:t>
      </w:r>
      <w:r>
        <w:rPr>
          <w:b/>
          <w:bCs/>
          <w:sz w:val="22"/>
          <w:szCs w:val="22"/>
        </w:rPr>
        <w:br/>
        <w:t>AND TECHNICAL SPECIFICATIONS</w:t>
      </w:r>
    </w:p>
    <w:p w14:paraId="2827884F" w14:textId="77777777" w:rsidR="00494B82" w:rsidRDefault="00000000">
      <w:pPr>
        <w:keepNext/>
        <w:shd w:val="clear" w:color="auto" w:fill="E7E6E6"/>
        <w:spacing w:before="260" w:after="160"/>
      </w:pPr>
      <w:r>
        <w:rPr>
          <w:b/>
          <w:bCs/>
        </w:rPr>
        <w:t>I.  General information</w:t>
      </w:r>
    </w:p>
    <w:tbl>
      <w:tblPr>
        <w:tblStyle w:val="a"/>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7115"/>
      </w:tblGrid>
      <w:tr w:rsidR="00494B82" w14:paraId="4BD26427" w14:textId="77777777" w:rsidTr="00BE46E5">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A50775" w14:textId="77777777" w:rsidR="00494B82" w:rsidRDefault="00000000">
            <w:pPr>
              <w:spacing w:after="40"/>
            </w:pPr>
            <w:r>
              <w:t>Assignment name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1BD54A" w14:textId="342D27E1" w:rsidR="00494B82" w:rsidRDefault="00000000">
            <w:pPr>
              <w:spacing w:after="40"/>
            </w:pPr>
            <w:r>
              <w:t>Provision of National Expertise on Enhancing the Quality, Efficiency and Accessibility of Justice Services</w:t>
            </w:r>
          </w:p>
        </w:tc>
      </w:tr>
      <w:tr w:rsidR="00494B82" w14:paraId="53F16E18" w14:textId="77777777" w:rsidTr="00BE46E5">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591810" w14:textId="77777777" w:rsidR="00494B82" w:rsidRDefault="00000000">
            <w:pPr>
              <w:spacing w:after="40"/>
            </w:pPr>
            <w:r>
              <w:t>Beneficiary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FD0D3B" w14:textId="6C338079" w:rsidR="00494B82" w:rsidRDefault="00000000">
            <w:pPr>
              <w:spacing w:after="40"/>
            </w:pPr>
            <w:r>
              <w:t xml:space="preserve">State Judicial Administration of Ukraine (SJA), courts, High Council of Justice (HCJ), Council of Judges of Ukraine, the Working Group on the development of the case-weighting methodology for Ukrainian courts, and associations of legal professionals and civil society </w:t>
            </w:r>
            <w:r w:rsidR="00BE46E5">
              <w:t>organizations</w:t>
            </w:r>
            <w:r>
              <w:t xml:space="preserve"> active in the field of court management</w:t>
            </w:r>
          </w:p>
        </w:tc>
      </w:tr>
      <w:tr w:rsidR="00494B82" w14:paraId="1CD0F950" w14:textId="77777777" w:rsidTr="00BE46E5">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196A81" w14:textId="77777777" w:rsidR="00494B82" w:rsidRDefault="00000000">
            <w:pPr>
              <w:spacing w:after="40"/>
            </w:pPr>
            <w:r>
              <w:t>Name of the project and code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17C443" w14:textId="77777777" w:rsidR="00494B82" w:rsidRDefault="00000000">
            <w:pPr>
              <w:spacing w:after="40"/>
            </w:pPr>
            <w:r>
              <w:t>PravoJustice4EU, 25GEO0C350</w:t>
            </w:r>
          </w:p>
        </w:tc>
      </w:tr>
      <w:tr w:rsidR="00494B82" w14:paraId="083F90F6" w14:textId="77777777" w:rsidTr="00BE46E5">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F923AB" w14:textId="77777777" w:rsidR="00494B82" w:rsidRDefault="00000000">
            <w:pPr>
              <w:spacing w:after="40"/>
            </w:pPr>
            <w:r>
              <w:t>Country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DA140A" w14:textId="77777777" w:rsidR="00494B82" w:rsidRDefault="00000000">
            <w:pPr>
              <w:spacing w:after="40"/>
            </w:pPr>
            <w:r>
              <w:t>UKRAINE</w:t>
            </w:r>
          </w:p>
        </w:tc>
      </w:tr>
      <w:tr w:rsidR="00494B82" w14:paraId="0264851B" w14:textId="77777777" w:rsidTr="00BE46E5">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A8F23B" w14:textId="77777777" w:rsidR="00494B82" w:rsidRDefault="00000000">
            <w:pPr>
              <w:spacing w:after="40"/>
            </w:pPr>
            <w:r>
              <w:t>Total estimated number of days</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617223" w14:textId="77777777" w:rsidR="00494B82" w:rsidRDefault="00000000">
            <w:pPr>
              <w:spacing w:after="40"/>
            </w:pPr>
            <w:r>
              <w:t>42 months</w:t>
            </w:r>
          </w:p>
        </w:tc>
      </w:tr>
    </w:tbl>
    <w:p w14:paraId="65530EDC" w14:textId="77777777" w:rsidR="00494B82" w:rsidRDefault="00000000">
      <w:pPr>
        <w:keepNext/>
        <w:shd w:val="clear" w:color="auto" w:fill="E7E6E6"/>
        <w:spacing w:before="260" w:after="160"/>
      </w:pPr>
      <w:r>
        <w:rPr>
          <w:b/>
          <w:bCs/>
        </w:rPr>
        <w:t>II. Context and justification of the need</w:t>
      </w:r>
    </w:p>
    <w:p w14:paraId="3E6DF4A7" w14:textId="65F0FE44" w:rsidR="00494B82" w:rsidRDefault="00000000">
      <w:pPr>
        <w:spacing w:after="120" w:line="264" w:lineRule="auto"/>
        <w:jc w:val="both"/>
      </w:pPr>
      <w:r>
        <w:t>The PravoJustice4EU Program, implemented by Expertise France (EF) with funding from the European Union and the French Ministry for Europe and Foreign Affairs, supports Ukrainian authorities in the continued reform and strengthening of the justice sector.</w:t>
      </w:r>
    </w:p>
    <w:p w14:paraId="1B4F7646" w14:textId="77777777" w:rsidR="00494B82" w:rsidRDefault="00000000">
      <w:pPr>
        <w:spacing w:after="120" w:line="264" w:lineRule="auto"/>
        <w:jc w:val="both"/>
      </w:pPr>
      <w: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52791978" w14:textId="59D5C6D5" w:rsidR="00494B82" w:rsidRDefault="00000000">
      <w:pPr>
        <w:spacing w:after="120" w:line="264" w:lineRule="auto"/>
        <w:jc w:val="both"/>
      </w:pPr>
      <w:r>
        <w:t>Within this framework, the Program will continue to support the judicial reform in Ukraine, with the aim of enhancing the quality, efficiency and accessibility of justice services in line with European standards.</w:t>
      </w:r>
    </w:p>
    <w:p w14:paraId="0AD2F9B9" w14:textId="397A1087" w:rsidR="00494B82" w:rsidRDefault="00000000">
      <w:pPr>
        <w:spacing w:after="120" w:line="264" w:lineRule="auto"/>
        <w:jc w:val="both"/>
      </w:pPr>
      <w:r>
        <w:t>The Program’s primary focus is to support Ukraine in fulfilling its EU integration commitments in the area of the judiciary, in particular those set out in the Ukraine Facility Plan, the Interim Benchmarks for Ukraine under Chapter 23 “Judiciary and Fundamental Rights”, the Rule of Law Roadmap, and the commitments arising from the Joint Statement of 11 December 2025 by European Commissioner for Enlargement Marta Kos and Deputy Prime Minister of Ukraine Taras Kachka.</w:t>
      </w:r>
    </w:p>
    <w:p w14:paraId="5AC2DB9D" w14:textId="7C963467" w:rsidR="00494B82" w:rsidRDefault="00000000">
      <w:pPr>
        <w:spacing w:after="120" w:line="264" w:lineRule="auto"/>
        <w:jc w:val="both"/>
      </w:pPr>
      <w:r>
        <w:t xml:space="preserve">Under Result 1.5 “Quality, efficiency, and accessibility of justice services are enhanced”, the National Experts will provide </w:t>
      </w:r>
      <w:r w:rsidR="00BE46E5">
        <w:t>specialized</w:t>
      </w:r>
      <w:r>
        <w:t xml:space="preserve"> national expertise, analytical support and capacity-development assistance to the State Judicial Administration of Ukraine (SJA), courts and other relevant judicial institutions under the following activities of the Program: A 1.5.1. Support </w:t>
      </w:r>
      <w:r w:rsidR="00BE46E5">
        <w:t>optimization</w:t>
      </w:r>
      <w:r>
        <w:t xml:space="preserve"> of the court network and allocation of judicial and administrative resources based on workload, case-weighting, and accessibility considerations in line with EU standards, including A 1.5.1.1. </w:t>
      </w:r>
      <w:r w:rsidR="00BE46E5">
        <w:t>Organization</w:t>
      </w:r>
      <w:r>
        <w:t xml:space="preserve"> and facilitation of stakeholder consultations, coordination and Working Group meetings and capacity-building activities to support the development of the case-weighting methodology, and A 1.5.1.2. Development of the case-weighting methodology, action/work plan and supporting methodological and practical materials and tools; A 1.5.2. Roll out and disseminate Model Court Initiatives solutions in national courts, including through engagement with associations of legal professionals and CSOs active in this field; A 1.5.3. Assist the SJA in developing methodologies, standards, guidelines and regulatory frameworks for evidence-based court management, including A 1.5.3.1. Development of analytical notes on identifying and assessing risks in automated case allocation.</w:t>
      </w:r>
    </w:p>
    <w:p w14:paraId="006FF2BA" w14:textId="77777777" w:rsidR="00494B82" w:rsidRDefault="00000000">
      <w:pPr>
        <w:spacing w:after="120" w:line="264" w:lineRule="auto"/>
        <w:jc w:val="both"/>
      </w:pPr>
      <w:r>
        <w:t>Beyond these specific activities, the National Experts will also provide, upon request of the Project, broader expert support under Result 1.5, including the analysis of legislation and draft laws, assessments and expert opinions on emerging issues relevant to the quality, efficiency and accessibility of justice and to the implementation of the relevant Ukraine Facility Plan steps, Interim Benchmarks and Rule of Law Roadmap measures.</w:t>
      </w:r>
    </w:p>
    <w:p w14:paraId="61BF7121" w14:textId="304E409D" w:rsidR="00494B82" w:rsidRDefault="00000000">
      <w:pPr>
        <w:spacing w:after="120" w:line="264" w:lineRule="auto"/>
        <w:jc w:val="both"/>
      </w:pPr>
      <w:r>
        <w:t xml:space="preserve">The assignment will contribute to the fulfilment of Ukraine’s EU accession commitments in the area of the judiciary, a more efficient </w:t>
      </w:r>
      <w:r w:rsidR="00BE46E5">
        <w:t>organization</w:t>
      </w:r>
      <w:r>
        <w:t xml:space="preserve"> of the court network, improved court management and performance, and better access to justice for court users. It will also facilitate the exchange of experience between Ukrainian and international stakeholders and promote the application of European best practices.</w:t>
      </w:r>
    </w:p>
    <w:p w14:paraId="0863FB99" w14:textId="77777777" w:rsidR="00494B82" w:rsidRDefault="00000000">
      <w:pPr>
        <w:keepNext/>
        <w:shd w:val="clear" w:color="auto" w:fill="E7E6E6"/>
        <w:spacing w:before="260" w:after="160"/>
      </w:pPr>
      <w:r>
        <w:rPr>
          <w:b/>
          <w:bCs/>
        </w:rPr>
        <w:t>III. Objectives and desired results</w:t>
      </w:r>
    </w:p>
    <w:p w14:paraId="7EB7DE24" w14:textId="77777777" w:rsidR="00494B82" w:rsidRDefault="00000000">
      <w:pPr>
        <w:keepNext/>
        <w:spacing w:before="140" w:after="100"/>
        <w:ind w:left="360"/>
      </w:pPr>
      <w:r>
        <w:t>1) General objective</w:t>
      </w:r>
    </w:p>
    <w:p w14:paraId="6ED208CE" w14:textId="77777777" w:rsidR="00494B82" w:rsidRDefault="00000000">
      <w:pPr>
        <w:spacing w:after="120" w:line="264" w:lineRule="auto"/>
        <w:ind w:left="360"/>
        <w:jc w:val="both"/>
      </w:pPr>
      <w:r>
        <w:t>To provide high-quality national expertise, analytical support and capacity-development assistance to the State Judicial Administration of Ukraine, courts and other relevant judicial institutions in improving the management of the judicial system and courts and the quality, efficiency and accessibility of justice services in line with European standards, including through the analysis of legislation and judicial practice, assessments and expert opinions on issues arising in the course of reform implementation.</w:t>
      </w:r>
    </w:p>
    <w:p w14:paraId="0AA8BF40" w14:textId="77777777" w:rsidR="00494B82" w:rsidRDefault="00000000">
      <w:pPr>
        <w:keepNext/>
        <w:spacing w:before="140" w:after="100"/>
        <w:ind w:left="360"/>
      </w:pPr>
      <w:r>
        <w:lastRenderedPageBreak/>
        <w:t>2) Specific objectives</w:t>
      </w:r>
    </w:p>
    <w:p w14:paraId="06BDA9D5" w14:textId="77777777" w:rsidR="00494B82" w:rsidRDefault="00000000">
      <w:pPr>
        <w:spacing w:after="80" w:line="264" w:lineRule="auto"/>
        <w:ind w:left="567" w:hanging="11"/>
        <w:jc w:val="both"/>
      </w:pPr>
      <w:r>
        <w:t>•  Contribute to the development of the case-weighting methodology, action/work plan and supporting methodological and practical materials and tools for the case-weighting study in Ukrainian courts.</w:t>
      </w:r>
    </w:p>
    <w:p w14:paraId="352910F8" w14:textId="77777777" w:rsidR="00494B82" w:rsidRDefault="00000000">
      <w:pPr>
        <w:spacing w:after="80" w:line="264" w:lineRule="auto"/>
        <w:ind w:left="567" w:hanging="11"/>
        <w:jc w:val="both"/>
      </w:pPr>
      <w:r>
        <w:t>•  Facilitate stakeholder consultations, coordination and Working Group meetings, and deliver capacity-building activities for Working Group members and other relevant stakeholders.</w:t>
      </w:r>
    </w:p>
    <w:p w14:paraId="037CC39A" w14:textId="77777777" w:rsidR="00494B82" w:rsidRDefault="00000000">
      <w:pPr>
        <w:spacing w:after="80" w:line="264" w:lineRule="auto"/>
        <w:ind w:left="567" w:hanging="11"/>
        <w:jc w:val="both"/>
      </w:pPr>
      <w:r>
        <w:t>•  Support the development of methodologies, standards and tools for evidence-based court management, including judicial statistics, workload and resource planning and court performance evaluation.</w:t>
      </w:r>
    </w:p>
    <w:p w14:paraId="6468A5B0" w14:textId="77777777" w:rsidR="00494B82" w:rsidRDefault="00000000">
      <w:pPr>
        <w:spacing w:after="80" w:line="264" w:lineRule="auto"/>
        <w:ind w:left="567" w:hanging="11"/>
        <w:jc w:val="both"/>
      </w:pPr>
      <w:r>
        <w:t>•  Support the roll-out and dissemination of Model Court Initiative solutions in national courts.</w:t>
      </w:r>
    </w:p>
    <w:p w14:paraId="1DA93A5D" w14:textId="77777777" w:rsidR="00494B82" w:rsidRDefault="00000000">
      <w:pPr>
        <w:spacing w:after="80" w:line="264" w:lineRule="auto"/>
        <w:ind w:left="567" w:hanging="11"/>
        <w:jc w:val="both"/>
      </w:pPr>
      <w:r>
        <w:t xml:space="preserve">•  Prepare analytical notes on identifying and assessing the legal, procedural and </w:t>
      </w:r>
      <w:proofErr w:type="spellStart"/>
      <w:r>
        <w:t>organisational</w:t>
      </w:r>
      <w:proofErr w:type="spellEnd"/>
      <w:r>
        <w:t xml:space="preserve"> risks in automated case allocation, with methodological recommendations for their mitigation.</w:t>
      </w:r>
    </w:p>
    <w:p w14:paraId="0030CB12" w14:textId="77777777" w:rsidR="00494B82" w:rsidRDefault="00000000">
      <w:pPr>
        <w:spacing w:after="80" w:line="264" w:lineRule="auto"/>
        <w:ind w:left="567" w:hanging="11"/>
        <w:jc w:val="both"/>
      </w:pPr>
      <w:r>
        <w:t>•  Provide, upon request of the Project, legal and policy analysis of legislation, draft laws, secondary legislation, judicial practice and case-law, as well as assessments and expert opinions on other issues relevant to Result 1.5.</w:t>
      </w:r>
    </w:p>
    <w:p w14:paraId="6AEB1760" w14:textId="77777777" w:rsidR="00494B82" w:rsidRDefault="00000000">
      <w:pPr>
        <w:keepNext/>
        <w:spacing w:before="140" w:after="100"/>
        <w:ind w:left="360"/>
      </w:pPr>
      <w:r>
        <w:t>3) Anticipated results</w:t>
      </w:r>
    </w:p>
    <w:p w14:paraId="57ECB3AA" w14:textId="77777777" w:rsidR="00494B82" w:rsidRDefault="00000000">
      <w:pPr>
        <w:spacing w:after="80" w:line="264" w:lineRule="auto"/>
        <w:ind w:left="720" w:hanging="200"/>
        <w:jc w:val="both"/>
      </w:pPr>
      <w:r>
        <w:t>•  Case-weighting methodology, action/work plan and supporting methodological and practical tools developed with the Working Group.</w:t>
      </w:r>
    </w:p>
    <w:p w14:paraId="2EB5574D" w14:textId="4C3C5240" w:rsidR="00494B82" w:rsidRDefault="00000000">
      <w:pPr>
        <w:spacing w:after="80" w:line="264" w:lineRule="auto"/>
        <w:ind w:left="720" w:hanging="200"/>
        <w:jc w:val="both"/>
      </w:pPr>
      <w:r>
        <w:t xml:space="preserve">•  Recommendations on court network </w:t>
      </w:r>
      <w:r w:rsidR="00BE46E5">
        <w:t>optimization</w:t>
      </w:r>
      <w:r>
        <w:t xml:space="preserve"> and the allocation of judicial and administrative resources developed on the basis of workload, case-weighting and accessibility considerations.</w:t>
      </w:r>
    </w:p>
    <w:p w14:paraId="7DE2F6F1" w14:textId="77777777" w:rsidR="00494B82" w:rsidRDefault="00000000">
      <w:pPr>
        <w:spacing w:after="80" w:line="264" w:lineRule="auto"/>
        <w:ind w:left="720" w:hanging="200"/>
        <w:jc w:val="both"/>
      </w:pPr>
      <w:r>
        <w:t>•  Methodologies, standards and tools for judicial statistics, resource planning and court performance evaluation developed or improved.</w:t>
      </w:r>
    </w:p>
    <w:p w14:paraId="072870D1" w14:textId="5A0605F7" w:rsidR="00494B82" w:rsidRDefault="00000000">
      <w:pPr>
        <w:spacing w:after="80" w:line="264" w:lineRule="auto"/>
        <w:ind w:left="720" w:hanging="200"/>
        <w:jc w:val="both"/>
      </w:pPr>
      <w:r>
        <w:t xml:space="preserve">•  Legal, procedural and </w:t>
      </w:r>
      <w:r w:rsidR="00BE46E5">
        <w:t>organizational</w:t>
      </w:r>
      <w:r>
        <w:t xml:space="preserve"> risks in automated case allocation identified and assessed, and recommendations for their mitigation provided to the SJA.</w:t>
      </w:r>
    </w:p>
    <w:p w14:paraId="357CBFBE" w14:textId="3F44FF87" w:rsidR="00494B82" w:rsidRDefault="00000000">
      <w:pPr>
        <w:spacing w:after="80" w:line="264" w:lineRule="auto"/>
        <w:ind w:left="720" w:hanging="200"/>
        <w:jc w:val="both"/>
      </w:pPr>
      <w:r>
        <w:t xml:space="preserve">•  Model Court Initiative solutions disseminated in national courts with the involvement of legal professionals and civil society </w:t>
      </w:r>
      <w:r w:rsidR="00BE46E5">
        <w:t>organizations</w:t>
      </w:r>
      <w:r>
        <w:t>.</w:t>
      </w:r>
    </w:p>
    <w:p w14:paraId="0DD4B03F" w14:textId="77777777" w:rsidR="00494B82" w:rsidRDefault="00000000">
      <w:pPr>
        <w:spacing w:after="80" w:line="264" w:lineRule="auto"/>
        <w:ind w:left="720" w:hanging="200"/>
        <w:jc w:val="both"/>
      </w:pPr>
      <w:r>
        <w:t>•  Increased professional knowledge and practical skills of SJA staff, court managers, Working Group members and other stakeholders on evidence-based court management.</w:t>
      </w:r>
    </w:p>
    <w:p w14:paraId="337A1AA8" w14:textId="77777777" w:rsidR="00494B82" w:rsidRDefault="00000000">
      <w:pPr>
        <w:spacing w:after="80" w:line="264" w:lineRule="auto"/>
        <w:ind w:left="720" w:hanging="200"/>
        <w:jc w:val="both"/>
      </w:pPr>
      <w:r>
        <w:t>•  Beneficiaries and the Project are provided with timely expert analysis of legislation, draft laws, judicial practice and case-law, assessments and expert opinions supporting evidence-based decision-making.</w:t>
      </w:r>
    </w:p>
    <w:p w14:paraId="6E5D7A97" w14:textId="77777777" w:rsidR="00494B82" w:rsidRDefault="00000000">
      <w:pPr>
        <w:keepNext/>
        <w:shd w:val="clear" w:color="auto" w:fill="E7E6E6"/>
        <w:spacing w:before="260" w:after="160"/>
      </w:pPr>
      <w:r>
        <w:rPr>
          <w:b/>
          <w:bCs/>
        </w:rPr>
        <w:t>IV. Description of the assignment</w:t>
      </w:r>
    </w:p>
    <w:p w14:paraId="1334F1B6" w14:textId="77777777" w:rsidR="00494B82" w:rsidRDefault="00000000">
      <w:pPr>
        <w:keepNext/>
        <w:spacing w:before="140" w:after="100"/>
        <w:ind w:left="360"/>
      </w:pPr>
      <w:r>
        <w:t>1) Planned activities</w:t>
      </w:r>
    </w:p>
    <w:p w14:paraId="71299A85" w14:textId="77777777" w:rsidR="00494B82" w:rsidRDefault="00000000">
      <w:pPr>
        <w:spacing w:after="120" w:line="264" w:lineRule="auto"/>
        <w:jc w:val="both"/>
      </w:pPr>
      <w:r>
        <w:t>The Expert shall work under the overall supervision of the Senior National Key Expert on Judiciary Reform and Pillar 1 Lead, and in close coordination with other Project experts and relevant beneficiary institutions.</w:t>
      </w:r>
    </w:p>
    <w:p w14:paraId="6419E47D" w14:textId="77777777" w:rsidR="00494B82" w:rsidRDefault="00000000">
      <w:pPr>
        <w:spacing w:after="120" w:line="264" w:lineRule="auto"/>
        <w:jc w:val="both"/>
      </w:pPr>
      <w:r>
        <w:t>Depending on the specific assignment and area of expertise, the Expert may be required to provide some or all of the following services:</w:t>
      </w:r>
    </w:p>
    <w:p w14:paraId="505F7922" w14:textId="3FADF2D9" w:rsidR="00494B82" w:rsidRDefault="00000000">
      <w:pPr>
        <w:keepNext/>
        <w:spacing w:before="120" w:after="80"/>
        <w:jc w:val="both"/>
      </w:pPr>
      <w:r>
        <w:rPr>
          <w:b/>
          <w:bCs/>
        </w:rPr>
        <w:t xml:space="preserve">A. Court network </w:t>
      </w:r>
      <w:r w:rsidR="00BE46E5">
        <w:rPr>
          <w:b/>
          <w:bCs/>
        </w:rPr>
        <w:t>optimization</w:t>
      </w:r>
      <w:r>
        <w:rPr>
          <w:b/>
          <w:bCs/>
        </w:rPr>
        <w:t xml:space="preserve"> and case-weighting</w:t>
      </w:r>
    </w:p>
    <w:p w14:paraId="79B6F280" w14:textId="307C5887" w:rsidR="00494B82" w:rsidRDefault="00000000">
      <w:pPr>
        <w:spacing w:after="80" w:line="264" w:lineRule="auto"/>
        <w:ind w:left="720" w:hanging="200"/>
        <w:jc w:val="both"/>
      </w:pPr>
      <w:r>
        <w:t xml:space="preserve">•  Contribute to the development of the case-weighting methodology, action/work plan, case </w:t>
      </w:r>
      <w:r w:rsidR="00BE46E5">
        <w:t>categorization</w:t>
      </w:r>
      <w:r>
        <w:t xml:space="preserve"> and complexity framework, data collection templates and tools, instructions and guidance, and other materials required for the preparation and implementation of the case-weighting study.</w:t>
      </w:r>
    </w:p>
    <w:p w14:paraId="7A8220F1" w14:textId="63C182EC" w:rsidR="00494B82" w:rsidRDefault="00000000">
      <w:pPr>
        <w:spacing w:after="80" w:line="264" w:lineRule="auto"/>
        <w:ind w:left="720" w:hanging="200"/>
        <w:jc w:val="both"/>
      </w:pPr>
      <w:r>
        <w:t xml:space="preserve">•  </w:t>
      </w:r>
      <w:r w:rsidR="00BE46E5">
        <w:t>Organize</w:t>
      </w:r>
      <w:r>
        <w:t xml:space="preserve"> and facilitate stakeholder consultations, coordination and Working Group meetings, and prepare agendas, discussion papers and summaries of outcomes.</w:t>
      </w:r>
    </w:p>
    <w:p w14:paraId="6D36B4E9" w14:textId="361211FB" w:rsidR="00494B82" w:rsidRDefault="00000000">
      <w:pPr>
        <w:spacing w:after="80" w:line="264" w:lineRule="auto"/>
        <w:ind w:left="720" w:hanging="200"/>
        <w:jc w:val="both"/>
      </w:pPr>
      <w:r>
        <w:t xml:space="preserve">•  </w:t>
      </w:r>
      <w:r w:rsidR="00BE46E5">
        <w:t>Analyze</w:t>
      </w:r>
      <w:r>
        <w:t xml:space="preserve"> court workload, staffing and accessibility, and prepare recommendations on the </w:t>
      </w:r>
      <w:r w:rsidR="00BE46E5">
        <w:t>optimization</w:t>
      </w:r>
      <w:r>
        <w:t xml:space="preserve"> of the court network and the allocation of judicial and administrative resources.</w:t>
      </w:r>
    </w:p>
    <w:p w14:paraId="66C7361E" w14:textId="709610B5" w:rsidR="00494B82" w:rsidRDefault="00000000">
      <w:pPr>
        <w:spacing w:after="80" w:line="264" w:lineRule="auto"/>
        <w:ind w:left="720" w:hanging="200"/>
        <w:jc w:val="both"/>
      </w:pPr>
      <w:r>
        <w:t xml:space="preserve">•  Conduct comparative research on court network </w:t>
      </w:r>
      <w:r w:rsidR="00BE46E5">
        <w:t>optimization</w:t>
      </w:r>
      <w:r>
        <w:t xml:space="preserve"> and workload measurement in EU Member States and identify approaches relevant to Ukraine.</w:t>
      </w:r>
    </w:p>
    <w:p w14:paraId="03741743" w14:textId="77777777" w:rsidR="00494B82" w:rsidRDefault="00000000">
      <w:pPr>
        <w:keepNext/>
        <w:spacing w:before="120" w:after="80"/>
      </w:pPr>
      <w:r>
        <w:rPr>
          <w:b/>
          <w:bCs/>
        </w:rPr>
        <w:t>B. Evidence-based court management and court performance evaluation</w:t>
      </w:r>
    </w:p>
    <w:p w14:paraId="17AD0A35" w14:textId="77777777" w:rsidR="00494B82" w:rsidRDefault="00000000">
      <w:pPr>
        <w:spacing w:after="80" w:line="264" w:lineRule="auto"/>
        <w:ind w:left="720" w:hanging="200"/>
        <w:jc w:val="both"/>
      </w:pPr>
      <w:r>
        <w:t>•  Support the development of methodologies, standards, guidelines and regulatory frameworks for evidence-based court management, including judicial statistics, workload and resource planning and court administration.</w:t>
      </w:r>
    </w:p>
    <w:p w14:paraId="646D54D0" w14:textId="77777777" w:rsidR="00494B82" w:rsidRDefault="00000000">
      <w:pPr>
        <w:spacing w:after="80" w:line="264" w:lineRule="auto"/>
        <w:ind w:left="720" w:hanging="200"/>
        <w:jc w:val="both"/>
      </w:pPr>
      <w:r>
        <w:t>•  Support the development and application of court performance and quality indicators and evaluation tools, including CEPEJ tools, court user satisfaction surveys and other instruments for evaluating the quality and efficiency of justice services.</w:t>
      </w:r>
    </w:p>
    <w:p w14:paraId="515BAD4B" w14:textId="77777777" w:rsidR="00494B82" w:rsidRDefault="00000000">
      <w:pPr>
        <w:spacing w:after="80" w:line="264" w:lineRule="auto"/>
        <w:ind w:left="720" w:hanging="200"/>
        <w:jc w:val="both"/>
      </w:pPr>
      <w:r>
        <w:t>•  Prepare analytical, methodological or policy recommendations to strengthen the financial and infrastructure sustainability of the judiciary.</w:t>
      </w:r>
    </w:p>
    <w:p w14:paraId="4513E825" w14:textId="28DE7452" w:rsidR="00494B82" w:rsidRDefault="00000000">
      <w:pPr>
        <w:spacing w:after="80" w:line="264" w:lineRule="auto"/>
        <w:ind w:left="720" w:hanging="200"/>
        <w:jc w:val="both"/>
      </w:pPr>
      <w:r>
        <w:t xml:space="preserve">•  Prepare analytical notes on identifying and assessing risks in automated case allocation from a legal, procedural and </w:t>
      </w:r>
      <w:r w:rsidR="00BE46E5">
        <w:t>organizational</w:t>
      </w:r>
      <w:r>
        <w:t xml:space="preserve"> perspective, including the regulatory framework and its application, exceptions and manual allocation, </w:t>
      </w:r>
      <w:r w:rsidR="00BE46E5">
        <w:t>specialization</w:t>
      </w:r>
      <w:r>
        <w:t xml:space="preserve"> and recusal </w:t>
      </w:r>
      <w:r>
        <w:lastRenderedPageBreak/>
        <w:t>of judges and safeguards of the right to a tribunal established by law, with methodological recommendations for risk assessment and mitigation.</w:t>
      </w:r>
    </w:p>
    <w:p w14:paraId="27BD9B60" w14:textId="77777777" w:rsidR="00494B82" w:rsidRDefault="00000000">
      <w:pPr>
        <w:keepNext/>
        <w:spacing w:before="120" w:after="80"/>
      </w:pPr>
      <w:r>
        <w:rPr>
          <w:b/>
          <w:bCs/>
        </w:rPr>
        <w:t>C. Model Court solutions and capacity development</w:t>
      </w:r>
    </w:p>
    <w:p w14:paraId="2FFE73BD" w14:textId="08171318" w:rsidR="00494B82" w:rsidRDefault="00000000">
      <w:pPr>
        <w:spacing w:after="80" w:line="264" w:lineRule="auto"/>
        <w:ind w:left="720" w:hanging="200"/>
        <w:jc w:val="both"/>
      </w:pPr>
      <w:r>
        <w:t xml:space="preserve">•  Support the roll-out and dissemination of Model Court Initiative solutions in national courts, including the preparation of guidance and practical materials and engagement with associations of legal professionals and civil society </w:t>
      </w:r>
      <w:r w:rsidR="00BE46E5">
        <w:t>organizations</w:t>
      </w:r>
      <w:r>
        <w:t xml:space="preserve"> (A 1.5.2).</w:t>
      </w:r>
    </w:p>
    <w:p w14:paraId="4FAAE689" w14:textId="77777777" w:rsidR="00494B82" w:rsidRDefault="00000000">
      <w:pPr>
        <w:spacing w:after="80" w:line="264" w:lineRule="auto"/>
        <w:ind w:left="720" w:hanging="200"/>
        <w:jc w:val="both"/>
      </w:pPr>
      <w:r>
        <w:t>•  Design and deliver training sessions, workshops and other capacity-building activities for SJA staff, court managers, Working Group members and other relevant stakeholders.</w:t>
      </w:r>
    </w:p>
    <w:p w14:paraId="6A5AFD8B" w14:textId="77777777" w:rsidR="00494B82" w:rsidRDefault="00000000">
      <w:pPr>
        <w:spacing w:after="80" w:line="264" w:lineRule="auto"/>
        <w:ind w:left="720" w:hanging="200"/>
        <w:jc w:val="both"/>
      </w:pPr>
      <w:r>
        <w:t>•  Prepare training agendas, presentations, case studies, practical exercises and other training materials, and facilitate discussions during capacity-development activities.</w:t>
      </w:r>
    </w:p>
    <w:p w14:paraId="3FBDAD4A" w14:textId="77777777" w:rsidR="00494B82" w:rsidRDefault="00000000">
      <w:pPr>
        <w:keepNext/>
        <w:spacing w:before="120" w:after="80"/>
      </w:pPr>
      <w:r>
        <w:rPr>
          <w:b/>
          <w:bCs/>
        </w:rPr>
        <w:t>D. Analysis of legislation and case-law, assessments and expert opinions</w:t>
      </w:r>
    </w:p>
    <w:p w14:paraId="6AADCA05" w14:textId="6A30A50F" w:rsidR="00494B82" w:rsidRDefault="00000000">
      <w:pPr>
        <w:spacing w:after="80" w:line="264" w:lineRule="auto"/>
        <w:ind w:left="720" w:hanging="200"/>
        <w:jc w:val="both"/>
      </w:pPr>
      <w:r>
        <w:t xml:space="preserve">•  Upon request of the Project, provide legal and policy analysis of the legislation, draft laws, secondary legislation and internal regulations governing the judicial system, court </w:t>
      </w:r>
      <w:r w:rsidR="00BE46E5">
        <w:t>organization</w:t>
      </w:r>
      <w:r>
        <w:t xml:space="preserve"> and administration, judicial procedure and access to justice, including their compliance with European standards and Ukraine’s EU accession commitments.</w:t>
      </w:r>
    </w:p>
    <w:p w14:paraId="282C0F5D" w14:textId="16ECD546" w:rsidR="00494B82" w:rsidRDefault="00000000">
      <w:pPr>
        <w:spacing w:after="80" w:line="264" w:lineRule="auto"/>
        <w:ind w:left="720" w:hanging="200"/>
        <w:jc w:val="both"/>
      </w:pPr>
      <w:r>
        <w:t xml:space="preserve">•  </w:t>
      </w:r>
      <w:r w:rsidR="00BE46E5">
        <w:t>Analyze</w:t>
      </w:r>
      <w:r>
        <w:t xml:space="preserve"> judicial practice and case-law of Ukrainian courts and relevant case-law of the European Court of Human Rights and the Court of Justice of the EU, including on the length of proceedings, the right to a fair trial and access to justice, and identify trends, inconsistencies and implementation challenges.</w:t>
      </w:r>
    </w:p>
    <w:p w14:paraId="3D562BB1" w14:textId="77777777" w:rsidR="00494B82" w:rsidRDefault="00000000">
      <w:pPr>
        <w:spacing w:after="80" w:line="264" w:lineRule="auto"/>
        <w:ind w:left="720" w:hanging="200"/>
        <w:jc w:val="both"/>
      </w:pPr>
      <w:r>
        <w:t>•  Conduct needs assessments, functional and institutional assessments, gap analyses, surveys and other assessments of courts, judicial institutions, procedures and practices, and prepare findings and recommendations.</w:t>
      </w:r>
    </w:p>
    <w:p w14:paraId="2DD6F507" w14:textId="77777777" w:rsidR="00494B82" w:rsidRDefault="00000000">
      <w:pPr>
        <w:spacing w:after="80" w:line="264" w:lineRule="auto"/>
        <w:ind w:left="720" w:hanging="200"/>
        <w:jc w:val="both"/>
      </w:pPr>
      <w:r>
        <w:t>•  Prepare expert opinions, analytical notes, comparative studies, policy briefs, comments and proposals on draft legal acts, methodologies, strategies, action plans and other documents relevant to Result 1.5, including in response to ad hoc requests from the beneficiaries.</w:t>
      </w:r>
    </w:p>
    <w:p w14:paraId="2A82CB36" w14:textId="77777777" w:rsidR="00494B82" w:rsidRDefault="00000000">
      <w:pPr>
        <w:spacing w:after="80" w:line="264" w:lineRule="auto"/>
        <w:ind w:left="720" w:hanging="200"/>
        <w:jc w:val="both"/>
      </w:pPr>
      <w:r>
        <w:t>•  Contribute to the monitoring of the implementation of relevant reform measures and interim benchmarks, and to the preparation of the Project’s analytical and reporting inputs.</w:t>
      </w:r>
    </w:p>
    <w:p w14:paraId="76BA9CE6" w14:textId="77777777" w:rsidR="00494B82" w:rsidRDefault="00000000">
      <w:pPr>
        <w:keepNext/>
        <w:spacing w:before="120" w:after="80"/>
      </w:pPr>
      <w:r>
        <w:rPr>
          <w:b/>
          <w:bCs/>
        </w:rPr>
        <w:t>E. Representation of the Project’s position and results of work</w:t>
      </w:r>
    </w:p>
    <w:p w14:paraId="70220BED" w14:textId="2C235296" w:rsidR="00494B82" w:rsidRDefault="00000000">
      <w:pPr>
        <w:spacing w:after="80" w:line="264" w:lineRule="auto"/>
        <w:ind w:left="720" w:hanging="200"/>
        <w:jc w:val="both"/>
      </w:pPr>
      <w:r>
        <w:t xml:space="preserve">• Participation in working groups, meetings or other working and coordination platforms dedicated to court network </w:t>
      </w:r>
      <w:r w:rsidR="00BE46E5">
        <w:t>optimization</w:t>
      </w:r>
      <w:r>
        <w:t>, court management and the quality, efficiency and accessibility of justice.</w:t>
      </w:r>
    </w:p>
    <w:p w14:paraId="65308459" w14:textId="77777777" w:rsidR="00494B82" w:rsidRDefault="00000000">
      <w:pPr>
        <w:spacing w:after="80" w:line="264" w:lineRule="auto"/>
        <w:ind w:left="720" w:hanging="200"/>
        <w:jc w:val="both"/>
      </w:pPr>
      <w:r>
        <w:t>•  Presentation of papers, studies and other materials prepared by the expert under the assignment received from the Project during public events and working meetings.</w:t>
      </w:r>
    </w:p>
    <w:p w14:paraId="115230E9" w14:textId="77777777" w:rsidR="00494B82" w:rsidRDefault="00000000">
      <w:pPr>
        <w:keepNext/>
        <w:spacing w:before="140" w:after="100"/>
        <w:ind w:left="360"/>
      </w:pPr>
      <w:r>
        <w:t>2) Anticipated deliverables</w:t>
      </w:r>
    </w:p>
    <w:tbl>
      <w:tblPr>
        <w:tblStyle w:val="a0"/>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tblGrid>
      <w:tr w:rsidR="00494B82" w14:paraId="279DC0D6" w14:textId="77777777" w:rsidTr="00BE46E5">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2B27AC" w14:textId="77777777" w:rsidR="00494B82" w:rsidRDefault="00000000">
            <w:pPr>
              <w:spacing w:after="40"/>
            </w:pPr>
            <w:r>
              <w:t>Deliverables:</w:t>
            </w:r>
          </w:p>
        </w:tc>
      </w:tr>
      <w:tr w:rsidR="00494B82" w14:paraId="73408F59" w14:textId="77777777" w:rsidTr="00BE46E5">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FB92ED" w14:textId="691C0C89" w:rsidR="00494B82" w:rsidRDefault="00000000">
            <w:pPr>
              <w:spacing w:after="40"/>
            </w:pPr>
            <w:r>
              <w:t xml:space="preserve">D1. Court network </w:t>
            </w:r>
            <w:r w:rsidR="00BE46E5">
              <w:t>optimization</w:t>
            </w:r>
            <w:r>
              <w:t xml:space="preserve"> and case-weighting. Contribution to the case-weighting methodology, action/work plan and supporting materials and tools; facilitation of stakeholder consultations and Working Group meetings; analysis and recommendations on court network </w:t>
            </w:r>
            <w:r w:rsidR="00BE46E5">
              <w:t>optimization</w:t>
            </w:r>
            <w:r>
              <w:t xml:space="preserve"> and resource allocation, in written or oral form, as agreed with the Project.</w:t>
            </w:r>
          </w:p>
        </w:tc>
      </w:tr>
      <w:tr w:rsidR="00494B82" w14:paraId="30DFEACD" w14:textId="77777777" w:rsidTr="00BE46E5">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C82FD6" w14:textId="31D15D27" w:rsidR="00494B82" w:rsidRDefault="00000000">
            <w:pPr>
              <w:spacing w:after="40"/>
            </w:pPr>
            <w:r>
              <w:t xml:space="preserve">D2. Evidence-based court management and court performance evaluation. Methodologies, standards, guidelines and tools for judicial statistics, resource planning, court administration and court performance evaluation; recommendations on the financial and infrastructure sustainability of the judiciary; analytical notes on the legal, procedural and </w:t>
            </w:r>
            <w:r w:rsidR="00BE46E5">
              <w:t>organizational</w:t>
            </w:r>
            <w:r>
              <w:t xml:space="preserve"> risks in automated case allocation, with recommendations for their mitigation.</w:t>
            </w:r>
          </w:p>
        </w:tc>
      </w:tr>
      <w:tr w:rsidR="00494B82" w14:paraId="36353DBA" w14:textId="77777777" w:rsidTr="00BE46E5">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3F8DF2" w14:textId="77777777" w:rsidR="00494B82" w:rsidRDefault="00000000">
            <w:pPr>
              <w:spacing w:after="40"/>
            </w:pPr>
            <w:r>
              <w:t>D3. Model Court solutions and capacity development. Guidance and practical materials for the roll-out of Model Court Initiative solutions; design and delivery of training and other capacity-building activities.</w:t>
            </w:r>
          </w:p>
        </w:tc>
      </w:tr>
      <w:tr w:rsidR="00494B82" w14:paraId="65E2FFED" w14:textId="77777777" w:rsidTr="00BE46E5">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8DE6FB" w14:textId="77777777" w:rsidR="00494B82" w:rsidRDefault="00000000">
            <w:pPr>
              <w:spacing w:after="40"/>
            </w:pPr>
            <w:r>
              <w:t>D4. Analysis of legislation and case-law, assessments and expert opinions. Upon request of the Project, legal and policy analysis of legislation, draft laws and secondary legislation; analysis of judicial practice and case-law; needs, functional and institutional assessments; expert opinions, analytical notes, comparative studies and comments on draft documents relevant to Result 1.5, in written or oral form, as agreed with the Project.</w:t>
            </w:r>
          </w:p>
        </w:tc>
      </w:tr>
      <w:tr w:rsidR="00494B82" w14:paraId="028ECC06" w14:textId="77777777" w:rsidTr="00BE46E5">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8111A5" w14:textId="1E3AB0ED" w:rsidR="00494B82" w:rsidRDefault="00000000">
            <w:pPr>
              <w:spacing w:after="40"/>
            </w:pPr>
            <w:r>
              <w:t xml:space="preserve">D5. Representation of the Project’s position and results of work. Participation and presentation of expert deliverables during public events, working groups, meetings or other working and coordination platforms dedicated to court network </w:t>
            </w:r>
            <w:r w:rsidR="00BE46E5">
              <w:t>optimization</w:t>
            </w:r>
            <w:r>
              <w:t>, court management and the quality, efficiency and accessibility of justice.</w:t>
            </w:r>
          </w:p>
        </w:tc>
      </w:tr>
    </w:tbl>
    <w:p w14:paraId="3B35B6EE" w14:textId="77777777" w:rsidR="00494B82" w:rsidRDefault="00000000">
      <w:pPr>
        <w:keepNext/>
        <w:spacing w:before="140" w:after="100"/>
        <w:ind w:left="360"/>
      </w:pPr>
      <w:r>
        <w:t>3) Consultation</w:t>
      </w:r>
    </w:p>
    <w:p w14:paraId="16B79D82" w14:textId="77777777" w:rsidR="00494B82" w:rsidRDefault="00000000">
      <w:pPr>
        <w:spacing w:after="120" w:line="264" w:lineRule="auto"/>
        <w:jc w:val="both"/>
      </w:pPr>
      <w:r>
        <w:t>The Expert shall work under the overall supervision of the Senior National Key Expert on Judiciary Reform and Pillar 1 Lead.</w:t>
      </w:r>
    </w:p>
    <w:p w14:paraId="1D2254ED" w14:textId="083051E6" w:rsidR="00494B82" w:rsidRDefault="00000000">
      <w:pPr>
        <w:spacing w:after="120" w:line="264" w:lineRule="auto"/>
        <w:jc w:val="both"/>
      </w:pPr>
      <w:r>
        <w:t xml:space="preserve">The Expert shall maintain regular communication with the designated Project experts concerning the </w:t>
      </w:r>
      <w:r w:rsidR="00BE46E5">
        <w:t>prioritization</w:t>
      </w:r>
      <w:r>
        <w:t xml:space="preserve"> and allocation of analytical, facilitation and capacity-development tasks; the scope, methodology and expected outputs of expert products; legal questions, data and factual materials requiring assessment; consultations with the SJA, courts and other relevant beneficiaries; the preparation and delivery of Working Group meetings and capacity-development activities; the submission, review and revision of deliverables; and any circumstances that may affect the quality, timeliness or impartiality of the assignment.</w:t>
      </w:r>
    </w:p>
    <w:p w14:paraId="4920D3A0" w14:textId="77777777" w:rsidR="00494B82" w:rsidRDefault="00000000">
      <w:pPr>
        <w:spacing w:after="120" w:line="264" w:lineRule="auto"/>
        <w:jc w:val="both"/>
      </w:pPr>
      <w:r>
        <w:lastRenderedPageBreak/>
        <w:t>The Expert shall promptly communicate any potential conflict of interest, confidentiality concern or other circumstance that may affect the performance of the assignment.</w:t>
      </w:r>
    </w:p>
    <w:p w14:paraId="0B637E90" w14:textId="77777777" w:rsidR="00494B82" w:rsidRDefault="00000000">
      <w:pPr>
        <w:keepNext/>
        <w:spacing w:before="140" w:after="100"/>
        <w:ind w:left="360"/>
      </w:pPr>
      <w:r>
        <w:t>4) Implementation period</w:t>
      </w:r>
    </w:p>
    <w:p w14:paraId="02FB2133" w14:textId="77777777" w:rsidR="00494B82" w:rsidRDefault="00000000">
      <w:pPr>
        <w:keepNext/>
        <w:ind w:left="360"/>
      </w:pPr>
      <w:r>
        <w:t>Start date: January 2027</w:t>
      </w:r>
    </w:p>
    <w:p w14:paraId="77354E8E" w14:textId="77777777" w:rsidR="00494B82" w:rsidRDefault="00000000">
      <w:pPr>
        <w:keepNext/>
        <w:ind w:left="360"/>
      </w:pPr>
      <w:r>
        <w:t>End date: June 2030</w:t>
      </w:r>
    </w:p>
    <w:p w14:paraId="5313A429" w14:textId="77777777" w:rsidR="00494B82" w:rsidRDefault="00000000">
      <w:pPr>
        <w:keepNext/>
        <w:ind w:left="360"/>
      </w:pPr>
      <w:r>
        <w:t>Effective duration of the assignment: 42 months</w:t>
      </w:r>
    </w:p>
    <w:p w14:paraId="338D8C24" w14:textId="77777777" w:rsidR="00494B82" w:rsidRDefault="00000000">
      <w:pPr>
        <w:keepNext/>
        <w:spacing w:before="140" w:after="100"/>
        <w:ind w:left="360"/>
      </w:pPr>
      <w:r>
        <w:t>5) Place of performance</w:t>
      </w:r>
    </w:p>
    <w:p w14:paraId="58461359" w14:textId="77777777" w:rsidR="00494B82" w:rsidRDefault="00000000">
      <w:pPr>
        <w:spacing w:after="120" w:line="264" w:lineRule="auto"/>
        <w:jc w:val="both"/>
      </w:pPr>
      <w:r>
        <w:t>The assignment shall primarily be performed on a home-based basis. Frequent travel to and within Ukraine may be required, upon formal request by Expertise France and subject to applicable security and contractual arrangements.</w:t>
      </w:r>
    </w:p>
    <w:p w14:paraId="1361281C" w14:textId="06156826" w:rsidR="00494B82" w:rsidRDefault="00000000">
      <w:pPr>
        <w:spacing w:after="120" w:line="264" w:lineRule="auto"/>
        <w:jc w:val="both"/>
      </w:pPr>
      <w:r>
        <w:t>Participation in meetings, consultations and other Project activities may take place in person or online, subject to prior agreement with the Program Key Expert.</w:t>
      </w:r>
    </w:p>
    <w:p w14:paraId="114C676F" w14:textId="77777777" w:rsidR="00494B82" w:rsidRDefault="00000000">
      <w:pPr>
        <w:keepNext/>
        <w:shd w:val="clear" w:color="auto" w:fill="E7E6E6"/>
        <w:spacing w:before="260" w:after="160"/>
      </w:pPr>
      <w:r>
        <w:rPr>
          <w:b/>
          <w:bCs/>
        </w:rPr>
        <w:t>V.  Required expertise and profile</w:t>
      </w:r>
    </w:p>
    <w:p w14:paraId="3B28B5B6" w14:textId="77777777" w:rsidR="00494B82" w:rsidRDefault="00000000">
      <w:pPr>
        <w:keepNext/>
        <w:spacing w:before="140" w:after="100"/>
        <w:ind w:left="360"/>
      </w:pPr>
      <w:r>
        <w:t>1) Number of experts per assignment: 5</w:t>
      </w:r>
    </w:p>
    <w:p w14:paraId="23CFDD49" w14:textId="77777777" w:rsidR="00494B82" w:rsidRDefault="00000000">
      <w:pPr>
        <w:keepNext/>
        <w:spacing w:before="140" w:after="100"/>
        <w:ind w:left="360"/>
      </w:pPr>
      <w:r>
        <w:t>2) Profile of the designated expert responsible for contract execution</w:t>
      </w:r>
    </w:p>
    <w:p w14:paraId="78690F02" w14:textId="77777777" w:rsidR="00494B82" w:rsidRDefault="00000000">
      <w:pPr>
        <w:keepNext/>
        <w:spacing w:before="120" w:after="80"/>
      </w:pPr>
      <w:r>
        <w:rPr>
          <w:b/>
          <w:bCs/>
        </w:rPr>
        <w:t>A. Qualifications and skills:</w:t>
      </w:r>
    </w:p>
    <w:p w14:paraId="7171C998" w14:textId="77777777" w:rsidR="00494B82" w:rsidRDefault="00000000">
      <w:pPr>
        <w:spacing w:after="80" w:line="264" w:lineRule="auto"/>
        <w:ind w:left="720" w:hanging="200"/>
        <w:jc w:val="both"/>
      </w:pPr>
      <w:r>
        <w:t>•  Advanced university degree (Master’s degree or PhD) in law.</w:t>
      </w:r>
    </w:p>
    <w:p w14:paraId="354FAE73" w14:textId="5871F3CB" w:rsidR="00494B82" w:rsidRDefault="00000000">
      <w:pPr>
        <w:spacing w:after="80" w:line="264" w:lineRule="auto"/>
        <w:ind w:left="720" w:hanging="200"/>
        <w:jc w:val="both"/>
      </w:pPr>
      <w:r>
        <w:t xml:space="preserve">• Strong knowledge of judicial </w:t>
      </w:r>
      <w:r w:rsidR="00BE46E5">
        <w:t>organization</w:t>
      </w:r>
      <w:r>
        <w:t>, court administration and European standards on judicial independence, efficiency and access to justice.</w:t>
      </w:r>
    </w:p>
    <w:p w14:paraId="4CE450B6" w14:textId="77777777" w:rsidR="00494B82" w:rsidRDefault="00000000">
      <w:pPr>
        <w:spacing w:after="80" w:line="264" w:lineRule="auto"/>
        <w:ind w:left="720" w:hanging="200"/>
        <w:jc w:val="both"/>
      </w:pPr>
      <w:r>
        <w:t>• Excellent legal research, comparative analysis and drafting skills, including the ability to develop practical methodologies and recommendations.</w:t>
      </w:r>
    </w:p>
    <w:p w14:paraId="6DF93546" w14:textId="45BB9F5F" w:rsidR="00494B82" w:rsidRDefault="00000000">
      <w:pPr>
        <w:spacing w:after="80" w:line="264" w:lineRule="auto"/>
        <w:ind w:left="720" w:hanging="200"/>
        <w:jc w:val="both"/>
      </w:pPr>
      <w:r>
        <w:t xml:space="preserve">• Ability to </w:t>
      </w:r>
      <w:r w:rsidR="00BE46E5">
        <w:t>analyze</w:t>
      </w:r>
      <w:r>
        <w:t xml:space="preserve"> judicial workload data and translate findings into recommendations for court management.</w:t>
      </w:r>
    </w:p>
    <w:p w14:paraId="0C7DB27F" w14:textId="77777777" w:rsidR="00494B82" w:rsidRDefault="00000000">
      <w:pPr>
        <w:spacing w:after="80" w:line="264" w:lineRule="auto"/>
        <w:ind w:left="720" w:hanging="200"/>
        <w:jc w:val="both"/>
      </w:pPr>
      <w:r>
        <w:t>• Knowledge of CEPEJ standards and tools on court efficiency, quality of justice and judicial statistics is an asset.</w:t>
      </w:r>
    </w:p>
    <w:p w14:paraId="4D35738C" w14:textId="77777777" w:rsidR="00494B82" w:rsidRDefault="00000000">
      <w:pPr>
        <w:spacing w:after="80" w:line="264" w:lineRule="auto"/>
        <w:ind w:left="720" w:hanging="200"/>
        <w:jc w:val="both"/>
      </w:pPr>
      <w:r>
        <w:t>• Knowledge of procedural legislation and rules on the allocation of cases among judges is an asset.</w:t>
      </w:r>
    </w:p>
    <w:p w14:paraId="169EB1A8" w14:textId="77777777" w:rsidR="00494B82" w:rsidRDefault="00000000">
      <w:pPr>
        <w:spacing w:after="80" w:line="264" w:lineRule="auto"/>
        <w:ind w:left="720" w:hanging="200"/>
        <w:jc w:val="both"/>
      </w:pPr>
      <w:r>
        <w:t>• Strong stakeholder consultation and facilitation skills.</w:t>
      </w:r>
    </w:p>
    <w:p w14:paraId="61122DCE" w14:textId="5D167851" w:rsidR="00494B82" w:rsidRDefault="00000000">
      <w:pPr>
        <w:spacing w:after="80" w:line="264" w:lineRule="auto"/>
        <w:ind w:left="720" w:hanging="200"/>
        <w:jc w:val="both"/>
      </w:pPr>
      <w:r>
        <w:t xml:space="preserve">•  Fluency in written and spoken Ukrainian is required. Knowledge of English sufficient to </w:t>
      </w:r>
      <w:r w:rsidR="00BE46E5">
        <w:t>analyze</w:t>
      </w:r>
      <w:r>
        <w:t xml:space="preserve"> European legal and policy materials.</w:t>
      </w:r>
    </w:p>
    <w:p w14:paraId="11742562" w14:textId="77777777" w:rsidR="00494B82" w:rsidRDefault="00000000">
      <w:pPr>
        <w:keepNext/>
        <w:spacing w:before="120" w:after="80"/>
      </w:pPr>
      <w:r>
        <w:rPr>
          <w:b/>
          <w:bCs/>
        </w:rPr>
        <w:t>B. General professional experience</w:t>
      </w:r>
    </w:p>
    <w:p w14:paraId="2FCAE982" w14:textId="77777777" w:rsidR="00494B82" w:rsidRDefault="00000000">
      <w:pPr>
        <w:spacing w:after="80" w:line="264" w:lineRule="auto"/>
        <w:ind w:left="720" w:hanging="200"/>
        <w:jc w:val="both"/>
      </w:pPr>
      <w:r>
        <w:t>•  At least 5 years of professional experience in the judicial system, court administration, legal research or another closely relevant field.</w:t>
      </w:r>
    </w:p>
    <w:p w14:paraId="166CEFF4" w14:textId="77777777" w:rsidR="00494B82" w:rsidRDefault="00000000">
      <w:pPr>
        <w:spacing w:after="80" w:line="264" w:lineRule="auto"/>
        <w:ind w:left="720" w:hanging="200"/>
        <w:jc w:val="both"/>
      </w:pPr>
      <w:r>
        <w:t>• Experience in preparing analytical studies, methodologies or policy recommendations for judicial institutions.</w:t>
      </w:r>
    </w:p>
    <w:p w14:paraId="6C3E214E" w14:textId="77777777" w:rsidR="00494B82" w:rsidRDefault="00000000">
      <w:pPr>
        <w:spacing w:after="80" w:line="264" w:lineRule="auto"/>
        <w:ind w:left="720" w:hanging="200"/>
        <w:jc w:val="both"/>
      </w:pPr>
      <w:r>
        <w:t>• Experience in cooperating with judicial governance bodies, courts, academic institutions or international technical assistance projects.</w:t>
      </w:r>
    </w:p>
    <w:p w14:paraId="269099FC" w14:textId="77777777" w:rsidR="00494B82" w:rsidRDefault="00000000">
      <w:pPr>
        <w:keepNext/>
        <w:spacing w:before="120" w:after="80"/>
      </w:pPr>
      <w:r>
        <w:rPr>
          <w:b/>
          <w:bCs/>
        </w:rPr>
        <w:t>C. Specific professional experience</w:t>
      </w:r>
    </w:p>
    <w:p w14:paraId="14701AB6" w14:textId="60340982" w:rsidR="00494B8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Demonstrated expertise in court workload assessment, case-weighting methodologies and evidence-based approaches to court network </w:t>
      </w:r>
      <w:r w:rsidR="00BE46E5">
        <w:rPr>
          <w:color w:val="000000"/>
        </w:rPr>
        <w:t>optimization</w:t>
      </w:r>
      <w:r>
        <w:rPr>
          <w:color w:val="000000"/>
        </w:rPr>
        <w:t>.</w:t>
      </w:r>
    </w:p>
    <w:p w14:paraId="2BBD7A81" w14:textId="77777777" w:rsidR="00494B8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developing or applying judicial statistics, court performance indicators or quality of justice evaluation tools.</w:t>
      </w:r>
    </w:p>
    <w:p w14:paraId="1F117E28" w14:textId="77777777" w:rsidR="00494B8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developing practical recommendations on court management, efficiency and accessibility of justice.</w:t>
      </w:r>
    </w:p>
    <w:p w14:paraId="7D218F75" w14:textId="77777777" w:rsidR="00494B8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legal analysis of legislation and draft laws, analysis of judicial practice and case-law, and in conducting institutional or needs assessments in the justice sector.</w:t>
      </w:r>
    </w:p>
    <w:p w14:paraId="0B896DEC" w14:textId="77777777" w:rsidR="00494B8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comparative research on EU Member States’ judicial systems and identifying approaches relevant to Ukraine.</w:t>
      </w:r>
    </w:p>
    <w:p w14:paraId="324AB84C" w14:textId="77777777" w:rsidR="00494B8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facilitating working groups, stakeholder consultations or capacity-building activities for judicial institutions.</w:t>
      </w:r>
    </w:p>
    <w:p w14:paraId="778D12F9" w14:textId="77777777" w:rsidR="00494B8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Previous experience in supporting judicial reform through EU-funded technical assistance projects is an asset.</w:t>
      </w:r>
    </w:p>
    <w:p w14:paraId="7A1DD2B7" w14:textId="77777777" w:rsidR="00494B82" w:rsidRDefault="00000000">
      <w:pPr>
        <w:keepNext/>
        <w:shd w:val="clear" w:color="auto" w:fill="E7E6E6"/>
        <w:spacing w:before="260" w:after="160"/>
      </w:pPr>
      <w:r>
        <w:rPr>
          <w:b/>
          <w:bCs/>
        </w:rPr>
        <w:t>VI. Assignment reports</w:t>
      </w:r>
    </w:p>
    <w:p w14:paraId="6529A4D9" w14:textId="764A5A51" w:rsidR="00494B82" w:rsidRDefault="00000000">
      <w:pPr>
        <w:spacing w:after="120" w:line="264" w:lineRule="auto"/>
        <w:jc w:val="both"/>
      </w:pPr>
      <w:r>
        <w:t xml:space="preserve">The expert shall provide periodic activity and progress reporting in accordance with the contractual modality and Program procedures. This may include monthly or periodic progress reports and timesheets, as applicable, </w:t>
      </w:r>
      <w:r w:rsidR="00BE46E5">
        <w:t>summarizing</w:t>
      </w:r>
      <w: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09A6081B" w14:textId="77777777" w:rsidR="00494B82" w:rsidRDefault="00000000">
      <w:pPr>
        <w:keepNext/>
        <w:shd w:val="clear" w:color="auto" w:fill="E7E6E6"/>
        <w:spacing w:before="260" w:after="160"/>
      </w:pPr>
      <w:r>
        <w:rPr>
          <w:b/>
          <w:bCs/>
        </w:rPr>
        <w:lastRenderedPageBreak/>
        <w:t>VII. Monitoring-evaluation</w:t>
      </w:r>
    </w:p>
    <w:p w14:paraId="41919D2B" w14:textId="77777777" w:rsidR="00494B82" w:rsidRDefault="00000000">
      <w:pPr>
        <w:spacing w:after="120" w:line="264" w:lineRule="auto"/>
        <w:jc w:val="both"/>
      </w:pPr>
      <w:r>
        <w:rPr>
          <w:b/>
          <w:bCs/>
        </w:rPr>
        <w:t>Performance indicators</w:t>
      </w:r>
    </w:p>
    <w:tbl>
      <w:tblPr>
        <w:tblStyle w:val="a1"/>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600"/>
        <w:gridCol w:w="3155"/>
        <w:gridCol w:w="2070"/>
      </w:tblGrid>
      <w:tr w:rsidR="00494B82" w14:paraId="16C1072A" w14:textId="77777777" w:rsidTr="00BE46E5">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A475EA7" w14:textId="77777777" w:rsidR="00494B82" w:rsidRDefault="00000000">
            <w:pPr>
              <w:spacing w:after="40"/>
            </w:pPr>
            <w:r>
              <w:rPr>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6F06F2F3" w14:textId="77777777" w:rsidR="00494B82" w:rsidRDefault="00000000">
            <w:pPr>
              <w:spacing w:after="40"/>
            </w:pPr>
            <w:r>
              <w:rPr>
                <w:b/>
                <w:bCs/>
              </w:rPr>
              <w:t>Immediate effects</w:t>
            </w:r>
          </w:p>
        </w:tc>
        <w:tc>
          <w:tcPr>
            <w:tcW w:w="315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8A33CA6" w14:textId="77777777" w:rsidR="00494B82" w:rsidRDefault="00000000">
            <w:pPr>
              <w:spacing w:after="40"/>
            </w:pPr>
            <w:r>
              <w:rPr>
                <w:b/>
                <w:bCs/>
              </w:rPr>
              <w:t>Intermediate effects</w:t>
            </w:r>
          </w:p>
        </w:tc>
        <w:tc>
          <w:tcPr>
            <w:tcW w:w="207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95AAD8F" w14:textId="77777777" w:rsidR="00494B82" w:rsidRDefault="00000000">
            <w:pPr>
              <w:spacing w:after="40"/>
            </w:pPr>
            <w:r>
              <w:rPr>
                <w:b/>
                <w:bCs/>
              </w:rPr>
              <w:t>Verification sources</w:t>
            </w:r>
          </w:p>
        </w:tc>
      </w:tr>
      <w:tr w:rsidR="00494B82" w14:paraId="1CEA4603" w14:textId="77777777" w:rsidTr="00BE46E5">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3CA34A" w14:textId="77777777" w:rsidR="00494B82" w:rsidRDefault="00000000">
            <w:pPr>
              <w:spacing w:after="40"/>
            </w:pPr>
            <w:r>
              <w:t xml:space="preserve">Court network </w:t>
            </w:r>
            <w:proofErr w:type="spellStart"/>
            <w:r>
              <w:t>optimisation</w:t>
            </w:r>
            <w:proofErr w:type="spellEnd"/>
            <w:r>
              <w:t xml:space="preserve"> and case-weighting</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50F6DE" w14:textId="2BBAB9EA" w:rsidR="00494B82" w:rsidRDefault="00000000">
            <w:pPr>
              <w:spacing w:after="40"/>
            </w:pPr>
            <w:r>
              <w:t xml:space="preserve">Court workload, case categories, staffing and accessibility </w:t>
            </w:r>
            <w:r w:rsidR="00BE46E5">
              <w:t>analyzed</w:t>
            </w:r>
            <w:r>
              <w:t>; methodological approach to the case-weighting study agreed with the Working Group.</w:t>
            </w:r>
          </w:p>
        </w:tc>
        <w:tc>
          <w:tcPr>
            <w:tcW w:w="3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1B8A33" w14:textId="74B8E203" w:rsidR="00494B82" w:rsidRDefault="00000000">
            <w:pPr>
              <w:spacing w:after="40"/>
            </w:pPr>
            <w:r>
              <w:t xml:space="preserve">The SJA and the Working Group use the case-weighting methodology and expert recommendations for court network </w:t>
            </w:r>
            <w:r w:rsidR="00BE46E5">
              <w:t>optimization</w:t>
            </w:r>
            <w:r>
              <w:t xml:space="preserve"> and resource allocation.</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91A169" w14:textId="77777777" w:rsidR="00494B82" w:rsidRDefault="00000000">
            <w:pPr>
              <w:spacing w:after="40"/>
            </w:pPr>
            <w:r>
              <w:t>Methodological documents and tools; meeting minutes; beneficiary feedback.</w:t>
            </w:r>
          </w:p>
        </w:tc>
      </w:tr>
      <w:tr w:rsidR="00494B82" w14:paraId="03509398" w14:textId="77777777" w:rsidTr="00BE46E5">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8CA725" w14:textId="77777777" w:rsidR="00494B82" w:rsidRDefault="00000000">
            <w:pPr>
              <w:spacing w:after="40"/>
            </w:pPr>
            <w:r>
              <w:t>Evidence-based court management and court performance evaluation</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F53046" w14:textId="77777777" w:rsidR="00494B82" w:rsidRDefault="00000000">
            <w:pPr>
              <w:spacing w:after="40"/>
            </w:pPr>
            <w:r>
              <w:t>Needs and gaps in judicial statistics, resource planning and court performance evaluation, and risks in automated case allocation, identified.</w:t>
            </w:r>
          </w:p>
        </w:tc>
        <w:tc>
          <w:tcPr>
            <w:tcW w:w="3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49D49C" w14:textId="77777777" w:rsidR="00494B82" w:rsidRDefault="00000000">
            <w:pPr>
              <w:spacing w:after="40"/>
            </w:pPr>
            <w:r>
              <w:t>The SJA and courts apply the methodologies, standards and tools in court management and performance evaluation, and take measures to mitigate risks in automated case allocation.</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6E1CB9" w14:textId="77777777" w:rsidR="00494B82" w:rsidRDefault="00000000">
            <w:pPr>
              <w:spacing w:after="40"/>
            </w:pPr>
            <w:r>
              <w:t>Approved methodologies and guidelines; analytical notes; beneficiary feedback.</w:t>
            </w:r>
          </w:p>
        </w:tc>
      </w:tr>
      <w:tr w:rsidR="00494B82" w14:paraId="1AA0F803" w14:textId="77777777" w:rsidTr="00BE46E5">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3AD78B" w14:textId="77777777" w:rsidR="00494B82" w:rsidRDefault="00000000">
            <w:pPr>
              <w:spacing w:after="40"/>
            </w:pPr>
            <w:r>
              <w:t>Model Court solutions and capacity development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6BBCDC" w14:textId="77777777" w:rsidR="00494B82" w:rsidRDefault="00000000">
            <w:pPr>
              <w:spacing w:after="40"/>
            </w:pPr>
            <w:r>
              <w:t>Model Court solutions for dissemination and the list, topics and calendar of capacity-building activities identified and agreed with the beneficiaries and the Project.</w:t>
            </w:r>
          </w:p>
        </w:tc>
        <w:tc>
          <w:tcPr>
            <w:tcW w:w="3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39366A" w14:textId="77777777" w:rsidR="00494B82" w:rsidRDefault="00000000">
            <w:pPr>
              <w:spacing w:after="40"/>
            </w:pPr>
            <w:r>
              <w:t>Model Court solutions are disseminated in national courts and capacity-building activities are delivered in due time and with high quality.</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E948F7" w14:textId="77777777" w:rsidR="00494B82" w:rsidRDefault="00000000">
            <w:pPr>
              <w:spacing w:after="40"/>
            </w:pPr>
            <w:r>
              <w:t>Guidance materials; agendas; participation lists; post-training surveys.</w:t>
            </w:r>
          </w:p>
        </w:tc>
      </w:tr>
      <w:tr w:rsidR="00494B82" w14:paraId="6F74071A" w14:textId="77777777" w:rsidTr="00BE46E5">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573B1F" w14:textId="77777777" w:rsidR="00494B82" w:rsidRDefault="00000000">
            <w:pPr>
              <w:spacing w:after="40"/>
            </w:pPr>
            <w:r>
              <w:t>Analysis of legislation, assessments and expert opinions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83D84C" w14:textId="77777777" w:rsidR="00494B82" w:rsidRDefault="00000000">
            <w:pPr>
              <w:spacing w:after="40"/>
            </w:pPr>
            <w:r>
              <w:t>Legislation, draft laws, judicial practice and case-law requiring expert analysis identified and agreed with the beneficiaries and the Project; analyses and assessments delivered.</w:t>
            </w:r>
          </w:p>
        </w:tc>
        <w:tc>
          <w:tcPr>
            <w:tcW w:w="3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20DB2C0" w14:textId="77777777" w:rsidR="00494B82" w:rsidRDefault="00000000">
            <w:pPr>
              <w:spacing w:after="40"/>
            </w:pPr>
            <w:r>
              <w:t>Beneficiaries take into account expert findings and recommendations in drafting legislation, developing policies and improving institutional practices.</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8F531B" w14:textId="77777777" w:rsidR="00494B82" w:rsidRDefault="00000000">
            <w:pPr>
              <w:spacing w:after="40"/>
            </w:pPr>
            <w:r>
              <w:t>Expert opinions; analytical notes; assessment reports; comments on draft acts; beneficiary feedback.</w:t>
            </w:r>
          </w:p>
        </w:tc>
      </w:tr>
      <w:tr w:rsidR="00494B82" w14:paraId="165A3BAF" w14:textId="77777777" w:rsidTr="00BE46E5">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41578C" w14:textId="77777777" w:rsidR="00494B82" w:rsidRDefault="00000000">
            <w:pPr>
              <w:spacing w:after="40"/>
            </w:pPr>
            <w:r>
              <w:t>Representation of the Project’s position and results of work</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C86D4D" w14:textId="77777777" w:rsidR="00494B82" w:rsidRDefault="00000000">
            <w:pPr>
              <w:spacing w:after="40"/>
            </w:pPr>
            <w:r>
              <w:t>Scope of expected expert activities concerning participation in working groups, meetings, and other working platforms determined and approved by the beneficiaries and the Project.</w:t>
            </w:r>
          </w:p>
        </w:tc>
        <w:tc>
          <w:tcPr>
            <w:tcW w:w="3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15FBD6" w14:textId="77777777" w:rsidR="00494B82" w:rsidRDefault="00000000">
            <w:pPr>
              <w:spacing w:after="40"/>
            </w:pPr>
            <w:r>
              <w:t>Project’s position and results of work presented before the beneficiaries and they are able to use the presented products in their activities.</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6B2AEA" w14:textId="77777777" w:rsidR="00494B82" w:rsidRDefault="00000000">
            <w:pPr>
              <w:spacing w:after="40"/>
            </w:pPr>
            <w:r>
              <w:t>Notes; meeting minutes; beneficiary feedback.</w:t>
            </w:r>
          </w:p>
        </w:tc>
      </w:tr>
    </w:tbl>
    <w:p w14:paraId="1EB078E6" w14:textId="77777777" w:rsidR="00494B82" w:rsidRDefault="00000000">
      <w:pPr>
        <w:keepNext/>
        <w:shd w:val="clear" w:color="auto" w:fill="E7E6E6"/>
        <w:spacing w:before="260" w:after="160"/>
      </w:pPr>
      <w:r>
        <w:rPr>
          <w:b/>
          <w:bCs/>
        </w:rPr>
        <w:t>VIII. Practical information</w:t>
      </w:r>
    </w:p>
    <w:p w14:paraId="731ADE9A" w14:textId="4D6AF18F" w:rsidR="00494B82" w:rsidRDefault="00000000">
      <w:pPr>
        <w:spacing w:after="120" w:line="264" w:lineRule="auto"/>
        <w:jc w:val="both"/>
      </w:pPr>
      <w:r>
        <w:t>The expert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68DAABFC" w14:textId="77777777" w:rsidR="00494B82" w:rsidRDefault="00000000">
      <w:pPr>
        <w:spacing w:after="120" w:line="264" w:lineRule="auto"/>
        <w:jc w:val="both"/>
      </w:pPr>
      <w:r>
        <w:t>The working languages of the assignment are Ukrainian and English. Deliverables shall be prepared in Ukrainian, unless otherwise requested by the Project. The level of effort includes preparation, meetings, consultations, analysis, drafting, training delivery, presentations and revision of outputs.</w:t>
      </w:r>
    </w:p>
    <w:p w14:paraId="2804CE12" w14:textId="77777777" w:rsidR="00494B82" w:rsidRDefault="00000000">
      <w:pPr>
        <w:keepNext/>
        <w:shd w:val="clear" w:color="auto" w:fill="E7E6E6"/>
        <w:spacing w:before="260" w:after="160"/>
      </w:pPr>
      <w:r>
        <w:rPr>
          <w:b/>
          <w:bCs/>
        </w:rPr>
        <w:t>IX. Evaluation Criteria</w:t>
      </w:r>
    </w:p>
    <w:p w14:paraId="5B62551D" w14:textId="77777777" w:rsidR="00494B82" w:rsidRDefault="00000000">
      <w:pPr>
        <w:spacing w:after="120" w:line="264" w:lineRule="auto"/>
        <w:jc w:val="both"/>
        <w:rPr>
          <w:b/>
          <w:bCs/>
        </w:rPr>
      </w:pPr>
      <w:r>
        <w:rPr>
          <w:b/>
          <w:bCs/>
        </w:rPr>
        <w:t>Criterion 1: Financial offer / Price (rate per day) – 30 points</w:t>
      </w:r>
    </w:p>
    <w:p w14:paraId="66682BCC" w14:textId="77777777" w:rsidR="00494B82" w:rsidRDefault="00000000">
      <w:pPr>
        <w:spacing w:after="120" w:line="264" w:lineRule="auto"/>
        <w:jc w:val="both"/>
      </w:pPr>
      <w:r>
        <w:t>The financial score will cover the comparison of the financial offers of all candidates having submitted a conforming proposal.</w:t>
      </w:r>
    </w:p>
    <w:p w14:paraId="45653163" w14:textId="77777777" w:rsidR="00494B82" w:rsidRDefault="00000000">
      <w:pPr>
        <w:spacing w:after="120" w:line="264" w:lineRule="auto"/>
        <w:jc w:val="both"/>
        <w:rPr>
          <w:b/>
          <w:bCs/>
        </w:rPr>
      </w:pPr>
      <w:r>
        <w:rPr>
          <w:b/>
          <w:bCs/>
        </w:rPr>
        <w:t>Criterion 2: Technical offer – 70 points</w:t>
      </w:r>
    </w:p>
    <w:p w14:paraId="56247B9B" w14:textId="77777777" w:rsidR="00494B82" w:rsidRDefault="00000000">
      <w:pPr>
        <w:spacing w:after="120" w:line="264" w:lineRule="auto"/>
        <w:jc w:val="both"/>
      </w:pPr>
      <w:r>
        <w:t>Technical evaluation (desk review and/or interview based):</w:t>
      </w:r>
    </w:p>
    <w:tbl>
      <w:tblPr>
        <w:tblStyle w:val="a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494B82" w14:paraId="046A9937" w14:textId="77777777">
        <w:tc>
          <w:tcPr>
            <w:tcW w:w="8217" w:type="dxa"/>
          </w:tcPr>
          <w:p w14:paraId="50A6BE94" w14:textId="77777777" w:rsidR="00494B82" w:rsidRDefault="00000000">
            <w:pPr>
              <w:spacing w:after="40"/>
              <w:rPr>
                <w:b/>
                <w:bCs/>
              </w:rPr>
            </w:pPr>
            <w:r>
              <w:rPr>
                <w:b/>
                <w:bCs/>
              </w:rPr>
              <w:t xml:space="preserve">Sub-criterion 1: Education </w:t>
            </w:r>
          </w:p>
          <w:p w14:paraId="27EA025E" w14:textId="77777777" w:rsidR="00494B82" w:rsidRDefault="00000000">
            <w:pPr>
              <w:numPr>
                <w:ilvl w:val="0"/>
                <w:numId w:val="2"/>
              </w:numPr>
              <w:pBdr>
                <w:top w:val="nil"/>
                <w:left w:val="nil"/>
                <w:bottom w:val="nil"/>
                <w:right w:val="nil"/>
                <w:between w:val="nil"/>
              </w:pBdr>
              <w:spacing w:after="40"/>
              <w:rPr>
                <w:color w:val="000000"/>
              </w:rPr>
            </w:pPr>
            <w:r>
              <w:rPr>
                <w:color w:val="000000"/>
              </w:rPr>
              <w:t>University degree in Law from an accredited university – 5 points</w:t>
            </w:r>
          </w:p>
          <w:p w14:paraId="57699861" w14:textId="77777777" w:rsidR="00494B82" w:rsidRDefault="00000000">
            <w:pPr>
              <w:numPr>
                <w:ilvl w:val="0"/>
                <w:numId w:val="2"/>
              </w:numPr>
              <w:pBdr>
                <w:top w:val="nil"/>
                <w:left w:val="nil"/>
                <w:bottom w:val="nil"/>
                <w:right w:val="nil"/>
                <w:between w:val="nil"/>
              </w:pBdr>
              <w:spacing w:after="120" w:line="264" w:lineRule="auto"/>
              <w:jc w:val="both"/>
              <w:rPr>
                <w:color w:val="000000"/>
              </w:rPr>
            </w:pPr>
            <w:r>
              <w:rPr>
                <w:color w:val="000000"/>
              </w:rPr>
              <w:t>Postgraduate degree (Master’s, LL.M., PhD or equivalent) in law – 5 points</w:t>
            </w:r>
          </w:p>
        </w:tc>
        <w:tc>
          <w:tcPr>
            <w:tcW w:w="1411" w:type="dxa"/>
          </w:tcPr>
          <w:p w14:paraId="09079EFA" w14:textId="77777777" w:rsidR="00494B82" w:rsidRDefault="00000000">
            <w:pPr>
              <w:spacing w:after="120" w:line="264" w:lineRule="auto"/>
              <w:jc w:val="both"/>
              <w:rPr>
                <w:b/>
                <w:bCs/>
              </w:rPr>
            </w:pPr>
            <w:r>
              <w:rPr>
                <w:b/>
                <w:bCs/>
              </w:rPr>
              <w:t>10</w:t>
            </w:r>
          </w:p>
        </w:tc>
      </w:tr>
      <w:tr w:rsidR="00494B82" w14:paraId="3EB0E00E" w14:textId="77777777">
        <w:tc>
          <w:tcPr>
            <w:tcW w:w="8217" w:type="dxa"/>
          </w:tcPr>
          <w:p w14:paraId="088495E5" w14:textId="77777777" w:rsidR="00494B82" w:rsidRDefault="00000000">
            <w:pPr>
              <w:spacing w:after="120" w:line="264" w:lineRule="auto"/>
              <w:jc w:val="both"/>
              <w:rPr>
                <w:b/>
                <w:bCs/>
              </w:rPr>
            </w:pPr>
            <w:r>
              <w:rPr>
                <w:b/>
                <w:bCs/>
              </w:rPr>
              <w:t xml:space="preserve">Sub-criterion 2: Experience </w:t>
            </w:r>
          </w:p>
          <w:p w14:paraId="61772D88" w14:textId="77777777" w:rsidR="00494B82" w:rsidRDefault="00000000">
            <w:pPr>
              <w:numPr>
                <w:ilvl w:val="0"/>
                <w:numId w:val="3"/>
              </w:numPr>
              <w:pBdr>
                <w:top w:val="nil"/>
                <w:left w:val="nil"/>
                <w:bottom w:val="nil"/>
                <w:right w:val="nil"/>
                <w:between w:val="nil"/>
              </w:pBdr>
              <w:spacing w:after="40"/>
              <w:ind w:left="741"/>
              <w:rPr>
                <w:color w:val="000000"/>
              </w:rPr>
            </w:pPr>
            <w:r>
              <w:rPr>
                <w:color w:val="000000"/>
              </w:rPr>
              <w:t>At least 5 years of professional experience in the judicial system, court administration, legal research or another closely relevant field – 10 points</w:t>
            </w:r>
          </w:p>
          <w:p w14:paraId="341AB537" w14:textId="18DF1D20" w:rsidR="00494B82" w:rsidRDefault="00000000">
            <w:pPr>
              <w:numPr>
                <w:ilvl w:val="0"/>
                <w:numId w:val="3"/>
              </w:numPr>
              <w:pBdr>
                <w:top w:val="nil"/>
                <w:left w:val="nil"/>
                <w:bottom w:val="nil"/>
                <w:right w:val="nil"/>
                <w:between w:val="nil"/>
              </w:pBdr>
              <w:spacing w:after="40"/>
              <w:ind w:left="741"/>
              <w:rPr>
                <w:color w:val="000000"/>
              </w:rPr>
            </w:pPr>
            <w:r>
              <w:rPr>
                <w:color w:val="000000"/>
              </w:rPr>
              <w:t xml:space="preserve">Demonstrated expertise in court workload assessment, case-weighting methodologies and evidence-based approaches to court network </w:t>
            </w:r>
            <w:r w:rsidR="00BE46E5">
              <w:rPr>
                <w:color w:val="000000"/>
              </w:rPr>
              <w:t>optimization</w:t>
            </w:r>
            <w:r>
              <w:rPr>
                <w:color w:val="000000"/>
              </w:rPr>
              <w:t xml:space="preserve"> – 10 points</w:t>
            </w:r>
          </w:p>
          <w:p w14:paraId="7FA6CDA7" w14:textId="77777777" w:rsidR="00494B82" w:rsidRDefault="00000000">
            <w:pPr>
              <w:numPr>
                <w:ilvl w:val="0"/>
                <w:numId w:val="3"/>
              </w:numPr>
              <w:pBdr>
                <w:top w:val="nil"/>
                <w:left w:val="nil"/>
                <w:bottom w:val="nil"/>
                <w:right w:val="nil"/>
                <w:between w:val="nil"/>
              </w:pBdr>
              <w:spacing w:after="40"/>
              <w:ind w:left="741"/>
              <w:rPr>
                <w:color w:val="000000"/>
              </w:rPr>
            </w:pPr>
            <w:r>
              <w:rPr>
                <w:color w:val="000000"/>
              </w:rPr>
              <w:t>Experience in developing or applying judicial statistics, court performance indicators or quality of justice evaluation tools – 5 points</w:t>
            </w:r>
          </w:p>
          <w:p w14:paraId="3D2C753B" w14:textId="77777777" w:rsidR="00494B82" w:rsidRDefault="00000000">
            <w:pPr>
              <w:numPr>
                <w:ilvl w:val="0"/>
                <w:numId w:val="3"/>
              </w:numPr>
              <w:pBdr>
                <w:top w:val="nil"/>
                <w:left w:val="nil"/>
                <w:bottom w:val="nil"/>
                <w:right w:val="nil"/>
                <w:between w:val="nil"/>
              </w:pBdr>
              <w:ind w:left="737"/>
              <w:rPr>
                <w:color w:val="000000"/>
              </w:rPr>
            </w:pPr>
            <w:r>
              <w:rPr>
                <w:color w:val="000000"/>
              </w:rPr>
              <w:lastRenderedPageBreak/>
              <w:t>Experience in legal analysis of legislation and case-law and/or comparative research on EU Member States’ judicial systems – 5 points</w:t>
            </w:r>
          </w:p>
          <w:p w14:paraId="6D9A321F" w14:textId="77777777" w:rsidR="00494B82" w:rsidRDefault="00000000">
            <w:pPr>
              <w:numPr>
                <w:ilvl w:val="0"/>
                <w:numId w:val="3"/>
              </w:numPr>
              <w:pBdr>
                <w:top w:val="nil"/>
                <w:left w:val="nil"/>
                <w:bottom w:val="nil"/>
                <w:right w:val="nil"/>
                <w:between w:val="nil"/>
              </w:pBdr>
              <w:spacing w:after="40"/>
              <w:ind w:left="741"/>
              <w:rPr>
                <w:color w:val="000000"/>
              </w:rPr>
            </w:pPr>
            <w:r>
              <w:rPr>
                <w:color w:val="000000"/>
              </w:rPr>
              <w:t>Previous experience in supporting judicial reform through EU-funded technical assistance projects – 5 points</w:t>
            </w:r>
          </w:p>
        </w:tc>
        <w:tc>
          <w:tcPr>
            <w:tcW w:w="1411" w:type="dxa"/>
          </w:tcPr>
          <w:p w14:paraId="4F81B95C" w14:textId="77777777" w:rsidR="00494B82" w:rsidRDefault="00000000">
            <w:pPr>
              <w:spacing w:after="120" w:line="264" w:lineRule="auto"/>
              <w:jc w:val="both"/>
              <w:rPr>
                <w:b/>
                <w:bCs/>
              </w:rPr>
            </w:pPr>
            <w:r>
              <w:rPr>
                <w:b/>
                <w:bCs/>
              </w:rPr>
              <w:lastRenderedPageBreak/>
              <w:t>35</w:t>
            </w:r>
          </w:p>
        </w:tc>
      </w:tr>
      <w:tr w:rsidR="00494B82" w14:paraId="6740A72F" w14:textId="77777777">
        <w:tc>
          <w:tcPr>
            <w:tcW w:w="8217" w:type="dxa"/>
          </w:tcPr>
          <w:p w14:paraId="22904690" w14:textId="77777777" w:rsidR="00494B82" w:rsidRDefault="00000000">
            <w:pPr>
              <w:spacing w:after="120" w:line="264" w:lineRule="auto"/>
              <w:jc w:val="both"/>
              <w:rPr>
                <w:b/>
                <w:bCs/>
              </w:rPr>
            </w:pPr>
            <w:r>
              <w:rPr>
                <w:b/>
                <w:bCs/>
              </w:rPr>
              <w:t>Sub-criterion 3: Technical Knowledge &amp; Skills</w:t>
            </w:r>
          </w:p>
          <w:p w14:paraId="13EFD51C" w14:textId="77777777" w:rsidR="00494B82" w:rsidRDefault="00000000">
            <w:pPr>
              <w:numPr>
                <w:ilvl w:val="0"/>
                <w:numId w:val="4"/>
              </w:numPr>
              <w:pBdr>
                <w:top w:val="nil"/>
                <w:left w:val="nil"/>
                <w:bottom w:val="nil"/>
                <w:right w:val="nil"/>
                <w:between w:val="nil"/>
              </w:pBdr>
              <w:spacing w:after="120" w:line="264" w:lineRule="auto"/>
              <w:jc w:val="both"/>
              <w:rPr>
                <w:color w:val="000000"/>
              </w:rPr>
            </w:pPr>
            <w:r>
              <w:rPr>
                <w:color w:val="000000"/>
              </w:rPr>
              <w:t xml:space="preserve">Understanding of the assignment with all specific components proposed within the </w:t>
            </w:r>
            <w:proofErr w:type="spellStart"/>
            <w:r>
              <w:rPr>
                <w:color w:val="000000"/>
              </w:rPr>
              <w:t>ToR</w:t>
            </w:r>
            <w:proofErr w:type="spellEnd"/>
            <w:r>
              <w:rPr>
                <w:color w:val="000000"/>
              </w:rPr>
              <w:t xml:space="preserve"> having been identified and addressed - 22 points:</w:t>
            </w:r>
          </w:p>
          <w:p w14:paraId="72CF61FE" w14:textId="77777777" w:rsidR="00494B82" w:rsidRDefault="00000000">
            <w:pPr>
              <w:numPr>
                <w:ilvl w:val="0"/>
                <w:numId w:val="5"/>
              </w:numPr>
              <w:pBdr>
                <w:top w:val="nil"/>
                <w:left w:val="nil"/>
                <w:bottom w:val="nil"/>
                <w:right w:val="nil"/>
                <w:between w:val="nil"/>
              </w:pBdr>
              <w:spacing w:line="264" w:lineRule="auto"/>
              <w:jc w:val="both"/>
              <w:rPr>
                <w:color w:val="000000"/>
              </w:rPr>
            </w:pPr>
            <w:r>
              <w:rPr>
                <w:color w:val="000000"/>
              </w:rPr>
              <w:t>Excellent – 100% of maximum allotted points - 22 points</w:t>
            </w:r>
          </w:p>
          <w:p w14:paraId="18EF50C6" w14:textId="77777777" w:rsidR="00494B82" w:rsidRDefault="00000000">
            <w:pPr>
              <w:numPr>
                <w:ilvl w:val="0"/>
                <w:numId w:val="5"/>
              </w:numPr>
              <w:pBdr>
                <w:top w:val="nil"/>
                <w:left w:val="nil"/>
                <w:bottom w:val="nil"/>
                <w:right w:val="nil"/>
                <w:between w:val="nil"/>
              </w:pBdr>
              <w:spacing w:line="264" w:lineRule="auto"/>
              <w:jc w:val="both"/>
              <w:rPr>
                <w:color w:val="000000"/>
              </w:rPr>
            </w:pPr>
            <w:r>
              <w:rPr>
                <w:color w:val="000000"/>
              </w:rPr>
              <w:t>Good – 90% of maximum allotted points - 20 points</w:t>
            </w:r>
          </w:p>
          <w:p w14:paraId="2FFA8D61" w14:textId="77777777" w:rsidR="00494B82" w:rsidRDefault="00000000">
            <w:pPr>
              <w:numPr>
                <w:ilvl w:val="0"/>
                <w:numId w:val="5"/>
              </w:numPr>
              <w:pBdr>
                <w:top w:val="nil"/>
                <w:left w:val="nil"/>
                <w:bottom w:val="nil"/>
                <w:right w:val="nil"/>
                <w:between w:val="nil"/>
              </w:pBdr>
              <w:spacing w:line="264" w:lineRule="auto"/>
              <w:jc w:val="both"/>
              <w:rPr>
                <w:color w:val="000000"/>
              </w:rPr>
            </w:pPr>
            <w:r>
              <w:rPr>
                <w:color w:val="000000"/>
              </w:rPr>
              <w:t>Satisfactory – 70% of maximum allotted points - 15 points</w:t>
            </w:r>
          </w:p>
          <w:p w14:paraId="3A0E86B9" w14:textId="77777777" w:rsidR="00494B82" w:rsidRDefault="00000000">
            <w:pPr>
              <w:numPr>
                <w:ilvl w:val="0"/>
                <w:numId w:val="5"/>
              </w:numPr>
              <w:pBdr>
                <w:top w:val="nil"/>
                <w:left w:val="nil"/>
                <w:bottom w:val="nil"/>
                <w:right w:val="nil"/>
                <w:between w:val="nil"/>
              </w:pBdr>
              <w:spacing w:line="264" w:lineRule="auto"/>
              <w:jc w:val="both"/>
              <w:rPr>
                <w:color w:val="000000"/>
              </w:rPr>
            </w:pPr>
            <w:r>
              <w:rPr>
                <w:color w:val="000000"/>
              </w:rPr>
              <w:t>Poor – 40% of maximum allotted points - 9 points</w:t>
            </w:r>
          </w:p>
          <w:p w14:paraId="5A5341CB" w14:textId="77777777" w:rsidR="00494B82" w:rsidRDefault="00000000">
            <w:pPr>
              <w:numPr>
                <w:ilvl w:val="0"/>
                <w:numId w:val="5"/>
              </w:numPr>
              <w:pBdr>
                <w:top w:val="nil"/>
                <w:left w:val="nil"/>
                <w:bottom w:val="nil"/>
                <w:right w:val="nil"/>
                <w:between w:val="nil"/>
              </w:pBdr>
              <w:spacing w:line="264" w:lineRule="auto"/>
              <w:jc w:val="both"/>
              <w:rPr>
                <w:color w:val="000000"/>
              </w:rPr>
            </w:pPr>
            <w:r>
              <w:rPr>
                <w:color w:val="000000"/>
              </w:rPr>
              <w:t>Very poor – 10% of maximum allotted points - 2 points</w:t>
            </w:r>
          </w:p>
          <w:p w14:paraId="470FF9BD" w14:textId="77777777" w:rsidR="00494B82"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English - 1 point</w:t>
            </w:r>
          </w:p>
          <w:p w14:paraId="4AEC9E34" w14:textId="77777777" w:rsidR="00494B82"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Ukrainian - 2 points</w:t>
            </w:r>
          </w:p>
        </w:tc>
        <w:tc>
          <w:tcPr>
            <w:tcW w:w="1411" w:type="dxa"/>
          </w:tcPr>
          <w:p w14:paraId="727E02DC" w14:textId="77777777" w:rsidR="00494B82" w:rsidRDefault="00000000">
            <w:pPr>
              <w:spacing w:after="120" w:line="264" w:lineRule="auto"/>
              <w:jc w:val="both"/>
              <w:rPr>
                <w:b/>
                <w:bCs/>
              </w:rPr>
            </w:pPr>
            <w:r>
              <w:rPr>
                <w:b/>
                <w:bCs/>
              </w:rPr>
              <w:t>25</w:t>
            </w:r>
          </w:p>
        </w:tc>
      </w:tr>
      <w:tr w:rsidR="00494B82" w14:paraId="42BA6283" w14:textId="77777777">
        <w:tc>
          <w:tcPr>
            <w:tcW w:w="8217" w:type="dxa"/>
          </w:tcPr>
          <w:p w14:paraId="365A9A41" w14:textId="77777777" w:rsidR="00494B82" w:rsidRDefault="00000000">
            <w:pPr>
              <w:spacing w:after="120" w:line="264" w:lineRule="auto"/>
              <w:jc w:val="both"/>
              <w:rPr>
                <w:b/>
                <w:bCs/>
              </w:rPr>
            </w:pPr>
            <w:r>
              <w:rPr>
                <w:b/>
                <w:bCs/>
              </w:rPr>
              <w:t xml:space="preserve">Total </w:t>
            </w:r>
          </w:p>
        </w:tc>
        <w:tc>
          <w:tcPr>
            <w:tcW w:w="1411" w:type="dxa"/>
          </w:tcPr>
          <w:p w14:paraId="4CDC83D5" w14:textId="77777777" w:rsidR="00494B82" w:rsidRDefault="00000000">
            <w:pPr>
              <w:spacing w:after="120" w:line="264" w:lineRule="auto"/>
              <w:jc w:val="both"/>
              <w:rPr>
                <w:b/>
                <w:bCs/>
              </w:rPr>
            </w:pPr>
            <w:r>
              <w:rPr>
                <w:b/>
                <w:bCs/>
              </w:rPr>
              <w:t>70</w:t>
            </w:r>
          </w:p>
        </w:tc>
      </w:tr>
    </w:tbl>
    <w:p w14:paraId="03621728" w14:textId="77777777" w:rsidR="00494B82" w:rsidRDefault="00000000">
      <w:pPr>
        <w:spacing w:after="120" w:line="264" w:lineRule="auto"/>
        <w:jc w:val="both"/>
      </w:pPr>
      <w:r>
        <w:t>Each technical offer, deemed to be technically conforming, will be attributed a technical score.  By adding up the weighted scores obtained for each sub-criterion.</w:t>
      </w:r>
    </w:p>
    <w:p w14:paraId="651F0BA8" w14:textId="77777777" w:rsidR="00494B82" w:rsidRDefault="00000000">
      <w:pPr>
        <w:spacing w:after="120" w:line="264" w:lineRule="auto"/>
        <w:jc w:val="both"/>
      </w:pPr>
      <w:r>
        <w:t>Where the contracting modality provides for a financial offer, the weighting between the technical and financial evaluation shall be specified in the call for applications.</w:t>
      </w:r>
    </w:p>
    <w:p w14:paraId="730F19B9" w14:textId="77777777" w:rsidR="00494B82" w:rsidRDefault="00000000">
      <w:pPr>
        <w:keepNext/>
        <w:shd w:val="clear" w:color="auto" w:fill="E7E6E6"/>
        <w:spacing w:before="260" w:after="160"/>
      </w:pPr>
      <w:r>
        <w:rPr>
          <w:b/>
          <w:bCs/>
        </w:rPr>
        <w:t>X.  Submission Details</w:t>
      </w:r>
    </w:p>
    <w:p w14:paraId="255ACB6A" w14:textId="77777777" w:rsidR="00494B82" w:rsidRDefault="00000000">
      <w:pPr>
        <w:spacing w:after="120" w:line="264" w:lineRule="auto"/>
        <w:jc w:val="both"/>
      </w:pPr>
      <w:r>
        <w:t>The candidate should provide:</w:t>
      </w:r>
    </w:p>
    <w:p w14:paraId="273A6911" w14:textId="77777777" w:rsidR="00494B82" w:rsidRDefault="00000000">
      <w:pPr>
        <w:spacing w:after="80" w:line="264" w:lineRule="auto"/>
        <w:ind w:left="720" w:hanging="200"/>
        <w:jc w:val="both"/>
      </w:pPr>
      <w:r>
        <w:t>•  Updated CV demonstrating compliance with the required expertise and profile.</w:t>
      </w:r>
    </w:p>
    <w:p w14:paraId="06DD7690" w14:textId="77777777" w:rsidR="00494B82" w:rsidRDefault="00000000">
      <w:pPr>
        <w:spacing w:after="80" w:line="264" w:lineRule="auto"/>
        <w:ind w:left="720" w:hanging="200"/>
        <w:jc w:val="both"/>
      </w:pPr>
      <w:r>
        <w:t>•  Financial offer / proposed daily rate, where applicable to the contracting modality.</w:t>
      </w:r>
    </w:p>
    <w:p w14:paraId="791A2D6E" w14:textId="77777777" w:rsidR="00494B82" w:rsidRDefault="00000000">
      <w:pPr>
        <w:spacing w:after="80" w:line="264" w:lineRule="auto"/>
        <w:ind w:left="720" w:hanging="200"/>
        <w:jc w:val="both"/>
      </w:pPr>
      <w:r>
        <w:t>•  The selected candidate will be requested to provide additional supporting documentation requested for evaluation, due diligence, or contracting purposes.</w:t>
      </w:r>
    </w:p>
    <w:sectPr w:rsidR="00494B82">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6C83AEA-2031-40B9-9960-64B9FD647D28}"/>
    <w:embedBold r:id="rId2" w:fontKey="{6B8D3DEA-3BA9-4403-866C-118BB28FA191}"/>
    <w:embedItalic r:id="rId3" w:fontKey="{62251901-B89B-4C61-8197-C6906207C226}"/>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E6FFCA0E-D6D2-4CB5-85D5-05E7BA93751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D155F2A2-D348-418F-A715-CC6FD24CB185}"/>
  </w:font>
  <w:font w:name="Calibri Light">
    <w:panose1 w:val="020F0302020204030204"/>
    <w:charset w:val="00"/>
    <w:family w:val="swiss"/>
    <w:pitch w:val="variable"/>
    <w:sig w:usb0="E4002EFF" w:usb1="C200247B" w:usb2="00000009" w:usb3="00000000" w:csb0="000001FF" w:csb1="00000000"/>
    <w:embedRegular r:id="rId6" w:fontKey="{7231DE9F-901C-4D72-AF52-55A187B6B47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4CC2"/>
    <w:multiLevelType w:val="multilevel"/>
    <w:tmpl w:val="00EC95C8"/>
    <w:lvl w:ilvl="0">
      <w:start w:val="2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57C6F66"/>
    <w:multiLevelType w:val="multilevel"/>
    <w:tmpl w:val="CDB887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1DB06EC"/>
    <w:multiLevelType w:val="multilevel"/>
    <w:tmpl w:val="8B28EB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3C79F0"/>
    <w:multiLevelType w:val="multilevel"/>
    <w:tmpl w:val="82162976"/>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4" w15:restartNumberingAfterBreak="0">
    <w:nsid w:val="5F0E5CCF"/>
    <w:multiLevelType w:val="multilevel"/>
    <w:tmpl w:val="5A446FD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420297421">
    <w:abstractNumId w:val="3"/>
  </w:num>
  <w:num w:numId="2" w16cid:durableId="1315524042">
    <w:abstractNumId w:val="2"/>
  </w:num>
  <w:num w:numId="3" w16cid:durableId="1106001057">
    <w:abstractNumId w:val="4"/>
  </w:num>
  <w:num w:numId="4" w16cid:durableId="1643654145">
    <w:abstractNumId w:val="1"/>
  </w:num>
  <w:num w:numId="5" w16cid:durableId="1242711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B82"/>
    <w:rsid w:val="002745B7"/>
    <w:rsid w:val="00494B82"/>
    <w:rsid w:val="00BE4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7B8ED"/>
  <w15:docId w15:val="{212DE6B3-ADC4-467B-AD73-DC615CC2C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Z1Kg6CXdbIx/wrKmc5SIf8ecEw==">CgMxLjA4AHIhMXFfbmJEbmM4ZXJPVnZFaWZvSXh1U0Q1UHU1LVU5UEYx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3564</Words>
  <Characters>20319</Characters>
  <Application>Microsoft Office Word</Application>
  <DocSecurity>0</DocSecurity>
  <Lines>169</Lines>
  <Paragraphs>47</Paragraphs>
  <ScaleCrop>false</ScaleCrop>
  <Company/>
  <LinksUpToDate>false</LinksUpToDate>
  <CharactersWithSpaces>23836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3</cp:revision>
  <dcterms:created xsi:type="dcterms:W3CDTF">2026-10-22T14:32:00Z</dcterms:created>
  <dcterms:modified xsi:type="dcterms:W3CDTF">2026-10-28T14:55:00Z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