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80D" w:rsidRDefault="0075100B">
      <w:pPr>
        <w:spacing w:after="40"/>
        <w:jc w:val="center"/>
      </w:pPr>
      <w:r>
        <w:rPr>
          <w:b/>
          <w:bCs/>
          <w:color w:val="1F3864"/>
          <w:sz w:val="38"/>
          <w:szCs w:val="38"/>
        </w:rPr>
        <w:t>TERMS OF REFERENCE (TOR)</w:t>
      </w:r>
    </w:p>
    <w:p w:rsidR="007D180D" w:rsidRDefault="00F5628E">
      <w:pPr>
        <w:spacing w:after="260"/>
        <w:jc w:val="center"/>
      </w:pPr>
      <w:r>
        <w:rPr>
          <w:b/>
          <w:bCs/>
          <w:color w:val="2E5395"/>
          <w:sz w:val="24"/>
          <w:szCs w:val="24"/>
        </w:rPr>
        <w:t>Consultant</w:t>
      </w:r>
      <w:r w:rsidR="0075100B">
        <w:rPr>
          <w:b/>
          <w:bCs/>
          <w:color w:val="2E5395"/>
          <w:sz w:val="24"/>
          <w:szCs w:val="24"/>
        </w:rPr>
        <w:t xml:space="preserve"> to Support the Liberia Anti-Corruption Commission (LACC) in Developing a Sanctions Framework for Asset Declaration Non-Compliance, and Strengthening Investigation &amp; Prosecution, Verification, and Natural Resources Capacities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D180D">
        <w:tc>
          <w:tcPr>
            <w:tcW w:w="2800" w:type="dxa"/>
            <w:shd w:val="clear" w:color="auto" w:fill="1F3864"/>
            <w:tcMar>
              <w:top w:w="80" w:type="dxa"/>
              <w:left w:w="100" w:type="dxa"/>
              <w:bottom w:w="80" w:type="dxa"/>
              <w:right w:w="100" w:type="dxa"/>
            </w:tcMar>
            <w:vAlign w:val="center"/>
          </w:tcPr>
          <w:p w:rsidR="007D180D" w:rsidRDefault="0075100B">
            <w:r>
              <w:rPr>
                <w:b/>
                <w:bCs/>
                <w:color w:val="FFFFFF"/>
              </w:rPr>
              <w:t>Assignment Titl</w:t>
            </w:r>
            <w:r>
              <w:rPr>
                <w:b/>
                <w:bCs/>
                <w:color w:val="FFFFFF"/>
              </w:rPr>
              <w:t>e</w:t>
            </w:r>
          </w:p>
        </w:tc>
        <w:tc>
          <w:tcPr>
            <w:tcW w:w="6560" w:type="dxa"/>
            <w:tcMar>
              <w:top w:w="80" w:type="dxa"/>
              <w:left w:w="100" w:type="dxa"/>
              <w:bottom w:w="80" w:type="dxa"/>
              <w:right w:w="100" w:type="dxa"/>
            </w:tcMar>
            <w:vAlign w:val="center"/>
          </w:tcPr>
          <w:p w:rsidR="007D180D" w:rsidRDefault="0075100B" w:rsidP="00265180">
            <w:r>
              <w:rPr>
                <w:color w:val="000000"/>
              </w:rPr>
              <w:t xml:space="preserve">Technical </w:t>
            </w:r>
            <w:r w:rsidR="00265180">
              <w:rPr>
                <w:color w:val="000000"/>
              </w:rPr>
              <w:t>expertise</w:t>
            </w:r>
            <w:r>
              <w:rPr>
                <w:color w:val="000000"/>
              </w:rPr>
              <w:t xml:space="preserve"> to LACC: Sanctions Framework for Asset Declaration Non-Compliance, Investigation and Prosecution Capacity, Verification Capacity, and Natural Resources Support</w:t>
            </w:r>
          </w:p>
        </w:tc>
      </w:tr>
      <w:tr w:rsidR="007D180D">
        <w:trPr>
          <w:trHeight w:val="230"/>
        </w:trPr>
        <w:tc>
          <w:tcPr>
            <w:tcW w:w="2800" w:type="dxa"/>
            <w:shd w:val="clear" w:color="FFFFFF" w:fill="1F3864"/>
            <w:tcMar>
              <w:top w:w="80" w:type="dxa"/>
              <w:left w:w="100" w:type="dxa"/>
              <w:bottom w:w="80" w:type="dxa"/>
              <w:right w:w="100" w:type="dxa"/>
            </w:tcMar>
            <w:vAlign w:val="center"/>
          </w:tcPr>
          <w:p w:rsidR="007D180D" w:rsidRDefault="0075100B">
            <w:pPr>
              <w:rPr>
                <w:b/>
                <w:bCs/>
                <w:color w:val="FFFFFF"/>
              </w:rPr>
            </w:pPr>
            <w:r>
              <w:rPr>
                <w:b/>
                <w:bCs/>
                <w:color w:val="FFFFFF"/>
              </w:rPr>
              <w:t>Project title</w:t>
            </w:r>
          </w:p>
        </w:tc>
        <w:tc>
          <w:tcPr>
            <w:tcW w:w="6560" w:type="dxa"/>
            <w:tcMar>
              <w:top w:w="80" w:type="dxa"/>
              <w:left w:w="100" w:type="dxa"/>
              <w:bottom w:w="80" w:type="dxa"/>
              <w:right w:w="100" w:type="dxa"/>
            </w:tcMar>
            <w:vAlign w:val="center"/>
          </w:tcPr>
          <w:p w:rsidR="007D180D" w:rsidRDefault="0075100B">
            <w:pPr>
              <w:rPr>
                <w:color w:val="000000"/>
              </w:rPr>
            </w:pPr>
            <w:r>
              <w:rPr>
                <w:color w:val="000000"/>
              </w:rPr>
              <w:t>Financial governance for natural resource management in Li</w:t>
            </w:r>
            <w:r>
              <w:rPr>
                <w:color w:val="000000"/>
              </w:rPr>
              <w:t>beria (2026-2030)</w:t>
            </w:r>
          </w:p>
        </w:tc>
      </w:tr>
      <w:tr w:rsidR="007D180D">
        <w:tc>
          <w:tcPr>
            <w:tcW w:w="2800" w:type="dxa"/>
            <w:shd w:val="clear" w:color="auto" w:fill="1F3864"/>
            <w:tcMar>
              <w:top w:w="80" w:type="dxa"/>
              <w:left w:w="100" w:type="dxa"/>
              <w:bottom w:w="80" w:type="dxa"/>
              <w:right w:w="100" w:type="dxa"/>
            </w:tcMar>
            <w:vAlign w:val="center"/>
          </w:tcPr>
          <w:p w:rsidR="007D180D" w:rsidRDefault="0075100B">
            <w:r>
              <w:rPr>
                <w:b/>
                <w:bCs/>
                <w:color w:val="FFFFFF"/>
              </w:rPr>
              <w:t>Duty Station</w:t>
            </w:r>
          </w:p>
        </w:tc>
        <w:tc>
          <w:tcPr>
            <w:tcW w:w="6560" w:type="dxa"/>
            <w:tcMar>
              <w:top w:w="80" w:type="dxa"/>
              <w:left w:w="100" w:type="dxa"/>
              <w:bottom w:w="80" w:type="dxa"/>
              <w:right w:w="100" w:type="dxa"/>
            </w:tcMar>
            <w:vAlign w:val="center"/>
          </w:tcPr>
          <w:p w:rsidR="007D180D" w:rsidRDefault="0075100B">
            <w:r>
              <w:rPr>
                <w:color w:val="000000"/>
              </w:rPr>
              <w:t>Monrovia, Liberia, with travel as required for stakeholder consultations and field verification work</w:t>
            </w:r>
          </w:p>
        </w:tc>
      </w:tr>
      <w:tr w:rsidR="007D180D">
        <w:tc>
          <w:tcPr>
            <w:tcW w:w="2800" w:type="dxa"/>
            <w:shd w:val="clear" w:color="auto" w:fill="1F3864"/>
            <w:tcMar>
              <w:top w:w="80" w:type="dxa"/>
              <w:left w:w="100" w:type="dxa"/>
              <w:bottom w:w="80" w:type="dxa"/>
              <w:right w:w="100" w:type="dxa"/>
            </w:tcMar>
            <w:vAlign w:val="center"/>
          </w:tcPr>
          <w:p w:rsidR="007D180D" w:rsidRDefault="0075100B">
            <w:r>
              <w:rPr>
                <w:b/>
                <w:bCs/>
                <w:color w:val="FFFFFF"/>
              </w:rPr>
              <w:t>Type of Contract</w:t>
            </w:r>
          </w:p>
        </w:tc>
        <w:tc>
          <w:tcPr>
            <w:tcW w:w="6560" w:type="dxa"/>
            <w:tcMar>
              <w:top w:w="80" w:type="dxa"/>
              <w:left w:w="100" w:type="dxa"/>
              <w:bottom w:w="80" w:type="dxa"/>
              <w:right w:w="100" w:type="dxa"/>
            </w:tcMar>
            <w:vAlign w:val="center"/>
          </w:tcPr>
          <w:p w:rsidR="007D180D" w:rsidRDefault="0075100B">
            <w:r>
              <w:rPr>
                <w:color w:val="000000"/>
              </w:rPr>
              <w:t xml:space="preserve">Consultancy (Short-Term Technical Assistance) </w:t>
            </w:r>
          </w:p>
        </w:tc>
      </w:tr>
      <w:tr w:rsidR="007D180D">
        <w:tc>
          <w:tcPr>
            <w:tcW w:w="2800" w:type="dxa"/>
            <w:shd w:val="clear" w:color="auto" w:fill="1F3864"/>
            <w:tcMar>
              <w:top w:w="80" w:type="dxa"/>
              <w:left w:w="100" w:type="dxa"/>
              <w:bottom w:w="80" w:type="dxa"/>
              <w:right w:w="100" w:type="dxa"/>
            </w:tcMar>
            <w:vAlign w:val="center"/>
          </w:tcPr>
          <w:p w:rsidR="007D180D" w:rsidRDefault="0075100B">
            <w:pPr>
              <w:rPr>
                <w:b/>
                <w:bCs/>
                <w:color w:val="FFFFFF"/>
              </w:rPr>
            </w:pPr>
            <w:r>
              <w:rPr>
                <w:b/>
                <w:bCs/>
                <w:color w:val="FFFFFF"/>
              </w:rPr>
              <w:t>Level of Effort</w:t>
            </w:r>
          </w:p>
        </w:tc>
        <w:tc>
          <w:tcPr>
            <w:tcW w:w="6560" w:type="dxa"/>
            <w:tcMar>
              <w:top w:w="80" w:type="dxa"/>
              <w:left w:w="100" w:type="dxa"/>
              <w:bottom w:w="80" w:type="dxa"/>
              <w:right w:w="100" w:type="dxa"/>
            </w:tcMar>
            <w:vAlign w:val="center"/>
          </w:tcPr>
          <w:p w:rsidR="007D180D" w:rsidRDefault="0075100B">
            <w:pPr>
              <w:rPr>
                <w:color w:val="000000"/>
              </w:rPr>
            </w:pPr>
            <w:r>
              <w:rPr>
                <w:color w:val="000000"/>
              </w:rPr>
              <w:t>60 days</w:t>
            </w:r>
          </w:p>
        </w:tc>
      </w:tr>
      <w:tr w:rsidR="007D180D">
        <w:tc>
          <w:tcPr>
            <w:tcW w:w="2800" w:type="dxa"/>
            <w:shd w:val="clear" w:color="auto" w:fill="1F3864"/>
            <w:tcMar>
              <w:top w:w="80" w:type="dxa"/>
              <w:left w:w="100" w:type="dxa"/>
              <w:bottom w:w="80" w:type="dxa"/>
              <w:right w:w="100" w:type="dxa"/>
            </w:tcMar>
            <w:vAlign w:val="center"/>
          </w:tcPr>
          <w:p w:rsidR="007D180D" w:rsidRDefault="0075100B">
            <w:r>
              <w:rPr>
                <w:b/>
                <w:bCs/>
                <w:color w:val="FFFFFF"/>
              </w:rPr>
              <w:t>Duration</w:t>
            </w:r>
          </w:p>
        </w:tc>
        <w:tc>
          <w:tcPr>
            <w:tcW w:w="6560" w:type="dxa"/>
            <w:tcMar>
              <w:top w:w="80" w:type="dxa"/>
              <w:left w:w="100" w:type="dxa"/>
              <w:bottom w:w="80" w:type="dxa"/>
              <w:right w:w="100" w:type="dxa"/>
            </w:tcMar>
            <w:vAlign w:val="center"/>
          </w:tcPr>
          <w:p w:rsidR="007D180D" w:rsidRDefault="0075100B">
            <w:r>
              <w:rPr>
                <w:color w:val="000000"/>
              </w:rPr>
              <w:t xml:space="preserve"> Over a period of 15 </w:t>
            </w:r>
            <w:r>
              <w:rPr>
                <w:color w:val="000000"/>
              </w:rPr>
              <w:t xml:space="preserve"> months</w:t>
            </w:r>
          </w:p>
        </w:tc>
      </w:tr>
      <w:tr w:rsidR="007D180D">
        <w:tc>
          <w:tcPr>
            <w:tcW w:w="2800" w:type="dxa"/>
            <w:shd w:val="clear" w:color="auto" w:fill="1F3864"/>
            <w:tcMar>
              <w:top w:w="80" w:type="dxa"/>
              <w:left w:w="100" w:type="dxa"/>
              <w:bottom w:w="80" w:type="dxa"/>
              <w:right w:w="100" w:type="dxa"/>
            </w:tcMar>
            <w:vAlign w:val="center"/>
          </w:tcPr>
          <w:p w:rsidR="007D180D" w:rsidRDefault="0075100B">
            <w:r>
              <w:rPr>
                <w:b/>
                <w:bCs/>
                <w:color w:val="FFFFFF"/>
              </w:rPr>
              <w:t>Application Deadline</w:t>
            </w:r>
          </w:p>
        </w:tc>
        <w:tc>
          <w:tcPr>
            <w:tcW w:w="6560" w:type="dxa"/>
            <w:tcMar>
              <w:top w:w="80" w:type="dxa"/>
              <w:left w:w="100" w:type="dxa"/>
              <w:bottom w:w="80" w:type="dxa"/>
              <w:right w:w="100" w:type="dxa"/>
            </w:tcMar>
            <w:vAlign w:val="center"/>
          </w:tcPr>
          <w:p w:rsidR="007D180D" w:rsidRDefault="0075100B">
            <w:r>
              <w:rPr>
                <w:color w:val="000000"/>
              </w:rPr>
              <w:t>30</w:t>
            </w:r>
            <w:r>
              <w:rPr>
                <w:color w:val="000000"/>
                <w:vertAlign w:val="superscript"/>
              </w:rPr>
              <w:t>th</w:t>
            </w:r>
            <w:r>
              <w:rPr>
                <w:color w:val="000000"/>
              </w:rPr>
              <w:t xml:space="preserve"> October 2026</w:t>
            </w:r>
          </w:p>
        </w:tc>
      </w:tr>
    </w:tbl>
    <w:p w:rsidR="007D180D" w:rsidRDefault="0075100B">
      <w:pPr>
        <w:pStyle w:val="Titre1"/>
        <w:keepNext/>
        <w:keepLines/>
        <w:numPr>
          <w:ilvl w:val="0"/>
          <w:numId w:val="4"/>
        </w:numPr>
        <w:spacing w:before="144" w:after="144"/>
        <w:rPr>
          <w:b/>
          <w:color w:val="0070C0"/>
          <w:sz w:val="26"/>
          <w:szCs w:val="26"/>
          <w:lang w:val="en-GB"/>
        </w:rPr>
      </w:pPr>
      <w:r>
        <w:rPr>
          <w:b/>
          <w:color w:val="0070C0"/>
          <w:sz w:val="26"/>
          <w:szCs w:val="26"/>
          <w:lang w:val="en-GB"/>
        </w:rPr>
        <w:t>Expertise France</w:t>
      </w:r>
    </w:p>
    <w:p w:rsidR="007D180D" w:rsidRDefault="0075100B">
      <w:pPr>
        <w:spacing w:before="144" w:after="144"/>
        <w:jc w:val="both"/>
        <w:rPr>
          <w:sz w:val="21"/>
          <w:szCs w:val="21"/>
          <w:lang w:val="en-GB"/>
        </w:rPr>
      </w:pPr>
      <w:r>
        <w:rPr>
          <w:sz w:val="21"/>
          <w:szCs w:val="21"/>
          <w:lang w:val="en-GB"/>
        </w:rPr>
        <w:t xml:space="preserve">Expertise France (EF), part of the </w:t>
      </w:r>
      <w:proofErr w:type="spellStart"/>
      <w:r>
        <w:rPr>
          <w:sz w:val="21"/>
          <w:szCs w:val="21"/>
          <w:lang w:val="en-GB"/>
        </w:rPr>
        <w:t>Agence</w:t>
      </w:r>
      <w:proofErr w:type="spellEnd"/>
      <w:r>
        <w:rPr>
          <w:sz w:val="21"/>
          <w:szCs w:val="21"/>
          <w:lang w:val="en-GB"/>
        </w:rPr>
        <w:t xml:space="preserve"> </w:t>
      </w:r>
      <w:proofErr w:type="spellStart"/>
      <w:r>
        <w:rPr>
          <w:sz w:val="21"/>
          <w:szCs w:val="21"/>
          <w:lang w:val="en-GB"/>
        </w:rPr>
        <w:t>Française</w:t>
      </w:r>
      <w:proofErr w:type="spellEnd"/>
      <w:r>
        <w:rPr>
          <w:sz w:val="21"/>
          <w:szCs w:val="21"/>
          <w:lang w:val="en-GB"/>
        </w:rPr>
        <w:t xml:space="preserve"> de </w:t>
      </w:r>
      <w:proofErr w:type="spellStart"/>
      <w:r>
        <w:rPr>
          <w:sz w:val="21"/>
          <w:szCs w:val="21"/>
          <w:lang w:val="en-GB"/>
        </w:rPr>
        <w:t>Développement</w:t>
      </w:r>
      <w:proofErr w:type="spellEnd"/>
      <w:r>
        <w:rPr>
          <w:sz w:val="21"/>
          <w:szCs w:val="21"/>
          <w:lang w:val="en-GB"/>
        </w:rPr>
        <w:t xml:space="preserve"> (AFD) Group, is the French public agency for international technical cooperation and the second largest cooperation agenc</w:t>
      </w:r>
      <w:r>
        <w:rPr>
          <w:sz w:val="21"/>
          <w:szCs w:val="21"/>
          <w:lang w:val="en-GB"/>
        </w:rPr>
        <w:t xml:space="preserve">y in Europe. </w:t>
      </w:r>
    </w:p>
    <w:p w:rsidR="007D180D" w:rsidRDefault="0075100B">
      <w:pPr>
        <w:spacing w:before="144" w:after="144"/>
        <w:jc w:val="both"/>
        <w:rPr>
          <w:sz w:val="21"/>
          <w:szCs w:val="21"/>
          <w:lang w:val="en-GB"/>
        </w:rPr>
      </w:pPr>
      <w:r>
        <w:rPr>
          <w:sz w:val="21"/>
          <w:szCs w:val="21"/>
          <w:lang w:val="en-GB"/>
        </w:rPr>
        <w:t xml:space="preserve">EF designs and implements projects in more than 100 countries to support partner institutions in governance, public finance, health, education, climate action and gender equality. With long-standing experience in EU-funded programmes, EF has </w:t>
      </w:r>
      <w:r>
        <w:rPr>
          <w:sz w:val="21"/>
          <w:szCs w:val="21"/>
          <w:lang w:val="en-GB"/>
        </w:rPr>
        <w:t>played a leading role in promoting gender equality across public administrations, notably through its implementation of the European Commission’s “Gender Flagship” projects, which supported several Member States in strengthening gender-responsive budgeting</w:t>
      </w:r>
      <w:r>
        <w:rPr>
          <w:sz w:val="21"/>
          <w:szCs w:val="21"/>
          <w:lang w:val="en-GB"/>
        </w:rPr>
        <w:t xml:space="preserve">, gender impact assessments and gender mainstreaming practices. </w:t>
      </w:r>
    </w:p>
    <w:p w:rsidR="007D180D" w:rsidRDefault="0075100B">
      <w:pPr>
        <w:spacing w:before="144" w:after="144"/>
        <w:jc w:val="both"/>
        <w:rPr>
          <w:sz w:val="21"/>
          <w:szCs w:val="21"/>
          <w:lang w:val="en-GB"/>
        </w:rPr>
      </w:pPr>
      <w:r>
        <w:rPr>
          <w:sz w:val="21"/>
          <w:szCs w:val="21"/>
          <w:lang w:val="en-GB"/>
        </w:rPr>
        <w:t>By combining policy expertise, capacity development, and knowledge capitalisation, EF has established itself as a reference partner for advancing reforms that integrate gender equality into p</w:t>
      </w:r>
      <w:r>
        <w:rPr>
          <w:sz w:val="21"/>
          <w:szCs w:val="21"/>
          <w:lang w:val="en-GB"/>
        </w:rPr>
        <w:t>ublic policy and budgetary processes.</w:t>
      </w:r>
    </w:p>
    <w:p w:rsidR="007D180D" w:rsidRDefault="007D180D">
      <w:pPr>
        <w:pStyle w:val="Titre1"/>
        <w:spacing w:before="144" w:after="144"/>
        <w:jc w:val="both"/>
        <w:rPr>
          <w:sz w:val="21"/>
          <w:szCs w:val="21"/>
          <w:lang w:val="en-GB"/>
        </w:rPr>
      </w:pPr>
    </w:p>
    <w:p w:rsidR="007D180D" w:rsidRDefault="0075100B">
      <w:pPr>
        <w:pStyle w:val="Titre1"/>
        <w:keepNext/>
        <w:keepLines/>
        <w:numPr>
          <w:ilvl w:val="0"/>
          <w:numId w:val="4"/>
        </w:numPr>
        <w:spacing w:before="144" w:after="144"/>
        <w:jc w:val="both"/>
        <w:rPr>
          <w:rFonts w:eastAsiaTheme="majorEastAsia"/>
          <w:b/>
          <w:color w:val="2E74B5" w:themeColor="accent1" w:themeShade="BF"/>
          <w:sz w:val="26"/>
          <w:szCs w:val="26"/>
          <w:lang w:val="en-GB"/>
        </w:rPr>
      </w:pPr>
      <w:r>
        <w:rPr>
          <w:b/>
          <w:sz w:val="26"/>
          <w:szCs w:val="26"/>
          <w:lang w:val="en-GB"/>
        </w:rPr>
        <w:t>The Project</w:t>
      </w:r>
      <w:r>
        <w:rPr>
          <w:b/>
          <w:color w:val="000057"/>
          <w:sz w:val="26"/>
          <w:szCs w:val="26"/>
        </w:rPr>
        <w:t> </w:t>
      </w:r>
    </w:p>
    <w:p w:rsidR="007D180D" w:rsidRDefault="0075100B">
      <w:pPr>
        <w:shd w:val="clear" w:color="auto" w:fill="FFFFFF"/>
        <w:spacing w:after="150"/>
        <w:jc w:val="both"/>
        <w:rPr>
          <w:color w:val="000057"/>
          <w:sz w:val="21"/>
          <w:szCs w:val="21"/>
        </w:rPr>
      </w:pPr>
      <w:r>
        <w:rPr>
          <w:color w:val="000000"/>
          <w:sz w:val="21"/>
          <w:szCs w:val="21"/>
          <w:lang w:val="en"/>
        </w:rPr>
        <w:t xml:space="preserve">Liberia remains a nation in transition, grappling with the legacy of protracted conflict while striving to consolidate democratic gains and foster </w:t>
      </w:r>
      <w:r>
        <w:rPr>
          <w:color w:val="000000"/>
          <w:sz w:val="21"/>
          <w:szCs w:val="21"/>
          <w:lang w:val="en"/>
        </w:rPr>
        <w:t>institutional stability. As a Least Developed Country, Liberia is characterized by significant institutional fragility and a high reliance on extractive sectors, particularly iron ore, rubber, and timber. These economic pillars, while vital for the nationa</w:t>
      </w:r>
      <w:r>
        <w:rPr>
          <w:color w:val="000000"/>
          <w:sz w:val="21"/>
          <w:szCs w:val="21"/>
          <w:lang w:val="en"/>
        </w:rPr>
        <w:t>l treasury, are frequently subject to challenges regarding transparency, sustainable management, and equitable revenue distribution. The demographic profile of the nation is exceptionally young, with approximately 78% of the population under the age of 35.</w:t>
      </w:r>
      <w:r>
        <w:rPr>
          <w:color w:val="000000"/>
          <w:sz w:val="21"/>
          <w:szCs w:val="21"/>
          <w:vertAlign w:val="superscript"/>
          <w:lang w:val="en"/>
        </w:rPr>
        <w:t xml:space="preserve"> </w:t>
      </w:r>
      <w:r>
        <w:rPr>
          <w:color w:val="000000"/>
          <w:sz w:val="21"/>
          <w:szCs w:val="21"/>
          <w:lang w:val="en"/>
        </w:rPr>
        <w:t>This demographic "bulge" presents both a risk and an opportunity; the absence of economic stabilization and job creation efforts could lead to social unrest, while successful reforms could harness this youthful energy for national growth.</w:t>
      </w:r>
    </w:p>
    <w:p w:rsidR="007D180D" w:rsidRDefault="0075100B">
      <w:pPr>
        <w:shd w:val="clear" w:color="auto" w:fill="FFFFFF"/>
        <w:spacing w:after="150"/>
        <w:jc w:val="both"/>
        <w:rPr>
          <w:color w:val="000057"/>
          <w:sz w:val="21"/>
          <w:szCs w:val="21"/>
        </w:rPr>
      </w:pPr>
      <w:r>
        <w:rPr>
          <w:color w:val="000000"/>
          <w:sz w:val="21"/>
          <w:szCs w:val="21"/>
          <w:lang w:val="en"/>
        </w:rPr>
        <w:t>The political la</w:t>
      </w:r>
      <w:r>
        <w:rPr>
          <w:color w:val="000000"/>
          <w:sz w:val="21"/>
          <w:szCs w:val="21"/>
          <w:lang w:val="en"/>
        </w:rPr>
        <w:t xml:space="preserve">ndscape underwent a significant shift following the peaceful democratic transition of 2023, which resulted in the inauguration of a new government in January 2024. This administration has articulated a bold commitment to anti-corruption, transparency, and </w:t>
      </w:r>
      <w:r>
        <w:rPr>
          <w:color w:val="000000"/>
          <w:sz w:val="21"/>
          <w:szCs w:val="21"/>
          <w:lang w:val="en"/>
        </w:rPr>
        <w:t xml:space="preserve">comprehensive governance reforms. The central policy framework guiding this transition is the ARREST Agenda for Inclusive Development (AAID, 2025–2029). The AAID </w:t>
      </w:r>
      <w:r>
        <w:rPr>
          <w:color w:val="000000"/>
          <w:sz w:val="21"/>
          <w:szCs w:val="21"/>
          <w:lang w:val="en"/>
        </w:rPr>
        <w:lastRenderedPageBreak/>
        <w:t>strategically links governance improvements, specifically the Rule of Law, with critical servi</w:t>
      </w:r>
      <w:r>
        <w:rPr>
          <w:color w:val="000000"/>
          <w:sz w:val="21"/>
          <w:szCs w:val="21"/>
          <w:lang w:val="en"/>
        </w:rPr>
        <w:t>ce delivery areas: Agriculture, Roads, Education, Sanitation, and Tourism. By ensuring that Public Financial Management (PFM) reforms directly support these policy outcomes, the government aims to maximize country ownership and deliver tangible benefits to</w:t>
      </w:r>
      <w:r>
        <w:rPr>
          <w:color w:val="000000"/>
          <w:sz w:val="21"/>
          <w:szCs w:val="21"/>
          <w:lang w:val="en"/>
        </w:rPr>
        <w:t xml:space="preserve"> its citizens.</w:t>
      </w:r>
    </w:p>
    <w:p w:rsidR="007D180D" w:rsidRDefault="0075100B">
      <w:pPr>
        <w:shd w:val="clear" w:color="auto" w:fill="FFFFFF"/>
        <w:spacing w:after="150"/>
        <w:jc w:val="both"/>
        <w:rPr>
          <w:color w:val="000057"/>
          <w:sz w:val="21"/>
          <w:szCs w:val="21"/>
        </w:rPr>
      </w:pPr>
      <w:r>
        <w:rPr>
          <w:color w:val="000000"/>
          <w:sz w:val="21"/>
          <w:szCs w:val="21"/>
          <w:lang w:val="en"/>
        </w:rPr>
        <w:t>To support this ambitious reform agenda, the European Union decided in December 2024 to provide a package of budget support and additional measures totaling EUR 63 million. Of this, EUR 56 million is allocated to direct budget support manage</w:t>
      </w:r>
      <w:r>
        <w:rPr>
          <w:color w:val="000000"/>
          <w:sz w:val="21"/>
          <w:szCs w:val="21"/>
          <w:lang w:val="en"/>
        </w:rPr>
        <w:t xml:space="preserve">d by the EU, while </w:t>
      </w:r>
      <w:r>
        <w:rPr>
          <w:bCs/>
          <w:color w:val="000000"/>
          <w:sz w:val="21"/>
          <w:szCs w:val="21"/>
          <w:lang w:val="en"/>
        </w:rPr>
        <w:t>EUR 7 million is dedicated to additional technical assistance managed indirectly by Expertise France.</w:t>
      </w:r>
      <w:r>
        <w:rPr>
          <w:color w:val="000000"/>
          <w:sz w:val="21"/>
          <w:szCs w:val="21"/>
          <w:lang w:val="en"/>
        </w:rPr>
        <w:t xml:space="preserve"> The overarching objective of the budget support is to strengthen financial and economic governance while promoting sustainable manageme</w:t>
      </w:r>
      <w:r>
        <w:rPr>
          <w:color w:val="000000"/>
          <w:sz w:val="21"/>
          <w:szCs w:val="21"/>
          <w:lang w:val="en"/>
        </w:rPr>
        <w:t xml:space="preserve">nt practices in the forestry and agricultural sectors. These sectors are critical for Liberia's food security and biodiversity preservation, yet they currently suffer from budget allocations that fail to meet operational needs, forcing a heavy reliance on </w:t>
      </w:r>
      <w:r>
        <w:rPr>
          <w:color w:val="000000"/>
          <w:sz w:val="21"/>
          <w:szCs w:val="21"/>
          <w:lang w:val="en"/>
        </w:rPr>
        <w:t>external funding.</w:t>
      </w:r>
    </w:p>
    <w:p w:rsidR="007D180D" w:rsidRDefault="0075100B">
      <w:pPr>
        <w:shd w:val="clear" w:color="auto" w:fill="FFFFFF"/>
        <w:spacing w:line="262" w:lineRule="atLeast"/>
        <w:jc w:val="both"/>
        <w:rPr>
          <w:color w:val="000057"/>
          <w:sz w:val="21"/>
          <w:szCs w:val="21"/>
        </w:rPr>
      </w:pPr>
      <w:r>
        <w:rPr>
          <w:b/>
          <w:bCs/>
          <w:i/>
          <w:iCs/>
          <w:color w:val="000000"/>
          <w:sz w:val="21"/>
          <w:szCs w:val="21"/>
        </w:rPr>
        <w:t> </w:t>
      </w:r>
    </w:p>
    <w:p w:rsidR="007D180D" w:rsidRDefault="0075100B">
      <w:pPr>
        <w:shd w:val="clear" w:color="auto" w:fill="FFFFFF"/>
        <w:spacing w:line="262" w:lineRule="atLeast"/>
        <w:jc w:val="both"/>
        <w:rPr>
          <w:color w:val="000057"/>
          <w:sz w:val="21"/>
          <w:szCs w:val="21"/>
        </w:rPr>
      </w:pPr>
      <w:r>
        <w:rPr>
          <w:b/>
          <w:bCs/>
          <w:i/>
          <w:iCs/>
          <w:color w:val="000000"/>
          <w:sz w:val="21"/>
          <w:szCs w:val="21"/>
        </w:rPr>
        <w:t>Overall objective:</w:t>
      </w:r>
    </w:p>
    <w:p w:rsidR="007D180D" w:rsidRDefault="0075100B">
      <w:pPr>
        <w:shd w:val="clear" w:color="auto" w:fill="FFFFFF"/>
        <w:spacing w:line="262" w:lineRule="atLeast"/>
        <w:jc w:val="both"/>
        <w:rPr>
          <w:color w:val="000057"/>
          <w:sz w:val="21"/>
          <w:szCs w:val="21"/>
        </w:rPr>
      </w:pPr>
      <w:r>
        <w:rPr>
          <w:color w:val="000000"/>
          <w:sz w:val="21"/>
          <w:szCs w:val="21"/>
          <w:lang w:val="en"/>
        </w:rPr>
        <w:t>To promote accountable and sustainable natural resources governance in Liberia through strengthened public financial management, effective domestic revenue mobilization, and an increased transparency system.</w:t>
      </w:r>
    </w:p>
    <w:p w:rsidR="007D180D" w:rsidRDefault="0075100B">
      <w:pPr>
        <w:shd w:val="clear" w:color="auto" w:fill="FFFFFF"/>
        <w:spacing w:line="262" w:lineRule="atLeast"/>
        <w:jc w:val="both"/>
        <w:rPr>
          <w:color w:val="000057"/>
          <w:sz w:val="21"/>
          <w:szCs w:val="21"/>
        </w:rPr>
      </w:pPr>
      <w:r>
        <w:rPr>
          <w:color w:val="000000"/>
          <w:sz w:val="21"/>
          <w:szCs w:val="21"/>
          <w:lang w:val="en"/>
        </w:rPr>
        <w:br/>
      </w:r>
      <w:r>
        <w:rPr>
          <w:b/>
          <w:bCs/>
          <w:i/>
          <w:iCs/>
          <w:color w:val="000000"/>
          <w:sz w:val="21"/>
          <w:szCs w:val="21"/>
        </w:rPr>
        <w:t>Specific</w:t>
      </w:r>
      <w:r>
        <w:rPr>
          <w:b/>
          <w:bCs/>
          <w:i/>
          <w:iCs/>
          <w:color w:val="000000"/>
          <w:sz w:val="21"/>
          <w:szCs w:val="21"/>
        </w:rPr>
        <w:t xml:space="preserve"> objectives:</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Specific Objective 1 (SO1):</w:t>
      </w:r>
      <w:r>
        <w:rPr>
          <w:color w:val="000000"/>
          <w:sz w:val="21"/>
          <w:szCs w:val="21"/>
          <w:lang w:val="en"/>
        </w:rPr>
        <w:t xml:space="preserve"> Improve the effectiveness of public financial management and domestic revenue mobilization systems.</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Specific Objective 2 (SO2):</w:t>
      </w:r>
      <w:r>
        <w:rPr>
          <w:color w:val="000000"/>
          <w:sz w:val="21"/>
          <w:szCs w:val="21"/>
          <w:lang w:val="en"/>
        </w:rPr>
        <w:t xml:space="preserve"> Strengthen the framework for participation, accountability, oversight, an</w:t>
      </w:r>
      <w:r>
        <w:rPr>
          <w:color w:val="000000"/>
          <w:sz w:val="21"/>
          <w:szCs w:val="21"/>
          <w:lang w:val="en"/>
        </w:rPr>
        <w:t>d the fight against corruption.</w:t>
      </w:r>
    </w:p>
    <w:p w:rsidR="007D180D" w:rsidRDefault="0075100B">
      <w:pPr>
        <w:shd w:val="clear" w:color="auto" w:fill="FFFFFF"/>
        <w:spacing w:line="262" w:lineRule="atLeast"/>
        <w:jc w:val="both"/>
        <w:rPr>
          <w:color w:val="000057"/>
          <w:sz w:val="21"/>
          <w:szCs w:val="21"/>
        </w:rPr>
      </w:pPr>
      <w:r>
        <w:rPr>
          <w:b/>
          <w:bCs/>
          <w:i/>
          <w:iCs/>
          <w:color w:val="000000"/>
          <w:sz w:val="21"/>
          <w:szCs w:val="21"/>
        </w:rPr>
        <w:t> </w:t>
      </w:r>
    </w:p>
    <w:p w:rsidR="007D180D" w:rsidRDefault="0075100B">
      <w:pPr>
        <w:shd w:val="clear" w:color="auto" w:fill="FFFFFF"/>
        <w:spacing w:line="262" w:lineRule="atLeast"/>
        <w:jc w:val="both"/>
        <w:rPr>
          <w:color w:val="000057"/>
          <w:sz w:val="21"/>
          <w:szCs w:val="21"/>
        </w:rPr>
      </w:pPr>
      <w:r>
        <w:rPr>
          <w:b/>
          <w:bCs/>
          <w:i/>
          <w:iCs/>
          <w:color w:val="000000"/>
          <w:sz w:val="21"/>
          <w:szCs w:val="21"/>
        </w:rPr>
        <w:t>Outcomes and outputs expected:</w:t>
      </w:r>
    </w:p>
    <w:p w:rsidR="007D180D" w:rsidRDefault="0075100B">
      <w:pPr>
        <w:shd w:val="clear" w:color="auto" w:fill="FFFFFF"/>
        <w:spacing w:line="262" w:lineRule="atLeast"/>
        <w:jc w:val="both"/>
        <w:rPr>
          <w:color w:val="000057"/>
          <w:sz w:val="21"/>
          <w:szCs w:val="21"/>
        </w:rPr>
      </w:pPr>
      <w:r>
        <w:rPr>
          <w:b/>
          <w:bCs/>
          <w:i/>
          <w:iCs/>
          <w:color w:val="000000"/>
          <w:sz w:val="21"/>
          <w:szCs w:val="21"/>
        </w:rPr>
        <w:t> </w:t>
      </w:r>
    </w:p>
    <w:p w:rsidR="007D180D" w:rsidRDefault="0075100B">
      <w:pPr>
        <w:shd w:val="clear" w:color="auto" w:fill="FFFFFF"/>
        <w:spacing w:after="150" w:line="262" w:lineRule="atLeast"/>
        <w:jc w:val="both"/>
        <w:rPr>
          <w:color w:val="000057"/>
          <w:sz w:val="21"/>
          <w:szCs w:val="21"/>
        </w:rPr>
      </w:pPr>
      <w:r>
        <w:rPr>
          <w:b/>
          <w:bCs/>
          <w:color w:val="000000"/>
          <w:sz w:val="21"/>
          <w:szCs w:val="21"/>
          <w:lang w:val="en"/>
        </w:rPr>
        <w:t>Outcome 1: Improved PFM and DRM Systems (</w:t>
      </w:r>
      <w:r>
        <w:rPr>
          <w:b/>
          <w:bCs/>
          <w:i/>
          <w:iCs/>
          <w:color w:val="000000"/>
          <w:sz w:val="21"/>
          <w:szCs w:val="21"/>
          <w:lang w:val="en"/>
        </w:rPr>
        <w:t>Component 1)</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1.1: </w:t>
      </w:r>
      <w:r>
        <w:rPr>
          <w:color w:val="000000"/>
          <w:sz w:val="21"/>
          <w:szCs w:val="21"/>
          <w:lang w:val="en"/>
        </w:rPr>
        <w:t>Budget preparation, execution and reporting is strengthened for increased predictability, credibility and accountabi</w:t>
      </w:r>
      <w:r>
        <w:rPr>
          <w:color w:val="000000"/>
          <w:sz w:val="21"/>
          <w:szCs w:val="21"/>
          <w:lang w:val="en"/>
        </w:rPr>
        <w:t>lity</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Output 1.2:</w:t>
      </w:r>
      <w:r>
        <w:rPr>
          <w:color w:val="000000"/>
          <w:sz w:val="21"/>
          <w:szCs w:val="21"/>
          <w:lang w:val="en"/>
        </w:rPr>
        <w:t>  Domestic revenue mobilization performance is improved, including from the natural resources sectors</w:t>
      </w:r>
    </w:p>
    <w:p w:rsidR="007D180D" w:rsidRDefault="0075100B">
      <w:pPr>
        <w:shd w:val="clear" w:color="auto" w:fill="FFFFFF"/>
        <w:spacing w:before="240" w:after="150" w:line="262" w:lineRule="atLeast"/>
        <w:jc w:val="both"/>
        <w:rPr>
          <w:color w:val="000057"/>
          <w:sz w:val="21"/>
          <w:szCs w:val="21"/>
          <w:u w:val="single"/>
        </w:rPr>
      </w:pPr>
      <w:r>
        <w:rPr>
          <w:b/>
          <w:bCs/>
          <w:color w:val="000000"/>
          <w:sz w:val="21"/>
          <w:szCs w:val="21"/>
          <w:u w:val="single"/>
          <w:lang w:val="en"/>
        </w:rPr>
        <w:t>Outcome 2: Strengthened Oversight and Integrity (</w:t>
      </w:r>
      <w:r>
        <w:rPr>
          <w:b/>
          <w:bCs/>
          <w:i/>
          <w:iCs/>
          <w:color w:val="000000"/>
          <w:sz w:val="21"/>
          <w:szCs w:val="21"/>
          <w:u w:val="single"/>
          <w:lang w:val="en"/>
        </w:rPr>
        <w:t>Component 2)</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2.1: </w:t>
      </w:r>
      <w:r>
        <w:rPr>
          <w:color w:val="000000"/>
          <w:sz w:val="21"/>
          <w:szCs w:val="21"/>
          <w:lang w:val="en"/>
        </w:rPr>
        <w:t>Internal and external audit systems are bolstered.</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w:t>
      </w:r>
      <w:r>
        <w:rPr>
          <w:color w:val="000000"/>
          <w:sz w:val="21"/>
          <w:szCs w:val="21"/>
          <w:u w:val="single"/>
          <w:lang w:val="en"/>
        </w:rPr>
        <w:t xml:space="preserve">  </w:t>
      </w:r>
      <w:r>
        <w:rPr>
          <w:b/>
          <w:bCs/>
          <w:color w:val="000000"/>
          <w:sz w:val="21"/>
          <w:szCs w:val="21"/>
          <w:u w:val="single"/>
          <w:lang w:val="en"/>
        </w:rPr>
        <w:t xml:space="preserve">Output 2.2: </w:t>
      </w:r>
      <w:r>
        <w:rPr>
          <w:color w:val="000000"/>
          <w:sz w:val="21"/>
          <w:szCs w:val="21"/>
          <w:u w:val="single"/>
          <w:lang w:val="en"/>
        </w:rPr>
        <w:t>Mechanisms for fighting against corruption are enhanced</w:t>
      </w:r>
      <w:r>
        <w:rPr>
          <w:color w:val="000000"/>
          <w:sz w:val="21"/>
          <w:szCs w:val="21"/>
          <w:lang w:val="en"/>
        </w:rPr>
        <w:t>.</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2.3: </w:t>
      </w:r>
      <w:r>
        <w:rPr>
          <w:color w:val="000000"/>
          <w:sz w:val="21"/>
          <w:szCs w:val="21"/>
          <w:lang w:val="en"/>
        </w:rPr>
        <w:t>SOE Accountability and Efficiency is strengthened.</w:t>
      </w:r>
    </w:p>
    <w:p w:rsidR="007D180D" w:rsidRDefault="0075100B">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2.4: </w:t>
      </w:r>
      <w:r>
        <w:rPr>
          <w:color w:val="000000"/>
          <w:sz w:val="21"/>
          <w:szCs w:val="21"/>
          <w:lang w:val="en"/>
        </w:rPr>
        <w:t xml:space="preserve">Civil Society and Public Participation are empowered for independent monitoring/oversight </w:t>
      </w:r>
      <w:r>
        <w:rPr>
          <w:color w:val="000000"/>
          <w:sz w:val="21"/>
          <w:szCs w:val="21"/>
          <w:lang w:val="en"/>
        </w:rPr>
        <w:t>of public finance management.</w:t>
      </w:r>
    </w:p>
    <w:p w:rsidR="007D180D" w:rsidRDefault="007D180D">
      <w:pPr>
        <w:spacing w:after="200"/>
        <w:rPr>
          <w:sz w:val="21"/>
          <w:szCs w:val="21"/>
        </w:rPr>
      </w:pPr>
    </w:p>
    <w:p w:rsidR="007D180D" w:rsidRDefault="0075100B">
      <w:pPr>
        <w:pStyle w:val="Titre1"/>
        <w:pBdr>
          <w:bottom w:val="single" w:sz="6" w:space="4" w:color="1F3864"/>
        </w:pBdr>
        <w:spacing w:before="320" w:after="160"/>
      </w:pPr>
      <w:r>
        <w:rPr>
          <w:b/>
          <w:bCs/>
          <w:color w:val="1F3864"/>
          <w:sz w:val="26"/>
          <w:szCs w:val="26"/>
        </w:rPr>
        <w:t>3. Background and Context</w:t>
      </w:r>
    </w:p>
    <w:p w:rsidR="007D180D" w:rsidRDefault="0075100B">
      <w:pPr>
        <w:spacing w:after="140" w:line="276" w:lineRule="auto"/>
        <w:jc w:val="both"/>
      </w:pPr>
      <w:r>
        <w:rPr>
          <w:sz w:val="21"/>
          <w:szCs w:val="21"/>
        </w:rPr>
        <w:t>Liberia's new LACC National Strategy (2026–2030) sets out a framework for strengthening integrity systems for sustainable governance, prioritizing prevention, investigation, enforcement and public ed</w:t>
      </w:r>
      <w:r>
        <w:rPr>
          <w:sz w:val="21"/>
          <w:szCs w:val="21"/>
        </w:rPr>
        <w:t>ucation to combat corruption and promote transparency and accountability across all sectors. The Liberia Anti-Corruption Commission (LACC) is the lead institution responsible for implementing this Strategy, including preventing and detecting corruption, in</w:t>
      </w:r>
      <w:r>
        <w:rPr>
          <w:sz w:val="21"/>
          <w:szCs w:val="21"/>
        </w:rPr>
        <w:t>vestigating and referring cases for prosecution, and administering the asset declaration regime for public officials.</w:t>
      </w:r>
    </w:p>
    <w:p w:rsidR="007D180D" w:rsidRDefault="0075100B">
      <w:pPr>
        <w:spacing w:after="140" w:line="276" w:lineRule="auto"/>
        <w:jc w:val="both"/>
      </w:pPr>
      <w:r>
        <w:rPr>
          <w:sz w:val="21"/>
          <w:szCs w:val="21"/>
        </w:rPr>
        <w:lastRenderedPageBreak/>
        <w:t xml:space="preserve">This assignment is designed in complementarity with the </w:t>
      </w:r>
      <w:proofErr w:type="spellStart"/>
      <w:r>
        <w:rPr>
          <w:sz w:val="21"/>
          <w:szCs w:val="21"/>
        </w:rPr>
        <w:t>AfDB</w:t>
      </w:r>
      <w:proofErr w:type="spellEnd"/>
      <w:r>
        <w:rPr>
          <w:sz w:val="21"/>
          <w:szCs w:val="21"/>
        </w:rPr>
        <w:t>-funded Institutional Support for Enhanced Domestic Revenue Mobilization and R</w:t>
      </w:r>
      <w:r>
        <w:rPr>
          <w:sz w:val="21"/>
          <w:szCs w:val="21"/>
        </w:rPr>
        <w:t>eform Implementation Project (ISEDRMP), which supports the promotion of transparency, accountability and anti-corruption mechanisms with the LACC as one of its beneficiary institutions, alongside domestic revenue and public financial management reforms acr</w:t>
      </w:r>
      <w:r>
        <w:rPr>
          <w:sz w:val="21"/>
          <w:szCs w:val="21"/>
        </w:rPr>
        <w:t>oss Government.</w:t>
      </w:r>
    </w:p>
    <w:p w:rsidR="007D180D" w:rsidRDefault="0075100B">
      <w:pPr>
        <w:spacing w:after="140" w:line="276" w:lineRule="auto"/>
        <w:jc w:val="both"/>
      </w:pPr>
      <w:r>
        <w:rPr>
          <w:sz w:val="21"/>
          <w:szCs w:val="21"/>
        </w:rPr>
        <w:t>Within this framework, the LACC has identified four priority areas where dedicated technical assistance is required. First, while public officials are required to declare their assets, Liberia's current legal and administrative framework do</w:t>
      </w:r>
      <w:r>
        <w:rPr>
          <w:sz w:val="21"/>
          <w:szCs w:val="21"/>
        </w:rPr>
        <w:t>es not provide a clear, graduated sanctions regime for non-compliance – particularly for officials exiting government, whose declarations are a critical control point against the concealment of illicitly acquired assets. Second, the LACC's investigative an</w:t>
      </w:r>
      <w:r>
        <w:rPr>
          <w:sz w:val="21"/>
          <w:szCs w:val="21"/>
        </w:rPr>
        <w:t>d prosecutorial functions would benefit from clearer case-selection guidelines, standardized procedures, and specialized skills in procurement fraud and tax crime investigation. Third, the LACC's Verification Unit requires stronger methods and access arran</w:t>
      </w:r>
      <w:r>
        <w:rPr>
          <w:sz w:val="21"/>
          <w:szCs w:val="21"/>
        </w:rPr>
        <w:t>gements to cross-reference declared assets against independent bank and property records. Fourth, given Liberia's extractive-dependent economy, the LACC's natural resources team requires strengthened capacity to address corruption risks in the management o</w:t>
      </w:r>
      <w:r>
        <w:rPr>
          <w:sz w:val="21"/>
          <w:szCs w:val="21"/>
        </w:rPr>
        <w:t>f mining, forestry and other natural resource concessions.</w:t>
      </w:r>
    </w:p>
    <w:p w:rsidR="007D180D" w:rsidRDefault="0075100B">
      <w:pPr>
        <w:spacing w:after="140" w:line="276" w:lineRule="auto"/>
        <w:jc w:val="both"/>
      </w:pPr>
      <w:r>
        <w:rPr>
          <w:sz w:val="21"/>
          <w:szCs w:val="21"/>
        </w:rPr>
        <w:t>Expertise France is therefore seeking to engage a qualified consultant to provide integrated technical assistance across these four areas, supporting the Commission to translate the National Strate</w:t>
      </w:r>
      <w:r>
        <w:rPr>
          <w:sz w:val="21"/>
          <w:szCs w:val="21"/>
        </w:rPr>
        <w:t>gy's prevention, investigation and enforcement priorities into concrete legal instruments, procedures and institutional capacity.</w:t>
      </w:r>
    </w:p>
    <w:p w:rsidR="007D180D" w:rsidRDefault="0075100B">
      <w:pPr>
        <w:pStyle w:val="Titre1"/>
        <w:pBdr>
          <w:bottom w:val="single" w:sz="6" w:space="4" w:color="1F3864"/>
        </w:pBdr>
        <w:spacing w:before="320" w:after="160"/>
      </w:pPr>
      <w:r>
        <w:rPr>
          <w:b/>
          <w:bCs/>
          <w:color w:val="1F3864"/>
          <w:sz w:val="26"/>
          <w:szCs w:val="26"/>
        </w:rPr>
        <w:t>4. Objectives of the Assignment</w:t>
      </w:r>
    </w:p>
    <w:p w:rsidR="007D180D" w:rsidRDefault="0075100B">
      <w:pPr>
        <w:spacing w:after="140" w:line="276" w:lineRule="auto"/>
        <w:jc w:val="both"/>
      </w:pPr>
      <w:r>
        <w:rPr>
          <w:sz w:val="21"/>
          <w:szCs w:val="21"/>
        </w:rPr>
        <w:t>Related to the Output 2.2 of the project, the overall objective of the assignment is to streng</w:t>
      </w:r>
      <w:r>
        <w:rPr>
          <w:sz w:val="21"/>
          <w:szCs w:val="21"/>
        </w:rPr>
        <w:t>then the LACC's legal, investigative and verification tools for enforcing the asset declaration regime and combating corruption, including in the natural resources sector, in line with the LACC National Strategy (2026–2030).</w:t>
      </w:r>
    </w:p>
    <w:p w:rsidR="007D180D" w:rsidRDefault="0075100B">
      <w:pPr>
        <w:spacing w:after="140" w:line="276" w:lineRule="auto"/>
        <w:jc w:val="both"/>
      </w:pPr>
      <w:r>
        <w:rPr>
          <w:sz w:val="21"/>
          <w:szCs w:val="21"/>
        </w:rPr>
        <w:t>Specific objectives include:</w:t>
      </w:r>
    </w:p>
    <w:p w:rsidR="007D180D" w:rsidRDefault="0075100B">
      <w:pPr>
        <w:pStyle w:val="Paragraphedeliste"/>
        <w:numPr>
          <w:ilvl w:val="0"/>
          <w:numId w:val="2"/>
        </w:numPr>
        <w:spacing w:after="100" w:line="270" w:lineRule="auto"/>
      </w:pPr>
      <w:r>
        <w:rPr>
          <w:sz w:val="21"/>
          <w:szCs w:val="21"/>
        </w:rPr>
        <w:t>De</w:t>
      </w:r>
      <w:r>
        <w:rPr>
          <w:sz w:val="21"/>
          <w:szCs w:val="21"/>
        </w:rPr>
        <w:t>velop a legal Sanctions Framework for non-compliance with asset declaration requirements, with particular attention to officials exiting government service.</w:t>
      </w:r>
    </w:p>
    <w:p w:rsidR="007D180D" w:rsidRDefault="0075100B">
      <w:pPr>
        <w:pStyle w:val="Paragraphedeliste"/>
        <w:numPr>
          <w:ilvl w:val="0"/>
          <w:numId w:val="2"/>
        </w:numPr>
        <w:spacing w:after="100" w:line="270" w:lineRule="auto"/>
      </w:pPr>
      <w:r>
        <w:rPr>
          <w:sz w:val="21"/>
          <w:szCs w:val="21"/>
        </w:rPr>
        <w:t>Strengthen the LACC's investigation and prosecution capacity through case-selection guidelines, sta</w:t>
      </w:r>
      <w:r>
        <w:rPr>
          <w:sz w:val="21"/>
          <w:szCs w:val="21"/>
        </w:rPr>
        <w:t>ndard operating procedures, hands-on coaching, and specialized training in procurement fraud and tax crime investigation and in ethics and anti-corruption administration.</w:t>
      </w:r>
    </w:p>
    <w:p w:rsidR="007D180D" w:rsidRDefault="0075100B">
      <w:pPr>
        <w:pStyle w:val="Paragraphedeliste"/>
        <w:numPr>
          <w:ilvl w:val="0"/>
          <w:numId w:val="2"/>
        </w:numPr>
        <w:spacing w:after="100" w:line="270" w:lineRule="auto"/>
      </w:pPr>
      <w:r>
        <w:rPr>
          <w:sz w:val="21"/>
          <w:szCs w:val="21"/>
        </w:rPr>
        <w:t>Strengthen the capacity of the LACC's Verification Unit to cross-reference asset decl</w:t>
      </w:r>
      <w:r>
        <w:rPr>
          <w:sz w:val="21"/>
          <w:szCs w:val="21"/>
        </w:rPr>
        <w:t>arations with bank and property records to detect discrepancies indicative of unexplained wealth.</w:t>
      </w:r>
    </w:p>
    <w:p w:rsidR="007D180D" w:rsidRDefault="0075100B">
      <w:pPr>
        <w:pStyle w:val="Paragraphedeliste"/>
        <w:numPr>
          <w:ilvl w:val="0"/>
          <w:numId w:val="2"/>
        </w:numPr>
        <w:spacing w:after="100" w:line="270" w:lineRule="auto"/>
      </w:pPr>
      <w:r>
        <w:rPr>
          <w:sz w:val="21"/>
          <w:szCs w:val="21"/>
        </w:rPr>
        <w:t>Support the capacity of the LACC's natural resources team to identify, assess and pursue corruption risks in the natural resources and concessions sector.</w:t>
      </w:r>
    </w:p>
    <w:p w:rsidR="007D180D" w:rsidRDefault="0075100B">
      <w:pPr>
        <w:pStyle w:val="Titre1"/>
        <w:pBdr>
          <w:bottom w:val="single" w:sz="6" w:space="4" w:color="1F3864"/>
        </w:pBdr>
        <w:spacing w:before="320" w:after="160"/>
      </w:pPr>
      <w:r>
        <w:rPr>
          <w:b/>
          <w:bCs/>
          <w:color w:val="1F3864"/>
          <w:sz w:val="26"/>
          <w:szCs w:val="26"/>
        </w:rPr>
        <w:t xml:space="preserve">5. </w:t>
      </w:r>
      <w:r>
        <w:rPr>
          <w:b/>
          <w:bCs/>
          <w:color w:val="1F3864"/>
          <w:sz w:val="26"/>
          <w:szCs w:val="26"/>
        </w:rPr>
        <w:t>Scope of Work</w:t>
      </w:r>
    </w:p>
    <w:p w:rsidR="007D180D" w:rsidRDefault="0075100B">
      <w:pPr>
        <w:spacing w:after="140" w:line="276" w:lineRule="auto"/>
        <w:jc w:val="both"/>
      </w:pPr>
      <w:r>
        <w:rPr>
          <w:sz w:val="21"/>
          <w:szCs w:val="21"/>
        </w:rPr>
        <w:t xml:space="preserve">Under the overall guidance of the LACC, the consultant/firm will deliver the assignment through four parts, described below. Given the sensitivity of the subject matter, all work will be carried out in close coordination with LACC leadership </w:t>
      </w:r>
      <w:r>
        <w:rPr>
          <w:sz w:val="21"/>
          <w:szCs w:val="21"/>
        </w:rPr>
        <w:t>and Expertise France and subject to the confidentiality and integrity safeguards set out in Section 12.</w:t>
      </w:r>
    </w:p>
    <w:p w:rsidR="007D180D" w:rsidRDefault="0075100B">
      <w:pPr>
        <w:pStyle w:val="Titre2"/>
        <w:spacing w:before="220" w:after="100"/>
      </w:pPr>
      <w:r>
        <w:rPr>
          <w:b/>
          <w:bCs/>
          <w:color w:val="2E5395"/>
          <w:sz w:val="22"/>
          <w:szCs w:val="22"/>
        </w:rPr>
        <w:t>Part 1: Legal Sanctions Framework for Asset Declaration Non-Compliance</w:t>
      </w:r>
    </w:p>
    <w:p w:rsidR="007D180D" w:rsidRDefault="0075100B">
      <w:pPr>
        <w:spacing w:after="140" w:line="276" w:lineRule="auto"/>
        <w:jc w:val="both"/>
      </w:pPr>
      <w:r>
        <w:rPr>
          <w:sz w:val="21"/>
          <w:szCs w:val="21"/>
        </w:rPr>
        <w:t>Objective: Support the LACC in drafting a legal Sanctions Framework for non-compliance with asset declaration requirements, specifically for officials exiting government. Tasks include:</w:t>
      </w:r>
    </w:p>
    <w:p w:rsidR="007D180D" w:rsidRDefault="0075100B">
      <w:pPr>
        <w:pStyle w:val="Paragraphedeliste"/>
        <w:numPr>
          <w:ilvl w:val="0"/>
          <w:numId w:val="3"/>
        </w:numPr>
        <w:spacing w:after="60" w:line="270" w:lineRule="auto"/>
        <w:jc w:val="both"/>
      </w:pPr>
      <w:r>
        <w:rPr>
          <w:sz w:val="21"/>
          <w:szCs w:val="21"/>
        </w:rPr>
        <w:t>Review the current legal and regulatory framework governing asset decl</w:t>
      </w:r>
      <w:r>
        <w:rPr>
          <w:sz w:val="21"/>
          <w:szCs w:val="21"/>
        </w:rPr>
        <w:t>arations (including the Code of Conduct Act, the LACC Act and related regulations) and assess the adequacy of existing sanctions and enforcement provisions, with particular attention to gaps affecting officials at the point of exit from government service.</w:t>
      </w:r>
    </w:p>
    <w:p w:rsidR="007D180D" w:rsidRDefault="0075100B">
      <w:pPr>
        <w:pStyle w:val="Paragraphedeliste"/>
        <w:numPr>
          <w:ilvl w:val="0"/>
          <w:numId w:val="3"/>
        </w:numPr>
        <w:spacing w:after="60" w:line="270" w:lineRule="auto"/>
        <w:jc w:val="both"/>
      </w:pPr>
      <w:r>
        <w:rPr>
          <w:sz w:val="21"/>
          <w:szCs w:val="21"/>
        </w:rPr>
        <w:t xml:space="preserve">Conduct a comparative review of sanctions regimes for asset-declaration non-compliance in comparable jurisdictions, to inform options for Liberia (e.g., graduated administrative fines, referral for prosecution, disqualification from future public office, </w:t>
      </w:r>
      <w:r>
        <w:rPr>
          <w:sz w:val="21"/>
          <w:szCs w:val="21"/>
        </w:rPr>
        <w:t>publication of non-compliance).</w:t>
      </w:r>
    </w:p>
    <w:p w:rsidR="007D180D" w:rsidRDefault="0075100B">
      <w:pPr>
        <w:pStyle w:val="Paragraphedeliste"/>
        <w:numPr>
          <w:ilvl w:val="0"/>
          <w:numId w:val="3"/>
        </w:numPr>
        <w:spacing w:after="60" w:line="270" w:lineRule="auto"/>
        <w:jc w:val="both"/>
      </w:pPr>
      <w:r>
        <w:rPr>
          <w:sz w:val="21"/>
          <w:szCs w:val="21"/>
        </w:rPr>
        <w:t xml:space="preserve">Draft a Sanctions Framework (policy paper and accompanying draft legal instrument – regulation, directive or legislative amendment as appropriate) that defines categories of non-compliance (non-filing, late filing, false or </w:t>
      </w:r>
      <w:r>
        <w:rPr>
          <w:sz w:val="21"/>
          <w:szCs w:val="21"/>
        </w:rPr>
        <w:t>incomplete declaration, failure to file an exit declaration), the corresponding graduated sanctions, the procedure for triggering and applying sanctions, and due-process/appeal rights.</w:t>
      </w:r>
    </w:p>
    <w:p w:rsidR="007D180D" w:rsidRDefault="0075100B">
      <w:pPr>
        <w:pStyle w:val="Paragraphedeliste"/>
        <w:numPr>
          <w:ilvl w:val="0"/>
          <w:numId w:val="3"/>
        </w:numPr>
        <w:spacing w:after="60" w:line="270" w:lineRule="auto"/>
        <w:jc w:val="both"/>
      </w:pPr>
      <w:r>
        <w:rPr>
          <w:sz w:val="21"/>
          <w:szCs w:val="21"/>
        </w:rPr>
        <w:t>Clarify institutional roles and responsibilities for enforcement across</w:t>
      </w:r>
      <w:r>
        <w:rPr>
          <w:sz w:val="21"/>
          <w:szCs w:val="21"/>
        </w:rPr>
        <w:t xml:space="preserve"> the LACC, the Ministry of Justice, the Civil Service Agency and employing institutions, including the specific procedure for exit clearance tied to asset declaration compliance.</w:t>
      </w:r>
    </w:p>
    <w:p w:rsidR="007D180D" w:rsidRDefault="0075100B">
      <w:pPr>
        <w:pStyle w:val="Paragraphedeliste"/>
        <w:numPr>
          <w:ilvl w:val="0"/>
          <w:numId w:val="3"/>
        </w:numPr>
        <w:spacing w:after="60" w:line="270" w:lineRule="auto"/>
        <w:jc w:val="both"/>
      </w:pPr>
      <w:r>
        <w:rPr>
          <w:sz w:val="21"/>
          <w:szCs w:val="21"/>
        </w:rPr>
        <w:t>Facilitate validation consultations with LACC leadership and relevant stakeho</w:t>
      </w:r>
      <w:r>
        <w:rPr>
          <w:sz w:val="21"/>
          <w:szCs w:val="21"/>
        </w:rPr>
        <w:t>lders (e.g., Ministry of Justice, Civil Service Agency, Legislature as required) on the draft Sanctions Framework, and support the LACC in revising and finalizing it for submission through the applicable approval process.</w:t>
      </w:r>
    </w:p>
    <w:p w:rsidR="007D180D" w:rsidRDefault="0075100B">
      <w:pPr>
        <w:pStyle w:val="Paragraphedeliste"/>
        <w:numPr>
          <w:ilvl w:val="0"/>
          <w:numId w:val="3"/>
        </w:numPr>
        <w:spacing w:after="60" w:line="270" w:lineRule="auto"/>
        <w:jc w:val="both"/>
      </w:pPr>
      <w:r>
        <w:rPr>
          <w:sz w:val="21"/>
          <w:szCs w:val="21"/>
        </w:rPr>
        <w:t>Develop an implementation/roll-out</w:t>
      </w:r>
      <w:r>
        <w:rPr>
          <w:sz w:val="21"/>
          <w:szCs w:val="21"/>
        </w:rPr>
        <w:t xml:space="preserve"> plan and plain-language communication materials to inform public officials – particularly those exiting government – of their obligations and the consequences of non-compliance.</w:t>
      </w:r>
    </w:p>
    <w:p w:rsidR="007D180D" w:rsidRDefault="0075100B">
      <w:pPr>
        <w:pStyle w:val="Titre2"/>
        <w:spacing w:before="220" w:after="100"/>
      </w:pPr>
      <w:r>
        <w:rPr>
          <w:b/>
          <w:bCs/>
          <w:color w:val="2E5395"/>
          <w:sz w:val="22"/>
          <w:szCs w:val="22"/>
        </w:rPr>
        <w:t>Part 2: Investigation and Prosecution Capacity</w:t>
      </w:r>
    </w:p>
    <w:p w:rsidR="007D180D" w:rsidRDefault="0075100B">
      <w:pPr>
        <w:spacing w:after="140" w:line="276" w:lineRule="auto"/>
        <w:jc w:val="both"/>
      </w:pPr>
      <w:r>
        <w:rPr>
          <w:sz w:val="21"/>
          <w:szCs w:val="21"/>
        </w:rPr>
        <w:t>Objective: Strengthen the LACC</w:t>
      </w:r>
      <w:r>
        <w:rPr>
          <w:sz w:val="21"/>
          <w:szCs w:val="21"/>
        </w:rPr>
        <w:t>'s capacity to investigate and prosecute corruption cases. Tasks include:</w:t>
      </w:r>
    </w:p>
    <w:p w:rsidR="007D180D" w:rsidRDefault="0075100B">
      <w:pPr>
        <w:pStyle w:val="Paragraphedeliste"/>
        <w:numPr>
          <w:ilvl w:val="0"/>
          <w:numId w:val="3"/>
        </w:numPr>
        <w:spacing w:after="60" w:line="270" w:lineRule="auto"/>
        <w:jc w:val="both"/>
      </w:pPr>
      <w:r>
        <w:rPr>
          <w:sz w:val="21"/>
          <w:szCs w:val="21"/>
        </w:rPr>
        <w:t>Develop guidelines for selecting cases for investigation, including risk-based prioritization criteria, an intake/triage process, and criteria for referral to other agencies where ap</w:t>
      </w:r>
      <w:r>
        <w:rPr>
          <w:sz w:val="21"/>
          <w:szCs w:val="21"/>
        </w:rPr>
        <w:t>propriate.</w:t>
      </w:r>
    </w:p>
    <w:p w:rsidR="007D180D" w:rsidRDefault="0075100B">
      <w:pPr>
        <w:pStyle w:val="Paragraphedeliste"/>
        <w:numPr>
          <w:ilvl w:val="0"/>
          <w:numId w:val="3"/>
        </w:numPr>
        <w:spacing w:after="60" w:line="270" w:lineRule="auto"/>
        <w:jc w:val="both"/>
      </w:pPr>
      <w:r>
        <w:rPr>
          <w:sz w:val="21"/>
          <w:szCs w:val="21"/>
        </w:rPr>
        <w:t>Develop standard operating procedures (SOPs) for the conduct of investigations and prosecutions, covering case planning, evidence gathering and preservation (including chain of custody), case file management, and the handover/referral process to</w:t>
      </w:r>
      <w:r>
        <w:rPr>
          <w:sz w:val="21"/>
          <w:szCs w:val="21"/>
        </w:rPr>
        <w:t xml:space="preserve"> prosecutorial authorities.</w:t>
      </w:r>
    </w:p>
    <w:p w:rsidR="007D180D" w:rsidRDefault="0075100B">
      <w:pPr>
        <w:pStyle w:val="Paragraphedeliste"/>
        <w:numPr>
          <w:ilvl w:val="0"/>
          <w:numId w:val="3"/>
        </w:numPr>
        <w:spacing w:after="60" w:line="270" w:lineRule="auto"/>
        <w:jc w:val="both"/>
      </w:pPr>
      <w:r>
        <w:rPr>
          <w:sz w:val="21"/>
          <w:szCs w:val="21"/>
        </w:rPr>
        <w:t>Support the LACC through hands-on coaching – working alongside LACC investigators and prosecutors on live or recent case files – to investigate and prosecute corruption cases using the new guidelines and SOPs.</w:t>
      </w:r>
    </w:p>
    <w:p w:rsidR="007D180D" w:rsidRDefault="0075100B">
      <w:pPr>
        <w:pStyle w:val="Paragraphedeliste"/>
        <w:numPr>
          <w:ilvl w:val="0"/>
          <w:numId w:val="3"/>
        </w:numPr>
        <w:spacing w:after="60" w:line="270" w:lineRule="auto"/>
        <w:jc w:val="both"/>
      </w:pPr>
      <w:r>
        <w:rPr>
          <w:sz w:val="21"/>
          <w:szCs w:val="21"/>
        </w:rPr>
        <w:t>Build the capacity</w:t>
      </w:r>
      <w:r>
        <w:rPr>
          <w:sz w:val="21"/>
          <w:szCs w:val="21"/>
        </w:rPr>
        <w:t xml:space="preserve"> of investigators in procurement fraud investigation (e.g., bid-rigging, collusion, kickbacks, contract manipulation) and tax crime investigation (e.g., tax evasion typologies and financial investigation techniques), using case studies and, where available</w:t>
      </w:r>
      <w:r>
        <w:rPr>
          <w:sz w:val="21"/>
          <w:szCs w:val="21"/>
        </w:rPr>
        <w:t>, real or de-identified case material.</w:t>
      </w:r>
    </w:p>
    <w:p w:rsidR="007D180D" w:rsidRDefault="0075100B">
      <w:pPr>
        <w:pStyle w:val="Paragraphedeliste"/>
        <w:numPr>
          <w:ilvl w:val="0"/>
          <w:numId w:val="3"/>
        </w:numPr>
        <w:spacing w:after="60" w:line="270" w:lineRule="auto"/>
        <w:jc w:val="both"/>
      </w:pPr>
      <w:r>
        <w:rPr>
          <w:sz w:val="21"/>
          <w:szCs w:val="21"/>
        </w:rPr>
        <w:t>Deliver training in ethics and anti-corruption administration, covering professional ethics and integrity for investigators and prosecutors, and core principles of anti-corruption administration.</w:t>
      </w:r>
    </w:p>
    <w:p w:rsidR="007D180D" w:rsidRDefault="0075100B">
      <w:pPr>
        <w:pStyle w:val="Titre2"/>
        <w:spacing w:before="220" w:after="100"/>
        <w:jc w:val="both"/>
      </w:pPr>
      <w:r>
        <w:rPr>
          <w:b/>
          <w:bCs/>
          <w:color w:val="2E5395"/>
          <w:sz w:val="22"/>
          <w:szCs w:val="22"/>
        </w:rPr>
        <w:t xml:space="preserve">Part 3: Verification </w:t>
      </w:r>
      <w:r>
        <w:rPr>
          <w:b/>
          <w:bCs/>
          <w:color w:val="2E5395"/>
          <w:sz w:val="22"/>
          <w:szCs w:val="22"/>
        </w:rPr>
        <w:t>Capacity</w:t>
      </w:r>
    </w:p>
    <w:p w:rsidR="007D180D" w:rsidRDefault="0075100B">
      <w:pPr>
        <w:spacing w:after="140" w:line="276" w:lineRule="auto"/>
        <w:jc w:val="both"/>
      </w:pPr>
      <w:r>
        <w:rPr>
          <w:sz w:val="21"/>
          <w:szCs w:val="21"/>
        </w:rPr>
        <w:t>Objective: Support the LACC's Verification Unit in cross-referencing asset declarations with bank and property records. Tasks include:</w:t>
      </w:r>
    </w:p>
    <w:p w:rsidR="007D180D" w:rsidRDefault="0075100B">
      <w:pPr>
        <w:pStyle w:val="Paragraphedeliste"/>
        <w:numPr>
          <w:ilvl w:val="0"/>
          <w:numId w:val="3"/>
        </w:numPr>
        <w:spacing w:after="60" w:line="270" w:lineRule="auto"/>
        <w:jc w:val="both"/>
      </w:pPr>
      <w:r>
        <w:rPr>
          <w:sz w:val="21"/>
          <w:szCs w:val="21"/>
        </w:rPr>
        <w:t>Assess the Verification Unit's current processes, staffing, tools and access to external data sources, and ident</w:t>
      </w:r>
      <w:r>
        <w:rPr>
          <w:sz w:val="21"/>
          <w:szCs w:val="21"/>
        </w:rPr>
        <w:t>ify practical constraints to effective verification.</w:t>
      </w:r>
    </w:p>
    <w:p w:rsidR="007D180D" w:rsidRDefault="0075100B">
      <w:pPr>
        <w:pStyle w:val="Paragraphedeliste"/>
        <w:numPr>
          <w:ilvl w:val="0"/>
          <w:numId w:val="3"/>
        </w:numPr>
        <w:spacing w:after="60" w:line="270" w:lineRule="auto"/>
        <w:jc w:val="both"/>
      </w:pPr>
      <w:r>
        <w:rPr>
          <w:sz w:val="21"/>
          <w:szCs w:val="21"/>
        </w:rPr>
        <w:t>Develop or strengthen a verification methodology and SOPs for cross-referencing declared assets against bank records and property records, including data-matching techniques and red-flag indicators of di</w:t>
      </w:r>
      <w:r>
        <w:rPr>
          <w:sz w:val="21"/>
          <w:szCs w:val="21"/>
        </w:rPr>
        <w:t>screpancy between declared and actual holdings.</w:t>
      </w:r>
    </w:p>
    <w:p w:rsidR="007D180D" w:rsidRDefault="0075100B">
      <w:pPr>
        <w:pStyle w:val="Paragraphedeliste"/>
        <w:numPr>
          <w:ilvl w:val="0"/>
          <w:numId w:val="3"/>
        </w:numPr>
        <w:spacing w:after="60" w:line="270" w:lineRule="auto"/>
        <w:jc w:val="both"/>
      </w:pPr>
      <w:r>
        <w:rPr>
          <w:sz w:val="21"/>
          <w:szCs w:val="21"/>
        </w:rPr>
        <w:t>Support the LACC in establishing or strengthening data-sharing arrangements (e.g., through the Central Bank of Liberia for bank records, and the relevant land/property registry) needed to enable systematic ve</w:t>
      </w:r>
      <w:r>
        <w:rPr>
          <w:sz w:val="21"/>
          <w:szCs w:val="21"/>
        </w:rPr>
        <w:t>rification, including template information-sharing protocols or memoranda of understanding.</w:t>
      </w:r>
    </w:p>
    <w:p w:rsidR="007D180D" w:rsidRDefault="0075100B">
      <w:pPr>
        <w:pStyle w:val="Paragraphedeliste"/>
        <w:numPr>
          <w:ilvl w:val="0"/>
          <w:numId w:val="3"/>
        </w:numPr>
        <w:spacing w:after="60" w:line="270" w:lineRule="auto"/>
        <w:jc w:val="both"/>
      </w:pPr>
      <w:r>
        <w:rPr>
          <w:sz w:val="21"/>
          <w:szCs w:val="21"/>
        </w:rPr>
        <w:t>Train Verification Unit staff in the verification methodology, any associated tools, and the process for escalating confirmed discrepancies to the investigation fun</w:t>
      </w:r>
      <w:r>
        <w:rPr>
          <w:sz w:val="21"/>
          <w:szCs w:val="21"/>
        </w:rPr>
        <w:t>ction under Component 2.</w:t>
      </w:r>
    </w:p>
    <w:p w:rsidR="007D180D" w:rsidRDefault="0075100B">
      <w:pPr>
        <w:pStyle w:val="Paragraphedeliste"/>
        <w:numPr>
          <w:ilvl w:val="0"/>
          <w:numId w:val="3"/>
        </w:numPr>
        <w:spacing w:after="60" w:line="270" w:lineRule="auto"/>
        <w:jc w:val="both"/>
      </w:pPr>
      <w:r>
        <w:rPr>
          <w:sz w:val="21"/>
          <w:szCs w:val="21"/>
        </w:rPr>
        <w:t>Support a pilot verification exercise on a sample of declarations – prioritizing exit declarations – to test and refine the methodology under real conditions.</w:t>
      </w:r>
    </w:p>
    <w:p w:rsidR="007D180D" w:rsidRDefault="0075100B">
      <w:pPr>
        <w:pStyle w:val="Titre2"/>
        <w:spacing w:before="220" w:after="100"/>
      </w:pPr>
      <w:r>
        <w:rPr>
          <w:b/>
          <w:bCs/>
          <w:color w:val="2E5395"/>
          <w:sz w:val="22"/>
          <w:szCs w:val="22"/>
        </w:rPr>
        <w:t>Part 4: Support to the Natural Resources Team</w:t>
      </w:r>
    </w:p>
    <w:p w:rsidR="007D180D" w:rsidRDefault="0075100B">
      <w:pPr>
        <w:spacing w:after="140" w:line="276" w:lineRule="auto"/>
        <w:jc w:val="both"/>
      </w:pPr>
      <w:r>
        <w:rPr>
          <w:sz w:val="21"/>
          <w:szCs w:val="21"/>
        </w:rPr>
        <w:t xml:space="preserve">Objective: Strengthen the </w:t>
      </w:r>
      <w:r>
        <w:rPr>
          <w:sz w:val="21"/>
          <w:szCs w:val="21"/>
        </w:rPr>
        <w:t>capacity of the LACC's natural resources team to identify and address corruption risks in the management of Liberia's natural resources. Tasks include (final scope to be confirmed with the LACC at inception, given Liberia's extractive-dependent economy and</w:t>
      </w:r>
      <w:r>
        <w:rPr>
          <w:sz w:val="21"/>
          <w:szCs w:val="21"/>
        </w:rPr>
        <w:t xml:space="preserve"> overlapping mandates with sector regulators):</w:t>
      </w:r>
    </w:p>
    <w:p w:rsidR="007D180D" w:rsidRDefault="0075100B">
      <w:pPr>
        <w:pStyle w:val="Paragraphedeliste"/>
        <w:numPr>
          <w:ilvl w:val="0"/>
          <w:numId w:val="3"/>
        </w:numPr>
        <w:spacing w:after="60" w:line="270" w:lineRule="auto"/>
        <w:jc w:val="both"/>
      </w:pPr>
      <w:r>
        <w:rPr>
          <w:sz w:val="21"/>
          <w:szCs w:val="21"/>
        </w:rPr>
        <w:t>Assess the current mandate, workflow and capacity of the LACC's natural resources team, and its working relationships with relevant sector institutions (e.g., Ministry of Mines and Energy, Forestry Development</w:t>
      </w:r>
      <w:r>
        <w:rPr>
          <w:sz w:val="21"/>
          <w:szCs w:val="21"/>
        </w:rPr>
        <w:t xml:space="preserve"> Authority, Liberia Extractive Industries Transparency Initiative).</w:t>
      </w:r>
    </w:p>
    <w:p w:rsidR="007D180D" w:rsidRDefault="0075100B">
      <w:pPr>
        <w:pStyle w:val="Paragraphedeliste"/>
        <w:numPr>
          <w:ilvl w:val="0"/>
          <w:numId w:val="3"/>
        </w:numPr>
        <w:spacing w:after="60" w:line="270" w:lineRule="auto"/>
        <w:jc w:val="both"/>
      </w:pPr>
      <w:r>
        <w:rPr>
          <w:sz w:val="21"/>
          <w:szCs w:val="21"/>
        </w:rPr>
        <w:t>Develop practical tools and checklists for reviewing mining, forestry and other natural resource concession agreements and licensing processes for corruption risk indicators, building on t</w:t>
      </w:r>
      <w:r>
        <w:rPr>
          <w:sz w:val="21"/>
          <w:szCs w:val="21"/>
        </w:rPr>
        <w:t>he concession-review techniques used elsewhere in the audit and oversight system.</w:t>
      </w:r>
    </w:p>
    <w:p w:rsidR="007D180D" w:rsidRDefault="0075100B">
      <w:pPr>
        <w:pStyle w:val="Paragraphedeliste"/>
        <w:numPr>
          <w:ilvl w:val="0"/>
          <w:numId w:val="3"/>
        </w:numPr>
        <w:spacing w:after="60" w:line="270" w:lineRule="auto"/>
        <w:jc w:val="both"/>
      </w:pPr>
      <w:r>
        <w:rPr>
          <w:sz w:val="21"/>
          <w:szCs w:val="21"/>
        </w:rPr>
        <w:t xml:space="preserve">Provide coaching support to the natural resources team on applying these tools to actual concessions or licensing files, and on investigating suspected corruption in natural </w:t>
      </w:r>
      <w:r>
        <w:rPr>
          <w:sz w:val="21"/>
          <w:szCs w:val="21"/>
        </w:rPr>
        <w:t>resource management (e.g., irregular license allocation, revenue leakage, illegal logging or mining).</w:t>
      </w:r>
    </w:p>
    <w:p w:rsidR="007D180D" w:rsidRDefault="0075100B">
      <w:pPr>
        <w:pStyle w:val="Paragraphedeliste"/>
        <w:numPr>
          <w:ilvl w:val="0"/>
          <w:numId w:val="3"/>
        </w:numPr>
        <w:spacing w:after="60" w:line="270" w:lineRule="auto"/>
        <w:jc w:val="both"/>
      </w:pPr>
      <w:r>
        <w:rPr>
          <w:sz w:val="21"/>
          <w:szCs w:val="21"/>
        </w:rPr>
        <w:t>Support structured information-sharing arrangements between the natural resources team and relevant sector institutions and, where relevant, the Verification Unit and investigation function under Components 2–3.</w:t>
      </w:r>
    </w:p>
    <w:p w:rsidR="007D180D" w:rsidRDefault="0075100B">
      <w:pPr>
        <w:pStyle w:val="Paragraphedeliste"/>
        <w:numPr>
          <w:ilvl w:val="0"/>
          <w:numId w:val="3"/>
        </w:numPr>
        <w:spacing w:after="60" w:line="270" w:lineRule="auto"/>
        <w:jc w:val="both"/>
      </w:pPr>
      <w:r>
        <w:rPr>
          <w:sz w:val="21"/>
          <w:szCs w:val="21"/>
        </w:rPr>
        <w:t>Deliver targeted training for the natural re</w:t>
      </w:r>
      <w:r>
        <w:rPr>
          <w:sz w:val="21"/>
          <w:szCs w:val="21"/>
        </w:rPr>
        <w:t>sources team on natural resource governance and anti-corruption principles specific to the extractives sector.</w:t>
      </w:r>
    </w:p>
    <w:p w:rsidR="007D180D" w:rsidRDefault="0075100B">
      <w:pPr>
        <w:pStyle w:val="Titre1"/>
        <w:pBdr>
          <w:bottom w:val="single" w:sz="6" w:space="4" w:color="1F3864"/>
        </w:pBdr>
        <w:spacing w:before="320" w:after="160"/>
      </w:pPr>
      <w:r>
        <w:rPr>
          <w:b/>
          <w:bCs/>
          <w:color w:val="1F3864"/>
          <w:sz w:val="26"/>
          <w:szCs w:val="26"/>
        </w:rPr>
        <w:t>6. Approach and Methodology</w:t>
      </w:r>
    </w:p>
    <w:p w:rsidR="007D180D" w:rsidRDefault="0075100B">
      <w:pPr>
        <w:spacing w:after="140" w:line="276" w:lineRule="auto"/>
        <w:jc w:val="both"/>
      </w:pPr>
      <w:r>
        <w:rPr>
          <w:sz w:val="21"/>
          <w:szCs w:val="21"/>
        </w:rPr>
        <w:t>The consultant is expected to propose a detailed methodology in its technical proposal, but the approach should, at m</w:t>
      </w:r>
      <w:r>
        <w:rPr>
          <w:sz w:val="21"/>
          <w:szCs w:val="21"/>
        </w:rPr>
        <w:t>inimum:</w:t>
      </w:r>
    </w:p>
    <w:p w:rsidR="007D180D" w:rsidRDefault="0075100B">
      <w:pPr>
        <w:pStyle w:val="Paragraphedeliste"/>
        <w:numPr>
          <w:ilvl w:val="0"/>
          <w:numId w:val="3"/>
        </w:numPr>
        <w:spacing w:after="60" w:line="270" w:lineRule="auto"/>
      </w:pPr>
      <w:r>
        <w:rPr>
          <w:sz w:val="21"/>
          <w:szCs w:val="21"/>
        </w:rPr>
        <w:t>Be diagnostic-led, beginning with a review of the existing legal framework, procedures and institutional capacity in each component area before drafting instruments or designing training.</w:t>
      </w:r>
    </w:p>
    <w:p w:rsidR="007D180D" w:rsidRDefault="0075100B">
      <w:pPr>
        <w:pStyle w:val="Paragraphedeliste"/>
        <w:numPr>
          <w:ilvl w:val="0"/>
          <w:numId w:val="3"/>
        </w:numPr>
        <w:spacing w:after="60" w:line="270" w:lineRule="auto"/>
      </w:pPr>
      <w:r>
        <w:rPr>
          <w:sz w:val="21"/>
          <w:szCs w:val="21"/>
        </w:rPr>
        <w:t>Combine legal/policy drafting with practical, coaching-based</w:t>
      </w:r>
      <w:r>
        <w:rPr>
          <w:sz w:val="21"/>
          <w:szCs w:val="21"/>
        </w:rPr>
        <w:t xml:space="preserve"> capacity building – working alongside LACC staff on real or recent cases and files rather than classroom-only delivery.</w:t>
      </w:r>
    </w:p>
    <w:p w:rsidR="007D180D" w:rsidRDefault="0075100B">
      <w:pPr>
        <w:pStyle w:val="Paragraphedeliste"/>
        <w:numPr>
          <w:ilvl w:val="0"/>
          <w:numId w:val="3"/>
        </w:numPr>
        <w:spacing w:after="60" w:line="270" w:lineRule="auto"/>
      </w:pPr>
      <w:r>
        <w:rPr>
          <w:sz w:val="21"/>
          <w:szCs w:val="21"/>
        </w:rPr>
        <w:t>Treat the four components as mutually reinforcing: The Sanctions Framework (Component 1) depends on investigation capacity (Component 2</w:t>
      </w:r>
      <w:r>
        <w:rPr>
          <w:sz w:val="21"/>
          <w:szCs w:val="21"/>
        </w:rPr>
        <w:t>) and verification evidence (Component 3) to be enforceable, and natural resources corruption risks (Component 4) draw on the same investigative and verification skill sets.</w:t>
      </w:r>
    </w:p>
    <w:p w:rsidR="007D180D" w:rsidRDefault="0075100B">
      <w:pPr>
        <w:pStyle w:val="Paragraphedeliste"/>
        <w:numPr>
          <w:ilvl w:val="0"/>
          <w:numId w:val="3"/>
        </w:numPr>
        <w:spacing w:after="60" w:line="270" w:lineRule="auto"/>
      </w:pPr>
      <w:r>
        <w:rPr>
          <w:sz w:val="21"/>
          <w:szCs w:val="21"/>
        </w:rPr>
        <w:t xml:space="preserve">Build in validation steps with LACC leadership and relevant external stakeholders </w:t>
      </w:r>
      <w:r>
        <w:rPr>
          <w:sz w:val="21"/>
          <w:szCs w:val="21"/>
        </w:rPr>
        <w:t>(Ministry of Justice, Civil Service Agency, Central Bank of Liberia, sector regulators) at key milestones, particularly before finalizing the Sanctions Framework.</w:t>
      </w:r>
    </w:p>
    <w:p w:rsidR="007D180D" w:rsidRDefault="0075100B">
      <w:pPr>
        <w:pStyle w:val="Paragraphedeliste"/>
        <w:numPr>
          <w:ilvl w:val="0"/>
          <w:numId w:val="3"/>
        </w:numPr>
        <w:spacing w:after="60" w:line="270" w:lineRule="auto"/>
      </w:pPr>
      <w:r>
        <w:rPr>
          <w:sz w:val="21"/>
          <w:szCs w:val="21"/>
        </w:rPr>
        <w:t>Plan explicitly for institutional sustainability: guidelines, SOPs, templates and a facilitat</w:t>
      </w:r>
      <w:r>
        <w:rPr>
          <w:sz w:val="21"/>
          <w:szCs w:val="21"/>
        </w:rPr>
        <w:t>or/handover pack that LACC units can own and apply after the assignment ends.</w:t>
      </w:r>
    </w:p>
    <w:p w:rsidR="007D180D" w:rsidRDefault="0075100B">
      <w:pPr>
        <w:pStyle w:val="Titre1"/>
        <w:pBdr>
          <w:bottom w:val="single" w:sz="6" w:space="4" w:color="1F3864"/>
        </w:pBdr>
        <w:spacing w:before="320" w:after="160"/>
      </w:pPr>
      <w:r>
        <w:rPr>
          <w:b/>
          <w:bCs/>
          <w:color w:val="1F3864"/>
          <w:sz w:val="26"/>
          <w:szCs w:val="26"/>
        </w:rPr>
        <w:t>7. Deliverables and Indicative Timeline</w:t>
      </w:r>
    </w:p>
    <w:p w:rsidR="007D180D" w:rsidRDefault="0075100B">
      <w:pPr>
        <w:spacing w:after="140" w:line="276" w:lineRule="auto"/>
        <w:jc w:val="both"/>
      </w:pPr>
      <w:r>
        <w:rPr>
          <w:sz w:val="21"/>
          <w:szCs w:val="21"/>
        </w:rPr>
        <w:t>The following deliverables are indicative and should be refined and agreed with Expertise France at inception. All deliverables are subjec</w:t>
      </w:r>
      <w:r>
        <w:rPr>
          <w:sz w:val="21"/>
          <w:szCs w:val="21"/>
        </w:rPr>
        <w:t>t to review and written approval by the Expertise France before associated payments are released.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5000"/>
        <w:gridCol w:w="1900"/>
        <w:gridCol w:w="1900"/>
      </w:tblGrid>
      <w:tr w:rsidR="007D180D">
        <w:tc>
          <w:tcPr>
            <w:tcW w:w="560" w:type="dxa"/>
            <w:shd w:val="clear" w:color="auto" w:fill="1F3864"/>
            <w:tcMar>
              <w:top w:w="80" w:type="dxa"/>
              <w:left w:w="100" w:type="dxa"/>
              <w:bottom w:w="80" w:type="dxa"/>
              <w:right w:w="100" w:type="dxa"/>
            </w:tcMar>
            <w:vAlign w:val="center"/>
          </w:tcPr>
          <w:p w:rsidR="007D180D" w:rsidRDefault="0075100B">
            <w:pPr>
              <w:jc w:val="center"/>
            </w:pPr>
            <w:r>
              <w:rPr>
                <w:b/>
                <w:bCs/>
                <w:color w:val="FFFFFF"/>
              </w:rPr>
              <w:t>#</w:t>
            </w:r>
          </w:p>
        </w:tc>
        <w:tc>
          <w:tcPr>
            <w:tcW w:w="5000" w:type="dxa"/>
            <w:shd w:val="clear" w:color="auto" w:fill="1F3864"/>
            <w:tcMar>
              <w:top w:w="80" w:type="dxa"/>
              <w:left w:w="100" w:type="dxa"/>
              <w:bottom w:w="80" w:type="dxa"/>
              <w:right w:w="100" w:type="dxa"/>
            </w:tcMar>
            <w:vAlign w:val="center"/>
          </w:tcPr>
          <w:p w:rsidR="007D180D" w:rsidRDefault="0075100B">
            <w:r>
              <w:rPr>
                <w:b/>
                <w:bCs/>
                <w:color w:val="FFFFFF"/>
              </w:rPr>
              <w:t>Deliverable</w:t>
            </w:r>
          </w:p>
        </w:tc>
        <w:tc>
          <w:tcPr>
            <w:tcW w:w="1900" w:type="dxa"/>
            <w:shd w:val="clear" w:color="auto" w:fill="1F3864"/>
            <w:tcMar>
              <w:top w:w="80" w:type="dxa"/>
              <w:left w:w="100" w:type="dxa"/>
              <w:bottom w:w="80" w:type="dxa"/>
              <w:right w:w="100" w:type="dxa"/>
            </w:tcMar>
            <w:vAlign w:val="center"/>
          </w:tcPr>
          <w:p w:rsidR="007D180D" w:rsidRDefault="0075100B">
            <w:r>
              <w:rPr>
                <w:b/>
                <w:bCs/>
                <w:color w:val="FFFFFF"/>
              </w:rPr>
              <w:t>Resources</w:t>
            </w:r>
          </w:p>
        </w:tc>
        <w:tc>
          <w:tcPr>
            <w:tcW w:w="1900" w:type="dxa"/>
            <w:shd w:val="clear" w:color="auto" w:fill="1F3864"/>
            <w:tcMar>
              <w:top w:w="80" w:type="dxa"/>
              <w:left w:w="100" w:type="dxa"/>
              <w:bottom w:w="80" w:type="dxa"/>
              <w:right w:w="100" w:type="dxa"/>
            </w:tcMar>
            <w:vAlign w:val="center"/>
          </w:tcPr>
          <w:p w:rsidR="007D180D" w:rsidRDefault="0075100B">
            <w:r>
              <w:rPr>
                <w:b/>
                <w:bCs/>
                <w:color w:val="FFFFFF"/>
              </w:rPr>
              <w:t>Timelines</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1</w:t>
            </w:r>
          </w:p>
        </w:tc>
        <w:tc>
          <w:tcPr>
            <w:tcW w:w="5000" w:type="dxa"/>
            <w:tcMar>
              <w:top w:w="80" w:type="dxa"/>
              <w:left w:w="100" w:type="dxa"/>
              <w:bottom w:w="80" w:type="dxa"/>
              <w:right w:w="100" w:type="dxa"/>
            </w:tcMar>
            <w:vAlign w:val="center"/>
          </w:tcPr>
          <w:p w:rsidR="007D180D" w:rsidRDefault="0075100B">
            <w:r>
              <w:rPr>
                <w:color w:val="000000"/>
              </w:rPr>
              <w:t>Inception report: understanding of assignment, review approach for each component, stakeholder consultation plan and detailed work plan</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31 March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2</w:t>
            </w:r>
          </w:p>
        </w:tc>
        <w:tc>
          <w:tcPr>
            <w:tcW w:w="5000" w:type="dxa"/>
            <w:tcMar>
              <w:top w:w="80" w:type="dxa"/>
              <w:left w:w="100" w:type="dxa"/>
              <w:bottom w:w="80" w:type="dxa"/>
              <w:right w:w="100" w:type="dxa"/>
            </w:tcMar>
            <w:vAlign w:val="center"/>
          </w:tcPr>
          <w:p w:rsidR="007D180D" w:rsidRDefault="0075100B">
            <w:r>
              <w:rPr>
                <w:color w:val="000000"/>
              </w:rPr>
              <w:t>Legal/comparative review report and draft Sanctions Framework (policy paper and draft legal instrument)</w:t>
            </w:r>
          </w:p>
        </w:tc>
        <w:tc>
          <w:tcPr>
            <w:tcW w:w="1900" w:type="dxa"/>
            <w:tcMar>
              <w:top w:w="80" w:type="dxa"/>
              <w:left w:w="100" w:type="dxa"/>
              <w:bottom w:w="80" w:type="dxa"/>
              <w:right w:w="100" w:type="dxa"/>
            </w:tcMar>
            <w:vAlign w:val="center"/>
          </w:tcPr>
          <w:p w:rsidR="007D180D" w:rsidRDefault="0075100B">
            <w:r>
              <w:rPr>
                <w:color w:val="000000"/>
              </w:rPr>
              <w:t>8 days</w:t>
            </w:r>
          </w:p>
        </w:tc>
        <w:tc>
          <w:tcPr>
            <w:tcW w:w="1900" w:type="dxa"/>
            <w:tcMar>
              <w:top w:w="80" w:type="dxa"/>
              <w:left w:w="100" w:type="dxa"/>
              <w:bottom w:w="80" w:type="dxa"/>
              <w:right w:w="100" w:type="dxa"/>
            </w:tcMar>
            <w:vAlign w:val="center"/>
          </w:tcPr>
          <w:p w:rsidR="007D180D" w:rsidRDefault="0075100B">
            <w:r>
              <w:t>31 March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3</w:t>
            </w:r>
          </w:p>
        </w:tc>
        <w:tc>
          <w:tcPr>
            <w:tcW w:w="5000" w:type="dxa"/>
            <w:tcMar>
              <w:top w:w="80" w:type="dxa"/>
              <w:left w:w="100" w:type="dxa"/>
              <w:bottom w:w="80" w:type="dxa"/>
              <w:right w:w="100" w:type="dxa"/>
            </w:tcMar>
            <w:vAlign w:val="center"/>
          </w:tcPr>
          <w:p w:rsidR="007D180D" w:rsidRDefault="0075100B">
            <w:r>
              <w:rPr>
                <w:color w:val="000000"/>
              </w:rPr>
              <w:t>Validation consultations completed; final Sanctions Framework, implementation plan and communication materials</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 xml:space="preserve">31  March </w:t>
            </w:r>
            <w:r>
              <w:t>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4</w:t>
            </w:r>
          </w:p>
        </w:tc>
        <w:tc>
          <w:tcPr>
            <w:tcW w:w="5000" w:type="dxa"/>
            <w:tcMar>
              <w:top w:w="80" w:type="dxa"/>
              <w:left w:w="100" w:type="dxa"/>
              <w:bottom w:w="80" w:type="dxa"/>
              <w:right w:w="100" w:type="dxa"/>
            </w:tcMar>
            <w:vAlign w:val="center"/>
          </w:tcPr>
          <w:p w:rsidR="007D180D" w:rsidRDefault="0075100B">
            <w:r>
              <w:rPr>
                <w:color w:val="000000"/>
              </w:rPr>
              <w:t>Case-selection guidelines and investigation/prosecution SOPs</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30 June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5</w:t>
            </w:r>
          </w:p>
        </w:tc>
        <w:tc>
          <w:tcPr>
            <w:tcW w:w="5000" w:type="dxa"/>
            <w:tcMar>
              <w:top w:w="80" w:type="dxa"/>
              <w:left w:w="100" w:type="dxa"/>
              <w:bottom w:w="80" w:type="dxa"/>
              <w:right w:w="100" w:type="dxa"/>
            </w:tcMar>
            <w:vAlign w:val="center"/>
          </w:tcPr>
          <w:p w:rsidR="007D180D" w:rsidRDefault="0075100B">
            <w:r>
              <w:rPr>
                <w:color w:val="000000"/>
              </w:rPr>
              <w:t>Coaching delivered on live/recent case files; training delivered on procurement fraud and tax crime investigation, and on ethics and anti-corruption administration</w:t>
            </w:r>
          </w:p>
        </w:tc>
        <w:tc>
          <w:tcPr>
            <w:tcW w:w="1900" w:type="dxa"/>
            <w:tcMar>
              <w:top w:w="80" w:type="dxa"/>
              <w:left w:w="100" w:type="dxa"/>
              <w:bottom w:w="80" w:type="dxa"/>
              <w:right w:w="100" w:type="dxa"/>
            </w:tcMar>
            <w:vAlign w:val="center"/>
          </w:tcPr>
          <w:p w:rsidR="007D180D" w:rsidRDefault="0075100B">
            <w:r>
              <w:rPr>
                <w:color w:val="000000"/>
              </w:rPr>
              <w:t xml:space="preserve"> 7 days</w:t>
            </w:r>
          </w:p>
        </w:tc>
        <w:tc>
          <w:tcPr>
            <w:tcW w:w="1900" w:type="dxa"/>
            <w:tcMar>
              <w:top w:w="80" w:type="dxa"/>
              <w:left w:w="100" w:type="dxa"/>
              <w:bottom w:w="80" w:type="dxa"/>
              <w:right w:w="100" w:type="dxa"/>
            </w:tcMar>
            <w:vAlign w:val="center"/>
          </w:tcPr>
          <w:p w:rsidR="007D180D" w:rsidRDefault="0075100B">
            <w:r>
              <w:t>30 June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6</w:t>
            </w:r>
          </w:p>
        </w:tc>
        <w:tc>
          <w:tcPr>
            <w:tcW w:w="5000" w:type="dxa"/>
            <w:tcMar>
              <w:top w:w="80" w:type="dxa"/>
              <w:left w:w="100" w:type="dxa"/>
              <w:bottom w:w="80" w:type="dxa"/>
              <w:right w:w="100" w:type="dxa"/>
            </w:tcMar>
            <w:vAlign w:val="center"/>
          </w:tcPr>
          <w:p w:rsidR="007D180D" w:rsidRDefault="0075100B">
            <w:r>
              <w:rPr>
                <w:color w:val="000000"/>
              </w:rPr>
              <w:t>Verification Unit assessment; verification methodology, SOPs and data-sharing arrangements</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30 Sept.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7</w:t>
            </w:r>
          </w:p>
        </w:tc>
        <w:tc>
          <w:tcPr>
            <w:tcW w:w="5000" w:type="dxa"/>
            <w:tcMar>
              <w:top w:w="80" w:type="dxa"/>
              <w:left w:w="100" w:type="dxa"/>
              <w:bottom w:w="80" w:type="dxa"/>
              <w:right w:w="100" w:type="dxa"/>
            </w:tcMar>
            <w:vAlign w:val="center"/>
          </w:tcPr>
          <w:p w:rsidR="007D180D" w:rsidRDefault="0075100B">
            <w:r>
              <w:rPr>
                <w:color w:val="000000"/>
              </w:rPr>
              <w:t>Verification Unit staff trained; pilot verification exercise completed on a sample of declarations</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30 Sept. 20</w:t>
            </w:r>
            <w:r>
              <w:t>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8</w:t>
            </w:r>
          </w:p>
        </w:tc>
        <w:tc>
          <w:tcPr>
            <w:tcW w:w="5000" w:type="dxa"/>
            <w:tcMar>
              <w:top w:w="80" w:type="dxa"/>
              <w:left w:w="100" w:type="dxa"/>
              <w:bottom w:w="80" w:type="dxa"/>
              <w:right w:w="100" w:type="dxa"/>
            </w:tcMar>
            <w:vAlign w:val="center"/>
          </w:tcPr>
          <w:p w:rsidR="007D180D" w:rsidRDefault="0075100B">
            <w:r>
              <w:rPr>
                <w:color w:val="000000"/>
              </w:rPr>
              <w:t>Natural resources team capacity assessment; concession/licensing review tools and checklists</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30 Nov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9</w:t>
            </w:r>
          </w:p>
        </w:tc>
        <w:tc>
          <w:tcPr>
            <w:tcW w:w="5000" w:type="dxa"/>
            <w:tcMar>
              <w:top w:w="80" w:type="dxa"/>
              <w:left w:w="100" w:type="dxa"/>
              <w:bottom w:w="80" w:type="dxa"/>
              <w:right w:w="100" w:type="dxa"/>
            </w:tcMar>
            <w:vAlign w:val="center"/>
          </w:tcPr>
          <w:p w:rsidR="007D180D" w:rsidRDefault="0075100B">
            <w:r>
              <w:rPr>
                <w:color w:val="000000"/>
              </w:rPr>
              <w:t>Coaching and training delivered to the natural resources team, including application of tools to actual files</w:t>
            </w:r>
          </w:p>
        </w:tc>
        <w:tc>
          <w:tcPr>
            <w:tcW w:w="1900" w:type="dxa"/>
            <w:tcMar>
              <w:top w:w="80" w:type="dxa"/>
              <w:left w:w="100" w:type="dxa"/>
              <w:bottom w:w="80" w:type="dxa"/>
              <w:right w:w="100" w:type="dxa"/>
            </w:tcMar>
            <w:vAlign w:val="center"/>
          </w:tcPr>
          <w:p w:rsidR="007D180D" w:rsidRDefault="0075100B">
            <w:r>
              <w:rPr>
                <w:color w:val="000000"/>
              </w:rPr>
              <w:t>5 days</w:t>
            </w:r>
          </w:p>
        </w:tc>
        <w:tc>
          <w:tcPr>
            <w:tcW w:w="1900" w:type="dxa"/>
            <w:tcMar>
              <w:top w:w="80" w:type="dxa"/>
              <w:left w:w="100" w:type="dxa"/>
              <w:bottom w:w="80" w:type="dxa"/>
              <w:right w:w="100" w:type="dxa"/>
            </w:tcMar>
            <w:vAlign w:val="center"/>
          </w:tcPr>
          <w:p w:rsidR="007D180D" w:rsidRDefault="0075100B">
            <w:r>
              <w:t>30 of Nov 2027</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pPr>
            <w:r>
              <w:rPr>
                <w:color w:val="000000"/>
              </w:rPr>
              <w:t>10</w:t>
            </w:r>
          </w:p>
        </w:tc>
        <w:tc>
          <w:tcPr>
            <w:tcW w:w="5000" w:type="dxa"/>
            <w:tcMar>
              <w:top w:w="80" w:type="dxa"/>
              <w:left w:w="100" w:type="dxa"/>
              <w:bottom w:w="80" w:type="dxa"/>
              <w:right w:w="100" w:type="dxa"/>
            </w:tcMar>
            <w:vAlign w:val="center"/>
          </w:tcPr>
          <w:p w:rsidR="007D180D" w:rsidRDefault="0075100B">
            <w:r>
              <w:rPr>
                <w:color w:val="000000"/>
              </w:rPr>
              <w:t>Final report: outcomes across all four components, finalized legal instrument, SOPs, tools and facilitator/handover materials, lessons learned and recommendations</w:t>
            </w:r>
          </w:p>
        </w:tc>
        <w:tc>
          <w:tcPr>
            <w:tcW w:w="1900" w:type="dxa"/>
            <w:tcMar>
              <w:top w:w="80" w:type="dxa"/>
              <w:left w:w="100" w:type="dxa"/>
              <w:bottom w:w="80" w:type="dxa"/>
              <w:right w:w="100" w:type="dxa"/>
            </w:tcMar>
            <w:vAlign w:val="center"/>
          </w:tcPr>
          <w:p w:rsidR="007D180D" w:rsidRDefault="0075100B">
            <w:r>
              <w:rPr>
                <w:color w:val="000000"/>
              </w:rPr>
              <w:t>10 days</w:t>
            </w:r>
          </w:p>
        </w:tc>
        <w:tc>
          <w:tcPr>
            <w:tcW w:w="1900" w:type="dxa"/>
            <w:tcMar>
              <w:top w:w="80" w:type="dxa"/>
              <w:left w:w="100" w:type="dxa"/>
              <w:bottom w:w="80" w:type="dxa"/>
              <w:right w:w="100" w:type="dxa"/>
            </w:tcMar>
            <w:vAlign w:val="center"/>
          </w:tcPr>
          <w:p w:rsidR="007D180D" w:rsidRDefault="0075100B">
            <w:r>
              <w:t>31 Jan 2028</w:t>
            </w:r>
          </w:p>
        </w:tc>
      </w:tr>
      <w:tr w:rsidR="007D180D">
        <w:tc>
          <w:tcPr>
            <w:tcW w:w="560" w:type="dxa"/>
            <w:shd w:val="clear" w:color="auto" w:fill="DCE6F1"/>
            <w:tcMar>
              <w:top w:w="80" w:type="dxa"/>
              <w:left w:w="100" w:type="dxa"/>
              <w:bottom w:w="80" w:type="dxa"/>
              <w:right w:w="100" w:type="dxa"/>
            </w:tcMar>
            <w:vAlign w:val="center"/>
          </w:tcPr>
          <w:p w:rsidR="007D180D" w:rsidRDefault="0075100B">
            <w:pPr>
              <w:jc w:val="center"/>
              <w:rPr>
                <w:color w:val="000000"/>
              </w:rPr>
            </w:pPr>
            <w:r>
              <w:rPr>
                <w:color w:val="000000"/>
              </w:rPr>
              <w:t xml:space="preserve"> </w:t>
            </w:r>
          </w:p>
        </w:tc>
        <w:tc>
          <w:tcPr>
            <w:tcW w:w="5000" w:type="dxa"/>
            <w:tcMar>
              <w:top w:w="80" w:type="dxa"/>
              <w:left w:w="100" w:type="dxa"/>
              <w:bottom w:w="80" w:type="dxa"/>
              <w:right w:w="100" w:type="dxa"/>
            </w:tcMar>
            <w:vAlign w:val="center"/>
          </w:tcPr>
          <w:p w:rsidR="007D180D" w:rsidRDefault="0075100B">
            <w:pPr>
              <w:rPr>
                <w:color w:val="000000"/>
              </w:rPr>
            </w:pPr>
            <w:r>
              <w:rPr>
                <w:color w:val="000000"/>
              </w:rPr>
              <w:t>TOTAL</w:t>
            </w:r>
          </w:p>
        </w:tc>
        <w:tc>
          <w:tcPr>
            <w:tcW w:w="1900" w:type="dxa"/>
            <w:tcMar>
              <w:top w:w="80" w:type="dxa"/>
              <w:left w:w="100" w:type="dxa"/>
              <w:bottom w:w="80" w:type="dxa"/>
              <w:right w:w="100" w:type="dxa"/>
            </w:tcMar>
            <w:vAlign w:val="center"/>
          </w:tcPr>
          <w:p w:rsidR="007D180D" w:rsidRDefault="0075100B">
            <w:pPr>
              <w:rPr>
                <w:color w:val="000000"/>
              </w:rPr>
            </w:pPr>
            <w:r>
              <w:rPr>
                <w:color w:val="000000"/>
              </w:rPr>
              <w:t>60 days</w:t>
            </w:r>
          </w:p>
        </w:tc>
        <w:tc>
          <w:tcPr>
            <w:tcW w:w="1900" w:type="dxa"/>
            <w:tcMar>
              <w:top w:w="80" w:type="dxa"/>
              <w:left w:w="100" w:type="dxa"/>
              <w:bottom w:w="80" w:type="dxa"/>
              <w:right w:w="100" w:type="dxa"/>
            </w:tcMar>
            <w:vAlign w:val="center"/>
          </w:tcPr>
          <w:p w:rsidR="007D180D" w:rsidRDefault="007D180D">
            <w:pPr>
              <w:rPr>
                <w:color w:val="000000"/>
              </w:rPr>
            </w:pPr>
          </w:p>
        </w:tc>
      </w:tr>
    </w:tbl>
    <w:p w:rsidR="007D180D" w:rsidRDefault="007D180D">
      <w:pPr>
        <w:spacing w:after="200"/>
      </w:pPr>
    </w:p>
    <w:p w:rsidR="007D180D" w:rsidRDefault="0075100B">
      <w:pPr>
        <w:pStyle w:val="Titre1"/>
        <w:pBdr>
          <w:bottom w:val="single" w:sz="6" w:space="4" w:color="1F3864"/>
        </w:pBdr>
        <w:spacing w:before="320" w:after="160"/>
      </w:pPr>
      <w:r>
        <w:rPr>
          <w:b/>
          <w:bCs/>
          <w:color w:val="1F3864"/>
          <w:sz w:val="26"/>
          <w:szCs w:val="26"/>
        </w:rPr>
        <w:t>8. Consultant</w:t>
      </w:r>
      <w:bookmarkStart w:id="0" w:name="_GoBack"/>
      <w:bookmarkEnd w:id="0"/>
      <w:r>
        <w:rPr>
          <w:b/>
          <w:bCs/>
          <w:color w:val="1F3864"/>
          <w:sz w:val="26"/>
          <w:szCs w:val="26"/>
        </w:rPr>
        <w:t xml:space="preserve"> Qualifications and Experience</w:t>
      </w:r>
    </w:p>
    <w:p w:rsidR="007D180D" w:rsidRDefault="0075100B">
      <w:pPr>
        <w:spacing w:after="140" w:line="276" w:lineRule="auto"/>
        <w:jc w:val="both"/>
        <w:rPr>
          <w:sz w:val="21"/>
          <w:szCs w:val="21"/>
        </w:rPr>
      </w:pPr>
      <w:r>
        <w:rPr>
          <w:sz w:val="21"/>
          <w:szCs w:val="21"/>
        </w:rPr>
        <w:t>Given the breadth of legal, investigative and sector-specific expertise required, this assignment is expected to be delivered by a Consultant /team of consultants accountable to the Expertise France. The team should collectively demonstrate:</w:t>
      </w:r>
    </w:p>
    <w:p w:rsidR="007D180D" w:rsidRDefault="0075100B">
      <w:pPr>
        <w:spacing w:after="140" w:line="276" w:lineRule="auto"/>
        <w:jc w:val="both"/>
        <w:rPr>
          <w:color w:val="0070C0"/>
          <w:sz w:val="24"/>
          <w:szCs w:val="24"/>
        </w:rPr>
      </w:pPr>
      <w:r>
        <w:rPr>
          <w:color w:val="0070C0"/>
          <w:sz w:val="24"/>
          <w:szCs w:val="24"/>
        </w:rPr>
        <w:t>8.1 Profession</w:t>
      </w:r>
      <w:r>
        <w:rPr>
          <w:color w:val="0070C0"/>
          <w:sz w:val="24"/>
          <w:szCs w:val="24"/>
        </w:rPr>
        <w:t>al Experience:</w:t>
      </w:r>
    </w:p>
    <w:p w:rsidR="007D180D" w:rsidRDefault="0075100B">
      <w:pPr>
        <w:pStyle w:val="Paragraphedeliste"/>
        <w:numPr>
          <w:ilvl w:val="0"/>
          <w:numId w:val="3"/>
        </w:numPr>
        <w:spacing w:after="60" w:line="270" w:lineRule="auto"/>
      </w:pPr>
      <w:r>
        <w:rPr>
          <w:sz w:val="21"/>
          <w:szCs w:val="21"/>
        </w:rPr>
        <w:t>Advanced law degree; at least [8–10] years' experience in anti-corruption, public integrity or administrative law, including drafting sanctions regimes, codes of conduct or asset-declaration legislation/regulations; experience working with a</w:t>
      </w:r>
      <w:r>
        <w:rPr>
          <w:sz w:val="21"/>
          <w:szCs w:val="21"/>
        </w:rPr>
        <w:t>nti-corruption commissions or comparable oversight bodies.</w:t>
      </w:r>
    </w:p>
    <w:p w:rsidR="007D180D" w:rsidRDefault="0075100B">
      <w:pPr>
        <w:pStyle w:val="Paragraphedeliste"/>
        <w:numPr>
          <w:ilvl w:val="0"/>
          <w:numId w:val="3"/>
        </w:numPr>
        <w:spacing w:after="60" w:line="270" w:lineRule="auto"/>
      </w:pPr>
      <w:r>
        <w:rPr>
          <w:sz w:val="21"/>
          <w:szCs w:val="21"/>
        </w:rPr>
        <w:t>Substantial expe</w:t>
      </w:r>
      <w:r>
        <w:rPr>
          <w:sz w:val="21"/>
          <w:szCs w:val="21"/>
        </w:rPr>
        <w:t>rience investigating and/or prosecuting corruption, procurement fraud or financial crime, ideally including tax crime investigation; experience developing case-selection guidelines and investigative SOPs; experience coaching investigators on live casework.</w:t>
      </w:r>
    </w:p>
    <w:p w:rsidR="007D180D" w:rsidRDefault="0075100B">
      <w:pPr>
        <w:pStyle w:val="Paragraphedeliste"/>
        <w:numPr>
          <w:ilvl w:val="0"/>
          <w:numId w:val="3"/>
        </w:numPr>
        <w:spacing w:after="60" w:line="270" w:lineRule="auto"/>
      </w:pPr>
      <w:r>
        <w:rPr>
          <w:sz w:val="21"/>
          <w:szCs w:val="21"/>
        </w:rPr>
        <w:t>Experience in forensic accounting, asset tracing or financial investigation, including cross-referencing declared assets with bank and property records; familiarity with data-matching techniques and red-flag analysis for unexplained wealth.</w:t>
      </w:r>
    </w:p>
    <w:p w:rsidR="007D180D" w:rsidRDefault="0075100B">
      <w:pPr>
        <w:pStyle w:val="Paragraphedeliste"/>
        <w:numPr>
          <w:ilvl w:val="0"/>
          <w:numId w:val="3"/>
        </w:numPr>
        <w:spacing w:after="60" w:line="270" w:lineRule="auto"/>
      </w:pPr>
      <w:r>
        <w:rPr>
          <w:sz w:val="21"/>
          <w:szCs w:val="21"/>
        </w:rPr>
        <w:t>Experience add</w:t>
      </w:r>
      <w:r>
        <w:rPr>
          <w:sz w:val="21"/>
          <w:szCs w:val="21"/>
        </w:rPr>
        <w:t>ressing corruption risks in the extractives or natural resources sector (mining, forestry, concessions), ideally including exposure to EITI-type transparency mechanisms or concession-agreement review.</w:t>
      </w:r>
    </w:p>
    <w:p w:rsidR="007D180D" w:rsidRDefault="0075100B">
      <w:pPr>
        <w:pStyle w:val="Paragraphedeliste"/>
        <w:numPr>
          <w:ilvl w:val="0"/>
          <w:numId w:val="3"/>
        </w:numPr>
        <w:spacing w:after="60" w:line="270" w:lineRule="auto"/>
      </w:pPr>
      <w:r>
        <w:rPr>
          <w:sz w:val="21"/>
          <w:szCs w:val="21"/>
        </w:rPr>
        <w:t>The consultant should have prior experience working wit</w:t>
      </w:r>
      <w:r>
        <w:rPr>
          <w:sz w:val="21"/>
          <w:szCs w:val="21"/>
        </w:rPr>
        <w:t>h anti-corruption commissions or comparable integrity institutions in a similar context and must be free of any conflict of interest with individuals or entities that may be subject to investigation or verification under this assignment.</w:t>
      </w:r>
    </w:p>
    <w:p w:rsidR="007D180D" w:rsidRDefault="0075100B">
      <w:pPr>
        <w:pBdr>
          <w:bottom w:val="single" w:sz="6" w:space="4" w:color="1F3864"/>
        </w:pBdr>
        <w:spacing w:before="320" w:after="160" w:line="270" w:lineRule="auto"/>
        <w:ind w:left="-60"/>
        <w:rPr>
          <w:color w:val="0070C0"/>
          <w:sz w:val="24"/>
          <w:szCs w:val="24"/>
        </w:rPr>
      </w:pPr>
      <w:r>
        <w:rPr>
          <w:color w:val="0070C0"/>
          <w:sz w:val="24"/>
          <w:szCs w:val="24"/>
        </w:rPr>
        <w:t>8.2 Language</w:t>
      </w:r>
    </w:p>
    <w:p w:rsidR="007D180D" w:rsidRDefault="0075100B">
      <w:pPr>
        <w:pBdr>
          <w:bottom w:val="single" w:sz="6" w:space="3" w:color="1F3864"/>
        </w:pBdr>
        <w:spacing w:before="320" w:after="160" w:line="270" w:lineRule="auto"/>
        <w:ind w:left="-60"/>
        <w:rPr>
          <w:sz w:val="21"/>
          <w:szCs w:val="21"/>
        </w:rPr>
      </w:pPr>
      <w:r>
        <w:rPr>
          <w:sz w:val="21"/>
          <w:szCs w:val="21"/>
        </w:rPr>
        <w:t>Fluen</w:t>
      </w:r>
      <w:r>
        <w:rPr>
          <w:sz w:val="21"/>
          <w:szCs w:val="21"/>
        </w:rPr>
        <w:t>cy in English; knowledge of French is an asset</w:t>
      </w:r>
    </w:p>
    <w:p w:rsidR="007D180D" w:rsidRDefault="0075100B">
      <w:pPr>
        <w:pBdr>
          <w:bottom w:val="single" w:sz="6" w:space="3" w:color="1F3864"/>
        </w:pBdr>
        <w:spacing w:before="320" w:after="160" w:line="270" w:lineRule="auto"/>
        <w:ind w:left="-60"/>
        <w:rPr>
          <w:color w:val="0070C0"/>
          <w:sz w:val="24"/>
          <w:szCs w:val="24"/>
        </w:rPr>
      </w:pPr>
      <w:r>
        <w:rPr>
          <w:color w:val="0070C0"/>
          <w:sz w:val="24"/>
          <w:szCs w:val="24"/>
        </w:rPr>
        <w:t>8.3 Core Competencies</w:t>
      </w:r>
    </w:p>
    <w:p w:rsidR="007D180D" w:rsidRDefault="0075100B">
      <w:pPr>
        <w:pBdr>
          <w:bottom w:val="single" w:sz="6" w:space="3" w:color="1F3864"/>
        </w:pBdr>
        <w:spacing w:before="320" w:after="160" w:line="270" w:lineRule="auto"/>
        <w:ind w:left="-60"/>
        <w:rPr>
          <w:color w:val="0070C0"/>
          <w:sz w:val="24"/>
          <w:szCs w:val="24"/>
        </w:rPr>
      </w:pPr>
      <w:r>
        <w:rPr>
          <w:sz w:val="21"/>
          <w:szCs w:val="21"/>
        </w:rPr>
        <w:t>Strong analytical and facilitation skills, result orientation, team work, stakeholder engagement, adaptability and commitment to knowledge sharing. Excellent drafting and communication sk</w:t>
      </w:r>
      <w:r>
        <w:rPr>
          <w:sz w:val="21"/>
          <w:szCs w:val="21"/>
        </w:rPr>
        <w:t>ills in English.</w:t>
      </w:r>
    </w:p>
    <w:p w:rsidR="007D180D" w:rsidRDefault="0075100B">
      <w:pPr>
        <w:pBdr>
          <w:bottom w:val="single" w:sz="6" w:space="4" w:color="1F3864"/>
        </w:pBdr>
        <w:spacing w:before="320" w:after="160" w:line="270" w:lineRule="auto"/>
      </w:pPr>
      <w:r>
        <w:rPr>
          <w:b/>
          <w:bCs/>
          <w:color w:val="1F3864"/>
          <w:sz w:val="26"/>
          <w:szCs w:val="26"/>
        </w:rPr>
        <w:t>9. Duration and Level of Effort</w:t>
      </w:r>
    </w:p>
    <w:p w:rsidR="007D180D" w:rsidRDefault="0075100B">
      <w:pPr>
        <w:spacing w:after="140" w:line="276" w:lineRule="auto"/>
        <w:jc w:val="both"/>
      </w:pPr>
      <w:r>
        <w:rPr>
          <w:sz w:val="21"/>
          <w:szCs w:val="21"/>
        </w:rPr>
        <w:t>The assignment is expected to be delivered over a period of 36 months, on an intermittent basis for 32 days. The final schedule will be agreed with the LACC and Expertise France at inception, taking into acc</w:t>
      </w:r>
      <w:r>
        <w:rPr>
          <w:sz w:val="21"/>
          <w:szCs w:val="21"/>
        </w:rPr>
        <w:t>ount ongoing caseloads and the LACC's engagement calendar with the Legislature and other stakeholders.</w:t>
      </w:r>
    </w:p>
    <w:p w:rsidR="007D180D" w:rsidRDefault="0075100B">
      <w:pPr>
        <w:pStyle w:val="Titre1"/>
        <w:pBdr>
          <w:bottom w:val="single" w:sz="6" w:space="4" w:color="1F3864"/>
        </w:pBdr>
        <w:spacing w:before="320" w:after="160"/>
      </w:pPr>
      <w:r>
        <w:rPr>
          <w:b/>
          <w:bCs/>
          <w:color w:val="1F3864"/>
          <w:sz w:val="26"/>
          <w:szCs w:val="26"/>
        </w:rPr>
        <w:t>10. Institutional and Reporting Arrangements</w:t>
      </w:r>
    </w:p>
    <w:p w:rsidR="007D180D" w:rsidRDefault="0075100B">
      <w:pPr>
        <w:spacing w:after="140" w:line="276" w:lineRule="auto"/>
        <w:jc w:val="both"/>
      </w:pPr>
      <w:r>
        <w:rPr>
          <w:sz w:val="21"/>
          <w:szCs w:val="21"/>
        </w:rPr>
        <w:t>The consultant/s will work under the overall supervision of Expertise France and LACC, or a designated senio</w:t>
      </w:r>
      <w:r>
        <w:rPr>
          <w:sz w:val="21"/>
          <w:szCs w:val="21"/>
        </w:rPr>
        <w:t>r official, who will serve as the primary point of contact and be responsible for reviewing and approving deliverables. The LACC will designate technical focal points for each component (e.g., heads of the Legal, Investigations, Verification and Natural Re</w:t>
      </w:r>
      <w:r>
        <w:rPr>
          <w:sz w:val="21"/>
          <w:szCs w:val="21"/>
        </w:rPr>
        <w:t>sources units) to coordinate day-to-day engagement, including access to relevant files, data and stakeholders.</w:t>
      </w:r>
    </w:p>
    <w:p w:rsidR="007D180D" w:rsidRDefault="0075100B">
      <w:pPr>
        <w:spacing w:after="140" w:line="276" w:lineRule="auto"/>
        <w:jc w:val="both"/>
      </w:pPr>
      <w:r>
        <w:rPr>
          <w:sz w:val="21"/>
          <w:szCs w:val="21"/>
        </w:rPr>
        <w:t>The consultant/s will submit brief progress updates at agreed intervals in addition to the formal deliverables in Section 5, and will present key</w:t>
      </w:r>
      <w:r>
        <w:rPr>
          <w:sz w:val="21"/>
          <w:szCs w:val="21"/>
        </w:rPr>
        <w:t xml:space="preserve"> outputs – particularly the draft Sanctions Framework – to LACC leadership for validation before finalization.</w:t>
      </w:r>
    </w:p>
    <w:p w:rsidR="007D180D" w:rsidRDefault="0075100B">
      <w:pPr>
        <w:pStyle w:val="Titre1"/>
        <w:pBdr>
          <w:bottom w:val="single" w:sz="6" w:space="4" w:color="1F3864"/>
        </w:pBdr>
        <w:spacing w:before="320" w:after="160"/>
      </w:pPr>
      <w:r>
        <w:rPr>
          <w:b/>
          <w:bCs/>
          <w:color w:val="1F3864"/>
          <w:sz w:val="26"/>
          <w:szCs w:val="26"/>
        </w:rPr>
        <w:t>11. Obligations of the LACC</w:t>
      </w:r>
    </w:p>
    <w:p w:rsidR="007D180D" w:rsidRDefault="0075100B">
      <w:pPr>
        <w:spacing w:after="140" w:line="276" w:lineRule="auto"/>
        <w:jc w:val="both"/>
      </w:pPr>
      <w:r>
        <w:rPr>
          <w:sz w:val="21"/>
          <w:szCs w:val="21"/>
        </w:rPr>
        <w:t>To enable delivery of the assignment, the LACC will:</w:t>
      </w:r>
    </w:p>
    <w:p w:rsidR="007D180D" w:rsidRDefault="0075100B">
      <w:pPr>
        <w:pStyle w:val="Paragraphedeliste"/>
        <w:numPr>
          <w:ilvl w:val="0"/>
          <w:numId w:val="3"/>
        </w:numPr>
        <w:spacing w:after="60" w:line="270" w:lineRule="auto"/>
      </w:pPr>
      <w:r>
        <w:rPr>
          <w:sz w:val="21"/>
          <w:szCs w:val="21"/>
        </w:rPr>
        <w:t>Provide access to relevant legal texts, policies, case files (su</w:t>
      </w:r>
      <w:r>
        <w:rPr>
          <w:sz w:val="21"/>
          <w:szCs w:val="21"/>
        </w:rPr>
        <w:t>bject to confidentiality and legal restrictions), asset declaration records and Verification Unit data required for the review, drafting and coaching work, subject to applicable confidentiality and data-protection requirements.</w:t>
      </w:r>
    </w:p>
    <w:p w:rsidR="007D180D" w:rsidRDefault="0075100B">
      <w:pPr>
        <w:pStyle w:val="Paragraphedeliste"/>
        <w:numPr>
          <w:ilvl w:val="0"/>
          <w:numId w:val="3"/>
        </w:numPr>
        <w:spacing w:after="60" w:line="270" w:lineRule="auto"/>
      </w:pPr>
      <w:r>
        <w:rPr>
          <w:sz w:val="21"/>
          <w:szCs w:val="21"/>
        </w:rPr>
        <w:t>Facilitate introductions and</w:t>
      </w:r>
      <w:r>
        <w:rPr>
          <w:sz w:val="21"/>
          <w:szCs w:val="21"/>
        </w:rPr>
        <w:t xml:space="preserve"> access to relevant external stakeholders (e.g., Ministry of Justice, Civil Service Agency, Central Bank of Liberia, property registry, sector regulators) for consultations and data-sharing arrangements.</w:t>
      </w:r>
    </w:p>
    <w:p w:rsidR="007D180D" w:rsidRDefault="0075100B">
      <w:pPr>
        <w:pStyle w:val="Paragraphedeliste"/>
        <w:numPr>
          <w:ilvl w:val="0"/>
          <w:numId w:val="3"/>
        </w:numPr>
        <w:spacing w:after="60" w:line="270" w:lineRule="auto"/>
      </w:pPr>
      <w:r>
        <w:rPr>
          <w:sz w:val="21"/>
          <w:szCs w:val="21"/>
        </w:rPr>
        <w:t>Provide or arrange suitable venues, equipment and lo</w:t>
      </w:r>
      <w:r>
        <w:rPr>
          <w:sz w:val="21"/>
          <w:szCs w:val="21"/>
        </w:rPr>
        <w:t>gistical support for workshops and coaching sessions, and nominate participating staff in a timely manner.</w:t>
      </w:r>
    </w:p>
    <w:p w:rsidR="007D180D" w:rsidRDefault="0075100B">
      <w:pPr>
        <w:pStyle w:val="Paragraphedeliste"/>
        <w:numPr>
          <w:ilvl w:val="0"/>
          <w:numId w:val="3"/>
        </w:numPr>
        <w:spacing w:after="60" w:line="270" w:lineRule="auto"/>
      </w:pPr>
      <w:r>
        <w:rPr>
          <w:sz w:val="21"/>
          <w:szCs w:val="21"/>
        </w:rPr>
        <w:t>Designate technical focal points to review deliverables within an agreed turnaround time and provide consolidated feedback, and conduct any required integrity vetting of proposed team members in a timely manner.</w:t>
      </w:r>
    </w:p>
    <w:p w:rsidR="007D180D" w:rsidRDefault="007D180D">
      <w:pPr>
        <w:spacing w:after="60" w:line="270" w:lineRule="auto"/>
        <w:ind w:left="200"/>
      </w:pPr>
    </w:p>
    <w:p w:rsidR="007D180D" w:rsidRDefault="0075100B">
      <w:pPr>
        <w:pStyle w:val="Titre1"/>
        <w:pBdr>
          <w:bottom w:val="single" w:sz="6" w:space="4" w:color="1F3864"/>
        </w:pBdr>
        <w:spacing w:before="320" w:after="160"/>
      </w:pPr>
      <w:r>
        <w:rPr>
          <w:b/>
          <w:bCs/>
          <w:color w:val="1F3864"/>
          <w:sz w:val="26"/>
          <w:szCs w:val="26"/>
        </w:rPr>
        <w:t>12. Confidentiality, Integrity and Intellec</w:t>
      </w:r>
      <w:r>
        <w:rPr>
          <w:b/>
          <w:bCs/>
          <w:color w:val="1F3864"/>
          <w:sz w:val="26"/>
          <w:szCs w:val="26"/>
        </w:rPr>
        <w:t>tual Property</w:t>
      </w:r>
    </w:p>
    <w:p w:rsidR="007D180D" w:rsidRDefault="0075100B">
      <w:pPr>
        <w:spacing w:after="140" w:line="276" w:lineRule="auto"/>
        <w:jc w:val="both"/>
      </w:pPr>
      <w:r>
        <w:rPr>
          <w:sz w:val="21"/>
          <w:szCs w:val="21"/>
        </w:rPr>
        <w:t>Given the sensitive nature of this assignment – including access to asset declarations, financial records, property records and active or potential corruption case files – the consultant/firm and all team members must treat all information ob</w:t>
      </w:r>
      <w:r>
        <w:rPr>
          <w:sz w:val="21"/>
          <w:szCs w:val="21"/>
        </w:rPr>
        <w:t xml:space="preserve">tained as strictly confidential, and use it solely for the purposes of this assignment. Team members will be required to sign confidentiality/non-disclosure undertakings and a declaration of no conflict of interest, and to undergo integrity vetting by the </w:t>
      </w:r>
      <w:r>
        <w:rPr>
          <w:sz w:val="21"/>
          <w:szCs w:val="21"/>
        </w:rPr>
        <w:t>LACC prior to commencement. Any actual or potential conflict of interest arising during the assignment (e.g., a personal or professional connection to an individual or entity under investigation or verification) must be disclosed to the LACC immediately.</w:t>
      </w:r>
    </w:p>
    <w:p w:rsidR="007D180D" w:rsidRDefault="0075100B">
      <w:pPr>
        <w:spacing w:after="140" w:line="276" w:lineRule="auto"/>
        <w:jc w:val="both"/>
        <w:rPr>
          <w:sz w:val="21"/>
          <w:szCs w:val="21"/>
        </w:rPr>
      </w:pPr>
      <w:r>
        <w:rPr>
          <w:sz w:val="21"/>
          <w:szCs w:val="21"/>
        </w:rPr>
        <w:t>A</w:t>
      </w:r>
      <w:r>
        <w:rPr>
          <w:sz w:val="21"/>
          <w:szCs w:val="21"/>
        </w:rPr>
        <w:t>ll legal instruments, guidelines, SOPs, tools, training materials and reports produced under this assignment are the property of the LACC and may not be used, published or shared with third parties by the consultant/firm without the LACC's prior written co</w:t>
      </w:r>
      <w:r>
        <w:rPr>
          <w:sz w:val="21"/>
          <w:szCs w:val="21"/>
        </w:rPr>
        <w:t xml:space="preserve">nsent. </w:t>
      </w:r>
    </w:p>
    <w:p w:rsidR="007D180D" w:rsidRDefault="0075100B">
      <w:pPr>
        <w:spacing w:after="140" w:line="276" w:lineRule="auto"/>
        <w:jc w:val="both"/>
      </w:pPr>
      <w:r>
        <w:rPr>
          <w:sz w:val="21"/>
          <w:szCs w:val="21"/>
        </w:rPr>
        <w:t>All team members must be free of any conflict of interest with individuals or entities that may be subject to investigation or verification under this assignment, and must be willing to undergo integrity vetting.</w:t>
      </w:r>
    </w:p>
    <w:p w:rsidR="007D180D" w:rsidRDefault="0075100B">
      <w:pPr>
        <w:spacing w:after="140" w:line="276" w:lineRule="auto"/>
        <w:jc w:val="both"/>
        <w:rPr>
          <w:b/>
          <w:bCs/>
        </w:rPr>
      </w:pPr>
      <w:r>
        <w:rPr>
          <w:b/>
          <w:bCs/>
          <w:sz w:val="21"/>
          <w:szCs w:val="21"/>
        </w:rPr>
        <w:t>Candidates interested in this oppor</w:t>
      </w:r>
      <w:r>
        <w:rPr>
          <w:b/>
          <w:bCs/>
          <w:sz w:val="21"/>
          <w:szCs w:val="21"/>
        </w:rPr>
        <w:t xml:space="preserve">tunity are invited to submit their CV, cover letter, technical and financial proposals including the proposed methodology and actions, and complete the candidature form.  </w:t>
      </w:r>
    </w:p>
    <w:p w:rsidR="007D180D" w:rsidRDefault="007D180D">
      <w:pPr>
        <w:spacing w:after="140" w:line="276" w:lineRule="auto"/>
        <w:jc w:val="both"/>
      </w:pPr>
    </w:p>
    <w:p w:rsidR="007D180D" w:rsidRDefault="0075100B">
      <w:pPr>
        <w:spacing w:after="140" w:line="276" w:lineRule="auto"/>
        <w:jc w:val="both"/>
        <w:rPr>
          <w:bCs/>
          <w:i/>
        </w:rPr>
      </w:pPr>
      <w:r>
        <w:rPr>
          <w:i/>
          <w:iCs/>
          <w:sz w:val="21"/>
          <w:szCs w:val="21"/>
        </w:rPr>
        <w:t xml:space="preserve">Expertise France respects equal opportunities and strongly encourages applications </w:t>
      </w:r>
      <w:r>
        <w:rPr>
          <w:i/>
          <w:iCs/>
          <w:sz w:val="21"/>
          <w:szCs w:val="21"/>
        </w:rPr>
        <w:t>from women.</w:t>
      </w:r>
    </w:p>
    <w:p w:rsidR="007D180D" w:rsidRDefault="007D180D">
      <w:pPr>
        <w:spacing w:after="140" w:line="276" w:lineRule="auto"/>
        <w:jc w:val="both"/>
      </w:pPr>
    </w:p>
    <w:sectPr w:rsidR="007D180D">
      <w:headerReference w:type="default" r:id="rId7"/>
      <w:footerReference w:type="default" r:id="rId8"/>
      <w:pgSz w:w="12240" w:h="15840"/>
      <w:pgMar w:top="1080" w:right="1260" w:bottom="1080" w:left="126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80D" w:rsidRDefault="0075100B">
      <w:r>
        <w:separator/>
      </w:r>
    </w:p>
  </w:endnote>
  <w:endnote w:type="continuationSeparator" w:id="0">
    <w:p w:rsidR="007D180D" w:rsidRDefault="00751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80D" w:rsidRDefault="0075100B">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noProof/>
        <w:color w:val="595959"/>
        <w:sz w:val="16"/>
        <w:szCs w:val="16"/>
      </w:rPr>
      <w:t>7</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noProof/>
        <w:color w:val="595959"/>
        <w:sz w:val="16"/>
        <w:szCs w:val="16"/>
      </w:rPr>
      <w:t>9</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80D" w:rsidRDefault="0075100B">
      <w:r>
        <w:separator/>
      </w:r>
    </w:p>
  </w:footnote>
  <w:footnote w:type="continuationSeparator" w:id="0">
    <w:p w:rsidR="007D180D" w:rsidRDefault="007510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80D" w:rsidRDefault="0075100B">
    <w:pPr>
      <w:pBdr>
        <w:bottom w:val="single" w:sz="4" w:space="4" w:color="BFBFBF"/>
      </w:pBdr>
      <w:jc w:val="right"/>
      <w:rPr>
        <w:bCs/>
        <w:i/>
        <w:color w:val="595959"/>
        <w:sz w:val="15"/>
        <w:szCs w:val="15"/>
      </w:rPr>
    </w:pPr>
    <w:r>
      <w:rPr>
        <w:i/>
        <w:iCs/>
        <w:noProof/>
        <w:color w:val="595959"/>
        <w:sz w:val="15"/>
        <w:szCs w:val="15"/>
        <w:lang w:val="en-GB" w:eastAsia="en-GB"/>
      </w:rPr>
      <mc:AlternateContent>
        <mc:Choice Requires="wpg">
          <w:drawing>
            <wp:inline distT="0" distB="0" distL="0" distR="0">
              <wp:extent cx="1439250" cy="7368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3726" name=""/>
                      <pic:cNvPicPr>
                        <a:picLocks noChangeAspect="1"/>
                      </pic:cNvPicPr>
                    </pic:nvPicPr>
                    <pic:blipFill rotWithShape="1">
                      <a:blip r:embed="rId1"/>
                      <a:stretch/>
                    </pic:blipFill>
                    <pic:spPr bwMode="auto">
                      <a:xfrm>
                        <a:off x="0" y="0"/>
                        <a:ext cx="1439249" cy="736846"/>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3.33pt;height:58.02pt;mso-wrap-distance-left:0.00pt;mso-wrap-distance-top:0.00pt;mso-wrap-distance-right:0.00pt;mso-wrap-distance-bottom:0.00pt;z-index:1;" stroked="false">
              <v:imagedata r:id="rId2" o:title=""/>
              <o:lock v:ext="edit" rotation="t"/>
            </v:shape>
          </w:pict>
        </mc:Fallback>
      </mc:AlternateContent>
    </w:r>
  </w:p>
  <w:p w:rsidR="007D180D" w:rsidRDefault="0075100B">
    <w:pPr>
      <w:pBdr>
        <w:bottom w:val="single" w:sz="4" w:space="3" w:color="BFBFBF"/>
      </w:pBdr>
      <w:jc w:val="right"/>
    </w:pPr>
    <w:r>
      <w:rPr>
        <w:i/>
        <w:iCs/>
        <w:color w:val="595959"/>
        <w:sz w:val="15"/>
        <w:szCs w:val="15"/>
      </w:rPr>
      <w:t>Terms of Reference – LACC Sanctions Framework, Investigation, Verification and Natural Resources Support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401D"/>
    <w:multiLevelType w:val="multilevel"/>
    <w:tmpl w:val="13064142"/>
    <w:lvl w:ilvl="0">
      <w:start w:val="1"/>
      <w:numFmt w:val="bullet"/>
      <w:lvlText w:val="•"/>
      <w:lvlJc w:val="left"/>
      <w:pPr>
        <w:ind w:left="460" w:hanging="260"/>
      </w:pPr>
    </w:lvl>
    <w:lvl w:ilvl="1">
      <w:start w:val="1"/>
      <w:numFmt w:val="bullet"/>
      <w:lvlText w:val="–"/>
      <w:lvlJc w:val="left"/>
      <w:pPr>
        <w:ind w:left="820" w:hanging="2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306C23"/>
    <w:multiLevelType w:val="multilevel"/>
    <w:tmpl w:val="E3B67C6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3235665A"/>
    <w:multiLevelType w:val="multilevel"/>
    <w:tmpl w:val="F4D8AB14"/>
    <w:lvl w:ilvl="0">
      <w:start w:val="1"/>
      <w:numFmt w:val="decimal"/>
      <w:lvlText w:val="%1."/>
      <w:lvlJc w:val="left"/>
      <w:pPr>
        <w:ind w:left="4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B06CB2"/>
    <w:multiLevelType w:val="multilevel"/>
    <w:tmpl w:val="9C3A030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lvlOverride w:ilvl="0">
      <w:startOverride w:val="1"/>
    </w:lvlOverride>
  </w:num>
  <w:num w:numId="2">
    <w:abstractNumId w:val="2"/>
    <w:lvlOverride w:ilvl="0">
      <w:startOverride w:val="1"/>
    </w:lvlOverride>
  </w:num>
  <w:num w:numId="3">
    <w:abstractNumId w:val="0"/>
    <w:lvlOverride w:ilvl="0">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80D"/>
    <w:rsid w:val="00265180"/>
    <w:rsid w:val="0075100B"/>
    <w:rsid w:val="007D180D"/>
    <w:rsid w:val="00F56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D512"/>
  <w15:docId w15:val="{A1F24B80-7AE6-4948-9E06-9C5907B1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link w:val="Titre1Car"/>
    <w:qFormat/>
    <w:pPr>
      <w:outlineLvl w:val="0"/>
    </w:pPr>
    <w:rPr>
      <w:color w:val="2E74B5"/>
      <w:sz w:val="32"/>
      <w:szCs w:val="32"/>
    </w:rPr>
  </w:style>
  <w:style w:type="paragraph" w:styleId="Titre2">
    <w:name w:val="heading 2"/>
    <w:link w:val="Titre2Car"/>
    <w:qFormat/>
    <w:pPr>
      <w:outlineLvl w:val="1"/>
    </w:pPr>
    <w:rPr>
      <w:color w:val="2E74B5"/>
      <w:sz w:val="26"/>
      <w:szCs w:val="26"/>
    </w:rPr>
  </w:style>
  <w:style w:type="paragraph" w:styleId="Titre3">
    <w:name w:val="heading 3"/>
    <w:link w:val="Titre3Car"/>
    <w:qFormat/>
    <w:pPr>
      <w:outlineLvl w:val="2"/>
    </w:pPr>
    <w:rPr>
      <w:color w:val="1F4D78"/>
      <w:sz w:val="24"/>
      <w:szCs w:val="24"/>
    </w:rPr>
  </w:style>
  <w:style w:type="paragraph" w:styleId="Titre4">
    <w:name w:val="heading 4"/>
    <w:link w:val="Titre4Car"/>
    <w:qFormat/>
    <w:pPr>
      <w:outlineLvl w:val="3"/>
    </w:pPr>
    <w:rPr>
      <w:i/>
      <w:iCs/>
      <w:color w:val="2E74B5"/>
    </w:rPr>
  </w:style>
  <w:style w:type="paragraph" w:styleId="Titre5">
    <w:name w:val="heading 5"/>
    <w:link w:val="Titre5Car"/>
    <w:qFormat/>
    <w:pPr>
      <w:outlineLvl w:val="4"/>
    </w:pPr>
    <w:rPr>
      <w:color w:val="2E74B5"/>
    </w:rPr>
  </w:style>
  <w:style w:type="paragraph" w:styleId="Titre6">
    <w:name w:val="heading 6"/>
    <w:link w:val="Titre6Car"/>
    <w:qFormat/>
    <w:pPr>
      <w:outlineLvl w:val="5"/>
    </w:pPr>
    <w:rPr>
      <w:color w:val="1F4D78"/>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etableauclaire">
    <w:name w:val="Grid Table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leauGrille1Clair-Accentuation1">
    <w:name w:val="Grid Table 1 Light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TableauGrille1Clair-Accentuation2">
    <w:name w:val="Grid Table 1 Light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TableauGrille1Clair-Accentuation3">
    <w:name w:val="Grid Table 1 Light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TableauGrille1Clair-Accentuation4">
    <w:name w:val="Grid Table 1 Light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TableauGrille1Clair-Accentuation5">
    <w:name w:val="Grid Table 1 Light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TableauGrille1Clair-Accentuation6">
    <w:name w:val="Grid Table 1 Light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2-Accentuation1">
    <w:name w:val="Grid Table 2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TableauGrille2-Accentuation2">
    <w:name w:val="Grid Table 2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2-Accentuation3">
    <w:name w:val="Grid Table 2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2-Accentuation4">
    <w:name w:val="Grid Table 2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2-Accentuation5">
    <w:name w:val="Grid Table 2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2-Accentuation6">
    <w:name w:val="Grid Table 2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3-Accentuation1">
    <w:name w:val="Grid Table 3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TableauGrille3-Accentuation2">
    <w:name w:val="Grid Table 3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3-Accentuation3">
    <w:name w:val="Grid Table 3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3-Accentuation4">
    <w:name w:val="Grid Table 3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3-Accentuation5">
    <w:name w:val="Grid Table 3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3-Accentuation6">
    <w:name w:val="Grid Table 3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4-Accentuation1">
    <w:name w:val="Grid Table 4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TableauGrille4-Accentuation2">
    <w:name w:val="Grid Table 4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4-Accentuation3">
    <w:name w:val="Grid Table 4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4-Accentuation4">
    <w:name w:val="Grid Table 4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4-Accentuation5">
    <w:name w:val="Grid Table 4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4-Accentuation6">
    <w:name w:val="Grid Table 4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TableauGrille5Fonc-Accentuation2">
    <w:name w:val="Grid Table 5 Dark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TableauGrille5Fonc-Accentuation3">
    <w:name w:val="Grid Table 5 Dark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TableauGrille5Fonc-Accentuation5">
    <w:name w:val="Grid Table 5 Dark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TableauGrille5Fonc-Accentuation6">
    <w:name w:val="Grid Table 5 Dark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leauGrille6Couleur-Accentuation1">
    <w:name w:val="Grid Table 6 Colorful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TableauGrille6Couleur-Accentuation2">
    <w:name w:val="Grid Table 6 Colorful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leauGrille6Couleur-Accentuation3">
    <w:name w:val="Grid Table 6 Colorful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leauGrille6Couleur-Accentuation4">
    <w:name w:val="Grid Table 6 Colorful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leauGrille6Couleur-Accentuation5">
    <w:name w:val="Grid Table 6 Colorful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TableauGrille6Couleur-Accentuation6">
    <w:name w:val="Grid Table 6 Colorful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leauGrille7Couleur-Accentuation1">
    <w:name w:val="Grid Table 7 Colorful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TableauGrille7Couleur-Accentuation2">
    <w:name w:val="Grid Table 7 Colorful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leauGrille7Couleur-Accentuation3">
    <w:name w:val="Grid Table 7 Colorful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leauGrille7Couleur-Accentuation4">
    <w:name w:val="Grid Table 7 Colorful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leauGrille7Couleur-Accentuation5">
    <w:name w:val="Grid Table 7 Colorful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TableauGrille7Couleur-Accentuation6">
    <w:name w:val="Grid Table 7 Colorful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leauListe1Clair-Accentuation1">
    <w:name w:val="List Table 1 Light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TableauListe1Clair-Accentuation2">
    <w:name w:val="List Table 1 Light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TableauListe1Clair-Accentuation3">
    <w:name w:val="List Table 1 Light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TableauListe1Clair-Accentuation4">
    <w:name w:val="List Table 1 Light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TableauListe1Clair-Accentuation5">
    <w:name w:val="List Table 1 Light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TableauListe1Clair-Accentuation6">
    <w:name w:val="List Table 1 Light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leauListe2-Accentuation1">
    <w:name w:val="List Table 2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TableauListe2-Accentuation2">
    <w:name w:val="List Table 2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leauListe2-Accentuation3">
    <w:name w:val="List Table 2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leauListe2-Accentuation4">
    <w:name w:val="List Table 2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leauListe2-Accentuation5">
    <w:name w:val="List Table 2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TableauListe2-Accentuation6">
    <w:name w:val="List Table 2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leauListe3-Accentuation1">
    <w:name w:val="List Table 3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TableauListe3-Accentuation2">
    <w:name w:val="List Table 3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TableauListe3-Accentuation3">
    <w:name w:val="List Table 3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TableauListe3-Accentuation4">
    <w:name w:val="List Table 3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TableauListe3-Accentuation5">
    <w:name w:val="List Table 3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TableauListe3-Accentuation6">
    <w:name w:val="List Table 3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leauListe4-Accentuation1">
    <w:name w:val="List Table 4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TableauListe4-Accentuation2">
    <w:name w:val="List Table 4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leauListe4-Accentuation3">
    <w:name w:val="List Table 4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leauListe4-Accentuation4">
    <w:name w:val="List Table 4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leauListe4-Accentuation5">
    <w:name w:val="List Table 4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TableauListe4-Accentuation6">
    <w:name w:val="List Table 4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leauListe5Fonc-Accentuation1">
    <w:name w:val="List Table 5 Dark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TableauListe5Fonc-Accentuation2">
    <w:name w:val="List Table 5 Dark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TableauListe5Fonc-Accentuation3">
    <w:name w:val="List Table 5 Dark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TableauListe5Fonc-Accentuation4">
    <w:name w:val="List Table 5 Dark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TableauListe5Fonc-Accentuation5">
    <w:name w:val="List Table 5 Dark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TableauListe5Fonc-Accentuation6">
    <w:name w:val="List Table 5 Dark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leauListe6Couleur-Accentuation1">
    <w:name w:val="List Table 6 Colorful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TableauListe6Couleur-Accentuation2">
    <w:name w:val="List Table 6 Colorful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leauListe6Couleur-Accentuation3">
    <w:name w:val="List Table 6 Colorful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leauListe6Couleur-Accentuation4">
    <w:name w:val="List Table 6 Colorful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leauListe6Couleur-Accentuation5">
    <w:name w:val="List Table 6 Colorful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TableauListe6Couleur-Accentuation6">
    <w:name w:val="List Table 6 Colorful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leauListe7Couleur-Accentuation1">
    <w:name w:val="List Table 7 Colorful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TableauListe7Couleur-Accentuation2">
    <w:name w:val="List Table 7 Colorful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leauListe7Couleur-Accentuation3">
    <w:name w:val="List Table 7 Colorful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leauListe7Couleur-Accentuation4">
    <w:name w:val="List Table 7 Colorful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leauListe7Couleur-Accentuation5">
    <w:name w:val="List Table 7 Colorful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TableauListe7Couleur-Accentuation6">
    <w:name w:val="List Table 7 Colorful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Titre">
    <w:name w:val="Title"/>
    <w:link w:val="TitreCar"/>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style>
  <w:style w:type="character" w:customStyle="1" w:styleId="CommentaireCar">
    <w:name w:val="Commentaire Car"/>
    <w:basedOn w:val="Policepardfaut"/>
    <w:link w:val="Commentaire"/>
    <w:uiPriority w:val="99"/>
    <w:semiHidden/>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3622</Words>
  <Characters>20649</Characters>
  <Application>Microsoft Office Word</Application>
  <DocSecurity>0</DocSecurity>
  <Lines>172</Lines>
  <Paragraphs>48</Paragraphs>
  <ScaleCrop>false</ScaleCrop>
  <Company/>
  <LinksUpToDate>false</LinksUpToDate>
  <CharactersWithSpaces>24223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Marilou FIORENTINO</cp:lastModifiedBy>
  <cp:revision>6</cp:revision>
  <dcterms:created xsi:type="dcterms:W3CDTF">2026-10-07T08:01:00Z</dcterms:created>
  <dcterms:modified xsi:type="dcterms:W3CDTF">2026-10-07T09:18:00Z</dcterms:modified>
</cp:coreProperties>
</file>