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B7453" w14:textId="77777777" w:rsidR="001C478A" w:rsidRPr="002B1045" w:rsidRDefault="001C478A" w:rsidP="00F656C7">
      <w:pPr>
        <w:spacing w:after="0" w:line="240" w:lineRule="auto"/>
        <w:jc w:val="center"/>
        <w:rPr>
          <w:rFonts w:cstheme="minorHAnsi"/>
          <w:b/>
          <w:bCs/>
          <w:lang w:val="en-GB"/>
        </w:rPr>
      </w:pPr>
      <w:r w:rsidRPr="002B1045">
        <w:rPr>
          <w:rFonts w:cstheme="minorHAnsi"/>
          <w:b/>
          <w:bCs/>
          <w:lang w:val="en-GB"/>
        </w:rPr>
        <w:t>Terms of Reference</w:t>
      </w:r>
    </w:p>
    <w:p w14:paraId="621D7A19" w14:textId="3A981579" w:rsidR="001C478A" w:rsidRDefault="008D3C89" w:rsidP="00634637">
      <w:pPr>
        <w:jc w:val="center"/>
        <w:rPr>
          <w:rFonts w:cstheme="minorHAnsi"/>
          <w:lang w:val="en-GB"/>
        </w:rPr>
      </w:pPr>
      <w:r>
        <w:rPr>
          <w:rFonts w:cstheme="minorHAnsi"/>
          <w:lang w:val="en-GB"/>
        </w:rPr>
        <w:t xml:space="preserve">Expert </w:t>
      </w:r>
      <w:r w:rsidR="005A4455">
        <w:rPr>
          <w:rFonts w:cstheme="minorHAnsi"/>
          <w:lang w:val="en-GB"/>
        </w:rPr>
        <w:t xml:space="preserve">in developing a </w:t>
      </w:r>
      <w:r w:rsidR="00634637">
        <w:rPr>
          <w:rFonts w:cstheme="minorHAnsi"/>
          <w:lang w:val="en-GB"/>
        </w:rPr>
        <w:t>regulatory framework for Central Bank of Libya</w:t>
      </w:r>
    </w:p>
    <w:p w14:paraId="6142D6C0" w14:textId="77777777" w:rsidR="008D3C89" w:rsidRPr="002B1045" w:rsidRDefault="008D3C89" w:rsidP="001C478A">
      <w:pPr>
        <w:jc w:val="center"/>
        <w:rPr>
          <w:rFonts w:cstheme="minorHAnsi"/>
          <w:lang w:val="en-GB"/>
        </w:rPr>
      </w:pPr>
    </w:p>
    <w:p w14:paraId="1FE1F44A" w14:textId="77777777" w:rsidR="001C478A" w:rsidRPr="002B1045" w:rsidRDefault="001C478A" w:rsidP="001C478A">
      <w:pPr>
        <w:rPr>
          <w:rFonts w:cstheme="minorHAnsi"/>
          <w:b/>
          <w:bCs/>
          <w:u w:val="single"/>
          <w:lang w:val="en-GB"/>
        </w:rPr>
      </w:pPr>
      <w:r w:rsidRPr="002B1045">
        <w:rPr>
          <w:rFonts w:cstheme="minorHAnsi"/>
          <w:b/>
          <w:bCs/>
          <w:u w:val="single"/>
          <w:lang w:val="en-GB"/>
        </w:rPr>
        <w:t>Background</w:t>
      </w:r>
    </w:p>
    <w:p w14:paraId="28A393B2" w14:textId="77777777" w:rsidR="00580454" w:rsidRPr="00C86FD5" w:rsidRDefault="00580454" w:rsidP="00580454">
      <w:pPr>
        <w:jc w:val="both"/>
        <w:rPr>
          <w:rFonts w:cstheme="minorHAnsi"/>
          <w:bCs/>
          <w:lang w:val="en-US"/>
        </w:rPr>
      </w:pPr>
      <w:r w:rsidRPr="00C86FD5">
        <w:rPr>
          <w:rFonts w:cstheme="minorHAnsi"/>
          <w:bCs/>
          <w:lang w:val="en-US"/>
        </w:rPr>
        <w:t xml:space="preserve">Considering the Libyan context and current economic needs, establishing the </w:t>
      </w:r>
      <w:r w:rsidRPr="00C86FD5">
        <w:rPr>
          <w:rFonts w:cstheme="minorHAnsi"/>
          <w:b/>
          <w:lang w:val="en-US"/>
        </w:rPr>
        <w:t>E-</w:t>
      </w:r>
      <w:proofErr w:type="spellStart"/>
      <w:r w:rsidRPr="00C86FD5">
        <w:rPr>
          <w:rFonts w:cstheme="minorHAnsi"/>
          <w:b/>
          <w:lang w:val="en-US"/>
        </w:rPr>
        <w:t>nable</w:t>
      </w:r>
      <w:proofErr w:type="spellEnd"/>
      <w:r w:rsidRPr="00C86FD5">
        <w:rPr>
          <w:rFonts w:cstheme="minorHAnsi"/>
          <w:bCs/>
          <w:lang w:val="en-US"/>
        </w:rPr>
        <w:t xml:space="preserve"> project is essential to support </w:t>
      </w:r>
      <w:r w:rsidRPr="00C86FD5">
        <w:rPr>
          <w:rFonts w:cstheme="minorHAnsi"/>
          <w:b/>
          <w:lang w:val="en-US"/>
        </w:rPr>
        <w:t>Libyan institutions</w:t>
      </w:r>
      <w:r w:rsidRPr="00C86FD5">
        <w:rPr>
          <w:rFonts w:cstheme="minorHAnsi"/>
          <w:bCs/>
          <w:lang w:val="en-US"/>
        </w:rPr>
        <w:t xml:space="preserve"> and the </w:t>
      </w:r>
      <w:r w:rsidRPr="00C86FD5">
        <w:rPr>
          <w:rFonts w:cstheme="minorHAnsi"/>
          <w:b/>
          <w:lang w:val="en-US"/>
        </w:rPr>
        <w:t>private sector</w:t>
      </w:r>
      <w:r w:rsidRPr="00C86FD5">
        <w:rPr>
          <w:rFonts w:cstheme="minorHAnsi"/>
          <w:bCs/>
          <w:lang w:val="en-US"/>
        </w:rPr>
        <w:t xml:space="preserve"> in </w:t>
      </w:r>
      <w:r w:rsidRPr="00C86FD5">
        <w:rPr>
          <w:rFonts w:cstheme="minorHAnsi"/>
          <w:b/>
          <w:lang w:val="en-US"/>
        </w:rPr>
        <w:t>economic governance</w:t>
      </w:r>
      <w:r w:rsidRPr="00C86FD5">
        <w:rPr>
          <w:rFonts w:cstheme="minorHAnsi"/>
          <w:bCs/>
          <w:lang w:val="en-US"/>
        </w:rPr>
        <w:t xml:space="preserve"> and </w:t>
      </w:r>
      <w:r w:rsidRPr="00C86FD5">
        <w:rPr>
          <w:rFonts w:cstheme="minorHAnsi"/>
          <w:b/>
          <w:lang w:val="en-US"/>
        </w:rPr>
        <w:t>digital transformation</w:t>
      </w:r>
      <w:r w:rsidRPr="00C86FD5">
        <w:rPr>
          <w:rFonts w:cstheme="minorHAnsi"/>
          <w:bCs/>
          <w:lang w:val="en-US"/>
        </w:rPr>
        <w:t>. The project utilizes the expertise acquired by Expertise France in Libya over the past several years while building on the World Bank's analyses and OECD studies to brace the transition towards digitalization and support the foundation for a dynamic, diversified economy and a competitive private sector.</w:t>
      </w:r>
    </w:p>
    <w:p w14:paraId="2F2461BC" w14:textId="77777777" w:rsidR="00580454" w:rsidRPr="00C86FD5" w:rsidRDefault="00580454" w:rsidP="00580454">
      <w:pPr>
        <w:jc w:val="both"/>
        <w:rPr>
          <w:rFonts w:cstheme="minorHAnsi"/>
          <w:bCs/>
          <w:lang w:val="en-US"/>
        </w:rPr>
      </w:pPr>
      <w:r w:rsidRPr="00C86FD5">
        <w:rPr>
          <w:rFonts w:cstheme="minorHAnsi"/>
          <w:bCs/>
          <w:lang w:val="en-US"/>
        </w:rPr>
        <w:t xml:space="preserve">The European Union funds this three-year project to the tune of €5M and entrusts Expertise France with its implementation. </w:t>
      </w:r>
      <w:r w:rsidRPr="00C86FD5">
        <w:rPr>
          <w:rFonts w:cstheme="minorHAnsi"/>
          <w:b/>
          <w:lang w:val="en-US"/>
        </w:rPr>
        <w:t>E-</w:t>
      </w:r>
      <w:proofErr w:type="spellStart"/>
      <w:r w:rsidRPr="00C86FD5">
        <w:rPr>
          <w:rFonts w:cstheme="minorHAnsi"/>
          <w:b/>
          <w:lang w:val="en-US"/>
        </w:rPr>
        <w:t>nable</w:t>
      </w:r>
      <w:proofErr w:type="spellEnd"/>
      <w:r w:rsidRPr="00C86FD5">
        <w:rPr>
          <w:rFonts w:cstheme="minorHAnsi"/>
          <w:bCs/>
          <w:lang w:val="en-US"/>
        </w:rPr>
        <w:t xml:space="preserve"> aims to complement, support, and deepen the work carried out by the ongoing </w:t>
      </w:r>
      <w:hyperlink r:id="rId7" w:history="1">
        <w:r w:rsidRPr="00C86FD5">
          <w:rPr>
            <w:rStyle w:val="Lienhypertexte"/>
            <w:rFonts w:cstheme="minorHAnsi"/>
            <w:b/>
            <w:color w:val="auto"/>
            <w:u w:val="none"/>
            <w:lang w:val="en-US"/>
          </w:rPr>
          <w:t>EU4PSL</w:t>
        </w:r>
      </w:hyperlink>
      <w:r w:rsidRPr="00C86FD5">
        <w:rPr>
          <w:rFonts w:cstheme="minorHAnsi"/>
          <w:bCs/>
          <w:lang w:val="en-US"/>
        </w:rPr>
        <w:t> and </w:t>
      </w:r>
      <w:hyperlink r:id="rId8" w:history="1">
        <w:r w:rsidRPr="00C86FD5">
          <w:rPr>
            <w:rStyle w:val="Lienhypertexte"/>
            <w:rFonts w:cstheme="minorHAnsi"/>
            <w:b/>
            <w:color w:val="auto"/>
            <w:u w:val="none"/>
            <w:lang w:val="en-US"/>
          </w:rPr>
          <w:t>RAQAM-E</w:t>
        </w:r>
        <w:r w:rsidRPr="00C86FD5">
          <w:rPr>
            <w:rStyle w:val="Lienhypertexte"/>
            <w:rFonts w:cstheme="minorHAnsi"/>
            <w:bCs/>
            <w:color w:val="auto"/>
            <w:u w:val="none"/>
            <w:lang w:val="en-US"/>
          </w:rPr>
          <w:t> </w:t>
        </w:r>
      </w:hyperlink>
      <w:r w:rsidRPr="00C86FD5">
        <w:rPr>
          <w:rFonts w:cstheme="minorHAnsi"/>
          <w:bCs/>
          <w:lang w:val="en-US"/>
        </w:rPr>
        <w:t xml:space="preserve">projects. The overall objective of the action is </w:t>
      </w:r>
      <w:r w:rsidRPr="00C86FD5">
        <w:rPr>
          <w:rFonts w:cstheme="minorHAnsi"/>
          <w:b/>
          <w:lang w:val="en-US"/>
        </w:rPr>
        <w:t>to improve the capacities of key economic institutions for sustainable, diversified, and digital economic recovery to institutionalize the private sector's economic growth with the support of both private and public sector organizations</w:t>
      </w:r>
      <w:r w:rsidRPr="00C86FD5">
        <w:rPr>
          <w:rFonts w:cstheme="minorHAnsi"/>
          <w:bCs/>
          <w:lang w:val="en-US"/>
        </w:rPr>
        <w:t>.</w:t>
      </w:r>
    </w:p>
    <w:p w14:paraId="4CF953AC" w14:textId="2872C04E" w:rsidR="00580454" w:rsidRPr="00C86FD5" w:rsidRDefault="00580454" w:rsidP="00580454">
      <w:pPr>
        <w:jc w:val="both"/>
        <w:rPr>
          <w:rFonts w:cstheme="minorHAnsi"/>
          <w:bCs/>
          <w:lang w:val="en-US"/>
        </w:rPr>
      </w:pPr>
      <w:r w:rsidRPr="00C86FD5">
        <w:rPr>
          <w:rFonts w:cstheme="minorHAnsi"/>
          <w:bCs/>
          <w:lang w:val="en-US"/>
        </w:rPr>
        <w:t> </w:t>
      </w:r>
      <w:r w:rsidRPr="00C86FD5">
        <w:rPr>
          <w:rFonts w:cstheme="minorHAnsi"/>
          <w:b/>
          <w:lang w:val="en-US"/>
        </w:rPr>
        <w:t>E-</w:t>
      </w:r>
      <w:proofErr w:type="spellStart"/>
      <w:r w:rsidRPr="00C86FD5">
        <w:rPr>
          <w:rFonts w:cstheme="minorHAnsi"/>
          <w:b/>
          <w:lang w:val="en-US"/>
        </w:rPr>
        <w:t>nable</w:t>
      </w:r>
      <w:proofErr w:type="spellEnd"/>
      <w:r w:rsidRPr="00C86FD5">
        <w:rPr>
          <w:rFonts w:cstheme="minorHAnsi"/>
          <w:bCs/>
          <w:lang w:val="en-US"/>
        </w:rPr>
        <w:t xml:space="preserve"> consists of three main components which are closely linked in terms of the objectives and activities they seek to achieve, they mainly focus on: strengthening the capacities of the </w:t>
      </w:r>
      <w:r w:rsidRPr="00C86FD5">
        <w:rPr>
          <w:rFonts w:cstheme="minorHAnsi"/>
          <w:b/>
          <w:lang w:val="en-US"/>
        </w:rPr>
        <w:t>Ministry of Economy and Trade</w:t>
      </w:r>
      <w:r w:rsidRPr="00C86FD5">
        <w:rPr>
          <w:rFonts w:cstheme="minorHAnsi"/>
          <w:bCs/>
          <w:lang w:val="en-US"/>
        </w:rPr>
        <w:t xml:space="preserve"> and related </w:t>
      </w:r>
      <w:r w:rsidRPr="00C86FD5">
        <w:rPr>
          <w:rFonts w:cstheme="minorHAnsi"/>
          <w:b/>
          <w:lang w:val="en-US"/>
        </w:rPr>
        <w:t xml:space="preserve">stakeholders </w:t>
      </w:r>
      <w:r w:rsidRPr="00C86FD5">
        <w:rPr>
          <w:rFonts w:cstheme="minorHAnsi"/>
          <w:bCs/>
          <w:lang w:val="en-US"/>
        </w:rPr>
        <w:t xml:space="preserve">in designing public policies for economic diversification (C1), contributing to leveraging digital innovations for inclusive and sustainable development in Libya (C2), and encouraging </w:t>
      </w:r>
      <w:r w:rsidRPr="00C86FD5">
        <w:rPr>
          <w:rFonts w:cstheme="minorHAnsi"/>
          <w:b/>
          <w:lang w:val="en-US"/>
        </w:rPr>
        <w:t>financial institutions</w:t>
      </w:r>
      <w:r w:rsidRPr="00C86FD5">
        <w:rPr>
          <w:rFonts w:cstheme="minorHAnsi"/>
          <w:bCs/>
          <w:lang w:val="en-US"/>
        </w:rPr>
        <w:t xml:space="preserve"> to extend credit to the private sector and provide financial tools and solutions to </w:t>
      </w:r>
      <w:r w:rsidRPr="00C86FD5">
        <w:rPr>
          <w:rFonts w:cstheme="minorHAnsi"/>
          <w:b/>
          <w:lang w:val="en-US"/>
        </w:rPr>
        <w:t>SMEs</w:t>
      </w:r>
      <w:r w:rsidRPr="00C86FD5">
        <w:rPr>
          <w:rFonts w:cstheme="minorHAnsi"/>
          <w:bCs/>
          <w:lang w:val="en-US"/>
        </w:rPr>
        <w:t xml:space="preserve"> (C3).</w:t>
      </w:r>
    </w:p>
    <w:p w14:paraId="179EB628" w14:textId="77777777" w:rsidR="001C478A" w:rsidRPr="00580454" w:rsidRDefault="001C478A" w:rsidP="001C478A">
      <w:pPr>
        <w:pStyle w:val="Paragraphedeliste"/>
        <w:widowControl w:val="0"/>
        <w:spacing w:line="264" w:lineRule="auto"/>
        <w:rPr>
          <w:rFonts w:asciiTheme="minorHAnsi" w:hAnsiTheme="minorHAnsi" w:cstheme="minorHAnsi"/>
          <w:lang w:val="en-US"/>
        </w:rPr>
      </w:pPr>
    </w:p>
    <w:p w14:paraId="3EBED793" w14:textId="77777777" w:rsidR="001C478A" w:rsidRPr="002B1045" w:rsidRDefault="001C478A" w:rsidP="001C478A">
      <w:pPr>
        <w:rPr>
          <w:rFonts w:cstheme="minorHAnsi"/>
          <w:b/>
          <w:bCs/>
          <w:u w:val="single"/>
          <w:lang w:val="en-GB"/>
        </w:rPr>
      </w:pPr>
      <w:r w:rsidRPr="002B1045">
        <w:rPr>
          <w:rFonts w:cstheme="minorHAnsi"/>
          <w:b/>
          <w:bCs/>
          <w:u w:val="single"/>
          <w:lang w:val="en-GB"/>
        </w:rPr>
        <w:t>Description of the Assignment</w:t>
      </w:r>
    </w:p>
    <w:p w14:paraId="3A610156" w14:textId="77777777" w:rsidR="001C478A" w:rsidRPr="002B1045" w:rsidRDefault="001C478A" w:rsidP="001C478A">
      <w:pPr>
        <w:jc w:val="center"/>
        <w:rPr>
          <w:rFonts w:cstheme="minorHAnsi"/>
          <w:b/>
          <w:bCs/>
          <w:i/>
          <w:iCs/>
          <w:lang w:val="en-GB"/>
        </w:rPr>
      </w:pPr>
      <w:r w:rsidRPr="002B1045">
        <w:rPr>
          <w:rFonts w:cstheme="minorHAnsi"/>
          <w:b/>
          <w:bCs/>
          <w:i/>
          <w:iCs/>
          <w:lang w:val="en-GB"/>
        </w:rPr>
        <w:t>Background of the specific mission</w:t>
      </w:r>
    </w:p>
    <w:p w14:paraId="6E81E699" w14:textId="00E88E20" w:rsidR="001C478A" w:rsidRPr="002B1045" w:rsidRDefault="00C86FD5" w:rsidP="001C478A">
      <w:pPr>
        <w:jc w:val="both"/>
        <w:rPr>
          <w:rFonts w:cstheme="minorHAnsi"/>
          <w:lang w:val="en-GB"/>
        </w:rPr>
      </w:pPr>
      <w:r w:rsidRPr="00C86FD5">
        <w:rPr>
          <w:rFonts w:cstheme="minorHAnsi"/>
          <w:lang w:val="en-GB"/>
        </w:rPr>
        <w:t xml:space="preserve">The implementation of component three </w:t>
      </w:r>
      <w:r w:rsidRPr="00C86FD5">
        <w:rPr>
          <w:rFonts w:cstheme="minorHAnsi"/>
          <w:bCs/>
          <w:lang w:val="en-US"/>
        </w:rPr>
        <w:t>(C3)</w:t>
      </w:r>
      <w:r>
        <w:rPr>
          <w:rFonts w:cstheme="minorHAnsi"/>
          <w:bCs/>
          <w:lang w:val="en-US"/>
        </w:rPr>
        <w:t xml:space="preserve"> </w:t>
      </w:r>
      <w:r w:rsidRPr="00C86FD5">
        <w:rPr>
          <w:rFonts w:cstheme="minorHAnsi"/>
          <w:lang w:val="en-GB"/>
        </w:rPr>
        <w:t>is done in close collaboration with the Central Bank of Libya (CBL) and it will aim at achieving the following</w:t>
      </w:r>
      <w:r w:rsidR="001C478A" w:rsidRPr="002B1045">
        <w:rPr>
          <w:rFonts w:cstheme="minorHAnsi"/>
          <w:lang w:val="en-GB"/>
        </w:rPr>
        <w:t>:</w:t>
      </w:r>
    </w:p>
    <w:p w14:paraId="183B61A7" w14:textId="40800F61" w:rsidR="00C86FD5" w:rsidRPr="00C86FD5" w:rsidRDefault="00C86FD5" w:rsidP="001C478A">
      <w:pPr>
        <w:pStyle w:val="Paragraphedeliste"/>
        <w:numPr>
          <w:ilvl w:val="0"/>
          <w:numId w:val="4"/>
        </w:numPr>
        <w:rPr>
          <w:rFonts w:asciiTheme="minorHAnsi" w:hAnsiTheme="minorHAnsi" w:cstheme="minorHAnsi"/>
        </w:rPr>
      </w:pPr>
      <w:r w:rsidRPr="00C86FD5">
        <w:rPr>
          <w:rFonts w:asciiTheme="minorHAnsi" w:hAnsiTheme="minorHAnsi" w:cstheme="minorHAnsi"/>
        </w:rPr>
        <w:t xml:space="preserve">Develop the credit infrastructure by strengthening the capacities of the Libyan Credit Information Centre and improving its services </w:t>
      </w:r>
    </w:p>
    <w:p w14:paraId="0BDAC572" w14:textId="6AEEFA7E" w:rsidR="00C86FD5" w:rsidRDefault="00C86FD5" w:rsidP="001C478A">
      <w:pPr>
        <w:pStyle w:val="Paragraphedeliste"/>
        <w:numPr>
          <w:ilvl w:val="0"/>
          <w:numId w:val="4"/>
        </w:numPr>
        <w:rPr>
          <w:rFonts w:asciiTheme="minorHAnsi" w:hAnsiTheme="minorHAnsi" w:cstheme="minorHAnsi"/>
        </w:rPr>
      </w:pPr>
      <w:r w:rsidRPr="00C86FD5">
        <w:rPr>
          <w:rFonts w:asciiTheme="minorHAnsi" w:hAnsiTheme="minorHAnsi" w:cstheme="minorHAnsi"/>
        </w:rPr>
        <w:t xml:space="preserve">Create a conducive regulatory environment for fintech development in order to enhance financial access to digital financial services in Libya </w:t>
      </w:r>
      <w:r w:rsidR="002A09DC">
        <w:rPr>
          <w:rFonts w:asciiTheme="minorHAnsi" w:hAnsiTheme="minorHAnsi" w:cstheme="minorHAnsi"/>
        </w:rPr>
        <w:t xml:space="preserve">               </w:t>
      </w:r>
    </w:p>
    <w:p w14:paraId="2BDE865B" w14:textId="77777777" w:rsidR="00C86FD5" w:rsidRPr="00C86FD5" w:rsidRDefault="00C86FD5" w:rsidP="00C86FD5">
      <w:pPr>
        <w:pStyle w:val="Paragraphedeliste"/>
        <w:numPr>
          <w:ilvl w:val="0"/>
          <w:numId w:val="4"/>
        </w:numPr>
        <w:rPr>
          <w:rFonts w:asciiTheme="minorHAnsi" w:hAnsiTheme="minorHAnsi" w:cstheme="minorHAnsi"/>
        </w:rPr>
      </w:pPr>
      <w:r w:rsidRPr="00C86FD5">
        <w:rPr>
          <w:rFonts w:asciiTheme="minorHAnsi" w:hAnsiTheme="minorHAnsi" w:cstheme="minorHAnsi"/>
        </w:rPr>
        <w:t xml:space="preserve">Create a conducive regulatory environment for the development of the leasing market in Libya and strengthen the capacities of a leasing company </w:t>
      </w:r>
    </w:p>
    <w:p w14:paraId="08786469" w14:textId="4E42944C" w:rsidR="001C478A" w:rsidRPr="00C86FD5" w:rsidRDefault="00C86FD5" w:rsidP="001C478A">
      <w:pPr>
        <w:pStyle w:val="Paragraphedeliste"/>
        <w:numPr>
          <w:ilvl w:val="0"/>
          <w:numId w:val="4"/>
        </w:numPr>
        <w:rPr>
          <w:rFonts w:asciiTheme="minorHAnsi" w:hAnsiTheme="minorHAnsi" w:cstheme="minorHAnsi"/>
        </w:rPr>
      </w:pPr>
      <w:r w:rsidRPr="00C86FD5">
        <w:rPr>
          <w:rFonts w:asciiTheme="minorHAnsi" w:hAnsiTheme="minorHAnsi" w:cstheme="minorHAnsi"/>
        </w:rPr>
        <w:t xml:space="preserve">Improve </w:t>
      </w:r>
      <w:r w:rsidR="001C478A" w:rsidRPr="00C86FD5">
        <w:rPr>
          <w:rFonts w:asciiTheme="minorHAnsi" w:hAnsiTheme="minorHAnsi" w:cstheme="minorHAnsi"/>
        </w:rPr>
        <w:t>banks’ potential activity in the financial sector as well as their overall performance, leading to</w:t>
      </w:r>
      <w:r>
        <w:rPr>
          <w:rFonts w:asciiTheme="minorHAnsi" w:hAnsiTheme="minorHAnsi" w:cstheme="minorHAnsi"/>
        </w:rPr>
        <w:t xml:space="preserve"> the</w:t>
      </w:r>
      <w:r w:rsidR="001C478A" w:rsidRPr="00C86FD5">
        <w:rPr>
          <w:rFonts w:asciiTheme="minorHAnsi" w:hAnsiTheme="minorHAnsi" w:cstheme="minorHAnsi"/>
        </w:rPr>
        <w:t xml:space="preserve"> supply </w:t>
      </w:r>
      <w:r>
        <w:rPr>
          <w:rFonts w:asciiTheme="minorHAnsi" w:hAnsiTheme="minorHAnsi" w:cstheme="minorHAnsi"/>
        </w:rPr>
        <w:t>of</w:t>
      </w:r>
      <w:r w:rsidR="001C478A" w:rsidRPr="00C86FD5">
        <w:rPr>
          <w:rFonts w:asciiTheme="minorHAnsi" w:hAnsiTheme="minorHAnsi" w:cstheme="minorHAnsi"/>
        </w:rPr>
        <w:t xml:space="preserve"> financial products/services to MSMEs</w:t>
      </w:r>
    </w:p>
    <w:p w14:paraId="19794F14" w14:textId="77777777" w:rsidR="00F656C7" w:rsidRPr="00F656C7" w:rsidRDefault="00F656C7" w:rsidP="00F656C7">
      <w:pPr>
        <w:pStyle w:val="Paragraphedeliste"/>
        <w:rPr>
          <w:rFonts w:asciiTheme="minorHAnsi" w:hAnsiTheme="minorHAnsi" w:cstheme="minorHAnsi"/>
        </w:rPr>
      </w:pPr>
    </w:p>
    <w:p w14:paraId="2850CF4B" w14:textId="77777777" w:rsidR="001C478A" w:rsidRPr="002B1045" w:rsidRDefault="001C478A" w:rsidP="001C478A">
      <w:pPr>
        <w:rPr>
          <w:rFonts w:cstheme="minorHAnsi"/>
          <w:b/>
          <w:bCs/>
          <w:u w:val="single"/>
          <w:lang w:val="en-GB"/>
        </w:rPr>
      </w:pPr>
      <w:r w:rsidRPr="002B1045">
        <w:rPr>
          <w:rFonts w:cstheme="minorHAnsi"/>
          <w:b/>
          <w:bCs/>
          <w:u w:val="single"/>
          <w:lang w:val="en-GB"/>
        </w:rPr>
        <w:t>Main Tasks</w:t>
      </w:r>
    </w:p>
    <w:p w14:paraId="59B1E6E1" w14:textId="2C368035" w:rsidR="008D3C89" w:rsidRPr="00A07A3E" w:rsidRDefault="00634637" w:rsidP="00634637">
      <w:pPr>
        <w:rPr>
          <w:rFonts w:eastAsia="Calibri" w:cstheme="minorHAnsi"/>
          <w:lang w:val="en-GB"/>
        </w:rPr>
      </w:pPr>
      <w:r>
        <w:rPr>
          <w:rFonts w:eastAsia="Calibri" w:cstheme="minorHAnsi"/>
          <w:lang w:val="en-GB"/>
        </w:rPr>
        <w:t xml:space="preserve">The expert will provide </w:t>
      </w:r>
      <w:r w:rsidR="00CD3B6F">
        <w:rPr>
          <w:rFonts w:eastAsia="Calibri" w:cstheme="minorHAnsi"/>
          <w:lang w:val="en-GB"/>
        </w:rPr>
        <w:t xml:space="preserve">its legal expertise in the draft of a regulatory framework for Credit Bureau in Libya </w:t>
      </w:r>
      <w:r>
        <w:rPr>
          <w:rFonts w:eastAsia="Calibri" w:cstheme="minorHAnsi"/>
          <w:lang w:val="en-GB"/>
        </w:rPr>
        <w:t xml:space="preserve">and </w:t>
      </w:r>
      <w:proofErr w:type="gramStart"/>
      <w:r>
        <w:rPr>
          <w:rFonts w:eastAsia="Calibri" w:cstheme="minorHAnsi"/>
          <w:lang w:val="en-GB"/>
        </w:rPr>
        <w:t>a provide</w:t>
      </w:r>
      <w:proofErr w:type="gramEnd"/>
      <w:r>
        <w:rPr>
          <w:rFonts w:eastAsia="Calibri" w:cstheme="minorHAnsi"/>
          <w:lang w:val="en-GB"/>
        </w:rPr>
        <w:t xml:space="preserve"> a training to the Supervisory Department of the Central Bank of Libya on leasing regulation. </w:t>
      </w:r>
    </w:p>
    <w:p w14:paraId="7DD6C2CD" w14:textId="09E49280" w:rsidR="00FC23E2" w:rsidRDefault="00FC23E2" w:rsidP="002B1045">
      <w:pPr>
        <w:jc w:val="both"/>
        <w:rPr>
          <w:rFonts w:eastAsia="Calibri" w:cstheme="minorHAnsi"/>
          <w:lang w:val="en-GB"/>
        </w:rPr>
      </w:pPr>
      <w:r>
        <w:rPr>
          <w:rFonts w:eastAsia="Calibri" w:cstheme="minorHAnsi"/>
          <w:lang w:val="en-GB"/>
        </w:rPr>
        <w:t xml:space="preserve">The expert </w:t>
      </w:r>
      <w:proofErr w:type="gramStart"/>
      <w:r>
        <w:rPr>
          <w:rFonts w:eastAsia="Calibri" w:cstheme="minorHAnsi"/>
          <w:lang w:val="en-GB"/>
        </w:rPr>
        <w:t>is expected</w:t>
      </w:r>
      <w:proofErr w:type="gramEnd"/>
      <w:r>
        <w:rPr>
          <w:rFonts w:eastAsia="Calibri" w:cstheme="minorHAnsi"/>
          <w:lang w:val="en-GB"/>
        </w:rPr>
        <w:t xml:space="preserve"> to bring his </w:t>
      </w:r>
      <w:r w:rsidR="00697BC8">
        <w:rPr>
          <w:rFonts w:eastAsia="Calibri" w:cstheme="minorHAnsi"/>
          <w:lang w:val="en-GB"/>
        </w:rPr>
        <w:t>in-depth</w:t>
      </w:r>
      <w:r>
        <w:rPr>
          <w:rFonts w:eastAsia="Calibri" w:cstheme="minorHAnsi"/>
          <w:lang w:val="en-GB"/>
        </w:rPr>
        <w:t xml:space="preserve"> knowledge and expertise in achieving the following:</w:t>
      </w:r>
    </w:p>
    <w:p w14:paraId="57B2E0E7" w14:textId="5DA5050B" w:rsidR="00C2278D" w:rsidRDefault="00232AC2" w:rsidP="00232AC2">
      <w:pPr>
        <w:pStyle w:val="Paragraphedeliste"/>
        <w:numPr>
          <w:ilvl w:val="0"/>
          <w:numId w:val="6"/>
        </w:numPr>
        <w:rPr>
          <w:rFonts w:cstheme="minorHAnsi"/>
        </w:rPr>
      </w:pPr>
      <w:r>
        <w:rPr>
          <w:rFonts w:cstheme="minorHAnsi"/>
        </w:rPr>
        <w:lastRenderedPageBreak/>
        <w:t>Build the capacity of the Supervisory and Monetary Department of the CBL in regulating leasing activities in Libya</w:t>
      </w:r>
      <w:r w:rsidR="00FF28BD">
        <w:rPr>
          <w:rFonts w:cstheme="minorHAnsi"/>
        </w:rPr>
        <w:t xml:space="preserve"> in accordance with Islamic Finance principles</w:t>
      </w:r>
    </w:p>
    <w:p w14:paraId="18FF5533" w14:textId="760D792D" w:rsidR="00232AC2" w:rsidRDefault="00FF28BD" w:rsidP="00FF28BD">
      <w:pPr>
        <w:pStyle w:val="Paragraphedeliste"/>
        <w:numPr>
          <w:ilvl w:val="0"/>
          <w:numId w:val="6"/>
        </w:numPr>
        <w:rPr>
          <w:rFonts w:cstheme="minorHAnsi"/>
        </w:rPr>
      </w:pPr>
      <w:r>
        <w:rPr>
          <w:rFonts w:cstheme="minorHAnsi"/>
        </w:rPr>
        <w:t>Enhance the risk management skills of the CBL staff to better analyse the risk of leasing activities</w:t>
      </w:r>
      <w:r w:rsidR="00232AC2">
        <w:rPr>
          <w:rFonts w:cstheme="minorHAnsi"/>
        </w:rPr>
        <w:t xml:space="preserve"> </w:t>
      </w:r>
    </w:p>
    <w:p w14:paraId="7DEEBA11" w14:textId="1768C91E" w:rsidR="00634637" w:rsidRDefault="00634637" w:rsidP="00FF28BD">
      <w:pPr>
        <w:pStyle w:val="Paragraphedeliste"/>
        <w:numPr>
          <w:ilvl w:val="0"/>
          <w:numId w:val="6"/>
        </w:numPr>
        <w:rPr>
          <w:rFonts w:cstheme="minorHAnsi"/>
        </w:rPr>
      </w:pPr>
      <w:r>
        <w:rPr>
          <w:rFonts w:cstheme="minorHAnsi"/>
        </w:rPr>
        <w:t xml:space="preserve">Provide inputs in the design of a regulatory framework for Credit Bureau </w:t>
      </w:r>
    </w:p>
    <w:p w14:paraId="0C114A16" w14:textId="77777777" w:rsidR="00232AC2" w:rsidRPr="005731CE" w:rsidRDefault="00232AC2" w:rsidP="00FF28BD">
      <w:pPr>
        <w:pStyle w:val="Paragraphedeliste"/>
        <w:rPr>
          <w:rFonts w:cstheme="minorHAnsi"/>
        </w:rPr>
      </w:pPr>
    </w:p>
    <w:p w14:paraId="32B89653" w14:textId="77777777" w:rsidR="00294A94" w:rsidRPr="00294A94" w:rsidRDefault="00294A94" w:rsidP="00294A94">
      <w:pPr>
        <w:pStyle w:val="Paragraphedeliste"/>
        <w:rPr>
          <w:rFonts w:cstheme="minorHAnsi"/>
        </w:rPr>
      </w:pPr>
    </w:p>
    <w:p w14:paraId="2ECE055E" w14:textId="0A39C561" w:rsidR="001C478A" w:rsidRPr="002B1045" w:rsidRDefault="001C478A" w:rsidP="001C478A">
      <w:pPr>
        <w:rPr>
          <w:rFonts w:cstheme="minorHAnsi"/>
          <w:b/>
          <w:bCs/>
          <w:u w:val="single"/>
          <w:lang w:val="en-GB"/>
        </w:rPr>
      </w:pPr>
      <w:r w:rsidRPr="002B1045">
        <w:rPr>
          <w:rFonts w:cstheme="minorHAnsi"/>
          <w:b/>
          <w:bCs/>
          <w:u w:val="single"/>
          <w:lang w:val="en-GB"/>
        </w:rPr>
        <w:t>Deliverables and Reporting</w:t>
      </w:r>
    </w:p>
    <w:p w14:paraId="3B586314" w14:textId="431AABBF" w:rsidR="00CD3B6F" w:rsidRPr="00CD3B6F" w:rsidRDefault="00634637" w:rsidP="00634637">
      <w:pPr>
        <w:pStyle w:val="Paragraphedeliste"/>
        <w:numPr>
          <w:ilvl w:val="0"/>
          <w:numId w:val="6"/>
        </w:numPr>
        <w:rPr>
          <w:rFonts w:cstheme="minorHAnsi"/>
        </w:rPr>
      </w:pPr>
      <w:r>
        <w:rPr>
          <w:rFonts w:cstheme="minorHAnsi"/>
        </w:rPr>
        <w:t>R</w:t>
      </w:r>
      <w:r w:rsidR="00CD3B6F" w:rsidRPr="00CD3B6F">
        <w:rPr>
          <w:rFonts w:cstheme="minorHAnsi"/>
        </w:rPr>
        <w:t>egulatory framework</w:t>
      </w:r>
      <w:r w:rsidR="00CD3B6F">
        <w:rPr>
          <w:rFonts w:cstheme="minorHAnsi"/>
        </w:rPr>
        <w:t xml:space="preserve"> for Credit Bureau </w:t>
      </w:r>
    </w:p>
    <w:p w14:paraId="20E45555" w14:textId="1B3D0CEE" w:rsidR="00292F36" w:rsidRPr="00BF5848" w:rsidRDefault="00BF5848" w:rsidP="00CD3B6F">
      <w:pPr>
        <w:pStyle w:val="Paragraphedeliste"/>
        <w:numPr>
          <w:ilvl w:val="0"/>
          <w:numId w:val="6"/>
        </w:numPr>
        <w:rPr>
          <w:rFonts w:cstheme="minorHAnsi"/>
          <w:b/>
          <w:bCs/>
          <w:u w:val="single"/>
        </w:rPr>
      </w:pPr>
      <w:r>
        <w:rPr>
          <w:rFonts w:cstheme="minorHAnsi"/>
        </w:rPr>
        <w:t xml:space="preserve">Develop and deliver </w:t>
      </w:r>
      <w:r w:rsidR="0002371D">
        <w:rPr>
          <w:rFonts w:cstheme="minorHAnsi"/>
        </w:rPr>
        <w:t xml:space="preserve">a </w:t>
      </w:r>
      <w:r w:rsidR="00CD3B6F">
        <w:rPr>
          <w:rFonts w:cstheme="minorHAnsi"/>
        </w:rPr>
        <w:t>3</w:t>
      </w:r>
      <w:r w:rsidR="0002371D">
        <w:rPr>
          <w:rFonts w:cstheme="minorHAnsi"/>
        </w:rPr>
        <w:t>-day training program</w:t>
      </w:r>
      <w:r w:rsidR="00CD3B6F">
        <w:rPr>
          <w:rFonts w:cstheme="minorHAnsi"/>
        </w:rPr>
        <w:t xml:space="preserve"> for Supervisory Department of CBL</w:t>
      </w:r>
      <w:r w:rsidR="00E55C03">
        <w:rPr>
          <w:rFonts w:cstheme="minorHAnsi"/>
        </w:rPr>
        <w:t xml:space="preserve"> in Arabic </w:t>
      </w:r>
    </w:p>
    <w:p w14:paraId="6AB9B29F" w14:textId="604FA4F7" w:rsidR="00CA58FC" w:rsidRPr="00CA58FC" w:rsidRDefault="00CA58FC" w:rsidP="0002371D">
      <w:pPr>
        <w:pStyle w:val="Paragraphedeliste"/>
        <w:rPr>
          <w:rFonts w:cstheme="minorHAnsi"/>
          <w:b/>
          <w:bCs/>
          <w:u w:val="single"/>
        </w:rPr>
      </w:pPr>
    </w:p>
    <w:p w14:paraId="67502A29" w14:textId="7303CEB4" w:rsidR="001C478A" w:rsidRPr="002B1045" w:rsidRDefault="001C478A" w:rsidP="001C478A">
      <w:pPr>
        <w:rPr>
          <w:rFonts w:cstheme="minorHAnsi"/>
          <w:b/>
          <w:bCs/>
          <w:u w:val="single"/>
          <w:lang w:val="en-GB"/>
        </w:rPr>
      </w:pPr>
      <w:r w:rsidRPr="002B1045">
        <w:rPr>
          <w:rFonts w:cstheme="minorHAnsi"/>
          <w:b/>
          <w:bCs/>
          <w:u w:val="single"/>
          <w:lang w:val="en-GB"/>
        </w:rPr>
        <w:t>Expert Profile</w:t>
      </w:r>
    </w:p>
    <w:p w14:paraId="096E6334" w14:textId="055D300D" w:rsidR="001C478A" w:rsidRDefault="00C1440D" w:rsidP="001C478A">
      <w:pPr>
        <w:numPr>
          <w:ilvl w:val="0"/>
          <w:numId w:val="3"/>
        </w:numPr>
        <w:shd w:val="clear" w:color="auto" w:fill="FFFFFF"/>
        <w:spacing w:before="100" w:beforeAutospacing="1" w:after="100" w:afterAutospacing="1" w:line="240" w:lineRule="auto"/>
        <w:rPr>
          <w:rFonts w:eastAsia="Calibri" w:cstheme="minorHAnsi"/>
          <w:lang w:val="en-GB"/>
        </w:rPr>
      </w:pPr>
      <w:r>
        <w:rPr>
          <w:rFonts w:eastAsia="Calibri" w:cstheme="minorHAnsi"/>
          <w:lang w:val="en-GB"/>
        </w:rPr>
        <w:t xml:space="preserve">Master’s degree in </w:t>
      </w:r>
      <w:r w:rsidR="00BC6A17">
        <w:rPr>
          <w:rFonts w:eastAsia="Calibri" w:cstheme="minorHAnsi"/>
          <w:lang w:val="en-GB"/>
        </w:rPr>
        <w:t>finance</w:t>
      </w:r>
      <w:r w:rsidR="002B1045" w:rsidRPr="002B1045">
        <w:rPr>
          <w:rFonts w:eastAsia="Calibri" w:cstheme="minorHAnsi"/>
          <w:lang w:val="en-GB"/>
        </w:rPr>
        <w:t>,</w:t>
      </w:r>
      <w:r w:rsidR="00BC6A17">
        <w:rPr>
          <w:rFonts w:eastAsia="Calibri" w:cstheme="minorHAnsi"/>
          <w:lang w:val="en-GB"/>
        </w:rPr>
        <w:t xml:space="preserve"> banking</w:t>
      </w:r>
      <w:r w:rsidR="002B1045" w:rsidRPr="002B1045">
        <w:rPr>
          <w:rFonts w:eastAsia="Calibri" w:cstheme="minorHAnsi"/>
          <w:lang w:val="en-GB"/>
        </w:rPr>
        <w:t xml:space="preserve"> or a related field</w:t>
      </w:r>
    </w:p>
    <w:p w14:paraId="2156B9E0" w14:textId="110A32B7" w:rsidR="00C1440D" w:rsidRDefault="00CA58FC" w:rsidP="001C478A">
      <w:pPr>
        <w:numPr>
          <w:ilvl w:val="0"/>
          <w:numId w:val="3"/>
        </w:numPr>
        <w:shd w:val="clear" w:color="auto" w:fill="FFFFFF"/>
        <w:spacing w:before="100" w:beforeAutospacing="1" w:after="100" w:afterAutospacing="1" w:line="240" w:lineRule="auto"/>
        <w:rPr>
          <w:rFonts w:eastAsia="Calibri" w:cstheme="minorHAnsi"/>
          <w:lang w:val="en-GB"/>
        </w:rPr>
      </w:pPr>
      <w:r>
        <w:rPr>
          <w:rFonts w:eastAsia="Calibri" w:cstheme="minorHAnsi"/>
          <w:lang w:val="en-GB"/>
        </w:rPr>
        <w:t>10</w:t>
      </w:r>
      <w:r w:rsidR="00C1440D">
        <w:rPr>
          <w:rFonts w:eastAsia="Calibri" w:cstheme="minorHAnsi"/>
          <w:lang w:val="en-GB"/>
        </w:rPr>
        <w:t xml:space="preserve"> years of experience in </w:t>
      </w:r>
      <w:r>
        <w:rPr>
          <w:rFonts w:eastAsia="Calibri" w:cstheme="minorHAnsi"/>
          <w:lang w:val="en-GB"/>
        </w:rPr>
        <w:t>financial institution, preferable at a central bank level.</w:t>
      </w:r>
    </w:p>
    <w:p w14:paraId="4F483E1E" w14:textId="7F246A37" w:rsidR="00CA58FC" w:rsidRDefault="00EE4891" w:rsidP="00232AC2">
      <w:pPr>
        <w:numPr>
          <w:ilvl w:val="0"/>
          <w:numId w:val="3"/>
        </w:numPr>
        <w:shd w:val="clear" w:color="auto" w:fill="FFFFFF"/>
        <w:spacing w:before="100" w:beforeAutospacing="1" w:after="100" w:afterAutospacing="1" w:line="240" w:lineRule="auto"/>
        <w:rPr>
          <w:rFonts w:eastAsia="Calibri" w:cstheme="minorHAnsi"/>
          <w:lang w:val="en-GB"/>
        </w:rPr>
      </w:pPr>
      <w:r>
        <w:rPr>
          <w:rFonts w:eastAsia="Calibri" w:cstheme="minorHAnsi"/>
          <w:lang w:val="en-GB"/>
        </w:rPr>
        <w:t xml:space="preserve">Technical knowledge </w:t>
      </w:r>
      <w:r w:rsidR="00232AC2">
        <w:rPr>
          <w:rFonts w:eastAsia="Calibri" w:cstheme="minorHAnsi"/>
          <w:lang w:val="en-GB"/>
        </w:rPr>
        <w:t xml:space="preserve">is required </w:t>
      </w:r>
      <w:r>
        <w:rPr>
          <w:rFonts w:eastAsia="Calibri" w:cstheme="minorHAnsi"/>
          <w:lang w:val="en-GB"/>
        </w:rPr>
        <w:t>on</w:t>
      </w:r>
      <w:r w:rsidR="00CA58FC">
        <w:rPr>
          <w:rFonts w:eastAsia="Calibri" w:cstheme="minorHAnsi"/>
          <w:lang w:val="en-GB"/>
        </w:rPr>
        <w:t xml:space="preserve"> </w:t>
      </w:r>
      <w:r>
        <w:rPr>
          <w:rFonts w:eastAsia="Calibri" w:cstheme="minorHAnsi"/>
          <w:lang w:val="en-GB"/>
        </w:rPr>
        <w:t>licensing</w:t>
      </w:r>
      <w:r w:rsidR="00232AC2">
        <w:rPr>
          <w:rFonts w:eastAsia="Calibri" w:cstheme="minorHAnsi"/>
          <w:lang w:val="en-GB"/>
        </w:rPr>
        <w:t xml:space="preserve"> and risk analysis</w:t>
      </w:r>
      <w:r>
        <w:rPr>
          <w:rFonts w:eastAsia="Calibri" w:cstheme="minorHAnsi"/>
          <w:lang w:val="en-GB"/>
        </w:rPr>
        <w:t xml:space="preserve"> of leasing activities </w:t>
      </w:r>
    </w:p>
    <w:p w14:paraId="330BC8BA" w14:textId="62A2A0A8" w:rsidR="00FF28BD" w:rsidRDefault="00FF28BD" w:rsidP="00FF28BD">
      <w:pPr>
        <w:numPr>
          <w:ilvl w:val="0"/>
          <w:numId w:val="3"/>
        </w:numPr>
        <w:shd w:val="clear" w:color="auto" w:fill="FFFFFF"/>
        <w:spacing w:before="100" w:beforeAutospacing="1" w:after="100" w:afterAutospacing="1" w:line="240" w:lineRule="auto"/>
        <w:rPr>
          <w:rFonts w:eastAsia="Calibri" w:cstheme="minorHAnsi"/>
          <w:lang w:val="en-GB"/>
        </w:rPr>
      </w:pPr>
      <w:r>
        <w:rPr>
          <w:rFonts w:eastAsia="Calibri" w:cstheme="minorHAnsi"/>
          <w:lang w:val="en-GB"/>
        </w:rPr>
        <w:t xml:space="preserve">Experience in delivering training on regulatory frameworks governing leasing operations  </w:t>
      </w:r>
    </w:p>
    <w:p w14:paraId="4FACB5F1" w14:textId="29CAFB0B" w:rsidR="00324E03" w:rsidRDefault="00C1440D" w:rsidP="00EE4891">
      <w:pPr>
        <w:numPr>
          <w:ilvl w:val="0"/>
          <w:numId w:val="3"/>
        </w:numPr>
        <w:shd w:val="clear" w:color="auto" w:fill="FFFFFF"/>
        <w:spacing w:before="100" w:beforeAutospacing="1" w:after="100" w:afterAutospacing="1" w:line="240" w:lineRule="auto"/>
        <w:rPr>
          <w:rFonts w:eastAsia="Calibri" w:cstheme="minorHAnsi"/>
          <w:lang w:val="en-GB"/>
        </w:rPr>
      </w:pPr>
      <w:r>
        <w:rPr>
          <w:rFonts w:eastAsia="Calibri" w:cstheme="minorHAnsi"/>
          <w:lang w:val="en-GB"/>
        </w:rPr>
        <w:t xml:space="preserve">Fluent in English, </w:t>
      </w:r>
      <w:r w:rsidR="00145554">
        <w:rPr>
          <w:rFonts w:eastAsia="Calibri" w:cstheme="minorHAnsi"/>
          <w:lang w:val="en-GB"/>
        </w:rPr>
        <w:t xml:space="preserve">and </w:t>
      </w:r>
      <w:r>
        <w:rPr>
          <w:rFonts w:eastAsia="Calibri" w:cstheme="minorHAnsi"/>
          <w:lang w:val="en-GB"/>
        </w:rPr>
        <w:t xml:space="preserve">Arabic </w:t>
      </w:r>
    </w:p>
    <w:p w14:paraId="7BA32F79" w14:textId="391393B9" w:rsidR="00292F36" w:rsidRDefault="00AA4A68" w:rsidP="00F656C7">
      <w:pPr>
        <w:numPr>
          <w:ilvl w:val="0"/>
          <w:numId w:val="3"/>
        </w:numPr>
        <w:shd w:val="clear" w:color="auto" w:fill="FFFFFF"/>
        <w:spacing w:before="100" w:beforeAutospacing="1" w:after="100" w:afterAutospacing="1" w:line="240" w:lineRule="auto"/>
        <w:rPr>
          <w:rFonts w:eastAsia="Calibri" w:cstheme="minorHAnsi"/>
          <w:lang w:val="en-GB"/>
        </w:rPr>
      </w:pPr>
      <w:r w:rsidRPr="00AA4A68">
        <w:rPr>
          <w:rFonts w:eastAsia="Calibri" w:cstheme="minorHAnsi"/>
          <w:lang w:val="en-GB"/>
        </w:rPr>
        <w:t>Excellent communication skills</w:t>
      </w:r>
    </w:p>
    <w:p w14:paraId="37AF4891" w14:textId="60461512" w:rsidR="001C478A" w:rsidRPr="002B1045" w:rsidRDefault="001C478A" w:rsidP="001C478A">
      <w:pPr>
        <w:rPr>
          <w:rFonts w:cstheme="minorHAnsi"/>
          <w:b/>
          <w:bCs/>
          <w:u w:val="single"/>
          <w:lang w:val="en-GB"/>
        </w:rPr>
      </w:pPr>
      <w:r w:rsidRPr="002B1045">
        <w:rPr>
          <w:rFonts w:cstheme="minorHAnsi"/>
          <w:b/>
          <w:bCs/>
          <w:u w:val="single"/>
          <w:lang w:val="en-GB"/>
        </w:rPr>
        <w:t>Location and Duration</w:t>
      </w:r>
    </w:p>
    <w:p w14:paraId="5A7FBB51" w14:textId="4D9DB81C" w:rsidR="001C478A" w:rsidRPr="002B1045" w:rsidRDefault="001C478A" w:rsidP="007071B9">
      <w:pPr>
        <w:widowControl w:val="0"/>
        <w:spacing w:line="264" w:lineRule="auto"/>
        <w:jc w:val="both"/>
        <w:rPr>
          <w:rFonts w:cstheme="minorHAnsi"/>
          <w:lang w:val="en-GB"/>
        </w:rPr>
      </w:pPr>
      <w:r w:rsidRPr="002B1045">
        <w:rPr>
          <w:rFonts w:cstheme="minorHAnsi"/>
          <w:b/>
          <w:bCs/>
          <w:lang w:val="en-GB"/>
        </w:rPr>
        <w:t>Duration:</w:t>
      </w:r>
      <w:r w:rsidRPr="002B1045">
        <w:rPr>
          <w:rFonts w:cstheme="minorHAnsi"/>
          <w:lang w:val="en-GB"/>
        </w:rPr>
        <w:t xml:space="preserve"> </w:t>
      </w:r>
      <w:r w:rsidR="002B1045">
        <w:rPr>
          <w:rFonts w:cstheme="minorHAnsi"/>
          <w:lang w:val="en-GB"/>
        </w:rPr>
        <w:t xml:space="preserve">up to </w:t>
      </w:r>
      <w:r w:rsidR="00BF25BE">
        <w:rPr>
          <w:rFonts w:cstheme="minorHAnsi"/>
          <w:lang w:val="en-GB"/>
        </w:rPr>
        <w:t>35</w:t>
      </w:r>
      <w:r w:rsidR="002251E4">
        <w:rPr>
          <w:rFonts w:cstheme="minorHAnsi"/>
          <w:lang w:val="en-GB"/>
        </w:rPr>
        <w:t xml:space="preserve"> days </w:t>
      </w:r>
      <w:bookmarkStart w:id="0" w:name="_GoBack"/>
      <w:bookmarkEnd w:id="0"/>
    </w:p>
    <w:p w14:paraId="7141E7B1" w14:textId="3BE1B581" w:rsidR="001C478A" w:rsidRPr="002B1045" w:rsidRDefault="001C478A" w:rsidP="00634637">
      <w:pPr>
        <w:widowControl w:val="0"/>
        <w:spacing w:line="264" w:lineRule="auto"/>
        <w:jc w:val="both"/>
        <w:rPr>
          <w:rFonts w:cstheme="minorHAnsi"/>
          <w:lang w:val="en-GB"/>
        </w:rPr>
      </w:pPr>
      <w:r w:rsidRPr="002B1045">
        <w:rPr>
          <w:rFonts w:cstheme="minorHAnsi"/>
          <w:b/>
          <w:bCs/>
          <w:lang w:val="en-GB"/>
        </w:rPr>
        <w:t>Period:</w:t>
      </w:r>
      <w:r w:rsidRPr="002B1045">
        <w:rPr>
          <w:rFonts w:cstheme="minorHAnsi"/>
          <w:lang w:val="en-GB"/>
        </w:rPr>
        <w:t xml:space="preserve"> </w:t>
      </w:r>
      <w:r w:rsidR="00634637">
        <w:rPr>
          <w:rFonts w:cstheme="minorHAnsi"/>
          <w:lang w:val="en-GB"/>
        </w:rPr>
        <w:t>15</w:t>
      </w:r>
      <w:r w:rsidR="002B1045" w:rsidRPr="002B1045">
        <w:rPr>
          <w:rFonts w:cstheme="minorHAnsi"/>
          <w:lang w:val="en-GB"/>
        </w:rPr>
        <w:t>/</w:t>
      </w:r>
      <w:r w:rsidR="005355B3">
        <w:rPr>
          <w:rFonts w:cstheme="minorHAnsi"/>
          <w:lang w:val="en-GB"/>
        </w:rPr>
        <w:t>0</w:t>
      </w:r>
      <w:r w:rsidR="00634637">
        <w:rPr>
          <w:rFonts w:cstheme="minorHAnsi"/>
          <w:lang w:val="en-GB"/>
        </w:rPr>
        <w:t>7</w:t>
      </w:r>
      <w:r w:rsidR="002B1045" w:rsidRPr="002B1045">
        <w:rPr>
          <w:rFonts w:cstheme="minorHAnsi"/>
          <w:lang w:val="en-GB"/>
        </w:rPr>
        <w:t>/202</w:t>
      </w:r>
      <w:r w:rsidR="00CA58FC">
        <w:rPr>
          <w:rFonts w:cstheme="minorHAnsi"/>
          <w:lang w:val="en-GB"/>
        </w:rPr>
        <w:t>3</w:t>
      </w:r>
      <w:r w:rsidR="002B1045" w:rsidRPr="002B1045">
        <w:rPr>
          <w:rFonts w:cstheme="minorHAnsi"/>
          <w:lang w:val="en-GB"/>
        </w:rPr>
        <w:t>-</w:t>
      </w:r>
      <w:r w:rsidR="00634637">
        <w:rPr>
          <w:rFonts w:cstheme="minorHAnsi"/>
          <w:lang w:val="en-GB"/>
        </w:rPr>
        <w:t>31</w:t>
      </w:r>
      <w:r w:rsidR="002B1045" w:rsidRPr="002B1045">
        <w:rPr>
          <w:rFonts w:cstheme="minorHAnsi"/>
          <w:lang w:val="en-GB"/>
        </w:rPr>
        <w:t>/0</w:t>
      </w:r>
      <w:r w:rsidR="00634637">
        <w:rPr>
          <w:rFonts w:cstheme="minorHAnsi"/>
          <w:lang w:val="en-GB"/>
        </w:rPr>
        <w:t>3</w:t>
      </w:r>
      <w:r w:rsidR="002B1045" w:rsidRPr="002B1045">
        <w:rPr>
          <w:rFonts w:cstheme="minorHAnsi"/>
          <w:lang w:val="en-GB"/>
        </w:rPr>
        <w:t>/202</w:t>
      </w:r>
      <w:r w:rsidR="00634637">
        <w:rPr>
          <w:rFonts w:cstheme="minorHAnsi"/>
          <w:lang w:val="en-GB"/>
        </w:rPr>
        <w:t>4</w:t>
      </w:r>
    </w:p>
    <w:p w14:paraId="08626644" w14:textId="2F688E4E" w:rsidR="001C478A" w:rsidRPr="002B1045" w:rsidRDefault="001C478A" w:rsidP="00E55C03">
      <w:pPr>
        <w:widowControl w:val="0"/>
        <w:spacing w:line="264" w:lineRule="auto"/>
        <w:jc w:val="both"/>
        <w:rPr>
          <w:rFonts w:cstheme="minorHAnsi"/>
          <w:lang w:val="en-US"/>
        </w:rPr>
      </w:pPr>
      <w:r w:rsidRPr="002B1045">
        <w:rPr>
          <w:rFonts w:cstheme="minorHAnsi"/>
          <w:b/>
          <w:bCs/>
          <w:lang w:val="en-US"/>
        </w:rPr>
        <w:t>Location</w:t>
      </w:r>
      <w:r w:rsidRPr="002B1045">
        <w:rPr>
          <w:rFonts w:cstheme="minorHAnsi"/>
          <w:lang w:val="en-US"/>
        </w:rPr>
        <w:t xml:space="preserve">: </w:t>
      </w:r>
      <w:r w:rsidR="00634637">
        <w:rPr>
          <w:rFonts w:cstheme="minorHAnsi"/>
          <w:lang w:val="en-US"/>
        </w:rPr>
        <w:t xml:space="preserve">Home country and </w:t>
      </w:r>
      <w:r w:rsidR="00E55C03">
        <w:rPr>
          <w:rFonts w:cstheme="minorHAnsi"/>
          <w:lang w:val="en-US"/>
        </w:rPr>
        <w:t>Tunisia</w:t>
      </w:r>
    </w:p>
    <w:p w14:paraId="41FA0702" w14:textId="3AC71C2C" w:rsidR="001C478A" w:rsidRPr="002B1045" w:rsidRDefault="001C478A" w:rsidP="00E55C03">
      <w:pPr>
        <w:widowControl w:val="0"/>
        <w:spacing w:line="264" w:lineRule="auto"/>
        <w:jc w:val="both"/>
        <w:rPr>
          <w:rFonts w:cstheme="minorHAnsi"/>
          <w:lang w:val="en-US"/>
        </w:rPr>
      </w:pPr>
      <w:r w:rsidRPr="002B1045">
        <w:rPr>
          <w:rFonts w:cstheme="minorHAnsi"/>
          <w:b/>
          <w:bCs/>
          <w:lang w:val="en-US"/>
        </w:rPr>
        <w:t>Time</w:t>
      </w:r>
      <w:r w:rsidRPr="002B1045">
        <w:rPr>
          <w:rFonts w:cstheme="minorHAnsi"/>
          <w:lang w:val="en-US"/>
        </w:rPr>
        <w:t xml:space="preserve"> </w:t>
      </w:r>
      <w:r w:rsidRPr="002B1045">
        <w:rPr>
          <w:rFonts w:cstheme="minorHAnsi"/>
          <w:b/>
          <w:bCs/>
          <w:lang w:val="en-US"/>
        </w:rPr>
        <w:t>Sheet:</w:t>
      </w:r>
      <w:r w:rsidRPr="002B1045">
        <w:rPr>
          <w:rFonts w:cstheme="minorHAnsi"/>
          <w:lang w:val="en-US"/>
        </w:rPr>
        <w:t xml:space="preserve"> at the end of </w:t>
      </w:r>
      <w:r w:rsidR="00E55C03">
        <w:rPr>
          <w:rFonts w:cstheme="minorHAnsi"/>
          <w:lang w:val="en-US"/>
        </w:rPr>
        <w:t>the training</w:t>
      </w:r>
      <w:r w:rsidRPr="002B1045">
        <w:rPr>
          <w:rFonts w:cstheme="minorHAnsi"/>
          <w:lang w:val="en-US"/>
        </w:rPr>
        <w:t xml:space="preserve">, the expert will present a timesheet, which will be signed by the project director. </w:t>
      </w:r>
    </w:p>
    <w:p w14:paraId="4EF6A891" w14:textId="3F665BAA" w:rsidR="00A25C7E" w:rsidRPr="002B1045" w:rsidRDefault="001C478A" w:rsidP="00232AC2">
      <w:pPr>
        <w:widowControl w:val="0"/>
        <w:spacing w:line="264" w:lineRule="auto"/>
        <w:jc w:val="both"/>
        <w:rPr>
          <w:rFonts w:cstheme="minorHAnsi"/>
          <w:lang w:val="en-US"/>
        </w:rPr>
      </w:pPr>
      <w:r w:rsidRPr="002B1045">
        <w:rPr>
          <w:rFonts w:cstheme="minorHAnsi"/>
          <w:lang w:val="en-US"/>
        </w:rPr>
        <w:t>The timesheet should indicate a brief description of activities performed</w:t>
      </w:r>
      <w:r w:rsidR="00A25C7E">
        <w:rPr>
          <w:rFonts w:cstheme="minorHAnsi"/>
          <w:lang w:val="en-US"/>
        </w:rPr>
        <w:t>.</w:t>
      </w:r>
    </w:p>
    <w:p w14:paraId="01A8A699" w14:textId="77777777" w:rsidR="001C478A" w:rsidRPr="002B1045" w:rsidRDefault="001C478A" w:rsidP="001C478A">
      <w:pPr>
        <w:rPr>
          <w:rFonts w:cstheme="minorHAnsi"/>
          <w:b/>
          <w:bCs/>
          <w:u w:val="single"/>
          <w:lang w:val="en-GB"/>
        </w:rPr>
      </w:pPr>
      <w:r w:rsidRPr="002B1045">
        <w:rPr>
          <w:rFonts w:cstheme="minorHAnsi"/>
          <w:b/>
          <w:bCs/>
          <w:u w:val="single"/>
          <w:lang w:val="en-GB"/>
        </w:rPr>
        <w:t xml:space="preserve">Language </w:t>
      </w:r>
    </w:p>
    <w:p w14:paraId="3E0BFEDE" w14:textId="55843B7F" w:rsidR="001C478A" w:rsidRPr="002B1045" w:rsidRDefault="001C478A" w:rsidP="001C478A">
      <w:pPr>
        <w:jc w:val="both"/>
        <w:rPr>
          <w:rFonts w:cstheme="minorHAnsi"/>
          <w:b/>
          <w:bCs/>
          <w:lang w:val="en-GB"/>
        </w:rPr>
      </w:pPr>
      <w:r w:rsidRPr="002B1045">
        <w:rPr>
          <w:rFonts w:cstheme="minorHAnsi"/>
          <w:lang w:val="en-US"/>
        </w:rPr>
        <w:t>The working language of the program and the language used in all reports and communications between the consultant and the team shall be English</w:t>
      </w:r>
      <w:r w:rsidR="007A3B20">
        <w:rPr>
          <w:rFonts w:cstheme="minorHAnsi"/>
          <w:lang w:val="en-US"/>
        </w:rPr>
        <w:t xml:space="preserve">. </w:t>
      </w:r>
      <w:r w:rsidR="00E55C03">
        <w:rPr>
          <w:rFonts w:cstheme="minorHAnsi"/>
          <w:lang w:val="en-US"/>
        </w:rPr>
        <w:t>The training</w:t>
      </w:r>
      <w:r w:rsidR="00A07A3E">
        <w:rPr>
          <w:rFonts w:cstheme="minorHAnsi"/>
          <w:lang w:val="en-US"/>
        </w:rPr>
        <w:t xml:space="preserve"> will be delivered in Arabic. </w:t>
      </w:r>
    </w:p>
    <w:p w14:paraId="562785F7" w14:textId="528A23D8" w:rsidR="001C478A" w:rsidRPr="002B1045" w:rsidRDefault="001C478A" w:rsidP="001C478A">
      <w:pPr>
        <w:rPr>
          <w:rFonts w:cstheme="minorHAnsi"/>
          <w:lang w:val="en-GB"/>
        </w:rPr>
      </w:pPr>
      <w:r w:rsidRPr="002B1045">
        <w:rPr>
          <w:rFonts w:cstheme="minorHAnsi"/>
          <w:b/>
          <w:bCs/>
          <w:u w:val="single"/>
          <w:lang w:val="en-GB"/>
        </w:rPr>
        <w:t>Assigned Key Expert:</w:t>
      </w:r>
      <w:r w:rsidRPr="002B1045">
        <w:rPr>
          <w:rFonts w:cstheme="minorHAnsi"/>
          <w:b/>
          <w:bCs/>
          <w:lang w:val="en-GB"/>
        </w:rPr>
        <w:tab/>
      </w:r>
      <w:r w:rsidR="002B1045" w:rsidRPr="002B1045">
        <w:rPr>
          <w:rFonts w:cstheme="minorHAnsi"/>
          <w:lang w:val="en-GB"/>
        </w:rPr>
        <w:t>Lisjana Hila</w:t>
      </w:r>
    </w:p>
    <w:p w14:paraId="454B2EF2" w14:textId="0732A535" w:rsidR="001C478A" w:rsidRDefault="001C478A" w:rsidP="009677B2">
      <w:pPr>
        <w:rPr>
          <w:rFonts w:cstheme="minorHAnsi"/>
          <w:b/>
          <w:bCs/>
          <w:lang w:val="en-GB"/>
        </w:rPr>
      </w:pPr>
      <w:r w:rsidRPr="002B1045">
        <w:rPr>
          <w:rFonts w:cstheme="minorHAnsi"/>
          <w:b/>
          <w:bCs/>
          <w:u w:val="single"/>
          <w:lang w:val="en-GB"/>
        </w:rPr>
        <w:t>Date:</w:t>
      </w:r>
      <w:r w:rsidRPr="002B1045">
        <w:rPr>
          <w:rFonts w:cstheme="minorHAnsi"/>
          <w:b/>
          <w:bCs/>
          <w:lang w:val="en-GB"/>
        </w:rPr>
        <w:tab/>
      </w:r>
      <w:r w:rsidR="009677B2">
        <w:rPr>
          <w:rFonts w:cstheme="minorHAnsi"/>
          <w:b/>
          <w:bCs/>
          <w:lang w:val="en-GB"/>
        </w:rPr>
        <w:t>03</w:t>
      </w:r>
      <w:r w:rsidR="000F4DD0">
        <w:rPr>
          <w:rFonts w:cstheme="minorHAnsi"/>
          <w:b/>
          <w:bCs/>
          <w:lang w:val="en-GB"/>
        </w:rPr>
        <w:t>/</w:t>
      </w:r>
      <w:r w:rsidR="00634637">
        <w:rPr>
          <w:rFonts w:cstheme="minorHAnsi"/>
          <w:b/>
          <w:bCs/>
          <w:lang w:val="en-GB"/>
        </w:rPr>
        <w:t>0</w:t>
      </w:r>
      <w:r w:rsidR="009677B2">
        <w:rPr>
          <w:rFonts w:cstheme="minorHAnsi"/>
          <w:b/>
          <w:bCs/>
          <w:lang w:val="en-GB"/>
        </w:rPr>
        <w:t>7</w:t>
      </w:r>
      <w:r w:rsidR="000F4DD0">
        <w:rPr>
          <w:rFonts w:cstheme="minorHAnsi"/>
          <w:b/>
          <w:bCs/>
          <w:lang w:val="en-GB"/>
        </w:rPr>
        <w:t>/202</w:t>
      </w:r>
      <w:r w:rsidR="00634637">
        <w:rPr>
          <w:rFonts w:cstheme="minorHAnsi"/>
          <w:b/>
          <w:bCs/>
          <w:lang w:val="en-GB"/>
        </w:rPr>
        <w:t>3</w:t>
      </w:r>
    </w:p>
    <w:p w14:paraId="45679695" w14:textId="3DB24630" w:rsidR="001A47E0" w:rsidRPr="002B1045" w:rsidRDefault="001A47E0" w:rsidP="009677B2">
      <w:pPr>
        <w:rPr>
          <w:rFonts w:cstheme="minorHAnsi"/>
          <w:lang w:val="en-GB"/>
        </w:rPr>
      </w:pPr>
      <w:r w:rsidRPr="001A47E0">
        <w:rPr>
          <w:rFonts w:cstheme="minorHAnsi"/>
          <w:b/>
          <w:bCs/>
          <w:u w:val="single"/>
          <w:lang w:val="en-GB"/>
        </w:rPr>
        <w:t>Deadline for sending applications</w:t>
      </w:r>
      <w:r>
        <w:rPr>
          <w:rFonts w:cstheme="minorHAnsi"/>
          <w:b/>
          <w:bCs/>
          <w:lang w:val="en-GB"/>
        </w:rPr>
        <w:t xml:space="preserve">: </w:t>
      </w:r>
      <w:r w:rsidR="009677B2">
        <w:rPr>
          <w:rFonts w:cstheme="minorHAnsi"/>
          <w:b/>
          <w:bCs/>
          <w:lang w:val="en-GB"/>
        </w:rPr>
        <w:t>-13</w:t>
      </w:r>
      <w:r>
        <w:rPr>
          <w:rFonts w:cstheme="minorHAnsi"/>
          <w:b/>
          <w:bCs/>
          <w:lang w:val="en-GB"/>
        </w:rPr>
        <w:t>/</w:t>
      </w:r>
      <w:r w:rsidR="00634637">
        <w:rPr>
          <w:rFonts w:cstheme="minorHAnsi"/>
          <w:b/>
          <w:bCs/>
          <w:lang w:val="en-GB"/>
        </w:rPr>
        <w:t>07</w:t>
      </w:r>
      <w:r>
        <w:rPr>
          <w:rFonts w:cstheme="minorHAnsi"/>
          <w:b/>
          <w:bCs/>
          <w:lang w:val="en-GB"/>
        </w:rPr>
        <w:t>/202</w:t>
      </w:r>
      <w:r w:rsidR="00634637">
        <w:rPr>
          <w:rFonts w:cstheme="minorHAnsi"/>
          <w:b/>
          <w:bCs/>
          <w:lang w:val="en-GB"/>
        </w:rPr>
        <w:t>3</w:t>
      </w:r>
    </w:p>
    <w:p w14:paraId="7054C810" w14:textId="77777777" w:rsidR="001C478A" w:rsidRPr="002B1045" w:rsidRDefault="001C478A" w:rsidP="001C478A">
      <w:pPr>
        <w:rPr>
          <w:rFonts w:cstheme="minorHAnsi"/>
          <w:lang w:val="en-GB"/>
        </w:rPr>
      </w:pPr>
    </w:p>
    <w:p w14:paraId="706A147A" w14:textId="7C65AC5E" w:rsidR="00BC6A17" w:rsidRPr="00BF5848" w:rsidRDefault="001C478A" w:rsidP="00BF5848">
      <w:pPr>
        <w:jc w:val="center"/>
        <w:rPr>
          <w:rFonts w:cstheme="minorHAnsi"/>
          <w:b/>
          <w:bCs/>
          <w:color w:val="0563C1" w:themeColor="hyperlink"/>
          <w:u w:val="single"/>
          <w:lang w:val="en-GB"/>
        </w:rPr>
      </w:pPr>
      <w:r w:rsidRPr="002B1045">
        <w:rPr>
          <w:rFonts w:cstheme="minorHAnsi"/>
          <w:b/>
          <w:bCs/>
          <w:lang w:val="en-GB"/>
        </w:rPr>
        <w:t xml:space="preserve">To apply, please send your information to </w:t>
      </w:r>
      <w:hyperlink r:id="rId9" w:history="1">
        <w:r w:rsidR="00BC6A17" w:rsidRPr="00C72DFD">
          <w:rPr>
            <w:rStyle w:val="Lienhypertexte"/>
            <w:rFonts w:cstheme="minorHAnsi"/>
            <w:b/>
            <w:bCs/>
            <w:lang w:val="en-GB"/>
          </w:rPr>
          <w:t>lisjana.hila@expertisefrance.fr</w:t>
        </w:r>
      </w:hyperlink>
    </w:p>
    <w:sectPr w:rsidR="00BC6A17" w:rsidRPr="00BF5848" w:rsidSect="001C478A">
      <w:headerReference w:type="default" r:id="rId10"/>
      <w:pgSz w:w="11906" w:h="16838" w:code="9"/>
      <w:pgMar w:top="1417" w:right="1417" w:bottom="1417" w:left="141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1972E" w14:textId="77777777" w:rsidR="00CF6033" w:rsidRDefault="00CF6033">
      <w:pPr>
        <w:spacing w:after="0" w:line="240" w:lineRule="auto"/>
      </w:pPr>
      <w:r>
        <w:separator/>
      </w:r>
    </w:p>
  </w:endnote>
  <w:endnote w:type="continuationSeparator" w:id="0">
    <w:p w14:paraId="553FD9BE" w14:textId="77777777" w:rsidR="00CF6033" w:rsidRDefault="00CF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2987E" w14:textId="77777777" w:rsidR="00CF6033" w:rsidRDefault="00CF6033">
      <w:pPr>
        <w:spacing w:after="0" w:line="240" w:lineRule="auto"/>
      </w:pPr>
      <w:r>
        <w:separator/>
      </w:r>
    </w:p>
  </w:footnote>
  <w:footnote w:type="continuationSeparator" w:id="0">
    <w:p w14:paraId="0CE22BB9" w14:textId="77777777" w:rsidR="00CF6033" w:rsidRDefault="00CF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C5B" w14:textId="388B58D9" w:rsidR="0079474F" w:rsidRDefault="00CF6033" w:rsidP="00791AF9">
    <w:pPr>
      <w:pStyle w:val="En-tte"/>
    </w:pPr>
  </w:p>
  <w:p w14:paraId="6C21FF92" w14:textId="77777777" w:rsidR="0079474F" w:rsidRDefault="00CF6033" w:rsidP="00791AF9">
    <w:pPr>
      <w:pStyle w:val="En-tte"/>
    </w:pPr>
  </w:p>
  <w:p w14:paraId="6F566CF0" w14:textId="77777777" w:rsidR="0079474F" w:rsidRDefault="00CF6033" w:rsidP="00791AF9">
    <w:pPr>
      <w:pStyle w:val="En-tte"/>
    </w:pPr>
  </w:p>
  <w:p w14:paraId="619E186A" w14:textId="77777777" w:rsidR="0079474F" w:rsidRPr="00791AF9" w:rsidRDefault="00CF6033" w:rsidP="00791A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2492"/>
    <w:multiLevelType w:val="hybridMultilevel"/>
    <w:tmpl w:val="13088A6A"/>
    <w:lvl w:ilvl="0" w:tplc="21E6FB2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A3052"/>
    <w:multiLevelType w:val="hybridMultilevel"/>
    <w:tmpl w:val="2B6638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2E667CA"/>
    <w:multiLevelType w:val="hybridMultilevel"/>
    <w:tmpl w:val="552CE764"/>
    <w:lvl w:ilvl="0" w:tplc="493AC2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1221D8"/>
    <w:multiLevelType w:val="multilevel"/>
    <w:tmpl w:val="165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74842"/>
    <w:multiLevelType w:val="multilevel"/>
    <w:tmpl w:val="A6A8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C33AB"/>
    <w:multiLevelType w:val="hybridMultilevel"/>
    <w:tmpl w:val="D0142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800A19"/>
    <w:multiLevelType w:val="hybridMultilevel"/>
    <w:tmpl w:val="3CE6C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750985"/>
    <w:multiLevelType w:val="hybridMultilevel"/>
    <w:tmpl w:val="A27C15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A9654F"/>
    <w:multiLevelType w:val="hybridMultilevel"/>
    <w:tmpl w:val="24588E22"/>
    <w:lvl w:ilvl="0" w:tplc="8BF6C0F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1"/>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8A"/>
    <w:rsid w:val="00007EC4"/>
    <w:rsid w:val="0002371D"/>
    <w:rsid w:val="00031967"/>
    <w:rsid w:val="00035610"/>
    <w:rsid w:val="00046764"/>
    <w:rsid w:val="000F4DD0"/>
    <w:rsid w:val="00112F1A"/>
    <w:rsid w:val="00145554"/>
    <w:rsid w:val="00170907"/>
    <w:rsid w:val="001A47E0"/>
    <w:rsid w:val="001C478A"/>
    <w:rsid w:val="002251E4"/>
    <w:rsid w:val="00232AC2"/>
    <w:rsid w:val="00241EC6"/>
    <w:rsid w:val="00292F36"/>
    <w:rsid w:val="00294A94"/>
    <w:rsid w:val="002A09DC"/>
    <w:rsid w:val="002B1045"/>
    <w:rsid w:val="002F491F"/>
    <w:rsid w:val="0031263B"/>
    <w:rsid w:val="00324E03"/>
    <w:rsid w:val="0032746F"/>
    <w:rsid w:val="003F38D4"/>
    <w:rsid w:val="004D04DF"/>
    <w:rsid w:val="005355B3"/>
    <w:rsid w:val="005731CE"/>
    <w:rsid w:val="00580454"/>
    <w:rsid w:val="005957EF"/>
    <w:rsid w:val="005A4455"/>
    <w:rsid w:val="005A4A0C"/>
    <w:rsid w:val="00627B87"/>
    <w:rsid w:val="00634637"/>
    <w:rsid w:val="00641983"/>
    <w:rsid w:val="00697BC8"/>
    <w:rsid w:val="006B5AC0"/>
    <w:rsid w:val="006F7369"/>
    <w:rsid w:val="007071B9"/>
    <w:rsid w:val="00714E78"/>
    <w:rsid w:val="007A1DDB"/>
    <w:rsid w:val="007A3859"/>
    <w:rsid w:val="007A3B20"/>
    <w:rsid w:val="007B4E29"/>
    <w:rsid w:val="007C0EF7"/>
    <w:rsid w:val="0080368B"/>
    <w:rsid w:val="00897003"/>
    <w:rsid w:val="008D11A1"/>
    <w:rsid w:val="008D3C89"/>
    <w:rsid w:val="008D5098"/>
    <w:rsid w:val="009524B4"/>
    <w:rsid w:val="009677B2"/>
    <w:rsid w:val="009A0002"/>
    <w:rsid w:val="009A6356"/>
    <w:rsid w:val="009B3889"/>
    <w:rsid w:val="00A07A3E"/>
    <w:rsid w:val="00A25C7E"/>
    <w:rsid w:val="00A342DC"/>
    <w:rsid w:val="00AA4A68"/>
    <w:rsid w:val="00AA7B6F"/>
    <w:rsid w:val="00AC20A9"/>
    <w:rsid w:val="00AF7138"/>
    <w:rsid w:val="00B340D6"/>
    <w:rsid w:val="00B67AC4"/>
    <w:rsid w:val="00B70BA0"/>
    <w:rsid w:val="00BC6A17"/>
    <w:rsid w:val="00BF25BE"/>
    <w:rsid w:val="00BF4215"/>
    <w:rsid w:val="00BF5848"/>
    <w:rsid w:val="00C1440D"/>
    <w:rsid w:val="00C2278D"/>
    <w:rsid w:val="00C62A60"/>
    <w:rsid w:val="00C668E5"/>
    <w:rsid w:val="00C66B8E"/>
    <w:rsid w:val="00C86FD5"/>
    <w:rsid w:val="00C93522"/>
    <w:rsid w:val="00CA58FC"/>
    <w:rsid w:val="00CB0D84"/>
    <w:rsid w:val="00CD3B6F"/>
    <w:rsid w:val="00CF6033"/>
    <w:rsid w:val="00D57F59"/>
    <w:rsid w:val="00DE7A73"/>
    <w:rsid w:val="00E55C03"/>
    <w:rsid w:val="00E90031"/>
    <w:rsid w:val="00EB68F5"/>
    <w:rsid w:val="00EB76AB"/>
    <w:rsid w:val="00EE4891"/>
    <w:rsid w:val="00F01888"/>
    <w:rsid w:val="00F32BAC"/>
    <w:rsid w:val="00F50F41"/>
    <w:rsid w:val="00F63834"/>
    <w:rsid w:val="00F656C7"/>
    <w:rsid w:val="00FC23E2"/>
    <w:rsid w:val="00FF28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6955"/>
  <w15:chartTrackingRefBased/>
  <w15:docId w15:val="{04A9F39E-038E-46EE-AF5E-D3B979BF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478A"/>
    <w:pPr>
      <w:tabs>
        <w:tab w:val="center" w:pos="4536"/>
        <w:tab w:val="right" w:pos="9072"/>
      </w:tabs>
      <w:spacing w:after="0" w:line="240" w:lineRule="auto"/>
    </w:pPr>
  </w:style>
  <w:style w:type="character" w:customStyle="1" w:styleId="En-tteCar">
    <w:name w:val="En-tête Car"/>
    <w:basedOn w:val="Policepardfaut"/>
    <w:link w:val="En-tte"/>
    <w:uiPriority w:val="99"/>
    <w:rsid w:val="001C478A"/>
  </w:style>
  <w:style w:type="paragraph" w:styleId="Paragraphedeliste">
    <w:name w:val="List Paragraph"/>
    <w:basedOn w:val="Normal"/>
    <w:uiPriority w:val="34"/>
    <w:qFormat/>
    <w:rsid w:val="001C478A"/>
    <w:pPr>
      <w:spacing w:after="0" w:line="240" w:lineRule="auto"/>
      <w:ind w:left="720"/>
      <w:contextualSpacing/>
      <w:jc w:val="both"/>
    </w:pPr>
    <w:rPr>
      <w:rFonts w:ascii="Calibri" w:eastAsia="Calibri" w:hAnsi="Calibri" w:cs="Times New Roman"/>
      <w:lang w:val="en-GB"/>
    </w:rPr>
  </w:style>
  <w:style w:type="character" w:styleId="Lienhypertexte">
    <w:name w:val="Hyperlink"/>
    <w:basedOn w:val="Policepardfaut"/>
    <w:uiPriority w:val="99"/>
    <w:unhideWhenUsed/>
    <w:rsid w:val="001C478A"/>
    <w:rPr>
      <w:color w:val="0563C1" w:themeColor="hyperlink"/>
      <w:u w:val="single"/>
    </w:rPr>
  </w:style>
  <w:style w:type="character" w:customStyle="1" w:styleId="UnresolvedMention">
    <w:name w:val="Unresolved Mention"/>
    <w:basedOn w:val="Policepardfaut"/>
    <w:uiPriority w:val="99"/>
    <w:semiHidden/>
    <w:unhideWhenUsed/>
    <w:rsid w:val="002B1045"/>
    <w:rPr>
      <w:color w:val="605E5C"/>
      <w:shd w:val="clear" w:color="auto" w:fill="E1DFDD"/>
    </w:rPr>
  </w:style>
  <w:style w:type="paragraph" w:styleId="Pieddepage">
    <w:name w:val="footer"/>
    <w:basedOn w:val="Normal"/>
    <w:link w:val="PieddepageCar"/>
    <w:uiPriority w:val="99"/>
    <w:unhideWhenUsed/>
    <w:rsid w:val="005355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8908">
      <w:bodyDiv w:val="1"/>
      <w:marLeft w:val="0"/>
      <w:marRight w:val="0"/>
      <w:marTop w:val="0"/>
      <w:marBottom w:val="0"/>
      <w:divBdr>
        <w:top w:val="none" w:sz="0" w:space="0" w:color="auto"/>
        <w:left w:val="none" w:sz="0" w:space="0" w:color="auto"/>
        <w:bottom w:val="none" w:sz="0" w:space="0" w:color="auto"/>
        <w:right w:val="none" w:sz="0" w:space="0" w:color="auto"/>
      </w:divBdr>
    </w:div>
    <w:div w:id="491723073">
      <w:bodyDiv w:val="1"/>
      <w:marLeft w:val="0"/>
      <w:marRight w:val="0"/>
      <w:marTop w:val="0"/>
      <w:marBottom w:val="0"/>
      <w:divBdr>
        <w:top w:val="none" w:sz="0" w:space="0" w:color="auto"/>
        <w:left w:val="none" w:sz="0" w:space="0" w:color="auto"/>
        <w:bottom w:val="none" w:sz="0" w:space="0" w:color="auto"/>
        <w:right w:val="none" w:sz="0" w:space="0" w:color="auto"/>
      </w:divBdr>
    </w:div>
    <w:div w:id="631324813">
      <w:bodyDiv w:val="1"/>
      <w:marLeft w:val="0"/>
      <w:marRight w:val="0"/>
      <w:marTop w:val="0"/>
      <w:marBottom w:val="0"/>
      <w:divBdr>
        <w:top w:val="none" w:sz="0" w:space="0" w:color="auto"/>
        <w:left w:val="none" w:sz="0" w:space="0" w:color="auto"/>
        <w:bottom w:val="none" w:sz="0" w:space="0" w:color="auto"/>
        <w:right w:val="none" w:sz="0" w:space="0" w:color="auto"/>
      </w:divBdr>
    </w:div>
    <w:div w:id="20661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aqameTech/" TargetMode="External"/><Relationship Id="rId3" Type="http://schemas.openxmlformats.org/officeDocument/2006/relationships/settings" Target="settings.xml"/><Relationship Id="rId7" Type="http://schemas.openxmlformats.org/officeDocument/2006/relationships/hyperlink" Target="https://www.eu4ps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sjana.hila@expertise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698</Words>
  <Characters>3842</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lisjana.hila</dc:creator>
  <cp:keywords/>
  <dc:description/>
  <cp:lastModifiedBy>Lisjana HILA</cp:lastModifiedBy>
  <cp:revision>5</cp:revision>
  <dcterms:created xsi:type="dcterms:W3CDTF">2023-06-27T14:57:00Z</dcterms:created>
  <dcterms:modified xsi:type="dcterms:W3CDTF">2023-07-04T07:01:00Z</dcterms:modified>
</cp:coreProperties>
</file>