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842" w:rsidRPr="009E6842" w:rsidRDefault="009E6842" w:rsidP="009E6842">
      <w:pPr>
        <w:pBdr>
          <w:top w:val="single" w:sz="4" w:space="1" w:color="000000"/>
          <w:left w:val="single" w:sz="4" w:space="4" w:color="000000"/>
          <w:bottom w:val="single" w:sz="4" w:space="13" w:color="000000"/>
          <w:right w:val="single" w:sz="4" w:space="4" w:color="000000"/>
        </w:pBdr>
        <w:spacing w:before="100" w:beforeAutospacing="1" w:after="100" w:afterAutospacing="1"/>
        <w:jc w:val="center"/>
        <w:outlineLvl w:val="2"/>
        <w:rPr>
          <w:rFonts w:ascii="Arial" w:hAnsi="Arial" w:cs="Arial"/>
          <w:b/>
          <w:bCs/>
          <w:sz w:val="32"/>
          <w:szCs w:val="27"/>
          <w:lang w:val="en-US"/>
        </w:rPr>
      </w:pPr>
      <w:bookmarkStart w:id="0" w:name="_Toc322967809"/>
      <w:bookmarkStart w:id="1" w:name="_Toc54022773"/>
      <w:r w:rsidRPr="009E6842">
        <w:rPr>
          <w:rFonts w:ascii="Arial" w:hAnsi="Arial" w:cs="Arial"/>
          <w:b/>
          <w:bCs/>
          <w:sz w:val="32"/>
          <w:szCs w:val="27"/>
          <w:lang w:val="en-US"/>
        </w:rPr>
        <w:t xml:space="preserve">Terms of Reference </w:t>
      </w:r>
    </w:p>
    <w:p w:rsidR="009E6842" w:rsidRPr="009E6842" w:rsidRDefault="009E6842" w:rsidP="009E6842">
      <w:pPr>
        <w:pBdr>
          <w:top w:val="single" w:sz="4" w:space="1" w:color="000000"/>
          <w:left w:val="single" w:sz="4" w:space="4" w:color="000000"/>
          <w:bottom w:val="single" w:sz="4" w:space="13" w:color="000000"/>
          <w:right w:val="single" w:sz="4" w:space="4" w:color="000000"/>
        </w:pBdr>
        <w:spacing w:before="100" w:beforeAutospacing="1" w:after="100" w:afterAutospacing="1"/>
        <w:jc w:val="center"/>
        <w:outlineLvl w:val="2"/>
        <w:rPr>
          <w:rFonts w:ascii="Arial" w:hAnsi="Arial" w:cs="Arial"/>
          <w:b/>
          <w:bCs/>
          <w:sz w:val="32"/>
          <w:szCs w:val="27"/>
          <w:lang w:val="en-US"/>
        </w:rPr>
      </w:pPr>
      <w:r w:rsidRPr="009E6842">
        <w:rPr>
          <w:rFonts w:ascii="Arial" w:hAnsi="Arial" w:cs="Arial"/>
          <w:b/>
          <w:bCs/>
          <w:sz w:val="32"/>
          <w:szCs w:val="27"/>
          <w:lang w:val="en-US"/>
        </w:rPr>
        <w:t>Energy Policy Based Loan Monitoring</w:t>
      </w:r>
    </w:p>
    <w:p w:rsidR="00C22933" w:rsidRDefault="005947AC">
      <w:pPr>
        <w:pStyle w:val="Titre1"/>
        <w:numPr>
          <w:ilvl w:val="0"/>
          <w:numId w:val="5"/>
        </w:numPr>
      </w:pPr>
      <w:r>
        <w:t>Context</w:t>
      </w:r>
      <w:bookmarkEnd w:id="0"/>
      <w:bookmarkEnd w:id="1"/>
    </w:p>
    <w:p w:rsidR="00C22933" w:rsidRDefault="00C22933">
      <w:pPr>
        <w:rPr>
          <w:highlight w:val="yellow"/>
        </w:rPr>
      </w:pPr>
      <w:bookmarkStart w:id="2" w:name="_Toc322957279"/>
    </w:p>
    <w:p w:rsidR="00C22933" w:rsidRDefault="005947AC">
      <w:pPr>
        <w:jc w:val="both"/>
      </w:pPr>
      <w:bookmarkStart w:id="3" w:name="_Toc322967810"/>
      <w:r>
        <w:t xml:space="preserve">In August 2020, the Republic of Uzbekistan signed an Energy Climate Policy Based Loan (PBL) Phase 1 with AFD in co-financing with the Asian Development Bank (ADB). The aim of the PBL was to implement reforms in the energy sector to ensure low-carbon development. </w:t>
      </w:r>
    </w:p>
    <w:p w:rsidR="00C22933" w:rsidRDefault="00C22933">
      <w:pPr>
        <w:jc w:val="both"/>
      </w:pPr>
    </w:p>
    <w:p w:rsidR="00C22933" w:rsidRDefault="005947AC">
      <w:pPr>
        <w:jc w:val="both"/>
      </w:pPr>
      <w:r>
        <w:t>In addition to this, AFD provided the 1st Technical Assistance (TA) amounting to 400 000 EUR to perform some activities in different areas such as energy regulation, electricity tariff, bioenergy, energy sector modelling, gender support and screening of future transmission projects.</w:t>
      </w:r>
    </w:p>
    <w:p w:rsidR="00C22933" w:rsidRDefault="00C22933">
      <w:pPr>
        <w:jc w:val="both"/>
      </w:pPr>
    </w:p>
    <w:p w:rsidR="00C22933" w:rsidRDefault="005947AC">
      <w:pPr>
        <w:jc w:val="both"/>
      </w:pPr>
      <w:r>
        <w:t>More than 3 years after the signing of the PBL Phase 1, Uzbek authorities renew an action plan backed by a coherent budgetary and fiscal strategy aimed at tackling power sector restructuring, strengthening of the regulatory environment, improvement of financial stability, power sector decarbonisation, and energy efficiency.</w:t>
      </w:r>
    </w:p>
    <w:p w:rsidR="00C22933" w:rsidRDefault="00C22933">
      <w:pPr>
        <w:jc w:val="both"/>
      </w:pPr>
    </w:p>
    <w:p w:rsidR="00C22933" w:rsidRDefault="005947AC">
      <w:pPr>
        <w:jc w:val="both"/>
      </w:pPr>
      <w:r>
        <w:t>Within the framework of this political commitment, the Ministry of Energy (</w:t>
      </w:r>
      <w:proofErr w:type="spellStart"/>
      <w:r>
        <w:t>MoE</w:t>
      </w:r>
      <w:proofErr w:type="spellEnd"/>
      <w:r>
        <w:t>) and the Ministry of Economy &amp; Finance (</w:t>
      </w:r>
      <w:proofErr w:type="spellStart"/>
      <w:r>
        <w:t>MoEF</w:t>
      </w:r>
      <w:proofErr w:type="spellEnd"/>
      <w:r>
        <w:t>) confirmed their interest for an Energy Climate Policy Based Loan (PBL) Phase 2 in 2024 with a co-financing from AFD and ADB.</w:t>
      </w:r>
    </w:p>
    <w:p w:rsidR="00C22933" w:rsidRDefault="00C22933">
      <w:pPr>
        <w:jc w:val="both"/>
      </w:pPr>
    </w:p>
    <w:p w:rsidR="00C22933" w:rsidRDefault="005947AC">
      <w:pPr>
        <w:jc w:val="both"/>
      </w:pPr>
      <w:r>
        <w:t xml:space="preserve">As with PBL Phase 1, AFD provide a TA of 1.5 M€ related to the PBL Phase 2 to support the authorities’ efforts in line with the previous TA described above. </w:t>
      </w:r>
    </w:p>
    <w:p w:rsidR="00C22933" w:rsidRDefault="00C22933">
      <w:pPr>
        <w:jc w:val="both"/>
      </w:pPr>
    </w:p>
    <w:p w:rsidR="00C22933" w:rsidRDefault="005947AC">
      <w:pPr>
        <w:jc w:val="both"/>
      </w:pPr>
      <w:r>
        <w:t xml:space="preserve">Expertise France (EF) is implementing this TA to the benefit of the Uzbek government (notably </w:t>
      </w:r>
      <w:proofErr w:type="spellStart"/>
      <w:r>
        <w:t>MoEF</w:t>
      </w:r>
      <w:proofErr w:type="spellEnd"/>
      <w:r>
        <w:t xml:space="preserve"> and </w:t>
      </w:r>
      <w:proofErr w:type="spellStart"/>
      <w:r>
        <w:t>MoE</w:t>
      </w:r>
      <w:proofErr w:type="spellEnd"/>
      <w:r>
        <w:t>) for a period of 3 years (2023-2026).</w:t>
      </w:r>
    </w:p>
    <w:bookmarkEnd w:id="2"/>
    <w:bookmarkEnd w:id="3"/>
    <w:p w:rsidR="00C22933" w:rsidRDefault="00C22933">
      <w:pPr>
        <w:jc w:val="both"/>
      </w:pPr>
    </w:p>
    <w:p w:rsidR="00C22933" w:rsidRDefault="005947AC">
      <w:pPr>
        <w:jc w:val="both"/>
      </w:pPr>
      <w:r>
        <w:t>In this context, a Matrix of public policy actions (Annex I) was built and constitutes key objectives for the Government of Uzbekistan for implementation. This policy Matrix was designed in dialogue between AFD, ADB and representatives from the Government of Uzbekistan (</w:t>
      </w:r>
      <w:proofErr w:type="spellStart"/>
      <w:r>
        <w:t>GoU</w:t>
      </w:r>
      <w:proofErr w:type="spellEnd"/>
      <w:r>
        <w:t xml:space="preserve">), mainly the </w:t>
      </w:r>
      <w:proofErr w:type="spellStart"/>
      <w:r>
        <w:t>MoEF</w:t>
      </w:r>
      <w:proofErr w:type="spellEnd"/>
      <w:r>
        <w:t xml:space="preserve"> and the </w:t>
      </w:r>
      <w:proofErr w:type="spellStart"/>
      <w:r>
        <w:t>MoE</w:t>
      </w:r>
      <w:proofErr w:type="spellEnd"/>
      <w:r>
        <w:t>. This Matrix is composed of four areas:</w:t>
      </w:r>
    </w:p>
    <w:p w:rsidR="00C22933" w:rsidRDefault="00C22933">
      <w:pPr>
        <w:jc w:val="both"/>
      </w:pPr>
    </w:p>
    <w:p w:rsidR="00C22933" w:rsidRDefault="005947AC">
      <w:pPr>
        <w:pStyle w:val="Paragraphedeliste"/>
        <w:numPr>
          <w:ilvl w:val="0"/>
          <w:numId w:val="3"/>
        </w:numPr>
        <w:rPr>
          <w:sz w:val="24"/>
          <w:szCs w:val="24"/>
        </w:rPr>
      </w:pPr>
      <w:r>
        <w:rPr>
          <w:sz w:val="24"/>
          <w:szCs w:val="24"/>
        </w:rPr>
        <w:t>Area 1 - Power Sector Restructured and Regulations Adopted (5 policy actions);</w:t>
      </w:r>
    </w:p>
    <w:p w:rsidR="00C22933" w:rsidRDefault="005947AC">
      <w:pPr>
        <w:pStyle w:val="Paragraphedeliste"/>
        <w:numPr>
          <w:ilvl w:val="0"/>
          <w:numId w:val="3"/>
        </w:numPr>
        <w:rPr>
          <w:sz w:val="24"/>
          <w:szCs w:val="24"/>
        </w:rPr>
      </w:pPr>
      <w:r>
        <w:rPr>
          <w:sz w:val="24"/>
          <w:szCs w:val="24"/>
        </w:rPr>
        <w:t>Area 2 - Sector financial sustainability improved (5 policy actions);</w:t>
      </w:r>
    </w:p>
    <w:p w:rsidR="00C22933" w:rsidRDefault="005947AC">
      <w:pPr>
        <w:pStyle w:val="Paragraphedeliste"/>
        <w:numPr>
          <w:ilvl w:val="0"/>
          <w:numId w:val="3"/>
        </w:numPr>
        <w:rPr>
          <w:sz w:val="24"/>
          <w:szCs w:val="24"/>
        </w:rPr>
      </w:pPr>
      <w:r>
        <w:rPr>
          <w:sz w:val="24"/>
          <w:szCs w:val="24"/>
        </w:rPr>
        <w:t>Area 3 - Power sector carbon intensity reduced (3 policy actions);</w:t>
      </w:r>
    </w:p>
    <w:p w:rsidR="00C22933" w:rsidRDefault="005947AC">
      <w:pPr>
        <w:pStyle w:val="Paragraphedeliste"/>
        <w:numPr>
          <w:ilvl w:val="0"/>
          <w:numId w:val="3"/>
        </w:numPr>
        <w:rPr>
          <w:sz w:val="24"/>
          <w:szCs w:val="24"/>
        </w:rPr>
      </w:pPr>
      <w:r>
        <w:rPr>
          <w:sz w:val="24"/>
          <w:szCs w:val="24"/>
        </w:rPr>
        <w:t>Area 4 - Demand Side Energy Efficiency Increased (1 policy action).</w:t>
      </w:r>
    </w:p>
    <w:p w:rsidR="00C22933" w:rsidRDefault="00C22933">
      <w:pPr>
        <w:jc w:val="both"/>
      </w:pPr>
    </w:p>
    <w:p w:rsidR="00C22933" w:rsidRDefault="005947AC">
      <w:pPr>
        <w:jc w:val="both"/>
      </w:pPr>
      <w:r>
        <w:t xml:space="preserve">The Matrix includes several follow-up points (third column in the Matrix; “Follow-up points”) per public policy actions package. They describe the expected impacts (mainly technical, organisational, legal and social) after the fulfilment of the policy actions of the PBL Phase 2. Please note that these follow-up points are not binding for the government of Uzbekistan but will be used as a basis of discussion between </w:t>
      </w:r>
      <w:proofErr w:type="spellStart"/>
      <w:r>
        <w:t>MoEF</w:t>
      </w:r>
      <w:proofErr w:type="spellEnd"/>
      <w:r>
        <w:t>/</w:t>
      </w:r>
      <w:proofErr w:type="spellStart"/>
      <w:r>
        <w:t>MoE</w:t>
      </w:r>
      <w:proofErr w:type="spellEnd"/>
      <w:r>
        <w:t xml:space="preserve"> and AFD for a multi-year dialogue.</w:t>
      </w:r>
    </w:p>
    <w:p w:rsidR="00C22933" w:rsidRDefault="00C22933">
      <w:pPr>
        <w:jc w:val="both"/>
      </w:pPr>
    </w:p>
    <w:p w:rsidR="00C22933" w:rsidRDefault="005947AC">
      <w:pPr>
        <w:jc w:val="both"/>
      </w:pPr>
      <w:r>
        <w:lastRenderedPageBreak/>
        <w:t xml:space="preserve">As part of this ongoing public policy dialogue, AFD also plans to monitor the policy actions completed and to be completed in the future by </w:t>
      </w:r>
      <w:proofErr w:type="spellStart"/>
      <w:r>
        <w:t>GoU</w:t>
      </w:r>
      <w:proofErr w:type="spellEnd"/>
      <w:r>
        <w:t xml:space="preserve"> in order to consider the possibility of an Energy Climate PBL (Phase 3).</w:t>
      </w:r>
    </w:p>
    <w:p w:rsidR="00C22933" w:rsidRDefault="00C22933"/>
    <w:p w:rsidR="00C22933" w:rsidRDefault="005947AC">
      <w:pPr>
        <w:pStyle w:val="Titre1"/>
        <w:numPr>
          <w:ilvl w:val="0"/>
          <w:numId w:val="4"/>
        </w:numPr>
      </w:pPr>
      <w:bookmarkStart w:id="4" w:name="_Toc54022774"/>
      <w:r>
        <w:t>Executing entities</w:t>
      </w:r>
      <w:bookmarkEnd w:id="4"/>
      <w:r>
        <w:t xml:space="preserve"> &amp; Technical Assistance Steering Committee</w:t>
      </w:r>
    </w:p>
    <w:p w:rsidR="00C22933" w:rsidRDefault="00C22933">
      <w:pPr>
        <w:jc w:val="both"/>
      </w:pPr>
    </w:p>
    <w:p w:rsidR="00C22933" w:rsidRDefault="005947AC">
      <w:pPr>
        <w:jc w:val="both"/>
      </w:pPr>
      <w:proofErr w:type="spellStart"/>
      <w:r>
        <w:t>MoEF</w:t>
      </w:r>
      <w:proofErr w:type="spellEnd"/>
      <w:r>
        <w:t xml:space="preserve">, </w:t>
      </w:r>
      <w:proofErr w:type="spellStart"/>
      <w:r>
        <w:t>MoE</w:t>
      </w:r>
      <w:proofErr w:type="spellEnd"/>
      <w:r>
        <w:t xml:space="preserve"> and the Energy Market Development and Regulatory Agency (EMDRA) are the Executing Entities for the Program (PBL and Matrix implementation). They have, among others, the following functions:</w:t>
      </w:r>
    </w:p>
    <w:p w:rsidR="00C22933" w:rsidRDefault="00C22933">
      <w:pPr>
        <w:jc w:val="both"/>
      </w:pPr>
    </w:p>
    <w:p w:rsidR="00C22933" w:rsidRDefault="005947AC">
      <w:pPr>
        <w:pStyle w:val="Paragraphedeliste"/>
        <w:numPr>
          <w:ilvl w:val="0"/>
          <w:numId w:val="3"/>
        </w:numPr>
        <w:rPr>
          <w:sz w:val="24"/>
          <w:szCs w:val="24"/>
        </w:rPr>
      </w:pPr>
      <w:r>
        <w:rPr>
          <w:sz w:val="24"/>
          <w:szCs w:val="24"/>
        </w:rPr>
        <w:t xml:space="preserve">Collaborate with the other institutions/stakeholders to </w:t>
      </w:r>
      <w:proofErr w:type="spellStart"/>
      <w:r>
        <w:rPr>
          <w:sz w:val="24"/>
          <w:szCs w:val="24"/>
        </w:rPr>
        <w:t>fulfill</w:t>
      </w:r>
      <w:proofErr w:type="spellEnd"/>
      <w:r>
        <w:rPr>
          <w:sz w:val="24"/>
          <w:szCs w:val="24"/>
        </w:rPr>
        <w:t xml:space="preserve"> the objectives of the Matrix;</w:t>
      </w:r>
    </w:p>
    <w:p w:rsidR="00C22933" w:rsidRDefault="005947AC">
      <w:pPr>
        <w:pStyle w:val="Paragraphedeliste"/>
        <w:numPr>
          <w:ilvl w:val="0"/>
          <w:numId w:val="3"/>
        </w:numPr>
        <w:rPr>
          <w:sz w:val="24"/>
          <w:szCs w:val="24"/>
        </w:rPr>
      </w:pPr>
      <w:r>
        <w:rPr>
          <w:sz w:val="24"/>
          <w:szCs w:val="24"/>
        </w:rPr>
        <w:t>Organize regular meetings of the TA Steering Committee with EF;</w:t>
      </w:r>
    </w:p>
    <w:p w:rsidR="00C22933" w:rsidRDefault="005947AC">
      <w:pPr>
        <w:pStyle w:val="Paragraphedeliste"/>
        <w:numPr>
          <w:ilvl w:val="0"/>
          <w:numId w:val="3"/>
        </w:numPr>
        <w:rPr>
          <w:sz w:val="24"/>
          <w:szCs w:val="24"/>
        </w:rPr>
      </w:pPr>
      <w:r>
        <w:rPr>
          <w:sz w:val="24"/>
          <w:szCs w:val="24"/>
        </w:rPr>
        <w:t>Name a focal point within each Executing Entity to facilitate the implementation of the Matrix;</w:t>
      </w:r>
    </w:p>
    <w:p w:rsidR="00C22933" w:rsidRDefault="005947AC">
      <w:pPr>
        <w:pStyle w:val="Paragraphedeliste"/>
        <w:numPr>
          <w:ilvl w:val="0"/>
          <w:numId w:val="3"/>
        </w:numPr>
        <w:rPr>
          <w:sz w:val="24"/>
          <w:szCs w:val="24"/>
        </w:rPr>
      </w:pPr>
      <w:r>
        <w:rPr>
          <w:sz w:val="24"/>
          <w:szCs w:val="24"/>
        </w:rPr>
        <w:t xml:space="preserve">Review and provide no objection to the terms of reference for TA activities undertaken in relation with the PBL and Matrix.  </w:t>
      </w:r>
    </w:p>
    <w:p w:rsidR="00C22933" w:rsidRDefault="005947AC">
      <w:pPr>
        <w:rPr>
          <w:lang w:val="en-US"/>
        </w:rPr>
      </w:pPr>
      <w:r>
        <w:rPr>
          <w:lang w:val="en-US"/>
        </w:rPr>
        <w:t>Technical Assistance Steering Committee (TASC) consist of representatives from the Ministry of Energy (Deputy Minister), Ministry of Economy and Finance (Deputy Minister), AFD deputy representative and Expertise France (team leader).</w:t>
      </w:r>
    </w:p>
    <w:p w:rsidR="00C22933" w:rsidRDefault="00C22933">
      <w:pPr>
        <w:spacing w:line="240" w:lineRule="exact"/>
        <w:rPr>
          <w:lang w:val="en-US"/>
        </w:rPr>
      </w:pPr>
    </w:p>
    <w:p w:rsidR="00C22933" w:rsidRDefault="005947AC">
      <w:pPr>
        <w:jc w:val="both"/>
        <w:rPr>
          <w:lang w:val="en-US"/>
        </w:rPr>
      </w:pPr>
      <w:r>
        <w:rPr>
          <w:lang w:val="en-US"/>
        </w:rPr>
        <w:t>TASC have annual meetings (in total three meeting throughout duration of TA) and can be consulted in an informal session during the entire implementation of the TA.</w:t>
      </w:r>
    </w:p>
    <w:p w:rsidR="00C22933" w:rsidRDefault="00C22933">
      <w:pPr>
        <w:jc w:val="both"/>
        <w:rPr>
          <w:lang w:val="en-US"/>
        </w:rPr>
      </w:pPr>
    </w:p>
    <w:p w:rsidR="00C22933" w:rsidRDefault="005947AC">
      <w:pPr>
        <w:jc w:val="both"/>
        <w:rPr>
          <w:lang w:val="en-US"/>
        </w:rPr>
      </w:pPr>
      <w:r>
        <w:rPr>
          <w:lang w:val="en-US"/>
        </w:rPr>
        <w:t xml:space="preserve">As indicated in section </w:t>
      </w:r>
      <w:proofErr w:type="gramStart"/>
      <w:r>
        <w:rPr>
          <w:i/>
          <w:lang w:val="en-US"/>
        </w:rPr>
        <w:t>4.Provisional</w:t>
      </w:r>
      <w:proofErr w:type="gramEnd"/>
      <w:r>
        <w:rPr>
          <w:i/>
          <w:lang w:val="en-US"/>
        </w:rPr>
        <w:t xml:space="preserve"> schedule &amp; Deliverables</w:t>
      </w:r>
      <w:r>
        <w:rPr>
          <w:lang w:val="en-US"/>
        </w:rPr>
        <w:t>, the Consultant or team of consultants may be invited to take part in the TASC to present the deliverables produced (Activities 1 to 3).</w:t>
      </w:r>
    </w:p>
    <w:p w:rsidR="00C22933" w:rsidRDefault="00C22933">
      <w:pPr>
        <w:jc w:val="both"/>
        <w:rPr>
          <w:lang w:val="en-US"/>
        </w:rPr>
      </w:pPr>
    </w:p>
    <w:p w:rsidR="00C22933" w:rsidRDefault="005947AC">
      <w:pPr>
        <w:jc w:val="both"/>
        <w:rPr>
          <w:lang w:val="en-US"/>
        </w:rPr>
      </w:pPr>
      <w:r>
        <w:rPr>
          <w:lang w:val="en-US"/>
        </w:rPr>
        <w:t>The preparation of the intervention during the TASC and the execution of the Activities will be under the responsibility of the EF Team Leader.</w:t>
      </w:r>
    </w:p>
    <w:p w:rsidR="00C22933" w:rsidRDefault="00C22933">
      <w:pPr>
        <w:rPr>
          <w:lang w:val="en-US"/>
        </w:rPr>
      </w:pPr>
    </w:p>
    <w:p w:rsidR="00C22933" w:rsidRDefault="005947AC">
      <w:pPr>
        <w:pStyle w:val="Titre1"/>
        <w:numPr>
          <w:ilvl w:val="0"/>
          <w:numId w:val="4"/>
        </w:numPr>
      </w:pPr>
      <w:r>
        <w:t>Objectives &amp; Scope of Work</w:t>
      </w:r>
    </w:p>
    <w:p w:rsidR="00C22933" w:rsidRDefault="00C22933">
      <w:pPr>
        <w:jc w:val="both"/>
      </w:pPr>
    </w:p>
    <w:p w:rsidR="00C22933" w:rsidRDefault="005947AC">
      <w:pPr>
        <w:jc w:val="both"/>
      </w:pPr>
      <w:r>
        <w:t>The purpose of these Terms of reference is to hire an independent and international consultant or team of consultants (“the Consultant”) to perform the following activities over the next 2 years:</w:t>
      </w:r>
    </w:p>
    <w:p w:rsidR="00C22933" w:rsidRDefault="005947AC">
      <w:pPr>
        <w:pStyle w:val="Paragraphedeliste"/>
        <w:numPr>
          <w:ilvl w:val="0"/>
          <w:numId w:val="12"/>
        </w:numPr>
        <w:spacing w:before="240"/>
        <w:rPr>
          <w:sz w:val="24"/>
        </w:rPr>
      </w:pPr>
      <w:r>
        <w:rPr>
          <w:b/>
          <w:sz w:val="24"/>
        </w:rPr>
        <w:t>PBL Phase 2 Monitoring Reports</w:t>
      </w:r>
      <w:r>
        <w:rPr>
          <w:sz w:val="24"/>
        </w:rPr>
        <w:t xml:space="preserve"> before each TASC </w:t>
      </w:r>
      <w:r>
        <w:rPr>
          <w:sz w:val="24"/>
          <w:u w:val="single"/>
        </w:rPr>
        <w:t>(summaries, presentations and reports in English and Russian)</w:t>
      </w:r>
      <w:r>
        <w:rPr>
          <w:sz w:val="24"/>
        </w:rPr>
        <w:t>:</w:t>
      </w:r>
    </w:p>
    <w:p w:rsidR="00C22933" w:rsidRDefault="005947AC">
      <w:pPr>
        <w:pStyle w:val="Paragraphedeliste"/>
        <w:numPr>
          <w:ilvl w:val="1"/>
          <w:numId w:val="12"/>
        </w:numPr>
        <w:rPr>
          <w:sz w:val="24"/>
        </w:rPr>
      </w:pPr>
      <w:r>
        <w:rPr>
          <w:sz w:val="24"/>
        </w:rPr>
        <w:t>1</w:t>
      </w:r>
      <w:r>
        <w:rPr>
          <w:sz w:val="24"/>
          <w:vertAlign w:val="superscript"/>
        </w:rPr>
        <w:t>st</w:t>
      </w:r>
      <w:r>
        <w:rPr>
          <w:sz w:val="24"/>
        </w:rPr>
        <w:t xml:space="preserve"> report due in June </w:t>
      </w:r>
      <w:r>
        <w:rPr>
          <w:sz w:val="24"/>
          <w:u w:val="single"/>
        </w:rPr>
        <w:t>2025;</w:t>
      </w:r>
    </w:p>
    <w:p w:rsidR="00C22933" w:rsidRDefault="005947AC">
      <w:pPr>
        <w:pStyle w:val="Paragraphedeliste"/>
        <w:numPr>
          <w:ilvl w:val="1"/>
          <w:numId w:val="12"/>
        </w:numPr>
        <w:rPr>
          <w:sz w:val="24"/>
        </w:rPr>
      </w:pPr>
      <w:r>
        <w:rPr>
          <w:sz w:val="24"/>
        </w:rPr>
        <w:t>2</w:t>
      </w:r>
      <w:r>
        <w:rPr>
          <w:sz w:val="24"/>
          <w:vertAlign w:val="superscript"/>
        </w:rPr>
        <w:t>nd</w:t>
      </w:r>
      <w:r>
        <w:rPr>
          <w:sz w:val="24"/>
        </w:rPr>
        <w:t xml:space="preserve"> report due in June </w:t>
      </w:r>
      <w:r>
        <w:rPr>
          <w:sz w:val="24"/>
          <w:u w:val="single"/>
        </w:rPr>
        <w:t>2026.</w:t>
      </w:r>
    </w:p>
    <w:p w:rsidR="00C22933" w:rsidRDefault="005947AC">
      <w:pPr>
        <w:pStyle w:val="Paragraphedeliste"/>
        <w:numPr>
          <w:ilvl w:val="0"/>
          <w:numId w:val="12"/>
        </w:numPr>
        <w:rPr>
          <w:sz w:val="24"/>
        </w:rPr>
      </w:pPr>
      <w:r>
        <w:rPr>
          <w:b/>
          <w:sz w:val="24"/>
        </w:rPr>
        <w:t>PBL Strategic environmental and social assessment (SESA)</w:t>
      </w:r>
      <w:r>
        <w:rPr>
          <w:sz w:val="24"/>
        </w:rPr>
        <w:t xml:space="preserve"> to evaluate the anticipated and/or observed E&amp;S impacts following the implementation of PBL Phase 1 &amp; 2 policy actions </w:t>
      </w:r>
      <w:r>
        <w:rPr>
          <w:sz w:val="24"/>
          <w:u w:val="single"/>
        </w:rPr>
        <w:t>(summaries, presentations and reports in English and Russian).</w:t>
      </w:r>
    </w:p>
    <w:p w:rsidR="00C22933" w:rsidRDefault="005947AC">
      <w:pPr>
        <w:pStyle w:val="Paragraphedeliste"/>
        <w:numPr>
          <w:ilvl w:val="0"/>
          <w:numId w:val="12"/>
        </w:numPr>
        <w:rPr>
          <w:sz w:val="24"/>
        </w:rPr>
      </w:pPr>
      <w:r>
        <w:rPr>
          <w:b/>
          <w:sz w:val="24"/>
        </w:rPr>
        <w:t>Evaluation report of the PBL Phase 2</w:t>
      </w:r>
      <w:r>
        <w:rPr>
          <w:sz w:val="24"/>
        </w:rPr>
        <w:t xml:space="preserve"> in order to assess the project's performance and propose recommendations for a possible PBL Phase 3 </w:t>
      </w:r>
      <w:r>
        <w:rPr>
          <w:sz w:val="24"/>
          <w:u w:val="single"/>
        </w:rPr>
        <w:t>(summaries, presentations and reports in English and Russian)</w:t>
      </w:r>
      <w:r>
        <w:rPr>
          <w:sz w:val="24"/>
        </w:rPr>
        <w:t>:</w:t>
      </w:r>
    </w:p>
    <w:p w:rsidR="00C22933" w:rsidRDefault="005947AC">
      <w:pPr>
        <w:pStyle w:val="Paragraphedeliste"/>
        <w:numPr>
          <w:ilvl w:val="1"/>
          <w:numId w:val="12"/>
        </w:numPr>
        <w:rPr>
          <w:sz w:val="24"/>
        </w:rPr>
      </w:pPr>
      <w:r>
        <w:rPr>
          <w:sz w:val="24"/>
        </w:rPr>
        <w:lastRenderedPageBreak/>
        <w:t xml:space="preserve">Inception report (detailing the evaluation design, work plan, and methodology) due in April </w:t>
      </w:r>
      <w:r>
        <w:rPr>
          <w:sz w:val="24"/>
          <w:u w:val="single"/>
        </w:rPr>
        <w:t>2026;</w:t>
      </w:r>
    </w:p>
    <w:p w:rsidR="00C22933" w:rsidRDefault="005947AC">
      <w:pPr>
        <w:pStyle w:val="Paragraphedeliste"/>
        <w:numPr>
          <w:ilvl w:val="1"/>
          <w:numId w:val="12"/>
        </w:numPr>
        <w:rPr>
          <w:sz w:val="24"/>
        </w:rPr>
      </w:pPr>
      <w:r>
        <w:rPr>
          <w:sz w:val="24"/>
        </w:rPr>
        <w:t xml:space="preserve">Final Report due in June </w:t>
      </w:r>
      <w:r>
        <w:rPr>
          <w:sz w:val="24"/>
          <w:u w:val="single"/>
        </w:rPr>
        <w:t>2026.</w:t>
      </w:r>
    </w:p>
    <w:p w:rsidR="00C22933" w:rsidRDefault="005947AC">
      <w:pPr>
        <w:pStyle w:val="Titre2"/>
        <w:numPr>
          <w:ilvl w:val="0"/>
          <w:numId w:val="0"/>
        </w:numPr>
        <w:ind w:left="1440"/>
      </w:pPr>
      <w:r>
        <w:t>Kick off meeting</w:t>
      </w:r>
    </w:p>
    <w:p w:rsidR="00C22933" w:rsidRDefault="00C22933"/>
    <w:p w:rsidR="00C22933" w:rsidRDefault="005947AC">
      <w:pPr>
        <w:jc w:val="both"/>
      </w:pPr>
      <w:r>
        <w:t>Latest 15 working days after commencement of the activities, a kick-off meeting shall be arranged by the Consultant involving all Executing Entities, and on the donors</w:t>
      </w:r>
      <w:r w:rsidR="0001609C">
        <w:t>’</w:t>
      </w:r>
      <w:r>
        <w:t xml:space="preserve"> side: EF/AFD and ADB (to be confirmed). </w:t>
      </w:r>
    </w:p>
    <w:p w:rsidR="00C22933" w:rsidRDefault="00C22933"/>
    <w:p w:rsidR="00C22933" w:rsidRDefault="005947AC">
      <w:r>
        <w:t xml:space="preserve">The objective of this kick-off meeting shall be to: </w:t>
      </w:r>
    </w:p>
    <w:p w:rsidR="00C22933" w:rsidRDefault="005947AC">
      <w:pPr>
        <w:numPr>
          <w:ilvl w:val="0"/>
          <w:numId w:val="22"/>
        </w:numPr>
      </w:pPr>
      <w:r>
        <w:t>Introduce the teams;</w:t>
      </w:r>
    </w:p>
    <w:p w:rsidR="00C22933" w:rsidRDefault="005947AC">
      <w:pPr>
        <w:numPr>
          <w:ilvl w:val="0"/>
          <w:numId w:val="22"/>
        </w:numPr>
      </w:pPr>
      <w:r>
        <w:t>Confirm communication channels;</w:t>
      </w:r>
    </w:p>
    <w:p w:rsidR="00C22933" w:rsidRDefault="005947AC">
      <w:pPr>
        <w:numPr>
          <w:ilvl w:val="0"/>
          <w:numId w:val="22"/>
        </w:numPr>
      </w:pPr>
      <w:r>
        <w:t xml:space="preserve">Present the envisaged Consultant’s </w:t>
      </w:r>
      <w:proofErr w:type="spellStart"/>
      <w:r>
        <w:t>workplan</w:t>
      </w:r>
      <w:proofErr w:type="spellEnd"/>
      <w:r>
        <w:t>;</w:t>
      </w:r>
    </w:p>
    <w:p w:rsidR="00C22933" w:rsidRDefault="005947AC">
      <w:pPr>
        <w:numPr>
          <w:ilvl w:val="0"/>
          <w:numId w:val="22"/>
        </w:numPr>
        <w:rPr>
          <w:lang w:val="fr-FR"/>
        </w:rPr>
      </w:pPr>
      <w:r>
        <w:rPr>
          <w:lang w:val="fr-FR"/>
        </w:rPr>
        <w:t xml:space="preserve">Exchange information, data, documentation, document </w:t>
      </w:r>
      <w:proofErr w:type="spellStart"/>
      <w:r>
        <w:rPr>
          <w:lang w:val="fr-FR"/>
        </w:rPr>
        <w:t>request</w:t>
      </w:r>
      <w:proofErr w:type="spellEnd"/>
      <w:r>
        <w:rPr>
          <w:lang w:val="fr-FR"/>
        </w:rPr>
        <w:t xml:space="preserve"> </w:t>
      </w:r>
      <w:proofErr w:type="spellStart"/>
      <w:proofErr w:type="gramStart"/>
      <w:r>
        <w:rPr>
          <w:lang w:val="fr-FR"/>
        </w:rPr>
        <w:t>list</w:t>
      </w:r>
      <w:proofErr w:type="spellEnd"/>
      <w:r>
        <w:rPr>
          <w:lang w:val="fr-FR"/>
        </w:rPr>
        <w:t>;</w:t>
      </w:r>
      <w:proofErr w:type="gramEnd"/>
      <w:r>
        <w:rPr>
          <w:lang w:val="fr-FR"/>
        </w:rPr>
        <w:t xml:space="preserve"> and </w:t>
      </w:r>
    </w:p>
    <w:p w:rsidR="00C22933" w:rsidRDefault="005947AC">
      <w:pPr>
        <w:numPr>
          <w:ilvl w:val="0"/>
          <w:numId w:val="22"/>
        </w:numPr>
      </w:pPr>
      <w:r>
        <w:t xml:space="preserve">Plan for stakeholder meetings. </w:t>
      </w:r>
    </w:p>
    <w:p w:rsidR="00C22933" w:rsidRDefault="00C22933"/>
    <w:p w:rsidR="00C22933" w:rsidRDefault="005947AC">
      <w:r>
        <w:t xml:space="preserve">The Consultant will prepare minutes of meeting including a </w:t>
      </w:r>
      <w:proofErr w:type="spellStart"/>
      <w:r>
        <w:t>workplan</w:t>
      </w:r>
      <w:proofErr w:type="spellEnd"/>
      <w:r>
        <w:t xml:space="preserve"> and distribute to participants. </w:t>
      </w:r>
    </w:p>
    <w:p w:rsidR="00C22933" w:rsidRDefault="00C22933"/>
    <w:p w:rsidR="00C22933" w:rsidRDefault="005947AC">
      <w:r>
        <w:t>The Consultant shall proactively arrange for calls/meetings with the stakeholders throughout the whole assignment in order to obtain data, documents, reports, feedbacks and comments, inform about findings and agree on on-site activities.</w:t>
      </w:r>
    </w:p>
    <w:p w:rsidR="00C22933" w:rsidRDefault="00C22933"/>
    <w:p w:rsidR="00C22933" w:rsidRDefault="005947AC">
      <w:pPr>
        <w:pStyle w:val="Titre2"/>
        <w:numPr>
          <w:ilvl w:val="0"/>
          <w:numId w:val="0"/>
        </w:numPr>
        <w:ind w:left="1440"/>
      </w:pPr>
      <w:bookmarkStart w:id="5" w:name="_Toc322967814"/>
      <w:bookmarkStart w:id="6" w:name="_Toc54022776"/>
      <w:r>
        <w:t>Activity n°1 - PBL Phase 2 Monitoring Reports</w:t>
      </w:r>
      <w:bookmarkEnd w:id="5"/>
      <w:bookmarkEnd w:id="6"/>
    </w:p>
    <w:p w:rsidR="00C22933" w:rsidRDefault="005947AC">
      <w:pPr>
        <w:spacing w:before="240" w:after="160" w:line="259" w:lineRule="auto"/>
        <w:rPr>
          <w:iCs/>
          <w:lang w:val="en-US"/>
        </w:rPr>
      </w:pPr>
      <w:r>
        <w:rPr>
          <w:iCs/>
          <w:lang w:val="en-US"/>
        </w:rPr>
        <w:t>Each annual report (mid-2025 and mid-2026) will consist of the following parts:</w:t>
      </w:r>
    </w:p>
    <w:p w:rsidR="00C22933" w:rsidRDefault="005947AC">
      <w:pPr>
        <w:pStyle w:val="Paragraphedeliste"/>
        <w:numPr>
          <w:ilvl w:val="0"/>
          <w:numId w:val="15"/>
        </w:numPr>
        <w:spacing w:before="240" w:after="160" w:line="360" w:lineRule="auto"/>
        <w:rPr>
          <w:iCs/>
          <w:sz w:val="24"/>
          <w:lang w:val="en-US"/>
        </w:rPr>
      </w:pPr>
      <w:r>
        <w:rPr>
          <w:iCs/>
          <w:sz w:val="24"/>
          <w:lang w:val="en-US"/>
        </w:rPr>
        <w:t xml:space="preserve">Overview of </w:t>
      </w:r>
      <w:r>
        <w:rPr>
          <w:iCs/>
          <w:sz w:val="24"/>
        </w:rPr>
        <w:t xml:space="preserve">electrical </w:t>
      </w:r>
      <w:r>
        <w:rPr>
          <w:iCs/>
          <w:sz w:val="24"/>
          <w:lang w:val="en-US"/>
        </w:rPr>
        <w:t>energy sector highlights in the country over the last year (max. 3 pages).</w:t>
      </w:r>
    </w:p>
    <w:p w:rsidR="00C22933" w:rsidRDefault="005947AC">
      <w:pPr>
        <w:pStyle w:val="Paragraphedeliste"/>
        <w:numPr>
          <w:ilvl w:val="0"/>
          <w:numId w:val="15"/>
        </w:numPr>
        <w:spacing w:before="240" w:after="160" w:line="360" w:lineRule="auto"/>
        <w:rPr>
          <w:iCs/>
          <w:sz w:val="24"/>
          <w:lang w:val="en-US"/>
        </w:rPr>
      </w:pPr>
      <w:r>
        <w:rPr>
          <w:iCs/>
          <w:sz w:val="24"/>
          <w:lang w:val="en-US"/>
        </w:rPr>
        <w:t>Detailed list of all the legal texts related to the electrical energy sector approved over the last year, with a technical analysis for each one (max. 5 pages).</w:t>
      </w:r>
    </w:p>
    <w:p w:rsidR="00C22933" w:rsidRDefault="005947AC">
      <w:pPr>
        <w:pStyle w:val="Paragraphedeliste"/>
        <w:numPr>
          <w:ilvl w:val="0"/>
          <w:numId w:val="15"/>
        </w:numPr>
        <w:spacing w:before="240" w:after="160" w:line="360" w:lineRule="auto"/>
        <w:rPr>
          <w:iCs/>
          <w:sz w:val="24"/>
          <w:lang w:val="en-US"/>
        </w:rPr>
      </w:pPr>
      <w:r>
        <w:rPr>
          <w:iCs/>
          <w:sz w:val="24"/>
          <w:lang w:val="en-US"/>
        </w:rPr>
        <w:t>For each area in the matrix, a dedicated section for each of the following subjects (max. 5 pages per area</w:t>
      </w:r>
      <w:proofErr w:type="gramStart"/>
      <w:r>
        <w:rPr>
          <w:iCs/>
          <w:sz w:val="24"/>
          <w:lang w:val="en-US"/>
        </w:rPr>
        <w:t>) :</w:t>
      </w:r>
      <w:proofErr w:type="gramEnd"/>
    </w:p>
    <w:p w:rsidR="00C22933" w:rsidRDefault="005947AC">
      <w:pPr>
        <w:pStyle w:val="Paragraphedeliste"/>
        <w:numPr>
          <w:ilvl w:val="1"/>
          <w:numId w:val="15"/>
        </w:numPr>
        <w:spacing w:after="160" w:line="259" w:lineRule="auto"/>
        <w:rPr>
          <w:iCs/>
          <w:sz w:val="24"/>
          <w:lang w:val="en-US"/>
        </w:rPr>
      </w:pPr>
      <w:r>
        <w:rPr>
          <w:iCs/>
          <w:sz w:val="24"/>
          <w:lang w:val="en-US"/>
        </w:rPr>
        <w:t xml:space="preserve">Progress made in the </w:t>
      </w:r>
      <w:r>
        <w:rPr>
          <w:b/>
          <w:iCs/>
          <w:sz w:val="24"/>
          <w:lang w:val="en-US"/>
        </w:rPr>
        <w:t>follow-up points</w:t>
      </w:r>
      <w:r>
        <w:rPr>
          <w:iCs/>
          <w:sz w:val="24"/>
          <w:lang w:val="en-US"/>
        </w:rPr>
        <w:t xml:space="preserve"> as listed in the Matrix;</w:t>
      </w:r>
    </w:p>
    <w:p w:rsidR="00C22933" w:rsidRDefault="005947AC">
      <w:pPr>
        <w:pStyle w:val="Paragraphedeliste"/>
        <w:numPr>
          <w:ilvl w:val="1"/>
          <w:numId w:val="15"/>
        </w:numPr>
        <w:spacing w:after="160" w:line="259" w:lineRule="auto"/>
        <w:rPr>
          <w:iCs/>
          <w:sz w:val="24"/>
          <w:lang w:val="en-US"/>
        </w:rPr>
      </w:pPr>
      <w:r>
        <w:rPr>
          <w:iCs/>
          <w:sz w:val="24"/>
          <w:lang w:val="en-US"/>
        </w:rPr>
        <w:t xml:space="preserve">Progress made towards achievement of </w:t>
      </w:r>
      <w:r>
        <w:rPr>
          <w:b/>
          <w:iCs/>
          <w:sz w:val="24"/>
          <w:lang w:val="en-US"/>
        </w:rPr>
        <w:t>the four mid-term objectives</w:t>
      </w:r>
      <w:r>
        <w:rPr>
          <w:iCs/>
          <w:sz w:val="24"/>
          <w:lang w:val="en-US"/>
        </w:rPr>
        <w:t xml:space="preserve"> listed in the Matrix (“Outcome Indicators”);</w:t>
      </w:r>
    </w:p>
    <w:p w:rsidR="00C22933" w:rsidRDefault="005947AC">
      <w:pPr>
        <w:pStyle w:val="Paragraphedeliste"/>
        <w:numPr>
          <w:ilvl w:val="1"/>
          <w:numId w:val="15"/>
        </w:numPr>
        <w:spacing w:after="160" w:line="259" w:lineRule="auto"/>
        <w:rPr>
          <w:iCs/>
          <w:sz w:val="24"/>
          <w:lang w:val="en-US"/>
        </w:rPr>
      </w:pPr>
      <w:r>
        <w:rPr>
          <w:iCs/>
          <w:sz w:val="24"/>
          <w:lang w:val="en-US"/>
        </w:rPr>
        <w:t>Based on</w:t>
      </w:r>
      <w:r>
        <w:rPr>
          <w:iCs/>
          <w:sz w:val="24"/>
          <w:szCs w:val="24"/>
          <w:lang w:val="en-US"/>
        </w:rPr>
        <w:t xml:space="preserve"> (</w:t>
      </w:r>
      <w:proofErr w:type="spellStart"/>
      <w:r>
        <w:rPr>
          <w:iCs/>
          <w:sz w:val="24"/>
          <w:szCs w:val="24"/>
          <w:lang w:val="en-US"/>
        </w:rPr>
        <w:t>i</w:t>
      </w:r>
      <w:proofErr w:type="spellEnd"/>
      <w:r>
        <w:rPr>
          <w:iCs/>
          <w:sz w:val="24"/>
          <w:szCs w:val="24"/>
          <w:lang w:val="en-US"/>
        </w:rPr>
        <w:t xml:space="preserve">) the progress made and (ii) the impacts (technical, legal, environmental, social and </w:t>
      </w:r>
      <w:r>
        <w:rPr>
          <w:sz w:val="24"/>
          <w:szCs w:val="24"/>
        </w:rPr>
        <w:t>organisational)</w:t>
      </w:r>
      <w:r>
        <w:rPr>
          <w:iCs/>
          <w:sz w:val="24"/>
          <w:szCs w:val="24"/>
          <w:lang w:val="en-US"/>
        </w:rPr>
        <w:t xml:space="preserve"> assessed</w:t>
      </w:r>
      <w:r>
        <w:rPr>
          <w:iCs/>
          <w:sz w:val="24"/>
          <w:lang w:val="en-US"/>
        </w:rPr>
        <w:t xml:space="preserve">, </w:t>
      </w:r>
      <w:r>
        <w:rPr>
          <w:b/>
          <w:iCs/>
          <w:sz w:val="24"/>
          <w:lang w:val="en-US"/>
        </w:rPr>
        <w:t>proposals for</w:t>
      </w:r>
      <w:r>
        <w:rPr>
          <w:iCs/>
          <w:sz w:val="24"/>
          <w:lang w:val="en-US"/>
        </w:rPr>
        <w:t xml:space="preserve"> </w:t>
      </w:r>
      <w:r>
        <w:rPr>
          <w:b/>
          <w:iCs/>
          <w:sz w:val="24"/>
          <w:lang w:val="en-US"/>
        </w:rPr>
        <w:t>policy actions &amp; technical assistance</w:t>
      </w:r>
      <w:r>
        <w:rPr>
          <w:iCs/>
          <w:sz w:val="24"/>
          <w:lang w:val="en-US"/>
        </w:rPr>
        <w:t xml:space="preserve"> </w:t>
      </w:r>
      <w:r>
        <w:rPr>
          <w:b/>
          <w:iCs/>
          <w:sz w:val="24"/>
          <w:lang w:val="en-US"/>
        </w:rPr>
        <w:t>activities</w:t>
      </w:r>
      <w:r>
        <w:rPr>
          <w:iCs/>
          <w:sz w:val="24"/>
          <w:lang w:val="en-US"/>
        </w:rPr>
        <w:t xml:space="preserve"> to be implemented by the Government in the future.</w:t>
      </w:r>
    </w:p>
    <w:p w:rsidR="00C22933" w:rsidRDefault="005947AC">
      <w:pPr>
        <w:pStyle w:val="Paragraphedeliste"/>
        <w:numPr>
          <w:ilvl w:val="0"/>
          <w:numId w:val="15"/>
        </w:numPr>
        <w:spacing w:after="160"/>
        <w:rPr>
          <w:iCs/>
          <w:sz w:val="24"/>
          <w:lang w:val="en-US"/>
        </w:rPr>
      </w:pPr>
      <w:r>
        <w:rPr>
          <w:iCs/>
          <w:sz w:val="24"/>
          <w:lang w:val="en-US"/>
        </w:rPr>
        <w:t>Conclusion and general recommendations (beyond the 4 areas) on the energy sector in Uzbekistan (max. 2 pages).</w:t>
      </w:r>
    </w:p>
    <w:p w:rsidR="00C22933" w:rsidRDefault="005947AC">
      <w:pPr>
        <w:pStyle w:val="Titre2"/>
        <w:numPr>
          <w:ilvl w:val="0"/>
          <w:numId w:val="0"/>
        </w:numPr>
        <w:ind w:left="1440"/>
      </w:pPr>
      <w:r>
        <w:t>Activity n°2 - Strategic environmental and social assessment</w:t>
      </w:r>
    </w:p>
    <w:p w:rsidR="00C22933" w:rsidRDefault="00C22933"/>
    <w:p w:rsidR="00C22933" w:rsidRDefault="005947AC">
      <w:pPr>
        <w:spacing w:after="160"/>
        <w:jc w:val="both"/>
        <w:rPr>
          <w:iCs/>
          <w:lang w:val="en-US"/>
        </w:rPr>
      </w:pPr>
      <w:r>
        <w:rPr>
          <w:iCs/>
          <w:lang w:val="en-US"/>
        </w:rPr>
        <w:t xml:space="preserve">The overall objective of the PBL Strategic environmental and social assessment (SESA) is to ensure that the PBL’s actions and activities are designed and implemented in a manner that maximizes </w:t>
      </w:r>
      <w:r>
        <w:rPr>
          <w:iCs/>
          <w:lang w:val="en-US"/>
        </w:rPr>
        <w:lastRenderedPageBreak/>
        <w:t xml:space="preserve">potential environmental and social benefits while avoiding, minimizing or otherwise mitigating environmental and social harm. </w:t>
      </w:r>
    </w:p>
    <w:p w:rsidR="00C22933" w:rsidRDefault="005947AC">
      <w:pPr>
        <w:spacing w:after="160"/>
        <w:jc w:val="both"/>
        <w:rPr>
          <w:iCs/>
          <w:lang w:val="en-US"/>
        </w:rPr>
      </w:pPr>
      <w:r>
        <w:rPr>
          <w:iCs/>
          <w:lang w:val="en-US"/>
        </w:rPr>
        <w:t>Findings of the assessment will be used for discussing the definition, formulation and implementation of measures or technical assistance to improve environmental and social performance/management outcomes of the PBL and to avoid any negative environmental and social effects, specifically harm to vulnerable groups.</w:t>
      </w:r>
    </w:p>
    <w:p w:rsidR="00C22933" w:rsidRDefault="005947AC">
      <w:pPr>
        <w:jc w:val="both"/>
      </w:pPr>
      <w:r>
        <w:t xml:space="preserve">The PBL SESA shall include the following activities: </w:t>
      </w:r>
    </w:p>
    <w:p w:rsidR="00C22933" w:rsidRDefault="00C22933">
      <w:pPr>
        <w:jc w:val="both"/>
        <w:rPr>
          <w:b/>
        </w:rPr>
      </w:pPr>
    </w:p>
    <w:p w:rsidR="00C22933" w:rsidRDefault="005947AC">
      <w:pPr>
        <w:pStyle w:val="Paragraphedeliste"/>
        <w:numPr>
          <w:ilvl w:val="0"/>
          <w:numId w:val="21"/>
        </w:numPr>
        <w:rPr>
          <w:b/>
          <w:sz w:val="24"/>
        </w:rPr>
      </w:pPr>
      <w:r>
        <w:rPr>
          <w:b/>
          <w:sz w:val="24"/>
        </w:rPr>
        <w:t>E&amp;S legal framework in Uzbekistan and gap analysis</w:t>
      </w:r>
    </w:p>
    <w:p w:rsidR="00C22933" w:rsidRDefault="005947AC">
      <w:pPr>
        <w:pStyle w:val="Paragraphedeliste"/>
        <w:numPr>
          <w:ilvl w:val="0"/>
          <w:numId w:val="19"/>
        </w:numPr>
        <w:rPr>
          <w:rFonts w:eastAsia="Times New Roman"/>
          <w:sz w:val="24"/>
          <w:szCs w:val="24"/>
          <w:lang w:eastAsia="fr-FR"/>
        </w:rPr>
      </w:pPr>
      <w:r>
        <w:rPr>
          <w:rFonts w:eastAsia="Times New Roman"/>
          <w:sz w:val="24"/>
          <w:szCs w:val="24"/>
          <w:lang w:eastAsia="fr-FR"/>
        </w:rPr>
        <w:t>Identify relevant national stakeholders.</w:t>
      </w:r>
    </w:p>
    <w:p w:rsidR="00C22933" w:rsidRDefault="005947AC">
      <w:pPr>
        <w:pStyle w:val="Paragraphedeliste"/>
        <w:numPr>
          <w:ilvl w:val="0"/>
          <w:numId w:val="19"/>
        </w:numPr>
        <w:rPr>
          <w:rFonts w:eastAsia="Times New Roman"/>
          <w:sz w:val="24"/>
          <w:szCs w:val="24"/>
          <w:lang w:eastAsia="fr-FR"/>
        </w:rPr>
      </w:pPr>
      <w:r>
        <w:rPr>
          <w:rFonts w:eastAsia="Times New Roman"/>
          <w:sz w:val="24"/>
          <w:szCs w:val="24"/>
          <w:lang w:eastAsia="fr-FR"/>
        </w:rPr>
        <w:t>Collect existing E&amp;S Policies and national regulatory framework.</w:t>
      </w:r>
    </w:p>
    <w:p w:rsidR="00C22933" w:rsidRDefault="005947AC">
      <w:pPr>
        <w:pStyle w:val="Paragraphedeliste"/>
        <w:numPr>
          <w:ilvl w:val="0"/>
          <w:numId w:val="19"/>
        </w:numPr>
        <w:rPr>
          <w:rFonts w:eastAsia="Times New Roman"/>
          <w:sz w:val="24"/>
          <w:szCs w:val="24"/>
          <w:lang w:eastAsia="fr-FR"/>
        </w:rPr>
      </w:pPr>
      <w:r>
        <w:rPr>
          <w:rFonts w:eastAsia="Times New Roman"/>
          <w:sz w:val="24"/>
          <w:szCs w:val="24"/>
          <w:lang w:eastAsia="fr-FR"/>
        </w:rPr>
        <w:t>Collect the results of similar activities conducted by other IFI.</w:t>
      </w:r>
    </w:p>
    <w:p w:rsidR="00C22933" w:rsidRDefault="00A15F94">
      <w:pPr>
        <w:pStyle w:val="Paragraphedeliste"/>
        <w:numPr>
          <w:ilvl w:val="0"/>
          <w:numId w:val="19"/>
        </w:numPr>
        <w:rPr>
          <w:rFonts w:eastAsia="Times New Roman"/>
          <w:sz w:val="24"/>
          <w:szCs w:val="24"/>
          <w:lang w:eastAsia="fr-FR"/>
        </w:rPr>
      </w:pPr>
      <w:r>
        <w:rPr>
          <w:rFonts w:eastAsia="Times New Roman"/>
          <w:sz w:val="24"/>
          <w:szCs w:val="24"/>
          <w:lang w:eastAsia="fr-FR"/>
        </w:rPr>
        <w:t>Analyse</w:t>
      </w:r>
      <w:r w:rsidR="005947AC">
        <w:rPr>
          <w:rFonts w:eastAsia="Times New Roman"/>
          <w:sz w:val="24"/>
          <w:szCs w:val="24"/>
          <w:lang w:eastAsia="fr-FR"/>
        </w:rPr>
        <w:t xml:space="preserve"> how current practices align with selected international standards for E&amp;S, identifying key areas of non-compliance or partial compliance.</w:t>
      </w:r>
    </w:p>
    <w:p w:rsidR="00C22933" w:rsidRDefault="005947AC">
      <w:pPr>
        <w:pStyle w:val="Paragraphedeliste"/>
        <w:numPr>
          <w:ilvl w:val="0"/>
          <w:numId w:val="19"/>
        </w:numPr>
        <w:rPr>
          <w:rFonts w:eastAsia="Times New Roman"/>
          <w:sz w:val="24"/>
          <w:szCs w:val="24"/>
          <w:lang w:eastAsia="fr-FR"/>
        </w:rPr>
      </w:pPr>
      <w:r>
        <w:rPr>
          <w:rFonts w:eastAsia="Times New Roman"/>
          <w:sz w:val="24"/>
          <w:szCs w:val="24"/>
          <w:lang w:eastAsia="fr-FR"/>
        </w:rPr>
        <w:t>Assess national stakeholder’s institutional capacity/responsibility to effectively anticipate, define and manage the expected E&amp;S risks/impacts (see 2. Below) as well as to plan, monitor and report on E&amp;S mitigation measures.</w:t>
      </w:r>
    </w:p>
    <w:p w:rsidR="00C22933" w:rsidRDefault="00C22933">
      <w:pPr>
        <w:pStyle w:val="Paragraphedeliste"/>
        <w:ind w:left="360"/>
        <w:rPr>
          <w:b/>
          <w:sz w:val="24"/>
        </w:rPr>
      </w:pPr>
    </w:p>
    <w:p w:rsidR="00C22933" w:rsidRDefault="005947AC">
      <w:pPr>
        <w:pStyle w:val="Paragraphedeliste"/>
        <w:numPr>
          <w:ilvl w:val="0"/>
          <w:numId w:val="21"/>
        </w:numPr>
        <w:rPr>
          <w:b/>
          <w:sz w:val="24"/>
        </w:rPr>
      </w:pPr>
      <w:r>
        <w:rPr>
          <w:b/>
          <w:sz w:val="24"/>
        </w:rPr>
        <w:t>Assessment of E&amp;S impacts/risks related to the specific public policy actions of PBL Phase 1 and 2</w:t>
      </w:r>
    </w:p>
    <w:p w:rsidR="00C22933" w:rsidRDefault="005947AC">
      <w:pPr>
        <w:pStyle w:val="Paragraphedeliste"/>
        <w:numPr>
          <w:ilvl w:val="0"/>
          <w:numId w:val="19"/>
        </w:numPr>
        <w:rPr>
          <w:rFonts w:eastAsia="Times New Roman"/>
          <w:sz w:val="24"/>
          <w:szCs w:val="24"/>
          <w:lang w:eastAsia="fr-FR"/>
        </w:rPr>
      </w:pPr>
      <w:r>
        <w:rPr>
          <w:rFonts w:eastAsia="Times New Roman"/>
          <w:sz w:val="24"/>
          <w:szCs w:val="24"/>
          <w:lang w:eastAsia="fr-FR"/>
        </w:rPr>
        <w:t>Analyse and comment the screening conducted by AFD on the potential future E&amp;S impacts (negative and positive) of each public policy action in phase 2.</w:t>
      </w:r>
    </w:p>
    <w:p w:rsidR="00C22933" w:rsidRDefault="005947AC">
      <w:pPr>
        <w:pStyle w:val="Paragraphedeliste"/>
        <w:numPr>
          <w:ilvl w:val="0"/>
          <w:numId w:val="19"/>
        </w:numPr>
        <w:rPr>
          <w:rFonts w:eastAsia="Times New Roman"/>
          <w:sz w:val="24"/>
          <w:szCs w:val="24"/>
          <w:lang w:eastAsia="fr-FR"/>
        </w:rPr>
      </w:pPr>
      <w:r>
        <w:rPr>
          <w:rFonts w:eastAsia="Times New Roman"/>
          <w:sz w:val="24"/>
          <w:szCs w:val="24"/>
          <w:lang w:eastAsia="fr-FR"/>
        </w:rPr>
        <w:t xml:space="preserve">Review the following PBL’s policy actions by identifying and assessing the direct and indirect E&amp;S risks and potential future positive </w:t>
      </w:r>
      <w:r w:rsidR="0001609C">
        <w:rPr>
          <w:rFonts w:eastAsia="Times New Roman"/>
          <w:sz w:val="24"/>
          <w:szCs w:val="24"/>
          <w:lang w:eastAsia="fr-FR"/>
        </w:rPr>
        <w:t>impacts:</w:t>
      </w:r>
      <w:r>
        <w:rPr>
          <w:rFonts w:eastAsia="Times New Roman"/>
          <w:sz w:val="24"/>
          <w:szCs w:val="24"/>
          <w:lang w:eastAsia="fr-FR"/>
        </w:rPr>
        <w:t xml:space="preserve"> </w:t>
      </w:r>
    </w:p>
    <w:p w:rsidR="00C22933" w:rsidRDefault="005947AC">
      <w:pPr>
        <w:pStyle w:val="Paragraphedeliste"/>
        <w:numPr>
          <w:ilvl w:val="1"/>
          <w:numId w:val="19"/>
        </w:numPr>
        <w:rPr>
          <w:rFonts w:eastAsia="Times New Roman"/>
          <w:sz w:val="24"/>
          <w:szCs w:val="24"/>
          <w:lang w:eastAsia="fr-FR"/>
        </w:rPr>
      </w:pPr>
      <w:r>
        <w:rPr>
          <w:rFonts w:eastAsia="Times New Roman"/>
          <w:sz w:val="24"/>
          <w:szCs w:val="24"/>
          <w:lang w:eastAsia="fr-FR"/>
        </w:rPr>
        <w:t>2.7</w:t>
      </w:r>
    </w:p>
    <w:p w:rsidR="00C22933" w:rsidRDefault="005947AC">
      <w:pPr>
        <w:pStyle w:val="Paragraphedeliste"/>
        <w:numPr>
          <w:ilvl w:val="2"/>
          <w:numId w:val="19"/>
        </w:numPr>
        <w:rPr>
          <w:rFonts w:eastAsia="Times New Roman"/>
          <w:sz w:val="24"/>
          <w:szCs w:val="24"/>
          <w:lang w:eastAsia="fr-FR"/>
        </w:rPr>
      </w:pPr>
      <w:r>
        <w:rPr>
          <w:rFonts w:eastAsia="Times New Roman"/>
          <w:sz w:val="24"/>
          <w:szCs w:val="24"/>
          <w:lang w:eastAsia="fr-FR"/>
        </w:rPr>
        <w:t>Look in particular the redistributive effects of the electricity tariff change</w:t>
      </w:r>
      <w:r>
        <w:t xml:space="preserve"> </w:t>
      </w:r>
      <w:r>
        <w:rPr>
          <w:rFonts w:eastAsia="Times New Roman"/>
          <w:sz w:val="24"/>
          <w:szCs w:val="24"/>
          <w:lang w:eastAsia="fr-FR"/>
        </w:rPr>
        <w:t>and the potential positive impact on society of reducing energy subsidies.</w:t>
      </w:r>
    </w:p>
    <w:p w:rsidR="00C22933" w:rsidRDefault="005947AC">
      <w:pPr>
        <w:pStyle w:val="Paragraphedeliste"/>
        <w:numPr>
          <w:ilvl w:val="2"/>
          <w:numId w:val="19"/>
        </w:numPr>
        <w:rPr>
          <w:rFonts w:eastAsia="Times New Roman"/>
          <w:sz w:val="24"/>
          <w:szCs w:val="24"/>
          <w:lang w:eastAsia="fr-FR"/>
        </w:rPr>
      </w:pPr>
      <w:r>
        <w:rPr>
          <w:rFonts w:eastAsia="Times New Roman"/>
          <w:sz w:val="24"/>
          <w:szCs w:val="24"/>
          <w:lang w:eastAsia="fr-FR"/>
        </w:rPr>
        <w:t>Propose monitoring indicators to track the impact of this policy action</w:t>
      </w:r>
    </w:p>
    <w:p w:rsidR="00C22933" w:rsidRDefault="005947AC">
      <w:pPr>
        <w:pStyle w:val="Paragraphedeliste"/>
        <w:numPr>
          <w:ilvl w:val="1"/>
          <w:numId w:val="19"/>
        </w:numPr>
        <w:rPr>
          <w:rFonts w:eastAsia="Times New Roman"/>
          <w:sz w:val="24"/>
          <w:szCs w:val="24"/>
          <w:lang w:eastAsia="fr-FR"/>
        </w:rPr>
      </w:pPr>
      <w:r>
        <w:rPr>
          <w:rFonts w:eastAsia="Times New Roman"/>
          <w:sz w:val="24"/>
          <w:szCs w:val="24"/>
          <w:lang w:eastAsia="fr-FR"/>
        </w:rPr>
        <w:t>2.14</w:t>
      </w:r>
    </w:p>
    <w:p w:rsidR="00C22933" w:rsidRDefault="005947AC">
      <w:pPr>
        <w:pStyle w:val="Paragraphedeliste"/>
        <w:numPr>
          <w:ilvl w:val="2"/>
          <w:numId w:val="19"/>
        </w:numPr>
        <w:rPr>
          <w:rFonts w:eastAsia="Times New Roman"/>
          <w:sz w:val="24"/>
          <w:szCs w:val="24"/>
          <w:lang w:eastAsia="fr-FR"/>
        </w:rPr>
      </w:pPr>
      <w:r>
        <w:rPr>
          <w:rFonts w:eastAsia="Times New Roman"/>
          <w:sz w:val="24"/>
          <w:szCs w:val="24"/>
          <w:lang w:eastAsia="fr-FR"/>
        </w:rPr>
        <w:t>In particular, analyse the involvement of civil society in the development of this long-term, structuring strategy</w:t>
      </w:r>
    </w:p>
    <w:p w:rsidR="00C22933" w:rsidRDefault="005947AC">
      <w:pPr>
        <w:pStyle w:val="Paragraphedeliste"/>
        <w:numPr>
          <w:ilvl w:val="0"/>
          <w:numId w:val="19"/>
        </w:numPr>
        <w:rPr>
          <w:rFonts w:eastAsia="Times New Roman"/>
          <w:sz w:val="24"/>
          <w:szCs w:val="24"/>
          <w:lang w:eastAsia="fr-FR"/>
        </w:rPr>
      </w:pPr>
      <w:r>
        <w:rPr>
          <w:rFonts w:eastAsia="Times New Roman"/>
          <w:sz w:val="24"/>
          <w:szCs w:val="24"/>
          <w:lang w:eastAsia="fr-FR"/>
        </w:rPr>
        <w:t xml:space="preserve">Identify the existing safeguards linked to the identified direct and indirect risks and impacts. This will be done through: </w:t>
      </w:r>
    </w:p>
    <w:p w:rsidR="00C22933" w:rsidRDefault="005947AC">
      <w:pPr>
        <w:pStyle w:val="Paragraphedeliste"/>
        <w:numPr>
          <w:ilvl w:val="1"/>
          <w:numId w:val="19"/>
        </w:numPr>
        <w:ind w:left="1276" w:hanging="229"/>
        <w:rPr>
          <w:rFonts w:eastAsia="Times New Roman"/>
          <w:sz w:val="24"/>
          <w:szCs w:val="24"/>
          <w:lang w:eastAsia="fr-FR"/>
        </w:rPr>
      </w:pPr>
      <w:r>
        <w:rPr>
          <w:rFonts w:eastAsia="Times New Roman"/>
          <w:sz w:val="24"/>
          <w:szCs w:val="24"/>
          <w:lang w:eastAsia="fr-FR"/>
        </w:rPr>
        <w:t>An analysis/a mapping of regulatory and legal E&amp;S framework in Uzbekistan (e.g., laws, regulation, procedures, standards etc.);</w:t>
      </w:r>
    </w:p>
    <w:p w:rsidR="00C22933" w:rsidRDefault="005947AC">
      <w:pPr>
        <w:pStyle w:val="Paragraphedeliste"/>
        <w:numPr>
          <w:ilvl w:val="1"/>
          <w:numId w:val="19"/>
        </w:numPr>
        <w:ind w:left="1276" w:hanging="229"/>
        <w:rPr>
          <w:rFonts w:eastAsia="Times New Roman"/>
          <w:sz w:val="24"/>
          <w:szCs w:val="24"/>
          <w:lang w:eastAsia="fr-FR"/>
        </w:rPr>
      </w:pPr>
      <w:r>
        <w:rPr>
          <w:rFonts w:eastAsia="Times New Roman"/>
          <w:sz w:val="24"/>
          <w:szCs w:val="24"/>
          <w:lang w:eastAsia="fr-FR"/>
        </w:rPr>
        <w:t>An analysis of existing institutional practices, institutional policies and management procedures in the context of E&amp;S management;</w:t>
      </w:r>
    </w:p>
    <w:p w:rsidR="00C22933" w:rsidRDefault="00C22933"/>
    <w:p w:rsidR="00C22933" w:rsidRDefault="005947AC">
      <w:pPr>
        <w:pStyle w:val="Paragraphedeliste"/>
        <w:numPr>
          <w:ilvl w:val="0"/>
          <w:numId w:val="21"/>
        </w:numPr>
        <w:rPr>
          <w:rFonts w:eastAsia="Times New Roman"/>
          <w:b/>
          <w:sz w:val="24"/>
          <w:szCs w:val="24"/>
          <w:lang w:eastAsia="fr-FR"/>
        </w:rPr>
      </w:pPr>
      <w:r>
        <w:rPr>
          <w:rFonts w:eastAsia="Times New Roman"/>
          <w:b/>
          <w:sz w:val="24"/>
          <w:szCs w:val="24"/>
          <w:lang w:eastAsia="fr-FR"/>
        </w:rPr>
        <w:t xml:space="preserve">Recommendations </w:t>
      </w:r>
    </w:p>
    <w:p w:rsidR="00C22933" w:rsidRDefault="005947AC">
      <w:pPr>
        <w:pStyle w:val="Paragraphedeliste"/>
        <w:numPr>
          <w:ilvl w:val="0"/>
          <w:numId w:val="19"/>
        </w:numPr>
        <w:rPr>
          <w:rFonts w:eastAsia="Times New Roman"/>
          <w:sz w:val="24"/>
          <w:szCs w:val="24"/>
          <w:lang w:eastAsia="fr-FR"/>
        </w:rPr>
      </w:pPr>
      <w:r>
        <w:rPr>
          <w:rFonts w:eastAsia="Times New Roman"/>
          <w:sz w:val="24"/>
          <w:szCs w:val="24"/>
          <w:lang w:eastAsia="fr-FR"/>
        </w:rPr>
        <w:t xml:space="preserve">Propose actions (as part of a possible technical assistance) to strengthen the institutions for a better management of the E&amp;S framework. </w:t>
      </w:r>
    </w:p>
    <w:p w:rsidR="00C22933" w:rsidRDefault="005947AC">
      <w:pPr>
        <w:pStyle w:val="Paragraphedeliste"/>
        <w:numPr>
          <w:ilvl w:val="0"/>
          <w:numId w:val="19"/>
        </w:numPr>
        <w:rPr>
          <w:rFonts w:eastAsia="Times New Roman"/>
          <w:sz w:val="24"/>
          <w:szCs w:val="24"/>
          <w:lang w:eastAsia="fr-FR"/>
        </w:rPr>
      </w:pPr>
      <w:r>
        <w:rPr>
          <w:rFonts w:eastAsia="Times New Roman"/>
          <w:sz w:val="24"/>
          <w:szCs w:val="24"/>
          <w:lang w:eastAsia="fr-FR"/>
        </w:rPr>
        <w:t xml:space="preserve">Formulate concrete mitigation measures for direct and indirect E&amp;S significant risks for policy actions 2.7 &amp; 2.14, in the form of new policy actions, to be included into the policy matrix of the next phase of the PBL. The formulation of these measures should be done by </w:t>
      </w:r>
      <w:r>
        <w:rPr>
          <w:rFonts w:eastAsia="Times New Roman"/>
          <w:sz w:val="24"/>
          <w:szCs w:val="24"/>
          <w:lang w:eastAsia="fr-FR"/>
        </w:rPr>
        <w:lastRenderedPageBreak/>
        <w:t>paying a particular attention to their relevance, their acceptability towards all parties as well as the PBL’s overall design and approach;</w:t>
      </w:r>
    </w:p>
    <w:p w:rsidR="00C22933" w:rsidRDefault="00C22933" w:rsidP="009E6842">
      <w:pPr>
        <w:pStyle w:val="Sansinterligne"/>
      </w:pPr>
    </w:p>
    <w:p w:rsidR="00C22933" w:rsidRDefault="005947AC">
      <w:pPr>
        <w:jc w:val="both"/>
      </w:pPr>
      <w:r>
        <w:t xml:space="preserve">The PBL SESA will be based on publically available information as well as documents provided by AFD and the relevant stakeholders. </w:t>
      </w:r>
    </w:p>
    <w:p w:rsidR="00C22933" w:rsidRDefault="00C22933"/>
    <w:p w:rsidR="00C22933" w:rsidRDefault="005947AC">
      <w:r>
        <w:t>Documents may include:</w:t>
      </w:r>
    </w:p>
    <w:p w:rsidR="00C22933" w:rsidRDefault="005947AC">
      <w:pPr>
        <w:numPr>
          <w:ilvl w:val="0"/>
          <w:numId w:val="23"/>
        </w:numPr>
      </w:pPr>
      <w:r>
        <w:t>Information about investments and/or other interventions to be enhanced by the policy reforms under the PBL;</w:t>
      </w:r>
    </w:p>
    <w:p w:rsidR="00C22933" w:rsidRDefault="005947AC">
      <w:pPr>
        <w:numPr>
          <w:ilvl w:val="0"/>
          <w:numId w:val="23"/>
        </w:numPr>
        <w:rPr>
          <w:lang w:val="fr-FR"/>
        </w:rPr>
      </w:pPr>
      <w:r>
        <w:rPr>
          <w:lang w:val="fr-FR"/>
        </w:rPr>
        <w:t xml:space="preserve">Documentation </w:t>
      </w:r>
      <w:proofErr w:type="gramStart"/>
      <w:r>
        <w:rPr>
          <w:lang w:val="fr-FR"/>
        </w:rPr>
        <w:t>on</w:t>
      </w:r>
      <w:proofErr w:type="gramEnd"/>
      <w:r>
        <w:rPr>
          <w:lang w:val="fr-FR"/>
        </w:rPr>
        <w:t xml:space="preserve"> relevant national </w:t>
      </w:r>
      <w:proofErr w:type="spellStart"/>
      <w:r>
        <w:rPr>
          <w:lang w:val="fr-FR"/>
        </w:rPr>
        <w:t>legislation</w:t>
      </w:r>
      <w:proofErr w:type="spellEnd"/>
      <w:r w:rsidR="0001609C">
        <w:rPr>
          <w:lang w:val="fr-FR"/>
        </w:rPr>
        <w:t xml:space="preserve"> </w:t>
      </w:r>
      <w:r>
        <w:rPr>
          <w:lang w:val="fr-FR"/>
        </w:rPr>
        <w:t>;</w:t>
      </w:r>
    </w:p>
    <w:p w:rsidR="00C22933" w:rsidRDefault="005947AC">
      <w:pPr>
        <w:numPr>
          <w:ilvl w:val="0"/>
          <w:numId w:val="23"/>
        </w:numPr>
      </w:pPr>
      <w:r>
        <w:t>Documentation on the</w:t>
      </w:r>
      <w:r w:rsidR="0001609C">
        <w:t xml:space="preserve"> various sectors’ stakeholder’s</w:t>
      </w:r>
      <w:r>
        <w:t xml:space="preserve"> E&amp;S management system and practice;</w:t>
      </w:r>
    </w:p>
    <w:p w:rsidR="00C22933" w:rsidRDefault="005947AC">
      <w:pPr>
        <w:numPr>
          <w:ilvl w:val="0"/>
          <w:numId w:val="23"/>
        </w:numPr>
      </w:pPr>
      <w:r>
        <w:t>Assessment of the various sectors, including strategic E&amp;S Assessments; and</w:t>
      </w:r>
    </w:p>
    <w:p w:rsidR="00C22933" w:rsidRDefault="005947AC">
      <w:pPr>
        <w:numPr>
          <w:ilvl w:val="0"/>
          <w:numId w:val="23"/>
        </w:numPr>
      </w:pPr>
      <w:r>
        <w:t>Other relevant documentation.</w:t>
      </w:r>
    </w:p>
    <w:p w:rsidR="00C22933" w:rsidRDefault="00C22933"/>
    <w:p w:rsidR="00C22933" w:rsidRDefault="005947AC">
      <w:pPr>
        <w:jc w:val="both"/>
        <w:rPr>
          <w:b/>
        </w:rPr>
      </w:pPr>
      <w:r>
        <w:rPr>
          <w:b/>
        </w:rPr>
        <w:t>The PBL SESA will be performed in line with the following standards (non-exhaustive list):</w:t>
      </w:r>
    </w:p>
    <w:p w:rsidR="00C22933" w:rsidRDefault="005947AC">
      <w:pPr>
        <w:numPr>
          <w:ilvl w:val="0"/>
          <w:numId w:val="23"/>
        </w:numPr>
      </w:pPr>
      <w:r>
        <w:t>World Bank Development Policy Financing, July 2017;</w:t>
      </w:r>
    </w:p>
    <w:p w:rsidR="00C22933" w:rsidRDefault="005947AC">
      <w:pPr>
        <w:numPr>
          <w:ilvl w:val="0"/>
          <w:numId w:val="23"/>
        </w:numPr>
      </w:pPr>
      <w:r>
        <w:t xml:space="preserve">World Bank Policy (July 2015): </w:t>
      </w:r>
      <w:hyperlink r:id="rId8" w:tooltip="https://thedocs.worldbank.org/en/doc/687061437494014317-0290022015/original/ProgramforResultsFinancingPforRPolicyJuly2015.pdf" w:history="1">
        <w:r>
          <w:rPr>
            <w:rStyle w:val="Lienhypertexte"/>
          </w:rPr>
          <w:t>Program-for-Results Financing</w:t>
        </w:r>
      </w:hyperlink>
      <w:r>
        <w:t>, Catalogue Number: OPCS5.04-POL.01, OPCS;</w:t>
      </w:r>
    </w:p>
    <w:p w:rsidR="00C22933" w:rsidRDefault="005947AC">
      <w:pPr>
        <w:numPr>
          <w:ilvl w:val="0"/>
          <w:numId w:val="23"/>
        </w:numPr>
      </w:pPr>
      <w:r>
        <w:t xml:space="preserve">World Bank Directive (July 2015): </w:t>
      </w:r>
      <w:hyperlink r:id="rId9" w:tooltip="https://thedocs.worldbank.org/en/doc/593381437494441178-0290022015/render/ProgramforResultsPforRDirectiveJuly2015.pdf" w:history="1">
        <w:r>
          <w:rPr>
            <w:rStyle w:val="Lienhypertexte"/>
          </w:rPr>
          <w:t>Program-for-Results Financing</w:t>
        </w:r>
      </w:hyperlink>
      <w:r>
        <w:t>, Catalogue Number: OPCS5.04-DIR.01, OPCS;</w:t>
      </w:r>
    </w:p>
    <w:p w:rsidR="00C22933" w:rsidRDefault="005947AC">
      <w:pPr>
        <w:numPr>
          <w:ilvl w:val="0"/>
          <w:numId w:val="23"/>
        </w:numPr>
      </w:pPr>
      <w:r>
        <w:t xml:space="preserve">WB </w:t>
      </w:r>
      <w:hyperlink r:id="rId10" w:tooltip="https://www.worldbank.org/en/projects-operations/environmental-and-social-framework/brief/environmental-and-social-standards" w:history="1">
        <w:r>
          <w:rPr>
            <w:rStyle w:val="Lienhypertexte"/>
          </w:rPr>
          <w:t>E&amp;S Safeguard Standards</w:t>
        </w:r>
      </w:hyperlink>
      <w:r>
        <w:t>;</w:t>
      </w:r>
    </w:p>
    <w:p w:rsidR="00C22933" w:rsidRDefault="005947AC">
      <w:pPr>
        <w:pStyle w:val="Paragraphedeliste"/>
        <w:numPr>
          <w:ilvl w:val="0"/>
          <w:numId w:val="23"/>
        </w:numPr>
      </w:pPr>
      <w:r>
        <w:rPr>
          <w:rFonts w:eastAsia="Times New Roman"/>
          <w:sz w:val="24"/>
          <w:szCs w:val="24"/>
          <w:lang w:eastAsia="fr-FR"/>
        </w:rPr>
        <w:t xml:space="preserve">For aspects related to </w:t>
      </w:r>
      <w:proofErr w:type="spellStart"/>
      <w:r>
        <w:rPr>
          <w:rFonts w:eastAsia="Times New Roman"/>
          <w:sz w:val="24"/>
          <w:szCs w:val="24"/>
          <w:lang w:eastAsia="fr-FR"/>
        </w:rPr>
        <w:t>labor</w:t>
      </w:r>
      <w:proofErr w:type="spellEnd"/>
      <w:r>
        <w:rPr>
          <w:rFonts w:eastAsia="Times New Roman"/>
          <w:sz w:val="24"/>
          <w:szCs w:val="24"/>
          <w:lang w:eastAsia="fr-FR"/>
        </w:rPr>
        <w:t xml:space="preserve">, International </w:t>
      </w:r>
      <w:proofErr w:type="spellStart"/>
      <w:r>
        <w:rPr>
          <w:rFonts w:eastAsia="Times New Roman"/>
          <w:sz w:val="24"/>
          <w:szCs w:val="24"/>
          <w:lang w:eastAsia="fr-FR"/>
        </w:rPr>
        <w:t>Labor</w:t>
      </w:r>
      <w:proofErr w:type="spellEnd"/>
      <w:r>
        <w:rPr>
          <w:rFonts w:eastAsia="Times New Roman"/>
          <w:sz w:val="24"/>
          <w:szCs w:val="24"/>
          <w:lang w:eastAsia="fr-FR"/>
        </w:rPr>
        <w:t xml:space="preserve"> Organization (ILO) core </w:t>
      </w:r>
      <w:proofErr w:type="spellStart"/>
      <w:r>
        <w:rPr>
          <w:rFonts w:eastAsia="Times New Roman"/>
          <w:sz w:val="24"/>
          <w:szCs w:val="24"/>
          <w:lang w:eastAsia="fr-FR"/>
        </w:rPr>
        <w:t>labor</w:t>
      </w:r>
      <w:proofErr w:type="spellEnd"/>
      <w:r>
        <w:rPr>
          <w:rFonts w:eastAsia="Times New Roman"/>
          <w:sz w:val="24"/>
          <w:szCs w:val="24"/>
          <w:lang w:eastAsia="fr-FR"/>
        </w:rPr>
        <w:t xml:space="preserve"> standards.</w:t>
      </w:r>
    </w:p>
    <w:p w:rsidR="00C22933" w:rsidRDefault="00C22933">
      <w:pPr>
        <w:jc w:val="both"/>
        <w:rPr>
          <w:b/>
        </w:rPr>
      </w:pPr>
    </w:p>
    <w:p w:rsidR="00C22933" w:rsidRDefault="005947AC">
      <w:r>
        <w:t>The PBL SESA Report will be concise, focusing on tables and flow-charts and include the following main content (not necessarily in this order and outline):</w:t>
      </w:r>
    </w:p>
    <w:p w:rsidR="00C22933" w:rsidRDefault="005947AC">
      <w:pPr>
        <w:pStyle w:val="Paragraphedeliste"/>
        <w:numPr>
          <w:ilvl w:val="0"/>
          <w:numId w:val="28"/>
        </w:numPr>
        <w:spacing w:before="240" w:after="160" w:line="259" w:lineRule="auto"/>
        <w:rPr>
          <w:iCs/>
          <w:lang w:val="en-US"/>
        </w:rPr>
      </w:pPr>
      <w:r>
        <w:rPr>
          <w:iCs/>
          <w:sz w:val="24"/>
          <w:lang w:val="en-US"/>
        </w:rPr>
        <w:t>Executive Summary (max. 3 pages</w:t>
      </w:r>
      <w:r w:rsidR="0001609C">
        <w:rPr>
          <w:iCs/>
          <w:sz w:val="24"/>
          <w:lang w:val="en-US"/>
        </w:rPr>
        <w:t>);</w:t>
      </w:r>
    </w:p>
    <w:p w:rsidR="00C22933" w:rsidRDefault="005947AC">
      <w:pPr>
        <w:pStyle w:val="Paragraphedeliste"/>
        <w:numPr>
          <w:ilvl w:val="0"/>
          <w:numId w:val="28"/>
        </w:numPr>
        <w:spacing w:before="240" w:after="160" w:line="259" w:lineRule="auto"/>
        <w:rPr>
          <w:iCs/>
          <w:lang w:val="en-US"/>
        </w:rPr>
      </w:pPr>
      <w:r>
        <w:rPr>
          <w:iCs/>
          <w:sz w:val="24"/>
          <w:lang w:val="en-US"/>
        </w:rPr>
        <w:t>Objective &amp; methodological approach with short summary of key activities conducted during the assignment (max. 2 pages);</w:t>
      </w:r>
    </w:p>
    <w:p w:rsidR="00C22933" w:rsidRDefault="005947AC">
      <w:pPr>
        <w:pStyle w:val="Paragraphedeliste"/>
        <w:numPr>
          <w:ilvl w:val="0"/>
          <w:numId w:val="28"/>
        </w:numPr>
        <w:rPr>
          <w:iCs/>
          <w:sz w:val="24"/>
          <w:lang w:val="en-US"/>
        </w:rPr>
      </w:pPr>
      <w:r>
        <w:rPr>
          <w:iCs/>
          <w:sz w:val="24"/>
          <w:lang w:val="en-US"/>
        </w:rPr>
        <w:t>E&amp;S legal framework in Uzbekistan (max. 3 pages</w:t>
      </w:r>
      <w:r w:rsidR="0001609C">
        <w:rPr>
          <w:iCs/>
          <w:sz w:val="24"/>
          <w:lang w:val="en-US"/>
        </w:rPr>
        <w:t>);</w:t>
      </w:r>
    </w:p>
    <w:p w:rsidR="00C22933" w:rsidRDefault="005947AC">
      <w:pPr>
        <w:pStyle w:val="Paragraphedeliste"/>
        <w:numPr>
          <w:ilvl w:val="0"/>
          <w:numId w:val="28"/>
        </w:numPr>
        <w:spacing w:before="240" w:after="160" w:line="259" w:lineRule="auto"/>
        <w:rPr>
          <w:iCs/>
          <w:sz w:val="24"/>
          <w:lang w:val="en-US"/>
        </w:rPr>
      </w:pPr>
      <w:r>
        <w:rPr>
          <w:iCs/>
          <w:sz w:val="24"/>
          <w:lang w:val="en-US"/>
        </w:rPr>
        <w:t>Gap analysis of the E&amp;S practices of electrical energy sector stakeholders in Uzbekistan in relation to available international standards (max. 2 pages)</w:t>
      </w:r>
      <w:r w:rsidR="0001609C">
        <w:rPr>
          <w:iCs/>
          <w:sz w:val="24"/>
          <w:lang w:val="en-US"/>
        </w:rPr>
        <w:t>;</w:t>
      </w:r>
    </w:p>
    <w:p w:rsidR="00C22933" w:rsidRDefault="005947AC">
      <w:pPr>
        <w:pStyle w:val="Paragraphedeliste"/>
        <w:numPr>
          <w:ilvl w:val="0"/>
          <w:numId w:val="28"/>
        </w:numPr>
        <w:spacing w:before="240" w:after="160" w:line="259" w:lineRule="auto"/>
        <w:rPr>
          <w:iCs/>
          <w:lang w:val="en-US"/>
        </w:rPr>
      </w:pPr>
      <w:r>
        <w:rPr>
          <w:iCs/>
          <w:sz w:val="24"/>
          <w:lang w:val="en-US"/>
        </w:rPr>
        <w:t>Assessment of impacts/risks related to the specific public policy actions (max. 2 pages per policy action</w:t>
      </w:r>
      <w:r w:rsidR="0001609C">
        <w:rPr>
          <w:iCs/>
          <w:sz w:val="24"/>
          <w:lang w:val="en-US"/>
        </w:rPr>
        <w:t>);</w:t>
      </w:r>
    </w:p>
    <w:p w:rsidR="00C22933" w:rsidRDefault="005947AC">
      <w:pPr>
        <w:pStyle w:val="Paragraphedeliste"/>
        <w:numPr>
          <w:ilvl w:val="0"/>
          <w:numId w:val="28"/>
        </w:numPr>
        <w:spacing w:before="240" w:after="160" w:line="259" w:lineRule="auto"/>
        <w:rPr>
          <w:iCs/>
          <w:lang w:val="en-US"/>
        </w:rPr>
      </w:pPr>
      <w:r>
        <w:rPr>
          <w:iCs/>
          <w:sz w:val="24"/>
          <w:lang w:val="en-US"/>
        </w:rPr>
        <w:t>Recommendations Table (policy actions and TA) (max. 3 pages</w:t>
      </w:r>
      <w:r w:rsidR="0001609C">
        <w:rPr>
          <w:iCs/>
          <w:sz w:val="24"/>
          <w:lang w:val="en-US"/>
        </w:rPr>
        <w:t>);</w:t>
      </w:r>
    </w:p>
    <w:p w:rsidR="00C22933" w:rsidRDefault="005947AC">
      <w:pPr>
        <w:pStyle w:val="Paragraphedeliste"/>
        <w:numPr>
          <w:ilvl w:val="0"/>
          <w:numId w:val="28"/>
        </w:numPr>
        <w:spacing w:before="240" w:after="160" w:line="259" w:lineRule="auto"/>
        <w:rPr>
          <w:iCs/>
          <w:sz w:val="24"/>
          <w:lang w:val="en-US"/>
        </w:rPr>
      </w:pPr>
      <w:r>
        <w:rPr>
          <w:iCs/>
          <w:sz w:val="24"/>
          <w:lang w:val="en-US"/>
        </w:rPr>
        <w:t>Conclusion (max. 1 page).</w:t>
      </w:r>
    </w:p>
    <w:p w:rsidR="00C22933" w:rsidRDefault="005947AC">
      <w:pPr>
        <w:pStyle w:val="Titre2"/>
        <w:numPr>
          <w:ilvl w:val="0"/>
          <w:numId w:val="0"/>
        </w:numPr>
        <w:ind w:left="1440"/>
        <w:jc w:val="both"/>
      </w:pPr>
      <w:bookmarkStart w:id="7" w:name="_Toc54022777"/>
      <w:r>
        <w:t xml:space="preserve">Activity n°3 - Evaluation report of the PBL Phase 2 </w:t>
      </w:r>
      <w:bookmarkEnd w:id="7"/>
    </w:p>
    <w:p w:rsidR="00C22933" w:rsidRDefault="005947AC">
      <w:pPr>
        <w:spacing w:before="240"/>
        <w:jc w:val="both"/>
      </w:pPr>
      <w:r>
        <w:t xml:space="preserve">The evaluation is designed to assess the extent to which the inputs provided by AFD/EF in the framework of public policy budget financing (funds, public policy dialogue, and technical assistance) have had an impact on the formulation and/or implementation of public policy in the energy sector and on the public institutions supported. </w:t>
      </w:r>
    </w:p>
    <w:p w:rsidR="00C22933" w:rsidRDefault="005947AC">
      <w:pPr>
        <w:spacing w:before="240"/>
        <w:jc w:val="both"/>
      </w:pPr>
      <w:r>
        <w:t>The evaluation therefore covers not only financial support but also all technical assistance activities, whatever their source of funding. The nature, scope and modalities of the dialogue on the public policies concerned also fall within the scope of the support provided and will have to be the subject of specific attention during the evaluation process.</w:t>
      </w:r>
    </w:p>
    <w:p w:rsidR="00C22933" w:rsidRDefault="005947AC">
      <w:pPr>
        <w:spacing w:before="240"/>
        <w:jc w:val="both"/>
      </w:pPr>
      <w:r>
        <w:lastRenderedPageBreak/>
        <w:t xml:space="preserve">Given the nature of the operation (notably budget financing), AFD's contribution can only be evaluated taking into account the financing and technical assistance provided by other donors and the Government of Uzbekistan. </w:t>
      </w:r>
    </w:p>
    <w:p w:rsidR="00C22933" w:rsidRDefault="005947AC">
      <w:pPr>
        <w:spacing w:before="240"/>
        <w:jc w:val="both"/>
      </w:pPr>
      <w:r>
        <w:t>The evaluation covers the period between 2023 and 2026. The period covered is not limited to the disbursement period and corresponds to the period of dialogue, implementation of technical assistance and monitoring of results.</w:t>
      </w:r>
    </w:p>
    <w:p w:rsidR="00C22933" w:rsidRDefault="005947AC">
      <w:pPr>
        <w:spacing w:before="240"/>
        <w:jc w:val="both"/>
        <w:rPr>
          <w:b/>
        </w:rPr>
      </w:pPr>
      <w:r>
        <w:rPr>
          <w:b/>
        </w:rPr>
        <w:t>As these terms of refer</w:t>
      </w:r>
      <w:r w:rsidR="009E6842">
        <w:rPr>
          <w:b/>
        </w:rPr>
        <w:t>ence are drafted several months</w:t>
      </w:r>
      <w:r>
        <w:rPr>
          <w:b/>
        </w:rPr>
        <w:t xml:space="preserve"> before the activity n°3 is due to be performed, it is understood that it will be possible to modify/detail the focus of the evaluation when it starts. This will be done in agreement with the Consultant and Expertise France (in discussion with AFD).</w:t>
      </w:r>
    </w:p>
    <w:p w:rsidR="00C22933" w:rsidRDefault="005947AC">
      <w:pPr>
        <w:spacing w:before="240"/>
        <w:jc w:val="both"/>
        <w:rPr>
          <w:b/>
        </w:rPr>
      </w:pPr>
      <w:r>
        <w:rPr>
          <w:b/>
        </w:rPr>
        <w:t>The methodological framework is set out in the Annex 3.</w:t>
      </w:r>
    </w:p>
    <w:p w:rsidR="00C22933" w:rsidRDefault="005947AC">
      <w:pPr>
        <w:spacing w:before="240"/>
      </w:pPr>
      <w:r>
        <w:t>The evaluation report shall cover the following topics:</w:t>
      </w:r>
    </w:p>
    <w:p w:rsidR="00C22933" w:rsidRDefault="005947AC">
      <w:pPr>
        <w:pStyle w:val="Paragraphedeliste"/>
        <w:numPr>
          <w:ilvl w:val="0"/>
          <w:numId w:val="29"/>
        </w:numPr>
        <w:rPr>
          <w:b/>
          <w:sz w:val="24"/>
        </w:rPr>
      </w:pPr>
      <w:r>
        <w:rPr>
          <w:b/>
          <w:sz w:val="24"/>
        </w:rPr>
        <w:t>Relevance of the choice of PBL tool and its consistency with the context</w:t>
      </w:r>
    </w:p>
    <w:p w:rsidR="00C22933" w:rsidRDefault="005947AC">
      <w:pPr>
        <w:jc w:val="both"/>
      </w:pPr>
      <w:r>
        <w:t xml:space="preserve">The Consultant will assess the appropriateness of the action carried out with regard to the objectives, intentions and issues at the outset (relevance of the intervention at its origin). More specifically, the Consultant will examine the relevance of the support method chosen for this intervention (PBL) compared with other support methods (project approach, programme approach). </w:t>
      </w:r>
    </w:p>
    <w:p w:rsidR="00C22933" w:rsidRDefault="005947AC">
      <w:pPr>
        <w:jc w:val="both"/>
      </w:pPr>
      <w:r>
        <w:t xml:space="preserve">Specifically, the Consultant will have to check that the financial instrument used is appropriate to the borrower's financial situation. </w:t>
      </w:r>
    </w:p>
    <w:p w:rsidR="00C22933" w:rsidRDefault="00C22933">
      <w:pPr>
        <w:jc w:val="both"/>
      </w:pPr>
    </w:p>
    <w:p w:rsidR="00C22933" w:rsidRDefault="005947AC">
      <w:pPr>
        <w:pStyle w:val="Paragraphedeliste"/>
        <w:numPr>
          <w:ilvl w:val="0"/>
          <w:numId w:val="29"/>
        </w:numPr>
        <w:rPr>
          <w:b/>
        </w:rPr>
      </w:pPr>
      <w:r>
        <w:rPr>
          <w:b/>
          <w:sz w:val="24"/>
        </w:rPr>
        <w:t>Relevance and quality of the project approach and its implementation</w:t>
      </w:r>
    </w:p>
    <w:p w:rsidR="00C22933" w:rsidRDefault="005947AC">
      <w:pPr>
        <w:jc w:val="both"/>
      </w:pPr>
      <w:r>
        <w:t>The Consultant will pay particular attention to the internal coherence of the intervention. This will involve assessing whether the three types of input (funds, technical assistance, dialogue on public policies) are consistent with each other in terms of achieving the objectives.</w:t>
      </w:r>
    </w:p>
    <w:p w:rsidR="00C22933" w:rsidRDefault="005947AC">
      <w:pPr>
        <w:jc w:val="both"/>
      </w:pPr>
      <w:r>
        <w:t>It will also assess the external coherence of the intervention (consistency with actions undertaken by other players, in particular bilateral and/or multilateral donors).</w:t>
      </w:r>
    </w:p>
    <w:p w:rsidR="00C22933" w:rsidRDefault="00C22933">
      <w:pPr>
        <w:rPr>
          <w:b/>
          <w:highlight w:val="yellow"/>
        </w:rPr>
      </w:pPr>
    </w:p>
    <w:p w:rsidR="00C22933" w:rsidRDefault="005947AC">
      <w:pPr>
        <w:pStyle w:val="Paragraphedeliste"/>
        <w:numPr>
          <w:ilvl w:val="0"/>
          <w:numId w:val="29"/>
        </w:numPr>
        <w:rPr>
          <w:b/>
        </w:rPr>
      </w:pPr>
      <w:r>
        <w:rPr>
          <w:b/>
          <w:sz w:val="24"/>
        </w:rPr>
        <w:t>AFD's contribution to the achievement of direct and indirect outputs and effects on institutions</w:t>
      </w:r>
    </w:p>
    <w:p w:rsidR="00C22933" w:rsidRDefault="005947AC">
      <w:pPr>
        <w:jc w:val="both"/>
      </w:pPr>
      <w:r>
        <w:t>(</w:t>
      </w:r>
      <w:proofErr w:type="spellStart"/>
      <w:r>
        <w:t>i</w:t>
      </w:r>
      <w:proofErr w:type="spellEnd"/>
      <w:r>
        <w:t xml:space="preserve">) The Consultant will first assess the </w:t>
      </w:r>
      <w:r>
        <w:rPr>
          <w:b/>
        </w:rPr>
        <w:t>direct outputs</w:t>
      </w:r>
      <w:r>
        <w:t xml:space="preserve"> of the intervention:</w:t>
      </w:r>
    </w:p>
    <w:p w:rsidR="00C22933" w:rsidRDefault="005947AC">
      <w:pPr>
        <w:jc w:val="both"/>
      </w:pPr>
      <w:r>
        <w:t>- Predictable availability of funds. In particular, the Consultant may analyse whether the budget allocated to the energy sector has increased as a result of the PBL;</w:t>
      </w:r>
    </w:p>
    <w:p w:rsidR="00C22933" w:rsidRDefault="005947AC">
      <w:pPr>
        <w:jc w:val="both"/>
      </w:pPr>
      <w:r>
        <w:t>- Better coordination of public policy dialogue and technical assistance: to what extent has the PBL contributed to the coordination of support for capacity development and to effective and efficient public policy dialogue between the main stakeholders (government, donors, civil society, private sector, etc.).</w:t>
      </w:r>
    </w:p>
    <w:p w:rsidR="00C22933" w:rsidRDefault="005947AC">
      <w:pPr>
        <w:jc w:val="both"/>
      </w:pPr>
      <w:r>
        <w:t>- Better alignment with government strategies and national procedures.</w:t>
      </w:r>
    </w:p>
    <w:p w:rsidR="00C22933" w:rsidRDefault="00C22933">
      <w:pPr>
        <w:jc w:val="both"/>
      </w:pPr>
    </w:p>
    <w:p w:rsidR="00C22933" w:rsidRDefault="005947AC">
      <w:pPr>
        <w:jc w:val="both"/>
      </w:pPr>
      <w:r>
        <w:t>(ii) The Consultant will assess the indirect effects of the intervention: improved processes for formulating and implementing public policies, strengthening of public sector institutions, improvements in terms of governance, and increased quantity and quality of goods and services provided by the public sector.</w:t>
      </w:r>
    </w:p>
    <w:p w:rsidR="00C22933" w:rsidRDefault="00C22933">
      <w:pPr>
        <w:jc w:val="both"/>
      </w:pPr>
    </w:p>
    <w:p w:rsidR="00C22933" w:rsidRDefault="005947AC">
      <w:pPr>
        <w:jc w:val="both"/>
      </w:pPr>
      <w:r>
        <w:t xml:space="preserve">Assessing the effects on the formulation and implementation of public policies will be based in particular on monitoring the public policy matrix (Activity n°2). This will involve: assessing the implementation of policy actions and their effect on the formulation and/or implementation of the </w:t>
      </w:r>
      <w:r>
        <w:lastRenderedPageBreak/>
        <w:t>public policies they target. The Consultant will produce an overall assessment of the implementation of the policy actions and will deepen their analysis on the sectors/areas of concentration of AFD's support and will assess how the matrix was relevant and well positioned to achieve the expected results.</w:t>
      </w:r>
    </w:p>
    <w:p w:rsidR="00C22933" w:rsidRDefault="00C22933">
      <w:pPr>
        <w:jc w:val="both"/>
      </w:pPr>
    </w:p>
    <w:p w:rsidR="00C22933" w:rsidRDefault="005947AC">
      <w:pPr>
        <w:jc w:val="both"/>
      </w:pPr>
      <w:r>
        <w:t>In addition to analysing the matrix and achieving the indicators, the Consultant will have to assess and explain the extent to which the intervention, and more specifically the public policy dialogue and technical assistance activities, have contributed to changes in public policies and institutions. The relevance, effectiveness and effects of the dialogue and technical assistance will therefore be analysed.</w:t>
      </w:r>
    </w:p>
    <w:p w:rsidR="00C22933" w:rsidRDefault="00C22933">
      <w:pPr>
        <w:rPr>
          <w:b/>
        </w:rPr>
      </w:pPr>
    </w:p>
    <w:p w:rsidR="00C22933" w:rsidRDefault="005947AC">
      <w:pPr>
        <w:pStyle w:val="Paragraphedeliste"/>
        <w:numPr>
          <w:ilvl w:val="0"/>
          <w:numId w:val="29"/>
        </w:numPr>
        <w:rPr>
          <w:b/>
        </w:rPr>
      </w:pPr>
      <w:r>
        <w:rPr>
          <w:b/>
          <w:sz w:val="24"/>
        </w:rPr>
        <w:t>Efficiency of the operation</w:t>
      </w:r>
    </w:p>
    <w:p w:rsidR="00C22933" w:rsidRDefault="005947AC">
      <w:r>
        <w:t>The Consultant will analyse the efficiency of the operation. This will involve:</w:t>
      </w:r>
    </w:p>
    <w:p w:rsidR="00C22933" w:rsidRDefault="005947AC">
      <w:r>
        <w:t>- Assess the amount of the AFD loan;</w:t>
      </w:r>
    </w:p>
    <w:p w:rsidR="00C22933" w:rsidRDefault="005947AC">
      <w:r>
        <w:t>- Assessing the amount of the technical assistance.</w:t>
      </w:r>
    </w:p>
    <w:p w:rsidR="00C22933" w:rsidRDefault="005947AC">
      <w:pPr>
        <w:rPr>
          <w:highlight w:val="yellow"/>
        </w:rPr>
      </w:pPr>
      <w:r>
        <w:t>To do this, the Consultant will have to analyse the time spent by AFD in appraising and monitoring the implementation of the operation (a balance sheet to be provided by AFD) and account for the financial resources mobilised in the form of subsidies (subsidy for the TA).</w:t>
      </w:r>
    </w:p>
    <w:p w:rsidR="00C22933" w:rsidRDefault="00C22933">
      <w:pPr>
        <w:rPr>
          <w:b/>
          <w:highlight w:val="yellow"/>
        </w:rPr>
      </w:pPr>
    </w:p>
    <w:p w:rsidR="00C22933" w:rsidRDefault="005947AC">
      <w:pPr>
        <w:pStyle w:val="Paragraphedeliste"/>
        <w:numPr>
          <w:ilvl w:val="0"/>
          <w:numId w:val="29"/>
        </w:numPr>
        <w:rPr>
          <w:b/>
        </w:rPr>
      </w:pPr>
      <w:r>
        <w:rPr>
          <w:b/>
          <w:sz w:val="24"/>
        </w:rPr>
        <w:t>AFD's added value (including TA)</w:t>
      </w:r>
    </w:p>
    <w:p w:rsidR="00C22933" w:rsidRDefault="005947AC">
      <w:pPr>
        <w:jc w:val="both"/>
      </w:pPr>
      <w:r>
        <w:t>In this section, the Consultant will assess the specific contribution and added value of AFD's action in relation to other interventions or methods available to the Uzbek government. It will be necessary to make a critical judgement, which will highlight the strengths and weaknesses of AFD's action. This analysis may focus on the characteristics of the financial resources provided by AFD, the content of the dialogue and technical assistance or any other issue identified by the Consultant.</w:t>
      </w:r>
    </w:p>
    <w:p w:rsidR="00C22933" w:rsidRDefault="00C22933">
      <w:pPr>
        <w:rPr>
          <w:b/>
          <w:highlight w:val="yellow"/>
        </w:rPr>
      </w:pPr>
    </w:p>
    <w:p w:rsidR="00C22933" w:rsidRDefault="005947AC">
      <w:pPr>
        <w:pStyle w:val="Paragraphedeliste"/>
        <w:numPr>
          <w:ilvl w:val="0"/>
          <w:numId w:val="29"/>
        </w:numPr>
        <w:rPr>
          <w:b/>
        </w:rPr>
      </w:pPr>
      <w:r>
        <w:rPr>
          <w:b/>
          <w:sz w:val="24"/>
        </w:rPr>
        <w:t>Evolution of energy sector results (between 2023 and 2026)</w:t>
      </w:r>
    </w:p>
    <w:p w:rsidR="00C22933" w:rsidRDefault="005947AC">
      <w:pPr>
        <w:jc w:val="both"/>
        <w:rPr>
          <w:highlight w:val="yellow"/>
        </w:rPr>
      </w:pPr>
      <w:r>
        <w:t>In this section, the Consultant is expected to document the main sectoral developments, without seeking to link them to the public policy supported by the PBL. To do this, the Consultant will retrieve existing and available secondary data linked to the results and impact indicators and analyse them in order to document the main sectoral developments.</w:t>
      </w:r>
    </w:p>
    <w:p w:rsidR="00C22933" w:rsidRDefault="00C22933">
      <w:pPr>
        <w:rPr>
          <w:b/>
          <w:highlight w:val="yellow"/>
        </w:rPr>
      </w:pPr>
    </w:p>
    <w:p w:rsidR="00C22933" w:rsidRDefault="005947AC">
      <w:pPr>
        <w:pStyle w:val="Paragraphedeliste"/>
        <w:numPr>
          <w:ilvl w:val="0"/>
          <w:numId w:val="29"/>
        </w:numPr>
        <w:rPr>
          <w:b/>
        </w:rPr>
      </w:pPr>
      <w:r>
        <w:rPr>
          <w:b/>
          <w:sz w:val="24"/>
        </w:rPr>
        <w:t>Impact of PBL on energy sector results</w:t>
      </w:r>
    </w:p>
    <w:p w:rsidR="00C22933" w:rsidRDefault="005947AC">
      <w:pPr>
        <w:jc w:val="both"/>
      </w:pPr>
      <w:r>
        <w:t>The Consultant will identify how the PBL has contributed to the results identified.</w:t>
      </w:r>
    </w:p>
    <w:p w:rsidR="00C22933" w:rsidRDefault="00C22933">
      <w:pPr>
        <w:rPr>
          <w:b/>
        </w:rPr>
      </w:pPr>
    </w:p>
    <w:p w:rsidR="00C22933" w:rsidRDefault="005947AC">
      <w:pPr>
        <w:pStyle w:val="Paragraphedeliste"/>
        <w:numPr>
          <w:ilvl w:val="0"/>
          <w:numId w:val="29"/>
        </w:numPr>
        <w:rPr>
          <w:b/>
        </w:rPr>
      </w:pPr>
      <w:r>
        <w:rPr>
          <w:b/>
          <w:sz w:val="24"/>
        </w:rPr>
        <w:t>French influence in the energy sector</w:t>
      </w:r>
    </w:p>
    <w:p w:rsidR="00C22933" w:rsidRDefault="005947AC" w:rsidP="0001609C">
      <w:pPr>
        <w:jc w:val="both"/>
      </w:pPr>
      <w:r>
        <w:t>The Consultant will analyse the effects of the PBL on AFD's positioning in the energy sector and the benefits of public policy actions and technical assistance activities for French companies in the energy sector.</w:t>
      </w:r>
    </w:p>
    <w:p w:rsidR="00C22933" w:rsidRDefault="005947AC">
      <w:pPr>
        <w:spacing w:before="240"/>
        <w:rPr>
          <w:iCs/>
          <w:lang w:val="en-US"/>
        </w:rPr>
      </w:pPr>
      <w:r>
        <w:t xml:space="preserve">The evaluation report will consist of the </w:t>
      </w:r>
      <w:r>
        <w:rPr>
          <w:iCs/>
          <w:lang w:val="en-US"/>
        </w:rPr>
        <w:t>following parts:</w:t>
      </w:r>
    </w:p>
    <w:p w:rsidR="00C22933" w:rsidRDefault="005947AC">
      <w:pPr>
        <w:pStyle w:val="Paragraphedeliste"/>
        <w:numPr>
          <w:ilvl w:val="0"/>
          <w:numId w:val="33"/>
        </w:numPr>
        <w:spacing w:before="240" w:after="160" w:line="259" w:lineRule="auto"/>
        <w:rPr>
          <w:iCs/>
          <w:sz w:val="24"/>
          <w:lang w:val="en-US"/>
        </w:rPr>
      </w:pPr>
      <w:r>
        <w:rPr>
          <w:iCs/>
          <w:sz w:val="24"/>
          <w:lang w:val="en-US"/>
        </w:rPr>
        <w:t>Executive Summary (max. 3 pages).</w:t>
      </w:r>
    </w:p>
    <w:p w:rsidR="00C22933" w:rsidRDefault="005947AC">
      <w:pPr>
        <w:pStyle w:val="Paragraphedeliste"/>
        <w:numPr>
          <w:ilvl w:val="0"/>
          <w:numId w:val="33"/>
        </w:numPr>
        <w:spacing w:before="240" w:after="160" w:line="259" w:lineRule="auto"/>
        <w:rPr>
          <w:iCs/>
          <w:sz w:val="24"/>
          <w:lang w:val="en-US"/>
        </w:rPr>
      </w:pPr>
      <w:r>
        <w:rPr>
          <w:iCs/>
          <w:sz w:val="24"/>
          <w:lang w:val="en-US"/>
        </w:rPr>
        <w:t>Justification, objective and methodology of the evaluation (max. 1 page).</w:t>
      </w:r>
    </w:p>
    <w:p w:rsidR="00C22933" w:rsidRDefault="005947AC">
      <w:pPr>
        <w:pStyle w:val="Paragraphedeliste"/>
        <w:numPr>
          <w:ilvl w:val="0"/>
          <w:numId w:val="33"/>
        </w:numPr>
        <w:spacing w:after="160" w:line="259" w:lineRule="auto"/>
        <w:rPr>
          <w:iCs/>
          <w:sz w:val="24"/>
          <w:lang w:val="en-US"/>
        </w:rPr>
      </w:pPr>
      <w:r>
        <w:rPr>
          <w:iCs/>
          <w:sz w:val="24"/>
          <w:lang w:val="en-US"/>
        </w:rPr>
        <w:t>PBL Evaluation (max. 15 pages):</w:t>
      </w:r>
    </w:p>
    <w:p w:rsidR="00C22933" w:rsidRDefault="005947AC">
      <w:pPr>
        <w:pStyle w:val="Paragraphedeliste"/>
        <w:numPr>
          <w:ilvl w:val="1"/>
          <w:numId w:val="16"/>
        </w:numPr>
        <w:rPr>
          <w:iCs/>
          <w:sz w:val="24"/>
          <w:lang w:val="en-US"/>
        </w:rPr>
      </w:pPr>
      <w:r>
        <w:rPr>
          <w:iCs/>
          <w:sz w:val="24"/>
          <w:lang w:val="en-US"/>
        </w:rPr>
        <w:t>Relevance of the choice of PBL tool and its consistency with the context;</w:t>
      </w:r>
    </w:p>
    <w:p w:rsidR="00C22933" w:rsidRDefault="005947AC">
      <w:pPr>
        <w:pStyle w:val="Paragraphedeliste"/>
        <w:numPr>
          <w:ilvl w:val="1"/>
          <w:numId w:val="16"/>
        </w:numPr>
        <w:rPr>
          <w:iCs/>
          <w:sz w:val="24"/>
          <w:lang w:val="en-US"/>
        </w:rPr>
      </w:pPr>
      <w:r>
        <w:rPr>
          <w:iCs/>
          <w:sz w:val="24"/>
          <w:lang w:val="en-US"/>
        </w:rPr>
        <w:t>Relevance and quality of the project approach and its implementation;</w:t>
      </w:r>
    </w:p>
    <w:p w:rsidR="00C22933" w:rsidRDefault="005947AC">
      <w:pPr>
        <w:pStyle w:val="Paragraphedeliste"/>
        <w:numPr>
          <w:ilvl w:val="1"/>
          <w:numId w:val="16"/>
        </w:numPr>
        <w:spacing w:after="160" w:line="259" w:lineRule="auto"/>
        <w:rPr>
          <w:iCs/>
          <w:sz w:val="24"/>
          <w:lang w:val="en-US"/>
        </w:rPr>
      </w:pPr>
      <w:r>
        <w:rPr>
          <w:iCs/>
          <w:sz w:val="24"/>
          <w:lang w:val="en-US"/>
        </w:rPr>
        <w:t>Direct and indirect outputs;</w:t>
      </w:r>
    </w:p>
    <w:p w:rsidR="00C22933" w:rsidRDefault="005947AC">
      <w:pPr>
        <w:pStyle w:val="Paragraphedeliste"/>
        <w:numPr>
          <w:ilvl w:val="1"/>
          <w:numId w:val="16"/>
        </w:numPr>
        <w:rPr>
          <w:iCs/>
          <w:sz w:val="24"/>
          <w:lang w:val="en-US"/>
        </w:rPr>
      </w:pPr>
      <w:r>
        <w:rPr>
          <w:iCs/>
          <w:sz w:val="24"/>
          <w:lang w:val="en-US"/>
        </w:rPr>
        <w:lastRenderedPageBreak/>
        <w:t>Efficiency of the operation;</w:t>
      </w:r>
    </w:p>
    <w:p w:rsidR="00C22933" w:rsidRDefault="005947AC">
      <w:pPr>
        <w:pStyle w:val="Paragraphedeliste"/>
        <w:numPr>
          <w:ilvl w:val="1"/>
          <w:numId w:val="16"/>
        </w:numPr>
        <w:spacing w:after="160" w:line="259" w:lineRule="auto"/>
        <w:rPr>
          <w:iCs/>
          <w:sz w:val="24"/>
          <w:lang w:val="en-US"/>
        </w:rPr>
      </w:pPr>
      <w:r>
        <w:rPr>
          <w:iCs/>
          <w:sz w:val="24"/>
          <w:lang w:val="en-US"/>
        </w:rPr>
        <w:t>AFD's added value;</w:t>
      </w:r>
    </w:p>
    <w:p w:rsidR="00C22933" w:rsidRDefault="005947AC">
      <w:pPr>
        <w:pStyle w:val="Paragraphedeliste"/>
        <w:numPr>
          <w:ilvl w:val="1"/>
          <w:numId w:val="16"/>
        </w:numPr>
        <w:spacing w:after="160" w:line="259" w:lineRule="auto"/>
        <w:rPr>
          <w:iCs/>
          <w:sz w:val="24"/>
          <w:lang w:val="en-US"/>
        </w:rPr>
      </w:pPr>
      <w:r>
        <w:rPr>
          <w:iCs/>
          <w:sz w:val="24"/>
          <w:lang w:val="en-US"/>
        </w:rPr>
        <w:t>Evolution of energy sector results;</w:t>
      </w:r>
    </w:p>
    <w:p w:rsidR="00C22933" w:rsidRDefault="005947AC">
      <w:pPr>
        <w:pStyle w:val="Paragraphedeliste"/>
        <w:numPr>
          <w:ilvl w:val="1"/>
          <w:numId w:val="16"/>
        </w:numPr>
        <w:rPr>
          <w:iCs/>
          <w:sz w:val="24"/>
          <w:lang w:val="en-US"/>
        </w:rPr>
      </w:pPr>
      <w:r>
        <w:rPr>
          <w:iCs/>
          <w:sz w:val="24"/>
          <w:lang w:val="en-US"/>
        </w:rPr>
        <w:t>Impact of PBL on energy sector results;</w:t>
      </w:r>
    </w:p>
    <w:p w:rsidR="00C22933" w:rsidRDefault="005947AC">
      <w:pPr>
        <w:pStyle w:val="Paragraphedeliste"/>
        <w:numPr>
          <w:ilvl w:val="1"/>
          <w:numId w:val="16"/>
        </w:numPr>
        <w:rPr>
          <w:iCs/>
          <w:sz w:val="24"/>
          <w:lang w:val="en-US"/>
        </w:rPr>
      </w:pPr>
      <w:r>
        <w:rPr>
          <w:iCs/>
          <w:sz w:val="24"/>
          <w:lang w:val="en-US"/>
        </w:rPr>
        <w:t>French influence in the energy sector.</w:t>
      </w:r>
    </w:p>
    <w:p w:rsidR="00C22933" w:rsidRDefault="005947AC">
      <w:pPr>
        <w:pStyle w:val="Paragraphedeliste"/>
        <w:numPr>
          <w:ilvl w:val="0"/>
          <w:numId w:val="33"/>
        </w:numPr>
        <w:spacing w:after="160" w:line="259" w:lineRule="auto"/>
        <w:rPr>
          <w:iCs/>
          <w:sz w:val="24"/>
          <w:lang w:val="en-US"/>
        </w:rPr>
      </w:pPr>
      <w:r>
        <w:rPr>
          <w:iCs/>
          <w:sz w:val="24"/>
          <w:lang w:val="en-US"/>
        </w:rPr>
        <w:t>Summary table of the above criteria assessment (max. 1 page).</w:t>
      </w:r>
    </w:p>
    <w:p w:rsidR="00C22933" w:rsidRDefault="005947AC" w:rsidP="009E6842">
      <w:pPr>
        <w:pStyle w:val="Paragraphedeliste"/>
        <w:numPr>
          <w:ilvl w:val="0"/>
          <w:numId w:val="33"/>
        </w:numPr>
        <w:spacing w:before="240" w:after="160" w:line="259" w:lineRule="auto"/>
        <w:rPr>
          <w:iCs/>
          <w:sz w:val="24"/>
          <w:lang w:val="fr-FR"/>
        </w:rPr>
      </w:pPr>
      <w:proofErr w:type="spellStart"/>
      <w:r>
        <w:rPr>
          <w:iCs/>
          <w:sz w:val="24"/>
          <w:lang w:val="fr-FR"/>
        </w:rPr>
        <w:t>Lessons</w:t>
      </w:r>
      <w:proofErr w:type="spellEnd"/>
      <w:r>
        <w:rPr>
          <w:iCs/>
          <w:sz w:val="24"/>
          <w:lang w:val="fr-FR"/>
        </w:rPr>
        <w:t xml:space="preserve"> </w:t>
      </w:r>
      <w:proofErr w:type="spellStart"/>
      <w:r>
        <w:rPr>
          <w:iCs/>
          <w:sz w:val="24"/>
          <w:lang w:val="fr-FR"/>
        </w:rPr>
        <w:t>learnt</w:t>
      </w:r>
      <w:proofErr w:type="spellEnd"/>
      <w:r>
        <w:rPr>
          <w:iCs/>
          <w:sz w:val="24"/>
          <w:lang w:val="fr-FR"/>
        </w:rPr>
        <w:t xml:space="preserve"> and </w:t>
      </w:r>
      <w:r w:rsidR="0001609C">
        <w:rPr>
          <w:iCs/>
          <w:sz w:val="24"/>
          <w:lang w:val="fr-FR"/>
        </w:rPr>
        <w:t>recommandations</w:t>
      </w:r>
      <w:r>
        <w:rPr>
          <w:iCs/>
          <w:sz w:val="24"/>
          <w:lang w:val="fr-FR"/>
        </w:rPr>
        <w:t xml:space="preserve"> (max. 2 pages).</w:t>
      </w:r>
    </w:p>
    <w:p w:rsidR="009E6842" w:rsidRDefault="009E6842" w:rsidP="009E6842">
      <w:pPr>
        <w:pStyle w:val="Paragraphedeliste"/>
        <w:spacing w:before="240" w:after="160" w:line="259" w:lineRule="auto"/>
        <w:rPr>
          <w:iCs/>
          <w:sz w:val="24"/>
          <w:lang w:val="fr-FR"/>
        </w:rPr>
      </w:pPr>
      <w:bookmarkStart w:id="8" w:name="_GoBack"/>
      <w:bookmarkEnd w:id="8"/>
    </w:p>
    <w:p w:rsidR="00C22933" w:rsidRDefault="005947AC">
      <w:pPr>
        <w:pStyle w:val="Titre1"/>
        <w:numPr>
          <w:ilvl w:val="0"/>
          <w:numId w:val="4"/>
        </w:numPr>
      </w:pPr>
      <w:bookmarkStart w:id="9" w:name="_Toc322967827"/>
      <w:bookmarkStart w:id="10" w:name="_Toc54022785"/>
      <w:r>
        <w:t>Provisional schedule</w:t>
      </w:r>
      <w:bookmarkEnd w:id="9"/>
      <w:bookmarkEnd w:id="10"/>
      <w:r>
        <w:t xml:space="preserve"> &amp; Deliverables</w:t>
      </w:r>
    </w:p>
    <w:p w:rsidR="00C22933" w:rsidRDefault="00C22933"/>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5"/>
        <w:gridCol w:w="2749"/>
      </w:tblGrid>
      <w:tr w:rsidR="00C22933">
        <w:trPr>
          <w:trHeight w:val="211"/>
          <w:jc w:val="center"/>
        </w:trPr>
        <w:tc>
          <w:tcPr>
            <w:tcW w:w="7225" w:type="dxa"/>
            <w:shd w:val="clear" w:color="auto" w:fill="EAF1DD" w:themeFill="accent3" w:themeFillTint="33"/>
          </w:tcPr>
          <w:p w:rsidR="00C22933" w:rsidRDefault="005947AC">
            <w:pPr>
              <w:jc w:val="center"/>
              <w:rPr>
                <w:b/>
              </w:rPr>
            </w:pPr>
            <w:r>
              <w:rPr>
                <w:b/>
              </w:rPr>
              <w:t>Milestones</w:t>
            </w:r>
          </w:p>
        </w:tc>
        <w:tc>
          <w:tcPr>
            <w:tcW w:w="2749" w:type="dxa"/>
            <w:shd w:val="clear" w:color="auto" w:fill="EAF1DD" w:themeFill="accent3" w:themeFillTint="33"/>
          </w:tcPr>
          <w:p w:rsidR="00C22933" w:rsidRDefault="005947AC">
            <w:pPr>
              <w:jc w:val="center"/>
              <w:rPr>
                <w:b/>
              </w:rPr>
            </w:pPr>
            <w:r>
              <w:rPr>
                <w:b/>
              </w:rPr>
              <w:t>Date</w:t>
            </w:r>
          </w:p>
        </w:tc>
      </w:tr>
      <w:tr w:rsidR="00C22933">
        <w:trPr>
          <w:trHeight w:val="291"/>
          <w:jc w:val="center"/>
        </w:trPr>
        <w:tc>
          <w:tcPr>
            <w:tcW w:w="7225" w:type="dxa"/>
          </w:tcPr>
          <w:p w:rsidR="00C22933" w:rsidRDefault="005947AC">
            <w:pPr>
              <w:rPr>
                <w:b/>
              </w:rPr>
            </w:pPr>
            <w:r>
              <w:rPr>
                <w:b/>
              </w:rPr>
              <w:t xml:space="preserve">Kick off meeting with all stakeholders &amp; </w:t>
            </w:r>
            <w:proofErr w:type="spellStart"/>
            <w:r>
              <w:rPr>
                <w:b/>
              </w:rPr>
              <w:t>Workplan</w:t>
            </w:r>
            <w:proofErr w:type="spellEnd"/>
          </w:p>
        </w:tc>
        <w:tc>
          <w:tcPr>
            <w:tcW w:w="2749" w:type="dxa"/>
          </w:tcPr>
          <w:p w:rsidR="00C22933" w:rsidRDefault="005947AC">
            <w:pPr>
              <w:jc w:val="center"/>
            </w:pPr>
            <w:r>
              <w:t xml:space="preserve"> Feb</w:t>
            </w:r>
            <w:r w:rsidR="0001609C">
              <w:t>ruary</w:t>
            </w:r>
            <w:r>
              <w:t xml:space="preserve"> 25</w:t>
            </w:r>
          </w:p>
        </w:tc>
      </w:tr>
      <w:tr w:rsidR="00C22933">
        <w:trPr>
          <w:trHeight w:val="291"/>
          <w:jc w:val="center"/>
        </w:trPr>
        <w:tc>
          <w:tcPr>
            <w:tcW w:w="7225" w:type="dxa"/>
          </w:tcPr>
          <w:p w:rsidR="00C22933" w:rsidRDefault="005947AC">
            <w:pPr>
              <w:rPr>
                <w:b/>
              </w:rPr>
            </w:pPr>
            <w:r>
              <w:rPr>
                <w:b/>
              </w:rPr>
              <w:t xml:space="preserve">Activity n°1 - PBL Phase 2 Monitoring Report </w:t>
            </w:r>
            <w:r>
              <w:rPr>
                <w:b/>
                <w:u w:val="single"/>
              </w:rPr>
              <w:t>2025</w:t>
            </w:r>
          </w:p>
        </w:tc>
        <w:tc>
          <w:tcPr>
            <w:tcW w:w="2749" w:type="dxa"/>
          </w:tcPr>
          <w:p w:rsidR="00C22933" w:rsidRDefault="00C22933"/>
        </w:tc>
      </w:tr>
      <w:tr w:rsidR="00C22933">
        <w:trPr>
          <w:trHeight w:val="306"/>
          <w:jc w:val="center"/>
        </w:trPr>
        <w:tc>
          <w:tcPr>
            <w:tcW w:w="7225" w:type="dxa"/>
          </w:tcPr>
          <w:p w:rsidR="00C22933" w:rsidRDefault="005947AC">
            <w:pPr>
              <w:jc w:val="right"/>
            </w:pPr>
            <w:r>
              <w:t>Gathering information &amp; interviews with energy sector stakeholders</w:t>
            </w:r>
          </w:p>
        </w:tc>
        <w:tc>
          <w:tcPr>
            <w:tcW w:w="2749" w:type="dxa"/>
          </w:tcPr>
          <w:p w:rsidR="00C22933" w:rsidRDefault="005947AC" w:rsidP="0001609C">
            <w:pPr>
              <w:jc w:val="center"/>
            </w:pPr>
            <w:r>
              <w:t>Mar</w:t>
            </w:r>
            <w:r w:rsidR="0001609C">
              <w:t>ch</w:t>
            </w:r>
            <w:r>
              <w:t xml:space="preserve"> 25 – May 25</w:t>
            </w:r>
          </w:p>
        </w:tc>
      </w:tr>
      <w:tr w:rsidR="00C22933">
        <w:trPr>
          <w:trHeight w:val="306"/>
          <w:jc w:val="center"/>
        </w:trPr>
        <w:tc>
          <w:tcPr>
            <w:tcW w:w="7225" w:type="dxa"/>
          </w:tcPr>
          <w:p w:rsidR="00C22933" w:rsidRDefault="005947AC">
            <w:pPr>
              <w:jc w:val="right"/>
            </w:pPr>
            <w:r>
              <w:t>1st version of the 2025 report</w:t>
            </w:r>
          </w:p>
        </w:tc>
        <w:tc>
          <w:tcPr>
            <w:tcW w:w="2749" w:type="dxa"/>
          </w:tcPr>
          <w:p w:rsidR="00C22933" w:rsidRDefault="005947AC">
            <w:pPr>
              <w:jc w:val="center"/>
            </w:pPr>
            <w:r>
              <w:t>June 25</w:t>
            </w:r>
          </w:p>
        </w:tc>
      </w:tr>
      <w:tr w:rsidR="00C22933">
        <w:trPr>
          <w:trHeight w:val="306"/>
          <w:jc w:val="center"/>
        </w:trPr>
        <w:tc>
          <w:tcPr>
            <w:tcW w:w="7225" w:type="dxa"/>
          </w:tcPr>
          <w:p w:rsidR="00C22933" w:rsidRDefault="005947AC">
            <w:pPr>
              <w:jc w:val="right"/>
            </w:pPr>
            <w:r>
              <w:t>Final version of the 2025 report &amp; presentation during the TASC</w:t>
            </w:r>
          </w:p>
        </w:tc>
        <w:tc>
          <w:tcPr>
            <w:tcW w:w="2749" w:type="dxa"/>
          </w:tcPr>
          <w:p w:rsidR="00C22933" w:rsidRDefault="005947AC">
            <w:pPr>
              <w:jc w:val="center"/>
            </w:pPr>
            <w:r>
              <w:t>July 25</w:t>
            </w:r>
          </w:p>
        </w:tc>
      </w:tr>
      <w:tr w:rsidR="00C22933">
        <w:trPr>
          <w:trHeight w:val="306"/>
          <w:jc w:val="center"/>
        </w:trPr>
        <w:tc>
          <w:tcPr>
            <w:tcW w:w="7225" w:type="dxa"/>
          </w:tcPr>
          <w:p w:rsidR="00C22933" w:rsidRDefault="005947AC">
            <w:r>
              <w:rPr>
                <w:b/>
              </w:rPr>
              <w:t xml:space="preserve">Activity n°1 - PBL Phase 2 Monitoring Report </w:t>
            </w:r>
            <w:r>
              <w:rPr>
                <w:b/>
                <w:u w:val="single"/>
              </w:rPr>
              <w:t>2026</w:t>
            </w:r>
          </w:p>
        </w:tc>
        <w:tc>
          <w:tcPr>
            <w:tcW w:w="2749" w:type="dxa"/>
          </w:tcPr>
          <w:p w:rsidR="00C22933" w:rsidRDefault="00C22933">
            <w:pPr>
              <w:jc w:val="center"/>
            </w:pPr>
          </w:p>
        </w:tc>
      </w:tr>
      <w:tr w:rsidR="00C22933">
        <w:trPr>
          <w:trHeight w:val="306"/>
          <w:jc w:val="center"/>
        </w:trPr>
        <w:tc>
          <w:tcPr>
            <w:tcW w:w="7225" w:type="dxa"/>
          </w:tcPr>
          <w:p w:rsidR="00C22933" w:rsidRDefault="005947AC">
            <w:pPr>
              <w:jc w:val="right"/>
            </w:pPr>
            <w:r>
              <w:t>Gathering information &amp; interviews with energy sector stakeholders</w:t>
            </w:r>
          </w:p>
        </w:tc>
        <w:tc>
          <w:tcPr>
            <w:tcW w:w="2749" w:type="dxa"/>
          </w:tcPr>
          <w:p w:rsidR="00C22933" w:rsidRDefault="0001609C">
            <w:pPr>
              <w:jc w:val="center"/>
            </w:pPr>
            <w:r>
              <w:t>February</w:t>
            </w:r>
            <w:r w:rsidR="005947AC">
              <w:t xml:space="preserve"> 26 – May 26</w:t>
            </w:r>
          </w:p>
        </w:tc>
      </w:tr>
      <w:tr w:rsidR="00C22933">
        <w:trPr>
          <w:trHeight w:val="306"/>
          <w:jc w:val="center"/>
        </w:trPr>
        <w:tc>
          <w:tcPr>
            <w:tcW w:w="7225" w:type="dxa"/>
          </w:tcPr>
          <w:p w:rsidR="00C22933" w:rsidRDefault="005947AC">
            <w:pPr>
              <w:jc w:val="right"/>
            </w:pPr>
            <w:r>
              <w:t>1st version of the 2026 report</w:t>
            </w:r>
          </w:p>
        </w:tc>
        <w:tc>
          <w:tcPr>
            <w:tcW w:w="2749" w:type="dxa"/>
          </w:tcPr>
          <w:p w:rsidR="00C22933" w:rsidRDefault="005947AC">
            <w:pPr>
              <w:jc w:val="center"/>
            </w:pPr>
            <w:r>
              <w:t>June 26</w:t>
            </w:r>
          </w:p>
        </w:tc>
      </w:tr>
      <w:tr w:rsidR="00C22933">
        <w:trPr>
          <w:trHeight w:val="306"/>
          <w:jc w:val="center"/>
        </w:trPr>
        <w:tc>
          <w:tcPr>
            <w:tcW w:w="7225" w:type="dxa"/>
          </w:tcPr>
          <w:p w:rsidR="00C22933" w:rsidRDefault="005947AC">
            <w:pPr>
              <w:jc w:val="right"/>
            </w:pPr>
            <w:r>
              <w:t>Final version of the 2026 report &amp; presentation during the TASC</w:t>
            </w:r>
          </w:p>
        </w:tc>
        <w:tc>
          <w:tcPr>
            <w:tcW w:w="2749" w:type="dxa"/>
          </w:tcPr>
          <w:p w:rsidR="00C22933" w:rsidRDefault="005947AC">
            <w:pPr>
              <w:jc w:val="center"/>
            </w:pPr>
            <w:r>
              <w:t>July 26</w:t>
            </w:r>
          </w:p>
        </w:tc>
      </w:tr>
      <w:tr w:rsidR="00C22933">
        <w:trPr>
          <w:trHeight w:val="306"/>
          <w:jc w:val="center"/>
        </w:trPr>
        <w:tc>
          <w:tcPr>
            <w:tcW w:w="7225" w:type="dxa"/>
          </w:tcPr>
          <w:p w:rsidR="00C22933" w:rsidRDefault="005947AC">
            <w:r>
              <w:rPr>
                <w:b/>
              </w:rPr>
              <w:t>Activity n°2 - Strategic environmental and social assessment</w:t>
            </w:r>
          </w:p>
        </w:tc>
        <w:tc>
          <w:tcPr>
            <w:tcW w:w="2749" w:type="dxa"/>
          </w:tcPr>
          <w:p w:rsidR="00C22933" w:rsidRDefault="00C22933">
            <w:pPr>
              <w:jc w:val="center"/>
            </w:pPr>
          </w:p>
        </w:tc>
      </w:tr>
      <w:tr w:rsidR="00C22933">
        <w:trPr>
          <w:trHeight w:val="306"/>
          <w:jc w:val="center"/>
        </w:trPr>
        <w:tc>
          <w:tcPr>
            <w:tcW w:w="7225" w:type="dxa"/>
          </w:tcPr>
          <w:p w:rsidR="00C22933" w:rsidRDefault="005947AC">
            <w:pPr>
              <w:jc w:val="right"/>
            </w:pPr>
            <w:r>
              <w:t>Gathering information &amp; interviews with key stakeholders</w:t>
            </w:r>
          </w:p>
        </w:tc>
        <w:tc>
          <w:tcPr>
            <w:tcW w:w="2749" w:type="dxa"/>
          </w:tcPr>
          <w:p w:rsidR="00C22933" w:rsidRDefault="005947AC" w:rsidP="0001609C">
            <w:pPr>
              <w:jc w:val="center"/>
            </w:pPr>
            <w:r>
              <w:t>Feb</w:t>
            </w:r>
            <w:r w:rsidR="0001609C">
              <w:t>ruary</w:t>
            </w:r>
            <w:r>
              <w:t xml:space="preserve"> 25 – May 25</w:t>
            </w:r>
          </w:p>
        </w:tc>
      </w:tr>
      <w:tr w:rsidR="00C22933">
        <w:trPr>
          <w:trHeight w:val="306"/>
          <w:jc w:val="center"/>
        </w:trPr>
        <w:tc>
          <w:tcPr>
            <w:tcW w:w="7225" w:type="dxa"/>
          </w:tcPr>
          <w:p w:rsidR="00C22933" w:rsidRDefault="005947AC">
            <w:pPr>
              <w:jc w:val="right"/>
            </w:pPr>
            <w:r>
              <w:t>1st version of the report</w:t>
            </w:r>
          </w:p>
        </w:tc>
        <w:tc>
          <w:tcPr>
            <w:tcW w:w="2749" w:type="dxa"/>
          </w:tcPr>
          <w:p w:rsidR="00C22933" w:rsidRDefault="005947AC">
            <w:pPr>
              <w:jc w:val="center"/>
            </w:pPr>
            <w:r>
              <w:t>June 25</w:t>
            </w:r>
          </w:p>
        </w:tc>
      </w:tr>
      <w:tr w:rsidR="00C22933">
        <w:trPr>
          <w:trHeight w:val="306"/>
          <w:jc w:val="center"/>
        </w:trPr>
        <w:tc>
          <w:tcPr>
            <w:tcW w:w="7225" w:type="dxa"/>
          </w:tcPr>
          <w:p w:rsidR="00C22933" w:rsidRDefault="005947AC">
            <w:pPr>
              <w:jc w:val="right"/>
            </w:pPr>
            <w:r>
              <w:t>Final version of the report &amp; presentation during the TASC</w:t>
            </w:r>
          </w:p>
        </w:tc>
        <w:tc>
          <w:tcPr>
            <w:tcW w:w="2749" w:type="dxa"/>
          </w:tcPr>
          <w:p w:rsidR="00C22933" w:rsidRDefault="005947AC">
            <w:pPr>
              <w:jc w:val="center"/>
            </w:pPr>
            <w:r>
              <w:t>July 25</w:t>
            </w:r>
          </w:p>
        </w:tc>
      </w:tr>
      <w:tr w:rsidR="00C22933">
        <w:trPr>
          <w:trHeight w:val="293"/>
          <w:jc w:val="center"/>
        </w:trPr>
        <w:tc>
          <w:tcPr>
            <w:tcW w:w="7225" w:type="dxa"/>
          </w:tcPr>
          <w:p w:rsidR="00C22933" w:rsidRDefault="005947AC">
            <w:r>
              <w:rPr>
                <w:b/>
              </w:rPr>
              <w:t>Activity n°3 - Evaluation report of the PBL Phase 2</w:t>
            </w:r>
          </w:p>
        </w:tc>
        <w:tc>
          <w:tcPr>
            <w:tcW w:w="2749" w:type="dxa"/>
          </w:tcPr>
          <w:p w:rsidR="00C22933" w:rsidRDefault="00C22933">
            <w:pPr>
              <w:jc w:val="center"/>
            </w:pPr>
          </w:p>
        </w:tc>
      </w:tr>
      <w:tr w:rsidR="00C22933">
        <w:trPr>
          <w:trHeight w:val="306"/>
          <w:jc w:val="center"/>
        </w:trPr>
        <w:tc>
          <w:tcPr>
            <w:tcW w:w="7225" w:type="dxa"/>
          </w:tcPr>
          <w:p w:rsidR="00C22933" w:rsidRDefault="005947AC">
            <w:pPr>
              <w:jc w:val="right"/>
            </w:pPr>
            <w:r>
              <w:t>Inception report</w:t>
            </w:r>
          </w:p>
        </w:tc>
        <w:tc>
          <w:tcPr>
            <w:tcW w:w="2749" w:type="dxa"/>
          </w:tcPr>
          <w:p w:rsidR="00C22933" w:rsidRDefault="005947AC">
            <w:pPr>
              <w:jc w:val="center"/>
            </w:pPr>
            <w:r>
              <w:t>April 26</w:t>
            </w:r>
          </w:p>
        </w:tc>
      </w:tr>
      <w:tr w:rsidR="00C22933">
        <w:trPr>
          <w:trHeight w:val="306"/>
          <w:jc w:val="center"/>
        </w:trPr>
        <w:tc>
          <w:tcPr>
            <w:tcW w:w="7225" w:type="dxa"/>
          </w:tcPr>
          <w:p w:rsidR="00C22933" w:rsidRDefault="005947AC">
            <w:pPr>
              <w:jc w:val="right"/>
              <w:rPr>
                <w:b/>
              </w:rPr>
            </w:pPr>
            <w:r>
              <w:t>1st version of the evaluation report</w:t>
            </w:r>
          </w:p>
        </w:tc>
        <w:tc>
          <w:tcPr>
            <w:tcW w:w="2749" w:type="dxa"/>
          </w:tcPr>
          <w:p w:rsidR="00C22933" w:rsidRDefault="005947AC">
            <w:pPr>
              <w:jc w:val="center"/>
            </w:pPr>
            <w:r>
              <w:t>May 26</w:t>
            </w:r>
          </w:p>
        </w:tc>
      </w:tr>
      <w:tr w:rsidR="00C22933">
        <w:trPr>
          <w:trHeight w:val="306"/>
          <w:jc w:val="center"/>
        </w:trPr>
        <w:tc>
          <w:tcPr>
            <w:tcW w:w="7225" w:type="dxa"/>
          </w:tcPr>
          <w:p w:rsidR="00C22933" w:rsidRDefault="005947AC">
            <w:pPr>
              <w:jc w:val="right"/>
            </w:pPr>
            <w:r>
              <w:t>Final version of the evaluation report &amp; presentation during the TASC</w:t>
            </w:r>
          </w:p>
        </w:tc>
        <w:tc>
          <w:tcPr>
            <w:tcW w:w="2749" w:type="dxa"/>
          </w:tcPr>
          <w:p w:rsidR="00C22933" w:rsidRDefault="005947AC">
            <w:pPr>
              <w:jc w:val="center"/>
            </w:pPr>
            <w:r>
              <w:t>June 26</w:t>
            </w:r>
          </w:p>
        </w:tc>
      </w:tr>
    </w:tbl>
    <w:p w:rsidR="00C22933" w:rsidRDefault="00C22933">
      <w:pPr>
        <w:rPr>
          <w:u w:val="single"/>
        </w:rPr>
      </w:pPr>
    </w:p>
    <w:p w:rsidR="00C22933" w:rsidRDefault="005947AC">
      <w:pPr>
        <w:pStyle w:val="Titre1"/>
        <w:numPr>
          <w:ilvl w:val="0"/>
          <w:numId w:val="4"/>
        </w:numPr>
      </w:pPr>
      <w:r>
        <w:t>Consultant Profile</w:t>
      </w:r>
    </w:p>
    <w:p w:rsidR="00C22933" w:rsidRDefault="005947AC">
      <w:pPr>
        <w:spacing w:before="120"/>
        <w:rPr>
          <w:lang w:val="en-US"/>
        </w:rPr>
      </w:pPr>
      <w:r>
        <w:rPr>
          <w:lang w:val="en-US"/>
        </w:rPr>
        <w:t>The skills required to conduct this assessment are those of a team of experts covering the following areas:</w:t>
      </w:r>
    </w:p>
    <w:p w:rsidR="00C22933" w:rsidRDefault="005947AC">
      <w:pPr>
        <w:pStyle w:val="Paragraphedeliste"/>
        <w:numPr>
          <w:ilvl w:val="0"/>
          <w:numId w:val="37"/>
        </w:numPr>
        <w:spacing w:before="120"/>
        <w:rPr>
          <w:lang w:val="en-US"/>
        </w:rPr>
      </w:pPr>
      <w:r>
        <w:rPr>
          <w:sz w:val="24"/>
          <w:lang w:val="en-US"/>
        </w:rPr>
        <w:t>Technical and sectoral knowledge and expertise in the energy field;</w:t>
      </w:r>
    </w:p>
    <w:p w:rsidR="00C22933" w:rsidRDefault="005947AC">
      <w:pPr>
        <w:pStyle w:val="Paragraphedeliste"/>
        <w:numPr>
          <w:ilvl w:val="0"/>
          <w:numId w:val="37"/>
        </w:numPr>
        <w:spacing w:before="120"/>
        <w:rPr>
          <w:lang w:val="en-US"/>
        </w:rPr>
      </w:pPr>
      <w:r>
        <w:rPr>
          <w:sz w:val="24"/>
          <w:lang w:val="en-US"/>
        </w:rPr>
        <w:t>Knowledge of the different aid modalities and in particular budgetary financing;</w:t>
      </w:r>
    </w:p>
    <w:p w:rsidR="00C22933" w:rsidRDefault="005947AC">
      <w:pPr>
        <w:pStyle w:val="Paragraphedeliste"/>
        <w:numPr>
          <w:ilvl w:val="0"/>
          <w:numId w:val="37"/>
        </w:numPr>
        <w:spacing w:before="120"/>
        <w:rPr>
          <w:lang w:val="en-US"/>
        </w:rPr>
      </w:pPr>
      <w:r>
        <w:rPr>
          <w:sz w:val="24"/>
          <w:lang w:val="en-US"/>
        </w:rPr>
        <w:t xml:space="preserve">Extensive experience in the definition/design/drafting of policy reforms, preferably in lower- middle-income countries, and/or countries from Eastern Europe, Caucasus and Central Asia; </w:t>
      </w:r>
    </w:p>
    <w:p w:rsidR="00C22933" w:rsidRDefault="005947AC">
      <w:pPr>
        <w:pStyle w:val="Paragraphedeliste"/>
        <w:numPr>
          <w:ilvl w:val="0"/>
          <w:numId w:val="37"/>
        </w:numPr>
        <w:spacing w:before="120"/>
        <w:rPr>
          <w:lang w:val="en-US"/>
        </w:rPr>
      </w:pPr>
      <w:r>
        <w:rPr>
          <w:sz w:val="24"/>
          <w:lang w:val="en-US"/>
        </w:rPr>
        <w:t>Experience and knowledge working with IFIs, AFD and the Relevant Standards;</w:t>
      </w:r>
    </w:p>
    <w:p w:rsidR="00C22933" w:rsidRDefault="005947AC">
      <w:pPr>
        <w:pStyle w:val="Paragraphedeliste"/>
        <w:numPr>
          <w:ilvl w:val="0"/>
          <w:numId w:val="37"/>
        </w:numPr>
        <w:spacing w:before="120"/>
        <w:rPr>
          <w:lang w:val="en-US"/>
        </w:rPr>
      </w:pPr>
      <w:r>
        <w:rPr>
          <w:sz w:val="24"/>
          <w:lang w:val="en-US"/>
        </w:rPr>
        <w:t>Experience in Uzbekistan;</w:t>
      </w:r>
    </w:p>
    <w:p w:rsidR="00C22933" w:rsidRDefault="005947AC">
      <w:pPr>
        <w:pStyle w:val="Paragraphedeliste"/>
        <w:numPr>
          <w:ilvl w:val="0"/>
          <w:numId w:val="37"/>
        </w:numPr>
        <w:spacing w:before="120"/>
        <w:rPr>
          <w:lang w:val="en-US"/>
        </w:rPr>
      </w:pPr>
      <w:r>
        <w:rPr>
          <w:sz w:val="24"/>
          <w:lang w:val="en-US"/>
        </w:rPr>
        <w:t>Adequate language skills (English, Russian and Uzbek);</w:t>
      </w:r>
    </w:p>
    <w:p w:rsidR="00C22933" w:rsidRDefault="005947AC">
      <w:pPr>
        <w:pStyle w:val="Paragraphedeliste"/>
        <w:numPr>
          <w:ilvl w:val="0"/>
          <w:numId w:val="37"/>
        </w:numPr>
        <w:spacing w:before="120"/>
        <w:rPr>
          <w:sz w:val="24"/>
          <w:lang w:val="en-US"/>
        </w:rPr>
      </w:pPr>
      <w:r>
        <w:rPr>
          <w:sz w:val="24"/>
          <w:lang w:val="en-US"/>
        </w:rPr>
        <w:t>Knowledge and professional experience in evaluation in the field of development cooperation and in particular in the evaluation of budget support.</w:t>
      </w:r>
    </w:p>
    <w:p w:rsidR="00C22933" w:rsidRDefault="005947AC">
      <w:pPr>
        <w:pStyle w:val="Titre1"/>
        <w:numPr>
          <w:ilvl w:val="0"/>
          <w:numId w:val="4"/>
        </w:numPr>
      </w:pPr>
      <w:r>
        <w:lastRenderedPageBreak/>
        <w:t>Recruitment Procedures</w:t>
      </w:r>
    </w:p>
    <w:p w:rsidR="00C22933" w:rsidRDefault="00C22933">
      <w:pPr>
        <w:rPr>
          <w:u w:val="single"/>
        </w:rPr>
      </w:pPr>
    </w:p>
    <w:p w:rsidR="00C22933" w:rsidRDefault="005947AC">
      <w:pPr>
        <w:jc w:val="both"/>
      </w:pPr>
      <w:r>
        <w:t xml:space="preserve">Technical and financial offer should be submitted to Expertise France through the platform. The financial offer should </w:t>
      </w:r>
      <w:r w:rsidR="0001609C">
        <w:t>indicate daily</w:t>
      </w:r>
      <w:r>
        <w:t xml:space="preserve"> rate, while technical offer should outline methodology, experts to be involved and their CV/bio. </w:t>
      </w:r>
    </w:p>
    <w:p w:rsidR="00C22933" w:rsidRDefault="005947AC">
      <w:pPr>
        <w:jc w:val="both"/>
        <w:sectPr w:rsidR="00C22933">
          <w:headerReference w:type="default" r:id="rId11"/>
          <w:footerReference w:type="default" r:id="rId12"/>
          <w:pgSz w:w="11900" w:h="16840"/>
          <w:pgMar w:top="1134" w:right="1120" w:bottom="680" w:left="1134" w:header="1134" w:footer="680" w:gutter="0"/>
          <w:cols w:space="720"/>
        </w:sectPr>
      </w:pPr>
      <w:r>
        <w:br w:type="page" w:clear="all"/>
      </w:r>
    </w:p>
    <w:p w:rsidR="00C22933" w:rsidRDefault="00C22933">
      <w:pPr>
        <w:rPr>
          <w:u w:val="single"/>
        </w:rPr>
      </w:pPr>
    </w:p>
    <w:p w:rsidR="00C22933" w:rsidRDefault="005947AC">
      <w:pPr>
        <w:keepNext/>
        <w:ind w:firstLine="720"/>
        <w:jc w:val="center"/>
        <w:outlineLvl w:val="0"/>
        <w:rPr>
          <w:rFonts w:ascii="Arial" w:eastAsia="SimSun" w:hAnsi="Arial" w:cs="Arial"/>
          <w:b/>
          <w:caps/>
          <w:color w:val="000000"/>
        </w:rPr>
      </w:pPr>
      <w:bookmarkStart w:id="11" w:name="_Toc117264290"/>
      <w:r>
        <w:rPr>
          <w:rFonts w:ascii="Arial" w:eastAsia="SimSun" w:hAnsi="Arial" w:cs="Arial"/>
          <w:b/>
          <w:caps/>
          <w:color w:val="000000"/>
        </w:rPr>
        <w:t>Annex 1: Policy Matrix and Monitoring Framework</w:t>
      </w:r>
      <w:bookmarkEnd w:id="11"/>
    </w:p>
    <w:p w:rsidR="00C22933" w:rsidRDefault="00C22933">
      <w:pPr>
        <w:jc w:val="center"/>
        <w:rPr>
          <w:rFonts w:ascii="Arial" w:eastAsia="SimSun" w:hAnsi="Arial" w:cs="Arial"/>
          <w:b/>
          <w:color w:val="00B050"/>
        </w:rPr>
      </w:pPr>
    </w:p>
    <w:tbl>
      <w:tblPr>
        <w:tblW w:w="14040" w:type="dxa"/>
        <w:jc w:val="center"/>
        <w:tblBorders>
          <w:top w:val="single" w:sz="4" w:space="0" w:color="auto"/>
          <w:left w:val="single" w:sz="4" w:space="0" w:color="auto"/>
          <w:bottom w:val="single" w:sz="4" w:space="0" w:color="auto"/>
          <w:right w:val="single" w:sz="4" w:space="0" w:color="auto"/>
        </w:tblBorders>
        <w:tblLayout w:type="fixed"/>
        <w:tblCellMar>
          <w:top w:w="14" w:type="dxa"/>
          <w:bottom w:w="14" w:type="dxa"/>
        </w:tblCellMar>
        <w:tblLook w:val="04A0" w:firstRow="1" w:lastRow="0" w:firstColumn="1" w:lastColumn="0" w:noHBand="0" w:noVBand="1"/>
      </w:tblPr>
      <w:tblGrid>
        <w:gridCol w:w="14040"/>
      </w:tblGrid>
      <w:tr w:rsidR="00C22933">
        <w:trPr>
          <w:jc w:val="center"/>
        </w:trPr>
        <w:tc>
          <w:tcPr>
            <w:tcW w:w="14040" w:type="dxa"/>
          </w:tcPr>
          <w:p w:rsidR="00C22933" w:rsidRDefault="005947AC">
            <w:pPr>
              <w:jc w:val="both"/>
              <w:rPr>
                <w:rFonts w:ascii="Arial" w:eastAsia="SimSun" w:hAnsi="Arial" w:cs="Arial"/>
                <w:b/>
                <w:color w:val="000000"/>
                <w:sz w:val="20"/>
                <w:szCs w:val="20"/>
              </w:rPr>
            </w:pPr>
            <w:r>
              <w:rPr>
                <w:rFonts w:ascii="Arial" w:eastAsia="SimSun" w:hAnsi="Arial" w:cs="Arial"/>
                <w:b/>
                <w:color w:val="000000"/>
                <w:sz w:val="20"/>
                <w:szCs w:val="20"/>
              </w:rPr>
              <w:t>Country’s Overarching Development Objective</w:t>
            </w:r>
          </w:p>
          <w:p w:rsidR="00C22933" w:rsidRDefault="00C22933">
            <w:pPr>
              <w:jc w:val="both"/>
              <w:rPr>
                <w:rFonts w:ascii="Arial" w:eastAsia="SimSun" w:hAnsi="Arial" w:cs="Arial"/>
                <w:sz w:val="20"/>
                <w:szCs w:val="20"/>
              </w:rPr>
            </w:pPr>
          </w:p>
          <w:p w:rsidR="00C22933" w:rsidRDefault="005947AC">
            <w:pPr>
              <w:jc w:val="both"/>
              <w:rPr>
                <w:rFonts w:ascii="Arial" w:eastAsia="SimSun" w:hAnsi="Arial" w:cs="Arial"/>
                <w:color w:val="000000"/>
                <w:sz w:val="20"/>
                <w:szCs w:val="20"/>
              </w:rPr>
            </w:pPr>
            <w:bookmarkStart w:id="12" w:name="_Hlk166415006"/>
            <w:r>
              <w:rPr>
                <w:rFonts w:ascii="Arial" w:eastAsia="SimSun" w:hAnsi="Arial" w:cs="Arial"/>
                <w:sz w:val="20"/>
                <w:szCs w:val="20"/>
              </w:rPr>
              <w:t>Sustainable, inclusive, and market-led power sector development facilitated</w:t>
            </w:r>
            <w:bookmarkEnd w:id="12"/>
            <w:r>
              <w:rPr>
                <w:rFonts w:ascii="Arial" w:eastAsia="SimSun" w:hAnsi="Arial" w:cs="Arial"/>
                <w:sz w:val="20"/>
                <w:szCs w:val="20"/>
              </w:rPr>
              <w:t xml:space="preserve">. </w:t>
            </w:r>
            <w:r>
              <w:rPr>
                <w:rFonts w:ascii="Arial" w:eastAsia="SimSun" w:hAnsi="Arial" w:cs="Arial"/>
                <w:color w:val="000000"/>
                <w:sz w:val="20"/>
                <w:szCs w:val="20"/>
                <w:vertAlign w:val="superscript"/>
              </w:rPr>
              <w:t>a</w:t>
            </w:r>
          </w:p>
        </w:tc>
      </w:tr>
    </w:tbl>
    <w:p w:rsidR="00C22933" w:rsidRDefault="00C22933">
      <w:pPr>
        <w:jc w:val="both"/>
        <w:rPr>
          <w:rFonts w:ascii="Arial" w:eastAsia="SimSun" w:hAnsi="Arial"/>
          <w:color w:val="000000"/>
          <w:sz w:val="2"/>
          <w:szCs w:val="2"/>
        </w:rPr>
      </w:pPr>
    </w:p>
    <w:tbl>
      <w:tblPr>
        <w:tblW w:w="14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bottom w:w="14" w:type="dxa"/>
        </w:tblCellMar>
        <w:tblLook w:val="04A0" w:firstRow="1" w:lastRow="0" w:firstColumn="1" w:lastColumn="0" w:noHBand="0" w:noVBand="1"/>
      </w:tblPr>
      <w:tblGrid>
        <w:gridCol w:w="7083"/>
        <w:gridCol w:w="7047"/>
      </w:tblGrid>
      <w:tr w:rsidR="00C22933">
        <w:trPr>
          <w:jc w:val="center"/>
        </w:trPr>
        <w:tc>
          <w:tcPr>
            <w:tcW w:w="7083" w:type="dxa"/>
            <w:shd w:val="clear" w:color="auto" w:fill="auto"/>
          </w:tcPr>
          <w:p w:rsidR="00C22933" w:rsidRDefault="005947AC">
            <w:pPr>
              <w:jc w:val="both"/>
              <w:rPr>
                <w:rFonts w:ascii="Arial" w:eastAsia="SimSun" w:hAnsi="Arial" w:cs="Arial"/>
                <w:b/>
                <w:color w:val="000000"/>
                <w:sz w:val="20"/>
                <w:szCs w:val="20"/>
              </w:rPr>
            </w:pPr>
            <w:r>
              <w:rPr>
                <w:rFonts w:ascii="Arial" w:eastAsia="SimSun" w:hAnsi="Arial" w:cs="Arial"/>
                <w:b/>
                <w:color w:val="000000"/>
                <w:sz w:val="20"/>
                <w:szCs w:val="20"/>
              </w:rPr>
              <w:t>Outcome</w:t>
            </w:r>
          </w:p>
          <w:p w:rsidR="00C22933" w:rsidRDefault="00C22933">
            <w:pPr>
              <w:jc w:val="both"/>
              <w:rPr>
                <w:rFonts w:ascii="Arial" w:eastAsia="SimSun" w:hAnsi="Arial" w:cs="Arial"/>
                <w:sz w:val="20"/>
                <w:szCs w:val="20"/>
              </w:rPr>
            </w:pPr>
          </w:p>
          <w:p w:rsidR="00C22933" w:rsidRDefault="005947AC">
            <w:pPr>
              <w:jc w:val="both"/>
              <w:rPr>
                <w:rFonts w:ascii="Arial" w:eastAsia="SimSun" w:hAnsi="Arial" w:cs="Arial"/>
                <w:color w:val="FF0000"/>
                <w:sz w:val="20"/>
                <w:szCs w:val="20"/>
              </w:rPr>
            </w:pPr>
            <w:r>
              <w:rPr>
                <w:rFonts w:ascii="Arial" w:eastAsia="SimSun" w:hAnsi="Arial" w:cs="Arial"/>
                <w:sz w:val="20"/>
                <w:szCs w:val="20"/>
              </w:rPr>
              <w:t>Environment conducive to private investment and sector sustainability improved.</w:t>
            </w:r>
          </w:p>
        </w:tc>
        <w:tc>
          <w:tcPr>
            <w:tcW w:w="7047" w:type="dxa"/>
            <w:shd w:val="clear" w:color="auto" w:fill="auto"/>
          </w:tcPr>
          <w:p w:rsidR="00C22933" w:rsidRDefault="005947AC">
            <w:pPr>
              <w:rPr>
                <w:rFonts w:ascii="Arial" w:eastAsia="SimSun" w:hAnsi="Arial" w:cs="Arial"/>
                <w:b/>
                <w:color w:val="000000"/>
                <w:sz w:val="20"/>
                <w:szCs w:val="20"/>
              </w:rPr>
            </w:pPr>
            <w:r>
              <w:rPr>
                <w:rFonts w:ascii="Arial" w:eastAsia="SimSun" w:hAnsi="Arial" w:cs="Arial"/>
                <w:b/>
                <w:color w:val="000000"/>
                <w:sz w:val="20"/>
                <w:szCs w:val="20"/>
              </w:rPr>
              <w:t>Risks and Critical Assumptions</w:t>
            </w:r>
          </w:p>
          <w:p w:rsidR="00C22933" w:rsidRDefault="005947AC">
            <w:pPr>
              <w:rPr>
                <w:rFonts w:ascii="Arial" w:eastAsia="SimSun" w:hAnsi="Arial" w:cs="Arial"/>
                <w:color w:val="000000"/>
                <w:sz w:val="20"/>
                <w:szCs w:val="20"/>
              </w:rPr>
            </w:pPr>
            <w:r>
              <w:rPr>
                <w:rFonts w:ascii="Arial" w:eastAsia="SimSun" w:hAnsi="Arial" w:cs="Arial"/>
                <w:color w:val="000000"/>
                <w:sz w:val="20"/>
                <w:szCs w:val="20"/>
              </w:rPr>
              <w:br/>
              <w:t>A: Electricity demand growth rate continues to increase as envisaged in sector development plan.</w:t>
            </w:r>
          </w:p>
          <w:p w:rsidR="00C22933" w:rsidRDefault="005947AC">
            <w:pPr>
              <w:rPr>
                <w:rFonts w:ascii="Arial" w:eastAsia="SimSun" w:hAnsi="Arial" w:cs="Arial"/>
                <w:color w:val="000000"/>
                <w:sz w:val="20"/>
                <w:szCs w:val="20"/>
              </w:rPr>
            </w:pPr>
            <w:r>
              <w:rPr>
                <w:rFonts w:ascii="Arial" w:eastAsia="SimSun" w:hAnsi="Arial"/>
                <w:color w:val="000000"/>
                <w:sz w:val="20"/>
                <w:szCs w:val="20"/>
              </w:rPr>
              <w:t xml:space="preserve"> </w:t>
            </w:r>
          </w:p>
        </w:tc>
      </w:tr>
    </w:tbl>
    <w:p w:rsidR="00C22933" w:rsidRDefault="00C22933">
      <w:pPr>
        <w:jc w:val="both"/>
        <w:rPr>
          <w:rFonts w:ascii="Arial" w:eastAsia="SimSun" w:hAnsi="Arial"/>
          <w:color w:val="000000"/>
          <w:sz w:val="2"/>
          <w:szCs w:val="2"/>
        </w:rPr>
      </w:pPr>
    </w:p>
    <w:tbl>
      <w:tblPr>
        <w:tblpPr w:leftFromText="180" w:rightFromText="180" w:vertAnchor="text" w:tblpXSpec="center"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bottom w:w="14" w:type="dxa"/>
        </w:tblCellMar>
        <w:tblLook w:val="04A0" w:firstRow="1" w:lastRow="0" w:firstColumn="1" w:lastColumn="0" w:noHBand="0" w:noVBand="1"/>
      </w:tblPr>
      <w:tblGrid>
        <w:gridCol w:w="3539"/>
        <w:gridCol w:w="3544"/>
        <w:gridCol w:w="2693"/>
        <w:gridCol w:w="2268"/>
        <w:gridCol w:w="2126"/>
      </w:tblGrid>
      <w:tr w:rsidR="00C22933">
        <w:trPr>
          <w:tblHeader/>
        </w:trPr>
        <w:tc>
          <w:tcPr>
            <w:tcW w:w="3539" w:type="dxa"/>
            <w:shd w:val="clear" w:color="auto" w:fill="DDD9C3"/>
            <w:vAlign w:val="center"/>
          </w:tcPr>
          <w:p w:rsidR="00C22933" w:rsidRDefault="005947AC">
            <w:pPr>
              <w:keepNext/>
              <w:jc w:val="center"/>
              <w:rPr>
                <w:rFonts w:ascii="Arial" w:eastAsia="SimSun" w:hAnsi="Arial" w:cs="Arial"/>
                <w:b/>
                <w:color w:val="000000"/>
                <w:sz w:val="20"/>
                <w:szCs w:val="20"/>
              </w:rPr>
            </w:pPr>
            <w:r>
              <w:rPr>
                <w:rFonts w:ascii="Arial" w:eastAsia="SimSun" w:hAnsi="Arial" w:cs="Arial"/>
                <w:b/>
                <w:color w:val="000000"/>
                <w:sz w:val="20"/>
                <w:szCs w:val="20"/>
              </w:rPr>
              <w:t>Prior Actions: Subprogram 1</w:t>
            </w:r>
          </w:p>
          <w:p w:rsidR="00C22933" w:rsidRDefault="005947AC">
            <w:pPr>
              <w:keepNext/>
              <w:jc w:val="center"/>
              <w:rPr>
                <w:rFonts w:ascii="Arial" w:eastAsia="SimSun" w:hAnsi="Arial" w:cs="Arial"/>
                <w:color w:val="000000"/>
                <w:sz w:val="20"/>
                <w:szCs w:val="20"/>
              </w:rPr>
            </w:pPr>
            <w:r>
              <w:rPr>
                <w:rFonts w:ascii="Arial" w:eastAsia="SimSun" w:hAnsi="Arial" w:cs="Arial"/>
                <w:b/>
                <w:bCs/>
                <w:color w:val="000000"/>
                <w:sz w:val="20"/>
                <w:szCs w:val="20"/>
              </w:rPr>
              <w:t>(Completed: July 2019 – July 2020)</w:t>
            </w:r>
          </w:p>
        </w:tc>
        <w:tc>
          <w:tcPr>
            <w:tcW w:w="3544" w:type="dxa"/>
            <w:shd w:val="clear" w:color="auto" w:fill="DDD9C3"/>
            <w:vAlign w:val="center"/>
          </w:tcPr>
          <w:p w:rsidR="00C22933" w:rsidRDefault="005947AC">
            <w:pPr>
              <w:keepNext/>
              <w:jc w:val="center"/>
              <w:rPr>
                <w:rFonts w:ascii="Arial" w:eastAsia="SimSun" w:hAnsi="Arial" w:cs="Arial"/>
                <w:b/>
                <w:color w:val="000000"/>
                <w:sz w:val="20"/>
                <w:szCs w:val="20"/>
              </w:rPr>
            </w:pPr>
            <w:r>
              <w:rPr>
                <w:rFonts w:ascii="Arial" w:eastAsia="SimSun" w:hAnsi="Arial" w:cs="Arial"/>
                <w:b/>
                <w:color w:val="000000"/>
                <w:sz w:val="20"/>
                <w:szCs w:val="20"/>
              </w:rPr>
              <w:t>Prior Actions: Subprogram 2</w:t>
            </w:r>
          </w:p>
          <w:p w:rsidR="00C22933" w:rsidRDefault="005947AC">
            <w:pPr>
              <w:keepNext/>
              <w:jc w:val="center"/>
              <w:rPr>
                <w:rFonts w:ascii="Arial" w:eastAsia="SimSun" w:hAnsi="Arial" w:cs="Arial"/>
                <w:color w:val="000000"/>
                <w:sz w:val="20"/>
                <w:szCs w:val="20"/>
              </w:rPr>
            </w:pPr>
            <w:r>
              <w:rPr>
                <w:rFonts w:ascii="Arial" w:eastAsia="SimSun" w:hAnsi="Arial" w:cs="Arial"/>
                <w:b/>
                <w:bCs/>
                <w:color w:val="000000"/>
                <w:sz w:val="20"/>
                <w:szCs w:val="20"/>
              </w:rPr>
              <w:t>(Completed: August 2020- August 2024)</w:t>
            </w:r>
          </w:p>
        </w:tc>
        <w:tc>
          <w:tcPr>
            <w:tcW w:w="2693" w:type="dxa"/>
            <w:shd w:val="clear" w:color="auto" w:fill="DDD9C3"/>
            <w:vAlign w:val="center"/>
          </w:tcPr>
          <w:p w:rsidR="00C22933" w:rsidRPr="003B004C" w:rsidRDefault="005947AC">
            <w:pPr>
              <w:keepNext/>
              <w:jc w:val="center"/>
              <w:rPr>
                <w:rFonts w:ascii="Arial" w:eastAsia="SimSun" w:hAnsi="Arial" w:cs="Arial"/>
                <w:b/>
                <w:bCs/>
                <w:color w:val="000000"/>
                <w:sz w:val="20"/>
                <w:szCs w:val="20"/>
              </w:rPr>
            </w:pPr>
            <w:r w:rsidRPr="003B004C">
              <w:rPr>
                <w:rFonts w:ascii="Arial" w:eastAsia="SimSun" w:hAnsi="Arial" w:cs="Arial"/>
                <w:b/>
                <w:bCs/>
                <w:color w:val="000000"/>
                <w:sz w:val="20"/>
                <w:szCs w:val="20"/>
              </w:rPr>
              <w:t>Follow-up points</w:t>
            </w:r>
          </w:p>
          <w:p w:rsidR="00C22933" w:rsidRDefault="005947AC">
            <w:pPr>
              <w:keepNext/>
              <w:jc w:val="center"/>
              <w:rPr>
                <w:rFonts w:ascii="Arial" w:eastAsia="SimSun" w:hAnsi="Arial" w:cs="Arial"/>
                <w:b/>
                <w:color w:val="000000"/>
                <w:sz w:val="20"/>
                <w:szCs w:val="20"/>
              </w:rPr>
            </w:pPr>
            <w:r w:rsidRPr="003B004C">
              <w:rPr>
                <w:rFonts w:ascii="Arial" w:eastAsia="SimSun" w:hAnsi="Arial" w:cs="Arial"/>
                <w:b/>
                <w:bCs/>
                <w:color w:val="000000"/>
                <w:sz w:val="20"/>
                <w:szCs w:val="20"/>
              </w:rPr>
              <w:t xml:space="preserve"> (AFD TA n°2)</w:t>
            </w:r>
          </w:p>
        </w:tc>
        <w:tc>
          <w:tcPr>
            <w:tcW w:w="2268" w:type="dxa"/>
            <w:shd w:val="clear" w:color="auto" w:fill="DDD9C3"/>
            <w:vAlign w:val="center"/>
          </w:tcPr>
          <w:p w:rsidR="00C22933" w:rsidRDefault="005947AC">
            <w:pPr>
              <w:keepNext/>
              <w:jc w:val="center"/>
              <w:rPr>
                <w:rFonts w:ascii="Arial" w:eastAsia="SimSun" w:hAnsi="Arial" w:cs="Arial"/>
                <w:bCs/>
                <w:color w:val="000000"/>
                <w:sz w:val="20"/>
                <w:szCs w:val="20"/>
              </w:rPr>
            </w:pPr>
            <w:r>
              <w:rPr>
                <w:rFonts w:ascii="Arial" w:eastAsia="SimSun" w:hAnsi="Arial" w:cs="Arial"/>
                <w:b/>
                <w:color w:val="000000"/>
                <w:sz w:val="20"/>
                <w:szCs w:val="20"/>
              </w:rPr>
              <w:t>Outcome Indicators (ADB/AFD)</w:t>
            </w:r>
          </w:p>
        </w:tc>
        <w:tc>
          <w:tcPr>
            <w:tcW w:w="2126" w:type="dxa"/>
            <w:shd w:val="clear" w:color="auto" w:fill="DDD9C3"/>
            <w:vAlign w:val="center"/>
          </w:tcPr>
          <w:p w:rsidR="00C22933" w:rsidRDefault="005947AC">
            <w:pPr>
              <w:keepNext/>
              <w:jc w:val="center"/>
              <w:rPr>
                <w:rFonts w:ascii="Arial" w:eastAsia="SimSun" w:hAnsi="Arial" w:cs="Arial"/>
                <w:b/>
                <w:color w:val="000000"/>
                <w:sz w:val="20"/>
                <w:szCs w:val="20"/>
              </w:rPr>
            </w:pPr>
            <w:r>
              <w:rPr>
                <w:rFonts w:ascii="Arial" w:eastAsia="SimSun" w:hAnsi="Arial" w:cs="Arial"/>
                <w:b/>
                <w:color w:val="000000"/>
                <w:sz w:val="20"/>
                <w:szCs w:val="20"/>
              </w:rPr>
              <w:t>Post Program Partnership Framework (ADB/AFD)</w:t>
            </w:r>
          </w:p>
        </w:tc>
      </w:tr>
      <w:tr w:rsidR="00C22933">
        <w:tc>
          <w:tcPr>
            <w:tcW w:w="12044" w:type="dxa"/>
            <w:gridSpan w:val="4"/>
            <w:shd w:val="clear" w:color="auto" w:fill="F2F2F2"/>
          </w:tcPr>
          <w:p w:rsidR="00C22933" w:rsidRDefault="005947AC">
            <w:pPr>
              <w:keepNext/>
              <w:rPr>
                <w:rFonts w:ascii="Arial" w:eastAsia="SimSun" w:hAnsi="Arial" w:cs="Arial"/>
                <w:color w:val="000000"/>
                <w:sz w:val="20"/>
                <w:szCs w:val="20"/>
              </w:rPr>
            </w:pPr>
            <w:r>
              <w:rPr>
                <w:rFonts w:ascii="Arial" w:eastAsia="SimSun" w:hAnsi="Arial" w:cs="Arial"/>
                <w:b/>
                <w:color w:val="000000"/>
                <w:sz w:val="20"/>
                <w:szCs w:val="20"/>
              </w:rPr>
              <w:t xml:space="preserve">Reform Area 1: </w:t>
            </w:r>
            <w:r>
              <w:rPr>
                <w:rFonts w:ascii="Arial" w:eastAsia="SimSun" w:hAnsi="Arial" w:cs="Arial"/>
                <w:bCs/>
                <w:sz w:val="20"/>
                <w:szCs w:val="20"/>
              </w:rPr>
              <w:t>Power Sector Restructured and Regulations Adopted</w:t>
            </w:r>
          </w:p>
        </w:tc>
        <w:tc>
          <w:tcPr>
            <w:tcW w:w="2126" w:type="dxa"/>
            <w:shd w:val="clear" w:color="auto" w:fill="F2F2F2"/>
          </w:tcPr>
          <w:p w:rsidR="00C22933" w:rsidRDefault="00C22933">
            <w:pPr>
              <w:keepNext/>
              <w:rPr>
                <w:rFonts w:ascii="Arial" w:eastAsia="SimSun" w:hAnsi="Arial" w:cs="Arial"/>
                <w:b/>
                <w:color w:val="000000"/>
                <w:sz w:val="20"/>
                <w:szCs w:val="20"/>
              </w:rPr>
            </w:pPr>
          </w:p>
        </w:tc>
      </w:tr>
      <w:tr w:rsidR="00C22933">
        <w:tc>
          <w:tcPr>
            <w:tcW w:w="3539" w:type="dxa"/>
            <w:tcBorders>
              <w:top w:val="single" w:sz="4" w:space="0" w:color="auto"/>
              <w:left w:val="single" w:sz="4" w:space="0" w:color="auto"/>
              <w:bottom w:val="single" w:sz="4" w:space="0" w:color="auto"/>
              <w:right w:val="single" w:sz="4" w:space="0" w:color="auto"/>
            </w:tcBorders>
          </w:tcPr>
          <w:p w:rsidR="00C22933" w:rsidRDefault="005947AC">
            <w:pPr>
              <w:numPr>
                <w:ilvl w:val="1"/>
                <w:numId w:val="6"/>
              </w:numPr>
              <w:tabs>
                <w:tab w:val="left" w:pos="1327"/>
              </w:tabs>
              <w:ind w:left="420" w:hanging="420"/>
              <w:jc w:val="both"/>
              <w:rPr>
                <w:rFonts w:ascii="Arial" w:eastAsia="SimSun" w:hAnsi="Arial" w:cs="Arial"/>
                <w:iCs/>
                <w:color w:val="000000"/>
                <w:sz w:val="20"/>
                <w:szCs w:val="20"/>
              </w:rPr>
            </w:pPr>
            <w:bookmarkStart w:id="13" w:name="_Hlk167387473"/>
            <w:r>
              <w:rPr>
                <w:rFonts w:ascii="Arial" w:eastAsia="SimSun" w:hAnsi="Arial" w:cs="Arial"/>
                <w:sz w:val="20"/>
                <w:szCs w:val="20"/>
              </w:rPr>
              <w:t>Government adopted the power sector development program for 2020–2030 developed by the Ministry of Energy as the new sector regulatory and policy-making entity which contains (</w:t>
            </w:r>
            <w:proofErr w:type="spellStart"/>
            <w:r>
              <w:rPr>
                <w:rFonts w:ascii="Arial" w:eastAsia="SimSun" w:hAnsi="Arial" w:cs="Arial"/>
                <w:sz w:val="20"/>
                <w:szCs w:val="20"/>
              </w:rPr>
              <w:t>i</w:t>
            </w:r>
            <w:proofErr w:type="spellEnd"/>
            <w:r>
              <w:rPr>
                <w:rFonts w:ascii="Arial" w:eastAsia="SimSun" w:hAnsi="Arial" w:cs="Arial"/>
                <w:sz w:val="20"/>
                <w:szCs w:val="20"/>
              </w:rPr>
              <w:t>) long-term investment program to decarbonize the sector; (ii) diversification of energy resources; and (iii) time-bound plan for deregulation and competitive power market Description of policy action.</w:t>
            </w:r>
          </w:p>
        </w:tc>
        <w:tc>
          <w:tcPr>
            <w:tcW w:w="3544" w:type="dxa"/>
            <w:tcBorders>
              <w:top w:val="single" w:sz="4" w:space="0" w:color="auto"/>
              <w:left w:val="single" w:sz="4" w:space="0" w:color="auto"/>
              <w:bottom w:val="single" w:sz="4" w:space="0" w:color="auto"/>
              <w:right w:val="single" w:sz="4" w:space="0" w:color="auto"/>
            </w:tcBorders>
          </w:tcPr>
          <w:p w:rsidR="00C22933" w:rsidRDefault="005947AC">
            <w:pPr>
              <w:ind w:left="428" w:hanging="428"/>
              <w:rPr>
                <w:rFonts w:ascii="Arial" w:eastAsia="SimSun" w:hAnsi="Arial" w:cs="Arial"/>
                <w:iCs/>
                <w:color w:val="000000"/>
                <w:sz w:val="20"/>
                <w:szCs w:val="20"/>
              </w:rPr>
            </w:pPr>
            <w:r>
              <w:rPr>
                <w:rFonts w:ascii="Arial" w:eastAsia="SimSun" w:hAnsi="Arial" w:cs="Arial"/>
                <w:iCs/>
                <w:color w:val="000000"/>
                <w:sz w:val="20"/>
                <w:szCs w:val="20"/>
              </w:rPr>
              <w:t>2.1.</w:t>
            </w:r>
            <w:r>
              <w:rPr>
                <w:rFonts w:ascii="Arial" w:eastAsia="SimSun" w:hAnsi="Arial" w:cs="Arial"/>
                <w:iCs/>
                <w:color w:val="000000"/>
                <w:sz w:val="20"/>
                <w:szCs w:val="20"/>
              </w:rPr>
              <w:tab/>
              <w:t>Government approved the next stage of energy sector reform, including electricity sector market liberalization concept and a phased transition road map, to be implemented over 2023-2030, for opening of the electricity market and establishment of an independent market operator to promote competition and private sector participation in the sector.</w:t>
            </w:r>
          </w:p>
          <w:p w:rsidR="00C22933" w:rsidRDefault="00C22933">
            <w:pPr>
              <w:ind w:left="428" w:hanging="428"/>
              <w:rPr>
                <w:rFonts w:ascii="Arial" w:eastAsia="SimSun" w:hAnsi="Arial" w:cs="Arial"/>
                <w:iCs/>
                <w:color w:val="000000"/>
                <w:sz w:val="20"/>
                <w:szCs w:val="20"/>
              </w:rPr>
            </w:pPr>
          </w:p>
          <w:p w:rsidR="00C22933" w:rsidRDefault="005947AC">
            <w:pPr>
              <w:ind w:left="428" w:hanging="428"/>
              <w:rPr>
                <w:rFonts w:ascii="Arial" w:eastAsia="SimSun" w:hAnsi="Arial" w:cs="Arial"/>
                <w:iCs/>
                <w:color w:val="000000"/>
                <w:sz w:val="20"/>
                <w:szCs w:val="20"/>
              </w:rPr>
            </w:pPr>
            <w:r>
              <w:rPr>
                <w:rFonts w:ascii="Arial" w:eastAsia="SimSun" w:hAnsi="Arial" w:cs="Arial"/>
                <w:iCs/>
                <w:color w:val="000000"/>
                <w:sz w:val="20"/>
                <w:szCs w:val="20"/>
              </w:rPr>
              <w:t>2.2.</w:t>
            </w:r>
            <w:r>
              <w:rPr>
                <w:rFonts w:ascii="Arial" w:eastAsia="SimSun" w:hAnsi="Arial" w:cs="Arial"/>
                <w:iCs/>
                <w:color w:val="000000"/>
                <w:sz w:val="20"/>
                <w:szCs w:val="20"/>
              </w:rPr>
              <w:tab/>
              <w:t xml:space="preserve">Government submitted to the Parliament the new Electricity law based on the sector market liberalization concept to ensure transparent and non-discriminatory functioning of the sector and sector entities, and promote private investments </w:t>
            </w:r>
            <w:r>
              <w:rPr>
                <w:rFonts w:ascii="Arial" w:eastAsia="SimSun" w:hAnsi="Arial" w:cs="Arial"/>
                <w:iCs/>
                <w:color w:val="000000"/>
                <w:sz w:val="20"/>
                <w:szCs w:val="20"/>
              </w:rPr>
              <w:lastRenderedPageBreak/>
              <w:t>and renewable energy penetration.</w:t>
            </w:r>
          </w:p>
        </w:tc>
        <w:tc>
          <w:tcPr>
            <w:tcW w:w="2693" w:type="dxa"/>
            <w:tcBorders>
              <w:top w:val="single" w:sz="4" w:space="0" w:color="auto"/>
              <w:left w:val="single" w:sz="4" w:space="0" w:color="auto"/>
              <w:bottom w:val="single" w:sz="4" w:space="0" w:color="auto"/>
              <w:right w:val="single" w:sz="4" w:space="0" w:color="auto"/>
            </w:tcBorders>
          </w:tcPr>
          <w:p w:rsidR="00C22933" w:rsidRDefault="005947AC">
            <w:pPr>
              <w:jc w:val="both"/>
              <w:rPr>
                <w:rFonts w:ascii="Arial" w:eastAsia="SimSun" w:hAnsi="Arial" w:cs="Arial"/>
                <w:bCs/>
                <w:sz w:val="20"/>
                <w:szCs w:val="20"/>
                <w:u w:val="single"/>
              </w:rPr>
            </w:pPr>
            <w:r>
              <w:rPr>
                <w:rFonts w:ascii="Arial" w:eastAsia="SimSun" w:hAnsi="Arial" w:cs="Arial"/>
                <w:bCs/>
                <w:sz w:val="20"/>
                <w:szCs w:val="20"/>
                <w:u w:val="single"/>
              </w:rPr>
              <w:lastRenderedPageBreak/>
              <w:t>Objective:</w:t>
            </w:r>
            <w:r>
              <w:rPr>
                <w:rFonts w:ascii="Arial" w:eastAsia="SimSun" w:hAnsi="Arial" w:cs="Arial"/>
                <w:bCs/>
                <w:sz w:val="20"/>
                <w:szCs w:val="20"/>
              </w:rPr>
              <w:t xml:space="preserve"> A clear structure and general rules for the efficient, transparent and non-discriminatory operation of the electricity sector.</w:t>
            </w:r>
          </w:p>
          <w:p w:rsidR="00C22933" w:rsidRDefault="00C22933">
            <w:pPr>
              <w:ind w:left="288"/>
              <w:jc w:val="both"/>
              <w:rPr>
                <w:rFonts w:ascii="Arial" w:eastAsia="SimSun" w:hAnsi="Arial" w:cs="Arial"/>
                <w:bCs/>
                <w:sz w:val="20"/>
                <w:szCs w:val="20"/>
                <w:u w:val="single"/>
              </w:rPr>
            </w:pPr>
          </w:p>
          <w:p w:rsidR="00C22933" w:rsidRDefault="005947AC">
            <w:pPr>
              <w:jc w:val="both"/>
              <w:rPr>
                <w:rFonts w:ascii="Arial" w:eastAsia="SimSun" w:hAnsi="Arial" w:cs="Arial"/>
                <w:bCs/>
                <w:sz w:val="20"/>
                <w:szCs w:val="20"/>
                <w:u w:val="single"/>
              </w:rPr>
            </w:pPr>
            <w:r>
              <w:rPr>
                <w:rFonts w:ascii="Arial" w:eastAsia="SimSun" w:hAnsi="Arial" w:cs="Arial"/>
                <w:bCs/>
                <w:sz w:val="20"/>
                <w:szCs w:val="20"/>
                <w:u w:val="single"/>
              </w:rPr>
              <w:t>Follow-</w:t>
            </w:r>
            <w:proofErr w:type="gramStart"/>
            <w:r>
              <w:rPr>
                <w:rFonts w:ascii="Arial" w:eastAsia="SimSun" w:hAnsi="Arial" w:cs="Arial"/>
                <w:bCs/>
                <w:sz w:val="20"/>
                <w:szCs w:val="20"/>
                <w:u w:val="single"/>
              </w:rPr>
              <w:t>up :</w:t>
            </w:r>
            <w:proofErr w:type="gramEnd"/>
          </w:p>
          <w:p w:rsidR="00C22933" w:rsidRDefault="005947AC">
            <w:pPr>
              <w:rPr>
                <w:rFonts w:ascii="Arial" w:eastAsia="Calibri" w:hAnsi="Arial" w:cs="Arial"/>
                <w:bCs/>
                <w:sz w:val="20"/>
              </w:rPr>
            </w:pPr>
            <w:r>
              <w:rPr>
                <w:rFonts w:ascii="Arial" w:eastAsia="Calibri" w:hAnsi="Arial" w:cs="Arial"/>
                <w:bCs/>
                <w:sz w:val="20"/>
              </w:rPr>
              <w:t>- Task allocation between the different players in the energy sector (</w:t>
            </w:r>
            <w:proofErr w:type="spellStart"/>
            <w:r>
              <w:rPr>
                <w:rFonts w:ascii="Arial" w:eastAsia="Calibri" w:hAnsi="Arial" w:cs="Arial"/>
                <w:bCs/>
                <w:sz w:val="20"/>
              </w:rPr>
              <w:t>CoM</w:t>
            </w:r>
            <w:proofErr w:type="spellEnd"/>
            <w:r>
              <w:rPr>
                <w:rFonts w:ascii="Arial" w:eastAsia="Calibri" w:hAnsi="Arial" w:cs="Arial"/>
                <w:bCs/>
                <w:sz w:val="20"/>
              </w:rPr>
              <w:t xml:space="preserve">, </w:t>
            </w:r>
            <w:proofErr w:type="spellStart"/>
            <w:r>
              <w:rPr>
                <w:rFonts w:ascii="Arial" w:eastAsia="Calibri" w:hAnsi="Arial" w:cs="Arial"/>
                <w:bCs/>
                <w:sz w:val="20"/>
              </w:rPr>
              <w:t>MoE</w:t>
            </w:r>
            <w:proofErr w:type="spellEnd"/>
            <w:r>
              <w:rPr>
                <w:rFonts w:ascii="Arial" w:eastAsia="Calibri" w:hAnsi="Arial" w:cs="Arial"/>
                <w:bCs/>
                <w:sz w:val="20"/>
              </w:rPr>
              <w:t xml:space="preserve">, Regulator Agency, Single Buyer, </w:t>
            </w:r>
            <w:proofErr w:type="spellStart"/>
            <w:r>
              <w:rPr>
                <w:rFonts w:ascii="Arial" w:eastAsia="Calibri" w:hAnsi="Arial" w:cs="Arial"/>
                <w:bCs/>
                <w:sz w:val="20"/>
              </w:rPr>
              <w:t>SoEs</w:t>
            </w:r>
            <w:proofErr w:type="spellEnd"/>
            <w:r>
              <w:rPr>
                <w:rFonts w:ascii="Arial" w:eastAsia="Calibri" w:hAnsi="Arial" w:cs="Arial"/>
                <w:bCs/>
                <w:sz w:val="20"/>
              </w:rPr>
              <w:t>).</w:t>
            </w:r>
          </w:p>
          <w:p w:rsidR="00C22933" w:rsidRDefault="005947AC">
            <w:pPr>
              <w:rPr>
                <w:rFonts w:ascii="Arial" w:eastAsia="Calibri" w:hAnsi="Arial" w:cs="Arial"/>
                <w:bCs/>
                <w:sz w:val="20"/>
              </w:rPr>
            </w:pPr>
            <w:r>
              <w:rPr>
                <w:rFonts w:ascii="Arial" w:eastAsia="Calibri" w:hAnsi="Arial" w:cs="Arial"/>
                <w:bCs/>
                <w:sz w:val="20"/>
              </w:rPr>
              <w:t>- Operationalization of the Regulator Agency.</w:t>
            </w:r>
          </w:p>
          <w:p w:rsidR="00C22933" w:rsidRDefault="005947AC">
            <w:pPr>
              <w:rPr>
                <w:rFonts w:ascii="Arial" w:eastAsia="SimSun" w:hAnsi="Arial" w:cs="Arial"/>
                <w:bCs/>
                <w:sz w:val="20"/>
                <w:szCs w:val="20"/>
              </w:rPr>
            </w:pPr>
            <w:r>
              <w:rPr>
                <w:rFonts w:ascii="Arial" w:eastAsia="Calibri" w:hAnsi="Arial" w:cs="Arial"/>
                <w:bCs/>
                <w:sz w:val="20"/>
              </w:rPr>
              <w:t>- Number of licenses issued.</w:t>
            </w:r>
          </w:p>
        </w:tc>
        <w:tc>
          <w:tcPr>
            <w:tcW w:w="2268" w:type="dxa"/>
            <w:vMerge w:val="restart"/>
            <w:tcBorders>
              <w:top w:val="single" w:sz="4" w:space="0" w:color="auto"/>
              <w:left w:val="single" w:sz="4" w:space="0" w:color="auto"/>
              <w:bottom w:val="single" w:sz="4" w:space="0" w:color="auto"/>
              <w:right w:val="single" w:sz="4" w:space="0" w:color="auto"/>
            </w:tcBorders>
          </w:tcPr>
          <w:p w:rsidR="00C22933" w:rsidRDefault="005947AC">
            <w:pPr>
              <w:numPr>
                <w:ilvl w:val="0"/>
                <w:numId w:val="7"/>
              </w:numPr>
              <w:jc w:val="both"/>
              <w:rPr>
                <w:rFonts w:ascii="Arial" w:eastAsia="SimSun" w:hAnsi="Arial" w:cs="Arial"/>
                <w:color w:val="000000"/>
                <w:sz w:val="20"/>
                <w:szCs w:val="20"/>
              </w:rPr>
            </w:pPr>
            <w:r>
              <w:rPr>
                <w:rFonts w:ascii="Arial" w:eastAsia="SimSun" w:hAnsi="Arial" w:cs="Arial"/>
                <w:sz w:val="20"/>
                <w:szCs w:val="20"/>
              </w:rPr>
              <w:t>Share of private sector participation in power generation in capacity terms increased to at least 15% by 2025 (2019 baseline: 0%).</w:t>
            </w:r>
          </w:p>
          <w:p w:rsidR="00C22933" w:rsidRDefault="00C22933">
            <w:pPr>
              <w:ind w:left="288"/>
              <w:jc w:val="both"/>
              <w:rPr>
                <w:rFonts w:ascii="Arial" w:eastAsia="SimSun" w:hAnsi="Arial" w:cs="Arial"/>
                <w:color w:val="000000"/>
                <w:sz w:val="20"/>
                <w:szCs w:val="20"/>
                <w:lang w:val="en-US"/>
              </w:rPr>
            </w:pPr>
          </w:p>
          <w:p w:rsidR="00C22933" w:rsidRDefault="005947AC">
            <w:pPr>
              <w:ind w:left="288"/>
              <w:jc w:val="both"/>
              <w:rPr>
                <w:rFonts w:ascii="Arial" w:eastAsia="SimSun" w:hAnsi="Arial" w:cs="Arial"/>
                <w:color w:val="000000"/>
                <w:sz w:val="20"/>
                <w:szCs w:val="20"/>
              </w:rPr>
            </w:pPr>
            <w:r>
              <w:rPr>
                <w:rFonts w:ascii="Arial" w:eastAsia="SimSun" w:hAnsi="Arial" w:cs="Arial"/>
                <w:sz w:val="20"/>
                <w:szCs w:val="20"/>
              </w:rPr>
              <w:t>Source: Annual report of MOE.</w:t>
            </w:r>
            <w:r>
              <w:rPr>
                <w:rFonts w:ascii="Arial" w:eastAsia="SimSun" w:hAnsi="Arial" w:cs="Arial"/>
                <w:color w:val="FF0000"/>
                <w:sz w:val="20"/>
                <w:szCs w:val="20"/>
              </w:rPr>
              <w:t xml:space="preserve"> </w:t>
            </w:r>
            <w:r>
              <w:rPr>
                <w:rFonts w:ascii="Arial" w:eastAsia="SimSun" w:hAnsi="Arial" w:cs="Arial"/>
                <w:color w:val="000000"/>
                <w:sz w:val="20"/>
                <w:szCs w:val="20"/>
                <w:vertAlign w:val="superscript"/>
              </w:rPr>
              <w:t xml:space="preserve"> b</w:t>
            </w:r>
            <w:r>
              <w:rPr>
                <w:rFonts w:ascii="Arial" w:eastAsia="SimSun" w:hAnsi="Arial" w:cs="Arial"/>
                <w:color w:val="FF0000"/>
                <w:sz w:val="20"/>
                <w:szCs w:val="20"/>
              </w:rPr>
              <w:br/>
            </w:r>
          </w:p>
        </w:tc>
        <w:tc>
          <w:tcPr>
            <w:tcW w:w="2126" w:type="dxa"/>
            <w:vMerge w:val="restart"/>
            <w:tcBorders>
              <w:top w:val="single" w:sz="4" w:space="0" w:color="auto"/>
              <w:left w:val="single" w:sz="4" w:space="0" w:color="auto"/>
            </w:tcBorders>
          </w:tcPr>
          <w:p w:rsidR="00C22933" w:rsidRDefault="005947AC">
            <w:pPr>
              <w:numPr>
                <w:ilvl w:val="0"/>
                <w:numId w:val="8"/>
              </w:numPr>
              <w:ind w:left="253" w:hanging="270"/>
              <w:jc w:val="both"/>
              <w:rPr>
                <w:rFonts w:ascii="Arial" w:eastAsia="SimSun" w:hAnsi="Arial" w:cs="Arial"/>
                <w:sz w:val="20"/>
                <w:szCs w:val="20"/>
              </w:rPr>
            </w:pPr>
            <w:r>
              <w:rPr>
                <w:rFonts w:ascii="Arial" w:eastAsia="SimSun" w:hAnsi="Arial" w:cs="Arial"/>
                <w:sz w:val="20"/>
                <w:szCs w:val="20"/>
              </w:rPr>
              <w:t xml:space="preserve">Biannual reporting on progress against 3-phased transition plan under Presidential resolution 166; </w:t>
            </w:r>
          </w:p>
          <w:p w:rsidR="00C22933" w:rsidRDefault="005947AC">
            <w:pPr>
              <w:numPr>
                <w:ilvl w:val="0"/>
                <w:numId w:val="8"/>
              </w:numPr>
              <w:ind w:left="253" w:hanging="270"/>
              <w:jc w:val="both"/>
              <w:rPr>
                <w:rFonts w:ascii="Arial" w:eastAsia="SimSun" w:hAnsi="Arial" w:cs="Arial"/>
                <w:sz w:val="20"/>
                <w:szCs w:val="20"/>
              </w:rPr>
            </w:pPr>
            <w:r>
              <w:rPr>
                <w:rFonts w:ascii="Arial" w:eastAsia="SimSun" w:hAnsi="Arial" w:cs="Arial"/>
                <w:sz w:val="20"/>
                <w:szCs w:val="20"/>
              </w:rPr>
              <w:t xml:space="preserve">Biannual reporting on progress made on approvals of the two draft laws (PA 2.2 and PA 2.15) submitted to the Parliament; and </w:t>
            </w:r>
          </w:p>
          <w:p w:rsidR="00C22933" w:rsidRDefault="005947AC">
            <w:pPr>
              <w:numPr>
                <w:ilvl w:val="0"/>
                <w:numId w:val="8"/>
              </w:numPr>
              <w:ind w:left="253" w:hanging="270"/>
              <w:jc w:val="both"/>
              <w:rPr>
                <w:rFonts w:ascii="Arial" w:eastAsia="SimSun" w:hAnsi="Arial" w:cs="Arial"/>
                <w:sz w:val="20"/>
                <w:szCs w:val="20"/>
              </w:rPr>
            </w:pPr>
            <w:r>
              <w:rPr>
                <w:rFonts w:ascii="Arial" w:eastAsia="SimSun" w:hAnsi="Arial" w:cs="Arial"/>
                <w:sz w:val="20"/>
                <w:szCs w:val="20"/>
              </w:rPr>
              <w:t>annual report on progress achieved against NEGU's debt management plan.</w:t>
            </w:r>
            <w:bookmarkEnd w:id="13"/>
          </w:p>
        </w:tc>
      </w:tr>
      <w:tr w:rsidR="00C22933">
        <w:tc>
          <w:tcPr>
            <w:tcW w:w="3539" w:type="dxa"/>
            <w:tcBorders>
              <w:top w:val="single" w:sz="4" w:space="0" w:color="auto"/>
              <w:left w:val="single" w:sz="4" w:space="0" w:color="auto"/>
              <w:bottom w:val="single" w:sz="4" w:space="0" w:color="auto"/>
              <w:right w:val="single" w:sz="4" w:space="0" w:color="auto"/>
            </w:tcBorders>
          </w:tcPr>
          <w:p w:rsidR="00C22933" w:rsidRDefault="005947AC">
            <w:pPr>
              <w:numPr>
                <w:ilvl w:val="1"/>
                <w:numId w:val="6"/>
              </w:numPr>
              <w:tabs>
                <w:tab w:val="left" w:pos="1327"/>
              </w:tabs>
              <w:ind w:left="420" w:hanging="420"/>
              <w:jc w:val="both"/>
              <w:rPr>
                <w:rFonts w:ascii="Arial" w:eastAsia="SimSun" w:hAnsi="Arial" w:cs="Arial"/>
                <w:color w:val="000000"/>
                <w:sz w:val="20"/>
                <w:szCs w:val="20"/>
              </w:rPr>
            </w:pPr>
            <w:r>
              <w:rPr>
                <w:rFonts w:ascii="Arial" w:eastAsia="SimSun" w:hAnsi="Arial" w:cs="Arial"/>
                <w:iCs/>
                <w:sz w:val="20"/>
                <w:szCs w:val="20"/>
              </w:rPr>
              <w:lastRenderedPageBreak/>
              <w:t>Government (</w:t>
            </w:r>
            <w:proofErr w:type="spellStart"/>
            <w:r>
              <w:rPr>
                <w:rFonts w:ascii="Arial" w:eastAsia="SimSun" w:hAnsi="Arial" w:cs="Arial"/>
                <w:iCs/>
                <w:sz w:val="20"/>
                <w:szCs w:val="20"/>
              </w:rPr>
              <w:t>i</w:t>
            </w:r>
            <w:proofErr w:type="spellEnd"/>
            <w:r>
              <w:rPr>
                <w:rFonts w:ascii="Arial" w:eastAsia="SimSun" w:hAnsi="Arial" w:cs="Arial"/>
                <w:iCs/>
                <w:sz w:val="20"/>
                <w:szCs w:val="20"/>
              </w:rPr>
              <w:t xml:space="preserve">) approved a power sector reform implementation plan for 2019–2022, (ii) unbundled </w:t>
            </w:r>
            <w:proofErr w:type="spellStart"/>
            <w:r>
              <w:rPr>
                <w:rFonts w:ascii="Arial" w:eastAsia="SimSun" w:hAnsi="Arial" w:cs="Arial"/>
                <w:iCs/>
                <w:sz w:val="20"/>
                <w:szCs w:val="20"/>
              </w:rPr>
              <w:t>Uzbekenergo</w:t>
            </w:r>
            <w:proofErr w:type="spellEnd"/>
            <w:r>
              <w:rPr>
                <w:rFonts w:ascii="Arial" w:eastAsia="SimSun" w:hAnsi="Arial" w:cs="Arial"/>
                <w:iCs/>
                <w:sz w:val="20"/>
                <w:szCs w:val="20"/>
              </w:rPr>
              <w:t>; and operationalized the newly created JSC TPP and 10 generation companies, JSC NEGU, and JSC REPN with accounting, functional and legal separation completed, and (iii) JSC TPP, JSC NEGU, and JSC REPN approved KPIs to establish</w:t>
            </w:r>
            <w:r>
              <w:rPr>
                <w:rFonts w:ascii="Arial" w:eastAsia="SimSun" w:hAnsi="Arial" w:cs="Arial"/>
                <w:sz w:val="20"/>
                <w:szCs w:val="20"/>
              </w:rPr>
              <w:t xml:space="preserve"> </w:t>
            </w:r>
            <w:r>
              <w:rPr>
                <w:rFonts w:ascii="Arial" w:eastAsia="SimSun" w:hAnsi="Arial" w:cs="Arial"/>
                <w:iCs/>
                <w:sz w:val="20"/>
                <w:szCs w:val="20"/>
              </w:rPr>
              <w:t>separate operational targets for the unbundled entities</w:t>
            </w:r>
            <w:r>
              <w:rPr>
                <w:rFonts w:ascii="Arial" w:eastAsia="SimSun" w:hAnsi="Arial" w:cs="Arial"/>
                <w:sz w:val="20"/>
                <w:szCs w:val="20"/>
              </w:rPr>
              <w:t>.</w:t>
            </w:r>
          </w:p>
        </w:tc>
        <w:tc>
          <w:tcPr>
            <w:tcW w:w="3544" w:type="dxa"/>
            <w:tcBorders>
              <w:top w:val="single" w:sz="4" w:space="0" w:color="auto"/>
              <w:left w:val="single" w:sz="4" w:space="0" w:color="auto"/>
              <w:bottom w:val="single" w:sz="4" w:space="0" w:color="auto"/>
              <w:right w:val="single" w:sz="4" w:space="0" w:color="auto"/>
            </w:tcBorders>
          </w:tcPr>
          <w:p w:rsidR="00C22933" w:rsidRDefault="005947AC">
            <w:pPr>
              <w:ind w:left="428" w:hanging="428"/>
              <w:rPr>
                <w:rFonts w:ascii="Arial" w:eastAsia="SimSun" w:hAnsi="Arial" w:cs="Arial"/>
                <w:color w:val="000000"/>
                <w:sz w:val="20"/>
                <w:szCs w:val="20"/>
              </w:rPr>
            </w:pPr>
            <w:r>
              <w:rPr>
                <w:rFonts w:ascii="Arial" w:eastAsia="SimSun" w:hAnsi="Arial" w:cs="Arial"/>
                <w:sz w:val="20"/>
                <w:szCs w:val="20"/>
              </w:rPr>
              <w:t xml:space="preserve">2.3. The newly created 9 JSC TPPs and 14 distribution subsidiary branches generated IFRS-based audit financial statements for full consolidation with JSC TPP and JSC REPN. </w:t>
            </w:r>
          </w:p>
        </w:tc>
        <w:tc>
          <w:tcPr>
            <w:tcW w:w="2693" w:type="dxa"/>
          </w:tcPr>
          <w:p w:rsidR="00C22933" w:rsidRDefault="005947AC">
            <w:pPr>
              <w:spacing w:after="240"/>
              <w:rPr>
                <w:rFonts w:ascii="Arial" w:eastAsia="Calibri" w:hAnsi="Arial" w:cs="Arial"/>
                <w:bCs/>
                <w:sz w:val="20"/>
              </w:rPr>
            </w:pPr>
            <w:r>
              <w:rPr>
                <w:rFonts w:ascii="Arial" w:eastAsia="Calibri" w:hAnsi="Arial" w:cs="Arial"/>
                <w:bCs/>
                <w:sz w:val="20"/>
                <w:u w:val="single"/>
              </w:rPr>
              <w:t>Objective</w:t>
            </w:r>
            <w:r>
              <w:rPr>
                <w:rFonts w:ascii="Arial" w:eastAsia="Calibri" w:hAnsi="Arial" w:cs="Arial"/>
                <w:bCs/>
                <w:sz w:val="20"/>
              </w:rPr>
              <w:t>: Financially sustainable companies with a long-term strategy.</w:t>
            </w:r>
          </w:p>
          <w:p w:rsidR="00C22933" w:rsidRDefault="005947AC">
            <w:pPr>
              <w:spacing w:after="240"/>
              <w:jc w:val="both"/>
              <w:rPr>
                <w:rFonts w:ascii="Arial" w:eastAsia="Calibri" w:hAnsi="Arial" w:cs="Arial"/>
                <w:bCs/>
                <w:sz w:val="20"/>
              </w:rPr>
            </w:pPr>
            <w:r>
              <w:rPr>
                <w:rFonts w:ascii="Arial" w:eastAsia="Calibri" w:hAnsi="Arial" w:cs="Arial"/>
                <w:bCs/>
                <w:sz w:val="20"/>
                <w:u w:val="single"/>
              </w:rPr>
              <w:t>Follow-</w:t>
            </w:r>
            <w:r w:rsidR="003B004C">
              <w:rPr>
                <w:rFonts w:ascii="Arial" w:eastAsia="Calibri" w:hAnsi="Arial" w:cs="Arial"/>
                <w:bCs/>
                <w:sz w:val="20"/>
                <w:u w:val="single"/>
              </w:rPr>
              <w:t>up</w:t>
            </w:r>
            <w:r w:rsidR="003B004C">
              <w:rPr>
                <w:rFonts w:ascii="Arial" w:eastAsia="Calibri" w:hAnsi="Arial" w:cs="Arial"/>
                <w:bCs/>
                <w:sz w:val="20"/>
              </w:rPr>
              <w:t>:</w:t>
            </w:r>
          </w:p>
          <w:p w:rsidR="00C22933" w:rsidRDefault="005947AC">
            <w:pPr>
              <w:rPr>
                <w:rFonts w:ascii="Arial" w:eastAsia="Calibri" w:hAnsi="Arial" w:cs="Arial"/>
                <w:bCs/>
                <w:sz w:val="20"/>
              </w:rPr>
            </w:pPr>
            <w:r>
              <w:rPr>
                <w:rFonts w:ascii="Arial" w:eastAsia="Calibri" w:hAnsi="Arial" w:cs="Arial"/>
                <w:bCs/>
                <w:sz w:val="20"/>
              </w:rPr>
              <w:t>-IFRS financial statement progress.</w:t>
            </w:r>
          </w:p>
          <w:p w:rsidR="00C22933" w:rsidRDefault="005947AC">
            <w:pPr>
              <w:spacing w:after="240"/>
              <w:jc w:val="both"/>
              <w:rPr>
                <w:rFonts w:ascii="Arial" w:eastAsia="Calibri" w:hAnsi="Arial" w:cs="Arial"/>
                <w:bCs/>
                <w:sz w:val="20"/>
              </w:rPr>
            </w:pPr>
            <w:r>
              <w:rPr>
                <w:rFonts w:ascii="Arial" w:eastAsia="Calibri" w:hAnsi="Arial" w:cs="Arial"/>
                <w:bCs/>
                <w:sz w:val="20"/>
              </w:rPr>
              <w:t xml:space="preserve">-Status of </w:t>
            </w:r>
            <w:r w:rsidR="003B004C">
              <w:rPr>
                <w:rFonts w:ascii="Arial" w:eastAsia="Calibri" w:hAnsi="Arial" w:cs="Arial"/>
                <w:bCs/>
                <w:sz w:val="20"/>
              </w:rPr>
              <w:t>fulfilment</w:t>
            </w:r>
            <w:r>
              <w:rPr>
                <w:rFonts w:ascii="Arial" w:eastAsia="Calibri" w:hAnsi="Arial" w:cs="Arial"/>
                <w:bCs/>
                <w:sz w:val="20"/>
              </w:rPr>
              <w:t xml:space="preserve"> of financial KPIs.</w:t>
            </w:r>
          </w:p>
          <w:p w:rsidR="00C22933" w:rsidRDefault="005947AC">
            <w:pPr>
              <w:spacing w:after="240"/>
              <w:jc w:val="both"/>
              <w:rPr>
                <w:rFonts w:ascii="Arial" w:eastAsia="Calibri" w:hAnsi="Arial" w:cs="Arial"/>
                <w:bCs/>
                <w:sz w:val="20"/>
              </w:rPr>
            </w:pPr>
            <w:r>
              <w:rPr>
                <w:rFonts w:ascii="Arial" w:eastAsia="Calibri" w:hAnsi="Arial" w:cs="Arial"/>
                <w:bCs/>
                <w:sz w:val="20"/>
              </w:rPr>
              <w:t>-Indebtedness capacity.</w:t>
            </w:r>
          </w:p>
          <w:p w:rsidR="00C22933" w:rsidRDefault="00C22933">
            <w:pPr>
              <w:ind w:left="288"/>
              <w:jc w:val="both"/>
              <w:rPr>
                <w:rFonts w:ascii="Arial" w:eastAsia="MS PGothic" w:hAnsi="Arial" w:cs="Arial"/>
                <w:i/>
                <w:color w:val="000000"/>
                <w:sz w:val="20"/>
                <w:szCs w:val="20"/>
              </w:rPr>
            </w:pPr>
          </w:p>
        </w:tc>
        <w:tc>
          <w:tcPr>
            <w:tcW w:w="2268" w:type="dxa"/>
            <w:vMerge/>
            <w:tcBorders>
              <w:right w:val="single" w:sz="4" w:space="0" w:color="auto"/>
            </w:tcBorders>
          </w:tcPr>
          <w:p w:rsidR="00C22933" w:rsidRDefault="00C22933">
            <w:pPr>
              <w:numPr>
                <w:ilvl w:val="0"/>
                <w:numId w:val="7"/>
              </w:numPr>
              <w:jc w:val="both"/>
              <w:rPr>
                <w:rFonts w:ascii="Arial" w:eastAsia="MS PGothic" w:hAnsi="Arial" w:cs="Arial"/>
                <w:i/>
                <w:color w:val="000000"/>
                <w:sz w:val="20"/>
                <w:szCs w:val="20"/>
              </w:rPr>
            </w:pPr>
          </w:p>
        </w:tc>
        <w:tc>
          <w:tcPr>
            <w:tcW w:w="2126" w:type="dxa"/>
            <w:vMerge/>
            <w:tcBorders>
              <w:left w:val="single" w:sz="4" w:space="0" w:color="auto"/>
            </w:tcBorders>
          </w:tcPr>
          <w:p w:rsidR="00C22933" w:rsidRDefault="00C22933">
            <w:pPr>
              <w:ind w:left="288"/>
              <w:rPr>
                <w:rFonts w:ascii="Arial" w:eastAsia="MS PGothic" w:hAnsi="Arial" w:cs="Arial"/>
                <w:i/>
                <w:color w:val="000000"/>
                <w:sz w:val="20"/>
                <w:szCs w:val="20"/>
              </w:rPr>
            </w:pPr>
          </w:p>
        </w:tc>
      </w:tr>
      <w:tr w:rsidR="00C22933">
        <w:tc>
          <w:tcPr>
            <w:tcW w:w="3539" w:type="dxa"/>
            <w:tcBorders>
              <w:top w:val="single" w:sz="4" w:space="0" w:color="auto"/>
              <w:left w:val="single" w:sz="4" w:space="0" w:color="auto"/>
              <w:bottom w:val="single" w:sz="4" w:space="0" w:color="auto"/>
              <w:right w:val="single" w:sz="4" w:space="0" w:color="auto"/>
            </w:tcBorders>
          </w:tcPr>
          <w:p w:rsidR="00C22933" w:rsidRDefault="005947AC">
            <w:pPr>
              <w:numPr>
                <w:ilvl w:val="1"/>
                <w:numId w:val="6"/>
              </w:numPr>
              <w:tabs>
                <w:tab w:val="left" w:pos="1327"/>
              </w:tabs>
              <w:ind w:left="420" w:hanging="420"/>
              <w:jc w:val="both"/>
              <w:rPr>
                <w:rFonts w:ascii="Arial" w:eastAsia="SimSun" w:hAnsi="Arial" w:cs="Arial"/>
                <w:sz w:val="20"/>
                <w:szCs w:val="20"/>
              </w:rPr>
            </w:pPr>
            <w:r>
              <w:rPr>
                <w:rFonts w:ascii="Arial" w:eastAsia="SimSun" w:hAnsi="Arial" w:cs="Arial"/>
                <w:iCs/>
                <w:sz w:val="20"/>
                <w:szCs w:val="20"/>
              </w:rPr>
              <w:t>To promote gender equality in the power sector, MOE adopted a policy for promoting gender equality, including gender responsive HR policies and women-friendly infrastructure at workplace</w:t>
            </w:r>
            <w:r>
              <w:rPr>
                <w:rFonts w:ascii="Arial" w:eastAsia="SimSun" w:hAnsi="Arial" w:cs="Arial"/>
                <w:sz w:val="20"/>
                <w:szCs w:val="20"/>
              </w:rPr>
              <w:t>.</w:t>
            </w:r>
          </w:p>
        </w:tc>
        <w:tc>
          <w:tcPr>
            <w:tcW w:w="3544" w:type="dxa"/>
            <w:tcBorders>
              <w:top w:val="single" w:sz="4" w:space="0" w:color="auto"/>
              <w:left w:val="single" w:sz="4" w:space="0" w:color="auto"/>
              <w:bottom w:val="single" w:sz="4" w:space="0" w:color="auto"/>
              <w:right w:val="single" w:sz="4" w:space="0" w:color="auto"/>
            </w:tcBorders>
          </w:tcPr>
          <w:p w:rsidR="00C22933" w:rsidRDefault="005947AC">
            <w:pPr>
              <w:numPr>
                <w:ilvl w:val="1"/>
                <w:numId w:val="9"/>
              </w:numPr>
              <w:ind w:left="428" w:hanging="428"/>
              <w:jc w:val="both"/>
              <w:rPr>
                <w:rFonts w:ascii="Arial" w:eastAsia="SimSun" w:hAnsi="Arial" w:cs="Arial"/>
                <w:color w:val="FF0000"/>
                <w:sz w:val="20"/>
                <w:szCs w:val="20"/>
              </w:rPr>
            </w:pPr>
            <w:r>
              <w:rPr>
                <w:rFonts w:ascii="Arial" w:eastAsia="SimSun" w:hAnsi="Arial" w:cs="Arial"/>
                <w:sz w:val="20"/>
                <w:szCs w:val="20"/>
              </w:rPr>
              <w:t>MOE approved Strategy for implementation and monitoring of the Energy Sector Gender Policy.</w:t>
            </w:r>
          </w:p>
          <w:p w:rsidR="00C22933" w:rsidRDefault="00C22933">
            <w:pPr>
              <w:ind w:left="428"/>
              <w:jc w:val="both"/>
              <w:rPr>
                <w:rFonts w:ascii="Arial" w:eastAsia="SimSun" w:hAnsi="Arial" w:cs="Arial"/>
                <w:color w:val="FF0000"/>
                <w:sz w:val="20"/>
                <w:szCs w:val="20"/>
              </w:rPr>
            </w:pPr>
          </w:p>
          <w:p w:rsidR="00C22933" w:rsidRDefault="005947AC">
            <w:pPr>
              <w:numPr>
                <w:ilvl w:val="1"/>
                <w:numId w:val="9"/>
              </w:numPr>
              <w:ind w:left="428" w:hanging="428"/>
              <w:jc w:val="both"/>
              <w:rPr>
                <w:rFonts w:ascii="Arial" w:eastAsia="SimSun" w:hAnsi="Arial" w:cs="Arial"/>
                <w:color w:val="FF0000"/>
                <w:sz w:val="20"/>
                <w:szCs w:val="20"/>
              </w:rPr>
            </w:pPr>
            <w:r>
              <w:rPr>
                <w:rFonts w:ascii="Arial" w:eastAsia="SimSun" w:hAnsi="Arial" w:cs="Arial"/>
                <w:sz w:val="20"/>
                <w:szCs w:val="20"/>
              </w:rPr>
              <w:t xml:space="preserve">MOE to approve grievance </w:t>
            </w:r>
            <w:proofErr w:type="spellStart"/>
            <w:r>
              <w:rPr>
                <w:rFonts w:ascii="Arial" w:eastAsia="SimSun" w:hAnsi="Arial" w:cs="Arial"/>
                <w:sz w:val="20"/>
                <w:szCs w:val="20"/>
              </w:rPr>
              <w:t>redressal</w:t>
            </w:r>
            <w:proofErr w:type="spellEnd"/>
            <w:r>
              <w:rPr>
                <w:rFonts w:ascii="Arial" w:eastAsia="SimSun" w:hAnsi="Arial" w:cs="Arial"/>
                <w:sz w:val="20"/>
                <w:szCs w:val="20"/>
              </w:rPr>
              <w:t xml:space="preserve"> mechanism for gender-based violence prevention at workplace.</w:t>
            </w:r>
          </w:p>
        </w:tc>
        <w:tc>
          <w:tcPr>
            <w:tcW w:w="2693" w:type="dxa"/>
          </w:tcPr>
          <w:p w:rsidR="00C22933" w:rsidRDefault="005947AC">
            <w:pPr>
              <w:spacing w:after="240"/>
              <w:rPr>
                <w:rFonts w:ascii="Arial" w:eastAsia="Calibri" w:hAnsi="Arial" w:cs="Arial"/>
                <w:bCs/>
                <w:sz w:val="20"/>
                <w:u w:val="single"/>
              </w:rPr>
            </w:pPr>
            <w:r>
              <w:rPr>
                <w:rFonts w:ascii="Arial" w:eastAsia="Calibri" w:hAnsi="Arial" w:cs="Arial"/>
                <w:bCs/>
                <w:sz w:val="20"/>
                <w:u w:val="single"/>
              </w:rPr>
              <w:t>Objective:</w:t>
            </w:r>
            <w:r>
              <w:rPr>
                <w:rFonts w:ascii="Arial" w:eastAsia="Calibri" w:hAnsi="Arial" w:cs="Arial"/>
                <w:bCs/>
                <w:sz w:val="20"/>
              </w:rPr>
              <w:t xml:space="preserve"> Implementing sustainable gender actions in the electricity sector.</w:t>
            </w:r>
          </w:p>
          <w:p w:rsidR="00C22933" w:rsidRDefault="005947AC">
            <w:pPr>
              <w:spacing w:after="240"/>
              <w:rPr>
                <w:rFonts w:ascii="Arial" w:eastAsia="Calibri" w:hAnsi="Arial" w:cs="Arial"/>
                <w:bCs/>
                <w:sz w:val="20"/>
                <w:u w:val="single"/>
              </w:rPr>
            </w:pPr>
            <w:r>
              <w:rPr>
                <w:rFonts w:ascii="Arial" w:eastAsia="Calibri" w:hAnsi="Arial" w:cs="Arial"/>
                <w:bCs/>
                <w:sz w:val="20"/>
                <w:u w:val="single"/>
              </w:rPr>
              <w:t>Follow-</w:t>
            </w:r>
            <w:r w:rsidR="003B004C">
              <w:rPr>
                <w:rFonts w:ascii="Arial" w:eastAsia="Calibri" w:hAnsi="Arial" w:cs="Arial"/>
                <w:bCs/>
                <w:sz w:val="20"/>
                <w:u w:val="single"/>
              </w:rPr>
              <w:t>up:</w:t>
            </w:r>
            <w:r>
              <w:rPr>
                <w:rFonts w:ascii="Arial" w:eastAsia="Calibri" w:hAnsi="Arial" w:cs="Arial"/>
                <w:bCs/>
                <w:sz w:val="20"/>
                <w:u w:val="single"/>
              </w:rPr>
              <w:t xml:space="preserve"> </w:t>
            </w:r>
          </w:p>
          <w:p w:rsidR="00C22933" w:rsidRDefault="005947AC">
            <w:pPr>
              <w:spacing w:after="240"/>
              <w:rPr>
                <w:rFonts w:ascii="Arial" w:eastAsia="Calibri" w:hAnsi="Arial" w:cs="Arial"/>
                <w:bCs/>
                <w:sz w:val="20"/>
              </w:rPr>
            </w:pPr>
            <w:r>
              <w:rPr>
                <w:rFonts w:ascii="Arial" w:eastAsia="Calibri" w:hAnsi="Arial" w:cs="Arial"/>
                <w:bCs/>
                <w:sz w:val="20"/>
              </w:rPr>
              <w:t>-Gender action plan follow-up by company.</w:t>
            </w:r>
          </w:p>
          <w:p w:rsidR="00C22933" w:rsidRDefault="005947AC">
            <w:pPr>
              <w:spacing w:after="240"/>
              <w:rPr>
                <w:rFonts w:ascii="Arial" w:eastAsia="SimSun" w:hAnsi="Arial" w:cs="Arial"/>
                <w:color w:val="FF0000"/>
                <w:sz w:val="20"/>
                <w:szCs w:val="20"/>
              </w:rPr>
            </w:pPr>
            <w:r>
              <w:rPr>
                <w:rFonts w:ascii="Arial" w:eastAsia="Calibri" w:hAnsi="Arial" w:cs="Arial"/>
                <w:bCs/>
                <w:sz w:val="20"/>
              </w:rPr>
              <w:t>-Gender KPIs.</w:t>
            </w:r>
          </w:p>
        </w:tc>
        <w:tc>
          <w:tcPr>
            <w:tcW w:w="2268" w:type="dxa"/>
            <w:vMerge/>
            <w:tcBorders>
              <w:right w:val="single" w:sz="4" w:space="0" w:color="auto"/>
            </w:tcBorders>
          </w:tcPr>
          <w:p w:rsidR="00C22933" w:rsidRDefault="00C22933">
            <w:pPr>
              <w:numPr>
                <w:ilvl w:val="0"/>
                <w:numId w:val="7"/>
              </w:numPr>
              <w:jc w:val="both"/>
              <w:rPr>
                <w:rFonts w:ascii="Arial" w:eastAsia="SimSun" w:hAnsi="Arial" w:cs="Arial"/>
                <w:color w:val="FF0000"/>
                <w:sz w:val="20"/>
                <w:szCs w:val="20"/>
              </w:rPr>
            </w:pPr>
          </w:p>
        </w:tc>
        <w:tc>
          <w:tcPr>
            <w:tcW w:w="2126" w:type="dxa"/>
            <w:vMerge/>
            <w:tcBorders>
              <w:left w:val="single" w:sz="4" w:space="0" w:color="auto"/>
            </w:tcBorders>
          </w:tcPr>
          <w:p w:rsidR="00C22933" w:rsidRDefault="00C22933">
            <w:pPr>
              <w:ind w:left="288"/>
              <w:rPr>
                <w:rFonts w:ascii="Arial" w:eastAsia="SimSun" w:hAnsi="Arial" w:cs="Arial"/>
                <w:color w:val="FF0000"/>
                <w:sz w:val="20"/>
                <w:szCs w:val="20"/>
              </w:rPr>
            </w:pPr>
          </w:p>
        </w:tc>
      </w:tr>
      <w:tr w:rsidR="00C22933">
        <w:tc>
          <w:tcPr>
            <w:tcW w:w="12044" w:type="dxa"/>
            <w:gridSpan w:val="4"/>
            <w:tcBorders>
              <w:right w:val="single" w:sz="4" w:space="0" w:color="auto"/>
            </w:tcBorders>
            <w:shd w:val="clear" w:color="auto" w:fill="F2F2F2"/>
          </w:tcPr>
          <w:p w:rsidR="00C22933" w:rsidRDefault="005947AC">
            <w:pPr>
              <w:keepNext/>
              <w:tabs>
                <w:tab w:val="left" w:pos="1327"/>
              </w:tabs>
              <w:ind w:left="428" w:hanging="428"/>
              <w:rPr>
                <w:rFonts w:ascii="Arial" w:eastAsia="SimSun" w:hAnsi="Arial" w:cs="Arial"/>
                <w:color w:val="000000"/>
                <w:sz w:val="20"/>
                <w:szCs w:val="20"/>
              </w:rPr>
            </w:pPr>
            <w:r>
              <w:rPr>
                <w:rFonts w:ascii="Arial" w:eastAsia="SimSun" w:hAnsi="Arial" w:cs="Arial"/>
                <w:b/>
                <w:color w:val="000000"/>
                <w:sz w:val="20"/>
                <w:szCs w:val="20"/>
              </w:rPr>
              <w:t xml:space="preserve">Reform Area 2: </w:t>
            </w:r>
            <w:r>
              <w:rPr>
                <w:rFonts w:ascii="Arial" w:eastAsia="SimSun" w:hAnsi="Arial" w:cs="Arial"/>
                <w:sz w:val="20"/>
                <w:szCs w:val="20"/>
              </w:rPr>
              <w:t>Sector financial sustainability improved</w:t>
            </w:r>
          </w:p>
        </w:tc>
        <w:tc>
          <w:tcPr>
            <w:tcW w:w="2126" w:type="dxa"/>
            <w:vMerge/>
            <w:tcBorders>
              <w:left w:val="single" w:sz="4" w:space="0" w:color="auto"/>
            </w:tcBorders>
          </w:tcPr>
          <w:p w:rsidR="00C22933" w:rsidRDefault="00C22933">
            <w:pPr>
              <w:keepNext/>
              <w:ind w:left="288" w:hanging="288"/>
              <w:rPr>
                <w:rFonts w:ascii="Arial" w:eastAsia="SimSun" w:hAnsi="Arial" w:cs="Arial"/>
                <w:b/>
                <w:color w:val="000000"/>
                <w:sz w:val="20"/>
                <w:szCs w:val="20"/>
              </w:rPr>
            </w:pPr>
          </w:p>
        </w:tc>
      </w:tr>
      <w:tr w:rsidR="00C22933">
        <w:trPr>
          <w:trHeight w:val="543"/>
        </w:trPr>
        <w:tc>
          <w:tcPr>
            <w:tcW w:w="3539" w:type="dxa"/>
            <w:tcBorders>
              <w:top w:val="single" w:sz="4" w:space="0" w:color="auto"/>
              <w:left w:val="single" w:sz="4" w:space="0" w:color="auto"/>
              <w:bottom w:val="single" w:sz="4" w:space="0" w:color="auto"/>
              <w:right w:val="single" w:sz="4" w:space="0" w:color="auto"/>
            </w:tcBorders>
          </w:tcPr>
          <w:p w:rsidR="00C22933" w:rsidRDefault="005947AC">
            <w:pPr>
              <w:tabs>
                <w:tab w:val="left" w:pos="1327"/>
              </w:tabs>
              <w:ind w:left="420" w:hanging="420"/>
              <w:rPr>
                <w:rFonts w:ascii="Arial" w:eastAsia="SimSun" w:hAnsi="Arial" w:cs="Arial"/>
                <w:color w:val="000000"/>
                <w:sz w:val="20"/>
                <w:szCs w:val="20"/>
              </w:rPr>
            </w:pPr>
            <w:bookmarkStart w:id="14" w:name="_Hlk166408000"/>
            <w:r>
              <w:rPr>
                <w:rFonts w:ascii="Arial" w:eastAsia="SimSun" w:hAnsi="Arial" w:cs="Arial"/>
                <w:sz w:val="20"/>
                <w:szCs w:val="20"/>
              </w:rPr>
              <w:t>1.4. Government established and operationalized an autonomous tariff commission under the Cabinet of Ministers to set and enforce cost recovery tariffs.</w:t>
            </w:r>
          </w:p>
        </w:tc>
        <w:tc>
          <w:tcPr>
            <w:tcW w:w="3544" w:type="dxa"/>
            <w:tcBorders>
              <w:top w:val="single" w:sz="4" w:space="0" w:color="auto"/>
              <w:left w:val="single" w:sz="4" w:space="0" w:color="auto"/>
              <w:bottom w:val="single" w:sz="4" w:space="0" w:color="auto"/>
              <w:right w:val="single" w:sz="4" w:space="0" w:color="auto"/>
            </w:tcBorders>
          </w:tcPr>
          <w:p w:rsidR="00C22933" w:rsidRDefault="005947AC">
            <w:pPr>
              <w:numPr>
                <w:ilvl w:val="1"/>
                <w:numId w:val="9"/>
              </w:numPr>
              <w:ind w:left="428" w:hanging="428"/>
              <w:jc w:val="both"/>
              <w:rPr>
                <w:rFonts w:ascii="Arial" w:eastAsia="SimSun" w:hAnsi="Arial" w:cs="Arial"/>
                <w:i/>
                <w:color w:val="000000"/>
                <w:sz w:val="20"/>
                <w:szCs w:val="20"/>
              </w:rPr>
            </w:pPr>
            <w:r>
              <w:rPr>
                <w:rFonts w:ascii="Arial" w:eastAsia="SimSun" w:hAnsi="Arial" w:cs="Arial"/>
                <w:sz w:val="20"/>
                <w:szCs w:val="20"/>
              </w:rPr>
              <w:t xml:space="preserve">The government established an independent energy market regulator governing the sector with key functions of developing market rules and regulations, tariff determination, licensing, and market development. </w:t>
            </w:r>
            <w:r>
              <w:rPr>
                <w:rFonts w:ascii="Arial" w:eastAsia="SimSun" w:hAnsi="Arial" w:cs="Arial"/>
                <w:sz w:val="20"/>
                <w:szCs w:val="20"/>
                <w:vertAlign w:val="superscript"/>
              </w:rPr>
              <w:t>c</w:t>
            </w:r>
          </w:p>
          <w:p w:rsidR="00C22933" w:rsidRDefault="00C22933">
            <w:pPr>
              <w:ind w:left="428"/>
              <w:jc w:val="both"/>
              <w:rPr>
                <w:rFonts w:ascii="Arial" w:eastAsia="SimSun" w:hAnsi="Arial" w:cs="Arial"/>
                <w:i/>
                <w:color w:val="000000"/>
                <w:sz w:val="20"/>
                <w:szCs w:val="20"/>
              </w:rPr>
            </w:pPr>
          </w:p>
          <w:p w:rsidR="00C22933" w:rsidRDefault="005947AC">
            <w:pPr>
              <w:numPr>
                <w:ilvl w:val="1"/>
                <w:numId w:val="9"/>
              </w:numPr>
              <w:ind w:left="428" w:hanging="428"/>
              <w:jc w:val="both"/>
              <w:rPr>
                <w:rFonts w:ascii="Arial" w:eastAsia="SimSun" w:hAnsi="Arial" w:cs="Arial"/>
                <w:color w:val="000000"/>
                <w:sz w:val="20"/>
                <w:szCs w:val="20"/>
              </w:rPr>
            </w:pPr>
            <w:r>
              <w:rPr>
                <w:rFonts w:ascii="Arial" w:eastAsia="SimSun" w:hAnsi="Arial" w:cs="Arial"/>
                <w:color w:val="000000"/>
                <w:sz w:val="20"/>
                <w:szCs w:val="20"/>
              </w:rPr>
              <w:lastRenderedPageBreak/>
              <w:t>Government adopted a new tariff methodology including social protection measures for the vulnerable</w:t>
            </w:r>
          </w:p>
        </w:tc>
        <w:tc>
          <w:tcPr>
            <w:tcW w:w="2693" w:type="dxa"/>
            <w:tcBorders>
              <w:top w:val="single" w:sz="4" w:space="0" w:color="auto"/>
              <w:left w:val="single" w:sz="4" w:space="0" w:color="auto"/>
              <w:bottom w:val="single" w:sz="4" w:space="0" w:color="auto"/>
              <w:right w:val="single" w:sz="4" w:space="0" w:color="auto"/>
            </w:tcBorders>
          </w:tcPr>
          <w:p w:rsidR="00C22933" w:rsidRDefault="005947AC">
            <w:pPr>
              <w:pStyle w:val="Corpsdetexte"/>
              <w:rPr>
                <w:rFonts w:ascii="Arial" w:hAnsi="Arial"/>
                <w:sz w:val="20"/>
                <w:u w:val="single"/>
                <w:lang w:val="en-US"/>
              </w:rPr>
            </w:pPr>
            <w:r>
              <w:rPr>
                <w:rFonts w:ascii="Arial" w:hAnsi="Arial"/>
                <w:sz w:val="20"/>
                <w:u w:val="single"/>
                <w:lang w:val="en-US"/>
              </w:rPr>
              <w:lastRenderedPageBreak/>
              <w:t>Objective:</w:t>
            </w:r>
            <w:r>
              <w:rPr>
                <w:rFonts w:ascii="Arial" w:hAnsi="Arial"/>
                <w:sz w:val="20"/>
                <w:lang w:val="en-US"/>
              </w:rPr>
              <w:t xml:space="preserve"> Implementing a transparent and competitive energy market in Uzbekistan while vulnerable people and companies remain protected.</w:t>
            </w:r>
          </w:p>
          <w:p w:rsidR="00C22933" w:rsidRDefault="005947AC">
            <w:pPr>
              <w:pStyle w:val="Corpsdetexte"/>
              <w:rPr>
                <w:rFonts w:ascii="Arial" w:hAnsi="Arial"/>
                <w:sz w:val="20"/>
                <w:u w:val="single"/>
                <w:lang w:val="en-US"/>
              </w:rPr>
            </w:pPr>
            <w:r>
              <w:rPr>
                <w:rFonts w:ascii="Arial" w:hAnsi="Arial"/>
                <w:sz w:val="20"/>
                <w:u w:val="single"/>
                <w:lang w:val="en-US"/>
              </w:rPr>
              <w:t>Follow-</w:t>
            </w:r>
            <w:proofErr w:type="gramStart"/>
            <w:r>
              <w:rPr>
                <w:rFonts w:ascii="Arial" w:hAnsi="Arial"/>
                <w:sz w:val="20"/>
                <w:u w:val="single"/>
                <w:lang w:val="en-US"/>
              </w:rPr>
              <w:t>up :</w:t>
            </w:r>
            <w:proofErr w:type="gramEnd"/>
          </w:p>
          <w:p w:rsidR="00C22933" w:rsidRDefault="005947AC">
            <w:pPr>
              <w:pStyle w:val="Corpsdetexte"/>
              <w:rPr>
                <w:rFonts w:ascii="Arial" w:hAnsi="Arial"/>
                <w:sz w:val="20"/>
                <w:u w:val="single"/>
                <w:lang w:val="en-US"/>
              </w:rPr>
            </w:pPr>
            <w:r>
              <w:rPr>
                <w:rFonts w:ascii="Arial" w:hAnsi="Arial"/>
                <w:sz w:val="20"/>
                <w:lang w:val="en-US"/>
              </w:rPr>
              <w:t>-New tariff scheme impact.</w:t>
            </w:r>
          </w:p>
          <w:p w:rsidR="00C22933" w:rsidRDefault="005947AC">
            <w:pPr>
              <w:pStyle w:val="Corpsdetexte"/>
              <w:rPr>
                <w:rFonts w:ascii="Arial" w:hAnsi="Arial"/>
                <w:sz w:val="20"/>
                <w:lang w:val="en-US"/>
              </w:rPr>
            </w:pPr>
            <w:r>
              <w:rPr>
                <w:rFonts w:ascii="Arial" w:hAnsi="Arial"/>
                <w:sz w:val="20"/>
                <w:lang w:val="en-US"/>
              </w:rPr>
              <w:lastRenderedPageBreak/>
              <w:t>-Implementation of the electricity market.</w:t>
            </w:r>
          </w:p>
        </w:tc>
        <w:tc>
          <w:tcPr>
            <w:tcW w:w="2268" w:type="dxa"/>
            <w:vMerge w:val="restart"/>
            <w:tcBorders>
              <w:top w:val="single" w:sz="4" w:space="0" w:color="auto"/>
              <w:left w:val="single" w:sz="4" w:space="0" w:color="auto"/>
              <w:bottom w:val="single" w:sz="4" w:space="0" w:color="auto"/>
              <w:right w:val="single" w:sz="4" w:space="0" w:color="auto"/>
            </w:tcBorders>
          </w:tcPr>
          <w:p w:rsidR="00C22933" w:rsidRDefault="005947AC">
            <w:pPr>
              <w:numPr>
                <w:ilvl w:val="0"/>
                <w:numId w:val="7"/>
              </w:numPr>
              <w:jc w:val="both"/>
              <w:rPr>
                <w:rFonts w:ascii="Arial" w:eastAsia="MS PGothic" w:hAnsi="Arial" w:cs="Arial"/>
                <w:i/>
                <w:color w:val="000000"/>
                <w:sz w:val="20"/>
                <w:szCs w:val="20"/>
              </w:rPr>
            </w:pPr>
            <w:r>
              <w:rPr>
                <w:rFonts w:ascii="Arial" w:eastAsia="Arial" w:hAnsi="Arial" w:cs="Arial"/>
                <w:sz w:val="20"/>
                <w:szCs w:val="20"/>
              </w:rPr>
              <w:lastRenderedPageBreak/>
              <w:t xml:space="preserve">Ratio of operating revenue to operating sector cost of unbundled state-owned electricity utilities increased to 1 or higher by 2025 </w:t>
            </w:r>
            <w:r>
              <w:rPr>
                <w:rFonts w:ascii="Arial" w:eastAsia="Arial" w:hAnsi="Arial" w:cs="Arial"/>
                <w:sz w:val="20"/>
                <w:szCs w:val="20"/>
              </w:rPr>
              <w:lastRenderedPageBreak/>
              <w:t xml:space="preserve">(2019 baseline: 0.93 JSC REPN, 1.03 JSC NEGU, not available for JSC TPP). </w:t>
            </w:r>
          </w:p>
          <w:p w:rsidR="00C22933" w:rsidRDefault="00C22933">
            <w:pPr>
              <w:ind w:left="288"/>
              <w:jc w:val="both"/>
              <w:rPr>
                <w:rFonts w:ascii="Arial" w:eastAsia="MS PGothic" w:hAnsi="Arial" w:cs="Arial"/>
                <w:i/>
                <w:color w:val="000000"/>
                <w:sz w:val="20"/>
                <w:szCs w:val="20"/>
              </w:rPr>
            </w:pPr>
          </w:p>
          <w:p w:rsidR="00C22933" w:rsidRDefault="005947AC">
            <w:pPr>
              <w:ind w:left="288"/>
              <w:jc w:val="both"/>
              <w:rPr>
                <w:rFonts w:ascii="Arial" w:eastAsia="MS PGothic" w:hAnsi="Arial" w:cs="Arial"/>
                <w:i/>
                <w:color w:val="000000"/>
                <w:sz w:val="20"/>
                <w:szCs w:val="20"/>
              </w:rPr>
            </w:pPr>
            <w:r>
              <w:rPr>
                <w:rFonts w:ascii="Arial" w:eastAsia="Arial" w:hAnsi="Arial" w:cs="Arial"/>
                <w:sz w:val="20"/>
                <w:szCs w:val="20"/>
              </w:rPr>
              <w:t>Source: Annual audited financial statements of REPN, NEGU, and TPP.</w:t>
            </w:r>
            <w:r>
              <w:rPr>
                <w:rFonts w:ascii="Arial" w:eastAsia="SimSun" w:hAnsi="Arial" w:cs="Arial"/>
                <w:color w:val="000000"/>
                <w:sz w:val="20"/>
                <w:szCs w:val="20"/>
                <w:vertAlign w:val="superscript"/>
              </w:rPr>
              <w:t xml:space="preserve"> d</w:t>
            </w:r>
          </w:p>
          <w:p w:rsidR="00C22933" w:rsidRDefault="00C22933">
            <w:pPr>
              <w:ind w:left="288"/>
              <w:rPr>
                <w:rFonts w:ascii="Arial" w:eastAsia="MS PGothic" w:hAnsi="Arial" w:cs="Arial"/>
                <w:iCs/>
                <w:color w:val="000000"/>
                <w:sz w:val="20"/>
                <w:szCs w:val="20"/>
              </w:rPr>
            </w:pPr>
          </w:p>
          <w:p w:rsidR="00C22933" w:rsidRDefault="005947AC">
            <w:pPr>
              <w:numPr>
                <w:ilvl w:val="0"/>
                <w:numId w:val="7"/>
              </w:numPr>
              <w:jc w:val="both"/>
              <w:rPr>
                <w:rFonts w:ascii="Arial" w:eastAsia="MS PGothic" w:hAnsi="Arial" w:cs="Arial"/>
                <w:i/>
                <w:color w:val="000000"/>
                <w:sz w:val="20"/>
                <w:szCs w:val="20"/>
              </w:rPr>
            </w:pPr>
            <w:r>
              <w:rPr>
                <w:rFonts w:ascii="Arial" w:eastAsia="MS PGothic" w:hAnsi="Arial" w:cs="Arial"/>
                <w:iCs/>
                <w:color w:val="000000"/>
                <w:sz w:val="20"/>
                <w:szCs w:val="20"/>
              </w:rPr>
              <w:t>Revenue collection rates improved to 99.0% b</w:t>
            </w:r>
            <w:r w:rsidR="003B004C">
              <w:rPr>
                <w:rFonts w:ascii="Arial" w:eastAsia="MS PGothic" w:hAnsi="Arial" w:cs="Arial"/>
                <w:iCs/>
                <w:color w:val="000000"/>
                <w:sz w:val="20"/>
                <w:szCs w:val="20"/>
              </w:rPr>
              <w:t>y 2025. (2019 baseline: 95.0%).</w:t>
            </w:r>
            <w:r>
              <w:rPr>
                <w:rFonts w:ascii="Arial" w:eastAsia="SimSun" w:hAnsi="Arial" w:cs="Arial"/>
                <w:color w:val="000000"/>
                <w:sz w:val="20"/>
                <w:szCs w:val="20"/>
                <w:vertAlign w:val="superscript"/>
              </w:rPr>
              <w:t xml:space="preserve"> e</w:t>
            </w:r>
          </w:p>
        </w:tc>
        <w:tc>
          <w:tcPr>
            <w:tcW w:w="2126" w:type="dxa"/>
            <w:vMerge/>
            <w:tcBorders>
              <w:left w:val="single" w:sz="4" w:space="0" w:color="auto"/>
            </w:tcBorders>
          </w:tcPr>
          <w:p w:rsidR="00C22933" w:rsidRDefault="00C22933">
            <w:pPr>
              <w:ind w:left="288"/>
              <w:rPr>
                <w:rFonts w:ascii="Arial" w:eastAsia="SimSun" w:hAnsi="Arial" w:cs="Arial"/>
                <w:sz w:val="20"/>
                <w:szCs w:val="20"/>
              </w:rPr>
            </w:pPr>
          </w:p>
        </w:tc>
      </w:tr>
      <w:tr w:rsidR="00C22933">
        <w:tc>
          <w:tcPr>
            <w:tcW w:w="3539" w:type="dxa"/>
            <w:tcBorders>
              <w:top w:val="single" w:sz="4" w:space="0" w:color="auto"/>
              <w:left w:val="single" w:sz="4" w:space="0" w:color="auto"/>
              <w:bottom w:val="single" w:sz="4" w:space="0" w:color="auto"/>
              <w:right w:val="single" w:sz="4" w:space="0" w:color="auto"/>
            </w:tcBorders>
          </w:tcPr>
          <w:p w:rsidR="00C22933" w:rsidRDefault="005947AC">
            <w:pPr>
              <w:tabs>
                <w:tab w:val="left" w:pos="1327"/>
              </w:tabs>
              <w:ind w:left="420" w:hanging="420"/>
              <w:rPr>
                <w:rFonts w:ascii="Arial" w:eastAsia="SimSun" w:hAnsi="Arial" w:cs="Arial"/>
                <w:sz w:val="20"/>
                <w:szCs w:val="20"/>
              </w:rPr>
            </w:pPr>
            <w:bookmarkStart w:id="15" w:name="_Hlk166408093"/>
            <w:bookmarkEnd w:id="14"/>
            <w:r>
              <w:rPr>
                <w:rFonts w:ascii="Arial" w:eastAsia="SimSun" w:hAnsi="Arial" w:cs="Arial"/>
                <w:sz w:val="20"/>
                <w:szCs w:val="20"/>
              </w:rPr>
              <w:lastRenderedPageBreak/>
              <w:t>1.5 Government implemented a single-buyer market structure for power sector mandating JSC NEGU to be the single buyer and an action plan to roll out country-wide advance electricity metering system.</w:t>
            </w:r>
          </w:p>
        </w:tc>
        <w:tc>
          <w:tcPr>
            <w:tcW w:w="3544" w:type="dxa"/>
            <w:tcBorders>
              <w:top w:val="single" w:sz="4" w:space="0" w:color="auto"/>
              <w:left w:val="single" w:sz="4" w:space="0" w:color="auto"/>
              <w:bottom w:val="single" w:sz="4" w:space="0" w:color="auto"/>
              <w:right w:val="single" w:sz="4" w:space="0" w:color="auto"/>
            </w:tcBorders>
          </w:tcPr>
          <w:p w:rsidR="00C22933" w:rsidRDefault="005947AC">
            <w:pPr>
              <w:numPr>
                <w:ilvl w:val="1"/>
                <w:numId w:val="9"/>
              </w:numPr>
              <w:ind w:left="428" w:hanging="428"/>
              <w:jc w:val="both"/>
              <w:rPr>
                <w:rFonts w:ascii="Arial" w:eastAsia="SimSun" w:hAnsi="Arial" w:cs="Arial"/>
                <w:color w:val="FF0000"/>
                <w:sz w:val="20"/>
                <w:szCs w:val="20"/>
              </w:rPr>
            </w:pPr>
            <w:r>
              <w:rPr>
                <w:rFonts w:ascii="Arial" w:eastAsia="SimSun" w:hAnsi="Arial" w:cs="Arial"/>
                <w:sz w:val="20"/>
                <w:szCs w:val="20"/>
              </w:rPr>
              <w:t xml:space="preserve">Government decoupled the functions of single buyer from JSC NEGU and transferred it to newly established guaranteed buyer (JSC </w:t>
            </w:r>
            <w:proofErr w:type="spellStart"/>
            <w:r>
              <w:rPr>
                <w:rFonts w:ascii="Arial" w:eastAsia="SimSun" w:hAnsi="Arial" w:cs="Arial"/>
                <w:bCs/>
                <w:sz w:val="20"/>
                <w:szCs w:val="20"/>
              </w:rPr>
              <w:t>Uzenergosotish</w:t>
            </w:r>
            <w:proofErr w:type="spellEnd"/>
            <w:r>
              <w:rPr>
                <w:rFonts w:ascii="Arial" w:eastAsia="SimSun" w:hAnsi="Arial" w:cs="Arial"/>
                <w:bCs/>
                <w:sz w:val="20"/>
                <w:szCs w:val="20"/>
              </w:rPr>
              <w:t>)</w:t>
            </w:r>
            <w:r>
              <w:rPr>
                <w:rFonts w:ascii="Arial" w:eastAsia="SimSun" w:hAnsi="Arial" w:cs="Arial"/>
                <w:sz w:val="20"/>
                <w:szCs w:val="20"/>
              </w:rPr>
              <w:t xml:space="preserve"> as central buyer, off taker and seller of electricity.</w:t>
            </w:r>
          </w:p>
          <w:p w:rsidR="00C22933" w:rsidRDefault="00C22933">
            <w:pPr>
              <w:ind w:left="428"/>
              <w:jc w:val="both"/>
              <w:rPr>
                <w:rFonts w:ascii="Arial" w:eastAsia="SimSun" w:hAnsi="Arial" w:cs="Arial"/>
                <w:color w:val="FF0000"/>
                <w:sz w:val="20"/>
                <w:szCs w:val="20"/>
              </w:rPr>
            </w:pPr>
          </w:p>
          <w:p w:rsidR="00C22933" w:rsidRDefault="005947AC">
            <w:pPr>
              <w:numPr>
                <w:ilvl w:val="1"/>
                <w:numId w:val="9"/>
              </w:numPr>
              <w:ind w:left="428" w:hanging="428"/>
              <w:jc w:val="both"/>
              <w:rPr>
                <w:rFonts w:ascii="Arial" w:eastAsia="SimSun" w:hAnsi="Arial" w:cs="Arial"/>
                <w:color w:val="FF0000"/>
                <w:sz w:val="20"/>
                <w:szCs w:val="20"/>
              </w:rPr>
            </w:pPr>
            <w:r>
              <w:rPr>
                <w:rFonts w:ascii="Arial" w:eastAsia="SimSun" w:hAnsi="Arial" w:cs="Arial"/>
                <w:sz w:val="20"/>
                <w:szCs w:val="20"/>
              </w:rPr>
              <w:t xml:space="preserve">Government decoupled the function of retail business from REPN and transferred it to the newly created subsidiary (JSC </w:t>
            </w:r>
            <w:proofErr w:type="spellStart"/>
            <w:r>
              <w:rPr>
                <w:rFonts w:ascii="Arial" w:eastAsia="SimSun" w:hAnsi="Arial" w:cs="Arial"/>
                <w:sz w:val="20"/>
                <w:szCs w:val="20"/>
              </w:rPr>
              <w:t>Energosavdo</w:t>
            </w:r>
            <w:proofErr w:type="spellEnd"/>
            <w:r>
              <w:rPr>
                <w:rFonts w:ascii="Arial" w:eastAsia="SimSun" w:hAnsi="Arial" w:cs="Arial"/>
                <w:sz w:val="20"/>
                <w:szCs w:val="20"/>
              </w:rPr>
              <w:t>) with plans to later privatize the distribution network functions of regional distribution companies.</w:t>
            </w:r>
          </w:p>
        </w:tc>
        <w:tc>
          <w:tcPr>
            <w:tcW w:w="2693" w:type="dxa"/>
          </w:tcPr>
          <w:p w:rsidR="00C22933" w:rsidRDefault="005947AC">
            <w:pPr>
              <w:pStyle w:val="Corpsdetexte"/>
              <w:jc w:val="left"/>
              <w:rPr>
                <w:rFonts w:ascii="Arial" w:hAnsi="Arial"/>
                <w:sz w:val="20"/>
                <w:u w:val="single"/>
                <w:lang w:val="en-US"/>
              </w:rPr>
            </w:pPr>
            <w:r>
              <w:rPr>
                <w:rFonts w:ascii="Arial" w:hAnsi="Arial"/>
                <w:sz w:val="20"/>
                <w:u w:val="single"/>
                <w:lang w:val="en-US"/>
              </w:rPr>
              <w:t>Objective</w:t>
            </w:r>
            <w:r>
              <w:rPr>
                <w:rFonts w:ascii="Arial" w:hAnsi="Arial"/>
                <w:sz w:val="20"/>
                <w:lang w:val="en-US"/>
              </w:rPr>
              <w:t>: Ensuring the management of the fiduciary system pending the operationalization of the electricity market.</w:t>
            </w:r>
          </w:p>
          <w:p w:rsidR="00C22933" w:rsidRDefault="005947AC">
            <w:pPr>
              <w:pStyle w:val="Corpsdetexte"/>
              <w:rPr>
                <w:rFonts w:ascii="Arial" w:hAnsi="Arial"/>
                <w:sz w:val="20"/>
                <w:u w:val="single"/>
                <w:lang w:val="en-US"/>
              </w:rPr>
            </w:pPr>
            <w:r>
              <w:rPr>
                <w:rFonts w:ascii="Arial" w:hAnsi="Arial"/>
                <w:sz w:val="20"/>
                <w:u w:val="single"/>
                <w:lang w:val="en-US"/>
              </w:rPr>
              <w:t>Follow-</w:t>
            </w:r>
            <w:r w:rsidR="003B004C">
              <w:rPr>
                <w:rFonts w:ascii="Arial" w:hAnsi="Arial"/>
                <w:sz w:val="20"/>
                <w:u w:val="single"/>
                <w:lang w:val="en-US"/>
              </w:rPr>
              <w:t>up:</w:t>
            </w:r>
          </w:p>
          <w:p w:rsidR="00C22933" w:rsidRDefault="005947AC">
            <w:pPr>
              <w:pStyle w:val="Corpsdetexte"/>
              <w:rPr>
                <w:rFonts w:ascii="Arial" w:hAnsi="Arial"/>
                <w:sz w:val="20"/>
                <w:lang w:val="en-US"/>
              </w:rPr>
            </w:pPr>
            <w:r>
              <w:rPr>
                <w:rFonts w:ascii="Arial" w:hAnsi="Arial"/>
                <w:sz w:val="20"/>
                <w:lang w:val="en-US"/>
              </w:rPr>
              <w:t>-Implementation of the new entities.</w:t>
            </w:r>
          </w:p>
          <w:p w:rsidR="00C22933" w:rsidRDefault="005947AC">
            <w:pPr>
              <w:jc w:val="both"/>
              <w:rPr>
                <w:rFonts w:ascii="Arial" w:eastAsia="SimSun" w:hAnsi="Arial" w:cs="Arial"/>
                <w:color w:val="FF0000"/>
                <w:sz w:val="20"/>
                <w:szCs w:val="20"/>
              </w:rPr>
            </w:pPr>
            <w:r>
              <w:rPr>
                <w:rFonts w:ascii="Arial" w:hAnsi="Arial" w:cs="Arial"/>
                <w:sz w:val="20"/>
              </w:rPr>
              <w:t>-Readiness to implement the electricity market.</w:t>
            </w:r>
          </w:p>
        </w:tc>
        <w:tc>
          <w:tcPr>
            <w:tcW w:w="2268" w:type="dxa"/>
            <w:vMerge/>
            <w:tcBorders>
              <w:right w:val="single" w:sz="4" w:space="0" w:color="auto"/>
            </w:tcBorders>
          </w:tcPr>
          <w:p w:rsidR="00C22933" w:rsidRDefault="00C22933">
            <w:pPr>
              <w:numPr>
                <w:ilvl w:val="0"/>
                <w:numId w:val="7"/>
              </w:numPr>
              <w:jc w:val="both"/>
              <w:rPr>
                <w:rFonts w:ascii="Arial" w:eastAsia="SimSun" w:hAnsi="Arial" w:cs="Arial"/>
                <w:color w:val="FF0000"/>
                <w:sz w:val="20"/>
                <w:szCs w:val="20"/>
              </w:rPr>
            </w:pPr>
          </w:p>
        </w:tc>
        <w:bookmarkEnd w:id="15"/>
        <w:tc>
          <w:tcPr>
            <w:tcW w:w="2126" w:type="dxa"/>
            <w:vMerge/>
            <w:tcBorders>
              <w:left w:val="single" w:sz="4" w:space="0" w:color="auto"/>
            </w:tcBorders>
          </w:tcPr>
          <w:p w:rsidR="00C22933" w:rsidRDefault="00C22933">
            <w:pPr>
              <w:ind w:left="288"/>
              <w:rPr>
                <w:rFonts w:ascii="Arial" w:eastAsia="SimSun" w:hAnsi="Arial" w:cs="Arial"/>
                <w:color w:val="FF0000"/>
                <w:sz w:val="20"/>
                <w:szCs w:val="20"/>
              </w:rPr>
            </w:pPr>
          </w:p>
        </w:tc>
      </w:tr>
      <w:tr w:rsidR="00C22933">
        <w:tc>
          <w:tcPr>
            <w:tcW w:w="3539" w:type="dxa"/>
            <w:tcBorders>
              <w:top w:val="single" w:sz="4" w:space="0" w:color="auto"/>
              <w:left w:val="single" w:sz="4" w:space="0" w:color="auto"/>
              <w:bottom w:val="single" w:sz="4" w:space="0" w:color="auto"/>
              <w:right w:val="single" w:sz="4" w:space="0" w:color="auto"/>
            </w:tcBorders>
          </w:tcPr>
          <w:p w:rsidR="00C22933" w:rsidRDefault="005947AC">
            <w:pPr>
              <w:tabs>
                <w:tab w:val="left" w:pos="1327"/>
              </w:tabs>
              <w:ind w:left="420" w:hanging="420"/>
              <w:rPr>
                <w:rFonts w:ascii="Arial" w:eastAsia="SimSun" w:hAnsi="Arial" w:cs="Arial"/>
                <w:sz w:val="20"/>
                <w:szCs w:val="20"/>
              </w:rPr>
            </w:pPr>
            <w:r>
              <w:rPr>
                <w:rFonts w:ascii="Arial" w:eastAsia="SimSun" w:hAnsi="Arial" w:cs="Arial"/>
                <w:sz w:val="20"/>
                <w:szCs w:val="20"/>
              </w:rPr>
              <w:t>1.6. Government has approved the use of the following structures for selected energy projects in order to encourage private investments: (</w:t>
            </w:r>
            <w:proofErr w:type="spellStart"/>
            <w:r>
              <w:rPr>
                <w:rFonts w:ascii="Arial" w:eastAsia="SimSun" w:hAnsi="Arial" w:cs="Arial"/>
                <w:sz w:val="20"/>
                <w:szCs w:val="20"/>
              </w:rPr>
              <w:t>i</w:t>
            </w:r>
            <w:proofErr w:type="spellEnd"/>
            <w:r>
              <w:rPr>
                <w:rFonts w:ascii="Arial" w:eastAsia="SimSun" w:hAnsi="Arial" w:cs="Arial"/>
                <w:sz w:val="20"/>
                <w:szCs w:val="20"/>
              </w:rPr>
              <w:t>) credit enhancement mechanism to mitigate off-taker risks as interim measure to build market confidence; (ii) seeking private investments in renewable generation using model PPP structure; and (iii) has approved a grid interconnection code for non-discriminative access to the grid</w:t>
            </w:r>
          </w:p>
        </w:tc>
        <w:tc>
          <w:tcPr>
            <w:tcW w:w="3544" w:type="dxa"/>
            <w:tcBorders>
              <w:top w:val="single" w:sz="4" w:space="0" w:color="auto"/>
              <w:left w:val="single" w:sz="4" w:space="0" w:color="auto"/>
              <w:bottom w:val="single" w:sz="4" w:space="0" w:color="auto"/>
              <w:right w:val="single" w:sz="4" w:space="0" w:color="auto"/>
            </w:tcBorders>
          </w:tcPr>
          <w:p w:rsidR="00C22933" w:rsidRDefault="005947AC">
            <w:pPr>
              <w:numPr>
                <w:ilvl w:val="1"/>
                <w:numId w:val="9"/>
              </w:numPr>
              <w:ind w:left="428" w:hanging="428"/>
              <w:jc w:val="both"/>
              <w:rPr>
                <w:rFonts w:ascii="Arial" w:eastAsia="SimSun" w:hAnsi="Arial" w:cs="Arial"/>
                <w:color w:val="FF0000"/>
                <w:sz w:val="20"/>
                <w:szCs w:val="20"/>
              </w:rPr>
            </w:pPr>
            <w:r>
              <w:rPr>
                <w:rFonts w:ascii="Arial" w:eastAsia="SimSun" w:hAnsi="Arial" w:cs="Arial"/>
                <w:sz w:val="20"/>
                <w:szCs w:val="20"/>
              </w:rPr>
              <w:t xml:space="preserve">Government adopted the transmission grid code, serving as the framework for grid usage, system services, grid expansion, general grid operation and network efficiency. </w:t>
            </w:r>
          </w:p>
        </w:tc>
        <w:tc>
          <w:tcPr>
            <w:tcW w:w="2693" w:type="dxa"/>
          </w:tcPr>
          <w:p w:rsidR="00C22933" w:rsidRDefault="005947AC">
            <w:pPr>
              <w:pStyle w:val="Corpsdetexte"/>
              <w:jc w:val="left"/>
              <w:rPr>
                <w:rFonts w:ascii="Arial" w:hAnsi="Arial"/>
                <w:sz w:val="20"/>
                <w:lang w:val="en-US"/>
              </w:rPr>
            </w:pPr>
            <w:r>
              <w:rPr>
                <w:rFonts w:ascii="Arial" w:hAnsi="Arial"/>
                <w:sz w:val="20"/>
                <w:u w:val="single"/>
                <w:lang w:val="en-US"/>
              </w:rPr>
              <w:t>Objective:</w:t>
            </w:r>
            <w:r>
              <w:rPr>
                <w:rFonts w:ascii="Arial" w:hAnsi="Arial"/>
                <w:sz w:val="20"/>
                <w:lang w:val="en-US"/>
              </w:rPr>
              <w:t xml:space="preserve"> Attract private investors within an established regulatory framework.</w:t>
            </w:r>
          </w:p>
          <w:p w:rsidR="00C22933" w:rsidRDefault="005947AC">
            <w:pPr>
              <w:pStyle w:val="Corpsdetexte"/>
              <w:rPr>
                <w:rFonts w:ascii="Arial" w:hAnsi="Arial"/>
                <w:sz w:val="20"/>
                <w:u w:val="single"/>
                <w:lang w:val="en-US"/>
              </w:rPr>
            </w:pPr>
            <w:r>
              <w:rPr>
                <w:rFonts w:ascii="Arial" w:hAnsi="Arial"/>
                <w:sz w:val="20"/>
                <w:u w:val="single"/>
                <w:lang w:val="en-US"/>
              </w:rPr>
              <w:t>Follow-</w:t>
            </w:r>
            <w:r w:rsidR="003B004C">
              <w:rPr>
                <w:rFonts w:ascii="Arial" w:hAnsi="Arial"/>
                <w:sz w:val="20"/>
                <w:u w:val="single"/>
                <w:lang w:val="en-US"/>
              </w:rPr>
              <w:t>up:</w:t>
            </w:r>
          </w:p>
          <w:p w:rsidR="00C22933" w:rsidRDefault="005947AC">
            <w:pPr>
              <w:pStyle w:val="Corpsdetexte"/>
              <w:numPr>
                <w:ilvl w:val="0"/>
                <w:numId w:val="10"/>
              </w:numPr>
              <w:spacing w:after="240"/>
              <w:jc w:val="left"/>
              <w:rPr>
                <w:rFonts w:ascii="Arial" w:hAnsi="Arial"/>
                <w:sz w:val="20"/>
                <w:lang w:val="en-US"/>
              </w:rPr>
            </w:pPr>
            <w:r>
              <w:rPr>
                <w:rFonts w:ascii="Arial" w:hAnsi="Arial"/>
                <w:sz w:val="20"/>
                <w:lang w:val="en-US"/>
              </w:rPr>
              <w:t>Status of RES projects launched under public tendering or by direct agreements.</w:t>
            </w:r>
          </w:p>
          <w:p w:rsidR="00C22933" w:rsidRDefault="005947AC">
            <w:pPr>
              <w:pStyle w:val="Corpsdetexte"/>
              <w:numPr>
                <w:ilvl w:val="0"/>
                <w:numId w:val="10"/>
              </w:numPr>
              <w:spacing w:after="240"/>
              <w:jc w:val="left"/>
              <w:rPr>
                <w:rFonts w:ascii="Arial" w:hAnsi="Arial"/>
                <w:sz w:val="20"/>
                <w:lang w:val="en-US"/>
              </w:rPr>
            </w:pPr>
            <w:r>
              <w:rPr>
                <w:rFonts w:ascii="Arial" w:hAnsi="Arial"/>
                <w:sz w:val="20"/>
                <w:lang w:val="en-US"/>
              </w:rPr>
              <w:t>Status of transmission subsector reform model.</w:t>
            </w:r>
          </w:p>
          <w:p w:rsidR="00C22933" w:rsidRDefault="005947AC">
            <w:pPr>
              <w:pStyle w:val="Corpsdetexte"/>
              <w:numPr>
                <w:ilvl w:val="0"/>
                <w:numId w:val="10"/>
              </w:numPr>
              <w:spacing w:after="240"/>
              <w:jc w:val="left"/>
              <w:rPr>
                <w:rFonts w:ascii="Arial" w:hAnsi="Arial"/>
                <w:sz w:val="20"/>
                <w:lang w:val="en-US"/>
              </w:rPr>
            </w:pPr>
            <w:r>
              <w:rPr>
                <w:rFonts w:ascii="Arial" w:hAnsi="Arial"/>
                <w:sz w:val="20"/>
                <w:lang w:val="en-US"/>
              </w:rPr>
              <w:lastRenderedPageBreak/>
              <w:t>Impact of grid codes on grid management.</w:t>
            </w:r>
          </w:p>
        </w:tc>
        <w:tc>
          <w:tcPr>
            <w:tcW w:w="2268" w:type="dxa"/>
            <w:vMerge/>
            <w:tcBorders>
              <w:right w:val="single" w:sz="4" w:space="0" w:color="auto"/>
            </w:tcBorders>
          </w:tcPr>
          <w:p w:rsidR="00C22933" w:rsidRDefault="00C22933">
            <w:pPr>
              <w:numPr>
                <w:ilvl w:val="0"/>
                <w:numId w:val="7"/>
              </w:numPr>
              <w:jc w:val="both"/>
              <w:rPr>
                <w:rFonts w:ascii="Arial" w:eastAsia="SimSun" w:hAnsi="Arial" w:cs="Arial"/>
                <w:color w:val="FF0000"/>
                <w:sz w:val="20"/>
                <w:szCs w:val="20"/>
              </w:rPr>
            </w:pPr>
          </w:p>
        </w:tc>
        <w:tc>
          <w:tcPr>
            <w:tcW w:w="2126" w:type="dxa"/>
            <w:vMerge/>
            <w:tcBorders>
              <w:left w:val="single" w:sz="4" w:space="0" w:color="auto"/>
            </w:tcBorders>
          </w:tcPr>
          <w:p w:rsidR="00C22933" w:rsidRDefault="00C22933">
            <w:pPr>
              <w:ind w:left="288"/>
              <w:rPr>
                <w:rFonts w:ascii="Arial" w:eastAsia="SimSun" w:hAnsi="Arial" w:cs="Arial"/>
                <w:color w:val="FF0000"/>
                <w:sz w:val="20"/>
                <w:szCs w:val="20"/>
              </w:rPr>
            </w:pPr>
          </w:p>
        </w:tc>
      </w:tr>
      <w:tr w:rsidR="00C22933">
        <w:tc>
          <w:tcPr>
            <w:tcW w:w="3539" w:type="dxa"/>
            <w:tcBorders>
              <w:top w:val="single" w:sz="4" w:space="0" w:color="auto"/>
              <w:left w:val="single" w:sz="4" w:space="0" w:color="auto"/>
              <w:bottom w:val="single" w:sz="4" w:space="0" w:color="auto"/>
              <w:right w:val="single" w:sz="4" w:space="0" w:color="auto"/>
            </w:tcBorders>
          </w:tcPr>
          <w:p w:rsidR="00C22933" w:rsidRDefault="005947AC">
            <w:pPr>
              <w:tabs>
                <w:tab w:val="left" w:pos="1327"/>
              </w:tabs>
              <w:ind w:left="420" w:hanging="420"/>
              <w:rPr>
                <w:rFonts w:ascii="Arial" w:eastAsia="SimSun" w:hAnsi="Arial" w:cs="Arial"/>
                <w:sz w:val="20"/>
                <w:szCs w:val="20"/>
              </w:rPr>
            </w:pPr>
            <w:r>
              <w:rPr>
                <w:rFonts w:ascii="Arial" w:eastAsia="SimSun" w:hAnsi="Arial" w:cs="Arial"/>
                <w:sz w:val="20"/>
                <w:szCs w:val="20"/>
              </w:rPr>
              <w:lastRenderedPageBreak/>
              <w:t>1.7. MOE approved a gender sector policy for the power sector PPP projects to promote gender equality with a view to reaching a 5% target of total female employment.</w:t>
            </w:r>
          </w:p>
        </w:tc>
        <w:tc>
          <w:tcPr>
            <w:tcW w:w="3544" w:type="dxa"/>
            <w:tcBorders>
              <w:top w:val="single" w:sz="4" w:space="0" w:color="auto"/>
              <w:left w:val="single" w:sz="4" w:space="0" w:color="auto"/>
              <w:bottom w:val="single" w:sz="4" w:space="0" w:color="auto"/>
              <w:right w:val="single" w:sz="4" w:space="0" w:color="auto"/>
            </w:tcBorders>
          </w:tcPr>
          <w:p w:rsidR="00C22933" w:rsidRDefault="00C22933">
            <w:pPr>
              <w:ind w:left="428" w:hanging="428"/>
              <w:rPr>
                <w:rFonts w:ascii="Arial" w:eastAsia="SimSun" w:hAnsi="Arial" w:cs="Arial"/>
                <w:color w:val="00B050"/>
                <w:sz w:val="20"/>
                <w:szCs w:val="20"/>
              </w:rPr>
            </w:pPr>
          </w:p>
        </w:tc>
        <w:tc>
          <w:tcPr>
            <w:tcW w:w="2693" w:type="dxa"/>
          </w:tcPr>
          <w:p w:rsidR="00C22933" w:rsidRDefault="00C22933">
            <w:pPr>
              <w:ind w:left="288"/>
              <w:jc w:val="both"/>
              <w:rPr>
                <w:rFonts w:ascii="Arial" w:eastAsia="SimSun" w:hAnsi="Arial" w:cs="Arial"/>
                <w:color w:val="FF0000"/>
                <w:sz w:val="20"/>
                <w:szCs w:val="20"/>
              </w:rPr>
            </w:pPr>
          </w:p>
        </w:tc>
        <w:tc>
          <w:tcPr>
            <w:tcW w:w="2268" w:type="dxa"/>
            <w:vMerge/>
            <w:tcBorders>
              <w:right w:val="single" w:sz="4" w:space="0" w:color="auto"/>
            </w:tcBorders>
          </w:tcPr>
          <w:p w:rsidR="00C22933" w:rsidRDefault="00C22933">
            <w:pPr>
              <w:numPr>
                <w:ilvl w:val="0"/>
                <w:numId w:val="7"/>
              </w:numPr>
              <w:jc w:val="both"/>
              <w:rPr>
                <w:rFonts w:ascii="Arial" w:eastAsia="SimSun" w:hAnsi="Arial" w:cs="Arial"/>
                <w:color w:val="FF0000"/>
                <w:sz w:val="20"/>
                <w:szCs w:val="20"/>
              </w:rPr>
            </w:pPr>
          </w:p>
        </w:tc>
        <w:tc>
          <w:tcPr>
            <w:tcW w:w="2126" w:type="dxa"/>
            <w:vMerge/>
            <w:tcBorders>
              <w:left w:val="single" w:sz="4" w:space="0" w:color="auto"/>
            </w:tcBorders>
          </w:tcPr>
          <w:p w:rsidR="00C22933" w:rsidRDefault="00C22933">
            <w:pPr>
              <w:ind w:left="288"/>
              <w:rPr>
                <w:rFonts w:ascii="Arial" w:eastAsia="SimSun" w:hAnsi="Arial" w:cs="Arial"/>
                <w:color w:val="FF0000"/>
                <w:sz w:val="20"/>
                <w:szCs w:val="20"/>
              </w:rPr>
            </w:pPr>
          </w:p>
        </w:tc>
      </w:tr>
      <w:tr w:rsidR="00C22933">
        <w:tc>
          <w:tcPr>
            <w:tcW w:w="12044" w:type="dxa"/>
            <w:gridSpan w:val="4"/>
            <w:tcBorders>
              <w:right w:val="single" w:sz="4" w:space="0" w:color="auto"/>
            </w:tcBorders>
            <w:shd w:val="clear" w:color="auto" w:fill="F2F2F2"/>
          </w:tcPr>
          <w:p w:rsidR="00C22933" w:rsidRDefault="005947AC">
            <w:pPr>
              <w:keepNext/>
              <w:tabs>
                <w:tab w:val="left" w:pos="1327"/>
              </w:tabs>
              <w:ind w:left="428" w:hanging="428"/>
              <w:rPr>
                <w:rFonts w:ascii="Arial" w:eastAsia="SimSun" w:hAnsi="Arial" w:cs="Arial"/>
                <w:color w:val="000000"/>
                <w:sz w:val="20"/>
                <w:szCs w:val="20"/>
              </w:rPr>
            </w:pPr>
            <w:r>
              <w:rPr>
                <w:rFonts w:ascii="Arial" w:eastAsia="SimSun" w:hAnsi="Arial" w:cs="Arial"/>
                <w:b/>
                <w:color w:val="000000"/>
                <w:sz w:val="20"/>
                <w:szCs w:val="20"/>
              </w:rPr>
              <w:t xml:space="preserve">Reform Area 3: </w:t>
            </w:r>
            <w:r>
              <w:rPr>
                <w:rFonts w:ascii="Arial" w:eastAsia="SimSun" w:hAnsi="Arial" w:cs="Arial"/>
                <w:sz w:val="20"/>
                <w:szCs w:val="20"/>
              </w:rPr>
              <w:t>Power sector carbon intensity reduced</w:t>
            </w:r>
          </w:p>
        </w:tc>
        <w:tc>
          <w:tcPr>
            <w:tcW w:w="2126" w:type="dxa"/>
            <w:vMerge/>
            <w:tcBorders>
              <w:left w:val="single" w:sz="4" w:space="0" w:color="auto"/>
            </w:tcBorders>
          </w:tcPr>
          <w:p w:rsidR="00C22933" w:rsidRDefault="00C22933">
            <w:pPr>
              <w:keepNext/>
              <w:ind w:left="288" w:hanging="288"/>
              <w:rPr>
                <w:rFonts w:ascii="Arial" w:eastAsia="SimSun" w:hAnsi="Arial" w:cs="Arial"/>
                <w:b/>
                <w:color w:val="000000"/>
                <w:sz w:val="20"/>
                <w:szCs w:val="20"/>
              </w:rPr>
            </w:pPr>
          </w:p>
        </w:tc>
      </w:tr>
      <w:tr w:rsidR="00C22933" w:rsidTr="0001609C">
        <w:trPr>
          <w:trHeight w:val="230"/>
        </w:trPr>
        <w:tc>
          <w:tcPr>
            <w:tcW w:w="3539" w:type="dxa"/>
            <w:tcBorders>
              <w:top w:val="single" w:sz="4" w:space="0" w:color="auto"/>
              <w:left w:val="single" w:sz="4" w:space="0" w:color="auto"/>
              <w:bottom w:val="single" w:sz="4" w:space="0" w:color="auto"/>
              <w:right w:val="single" w:sz="4" w:space="0" w:color="auto"/>
            </w:tcBorders>
          </w:tcPr>
          <w:p w:rsidR="00C22933" w:rsidRDefault="005947AC">
            <w:pPr>
              <w:tabs>
                <w:tab w:val="left" w:pos="1327"/>
              </w:tabs>
              <w:ind w:left="420" w:hanging="420"/>
              <w:rPr>
                <w:rFonts w:ascii="Arial" w:eastAsia="SimSun" w:hAnsi="Arial" w:cs="Arial"/>
                <w:color w:val="000000"/>
                <w:sz w:val="20"/>
                <w:szCs w:val="20"/>
              </w:rPr>
            </w:pPr>
            <w:r>
              <w:rPr>
                <w:rFonts w:ascii="Arial" w:eastAsia="SimSun" w:hAnsi="Arial" w:cs="Arial"/>
                <w:sz w:val="20"/>
                <w:szCs w:val="20"/>
              </w:rPr>
              <w:t xml:space="preserve">1.8. Government adopted an implementation plan to strengthen NDC ambition to reduce carbon intensity of the economy by 10% of the 2010 level by 2030 by cascading the objective to the power sector and adding climate adaptation dimension to energy strategy. </w:t>
            </w:r>
          </w:p>
        </w:tc>
        <w:tc>
          <w:tcPr>
            <w:tcW w:w="3544" w:type="dxa"/>
            <w:tcBorders>
              <w:top w:val="single" w:sz="4" w:space="0" w:color="auto"/>
              <w:left w:val="single" w:sz="4" w:space="0" w:color="auto"/>
              <w:bottom w:val="single" w:sz="4" w:space="0" w:color="auto"/>
              <w:right w:val="single" w:sz="4" w:space="0" w:color="auto"/>
            </w:tcBorders>
          </w:tcPr>
          <w:p w:rsidR="00C22933" w:rsidRDefault="005947AC">
            <w:pPr>
              <w:ind w:left="428" w:hanging="428"/>
              <w:rPr>
                <w:rFonts w:ascii="Arial" w:eastAsia="SimSun" w:hAnsi="Arial" w:cs="Arial"/>
                <w:i/>
                <w:sz w:val="20"/>
                <w:szCs w:val="20"/>
              </w:rPr>
            </w:pPr>
            <w:r>
              <w:rPr>
                <w:rFonts w:ascii="Arial" w:eastAsia="SimSun" w:hAnsi="Arial" w:cs="Arial"/>
                <w:sz w:val="20"/>
                <w:szCs w:val="20"/>
              </w:rPr>
              <w:t>2.12. Government adopted: (</w:t>
            </w:r>
            <w:proofErr w:type="spellStart"/>
            <w:r>
              <w:rPr>
                <w:rFonts w:ascii="Arial" w:eastAsia="SimSun" w:hAnsi="Arial" w:cs="Arial"/>
                <w:sz w:val="20"/>
                <w:szCs w:val="20"/>
              </w:rPr>
              <w:t>i</w:t>
            </w:r>
            <w:proofErr w:type="spellEnd"/>
            <w:r>
              <w:rPr>
                <w:rFonts w:ascii="Arial" w:eastAsia="SimSun" w:hAnsi="Arial" w:cs="Arial"/>
                <w:sz w:val="20"/>
                <w:szCs w:val="20"/>
              </w:rPr>
              <w:t>) revised NDC</w:t>
            </w:r>
            <w:r>
              <w:rPr>
                <w:rFonts w:ascii="Arial" w:eastAsia="SimSun" w:hAnsi="Arial" w:cs="Arial"/>
                <w:color w:val="000000"/>
              </w:rPr>
              <w:t xml:space="preserve"> </w:t>
            </w:r>
            <w:r>
              <w:rPr>
                <w:rFonts w:ascii="Arial" w:eastAsia="SimSun" w:hAnsi="Arial" w:cs="Arial"/>
                <w:sz w:val="20"/>
                <w:szCs w:val="20"/>
              </w:rPr>
              <w:t>and increased its commitment to reduce specific GHG emissions per unit of GDP from 10% to 35% below 2010 levels by 2030; and (ii) corporate climate change and environmental management policy for hydropower.</w:t>
            </w:r>
          </w:p>
          <w:p w:rsidR="00C22933" w:rsidRDefault="00C22933">
            <w:pPr>
              <w:ind w:left="428" w:hanging="428"/>
              <w:rPr>
                <w:rFonts w:ascii="Arial" w:eastAsia="SimSun" w:hAnsi="Arial" w:cs="Arial"/>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C22933" w:rsidRDefault="005947AC">
            <w:pPr>
              <w:pStyle w:val="Corpsdetexte"/>
              <w:jc w:val="left"/>
              <w:rPr>
                <w:rFonts w:ascii="Arial" w:hAnsi="Arial"/>
                <w:sz w:val="20"/>
                <w:lang w:val="en-US"/>
              </w:rPr>
            </w:pPr>
            <w:r>
              <w:rPr>
                <w:rFonts w:ascii="Arial" w:hAnsi="Arial"/>
                <w:sz w:val="20"/>
                <w:u w:val="single"/>
                <w:lang w:val="en-US"/>
              </w:rPr>
              <w:t>Objective:</w:t>
            </w:r>
            <w:r>
              <w:rPr>
                <w:rFonts w:ascii="Arial" w:hAnsi="Arial"/>
                <w:sz w:val="20"/>
                <w:lang w:val="en-US"/>
              </w:rPr>
              <w:t xml:space="preserve"> Energy sector contributes to a more ambitious NDC</w:t>
            </w:r>
          </w:p>
          <w:p w:rsidR="00C22933" w:rsidRDefault="005947AC">
            <w:pPr>
              <w:pStyle w:val="Corpsdetexte"/>
              <w:rPr>
                <w:rFonts w:ascii="Arial" w:hAnsi="Arial"/>
                <w:sz w:val="20"/>
                <w:u w:val="single"/>
                <w:lang w:val="en-US"/>
              </w:rPr>
            </w:pPr>
            <w:r>
              <w:rPr>
                <w:rFonts w:ascii="Arial" w:hAnsi="Arial"/>
                <w:sz w:val="20"/>
                <w:u w:val="single"/>
                <w:lang w:val="en-US"/>
              </w:rPr>
              <w:t>Follow-</w:t>
            </w:r>
            <w:r w:rsidR="0001609C">
              <w:rPr>
                <w:rFonts w:ascii="Arial" w:hAnsi="Arial"/>
                <w:sz w:val="20"/>
                <w:u w:val="single"/>
                <w:lang w:val="en-US"/>
              </w:rPr>
              <w:t>up:</w:t>
            </w:r>
          </w:p>
          <w:p w:rsidR="00C22933" w:rsidRDefault="005947AC">
            <w:pPr>
              <w:pStyle w:val="Corpsdetexte"/>
              <w:rPr>
                <w:rFonts w:ascii="Arial" w:hAnsi="Arial"/>
                <w:sz w:val="20"/>
                <w:lang w:val="en-US"/>
              </w:rPr>
            </w:pPr>
            <w:r>
              <w:rPr>
                <w:rFonts w:ascii="Arial" w:hAnsi="Arial"/>
                <w:sz w:val="20"/>
                <w:lang w:val="en-US"/>
              </w:rPr>
              <w:t>-Status of inventory of GHG emissions.</w:t>
            </w:r>
          </w:p>
          <w:p w:rsidR="00C22933" w:rsidRDefault="005947AC">
            <w:pPr>
              <w:pStyle w:val="Corpsdetexte"/>
              <w:rPr>
                <w:rFonts w:ascii="Arial" w:hAnsi="Arial"/>
                <w:sz w:val="20"/>
                <w:lang w:val="en-US"/>
              </w:rPr>
            </w:pPr>
            <w:r>
              <w:rPr>
                <w:rFonts w:ascii="Arial" w:hAnsi="Arial"/>
                <w:sz w:val="20"/>
                <w:lang w:val="en-US"/>
              </w:rPr>
              <w:t>-Status of preparation of revised NDC (2025/26) and action plan.</w:t>
            </w:r>
          </w:p>
          <w:p w:rsidR="00C22933" w:rsidRDefault="005947AC">
            <w:pPr>
              <w:pStyle w:val="Corpsdetexte"/>
              <w:rPr>
                <w:rFonts w:ascii="Arial" w:hAnsi="Arial"/>
                <w:sz w:val="20"/>
                <w:lang w:val="en-US"/>
              </w:rPr>
            </w:pPr>
            <w:r>
              <w:rPr>
                <w:rFonts w:ascii="Arial" w:hAnsi="Arial"/>
                <w:sz w:val="20"/>
                <w:lang w:val="en-US"/>
              </w:rPr>
              <w:t>-Alignment of electricity companies with NDC’s objectives.</w:t>
            </w:r>
          </w:p>
          <w:p w:rsidR="00C22933" w:rsidRDefault="005947AC">
            <w:pPr>
              <w:pStyle w:val="Corpsdetexte"/>
              <w:rPr>
                <w:rFonts w:ascii="Arial" w:hAnsi="Arial"/>
                <w:sz w:val="20"/>
                <w:lang w:val="en-US"/>
              </w:rPr>
            </w:pPr>
            <w:r>
              <w:rPr>
                <w:rFonts w:ascii="Arial" w:hAnsi="Arial"/>
                <w:sz w:val="20"/>
                <w:lang w:val="en-US"/>
              </w:rPr>
              <w:t>-Implementing climate change resilience actions in the hydropower sector.</w:t>
            </w:r>
          </w:p>
          <w:p w:rsidR="00C22933" w:rsidRDefault="005947AC">
            <w:pPr>
              <w:pStyle w:val="Corpsdetexte"/>
              <w:rPr>
                <w:rFonts w:ascii="Arial" w:hAnsi="Arial"/>
                <w:sz w:val="20"/>
                <w:lang w:val="en-US"/>
              </w:rPr>
            </w:pPr>
            <w:r>
              <w:rPr>
                <w:rFonts w:ascii="Arial" w:hAnsi="Arial"/>
                <w:sz w:val="20"/>
                <w:lang w:val="en-US"/>
              </w:rPr>
              <w:t>-Progress of National Adaptation Plan.</w:t>
            </w:r>
          </w:p>
          <w:p w:rsidR="00C22933" w:rsidRDefault="005947AC">
            <w:pPr>
              <w:jc w:val="both"/>
              <w:rPr>
                <w:rFonts w:ascii="Arial" w:eastAsia="SimSun" w:hAnsi="Arial" w:cs="Arial"/>
                <w:sz w:val="20"/>
                <w:szCs w:val="20"/>
              </w:rPr>
            </w:pPr>
            <w:r>
              <w:rPr>
                <w:rFonts w:ascii="Arial" w:hAnsi="Arial" w:cs="Arial"/>
                <w:sz w:val="20"/>
              </w:rPr>
              <w:t>-Modelling of electricity sector emissions (within the LTS).</w:t>
            </w:r>
          </w:p>
        </w:tc>
        <w:tc>
          <w:tcPr>
            <w:tcW w:w="2268" w:type="dxa"/>
            <w:vMerge w:val="restart"/>
            <w:tcBorders>
              <w:top w:val="single" w:sz="4" w:space="0" w:color="auto"/>
              <w:left w:val="single" w:sz="4" w:space="0" w:color="auto"/>
              <w:bottom w:val="single" w:sz="4" w:space="0" w:color="auto"/>
              <w:right w:val="single" w:sz="4" w:space="0" w:color="auto"/>
            </w:tcBorders>
          </w:tcPr>
          <w:p w:rsidR="00C22933" w:rsidRDefault="005947AC">
            <w:pPr>
              <w:numPr>
                <w:ilvl w:val="0"/>
                <w:numId w:val="7"/>
              </w:numPr>
              <w:jc w:val="both"/>
              <w:rPr>
                <w:rFonts w:ascii="Arial" w:eastAsia="MS PGothic" w:hAnsi="Arial" w:cs="Arial"/>
                <w:i/>
                <w:color w:val="000000"/>
                <w:sz w:val="20"/>
                <w:szCs w:val="20"/>
              </w:rPr>
            </w:pPr>
            <w:r>
              <w:rPr>
                <w:rFonts w:ascii="Arial" w:eastAsia="SimSun" w:hAnsi="Arial" w:cs="Arial"/>
                <w:sz w:val="20"/>
                <w:szCs w:val="20"/>
              </w:rPr>
              <w:t>Share of renewable energy sources, excluding hydropower, in electricity generation mix of Uzbekistan increased to 15% by 2025</w:t>
            </w:r>
            <w:r>
              <w:rPr>
                <w:rFonts w:ascii="Arial" w:eastAsia="SimSun" w:hAnsi="Arial" w:cs="Arial"/>
                <w:color w:val="000000"/>
                <w:sz w:val="20"/>
                <w:szCs w:val="20"/>
                <w:vertAlign w:val="superscript"/>
              </w:rPr>
              <w:t xml:space="preserve"> </w:t>
            </w:r>
            <w:r w:rsidR="0001609C">
              <w:rPr>
                <w:rFonts w:ascii="Arial" w:eastAsia="SimSun" w:hAnsi="Arial" w:cs="Arial"/>
                <w:color w:val="000000"/>
                <w:sz w:val="20"/>
                <w:szCs w:val="20"/>
                <w:vertAlign w:val="superscript"/>
              </w:rPr>
              <w:t>f</w:t>
            </w:r>
            <w:r w:rsidR="0001609C">
              <w:rPr>
                <w:rFonts w:ascii="Arial" w:eastAsia="SimSun" w:hAnsi="Arial" w:cs="Arial"/>
                <w:sz w:val="20"/>
                <w:szCs w:val="20"/>
              </w:rPr>
              <w:t xml:space="preserve"> (</w:t>
            </w:r>
            <w:r>
              <w:rPr>
                <w:rFonts w:ascii="Arial" w:eastAsia="SimSun" w:hAnsi="Arial" w:cs="Arial"/>
                <w:sz w:val="20"/>
                <w:szCs w:val="20"/>
              </w:rPr>
              <w:t>2020 baseline 1%)</w:t>
            </w:r>
            <w:r>
              <w:rPr>
                <w:rFonts w:ascii="Arial" w:eastAsia="Arial" w:hAnsi="Arial" w:cs="Arial"/>
                <w:sz w:val="20"/>
                <w:szCs w:val="20"/>
              </w:rPr>
              <w:t xml:space="preserve">. </w:t>
            </w:r>
            <w:r>
              <w:rPr>
                <w:rFonts w:ascii="Arial" w:eastAsia="SimSun" w:hAnsi="Arial" w:cs="Arial"/>
                <w:color w:val="000000"/>
                <w:sz w:val="20"/>
                <w:szCs w:val="20"/>
                <w:vertAlign w:val="superscript"/>
              </w:rPr>
              <w:t>g</w:t>
            </w:r>
          </w:p>
          <w:p w:rsidR="00C22933" w:rsidRDefault="00C22933">
            <w:pPr>
              <w:ind w:left="288"/>
              <w:rPr>
                <w:rFonts w:ascii="Arial" w:eastAsia="MS PGothic" w:hAnsi="Arial" w:cs="Arial"/>
                <w:i/>
                <w:color w:val="000000"/>
                <w:sz w:val="20"/>
                <w:szCs w:val="20"/>
              </w:rPr>
            </w:pPr>
          </w:p>
        </w:tc>
        <w:tc>
          <w:tcPr>
            <w:tcW w:w="2126" w:type="dxa"/>
            <w:vMerge/>
            <w:tcBorders>
              <w:left w:val="single" w:sz="4" w:space="0" w:color="auto"/>
            </w:tcBorders>
          </w:tcPr>
          <w:p w:rsidR="00C22933" w:rsidRDefault="00C22933">
            <w:pPr>
              <w:ind w:left="288"/>
              <w:rPr>
                <w:rFonts w:ascii="Arial" w:eastAsia="SimSun" w:hAnsi="Arial" w:cs="Arial"/>
                <w:sz w:val="20"/>
                <w:szCs w:val="20"/>
              </w:rPr>
            </w:pPr>
          </w:p>
        </w:tc>
      </w:tr>
      <w:tr w:rsidR="00C22933" w:rsidTr="0001609C">
        <w:trPr>
          <w:trHeight w:val="230"/>
        </w:trPr>
        <w:tc>
          <w:tcPr>
            <w:tcW w:w="3539" w:type="dxa"/>
            <w:tcBorders>
              <w:top w:val="single" w:sz="4" w:space="0" w:color="auto"/>
              <w:left w:val="single" w:sz="4" w:space="0" w:color="auto"/>
              <w:bottom w:val="single" w:sz="4" w:space="0" w:color="auto"/>
              <w:right w:val="single" w:sz="4" w:space="0" w:color="auto"/>
            </w:tcBorders>
          </w:tcPr>
          <w:p w:rsidR="00C22933" w:rsidRDefault="005947AC">
            <w:pPr>
              <w:tabs>
                <w:tab w:val="left" w:pos="1327"/>
              </w:tabs>
              <w:ind w:left="420" w:hanging="420"/>
              <w:rPr>
                <w:rFonts w:ascii="Arial" w:eastAsia="SimSun" w:hAnsi="Arial" w:cs="Arial"/>
                <w:color w:val="FF0000"/>
                <w:sz w:val="20"/>
                <w:szCs w:val="20"/>
              </w:rPr>
            </w:pPr>
            <w:r>
              <w:rPr>
                <w:rFonts w:ascii="Arial" w:eastAsia="SimSun" w:hAnsi="Arial" w:cs="Arial"/>
                <w:sz w:val="20"/>
                <w:szCs w:val="20"/>
              </w:rPr>
              <w:t>1.9. Government approved a policy to reduce carbon intensity of electricity generation covering the following: (</w:t>
            </w:r>
            <w:proofErr w:type="spellStart"/>
            <w:r>
              <w:rPr>
                <w:rFonts w:ascii="Arial" w:eastAsia="SimSun" w:hAnsi="Arial" w:cs="Arial"/>
                <w:sz w:val="20"/>
                <w:szCs w:val="20"/>
              </w:rPr>
              <w:t>i</w:t>
            </w:r>
            <w:proofErr w:type="spellEnd"/>
            <w:r>
              <w:rPr>
                <w:rFonts w:ascii="Arial" w:eastAsia="SimSun" w:hAnsi="Arial" w:cs="Arial"/>
                <w:sz w:val="20"/>
                <w:szCs w:val="20"/>
              </w:rPr>
              <w:t xml:space="preserve">) national renewable energy target to add 5GW solar and 3GW wind by 2030 (renewable shares: 15% of </w:t>
            </w:r>
            <w:r>
              <w:rPr>
                <w:rFonts w:ascii="Arial" w:eastAsia="SimSun" w:hAnsi="Arial" w:cs="Arial"/>
                <w:sz w:val="20"/>
                <w:szCs w:val="20"/>
              </w:rPr>
              <w:lastRenderedPageBreak/>
              <w:t xml:space="preserve">total generation); (ii) retirement of old and inefficient fossil-fuel power plants of 5.9GW by 2030; (iii) increase hydro power imports from </w:t>
            </w:r>
            <w:r w:rsidR="003B004C">
              <w:rPr>
                <w:rFonts w:ascii="Arial" w:eastAsia="SimSun" w:hAnsi="Arial" w:cs="Arial"/>
                <w:sz w:val="20"/>
                <w:szCs w:val="20"/>
              </w:rPr>
              <w:t>neighbouring</w:t>
            </w:r>
            <w:r>
              <w:rPr>
                <w:rFonts w:ascii="Arial" w:eastAsia="SimSun" w:hAnsi="Arial" w:cs="Arial"/>
                <w:sz w:val="20"/>
                <w:szCs w:val="20"/>
              </w:rPr>
              <w:t xml:space="preserve"> countries during summer months.</w:t>
            </w:r>
          </w:p>
        </w:tc>
        <w:tc>
          <w:tcPr>
            <w:tcW w:w="3544" w:type="dxa"/>
            <w:tcBorders>
              <w:top w:val="single" w:sz="4" w:space="0" w:color="auto"/>
              <w:left w:val="single" w:sz="4" w:space="0" w:color="auto"/>
              <w:bottom w:val="single" w:sz="4" w:space="0" w:color="auto"/>
              <w:right w:val="single" w:sz="4" w:space="0" w:color="auto"/>
            </w:tcBorders>
          </w:tcPr>
          <w:p w:rsidR="00C22933" w:rsidRDefault="005947AC">
            <w:pPr>
              <w:ind w:left="428" w:hanging="428"/>
              <w:rPr>
                <w:rFonts w:ascii="Arial" w:eastAsia="SimSun" w:hAnsi="Arial" w:cs="Arial"/>
                <w:color w:val="FF0000"/>
                <w:sz w:val="20"/>
                <w:szCs w:val="20"/>
              </w:rPr>
            </w:pPr>
            <w:r>
              <w:rPr>
                <w:rFonts w:ascii="Arial" w:eastAsia="SimSun" w:hAnsi="Arial" w:cs="Arial"/>
                <w:sz w:val="20"/>
                <w:szCs w:val="20"/>
              </w:rPr>
              <w:lastRenderedPageBreak/>
              <w:t xml:space="preserve">2.13. To increase hydropower imports from </w:t>
            </w:r>
            <w:r w:rsidR="0001609C">
              <w:rPr>
                <w:rFonts w:ascii="Arial" w:eastAsia="SimSun" w:hAnsi="Arial" w:cs="Arial"/>
                <w:sz w:val="20"/>
                <w:szCs w:val="20"/>
              </w:rPr>
              <w:t>neighbouring</w:t>
            </w:r>
            <w:r>
              <w:rPr>
                <w:rFonts w:ascii="Arial" w:eastAsia="SimSun" w:hAnsi="Arial" w:cs="Arial"/>
                <w:sz w:val="20"/>
                <w:szCs w:val="20"/>
              </w:rPr>
              <w:t xml:space="preserve"> country, NEGU signed a power purchase and sales agreement with </w:t>
            </w:r>
            <w:proofErr w:type="spellStart"/>
            <w:r>
              <w:rPr>
                <w:rFonts w:ascii="Arial" w:eastAsia="SimSun" w:hAnsi="Arial" w:cs="Arial"/>
                <w:sz w:val="20"/>
                <w:szCs w:val="20"/>
              </w:rPr>
              <w:t>Barqi</w:t>
            </w:r>
            <w:proofErr w:type="spellEnd"/>
            <w:r>
              <w:rPr>
                <w:rFonts w:ascii="Arial" w:eastAsia="SimSun" w:hAnsi="Arial" w:cs="Arial"/>
                <w:sz w:val="20"/>
                <w:szCs w:val="20"/>
              </w:rPr>
              <w:t xml:space="preserve"> </w:t>
            </w:r>
            <w:proofErr w:type="spellStart"/>
            <w:r>
              <w:rPr>
                <w:rFonts w:ascii="Arial" w:eastAsia="SimSun" w:hAnsi="Arial" w:cs="Arial"/>
                <w:sz w:val="20"/>
                <w:szCs w:val="20"/>
              </w:rPr>
              <w:t>Tojik</w:t>
            </w:r>
            <w:proofErr w:type="spellEnd"/>
            <w:r>
              <w:rPr>
                <w:rFonts w:ascii="Arial" w:eastAsia="SimSun" w:hAnsi="Arial" w:cs="Arial"/>
                <w:sz w:val="20"/>
                <w:szCs w:val="20"/>
              </w:rPr>
              <w:t>, the power generation company of the government of Tajikistan.</w:t>
            </w:r>
          </w:p>
        </w:tc>
        <w:tc>
          <w:tcPr>
            <w:tcW w:w="2693" w:type="dxa"/>
            <w:vMerge w:val="restart"/>
          </w:tcPr>
          <w:p w:rsidR="00C22933" w:rsidRDefault="005947AC">
            <w:pPr>
              <w:pStyle w:val="Corpsdetexte"/>
              <w:jc w:val="left"/>
              <w:rPr>
                <w:rFonts w:ascii="Arial" w:hAnsi="Arial"/>
                <w:sz w:val="20"/>
                <w:u w:val="single"/>
                <w:lang w:val="en-US"/>
              </w:rPr>
            </w:pPr>
            <w:r>
              <w:rPr>
                <w:rFonts w:ascii="Arial" w:hAnsi="Arial"/>
                <w:sz w:val="20"/>
                <w:u w:val="single"/>
                <w:lang w:val="en-US"/>
              </w:rPr>
              <w:t>Objective:</w:t>
            </w:r>
            <w:r>
              <w:rPr>
                <w:rFonts w:ascii="Arial" w:hAnsi="Arial"/>
                <w:sz w:val="20"/>
                <w:lang w:val="en-US"/>
              </w:rPr>
              <w:t xml:space="preserve"> </w:t>
            </w:r>
            <w:proofErr w:type="spellStart"/>
            <w:r>
              <w:rPr>
                <w:rFonts w:ascii="Arial" w:hAnsi="Arial"/>
                <w:sz w:val="20"/>
                <w:lang w:val="en-US"/>
              </w:rPr>
              <w:t>Decarbonization</w:t>
            </w:r>
            <w:proofErr w:type="spellEnd"/>
            <w:r>
              <w:rPr>
                <w:rFonts w:ascii="Arial" w:hAnsi="Arial"/>
                <w:sz w:val="20"/>
                <w:lang w:val="en-US"/>
              </w:rPr>
              <w:t xml:space="preserve"> and diversification of energy sources &amp; Modernizing and digitalizing the distribution grid.</w:t>
            </w:r>
          </w:p>
          <w:p w:rsidR="00C22933" w:rsidRDefault="005947AC">
            <w:pPr>
              <w:pStyle w:val="Corpsdetexte"/>
              <w:rPr>
                <w:rFonts w:ascii="Arial" w:hAnsi="Arial"/>
                <w:sz w:val="20"/>
                <w:u w:val="single"/>
                <w:lang w:val="en-US"/>
              </w:rPr>
            </w:pPr>
            <w:r>
              <w:rPr>
                <w:rFonts w:ascii="Arial" w:hAnsi="Arial"/>
                <w:sz w:val="20"/>
                <w:u w:val="single"/>
                <w:lang w:val="en-US"/>
              </w:rPr>
              <w:t>Follow-</w:t>
            </w:r>
            <w:r w:rsidR="0001609C">
              <w:rPr>
                <w:rFonts w:ascii="Arial" w:hAnsi="Arial"/>
                <w:sz w:val="20"/>
                <w:u w:val="single"/>
                <w:lang w:val="en-US"/>
              </w:rPr>
              <w:t>up:</w:t>
            </w:r>
          </w:p>
          <w:p w:rsidR="00C22933" w:rsidRDefault="005947AC">
            <w:pPr>
              <w:pStyle w:val="Corpsdetexte"/>
              <w:jc w:val="left"/>
              <w:rPr>
                <w:rFonts w:ascii="Arial" w:hAnsi="Arial"/>
                <w:sz w:val="20"/>
                <w:lang w:val="en-US"/>
              </w:rPr>
            </w:pPr>
            <w:r>
              <w:rPr>
                <w:rFonts w:ascii="Arial" w:hAnsi="Arial"/>
                <w:sz w:val="20"/>
                <w:lang w:val="en-US"/>
              </w:rPr>
              <w:lastRenderedPageBreak/>
              <w:t>-</w:t>
            </w:r>
            <w:r w:rsidR="003B004C">
              <w:rPr>
                <w:rFonts w:ascii="Arial" w:hAnsi="Arial"/>
                <w:sz w:val="20"/>
                <w:lang w:val="en-US"/>
              </w:rPr>
              <w:t xml:space="preserve"> </w:t>
            </w:r>
            <w:r>
              <w:rPr>
                <w:rFonts w:ascii="Arial" w:hAnsi="Arial"/>
                <w:sz w:val="20"/>
                <w:lang w:val="en-US"/>
              </w:rPr>
              <w:t>Status of development of bioenergy and new technologies in Uzbekistan.</w:t>
            </w:r>
          </w:p>
          <w:p w:rsidR="00C22933" w:rsidRDefault="005947AC">
            <w:pPr>
              <w:pStyle w:val="Corpsdetexte"/>
              <w:jc w:val="left"/>
              <w:rPr>
                <w:rFonts w:ascii="Arial" w:hAnsi="Arial"/>
                <w:sz w:val="20"/>
                <w:lang w:val="en-US"/>
              </w:rPr>
            </w:pPr>
            <w:r>
              <w:rPr>
                <w:rFonts w:ascii="Arial" w:hAnsi="Arial"/>
                <w:sz w:val="20"/>
                <w:lang w:val="en-US"/>
              </w:rPr>
              <w:t>-</w:t>
            </w:r>
            <w:r w:rsidR="003B004C">
              <w:rPr>
                <w:rFonts w:ascii="Arial" w:hAnsi="Arial"/>
                <w:sz w:val="20"/>
                <w:lang w:val="en-US"/>
              </w:rPr>
              <w:t xml:space="preserve"> </w:t>
            </w:r>
            <w:r>
              <w:rPr>
                <w:rFonts w:ascii="Arial" w:hAnsi="Arial"/>
                <w:sz w:val="20"/>
                <w:lang w:val="en-US"/>
              </w:rPr>
              <w:t xml:space="preserve">Status </w:t>
            </w:r>
            <w:r w:rsidR="0001609C">
              <w:rPr>
                <w:rFonts w:ascii="Arial" w:hAnsi="Arial"/>
                <w:sz w:val="20"/>
                <w:lang w:val="en-US"/>
              </w:rPr>
              <w:t xml:space="preserve">of </w:t>
            </w:r>
            <w:r w:rsidR="0001609C">
              <w:rPr>
                <w:rFonts w:ascii="Arial" w:hAnsi="Arial"/>
                <w:sz w:val="20"/>
              </w:rPr>
              <w:t>hydroelectric</w:t>
            </w:r>
            <w:r>
              <w:rPr>
                <w:rFonts w:ascii="Arial" w:hAnsi="Arial"/>
                <w:sz w:val="20"/>
                <w:lang w:val="en-US"/>
              </w:rPr>
              <w:t xml:space="preserve"> power imports.</w:t>
            </w:r>
          </w:p>
          <w:p w:rsidR="00C22933" w:rsidRDefault="005947AC">
            <w:pPr>
              <w:pStyle w:val="Corpsdetexte"/>
              <w:jc w:val="left"/>
              <w:rPr>
                <w:rFonts w:ascii="Arial" w:hAnsi="Arial"/>
                <w:sz w:val="20"/>
                <w:lang w:val="en-US"/>
              </w:rPr>
            </w:pPr>
            <w:r>
              <w:rPr>
                <w:rFonts w:ascii="Arial" w:hAnsi="Arial"/>
                <w:sz w:val="20"/>
                <w:lang w:val="en-US"/>
              </w:rPr>
              <w:t>-</w:t>
            </w:r>
            <w:r w:rsidR="003B004C">
              <w:rPr>
                <w:rFonts w:ascii="Arial" w:hAnsi="Arial"/>
                <w:sz w:val="20"/>
                <w:lang w:val="en-US"/>
              </w:rPr>
              <w:t xml:space="preserve"> </w:t>
            </w:r>
            <w:r>
              <w:rPr>
                <w:rFonts w:ascii="Arial" w:hAnsi="Arial"/>
                <w:sz w:val="20"/>
                <w:lang w:val="en-US"/>
              </w:rPr>
              <w:t>Status of decommissioning plan.</w:t>
            </w:r>
          </w:p>
          <w:p w:rsidR="00C22933" w:rsidRDefault="005947AC">
            <w:pPr>
              <w:pStyle w:val="Corpsdetexte"/>
              <w:rPr>
                <w:rFonts w:ascii="Arial" w:hAnsi="Arial"/>
                <w:sz w:val="20"/>
                <w:lang w:val="en-US"/>
              </w:rPr>
            </w:pPr>
            <w:r>
              <w:rPr>
                <w:rFonts w:ascii="Arial" w:hAnsi="Arial"/>
                <w:sz w:val="20"/>
                <w:lang w:val="en-US"/>
              </w:rPr>
              <w:t>- KPI for T&amp;D.</w:t>
            </w:r>
          </w:p>
          <w:p w:rsidR="00C22933" w:rsidRDefault="005947AC">
            <w:pPr>
              <w:pStyle w:val="Corpsdetexte"/>
              <w:jc w:val="left"/>
              <w:rPr>
                <w:rFonts w:ascii="Arial" w:hAnsi="Arial"/>
                <w:sz w:val="20"/>
                <w:lang w:val="en-US"/>
              </w:rPr>
            </w:pPr>
            <w:r>
              <w:rPr>
                <w:rFonts w:ascii="Arial" w:hAnsi="Arial"/>
                <w:sz w:val="20"/>
                <w:lang w:val="en-US"/>
              </w:rPr>
              <w:t>- Development of tariff mechanism and regulatory framework for rooftop solar.</w:t>
            </w:r>
          </w:p>
        </w:tc>
        <w:tc>
          <w:tcPr>
            <w:tcW w:w="2268" w:type="dxa"/>
            <w:vMerge/>
            <w:tcBorders>
              <w:right w:val="single" w:sz="4" w:space="0" w:color="auto"/>
            </w:tcBorders>
          </w:tcPr>
          <w:p w:rsidR="00C22933" w:rsidRDefault="00C22933">
            <w:pPr>
              <w:numPr>
                <w:ilvl w:val="0"/>
                <w:numId w:val="7"/>
              </w:numPr>
              <w:jc w:val="both"/>
              <w:rPr>
                <w:rFonts w:ascii="Arial" w:eastAsia="SimSun" w:hAnsi="Arial" w:cs="Arial"/>
                <w:color w:val="FF0000"/>
                <w:sz w:val="20"/>
                <w:szCs w:val="20"/>
              </w:rPr>
            </w:pPr>
          </w:p>
        </w:tc>
        <w:tc>
          <w:tcPr>
            <w:tcW w:w="2126" w:type="dxa"/>
            <w:vMerge/>
            <w:tcBorders>
              <w:left w:val="single" w:sz="4" w:space="0" w:color="auto"/>
            </w:tcBorders>
          </w:tcPr>
          <w:p w:rsidR="00C22933" w:rsidRDefault="00C22933">
            <w:pPr>
              <w:ind w:left="288"/>
              <w:rPr>
                <w:rFonts w:ascii="Arial" w:eastAsia="SimSun" w:hAnsi="Arial" w:cs="Arial"/>
                <w:color w:val="FF0000"/>
                <w:sz w:val="20"/>
                <w:szCs w:val="20"/>
              </w:rPr>
            </w:pPr>
          </w:p>
        </w:tc>
      </w:tr>
      <w:tr w:rsidR="00C22933">
        <w:tc>
          <w:tcPr>
            <w:tcW w:w="3539" w:type="dxa"/>
            <w:tcBorders>
              <w:top w:val="single" w:sz="4" w:space="0" w:color="auto"/>
              <w:left w:val="single" w:sz="4" w:space="0" w:color="auto"/>
              <w:bottom w:val="single" w:sz="4" w:space="0" w:color="auto"/>
              <w:right w:val="single" w:sz="4" w:space="0" w:color="auto"/>
            </w:tcBorders>
          </w:tcPr>
          <w:p w:rsidR="00C22933" w:rsidRDefault="005947AC">
            <w:pPr>
              <w:tabs>
                <w:tab w:val="left" w:pos="1327"/>
              </w:tabs>
              <w:ind w:left="420" w:hanging="420"/>
              <w:rPr>
                <w:rFonts w:ascii="Arial" w:eastAsia="SimSun" w:hAnsi="Arial" w:cs="Arial"/>
                <w:sz w:val="20"/>
                <w:szCs w:val="20"/>
              </w:rPr>
            </w:pPr>
            <w:r>
              <w:rPr>
                <w:rFonts w:ascii="Arial" w:eastAsia="SimSun" w:hAnsi="Arial" w:cs="Arial"/>
                <w:sz w:val="20"/>
                <w:szCs w:val="20"/>
              </w:rPr>
              <w:lastRenderedPageBreak/>
              <w:t>1.10. Government approved a program to reduce carbon intensity in the transmission and distribution subsector covering the following: (</w:t>
            </w:r>
            <w:proofErr w:type="spellStart"/>
            <w:r>
              <w:rPr>
                <w:rFonts w:ascii="Arial" w:eastAsia="SimSun" w:hAnsi="Arial" w:cs="Arial"/>
                <w:sz w:val="20"/>
                <w:szCs w:val="20"/>
              </w:rPr>
              <w:t>i</w:t>
            </w:r>
            <w:proofErr w:type="spellEnd"/>
            <w:r>
              <w:rPr>
                <w:rFonts w:ascii="Arial" w:eastAsia="SimSun" w:hAnsi="Arial" w:cs="Arial"/>
                <w:sz w:val="20"/>
                <w:szCs w:val="20"/>
              </w:rPr>
              <w:t>) launch of grid expansion and loss reduction plan study in support of renewables; (ii) digitalization and introduction of nation-wide SCADA system; (iii) program for distributed household or small community based renewable system closer to consumers; and (iv) distribution network modernization and loss reduction program</w:t>
            </w:r>
          </w:p>
        </w:tc>
        <w:tc>
          <w:tcPr>
            <w:tcW w:w="3544" w:type="dxa"/>
            <w:tcBorders>
              <w:top w:val="single" w:sz="4" w:space="0" w:color="auto"/>
              <w:left w:val="single" w:sz="4" w:space="0" w:color="auto"/>
              <w:bottom w:val="single" w:sz="4" w:space="0" w:color="auto"/>
              <w:right w:val="single" w:sz="4" w:space="0" w:color="auto"/>
            </w:tcBorders>
          </w:tcPr>
          <w:p w:rsidR="00C22933" w:rsidRDefault="005947AC">
            <w:pPr>
              <w:ind w:left="428" w:hanging="428"/>
              <w:rPr>
                <w:rFonts w:ascii="Arial" w:eastAsia="SimSun" w:hAnsi="Arial" w:cs="Arial"/>
                <w:color w:val="FF0000"/>
                <w:sz w:val="20"/>
                <w:szCs w:val="20"/>
              </w:rPr>
            </w:pPr>
            <w:r>
              <w:rPr>
                <w:rFonts w:ascii="Arial" w:eastAsia="SimSun" w:hAnsi="Arial" w:cs="Arial"/>
                <w:sz w:val="20"/>
                <w:szCs w:val="20"/>
              </w:rPr>
              <w:t>2.14. Government approved energy sector master plan, including increase in the RE share, reduction of GHG emissions in line with its NDC commitments, and plan for modernization of its transmission and distribution network.</w:t>
            </w:r>
          </w:p>
        </w:tc>
        <w:tc>
          <w:tcPr>
            <w:tcW w:w="2693" w:type="dxa"/>
            <w:vMerge/>
          </w:tcPr>
          <w:p w:rsidR="00C22933" w:rsidRDefault="00C22933">
            <w:pPr>
              <w:ind w:left="288"/>
              <w:jc w:val="both"/>
              <w:rPr>
                <w:rFonts w:ascii="Arial" w:eastAsia="SimSun" w:hAnsi="Arial" w:cs="Arial"/>
                <w:color w:val="FF0000"/>
                <w:sz w:val="20"/>
                <w:szCs w:val="20"/>
              </w:rPr>
            </w:pPr>
          </w:p>
        </w:tc>
        <w:tc>
          <w:tcPr>
            <w:tcW w:w="2268" w:type="dxa"/>
            <w:vMerge/>
            <w:tcBorders>
              <w:right w:val="single" w:sz="4" w:space="0" w:color="auto"/>
            </w:tcBorders>
          </w:tcPr>
          <w:p w:rsidR="00C22933" w:rsidRDefault="00C22933">
            <w:pPr>
              <w:numPr>
                <w:ilvl w:val="0"/>
                <w:numId w:val="7"/>
              </w:numPr>
              <w:jc w:val="both"/>
              <w:rPr>
                <w:rFonts w:ascii="Arial" w:eastAsia="SimSun" w:hAnsi="Arial" w:cs="Arial"/>
                <w:color w:val="FF0000"/>
                <w:sz w:val="20"/>
                <w:szCs w:val="20"/>
              </w:rPr>
            </w:pPr>
          </w:p>
        </w:tc>
        <w:tc>
          <w:tcPr>
            <w:tcW w:w="2126" w:type="dxa"/>
            <w:vMerge/>
            <w:tcBorders>
              <w:left w:val="single" w:sz="4" w:space="0" w:color="auto"/>
            </w:tcBorders>
          </w:tcPr>
          <w:p w:rsidR="00C22933" w:rsidRDefault="00C22933">
            <w:pPr>
              <w:ind w:left="288"/>
              <w:rPr>
                <w:rFonts w:ascii="Arial" w:eastAsia="SimSun" w:hAnsi="Arial" w:cs="Arial"/>
                <w:color w:val="FF0000"/>
                <w:sz w:val="20"/>
                <w:szCs w:val="20"/>
              </w:rPr>
            </w:pPr>
          </w:p>
        </w:tc>
      </w:tr>
      <w:tr w:rsidR="00C22933">
        <w:tc>
          <w:tcPr>
            <w:tcW w:w="12044" w:type="dxa"/>
            <w:gridSpan w:val="4"/>
            <w:tcBorders>
              <w:right w:val="single" w:sz="4" w:space="0" w:color="auto"/>
            </w:tcBorders>
            <w:shd w:val="clear" w:color="auto" w:fill="F2F2F2"/>
          </w:tcPr>
          <w:p w:rsidR="00C22933" w:rsidRDefault="005947AC">
            <w:pPr>
              <w:tabs>
                <w:tab w:val="left" w:pos="1327"/>
              </w:tabs>
              <w:ind w:left="428" w:hanging="428"/>
              <w:rPr>
                <w:rFonts w:ascii="Arial" w:eastAsia="SimSun" w:hAnsi="Arial" w:cs="Arial"/>
                <w:b/>
                <w:bCs/>
                <w:color w:val="FF0000"/>
                <w:sz w:val="20"/>
                <w:szCs w:val="20"/>
              </w:rPr>
            </w:pPr>
            <w:r>
              <w:rPr>
                <w:rFonts w:ascii="Arial" w:eastAsia="SimSun" w:hAnsi="Arial" w:cs="Arial"/>
                <w:b/>
                <w:bCs/>
                <w:sz w:val="20"/>
                <w:szCs w:val="20"/>
              </w:rPr>
              <w:t>Reform Area 4:</w:t>
            </w:r>
            <w:r>
              <w:rPr>
                <w:rFonts w:ascii="Arial" w:eastAsia="SimSun" w:hAnsi="Arial" w:cs="Arial"/>
                <w:b/>
                <w:bCs/>
                <w:color w:val="FF0000"/>
                <w:sz w:val="20"/>
                <w:szCs w:val="20"/>
              </w:rPr>
              <w:t xml:space="preserve"> </w:t>
            </w:r>
            <w:r w:rsidRPr="003B004C">
              <w:rPr>
                <w:rFonts w:ascii="Arial" w:eastAsia="SimSun" w:hAnsi="Arial" w:cs="Arial"/>
                <w:bCs/>
                <w:sz w:val="20"/>
                <w:szCs w:val="20"/>
              </w:rPr>
              <w:t>Demand Side Energy Efficiency Increased</w:t>
            </w:r>
          </w:p>
        </w:tc>
        <w:tc>
          <w:tcPr>
            <w:tcW w:w="2126" w:type="dxa"/>
            <w:vMerge/>
            <w:tcBorders>
              <w:left w:val="single" w:sz="4" w:space="0" w:color="auto"/>
            </w:tcBorders>
            <w:shd w:val="clear" w:color="auto" w:fill="F2F2F2"/>
          </w:tcPr>
          <w:p w:rsidR="00C22933" w:rsidRDefault="00C22933">
            <w:pPr>
              <w:rPr>
                <w:rFonts w:ascii="Arial" w:eastAsia="SimSun" w:hAnsi="Arial" w:cs="Arial"/>
                <w:b/>
                <w:bCs/>
                <w:sz w:val="20"/>
                <w:szCs w:val="20"/>
              </w:rPr>
            </w:pPr>
          </w:p>
        </w:tc>
      </w:tr>
      <w:tr w:rsidR="00C22933" w:rsidTr="0001609C">
        <w:trPr>
          <w:trHeight w:val="230"/>
        </w:trPr>
        <w:tc>
          <w:tcPr>
            <w:tcW w:w="3539" w:type="dxa"/>
            <w:tcBorders>
              <w:top w:val="single" w:sz="4" w:space="0" w:color="auto"/>
              <w:left w:val="single" w:sz="4" w:space="0" w:color="auto"/>
              <w:bottom w:val="single" w:sz="4" w:space="0" w:color="auto"/>
              <w:right w:val="single" w:sz="4" w:space="0" w:color="auto"/>
            </w:tcBorders>
          </w:tcPr>
          <w:p w:rsidR="00C22933" w:rsidRDefault="005947AC">
            <w:pPr>
              <w:tabs>
                <w:tab w:val="left" w:pos="1327"/>
              </w:tabs>
              <w:ind w:left="420" w:hanging="420"/>
              <w:rPr>
                <w:rFonts w:ascii="Arial" w:eastAsia="SimSun" w:hAnsi="Arial" w:cs="Arial"/>
                <w:color w:val="FF0000"/>
                <w:sz w:val="20"/>
                <w:szCs w:val="20"/>
              </w:rPr>
            </w:pPr>
            <w:r>
              <w:rPr>
                <w:rFonts w:ascii="Arial" w:eastAsia="SimSun" w:hAnsi="Arial" w:cs="Arial"/>
                <w:sz w:val="20"/>
                <w:szCs w:val="20"/>
              </w:rPr>
              <w:t>1.11. Government approved an energy efficiency roadmap to reduce the energy demand across the economy covering the following: (</w:t>
            </w:r>
            <w:proofErr w:type="spellStart"/>
            <w:r>
              <w:rPr>
                <w:rFonts w:ascii="Arial" w:eastAsia="SimSun" w:hAnsi="Arial" w:cs="Arial"/>
                <w:sz w:val="20"/>
                <w:szCs w:val="20"/>
              </w:rPr>
              <w:t>i</w:t>
            </w:r>
            <w:proofErr w:type="spellEnd"/>
            <w:r>
              <w:rPr>
                <w:rFonts w:ascii="Arial" w:eastAsia="SimSun" w:hAnsi="Arial" w:cs="Arial"/>
                <w:sz w:val="20"/>
                <w:szCs w:val="20"/>
              </w:rPr>
              <w:t>) improving regulatory standards for energy efficiency, (ii) energy balance data management, (iii) energy savings targets by 2022 for high energy consuming enterprises.</w:t>
            </w:r>
          </w:p>
        </w:tc>
        <w:tc>
          <w:tcPr>
            <w:tcW w:w="3544" w:type="dxa"/>
            <w:tcBorders>
              <w:top w:val="single" w:sz="4" w:space="0" w:color="auto"/>
              <w:left w:val="single" w:sz="4" w:space="0" w:color="auto"/>
              <w:bottom w:val="single" w:sz="4" w:space="0" w:color="auto"/>
              <w:right w:val="single" w:sz="4" w:space="0" w:color="auto"/>
            </w:tcBorders>
          </w:tcPr>
          <w:p w:rsidR="00C22933" w:rsidRDefault="005947AC">
            <w:pPr>
              <w:ind w:left="428" w:hanging="428"/>
              <w:rPr>
                <w:rFonts w:ascii="Arial" w:eastAsia="SimSun" w:hAnsi="Arial" w:cs="Arial"/>
                <w:color w:val="FF0000"/>
                <w:sz w:val="20"/>
                <w:szCs w:val="20"/>
              </w:rPr>
            </w:pPr>
            <w:r>
              <w:rPr>
                <w:rFonts w:ascii="Arial" w:eastAsia="SimSun" w:hAnsi="Arial" w:cs="Arial"/>
                <w:sz w:val="20"/>
                <w:szCs w:val="20"/>
              </w:rPr>
              <w:t>2.17. Government passed Resolution on measures to accelerate the rational use of energy resources and introduction of modern energy-saving technologies.</w:t>
            </w:r>
          </w:p>
        </w:tc>
        <w:tc>
          <w:tcPr>
            <w:tcW w:w="2693" w:type="dxa"/>
            <w:tcBorders>
              <w:top w:val="single" w:sz="4" w:space="0" w:color="auto"/>
              <w:left w:val="single" w:sz="4" w:space="0" w:color="auto"/>
              <w:bottom w:val="single" w:sz="4" w:space="0" w:color="auto"/>
              <w:right w:val="single" w:sz="4" w:space="0" w:color="auto"/>
            </w:tcBorders>
          </w:tcPr>
          <w:p w:rsidR="00C22933" w:rsidRDefault="005947AC">
            <w:pPr>
              <w:spacing w:after="240"/>
              <w:rPr>
                <w:rFonts w:ascii="Arial" w:hAnsi="Arial" w:cs="Arial"/>
                <w:bCs/>
                <w:sz w:val="20"/>
                <w:szCs w:val="20"/>
                <w:u w:val="single"/>
              </w:rPr>
            </w:pPr>
            <w:r>
              <w:rPr>
                <w:rFonts w:ascii="Arial" w:hAnsi="Arial" w:cs="Arial"/>
                <w:bCs/>
                <w:sz w:val="20"/>
                <w:szCs w:val="20"/>
                <w:u w:val="single"/>
              </w:rPr>
              <w:t>Objective:</w:t>
            </w:r>
            <w:r>
              <w:rPr>
                <w:rFonts w:ascii="Arial" w:hAnsi="Arial" w:cs="Arial"/>
                <w:bCs/>
                <w:sz w:val="20"/>
                <w:szCs w:val="20"/>
              </w:rPr>
              <w:t xml:space="preserve"> Energy efficiency requirements for domestic industries are adopted and implemented</w:t>
            </w:r>
          </w:p>
          <w:p w:rsidR="00C22933" w:rsidRDefault="005947AC">
            <w:pPr>
              <w:spacing w:after="240"/>
              <w:jc w:val="both"/>
              <w:rPr>
                <w:rFonts w:ascii="Arial" w:hAnsi="Arial" w:cs="Arial"/>
                <w:bCs/>
                <w:sz w:val="20"/>
                <w:szCs w:val="20"/>
                <w:u w:val="single"/>
              </w:rPr>
            </w:pPr>
            <w:r>
              <w:rPr>
                <w:rFonts w:ascii="Arial" w:hAnsi="Arial" w:cs="Arial"/>
                <w:bCs/>
                <w:sz w:val="20"/>
                <w:szCs w:val="20"/>
                <w:u w:val="single"/>
              </w:rPr>
              <w:t>Follow-</w:t>
            </w:r>
            <w:r w:rsidR="003B004C">
              <w:rPr>
                <w:rFonts w:ascii="Arial" w:hAnsi="Arial" w:cs="Arial"/>
                <w:bCs/>
                <w:sz w:val="20"/>
                <w:szCs w:val="20"/>
                <w:u w:val="single"/>
              </w:rPr>
              <w:t>up:</w:t>
            </w:r>
          </w:p>
          <w:p w:rsidR="00C22933" w:rsidRDefault="005947AC">
            <w:pPr>
              <w:spacing w:after="240"/>
              <w:jc w:val="both"/>
              <w:rPr>
                <w:rFonts w:ascii="Arial" w:hAnsi="Arial" w:cs="Arial"/>
                <w:bCs/>
                <w:sz w:val="20"/>
                <w:szCs w:val="20"/>
              </w:rPr>
            </w:pPr>
            <w:r>
              <w:rPr>
                <w:rFonts w:ascii="Arial" w:hAnsi="Arial" w:cs="Arial"/>
                <w:bCs/>
                <w:sz w:val="20"/>
                <w:szCs w:val="20"/>
              </w:rPr>
              <w:t>-Status of roadmap for implementation of energy efficiency requirements in industry.</w:t>
            </w:r>
          </w:p>
          <w:p w:rsidR="00C22933" w:rsidRDefault="005947AC">
            <w:pPr>
              <w:rPr>
                <w:rFonts w:ascii="Arial" w:eastAsia="SimSun" w:hAnsi="Arial" w:cs="Arial"/>
                <w:color w:val="FF0000"/>
                <w:sz w:val="20"/>
                <w:szCs w:val="20"/>
              </w:rPr>
            </w:pPr>
            <w:r>
              <w:rPr>
                <w:rFonts w:ascii="Arial" w:hAnsi="Arial" w:cs="Arial"/>
                <w:sz w:val="20"/>
              </w:rPr>
              <w:lastRenderedPageBreak/>
              <w:t>-Status of decree on the energy audit on the industrial company.</w:t>
            </w:r>
          </w:p>
        </w:tc>
        <w:tc>
          <w:tcPr>
            <w:tcW w:w="2268" w:type="dxa"/>
            <w:vMerge w:val="restart"/>
            <w:tcBorders>
              <w:top w:val="single" w:sz="4" w:space="0" w:color="auto"/>
              <w:left w:val="single" w:sz="4" w:space="0" w:color="auto"/>
              <w:bottom w:val="single" w:sz="4" w:space="0" w:color="auto"/>
              <w:right w:val="single" w:sz="4" w:space="0" w:color="auto"/>
            </w:tcBorders>
          </w:tcPr>
          <w:p w:rsidR="00C22933" w:rsidRDefault="00C22933">
            <w:pPr>
              <w:ind w:left="288"/>
              <w:rPr>
                <w:rFonts w:ascii="Arial" w:eastAsia="SimSun" w:hAnsi="Arial" w:cs="Arial"/>
                <w:color w:val="FF0000"/>
                <w:sz w:val="20"/>
                <w:szCs w:val="20"/>
              </w:rPr>
            </w:pPr>
          </w:p>
        </w:tc>
        <w:tc>
          <w:tcPr>
            <w:tcW w:w="2126" w:type="dxa"/>
            <w:vMerge/>
            <w:tcBorders>
              <w:left w:val="single" w:sz="4" w:space="0" w:color="auto"/>
            </w:tcBorders>
          </w:tcPr>
          <w:p w:rsidR="00C22933" w:rsidRDefault="00C22933">
            <w:pPr>
              <w:ind w:left="288"/>
              <w:rPr>
                <w:rFonts w:ascii="Arial" w:eastAsia="SimSun" w:hAnsi="Arial" w:cs="Arial"/>
                <w:color w:val="FF0000"/>
                <w:sz w:val="20"/>
                <w:szCs w:val="20"/>
              </w:rPr>
            </w:pPr>
          </w:p>
        </w:tc>
      </w:tr>
      <w:tr w:rsidR="00C22933">
        <w:tc>
          <w:tcPr>
            <w:tcW w:w="3539" w:type="dxa"/>
            <w:tcBorders>
              <w:top w:val="single" w:sz="4" w:space="0" w:color="auto"/>
              <w:left w:val="single" w:sz="4" w:space="0" w:color="auto"/>
              <w:bottom w:val="single" w:sz="4" w:space="0" w:color="auto"/>
              <w:right w:val="single" w:sz="4" w:space="0" w:color="auto"/>
            </w:tcBorders>
          </w:tcPr>
          <w:p w:rsidR="00C22933" w:rsidRDefault="005947AC">
            <w:pPr>
              <w:tabs>
                <w:tab w:val="left" w:pos="1327"/>
              </w:tabs>
              <w:ind w:left="420" w:hanging="420"/>
              <w:rPr>
                <w:rFonts w:ascii="Arial" w:eastAsia="SimSun" w:hAnsi="Arial" w:cs="Arial"/>
                <w:color w:val="FF0000"/>
                <w:sz w:val="20"/>
                <w:szCs w:val="20"/>
              </w:rPr>
            </w:pPr>
            <w:r>
              <w:rPr>
                <w:rFonts w:ascii="Arial" w:eastAsia="SimSun" w:hAnsi="Arial" w:cs="Arial"/>
                <w:sz w:val="20"/>
                <w:szCs w:val="20"/>
              </w:rPr>
              <w:lastRenderedPageBreak/>
              <w:t>1.12. To reduce power consumption for space heating in urban areas and to improve the efficiency of heat networks, the government approved an action plan for the improvement of energy efficiency in the heat supply system for Tashkent city, covering the following: (</w:t>
            </w:r>
            <w:proofErr w:type="spellStart"/>
            <w:r>
              <w:rPr>
                <w:rFonts w:ascii="Arial" w:eastAsia="SimSun" w:hAnsi="Arial" w:cs="Arial"/>
                <w:sz w:val="20"/>
                <w:szCs w:val="20"/>
              </w:rPr>
              <w:t>i</w:t>
            </w:r>
            <w:proofErr w:type="spellEnd"/>
            <w:r>
              <w:rPr>
                <w:rFonts w:ascii="Arial" w:eastAsia="SimSun" w:hAnsi="Arial" w:cs="Arial"/>
                <w:sz w:val="20"/>
                <w:szCs w:val="20"/>
              </w:rPr>
              <w:t>) introduction of billing and advanced metering system for individual households; (ii) conducting energy audit on heat supply system; and (iii) exploring the suitability of the PPP modality.</w:t>
            </w:r>
          </w:p>
        </w:tc>
        <w:tc>
          <w:tcPr>
            <w:tcW w:w="3544" w:type="dxa"/>
            <w:tcBorders>
              <w:top w:val="single" w:sz="4" w:space="0" w:color="auto"/>
              <w:left w:val="single" w:sz="4" w:space="0" w:color="auto"/>
              <w:bottom w:val="single" w:sz="4" w:space="0" w:color="auto"/>
              <w:right w:val="single" w:sz="4" w:space="0" w:color="auto"/>
            </w:tcBorders>
          </w:tcPr>
          <w:p w:rsidR="00C22933" w:rsidRDefault="00C22933">
            <w:pPr>
              <w:ind w:left="510"/>
              <w:rPr>
                <w:rFonts w:ascii="Arial" w:eastAsia="SimSun" w:hAnsi="Arial" w:cs="Arial"/>
                <w:color w:val="FF0000"/>
                <w:sz w:val="20"/>
                <w:szCs w:val="20"/>
              </w:rPr>
            </w:pPr>
          </w:p>
        </w:tc>
        <w:tc>
          <w:tcPr>
            <w:tcW w:w="2693" w:type="dxa"/>
          </w:tcPr>
          <w:p w:rsidR="00C22933" w:rsidRDefault="005947AC">
            <w:pPr>
              <w:pStyle w:val="Corpsdetexte"/>
              <w:jc w:val="left"/>
              <w:rPr>
                <w:rFonts w:ascii="Arial" w:hAnsi="Arial"/>
                <w:sz w:val="20"/>
                <w:u w:val="single"/>
                <w:lang w:val="en-US"/>
              </w:rPr>
            </w:pPr>
            <w:r>
              <w:rPr>
                <w:rFonts w:ascii="Arial" w:hAnsi="Arial"/>
                <w:sz w:val="20"/>
                <w:u w:val="single"/>
                <w:lang w:val="en-US"/>
              </w:rPr>
              <w:t xml:space="preserve">Objective: </w:t>
            </w:r>
            <w:r>
              <w:rPr>
                <w:rFonts w:ascii="Arial" w:hAnsi="Arial"/>
                <w:sz w:val="20"/>
                <w:lang w:val="en-US"/>
              </w:rPr>
              <w:t>Develop ambitious plan and roadmap for energy efficiency in district heating</w:t>
            </w:r>
          </w:p>
          <w:p w:rsidR="00C22933" w:rsidRDefault="005947AC">
            <w:pPr>
              <w:pStyle w:val="Corpsdetexte"/>
              <w:rPr>
                <w:rFonts w:ascii="Arial" w:hAnsi="Arial"/>
                <w:sz w:val="20"/>
                <w:u w:val="single"/>
                <w:lang w:val="en-US"/>
              </w:rPr>
            </w:pPr>
            <w:r>
              <w:rPr>
                <w:rFonts w:ascii="Arial" w:hAnsi="Arial"/>
                <w:sz w:val="20"/>
                <w:u w:val="single"/>
                <w:lang w:val="en-US"/>
              </w:rPr>
              <w:t>Follow-</w:t>
            </w:r>
            <w:proofErr w:type="gramStart"/>
            <w:r>
              <w:rPr>
                <w:rFonts w:ascii="Arial" w:hAnsi="Arial"/>
                <w:sz w:val="20"/>
                <w:u w:val="single"/>
                <w:lang w:val="en-US"/>
              </w:rPr>
              <w:t>up :</w:t>
            </w:r>
            <w:proofErr w:type="gramEnd"/>
          </w:p>
          <w:p w:rsidR="00C22933" w:rsidRDefault="005947AC">
            <w:pPr>
              <w:pStyle w:val="Corpsdetexte"/>
              <w:rPr>
                <w:rFonts w:ascii="Arial" w:hAnsi="Arial"/>
                <w:sz w:val="20"/>
                <w:lang w:val="en-US"/>
              </w:rPr>
            </w:pPr>
            <w:r>
              <w:rPr>
                <w:rFonts w:ascii="Arial" w:hAnsi="Arial"/>
                <w:sz w:val="20"/>
                <w:lang w:val="en-US"/>
              </w:rPr>
              <w:t>-Status of Program on the development of District Heating System</w:t>
            </w:r>
          </w:p>
          <w:p w:rsidR="00C22933" w:rsidRDefault="005947AC">
            <w:pPr>
              <w:jc w:val="both"/>
              <w:rPr>
                <w:rFonts w:ascii="Arial" w:eastAsia="SimSun" w:hAnsi="Arial" w:cs="Arial"/>
                <w:color w:val="FF0000"/>
                <w:sz w:val="20"/>
                <w:szCs w:val="20"/>
              </w:rPr>
            </w:pPr>
            <w:r>
              <w:rPr>
                <w:rFonts w:ascii="Arial" w:hAnsi="Arial" w:cs="Arial"/>
                <w:sz w:val="20"/>
              </w:rPr>
              <w:t>-Status of setting energy efficiency targets for main cities urban network.</w:t>
            </w:r>
          </w:p>
        </w:tc>
        <w:tc>
          <w:tcPr>
            <w:tcW w:w="2268" w:type="dxa"/>
            <w:vMerge/>
          </w:tcPr>
          <w:p w:rsidR="00C22933" w:rsidRDefault="00C22933">
            <w:pPr>
              <w:numPr>
                <w:ilvl w:val="0"/>
                <w:numId w:val="7"/>
              </w:numPr>
              <w:jc w:val="both"/>
              <w:rPr>
                <w:rFonts w:ascii="Arial" w:eastAsia="SimSun" w:hAnsi="Arial" w:cs="Arial"/>
                <w:color w:val="FF0000"/>
                <w:sz w:val="20"/>
                <w:szCs w:val="20"/>
              </w:rPr>
            </w:pPr>
          </w:p>
        </w:tc>
        <w:tc>
          <w:tcPr>
            <w:tcW w:w="2126" w:type="dxa"/>
            <w:vMerge/>
            <w:tcBorders>
              <w:left w:val="single" w:sz="4" w:space="0" w:color="auto"/>
              <w:bottom w:val="single" w:sz="4" w:space="0" w:color="auto"/>
            </w:tcBorders>
          </w:tcPr>
          <w:p w:rsidR="00C22933" w:rsidRDefault="00C22933">
            <w:pPr>
              <w:ind w:left="288"/>
              <w:rPr>
                <w:rFonts w:ascii="Arial" w:eastAsia="SimSun" w:hAnsi="Arial" w:cs="Arial"/>
                <w:color w:val="FF0000"/>
                <w:sz w:val="20"/>
                <w:szCs w:val="20"/>
              </w:rPr>
            </w:pPr>
          </w:p>
        </w:tc>
      </w:tr>
    </w:tbl>
    <w:p w:rsidR="00C22933" w:rsidRDefault="005947AC">
      <w:pPr>
        <w:jc w:val="both"/>
        <w:rPr>
          <w:rFonts w:ascii="Arial" w:eastAsia="SimSun" w:hAnsi="Arial"/>
          <w:color w:val="000000"/>
          <w:sz w:val="2"/>
          <w:szCs w:val="2"/>
        </w:rPr>
      </w:pPr>
      <w:r>
        <w:rPr>
          <w:rFonts w:ascii="Arial" w:eastAsia="SimSun" w:hAnsi="Arial"/>
          <w:color w:val="000000"/>
          <w:sz w:val="2"/>
          <w:szCs w:val="2"/>
        </w:rPr>
        <w:br w:type="textWrapping" w:clear="all"/>
      </w:r>
    </w:p>
    <w:tbl>
      <w:tblPr>
        <w:tblW w:w="14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bottom w:w="14" w:type="dxa"/>
        </w:tblCellMar>
        <w:tblLook w:val="04A0" w:firstRow="1" w:lastRow="0" w:firstColumn="1" w:lastColumn="0" w:noHBand="0" w:noVBand="1"/>
      </w:tblPr>
      <w:tblGrid>
        <w:gridCol w:w="14130"/>
      </w:tblGrid>
      <w:tr w:rsidR="00C22933">
        <w:trPr>
          <w:jc w:val="center"/>
        </w:trPr>
        <w:tc>
          <w:tcPr>
            <w:tcW w:w="14130" w:type="dxa"/>
          </w:tcPr>
          <w:p w:rsidR="00C22933" w:rsidRDefault="005947AC">
            <w:pPr>
              <w:rPr>
                <w:rFonts w:ascii="Arial" w:eastAsia="SimSun" w:hAnsi="Arial" w:cs="Arial"/>
                <w:b/>
                <w:color w:val="000000"/>
                <w:sz w:val="20"/>
                <w:szCs w:val="20"/>
              </w:rPr>
            </w:pPr>
            <w:r>
              <w:rPr>
                <w:rFonts w:ascii="Arial" w:eastAsia="SimSun" w:hAnsi="Arial" w:cs="Arial"/>
                <w:b/>
                <w:color w:val="000000"/>
                <w:sz w:val="20"/>
                <w:szCs w:val="20"/>
              </w:rPr>
              <w:t>Budget Support</w:t>
            </w:r>
          </w:p>
          <w:p w:rsidR="00C22933" w:rsidRDefault="005947AC">
            <w:pPr>
              <w:rPr>
                <w:rFonts w:ascii="Arial" w:eastAsia="MS Mincho" w:hAnsi="Arial" w:cs="Arial"/>
                <w:color w:val="FF0000"/>
                <w:sz w:val="20"/>
                <w:szCs w:val="20"/>
                <w:lang w:eastAsia="ja-JP"/>
              </w:rPr>
            </w:pPr>
            <w:r>
              <w:rPr>
                <w:rFonts w:ascii="Arial" w:eastAsia="SimSun" w:hAnsi="Arial" w:cs="Arial"/>
                <w:b/>
                <w:color w:val="000000"/>
                <w:sz w:val="20"/>
                <w:szCs w:val="20"/>
              </w:rPr>
              <w:t>Subprogram 1:</w:t>
            </w:r>
          </w:p>
          <w:p w:rsidR="00C22933" w:rsidRDefault="005947AC">
            <w:pPr>
              <w:rPr>
                <w:rFonts w:ascii="Arial" w:eastAsia="MS PGothic" w:hAnsi="Arial" w:cs="Arial"/>
                <w:color w:val="000000"/>
                <w:sz w:val="20"/>
                <w:szCs w:val="20"/>
              </w:rPr>
            </w:pPr>
            <w:r>
              <w:rPr>
                <w:rFonts w:ascii="Arial" w:eastAsia="MS PGothic" w:hAnsi="Arial" w:cs="Arial"/>
                <w:color w:val="000000"/>
                <w:sz w:val="20"/>
                <w:szCs w:val="20"/>
              </w:rPr>
              <w:t>ADB: $</w:t>
            </w:r>
            <w:r>
              <w:rPr>
                <w:rFonts w:ascii="Arial" w:eastAsia="MS PGothic" w:hAnsi="Arial" w:cs="Arial"/>
                <w:sz w:val="20"/>
                <w:szCs w:val="20"/>
              </w:rPr>
              <w:t>200 million (regular OCR loan)</w:t>
            </w:r>
          </w:p>
          <w:p w:rsidR="00C22933" w:rsidRDefault="005947AC">
            <w:pPr>
              <w:rPr>
                <w:rFonts w:ascii="Arial" w:eastAsia="MS PGothic" w:hAnsi="Arial" w:cs="Arial"/>
                <w:color w:val="000000"/>
                <w:sz w:val="20"/>
                <w:szCs w:val="20"/>
              </w:rPr>
            </w:pPr>
            <w:r>
              <w:rPr>
                <w:rFonts w:ascii="Arial" w:eastAsia="MS PGothic" w:hAnsi="Arial" w:cs="Arial"/>
                <w:color w:val="000000"/>
                <w:sz w:val="20"/>
                <w:szCs w:val="20"/>
              </w:rPr>
              <w:t>AFD: EURO 150 million (loan)</w:t>
            </w:r>
          </w:p>
          <w:p w:rsidR="00C22933" w:rsidRDefault="00C22933">
            <w:pPr>
              <w:rPr>
                <w:rFonts w:ascii="Arial" w:eastAsia="MS PGothic" w:hAnsi="Arial" w:cs="Arial"/>
                <w:color w:val="000000"/>
                <w:sz w:val="20"/>
                <w:szCs w:val="20"/>
              </w:rPr>
            </w:pPr>
          </w:p>
          <w:p w:rsidR="00C22933" w:rsidRDefault="005947AC">
            <w:pPr>
              <w:rPr>
                <w:rFonts w:ascii="Arial" w:eastAsia="MS PGothic" w:hAnsi="Arial" w:cs="Arial"/>
                <w:b/>
                <w:bCs/>
                <w:sz w:val="20"/>
                <w:szCs w:val="20"/>
              </w:rPr>
            </w:pPr>
            <w:r>
              <w:rPr>
                <w:rFonts w:ascii="Arial" w:eastAsia="MS PGothic" w:hAnsi="Arial" w:cs="Arial"/>
                <w:b/>
                <w:bCs/>
                <w:sz w:val="20"/>
                <w:szCs w:val="20"/>
              </w:rPr>
              <w:t>Subprogram 2:</w:t>
            </w:r>
          </w:p>
          <w:p w:rsidR="00C22933" w:rsidRDefault="005947AC">
            <w:pPr>
              <w:rPr>
                <w:rFonts w:ascii="Arial" w:eastAsia="MS PGothic" w:hAnsi="Arial" w:cs="Arial"/>
                <w:color w:val="000000"/>
                <w:sz w:val="20"/>
                <w:szCs w:val="20"/>
              </w:rPr>
            </w:pPr>
            <w:r>
              <w:rPr>
                <w:rFonts w:ascii="Arial" w:eastAsia="MS PGothic" w:hAnsi="Arial" w:cs="Arial"/>
                <w:color w:val="000000"/>
                <w:sz w:val="20"/>
                <w:szCs w:val="20"/>
              </w:rPr>
              <w:t>ADB: $300 million (regular OCR loan)</w:t>
            </w:r>
          </w:p>
          <w:p w:rsidR="00C22933" w:rsidRDefault="005947AC">
            <w:pPr>
              <w:rPr>
                <w:rFonts w:ascii="Arial" w:eastAsia="MS PGothic" w:hAnsi="Arial" w:cs="Arial"/>
                <w:color w:val="000000"/>
                <w:sz w:val="20"/>
                <w:szCs w:val="20"/>
              </w:rPr>
            </w:pPr>
            <w:r>
              <w:rPr>
                <w:rFonts w:ascii="Arial" w:eastAsia="MS PGothic" w:hAnsi="Arial" w:cs="Arial"/>
                <w:color w:val="000000"/>
                <w:sz w:val="20"/>
                <w:szCs w:val="20"/>
              </w:rPr>
              <w:t>AFD: EURO 100 million (loan)</w:t>
            </w:r>
          </w:p>
          <w:p w:rsidR="00C22933" w:rsidRDefault="00C22933">
            <w:pPr>
              <w:rPr>
                <w:rFonts w:ascii="Arial" w:eastAsia="SimSun" w:hAnsi="Arial" w:cs="Arial"/>
                <w:color w:val="000000"/>
                <w:sz w:val="20"/>
                <w:szCs w:val="20"/>
              </w:rPr>
            </w:pPr>
          </w:p>
        </w:tc>
      </w:tr>
    </w:tbl>
    <w:p w:rsidR="00C22933" w:rsidRDefault="005947AC">
      <w:pPr>
        <w:jc w:val="both"/>
        <w:rPr>
          <w:rFonts w:ascii="Arial" w:eastAsia="SimSun" w:hAnsi="Arial"/>
          <w:color w:val="000000"/>
          <w:sz w:val="18"/>
          <w:szCs w:val="18"/>
        </w:rPr>
      </w:pPr>
      <w:r>
        <w:rPr>
          <w:rFonts w:ascii="Arial" w:eastAsia="SimSun" w:hAnsi="Arial"/>
          <w:color w:val="000000"/>
          <w:sz w:val="18"/>
          <w:szCs w:val="18"/>
        </w:rPr>
        <w:t xml:space="preserve">A = assumption, ADB = Asian Development Bank, AFD = </w:t>
      </w:r>
      <w:proofErr w:type="spellStart"/>
      <w:r>
        <w:rPr>
          <w:rFonts w:ascii="Arial" w:eastAsia="SimSun" w:hAnsi="Arial"/>
          <w:color w:val="000000"/>
          <w:sz w:val="18"/>
          <w:szCs w:val="18"/>
        </w:rPr>
        <w:t>Agence</w:t>
      </w:r>
      <w:proofErr w:type="spellEnd"/>
      <w:r>
        <w:rPr>
          <w:rFonts w:ascii="Arial" w:eastAsia="SimSun" w:hAnsi="Arial"/>
          <w:color w:val="000000"/>
          <w:sz w:val="18"/>
          <w:szCs w:val="18"/>
        </w:rPr>
        <w:t xml:space="preserve"> </w:t>
      </w:r>
      <w:proofErr w:type="spellStart"/>
      <w:r>
        <w:rPr>
          <w:rFonts w:ascii="Arial" w:eastAsia="SimSun" w:hAnsi="Arial"/>
          <w:color w:val="000000"/>
          <w:sz w:val="18"/>
          <w:szCs w:val="18"/>
        </w:rPr>
        <w:t>Francaise</w:t>
      </w:r>
      <w:proofErr w:type="spellEnd"/>
      <w:r>
        <w:rPr>
          <w:rFonts w:ascii="Arial" w:eastAsia="SimSun" w:hAnsi="Arial"/>
          <w:color w:val="000000"/>
          <w:sz w:val="18"/>
          <w:szCs w:val="18"/>
        </w:rPr>
        <w:t xml:space="preserve"> de </w:t>
      </w:r>
      <w:proofErr w:type="spellStart"/>
      <w:r>
        <w:rPr>
          <w:rFonts w:ascii="Arial" w:eastAsia="SimSun" w:hAnsi="Arial"/>
          <w:color w:val="000000"/>
          <w:sz w:val="18"/>
          <w:szCs w:val="18"/>
        </w:rPr>
        <w:t>Developpement</w:t>
      </w:r>
      <w:proofErr w:type="spellEnd"/>
      <w:r>
        <w:rPr>
          <w:rFonts w:ascii="Arial" w:eastAsia="SimSun" w:hAnsi="Arial"/>
          <w:color w:val="000000"/>
          <w:sz w:val="18"/>
          <w:szCs w:val="18"/>
        </w:rPr>
        <w:t>, G = gigawatt, GHG = greenhouse gas, JSC = Joint Stock Company, MOE = Ministry of Economy, NDC = national determined contributions, NEGU = National Electric Grid of Uzbekistan, OCR = ordinary capital resources, PPP = public-private partnership, R = risk, RE = renewable energy, REPN = Regional Electrical Power Networks, SCADA = supervisory control and data acquisition, TPP = Thermal Power Plants.</w:t>
      </w:r>
    </w:p>
    <w:p w:rsidR="00C22933" w:rsidRDefault="005947AC">
      <w:pPr>
        <w:ind w:left="180" w:hanging="180"/>
        <w:jc w:val="both"/>
        <w:rPr>
          <w:rFonts w:ascii="Arial" w:eastAsia="MS PGothic" w:hAnsi="Arial" w:cs="Arial"/>
          <w:sz w:val="18"/>
          <w:szCs w:val="18"/>
        </w:rPr>
      </w:pPr>
      <w:bookmarkStart w:id="16" w:name="_Hlk167364325"/>
      <w:r>
        <w:rPr>
          <w:rFonts w:ascii="Arial" w:eastAsia="MS PGothic" w:hAnsi="Arial" w:cs="Arial"/>
          <w:sz w:val="18"/>
          <w:szCs w:val="18"/>
          <w:vertAlign w:val="superscript"/>
        </w:rPr>
        <w:t>a</w:t>
      </w:r>
      <w:r>
        <w:rPr>
          <w:rFonts w:ascii="Arial" w:eastAsia="MS PGothic" w:hAnsi="Arial" w:cs="Arial"/>
          <w:sz w:val="18"/>
          <w:szCs w:val="18"/>
        </w:rPr>
        <w:tab/>
        <w:t xml:space="preserve">Government of Uzbekistan. 2019. Presidential Decree No. 4249: </w:t>
      </w:r>
      <w:r>
        <w:rPr>
          <w:rFonts w:ascii="Arial" w:eastAsia="MS PGothic" w:hAnsi="Arial" w:cs="Arial"/>
          <w:i/>
          <w:iCs/>
          <w:sz w:val="18"/>
          <w:szCs w:val="18"/>
        </w:rPr>
        <w:t>On the Strategy for Further Development and Reform of the Electric Power Industry of the Republic of Uzbekistan</w:t>
      </w:r>
      <w:r>
        <w:rPr>
          <w:rFonts w:ascii="Arial" w:eastAsia="MS PGothic" w:hAnsi="Arial" w:cs="Arial"/>
          <w:sz w:val="18"/>
          <w:szCs w:val="18"/>
        </w:rPr>
        <w:t>. Tashkent.</w:t>
      </w:r>
      <w:bookmarkEnd w:id="16"/>
    </w:p>
    <w:p w:rsidR="00C22933" w:rsidRDefault="005947AC">
      <w:pPr>
        <w:ind w:left="180" w:hanging="180"/>
        <w:jc w:val="both"/>
        <w:rPr>
          <w:rFonts w:ascii="Arial" w:eastAsia="MS PGothic" w:hAnsi="Arial" w:cs="Arial"/>
          <w:sz w:val="18"/>
          <w:szCs w:val="18"/>
        </w:rPr>
      </w:pPr>
      <w:r>
        <w:rPr>
          <w:rFonts w:ascii="Arial" w:eastAsia="MS PGothic" w:hAnsi="Arial" w:cs="Arial"/>
          <w:sz w:val="18"/>
          <w:szCs w:val="18"/>
          <w:vertAlign w:val="superscript"/>
        </w:rPr>
        <w:t>b</w:t>
      </w:r>
      <w:r>
        <w:rPr>
          <w:rFonts w:ascii="Arial" w:eastAsia="MS PGothic" w:hAnsi="Arial" w:cs="Arial"/>
          <w:sz w:val="18"/>
          <w:szCs w:val="18"/>
        </w:rPr>
        <w:tab/>
      </w:r>
      <w:proofErr w:type="gramStart"/>
      <w:r>
        <w:rPr>
          <w:rFonts w:ascii="Arial" w:eastAsia="MS PGothic" w:hAnsi="Arial" w:cs="Arial"/>
          <w:sz w:val="18"/>
          <w:szCs w:val="18"/>
        </w:rPr>
        <w:t>As</w:t>
      </w:r>
      <w:proofErr w:type="gramEnd"/>
      <w:r>
        <w:rPr>
          <w:rFonts w:ascii="Arial" w:eastAsia="MS PGothic" w:hAnsi="Arial" w:cs="Arial"/>
          <w:sz w:val="18"/>
          <w:szCs w:val="18"/>
        </w:rPr>
        <w:t xml:space="preserve"> of December 2023, 8%.</w:t>
      </w:r>
    </w:p>
    <w:p w:rsidR="00C22933" w:rsidRDefault="005947AC">
      <w:pPr>
        <w:ind w:left="180" w:hanging="180"/>
        <w:jc w:val="both"/>
        <w:rPr>
          <w:rFonts w:ascii="Arial" w:eastAsia="MS PGothic" w:hAnsi="Arial" w:cs="Arial"/>
          <w:sz w:val="18"/>
          <w:szCs w:val="18"/>
        </w:rPr>
      </w:pPr>
      <w:r>
        <w:rPr>
          <w:rFonts w:ascii="Arial" w:eastAsia="MS PGothic" w:hAnsi="Arial" w:cs="Arial"/>
          <w:sz w:val="18"/>
          <w:szCs w:val="18"/>
          <w:vertAlign w:val="superscript"/>
        </w:rPr>
        <w:t>c</w:t>
      </w:r>
      <w:r>
        <w:rPr>
          <w:rFonts w:ascii="Arial" w:eastAsia="MS PGothic" w:hAnsi="Arial" w:cs="Arial"/>
          <w:sz w:val="18"/>
          <w:szCs w:val="18"/>
        </w:rPr>
        <w:tab/>
      </w:r>
      <w:proofErr w:type="gramStart"/>
      <w:r>
        <w:rPr>
          <w:rFonts w:ascii="Arial" w:eastAsia="MS PGothic" w:hAnsi="Arial" w:cs="Arial"/>
          <w:sz w:val="18"/>
          <w:szCs w:val="18"/>
        </w:rPr>
        <w:t>In</w:t>
      </w:r>
      <w:proofErr w:type="gramEnd"/>
      <w:r>
        <w:rPr>
          <w:rFonts w:ascii="Arial" w:eastAsia="MS PGothic" w:hAnsi="Arial" w:cs="Arial"/>
          <w:sz w:val="18"/>
          <w:szCs w:val="18"/>
        </w:rPr>
        <w:t xml:space="preserve"> December 2023, the government appointed the first head of the regulatory body and, in January 2024, approved the measures to organize activities for developing and regulating the electricity market through Presidential Resolution 28.</w:t>
      </w:r>
      <w:r>
        <w:rPr>
          <w:rFonts w:ascii="Arial" w:eastAsia="SimSun" w:hAnsi="Arial" w:cs="Arial"/>
          <w:color w:val="000000"/>
        </w:rPr>
        <w:t xml:space="preserve"> </w:t>
      </w:r>
      <w:r>
        <w:rPr>
          <w:rFonts w:ascii="Arial" w:eastAsia="MS PGothic" w:hAnsi="Arial" w:cs="Arial"/>
          <w:sz w:val="18"/>
          <w:szCs w:val="18"/>
        </w:rPr>
        <w:t>In April 2024, the government, through Cabinet of Minister’s Resolution 252, approved the Charter of the Regulator, defining the key roles and responsibilities of the regulator as an independent body.</w:t>
      </w:r>
    </w:p>
    <w:p w:rsidR="00C22933" w:rsidRDefault="005947AC">
      <w:pPr>
        <w:ind w:left="180" w:hanging="180"/>
        <w:jc w:val="both"/>
        <w:rPr>
          <w:rFonts w:ascii="Arial" w:eastAsia="MS PGothic" w:hAnsi="Arial" w:cs="Arial"/>
          <w:sz w:val="18"/>
          <w:szCs w:val="18"/>
        </w:rPr>
      </w:pPr>
      <w:proofErr w:type="gramStart"/>
      <w:r>
        <w:rPr>
          <w:rFonts w:ascii="Arial" w:eastAsia="MS PGothic" w:hAnsi="Arial" w:cs="Arial"/>
          <w:sz w:val="18"/>
          <w:szCs w:val="18"/>
          <w:vertAlign w:val="superscript"/>
        </w:rPr>
        <w:t>d</w:t>
      </w:r>
      <w:r>
        <w:rPr>
          <w:rFonts w:ascii="Arial" w:eastAsia="MS PGothic" w:hAnsi="Arial" w:cs="Arial"/>
          <w:sz w:val="18"/>
          <w:szCs w:val="18"/>
        </w:rPr>
        <w:t xml:space="preserve">  As</w:t>
      </w:r>
      <w:proofErr w:type="gramEnd"/>
      <w:r>
        <w:rPr>
          <w:rFonts w:ascii="Arial" w:eastAsia="MS PGothic" w:hAnsi="Arial" w:cs="Arial"/>
          <w:sz w:val="18"/>
          <w:szCs w:val="18"/>
        </w:rPr>
        <w:t xml:space="preserve"> of December 2022,</w:t>
      </w:r>
      <w:r>
        <w:rPr>
          <w:rFonts w:ascii="Arial" w:eastAsia="Arial" w:hAnsi="Arial" w:cs="Arial"/>
          <w:sz w:val="20"/>
          <w:szCs w:val="20"/>
        </w:rPr>
        <w:t xml:space="preserve"> </w:t>
      </w:r>
      <w:r>
        <w:rPr>
          <w:rFonts w:ascii="Arial" w:eastAsia="MS PGothic" w:hAnsi="Arial" w:cs="Arial"/>
          <w:sz w:val="18"/>
          <w:szCs w:val="18"/>
        </w:rPr>
        <w:t>0.96 JSC REPN, 0.92 JSC NEGU, and 1.06 for JSC TPP</w:t>
      </w:r>
    </w:p>
    <w:p w:rsidR="00C22933" w:rsidRDefault="005947AC">
      <w:pPr>
        <w:ind w:left="180" w:hanging="180"/>
        <w:jc w:val="both"/>
        <w:rPr>
          <w:rFonts w:ascii="Arial" w:eastAsia="MS PGothic" w:hAnsi="Arial" w:cs="Arial"/>
          <w:sz w:val="18"/>
          <w:szCs w:val="18"/>
        </w:rPr>
      </w:pPr>
      <w:r>
        <w:rPr>
          <w:rFonts w:ascii="Arial" w:eastAsia="MS PGothic" w:hAnsi="Arial" w:cs="Arial"/>
          <w:sz w:val="18"/>
          <w:szCs w:val="18"/>
          <w:vertAlign w:val="superscript"/>
        </w:rPr>
        <w:t>e</w:t>
      </w:r>
      <w:r>
        <w:rPr>
          <w:rFonts w:ascii="Arial" w:eastAsia="MS PGothic" w:hAnsi="Arial" w:cs="Arial"/>
          <w:sz w:val="18"/>
          <w:szCs w:val="18"/>
        </w:rPr>
        <w:tab/>
      </w:r>
      <w:proofErr w:type="gramStart"/>
      <w:r>
        <w:rPr>
          <w:rFonts w:ascii="Arial" w:eastAsia="MS PGothic" w:hAnsi="Arial" w:cs="Arial"/>
          <w:sz w:val="18"/>
          <w:szCs w:val="18"/>
        </w:rPr>
        <w:t>As</w:t>
      </w:r>
      <w:proofErr w:type="gramEnd"/>
      <w:r>
        <w:rPr>
          <w:rFonts w:ascii="Arial" w:eastAsia="MS PGothic" w:hAnsi="Arial" w:cs="Arial"/>
          <w:sz w:val="18"/>
          <w:szCs w:val="18"/>
        </w:rPr>
        <w:t xml:space="preserve"> of December 2022, 97.8% for REPN</w:t>
      </w:r>
    </w:p>
    <w:p w:rsidR="00C22933" w:rsidRDefault="005947AC">
      <w:pPr>
        <w:ind w:left="180" w:hanging="180"/>
        <w:jc w:val="both"/>
        <w:rPr>
          <w:rFonts w:ascii="Arial" w:eastAsia="MS PGothic" w:hAnsi="Arial" w:cs="Arial"/>
          <w:sz w:val="18"/>
          <w:szCs w:val="18"/>
        </w:rPr>
      </w:pPr>
      <w:r>
        <w:rPr>
          <w:rFonts w:ascii="Arial" w:eastAsia="MS PGothic" w:hAnsi="Arial" w:cs="Arial"/>
          <w:sz w:val="18"/>
          <w:szCs w:val="18"/>
          <w:vertAlign w:val="superscript"/>
        </w:rPr>
        <w:t>f</w:t>
      </w:r>
      <w:r>
        <w:rPr>
          <w:rFonts w:ascii="Arial" w:eastAsia="MS PGothic" w:hAnsi="Arial" w:cs="Arial"/>
          <w:sz w:val="18"/>
          <w:szCs w:val="18"/>
        </w:rPr>
        <w:tab/>
      </w:r>
      <w:proofErr w:type="gramStart"/>
      <w:r>
        <w:rPr>
          <w:rFonts w:ascii="Arial" w:eastAsia="MS PGothic" w:hAnsi="Arial" w:cs="Arial"/>
          <w:sz w:val="18"/>
          <w:szCs w:val="18"/>
        </w:rPr>
        <w:t>To</w:t>
      </w:r>
      <w:proofErr w:type="gramEnd"/>
      <w:r>
        <w:rPr>
          <w:rFonts w:ascii="Arial" w:eastAsia="MS PGothic" w:hAnsi="Arial" w:cs="Arial"/>
          <w:sz w:val="18"/>
          <w:szCs w:val="18"/>
        </w:rPr>
        <w:t xml:space="preserve"> strengthen the relationship between policy reforms and expected outcome, subprogram 2 added one new outcome indicators to capture progress on improvement in energy mix. </w:t>
      </w:r>
    </w:p>
    <w:p w:rsidR="00C22933" w:rsidRDefault="005947AC">
      <w:pPr>
        <w:ind w:left="180" w:hanging="180"/>
        <w:jc w:val="both"/>
        <w:rPr>
          <w:rFonts w:ascii="Arial" w:eastAsia="MS PGothic" w:hAnsi="Arial" w:cs="Arial"/>
          <w:sz w:val="18"/>
          <w:szCs w:val="18"/>
        </w:rPr>
      </w:pPr>
      <w:r>
        <w:rPr>
          <w:rFonts w:ascii="Arial" w:eastAsia="MS PGothic" w:hAnsi="Arial" w:cs="Arial"/>
          <w:sz w:val="18"/>
          <w:szCs w:val="18"/>
          <w:vertAlign w:val="superscript"/>
        </w:rPr>
        <w:lastRenderedPageBreak/>
        <w:t>g</w:t>
      </w:r>
      <w:r>
        <w:rPr>
          <w:rFonts w:ascii="Arial" w:eastAsia="MS PGothic" w:hAnsi="Arial" w:cs="Arial"/>
          <w:sz w:val="18"/>
          <w:szCs w:val="18"/>
        </w:rPr>
        <w:t xml:space="preserve">   As of December 2023, 8.3% excluding hydropower</w:t>
      </w:r>
    </w:p>
    <w:p w:rsidR="00C22933" w:rsidRDefault="00C22933">
      <w:pPr>
        <w:ind w:left="180" w:hanging="180"/>
        <w:jc w:val="both"/>
        <w:rPr>
          <w:rFonts w:ascii="Arial" w:eastAsia="MS PGothic" w:hAnsi="Arial" w:cs="Arial"/>
          <w:sz w:val="18"/>
          <w:szCs w:val="18"/>
        </w:rPr>
      </w:pPr>
    </w:p>
    <w:p w:rsidR="00C22933" w:rsidRDefault="00C22933">
      <w:pPr>
        <w:rPr>
          <w:u w:val="single"/>
        </w:rPr>
      </w:pPr>
    </w:p>
    <w:p w:rsidR="00C22933" w:rsidRDefault="00C22933">
      <w:pPr>
        <w:rPr>
          <w:u w:val="single"/>
        </w:rPr>
        <w:sectPr w:rsidR="00C22933">
          <w:pgSz w:w="16840" w:h="11900" w:orient="landscape"/>
          <w:pgMar w:top="1134" w:right="1134" w:bottom="1120" w:left="680" w:header="1134" w:footer="680" w:gutter="0"/>
          <w:cols w:space="720"/>
        </w:sectPr>
      </w:pPr>
    </w:p>
    <w:p w:rsidR="00C22933" w:rsidRDefault="005947AC">
      <w:pPr>
        <w:keepNext/>
        <w:ind w:firstLine="720"/>
        <w:jc w:val="center"/>
        <w:outlineLvl w:val="0"/>
        <w:rPr>
          <w:rFonts w:ascii="Arial" w:eastAsia="SimSun" w:hAnsi="Arial" w:cs="Arial"/>
          <w:b/>
          <w:caps/>
          <w:color w:val="000000"/>
        </w:rPr>
      </w:pPr>
      <w:r>
        <w:rPr>
          <w:rFonts w:ascii="Arial" w:eastAsia="SimSun" w:hAnsi="Arial" w:cs="Arial"/>
          <w:b/>
          <w:caps/>
          <w:color w:val="000000"/>
        </w:rPr>
        <w:lastRenderedPageBreak/>
        <w:t>Annex 2: Methodological framework for the Activity n°3</w:t>
      </w:r>
    </w:p>
    <w:p w:rsidR="00C22933" w:rsidRDefault="005947AC">
      <w:pPr>
        <w:spacing w:before="120"/>
        <w:jc w:val="both"/>
        <w:rPr>
          <w:lang w:val="en-US"/>
        </w:rPr>
      </w:pPr>
      <w:r>
        <w:rPr>
          <w:lang w:val="en-US"/>
        </w:rPr>
        <w:t>The evaluation will seek to assess the extent to which the objectives of the initiative have been achieved. To do this, the evaluators will base themselves on the PBL approach. If the approach appears incomplete or inadequate, they will have to reconstruct it. The approach is made up of all the activities implemented (funds, technical cooperation activities, policy dialogue), the monitoring method adopted (including indicators), the direct achievements in terms of the policy process, the achievements relating to the formulation and implementation of Uzbekistan's energy policy, the expected results and effects, and the hypotheses that explain how the activities led to the effects in the context of the intervention.</w:t>
      </w:r>
    </w:p>
    <w:p w:rsidR="00C22933" w:rsidRDefault="005947AC">
      <w:pPr>
        <w:spacing w:before="120"/>
        <w:rPr>
          <w:lang w:val="en-US"/>
        </w:rPr>
      </w:pPr>
      <w:r>
        <w:rPr>
          <w:lang w:val="en-US"/>
        </w:rPr>
        <w:t>To facilitate this step, the evaluators can refer to the budget support effects chain described in the evaluation framework of the OECD method, which can be summarized as follows:</w:t>
      </w:r>
    </w:p>
    <w:p w:rsidR="00C22933" w:rsidRDefault="005947AC">
      <w:pPr>
        <w:numPr>
          <w:ilvl w:val="0"/>
          <w:numId w:val="30"/>
        </w:numPr>
        <w:spacing w:before="120"/>
        <w:jc w:val="both"/>
        <w:rPr>
          <w:lang w:val="en-US"/>
        </w:rPr>
      </w:pPr>
      <w:r>
        <w:rPr>
          <w:b/>
          <w:lang w:val="en-US"/>
        </w:rPr>
        <w:t xml:space="preserve">Inputs: </w:t>
      </w:r>
      <w:r>
        <w:rPr>
          <w:lang w:val="en-US"/>
        </w:rPr>
        <w:t>transfer of funds, public policy dialogue and performance indicators, and technical cooperation activities.</w:t>
      </w:r>
    </w:p>
    <w:p w:rsidR="00C22933" w:rsidRDefault="005947AC">
      <w:pPr>
        <w:numPr>
          <w:ilvl w:val="0"/>
          <w:numId w:val="30"/>
        </w:numPr>
        <w:spacing w:before="120"/>
        <w:jc w:val="both"/>
        <w:rPr>
          <w:lang w:val="en-US"/>
        </w:rPr>
      </w:pPr>
      <w:r>
        <w:rPr>
          <w:b/>
          <w:lang w:val="en-US"/>
        </w:rPr>
        <w:t xml:space="preserve">Direct outputs: </w:t>
      </w:r>
      <w:r>
        <w:rPr>
          <w:lang w:val="en-US"/>
        </w:rPr>
        <w:t>improving the relationship between external support and the national budget and public policy processes. Direct outputs can be interpreted in terms of opportunities created for the government: creation of budgetary space, production of knowledge or opportunities for dialogue to improve policy formulation, etc.</w:t>
      </w:r>
    </w:p>
    <w:p w:rsidR="00C22933" w:rsidRDefault="005947AC">
      <w:pPr>
        <w:numPr>
          <w:ilvl w:val="0"/>
          <w:numId w:val="30"/>
        </w:numPr>
        <w:spacing w:before="120"/>
        <w:jc w:val="both"/>
        <w:rPr>
          <w:lang w:val="en-US"/>
        </w:rPr>
      </w:pPr>
      <w:r>
        <w:rPr>
          <w:b/>
          <w:lang w:val="en-US"/>
        </w:rPr>
        <w:t xml:space="preserve">Indirect outputs: </w:t>
      </w:r>
      <w:r>
        <w:rPr>
          <w:lang w:val="en-US"/>
        </w:rPr>
        <w:t>expected positive changes in the quality of public policy, the soundness of institutions, the quality of public spending and improvements in the delivery of public services.</w:t>
      </w:r>
    </w:p>
    <w:p w:rsidR="00C22933" w:rsidRDefault="005947AC">
      <w:pPr>
        <w:numPr>
          <w:ilvl w:val="0"/>
          <w:numId w:val="30"/>
        </w:numPr>
        <w:spacing w:before="120"/>
        <w:jc w:val="both"/>
        <w:rPr>
          <w:lang w:val="en-US"/>
        </w:rPr>
      </w:pPr>
      <w:r>
        <w:rPr>
          <w:b/>
          <w:lang w:val="en-US"/>
        </w:rPr>
        <w:t xml:space="preserve">Results: </w:t>
      </w:r>
      <w:r>
        <w:rPr>
          <w:lang w:val="en-US"/>
        </w:rPr>
        <w:t>expected positive effects at the level of beneficiaries, service users and economic actors, due to improved public policy management and service delivery.</w:t>
      </w:r>
    </w:p>
    <w:p w:rsidR="00C22933" w:rsidRDefault="005947AC">
      <w:pPr>
        <w:numPr>
          <w:ilvl w:val="0"/>
          <w:numId w:val="30"/>
        </w:numPr>
        <w:spacing w:before="120"/>
        <w:jc w:val="both"/>
        <w:rPr>
          <w:lang w:val="en-US"/>
        </w:rPr>
      </w:pPr>
      <w:r>
        <w:rPr>
          <w:b/>
          <w:lang w:val="en-US"/>
        </w:rPr>
        <w:t xml:space="preserve">Impacts: </w:t>
      </w:r>
      <w:r>
        <w:rPr>
          <w:lang w:val="en-US"/>
        </w:rPr>
        <w:t>expected positive effects on sustainable and inclusive economic growth, poverty reduction, etc.</w:t>
      </w:r>
    </w:p>
    <w:p w:rsidR="00C22933" w:rsidRDefault="005947AC">
      <w:pPr>
        <w:tabs>
          <w:tab w:val="left" w:pos="0"/>
        </w:tabs>
        <w:spacing w:before="120"/>
        <w:jc w:val="both"/>
        <w:rPr>
          <w:lang w:val="en-US"/>
        </w:rPr>
      </w:pPr>
      <w:r>
        <w:rPr>
          <w:lang w:val="en-US"/>
        </w:rPr>
        <w:t xml:space="preserve">The OECD method proposes a methodological approach to evaluating budget support based on three stages, which makes it possible to </w:t>
      </w:r>
      <w:proofErr w:type="spellStart"/>
      <w:r>
        <w:rPr>
          <w:lang w:val="en-US"/>
        </w:rPr>
        <w:t>analyse</w:t>
      </w:r>
      <w:proofErr w:type="spellEnd"/>
      <w:r>
        <w:rPr>
          <w:lang w:val="en-US"/>
        </w:rPr>
        <w:t xml:space="preserve"> the contribution of budget support to the results and impacts of the public policy supported:</w:t>
      </w:r>
    </w:p>
    <w:p w:rsidR="00C22933" w:rsidRDefault="005947AC">
      <w:pPr>
        <w:numPr>
          <w:ilvl w:val="0"/>
          <w:numId w:val="32"/>
        </w:numPr>
        <w:tabs>
          <w:tab w:val="left" w:pos="0"/>
        </w:tabs>
        <w:spacing w:before="120"/>
        <w:jc w:val="both"/>
        <w:rPr>
          <w:lang w:val="en-US"/>
        </w:rPr>
      </w:pPr>
      <w:r>
        <w:rPr>
          <w:lang w:val="en-US"/>
        </w:rPr>
        <w:t>Stage 1: assessing budget support inputs and their effects on direct and indirect outputs.</w:t>
      </w:r>
    </w:p>
    <w:p w:rsidR="00C22933" w:rsidRDefault="005947AC">
      <w:pPr>
        <w:numPr>
          <w:ilvl w:val="0"/>
          <w:numId w:val="32"/>
        </w:numPr>
        <w:tabs>
          <w:tab w:val="left" w:pos="0"/>
        </w:tabs>
        <w:spacing w:before="120"/>
        <w:jc w:val="both"/>
        <w:rPr>
          <w:lang w:val="en-US"/>
        </w:rPr>
      </w:pPr>
      <w:r>
        <w:rPr>
          <w:lang w:val="en-US"/>
        </w:rPr>
        <w:t>Stage 2: evaluating the results and impact of the public policy supported.</w:t>
      </w:r>
    </w:p>
    <w:p w:rsidR="00C22933" w:rsidRDefault="005947AC">
      <w:pPr>
        <w:numPr>
          <w:ilvl w:val="0"/>
          <w:numId w:val="32"/>
        </w:numPr>
        <w:tabs>
          <w:tab w:val="left" w:pos="0"/>
        </w:tabs>
        <w:spacing w:before="120"/>
        <w:jc w:val="both"/>
        <w:rPr>
          <w:lang w:val="en-US"/>
        </w:rPr>
      </w:pPr>
      <w:r>
        <w:rPr>
          <w:lang w:val="en-US"/>
        </w:rPr>
        <w:t>Stage 3: identify how budget support has contributed to the results and impacts identified. This stage links stages 1 and 2 and rules on the causal links between budget support and the results and impacts of the public policy supported.</w:t>
      </w:r>
    </w:p>
    <w:p w:rsidR="00C22933" w:rsidRDefault="00C22933">
      <w:pPr>
        <w:rPr>
          <w:lang w:val="en-US"/>
        </w:rPr>
      </w:pPr>
    </w:p>
    <w:p w:rsidR="00C22933" w:rsidRDefault="00C22933">
      <w:pPr>
        <w:jc w:val="both"/>
        <w:rPr>
          <w:u w:val="single"/>
          <w:lang w:val="en-US"/>
        </w:rPr>
      </w:pPr>
    </w:p>
    <w:sectPr w:rsidR="00C22933">
      <w:pgSz w:w="11900" w:h="16840"/>
      <w:pgMar w:top="1134" w:right="1120" w:bottom="680" w:left="1134" w:header="1134"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31E" w:rsidRDefault="0037731E">
      <w:r>
        <w:separator/>
      </w:r>
    </w:p>
  </w:endnote>
  <w:endnote w:type="continuationSeparator" w:id="0">
    <w:p w:rsidR="0037731E" w:rsidRDefault="0037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933" w:rsidRDefault="005947AC">
    <w:pPr>
      <w:pStyle w:val="Pieddepage"/>
      <w:jc w:val="center"/>
      <w:rPr>
        <w:rFonts w:asciiTheme="majorHAnsi" w:eastAsiaTheme="majorEastAsia" w:hAnsiTheme="majorHAnsi" w:cstheme="majorBidi"/>
      </w:rPr>
    </w:pPr>
    <w:r>
      <w:rPr>
        <w:rFonts w:asciiTheme="majorHAnsi" w:hAnsiTheme="majorHAnsi"/>
      </w:rPr>
      <w:t xml:space="preserve">Page </w:t>
    </w:r>
    <w:r>
      <w:rPr>
        <w:rFonts w:asciiTheme="majorHAnsi" w:eastAsiaTheme="majorEastAsia" w:hAnsiTheme="majorHAnsi" w:cstheme="majorBidi"/>
        <w:b/>
      </w:rPr>
      <w:fldChar w:fldCharType="begin"/>
    </w:r>
    <w:r>
      <w:rPr>
        <w:rFonts w:asciiTheme="majorHAnsi" w:eastAsiaTheme="majorEastAsia" w:hAnsiTheme="majorHAnsi" w:cstheme="majorBidi"/>
        <w:b/>
      </w:rPr>
      <w:instrText>PAGE  \* Arabic  \* MERGEFORMAT</w:instrText>
    </w:r>
    <w:r>
      <w:rPr>
        <w:rFonts w:asciiTheme="majorHAnsi" w:eastAsiaTheme="majorEastAsia" w:hAnsiTheme="majorHAnsi" w:cstheme="majorBidi"/>
        <w:b/>
      </w:rPr>
      <w:fldChar w:fldCharType="separate"/>
    </w:r>
    <w:r w:rsidR="009E6842">
      <w:rPr>
        <w:rFonts w:asciiTheme="majorHAnsi" w:eastAsiaTheme="majorEastAsia" w:hAnsiTheme="majorHAnsi" w:cstheme="majorBidi"/>
        <w:b/>
        <w:noProof/>
      </w:rPr>
      <w:t>17</w:t>
    </w:r>
    <w:r>
      <w:rPr>
        <w:rFonts w:asciiTheme="majorHAnsi" w:eastAsiaTheme="majorEastAsia" w:hAnsiTheme="majorHAnsi" w:cstheme="majorBidi"/>
        <w:b/>
      </w:rPr>
      <w:fldChar w:fldCharType="end"/>
    </w:r>
    <w:r>
      <w:rPr>
        <w:rFonts w:asciiTheme="majorHAnsi" w:hAnsiTheme="majorHAnsi"/>
      </w:rPr>
      <w:t xml:space="preserve"> of </w:t>
    </w:r>
    <w:r>
      <w:rPr>
        <w:rFonts w:asciiTheme="majorHAnsi" w:eastAsiaTheme="majorEastAsia" w:hAnsiTheme="majorHAnsi" w:cstheme="majorBidi"/>
        <w:b/>
      </w:rPr>
      <w:fldChar w:fldCharType="begin"/>
    </w:r>
    <w:r>
      <w:rPr>
        <w:rFonts w:asciiTheme="majorHAnsi" w:eastAsiaTheme="majorEastAsia" w:hAnsiTheme="majorHAnsi" w:cstheme="majorBidi"/>
        <w:b/>
      </w:rPr>
      <w:instrText>NUMPAGES  \* Arabic  \* MERGEFORMAT</w:instrText>
    </w:r>
    <w:r>
      <w:rPr>
        <w:rFonts w:asciiTheme="majorHAnsi" w:eastAsiaTheme="majorEastAsia" w:hAnsiTheme="majorHAnsi" w:cstheme="majorBidi"/>
        <w:b/>
      </w:rPr>
      <w:fldChar w:fldCharType="separate"/>
    </w:r>
    <w:r w:rsidR="009E6842">
      <w:rPr>
        <w:rFonts w:asciiTheme="majorHAnsi" w:eastAsiaTheme="majorEastAsia" w:hAnsiTheme="majorHAnsi" w:cstheme="majorBidi"/>
        <w:b/>
        <w:noProof/>
      </w:rPr>
      <w:t>17</w:t>
    </w:r>
    <w:r>
      <w:rPr>
        <w:rFonts w:asciiTheme="majorHAnsi" w:eastAsiaTheme="majorEastAsia" w:hAnsiTheme="majorHAnsi" w:cstheme="majorBidi"/>
        <w:b/>
      </w:rPr>
      <w:fldChar w:fldCharType="end"/>
    </w:r>
  </w:p>
  <w:p w:rsidR="00C22933" w:rsidRDefault="00C2293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31E" w:rsidRDefault="0037731E">
      <w:r>
        <w:separator/>
      </w:r>
    </w:p>
  </w:footnote>
  <w:footnote w:type="continuationSeparator" w:id="0">
    <w:p w:rsidR="0037731E" w:rsidRDefault="003773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933" w:rsidRPr="009E6842" w:rsidRDefault="009E6842" w:rsidP="009E6842">
    <w:pPr>
      <w:pStyle w:val="En-tte"/>
      <w:pBdr>
        <w:bottom w:val="single" w:sz="24" w:space="0" w:color="622423" w:themeColor="accent2" w:themeShade="7F"/>
      </w:pBdr>
      <w:rPr>
        <w:rFonts w:asciiTheme="majorHAnsi" w:eastAsiaTheme="majorEastAsia" w:hAnsiTheme="majorHAnsi" w:cstheme="majorBidi"/>
        <w:sz w:val="32"/>
        <w:szCs w:val="32"/>
        <w:u w:val="single"/>
      </w:rPr>
    </w:pPr>
    <w:r>
      <w:rPr>
        <w:noProof/>
      </w:rPr>
      <w:drawing>
        <wp:anchor distT="0" distB="0" distL="114300" distR="114300" simplePos="0" relativeHeight="251658240" behindDoc="0" locked="0" layoutInCell="1" allowOverlap="1">
          <wp:simplePos x="0" y="0"/>
          <wp:positionH relativeFrom="column">
            <wp:posOffset>-155851</wp:posOffset>
          </wp:positionH>
          <wp:positionV relativeFrom="paragraph">
            <wp:posOffset>-585221</wp:posOffset>
          </wp:positionV>
          <wp:extent cx="1167800" cy="597877"/>
          <wp:effectExtent l="0" t="0" r="0" b="0"/>
          <wp:wrapNone/>
          <wp:docPr id="1" name="Image 1" descr="C:\Users\hakim.bejaoui\Desktop\Logo Expertise France - Fond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im.bejaoui\Desktop\Logo Expertise France - Fond blanc.jpg"/>
                  <pic:cNvPicPr>
                    <a:picLocks noChangeAspect="1"/>
                  </pic:cNvPicPr>
                </pic:nvPicPr>
                <pic:blipFill>
                  <a:blip r:embed="rId1" cstate="print">
                    <a:extLst>
                      <a:ext uri="{28A0092B-C50C-407E-A947-70E740481C1C}">
                        <a14:useLocalDpi xmlns:a14="http://schemas.microsoft.com/office/drawing/2010/main" val="0"/>
                      </a:ext>
                    </a:extLst>
                  </a:blip>
                  <a:stretch/>
                </pic:blipFill>
                <pic:spPr bwMode="auto">
                  <a:xfrm>
                    <a:off x="0" y="0"/>
                    <a:ext cx="1167800" cy="5978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7A1"/>
    <w:multiLevelType w:val="multilevel"/>
    <w:tmpl w:val="5FF003AE"/>
    <w:lvl w:ilvl="0">
      <w:numFmt w:val="bullet"/>
      <w:lvlText w:val="•"/>
      <w:lvlJc w:val="left"/>
      <w:pPr>
        <w:ind w:left="720" w:hanging="720"/>
      </w:pPr>
      <w:rPr>
        <w:rFonts w:ascii="Tw Cen MT" w:eastAsia="Times New Roman" w:hAnsi="Tw Cen MT"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5222278"/>
    <w:multiLevelType w:val="multilevel"/>
    <w:tmpl w:val="F914114C"/>
    <w:lvl w:ilvl="0">
      <w:start w:val="1"/>
      <w:numFmt w:val="decimal"/>
      <w:pStyle w:val="StyleNotedebasdepageJustifi"/>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Garamond" w:eastAsia="Times New Roman" w:hAnsi="Garamond"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CF3138"/>
    <w:multiLevelType w:val="multilevel"/>
    <w:tmpl w:val="F0523224"/>
    <w:lvl w:ilvl="0">
      <w:start w:val="1"/>
      <w:numFmt w:val="lowerRoman"/>
      <w:lvlText w:val="%1)"/>
      <w:lvlJc w:val="left"/>
      <w:pPr>
        <w:ind w:left="1008" w:hanging="72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07D23D10"/>
    <w:multiLevelType w:val="multilevel"/>
    <w:tmpl w:val="A3B6EB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D47AAC"/>
    <w:multiLevelType w:val="multilevel"/>
    <w:tmpl w:val="C250ED2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CC6A10"/>
    <w:multiLevelType w:val="multilevel"/>
    <w:tmpl w:val="510A81C6"/>
    <w:lvl w:ilvl="0">
      <w:start w:val="1"/>
      <w:numFmt w:val="bullet"/>
      <w:lvlText w:val=""/>
      <w:lvlJc w:val="left"/>
      <w:pPr>
        <w:ind w:left="786" w:hanging="360"/>
      </w:pPr>
      <w:rPr>
        <w:rFonts w:ascii="Wingdings" w:hAnsi="Wingdings"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6" w15:restartNumberingAfterBreak="0">
    <w:nsid w:val="0B1D07AA"/>
    <w:multiLevelType w:val="multilevel"/>
    <w:tmpl w:val="6AF4AB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2D3AC6"/>
    <w:multiLevelType w:val="multilevel"/>
    <w:tmpl w:val="13F88F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9E0C24"/>
    <w:multiLevelType w:val="multilevel"/>
    <w:tmpl w:val="F50C8594"/>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FB174C"/>
    <w:multiLevelType w:val="multilevel"/>
    <w:tmpl w:val="DD14DA6C"/>
    <w:lvl w:ilvl="0">
      <w:numFmt w:val="bullet"/>
      <w:lvlText w:val="•"/>
      <w:lvlJc w:val="left"/>
      <w:pPr>
        <w:ind w:left="720" w:hanging="720"/>
      </w:pPr>
      <w:rPr>
        <w:rFonts w:ascii="Tw Cen MT" w:eastAsia="Times New Roman" w:hAnsi="Tw Cen MT"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2847C40"/>
    <w:multiLevelType w:val="multilevel"/>
    <w:tmpl w:val="CD280CD6"/>
    <w:lvl w:ilvl="0">
      <w:start w:val="1"/>
      <w:numFmt w:val="bullet"/>
      <w:lvlText w:val=""/>
      <w:lvlJc w:val="left"/>
      <w:pPr>
        <w:tabs>
          <w:tab w:val="num" w:pos="1069"/>
        </w:tabs>
        <w:ind w:left="1069" w:hanging="360"/>
      </w:pPr>
      <w:rPr>
        <w:rFonts w:ascii="Wingdings" w:hAnsi="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148306FA"/>
    <w:multiLevelType w:val="multilevel"/>
    <w:tmpl w:val="A4782D0C"/>
    <w:lvl w:ilvl="0">
      <w:numFmt w:val="bullet"/>
      <w:lvlText w:val="•"/>
      <w:lvlJc w:val="left"/>
      <w:pPr>
        <w:ind w:left="720" w:hanging="720"/>
      </w:pPr>
      <w:rPr>
        <w:rFonts w:ascii="Tw Cen MT" w:eastAsia="Times New Roman" w:hAnsi="Tw Cen MT"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68B09C7"/>
    <w:multiLevelType w:val="multilevel"/>
    <w:tmpl w:val="9A4E2FC8"/>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A8C31C8"/>
    <w:multiLevelType w:val="multilevel"/>
    <w:tmpl w:val="F4E82574"/>
    <w:lvl w:ilvl="0">
      <w:start w:val="1"/>
      <w:numFmt w:val="decimal"/>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DF3983"/>
    <w:multiLevelType w:val="multilevel"/>
    <w:tmpl w:val="100CEF3C"/>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89F2628"/>
    <w:multiLevelType w:val="multilevel"/>
    <w:tmpl w:val="F04AD7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B20235F"/>
    <w:multiLevelType w:val="multilevel"/>
    <w:tmpl w:val="5F90A1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132F96"/>
    <w:multiLevelType w:val="multilevel"/>
    <w:tmpl w:val="8A28CBAC"/>
    <w:lvl w:ilvl="0">
      <w:start w:val="1"/>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ascii="Arial" w:hAnsi="Arial" w:cs="Arial" w:hint="default"/>
        <w:b w:val="0"/>
        <w:bCs/>
        <w:i w:val="0"/>
        <w:iCs/>
        <w:color w:val="000000" w:themeColor="text1"/>
        <w:sz w:val="20"/>
        <w:szCs w:val="20"/>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080" w:hanging="108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440" w:hanging="1440"/>
      </w:pPr>
      <w:rPr>
        <w:rFonts w:ascii="Arial" w:hAnsi="Arial" w:cs="Arial" w:hint="default"/>
        <w:b/>
      </w:rPr>
    </w:lvl>
  </w:abstractNum>
  <w:abstractNum w:abstractNumId="18" w15:restartNumberingAfterBreak="0">
    <w:nsid w:val="36F51A11"/>
    <w:multiLevelType w:val="multilevel"/>
    <w:tmpl w:val="8EB06E0E"/>
    <w:lvl w:ilvl="0">
      <w:start w:val="1"/>
      <w:numFmt w:val="decimal"/>
      <w:pStyle w:val="Titre1"/>
      <w:lvlText w:val="ARTICLE %1."/>
      <w:lvlJc w:val="left"/>
      <w:pPr>
        <w:ind w:left="720" w:hanging="360"/>
      </w:pPr>
      <w:rPr>
        <w:rFonts w:ascii="Times New Roman" w:hAnsi="Times New Roman" w:cs="Times New Roman"/>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14:ligatures w14:val="none"/>
      </w:rPr>
    </w:lvl>
    <w:lvl w:ilvl="1">
      <w:start w:val="1"/>
      <w:numFmt w:val="decimal"/>
      <w:pStyle w:val="Titre2"/>
      <w:isLgl/>
      <w:lvlText w:val="%1.%2"/>
      <w:lvlJc w:val="left"/>
      <w:pPr>
        <w:tabs>
          <w:tab w:val="num" w:pos="928"/>
        </w:tabs>
        <w:ind w:left="928" w:hanging="360"/>
      </w:pPr>
      <w:rPr>
        <w:rFonts w:cs="Times New Roman" w:hint="default"/>
      </w:rPr>
    </w:lvl>
    <w:lvl w:ilvl="2">
      <w:start w:val="1"/>
      <w:numFmt w:val="none"/>
      <w:pStyle w:val="Titre3"/>
      <w:isLgl/>
      <w:lvlText w:val=""/>
      <w:lvlJc w:val="left"/>
      <w:pPr>
        <w:tabs>
          <w:tab w:val="num" w:pos="1496"/>
        </w:tabs>
        <w:ind w:left="1496" w:hanging="720"/>
      </w:pPr>
      <w:rPr>
        <w:rFonts w:cs="Times New Roman" w:hint="default"/>
      </w:rPr>
    </w:lvl>
    <w:lvl w:ilvl="3">
      <w:start w:val="1"/>
      <w:numFmt w:val="decimal"/>
      <w:isLgl/>
      <w:lvlText w:val="%1.%2.%3.%4"/>
      <w:lvlJc w:val="left"/>
      <w:pPr>
        <w:tabs>
          <w:tab w:val="num" w:pos="1704"/>
        </w:tabs>
        <w:ind w:left="1704" w:hanging="720"/>
      </w:pPr>
      <w:rPr>
        <w:rFonts w:cs="Times New Roman" w:hint="default"/>
      </w:rPr>
    </w:lvl>
    <w:lvl w:ilvl="4">
      <w:start w:val="1"/>
      <w:numFmt w:val="decimal"/>
      <w:isLgl/>
      <w:lvlText w:val="%1.%2.%3.%4.%5"/>
      <w:lvlJc w:val="left"/>
      <w:pPr>
        <w:tabs>
          <w:tab w:val="num" w:pos="2272"/>
        </w:tabs>
        <w:ind w:left="2272" w:hanging="1080"/>
      </w:pPr>
      <w:rPr>
        <w:rFonts w:cs="Times New Roman" w:hint="default"/>
      </w:rPr>
    </w:lvl>
    <w:lvl w:ilvl="5">
      <w:start w:val="1"/>
      <w:numFmt w:val="decimal"/>
      <w:isLgl/>
      <w:lvlText w:val="%1.%2.%3.%4.%5.%6"/>
      <w:lvlJc w:val="left"/>
      <w:pPr>
        <w:tabs>
          <w:tab w:val="num" w:pos="2480"/>
        </w:tabs>
        <w:ind w:left="2480" w:hanging="1080"/>
      </w:pPr>
      <w:rPr>
        <w:rFonts w:cs="Times New Roman" w:hint="default"/>
      </w:rPr>
    </w:lvl>
    <w:lvl w:ilvl="6">
      <w:start w:val="1"/>
      <w:numFmt w:val="decimal"/>
      <w:isLgl/>
      <w:lvlText w:val="%1.%2.%3.%4.%5.%6.%7"/>
      <w:lvlJc w:val="left"/>
      <w:pPr>
        <w:tabs>
          <w:tab w:val="num" w:pos="3048"/>
        </w:tabs>
        <w:ind w:left="3048" w:hanging="1440"/>
      </w:pPr>
      <w:rPr>
        <w:rFonts w:cs="Times New Roman" w:hint="default"/>
      </w:rPr>
    </w:lvl>
    <w:lvl w:ilvl="7">
      <w:start w:val="1"/>
      <w:numFmt w:val="decimal"/>
      <w:isLgl/>
      <w:lvlText w:val="%1.%2.%3.%4.%5.%6.%7.%8"/>
      <w:lvlJc w:val="left"/>
      <w:pPr>
        <w:tabs>
          <w:tab w:val="num" w:pos="3256"/>
        </w:tabs>
        <w:ind w:left="3256" w:hanging="1440"/>
      </w:pPr>
      <w:rPr>
        <w:rFonts w:cs="Times New Roman" w:hint="default"/>
      </w:rPr>
    </w:lvl>
    <w:lvl w:ilvl="8">
      <w:start w:val="1"/>
      <w:numFmt w:val="decimal"/>
      <w:isLgl/>
      <w:lvlText w:val="%1.%2.%3.%4.%5.%6.%7.%8.%9"/>
      <w:lvlJc w:val="left"/>
      <w:pPr>
        <w:tabs>
          <w:tab w:val="num" w:pos="3824"/>
        </w:tabs>
        <w:ind w:left="3824" w:hanging="1800"/>
      </w:pPr>
      <w:rPr>
        <w:rFonts w:cs="Times New Roman" w:hint="default"/>
      </w:rPr>
    </w:lvl>
  </w:abstractNum>
  <w:abstractNum w:abstractNumId="19" w15:restartNumberingAfterBreak="0">
    <w:nsid w:val="3DE705B4"/>
    <w:multiLevelType w:val="multilevel"/>
    <w:tmpl w:val="1A1AA49A"/>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313964"/>
    <w:multiLevelType w:val="multilevel"/>
    <w:tmpl w:val="CD921140"/>
    <w:lvl w:ilvl="0">
      <w:start w:val="1"/>
      <w:numFmt w:val="lowerRoman"/>
      <w:lvlText w:val="%1."/>
      <w:lvlJc w:val="right"/>
      <w:pPr>
        <w:ind w:left="1068"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60B5D26"/>
    <w:multiLevelType w:val="multilevel"/>
    <w:tmpl w:val="741CF8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553982"/>
    <w:multiLevelType w:val="multilevel"/>
    <w:tmpl w:val="C4FEB7BE"/>
    <w:lvl w:ilvl="0">
      <w:start w:val="1"/>
      <w:numFmt w:val="lowerLetter"/>
      <w:lvlText w:val="%1."/>
      <w:lvlJc w:val="left"/>
      <w:pPr>
        <w:ind w:left="288" w:hanging="288"/>
      </w:pPr>
      <w:rPr>
        <w:rFonts w:ascii="Arial" w:hAnsi="Arial" w:cs="Arial" w:hint="default"/>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2D1024"/>
    <w:multiLevelType w:val="multilevel"/>
    <w:tmpl w:val="DA6035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D51FAF"/>
    <w:multiLevelType w:val="multilevel"/>
    <w:tmpl w:val="5124693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B15E70"/>
    <w:multiLevelType w:val="multilevel"/>
    <w:tmpl w:val="5F8015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4E2960"/>
    <w:multiLevelType w:val="multilevel"/>
    <w:tmpl w:val="13F873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A57FE1"/>
    <w:multiLevelType w:val="multilevel"/>
    <w:tmpl w:val="6A48B1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130D92"/>
    <w:multiLevelType w:val="multilevel"/>
    <w:tmpl w:val="72C0D0A0"/>
    <w:lvl w:ilvl="0">
      <w:start w:val="1"/>
      <w:numFmt w:val="bullet"/>
      <w:lvlText w:val=""/>
      <w:lvlJc w:val="left"/>
      <w:pPr>
        <w:ind w:left="720" w:hanging="360"/>
      </w:pPr>
      <w:rPr>
        <w:rFonts w:ascii="Symbol" w:hAnsi="Symbol" w:hint="default"/>
        <w:i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774CB2"/>
    <w:multiLevelType w:val="multilevel"/>
    <w:tmpl w:val="226623B6"/>
    <w:lvl w:ilvl="0">
      <w:start w:val="2"/>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FBB16AD"/>
    <w:multiLevelType w:val="multilevel"/>
    <w:tmpl w:val="5F605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numFmt w:val="bullet"/>
      <w:lvlText w:val="•"/>
      <w:lvlJc w:val="left"/>
      <w:pPr>
        <w:ind w:left="2160" w:hanging="360"/>
      </w:pPr>
      <w:rPr>
        <w:rFonts w:ascii="Arial" w:eastAsia="Times New Roman"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2B0A29"/>
    <w:multiLevelType w:val="multilevel"/>
    <w:tmpl w:val="06E24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3129B3"/>
    <w:multiLevelType w:val="multilevel"/>
    <w:tmpl w:val="0604058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A142946"/>
    <w:multiLevelType w:val="multilevel"/>
    <w:tmpl w:val="44386618"/>
    <w:lvl w:ilvl="0">
      <w:start w:val="1"/>
      <w:numFmt w:val="lowerRoman"/>
      <w:lvlText w:val="%1."/>
      <w:lvlJc w:val="righ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34" w15:restartNumberingAfterBreak="0">
    <w:nsid w:val="7AB364E1"/>
    <w:multiLevelType w:val="multilevel"/>
    <w:tmpl w:val="9934CA8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C79057F"/>
    <w:multiLevelType w:val="multilevel"/>
    <w:tmpl w:val="1F14CC5E"/>
    <w:lvl w:ilvl="0">
      <w:start w:val="1"/>
      <w:numFmt w:val="decimal"/>
      <w:lvlText w:val="%1."/>
      <w:lvlJc w:val="left"/>
      <w:pPr>
        <w:tabs>
          <w:tab w:val="num" w:pos="720"/>
        </w:tabs>
        <w:ind w:left="720" w:hanging="360"/>
      </w:pPr>
      <w:rPr>
        <w:rFonts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9F7E7B"/>
    <w:multiLevelType w:val="multilevel"/>
    <w:tmpl w:val="F90E31A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18"/>
  </w:num>
  <w:num w:numId="3">
    <w:abstractNumId w:val="7"/>
  </w:num>
  <w:num w:numId="4">
    <w:abstractNumId w:val="36"/>
  </w:num>
  <w:num w:numId="5">
    <w:abstractNumId w:val="27"/>
  </w:num>
  <w:num w:numId="6">
    <w:abstractNumId w:val="17"/>
  </w:num>
  <w:num w:numId="7">
    <w:abstractNumId w:val="22"/>
  </w:num>
  <w:num w:numId="8">
    <w:abstractNumId w:val="2"/>
  </w:num>
  <w:num w:numId="9">
    <w:abstractNumId w:val="14"/>
  </w:num>
  <w:num w:numId="10">
    <w:abstractNumId w:val="19"/>
  </w:num>
  <w:num w:numId="11">
    <w:abstractNumId w:val="8"/>
  </w:num>
  <w:num w:numId="12">
    <w:abstractNumId w:val="31"/>
  </w:num>
  <w:num w:numId="13">
    <w:abstractNumId w:val="34"/>
  </w:num>
  <w:num w:numId="14">
    <w:abstractNumId w:val="28"/>
  </w:num>
  <w:num w:numId="15">
    <w:abstractNumId w:val="6"/>
  </w:num>
  <w:num w:numId="16">
    <w:abstractNumId w:val="23"/>
  </w:num>
  <w:num w:numId="17">
    <w:abstractNumId w:val="24"/>
  </w:num>
  <w:num w:numId="18">
    <w:abstractNumId w:val="21"/>
  </w:num>
  <w:num w:numId="19">
    <w:abstractNumId w:val="11"/>
  </w:num>
  <w:num w:numId="20">
    <w:abstractNumId w:val="9"/>
  </w:num>
  <w:num w:numId="21">
    <w:abstractNumId w:val="15"/>
  </w:num>
  <w:num w:numId="22">
    <w:abstractNumId w:val="0"/>
  </w:num>
  <w:num w:numId="23">
    <w:abstractNumId w:val="4"/>
  </w:num>
  <w:num w:numId="24">
    <w:abstractNumId w:val="33"/>
  </w:num>
  <w:num w:numId="25">
    <w:abstractNumId w:val="20"/>
  </w:num>
  <w:num w:numId="26">
    <w:abstractNumId w:val="12"/>
  </w:num>
  <w:num w:numId="27">
    <w:abstractNumId w:val="13"/>
  </w:num>
  <w:num w:numId="28">
    <w:abstractNumId w:val="3"/>
  </w:num>
  <w:num w:numId="29">
    <w:abstractNumId w:val="32"/>
  </w:num>
  <w:num w:numId="30">
    <w:abstractNumId w:val="35"/>
  </w:num>
  <w:num w:numId="31">
    <w:abstractNumId w:val="1"/>
  </w:num>
  <w:num w:numId="32">
    <w:abstractNumId w:val="29"/>
  </w:num>
  <w:num w:numId="33">
    <w:abstractNumId w:val="16"/>
  </w:num>
  <w:num w:numId="34">
    <w:abstractNumId w:val="10"/>
  </w:num>
  <w:num w:numId="35">
    <w:abstractNumId w:val="5"/>
  </w:num>
  <w:num w:numId="36">
    <w:abstractNumId w:val="2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33"/>
    <w:rsid w:val="0001609C"/>
    <w:rsid w:val="0037731E"/>
    <w:rsid w:val="003B004C"/>
    <w:rsid w:val="005947AC"/>
    <w:rsid w:val="009E6842"/>
    <w:rsid w:val="00A15F94"/>
    <w:rsid w:val="00C22933"/>
    <w:rsid w:val="00D04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8D1C4"/>
  <w15:docId w15:val="{5C73C437-5D44-4F0C-A166-9F1733A3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pPr>
      <w:keepNext/>
      <w:numPr>
        <w:numId w:val="2"/>
      </w:numPr>
      <w:shd w:val="clear" w:color="auto" w:fill="8DB3E2" w:themeFill="text2" w:themeFillTint="66"/>
      <w:spacing w:before="240" w:after="60"/>
      <w:outlineLvl w:val="0"/>
    </w:pPr>
    <w:rPr>
      <w:rFonts w:ascii="Arial" w:hAnsi="Arial" w:cs="Arial"/>
      <w:b/>
      <w:bCs/>
      <w:sz w:val="32"/>
      <w:szCs w:val="32"/>
    </w:rPr>
  </w:style>
  <w:style w:type="paragraph" w:styleId="Titre2">
    <w:name w:val="heading 2"/>
    <w:basedOn w:val="Normal"/>
    <w:next w:val="Normal"/>
    <w:link w:val="Titre2Car"/>
    <w:uiPriority w:val="99"/>
    <w:unhideWhenUsed/>
    <w:qFormat/>
    <w:pPr>
      <w:keepNext/>
      <w:keepLines/>
      <w:numPr>
        <w:ilvl w:val="1"/>
        <w:numId w:val="2"/>
      </w:numPr>
      <w:shd w:val="clear" w:color="auto" w:fill="E5B8B7" w:themeFill="accent2" w:themeFillTint="66"/>
      <w:spacing w:before="200"/>
      <w:outlineLvl w:val="1"/>
    </w:pPr>
    <w:rPr>
      <w:rFonts w:eastAsiaTheme="majorEastAsia" w:cstheme="majorBidi"/>
      <w:b/>
      <w:bCs/>
      <w:sz w:val="26"/>
      <w:szCs w:val="26"/>
    </w:rPr>
  </w:style>
  <w:style w:type="paragraph" w:styleId="Titre3">
    <w:name w:val="heading 3"/>
    <w:basedOn w:val="Normal"/>
    <w:next w:val="Normal"/>
    <w:link w:val="Titre3Car"/>
    <w:unhideWhenUsed/>
    <w:qFormat/>
    <w:pPr>
      <w:keepNext/>
      <w:keepLines/>
      <w:numPr>
        <w:ilvl w:val="2"/>
        <w:numId w:val="2"/>
      </w:numPr>
      <w:shd w:val="clear" w:color="auto" w:fill="D6E3BC" w:themeFill="accent3" w:themeFillTint="66"/>
      <w:spacing w:before="200"/>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365F91" w:themeColor="accent1" w:themeShade="BF"/>
    </w:rPr>
  </w:style>
  <w:style w:type="paragraph" w:styleId="Titre6">
    <w:name w:val="heading 6"/>
    <w:basedOn w:val="Normal"/>
    <w:next w:val="Normal"/>
    <w:link w:val="Titre6Car"/>
    <w:uiPriority w:val="9"/>
    <w:unhideWhenUsed/>
    <w:qFormat/>
    <w:pPr>
      <w:keepNext/>
      <w:keepLines/>
      <w:spacing w:before="4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lang w:val="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lang w:val="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lang w:val="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lang w:val="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lang w:val="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lang w:val="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lang w:val="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lang w:val="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lang w:val="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lang w:val="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lang w:val="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lang w:val="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lang w:val="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lang w:val="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4Car">
    <w:name w:val="Titre 4 Car"/>
    <w:basedOn w:val="Policepardfaut"/>
    <w:link w:val="Titre4"/>
    <w:uiPriority w:val="9"/>
    <w:rPr>
      <w:rFonts w:ascii="Arial" w:eastAsia="Arial" w:hAnsi="Arial" w:cs="Arial"/>
      <w:i/>
      <w:iCs/>
      <w:color w:val="365F91" w:themeColor="accent1" w:themeShade="BF"/>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character" w:styleId="Emphaseple">
    <w:name w:val="Subtle Emphasis"/>
    <w:basedOn w:val="Policepardfaut"/>
    <w:uiPriority w:val="19"/>
    <w:qFormat/>
    <w:rPr>
      <w:i/>
      <w:iCs/>
      <w:color w:val="404040" w:themeColor="text1" w:themeTint="BF"/>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Lgende">
    <w:name w:val="caption"/>
    <w:basedOn w:val="Normal"/>
    <w:next w:val="Normal"/>
    <w:uiPriority w:val="35"/>
    <w:unhideWhenUsed/>
    <w:qFormat/>
    <w:pPr>
      <w:spacing w:after="200"/>
    </w:pPr>
    <w:rPr>
      <w:i/>
      <w:iCs/>
      <w:color w:val="1F497D" w:themeColor="text2"/>
      <w:sz w:val="18"/>
      <w:szCs w:val="18"/>
    </w:rPr>
  </w:style>
  <w:style w:type="paragraph" w:styleId="Tabledesillustrations">
    <w:name w:val="table of figures"/>
    <w:basedOn w:val="Normal"/>
    <w:next w:val="Normal"/>
    <w:uiPriority w:val="99"/>
    <w:unhideWhenUsed/>
  </w:style>
  <w:style w:type="character" w:customStyle="1" w:styleId="Titre2Car">
    <w:name w:val="Titre 2 Car"/>
    <w:basedOn w:val="Policepardfaut"/>
    <w:link w:val="Titre2"/>
    <w:uiPriority w:val="99"/>
    <w:rPr>
      <w:rFonts w:eastAsiaTheme="majorEastAsia" w:cstheme="majorBidi"/>
      <w:b/>
      <w:bCs/>
      <w:sz w:val="26"/>
      <w:szCs w:val="26"/>
      <w:shd w:val="clear" w:color="auto" w:fill="E5B8B7" w:themeFill="accent2" w:themeFillTint="6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sz w:val="24"/>
      <w:szCs w:val="24"/>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rPr>
  </w:style>
  <w:style w:type="paragraph" w:styleId="Notedebasdepage">
    <w:name w:val="footnote text"/>
    <w:basedOn w:val="Normal"/>
    <w:link w:val="NotedebasdepageCar"/>
    <w:rPr>
      <w:sz w:val="20"/>
      <w:szCs w:val="20"/>
    </w:rPr>
  </w:style>
  <w:style w:type="character" w:customStyle="1" w:styleId="NotedebasdepageCar">
    <w:name w:val="Note de bas de page Car"/>
    <w:basedOn w:val="Policepardfaut"/>
    <w:link w:val="Notedebasdepage"/>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style>
  <w:style w:type="character" w:styleId="Appelnotedebasdep">
    <w:name w:val="footnote reference"/>
    <w:rPr>
      <w:vertAlign w:val="superscript"/>
    </w:rPr>
  </w:style>
  <w:style w:type="character" w:styleId="Marquedecommentaire">
    <w:name w:val="annotation reference"/>
    <w:rPr>
      <w:sz w:val="16"/>
      <w:szCs w:val="16"/>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basedOn w:val="CommentaireCar"/>
    <w:link w:val="Objetducommentaire"/>
    <w:rPr>
      <w:b/>
      <w:bCs/>
    </w:rPr>
  </w:style>
  <w:style w:type="paragraph" w:styleId="Sansinterligne">
    <w:name w:val="No Spacing"/>
    <w:uiPriority w:val="1"/>
    <w:qFormat/>
    <w:rPr>
      <w:rFonts w:ascii="Calibri" w:eastAsia="Calibri" w:hAnsi="Calibri"/>
      <w:sz w:val="22"/>
      <w:szCs w:val="22"/>
      <w:lang w:eastAsia="en-US"/>
    </w:rPr>
  </w:style>
  <w:style w:type="character" w:styleId="Lienhypertexte">
    <w:name w:val="Hyperlink"/>
    <w:basedOn w:val="Policepardfaut"/>
    <w:uiPriority w:val="99"/>
    <w:rPr>
      <w:rFonts w:cs="Times New Roman"/>
      <w:color w:val="0000FF"/>
      <w:u w:val="single"/>
    </w:rPr>
  </w:style>
  <w:style w:type="paragraph" w:styleId="En-ttedetabledesmatires">
    <w:name w:val="TOC Heading"/>
    <w:basedOn w:val="Titre1"/>
    <w:next w:val="Normal"/>
    <w:uiPriority w:val="39"/>
    <w:semiHidden/>
    <w:unhideWhenUsed/>
    <w:qFormat/>
    <w:pPr>
      <w:keepLines/>
      <w:shd w:val="clear" w:color="auto" w:fill="auto"/>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TM1">
    <w:name w:val="toc 1"/>
    <w:basedOn w:val="Normal"/>
    <w:next w:val="Normal"/>
    <w:uiPriority w:val="39"/>
    <w:pPr>
      <w:spacing w:after="100"/>
    </w:pPr>
  </w:style>
  <w:style w:type="character" w:customStyle="1" w:styleId="Titre3Car">
    <w:name w:val="Titre 3 Car"/>
    <w:basedOn w:val="Policepardfaut"/>
    <w:link w:val="Titre3"/>
    <w:rPr>
      <w:rFonts w:asciiTheme="majorHAnsi" w:eastAsiaTheme="majorEastAsia" w:hAnsiTheme="majorHAnsi" w:cstheme="majorBidi"/>
      <w:b/>
      <w:bCs/>
      <w:sz w:val="24"/>
      <w:szCs w:val="24"/>
      <w:shd w:val="clear" w:color="auto" w:fill="D6E3BC" w:themeFill="accent3" w:themeFillTint="66"/>
    </w:rPr>
  </w:style>
  <w:style w:type="paragraph" w:styleId="Paragraphedeliste">
    <w:name w:val="List Paragraph"/>
    <w:basedOn w:val="Normal"/>
    <w:link w:val="ParagraphedelisteCar"/>
    <w:uiPriority w:val="34"/>
    <w:qFormat/>
    <w:pPr>
      <w:spacing w:after="60" w:line="276" w:lineRule="auto"/>
      <w:ind w:left="720"/>
      <w:contextualSpacing/>
      <w:jc w:val="both"/>
    </w:pPr>
    <w:rPr>
      <w:rFonts w:eastAsia="Calibri"/>
      <w:sz w:val="22"/>
      <w:szCs w:val="22"/>
      <w:lang w:eastAsia="en-US"/>
    </w:rPr>
  </w:style>
  <w:style w:type="paragraph" w:styleId="Corpsdetexte">
    <w:name w:val="Body Text"/>
    <w:basedOn w:val="Normal"/>
    <w:link w:val="CorpsdetexteCar"/>
    <w:uiPriority w:val="99"/>
    <w:pPr>
      <w:jc w:val="both"/>
    </w:pPr>
    <w:rPr>
      <w:rFonts w:eastAsia="Calibri"/>
      <w:sz w:val="22"/>
      <w:szCs w:val="22"/>
    </w:rPr>
  </w:style>
  <w:style w:type="character" w:customStyle="1" w:styleId="CorpsdetexteCar">
    <w:name w:val="Corps de texte Car"/>
    <w:basedOn w:val="Policepardfaut"/>
    <w:link w:val="Corpsdetexte"/>
    <w:uiPriority w:val="99"/>
    <w:rPr>
      <w:rFonts w:eastAsia="Calibri"/>
      <w:sz w:val="22"/>
      <w:szCs w:val="22"/>
    </w:rPr>
  </w:style>
  <w:style w:type="paragraph" w:styleId="TM3">
    <w:name w:val="toc 3"/>
    <w:basedOn w:val="Normal"/>
    <w:next w:val="Normal"/>
    <w:uiPriority w:val="39"/>
    <w:pPr>
      <w:spacing w:after="100"/>
      <w:ind w:left="480"/>
    </w:pPr>
  </w:style>
  <w:style w:type="paragraph" w:styleId="TM2">
    <w:name w:val="toc 2"/>
    <w:basedOn w:val="Normal"/>
    <w:next w:val="Normal"/>
    <w:uiPriority w:val="39"/>
    <w:pPr>
      <w:spacing w:after="100"/>
      <w:ind w:left="240"/>
    </w:pPr>
  </w:style>
  <w:style w:type="paragraph" w:customStyle="1" w:styleId="TITRE10">
    <w:name w:val="TITRE1"/>
    <w:basedOn w:val="Normal"/>
    <w:pPr>
      <w:jc w:val="both"/>
    </w:pPr>
    <w:rPr>
      <w:rFonts w:ascii="Univers" w:hAnsi="Univers"/>
      <w:b/>
      <w:bCs/>
      <w:sz w:val="28"/>
      <w:szCs w:val="28"/>
      <w:lang w:eastAsia="en-US"/>
    </w:rPr>
  </w:style>
  <w:style w:type="paragraph" w:customStyle="1" w:styleId="1Car">
    <w:name w:val="1 Car"/>
    <w:basedOn w:val="Normal"/>
    <w:pPr>
      <w:spacing w:after="160" w:line="240" w:lineRule="exact"/>
      <w:jc w:val="both"/>
    </w:pPr>
    <w:rPr>
      <w:rFonts w:ascii="Tahoma" w:hAnsi="Tahoma"/>
      <w:color w:val="000000"/>
      <w:sz w:val="20"/>
      <w:szCs w:val="20"/>
      <w:lang w:eastAsia="en-US"/>
    </w:rPr>
  </w:style>
  <w:style w:type="paragraph" w:styleId="Liste">
    <w:name w:val="List"/>
    <w:basedOn w:val="Normal"/>
    <w:pPr>
      <w:ind w:left="283" w:hanging="283"/>
    </w:pPr>
    <w:rPr>
      <w:sz w:val="20"/>
      <w:szCs w:val="20"/>
      <w:lang w:eastAsia="en-US"/>
    </w:rPr>
  </w:style>
  <w:style w:type="paragraph" w:styleId="NormalWeb">
    <w:name w:val="Normal (Web)"/>
    <w:basedOn w:val="Normal"/>
    <w:uiPriority w:val="99"/>
    <w:unhideWhenUsed/>
    <w:pPr>
      <w:spacing w:before="100" w:beforeAutospacing="1" w:after="100" w:afterAutospacing="1"/>
    </w:pPr>
  </w:style>
  <w:style w:type="character" w:customStyle="1" w:styleId="texttaille12">
    <w:name w:val="text_taille_12"/>
    <w:basedOn w:val="Policepardfaut"/>
  </w:style>
  <w:style w:type="character" w:styleId="lev">
    <w:name w:val="Strong"/>
    <w:basedOn w:val="Policepardfaut"/>
    <w:uiPriority w:val="22"/>
    <w:qFormat/>
    <w:rPr>
      <w:b/>
      <w:bCs/>
    </w:rPr>
  </w:style>
  <w:style w:type="character" w:customStyle="1" w:styleId="mainsitecolor">
    <w:name w:val="main_site_color"/>
    <w:basedOn w:val="Policepardfaut"/>
  </w:style>
  <w:style w:type="paragraph" w:styleId="Rvision">
    <w:name w:val="Revision"/>
    <w:hidden/>
    <w:uiPriority w:val="99"/>
    <w:semiHidden/>
    <w:rPr>
      <w:sz w:val="24"/>
      <w:szCs w:val="24"/>
    </w:rPr>
  </w:style>
  <w:style w:type="table" w:styleId="Grilledutableau">
    <w:name w:val="Table Grid"/>
    <w:basedOn w:val="TableauNormal"/>
    <w:uiPriority w:val="59"/>
    <w:pPr>
      <w:jc w:val="both"/>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phedelisteCar">
    <w:name w:val="Paragraphe de liste Car"/>
    <w:link w:val="Paragraphedeliste"/>
    <w:uiPriority w:val="34"/>
    <w:qFormat/>
    <w:rPr>
      <w:rFonts w:eastAsia="Calibri"/>
      <w:sz w:val="22"/>
      <w:szCs w:val="22"/>
      <w:lang w:eastAsia="en-US"/>
    </w:rPr>
  </w:style>
  <w:style w:type="character" w:styleId="Accentuation">
    <w:name w:val="Emphasis"/>
    <w:basedOn w:val="Policepardfaut"/>
    <w:uiPriority w:val="20"/>
    <w:qFormat/>
    <w:rPr>
      <w:i/>
      <w:iCs/>
    </w:rPr>
  </w:style>
  <w:style w:type="character" w:customStyle="1" w:styleId="Titre1Car">
    <w:name w:val="Titre 1 Car"/>
    <w:basedOn w:val="Policepardfaut"/>
    <w:link w:val="Titre1"/>
    <w:rPr>
      <w:rFonts w:ascii="Arial" w:hAnsi="Arial" w:cs="Arial"/>
      <w:b/>
      <w:bCs/>
      <w:sz w:val="32"/>
      <w:szCs w:val="32"/>
      <w:shd w:val="clear" w:color="auto" w:fill="8DB3E2" w:themeFill="text2" w:themeFillTint="66"/>
    </w:rPr>
  </w:style>
  <w:style w:type="paragraph" w:styleId="Notedefin">
    <w:name w:val="endnote text"/>
    <w:basedOn w:val="Normal"/>
    <w:link w:val="NotedefinCar"/>
    <w:semiHidden/>
    <w:unhideWhenUsed/>
    <w:rPr>
      <w:sz w:val="20"/>
      <w:szCs w:val="20"/>
    </w:rPr>
  </w:style>
  <w:style w:type="character" w:customStyle="1" w:styleId="NotedefinCar">
    <w:name w:val="Note de fin Car"/>
    <w:basedOn w:val="Policepardfaut"/>
    <w:link w:val="Notedefin"/>
    <w:semiHidden/>
  </w:style>
  <w:style w:type="character" w:styleId="Appeldenotedefin">
    <w:name w:val="endnote reference"/>
    <w:basedOn w:val="Policepardfaut"/>
    <w:semiHidden/>
    <w:unhideWhenUsed/>
    <w:rPr>
      <w:vertAlign w:val="superscript"/>
    </w:rPr>
  </w:style>
  <w:style w:type="character" w:styleId="Lienhypertextesuivivisit">
    <w:name w:val="FollowedHyperlink"/>
    <w:basedOn w:val="Policepardfaut"/>
    <w:semiHidden/>
    <w:unhideWhenUsed/>
    <w:rPr>
      <w:color w:val="800080" w:themeColor="followedHyperlink"/>
      <w:u w:val="single"/>
    </w:rPr>
  </w:style>
  <w:style w:type="paragraph" w:customStyle="1" w:styleId="StyleNotedebasdepageJustifi">
    <w:name w:val="Style Note de bas de page + Justifié"/>
    <w:basedOn w:val="Notedebasdepage"/>
    <w:link w:val="StyleNotedebasdepageJustifiCar"/>
    <w:pPr>
      <w:numPr>
        <w:numId w:val="31"/>
      </w:numPr>
      <w:spacing w:after="120" w:line="22" w:lineRule="atLeast"/>
      <w:ind w:left="567" w:hanging="567"/>
      <w:jc w:val="both"/>
    </w:pPr>
    <w:rPr>
      <w:i/>
      <w:lang w:val="fr-FR"/>
    </w:rPr>
  </w:style>
  <w:style w:type="character" w:customStyle="1" w:styleId="StyleNotedebasdepageJustifiCar">
    <w:name w:val="Style Note de bas de page + Justifié Car"/>
    <w:link w:val="StyleNotedebasdepageJustifi"/>
    <w:rPr>
      <w: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docs.worldbank.org/en/doc/687061437494014317-0290022015/original/ProgramforResultsFinancingPforRPolicyJuly201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orldbank.org/en/projects-operations/environmental-and-social-framework/brief/environmental-and-social-standards" TargetMode="External"/><Relationship Id="rId4" Type="http://schemas.openxmlformats.org/officeDocument/2006/relationships/settings" Target="settings.xml"/><Relationship Id="rId9" Type="http://schemas.openxmlformats.org/officeDocument/2006/relationships/hyperlink" Target="https://thedocs.worldbank.org/en/doc/593381437494441178-0290022015/render/ProgramforResultsPforRDirectiveJuly2015.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19CC1-387C-41F4-BC56-5167BF3B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17</Pages>
  <Words>5697</Words>
  <Characters>31337</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AFD</dc:creator>
  <cp:lastModifiedBy>Hakim BEJAOUI</cp:lastModifiedBy>
  <cp:revision>7</cp:revision>
  <dcterms:created xsi:type="dcterms:W3CDTF">2024-11-29T09:56:00Z</dcterms:created>
  <dcterms:modified xsi:type="dcterms:W3CDTF">2025-01-13T09:18:00Z</dcterms:modified>
</cp:coreProperties>
</file>