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7C0C" w14:textId="77777777" w:rsidR="00264D12" w:rsidRPr="00760494" w:rsidRDefault="00264D12" w:rsidP="00264D12">
      <w:pPr>
        <w:widowControl w:val="0"/>
        <w:autoSpaceDE w:val="0"/>
        <w:autoSpaceDN w:val="0"/>
        <w:spacing w:before="62" w:after="0" w:line="321" w:lineRule="exact"/>
        <w:ind w:right="17"/>
        <w:jc w:val="center"/>
        <w:rPr>
          <w:rFonts w:ascii="Times New Roman" w:eastAsia="Times New Roman" w:hAnsi="Times New Roman" w:cs="Times New Roman"/>
          <w:b/>
          <w:bCs/>
          <w:color w:val="auto"/>
          <w:sz w:val="28"/>
          <w:szCs w:val="28"/>
          <w:lang w:val="en-GB"/>
          <w14:ligatures w14:val="none"/>
        </w:rPr>
      </w:pPr>
      <w:r w:rsidRPr="00760494">
        <w:rPr>
          <w:rFonts w:ascii="Times New Roman" w:eastAsia="Times New Roman" w:hAnsi="Times New Roman" w:cs="Times New Roman"/>
          <w:b/>
          <w:bCs/>
          <w:color w:val="auto"/>
          <w:sz w:val="28"/>
          <w:szCs w:val="28"/>
          <w:lang w:val="en-GB"/>
          <w14:ligatures w14:val="none"/>
        </w:rPr>
        <w:t>Expert</w:t>
      </w:r>
      <w:r w:rsidRPr="00760494">
        <w:rPr>
          <w:rFonts w:ascii="Times New Roman" w:eastAsia="Times New Roman" w:hAnsi="Times New Roman" w:cs="Times New Roman"/>
          <w:b/>
          <w:bCs/>
          <w:color w:val="auto"/>
          <w:spacing w:val="-7"/>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in</w:t>
      </w:r>
      <w:r w:rsidRPr="00760494">
        <w:rPr>
          <w:rFonts w:ascii="Times New Roman" w:eastAsia="Times New Roman" w:hAnsi="Times New Roman" w:cs="Times New Roman"/>
          <w:b/>
          <w:bCs/>
          <w:color w:val="auto"/>
          <w:spacing w:val="-6"/>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Environmental/Climate</w:t>
      </w:r>
      <w:r w:rsidRPr="00760494">
        <w:rPr>
          <w:rFonts w:ascii="Times New Roman" w:eastAsia="Times New Roman" w:hAnsi="Times New Roman" w:cs="Times New Roman"/>
          <w:b/>
          <w:bCs/>
          <w:color w:val="auto"/>
          <w:spacing w:val="-3"/>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Economics</w:t>
      </w:r>
      <w:r w:rsidRPr="00760494">
        <w:rPr>
          <w:rFonts w:ascii="Times New Roman" w:eastAsia="Times New Roman" w:hAnsi="Times New Roman" w:cs="Times New Roman"/>
          <w:b/>
          <w:bCs/>
          <w:color w:val="auto"/>
          <w:spacing w:val="-2"/>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and</w:t>
      </w:r>
      <w:r w:rsidRPr="00760494">
        <w:rPr>
          <w:rFonts w:ascii="Times New Roman" w:eastAsia="Times New Roman" w:hAnsi="Times New Roman" w:cs="Times New Roman"/>
          <w:b/>
          <w:bCs/>
          <w:color w:val="auto"/>
          <w:spacing w:val="-4"/>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Green</w:t>
      </w:r>
      <w:r w:rsidRPr="00760494">
        <w:rPr>
          <w:rFonts w:ascii="Times New Roman" w:eastAsia="Times New Roman" w:hAnsi="Times New Roman" w:cs="Times New Roman"/>
          <w:b/>
          <w:bCs/>
          <w:color w:val="auto"/>
          <w:spacing w:val="-3"/>
          <w:sz w:val="28"/>
          <w:szCs w:val="28"/>
          <w:lang w:val="en-GB"/>
          <w14:ligatures w14:val="none"/>
        </w:rPr>
        <w:t xml:space="preserve"> </w:t>
      </w:r>
      <w:r w:rsidRPr="00760494">
        <w:rPr>
          <w:rFonts w:ascii="Times New Roman" w:eastAsia="Times New Roman" w:hAnsi="Times New Roman" w:cs="Times New Roman"/>
          <w:b/>
          <w:bCs/>
          <w:color w:val="auto"/>
          <w:spacing w:val="-2"/>
          <w:sz w:val="28"/>
          <w:szCs w:val="28"/>
          <w:lang w:val="en-GB"/>
          <w14:ligatures w14:val="none"/>
        </w:rPr>
        <w:t>Budgeting</w:t>
      </w:r>
    </w:p>
    <w:p w14:paraId="685E99C5" w14:textId="32FEA1D1" w:rsidR="00264D12" w:rsidRPr="00760494" w:rsidRDefault="00264D12" w:rsidP="00264D12">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r w:rsidRPr="00760494">
        <w:rPr>
          <w:rFonts w:ascii="Times New Roman" w:eastAsia="Times New Roman" w:hAnsi="Times New Roman" w:cs="Times New Roman"/>
          <w:b/>
          <w:bCs/>
          <w:color w:val="auto"/>
          <w:sz w:val="24"/>
          <w:szCs w:val="24"/>
          <w:lang w:val="en-GB"/>
          <w14:ligatures w14:val="none"/>
        </w:rPr>
        <w:t>Technical</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support</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to</w:t>
      </w:r>
      <w:r w:rsidRPr="00760494">
        <w:rPr>
          <w:rFonts w:ascii="Times New Roman" w:eastAsia="Times New Roman" w:hAnsi="Times New Roman" w:cs="Times New Roman"/>
          <w:b/>
          <w:bCs/>
          <w:color w:val="auto"/>
          <w:spacing w:val="-3"/>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implement</w:t>
      </w:r>
      <w:r w:rsidRPr="00760494">
        <w:rPr>
          <w:rFonts w:ascii="Times New Roman" w:eastAsia="Times New Roman" w:hAnsi="Times New Roman" w:cs="Times New Roman"/>
          <w:b/>
          <w:bCs/>
          <w:color w:val="auto"/>
          <w:spacing w:val="-3"/>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green</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budgeting</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 xml:space="preserve">practices in </w:t>
      </w:r>
      <w:r>
        <w:rPr>
          <w:rFonts w:ascii="Times New Roman" w:eastAsia="Times New Roman" w:hAnsi="Times New Roman" w:cs="Times New Roman"/>
          <w:b/>
          <w:bCs/>
          <w:color w:val="auto"/>
          <w:sz w:val="24"/>
          <w:szCs w:val="24"/>
          <w:lang w:val="en-GB"/>
          <w14:ligatures w14:val="none"/>
        </w:rPr>
        <w:t>Cyprus</w:t>
      </w:r>
    </w:p>
    <w:p w14:paraId="103E0A5D" w14:textId="534DF1F3" w:rsidR="00264D12" w:rsidRDefault="00264D12" w:rsidP="00264D12">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7047CF3E" w14:textId="77777777" w:rsidR="00D83264" w:rsidRPr="00760494" w:rsidRDefault="00D83264" w:rsidP="00264D12">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37204590" w14:textId="77777777" w:rsidR="00264D12" w:rsidRPr="00760494" w:rsidRDefault="00264D12" w:rsidP="00264D12">
      <w:pPr>
        <w:widowControl w:val="0"/>
        <w:autoSpaceDE w:val="0"/>
        <w:autoSpaceDN w:val="0"/>
        <w:spacing w:after="0" w:line="240" w:lineRule="auto"/>
        <w:ind w:right="265"/>
        <w:outlineLvl w:val="0"/>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Duty</w:t>
      </w:r>
      <w:r w:rsidRPr="00760494">
        <w:rPr>
          <w:rFonts w:ascii="Times New Roman" w:eastAsia="Times New Roman" w:hAnsi="Times New Roman" w:cs="Times New Roman"/>
          <w:b/>
          <w:bCs/>
          <w:color w:val="auto"/>
          <w:spacing w:val="-1"/>
          <w:sz w:val="22"/>
          <w:szCs w:val="22"/>
          <w:lang w:val="en-GB"/>
          <w14:ligatures w14:val="none"/>
        </w:rPr>
        <w:t xml:space="preserve"> </w:t>
      </w:r>
      <w:r w:rsidRPr="00760494">
        <w:rPr>
          <w:rFonts w:ascii="Times New Roman" w:eastAsia="Times New Roman" w:hAnsi="Times New Roman" w:cs="Times New Roman"/>
          <w:b/>
          <w:bCs/>
          <w:color w:val="auto"/>
          <w:sz w:val="22"/>
          <w:szCs w:val="22"/>
          <w:lang w:val="en-GB"/>
          <w14:ligatures w14:val="none"/>
        </w:rPr>
        <w:t>station:</w:t>
      </w:r>
      <w:r w:rsidRPr="00760494">
        <w:rPr>
          <w:rFonts w:ascii="Times New Roman" w:eastAsia="Times New Roman" w:hAnsi="Times New Roman" w:cs="Times New Roman"/>
          <w:b/>
          <w:bCs/>
          <w:color w:val="auto"/>
          <w:spacing w:val="-1"/>
          <w:sz w:val="22"/>
          <w:szCs w:val="22"/>
          <w:lang w:val="en-GB"/>
          <w14:ligatures w14:val="none"/>
        </w:rPr>
        <w:t xml:space="preserve"> </w:t>
      </w:r>
      <w:r w:rsidRPr="00760494">
        <w:rPr>
          <w:rFonts w:ascii="Times New Roman" w:eastAsia="Times New Roman" w:hAnsi="Times New Roman" w:cs="Times New Roman"/>
          <w:color w:val="auto"/>
          <w:spacing w:val="-2"/>
          <w:sz w:val="22"/>
          <w:szCs w:val="22"/>
          <w:lang w:val="en-GB"/>
          <w14:ligatures w14:val="none"/>
        </w:rPr>
        <w:t>remote</w:t>
      </w:r>
    </w:p>
    <w:p w14:paraId="6C196C7E" w14:textId="77777777" w:rsidR="00264D12" w:rsidRPr="00760494" w:rsidRDefault="00264D12" w:rsidP="00264D12">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Contract</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type:</w:t>
      </w:r>
      <w:r w:rsidRPr="00760494">
        <w:rPr>
          <w:rFonts w:ascii="Times New Roman" w:eastAsia="Times New Roman" w:hAnsi="Times New Roman" w:cs="Times New Roman"/>
          <w:b/>
          <w:color w:val="auto"/>
          <w:spacing w:val="-16"/>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service</w:t>
      </w:r>
      <w:r w:rsidRPr="00760494">
        <w:rPr>
          <w:rFonts w:ascii="Times New Roman" w:eastAsia="Times New Roman" w:hAnsi="Times New Roman" w:cs="Times New Roman"/>
          <w:color w:val="auto"/>
          <w:spacing w:val="-1"/>
          <w:sz w:val="22"/>
          <w:szCs w:val="22"/>
          <w:lang w:val="en-GB"/>
          <w14:ligatures w14:val="none"/>
        </w:rPr>
        <w:t xml:space="preserve"> </w:t>
      </w:r>
      <w:r w:rsidRPr="00760494">
        <w:rPr>
          <w:rFonts w:ascii="Times New Roman" w:eastAsia="Times New Roman" w:hAnsi="Times New Roman" w:cs="Times New Roman"/>
          <w:color w:val="auto"/>
          <w:spacing w:val="-2"/>
          <w:sz w:val="22"/>
          <w:szCs w:val="22"/>
          <w:lang w:val="en-GB"/>
          <w14:ligatures w14:val="none"/>
        </w:rPr>
        <w:t>contract</w:t>
      </w:r>
    </w:p>
    <w:p w14:paraId="149C972F" w14:textId="77777777" w:rsidR="00D83264" w:rsidRDefault="00264D12" w:rsidP="00D83264">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Duration:</w:t>
      </w:r>
      <w:r w:rsidRPr="00760494">
        <w:rPr>
          <w:rFonts w:ascii="Times New Roman" w:eastAsia="Times New Roman" w:hAnsi="Times New Roman" w:cs="Times New Roman"/>
          <w:b/>
          <w:color w:val="auto"/>
          <w:spacing w:val="-1"/>
          <w:sz w:val="22"/>
          <w:szCs w:val="22"/>
          <w:lang w:val="en-GB"/>
          <w14:ligatures w14:val="none"/>
        </w:rPr>
        <w:t xml:space="preserve"> </w:t>
      </w:r>
      <w:r w:rsidR="00D83264" w:rsidRPr="003E32B9">
        <w:rPr>
          <w:rFonts w:ascii="Times New Roman" w:eastAsia="Times New Roman" w:hAnsi="Times New Roman" w:cs="Times New Roman"/>
          <w:color w:val="auto"/>
          <w:spacing w:val="-1"/>
          <w:sz w:val="22"/>
          <w:szCs w:val="22"/>
          <w:lang w:val="en-GB"/>
          <w14:ligatures w14:val="none"/>
        </w:rPr>
        <w:t>30 months</w:t>
      </w:r>
      <w:r w:rsidR="00D83264">
        <w:rPr>
          <w:rFonts w:ascii="Times New Roman" w:eastAsia="Times New Roman" w:hAnsi="Times New Roman" w:cs="Times New Roman"/>
          <w:b/>
          <w:color w:val="auto"/>
          <w:spacing w:val="-1"/>
          <w:sz w:val="22"/>
          <w:szCs w:val="22"/>
          <w:lang w:val="en-GB"/>
          <w14:ligatures w14:val="none"/>
        </w:rPr>
        <w:t xml:space="preserve"> </w:t>
      </w:r>
    </w:p>
    <w:p w14:paraId="5660A8C2" w14:textId="77777777" w:rsidR="00D83264" w:rsidRPr="00760494" w:rsidRDefault="00D83264" w:rsidP="00D83264">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Pr>
          <w:rFonts w:ascii="Times New Roman" w:eastAsia="Times New Roman" w:hAnsi="Times New Roman" w:cs="Times New Roman"/>
          <w:b/>
          <w:color w:val="auto"/>
          <w:spacing w:val="-1"/>
          <w:sz w:val="22"/>
          <w:szCs w:val="22"/>
          <w:lang w:val="en-GB"/>
          <w14:ligatures w14:val="none"/>
        </w:rPr>
        <w:t xml:space="preserve">Total number of working days: </w:t>
      </w:r>
      <w:r w:rsidRPr="003E32B9">
        <w:rPr>
          <w:rFonts w:ascii="Times New Roman" w:eastAsia="Times New Roman" w:hAnsi="Times New Roman" w:cs="Times New Roman"/>
          <w:color w:val="auto"/>
          <w:spacing w:val="-1"/>
          <w:sz w:val="22"/>
          <w:szCs w:val="22"/>
          <w:lang w:val="en-GB"/>
          <w14:ligatures w14:val="none"/>
        </w:rPr>
        <w:t>210</w:t>
      </w:r>
    </w:p>
    <w:p w14:paraId="55370DA4" w14:textId="77777777" w:rsidR="00D83264" w:rsidRPr="00760494" w:rsidRDefault="00D83264" w:rsidP="00D8326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Financing Authority:</w:t>
      </w:r>
      <w:r w:rsidRPr="00760494">
        <w:rPr>
          <w:rFonts w:ascii="Times New Roman" w:eastAsia="Times New Roman" w:hAnsi="Times New Roman" w:cs="Times New Roman"/>
          <w:color w:val="auto"/>
          <w:sz w:val="22"/>
          <w:szCs w:val="22"/>
          <w:lang w:val="en-GB"/>
          <w14:ligatures w14:val="none"/>
        </w:rPr>
        <w:t xml:space="preserve"> Task Force for Reform and Investment (SG REFORM) of the European Commission.</w:t>
      </w:r>
    </w:p>
    <w:p w14:paraId="3C132D63" w14:textId="77777777" w:rsidR="00D83264" w:rsidRPr="00760494" w:rsidRDefault="00D83264" w:rsidP="00D8326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 xml:space="preserve">Implementing Partner: </w:t>
      </w:r>
      <w:r w:rsidRPr="00760494">
        <w:rPr>
          <w:rFonts w:ascii="Times New Roman" w:eastAsia="Times New Roman" w:hAnsi="Times New Roman" w:cs="Times New Roman"/>
          <w:bCs/>
          <w:color w:val="auto"/>
          <w:sz w:val="22"/>
          <w:szCs w:val="22"/>
          <w:lang w:val="en-GB"/>
          <w14:ligatures w14:val="none"/>
        </w:rPr>
        <w:t>Expertise France</w:t>
      </w:r>
    </w:p>
    <w:p w14:paraId="597AB68C" w14:textId="77777777" w:rsidR="00D83264" w:rsidRDefault="00D83264" w:rsidP="00D83264">
      <w:pPr>
        <w:widowControl w:val="0"/>
        <w:autoSpaceDE w:val="0"/>
        <w:autoSpaceDN w:val="0"/>
        <w:spacing w:after="0" w:line="240" w:lineRule="auto"/>
        <w:rPr>
          <w:rFonts w:ascii="Times New Roman" w:eastAsia="Times New Roman" w:hAnsi="Times New Roman" w:cs="Times New Roman"/>
          <w:color w:val="auto"/>
          <w:spacing w:val="2"/>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Deadline</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for</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application</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is:</w:t>
      </w:r>
      <w:r w:rsidRPr="00760494">
        <w:rPr>
          <w:rFonts w:ascii="Times New Roman" w:eastAsia="Times New Roman" w:hAnsi="Times New Roman" w:cs="Times New Roman"/>
          <w:b/>
          <w:color w:val="auto"/>
          <w:spacing w:val="2"/>
          <w:sz w:val="22"/>
          <w:szCs w:val="22"/>
          <w:lang w:val="en-GB"/>
          <w14:ligatures w14:val="none"/>
        </w:rPr>
        <w:t xml:space="preserve"> </w:t>
      </w:r>
      <w:r w:rsidRPr="00EB3AD7">
        <w:rPr>
          <w:rFonts w:ascii="Times New Roman" w:eastAsia="Times New Roman" w:hAnsi="Times New Roman" w:cs="Times New Roman"/>
          <w:color w:val="auto"/>
          <w:spacing w:val="2"/>
          <w:sz w:val="22"/>
          <w:szCs w:val="22"/>
          <w:lang w:val="en-GB"/>
          <w14:ligatures w14:val="none"/>
        </w:rPr>
        <w:t>30 August 2025</w:t>
      </w:r>
    </w:p>
    <w:p w14:paraId="2030483C" w14:textId="143CCBFE" w:rsidR="00D83264" w:rsidRDefault="00D83264" w:rsidP="00D83264">
      <w:pPr>
        <w:widowControl w:val="0"/>
        <w:autoSpaceDE w:val="0"/>
        <w:autoSpaceDN w:val="0"/>
        <w:spacing w:after="0" w:line="240" w:lineRule="auto"/>
        <w:rPr>
          <w:rFonts w:ascii="Times New Roman" w:eastAsia="Times New Roman" w:hAnsi="Times New Roman" w:cs="Times New Roman"/>
          <w:color w:val="auto"/>
          <w:spacing w:val="2"/>
          <w:sz w:val="22"/>
          <w:szCs w:val="22"/>
          <w:lang w:val="en-GB"/>
          <w14:ligatures w14:val="none"/>
        </w:rPr>
      </w:pPr>
    </w:p>
    <w:p w14:paraId="7B6A7BDA" w14:textId="77777777" w:rsidR="00D83264" w:rsidRDefault="00D83264" w:rsidP="00D83264">
      <w:pPr>
        <w:widowControl w:val="0"/>
        <w:autoSpaceDE w:val="0"/>
        <w:autoSpaceDN w:val="0"/>
        <w:spacing w:after="0" w:line="240" w:lineRule="auto"/>
        <w:rPr>
          <w:rFonts w:ascii="Times New Roman" w:eastAsia="Times New Roman" w:hAnsi="Times New Roman" w:cs="Times New Roman"/>
          <w:color w:val="auto"/>
          <w:spacing w:val="2"/>
          <w:sz w:val="22"/>
          <w:szCs w:val="22"/>
          <w:lang w:val="en-GB"/>
          <w14:ligatures w14:val="none"/>
        </w:rPr>
      </w:pPr>
    </w:p>
    <w:p w14:paraId="6CEF1332" w14:textId="77777777" w:rsidR="00D83264"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r w:rsidRPr="004E3B48">
        <w:rPr>
          <w:rFonts w:ascii="Times New Roman" w:eastAsia="Times New Roman" w:hAnsi="Times New Roman" w:cs="Times New Roman"/>
          <w:b/>
          <w:bCs/>
          <w:color w:val="auto"/>
          <w:sz w:val="28"/>
          <w:szCs w:val="22"/>
          <w:lang w:val="en-GB"/>
          <w14:ligatures w14:val="none"/>
        </w:rPr>
        <w:t>General context</w:t>
      </w:r>
    </w:p>
    <w:p w14:paraId="2AC050EA" w14:textId="77777777" w:rsidR="00D83264" w:rsidRPr="004E3B48"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p>
    <w:p w14:paraId="2EECDC47" w14:textId="77777777" w:rsidR="00D83264" w:rsidRPr="004E3B48"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 xml:space="preserve">Expertise France is a public agency that designs and implements international technical cooperation projects and is a member of the </w:t>
      </w:r>
      <w:r>
        <w:rPr>
          <w:rFonts w:ascii="Times New Roman" w:eastAsia="Times New Roman" w:hAnsi="Times New Roman" w:cs="Times New Roman"/>
          <w:color w:val="auto"/>
          <w:sz w:val="22"/>
          <w:szCs w:val="22"/>
          <w:lang w:val="en-GB"/>
          <w14:ligatures w14:val="none"/>
        </w:rPr>
        <w:t>French Development Agency</w:t>
      </w:r>
      <w:r w:rsidRPr="004E3B48">
        <w:rPr>
          <w:rFonts w:ascii="Times New Roman" w:eastAsia="Times New Roman" w:hAnsi="Times New Roman" w:cs="Times New Roman"/>
          <w:color w:val="auto"/>
          <w:sz w:val="22"/>
          <w:szCs w:val="22"/>
          <w:lang w:val="en-GB"/>
          <w14:ligatures w14:val="none"/>
        </w:rPr>
        <w:t xml:space="preserve"> Group. The Agency operates in four priority areas:</w:t>
      </w:r>
    </w:p>
    <w:p w14:paraId="4FCB5D45" w14:textId="77777777" w:rsidR="00D83264" w:rsidRPr="004E3B48" w:rsidRDefault="00D83264" w:rsidP="00D83264">
      <w:pPr>
        <w:pStyle w:val="Paragraphedeliste"/>
        <w:widowControl w:val="0"/>
        <w:numPr>
          <w:ilvl w:val="0"/>
          <w:numId w:val="10"/>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democratic, economic and financial governance</w:t>
      </w:r>
    </w:p>
    <w:p w14:paraId="47C5F2DD" w14:textId="77777777" w:rsidR="00D83264" w:rsidRPr="004E3B48" w:rsidRDefault="00D83264" w:rsidP="00D83264">
      <w:pPr>
        <w:pStyle w:val="Paragraphedeliste"/>
        <w:widowControl w:val="0"/>
        <w:numPr>
          <w:ilvl w:val="0"/>
          <w:numId w:val="10"/>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peace, stability and security</w:t>
      </w:r>
    </w:p>
    <w:p w14:paraId="1002D71D" w14:textId="77777777" w:rsidR="00D83264" w:rsidRPr="004E3B48" w:rsidRDefault="00D83264" w:rsidP="00D83264">
      <w:pPr>
        <w:pStyle w:val="Paragraphedeliste"/>
        <w:widowControl w:val="0"/>
        <w:numPr>
          <w:ilvl w:val="0"/>
          <w:numId w:val="10"/>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climate, agriculture and sustainable development</w:t>
      </w:r>
    </w:p>
    <w:p w14:paraId="58032A4E" w14:textId="77777777" w:rsidR="00D83264" w:rsidRDefault="00D83264" w:rsidP="00D83264">
      <w:pPr>
        <w:pStyle w:val="Paragraphedeliste"/>
        <w:widowControl w:val="0"/>
        <w:numPr>
          <w:ilvl w:val="0"/>
          <w:numId w:val="10"/>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health and human development.</w:t>
      </w:r>
    </w:p>
    <w:p w14:paraId="0C7AEA13" w14:textId="77777777" w:rsidR="00D83264" w:rsidRPr="004E3B48" w:rsidRDefault="00D83264" w:rsidP="00D83264">
      <w:pPr>
        <w:widowControl w:val="0"/>
        <w:autoSpaceDE w:val="0"/>
        <w:autoSpaceDN w:val="0"/>
        <w:spacing w:after="0" w:line="240" w:lineRule="auto"/>
        <w:ind w:left="360" w:right="113"/>
        <w:jc w:val="both"/>
        <w:rPr>
          <w:rFonts w:ascii="Times New Roman" w:eastAsia="Times New Roman" w:hAnsi="Times New Roman" w:cs="Times New Roman"/>
          <w:color w:val="auto"/>
          <w:sz w:val="22"/>
          <w:szCs w:val="22"/>
          <w:lang w:val="en-GB"/>
          <w14:ligatures w14:val="none"/>
        </w:rPr>
      </w:pPr>
    </w:p>
    <w:p w14:paraId="6272986B" w14:textId="77777777" w:rsidR="00D83264"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In these areas, Expertise France engineers and implements capacity-building projects, mobilises technical expertise and acts as a project coordinator, bringing together public expertise and private know-how.</w:t>
      </w:r>
    </w:p>
    <w:p w14:paraId="614E1F94" w14:textId="77777777" w:rsidR="00D83264" w:rsidRPr="004E3B48"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0D1E6163" w14:textId="77777777" w:rsidR="00D83264" w:rsidRPr="004E3B48"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With a turnover of 450 million euros in 2024 and more than 350 projects underway in 140 countries, Expertise France is the benchmark public agency for French international technical cooperation.</w:t>
      </w:r>
    </w:p>
    <w:p w14:paraId="618AC6AA" w14:textId="77777777" w:rsidR="00D83264" w:rsidRPr="00760494" w:rsidRDefault="00D83264"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The portfolio of intra-European projects is growing, in particular projects financed by the European Commission's SG REFORM (European Commission's Reform and Investment Task Force).</w:t>
      </w:r>
    </w:p>
    <w:p w14:paraId="23F44E56" w14:textId="77777777" w:rsidR="00D83264"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z w:val="22"/>
          <w:szCs w:val="22"/>
          <w:lang w:val="en-GB"/>
          <w14:ligatures w14:val="none"/>
        </w:rPr>
      </w:pPr>
    </w:p>
    <w:p w14:paraId="6E6E0644" w14:textId="77777777" w:rsidR="00D83264"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pacing w:val="-2"/>
          <w:sz w:val="28"/>
          <w:szCs w:val="22"/>
          <w:lang w:val="en-GB"/>
          <w14:ligatures w14:val="none"/>
        </w:rPr>
      </w:pPr>
      <w:r w:rsidRPr="004E3B48">
        <w:rPr>
          <w:rFonts w:ascii="Times New Roman" w:eastAsia="Times New Roman" w:hAnsi="Times New Roman" w:cs="Times New Roman"/>
          <w:b/>
          <w:bCs/>
          <w:color w:val="auto"/>
          <w:sz w:val="28"/>
          <w:szCs w:val="22"/>
          <w:lang w:val="en-GB"/>
          <w14:ligatures w14:val="none"/>
        </w:rPr>
        <w:t xml:space="preserve">Mission </w:t>
      </w:r>
      <w:r>
        <w:rPr>
          <w:rFonts w:ascii="Times New Roman" w:eastAsia="Times New Roman" w:hAnsi="Times New Roman" w:cs="Times New Roman"/>
          <w:b/>
          <w:bCs/>
          <w:color w:val="auto"/>
          <w:spacing w:val="-2"/>
          <w:sz w:val="28"/>
          <w:szCs w:val="22"/>
          <w:lang w:val="en-GB"/>
          <w14:ligatures w14:val="none"/>
        </w:rPr>
        <w:t>Description</w:t>
      </w:r>
    </w:p>
    <w:p w14:paraId="0DF3546B" w14:textId="77777777" w:rsidR="00D83264" w:rsidRPr="004E3B48" w:rsidRDefault="00D83264" w:rsidP="00D83264">
      <w:pPr>
        <w:widowControl w:val="0"/>
        <w:autoSpaceDE w:val="0"/>
        <w:autoSpaceDN w:val="0"/>
        <w:spacing w:after="0" w:line="240" w:lineRule="auto"/>
        <w:jc w:val="both"/>
        <w:outlineLvl w:val="0"/>
        <w:rPr>
          <w:rFonts w:ascii="Times New Roman" w:eastAsia="Times New Roman" w:hAnsi="Times New Roman" w:cs="Times New Roman"/>
          <w:b/>
          <w:bCs/>
          <w:color w:val="auto"/>
          <w:spacing w:val="-2"/>
          <w:sz w:val="28"/>
          <w:szCs w:val="22"/>
          <w:lang w:val="en-GB"/>
          <w14:ligatures w14:val="none"/>
        </w:rPr>
      </w:pPr>
    </w:p>
    <w:p w14:paraId="53E2C9F5" w14:textId="77777777" w:rsidR="00D83264" w:rsidRDefault="00264D12"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In</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w:t>
      </w:r>
      <w:r w:rsidRPr="00760494">
        <w:rPr>
          <w:rFonts w:ascii="Times New Roman" w:eastAsia="Times New Roman" w:hAnsi="Times New Roman" w:cs="Times New Roman"/>
          <w:color w:val="auto"/>
          <w:spacing w:val="-1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framework</w:t>
      </w:r>
      <w:r w:rsidRPr="00760494">
        <w:rPr>
          <w:rFonts w:ascii="Times New Roman" w:eastAsia="Times New Roman" w:hAnsi="Times New Roman" w:cs="Times New Roman"/>
          <w:color w:val="auto"/>
          <w:spacing w:val="-1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of</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project Implementing Effective Green Budgeting practices,</w:t>
      </w:r>
      <w:r w:rsidRPr="00760494">
        <w:rPr>
          <w:rFonts w:ascii="Times New Roman" w:eastAsia="Times New Roman" w:hAnsi="Times New Roman" w:cs="Times New Roman"/>
          <w:color w:val="auto"/>
          <w:spacing w:val="-13"/>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Expertise</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France</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is</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recruiting an expert in Environmental and Climate Economics, Green Budget Tagging, with strong knowledge of</w:t>
      </w:r>
      <w:r>
        <w:rPr>
          <w:rFonts w:ascii="Times New Roman" w:eastAsia="Times New Roman" w:hAnsi="Times New Roman" w:cs="Times New Roman"/>
          <w:color w:val="auto"/>
          <w:sz w:val="22"/>
          <w:szCs w:val="22"/>
          <w:lang w:val="en-GB"/>
          <w14:ligatures w14:val="none"/>
        </w:rPr>
        <w:t xml:space="preserve"> </w:t>
      </w:r>
      <w:r w:rsidR="00A103BC">
        <w:rPr>
          <w:rFonts w:ascii="Times New Roman" w:eastAsia="Times New Roman" w:hAnsi="Times New Roman" w:cs="Times New Roman"/>
          <w:color w:val="auto"/>
          <w:sz w:val="22"/>
          <w:szCs w:val="22"/>
          <w:lang w:val="en-GB"/>
          <w14:ligatures w14:val="none"/>
        </w:rPr>
        <w:t>Cyprus</w:t>
      </w:r>
      <w:r w:rsidRPr="00760494">
        <w:rPr>
          <w:rFonts w:ascii="Times New Roman" w:eastAsia="Times New Roman" w:hAnsi="Times New Roman" w:cs="Times New Roman"/>
          <w:color w:val="auto"/>
          <w:sz w:val="22"/>
          <w:szCs w:val="22"/>
          <w:lang w:val="en-GB"/>
          <w14:ligatures w14:val="none"/>
        </w:rPr>
        <w:t xml:space="preserve"> Public Financial Management (PFM) context</w:t>
      </w:r>
      <w:r>
        <w:rPr>
          <w:rFonts w:ascii="Times New Roman" w:eastAsia="Times New Roman" w:hAnsi="Times New Roman" w:cs="Times New Roman"/>
          <w:color w:val="auto"/>
          <w:sz w:val="22"/>
          <w:szCs w:val="22"/>
          <w:lang w:val="en-GB"/>
          <w14:ligatures w14:val="none"/>
        </w:rPr>
        <w:t>, environmental objectives,</w:t>
      </w:r>
      <w:r w:rsidRPr="00760494">
        <w:rPr>
          <w:rFonts w:ascii="Times New Roman" w:eastAsia="Times New Roman" w:hAnsi="Times New Roman" w:cs="Times New Roman"/>
          <w:color w:val="auto"/>
          <w:sz w:val="22"/>
          <w:szCs w:val="22"/>
          <w:lang w:val="en-GB"/>
          <w14:ligatures w14:val="none"/>
        </w:rPr>
        <w:t xml:space="preserve"> and experience/knowledge of latest policy developments at EU level, namely Do No Significant Harm, green budgeting developments at EU level.</w:t>
      </w:r>
    </w:p>
    <w:p w14:paraId="1873C31F" w14:textId="77777777" w:rsidR="00D83264" w:rsidRDefault="00D83264"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p>
    <w:p w14:paraId="23287B60" w14:textId="77777777" w:rsidR="00D83264" w:rsidRDefault="00264D12"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 expert will provide technical support to officials at </w:t>
      </w:r>
      <w:r w:rsidR="00D627E8">
        <w:rPr>
          <w:rFonts w:ascii="Times New Roman" w:eastAsia="Times New Roman" w:hAnsi="Times New Roman" w:cs="Times New Roman"/>
          <w:color w:val="auto"/>
          <w:sz w:val="22"/>
          <w:szCs w:val="22"/>
          <w:lang w:val="en-GB"/>
          <w14:ligatures w14:val="none"/>
        </w:rPr>
        <w:t>Cyprus</w:t>
      </w:r>
      <w:r>
        <w:rPr>
          <w:rFonts w:ascii="Times New Roman" w:eastAsia="Times New Roman" w:hAnsi="Times New Roman" w:cs="Times New Roman"/>
          <w:color w:val="auto"/>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Ministry of Finance by: </w:t>
      </w:r>
      <w:r w:rsidRPr="00760494">
        <w:rPr>
          <w:rFonts w:ascii="Times New Roman" w:eastAsia="Times New Roman" w:hAnsi="Times New Roman" w:cs="Times New Roman"/>
          <w:b/>
          <w:bCs/>
          <w:color w:val="auto"/>
          <w:sz w:val="22"/>
          <w:szCs w:val="22"/>
          <w:lang w:val="en-GB"/>
          <w14:ligatures w14:val="none"/>
        </w:rPr>
        <w:t>refining and testing the methodology for assessing and reporting climate-relevant expenditures, providing tailored recommendations for effective governance and coordination</w:t>
      </w:r>
      <w:r w:rsidR="00D83264">
        <w:rPr>
          <w:rFonts w:ascii="Times New Roman" w:eastAsia="Times New Roman" w:hAnsi="Times New Roman" w:cs="Times New Roman"/>
          <w:b/>
          <w:bCs/>
          <w:color w:val="auto"/>
          <w:sz w:val="22"/>
          <w:szCs w:val="22"/>
          <w:lang w:val="en-GB"/>
          <w14:ligatures w14:val="none"/>
        </w:rPr>
        <w:t xml:space="preserve"> of green budgeting practices, </w:t>
      </w:r>
      <w:r w:rsidRPr="00760494">
        <w:rPr>
          <w:rFonts w:ascii="Times New Roman" w:eastAsia="Times New Roman" w:hAnsi="Times New Roman" w:cs="Times New Roman"/>
          <w:b/>
          <w:bCs/>
          <w:color w:val="auto"/>
          <w:sz w:val="22"/>
          <w:szCs w:val="22"/>
          <w:lang w:val="en-GB"/>
          <w14:ligatures w14:val="none"/>
        </w:rPr>
        <w:t xml:space="preserve">and </w:t>
      </w:r>
      <w:r w:rsidR="00D41202">
        <w:rPr>
          <w:rFonts w:ascii="Times New Roman" w:eastAsia="Times New Roman" w:hAnsi="Times New Roman" w:cs="Times New Roman"/>
          <w:b/>
          <w:bCs/>
          <w:color w:val="auto"/>
          <w:sz w:val="22"/>
          <w:szCs w:val="22"/>
          <w:lang w:val="en-GB"/>
          <w14:ligatures w14:val="none"/>
        </w:rPr>
        <w:t>providing</w:t>
      </w:r>
      <w:r w:rsidRPr="00760494">
        <w:rPr>
          <w:rFonts w:ascii="Times New Roman" w:eastAsia="Times New Roman" w:hAnsi="Times New Roman" w:cs="Times New Roman"/>
          <w:b/>
          <w:bCs/>
          <w:color w:val="auto"/>
          <w:sz w:val="22"/>
          <w:szCs w:val="22"/>
          <w:lang w:val="en-GB"/>
          <w14:ligatures w14:val="none"/>
        </w:rPr>
        <w:t xml:space="preserve"> training </w:t>
      </w:r>
      <w:r w:rsidR="0038411A">
        <w:rPr>
          <w:rFonts w:ascii="Times New Roman" w:eastAsia="Times New Roman" w:hAnsi="Times New Roman" w:cs="Times New Roman"/>
          <w:b/>
          <w:bCs/>
          <w:color w:val="auto"/>
          <w:sz w:val="22"/>
          <w:szCs w:val="22"/>
          <w:lang w:val="en-GB"/>
          <w14:ligatures w14:val="none"/>
        </w:rPr>
        <w:t>on how link green budget tagging with existing</w:t>
      </w:r>
      <w:r w:rsidR="00860EE5" w:rsidRPr="00860EE5">
        <w:rPr>
          <w:rFonts w:ascii="Times New Roman" w:eastAsia="Times New Roman" w:hAnsi="Times New Roman" w:cs="Times New Roman"/>
          <w:b/>
          <w:bCs/>
          <w:color w:val="auto"/>
          <w:sz w:val="22"/>
          <w:szCs w:val="22"/>
          <w:lang w:val="en-GB"/>
          <w14:ligatures w14:val="none"/>
        </w:rPr>
        <w:t xml:space="preserve"> E</w:t>
      </w:r>
      <w:r w:rsidR="0038411A">
        <w:rPr>
          <w:rFonts w:ascii="Times New Roman" w:eastAsia="Times New Roman" w:hAnsi="Times New Roman" w:cs="Times New Roman"/>
          <w:b/>
          <w:bCs/>
          <w:color w:val="auto"/>
          <w:sz w:val="22"/>
          <w:szCs w:val="22"/>
          <w:lang w:val="en-GB"/>
          <w14:ligatures w14:val="none"/>
        </w:rPr>
        <w:t xml:space="preserve">nvironmental </w:t>
      </w:r>
      <w:r w:rsidR="00860EE5" w:rsidRPr="00860EE5">
        <w:rPr>
          <w:rFonts w:ascii="Times New Roman" w:eastAsia="Times New Roman" w:hAnsi="Times New Roman" w:cs="Times New Roman"/>
          <w:b/>
          <w:bCs/>
          <w:color w:val="auto"/>
          <w:sz w:val="22"/>
          <w:szCs w:val="22"/>
          <w:lang w:val="en-GB"/>
          <w14:ligatures w14:val="none"/>
        </w:rPr>
        <w:t>I</w:t>
      </w:r>
      <w:r w:rsidR="0038411A">
        <w:rPr>
          <w:rFonts w:ascii="Times New Roman" w:eastAsia="Times New Roman" w:hAnsi="Times New Roman" w:cs="Times New Roman"/>
          <w:b/>
          <w:bCs/>
          <w:color w:val="auto"/>
          <w:sz w:val="22"/>
          <w:szCs w:val="22"/>
          <w:lang w:val="en-GB"/>
          <w14:ligatures w14:val="none"/>
        </w:rPr>
        <w:t>mpact Assessment (EIA) practices.</w:t>
      </w:r>
    </w:p>
    <w:p w14:paraId="3D67ECE0" w14:textId="77777777" w:rsidR="00D83264" w:rsidRDefault="00D83264"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p>
    <w:p w14:paraId="3E5DCA1A" w14:textId="6311D010" w:rsidR="00264D12" w:rsidRPr="00D83264" w:rsidRDefault="00264D12" w:rsidP="00D83264">
      <w:pPr>
        <w:widowControl w:val="0"/>
        <w:autoSpaceDE w:val="0"/>
        <w:autoSpaceDN w:val="0"/>
        <w:spacing w:after="0" w:line="240" w:lineRule="auto"/>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The expert will collaborate with officials from the</w:t>
      </w:r>
      <w:r>
        <w:rPr>
          <w:rFonts w:ascii="Times New Roman" w:eastAsia="Times New Roman" w:hAnsi="Times New Roman" w:cs="Times New Roman"/>
          <w:color w:val="auto"/>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Ministry </w:t>
      </w:r>
      <w:r>
        <w:rPr>
          <w:rFonts w:ascii="Times New Roman" w:eastAsia="Times New Roman" w:hAnsi="Times New Roman" w:cs="Times New Roman"/>
          <w:color w:val="auto"/>
          <w:sz w:val="22"/>
          <w:szCs w:val="22"/>
          <w:lang w:val="en-GB"/>
          <w14:ligatures w14:val="none"/>
        </w:rPr>
        <w:t xml:space="preserve">of Finance </w:t>
      </w:r>
      <w:r w:rsidRPr="00760494">
        <w:rPr>
          <w:rFonts w:ascii="Times New Roman" w:eastAsia="Times New Roman" w:hAnsi="Times New Roman" w:cs="Times New Roman"/>
          <w:color w:val="auto"/>
          <w:sz w:val="22"/>
          <w:szCs w:val="22"/>
          <w:lang w:val="en-GB"/>
          <w14:ligatures w14:val="none"/>
        </w:rPr>
        <w:t>and focal points from relevant line ministries,</w:t>
      </w:r>
      <w:r w:rsidRPr="00760494">
        <w:rPr>
          <w:rFonts w:ascii="Times New Roman" w:eastAsia="Times New Roman" w:hAnsi="Times New Roman" w:cs="Times New Roman"/>
          <w:color w:val="auto"/>
          <w:spacing w:val="-6"/>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along</w:t>
      </w:r>
      <w:r w:rsidRPr="00760494">
        <w:rPr>
          <w:rFonts w:ascii="Times New Roman" w:eastAsia="Times New Roman" w:hAnsi="Times New Roman" w:cs="Times New Roman"/>
          <w:color w:val="auto"/>
          <w:spacing w:val="-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with</w:t>
      </w:r>
      <w:r w:rsidRPr="00760494">
        <w:rPr>
          <w:rFonts w:ascii="Times New Roman" w:eastAsia="Times New Roman" w:hAnsi="Times New Roman" w:cs="Times New Roman"/>
          <w:color w:val="auto"/>
          <w:spacing w:val="-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Expertise France´s Project Management team, </w:t>
      </w:r>
      <w:bookmarkStart w:id="0" w:name="_Hlk171522913"/>
      <w:r w:rsidRPr="00760494">
        <w:rPr>
          <w:rFonts w:ascii="Times New Roman" w:eastAsia="Times New Roman" w:hAnsi="Times New Roman" w:cs="Times New Roman"/>
          <w:color w:val="auto"/>
          <w:sz w:val="22"/>
          <w:szCs w:val="22"/>
          <w:lang w:val="en-GB"/>
          <w14:ligatures w14:val="none"/>
        </w:rPr>
        <w:t xml:space="preserve">policy officers from the Task Force for Reform and Investment (SG REFORM), and technical experts from the European Commission Joint Research Centre (JRC). </w:t>
      </w:r>
    </w:p>
    <w:p w14:paraId="2F1F1D77"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57BA25C9"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r w:rsidRPr="00760494">
        <w:rPr>
          <w:rFonts w:ascii="Times New Roman" w:eastAsia="Times New Roman" w:hAnsi="Times New Roman" w:cs="Times New Roman"/>
          <w:color w:val="auto"/>
          <w:sz w:val="22"/>
          <w:szCs w:val="22"/>
          <w:u w:val="single"/>
          <w:lang w:val="en-GB"/>
          <w14:ligatures w14:val="none"/>
        </w:rPr>
        <w:t>Project and Country-specific context:</w:t>
      </w:r>
    </w:p>
    <w:p w14:paraId="1B487BC5"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p>
    <w:p w14:paraId="46C0EFAF"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Green Budgeting aims to align national budgets with sustainability objectives by systematically identifying, assessing, and reporting expenditures and revenues that impact climate and environmental goals. This reform initiative enhances transparency, policy coherence, and informed decision-making, supporting the transition to a sustainable and resilient economy.</w:t>
      </w:r>
    </w:p>
    <w:p w14:paraId="72B7F279"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reformed </w:t>
      </w:r>
      <w:r w:rsidRPr="00760494">
        <w:rPr>
          <w:rFonts w:ascii="Times New Roman" w:eastAsia="Times New Roman" w:hAnsi="Times New Roman" w:cs="Times New Roman"/>
          <w:b/>
          <w:bCs/>
          <w:color w:val="auto"/>
          <w:sz w:val="22"/>
          <w:szCs w:val="22"/>
          <w:lang w:val="en-IE"/>
          <w14:ligatures w14:val="none"/>
        </w:rPr>
        <w:t>EU Economic Governance Framework</w:t>
      </w:r>
      <w:r w:rsidRPr="00760494">
        <w:rPr>
          <w:rFonts w:ascii="Times New Roman" w:eastAsia="Times New Roman" w:hAnsi="Times New Roman" w:cs="Times New Roman"/>
          <w:color w:val="auto"/>
          <w:sz w:val="22"/>
          <w:szCs w:val="22"/>
          <w:lang w:val="en-IE"/>
          <w14:ligatures w14:val="none"/>
        </w:rPr>
        <w:t>, which entered into force in April 2024, aims to ensure sound and sustainable public finances while promoting inclusive and sustainable economic growth. The reform introduces medium-term fiscal structural plans, requiring Member States to outline fiscal, structural, and investment policies over a 4–5-year horizon, with a macroeconomic outlook spanning up to seven years for reforms and investments. This framework aligns public finances with country-specific challenges and EU priorities, including the European Green Deal.</w:t>
      </w:r>
    </w:p>
    <w:p w14:paraId="15DE0D5C"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recently adopted </w:t>
      </w:r>
      <w:r w:rsidRPr="00760494">
        <w:rPr>
          <w:rFonts w:ascii="Times New Roman" w:eastAsia="Times New Roman" w:hAnsi="Times New Roman" w:cs="Times New Roman"/>
          <w:b/>
          <w:bCs/>
          <w:color w:val="auto"/>
          <w:sz w:val="22"/>
          <w:szCs w:val="22"/>
          <w:lang w:val="en-IE"/>
          <w14:ligatures w14:val="none"/>
        </w:rPr>
        <w:t>EU Directive 2024/1265</w:t>
      </w:r>
      <w:r w:rsidRPr="00760494">
        <w:rPr>
          <w:rFonts w:ascii="Times New Roman" w:eastAsia="Times New Roman" w:hAnsi="Times New Roman" w:cs="Times New Roman"/>
          <w:b/>
          <w:bCs/>
          <w:color w:val="auto"/>
          <w:sz w:val="22"/>
          <w:szCs w:val="22"/>
          <w:vertAlign w:val="superscript"/>
          <w:lang w:val="en-IE"/>
          <w14:ligatures w14:val="none"/>
        </w:rPr>
        <w:footnoteReference w:id="1"/>
      </w:r>
      <w:r w:rsidRPr="00760494">
        <w:rPr>
          <w:rFonts w:ascii="Times New Roman" w:eastAsia="Times New Roman" w:hAnsi="Times New Roman" w:cs="Times New Roman"/>
          <w:color w:val="auto"/>
          <w:sz w:val="22"/>
          <w:szCs w:val="22"/>
          <w:lang w:val="en-IE"/>
          <w14:ligatures w14:val="none"/>
        </w:rPr>
        <w:t xml:space="preserve"> and the new </w:t>
      </w:r>
      <w:r w:rsidRPr="00760494">
        <w:rPr>
          <w:rFonts w:ascii="Times New Roman" w:eastAsia="Times New Roman" w:hAnsi="Times New Roman" w:cs="Times New Roman"/>
          <w:b/>
          <w:bCs/>
          <w:color w:val="auto"/>
          <w:sz w:val="22"/>
          <w:szCs w:val="22"/>
          <w:lang w:val="en-IE"/>
          <w14:ligatures w14:val="none"/>
        </w:rPr>
        <w:t>EU Economic Governance Framework</w:t>
      </w:r>
      <w:r w:rsidRPr="00760494">
        <w:rPr>
          <w:rFonts w:ascii="Times New Roman" w:eastAsia="Times New Roman" w:hAnsi="Times New Roman" w:cs="Times New Roman"/>
          <w:color w:val="auto"/>
          <w:sz w:val="22"/>
          <w:szCs w:val="22"/>
          <w:lang w:val="en-IE"/>
          <w14:ligatures w14:val="none"/>
        </w:rPr>
        <w:t xml:space="preserve"> emphasize the importance of aligning fiscal policies with sustainability and climate objectives. The Directive requires Member States to report on macro-fiscal risks arising from climate change, climate-related contingent liabilities, and fiscal costs of disasters. </w:t>
      </w:r>
    </w:p>
    <w:p w14:paraId="02B35093"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w:t>
      </w:r>
      <w:r w:rsidRPr="00760494">
        <w:rPr>
          <w:rFonts w:ascii="Times New Roman" w:eastAsia="Times New Roman" w:hAnsi="Times New Roman" w:cs="Times New Roman"/>
          <w:b/>
          <w:bCs/>
          <w:color w:val="auto"/>
          <w:sz w:val="22"/>
          <w:szCs w:val="22"/>
          <w:lang w:val="en-IE"/>
          <w14:ligatures w14:val="none"/>
        </w:rPr>
        <w:t>Green Deal Communication</w:t>
      </w:r>
      <w:r w:rsidRPr="00760494">
        <w:rPr>
          <w:rFonts w:ascii="Times New Roman" w:eastAsia="Times New Roman" w:hAnsi="Times New Roman" w:cs="Times New Roman"/>
          <w:color w:val="auto"/>
          <w:sz w:val="22"/>
          <w:szCs w:val="22"/>
          <w:lang w:val="en-IE"/>
          <w14:ligatures w14:val="none"/>
        </w:rPr>
        <w:t xml:space="preserve">, the </w:t>
      </w:r>
      <w:r w:rsidRPr="00760494">
        <w:rPr>
          <w:rFonts w:ascii="Times New Roman" w:eastAsia="Times New Roman" w:hAnsi="Times New Roman" w:cs="Times New Roman"/>
          <w:b/>
          <w:bCs/>
          <w:color w:val="auto"/>
          <w:sz w:val="22"/>
          <w:szCs w:val="22"/>
          <w:lang w:val="en-IE"/>
          <w14:ligatures w14:val="none"/>
        </w:rPr>
        <w:t>Fit for 55 package</w:t>
      </w:r>
      <w:r w:rsidRPr="00760494">
        <w:rPr>
          <w:rFonts w:ascii="Times New Roman" w:eastAsia="Times New Roman" w:hAnsi="Times New Roman" w:cs="Times New Roman"/>
          <w:b/>
          <w:bCs/>
          <w:color w:val="auto"/>
          <w:sz w:val="22"/>
          <w:szCs w:val="22"/>
          <w:vertAlign w:val="superscript"/>
          <w:lang w:val="en-IE"/>
          <w14:ligatures w14:val="none"/>
        </w:rPr>
        <w:footnoteReference w:id="2"/>
      </w:r>
      <w:r w:rsidRPr="00760494">
        <w:rPr>
          <w:rFonts w:ascii="Times New Roman" w:eastAsia="Times New Roman" w:hAnsi="Times New Roman" w:cs="Times New Roman"/>
          <w:color w:val="auto"/>
          <w:sz w:val="22"/>
          <w:szCs w:val="22"/>
          <w:lang w:val="en-IE"/>
          <w14:ligatures w14:val="none"/>
        </w:rPr>
        <w:t xml:space="preserve">, and the </w:t>
      </w:r>
      <w:r w:rsidRPr="00760494">
        <w:rPr>
          <w:rFonts w:ascii="Times New Roman" w:eastAsia="Times New Roman" w:hAnsi="Times New Roman" w:cs="Times New Roman"/>
          <w:b/>
          <w:bCs/>
          <w:color w:val="auto"/>
          <w:sz w:val="22"/>
          <w:szCs w:val="22"/>
          <w:lang w:val="en-IE"/>
          <w14:ligatures w14:val="none"/>
        </w:rPr>
        <w:t>reformed EU Economic Governance Framework</w:t>
      </w:r>
      <w:r w:rsidRPr="00760494">
        <w:rPr>
          <w:rFonts w:ascii="Times New Roman" w:eastAsia="Times New Roman" w:hAnsi="Times New Roman" w:cs="Times New Roman"/>
          <w:color w:val="auto"/>
          <w:sz w:val="22"/>
          <w:szCs w:val="22"/>
          <w:lang w:val="en-IE"/>
          <w14:ligatures w14:val="none"/>
        </w:rPr>
        <w:t xml:space="preserve"> set an ambitious policy context for addressing climate change, emphasizing the need to align public finances with climate and environmental objectives. Green Budgeting is critical to achieving these goals.</w:t>
      </w:r>
    </w:p>
    <w:p w14:paraId="3426DC30" w14:textId="77777777" w:rsidR="00264D12" w:rsidRPr="00760494" w:rsidRDefault="00264D12" w:rsidP="00D8326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Between 2021 and 2024, the Commission implemented the </w:t>
      </w:r>
      <w:r w:rsidRPr="00760494">
        <w:rPr>
          <w:rFonts w:ascii="Times New Roman" w:eastAsia="Times New Roman" w:hAnsi="Times New Roman" w:cs="Times New Roman"/>
          <w:b/>
          <w:bCs/>
          <w:color w:val="auto"/>
          <w:sz w:val="22"/>
          <w:szCs w:val="22"/>
          <w:lang w:val="en-IE"/>
          <w14:ligatures w14:val="none"/>
        </w:rPr>
        <w:t>Green Budgeting Training Programme</w:t>
      </w:r>
      <w:r w:rsidRPr="00760494">
        <w:rPr>
          <w:rFonts w:ascii="Times New Roman" w:eastAsia="Times New Roman" w:hAnsi="Times New Roman" w:cs="Times New Roman"/>
          <w:b/>
          <w:bCs/>
          <w:color w:val="auto"/>
          <w:sz w:val="22"/>
          <w:szCs w:val="22"/>
          <w:vertAlign w:val="superscript"/>
          <w:lang w:val="en-IE"/>
          <w14:ligatures w14:val="none"/>
        </w:rPr>
        <w:footnoteReference w:id="3"/>
      </w:r>
      <w:r w:rsidRPr="00760494">
        <w:rPr>
          <w:rFonts w:ascii="Times New Roman" w:eastAsia="Times New Roman" w:hAnsi="Times New Roman" w:cs="Times New Roman"/>
          <w:color w:val="auto"/>
          <w:sz w:val="22"/>
          <w:szCs w:val="22"/>
          <w:lang w:val="en-IE"/>
          <w14:ligatures w14:val="none"/>
        </w:rPr>
        <w:t xml:space="preserve">, a multi-country technical support project under the Technical Support Instrument (TSI). This program, based on the European Union Green Budgeting Reference Framework, provided capacity-building in </w:t>
      </w:r>
      <w:r w:rsidRPr="00760494">
        <w:rPr>
          <w:rFonts w:ascii="Times New Roman" w:eastAsia="Times New Roman" w:hAnsi="Times New Roman" w:cs="Times New Roman"/>
          <w:color w:val="auto"/>
          <w:sz w:val="22"/>
          <w:szCs w:val="22"/>
          <w:lang w:val="en-IE"/>
          <w14:ligatures w14:val="none"/>
        </w:rPr>
        <w:lastRenderedPageBreak/>
        <w:t>Green Budgeting to 23 Member States. It consisted of four modules covering foundational principles, tagging methodologies, environmental impact assessments, and peer-to-peer exchanges. The program:</w:t>
      </w:r>
    </w:p>
    <w:p w14:paraId="51D9ED8A" w14:textId="77777777" w:rsidR="00264D12" w:rsidRPr="00760494" w:rsidRDefault="00264D12" w:rsidP="00D8326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Trained approximately 1,200 participants.</w:t>
      </w:r>
    </w:p>
    <w:p w14:paraId="307A9848" w14:textId="77777777" w:rsidR="00264D12" w:rsidRPr="00760494" w:rsidRDefault="00264D12" w:rsidP="00D8326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Enabled Member States to develop and implement Green Budgeting frameworks at the national level.</w:t>
      </w:r>
    </w:p>
    <w:p w14:paraId="6A30D121" w14:textId="56F718E7" w:rsidR="00264D12" w:rsidRDefault="00264D12" w:rsidP="00D8326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Fostered cross-border collaboration and established a community of Green Budgeting Practitioners among public officials across the EU.</w:t>
      </w:r>
    </w:p>
    <w:p w14:paraId="6083335A" w14:textId="77777777" w:rsidR="00D83264" w:rsidRPr="00760494" w:rsidRDefault="00D83264" w:rsidP="00D8326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p>
    <w:p w14:paraId="6DD3CA0F"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Implementing Effective Green Budgeting practices</w:t>
      </w:r>
    </w:p>
    <w:p w14:paraId="70FB90F1"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b/>
          <w:bCs/>
          <w:color w:val="auto"/>
          <w:sz w:val="22"/>
          <w:szCs w:val="22"/>
          <w:lang w:val="en-GB"/>
          <w14:ligatures w14:val="none"/>
        </w:rPr>
      </w:pPr>
    </w:p>
    <w:p w14:paraId="7DF4522D" w14:textId="58EA2F1D"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These technical support needs shall be addressed in the framework of this new project for Implementing Effective Green Budgeting practices. The Beneficiary Authorities are facing unique challenges in implementing green budgeting practices. Each country has its own specific challenges, such as developing tagging methodologies, institutionalizing green budgeting, and integrating environmental impact assessments into budgeting processes. Despite progress made, each country </w:t>
      </w:r>
      <w:r w:rsidR="00D83264" w:rsidRPr="00760494">
        <w:rPr>
          <w:rFonts w:ascii="Times New Roman" w:eastAsia="Times New Roman" w:hAnsi="Times New Roman" w:cs="Times New Roman"/>
          <w:color w:val="auto"/>
          <w:sz w:val="22"/>
          <w:szCs w:val="22"/>
          <w:lang w:val="en-GB"/>
          <w14:ligatures w14:val="none"/>
        </w:rPr>
        <w:t>requires</w:t>
      </w:r>
      <w:r w:rsidRPr="00760494">
        <w:rPr>
          <w:rFonts w:ascii="Times New Roman" w:eastAsia="Times New Roman" w:hAnsi="Times New Roman" w:cs="Times New Roman"/>
          <w:color w:val="auto"/>
          <w:sz w:val="22"/>
          <w:szCs w:val="22"/>
          <w:lang w:val="en-GB"/>
          <w14:ligatures w14:val="none"/>
        </w:rPr>
        <w:t xml:space="preserve"> technical support to address gaps in capacity, governance, and data management, and to refine methodologies for identifying and categorizing green expenditures. The countries will benefit from the action through tailored support as well as common activities to share experiences, develop and strengthen methodologies, and foster cross-border collaboration.</w:t>
      </w:r>
    </w:p>
    <w:p w14:paraId="21018674"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p>
    <w:p w14:paraId="528FDE97"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Croatia, Czech Republic, Cyprus, Denmark, France, Ireland, Portugal, Slovakia, Slovenia and Spain have requested support from the European Commission under Regulation (EU) 2021/240 establishing a Technical Support Instrument ("TSI Regulation").  The request for technical support was assessed by the European Commission in accordance with the criteria and principles referred to in Article 9 of the TSI Regulation and was selected for funding. </w:t>
      </w:r>
    </w:p>
    <w:p w14:paraId="745B2783"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p>
    <w:p w14:paraId="6807B291"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The national authorities that requested technical support and will benefit from this Project are:</w:t>
      </w:r>
    </w:p>
    <w:p w14:paraId="0A5A46C3" w14:textId="5C7726A2"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the Republic of Croatia (</w:t>
      </w:r>
      <w:proofErr w:type="spellStart"/>
      <w:r w:rsidRPr="00D83264">
        <w:rPr>
          <w:rFonts w:ascii="Times New Roman" w:eastAsia="Times New Roman" w:hAnsi="Times New Roman" w:cs="Times New Roman"/>
          <w:color w:val="auto"/>
          <w:sz w:val="22"/>
          <w:szCs w:val="22"/>
          <w:lang w:val="en-GB"/>
          <w14:ligatures w14:val="none"/>
        </w:rPr>
        <w:t>Ministarstvo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financija</w:t>
      </w:r>
      <w:proofErr w:type="spellEnd"/>
      <w:r w:rsidRPr="00D83264">
        <w:rPr>
          <w:rFonts w:ascii="Times New Roman" w:eastAsia="Times New Roman" w:hAnsi="Times New Roman" w:cs="Times New Roman"/>
          <w:color w:val="auto"/>
          <w:sz w:val="22"/>
          <w:szCs w:val="22"/>
          <w:lang w:val="en-GB"/>
          <w14:ligatures w14:val="none"/>
        </w:rPr>
        <w:t>)</w:t>
      </w:r>
    </w:p>
    <w:p w14:paraId="44595166" w14:textId="0B9D58AD"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Cyprus</w:t>
      </w:r>
    </w:p>
    <w:p w14:paraId="3194967D" w14:textId="096E2783"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the Czech Republic (</w:t>
      </w:r>
      <w:proofErr w:type="spellStart"/>
      <w:r w:rsidRPr="00D83264">
        <w:rPr>
          <w:rFonts w:ascii="Times New Roman" w:eastAsia="Times New Roman" w:hAnsi="Times New Roman" w:cs="Times New Roman"/>
          <w:color w:val="auto"/>
          <w:sz w:val="22"/>
          <w:szCs w:val="22"/>
          <w:lang w:val="en-GB"/>
          <w14:ligatures w14:val="none"/>
        </w:rPr>
        <w:t>Ministerstvo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financí</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České</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republiky</w:t>
      </w:r>
      <w:proofErr w:type="spellEnd"/>
      <w:r w:rsidRPr="00D83264">
        <w:rPr>
          <w:rFonts w:ascii="Times New Roman" w:eastAsia="Times New Roman" w:hAnsi="Times New Roman" w:cs="Times New Roman"/>
          <w:color w:val="auto"/>
          <w:sz w:val="22"/>
          <w:szCs w:val="22"/>
          <w:lang w:val="en-GB"/>
          <w14:ligatures w14:val="none"/>
        </w:rPr>
        <w:t>)</w:t>
      </w:r>
    </w:p>
    <w:p w14:paraId="2C5E0A7C" w14:textId="08427FC4"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Denmark (</w:t>
      </w:r>
      <w:proofErr w:type="spellStart"/>
      <w:r w:rsidRPr="00D83264">
        <w:rPr>
          <w:rFonts w:ascii="Times New Roman" w:eastAsia="Times New Roman" w:hAnsi="Times New Roman" w:cs="Times New Roman"/>
          <w:color w:val="auto"/>
          <w:sz w:val="22"/>
          <w:szCs w:val="22"/>
          <w:lang w:val="en-GB"/>
          <w14:ligatures w14:val="none"/>
        </w:rPr>
        <w:t>Finansministeriet</w:t>
      </w:r>
      <w:proofErr w:type="spellEnd"/>
      <w:r w:rsidRPr="00D83264">
        <w:rPr>
          <w:rFonts w:ascii="Times New Roman" w:eastAsia="Times New Roman" w:hAnsi="Times New Roman" w:cs="Times New Roman"/>
          <w:color w:val="auto"/>
          <w:sz w:val="22"/>
          <w:szCs w:val="22"/>
          <w:lang w:val="en-GB"/>
          <w14:ligatures w14:val="none"/>
        </w:rPr>
        <w:t>)</w:t>
      </w:r>
    </w:p>
    <w:p w14:paraId="2EC4FF0E" w14:textId="58E964EF"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 xml:space="preserve">General Direction for Public Finances and Budget Directorate, Ministry of Economics, Finance and Industrial and Digital Sovereignty (Direction </w:t>
      </w:r>
      <w:proofErr w:type="spellStart"/>
      <w:r w:rsidRPr="00D83264">
        <w:rPr>
          <w:rFonts w:ascii="Times New Roman" w:eastAsia="Times New Roman" w:hAnsi="Times New Roman" w:cs="Times New Roman"/>
          <w:color w:val="auto"/>
          <w:sz w:val="22"/>
          <w:szCs w:val="22"/>
          <w:lang w:val="en-GB"/>
          <w14:ligatures w14:val="none"/>
        </w:rPr>
        <w:t>Générale</w:t>
      </w:r>
      <w:proofErr w:type="spellEnd"/>
      <w:r w:rsidRPr="00D83264">
        <w:rPr>
          <w:rFonts w:ascii="Times New Roman" w:eastAsia="Times New Roman" w:hAnsi="Times New Roman" w:cs="Times New Roman"/>
          <w:color w:val="auto"/>
          <w:sz w:val="22"/>
          <w:szCs w:val="22"/>
          <w:lang w:val="en-GB"/>
          <w14:ligatures w14:val="none"/>
        </w:rPr>
        <w:t xml:space="preserve"> des Finances </w:t>
      </w:r>
      <w:proofErr w:type="spellStart"/>
      <w:r w:rsidRPr="00D83264">
        <w:rPr>
          <w:rFonts w:ascii="Times New Roman" w:eastAsia="Times New Roman" w:hAnsi="Times New Roman" w:cs="Times New Roman"/>
          <w:color w:val="auto"/>
          <w:sz w:val="22"/>
          <w:szCs w:val="22"/>
          <w:lang w:val="en-GB"/>
          <w14:ligatures w14:val="none"/>
        </w:rPr>
        <w:t>Publiques</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DGFiP</w:t>
      </w:r>
      <w:proofErr w:type="spellEnd"/>
      <w:r w:rsidRPr="00D83264">
        <w:rPr>
          <w:rFonts w:ascii="Times New Roman" w:eastAsia="Times New Roman" w:hAnsi="Times New Roman" w:cs="Times New Roman"/>
          <w:color w:val="auto"/>
          <w:sz w:val="22"/>
          <w:szCs w:val="22"/>
          <w:lang w:val="en-GB"/>
          <w14:ligatures w14:val="none"/>
        </w:rPr>
        <w:t>) and Direction du Budget (</w:t>
      </w:r>
      <w:proofErr w:type="spellStart"/>
      <w:r w:rsidRPr="00D83264">
        <w:rPr>
          <w:rFonts w:ascii="Times New Roman" w:eastAsia="Times New Roman" w:hAnsi="Times New Roman" w:cs="Times New Roman"/>
          <w:color w:val="auto"/>
          <w:sz w:val="22"/>
          <w:szCs w:val="22"/>
          <w:lang w:val="en-GB"/>
          <w14:ligatures w14:val="none"/>
        </w:rPr>
        <w:t>Ministère</w:t>
      </w:r>
      <w:proofErr w:type="spellEnd"/>
      <w:r w:rsidRPr="00D83264">
        <w:rPr>
          <w:rFonts w:ascii="Times New Roman" w:eastAsia="Times New Roman" w:hAnsi="Times New Roman" w:cs="Times New Roman"/>
          <w:color w:val="auto"/>
          <w:sz w:val="22"/>
          <w:szCs w:val="22"/>
          <w:lang w:val="en-GB"/>
          <w14:ligatures w14:val="none"/>
        </w:rPr>
        <w:t xml:space="preserve"> de </w:t>
      </w:r>
      <w:proofErr w:type="spellStart"/>
      <w:r w:rsidRPr="00D83264">
        <w:rPr>
          <w:rFonts w:ascii="Times New Roman" w:eastAsia="Times New Roman" w:hAnsi="Times New Roman" w:cs="Times New Roman"/>
          <w:color w:val="auto"/>
          <w:sz w:val="22"/>
          <w:szCs w:val="22"/>
          <w:lang w:val="en-GB"/>
          <w14:ligatures w14:val="none"/>
        </w:rPr>
        <w:t>l’Économie</w:t>
      </w:r>
      <w:proofErr w:type="spellEnd"/>
      <w:r w:rsidRPr="00D83264">
        <w:rPr>
          <w:rFonts w:ascii="Times New Roman" w:eastAsia="Times New Roman" w:hAnsi="Times New Roman" w:cs="Times New Roman"/>
          <w:color w:val="auto"/>
          <w:sz w:val="22"/>
          <w:szCs w:val="22"/>
          <w:lang w:val="en-GB"/>
          <w14:ligatures w14:val="none"/>
        </w:rPr>
        <w:t xml:space="preserve">, des Finances et de </w:t>
      </w:r>
      <w:proofErr w:type="spellStart"/>
      <w:r w:rsidRPr="00D83264">
        <w:rPr>
          <w:rFonts w:ascii="Times New Roman" w:eastAsia="Times New Roman" w:hAnsi="Times New Roman" w:cs="Times New Roman"/>
          <w:color w:val="auto"/>
          <w:sz w:val="22"/>
          <w:szCs w:val="22"/>
          <w:lang w:val="en-GB"/>
          <w14:ligatures w14:val="none"/>
        </w:rPr>
        <w:t>l’Industrie</w:t>
      </w:r>
      <w:proofErr w:type="spellEnd"/>
      <w:r w:rsidRPr="00D83264">
        <w:rPr>
          <w:rFonts w:ascii="Times New Roman" w:eastAsia="Times New Roman" w:hAnsi="Times New Roman" w:cs="Times New Roman"/>
          <w:color w:val="auto"/>
          <w:sz w:val="22"/>
          <w:szCs w:val="22"/>
          <w:lang w:val="en-GB"/>
          <w14:ligatures w14:val="none"/>
        </w:rPr>
        <w:t>)</w:t>
      </w:r>
    </w:p>
    <w:p w14:paraId="567984EA" w14:textId="3CE896E0"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 xml:space="preserve">Department of Public Expenditure and Reform, Department of Finance of Ireland (An </w:t>
      </w:r>
      <w:proofErr w:type="spellStart"/>
      <w:r w:rsidRPr="00D83264">
        <w:rPr>
          <w:rFonts w:ascii="Times New Roman" w:eastAsia="Times New Roman" w:hAnsi="Times New Roman" w:cs="Times New Roman"/>
          <w:color w:val="auto"/>
          <w:sz w:val="22"/>
          <w:szCs w:val="22"/>
          <w:lang w:val="en-GB"/>
          <w14:ligatures w14:val="none"/>
        </w:rPr>
        <w:t>Roinn</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Caiteachais</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Phoiblí</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Bonneagair</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Seirbhísí</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Poiblí</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Athchóirithe</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agus</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Digiteachaithe</w:t>
      </w:r>
      <w:proofErr w:type="spellEnd"/>
      <w:r w:rsidRPr="00D83264">
        <w:rPr>
          <w:rFonts w:ascii="Times New Roman" w:eastAsia="Times New Roman" w:hAnsi="Times New Roman" w:cs="Times New Roman"/>
          <w:color w:val="auto"/>
          <w:sz w:val="22"/>
          <w:szCs w:val="22"/>
          <w:lang w:val="en-GB"/>
          <w14:ligatures w14:val="none"/>
        </w:rPr>
        <w:t>)</w:t>
      </w:r>
    </w:p>
    <w:p w14:paraId="0EECF421" w14:textId="27FEA194"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Office for Economic Policy and International Affairs, Ministry of Finance (</w:t>
      </w:r>
      <w:proofErr w:type="spellStart"/>
      <w:r w:rsidRPr="00D83264">
        <w:rPr>
          <w:rFonts w:ascii="Times New Roman" w:eastAsia="Times New Roman" w:hAnsi="Times New Roman" w:cs="Times New Roman"/>
          <w:color w:val="auto"/>
          <w:sz w:val="22"/>
          <w:szCs w:val="22"/>
          <w:lang w:val="en-GB"/>
          <w14:ligatures w14:val="none"/>
        </w:rPr>
        <w:t>Gabinete</w:t>
      </w:r>
      <w:proofErr w:type="spellEnd"/>
      <w:r w:rsidRPr="00D83264">
        <w:rPr>
          <w:rFonts w:ascii="Times New Roman" w:eastAsia="Times New Roman" w:hAnsi="Times New Roman" w:cs="Times New Roman"/>
          <w:color w:val="auto"/>
          <w:sz w:val="22"/>
          <w:szCs w:val="22"/>
          <w:lang w:val="en-GB"/>
          <w14:ligatures w14:val="none"/>
        </w:rPr>
        <w:t xml:space="preserve"> de </w:t>
      </w:r>
      <w:proofErr w:type="spellStart"/>
      <w:r w:rsidRPr="00D83264">
        <w:rPr>
          <w:rFonts w:ascii="Times New Roman" w:eastAsia="Times New Roman" w:hAnsi="Times New Roman" w:cs="Times New Roman"/>
          <w:color w:val="auto"/>
          <w:sz w:val="22"/>
          <w:szCs w:val="22"/>
          <w:lang w:val="en-GB"/>
          <w14:ligatures w14:val="none"/>
        </w:rPr>
        <w:t>Planeamento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Estratégia</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Avaliação</w:t>
      </w:r>
      <w:proofErr w:type="spellEnd"/>
      <w:r w:rsidRPr="00D83264">
        <w:rPr>
          <w:rFonts w:ascii="Times New Roman" w:eastAsia="Times New Roman" w:hAnsi="Times New Roman" w:cs="Times New Roman"/>
          <w:color w:val="auto"/>
          <w:sz w:val="22"/>
          <w:szCs w:val="22"/>
          <w:lang w:val="en-GB"/>
          <w14:ligatures w14:val="none"/>
        </w:rPr>
        <w:t xml:space="preserve"> e </w:t>
      </w:r>
      <w:proofErr w:type="spellStart"/>
      <w:r w:rsidRPr="00D83264">
        <w:rPr>
          <w:rFonts w:ascii="Times New Roman" w:eastAsia="Times New Roman" w:hAnsi="Times New Roman" w:cs="Times New Roman"/>
          <w:color w:val="auto"/>
          <w:sz w:val="22"/>
          <w:szCs w:val="22"/>
          <w:lang w:val="en-GB"/>
          <w14:ligatures w14:val="none"/>
        </w:rPr>
        <w:t>Relações</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Internacionais</w:t>
      </w:r>
      <w:proofErr w:type="spellEnd"/>
      <w:r w:rsidRPr="00D83264">
        <w:rPr>
          <w:rFonts w:ascii="Times New Roman" w:eastAsia="Times New Roman" w:hAnsi="Times New Roman" w:cs="Times New Roman"/>
          <w:color w:val="auto"/>
          <w:sz w:val="22"/>
          <w:szCs w:val="22"/>
          <w:lang w:val="en-GB"/>
          <w14:ligatures w14:val="none"/>
        </w:rPr>
        <w:t xml:space="preserve"> (GPEARI) – </w:t>
      </w:r>
      <w:proofErr w:type="spellStart"/>
      <w:r w:rsidRPr="00D83264">
        <w:rPr>
          <w:rFonts w:ascii="Times New Roman" w:eastAsia="Times New Roman" w:hAnsi="Times New Roman" w:cs="Times New Roman"/>
          <w:color w:val="auto"/>
          <w:sz w:val="22"/>
          <w:szCs w:val="22"/>
          <w:lang w:val="en-GB"/>
          <w14:ligatures w14:val="none"/>
        </w:rPr>
        <w:t>Ministério</w:t>
      </w:r>
      <w:proofErr w:type="spellEnd"/>
      <w:r w:rsidRPr="00D83264">
        <w:rPr>
          <w:rFonts w:ascii="Times New Roman" w:eastAsia="Times New Roman" w:hAnsi="Times New Roman" w:cs="Times New Roman"/>
          <w:color w:val="auto"/>
          <w:sz w:val="22"/>
          <w:szCs w:val="22"/>
          <w:lang w:val="en-GB"/>
          <w14:ligatures w14:val="none"/>
        </w:rPr>
        <w:t xml:space="preserve"> das </w:t>
      </w:r>
      <w:proofErr w:type="spellStart"/>
      <w:r w:rsidRPr="00D83264">
        <w:rPr>
          <w:rFonts w:ascii="Times New Roman" w:eastAsia="Times New Roman" w:hAnsi="Times New Roman" w:cs="Times New Roman"/>
          <w:color w:val="auto"/>
          <w:sz w:val="22"/>
          <w:szCs w:val="22"/>
          <w:lang w:val="en-GB"/>
          <w14:ligatures w14:val="none"/>
        </w:rPr>
        <w:t>Finanças</w:t>
      </w:r>
      <w:proofErr w:type="spellEnd"/>
      <w:r w:rsidRPr="00D83264">
        <w:rPr>
          <w:rFonts w:ascii="Times New Roman" w:eastAsia="Times New Roman" w:hAnsi="Times New Roman" w:cs="Times New Roman"/>
          <w:color w:val="auto"/>
          <w:sz w:val="22"/>
          <w:szCs w:val="22"/>
          <w:lang w:val="en-GB"/>
          <w14:ligatures w14:val="none"/>
        </w:rPr>
        <w:t>)</w:t>
      </w:r>
    </w:p>
    <w:p w14:paraId="335E57C7" w14:textId="47D0DB87"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Environment of Slovakia (</w:t>
      </w:r>
      <w:proofErr w:type="spellStart"/>
      <w:r w:rsidRPr="00D83264">
        <w:rPr>
          <w:rFonts w:ascii="Times New Roman" w:eastAsia="Times New Roman" w:hAnsi="Times New Roman" w:cs="Times New Roman"/>
          <w:color w:val="auto"/>
          <w:sz w:val="22"/>
          <w:szCs w:val="22"/>
          <w:lang w:val="en-GB"/>
          <w14:ligatures w14:val="none"/>
        </w:rPr>
        <w:t>Ministerstvo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životného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prostredia</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Slovenskej</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republiky</w:t>
      </w:r>
      <w:proofErr w:type="spellEnd"/>
      <w:r w:rsidRPr="00D83264">
        <w:rPr>
          <w:rFonts w:ascii="Times New Roman" w:eastAsia="Times New Roman" w:hAnsi="Times New Roman" w:cs="Times New Roman"/>
          <w:color w:val="auto"/>
          <w:sz w:val="22"/>
          <w:szCs w:val="22"/>
          <w:lang w:val="en-GB"/>
          <w14:ligatures w14:val="none"/>
        </w:rPr>
        <w:t>)</w:t>
      </w:r>
    </w:p>
    <w:p w14:paraId="455A3333" w14:textId="2B2A82D2"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D83264">
        <w:rPr>
          <w:rFonts w:ascii="Times New Roman" w:eastAsia="Times New Roman" w:hAnsi="Times New Roman" w:cs="Times New Roman"/>
          <w:color w:val="auto"/>
          <w:sz w:val="22"/>
          <w:szCs w:val="22"/>
          <w:lang w:val="en-GB"/>
          <w14:ligatures w14:val="none"/>
        </w:rPr>
        <w:t>Ministry of Finance of Slovenia (</w:t>
      </w:r>
      <w:proofErr w:type="spellStart"/>
      <w:r w:rsidRPr="00D83264">
        <w:rPr>
          <w:rFonts w:ascii="Times New Roman" w:eastAsia="Times New Roman" w:hAnsi="Times New Roman" w:cs="Times New Roman"/>
          <w:color w:val="auto"/>
          <w:sz w:val="22"/>
          <w:szCs w:val="22"/>
          <w:lang w:val="en-GB"/>
          <w14:ligatures w14:val="none"/>
        </w:rPr>
        <w:t>Ministrstvo</w:t>
      </w:r>
      <w:proofErr w:type="spellEnd"/>
      <w:r w:rsidRPr="00D83264">
        <w:rPr>
          <w:rFonts w:ascii="Times New Roman" w:eastAsia="Times New Roman" w:hAnsi="Times New Roman" w:cs="Times New Roman"/>
          <w:color w:val="auto"/>
          <w:sz w:val="22"/>
          <w:szCs w:val="22"/>
          <w:lang w:val="en-GB"/>
          <w14:ligatures w14:val="none"/>
        </w:rPr>
        <w:t xml:space="preserve"> </w:t>
      </w:r>
      <w:proofErr w:type="spellStart"/>
      <w:r w:rsidRPr="00D83264">
        <w:rPr>
          <w:rFonts w:ascii="Times New Roman" w:eastAsia="Times New Roman" w:hAnsi="Times New Roman" w:cs="Times New Roman"/>
          <w:color w:val="auto"/>
          <w:sz w:val="22"/>
          <w:szCs w:val="22"/>
          <w:lang w:val="en-GB"/>
          <w14:ligatures w14:val="none"/>
        </w:rPr>
        <w:t>za</w:t>
      </w:r>
      <w:proofErr w:type="spellEnd"/>
      <w:r w:rsidRPr="00D83264">
        <w:rPr>
          <w:rFonts w:ascii="Times New Roman" w:eastAsia="Times New Roman" w:hAnsi="Times New Roman" w:cs="Times New Roman"/>
          <w:color w:val="auto"/>
          <w:sz w:val="22"/>
          <w:szCs w:val="22"/>
          <w:lang w:val="en-GB"/>
          <w14:ligatures w14:val="none"/>
        </w:rPr>
        <w:t xml:space="preserve"> finance)</w:t>
      </w:r>
    </w:p>
    <w:p w14:paraId="306B176D" w14:textId="20B5715F" w:rsidR="00264D12" w:rsidRPr="00D83264" w:rsidRDefault="00264D12" w:rsidP="00D83264">
      <w:pPr>
        <w:pStyle w:val="Paragraphedeliste"/>
        <w:widowControl w:val="0"/>
        <w:numPr>
          <w:ilvl w:val="0"/>
          <w:numId w:val="11"/>
        </w:numPr>
        <w:autoSpaceDE w:val="0"/>
        <w:autoSpaceDN w:val="0"/>
        <w:spacing w:after="0" w:line="240" w:lineRule="auto"/>
        <w:ind w:right="113"/>
        <w:jc w:val="both"/>
        <w:rPr>
          <w:rFonts w:ascii="Times New Roman" w:eastAsia="Times New Roman" w:hAnsi="Times New Roman" w:cs="Times New Roman"/>
          <w:color w:val="auto"/>
          <w:sz w:val="22"/>
          <w:szCs w:val="22"/>
          <w:lang w:val="es-ES"/>
          <w14:ligatures w14:val="none"/>
        </w:rPr>
      </w:pPr>
      <w:proofErr w:type="spellStart"/>
      <w:r w:rsidRPr="00D83264">
        <w:rPr>
          <w:rFonts w:ascii="Times New Roman" w:eastAsia="Times New Roman" w:hAnsi="Times New Roman" w:cs="Times New Roman"/>
          <w:color w:val="auto"/>
          <w:sz w:val="22"/>
          <w:szCs w:val="22"/>
          <w:lang w:val="es-ES"/>
          <w14:ligatures w14:val="none"/>
        </w:rPr>
        <w:t>Ministry</w:t>
      </w:r>
      <w:proofErr w:type="spellEnd"/>
      <w:r w:rsidRPr="00D83264">
        <w:rPr>
          <w:rFonts w:ascii="Times New Roman" w:eastAsia="Times New Roman" w:hAnsi="Times New Roman" w:cs="Times New Roman"/>
          <w:color w:val="auto"/>
          <w:sz w:val="22"/>
          <w:szCs w:val="22"/>
          <w:lang w:val="es-ES"/>
          <w14:ligatures w14:val="none"/>
        </w:rPr>
        <w:t xml:space="preserve"> of </w:t>
      </w:r>
      <w:proofErr w:type="spellStart"/>
      <w:r w:rsidRPr="00D83264">
        <w:rPr>
          <w:rFonts w:ascii="Times New Roman" w:eastAsia="Times New Roman" w:hAnsi="Times New Roman" w:cs="Times New Roman"/>
          <w:color w:val="auto"/>
          <w:sz w:val="22"/>
          <w:szCs w:val="22"/>
          <w:lang w:val="es-ES"/>
          <w14:ligatures w14:val="none"/>
        </w:rPr>
        <w:t>Ecological</w:t>
      </w:r>
      <w:proofErr w:type="spellEnd"/>
      <w:r w:rsidRPr="00D83264">
        <w:rPr>
          <w:rFonts w:ascii="Times New Roman" w:eastAsia="Times New Roman" w:hAnsi="Times New Roman" w:cs="Times New Roman"/>
          <w:color w:val="auto"/>
          <w:sz w:val="22"/>
          <w:szCs w:val="22"/>
          <w:lang w:val="es-ES"/>
          <w14:ligatures w14:val="none"/>
        </w:rPr>
        <w:t xml:space="preserve"> </w:t>
      </w:r>
      <w:proofErr w:type="spellStart"/>
      <w:r w:rsidRPr="00D83264">
        <w:rPr>
          <w:rFonts w:ascii="Times New Roman" w:eastAsia="Times New Roman" w:hAnsi="Times New Roman" w:cs="Times New Roman"/>
          <w:color w:val="auto"/>
          <w:sz w:val="22"/>
          <w:szCs w:val="22"/>
          <w:lang w:val="es-ES"/>
          <w14:ligatures w14:val="none"/>
        </w:rPr>
        <w:t>Transition</w:t>
      </w:r>
      <w:proofErr w:type="spellEnd"/>
      <w:r w:rsidRPr="00D83264">
        <w:rPr>
          <w:rFonts w:ascii="Times New Roman" w:eastAsia="Times New Roman" w:hAnsi="Times New Roman" w:cs="Times New Roman"/>
          <w:color w:val="auto"/>
          <w:sz w:val="22"/>
          <w:szCs w:val="22"/>
          <w:lang w:val="es-ES"/>
          <w14:ligatures w14:val="none"/>
        </w:rPr>
        <w:t xml:space="preserve"> and </w:t>
      </w:r>
      <w:proofErr w:type="spellStart"/>
      <w:r w:rsidRPr="00D83264">
        <w:rPr>
          <w:rFonts w:ascii="Times New Roman" w:eastAsia="Times New Roman" w:hAnsi="Times New Roman" w:cs="Times New Roman"/>
          <w:color w:val="auto"/>
          <w:sz w:val="22"/>
          <w:szCs w:val="22"/>
          <w:lang w:val="es-ES"/>
          <w14:ligatures w14:val="none"/>
        </w:rPr>
        <w:t>the</w:t>
      </w:r>
      <w:proofErr w:type="spellEnd"/>
      <w:r w:rsidRPr="00D83264">
        <w:rPr>
          <w:rFonts w:ascii="Times New Roman" w:eastAsia="Times New Roman" w:hAnsi="Times New Roman" w:cs="Times New Roman"/>
          <w:color w:val="auto"/>
          <w:sz w:val="22"/>
          <w:szCs w:val="22"/>
          <w:lang w:val="es-ES"/>
          <w14:ligatures w14:val="none"/>
        </w:rPr>
        <w:t xml:space="preserve"> </w:t>
      </w:r>
      <w:proofErr w:type="spellStart"/>
      <w:r w:rsidRPr="00D83264">
        <w:rPr>
          <w:rFonts w:ascii="Times New Roman" w:eastAsia="Times New Roman" w:hAnsi="Times New Roman" w:cs="Times New Roman"/>
          <w:color w:val="auto"/>
          <w:sz w:val="22"/>
          <w:szCs w:val="22"/>
          <w:lang w:val="es-ES"/>
          <w14:ligatures w14:val="none"/>
        </w:rPr>
        <w:t>Demographic</w:t>
      </w:r>
      <w:proofErr w:type="spellEnd"/>
      <w:r w:rsidRPr="00D83264">
        <w:rPr>
          <w:rFonts w:ascii="Times New Roman" w:eastAsia="Times New Roman" w:hAnsi="Times New Roman" w:cs="Times New Roman"/>
          <w:color w:val="auto"/>
          <w:sz w:val="22"/>
          <w:szCs w:val="22"/>
          <w:lang w:val="es-ES"/>
          <w14:ligatures w14:val="none"/>
        </w:rPr>
        <w:t xml:space="preserve"> </w:t>
      </w:r>
      <w:proofErr w:type="spellStart"/>
      <w:r w:rsidRPr="00D83264">
        <w:rPr>
          <w:rFonts w:ascii="Times New Roman" w:eastAsia="Times New Roman" w:hAnsi="Times New Roman" w:cs="Times New Roman"/>
          <w:color w:val="auto"/>
          <w:sz w:val="22"/>
          <w:szCs w:val="22"/>
          <w:lang w:val="es-ES"/>
          <w14:ligatures w14:val="none"/>
        </w:rPr>
        <w:t>Challenge</w:t>
      </w:r>
      <w:proofErr w:type="spellEnd"/>
      <w:r w:rsidRPr="00D83264">
        <w:rPr>
          <w:rFonts w:ascii="Times New Roman" w:eastAsia="Times New Roman" w:hAnsi="Times New Roman" w:cs="Times New Roman"/>
          <w:color w:val="auto"/>
          <w:sz w:val="22"/>
          <w:szCs w:val="22"/>
          <w:lang w:val="es-ES"/>
          <w14:ligatures w14:val="none"/>
        </w:rPr>
        <w:t xml:space="preserve"> of </w:t>
      </w:r>
      <w:proofErr w:type="spellStart"/>
      <w:r w:rsidRPr="00D83264">
        <w:rPr>
          <w:rFonts w:ascii="Times New Roman" w:eastAsia="Times New Roman" w:hAnsi="Times New Roman" w:cs="Times New Roman"/>
          <w:color w:val="auto"/>
          <w:sz w:val="22"/>
          <w:szCs w:val="22"/>
          <w:lang w:val="es-ES"/>
          <w14:ligatures w14:val="none"/>
        </w:rPr>
        <w:t>Spain</w:t>
      </w:r>
      <w:proofErr w:type="spellEnd"/>
      <w:r w:rsidRPr="00D83264">
        <w:rPr>
          <w:rFonts w:ascii="Times New Roman" w:eastAsia="Times New Roman" w:hAnsi="Times New Roman" w:cs="Times New Roman"/>
          <w:color w:val="auto"/>
          <w:sz w:val="22"/>
          <w:szCs w:val="22"/>
          <w:lang w:val="es-ES"/>
          <w14:ligatures w14:val="none"/>
        </w:rPr>
        <w:t xml:space="preserve"> (Ministerio para la Transición Ecológica y el Reto Demográfico)</w:t>
      </w:r>
    </w:p>
    <w:p w14:paraId="176E79A8" w14:textId="77777777" w:rsidR="00264D12" w:rsidRPr="00760494" w:rsidRDefault="00264D12" w:rsidP="00D8326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s-ES"/>
          <w14:ligatures w14:val="none"/>
        </w:rPr>
      </w:pPr>
    </w:p>
    <w:p w14:paraId="043DD955"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This project has two strands of technical support: </w:t>
      </w:r>
    </w:p>
    <w:p w14:paraId="53C7474D"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1F07425F" w14:textId="77777777" w:rsidR="00264D12" w:rsidRPr="00760494" w:rsidRDefault="00264D12" w:rsidP="00D83264">
      <w:pPr>
        <w:widowControl w:val="0"/>
        <w:numPr>
          <w:ilvl w:val="0"/>
          <w:numId w:val="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Five Standalone Requests: These focus on tailored technical support for implementing Green Budgeting practices at the national level in Cyprus, </w:t>
      </w:r>
      <w:proofErr w:type="spellStart"/>
      <w:r w:rsidRPr="00760494">
        <w:rPr>
          <w:rFonts w:ascii="Times New Roman" w:eastAsia="Times New Roman" w:hAnsi="Times New Roman" w:cs="Times New Roman"/>
          <w:color w:val="auto"/>
          <w:sz w:val="22"/>
          <w:szCs w:val="22"/>
          <w:lang w:val="en-GB"/>
          <w14:ligatures w14:val="none"/>
        </w:rPr>
        <w:t>Czechia</w:t>
      </w:r>
      <w:proofErr w:type="spellEnd"/>
      <w:r w:rsidRPr="00760494">
        <w:rPr>
          <w:rFonts w:ascii="Times New Roman" w:eastAsia="Times New Roman" w:hAnsi="Times New Roman" w:cs="Times New Roman"/>
          <w:color w:val="auto"/>
          <w:sz w:val="22"/>
          <w:szCs w:val="22"/>
          <w:lang w:val="en-GB"/>
          <w14:ligatures w14:val="none"/>
        </w:rPr>
        <w:t>, Denmark, France (sub-national), and Portugal. The support includes developing methodologies for tagging climate-relevant expenditures, enhancing governance frameworks, and building capacity within national ministries.</w:t>
      </w:r>
    </w:p>
    <w:p w14:paraId="7489F17A" w14:textId="77777777" w:rsidR="00264D12" w:rsidRPr="00760494" w:rsidRDefault="00264D12" w:rsidP="00D8326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6B01D3A6" w14:textId="77777777" w:rsidR="00264D12" w:rsidRPr="00760494" w:rsidRDefault="00264D12" w:rsidP="00D83264">
      <w:pPr>
        <w:widowControl w:val="0"/>
        <w:numPr>
          <w:ilvl w:val="0"/>
          <w:numId w:val="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Civil Servants Exchange: This component facilitates knowledge-sharing and capacity-building among Member States. It includes participation from the five standalone project beneficiaries (Cyprus, </w:t>
      </w:r>
      <w:proofErr w:type="spellStart"/>
      <w:r w:rsidRPr="00760494">
        <w:rPr>
          <w:rFonts w:ascii="Times New Roman" w:eastAsia="Times New Roman" w:hAnsi="Times New Roman" w:cs="Times New Roman"/>
          <w:color w:val="auto"/>
          <w:sz w:val="22"/>
          <w:szCs w:val="22"/>
          <w:lang w:val="en-GB"/>
          <w14:ligatures w14:val="none"/>
        </w:rPr>
        <w:t>Czechia</w:t>
      </w:r>
      <w:proofErr w:type="spellEnd"/>
      <w:r w:rsidRPr="00760494">
        <w:rPr>
          <w:rFonts w:ascii="Times New Roman" w:eastAsia="Times New Roman" w:hAnsi="Times New Roman" w:cs="Times New Roman"/>
          <w:color w:val="auto"/>
          <w:sz w:val="22"/>
          <w:szCs w:val="22"/>
          <w:lang w:val="en-GB"/>
          <w14:ligatures w14:val="none"/>
        </w:rPr>
        <w:t xml:space="preserve">, Denmark, France, and Portugal) as well as Croatia, Ireland, Slovakia, Slovenia, and Spain. </w:t>
      </w:r>
    </w:p>
    <w:p w14:paraId="40216ABC" w14:textId="77777777" w:rsidR="00264D12" w:rsidRPr="00760494" w:rsidRDefault="00264D12" w:rsidP="00D83264">
      <w:pPr>
        <w:widowControl w:val="0"/>
        <w:autoSpaceDE w:val="0"/>
        <w:autoSpaceDN w:val="0"/>
        <w:spacing w:after="0" w:line="240" w:lineRule="auto"/>
        <w:ind w:left="820" w:hanging="360"/>
        <w:jc w:val="both"/>
        <w:rPr>
          <w:rFonts w:ascii="Times New Roman" w:eastAsia="Times New Roman" w:hAnsi="Times New Roman" w:cs="Times New Roman"/>
          <w:color w:val="auto"/>
          <w:sz w:val="22"/>
          <w:szCs w:val="22"/>
          <w:lang w:val="en-GB"/>
          <w14:ligatures w14:val="none"/>
        </w:rPr>
      </w:pPr>
    </w:p>
    <w:p w14:paraId="5D0889A2" w14:textId="6339C4E1" w:rsidR="00264D12" w:rsidRDefault="00F25D2D" w:rsidP="00D83264">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r>
        <w:rPr>
          <w:rFonts w:ascii="Times New Roman" w:eastAsia="Times New Roman" w:hAnsi="Times New Roman" w:cs="Times New Roman"/>
          <w:b/>
          <w:bCs/>
          <w:color w:val="auto"/>
          <w:sz w:val="22"/>
          <w:szCs w:val="22"/>
          <w:lang w:val="en-GB"/>
          <w14:ligatures w14:val="none"/>
        </w:rPr>
        <w:t>Cyprus</w:t>
      </w:r>
    </w:p>
    <w:p w14:paraId="7E438789" w14:textId="749211EE" w:rsidR="00A103BC" w:rsidRDefault="00A103BC" w:rsidP="00D83264">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p>
    <w:p w14:paraId="0B024EF3" w14:textId="79491C98" w:rsidR="00A103BC" w:rsidRPr="00A103BC" w:rsidRDefault="00A103BC" w:rsidP="00D83264">
      <w:pPr>
        <w:spacing w:before="120" w:after="120" w:line="240" w:lineRule="atLeast"/>
        <w:jc w:val="both"/>
        <w:rPr>
          <w:rFonts w:ascii="Times New Roman" w:eastAsia="Times New Roman" w:hAnsi="Times New Roman" w:cs="Times New Roman"/>
          <w:color w:val="auto"/>
          <w:sz w:val="22"/>
          <w:szCs w:val="22"/>
          <w:lang w:val="en-GB" w:eastAsia="zh-CN"/>
          <w14:ligatures w14:val="none"/>
        </w:rPr>
      </w:pPr>
      <w:r w:rsidRPr="00A103BC">
        <w:rPr>
          <w:rFonts w:ascii="Times New Roman" w:eastAsia="Times New Roman" w:hAnsi="Times New Roman" w:cs="Times New Roman"/>
          <w:color w:val="auto"/>
          <w:sz w:val="22"/>
          <w:szCs w:val="22"/>
          <w:lang w:val="en-GB" w:eastAsia="zh-CN"/>
          <w14:ligatures w14:val="none"/>
        </w:rPr>
        <w:t>Following the introduction to green budgeting practices under the TSI 2021, Green Budgeting Training Programme project, further support is needed to effectively implement the 1st essential level of the EU Green Budgeting Reference Framework (GBRF) that will also complement the broader efforts to introduce Activity-Based Budgeting (ABB). The core problem facing Cyprus is the lack of a methodology for transparently identifying and categorizing green expenditures within the national budget. Currently, there is no established system to assess, tag, and report on expenditures contributing to environmental sustainability, making it challenging to align budgetary allocations with Cyprus's environmental goals. Additionally, the national budget is not categorized in a way that supports ABB, which further complicates the tagging of projects based on their environmental impact. The need for the application of the Do No Significant Harm (DNSH) principle further adds complexity to the identification and categorization of expenditures, requiring a clear and transparent methodology to ensure compliance with environmental and sustainability criteria. Technical support will also inform the design of a tagging approach that would combine both aspects of ABB and GB, so that the implementation of GB methodology can immediately begin. The lack of a clear methodology and suitable tools hinders the government's ability to produce an accurate Green Budget report, limiting accountability and progress tracking in meeting sustainability commitments. Despite the challenges with green budget tagging, Cyprus´ has made progress on other green transition efforts, namely the Ministry of Environment conducts Environmental Impact Assessments</w:t>
      </w:r>
      <w:r w:rsidRPr="00A103BC">
        <w:rPr>
          <w:rFonts w:ascii="Times New Roman" w:eastAsia="Times New Roman" w:hAnsi="Times New Roman" w:cs="Times New Roman"/>
          <w:color w:val="auto"/>
          <w:sz w:val="22"/>
          <w:szCs w:val="22"/>
          <w:vertAlign w:val="superscript"/>
          <w:lang w:val="en-GB" w:eastAsia="zh-CN"/>
          <w14:ligatures w14:val="none"/>
        </w:rPr>
        <w:footnoteReference w:id="4"/>
      </w:r>
      <w:r w:rsidRPr="00A103BC">
        <w:rPr>
          <w:rFonts w:ascii="Times New Roman" w:eastAsia="Times New Roman" w:hAnsi="Times New Roman" w:cs="Times New Roman"/>
          <w:color w:val="auto"/>
          <w:sz w:val="22"/>
          <w:szCs w:val="22"/>
          <w:lang w:val="en-GB" w:eastAsia="zh-CN"/>
          <w14:ligatures w14:val="none"/>
        </w:rPr>
        <w:t xml:space="preserve"> of plans and programmes prepared and authorised by a public authority in relation to inter alia agriculture, forests, fishing, energy, industry, transport, waste management, water management, telecommunications, tourism and land use. </w:t>
      </w:r>
    </w:p>
    <w:p w14:paraId="3EAE4684" w14:textId="22C6CBE7" w:rsidR="00264D12" w:rsidRPr="00760494" w:rsidRDefault="00264D12" w:rsidP="00264D12">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bookmarkEnd w:id="0"/>
    <w:p w14:paraId="3ED3FB1D" w14:textId="77777777" w:rsidR="00264D12" w:rsidRPr="00760494" w:rsidRDefault="00264D12" w:rsidP="00264D12">
      <w:pPr>
        <w:widowControl w:val="0"/>
        <w:autoSpaceDE w:val="0"/>
        <w:autoSpaceDN w:val="0"/>
        <w:spacing w:before="3" w:after="0" w:line="240" w:lineRule="auto"/>
        <w:jc w:val="both"/>
        <w:rPr>
          <w:rFonts w:ascii="Times New Roman" w:eastAsia="Times New Roman" w:hAnsi="Times New Roman" w:cs="Times New Roman"/>
          <w:color w:val="auto"/>
          <w:sz w:val="22"/>
          <w:szCs w:val="22"/>
          <w:lang w:val="en-GB"/>
          <w14:ligatures w14:val="none"/>
        </w:rPr>
      </w:pPr>
    </w:p>
    <w:p w14:paraId="6555541C" w14:textId="77777777" w:rsidR="00264D12" w:rsidRPr="00D83264" w:rsidRDefault="00264D12" w:rsidP="00D83264">
      <w:pPr>
        <w:widowControl w:val="0"/>
        <w:autoSpaceDE w:val="0"/>
        <w:autoSpaceDN w:val="0"/>
        <w:spacing w:before="179" w:after="0" w:line="240" w:lineRule="auto"/>
        <w:jc w:val="both"/>
        <w:outlineLvl w:val="0"/>
        <w:rPr>
          <w:rFonts w:ascii="Times New Roman" w:eastAsia="Times New Roman" w:hAnsi="Times New Roman" w:cs="Times New Roman"/>
          <w:b/>
          <w:bCs/>
          <w:color w:val="auto"/>
          <w:sz w:val="28"/>
          <w:szCs w:val="24"/>
          <w:lang w:val="en-GB"/>
          <w14:ligatures w14:val="none"/>
        </w:rPr>
      </w:pPr>
      <w:r w:rsidRPr="00D83264">
        <w:rPr>
          <w:rFonts w:ascii="Times New Roman" w:eastAsia="Times New Roman" w:hAnsi="Times New Roman" w:cs="Times New Roman"/>
          <w:b/>
          <w:bCs/>
          <w:color w:val="auto"/>
          <w:sz w:val="28"/>
          <w:szCs w:val="24"/>
          <w:lang w:val="en-GB"/>
          <w14:ligatures w14:val="none"/>
        </w:rPr>
        <w:t>Deliverables</w:t>
      </w:r>
      <w:r w:rsidRPr="00D83264">
        <w:rPr>
          <w:rFonts w:ascii="Times New Roman" w:eastAsia="Times New Roman" w:hAnsi="Times New Roman" w:cs="Times New Roman"/>
          <w:b/>
          <w:bCs/>
          <w:color w:val="auto"/>
          <w:spacing w:val="-2"/>
          <w:sz w:val="28"/>
          <w:szCs w:val="24"/>
          <w:lang w:val="en-GB"/>
          <w14:ligatures w14:val="none"/>
        </w:rPr>
        <w:t xml:space="preserve"> </w:t>
      </w:r>
      <w:r w:rsidRPr="00D83264">
        <w:rPr>
          <w:rFonts w:ascii="Times New Roman" w:eastAsia="Times New Roman" w:hAnsi="Times New Roman" w:cs="Times New Roman"/>
          <w:b/>
          <w:bCs/>
          <w:color w:val="auto"/>
          <w:sz w:val="28"/>
          <w:szCs w:val="24"/>
          <w:lang w:val="en-GB"/>
          <w14:ligatures w14:val="none"/>
        </w:rPr>
        <w:t>and</w:t>
      </w:r>
      <w:r w:rsidRPr="00D83264">
        <w:rPr>
          <w:rFonts w:ascii="Times New Roman" w:eastAsia="Times New Roman" w:hAnsi="Times New Roman" w:cs="Times New Roman"/>
          <w:b/>
          <w:bCs/>
          <w:color w:val="auto"/>
          <w:spacing w:val="-1"/>
          <w:sz w:val="28"/>
          <w:szCs w:val="24"/>
          <w:lang w:val="en-GB"/>
          <w14:ligatures w14:val="none"/>
        </w:rPr>
        <w:t xml:space="preserve"> </w:t>
      </w:r>
      <w:r w:rsidRPr="00D83264">
        <w:rPr>
          <w:rFonts w:ascii="Times New Roman" w:eastAsia="Times New Roman" w:hAnsi="Times New Roman" w:cs="Times New Roman"/>
          <w:b/>
          <w:bCs/>
          <w:color w:val="auto"/>
          <w:sz w:val="28"/>
          <w:szCs w:val="24"/>
          <w:lang w:val="en-GB"/>
          <w14:ligatures w14:val="none"/>
        </w:rPr>
        <w:t>work</w:t>
      </w:r>
      <w:r w:rsidRPr="00D83264">
        <w:rPr>
          <w:rFonts w:ascii="Times New Roman" w:eastAsia="Times New Roman" w:hAnsi="Times New Roman" w:cs="Times New Roman"/>
          <w:b/>
          <w:bCs/>
          <w:color w:val="auto"/>
          <w:spacing w:val="-1"/>
          <w:sz w:val="28"/>
          <w:szCs w:val="24"/>
          <w:lang w:val="en-GB"/>
          <w14:ligatures w14:val="none"/>
        </w:rPr>
        <w:t xml:space="preserve"> </w:t>
      </w:r>
      <w:r w:rsidRPr="00D83264">
        <w:rPr>
          <w:rFonts w:ascii="Times New Roman" w:eastAsia="Times New Roman" w:hAnsi="Times New Roman" w:cs="Times New Roman"/>
          <w:b/>
          <w:bCs/>
          <w:color w:val="auto"/>
          <w:spacing w:val="-4"/>
          <w:sz w:val="28"/>
          <w:szCs w:val="24"/>
          <w:lang w:val="en-GB"/>
          <w14:ligatures w14:val="none"/>
        </w:rPr>
        <w:t>plan</w:t>
      </w:r>
    </w:p>
    <w:p w14:paraId="1588A871" w14:textId="77777777" w:rsidR="00264D12" w:rsidRPr="00760494" w:rsidRDefault="00264D12" w:rsidP="00264D12">
      <w:pPr>
        <w:widowControl w:val="0"/>
        <w:autoSpaceDE w:val="0"/>
        <w:autoSpaceDN w:val="0"/>
        <w:spacing w:before="90" w:after="0" w:line="240" w:lineRule="auto"/>
        <w:rPr>
          <w:rFonts w:ascii="Times New Roman" w:eastAsia="Times New Roman" w:hAnsi="Times New Roman" w:cs="Times New Roman"/>
          <w:b/>
          <w:color w:val="auto"/>
          <w:sz w:val="20"/>
          <w:szCs w:val="24"/>
          <w:lang w:val="en-GB"/>
          <w14:ligatures w14:val="none"/>
        </w:rPr>
      </w:pPr>
    </w:p>
    <w:tbl>
      <w:tblPr>
        <w:tblStyle w:val="TableNormal"/>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230"/>
      </w:tblGrid>
      <w:tr w:rsidR="00264D12" w:rsidRPr="00760494" w14:paraId="7C0185C2" w14:textId="77777777" w:rsidTr="00D83264">
        <w:trPr>
          <w:trHeight w:val="940"/>
          <w:jc w:val="center"/>
        </w:trPr>
        <w:tc>
          <w:tcPr>
            <w:tcW w:w="2127" w:type="dxa"/>
            <w:shd w:val="clear" w:color="auto" w:fill="002060"/>
          </w:tcPr>
          <w:p w14:paraId="36B2AA9A" w14:textId="77777777" w:rsidR="00264D12" w:rsidRPr="00760494" w:rsidRDefault="00264D12" w:rsidP="0012365E">
            <w:pPr>
              <w:ind w:left="107"/>
              <w:rPr>
                <w:rFonts w:ascii="Times New Roman" w:eastAsia="Times New Roman" w:hAnsi="Times New Roman" w:cs="Times New Roman"/>
                <w:b/>
                <w:color w:val="FFFFFF"/>
                <w:spacing w:val="-2"/>
                <w:sz w:val="24"/>
                <w:szCs w:val="24"/>
                <w:lang w:val="en-GB"/>
              </w:rPr>
            </w:pPr>
            <w:r w:rsidRPr="00760494">
              <w:rPr>
                <w:rFonts w:ascii="Times New Roman" w:eastAsia="Times New Roman" w:hAnsi="Times New Roman" w:cs="Times New Roman"/>
                <w:b/>
                <w:color w:val="FFFFFF"/>
                <w:spacing w:val="-2"/>
                <w:sz w:val="24"/>
                <w:szCs w:val="24"/>
                <w:lang w:val="en-GB"/>
              </w:rPr>
              <w:t>Outputs a</w:t>
            </w:r>
            <w:r w:rsidRPr="00760494">
              <w:rPr>
                <w:rFonts w:ascii="Times New Roman" w:eastAsia="Times New Roman" w:hAnsi="Times New Roman" w:cs="Times New Roman"/>
                <w:b/>
                <w:color w:val="FFFFFF"/>
                <w:spacing w:val="-2"/>
                <w:lang w:val="en-GB"/>
              </w:rPr>
              <w:t xml:space="preserve">nd estimated timeframe </w:t>
            </w:r>
          </w:p>
        </w:tc>
        <w:tc>
          <w:tcPr>
            <w:tcW w:w="7230" w:type="dxa"/>
            <w:shd w:val="clear" w:color="auto" w:fill="002060"/>
          </w:tcPr>
          <w:p w14:paraId="7F47AE95" w14:textId="77777777" w:rsidR="00264D12" w:rsidRPr="00760494" w:rsidRDefault="00264D12" w:rsidP="0012365E">
            <w:pPr>
              <w:ind w:left="107"/>
              <w:jc w:val="center"/>
              <w:rPr>
                <w:rFonts w:ascii="Times New Roman" w:eastAsia="Times New Roman" w:hAnsi="Times New Roman" w:cs="Times New Roman"/>
                <w:b/>
                <w:color w:val="FFFFFF"/>
                <w:sz w:val="24"/>
                <w:szCs w:val="24"/>
                <w:lang w:val="en-GB"/>
              </w:rPr>
            </w:pPr>
            <w:r w:rsidRPr="00760494">
              <w:rPr>
                <w:rFonts w:ascii="Times New Roman" w:eastAsia="Times New Roman" w:hAnsi="Times New Roman" w:cs="Times New Roman"/>
                <w:b/>
                <w:color w:val="FFFFFF"/>
                <w:sz w:val="24"/>
                <w:szCs w:val="24"/>
                <w:lang w:val="en-GB"/>
              </w:rPr>
              <w:t>Activities</w:t>
            </w:r>
          </w:p>
        </w:tc>
      </w:tr>
      <w:tr w:rsidR="00264D12" w:rsidRPr="00760494" w14:paraId="1B83CEA6" w14:textId="77777777" w:rsidTr="00D83264">
        <w:trPr>
          <w:trHeight w:val="517"/>
          <w:jc w:val="center"/>
        </w:trPr>
        <w:tc>
          <w:tcPr>
            <w:tcW w:w="2127" w:type="dxa"/>
          </w:tcPr>
          <w:p w14:paraId="61755896" w14:textId="77777777" w:rsidR="00264D12" w:rsidRPr="00760494" w:rsidRDefault="00264D12" w:rsidP="0012365E">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Technical Report of the Inception phase</w:t>
            </w:r>
          </w:p>
          <w:p w14:paraId="6DD46F18" w14:textId="77777777" w:rsidR="00264D12" w:rsidRPr="00760494" w:rsidRDefault="00264D12" w:rsidP="0012365E">
            <w:pPr>
              <w:spacing w:before="1"/>
              <w:ind w:left="107"/>
              <w:rPr>
                <w:rFonts w:ascii="Times New Roman" w:eastAsia="Times New Roman" w:hAnsi="Times New Roman" w:cs="Times New Roman"/>
                <w:lang w:val="en-GB"/>
              </w:rPr>
            </w:pPr>
          </w:p>
          <w:p w14:paraId="09B6EE8C" w14:textId="77777777" w:rsidR="00264D12" w:rsidRPr="00760494" w:rsidRDefault="00264D12" w:rsidP="0012365E">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July- September 2025</w:t>
            </w:r>
          </w:p>
        </w:tc>
        <w:tc>
          <w:tcPr>
            <w:tcW w:w="7230" w:type="dxa"/>
          </w:tcPr>
          <w:p w14:paraId="49EA2A08" w14:textId="5252119F" w:rsidR="00264D12" w:rsidRPr="00760494" w:rsidRDefault="00264D12" w:rsidP="0012365E">
            <w:pPr>
              <w:rPr>
                <w:rFonts w:ascii="Times New Roman" w:eastAsia="Times New Roman" w:hAnsi="Times New Roman" w:cs="Times New Roman"/>
                <w:lang w:val="en-GB" w:eastAsia="zh-CN"/>
              </w:rPr>
            </w:pPr>
            <w:r w:rsidRPr="00760494">
              <w:rPr>
                <w:rFonts w:ascii="Times New Roman" w:eastAsia="Times New Roman" w:hAnsi="Times New Roman" w:cs="Times New Roman"/>
                <w:lang w:val="en-GB" w:eastAsia="zh-CN"/>
              </w:rPr>
              <w:t>Producing a technical country report where the country-specific analyses and points of actions are captured and specific recommendations provided. To produce this Output, the designated expert will collaborate with the</w:t>
            </w:r>
            <w:r w:rsidR="000059B2">
              <w:rPr>
                <w:rFonts w:ascii="Times New Roman" w:eastAsia="Times New Roman" w:hAnsi="Times New Roman" w:cs="Times New Roman"/>
                <w:lang w:val="en-GB" w:eastAsia="zh-CN"/>
              </w:rPr>
              <w:t xml:space="preserve"> </w:t>
            </w:r>
            <w:r w:rsidRPr="00760494">
              <w:rPr>
                <w:rFonts w:ascii="Times New Roman" w:eastAsia="Times New Roman" w:hAnsi="Times New Roman" w:cs="Times New Roman"/>
                <w:lang w:val="en-GB" w:eastAsia="zh-CN"/>
              </w:rPr>
              <w:t>Ministry of Finance and relevant technical staff from other line ministries in the following activities</w:t>
            </w:r>
          </w:p>
          <w:p w14:paraId="375B3F16" w14:textId="77777777" w:rsidR="00264D12" w:rsidRPr="00760494" w:rsidRDefault="00264D12" w:rsidP="0012365E">
            <w:pPr>
              <w:rPr>
                <w:rFonts w:ascii="Times New Roman" w:eastAsia="Times New Roman" w:hAnsi="Times New Roman" w:cs="Times New Roman"/>
                <w:lang w:val="en-GB" w:eastAsia="zh-CN"/>
              </w:rPr>
            </w:pPr>
          </w:p>
          <w:p w14:paraId="42900216" w14:textId="1DA6D3F4" w:rsidR="00264D12" w:rsidRPr="00760494" w:rsidRDefault="00264D12" w:rsidP="0012365E">
            <w:pPr>
              <w:numPr>
                <w:ilvl w:val="0"/>
                <w:numId w:val="3"/>
              </w:numPr>
              <w:ind w:left="360"/>
              <w:rPr>
                <w:rFonts w:ascii="Times New Roman" w:eastAsia="Times New Roman" w:hAnsi="Times New Roman" w:cs="Times New Roman"/>
                <w:lang w:val="en-GB" w:eastAsia="zh-CN"/>
              </w:rPr>
            </w:pPr>
            <w:r w:rsidRPr="00760494">
              <w:rPr>
                <w:rFonts w:ascii="Times New Roman" w:eastAsia="Times New Roman" w:hAnsi="Times New Roman" w:cs="Times New Roman"/>
                <w:lang w:val="en-GB" w:eastAsia="zh-CN"/>
              </w:rPr>
              <w:t xml:space="preserve">Conduct consultations and desk-research to understand the budgetary process, structure and legal framework of </w:t>
            </w:r>
            <w:r w:rsidR="000059B2">
              <w:rPr>
                <w:rFonts w:ascii="Times New Roman" w:eastAsia="Times New Roman" w:hAnsi="Times New Roman" w:cs="Times New Roman"/>
                <w:lang w:val="en-GB" w:eastAsia="zh-CN"/>
              </w:rPr>
              <w:t>Cypr</w:t>
            </w:r>
            <w:r w:rsidR="002B4A8C">
              <w:rPr>
                <w:rFonts w:ascii="Times New Roman" w:eastAsia="Times New Roman" w:hAnsi="Times New Roman" w:cs="Times New Roman"/>
                <w:lang w:val="en-GB" w:eastAsia="zh-CN"/>
              </w:rPr>
              <w:t>us</w:t>
            </w:r>
            <w:r w:rsidRPr="00760494">
              <w:rPr>
                <w:rFonts w:ascii="Times New Roman" w:eastAsia="Times New Roman" w:hAnsi="Times New Roman" w:cs="Times New Roman"/>
                <w:lang w:val="en-GB" w:eastAsia="zh-CN"/>
              </w:rPr>
              <w:t xml:space="preserve">’s national budget, as well as to get a clear overview of the </w:t>
            </w:r>
            <w:r>
              <w:rPr>
                <w:rFonts w:ascii="Times New Roman" w:eastAsia="Times New Roman" w:hAnsi="Times New Roman" w:cs="Times New Roman"/>
                <w:lang w:val="en-GB" w:eastAsia="zh-CN"/>
              </w:rPr>
              <w:t xml:space="preserve">current </w:t>
            </w:r>
            <w:r w:rsidRPr="00760494">
              <w:rPr>
                <w:rFonts w:ascii="Times New Roman" w:eastAsia="Times New Roman" w:hAnsi="Times New Roman" w:cs="Times New Roman"/>
                <w:lang w:val="en-GB" w:eastAsia="zh-CN"/>
              </w:rPr>
              <w:t>green budget tagging methodology,</w:t>
            </w:r>
            <w:r>
              <w:rPr>
                <w:rFonts w:ascii="Times New Roman" w:eastAsia="Times New Roman" w:hAnsi="Times New Roman" w:cs="Times New Roman"/>
                <w:lang w:val="en-GB" w:eastAsia="zh-CN"/>
              </w:rPr>
              <w:t xml:space="preserve"> EIA practices,</w:t>
            </w:r>
            <w:r w:rsidRPr="00760494">
              <w:rPr>
                <w:rFonts w:ascii="Times New Roman" w:eastAsia="Times New Roman" w:hAnsi="Times New Roman" w:cs="Times New Roman"/>
                <w:lang w:val="en-GB" w:eastAsia="zh-CN"/>
              </w:rPr>
              <w:t xml:space="preserve"> relevant RRF deliverables, climate and environmental policy objectives and other EU and national legislation related to Green Budgeting, including relating to the Do No Significant Harm (DNSH) principle</w:t>
            </w:r>
          </w:p>
          <w:p w14:paraId="29ACF0B1" w14:textId="77777777" w:rsidR="00264D12" w:rsidRPr="00760494" w:rsidRDefault="00264D12" w:rsidP="0012365E">
            <w:pPr>
              <w:rPr>
                <w:rFonts w:ascii="Times New Roman" w:eastAsia="Times New Roman" w:hAnsi="Times New Roman" w:cs="Times New Roman"/>
                <w:lang w:val="en-GB" w:eastAsia="zh-CN"/>
              </w:rPr>
            </w:pPr>
          </w:p>
          <w:p w14:paraId="6A9A82F3" w14:textId="77777777" w:rsidR="00264D12" w:rsidRPr="00760494" w:rsidRDefault="00264D12" w:rsidP="0012365E">
            <w:pPr>
              <w:numPr>
                <w:ilvl w:val="0"/>
                <w:numId w:val="3"/>
              </w:numPr>
              <w:ind w:left="360"/>
              <w:rPr>
                <w:rFonts w:ascii="Times New Roman" w:eastAsia="Times New Roman" w:hAnsi="Times New Roman" w:cs="Times New Roman"/>
                <w:lang w:val="en-IE" w:eastAsia="zh-CN"/>
              </w:rPr>
            </w:pPr>
            <w:bookmarkStart w:id="1" w:name="_Hlk195559811"/>
            <w:r w:rsidRPr="00760494">
              <w:rPr>
                <w:rFonts w:ascii="Times New Roman" w:eastAsia="Times New Roman" w:hAnsi="Times New Roman" w:cs="Times New Roman"/>
                <w:lang w:val="en-IE" w:eastAsia="zh-CN"/>
              </w:rPr>
              <w:t>Provide technical support to improve and finalise the draft tagging methodology in accordance with international best practices and with the environmental objectives of the EU Taxonomy. Particularly, the expert will review and provide recommendations on the scope (sectors/measures and budget items); coverage (environmental or climate related axes); definition of green and brown budget items; rating method; scientific sources; task-force group, and tools used for conducting the tagging (excel or other suitable and available tool). In addition, the expert shall agree with the team on the timeline and technical staff to be involved in the pilot implementation of the methodology</w:t>
            </w:r>
          </w:p>
          <w:p w14:paraId="449E9D83" w14:textId="77777777" w:rsidR="00264D12" w:rsidRPr="00760494" w:rsidRDefault="00264D12" w:rsidP="0012365E">
            <w:pPr>
              <w:rPr>
                <w:rFonts w:ascii="Times New Roman" w:eastAsia="Times New Roman" w:hAnsi="Times New Roman" w:cs="Times New Roman"/>
                <w:lang w:val="en-IE" w:eastAsia="zh-CN"/>
              </w:rPr>
            </w:pPr>
          </w:p>
          <w:p w14:paraId="140D8063" w14:textId="279B62DF" w:rsidR="00264D12" w:rsidRPr="00760494" w:rsidRDefault="00264D12" w:rsidP="0012365E">
            <w:pPr>
              <w:numPr>
                <w:ilvl w:val="0"/>
                <w:numId w:val="3"/>
              </w:numPr>
              <w:ind w:left="360"/>
              <w:rPr>
                <w:rFonts w:ascii="Times New Roman" w:eastAsia="Times New Roman" w:hAnsi="Times New Roman" w:cs="Times New Roman"/>
                <w:lang w:val="en-IE" w:eastAsia="zh-CN"/>
              </w:rPr>
            </w:pPr>
            <w:r w:rsidRPr="00760494">
              <w:rPr>
                <w:rFonts w:ascii="Times New Roman" w:eastAsia="Times New Roman" w:hAnsi="Times New Roman" w:cs="Times New Roman"/>
                <w:lang w:val="en-IE" w:eastAsia="zh-CN"/>
              </w:rPr>
              <w:t xml:space="preserve">Identify the existing knowledge gaps </w:t>
            </w:r>
            <w:r w:rsidR="00A47AF3">
              <w:rPr>
                <w:rFonts w:ascii="Times New Roman" w:eastAsia="Times New Roman" w:hAnsi="Times New Roman" w:cs="Times New Roman"/>
                <w:lang w:val="en-IE" w:eastAsia="zh-CN"/>
              </w:rPr>
              <w:t xml:space="preserve">on linking </w:t>
            </w:r>
            <w:r w:rsidRPr="005A017A">
              <w:rPr>
                <w:rFonts w:ascii="Times New Roman" w:eastAsia="Times New Roman" w:hAnsi="Times New Roman" w:cs="Times New Roman"/>
                <w:lang w:val="en-IE" w:eastAsia="zh-CN"/>
              </w:rPr>
              <w:t xml:space="preserve">green budget tagging </w:t>
            </w:r>
            <w:proofErr w:type="gramStart"/>
            <w:r w:rsidR="00A47AF3">
              <w:rPr>
                <w:rFonts w:ascii="Times New Roman" w:eastAsia="Times New Roman" w:hAnsi="Times New Roman" w:cs="Times New Roman"/>
                <w:lang w:val="en-IE" w:eastAsia="zh-CN"/>
              </w:rPr>
              <w:t xml:space="preserve">with </w:t>
            </w:r>
            <w:r>
              <w:rPr>
                <w:rFonts w:ascii="Times New Roman" w:eastAsia="Times New Roman" w:hAnsi="Times New Roman" w:cs="Times New Roman"/>
                <w:lang w:val="en-IE" w:eastAsia="zh-CN"/>
              </w:rPr>
              <w:t xml:space="preserve"> environmental</w:t>
            </w:r>
            <w:proofErr w:type="gramEnd"/>
            <w:r w:rsidRPr="005A017A">
              <w:rPr>
                <w:rFonts w:ascii="Times New Roman" w:eastAsia="Times New Roman" w:hAnsi="Times New Roman" w:cs="Times New Roman"/>
                <w:lang w:val="en-IE" w:eastAsia="zh-CN"/>
              </w:rPr>
              <w:t xml:space="preserve"> impact assessment.</w:t>
            </w:r>
          </w:p>
          <w:p w14:paraId="6503089D" w14:textId="77777777" w:rsidR="00264D12" w:rsidRPr="00760494" w:rsidRDefault="00264D12" w:rsidP="0012365E">
            <w:pPr>
              <w:ind w:left="820" w:hanging="360"/>
              <w:jc w:val="both"/>
              <w:rPr>
                <w:rFonts w:ascii="Times New Roman" w:eastAsia="Times New Roman" w:hAnsi="Times New Roman" w:cs="Times New Roman"/>
                <w:lang w:val="en-IE" w:eastAsia="zh-CN"/>
              </w:rPr>
            </w:pPr>
          </w:p>
          <w:p w14:paraId="406E6725" w14:textId="77777777" w:rsidR="00264D12" w:rsidRPr="00760494" w:rsidRDefault="00264D12" w:rsidP="0012365E">
            <w:pPr>
              <w:numPr>
                <w:ilvl w:val="0"/>
                <w:numId w:val="3"/>
              </w:numPr>
              <w:ind w:left="360"/>
              <w:rPr>
                <w:rFonts w:ascii="Times New Roman" w:eastAsia="Times New Roman" w:hAnsi="Times New Roman" w:cs="Times New Roman"/>
                <w:lang w:val="en-IE" w:eastAsia="zh-CN"/>
              </w:rPr>
            </w:pPr>
            <w:r w:rsidRPr="00760494">
              <w:rPr>
                <w:rFonts w:ascii="Times New Roman" w:eastAsia="Times New Roman" w:hAnsi="Times New Roman" w:cs="Times New Roman"/>
                <w:lang w:val="en-IE" w:eastAsia="zh-CN"/>
              </w:rPr>
              <w:t>Participate in the kick-off event of the project</w:t>
            </w:r>
          </w:p>
          <w:p w14:paraId="6677D6CC" w14:textId="77777777" w:rsidR="00264D12" w:rsidRPr="00760494" w:rsidRDefault="00264D12" w:rsidP="0012365E">
            <w:pPr>
              <w:ind w:left="820" w:hanging="360"/>
              <w:jc w:val="both"/>
              <w:rPr>
                <w:rFonts w:ascii="Times New Roman" w:eastAsia="Times New Roman" w:hAnsi="Times New Roman" w:cs="Times New Roman"/>
                <w:lang w:val="en-IE" w:eastAsia="zh-CN"/>
              </w:rPr>
            </w:pPr>
          </w:p>
          <w:p w14:paraId="1E784094" w14:textId="77777777" w:rsidR="00264D12" w:rsidRPr="00760494" w:rsidRDefault="00264D12" w:rsidP="0012365E">
            <w:pPr>
              <w:rPr>
                <w:rFonts w:ascii="Times New Roman" w:eastAsia="Times New Roman" w:hAnsi="Times New Roman" w:cs="Times New Roman"/>
                <w:lang w:val="en-IE" w:eastAsia="zh-CN"/>
              </w:rPr>
            </w:pPr>
          </w:p>
          <w:bookmarkEnd w:id="1"/>
          <w:p w14:paraId="065239E6" w14:textId="77777777" w:rsidR="00264D12" w:rsidRPr="00760494" w:rsidRDefault="00264D12" w:rsidP="0012365E">
            <w:pPr>
              <w:ind w:left="107"/>
              <w:rPr>
                <w:rFonts w:ascii="Arial" w:eastAsia="Times New Roman" w:hAnsi="Times New Roman" w:cs="Times New Roman"/>
                <w:sz w:val="20"/>
                <w:lang w:val="en-IE"/>
              </w:rPr>
            </w:pPr>
          </w:p>
        </w:tc>
      </w:tr>
      <w:tr w:rsidR="00264D12" w:rsidRPr="00760494" w14:paraId="7383B9A5" w14:textId="77777777" w:rsidTr="00D83264">
        <w:trPr>
          <w:trHeight w:val="5661"/>
          <w:jc w:val="center"/>
        </w:trPr>
        <w:tc>
          <w:tcPr>
            <w:tcW w:w="2127" w:type="dxa"/>
          </w:tcPr>
          <w:p w14:paraId="2A9B8295" w14:textId="77777777" w:rsidR="00264D12" w:rsidRPr="00760494" w:rsidRDefault="00264D12" w:rsidP="0012365E">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Technical Report of the Tagging Methodology</w:t>
            </w:r>
          </w:p>
          <w:p w14:paraId="2AED6486" w14:textId="77777777" w:rsidR="00264D12" w:rsidRPr="00760494" w:rsidRDefault="00264D12" w:rsidP="0012365E">
            <w:pPr>
              <w:spacing w:before="1"/>
              <w:ind w:left="107"/>
              <w:rPr>
                <w:rFonts w:ascii="Times New Roman" w:eastAsia="Times New Roman" w:hAnsi="Times New Roman" w:cs="Times New Roman"/>
                <w:lang w:val="en-GB"/>
              </w:rPr>
            </w:pPr>
          </w:p>
          <w:p w14:paraId="70362CB6" w14:textId="77777777" w:rsidR="00264D12" w:rsidRPr="00760494" w:rsidRDefault="00264D12" w:rsidP="0012365E">
            <w:pPr>
              <w:spacing w:before="1"/>
              <w:ind w:left="107"/>
              <w:rPr>
                <w:rFonts w:ascii="Times New Roman" w:eastAsia="Times New Roman" w:hAnsi="Times New Roman" w:cs="Times New Roman"/>
                <w:sz w:val="20"/>
                <w:lang w:val="en-GB"/>
              </w:rPr>
            </w:pPr>
            <w:r w:rsidRPr="00760494">
              <w:rPr>
                <w:rFonts w:ascii="Times New Roman" w:eastAsia="Times New Roman" w:hAnsi="Times New Roman" w:cs="Times New Roman"/>
                <w:lang w:val="en-GB"/>
              </w:rPr>
              <w:t>September 2025</w:t>
            </w:r>
            <w:r>
              <w:rPr>
                <w:rFonts w:ascii="Times New Roman" w:eastAsia="Times New Roman" w:hAnsi="Times New Roman" w:cs="Times New Roman"/>
                <w:lang w:val="en-GB"/>
              </w:rPr>
              <w:t>- June 2026</w:t>
            </w:r>
          </w:p>
        </w:tc>
        <w:tc>
          <w:tcPr>
            <w:tcW w:w="7230" w:type="dxa"/>
          </w:tcPr>
          <w:p w14:paraId="0A7D1236" w14:textId="7E22D380" w:rsidR="00166ADE" w:rsidRDefault="00264D12" w:rsidP="00166ADE">
            <w:pPr>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Produce a technical report including: </w:t>
            </w:r>
            <w:r w:rsidR="00166ADE" w:rsidRPr="00166ADE">
              <w:rPr>
                <w:rFonts w:ascii="Times New Roman" w:eastAsia="Times New Roman" w:hAnsi="Times New Roman" w:cs="Times New Roman"/>
                <w:lang w:val="en-GB"/>
              </w:rPr>
              <w:t xml:space="preserve">the refined version of the </w:t>
            </w:r>
            <w:proofErr w:type="gramStart"/>
            <w:r w:rsidR="00166ADE" w:rsidRPr="00166ADE">
              <w:rPr>
                <w:rFonts w:ascii="Times New Roman" w:eastAsia="Times New Roman" w:hAnsi="Times New Roman" w:cs="Times New Roman"/>
                <w:lang w:val="en-GB"/>
              </w:rPr>
              <w:t>methodology ,</w:t>
            </w:r>
            <w:proofErr w:type="gramEnd"/>
            <w:r w:rsidR="00166ADE" w:rsidRPr="00166ADE">
              <w:rPr>
                <w:rFonts w:ascii="Times New Roman" w:eastAsia="Times New Roman" w:hAnsi="Times New Roman" w:cs="Times New Roman"/>
                <w:lang w:val="en-GB"/>
              </w:rPr>
              <w:t xml:space="preserve"> analysis and summary of the application of the pilot methodology including strengths and areas of improvement, technical guidance on how to use the tagging methodology, recommendations on how to integrate green budget in the budget process, a roadmap to develop a permanent task-force that involves all relevant line ministries, agencies, and parliamentary representatives. In addition, an inter-ministerial communication plan to obtain information on budget lines from line ministries or directorates, and templates for improving monitoring and reporting, and section with a report the results from the tagging conducted, including explanation of the chosen definition, method, strengths and areas of improvement, in an easily accessible manner that ensures transparency in presenting findings to policymakers ( this report will be accompanying the Budget Bill to the parliament). To </w:t>
            </w:r>
            <w:r w:rsidR="00D73C15">
              <w:rPr>
                <w:rFonts w:ascii="Times New Roman" w:eastAsia="Times New Roman" w:hAnsi="Times New Roman" w:cs="Times New Roman"/>
                <w:lang w:val="en-GB"/>
              </w:rPr>
              <w:t xml:space="preserve">produce the </w:t>
            </w:r>
            <w:r w:rsidR="00166ADE" w:rsidRPr="00166ADE">
              <w:rPr>
                <w:rFonts w:ascii="Times New Roman" w:eastAsia="Times New Roman" w:hAnsi="Times New Roman" w:cs="Times New Roman"/>
                <w:lang w:val="en-GB"/>
              </w:rPr>
              <w:t xml:space="preserve">Output, the designated expert will </w:t>
            </w:r>
            <w:r w:rsidR="00D73C15">
              <w:rPr>
                <w:rFonts w:ascii="Times New Roman" w:eastAsia="Times New Roman" w:hAnsi="Times New Roman" w:cs="Times New Roman"/>
                <w:lang w:val="en-GB"/>
              </w:rPr>
              <w:t xml:space="preserve">implement the </w:t>
            </w:r>
            <w:r w:rsidR="00166ADE" w:rsidRPr="00166ADE">
              <w:rPr>
                <w:rFonts w:ascii="Times New Roman" w:eastAsia="Times New Roman" w:hAnsi="Times New Roman" w:cs="Times New Roman"/>
                <w:lang w:val="en-GB"/>
              </w:rPr>
              <w:t xml:space="preserve">following activities: </w:t>
            </w:r>
          </w:p>
          <w:p w14:paraId="663123CC" w14:textId="77777777" w:rsidR="001E0E83" w:rsidRPr="00166ADE" w:rsidRDefault="001E0E83" w:rsidP="00166ADE">
            <w:pPr>
              <w:ind w:left="107"/>
              <w:rPr>
                <w:rFonts w:ascii="Times New Roman" w:eastAsia="Times New Roman" w:hAnsi="Times New Roman" w:cs="Times New Roman"/>
                <w:lang w:val="en-GB"/>
              </w:rPr>
            </w:pPr>
          </w:p>
          <w:p w14:paraId="08FCE511" w14:textId="6FE0012D" w:rsidR="00166ADE" w:rsidRPr="00D73C15" w:rsidRDefault="00166ADE" w:rsidP="00D73C15">
            <w:pPr>
              <w:pStyle w:val="Paragraphedeliste"/>
              <w:numPr>
                <w:ilvl w:val="0"/>
                <w:numId w:val="9"/>
              </w:numPr>
              <w:rPr>
                <w:rFonts w:ascii="Times New Roman" w:eastAsia="Times New Roman" w:hAnsi="Times New Roman" w:cs="Times New Roman"/>
                <w:lang w:val="en-GB"/>
              </w:rPr>
            </w:pPr>
            <w:r w:rsidRPr="00D73C15">
              <w:rPr>
                <w:rFonts w:ascii="Times New Roman" w:eastAsia="Times New Roman" w:hAnsi="Times New Roman" w:cs="Times New Roman"/>
                <w:lang w:val="en-GB"/>
              </w:rPr>
              <w:t xml:space="preserve">Conducting one or two workshops with the relevant technical staff to finalise the methodology based on the recommendations provided in the inception phase </w:t>
            </w:r>
          </w:p>
          <w:p w14:paraId="68EC66FC" w14:textId="47F50390" w:rsidR="00166ADE" w:rsidRPr="00D73C15" w:rsidRDefault="00166ADE" w:rsidP="00D73C15">
            <w:pPr>
              <w:pStyle w:val="Paragraphedeliste"/>
              <w:numPr>
                <w:ilvl w:val="0"/>
                <w:numId w:val="9"/>
              </w:numPr>
              <w:rPr>
                <w:rFonts w:ascii="Times New Roman" w:eastAsia="Times New Roman" w:hAnsi="Times New Roman" w:cs="Times New Roman"/>
                <w:lang w:val="en-GB"/>
              </w:rPr>
            </w:pPr>
            <w:r w:rsidRPr="00D73C15">
              <w:rPr>
                <w:rFonts w:ascii="Times New Roman" w:eastAsia="Times New Roman" w:hAnsi="Times New Roman" w:cs="Times New Roman"/>
                <w:lang w:val="en-GB"/>
              </w:rPr>
              <w:t>Conduct one or two workshops to prepare for the pilot tagging implementation</w:t>
            </w:r>
          </w:p>
          <w:p w14:paraId="5037B906" w14:textId="32EA2023" w:rsidR="00166ADE" w:rsidRPr="00D73C15" w:rsidRDefault="00166ADE" w:rsidP="00D73C15">
            <w:pPr>
              <w:pStyle w:val="Paragraphedeliste"/>
              <w:numPr>
                <w:ilvl w:val="0"/>
                <w:numId w:val="9"/>
              </w:numPr>
              <w:rPr>
                <w:rFonts w:ascii="Times New Roman" w:eastAsia="Times New Roman" w:hAnsi="Times New Roman" w:cs="Times New Roman"/>
                <w:lang w:val="en-GB"/>
              </w:rPr>
            </w:pPr>
            <w:r w:rsidRPr="00D73C15">
              <w:rPr>
                <w:rFonts w:ascii="Times New Roman" w:eastAsia="Times New Roman" w:hAnsi="Times New Roman" w:cs="Times New Roman"/>
                <w:lang w:val="en-GB"/>
              </w:rPr>
              <w:t xml:space="preserve">Conducting a pilot tagging on the agreed budget items and sectors </w:t>
            </w:r>
          </w:p>
          <w:p w14:paraId="604F01A8" w14:textId="1DA41942" w:rsidR="00264D12" w:rsidRPr="001E0E83" w:rsidRDefault="00166ADE" w:rsidP="00D73C15">
            <w:pPr>
              <w:pStyle w:val="Paragraphedeliste"/>
              <w:numPr>
                <w:ilvl w:val="0"/>
                <w:numId w:val="9"/>
              </w:numPr>
              <w:rPr>
                <w:rFonts w:ascii="Times New Roman" w:eastAsia="Times New Roman" w:hAnsi="Times New Roman" w:cs="Times New Roman"/>
                <w:lang w:val="en-IE"/>
              </w:rPr>
            </w:pPr>
            <w:r w:rsidRPr="00D73C15">
              <w:rPr>
                <w:rFonts w:ascii="Times New Roman" w:eastAsia="Times New Roman" w:hAnsi="Times New Roman" w:cs="Times New Roman"/>
                <w:lang w:val="en-GB"/>
              </w:rPr>
              <w:t>Developing a comprehensive overview of the tagging results with accessible data visualizations to ensure transparency in presenting findings to policymakers</w:t>
            </w:r>
          </w:p>
          <w:p w14:paraId="6E41ACAF" w14:textId="77777777" w:rsidR="001E0E83" w:rsidRPr="001E0E83" w:rsidRDefault="001E0E83" w:rsidP="001E0E83">
            <w:pPr>
              <w:pStyle w:val="Paragraphedeliste"/>
              <w:numPr>
                <w:ilvl w:val="0"/>
                <w:numId w:val="9"/>
              </w:numPr>
              <w:rPr>
                <w:rFonts w:ascii="Times New Roman" w:eastAsia="Times New Roman" w:hAnsi="Times New Roman" w:cs="Times New Roman"/>
                <w:lang w:val="en-IE"/>
              </w:rPr>
            </w:pPr>
            <w:r w:rsidRPr="001E0E83">
              <w:rPr>
                <w:rFonts w:ascii="Times New Roman" w:eastAsia="Times New Roman" w:hAnsi="Times New Roman" w:cs="Times New Roman"/>
                <w:lang w:val="en-IE"/>
              </w:rPr>
              <w:t>During the drafting of the Output, the expert shall ensure continuous feedback from the Green Budgeting team in the Ministry of Finance and Ministry of Environment and relevant technical staff from other line ministries</w:t>
            </w:r>
          </w:p>
          <w:p w14:paraId="533A02A1" w14:textId="77777777" w:rsidR="00264D12" w:rsidRPr="00760494" w:rsidRDefault="00264D12" w:rsidP="0012365E">
            <w:pPr>
              <w:ind w:left="720"/>
              <w:rPr>
                <w:rFonts w:ascii="Times New Roman" w:eastAsia="Times New Roman" w:hAnsi="Times New Roman" w:cs="Times New Roman"/>
                <w:lang w:val="en-GB"/>
              </w:rPr>
            </w:pPr>
          </w:p>
        </w:tc>
      </w:tr>
      <w:tr w:rsidR="00264D12" w:rsidRPr="00760494" w14:paraId="1F8C24AE" w14:textId="77777777" w:rsidTr="00D83264">
        <w:trPr>
          <w:trHeight w:val="626"/>
          <w:jc w:val="center"/>
        </w:trPr>
        <w:tc>
          <w:tcPr>
            <w:tcW w:w="2127" w:type="dxa"/>
          </w:tcPr>
          <w:p w14:paraId="52FC6598" w14:textId="77777777" w:rsidR="00102372" w:rsidRDefault="00264D12" w:rsidP="0012365E">
            <w:pPr>
              <w:spacing w:line="244" w:lineRule="auto"/>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Report with </w:t>
            </w:r>
            <w:r>
              <w:rPr>
                <w:rFonts w:ascii="Times New Roman" w:eastAsia="Times New Roman" w:hAnsi="Times New Roman" w:cs="Times New Roman"/>
                <w:lang w:val="en-GB"/>
              </w:rPr>
              <w:t>g</w:t>
            </w:r>
            <w:r w:rsidRPr="002D4D82">
              <w:rPr>
                <w:rFonts w:ascii="Times New Roman" w:eastAsia="Times New Roman" w:hAnsi="Times New Roman" w:cs="Times New Roman"/>
                <w:lang w:val="en-GB"/>
              </w:rPr>
              <w:t>uidelines</w:t>
            </w:r>
          </w:p>
          <w:p w14:paraId="1F75E302" w14:textId="6F9B2E2D" w:rsidR="00264D12" w:rsidRPr="00760494" w:rsidRDefault="00102372" w:rsidP="0012365E">
            <w:pPr>
              <w:spacing w:line="244" w:lineRule="auto"/>
              <w:ind w:left="107"/>
              <w:rPr>
                <w:rFonts w:ascii="Times New Roman" w:eastAsia="Times New Roman" w:hAnsi="Times New Roman" w:cs="Times New Roman"/>
                <w:lang w:val="en-GB"/>
              </w:rPr>
            </w:pPr>
            <w:r w:rsidRPr="00102372">
              <w:rPr>
                <w:rFonts w:ascii="Times New Roman" w:eastAsia="Times New Roman" w:hAnsi="Times New Roman" w:cs="Times New Roman"/>
                <w:lang w:val="en-GB"/>
              </w:rPr>
              <w:t xml:space="preserve"> to link green budget tagging with EIA</w:t>
            </w:r>
          </w:p>
          <w:p w14:paraId="08928525" w14:textId="77777777" w:rsidR="00264D12" w:rsidRPr="00760494" w:rsidRDefault="00264D12" w:rsidP="0012365E">
            <w:pPr>
              <w:spacing w:line="244" w:lineRule="auto"/>
              <w:ind w:left="107"/>
              <w:rPr>
                <w:rFonts w:ascii="Times New Roman" w:eastAsia="Times New Roman" w:hAnsi="Times New Roman" w:cs="Times New Roman"/>
                <w:lang w:val="en-GB"/>
              </w:rPr>
            </w:pPr>
          </w:p>
          <w:p w14:paraId="780A7F81" w14:textId="77777777" w:rsidR="00264D12" w:rsidRPr="00760494" w:rsidRDefault="00264D12" w:rsidP="0012365E">
            <w:pPr>
              <w:spacing w:line="244" w:lineRule="auto"/>
              <w:ind w:left="107"/>
              <w:rPr>
                <w:rFonts w:ascii="Times New Roman" w:eastAsia="Times New Roman" w:hAnsi="Times New Roman" w:cs="Times New Roman"/>
                <w:lang w:val="en-GB"/>
              </w:rPr>
            </w:pPr>
            <w:r>
              <w:rPr>
                <w:rFonts w:ascii="Times New Roman" w:eastAsia="Times New Roman" w:hAnsi="Times New Roman" w:cs="Times New Roman"/>
                <w:lang w:val="en-GB"/>
              </w:rPr>
              <w:t>June</w:t>
            </w:r>
            <w:r w:rsidRPr="00760494">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October </w:t>
            </w:r>
            <w:r w:rsidRPr="00760494">
              <w:rPr>
                <w:rFonts w:ascii="Times New Roman" w:eastAsia="Times New Roman" w:hAnsi="Times New Roman" w:cs="Times New Roman"/>
                <w:lang w:val="en-GB"/>
              </w:rPr>
              <w:t>2026</w:t>
            </w:r>
          </w:p>
        </w:tc>
        <w:tc>
          <w:tcPr>
            <w:tcW w:w="7230" w:type="dxa"/>
          </w:tcPr>
          <w:p w14:paraId="45CA785E" w14:textId="42EB435B" w:rsidR="00264D12" w:rsidRPr="00760494" w:rsidRDefault="00264D12" w:rsidP="0012365E">
            <w:pPr>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Produce a technical report with guidelines</w:t>
            </w:r>
            <w:r w:rsidRPr="00456DD4">
              <w:rPr>
                <w:rFonts w:ascii="Times New Roman" w:eastAsia="Times New Roman" w:hAnsi="Times New Roman" w:cs="Times New Roman"/>
                <w:bCs/>
                <w:lang w:val="en-IE" w:eastAsia="en-IE"/>
              </w:rPr>
              <w:t>. To produce</w:t>
            </w:r>
            <w:r w:rsidR="00675443">
              <w:rPr>
                <w:rFonts w:ascii="Times New Roman" w:eastAsia="Times New Roman" w:hAnsi="Times New Roman" w:cs="Times New Roman"/>
                <w:bCs/>
                <w:lang w:val="en-IE" w:eastAsia="en-IE"/>
              </w:rPr>
              <w:t xml:space="preserve"> the</w:t>
            </w:r>
            <w:r w:rsidRPr="00456DD4">
              <w:rPr>
                <w:rFonts w:ascii="Times New Roman" w:eastAsia="Times New Roman" w:hAnsi="Times New Roman" w:cs="Times New Roman"/>
                <w:bCs/>
                <w:lang w:val="en-IE" w:eastAsia="en-IE"/>
              </w:rPr>
              <w:t xml:space="preserve"> Output</w:t>
            </w:r>
            <w:r w:rsidR="00675443">
              <w:rPr>
                <w:rFonts w:ascii="Times New Roman" w:eastAsia="Times New Roman" w:hAnsi="Times New Roman" w:cs="Times New Roman"/>
                <w:bCs/>
                <w:lang w:val="en-IE" w:eastAsia="en-IE"/>
              </w:rPr>
              <w:t>,</w:t>
            </w:r>
            <w:r w:rsidRPr="00456DD4">
              <w:rPr>
                <w:rFonts w:ascii="Times New Roman" w:eastAsia="Times New Roman" w:hAnsi="Times New Roman" w:cs="Times New Roman"/>
                <w:bCs/>
                <w:lang w:val="en-IE" w:eastAsia="en-IE"/>
              </w:rPr>
              <w:t xml:space="preserve"> the designated expert shall implement the following activities:</w:t>
            </w:r>
          </w:p>
          <w:p w14:paraId="03787569" w14:textId="77777777" w:rsidR="00264D12" w:rsidRPr="00760494" w:rsidRDefault="00264D12" w:rsidP="0012365E">
            <w:pPr>
              <w:ind w:left="107"/>
              <w:rPr>
                <w:rFonts w:ascii="Times New Roman" w:eastAsia="Times New Roman" w:hAnsi="Times New Roman" w:cs="Times New Roman"/>
                <w:lang w:val="en-GB"/>
              </w:rPr>
            </w:pPr>
          </w:p>
          <w:p w14:paraId="3F3CE6A8" w14:textId="67D88F65" w:rsidR="00264D12" w:rsidRPr="00760494" w:rsidRDefault="00264D12" w:rsidP="0012365E">
            <w:pPr>
              <w:numPr>
                <w:ilvl w:val="0"/>
                <w:numId w:val="4"/>
              </w:num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Draft the report with </w:t>
            </w:r>
            <w:r>
              <w:rPr>
                <w:rFonts w:ascii="Times New Roman" w:eastAsia="Times New Roman" w:hAnsi="Times New Roman" w:cs="Times New Roman"/>
                <w:lang w:val="en-GB"/>
              </w:rPr>
              <w:t>guidelines</w:t>
            </w:r>
            <w:r w:rsidRPr="00573694">
              <w:rPr>
                <w:rFonts w:ascii="Times New Roman" w:eastAsia="Times New Roman" w:hAnsi="Times New Roman" w:cs="Times New Roman"/>
                <w:lang w:val="en-GB"/>
              </w:rPr>
              <w:t xml:space="preserve"> and</w:t>
            </w:r>
            <w:r w:rsidR="008776A8" w:rsidRPr="008776A8">
              <w:rPr>
                <w:rFonts w:ascii="Times New Roman" w:eastAsia="Times New Roman" w:hAnsi="Times New Roman" w:cs="Times New Roman"/>
                <w:lang w:val="en-GB"/>
              </w:rPr>
              <w:t xml:space="preserve"> recommendations on how Cyprus can link EIA with green budget tagging</w:t>
            </w:r>
          </w:p>
          <w:p w14:paraId="1E6986A3" w14:textId="77777777" w:rsidR="00264D12" w:rsidRPr="00760494" w:rsidRDefault="00264D12" w:rsidP="0012365E">
            <w:pPr>
              <w:ind w:left="107"/>
              <w:rPr>
                <w:rFonts w:ascii="Times New Roman" w:eastAsia="Times New Roman" w:hAnsi="Times New Roman" w:cs="Times New Roman"/>
                <w:lang w:val="en-GB"/>
              </w:rPr>
            </w:pPr>
          </w:p>
          <w:p w14:paraId="515ED941" w14:textId="77777777" w:rsidR="00264D12" w:rsidRPr="00760494" w:rsidRDefault="00264D12" w:rsidP="0012365E">
            <w:pPr>
              <w:numPr>
                <w:ilvl w:val="0"/>
                <w:numId w:val="4"/>
              </w:numPr>
              <w:rPr>
                <w:rFonts w:ascii="Times New Roman" w:eastAsia="Times New Roman" w:hAnsi="Times New Roman" w:cs="Times New Roman"/>
                <w:lang w:val="en-GB"/>
              </w:rPr>
            </w:pPr>
            <w:r w:rsidRPr="00760494">
              <w:rPr>
                <w:rFonts w:ascii="Times New Roman" w:eastAsia="Times New Roman" w:hAnsi="Times New Roman" w:cs="Times New Roman"/>
                <w:lang w:val="en-GB"/>
              </w:rPr>
              <w:t>Deliver training on the implementation of the guidelines that would entail to:</w:t>
            </w:r>
          </w:p>
          <w:p w14:paraId="3EC17BBD" w14:textId="77777777" w:rsidR="00264D12" w:rsidRPr="00760494" w:rsidRDefault="00264D12" w:rsidP="0012365E">
            <w:pPr>
              <w:rPr>
                <w:rFonts w:ascii="Times New Roman" w:eastAsia="Times New Roman" w:hAnsi="Times New Roman" w:cs="Times New Roman"/>
                <w:lang w:val="en-GB"/>
              </w:rPr>
            </w:pPr>
          </w:p>
          <w:p w14:paraId="1FB4D56F" w14:textId="77777777" w:rsidR="00264D12" w:rsidRPr="00760494" w:rsidRDefault="00264D12" w:rsidP="0012365E">
            <w:pPr>
              <w:numPr>
                <w:ilvl w:val="0"/>
                <w:numId w:val="5"/>
              </w:numPr>
              <w:rPr>
                <w:rFonts w:ascii="Times New Roman" w:eastAsia="Times New Roman" w:hAnsi="Times New Roman" w:cs="Times New Roman"/>
                <w:lang w:val="en-GB"/>
              </w:rPr>
            </w:pPr>
            <w:r w:rsidRPr="00760494">
              <w:rPr>
                <w:rFonts w:ascii="Times New Roman" w:eastAsia="Times New Roman" w:hAnsi="Times New Roman" w:cs="Times New Roman"/>
                <w:lang w:val="en-GB"/>
              </w:rPr>
              <w:t>Develop the training curriculum and identify relevant training participants</w:t>
            </w:r>
          </w:p>
          <w:p w14:paraId="776CB9A5" w14:textId="77777777" w:rsidR="00264D12" w:rsidRPr="00760494" w:rsidRDefault="00264D12" w:rsidP="0012365E">
            <w:pPr>
              <w:numPr>
                <w:ilvl w:val="0"/>
                <w:numId w:val="5"/>
              </w:numPr>
              <w:rPr>
                <w:rFonts w:ascii="Times New Roman" w:eastAsia="Times New Roman" w:hAnsi="Times New Roman" w:cs="Times New Roman"/>
                <w:lang w:val="en-GB"/>
              </w:rPr>
            </w:pPr>
            <w:r w:rsidRPr="00760494">
              <w:rPr>
                <w:rFonts w:ascii="Times New Roman" w:eastAsia="Times New Roman" w:hAnsi="Times New Roman" w:cs="Times New Roman"/>
                <w:lang w:val="en-GB"/>
              </w:rPr>
              <w:t>Implement the training sessions at the Ministry of Finance or online</w:t>
            </w:r>
          </w:p>
          <w:p w14:paraId="211AE33B" w14:textId="77777777" w:rsidR="00264D12" w:rsidRPr="00760494" w:rsidRDefault="00264D12" w:rsidP="0012365E">
            <w:pPr>
              <w:numPr>
                <w:ilvl w:val="0"/>
                <w:numId w:val="5"/>
              </w:numPr>
              <w:rPr>
                <w:rFonts w:ascii="Arial" w:eastAsia="Times New Roman" w:hAnsi="Times New Roman" w:cs="Times New Roman"/>
                <w:sz w:val="20"/>
                <w:lang w:val="en-GB"/>
              </w:rPr>
            </w:pPr>
            <w:r w:rsidRPr="00760494">
              <w:rPr>
                <w:rFonts w:ascii="Times New Roman" w:eastAsia="Times New Roman" w:hAnsi="Times New Roman" w:cs="Times New Roman"/>
                <w:lang w:val="en-GB"/>
              </w:rPr>
              <w:t>Evaluate training satisfaction</w:t>
            </w:r>
          </w:p>
        </w:tc>
      </w:tr>
      <w:tr w:rsidR="00264D12" w:rsidRPr="00760494" w14:paraId="12181A4E" w14:textId="77777777" w:rsidTr="00D83264">
        <w:trPr>
          <w:trHeight w:val="626"/>
          <w:jc w:val="center"/>
        </w:trPr>
        <w:tc>
          <w:tcPr>
            <w:tcW w:w="2127" w:type="dxa"/>
          </w:tcPr>
          <w:p w14:paraId="5E67DD4F" w14:textId="77777777" w:rsidR="00264D12" w:rsidRPr="00760494" w:rsidRDefault="00264D12" w:rsidP="0012365E">
            <w:pPr>
              <w:spacing w:line="244" w:lineRule="auto"/>
              <w:rPr>
                <w:rFonts w:ascii="Times New Roman" w:eastAsia="Times New Roman" w:hAnsi="Times New Roman" w:cs="Times New Roman"/>
                <w:lang w:val="en-GB"/>
              </w:rPr>
            </w:pPr>
            <w:r w:rsidRPr="00760494">
              <w:rPr>
                <w:rFonts w:ascii="Times New Roman" w:eastAsia="Times New Roman" w:hAnsi="Times New Roman" w:cs="Times New Roman"/>
                <w:lang w:val="en-GB"/>
              </w:rPr>
              <w:t>Contribution to peer exchanges</w:t>
            </w:r>
          </w:p>
          <w:p w14:paraId="51A1FF15" w14:textId="77777777" w:rsidR="00264D12" w:rsidRPr="00760494" w:rsidRDefault="00264D12" w:rsidP="0012365E">
            <w:pPr>
              <w:spacing w:line="244" w:lineRule="auto"/>
              <w:ind w:left="107"/>
              <w:rPr>
                <w:rFonts w:ascii="Times New Roman" w:eastAsia="Times New Roman" w:hAnsi="Times New Roman" w:cs="Times New Roman"/>
                <w:lang w:val="en-GB"/>
              </w:rPr>
            </w:pPr>
          </w:p>
          <w:p w14:paraId="4EC3AB3C" w14:textId="77777777" w:rsidR="00264D12" w:rsidRPr="00760494" w:rsidRDefault="00264D12" w:rsidP="0012365E">
            <w:pPr>
              <w:spacing w:line="244" w:lineRule="auto"/>
              <w:rPr>
                <w:rFonts w:ascii="Times New Roman" w:eastAsia="Times New Roman" w:hAnsi="Times New Roman" w:cs="Times New Roman"/>
                <w:lang w:val="en-GB"/>
              </w:rPr>
            </w:pPr>
            <w:r w:rsidRPr="00760494">
              <w:rPr>
                <w:rFonts w:ascii="Times New Roman" w:eastAsia="Times New Roman" w:hAnsi="Times New Roman" w:cs="Times New Roman"/>
                <w:lang w:val="en-GB"/>
              </w:rPr>
              <w:t>Through the whole project duration</w:t>
            </w:r>
          </w:p>
        </w:tc>
        <w:tc>
          <w:tcPr>
            <w:tcW w:w="7230" w:type="dxa"/>
          </w:tcPr>
          <w:p w14:paraId="438CF822" w14:textId="67D91514"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Accompanying </w:t>
            </w:r>
            <w:r w:rsidR="00882AB9">
              <w:rPr>
                <w:rFonts w:ascii="Times New Roman" w:eastAsia="Times New Roman" w:hAnsi="Times New Roman" w:cs="Times New Roman"/>
                <w:lang w:val="en-GB"/>
              </w:rPr>
              <w:t xml:space="preserve">the Cypriot </w:t>
            </w:r>
            <w:r w:rsidRPr="00760494">
              <w:rPr>
                <w:rFonts w:ascii="Times New Roman" w:eastAsia="Times New Roman" w:hAnsi="Times New Roman" w:cs="Times New Roman"/>
                <w:lang w:val="en-GB"/>
              </w:rPr>
              <w:t xml:space="preserve">officials to workshops and discussions with peers from other EU Member States and reporting good practices that could be replicable or adaptable to </w:t>
            </w:r>
            <w:r w:rsidR="00882AB9">
              <w:rPr>
                <w:rFonts w:ascii="Times New Roman" w:eastAsia="Times New Roman" w:hAnsi="Times New Roman" w:cs="Times New Roman"/>
                <w:lang w:val="en-GB"/>
              </w:rPr>
              <w:t>Cyprus</w:t>
            </w:r>
            <w:r w:rsidR="00B13533">
              <w:rPr>
                <w:rFonts w:ascii="Times New Roman" w:eastAsia="Times New Roman" w:hAnsi="Times New Roman" w:cs="Times New Roman"/>
                <w:lang w:val="en-GB"/>
              </w:rPr>
              <w:t xml:space="preserve">´ </w:t>
            </w:r>
            <w:r w:rsidR="00B13533" w:rsidRPr="00760494">
              <w:rPr>
                <w:rFonts w:ascii="Times New Roman" w:eastAsia="Times New Roman" w:hAnsi="Times New Roman" w:cs="Times New Roman"/>
                <w:lang w:val="en-GB"/>
              </w:rPr>
              <w:t>context</w:t>
            </w:r>
          </w:p>
        </w:tc>
      </w:tr>
      <w:tr w:rsidR="00264D12" w:rsidRPr="00760494" w14:paraId="714C7132" w14:textId="77777777" w:rsidTr="00D83264">
        <w:trPr>
          <w:trHeight w:val="1346"/>
          <w:jc w:val="center"/>
        </w:trPr>
        <w:tc>
          <w:tcPr>
            <w:tcW w:w="2127" w:type="dxa"/>
          </w:tcPr>
          <w:p w14:paraId="41B5CFAB" w14:textId="77777777" w:rsidR="00264D12" w:rsidRPr="00760494" w:rsidRDefault="00264D12" w:rsidP="0012365E">
            <w:pPr>
              <w:spacing w:before="1"/>
              <w:jc w:val="both"/>
              <w:rPr>
                <w:rFonts w:ascii="Times New Roman" w:eastAsia="Times New Roman" w:hAnsi="Times New Roman" w:cs="Times New Roman"/>
                <w:lang w:val="en-GB"/>
              </w:rPr>
            </w:pPr>
            <w:r w:rsidRPr="00760494">
              <w:rPr>
                <w:rFonts w:ascii="Times New Roman" w:eastAsia="Times New Roman" w:hAnsi="Times New Roman" w:cs="Times New Roman"/>
                <w:lang w:val="en-GB"/>
              </w:rPr>
              <w:t>Contribution to capitalisation material</w:t>
            </w:r>
          </w:p>
          <w:p w14:paraId="76ECA8D6" w14:textId="77777777" w:rsidR="00264D12" w:rsidRPr="00760494" w:rsidRDefault="00264D12" w:rsidP="0012365E">
            <w:pPr>
              <w:spacing w:before="1"/>
              <w:ind w:left="107"/>
              <w:jc w:val="both"/>
              <w:rPr>
                <w:rFonts w:ascii="Times New Roman" w:eastAsia="Times New Roman" w:hAnsi="Times New Roman" w:cs="Times New Roman"/>
                <w:lang w:val="en-GB"/>
              </w:rPr>
            </w:pPr>
          </w:p>
          <w:p w14:paraId="70161226" w14:textId="77777777" w:rsidR="00264D12" w:rsidRPr="00760494" w:rsidRDefault="00264D12" w:rsidP="0012365E">
            <w:pPr>
              <w:spacing w:before="1"/>
              <w:jc w:val="both"/>
              <w:rPr>
                <w:rFonts w:ascii="Times New Roman" w:eastAsia="Times New Roman" w:hAnsi="Times New Roman" w:cs="Times New Roman"/>
                <w:lang w:val="en-GB"/>
              </w:rPr>
            </w:pPr>
            <w:r w:rsidRPr="00760494">
              <w:rPr>
                <w:rFonts w:ascii="Times New Roman" w:eastAsia="Times New Roman" w:hAnsi="Times New Roman" w:cs="Times New Roman"/>
                <w:lang w:val="en-GB"/>
              </w:rPr>
              <w:t>Through the whole project duration</w:t>
            </w:r>
          </w:p>
        </w:tc>
        <w:tc>
          <w:tcPr>
            <w:tcW w:w="7230" w:type="dxa"/>
          </w:tcPr>
          <w:p w14:paraId="19C3381D" w14:textId="77777777"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Providing input to publications or other material, e.g. information on key findings and best practices from the Tagging Methodology and Guidelines on other Green Budgeting Practices. The aim of the capitalisation material is to disseminate potential common approaches or frameworks that can guide coherent and effective green budgeting implementation across Member States.</w:t>
            </w:r>
          </w:p>
        </w:tc>
      </w:tr>
      <w:tr w:rsidR="00264D12" w:rsidRPr="00760494" w14:paraId="64775FB8" w14:textId="77777777" w:rsidTr="00D83264">
        <w:trPr>
          <w:trHeight w:val="1268"/>
          <w:jc w:val="center"/>
        </w:trPr>
        <w:tc>
          <w:tcPr>
            <w:tcW w:w="2127" w:type="dxa"/>
          </w:tcPr>
          <w:p w14:paraId="1C9F8201" w14:textId="77777777"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Final</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report</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and</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final conference</w:t>
            </w:r>
          </w:p>
          <w:p w14:paraId="2E4B1723" w14:textId="77777777" w:rsidR="00264D12" w:rsidRPr="00760494" w:rsidRDefault="00264D12" w:rsidP="0012365E">
            <w:pPr>
              <w:rPr>
                <w:rFonts w:ascii="Times New Roman" w:eastAsia="Times New Roman" w:hAnsi="Times New Roman" w:cs="Times New Roman"/>
                <w:lang w:val="en-GB"/>
              </w:rPr>
            </w:pPr>
          </w:p>
          <w:p w14:paraId="11C36B17" w14:textId="77777777"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September 2027-December 2027</w:t>
            </w:r>
          </w:p>
        </w:tc>
        <w:tc>
          <w:tcPr>
            <w:tcW w:w="7230" w:type="dxa"/>
          </w:tcPr>
          <w:p w14:paraId="10F00EE0" w14:textId="13F3547A" w:rsidR="00264D12" w:rsidRPr="00760494" w:rsidRDefault="00264D12" w:rsidP="0012365E">
            <w:p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Reporting on the key achievements, challenges, and lessons learned from the green budgeting technical support provided. Participate in the final conference by presenting the progress on Green Budgeting practices achieved in </w:t>
            </w:r>
            <w:r w:rsidR="00B13533">
              <w:rPr>
                <w:rFonts w:ascii="Times New Roman" w:eastAsia="Times New Roman" w:hAnsi="Times New Roman" w:cs="Times New Roman"/>
                <w:lang w:val="en-GB"/>
              </w:rPr>
              <w:t>Cyprus</w:t>
            </w:r>
          </w:p>
        </w:tc>
      </w:tr>
    </w:tbl>
    <w:p w14:paraId="52A00676" w14:textId="77777777" w:rsidR="00264D12" w:rsidRPr="00760494" w:rsidRDefault="00264D12" w:rsidP="00264D12">
      <w:pPr>
        <w:widowControl w:val="0"/>
        <w:autoSpaceDE w:val="0"/>
        <w:autoSpaceDN w:val="0"/>
        <w:spacing w:before="183" w:after="0" w:line="240" w:lineRule="auto"/>
        <w:rPr>
          <w:rFonts w:ascii="Times New Roman" w:eastAsia="Times New Roman" w:hAnsi="Times New Roman" w:cs="Times New Roman"/>
          <w:b/>
          <w:color w:val="auto"/>
          <w:sz w:val="24"/>
          <w:szCs w:val="24"/>
          <w:lang w:val="en-GB"/>
          <w14:ligatures w14:val="none"/>
        </w:rPr>
      </w:pPr>
    </w:p>
    <w:p w14:paraId="6024B6EE" w14:textId="77777777" w:rsidR="00264D12" w:rsidRPr="00760494" w:rsidRDefault="00264D12" w:rsidP="00264D12">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r w:rsidRPr="00760494">
        <w:rPr>
          <w:rFonts w:ascii="Times New Roman" w:eastAsia="Times New Roman" w:hAnsi="Times New Roman" w:cs="Times New Roman"/>
          <w:i/>
          <w:color w:val="auto"/>
          <w:sz w:val="24"/>
          <w:szCs w:val="22"/>
          <w:lang w:val="en-GB"/>
          <w14:ligatures w14:val="none"/>
        </w:rPr>
        <w:t>Note: the precise dates for the activities will be agreed between the selected Expert and the project team.</w:t>
      </w:r>
    </w:p>
    <w:p w14:paraId="7B8AAF09" w14:textId="77777777" w:rsidR="00264D12" w:rsidRPr="00760494" w:rsidRDefault="00264D12" w:rsidP="00264D12">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1269DFAA" w14:textId="77777777" w:rsidR="00264D12" w:rsidRPr="00760494" w:rsidRDefault="00264D12" w:rsidP="00264D12">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02B625BF" w14:textId="77777777" w:rsidR="00264D12" w:rsidRPr="00D83264" w:rsidRDefault="00264D12" w:rsidP="00D83264">
      <w:pPr>
        <w:widowControl w:val="0"/>
        <w:autoSpaceDE w:val="0"/>
        <w:autoSpaceDN w:val="0"/>
        <w:spacing w:before="161" w:after="0" w:line="240" w:lineRule="auto"/>
        <w:outlineLvl w:val="0"/>
        <w:rPr>
          <w:rFonts w:ascii="Times New Roman" w:eastAsia="Times New Roman" w:hAnsi="Times New Roman" w:cs="Times New Roman"/>
          <w:b/>
          <w:bCs/>
          <w:color w:val="auto"/>
          <w:sz w:val="32"/>
          <w:szCs w:val="24"/>
          <w:lang w:val="en-GB"/>
          <w14:ligatures w14:val="none"/>
        </w:rPr>
      </w:pPr>
      <w:r w:rsidRPr="00D83264">
        <w:rPr>
          <w:rFonts w:ascii="Times New Roman" w:eastAsia="Times New Roman" w:hAnsi="Times New Roman" w:cs="Times New Roman"/>
          <w:b/>
          <w:bCs/>
          <w:color w:val="auto"/>
          <w:sz w:val="32"/>
          <w:szCs w:val="24"/>
          <w:lang w:val="en-GB"/>
          <w14:ligatures w14:val="none"/>
        </w:rPr>
        <w:t>Desired</w:t>
      </w:r>
      <w:r w:rsidRPr="00D83264">
        <w:rPr>
          <w:rFonts w:ascii="Times New Roman" w:eastAsia="Times New Roman" w:hAnsi="Times New Roman" w:cs="Times New Roman"/>
          <w:b/>
          <w:bCs/>
          <w:color w:val="auto"/>
          <w:spacing w:val="-4"/>
          <w:sz w:val="32"/>
          <w:szCs w:val="24"/>
          <w:lang w:val="en-GB"/>
          <w14:ligatures w14:val="none"/>
        </w:rPr>
        <w:t xml:space="preserve"> </w:t>
      </w:r>
      <w:r w:rsidRPr="00D83264">
        <w:rPr>
          <w:rFonts w:ascii="Times New Roman" w:eastAsia="Times New Roman" w:hAnsi="Times New Roman" w:cs="Times New Roman"/>
          <w:b/>
          <w:bCs/>
          <w:color w:val="auto"/>
          <w:spacing w:val="-2"/>
          <w:sz w:val="32"/>
          <w:szCs w:val="24"/>
          <w:lang w:val="en-GB"/>
          <w14:ligatures w14:val="none"/>
        </w:rPr>
        <w:t>profile</w:t>
      </w:r>
    </w:p>
    <w:p w14:paraId="20D2D194" w14:textId="058A15DF" w:rsidR="00264D12" w:rsidRPr="00D83264" w:rsidRDefault="00264D12" w:rsidP="00D83264">
      <w:pPr>
        <w:pStyle w:val="Paragraphedeliste"/>
        <w:widowControl w:val="0"/>
        <w:numPr>
          <w:ilvl w:val="0"/>
          <w:numId w:val="13"/>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D83264">
        <w:rPr>
          <w:rFonts w:ascii="Times New Roman" w:eastAsia="Times New Roman" w:hAnsi="Times New Roman" w:cs="Times New Roman"/>
          <w:color w:val="auto"/>
          <w:sz w:val="24"/>
          <w:szCs w:val="24"/>
          <w:lang w:val="en-GB"/>
          <w14:ligatures w14:val="none"/>
        </w:rPr>
        <w:t>Master’s or PhD in Environmental and/or Climate economics, Environmental fiscal policy, Green Public Financial Management, other relevant fields with at least 7 years of professional experience in the outlined areas;</w:t>
      </w:r>
    </w:p>
    <w:p w14:paraId="52BECF4B" w14:textId="5BDCEA3A" w:rsidR="00264D12" w:rsidRPr="0076049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 xml:space="preserve">Knowledge of </w:t>
      </w:r>
      <w:r w:rsidR="006F0748">
        <w:rPr>
          <w:rFonts w:ascii="Times New Roman" w:eastAsia="Times New Roman" w:hAnsi="Times New Roman" w:cs="Times New Roman"/>
          <w:color w:val="auto"/>
          <w:sz w:val="24"/>
          <w:szCs w:val="22"/>
          <w:lang w:val="en-GB"/>
          <w14:ligatures w14:val="none"/>
        </w:rPr>
        <w:t>Cyprus</w:t>
      </w:r>
      <w:r>
        <w:rPr>
          <w:rFonts w:ascii="Times New Roman" w:eastAsia="Times New Roman" w:hAnsi="Times New Roman" w:cs="Times New Roman"/>
          <w:color w:val="auto"/>
          <w:sz w:val="24"/>
          <w:szCs w:val="22"/>
          <w:lang w:val="en-GB"/>
          <w14:ligatures w14:val="none"/>
        </w:rPr>
        <w:t>´s</w:t>
      </w:r>
      <w:r w:rsidRPr="00760494">
        <w:rPr>
          <w:rFonts w:ascii="Times New Roman" w:eastAsia="Times New Roman" w:hAnsi="Times New Roman" w:cs="Times New Roman"/>
          <w:color w:val="auto"/>
          <w:sz w:val="24"/>
          <w:szCs w:val="22"/>
          <w:lang w:val="en-GB"/>
          <w14:ligatures w14:val="none"/>
        </w:rPr>
        <w:t xml:space="preserve"> </w:t>
      </w:r>
      <w:r>
        <w:rPr>
          <w:rFonts w:ascii="Times New Roman" w:eastAsia="Times New Roman" w:hAnsi="Times New Roman" w:cs="Times New Roman"/>
          <w:color w:val="auto"/>
          <w:sz w:val="24"/>
          <w:szCs w:val="22"/>
          <w:lang w:val="en-GB"/>
          <w14:ligatures w14:val="none"/>
        </w:rPr>
        <w:t xml:space="preserve">climate and </w:t>
      </w:r>
      <w:r w:rsidRPr="00760494">
        <w:rPr>
          <w:rFonts w:ascii="Times New Roman" w:eastAsia="Times New Roman" w:hAnsi="Times New Roman" w:cs="Times New Roman"/>
          <w:color w:val="auto"/>
          <w:sz w:val="24"/>
          <w:szCs w:val="22"/>
          <w:lang w:val="en-GB"/>
          <w14:ligatures w14:val="none"/>
        </w:rPr>
        <w:t xml:space="preserve">environmental </w:t>
      </w:r>
      <w:r>
        <w:rPr>
          <w:rFonts w:ascii="Times New Roman" w:eastAsia="Times New Roman" w:hAnsi="Times New Roman" w:cs="Times New Roman"/>
          <w:color w:val="auto"/>
          <w:sz w:val="24"/>
          <w:szCs w:val="22"/>
          <w:lang w:val="en-GB"/>
          <w14:ligatures w14:val="none"/>
        </w:rPr>
        <w:t>legislation</w:t>
      </w:r>
      <w:r w:rsidRPr="00760494">
        <w:rPr>
          <w:rFonts w:ascii="Times New Roman" w:eastAsia="Times New Roman" w:hAnsi="Times New Roman" w:cs="Times New Roman"/>
          <w:color w:val="auto"/>
          <w:sz w:val="24"/>
          <w:szCs w:val="22"/>
          <w:lang w:val="en-GB"/>
          <w14:ligatures w14:val="none"/>
        </w:rPr>
        <w:t>, and fiscal policy;</w:t>
      </w:r>
    </w:p>
    <w:p w14:paraId="7D234762" w14:textId="77777777" w:rsidR="00264D12" w:rsidRPr="0076049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Track</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record</w:t>
      </w:r>
      <w:r w:rsidRPr="00760494">
        <w:rPr>
          <w:rFonts w:ascii="Times New Roman" w:eastAsia="Times New Roman" w:hAnsi="Times New Roman" w:cs="Times New Roman"/>
          <w:color w:val="auto"/>
          <w:spacing w:val="-9"/>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of</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providing</w:t>
      </w:r>
      <w:r w:rsidRPr="00760494">
        <w:rPr>
          <w:rFonts w:ascii="Times New Roman" w:eastAsia="Times New Roman" w:hAnsi="Times New Roman" w:cs="Times New Roman"/>
          <w:color w:val="auto"/>
          <w:spacing w:val="-10"/>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technical</w:t>
      </w:r>
      <w:r w:rsidRPr="00760494">
        <w:rPr>
          <w:rFonts w:ascii="Times New Roman" w:eastAsia="Times New Roman" w:hAnsi="Times New Roman" w:cs="Times New Roman"/>
          <w:color w:val="auto"/>
          <w:spacing w:val="-8"/>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support</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to</w:t>
      </w:r>
      <w:r w:rsidRPr="00760494">
        <w:rPr>
          <w:rFonts w:ascii="Times New Roman" w:eastAsia="Times New Roman" w:hAnsi="Times New Roman" w:cs="Times New Roman"/>
          <w:color w:val="auto"/>
          <w:spacing w:val="-10"/>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the</w:t>
      </w:r>
      <w:r w:rsidRPr="00760494">
        <w:rPr>
          <w:rFonts w:ascii="Times New Roman" w:eastAsia="Times New Roman" w:hAnsi="Times New Roman" w:cs="Times New Roman"/>
          <w:color w:val="auto"/>
          <w:spacing w:val="-12"/>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development</w:t>
      </w:r>
      <w:r w:rsidRPr="00760494">
        <w:rPr>
          <w:rFonts w:ascii="Times New Roman" w:eastAsia="Times New Roman" w:hAnsi="Times New Roman" w:cs="Times New Roman"/>
          <w:color w:val="auto"/>
          <w:spacing w:val="-8"/>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and</w:t>
      </w:r>
      <w:r w:rsidRPr="00760494">
        <w:rPr>
          <w:rFonts w:ascii="Times New Roman" w:eastAsia="Times New Roman" w:hAnsi="Times New Roman" w:cs="Times New Roman"/>
          <w:color w:val="auto"/>
          <w:spacing w:val="-9"/>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implementation</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of</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Green PFM tools or climate finance, as well as experience in executing capacity building activities;</w:t>
      </w:r>
    </w:p>
    <w:p w14:paraId="4D768452" w14:textId="77777777" w:rsidR="00264D12" w:rsidRPr="0076049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Track record in strategic engagement with multidisciplinary teams, and with senior-level government, private sector, and/or international cooperation partners;</w:t>
      </w:r>
    </w:p>
    <w:p w14:paraId="56BF123B" w14:textId="599AF0B5" w:rsidR="00264D12" w:rsidRPr="00D8326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D83264">
        <w:rPr>
          <w:rFonts w:ascii="Times New Roman" w:eastAsia="Times New Roman" w:hAnsi="Times New Roman" w:cs="Times New Roman"/>
          <w:color w:val="auto"/>
          <w:sz w:val="24"/>
          <w:szCs w:val="22"/>
          <w:lang w:val="en-GB"/>
          <w14:ligatures w14:val="none"/>
        </w:rPr>
        <w:t xml:space="preserve">Fluency in English. Fluency or good level of </w:t>
      </w:r>
      <w:r w:rsidR="00125191" w:rsidRPr="00D83264">
        <w:rPr>
          <w:rFonts w:ascii="Times New Roman" w:eastAsia="Times New Roman" w:hAnsi="Times New Roman" w:cs="Times New Roman"/>
          <w:color w:val="auto"/>
          <w:sz w:val="24"/>
          <w:szCs w:val="22"/>
          <w:lang w:val="en-GB"/>
          <w14:ligatures w14:val="none"/>
        </w:rPr>
        <w:t>Greek</w:t>
      </w:r>
      <w:r w:rsidRPr="00D83264">
        <w:rPr>
          <w:rFonts w:ascii="Times New Roman" w:eastAsia="Times New Roman" w:hAnsi="Times New Roman" w:cs="Times New Roman"/>
          <w:color w:val="auto"/>
          <w:sz w:val="24"/>
          <w:szCs w:val="22"/>
          <w:lang w:val="en-GB"/>
          <w14:ligatures w14:val="none"/>
        </w:rPr>
        <w:t xml:space="preserve"> is an asset. </w:t>
      </w:r>
    </w:p>
    <w:p w14:paraId="7B2B5678" w14:textId="2C2EA06D" w:rsidR="00264D12" w:rsidRPr="00D83264" w:rsidRDefault="00264D12" w:rsidP="00D83264">
      <w:pPr>
        <w:widowControl w:val="0"/>
        <w:numPr>
          <w:ilvl w:val="0"/>
          <w:numId w:val="13"/>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sectPr w:rsidR="00264D12" w:rsidRPr="00D83264" w:rsidSect="00D83264">
          <w:pgSz w:w="11910" w:h="16840"/>
          <w:pgMar w:top="1417" w:right="1417" w:bottom="1417" w:left="1417" w:header="720" w:footer="720" w:gutter="0"/>
          <w:cols w:space="720"/>
          <w:docGrid w:linePitch="245"/>
        </w:sectPr>
      </w:pPr>
      <w:r w:rsidRPr="00D83264">
        <w:rPr>
          <w:rFonts w:ascii="Times New Roman" w:eastAsia="Times New Roman" w:hAnsi="Times New Roman" w:cs="Times New Roman"/>
          <w:color w:val="auto"/>
          <w:sz w:val="24"/>
          <w:szCs w:val="22"/>
          <w:lang w:val="en-GB"/>
          <w14:ligatures w14:val="none"/>
        </w:rPr>
        <w:t>Experience with providing technical support in projects financed by the European Commission is an asset</w:t>
      </w:r>
      <w:r w:rsidR="00D83264">
        <w:rPr>
          <w:rFonts w:ascii="Times New Roman" w:eastAsia="Times New Roman" w:hAnsi="Times New Roman" w:cs="Times New Roman"/>
          <w:color w:val="auto"/>
          <w:sz w:val="24"/>
          <w:szCs w:val="22"/>
          <w:lang w:val="en-GB"/>
          <w14:ligatures w14:val="none"/>
        </w:rPr>
        <w:t>.</w:t>
      </w:r>
      <w:bookmarkStart w:id="2" w:name="_GoBack"/>
      <w:bookmarkEnd w:id="2"/>
    </w:p>
    <w:p w14:paraId="6502F406" w14:textId="77777777" w:rsidR="00284BF1" w:rsidRPr="00264D12" w:rsidRDefault="00284BF1">
      <w:pPr>
        <w:rPr>
          <w:lang w:val="en-GB"/>
        </w:rPr>
      </w:pPr>
    </w:p>
    <w:sectPr w:rsidR="00284BF1" w:rsidRPr="00264D12" w:rsidSect="00431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6B023" w14:textId="77777777" w:rsidR="0029458D" w:rsidRDefault="0029458D" w:rsidP="00264D12">
      <w:pPr>
        <w:spacing w:after="0" w:line="240" w:lineRule="auto"/>
      </w:pPr>
      <w:r>
        <w:separator/>
      </w:r>
    </w:p>
  </w:endnote>
  <w:endnote w:type="continuationSeparator" w:id="0">
    <w:p w14:paraId="2C99EF80" w14:textId="77777777" w:rsidR="0029458D" w:rsidRDefault="0029458D" w:rsidP="0026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6CE6" w14:textId="77777777" w:rsidR="0029458D" w:rsidRDefault="0029458D" w:rsidP="00264D12">
      <w:pPr>
        <w:spacing w:after="0" w:line="240" w:lineRule="auto"/>
      </w:pPr>
      <w:r>
        <w:separator/>
      </w:r>
    </w:p>
  </w:footnote>
  <w:footnote w:type="continuationSeparator" w:id="0">
    <w:p w14:paraId="4FF3C4D4" w14:textId="77777777" w:rsidR="0029458D" w:rsidRDefault="0029458D" w:rsidP="00264D12">
      <w:pPr>
        <w:spacing w:after="0" w:line="240" w:lineRule="auto"/>
      </w:pPr>
      <w:r>
        <w:continuationSeparator/>
      </w:r>
    </w:p>
  </w:footnote>
  <w:footnote w:id="1">
    <w:p w14:paraId="48A12F28" w14:textId="77777777" w:rsidR="00264D12" w:rsidRPr="00760494" w:rsidRDefault="00264D12" w:rsidP="00264D12">
      <w:pPr>
        <w:pStyle w:val="Notedebasdepage"/>
        <w:rPr>
          <w:rFonts w:ascii="Times New Roman" w:hAnsi="Times New Roman" w:cs="Times New Roman"/>
        </w:rPr>
      </w:pPr>
      <w:r w:rsidRPr="00760494">
        <w:rPr>
          <w:rStyle w:val="Appelnotedebasdep"/>
          <w:rFonts w:ascii="Times New Roman" w:hAnsi="Times New Roman" w:cs="Times New Roman"/>
        </w:rPr>
        <w:footnoteRef/>
      </w:r>
      <w:r w:rsidRPr="00760494">
        <w:rPr>
          <w:rFonts w:ascii="Times New Roman" w:hAnsi="Times New Roman" w:cs="Times New Roman"/>
        </w:rPr>
        <w:t xml:space="preserve"> https://eur-lex.europa.eu/legal-content/EN/TXT/PDF/?uri=OJ:L_202401265</w:t>
      </w:r>
    </w:p>
  </w:footnote>
  <w:footnote w:id="2">
    <w:p w14:paraId="6A9AEB38" w14:textId="77777777" w:rsidR="00264D12" w:rsidRPr="00760494" w:rsidRDefault="00264D12" w:rsidP="00264D12">
      <w:pPr>
        <w:pStyle w:val="Notedebasdepage"/>
        <w:rPr>
          <w:rFonts w:ascii="Times New Roman" w:hAnsi="Times New Roman" w:cs="Times New Roman"/>
        </w:rPr>
      </w:pPr>
      <w:r w:rsidRPr="00760494">
        <w:rPr>
          <w:rStyle w:val="Appelnotedebasdep"/>
          <w:rFonts w:ascii="Times New Roman" w:hAnsi="Times New Roman" w:cs="Times New Roman"/>
        </w:rPr>
        <w:footnoteRef/>
      </w:r>
      <w:r w:rsidRPr="00760494">
        <w:rPr>
          <w:rFonts w:ascii="Times New Roman" w:hAnsi="Times New Roman" w:cs="Times New Roman"/>
        </w:rPr>
        <w:t xml:space="preserve">https://www.consilium.europa.eu/en/policies/fit-for-55/ </w:t>
      </w:r>
    </w:p>
  </w:footnote>
  <w:footnote w:id="3">
    <w:p w14:paraId="543EAD71" w14:textId="77777777" w:rsidR="00264D12" w:rsidRPr="00D80FEA" w:rsidRDefault="00264D12" w:rsidP="00264D12">
      <w:pPr>
        <w:pStyle w:val="Notedebasdepage"/>
      </w:pPr>
      <w:r w:rsidRPr="00760494">
        <w:rPr>
          <w:rStyle w:val="Appelnotedebasdep"/>
          <w:rFonts w:ascii="Times New Roman" w:hAnsi="Times New Roman" w:cs="Times New Roman"/>
        </w:rPr>
        <w:footnoteRef/>
      </w:r>
      <w:hyperlink r:id="rId1" w:history="1">
        <w:r w:rsidRPr="00760494">
          <w:rPr>
            <w:rStyle w:val="Hipervnculo1"/>
            <w:rFonts w:ascii="Times New Roman" w:hAnsi="Times New Roman" w:cs="Times New Roman"/>
          </w:rPr>
          <w:t>https://reform-support.ec.europa.eu/what-we-do/revenue-administration-and-public-financial-management/supporting-implementation-green-budgeting-practices-eu_en</w:t>
        </w:r>
      </w:hyperlink>
      <w:r w:rsidRPr="00760494">
        <w:rPr>
          <w:rFonts w:ascii="Times New Roman" w:hAnsi="Times New Roman" w:cs="Times New Roman"/>
        </w:rPr>
        <w:t xml:space="preserve"> </w:t>
      </w:r>
    </w:p>
  </w:footnote>
  <w:footnote w:id="4">
    <w:p w14:paraId="3C24B4B0" w14:textId="77777777" w:rsidR="00A103BC" w:rsidRPr="00585DFA" w:rsidRDefault="00A103BC" w:rsidP="00A103BC">
      <w:pPr>
        <w:pStyle w:val="Notedebasdepage"/>
      </w:pPr>
      <w:r>
        <w:rPr>
          <w:rStyle w:val="Appelnotedebasdep"/>
        </w:rPr>
        <w:footnoteRef/>
      </w:r>
      <w:r>
        <w:t xml:space="preserve"> </w:t>
      </w:r>
      <w:r w:rsidRPr="00585DFA">
        <w:t>https://www.moa.gov.cy/moa/environment/environmentnew.nsf/page09_en/page09_en?OpenDocument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B9A"/>
    <w:multiLevelType w:val="hybridMultilevel"/>
    <w:tmpl w:val="46F6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D214E"/>
    <w:multiLevelType w:val="hybridMultilevel"/>
    <w:tmpl w:val="C3A8ADE8"/>
    <w:lvl w:ilvl="0" w:tplc="B5A65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651AB"/>
    <w:multiLevelType w:val="hybridMultilevel"/>
    <w:tmpl w:val="9E8CE22A"/>
    <w:lvl w:ilvl="0" w:tplc="2000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8F7A4A"/>
    <w:multiLevelType w:val="hybridMultilevel"/>
    <w:tmpl w:val="7D627B02"/>
    <w:lvl w:ilvl="0" w:tplc="87402FB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27262"/>
    <w:multiLevelType w:val="hybridMultilevel"/>
    <w:tmpl w:val="D95E9CE0"/>
    <w:lvl w:ilvl="0" w:tplc="040C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2E6C23DA"/>
    <w:multiLevelType w:val="hybridMultilevel"/>
    <w:tmpl w:val="B6F42D9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A8511D"/>
    <w:multiLevelType w:val="hybridMultilevel"/>
    <w:tmpl w:val="14A2ECA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7" w15:restartNumberingAfterBreak="0">
    <w:nsid w:val="40152089"/>
    <w:multiLevelType w:val="hybridMultilevel"/>
    <w:tmpl w:val="E312C1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4FC16DAD"/>
    <w:multiLevelType w:val="multilevel"/>
    <w:tmpl w:val="BE4E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167BE"/>
    <w:multiLevelType w:val="hybridMultilevel"/>
    <w:tmpl w:val="54A6EB20"/>
    <w:lvl w:ilvl="0" w:tplc="0D1E94D6">
      <w:start w:val="2"/>
      <w:numFmt w:val="bullet"/>
      <w:lvlText w:val="•"/>
      <w:lvlJc w:val="left"/>
      <w:pPr>
        <w:ind w:left="720" w:hanging="62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7D40037"/>
    <w:multiLevelType w:val="hybridMultilevel"/>
    <w:tmpl w:val="E7AA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8106C"/>
    <w:multiLevelType w:val="hybridMultilevel"/>
    <w:tmpl w:val="734A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0196C"/>
    <w:multiLevelType w:val="hybridMultilevel"/>
    <w:tmpl w:val="EE22556C"/>
    <w:lvl w:ilvl="0" w:tplc="9272C54C">
      <w:numFmt w:val="bullet"/>
      <w:lvlText w:val="-"/>
      <w:lvlJc w:val="left"/>
      <w:pPr>
        <w:ind w:left="100" w:hanging="132"/>
      </w:pPr>
      <w:rPr>
        <w:rFonts w:ascii="Times New Roman" w:eastAsia="Times New Roman" w:hAnsi="Times New Roman" w:cs="Times New Roman" w:hint="default"/>
        <w:b w:val="0"/>
        <w:bCs w:val="0"/>
        <w:i w:val="0"/>
        <w:iCs w:val="0"/>
        <w:spacing w:val="0"/>
        <w:w w:val="100"/>
        <w:sz w:val="24"/>
        <w:szCs w:val="24"/>
        <w:lang w:val="en-US" w:eastAsia="en-US" w:bidi="ar-SA"/>
      </w:rPr>
    </w:lvl>
    <w:lvl w:ilvl="1" w:tplc="9A16CF7C">
      <w:numFmt w:val="bullet"/>
      <w:lvlText w:val="•"/>
      <w:lvlJc w:val="left"/>
      <w:pPr>
        <w:ind w:left="1014" w:hanging="132"/>
      </w:pPr>
      <w:rPr>
        <w:rFonts w:hint="default"/>
        <w:lang w:val="en-US" w:eastAsia="en-US" w:bidi="ar-SA"/>
      </w:rPr>
    </w:lvl>
    <w:lvl w:ilvl="2" w:tplc="729401B0">
      <w:numFmt w:val="bullet"/>
      <w:lvlText w:val="•"/>
      <w:lvlJc w:val="left"/>
      <w:pPr>
        <w:ind w:left="1929" w:hanging="132"/>
      </w:pPr>
      <w:rPr>
        <w:rFonts w:hint="default"/>
        <w:lang w:val="en-US" w:eastAsia="en-US" w:bidi="ar-SA"/>
      </w:rPr>
    </w:lvl>
    <w:lvl w:ilvl="3" w:tplc="14B6E300">
      <w:numFmt w:val="bullet"/>
      <w:lvlText w:val="•"/>
      <w:lvlJc w:val="left"/>
      <w:pPr>
        <w:ind w:left="2843" w:hanging="132"/>
      </w:pPr>
      <w:rPr>
        <w:rFonts w:hint="default"/>
        <w:lang w:val="en-US" w:eastAsia="en-US" w:bidi="ar-SA"/>
      </w:rPr>
    </w:lvl>
    <w:lvl w:ilvl="4" w:tplc="FCEC9B0A">
      <w:numFmt w:val="bullet"/>
      <w:lvlText w:val="•"/>
      <w:lvlJc w:val="left"/>
      <w:pPr>
        <w:ind w:left="3758" w:hanging="132"/>
      </w:pPr>
      <w:rPr>
        <w:rFonts w:hint="default"/>
        <w:lang w:val="en-US" w:eastAsia="en-US" w:bidi="ar-SA"/>
      </w:rPr>
    </w:lvl>
    <w:lvl w:ilvl="5" w:tplc="3760BC76">
      <w:numFmt w:val="bullet"/>
      <w:lvlText w:val="•"/>
      <w:lvlJc w:val="left"/>
      <w:pPr>
        <w:ind w:left="4673" w:hanging="132"/>
      </w:pPr>
      <w:rPr>
        <w:rFonts w:hint="default"/>
        <w:lang w:val="en-US" w:eastAsia="en-US" w:bidi="ar-SA"/>
      </w:rPr>
    </w:lvl>
    <w:lvl w:ilvl="6" w:tplc="94BA43FE">
      <w:numFmt w:val="bullet"/>
      <w:lvlText w:val="•"/>
      <w:lvlJc w:val="left"/>
      <w:pPr>
        <w:ind w:left="5587" w:hanging="132"/>
      </w:pPr>
      <w:rPr>
        <w:rFonts w:hint="default"/>
        <w:lang w:val="en-US" w:eastAsia="en-US" w:bidi="ar-SA"/>
      </w:rPr>
    </w:lvl>
    <w:lvl w:ilvl="7" w:tplc="FC420884">
      <w:numFmt w:val="bullet"/>
      <w:lvlText w:val="•"/>
      <w:lvlJc w:val="left"/>
      <w:pPr>
        <w:ind w:left="6502" w:hanging="132"/>
      </w:pPr>
      <w:rPr>
        <w:rFonts w:hint="default"/>
        <w:lang w:val="en-US" w:eastAsia="en-US" w:bidi="ar-SA"/>
      </w:rPr>
    </w:lvl>
    <w:lvl w:ilvl="8" w:tplc="F444747E">
      <w:numFmt w:val="bullet"/>
      <w:lvlText w:val="•"/>
      <w:lvlJc w:val="left"/>
      <w:pPr>
        <w:ind w:left="7417" w:hanging="132"/>
      </w:pPr>
      <w:rPr>
        <w:rFonts w:hint="default"/>
        <w:lang w:val="en-US" w:eastAsia="en-US" w:bidi="ar-SA"/>
      </w:rPr>
    </w:lvl>
  </w:abstractNum>
  <w:num w:numId="1">
    <w:abstractNumId w:val="12"/>
  </w:num>
  <w:num w:numId="2">
    <w:abstractNumId w:val="8"/>
  </w:num>
  <w:num w:numId="3">
    <w:abstractNumId w:val="10"/>
  </w:num>
  <w:num w:numId="4">
    <w:abstractNumId w:val="7"/>
  </w:num>
  <w:num w:numId="5">
    <w:abstractNumId w:val="2"/>
  </w:num>
  <w:num w:numId="6">
    <w:abstractNumId w:val="5"/>
  </w:num>
  <w:num w:numId="7">
    <w:abstractNumId w:val="11"/>
  </w:num>
  <w:num w:numId="8">
    <w:abstractNumId w:val="0"/>
  </w:num>
  <w:num w:numId="9">
    <w:abstractNumId w:val="6"/>
  </w:num>
  <w:num w:numId="10">
    <w:abstractNumId w:val="3"/>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12"/>
    <w:rsid w:val="000059B2"/>
    <w:rsid w:val="000C6D7F"/>
    <w:rsid w:val="000E7DA4"/>
    <w:rsid w:val="00102372"/>
    <w:rsid w:val="00125191"/>
    <w:rsid w:val="00166ADE"/>
    <w:rsid w:val="001E0E83"/>
    <w:rsid w:val="00264D12"/>
    <w:rsid w:val="00284BF1"/>
    <w:rsid w:val="0029458D"/>
    <w:rsid w:val="002B4A8C"/>
    <w:rsid w:val="0038411A"/>
    <w:rsid w:val="003E3167"/>
    <w:rsid w:val="00431DA3"/>
    <w:rsid w:val="00675443"/>
    <w:rsid w:val="006F0748"/>
    <w:rsid w:val="007C20B7"/>
    <w:rsid w:val="00860EE5"/>
    <w:rsid w:val="008776A8"/>
    <w:rsid w:val="00882AB9"/>
    <w:rsid w:val="00A103BC"/>
    <w:rsid w:val="00A47AF3"/>
    <w:rsid w:val="00AF6CCC"/>
    <w:rsid w:val="00B13533"/>
    <w:rsid w:val="00C77550"/>
    <w:rsid w:val="00D41202"/>
    <w:rsid w:val="00D627E8"/>
    <w:rsid w:val="00D73C15"/>
    <w:rsid w:val="00D83264"/>
    <w:rsid w:val="00F25D2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6F4B"/>
  <w15:chartTrackingRefBased/>
  <w15:docId w15:val="{A1D6C7AC-6881-4B96-A02D-61B59EE0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D12"/>
  </w:style>
  <w:style w:type="paragraph" w:styleId="Titre1">
    <w:name w:val="heading 1"/>
    <w:basedOn w:val="Normal"/>
    <w:next w:val="Normal"/>
    <w:link w:val="Titre1Car"/>
    <w:uiPriority w:val="9"/>
    <w:qFormat/>
    <w:rsid w:val="00264D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64D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64D1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64D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264D12"/>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264D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64D1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64D1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64D1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4D1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64D1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64D12"/>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264D12"/>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264D12"/>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264D1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64D1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64D1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64D1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64D1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264D12"/>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264D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4D1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64D12"/>
    <w:pPr>
      <w:spacing w:before="160"/>
      <w:jc w:val="center"/>
    </w:pPr>
    <w:rPr>
      <w:i/>
      <w:iCs/>
      <w:color w:val="404040" w:themeColor="text1" w:themeTint="BF"/>
    </w:rPr>
  </w:style>
  <w:style w:type="character" w:customStyle="1" w:styleId="CitationCar">
    <w:name w:val="Citation Car"/>
    <w:basedOn w:val="Policepardfaut"/>
    <w:link w:val="Citation"/>
    <w:uiPriority w:val="29"/>
    <w:rsid w:val="00264D12"/>
    <w:rPr>
      <w:i/>
      <w:iCs/>
      <w:color w:val="404040" w:themeColor="text1" w:themeTint="BF"/>
    </w:rPr>
  </w:style>
  <w:style w:type="paragraph" w:styleId="Paragraphedeliste">
    <w:name w:val="List Paragraph"/>
    <w:basedOn w:val="Normal"/>
    <w:uiPriority w:val="34"/>
    <w:qFormat/>
    <w:rsid w:val="00264D12"/>
    <w:pPr>
      <w:ind w:left="720"/>
      <w:contextualSpacing/>
    </w:pPr>
  </w:style>
  <w:style w:type="character" w:styleId="Emphaseintense">
    <w:name w:val="Intense Emphasis"/>
    <w:basedOn w:val="Policepardfaut"/>
    <w:uiPriority w:val="21"/>
    <w:qFormat/>
    <w:rsid w:val="00264D12"/>
    <w:rPr>
      <w:i/>
      <w:iCs/>
      <w:color w:val="2F5496" w:themeColor="accent1" w:themeShade="BF"/>
    </w:rPr>
  </w:style>
  <w:style w:type="paragraph" w:styleId="Citationintense">
    <w:name w:val="Intense Quote"/>
    <w:basedOn w:val="Normal"/>
    <w:next w:val="Normal"/>
    <w:link w:val="CitationintenseCar"/>
    <w:uiPriority w:val="30"/>
    <w:qFormat/>
    <w:rsid w:val="00264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64D12"/>
    <w:rPr>
      <w:i/>
      <w:iCs/>
      <w:color w:val="2F5496" w:themeColor="accent1" w:themeShade="BF"/>
    </w:rPr>
  </w:style>
  <w:style w:type="character" w:styleId="Rfrenceintense">
    <w:name w:val="Intense Reference"/>
    <w:basedOn w:val="Policepardfaut"/>
    <w:uiPriority w:val="32"/>
    <w:qFormat/>
    <w:rsid w:val="00264D12"/>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264D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4D12"/>
    <w:rPr>
      <w:sz w:val="20"/>
      <w:szCs w:val="20"/>
    </w:rPr>
  </w:style>
  <w:style w:type="table" w:customStyle="1" w:styleId="TableNormal">
    <w:name w:val="Table Normal"/>
    <w:uiPriority w:val="2"/>
    <w:semiHidden/>
    <w:unhideWhenUsed/>
    <w:qFormat/>
    <w:rsid w:val="00264D12"/>
    <w:pPr>
      <w:widowControl w:val="0"/>
      <w:autoSpaceDE w:val="0"/>
      <w:autoSpaceDN w:val="0"/>
      <w:spacing w:after="0" w:line="240" w:lineRule="auto"/>
    </w:pPr>
    <w:rPr>
      <w:rFonts w:ascii="Calibri" w:hAnsi="Calibri"/>
      <w:color w:val="auto"/>
      <w:sz w:val="22"/>
      <w:szCs w:val="22"/>
      <w14:ligatures w14:val="none"/>
    </w:rPr>
    <w:tblPr>
      <w:tblInd w:w="0" w:type="dxa"/>
      <w:tblCellMar>
        <w:top w:w="0" w:type="dxa"/>
        <w:left w:w="0" w:type="dxa"/>
        <w:bottom w:w="0" w:type="dxa"/>
        <w:right w:w="0" w:type="dxa"/>
      </w:tblCellMar>
    </w:tblPr>
  </w:style>
  <w:style w:type="character" w:customStyle="1" w:styleId="Hipervnculo1">
    <w:name w:val="Hipervínculo1"/>
    <w:basedOn w:val="Policepardfaut"/>
    <w:uiPriority w:val="99"/>
    <w:unhideWhenUsed/>
    <w:rsid w:val="00264D12"/>
    <w:rPr>
      <w:color w:val="0000FF"/>
      <w:u w:val="single"/>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qFormat/>
    <w:rsid w:val="00264D12"/>
    <w:rPr>
      <w:vertAlign w:val="superscript"/>
    </w:rPr>
  </w:style>
  <w:style w:type="paragraph" w:customStyle="1" w:styleId="Nota">
    <w:name w:val="Nota"/>
    <w:aliases w:val=" Char1,Char1,(NECG) Footnote Reference,fr,Appel note de bas de p,o,Style 6,Signature Ch"/>
    <w:basedOn w:val="Normal"/>
    <w:link w:val="Appelnotedebasdep"/>
    <w:uiPriority w:val="99"/>
    <w:rsid w:val="00264D12"/>
    <w:pPr>
      <w:spacing w:line="240" w:lineRule="exact"/>
    </w:pPr>
    <w:rPr>
      <w:vertAlign w:val="superscript"/>
    </w:rPr>
  </w:style>
  <w:style w:type="character" w:styleId="Lienhypertexte">
    <w:name w:val="Hyperlink"/>
    <w:basedOn w:val="Policepardfaut"/>
    <w:uiPriority w:val="99"/>
    <w:semiHidden/>
    <w:unhideWhenUsed/>
    <w:rsid w:val="00264D12"/>
    <w:rPr>
      <w:color w:val="0563C1" w:themeColor="hyperlink"/>
      <w:u w:val="single"/>
    </w:rPr>
  </w:style>
  <w:style w:type="paragraph" w:styleId="Commentaire">
    <w:name w:val="annotation text"/>
    <w:basedOn w:val="Normal"/>
    <w:link w:val="CommentaireCar"/>
    <w:uiPriority w:val="99"/>
    <w:semiHidden/>
    <w:rsid w:val="00A103BC"/>
    <w:pPr>
      <w:spacing w:after="120" w:line="240" w:lineRule="auto"/>
      <w:jc w:val="both"/>
    </w:pPr>
    <w:rPr>
      <w:rFonts w:ascii="Times New Roman" w:eastAsia="Times New Roman" w:hAnsi="Times New Roman" w:cs="Times New Roman"/>
      <w:color w:val="auto"/>
      <w:sz w:val="20"/>
      <w:szCs w:val="20"/>
      <w:lang w:val="en-GB" w:eastAsia="zh-CN"/>
      <w14:ligatures w14:val="none"/>
    </w:rPr>
  </w:style>
  <w:style w:type="character" w:customStyle="1" w:styleId="CommentaireCar">
    <w:name w:val="Commentaire Car"/>
    <w:basedOn w:val="Policepardfaut"/>
    <w:link w:val="Commentaire"/>
    <w:uiPriority w:val="99"/>
    <w:semiHidden/>
    <w:rsid w:val="00A103BC"/>
    <w:rPr>
      <w:rFonts w:ascii="Times New Roman" w:eastAsia="Times New Roman" w:hAnsi="Times New Roman" w:cs="Times New Roman"/>
      <w:color w:val="auto"/>
      <w:sz w:val="20"/>
      <w:szCs w:val="20"/>
      <w:lang w:val="en-GB" w:eastAsia="zh-CN"/>
      <w14:ligatures w14:val="none"/>
    </w:rPr>
  </w:style>
  <w:style w:type="character" w:styleId="Marquedecommentaire">
    <w:name w:val="annotation reference"/>
    <w:basedOn w:val="Policepardfaut"/>
    <w:uiPriority w:val="99"/>
    <w:semiHidden/>
    <w:unhideWhenUsed/>
    <w:rsid w:val="00A103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what-we-do/revenue-administration-and-public-financial-management/supporting-implementation-green-budgeting-practices-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Marilou FIORENTINO</cp:lastModifiedBy>
  <cp:revision>26</cp:revision>
  <dcterms:created xsi:type="dcterms:W3CDTF">2025-06-25T08:12:00Z</dcterms:created>
  <dcterms:modified xsi:type="dcterms:W3CDTF">2025-06-26T13:57:00Z</dcterms:modified>
</cp:coreProperties>
</file>