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F7F12" w14:textId="65A53246" w:rsidR="00B71717" w:rsidRDefault="00CF4617" w:rsidP="001D5F0E">
      <w:pPr>
        <w:bidi w:val="0"/>
        <w:jc w:val="center"/>
        <w:rPr>
          <w:b/>
          <w:bCs/>
          <w:sz w:val="28"/>
          <w:szCs w:val="28"/>
          <w:lang w:bidi="ar-JO"/>
        </w:rPr>
      </w:pPr>
      <w:bookmarkStart w:id="0" w:name="_GoBack"/>
      <w:bookmarkEnd w:id="0"/>
      <w:r w:rsidRPr="00CF4617">
        <w:rPr>
          <w:b/>
          <w:bCs/>
          <w:sz w:val="28"/>
          <w:szCs w:val="28"/>
          <w:lang w:bidi="ar-JO"/>
        </w:rPr>
        <w:t>Terms of references</w:t>
      </w:r>
    </w:p>
    <w:tbl>
      <w:tblPr>
        <w:tblW w:w="0" w:type="auto"/>
        <w:tblCellMar>
          <w:left w:w="0" w:type="dxa"/>
          <w:right w:w="0" w:type="dxa"/>
        </w:tblCellMar>
        <w:tblLook w:val="04A0" w:firstRow="1" w:lastRow="0" w:firstColumn="1" w:lastColumn="0" w:noHBand="0" w:noVBand="1"/>
      </w:tblPr>
      <w:tblGrid>
        <w:gridCol w:w="3060"/>
        <w:gridCol w:w="4513"/>
      </w:tblGrid>
      <w:tr w:rsidR="00B71717" w:rsidRPr="00B71717" w14:paraId="7215DD04" w14:textId="77777777" w:rsidTr="00B71717">
        <w:trPr>
          <w:trHeight w:val="111"/>
        </w:trPr>
        <w:tc>
          <w:tcPr>
            <w:tcW w:w="3060" w:type="dxa"/>
            <w:tcBorders>
              <w:top w:val="nil"/>
              <w:left w:val="nil"/>
              <w:bottom w:val="nil"/>
              <w:right w:val="nil"/>
            </w:tcBorders>
            <w:tcMar>
              <w:top w:w="0" w:type="dxa"/>
              <w:left w:w="108" w:type="dxa"/>
              <w:bottom w:w="0" w:type="dxa"/>
              <w:right w:w="108" w:type="dxa"/>
            </w:tcMar>
            <w:hideMark/>
          </w:tcPr>
          <w:p w14:paraId="6DBD7A86" w14:textId="1E82328A" w:rsidR="00B71717" w:rsidRPr="00B71717" w:rsidRDefault="001D5F0E" w:rsidP="008A1A2E">
            <w:pPr>
              <w:bidi w:val="0"/>
              <w:spacing w:after="0" w:line="240" w:lineRule="auto"/>
              <w:rPr>
                <w:rFonts w:eastAsia="Times New Roman" w:cstheme="minorHAnsi"/>
                <w:color w:val="000000"/>
              </w:rPr>
            </w:pPr>
            <w:r>
              <w:rPr>
                <w:rFonts w:eastAsia="Times New Roman" w:cstheme="minorHAnsi"/>
                <w:b/>
                <w:bCs/>
                <w:color w:val="000000"/>
              </w:rPr>
              <w:t>Assignment</w:t>
            </w:r>
            <w:r w:rsidR="00B71717" w:rsidRPr="00B71717">
              <w:rPr>
                <w:rFonts w:eastAsia="Times New Roman" w:cstheme="minorHAnsi"/>
                <w:b/>
                <w:bCs/>
                <w:color w:val="000000"/>
              </w:rPr>
              <w:t>:</w:t>
            </w:r>
          </w:p>
        </w:tc>
        <w:tc>
          <w:tcPr>
            <w:tcW w:w="4513" w:type="dxa"/>
            <w:tcBorders>
              <w:top w:val="nil"/>
              <w:left w:val="nil"/>
              <w:bottom w:val="nil"/>
              <w:right w:val="nil"/>
            </w:tcBorders>
            <w:tcMar>
              <w:top w:w="0" w:type="dxa"/>
              <w:left w:w="108" w:type="dxa"/>
              <w:bottom w:w="0" w:type="dxa"/>
              <w:right w:w="108" w:type="dxa"/>
            </w:tcMar>
            <w:hideMark/>
          </w:tcPr>
          <w:p w14:paraId="0DF1A908" w14:textId="4A7CC311" w:rsidR="00B71717" w:rsidRPr="00B71717" w:rsidRDefault="00633F22" w:rsidP="008A1A2E">
            <w:pPr>
              <w:bidi w:val="0"/>
              <w:rPr>
                <w:rFonts w:cstheme="minorHAnsi"/>
                <w:lang w:bidi="ar-JO"/>
              </w:rPr>
            </w:pPr>
            <w:r>
              <w:rPr>
                <w:rFonts w:cstheme="minorHAnsi"/>
                <w:lang w:bidi="ar-JO"/>
              </w:rPr>
              <w:t xml:space="preserve">Technical assistance </w:t>
            </w:r>
            <w:r w:rsidR="001D5F0E">
              <w:rPr>
                <w:rFonts w:cstheme="minorHAnsi"/>
                <w:lang w:bidi="ar-JO"/>
              </w:rPr>
              <w:t>for CVDB</w:t>
            </w:r>
            <w:r>
              <w:rPr>
                <w:rFonts w:cstheme="minorHAnsi"/>
                <w:lang w:bidi="ar-JO"/>
              </w:rPr>
              <w:t xml:space="preserve"> </w:t>
            </w:r>
            <w:r w:rsidR="00D52C2D">
              <w:rPr>
                <w:rFonts w:cstheme="minorHAnsi"/>
                <w:lang w:bidi="ar-JO"/>
              </w:rPr>
              <w:t>the credit rating of the Bank</w:t>
            </w:r>
          </w:p>
          <w:p w14:paraId="19126769" w14:textId="385E1FAB" w:rsidR="00B71717" w:rsidRPr="00B71717" w:rsidRDefault="00B71717" w:rsidP="008A1A2E">
            <w:pPr>
              <w:bidi w:val="0"/>
              <w:spacing w:after="0" w:line="240" w:lineRule="auto"/>
              <w:rPr>
                <w:rFonts w:eastAsia="Times New Roman" w:cstheme="minorHAnsi"/>
                <w:color w:val="000000"/>
              </w:rPr>
            </w:pPr>
          </w:p>
        </w:tc>
      </w:tr>
      <w:tr w:rsidR="00B71717" w:rsidRPr="00B71717" w14:paraId="32037EF0" w14:textId="77777777" w:rsidTr="00B71717">
        <w:trPr>
          <w:trHeight w:val="111"/>
        </w:trPr>
        <w:tc>
          <w:tcPr>
            <w:tcW w:w="3060" w:type="dxa"/>
            <w:tcBorders>
              <w:top w:val="nil"/>
              <w:left w:val="nil"/>
              <w:bottom w:val="nil"/>
              <w:right w:val="nil"/>
            </w:tcBorders>
            <w:tcMar>
              <w:top w:w="0" w:type="dxa"/>
              <w:left w:w="108" w:type="dxa"/>
              <w:bottom w:w="0" w:type="dxa"/>
              <w:right w:w="108" w:type="dxa"/>
            </w:tcMar>
            <w:hideMark/>
          </w:tcPr>
          <w:p w14:paraId="4BCCD34B" w14:textId="77777777" w:rsidR="00B71717" w:rsidRPr="00B71717" w:rsidRDefault="00B71717" w:rsidP="008A1A2E">
            <w:pPr>
              <w:bidi w:val="0"/>
              <w:spacing w:after="0" w:line="240" w:lineRule="auto"/>
              <w:rPr>
                <w:rFonts w:eastAsia="Times New Roman" w:cstheme="minorHAnsi"/>
                <w:color w:val="000000"/>
              </w:rPr>
            </w:pPr>
            <w:r w:rsidRPr="00B71717">
              <w:rPr>
                <w:rFonts w:eastAsia="Times New Roman" w:cstheme="minorHAnsi"/>
                <w:b/>
                <w:bCs/>
                <w:color w:val="000000"/>
              </w:rPr>
              <w:t>Place of the activities</w:t>
            </w:r>
          </w:p>
        </w:tc>
        <w:tc>
          <w:tcPr>
            <w:tcW w:w="4513" w:type="dxa"/>
            <w:tcBorders>
              <w:top w:val="nil"/>
              <w:left w:val="nil"/>
              <w:bottom w:val="nil"/>
              <w:right w:val="nil"/>
            </w:tcBorders>
            <w:tcMar>
              <w:top w:w="0" w:type="dxa"/>
              <w:left w:w="108" w:type="dxa"/>
              <w:bottom w:w="0" w:type="dxa"/>
              <w:right w:w="108" w:type="dxa"/>
            </w:tcMar>
            <w:hideMark/>
          </w:tcPr>
          <w:p w14:paraId="0BD2D35E" w14:textId="1106B23C" w:rsidR="00B71717" w:rsidRPr="00B71717" w:rsidRDefault="00B71717" w:rsidP="008A1A2E">
            <w:pPr>
              <w:bidi w:val="0"/>
              <w:spacing w:after="0" w:line="240" w:lineRule="auto"/>
              <w:rPr>
                <w:rFonts w:eastAsia="Times New Roman" w:cstheme="minorHAnsi"/>
                <w:color w:val="000000"/>
              </w:rPr>
            </w:pPr>
            <w:r w:rsidRPr="00B71717">
              <w:rPr>
                <w:rFonts w:eastAsia="Times New Roman" w:cstheme="minorHAnsi"/>
                <w:color w:val="000000"/>
              </w:rPr>
              <w:t>Amman</w:t>
            </w:r>
            <w:r w:rsidR="00BC73CB">
              <w:rPr>
                <w:rFonts w:eastAsia="Times New Roman" w:cstheme="minorHAnsi"/>
                <w:color w:val="000000"/>
              </w:rPr>
              <w:t>: CVDB</w:t>
            </w:r>
          </w:p>
        </w:tc>
      </w:tr>
      <w:tr w:rsidR="00B71717" w:rsidRPr="00B71717" w14:paraId="4A0B4574" w14:textId="77777777" w:rsidTr="00B71717">
        <w:trPr>
          <w:trHeight w:val="111"/>
        </w:trPr>
        <w:tc>
          <w:tcPr>
            <w:tcW w:w="3060" w:type="dxa"/>
            <w:tcBorders>
              <w:top w:val="nil"/>
              <w:left w:val="nil"/>
              <w:bottom w:val="nil"/>
              <w:right w:val="nil"/>
            </w:tcBorders>
            <w:tcMar>
              <w:top w:w="0" w:type="dxa"/>
              <w:left w:w="108" w:type="dxa"/>
              <w:bottom w:w="0" w:type="dxa"/>
              <w:right w:w="108" w:type="dxa"/>
            </w:tcMar>
            <w:hideMark/>
          </w:tcPr>
          <w:p w14:paraId="4B298318" w14:textId="77777777" w:rsidR="00B71717" w:rsidRPr="00B71717" w:rsidRDefault="00B71717" w:rsidP="008A1A2E">
            <w:pPr>
              <w:bidi w:val="0"/>
              <w:spacing w:after="0" w:line="240" w:lineRule="auto"/>
              <w:rPr>
                <w:rFonts w:eastAsia="Times New Roman" w:cstheme="minorHAnsi"/>
                <w:color w:val="000000"/>
              </w:rPr>
            </w:pPr>
            <w:r w:rsidRPr="00B71717">
              <w:rPr>
                <w:rFonts w:eastAsia="Times New Roman" w:cstheme="minorHAnsi"/>
                <w:b/>
                <w:bCs/>
                <w:color w:val="000000"/>
              </w:rPr>
              <w:t>Project</w:t>
            </w:r>
          </w:p>
        </w:tc>
        <w:tc>
          <w:tcPr>
            <w:tcW w:w="4513" w:type="dxa"/>
            <w:tcBorders>
              <w:top w:val="nil"/>
              <w:left w:val="nil"/>
              <w:bottom w:val="nil"/>
              <w:right w:val="nil"/>
            </w:tcBorders>
            <w:tcMar>
              <w:top w:w="0" w:type="dxa"/>
              <w:left w:w="108" w:type="dxa"/>
              <w:bottom w:w="0" w:type="dxa"/>
              <w:right w:w="108" w:type="dxa"/>
            </w:tcMar>
            <w:hideMark/>
          </w:tcPr>
          <w:p w14:paraId="12971B9E" w14:textId="0730E8B1" w:rsidR="00B71717" w:rsidRPr="00B71717" w:rsidRDefault="00B71717" w:rsidP="008A1A2E">
            <w:pPr>
              <w:bidi w:val="0"/>
              <w:spacing w:after="0" w:line="240" w:lineRule="auto"/>
              <w:rPr>
                <w:rFonts w:eastAsia="Times New Roman" w:cstheme="minorHAnsi"/>
                <w:color w:val="000000"/>
              </w:rPr>
            </w:pPr>
            <w:r w:rsidRPr="00B71717">
              <w:rPr>
                <w:rFonts w:cstheme="minorHAnsi"/>
                <w:lang w:bidi="ar-JO"/>
              </w:rPr>
              <w:t>Support for financial and local governance in Jordan</w:t>
            </w:r>
          </w:p>
        </w:tc>
      </w:tr>
      <w:tr w:rsidR="00B71717" w:rsidRPr="00B71717" w14:paraId="31466560" w14:textId="77777777" w:rsidTr="00B71717">
        <w:trPr>
          <w:trHeight w:val="111"/>
        </w:trPr>
        <w:tc>
          <w:tcPr>
            <w:tcW w:w="3060" w:type="dxa"/>
            <w:tcBorders>
              <w:top w:val="nil"/>
              <w:left w:val="nil"/>
              <w:bottom w:val="nil"/>
              <w:right w:val="nil"/>
            </w:tcBorders>
            <w:tcMar>
              <w:top w:w="0" w:type="dxa"/>
              <w:left w:w="108" w:type="dxa"/>
              <w:bottom w:w="0" w:type="dxa"/>
              <w:right w:w="108" w:type="dxa"/>
            </w:tcMar>
            <w:hideMark/>
          </w:tcPr>
          <w:p w14:paraId="2D7450CD" w14:textId="3670F979" w:rsidR="00B71717" w:rsidRPr="00B71717" w:rsidRDefault="00FC1C96" w:rsidP="008A1A2E">
            <w:pPr>
              <w:bidi w:val="0"/>
              <w:spacing w:after="0" w:line="240" w:lineRule="auto"/>
              <w:rPr>
                <w:rFonts w:eastAsia="Times New Roman" w:cstheme="minorHAnsi"/>
                <w:color w:val="000000"/>
              </w:rPr>
            </w:pPr>
            <w:r w:rsidRPr="00B71717">
              <w:rPr>
                <w:rFonts w:eastAsia="Times New Roman" w:cstheme="minorHAnsi"/>
                <w:b/>
                <w:bCs/>
                <w:color w:val="000000"/>
              </w:rPr>
              <w:t>Organization</w:t>
            </w:r>
          </w:p>
        </w:tc>
        <w:tc>
          <w:tcPr>
            <w:tcW w:w="4513" w:type="dxa"/>
            <w:tcBorders>
              <w:top w:val="nil"/>
              <w:left w:val="nil"/>
              <w:bottom w:val="nil"/>
              <w:right w:val="nil"/>
            </w:tcBorders>
            <w:tcMar>
              <w:top w:w="0" w:type="dxa"/>
              <w:left w:w="108" w:type="dxa"/>
              <w:bottom w:w="0" w:type="dxa"/>
              <w:right w:w="108" w:type="dxa"/>
            </w:tcMar>
            <w:hideMark/>
          </w:tcPr>
          <w:p w14:paraId="624CA442" w14:textId="70CCB1F5" w:rsidR="00B71717" w:rsidRPr="00B71717" w:rsidRDefault="00C573FB" w:rsidP="008A1A2E">
            <w:pPr>
              <w:bidi w:val="0"/>
              <w:spacing w:after="0" w:line="240" w:lineRule="auto"/>
              <w:rPr>
                <w:rFonts w:eastAsia="Times New Roman" w:cstheme="minorHAnsi"/>
                <w:color w:val="000000"/>
              </w:rPr>
            </w:pPr>
            <w:r>
              <w:rPr>
                <w:rFonts w:eastAsia="Times New Roman" w:cstheme="minorHAnsi"/>
                <w:color w:val="000000"/>
              </w:rPr>
              <w:t>Cities and Villages Development Bank (</w:t>
            </w:r>
            <w:r w:rsidR="00DB2402">
              <w:rPr>
                <w:rFonts w:eastAsia="Times New Roman" w:cstheme="minorHAnsi"/>
                <w:color w:val="000000"/>
              </w:rPr>
              <w:t>CVDB</w:t>
            </w:r>
            <w:r>
              <w:rPr>
                <w:rFonts w:eastAsia="Times New Roman" w:cstheme="minorHAnsi"/>
                <w:color w:val="000000"/>
              </w:rPr>
              <w:t>)</w:t>
            </w:r>
          </w:p>
        </w:tc>
      </w:tr>
      <w:tr w:rsidR="00B71717" w:rsidRPr="00B71717" w14:paraId="5488E1C1" w14:textId="77777777" w:rsidTr="00B71717">
        <w:trPr>
          <w:trHeight w:val="111"/>
        </w:trPr>
        <w:tc>
          <w:tcPr>
            <w:tcW w:w="3060" w:type="dxa"/>
            <w:tcBorders>
              <w:top w:val="nil"/>
              <w:left w:val="nil"/>
              <w:bottom w:val="nil"/>
              <w:right w:val="nil"/>
            </w:tcBorders>
            <w:tcMar>
              <w:top w:w="0" w:type="dxa"/>
              <w:left w:w="108" w:type="dxa"/>
              <w:bottom w:w="0" w:type="dxa"/>
              <w:right w:w="108" w:type="dxa"/>
            </w:tcMar>
            <w:hideMark/>
          </w:tcPr>
          <w:p w14:paraId="74ABCED7" w14:textId="77777777" w:rsidR="00B71717" w:rsidRPr="00B71717" w:rsidRDefault="00B71717" w:rsidP="008A1A2E">
            <w:pPr>
              <w:bidi w:val="0"/>
              <w:spacing w:after="0" w:line="240" w:lineRule="auto"/>
              <w:rPr>
                <w:rFonts w:eastAsia="Times New Roman" w:cstheme="minorHAnsi"/>
                <w:color w:val="000000"/>
              </w:rPr>
            </w:pPr>
            <w:r w:rsidRPr="00B71717">
              <w:rPr>
                <w:rFonts w:eastAsia="Times New Roman" w:cstheme="minorHAnsi"/>
                <w:b/>
                <w:bCs/>
                <w:color w:val="000000"/>
              </w:rPr>
              <w:t>Duration</w:t>
            </w:r>
          </w:p>
        </w:tc>
        <w:tc>
          <w:tcPr>
            <w:tcW w:w="4513" w:type="dxa"/>
            <w:tcBorders>
              <w:top w:val="nil"/>
              <w:left w:val="nil"/>
              <w:bottom w:val="nil"/>
              <w:right w:val="nil"/>
            </w:tcBorders>
            <w:tcMar>
              <w:top w:w="0" w:type="dxa"/>
              <w:left w:w="108" w:type="dxa"/>
              <w:bottom w:w="0" w:type="dxa"/>
              <w:right w:w="108" w:type="dxa"/>
            </w:tcMar>
            <w:hideMark/>
          </w:tcPr>
          <w:p w14:paraId="7E2B0C6E" w14:textId="3C60E95B" w:rsidR="00B71717" w:rsidRPr="00BA714B" w:rsidRDefault="00D52C2D" w:rsidP="008A1A2E">
            <w:pPr>
              <w:bidi w:val="0"/>
              <w:spacing w:after="0" w:line="240" w:lineRule="auto"/>
              <w:rPr>
                <w:rFonts w:eastAsia="Times New Roman" w:cstheme="minorHAnsi"/>
                <w:color w:val="000000"/>
              </w:rPr>
            </w:pPr>
            <w:r w:rsidRPr="00065787">
              <w:rPr>
                <w:rFonts w:eastAsia="Times New Roman" w:cstheme="minorHAnsi"/>
                <w:color w:val="FF0000"/>
              </w:rPr>
              <w:t>2</w:t>
            </w:r>
            <w:r w:rsidR="003C6740">
              <w:rPr>
                <w:rFonts w:eastAsia="Times New Roman" w:cstheme="minorHAnsi"/>
                <w:color w:val="FF0000"/>
              </w:rPr>
              <w:t>0</w:t>
            </w:r>
            <w:r w:rsidR="001D5F0E" w:rsidRPr="00065787">
              <w:rPr>
                <w:rFonts w:eastAsia="Times New Roman" w:cstheme="minorHAnsi"/>
                <w:color w:val="FF0000"/>
              </w:rPr>
              <w:t xml:space="preserve"> working days</w:t>
            </w:r>
          </w:p>
        </w:tc>
      </w:tr>
      <w:tr w:rsidR="00B71717" w:rsidRPr="00B71717" w14:paraId="1CC6C845" w14:textId="77777777" w:rsidTr="00DB2402">
        <w:trPr>
          <w:trHeight w:val="111"/>
        </w:trPr>
        <w:tc>
          <w:tcPr>
            <w:tcW w:w="3060" w:type="dxa"/>
            <w:tcBorders>
              <w:top w:val="nil"/>
              <w:left w:val="nil"/>
              <w:bottom w:val="nil"/>
              <w:right w:val="nil"/>
            </w:tcBorders>
            <w:tcMar>
              <w:top w:w="0" w:type="dxa"/>
              <w:left w:w="108" w:type="dxa"/>
              <w:bottom w:w="0" w:type="dxa"/>
              <w:right w:w="108" w:type="dxa"/>
            </w:tcMar>
            <w:hideMark/>
          </w:tcPr>
          <w:p w14:paraId="22498474" w14:textId="77777777" w:rsidR="00B71717" w:rsidRPr="00B71717" w:rsidRDefault="00B71717" w:rsidP="008A1A2E">
            <w:pPr>
              <w:bidi w:val="0"/>
              <w:spacing w:after="0" w:line="240" w:lineRule="auto"/>
              <w:rPr>
                <w:rFonts w:eastAsia="Times New Roman" w:cstheme="minorHAnsi"/>
                <w:color w:val="000000"/>
              </w:rPr>
            </w:pPr>
            <w:r w:rsidRPr="00B71717">
              <w:rPr>
                <w:rFonts w:eastAsia="Times New Roman" w:cstheme="minorHAnsi"/>
                <w:b/>
                <w:bCs/>
                <w:color w:val="000000"/>
              </w:rPr>
              <w:t>Planned start date</w:t>
            </w:r>
          </w:p>
        </w:tc>
        <w:tc>
          <w:tcPr>
            <w:tcW w:w="4513" w:type="dxa"/>
            <w:tcBorders>
              <w:top w:val="nil"/>
              <w:left w:val="nil"/>
              <w:bottom w:val="nil"/>
              <w:right w:val="nil"/>
            </w:tcBorders>
            <w:tcMar>
              <w:top w:w="0" w:type="dxa"/>
              <w:left w:w="108" w:type="dxa"/>
              <w:bottom w:w="0" w:type="dxa"/>
              <w:right w:w="108" w:type="dxa"/>
            </w:tcMar>
          </w:tcPr>
          <w:p w14:paraId="796B19B9" w14:textId="2F83887A" w:rsidR="00B71717" w:rsidRPr="00F70707" w:rsidRDefault="003C6740" w:rsidP="008A1A2E">
            <w:pPr>
              <w:bidi w:val="0"/>
              <w:spacing w:after="0" w:line="240" w:lineRule="auto"/>
              <w:rPr>
                <w:rFonts w:eastAsia="Times New Roman" w:cstheme="minorHAnsi"/>
                <w:color w:val="FF0000"/>
              </w:rPr>
            </w:pPr>
            <w:r>
              <w:rPr>
                <w:rFonts w:eastAsia="Times New Roman" w:cstheme="minorHAnsi"/>
                <w:color w:val="FF0000"/>
              </w:rPr>
              <w:t xml:space="preserve">September </w:t>
            </w:r>
            <w:r w:rsidR="00F70707" w:rsidRPr="00F70707">
              <w:rPr>
                <w:rFonts w:eastAsia="Times New Roman" w:cstheme="minorHAnsi"/>
                <w:color w:val="FF0000"/>
              </w:rPr>
              <w:t xml:space="preserve"> 1</w:t>
            </w:r>
            <w:r w:rsidR="00F70707" w:rsidRPr="00F70707">
              <w:rPr>
                <w:rFonts w:eastAsia="Times New Roman" w:cstheme="minorHAnsi"/>
                <w:color w:val="FF0000"/>
                <w:vertAlign w:val="superscript"/>
              </w:rPr>
              <w:t>st</w:t>
            </w:r>
            <w:r w:rsidR="00F70707" w:rsidRPr="00F70707">
              <w:rPr>
                <w:rFonts w:eastAsia="Times New Roman" w:cstheme="minorHAnsi"/>
                <w:color w:val="FF0000"/>
              </w:rPr>
              <w:t>, 2021</w:t>
            </w:r>
          </w:p>
        </w:tc>
      </w:tr>
      <w:tr w:rsidR="00B71717" w:rsidRPr="00B71717" w14:paraId="23B104EB" w14:textId="77777777" w:rsidTr="00B71717">
        <w:trPr>
          <w:trHeight w:val="111"/>
        </w:trPr>
        <w:tc>
          <w:tcPr>
            <w:tcW w:w="3060" w:type="dxa"/>
            <w:tcBorders>
              <w:top w:val="nil"/>
              <w:left w:val="nil"/>
              <w:bottom w:val="nil"/>
              <w:right w:val="nil"/>
            </w:tcBorders>
            <w:tcMar>
              <w:top w:w="0" w:type="dxa"/>
              <w:left w:w="108" w:type="dxa"/>
              <w:bottom w:w="0" w:type="dxa"/>
              <w:right w:w="108" w:type="dxa"/>
            </w:tcMar>
            <w:hideMark/>
          </w:tcPr>
          <w:p w14:paraId="10FDAE80" w14:textId="77777777" w:rsidR="00B71717" w:rsidRPr="00B71717" w:rsidRDefault="00B71717" w:rsidP="008A1A2E">
            <w:pPr>
              <w:bidi w:val="0"/>
              <w:spacing w:after="0" w:line="240" w:lineRule="auto"/>
              <w:rPr>
                <w:rFonts w:eastAsia="Times New Roman" w:cstheme="minorHAnsi"/>
                <w:color w:val="000000"/>
              </w:rPr>
            </w:pPr>
            <w:r w:rsidRPr="00B71717">
              <w:rPr>
                <w:rFonts w:eastAsia="Times New Roman" w:cstheme="minorHAnsi"/>
                <w:b/>
                <w:bCs/>
                <w:color w:val="000000"/>
              </w:rPr>
              <w:t>Deadline for Application</w:t>
            </w:r>
          </w:p>
        </w:tc>
        <w:tc>
          <w:tcPr>
            <w:tcW w:w="4513" w:type="dxa"/>
            <w:tcBorders>
              <w:top w:val="nil"/>
              <w:left w:val="nil"/>
              <w:bottom w:val="nil"/>
              <w:right w:val="nil"/>
            </w:tcBorders>
            <w:tcMar>
              <w:top w:w="0" w:type="dxa"/>
              <w:left w:w="108" w:type="dxa"/>
              <w:bottom w:w="0" w:type="dxa"/>
              <w:right w:w="108" w:type="dxa"/>
            </w:tcMar>
            <w:hideMark/>
          </w:tcPr>
          <w:p w14:paraId="6F1C1726" w14:textId="2BC8AE43" w:rsidR="00B71717" w:rsidRPr="00F70707" w:rsidRDefault="003920F5" w:rsidP="008A1A2E">
            <w:pPr>
              <w:bidi w:val="0"/>
              <w:spacing w:after="0" w:line="240" w:lineRule="auto"/>
              <w:rPr>
                <w:rFonts w:eastAsia="Times New Roman" w:cstheme="minorHAnsi"/>
                <w:color w:val="FF0000"/>
              </w:rPr>
            </w:pPr>
            <w:r>
              <w:rPr>
                <w:rFonts w:eastAsia="Times New Roman" w:cstheme="minorHAnsi"/>
                <w:color w:val="FF0000"/>
              </w:rPr>
              <w:t>Dec.2021</w:t>
            </w:r>
          </w:p>
        </w:tc>
      </w:tr>
    </w:tbl>
    <w:p w14:paraId="123B3FDE" w14:textId="000D5440" w:rsidR="004F5057" w:rsidRDefault="004F5057" w:rsidP="008A1A2E">
      <w:pPr>
        <w:bidi w:val="0"/>
        <w:rPr>
          <w:b/>
          <w:bCs/>
          <w:lang w:bidi="ar-JO"/>
        </w:rPr>
      </w:pPr>
    </w:p>
    <w:p w14:paraId="64CC8F4C" w14:textId="77777777" w:rsidR="00DA6812" w:rsidRPr="00A66E13" w:rsidRDefault="00DA6812" w:rsidP="00DA6812">
      <w:pPr>
        <w:pStyle w:val="Paragraphedeliste"/>
        <w:numPr>
          <w:ilvl w:val="0"/>
          <w:numId w:val="29"/>
        </w:numPr>
        <w:bidi w:val="0"/>
        <w:rPr>
          <w:b/>
          <w:bCs/>
          <w:lang w:bidi="ar-JO"/>
        </w:rPr>
      </w:pPr>
      <w:r w:rsidRPr="00A66E13">
        <w:rPr>
          <w:b/>
          <w:bCs/>
          <w:lang w:bidi="ar-JO"/>
        </w:rPr>
        <w:t>General Description</w:t>
      </w:r>
      <w:r w:rsidRPr="00A66E13">
        <w:rPr>
          <w:rFonts w:cs="Arial"/>
          <w:b/>
          <w:bCs/>
          <w:rtl/>
          <w:lang w:bidi="ar-JO"/>
        </w:rPr>
        <w:t>:</w:t>
      </w:r>
    </w:p>
    <w:p w14:paraId="16A24A27" w14:textId="77777777" w:rsidR="00DA6812" w:rsidRDefault="00DA6812" w:rsidP="00DA6812">
      <w:pPr>
        <w:jc w:val="right"/>
        <w:rPr>
          <w:lang w:bidi="ar-JO"/>
        </w:rPr>
      </w:pPr>
      <w:r>
        <w:rPr>
          <w:lang w:bidi="ar-JO"/>
        </w:rPr>
        <w:t>As part of the support provided by AFD and Expertise France to Jordan, and in particular its financial support to MoLA, Ministry of Local Administration and GAM, Greater Amman Municipality, a technical assistance program has been programmed to support the improvement of local financial governance for the benefit of three major actors</w:t>
      </w:r>
      <w:r w:rsidRPr="00FB4049">
        <w:rPr>
          <w:rtl/>
          <w:lang w:bidi="ar-JO"/>
        </w:rPr>
        <w:t>:</w:t>
      </w:r>
    </w:p>
    <w:p w14:paraId="6B037117" w14:textId="77777777" w:rsidR="00DA6812" w:rsidRDefault="00DA6812" w:rsidP="00DA6812">
      <w:pPr>
        <w:jc w:val="right"/>
        <w:rPr>
          <w:lang w:bidi="ar-JO"/>
        </w:rPr>
      </w:pPr>
      <w:r>
        <w:rPr>
          <w:lang w:bidi="ar-JO"/>
        </w:rPr>
        <w:t>The MoLA, Ministry of Local Administration, is responsible for the supervision and technical and financial control of municipalities (control and approval of budgets, management of State transfers, control and approval of calls for tenders issued by municipalities, control of the application of laws, decrees and instructions by municipalities, etc.). It also monitors local elections</w:t>
      </w:r>
      <w:r w:rsidRPr="00FB4049">
        <w:rPr>
          <w:rtl/>
          <w:lang w:bidi="ar-JO"/>
        </w:rPr>
        <w:t>;</w:t>
      </w:r>
    </w:p>
    <w:p w14:paraId="7E165EA9" w14:textId="77777777" w:rsidR="00DA6812" w:rsidRDefault="00DA6812" w:rsidP="00DA6812">
      <w:pPr>
        <w:jc w:val="right"/>
        <w:rPr>
          <w:lang w:bidi="ar-JO"/>
        </w:rPr>
      </w:pPr>
      <w:r>
        <w:rPr>
          <w:lang w:bidi="ar-JO"/>
        </w:rPr>
        <w:t>The CVDB, Cities and Villages Development Bank, is the historical lender of municipalities in Jordan. The public bank provides financing to municipalities, management of their long-term loans and technical support for their investments</w:t>
      </w:r>
      <w:r w:rsidRPr="00FB4049">
        <w:rPr>
          <w:rtl/>
          <w:lang w:bidi="ar-JO"/>
        </w:rPr>
        <w:t>;</w:t>
      </w:r>
    </w:p>
    <w:p w14:paraId="3B3A7B65" w14:textId="77777777" w:rsidR="00DA6812" w:rsidRDefault="00DA6812" w:rsidP="00DA6812">
      <w:pPr>
        <w:jc w:val="right"/>
        <w:rPr>
          <w:lang w:bidi="ar-JO"/>
        </w:rPr>
      </w:pPr>
      <w:r>
        <w:rPr>
          <w:lang w:bidi="ar-JO"/>
        </w:rPr>
        <w:lastRenderedPageBreak/>
        <w:t>The GAM, Greater Amman Municipality is the municipality of Greater Amman, with 21,500 employees and a population of about 4.5 million, or nearly 40% of the Jordanian population. It is mainly active in urban planning, roads, solid waste management and urban transport</w:t>
      </w:r>
      <w:r w:rsidRPr="00FB4049">
        <w:rPr>
          <w:rtl/>
          <w:lang w:bidi="ar-JO"/>
        </w:rPr>
        <w:t>.</w:t>
      </w:r>
    </w:p>
    <w:p w14:paraId="4D9CB139" w14:textId="77777777" w:rsidR="00DA6812" w:rsidRDefault="00DA6812" w:rsidP="00DA6812">
      <w:pPr>
        <w:jc w:val="right"/>
        <w:rPr>
          <w:lang w:bidi="ar-JO"/>
        </w:rPr>
      </w:pPr>
      <w:r>
        <w:rPr>
          <w:lang w:bidi="ar-JO"/>
        </w:rPr>
        <w:t>The objective of this project is to "develop and structure local financial management in Jordan" by carrying out complementary actions with these 3 actors through three specific objectives:</w:t>
      </w:r>
    </w:p>
    <w:p w14:paraId="0F47C841" w14:textId="77777777" w:rsidR="00DA6812" w:rsidRDefault="00DA6812" w:rsidP="00DA6812">
      <w:pPr>
        <w:pStyle w:val="Paragraphedeliste"/>
        <w:numPr>
          <w:ilvl w:val="0"/>
          <w:numId w:val="1"/>
        </w:numPr>
        <w:bidi w:val="0"/>
        <w:rPr>
          <w:lang w:bidi="ar-JO"/>
        </w:rPr>
      </w:pPr>
      <w:r>
        <w:rPr>
          <w:lang w:bidi="ar-JO"/>
        </w:rPr>
        <w:t xml:space="preserve">Support the MoLA in development of; </w:t>
      </w:r>
    </w:p>
    <w:p w14:paraId="4FDA1258" w14:textId="77777777" w:rsidR="00DA6812" w:rsidRDefault="00DA6812" w:rsidP="00DA6812">
      <w:pPr>
        <w:pStyle w:val="Paragraphedeliste"/>
        <w:numPr>
          <w:ilvl w:val="0"/>
          <w:numId w:val="1"/>
        </w:numPr>
        <w:bidi w:val="0"/>
        <w:rPr>
          <w:lang w:bidi="ar-JO"/>
        </w:rPr>
      </w:pPr>
      <w:r>
        <w:rPr>
          <w:lang w:bidi="ar-JO"/>
        </w:rPr>
        <w:t xml:space="preserve">Develop local investment by positioning the CVDB as a key actor (technical and financial) for local projects development; support the skills and positioning as a key player in the financial and fiscal decentralization process in Jordan implementation of the CVDB roadmap; </w:t>
      </w:r>
    </w:p>
    <w:p w14:paraId="7BFEA4AA" w14:textId="77777777" w:rsidR="00DA6812" w:rsidRDefault="00DA6812" w:rsidP="00DA6812">
      <w:pPr>
        <w:pStyle w:val="Paragraphedeliste"/>
        <w:numPr>
          <w:ilvl w:val="0"/>
          <w:numId w:val="1"/>
        </w:numPr>
        <w:bidi w:val="0"/>
        <w:rPr>
          <w:rtl/>
          <w:lang w:bidi="ar-JO"/>
        </w:rPr>
      </w:pPr>
      <w:r>
        <w:rPr>
          <w:lang w:bidi="ar-JO"/>
        </w:rPr>
        <w:t xml:space="preserve">Support the improvement of the financial management of the GAM. </w:t>
      </w:r>
    </w:p>
    <w:p w14:paraId="730000C5" w14:textId="77777777" w:rsidR="00DA6812" w:rsidRDefault="00DA6812" w:rsidP="00DA6812">
      <w:pPr>
        <w:bidi w:val="0"/>
        <w:rPr>
          <w:b/>
          <w:bCs/>
          <w:lang w:bidi="ar-JO"/>
        </w:rPr>
      </w:pPr>
      <w:r>
        <w:rPr>
          <w:lang w:bidi="ar-JO"/>
        </w:rPr>
        <w:t>This takes a cross-cutting approach by addressing the specific needs of 3 key actors in supporting MoLA and CVDB development in Jordan, as well as due to the integrated activities among the two actors (CVDB &amp; MOLA</w:t>
      </w:r>
    </w:p>
    <w:p w14:paraId="622A7EE0" w14:textId="77777777" w:rsidR="00DA6812" w:rsidRPr="00FB4049" w:rsidRDefault="00DA6812" w:rsidP="00DA6812">
      <w:pPr>
        <w:bidi w:val="0"/>
        <w:rPr>
          <w:b/>
          <w:bCs/>
          <w:lang w:bidi="ar-JO"/>
        </w:rPr>
      </w:pPr>
    </w:p>
    <w:p w14:paraId="13523437" w14:textId="77777777" w:rsidR="00DA6812" w:rsidRDefault="00DA6812" w:rsidP="00DA6812">
      <w:pPr>
        <w:bidi w:val="0"/>
        <w:jc w:val="both"/>
        <w:rPr>
          <w:lang w:bidi="ar-JO"/>
        </w:rPr>
      </w:pPr>
      <w:r>
        <w:rPr>
          <w:lang w:bidi="ar-JO"/>
        </w:rPr>
        <w:t>The CVDB, Cities and Villages Development Bank, is the historical lender of municipalities in Jordan. The public bank provides financing to municipalities, management of their long-term loans and technical support for their investments.</w:t>
      </w:r>
    </w:p>
    <w:p w14:paraId="1A65BB3F" w14:textId="53A9D77A" w:rsidR="00DA6812" w:rsidRDefault="00DA6812" w:rsidP="00DA6812">
      <w:pPr>
        <w:bidi w:val="0"/>
        <w:rPr>
          <w:b/>
          <w:bCs/>
          <w:lang w:bidi="ar-JO"/>
        </w:rPr>
      </w:pPr>
      <w:r>
        <w:rPr>
          <w:lang w:bidi="ar-JO"/>
        </w:rPr>
        <w:t>decisions and may be to explore and assess potential partnerships with the beneficiary municipalities</w:t>
      </w:r>
    </w:p>
    <w:p w14:paraId="18A5B100" w14:textId="77777777" w:rsidR="00DA6812" w:rsidRDefault="00DA6812" w:rsidP="00DA6812">
      <w:pPr>
        <w:bidi w:val="0"/>
        <w:rPr>
          <w:b/>
          <w:bCs/>
          <w:lang w:bidi="ar-JO"/>
        </w:rPr>
      </w:pPr>
    </w:p>
    <w:p w14:paraId="3B39B5F0" w14:textId="77777777" w:rsidR="00DA6812" w:rsidRPr="00FB4049" w:rsidRDefault="00DA6812" w:rsidP="00DA6812">
      <w:pPr>
        <w:bidi w:val="0"/>
        <w:rPr>
          <w:b/>
          <w:bCs/>
          <w:lang w:bidi="ar-JO"/>
        </w:rPr>
      </w:pPr>
    </w:p>
    <w:p w14:paraId="241FDAA0" w14:textId="77777777" w:rsidR="00DA6812" w:rsidRDefault="004F5057" w:rsidP="008C362A">
      <w:pPr>
        <w:bidi w:val="0"/>
        <w:jc w:val="both"/>
        <w:rPr>
          <w:lang w:bidi="ar-JO"/>
        </w:rPr>
      </w:pPr>
      <w:r>
        <w:rPr>
          <w:lang w:bidi="ar-JO"/>
        </w:rPr>
        <w:t>The CVDB, Cities and Villages Development Bank, is the historical lender of municipalities in Jordan. The public bank provides financing to municipalities, management of their long-term loans and technical support for their investments</w:t>
      </w:r>
      <w:r w:rsidR="00633F22">
        <w:rPr>
          <w:lang w:bidi="ar-JO"/>
        </w:rPr>
        <w:t>.</w:t>
      </w:r>
    </w:p>
    <w:p w14:paraId="4C2E76A7" w14:textId="2B211366" w:rsidR="008C362A" w:rsidRPr="00DA6812" w:rsidRDefault="00DA6812" w:rsidP="00DA6812">
      <w:pPr>
        <w:pStyle w:val="Paragraphedeliste"/>
        <w:numPr>
          <w:ilvl w:val="0"/>
          <w:numId w:val="29"/>
        </w:numPr>
        <w:bidi w:val="0"/>
        <w:jc w:val="both"/>
        <w:rPr>
          <w:b/>
          <w:bCs/>
          <w:lang w:bidi="ar-JO"/>
        </w:rPr>
      </w:pPr>
      <w:r w:rsidRPr="00DA6812">
        <w:rPr>
          <w:b/>
          <w:bCs/>
          <w:lang w:bidi="ar-JO"/>
        </w:rPr>
        <w:t>Description of the assignment (Objectives and Results):</w:t>
      </w:r>
    </w:p>
    <w:p w14:paraId="31033421" w14:textId="7A5DA1BB" w:rsidR="00D52C2D" w:rsidRDefault="008C362A" w:rsidP="008C362A">
      <w:pPr>
        <w:bidi w:val="0"/>
        <w:jc w:val="both"/>
        <w:rPr>
          <w:lang w:bidi="ar-JO"/>
        </w:rPr>
      </w:pPr>
      <w:r>
        <w:rPr>
          <w:lang w:bidi="ar-JO"/>
        </w:rPr>
        <w:t xml:space="preserve">Within the context of the new proposed law for the bank which is currently under review &amp; discussion at the Parliament, CVDB shall play a more active role as a national local development bank to the local entities, mainly the municipalities. Consequently, and in </w:t>
      </w:r>
      <w:r w:rsidR="00D52C2D">
        <w:rPr>
          <w:lang w:bidi="ar-JO"/>
        </w:rPr>
        <w:t xml:space="preserve">its </w:t>
      </w:r>
      <w:r>
        <w:rPr>
          <w:lang w:bidi="ar-JO"/>
        </w:rPr>
        <w:t xml:space="preserve">ongoing </w:t>
      </w:r>
      <w:r w:rsidR="00D52C2D">
        <w:rPr>
          <w:lang w:bidi="ar-JO"/>
        </w:rPr>
        <w:t xml:space="preserve">efforts to </w:t>
      </w:r>
      <w:r w:rsidR="00633F22">
        <w:rPr>
          <w:lang w:bidi="ar-JO"/>
        </w:rPr>
        <w:t xml:space="preserve">support </w:t>
      </w:r>
      <w:r w:rsidR="00712D25">
        <w:rPr>
          <w:lang w:bidi="ar-JO"/>
        </w:rPr>
        <w:t>its</w:t>
      </w:r>
      <w:r w:rsidR="00633F22">
        <w:rPr>
          <w:lang w:bidi="ar-JO"/>
        </w:rPr>
        <w:t xml:space="preserve"> beneficiaries of Jordanian municipalities to enable them to </w:t>
      </w:r>
      <w:r w:rsidR="00D52C2D">
        <w:rPr>
          <w:lang w:bidi="ar-JO"/>
        </w:rPr>
        <w:t xml:space="preserve">have more access to financing that is directly linked to the financial condition and performance of the municipalities, CVDB recently introduced and enforced a </w:t>
      </w:r>
      <w:r>
        <w:rPr>
          <w:lang w:bidi="ar-JO"/>
        </w:rPr>
        <w:t xml:space="preserve">quantitative </w:t>
      </w:r>
      <w:r w:rsidR="00D52C2D">
        <w:rPr>
          <w:lang w:bidi="ar-JO"/>
        </w:rPr>
        <w:t xml:space="preserve">credit scoring </w:t>
      </w:r>
      <w:r>
        <w:rPr>
          <w:lang w:bidi="ar-JO"/>
        </w:rPr>
        <w:t xml:space="preserve">and rating </w:t>
      </w:r>
      <w:r w:rsidR="00D52C2D">
        <w:rPr>
          <w:lang w:bidi="ar-JO"/>
        </w:rPr>
        <w:t xml:space="preserve">system which classified the Jordanian municipalities into three categories: Gold, silver, and bronze. </w:t>
      </w:r>
    </w:p>
    <w:p w14:paraId="6E3F6986" w14:textId="41A20ABE" w:rsidR="00D52C2D" w:rsidRDefault="00D52C2D" w:rsidP="00D52C2D">
      <w:pPr>
        <w:bidi w:val="0"/>
        <w:jc w:val="both"/>
        <w:rPr>
          <w:lang w:bidi="ar-JO"/>
        </w:rPr>
      </w:pPr>
      <w:r>
        <w:rPr>
          <w:lang w:bidi="ar-JO"/>
        </w:rPr>
        <w:t xml:space="preserve">This classification and rating </w:t>
      </w:r>
      <w:r w:rsidR="008C362A">
        <w:rPr>
          <w:lang w:bidi="ar-JO"/>
        </w:rPr>
        <w:t>are</w:t>
      </w:r>
      <w:r>
        <w:rPr>
          <w:lang w:bidi="ar-JO"/>
        </w:rPr>
        <w:t xml:space="preserve"> direct result</w:t>
      </w:r>
      <w:r w:rsidR="008C362A">
        <w:rPr>
          <w:lang w:bidi="ar-JO"/>
        </w:rPr>
        <w:t>s</w:t>
      </w:r>
      <w:r>
        <w:rPr>
          <w:lang w:bidi="ar-JO"/>
        </w:rPr>
        <w:t xml:space="preserve"> of the Bank’s assessment of the creditworthiness and borrowing capabilities of the beneficiary municipalities. Moreover, the Bank developed a Credit Risk Matrix that linked the credit rating of the municipality with loan pricing (either normal or interest based). As such, the bank employs a risk-based lending approach in its credit extension to the beneficiary of municipalities.</w:t>
      </w:r>
    </w:p>
    <w:p w14:paraId="66F0F1B0" w14:textId="7F406B08" w:rsidR="008C362A" w:rsidRDefault="00D52C2D" w:rsidP="008C362A">
      <w:pPr>
        <w:bidi w:val="0"/>
        <w:jc w:val="both"/>
        <w:rPr>
          <w:lang w:bidi="ar-JO"/>
        </w:rPr>
      </w:pPr>
      <w:r>
        <w:rPr>
          <w:lang w:bidi="ar-JO"/>
        </w:rPr>
        <w:t xml:space="preserve">This approach makes the credit extension process </w:t>
      </w:r>
      <w:r w:rsidR="008C362A">
        <w:rPr>
          <w:lang w:bidi="ar-JO"/>
        </w:rPr>
        <w:t xml:space="preserve">to the municipalities </w:t>
      </w:r>
      <w:r>
        <w:rPr>
          <w:lang w:bidi="ar-JO"/>
        </w:rPr>
        <w:t>more systematic, logical, and built on quantitative measures and KPI</w:t>
      </w:r>
      <w:r w:rsidR="008C362A">
        <w:rPr>
          <w:lang w:bidi="ar-JO"/>
        </w:rPr>
        <w:t>, and reduces the subjective judgment in the whole process</w:t>
      </w:r>
      <w:r>
        <w:rPr>
          <w:lang w:bidi="ar-JO"/>
        </w:rPr>
        <w:t xml:space="preserve">. </w:t>
      </w:r>
      <w:r w:rsidR="008C362A">
        <w:rPr>
          <w:lang w:bidi="ar-JO"/>
        </w:rPr>
        <w:t xml:space="preserve">Moreover, it invited </w:t>
      </w:r>
      <w:r w:rsidR="00C573FB">
        <w:rPr>
          <w:lang w:bidi="ar-JO"/>
        </w:rPr>
        <w:t>CVDB</w:t>
      </w:r>
      <w:r w:rsidR="00EF09FF">
        <w:rPr>
          <w:lang w:bidi="ar-JO"/>
        </w:rPr>
        <w:t xml:space="preserve"> </w:t>
      </w:r>
      <w:r w:rsidR="008C362A">
        <w:rPr>
          <w:lang w:bidi="ar-JO"/>
        </w:rPr>
        <w:t xml:space="preserve">to think of going a step further by performing a credit rating for the bank itself </w:t>
      </w:r>
      <w:r w:rsidR="00B64061">
        <w:rPr>
          <w:lang w:bidi="ar-JO"/>
        </w:rPr>
        <w:lastRenderedPageBreak/>
        <w:t xml:space="preserve">from internationally recognized rating agencies </w:t>
      </w:r>
      <w:r w:rsidR="008C362A">
        <w:rPr>
          <w:lang w:bidi="ar-JO"/>
        </w:rPr>
        <w:t>to stand in a more solid position to expand its role, and to act as a national local development bank, serving local entities and municipalities.</w:t>
      </w:r>
    </w:p>
    <w:p w14:paraId="41F5587B" w14:textId="5E7220BB" w:rsidR="00F17B0E" w:rsidRPr="00DA6812" w:rsidRDefault="008C362A" w:rsidP="00DA6812">
      <w:pPr>
        <w:bidi w:val="0"/>
        <w:jc w:val="both"/>
        <w:rPr>
          <w:lang w:bidi="ar-JO"/>
        </w:rPr>
      </w:pPr>
      <w:r>
        <w:rPr>
          <w:lang w:bidi="ar-JO"/>
        </w:rPr>
        <w:t xml:space="preserve">This move is </w:t>
      </w:r>
      <w:r w:rsidR="00EF09FF">
        <w:rPr>
          <w:lang w:bidi="ar-JO"/>
        </w:rPr>
        <w:t xml:space="preserve">expected to be reflected into more solid </w:t>
      </w:r>
      <w:r w:rsidR="00B64061">
        <w:rPr>
          <w:lang w:bidi="ar-JO"/>
        </w:rPr>
        <w:t xml:space="preserve">and creditworthy </w:t>
      </w:r>
      <w:r w:rsidR="00EF09FF">
        <w:rPr>
          <w:lang w:bidi="ar-JO"/>
        </w:rPr>
        <w:t xml:space="preserve">financial condition and performance of the </w:t>
      </w:r>
      <w:r w:rsidR="00B64061">
        <w:rPr>
          <w:lang w:bidi="ar-JO"/>
        </w:rPr>
        <w:t>bank</w:t>
      </w:r>
      <w:r>
        <w:rPr>
          <w:lang w:bidi="ar-JO"/>
        </w:rPr>
        <w:t xml:space="preserve">, as </w:t>
      </w:r>
      <w:r w:rsidR="00B64061">
        <w:rPr>
          <w:lang w:bidi="ar-JO"/>
        </w:rPr>
        <w:t>CVDB</w:t>
      </w:r>
      <w:r>
        <w:rPr>
          <w:lang w:bidi="ar-JO"/>
        </w:rPr>
        <w:t xml:space="preserve"> is expected to have wider access to financing sources and instruments, in compliance with the local and international </w:t>
      </w:r>
      <w:r w:rsidR="00B64061">
        <w:rPr>
          <w:lang w:bidi="ar-JO"/>
        </w:rPr>
        <w:t>requirements of the credit rating agencies.</w:t>
      </w:r>
    </w:p>
    <w:p w14:paraId="201E639E" w14:textId="032F59D7" w:rsidR="0005101C" w:rsidRDefault="00DA6812" w:rsidP="00EF09FF">
      <w:pPr>
        <w:bidi w:val="0"/>
        <w:jc w:val="both"/>
        <w:rPr>
          <w:lang w:bidi="ar-JO"/>
        </w:rPr>
      </w:pPr>
      <w:r>
        <w:rPr>
          <w:lang w:bidi="ar-JO"/>
        </w:rPr>
        <w:t xml:space="preserve"> The expert mandates </w:t>
      </w:r>
      <w:r w:rsidR="003C6740">
        <w:rPr>
          <w:lang w:bidi="ar-JO"/>
        </w:rPr>
        <w:t>are</w:t>
      </w:r>
      <w:r>
        <w:rPr>
          <w:lang w:bidi="ar-JO"/>
        </w:rPr>
        <w:t xml:space="preserve"> to provide </w:t>
      </w:r>
      <w:r w:rsidR="003C6740">
        <w:rPr>
          <w:lang w:bidi="ar-JO"/>
        </w:rPr>
        <w:t>TAs to</w:t>
      </w:r>
      <w:r>
        <w:rPr>
          <w:lang w:bidi="ar-JO"/>
        </w:rPr>
        <w:t xml:space="preserve"> CVDB and should </w:t>
      </w:r>
      <w:r w:rsidR="003C6740">
        <w:rPr>
          <w:lang w:bidi="ar-JO"/>
        </w:rPr>
        <w:t>has strong</w:t>
      </w:r>
      <w:r w:rsidR="008A1A2E">
        <w:rPr>
          <w:lang w:bidi="ar-JO"/>
        </w:rPr>
        <w:t xml:space="preserve"> background </w:t>
      </w:r>
      <w:r w:rsidR="00B64061">
        <w:rPr>
          <w:lang w:bidi="ar-JO"/>
        </w:rPr>
        <w:t xml:space="preserve">and experience in credit rating of public and private institutions </w:t>
      </w:r>
      <w:r w:rsidR="00DB2402">
        <w:rPr>
          <w:lang w:bidi="ar-JO"/>
        </w:rPr>
        <w:t xml:space="preserve">to </w:t>
      </w:r>
      <w:r w:rsidR="00B64061">
        <w:rPr>
          <w:lang w:bidi="ar-JO"/>
        </w:rPr>
        <w:t>facilitate the process for CVDB to qualify for fair and suitable credit rating and international recognition.</w:t>
      </w:r>
    </w:p>
    <w:p w14:paraId="75129D04" w14:textId="77777777" w:rsidR="00F46EB1" w:rsidRDefault="008A1A2E" w:rsidP="00F46EB1">
      <w:pPr>
        <w:bidi w:val="0"/>
        <w:jc w:val="both"/>
        <w:rPr>
          <w:b/>
          <w:bCs/>
          <w:lang w:bidi="ar-JO"/>
        </w:rPr>
      </w:pPr>
      <w:bookmarkStart w:id="1" w:name="_Hlk33991159"/>
      <w:r w:rsidRPr="00F46EB1">
        <w:rPr>
          <w:b/>
          <w:bCs/>
          <w:lang w:bidi="ar-JO"/>
        </w:rPr>
        <w:t xml:space="preserve">Outputs / deliverables: </w:t>
      </w:r>
    </w:p>
    <w:p w14:paraId="24D021C3" w14:textId="26C63C70" w:rsidR="008A1A2E" w:rsidRDefault="0071478E" w:rsidP="00F46EB1">
      <w:pPr>
        <w:pStyle w:val="Paragraphedeliste"/>
        <w:numPr>
          <w:ilvl w:val="0"/>
          <w:numId w:val="27"/>
        </w:numPr>
        <w:bidi w:val="0"/>
        <w:jc w:val="both"/>
        <w:rPr>
          <w:lang w:bidi="ar-JO"/>
        </w:rPr>
      </w:pPr>
      <w:r w:rsidRPr="0071478E">
        <w:rPr>
          <w:lang w:bidi="ar-JO"/>
        </w:rPr>
        <w:t xml:space="preserve">Detailed </w:t>
      </w:r>
      <w:r w:rsidR="00B64061">
        <w:rPr>
          <w:lang w:bidi="ar-JO"/>
        </w:rPr>
        <w:t>file</w:t>
      </w:r>
      <w:r w:rsidR="00F46EB1">
        <w:rPr>
          <w:lang w:bidi="ar-JO"/>
        </w:rPr>
        <w:t xml:space="preserve"> </w:t>
      </w:r>
      <w:r w:rsidR="00B64061">
        <w:rPr>
          <w:lang w:bidi="ar-JO"/>
        </w:rPr>
        <w:t xml:space="preserve">containing the </w:t>
      </w:r>
      <w:r w:rsidR="001B1AA9">
        <w:rPr>
          <w:lang w:bidi="ar-JO"/>
        </w:rPr>
        <w:t xml:space="preserve">guiding steps &amp; procedural requirements </w:t>
      </w:r>
      <w:r w:rsidR="00B64061">
        <w:rPr>
          <w:lang w:bidi="ar-JO"/>
        </w:rPr>
        <w:t xml:space="preserve">for CVDB to qualify for fair </w:t>
      </w:r>
      <w:r w:rsidR="001202B0">
        <w:rPr>
          <w:lang w:bidi="ar-JO"/>
        </w:rPr>
        <w:t xml:space="preserve">international </w:t>
      </w:r>
      <w:r w:rsidR="00B64061">
        <w:rPr>
          <w:lang w:bidi="ar-JO"/>
        </w:rPr>
        <w:t>credit rating.</w:t>
      </w:r>
    </w:p>
    <w:p w14:paraId="4DD1C22E" w14:textId="10C94AD1" w:rsidR="001202B0" w:rsidRDefault="001202B0" w:rsidP="00B64061">
      <w:pPr>
        <w:pStyle w:val="Paragraphedeliste"/>
        <w:numPr>
          <w:ilvl w:val="0"/>
          <w:numId w:val="27"/>
        </w:numPr>
        <w:bidi w:val="0"/>
        <w:jc w:val="both"/>
        <w:rPr>
          <w:lang w:bidi="ar-JO"/>
        </w:rPr>
      </w:pPr>
      <w:r>
        <w:rPr>
          <w:lang w:bidi="ar-JO"/>
        </w:rPr>
        <w:t>Recommendations for CVDB on the most suitable financing sources, markets, and innovative financing &amp; investment instruments, in compliance with the effective Bank Law and By-laws.</w:t>
      </w:r>
    </w:p>
    <w:p w14:paraId="34ACB753" w14:textId="52A2E255" w:rsidR="00B64061" w:rsidRDefault="00B64061" w:rsidP="001202B0">
      <w:pPr>
        <w:pStyle w:val="Paragraphedeliste"/>
        <w:numPr>
          <w:ilvl w:val="0"/>
          <w:numId w:val="27"/>
        </w:numPr>
        <w:bidi w:val="0"/>
        <w:jc w:val="both"/>
        <w:rPr>
          <w:lang w:bidi="ar-JO"/>
        </w:rPr>
      </w:pPr>
      <w:r>
        <w:rPr>
          <w:lang w:bidi="ar-JO"/>
        </w:rPr>
        <w:t xml:space="preserve">Link CVDB with the most suitable credit rating agency for further communication and </w:t>
      </w:r>
    </w:p>
    <w:p w14:paraId="1FDD9154" w14:textId="016D65D1" w:rsidR="00F46EB1" w:rsidRPr="0071478E" w:rsidRDefault="00F46EB1" w:rsidP="00F46EB1">
      <w:pPr>
        <w:pStyle w:val="Paragraphedeliste"/>
        <w:numPr>
          <w:ilvl w:val="0"/>
          <w:numId w:val="27"/>
        </w:numPr>
        <w:bidi w:val="0"/>
        <w:jc w:val="both"/>
        <w:rPr>
          <w:lang w:bidi="ar-JO"/>
        </w:rPr>
      </w:pPr>
      <w:r>
        <w:rPr>
          <w:lang w:bidi="ar-JO"/>
        </w:rPr>
        <w:t xml:space="preserve">Presentation of the report to the Bank’s top Management and the concerned entities. </w:t>
      </w:r>
    </w:p>
    <w:p w14:paraId="0075B3AC" w14:textId="27A06A9D" w:rsidR="008A1A2E" w:rsidRDefault="008A1A2E" w:rsidP="00EF09FF">
      <w:pPr>
        <w:bidi w:val="0"/>
        <w:jc w:val="both"/>
        <w:rPr>
          <w:b/>
          <w:bCs/>
          <w:lang w:bidi="ar-JO"/>
        </w:rPr>
      </w:pPr>
      <w:r>
        <w:rPr>
          <w:b/>
          <w:bCs/>
          <w:lang w:bidi="ar-JO"/>
        </w:rPr>
        <w:t xml:space="preserve">Duration: </w:t>
      </w:r>
      <w:r w:rsidR="00B64061">
        <w:rPr>
          <w:b/>
          <w:bCs/>
          <w:lang w:bidi="ar-JO"/>
        </w:rPr>
        <w:t>25</w:t>
      </w:r>
      <w:r>
        <w:rPr>
          <w:b/>
          <w:bCs/>
          <w:lang w:bidi="ar-JO"/>
        </w:rPr>
        <w:t xml:space="preserve"> working days</w:t>
      </w:r>
    </w:p>
    <w:bookmarkEnd w:id="1"/>
    <w:p w14:paraId="0D3699AF" w14:textId="6CEFCA5E" w:rsidR="006773B0" w:rsidRPr="009541CA" w:rsidRDefault="001202B0" w:rsidP="00EF09FF">
      <w:pPr>
        <w:bidi w:val="0"/>
        <w:jc w:val="both"/>
        <w:rPr>
          <w:b/>
          <w:bCs/>
          <w:lang w:bidi="ar-JO"/>
        </w:rPr>
      </w:pPr>
      <w:r>
        <w:rPr>
          <w:b/>
          <w:bCs/>
          <w:lang w:bidi="ar-JO"/>
        </w:rPr>
        <w:t xml:space="preserve">Qualifications / </w:t>
      </w:r>
      <w:r w:rsidR="006773B0" w:rsidRPr="009541CA">
        <w:rPr>
          <w:b/>
          <w:bCs/>
          <w:lang w:bidi="ar-JO"/>
        </w:rPr>
        <w:t>Competencies:</w:t>
      </w:r>
    </w:p>
    <w:p w14:paraId="1A4A2EF8" w14:textId="1DF0F79D" w:rsidR="00F46EB1" w:rsidRDefault="006F0D63" w:rsidP="00EF09FF">
      <w:pPr>
        <w:pStyle w:val="Paragraphedeliste"/>
        <w:numPr>
          <w:ilvl w:val="0"/>
          <w:numId w:val="18"/>
        </w:numPr>
        <w:bidi w:val="0"/>
        <w:spacing w:after="0" w:line="240" w:lineRule="auto"/>
        <w:jc w:val="both"/>
        <w:rPr>
          <w:rFonts w:eastAsia="Times New Roman" w:cstheme="minorHAnsi"/>
          <w:color w:val="000000"/>
        </w:rPr>
      </w:pPr>
      <w:r>
        <w:rPr>
          <w:rFonts w:eastAsia="Times New Roman" w:cstheme="minorHAnsi"/>
          <w:color w:val="000000"/>
        </w:rPr>
        <w:t>S</w:t>
      </w:r>
      <w:r w:rsidR="00AA7ACB" w:rsidRPr="00AA7ACB">
        <w:rPr>
          <w:rFonts w:eastAsia="Times New Roman" w:cstheme="minorHAnsi"/>
          <w:color w:val="000000"/>
        </w:rPr>
        <w:t xml:space="preserve">trong </w:t>
      </w:r>
      <w:r w:rsidR="001202B0">
        <w:rPr>
          <w:rFonts w:eastAsia="Times New Roman" w:cstheme="minorHAnsi"/>
          <w:color w:val="000000"/>
        </w:rPr>
        <w:t>credit rating qualifications and expertise</w:t>
      </w:r>
    </w:p>
    <w:p w14:paraId="4057FF84" w14:textId="500FCFBE" w:rsidR="001202B0" w:rsidRDefault="001202B0" w:rsidP="001202B0">
      <w:pPr>
        <w:pStyle w:val="Paragraphedeliste"/>
        <w:numPr>
          <w:ilvl w:val="0"/>
          <w:numId w:val="18"/>
        </w:numPr>
        <w:bidi w:val="0"/>
        <w:spacing w:after="0" w:line="240" w:lineRule="auto"/>
        <w:jc w:val="both"/>
        <w:rPr>
          <w:rFonts w:eastAsia="Times New Roman" w:cstheme="minorHAnsi"/>
          <w:color w:val="000000"/>
        </w:rPr>
      </w:pPr>
      <w:r>
        <w:rPr>
          <w:rFonts w:eastAsia="Times New Roman" w:cstheme="minorHAnsi"/>
          <w:color w:val="000000"/>
        </w:rPr>
        <w:t>Strong relation with the recognized credit rating agencies</w:t>
      </w:r>
    </w:p>
    <w:p w14:paraId="2ABD70D2" w14:textId="47FEE87E" w:rsidR="00AA7ACB" w:rsidRPr="00AA7ACB" w:rsidRDefault="00F46EB1" w:rsidP="00F46EB1">
      <w:pPr>
        <w:pStyle w:val="Paragraphedeliste"/>
        <w:numPr>
          <w:ilvl w:val="0"/>
          <w:numId w:val="18"/>
        </w:numPr>
        <w:bidi w:val="0"/>
        <w:spacing w:after="0" w:line="240" w:lineRule="auto"/>
        <w:jc w:val="both"/>
        <w:rPr>
          <w:rFonts w:eastAsia="Times New Roman" w:cstheme="minorHAnsi"/>
          <w:color w:val="000000"/>
        </w:rPr>
      </w:pPr>
      <w:r>
        <w:rPr>
          <w:rFonts w:eastAsia="Times New Roman" w:cstheme="minorHAnsi"/>
          <w:color w:val="000000"/>
        </w:rPr>
        <w:lastRenderedPageBreak/>
        <w:t xml:space="preserve">Solid financial / </w:t>
      </w:r>
      <w:r w:rsidR="0071478E">
        <w:rPr>
          <w:rFonts w:eastAsia="Times New Roman" w:cstheme="minorHAnsi"/>
          <w:color w:val="000000"/>
        </w:rPr>
        <w:t xml:space="preserve">investment </w:t>
      </w:r>
      <w:r w:rsidR="00AA7ACB" w:rsidRPr="00AA7ACB">
        <w:rPr>
          <w:rFonts w:eastAsia="Times New Roman" w:cstheme="minorHAnsi"/>
          <w:color w:val="000000"/>
        </w:rPr>
        <w:t>analytical skills</w:t>
      </w:r>
    </w:p>
    <w:p w14:paraId="409DE55B" w14:textId="0CBCF490" w:rsidR="00AA7ACB" w:rsidRPr="00AA7ACB" w:rsidRDefault="0071478E" w:rsidP="00EF09FF">
      <w:pPr>
        <w:pStyle w:val="Paragraphedeliste"/>
        <w:numPr>
          <w:ilvl w:val="0"/>
          <w:numId w:val="18"/>
        </w:numPr>
        <w:bidi w:val="0"/>
        <w:spacing w:after="0" w:line="240" w:lineRule="auto"/>
        <w:jc w:val="both"/>
        <w:rPr>
          <w:rFonts w:eastAsia="Times New Roman" w:cstheme="minorHAnsi"/>
          <w:color w:val="000000"/>
        </w:rPr>
      </w:pPr>
      <w:r>
        <w:rPr>
          <w:rFonts w:eastAsia="Times New Roman" w:cstheme="minorHAnsi"/>
          <w:color w:val="000000"/>
        </w:rPr>
        <w:t>High commitment to deadlines</w:t>
      </w:r>
    </w:p>
    <w:p w14:paraId="65A7C061" w14:textId="294DBA83" w:rsidR="00AA7ACB" w:rsidRPr="00AA7ACB" w:rsidRDefault="00AA7ACB" w:rsidP="00EF09FF">
      <w:pPr>
        <w:pStyle w:val="Paragraphedeliste"/>
        <w:numPr>
          <w:ilvl w:val="0"/>
          <w:numId w:val="18"/>
        </w:numPr>
        <w:bidi w:val="0"/>
        <w:spacing w:after="0" w:line="240" w:lineRule="auto"/>
        <w:jc w:val="both"/>
        <w:rPr>
          <w:rFonts w:eastAsia="Times New Roman" w:cstheme="minorHAnsi"/>
          <w:color w:val="000000"/>
        </w:rPr>
      </w:pPr>
      <w:r w:rsidRPr="00AA7ACB">
        <w:rPr>
          <w:rFonts w:eastAsia="Times New Roman" w:cstheme="minorHAnsi"/>
          <w:color w:val="000000"/>
        </w:rPr>
        <w:t xml:space="preserve">Excellent </w:t>
      </w:r>
      <w:r w:rsidR="001202B0">
        <w:rPr>
          <w:rFonts w:eastAsia="Times New Roman" w:cstheme="minorHAnsi"/>
          <w:color w:val="000000"/>
        </w:rPr>
        <w:t xml:space="preserve">report writing and </w:t>
      </w:r>
      <w:r w:rsidRPr="00AA7ACB">
        <w:rPr>
          <w:rFonts w:eastAsia="Times New Roman" w:cstheme="minorHAnsi"/>
          <w:color w:val="000000"/>
        </w:rPr>
        <w:t>presentation skills</w:t>
      </w:r>
    </w:p>
    <w:p w14:paraId="5FC66CE2" w14:textId="77777777" w:rsidR="00BA6A5E" w:rsidRDefault="00BA6A5E" w:rsidP="00EF09FF">
      <w:pPr>
        <w:bidi w:val="0"/>
        <w:jc w:val="both"/>
        <w:rPr>
          <w:b/>
          <w:bCs/>
          <w:lang w:bidi="ar-JO"/>
        </w:rPr>
      </w:pPr>
    </w:p>
    <w:p w14:paraId="46D4D9AD" w14:textId="57F444E8" w:rsidR="000039E1" w:rsidRPr="00F272C7" w:rsidRDefault="00F62675" w:rsidP="00EF09FF">
      <w:pPr>
        <w:bidi w:val="0"/>
        <w:jc w:val="both"/>
        <w:rPr>
          <w:b/>
          <w:bCs/>
          <w:lang w:bidi="ar-JO"/>
        </w:rPr>
      </w:pPr>
      <w:r w:rsidRPr="00F272C7">
        <w:rPr>
          <w:b/>
          <w:bCs/>
          <w:lang w:bidi="ar-JO"/>
        </w:rPr>
        <w:t>5.</w:t>
      </w:r>
      <w:r w:rsidR="00F272C7">
        <w:rPr>
          <w:b/>
          <w:bCs/>
          <w:lang w:bidi="ar-JO"/>
        </w:rPr>
        <w:t xml:space="preserve"> </w:t>
      </w:r>
      <w:r w:rsidR="00F272C7" w:rsidRPr="00F272C7">
        <w:rPr>
          <w:b/>
          <w:bCs/>
          <w:lang w:bidi="ar-JO"/>
        </w:rPr>
        <w:t>Reporting</w:t>
      </w:r>
    </w:p>
    <w:p w14:paraId="5BE89E81" w14:textId="36AB95CA" w:rsidR="0099607C" w:rsidRPr="005B63E5" w:rsidRDefault="002F2DB2" w:rsidP="00EF09FF">
      <w:pPr>
        <w:pStyle w:val="Paragraphedeliste"/>
        <w:numPr>
          <w:ilvl w:val="0"/>
          <w:numId w:val="19"/>
        </w:numPr>
        <w:bidi w:val="0"/>
        <w:spacing w:after="0" w:line="240" w:lineRule="auto"/>
        <w:jc w:val="both"/>
        <w:rPr>
          <w:rFonts w:eastAsia="Times New Roman" w:cstheme="minorHAnsi"/>
          <w:color w:val="FF0000"/>
        </w:rPr>
      </w:pPr>
      <w:r w:rsidRPr="005B63E5">
        <w:rPr>
          <w:rFonts w:eastAsia="Times New Roman" w:cstheme="minorHAnsi"/>
          <w:color w:val="FF0000"/>
        </w:rPr>
        <w:t xml:space="preserve">The </w:t>
      </w:r>
      <w:r w:rsidR="008A1A2E" w:rsidRPr="005B63E5">
        <w:rPr>
          <w:rFonts w:eastAsia="Times New Roman" w:cstheme="minorHAnsi"/>
          <w:color w:val="FF0000"/>
        </w:rPr>
        <w:t xml:space="preserve">expert </w:t>
      </w:r>
      <w:r w:rsidRPr="005B63E5">
        <w:rPr>
          <w:rFonts w:eastAsia="Times New Roman" w:cstheme="minorHAnsi"/>
          <w:color w:val="FF0000"/>
        </w:rPr>
        <w:t>will</w:t>
      </w:r>
      <w:r w:rsidR="000039E1" w:rsidRPr="005B63E5">
        <w:rPr>
          <w:rFonts w:eastAsia="Times New Roman" w:cstheme="minorHAnsi"/>
          <w:color w:val="FF0000"/>
        </w:rPr>
        <w:t xml:space="preserve"> report directly to </w:t>
      </w:r>
      <w:r w:rsidR="005B63E5" w:rsidRPr="005B63E5">
        <w:rPr>
          <w:rFonts w:eastAsia="Times New Roman" w:cstheme="minorHAnsi"/>
          <w:color w:val="FF0000"/>
        </w:rPr>
        <w:t>EF’s Resident Team Leader (RTL)</w:t>
      </w:r>
      <w:r w:rsidR="008A1A2E" w:rsidRPr="005B63E5">
        <w:rPr>
          <w:rFonts w:eastAsia="Times New Roman" w:cstheme="minorHAnsi"/>
          <w:color w:val="FF0000"/>
        </w:rPr>
        <w:t xml:space="preserve"> </w:t>
      </w:r>
      <w:r w:rsidR="00DA6812">
        <w:rPr>
          <w:rFonts w:eastAsia="Times New Roman" w:cstheme="minorHAnsi"/>
          <w:color w:val="FF0000"/>
        </w:rPr>
        <w:t xml:space="preserve">/ project manager at HQ </w:t>
      </w:r>
      <w:r w:rsidR="008A1A2E" w:rsidRPr="005B63E5">
        <w:rPr>
          <w:rFonts w:eastAsia="Times New Roman" w:cstheme="minorHAnsi"/>
          <w:color w:val="FF0000"/>
        </w:rPr>
        <w:t>with written report</w:t>
      </w:r>
      <w:r w:rsidR="001202B0" w:rsidRPr="005B63E5">
        <w:rPr>
          <w:rFonts w:eastAsia="Times New Roman" w:cstheme="minorHAnsi"/>
          <w:color w:val="FF0000"/>
        </w:rPr>
        <w:t>, evidences, guidance, and supporting documents.</w:t>
      </w:r>
    </w:p>
    <w:sectPr w:rsidR="0099607C" w:rsidRPr="005B63E5" w:rsidSect="00035C0B">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0A03" w14:textId="77777777" w:rsidR="00421544" w:rsidRDefault="00421544" w:rsidP="00CF4617">
      <w:pPr>
        <w:spacing w:after="0" w:line="240" w:lineRule="auto"/>
      </w:pPr>
      <w:r>
        <w:separator/>
      </w:r>
    </w:p>
  </w:endnote>
  <w:endnote w:type="continuationSeparator" w:id="0">
    <w:p w14:paraId="20AA9F24" w14:textId="77777777" w:rsidR="00421544" w:rsidRDefault="00421544" w:rsidP="00CF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DF96D" w14:textId="77777777" w:rsidR="00421544" w:rsidRDefault="00421544" w:rsidP="00CF4617">
      <w:pPr>
        <w:spacing w:after="0" w:line="240" w:lineRule="auto"/>
      </w:pPr>
      <w:r>
        <w:separator/>
      </w:r>
    </w:p>
  </w:footnote>
  <w:footnote w:type="continuationSeparator" w:id="0">
    <w:p w14:paraId="75F94501" w14:textId="77777777" w:rsidR="00421544" w:rsidRDefault="00421544" w:rsidP="00CF4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2213938"/>
      <w:docPartObj>
        <w:docPartGallery w:val="Watermarks"/>
        <w:docPartUnique/>
      </w:docPartObj>
    </w:sdtPr>
    <w:sdtEndPr/>
    <w:sdtContent>
      <w:p w14:paraId="26B3BB5B" w14:textId="012424AE" w:rsidR="00625B6B" w:rsidRDefault="00E22D04">
        <w:pPr>
          <w:pStyle w:val="En-tte"/>
        </w:pPr>
        <w:r>
          <w:rPr>
            <w:noProof/>
          </w:rPr>
          <w:pict w14:anchorId="11BA1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5DD1"/>
    <w:multiLevelType w:val="hybridMultilevel"/>
    <w:tmpl w:val="F2D68C4A"/>
    <w:lvl w:ilvl="0" w:tplc="800826EE">
      <w:start w:val="1"/>
      <w:numFmt w:val="decimal"/>
      <w:lvlText w:val="%1."/>
      <w:lvlJc w:val="left"/>
      <w:pPr>
        <w:ind w:left="3420" w:hanging="360"/>
      </w:pPr>
      <w:rPr>
        <w:b/>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0ED6479F"/>
    <w:multiLevelType w:val="hybridMultilevel"/>
    <w:tmpl w:val="DA488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6DD2"/>
    <w:multiLevelType w:val="hybridMultilevel"/>
    <w:tmpl w:val="DD26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437AE"/>
    <w:multiLevelType w:val="hybridMultilevel"/>
    <w:tmpl w:val="9CA4B7C8"/>
    <w:lvl w:ilvl="0" w:tplc="04090003">
      <w:start w:val="1"/>
      <w:numFmt w:val="bullet"/>
      <w:lvlText w:val="o"/>
      <w:lvlJc w:val="left"/>
      <w:pPr>
        <w:ind w:left="720" w:hanging="360"/>
      </w:pPr>
      <w:rPr>
        <w:rFonts w:ascii="Courier New" w:hAnsi="Courier New" w:cs="Courier New" w:hint="default"/>
      </w:rPr>
    </w:lvl>
    <w:lvl w:ilvl="1" w:tplc="ECE6BC9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0029C"/>
    <w:multiLevelType w:val="hybridMultilevel"/>
    <w:tmpl w:val="91F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178E9"/>
    <w:multiLevelType w:val="hybridMultilevel"/>
    <w:tmpl w:val="B0FA04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A2BD5"/>
    <w:multiLevelType w:val="hybridMultilevel"/>
    <w:tmpl w:val="93F21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77546"/>
    <w:multiLevelType w:val="hybridMultilevel"/>
    <w:tmpl w:val="EF041CDE"/>
    <w:lvl w:ilvl="0" w:tplc="BF268DA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35B13"/>
    <w:multiLevelType w:val="hybridMultilevel"/>
    <w:tmpl w:val="54C0D77E"/>
    <w:lvl w:ilvl="0" w:tplc="7EF637A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84206"/>
    <w:multiLevelType w:val="multilevel"/>
    <w:tmpl w:val="35C8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076446"/>
    <w:multiLevelType w:val="hybridMultilevel"/>
    <w:tmpl w:val="349A6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30E71"/>
    <w:multiLevelType w:val="multilevel"/>
    <w:tmpl w:val="81C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655B3"/>
    <w:multiLevelType w:val="hybridMultilevel"/>
    <w:tmpl w:val="09BE3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11851"/>
    <w:multiLevelType w:val="hybridMultilevel"/>
    <w:tmpl w:val="43C8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150D"/>
    <w:multiLevelType w:val="hybridMultilevel"/>
    <w:tmpl w:val="8A602D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461F26"/>
    <w:multiLevelType w:val="hybridMultilevel"/>
    <w:tmpl w:val="5DB2D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B3B44"/>
    <w:multiLevelType w:val="multilevel"/>
    <w:tmpl w:val="A68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C069D2"/>
    <w:multiLevelType w:val="hybridMultilevel"/>
    <w:tmpl w:val="CCAC7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70489"/>
    <w:multiLevelType w:val="multilevel"/>
    <w:tmpl w:val="3784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5401A"/>
    <w:multiLevelType w:val="hybridMultilevel"/>
    <w:tmpl w:val="E6CCD3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E54CB5"/>
    <w:multiLevelType w:val="hybridMultilevel"/>
    <w:tmpl w:val="1F4E6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9620B"/>
    <w:multiLevelType w:val="hybridMultilevel"/>
    <w:tmpl w:val="2EA82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E6382"/>
    <w:multiLevelType w:val="hybridMultilevel"/>
    <w:tmpl w:val="32CAE5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6F31FD"/>
    <w:multiLevelType w:val="hybridMultilevel"/>
    <w:tmpl w:val="F0A2FA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1D3C19"/>
    <w:multiLevelType w:val="hybridMultilevel"/>
    <w:tmpl w:val="9BC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3466F"/>
    <w:multiLevelType w:val="hybridMultilevel"/>
    <w:tmpl w:val="DDA2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F4A4F"/>
    <w:multiLevelType w:val="hybridMultilevel"/>
    <w:tmpl w:val="E138E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B20EED"/>
    <w:multiLevelType w:val="hybridMultilevel"/>
    <w:tmpl w:val="76369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E4D46"/>
    <w:multiLevelType w:val="hybridMultilevel"/>
    <w:tmpl w:val="2E840B30"/>
    <w:lvl w:ilvl="0" w:tplc="04090003">
      <w:start w:val="1"/>
      <w:numFmt w:val="bullet"/>
      <w:lvlText w:val="o"/>
      <w:lvlJc w:val="left"/>
      <w:pPr>
        <w:ind w:left="720" w:hanging="360"/>
      </w:pPr>
      <w:rPr>
        <w:rFonts w:ascii="Courier New" w:hAnsi="Courier New" w:cs="Courier New" w:hint="default"/>
      </w:rPr>
    </w:lvl>
    <w:lvl w:ilvl="1" w:tplc="7DBAE39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5"/>
  </w:num>
  <w:num w:numId="4">
    <w:abstractNumId w:val="1"/>
  </w:num>
  <w:num w:numId="5">
    <w:abstractNumId w:val="21"/>
  </w:num>
  <w:num w:numId="6">
    <w:abstractNumId w:val="10"/>
  </w:num>
  <w:num w:numId="7">
    <w:abstractNumId w:val="27"/>
  </w:num>
  <w:num w:numId="8">
    <w:abstractNumId w:val="6"/>
  </w:num>
  <w:num w:numId="9">
    <w:abstractNumId w:val="8"/>
  </w:num>
  <w:num w:numId="10">
    <w:abstractNumId w:val="23"/>
  </w:num>
  <w:num w:numId="11">
    <w:abstractNumId w:val="14"/>
  </w:num>
  <w:num w:numId="12">
    <w:abstractNumId w:val="28"/>
  </w:num>
  <w:num w:numId="13">
    <w:abstractNumId w:val="22"/>
  </w:num>
  <w:num w:numId="14">
    <w:abstractNumId w:val="5"/>
  </w:num>
  <w:num w:numId="15">
    <w:abstractNumId w:val="18"/>
  </w:num>
  <w:num w:numId="16">
    <w:abstractNumId w:val="9"/>
  </w:num>
  <w:num w:numId="17">
    <w:abstractNumId w:val="16"/>
  </w:num>
  <w:num w:numId="18">
    <w:abstractNumId w:val="3"/>
  </w:num>
  <w:num w:numId="19">
    <w:abstractNumId w:val="17"/>
  </w:num>
  <w:num w:numId="20">
    <w:abstractNumId w:val="11"/>
  </w:num>
  <w:num w:numId="21">
    <w:abstractNumId w:val="0"/>
  </w:num>
  <w:num w:numId="22">
    <w:abstractNumId w:val="25"/>
  </w:num>
  <w:num w:numId="23">
    <w:abstractNumId w:val="19"/>
  </w:num>
  <w:num w:numId="24">
    <w:abstractNumId w:val="12"/>
  </w:num>
  <w:num w:numId="25">
    <w:abstractNumId w:val="26"/>
  </w:num>
  <w:num w:numId="26">
    <w:abstractNumId w:val="2"/>
  </w:num>
  <w:num w:numId="27">
    <w:abstractNumId w:val="2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75"/>
    <w:rsid w:val="000039E1"/>
    <w:rsid w:val="00030C63"/>
    <w:rsid w:val="00031298"/>
    <w:rsid w:val="00035C0B"/>
    <w:rsid w:val="0005101C"/>
    <w:rsid w:val="00062B78"/>
    <w:rsid w:val="00065787"/>
    <w:rsid w:val="000676B0"/>
    <w:rsid w:val="0007375A"/>
    <w:rsid w:val="0008165E"/>
    <w:rsid w:val="000A3D4C"/>
    <w:rsid w:val="000A769D"/>
    <w:rsid w:val="000B4889"/>
    <w:rsid w:val="000B6315"/>
    <w:rsid w:val="000C5A26"/>
    <w:rsid w:val="000C63D1"/>
    <w:rsid w:val="000D2268"/>
    <w:rsid w:val="000E0DF7"/>
    <w:rsid w:val="000F375B"/>
    <w:rsid w:val="000F7CA0"/>
    <w:rsid w:val="001202B0"/>
    <w:rsid w:val="0013297C"/>
    <w:rsid w:val="001503C5"/>
    <w:rsid w:val="00174EEE"/>
    <w:rsid w:val="00181AD1"/>
    <w:rsid w:val="00184EBD"/>
    <w:rsid w:val="00191848"/>
    <w:rsid w:val="001B1AA9"/>
    <w:rsid w:val="001B2653"/>
    <w:rsid w:val="001B7509"/>
    <w:rsid w:val="001D5F0E"/>
    <w:rsid w:val="00222928"/>
    <w:rsid w:val="00232265"/>
    <w:rsid w:val="002420A9"/>
    <w:rsid w:val="00250331"/>
    <w:rsid w:val="00251180"/>
    <w:rsid w:val="00272201"/>
    <w:rsid w:val="002824A5"/>
    <w:rsid w:val="00295BF6"/>
    <w:rsid w:val="002A57D8"/>
    <w:rsid w:val="002E3A0C"/>
    <w:rsid w:val="002F2DB2"/>
    <w:rsid w:val="003144D6"/>
    <w:rsid w:val="00345517"/>
    <w:rsid w:val="0035362B"/>
    <w:rsid w:val="003920F5"/>
    <w:rsid w:val="003C6740"/>
    <w:rsid w:val="00421544"/>
    <w:rsid w:val="00437E70"/>
    <w:rsid w:val="0044794F"/>
    <w:rsid w:val="00452B43"/>
    <w:rsid w:val="00482F88"/>
    <w:rsid w:val="0049196E"/>
    <w:rsid w:val="00496494"/>
    <w:rsid w:val="004A7012"/>
    <w:rsid w:val="004B0031"/>
    <w:rsid w:val="004B2B7F"/>
    <w:rsid w:val="004D4330"/>
    <w:rsid w:val="004E6D52"/>
    <w:rsid w:val="004F5057"/>
    <w:rsid w:val="00516E69"/>
    <w:rsid w:val="005311FE"/>
    <w:rsid w:val="005323BA"/>
    <w:rsid w:val="005416BF"/>
    <w:rsid w:val="00553F22"/>
    <w:rsid w:val="00564197"/>
    <w:rsid w:val="005B63E5"/>
    <w:rsid w:val="005C1620"/>
    <w:rsid w:val="005D48F6"/>
    <w:rsid w:val="005F17B1"/>
    <w:rsid w:val="00600B81"/>
    <w:rsid w:val="00625B6B"/>
    <w:rsid w:val="006268A3"/>
    <w:rsid w:val="00630731"/>
    <w:rsid w:val="00633F22"/>
    <w:rsid w:val="00635199"/>
    <w:rsid w:val="006773B0"/>
    <w:rsid w:val="0068063B"/>
    <w:rsid w:val="00686B83"/>
    <w:rsid w:val="00696F78"/>
    <w:rsid w:val="006B0A11"/>
    <w:rsid w:val="006B0E33"/>
    <w:rsid w:val="006E0A29"/>
    <w:rsid w:val="006F0D63"/>
    <w:rsid w:val="00701A1D"/>
    <w:rsid w:val="00710E8B"/>
    <w:rsid w:val="00712D25"/>
    <w:rsid w:val="0071478E"/>
    <w:rsid w:val="0078195B"/>
    <w:rsid w:val="0079036A"/>
    <w:rsid w:val="00797B2D"/>
    <w:rsid w:val="007B11BD"/>
    <w:rsid w:val="007E54CB"/>
    <w:rsid w:val="0082094C"/>
    <w:rsid w:val="00822EF2"/>
    <w:rsid w:val="00844543"/>
    <w:rsid w:val="008750EB"/>
    <w:rsid w:val="008A1A2E"/>
    <w:rsid w:val="008C362A"/>
    <w:rsid w:val="00901350"/>
    <w:rsid w:val="00922AA0"/>
    <w:rsid w:val="009541CA"/>
    <w:rsid w:val="00961BBE"/>
    <w:rsid w:val="0097657B"/>
    <w:rsid w:val="0098257B"/>
    <w:rsid w:val="0099607C"/>
    <w:rsid w:val="009D43D2"/>
    <w:rsid w:val="009D7246"/>
    <w:rsid w:val="00A06B44"/>
    <w:rsid w:val="00A31866"/>
    <w:rsid w:val="00A34A94"/>
    <w:rsid w:val="00A37514"/>
    <w:rsid w:val="00A479A4"/>
    <w:rsid w:val="00A5087C"/>
    <w:rsid w:val="00A521B2"/>
    <w:rsid w:val="00A607A0"/>
    <w:rsid w:val="00A640A3"/>
    <w:rsid w:val="00AA36F4"/>
    <w:rsid w:val="00AA7ACB"/>
    <w:rsid w:val="00AB02B9"/>
    <w:rsid w:val="00AC7295"/>
    <w:rsid w:val="00B30275"/>
    <w:rsid w:val="00B327C4"/>
    <w:rsid w:val="00B64061"/>
    <w:rsid w:val="00B71717"/>
    <w:rsid w:val="00B75E8B"/>
    <w:rsid w:val="00B9120D"/>
    <w:rsid w:val="00BA6A5E"/>
    <w:rsid w:val="00BA714B"/>
    <w:rsid w:val="00BC73CB"/>
    <w:rsid w:val="00BF0CED"/>
    <w:rsid w:val="00BF6EF6"/>
    <w:rsid w:val="00C149B0"/>
    <w:rsid w:val="00C14D94"/>
    <w:rsid w:val="00C207E9"/>
    <w:rsid w:val="00C363B0"/>
    <w:rsid w:val="00C573FB"/>
    <w:rsid w:val="00C61DAC"/>
    <w:rsid w:val="00C644EF"/>
    <w:rsid w:val="00CB2819"/>
    <w:rsid w:val="00CD0878"/>
    <w:rsid w:val="00CF4617"/>
    <w:rsid w:val="00CF6CE1"/>
    <w:rsid w:val="00D01350"/>
    <w:rsid w:val="00D0682F"/>
    <w:rsid w:val="00D269F5"/>
    <w:rsid w:val="00D44157"/>
    <w:rsid w:val="00D52C2D"/>
    <w:rsid w:val="00D95E5B"/>
    <w:rsid w:val="00DA6812"/>
    <w:rsid w:val="00DB2402"/>
    <w:rsid w:val="00DB6D2D"/>
    <w:rsid w:val="00DB7474"/>
    <w:rsid w:val="00DD70AE"/>
    <w:rsid w:val="00DE304E"/>
    <w:rsid w:val="00E02CBE"/>
    <w:rsid w:val="00E04019"/>
    <w:rsid w:val="00E155AA"/>
    <w:rsid w:val="00E22D04"/>
    <w:rsid w:val="00E27C5F"/>
    <w:rsid w:val="00E4089A"/>
    <w:rsid w:val="00E466F3"/>
    <w:rsid w:val="00E6052D"/>
    <w:rsid w:val="00E739ED"/>
    <w:rsid w:val="00E84801"/>
    <w:rsid w:val="00E962FE"/>
    <w:rsid w:val="00EA0B91"/>
    <w:rsid w:val="00EB740A"/>
    <w:rsid w:val="00EC3022"/>
    <w:rsid w:val="00EE6E0A"/>
    <w:rsid w:val="00EF09FF"/>
    <w:rsid w:val="00EF413F"/>
    <w:rsid w:val="00F10E82"/>
    <w:rsid w:val="00F17B0E"/>
    <w:rsid w:val="00F238B2"/>
    <w:rsid w:val="00F26B09"/>
    <w:rsid w:val="00F272C7"/>
    <w:rsid w:val="00F46EB1"/>
    <w:rsid w:val="00F50E27"/>
    <w:rsid w:val="00F51545"/>
    <w:rsid w:val="00F60952"/>
    <w:rsid w:val="00F62675"/>
    <w:rsid w:val="00F70707"/>
    <w:rsid w:val="00FB4049"/>
    <w:rsid w:val="00FB7EF9"/>
    <w:rsid w:val="00FC1C96"/>
    <w:rsid w:val="00FD374E"/>
    <w:rsid w:val="00FE6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EE203D"/>
  <w15:docId w15:val="{E51B2C63-B5FE-42AC-B53D-FA0B636C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6B"/>
    <w:pPr>
      <w:bidi/>
    </w:pPr>
  </w:style>
  <w:style w:type="paragraph" w:styleId="Titre1">
    <w:name w:val="heading 1"/>
    <w:basedOn w:val="Normal"/>
    <w:next w:val="Normal"/>
    <w:link w:val="Titre1Car"/>
    <w:uiPriority w:val="9"/>
    <w:qFormat/>
    <w:rsid w:val="00625B6B"/>
    <w:pPr>
      <w:keepNext/>
      <w:keepLines/>
      <w:bidi w:val="0"/>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625B6B"/>
    <w:pPr>
      <w:keepNext/>
      <w:keepLines/>
      <w:bidi w:val="0"/>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625B6B"/>
    <w:pPr>
      <w:keepNext/>
      <w:keepLines/>
      <w:bidi w:val="0"/>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625B6B"/>
    <w:pPr>
      <w:keepNext/>
      <w:keepLines/>
      <w:bidi w:val="0"/>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625B6B"/>
    <w:pPr>
      <w:keepNext/>
      <w:keepLines/>
      <w:bidi w:val="0"/>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625B6B"/>
    <w:pPr>
      <w:keepNext/>
      <w:keepLines/>
      <w:bidi w:val="0"/>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625B6B"/>
    <w:pPr>
      <w:keepNext/>
      <w:keepLines/>
      <w:bidi w:val="0"/>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625B6B"/>
    <w:pPr>
      <w:keepNext/>
      <w:keepLines/>
      <w:bidi w:val="0"/>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625B6B"/>
    <w:pPr>
      <w:keepNext/>
      <w:keepLines/>
      <w:bidi w:val="0"/>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617"/>
    <w:pPr>
      <w:tabs>
        <w:tab w:val="center" w:pos="4513"/>
        <w:tab w:val="right" w:pos="9026"/>
      </w:tabs>
      <w:spacing w:after="0" w:line="240" w:lineRule="auto"/>
    </w:pPr>
  </w:style>
  <w:style w:type="character" w:customStyle="1" w:styleId="En-tteCar">
    <w:name w:val="En-tête Car"/>
    <w:basedOn w:val="Policepardfaut"/>
    <w:link w:val="En-tte"/>
    <w:uiPriority w:val="99"/>
    <w:rsid w:val="00CF4617"/>
  </w:style>
  <w:style w:type="paragraph" w:styleId="Pieddepage">
    <w:name w:val="footer"/>
    <w:basedOn w:val="Normal"/>
    <w:link w:val="PieddepageCar"/>
    <w:uiPriority w:val="99"/>
    <w:unhideWhenUsed/>
    <w:rsid w:val="00CF461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F4617"/>
  </w:style>
  <w:style w:type="paragraph" w:styleId="Paragraphedeliste">
    <w:name w:val="List Paragraph"/>
    <w:basedOn w:val="Normal"/>
    <w:uiPriority w:val="34"/>
    <w:qFormat/>
    <w:rsid w:val="00CF4617"/>
    <w:pPr>
      <w:ind w:left="720"/>
      <w:contextualSpacing/>
    </w:pPr>
  </w:style>
  <w:style w:type="table" w:styleId="Grilledutableau">
    <w:name w:val="Table Grid"/>
    <w:basedOn w:val="TableauNormal"/>
    <w:uiPriority w:val="39"/>
    <w:rsid w:val="00CF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25B6B"/>
    <w:rPr>
      <w:b/>
      <w:bCs/>
    </w:rPr>
  </w:style>
  <w:style w:type="character" w:customStyle="1" w:styleId="Titre1Car">
    <w:name w:val="Titre 1 Car"/>
    <w:basedOn w:val="Policepardfaut"/>
    <w:link w:val="Titre1"/>
    <w:uiPriority w:val="9"/>
    <w:rsid w:val="00625B6B"/>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625B6B"/>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625B6B"/>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625B6B"/>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625B6B"/>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625B6B"/>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625B6B"/>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625B6B"/>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625B6B"/>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625B6B"/>
    <w:pPr>
      <w:bidi w:val="0"/>
      <w:spacing w:line="240" w:lineRule="auto"/>
    </w:pPr>
    <w:rPr>
      <w:b/>
      <w:bCs/>
      <w:smallCaps/>
      <w:color w:val="595959" w:themeColor="text1" w:themeTint="A6"/>
    </w:rPr>
  </w:style>
  <w:style w:type="paragraph" w:styleId="Titre">
    <w:name w:val="Title"/>
    <w:basedOn w:val="Normal"/>
    <w:next w:val="Normal"/>
    <w:link w:val="TitreCar"/>
    <w:uiPriority w:val="10"/>
    <w:qFormat/>
    <w:rsid w:val="00625B6B"/>
    <w:pPr>
      <w:bidi w:val="0"/>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625B6B"/>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625B6B"/>
    <w:pPr>
      <w:numPr>
        <w:ilvl w:val="1"/>
      </w:numPr>
      <w:bidi w:val="0"/>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625B6B"/>
    <w:rPr>
      <w:rFonts w:asciiTheme="majorHAnsi" w:eastAsiaTheme="majorEastAsia" w:hAnsiTheme="majorHAnsi" w:cstheme="majorBidi"/>
      <w:sz w:val="30"/>
      <w:szCs w:val="30"/>
    </w:rPr>
  </w:style>
  <w:style w:type="character" w:styleId="Accentuation">
    <w:name w:val="Emphasis"/>
    <w:basedOn w:val="Policepardfaut"/>
    <w:uiPriority w:val="20"/>
    <w:qFormat/>
    <w:rsid w:val="00625B6B"/>
    <w:rPr>
      <w:i/>
      <w:iCs/>
      <w:color w:val="70AD47" w:themeColor="accent6"/>
    </w:rPr>
  </w:style>
  <w:style w:type="paragraph" w:styleId="Sansinterligne">
    <w:name w:val="No Spacing"/>
    <w:uiPriority w:val="1"/>
    <w:qFormat/>
    <w:rsid w:val="00625B6B"/>
    <w:pPr>
      <w:spacing w:after="0" w:line="240" w:lineRule="auto"/>
    </w:pPr>
  </w:style>
  <w:style w:type="paragraph" w:styleId="Citation">
    <w:name w:val="Quote"/>
    <w:basedOn w:val="Normal"/>
    <w:next w:val="Normal"/>
    <w:link w:val="CitationCar"/>
    <w:uiPriority w:val="29"/>
    <w:qFormat/>
    <w:rsid w:val="00625B6B"/>
    <w:pPr>
      <w:bidi w:val="0"/>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625B6B"/>
    <w:rPr>
      <w:i/>
      <w:iCs/>
      <w:color w:val="262626" w:themeColor="text1" w:themeTint="D9"/>
    </w:rPr>
  </w:style>
  <w:style w:type="paragraph" w:styleId="Citationintense">
    <w:name w:val="Intense Quote"/>
    <w:basedOn w:val="Normal"/>
    <w:next w:val="Normal"/>
    <w:link w:val="CitationintenseCar"/>
    <w:uiPriority w:val="30"/>
    <w:qFormat/>
    <w:rsid w:val="00625B6B"/>
    <w:pPr>
      <w:bidi w:val="0"/>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625B6B"/>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625B6B"/>
    <w:rPr>
      <w:i/>
      <w:iCs/>
    </w:rPr>
  </w:style>
  <w:style w:type="character" w:styleId="Emphaseintense">
    <w:name w:val="Intense Emphasis"/>
    <w:basedOn w:val="Policepardfaut"/>
    <w:uiPriority w:val="21"/>
    <w:qFormat/>
    <w:rsid w:val="00625B6B"/>
    <w:rPr>
      <w:b/>
      <w:bCs/>
      <w:i/>
      <w:iCs/>
    </w:rPr>
  </w:style>
  <w:style w:type="character" w:styleId="Rfrenceple">
    <w:name w:val="Subtle Reference"/>
    <w:basedOn w:val="Policepardfaut"/>
    <w:uiPriority w:val="31"/>
    <w:qFormat/>
    <w:rsid w:val="00625B6B"/>
    <w:rPr>
      <w:smallCaps/>
      <w:color w:val="595959" w:themeColor="text1" w:themeTint="A6"/>
    </w:rPr>
  </w:style>
  <w:style w:type="character" w:styleId="Rfrenceintense">
    <w:name w:val="Intense Reference"/>
    <w:basedOn w:val="Policepardfaut"/>
    <w:uiPriority w:val="32"/>
    <w:qFormat/>
    <w:rsid w:val="00625B6B"/>
    <w:rPr>
      <w:b/>
      <w:bCs/>
      <w:smallCaps/>
      <w:color w:val="70AD47" w:themeColor="accent6"/>
    </w:rPr>
  </w:style>
  <w:style w:type="character" w:styleId="Titredulivre">
    <w:name w:val="Book Title"/>
    <w:basedOn w:val="Policepardfaut"/>
    <w:uiPriority w:val="33"/>
    <w:qFormat/>
    <w:rsid w:val="00625B6B"/>
    <w:rPr>
      <w:b/>
      <w:bCs/>
      <w:caps w:val="0"/>
      <w:smallCaps/>
      <w:spacing w:val="7"/>
      <w:sz w:val="21"/>
      <w:szCs w:val="21"/>
    </w:rPr>
  </w:style>
  <w:style w:type="paragraph" w:styleId="En-ttedetabledesmatires">
    <w:name w:val="TOC Heading"/>
    <w:basedOn w:val="Titre1"/>
    <w:next w:val="Normal"/>
    <w:uiPriority w:val="39"/>
    <w:semiHidden/>
    <w:unhideWhenUsed/>
    <w:qFormat/>
    <w:rsid w:val="00625B6B"/>
    <w:pPr>
      <w:outlineLvl w:val="9"/>
    </w:pPr>
  </w:style>
  <w:style w:type="character" w:styleId="Marquedecommentaire">
    <w:name w:val="annotation reference"/>
    <w:basedOn w:val="Policepardfaut"/>
    <w:uiPriority w:val="99"/>
    <w:semiHidden/>
    <w:unhideWhenUsed/>
    <w:rsid w:val="009541CA"/>
    <w:rPr>
      <w:sz w:val="16"/>
      <w:szCs w:val="16"/>
    </w:rPr>
  </w:style>
  <w:style w:type="paragraph" w:styleId="Commentaire">
    <w:name w:val="annotation text"/>
    <w:basedOn w:val="Normal"/>
    <w:link w:val="CommentaireCar"/>
    <w:uiPriority w:val="99"/>
    <w:semiHidden/>
    <w:unhideWhenUsed/>
    <w:rsid w:val="009541CA"/>
    <w:pPr>
      <w:spacing w:line="240" w:lineRule="auto"/>
    </w:pPr>
    <w:rPr>
      <w:sz w:val="20"/>
      <w:szCs w:val="20"/>
    </w:rPr>
  </w:style>
  <w:style w:type="character" w:customStyle="1" w:styleId="CommentaireCar">
    <w:name w:val="Commentaire Car"/>
    <w:basedOn w:val="Policepardfaut"/>
    <w:link w:val="Commentaire"/>
    <w:uiPriority w:val="99"/>
    <w:semiHidden/>
    <w:rsid w:val="009541CA"/>
    <w:rPr>
      <w:sz w:val="20"/>
      <w:szCs w:val="20"/>
    </w:rPr>
  </w:style>
  <w:style w:type="paragraph" w:styleId="Objetducommentaire">
    <w:name w:val="annotation subject"/>
    <w:basedOn w:val="Commentaire"/>
    <w:next w:val="Commentaire"/>
    <w:link w:val="ObjetducommentaireCar"/>
    <w:uiPriority w:val="99"/>
    <w:semiHidden/>
    <w:unhideWhenUsed/>
    <w:rsid w:val="009541CA"/>
    <w:rPr>
      <w:b/>
      <w:bCs/>
    </w:rPr>
  </w:style>
  <w:style w:type="character" w:customStyle="1" w:styleId="ObjetducommentaireCar">
    <w:name w:val="Objet du commentaire Car"/>
    <w:basedOn w:val="CommentaireCar"/>
    <w:link w:val="Objetducommentaire"/>
    <w:uiPriority w:val="99"/>
    <w:semiHidden/>
    <w:rsid w:val="009541CA"/>
    <w:rPr>
      <w:b/>
      <w:bCs/>
      <w:sz w:val="20"/>
      <w:szCs w:val="20"/>
    </w:rPr>
  </w:style>
  <w:style w:type="paragraph" w:styleId="Textedebulles">
    <w:name w:val="Balloon Text"/>
    <w:basedOn w:val="Normal"/>
    <w:link w:val="TextedebullesCar"/>
    <w:uiPriority w:val="99"/>
    <w:semiHidden/>
    <w:unhideWhenUsed/>
    <w:rsid w:val="009541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1CA"/>
    <w:rPr>
      <w:rFonts w:ascii="Segoe UI" w:hAnsi="Segoe UI" w:cs="Segoe UI"/>
      <w:sz w:val="18"/>
      <w:szCs w:val="18"/>
    </w:rPr>
  </w:style>
  <w:style w:type="character" w:customStyle="1" w:styleId="tlid-translation">
    <w:name w:val="tlid-translation"/>
    <w:basedOn w:val="Policepardfaut"/>
    <w:rsid w:val="00E8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2582">
      <w:bodyDiv w:val="1"/>
      <w:marLeft w:val="0"/>
      <w:marRight w:val="0"/>
      <w:marTop w:val="0"/>
      <w:marBottom w:val="0"/>
      <w:divBdr>
        <w:top w:val="none" w:sz="0" w:space="0" w:color="auto"/>
        <w:left w:val="none" w:sz="0" w:space="0" w:color="auto"/>
        <w:bottom w:val="none" w:sz="0" w:space="0" w:color="auto"/>
        <w:right w:val="none" w:sz="0" w:space="0" w:color="auto"/>
      </w:divBdr>
    </w:div>
    <w:div w:id="248194047">
      <w:bodyDiv w:val="1"/>
      <w:marLeft w:val="0"/>
      <w:marRight w:val="0"/>
      <w:marTop w:val="0"/>
      <w:marBottom w:val="0"/>
      <w:divBdr>
        <w:top w:val="none" w:sz="0" w:space="0" w:color="auto"/>
        <w:left w:val="none" w:sz="0" w:space="0" w:color="auto"/>
        <w:bottom w:val="none" w:sz="0" w:space="0" w:color="auto"/>
        <w:right w:val="none" w:sz="0" w:space="0" w:color="auto"/>
      </w:divBdr>
    </w:div>
    <w:div w:id="498471026">
      <w:bodyDiv w:val="1"/>
      <w:marLeft w:val="0"/>
      <w:marRight w:val="0"/>
      <w:marTop w:val="0"/>
      <w:marBottom w:val="0"/>
      <w:divBdr>
        <w:top w:val="none" w:sz="0" w:space="0" w:color="auto"/>
        <w:left w:val="none" w:sz="0" w:space="0" w:color="auto"/>
        <w:bottom w:val="none" w:sz="0" w:space="0" w:color="auto"/>
        <w:right w:val="none" w:sz="0" w:space="0" w:color="auto"/>
      </w:divBdr>
    </w:div>
    <w:div w:id="996492083">
      <w:bodyDiv w:val="1"/>
      <w:marLeft w:val="0"/>
      <w:marRight w:val="0"/>
      <w:marTop w:val="0"/>
      <w:marBottom w:val="0"/>
      <w:divBdr>
        <w:top w:val="none" w:sz="0" w:space="0" w:color="auto"/>
        <w:left w:val="none" w:sz="0" w:space="0" w:color="auto"/>
        <w:bottom w:val="none" w:sz="0" w:space="0" w:color="auto"/>
        <w:right w:val="none" w:sz="0" w:space="0" w:color="auto"/>
      </w:divBdr>
    </w:div>
    <w:div w:id="18801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0509-8F5C-45DE-9A31-A7E34994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5187</Characters>
  <Application>Microsoft Office Word</Application>
  <DocSecurity>4</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AFD</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 I. Musa</dc:creator>
  <cp:lastModifiedBy>Kenza BENNANI</cp:lastModifiedBy>
  <cp:revision>2</cp:revision>
  <dcterms:created xsi:type="dcterms:W3CDTF">2021-08-16T13:51:00Z</dcterms:created>
  <dcterms:modified xsi:type="dcterms:W3CDTF">2021-08-16T13:51:00Z</dcterms:modified>
</cp:coreProperties>
</file>