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3A" w:rsidRDefault="006B193A" w:rsidP="006B193A">
      <w:pPr>
        <w:jc w:val="center"/>
        <w:rPr>
          <w:rFonts w:asciiTheme="majorHAnsi" w:hAnsiTheme="majorHAnsi" w:cstheme="majorHAnsi"/>
          <w:b/>
          <w:bCs/>
          <w:color w:val="0070C0"/>
          <w:sz w:val="32"/>
          <w:szCs w:val="32"/>
        </w:rPr>
      </w:pPr>
    </w:p>
    <w:p w:rsidR="006B193A" w:rsidRDefault="006B193A" w:rsidP="006B193A">
      <w:pPr>
        <w:jc w:val="center"/>
        <w:rPr>
          <w:rFonts w:asciiTheme="majorHAnsi" w:hAnsiTheme="majorHAnsi" w:cstheme="majorHAnsi"/>
          <w:b/>
          <w:bCs/>
          <w:color w:val="0070C0"/>
          <w:sz w:val="32"/>
          <w:szCs w:val="32"/>
        </w:rPr>
      </w:pPr>
      <w:r w:rsidRPr="006B193A">
        <w:rPr>
          <w:rFonts w:asciiTheme="majorHAnsi" w:hAnsiTheme="majorHAnsi" w:cstheme="majorHAnsi"/>
          <w:b/>
          <w:bCs/>
          <w:noProof/>
          <w:color w:val="0070C0"/>
          <w:sz w:val="32"/>
          <w:szCs w:val="32"/>
          <w:lang w:eastAsia="fr-FR"/>
        </w:rPr>
        <w:drawing>
          <wp:inline distT="0" distB="0" distL="0" distR="0">
            <wp:extent cx="3573800" cy="589982"/>
            <wp:effectExtent l="0" t="0" r="7620" b="635"/>
            <wp:docPr id="1" name="Image 1" descr="C:\Users\asma.rihane\Downloads\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ma.rihane\Downloads\log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1290" cy="592869"/>
                    </a:xfrm>
                    <a:prstGeom prst="rect">
                      <a:avLst/>
                    </a:prstGeom>
                    <a:noFill/>
                    <a:ln>
                      <a:noFill/>
                    </a:ln>
                  </pic:spPr>
                </pic:pic>
              </a:graphicData>
            </a:graphic>
          </wp:inline>
        </w:drawing>
      </w:r>
    </w:p>
    <w:p w:rsidR="00CB4D92" w:rsidRDefault="00CB4D92" w:rsidP="006B193A">
      <w:pPr>
        <w:jc w:val="center"/>
        <w:rPr>
          <w:rFonts w:asciiTheme="majorHAnsi" w:hAnsiTheme="majorHAnsi" w:cstheme="majorHAnsi"/>
          <w:b/>
          <w:bCs/>
          <w:color w:val="0070C0"/>
          <w:sz w:val="32"/>
          <w:szCs w:val="32"/>
        </w:rPr>
      </w:pPr>
    </w:p>
    <w:p w:rsidR="00B57DE6" w:rsidRDefault="00B360ED" w:rsidP="000D3A01">
      <w:pPr>
        <w:jc w:val="center"/>
        <w:rPr>
          <w:rFonts w:asciiTheme="majorHAnsi" w:hAnsiTheme="majorHAnsi" w:cstheme="majorHAnsi"/>
          <w:b/>
          <w:bCs/>
          <w:color w:val="0070C0"/>
          <w:sz w:val="32"/>
          <w:szCs w:val="32"/>
        </w:rPr>
      </w:pPr>
      <w:r>
        <w:rPr>
          <w:rFonts w:asciiTheme="majorHAnsi" w:hAnsiTheme="majorHAnsi" w:cstheme="majorHAnsi"/>
          <w:b/>
          <w:bCs/>
          <w:color w:val="0070C0"/>
          <w:sz w:val="32"/>
          <w:szCs w:val="32"/>
        </w:rPr>
        <w:t xml:space="preserve">Termes de Référence – </w:t>
      </w:r>
      <w:r w:rsidR="00B57DE6">
        <w:rPr>
          <w:rFonts w:asciiTheme="majorHAnsi" w:hAnsiTheme="majorHAnsi" w:cstheme="majorHAnsi"/>
          <w:b/>
          <w:bCs/>
          <w:color w:val="0070C0"/>
          <w:sz w:val="32"/>
          <w:szCs w:val="32"/>
        </w:rPr>
        <w:t>Expertise pour l’é</w:t>
      </w:r>
      <w:r w:rsidRPr="00B360ED">
        <w:rPr>
          <w:rFonts w:asciiTheme="majorHAnsi" w:hAnsiTheme="majorHAnsi" w:cstheme="majorHAnsi"/>
          <w:b/>
          <w:bCs/>
          <w:color w:val="0070C0"/>
          <w:sz w:val="32"/>
          <w:szCs w:val="32"/>
        </w:rPr>
        <w:t xml:space="preserve">laboration d’un guide </w:t>
      </w:r>
      <w:r w:rsidR="000D3A01">
        <w:rPr>
          <w:rFonts w:asciiTheme="majorHAnsi" w:hAnsiTheme="majorHAnsi" w:cstheme="majorHAnsi"/>
          <w:b/>
          <w:bCs/>
          <w:color w:val="0070C0"/>
          <w:sz w:val="32"/>
          <w:szCs w:val="32"/>
        </w:rPr>
        <w:t xml:space="preserve">pratique de communication pour </w:t>
      </w:r>
    </w:p>
    <w:p w:rsidR="001C3565" w:rsidRPr="000D3A01" w:rsidRDefault="000D3A01" w:rsidP="000D3A01">
      <w:pPr>
        <w:jc w:val="center"/>
        <w:rPr>
          <w:rFonts w:asciiTheme="majorHAnsi" w:hAnsiTheme="majorHAnsi" w:cstheme="majorHAnsi"/>
          <w:b/>
          <w:bCs/>
          <w:color w:val="0070C0"/>
          <w:sz w:val="32"/>
          <w:szCs w:val="32"/>
        </w:rPr>
      </w:pPr>
      <w:proofErr w:type="gramStart"/>
      <w:r w:rsidRPr="000D3A01">
        <w:rPr>
          <w:rFonts w:asciiTheme="majorHAnsi" w:hAnsiTheme="majorHAnsi" w:cstheme="majorHAnsi"/>
          <w:b/>
          <w:bCs/>
          <w:color w:val="0070C0"/>
          <w:sz w:val="32"/>
          <w:szCs w:val="32"/>
        </w:rPr>
        <w:t>les</w:t>
      </w:r>
      <w:proofErr w:type="gramEnd"/>
      <w:r w:rsidRPr="000D3A01">
        <w:rPr>
          <w:rFonts w:asciiTheme="majorHAnsi" w:hAnsiTheme="majorHAnsi" w:cstheme="majorHAnsi"/>
          <w:b/>
          <w:bCs/>
          <w:color w:val="0070C0"/>
          <w:sz w:val="32"/>
          <w:szCs w:val="32"/>
        </w:rPr>
        <w:t xml:space="preserve"> enquêteurs et les fonctionnaires de l’INS</w:t>
      </w:r>
    </w:p>
    <w:p w:rsidR="001C3565" w:rsidRPr="00B96BEE" w:rsidRDefault="001C3565" w:rsidP="001C3565">
      <w:pPr>
        <w:jc w:val="both"/>
        <w:rPr>
          <w:b/>
          <w:bCs/>
        </w:rPr>
      </w:pPr>
    </w:p>
    <w:p w:rsidR="001C3565" w:rsidRPr="0089794B" w:rsidRDefault="001C3565" w:rsidP="001C3565">
      <w:pPr>
        <w:pStyle w:val="Paragraphedeliste"/>
        <w:numPr>
          <w:ilvl w:val="0"/>
          <w:numId w:val="1"/>
        </w:numPr>
        <w:jc w:val="both"/>
        <w:rPr>
          <w:rFonts w:cstheme="minorHAnsi"/>
          <w:b/>
          <w:bCs/>
          <w:color w:val="002060"/>
          <w:sz w:val="24"/>
          <w:szCs w:val="24"/>
        </w:rPr>
      </w:pPr>
      <w:r w:rsidRPr="0089794B">
        <w:rPr>
          <w:rFonts w:cstheme="minorHAnsi"/>
          <w:b/>
          <w:bCs/>
          <w:color w:val="002060"/>
          <w:sz w:val="24"/>
          <w:szCs w:val="24"/>
        </w:rPr>
        <w:t>Contexte général</w:t>
      </w:r>
    </w:p>
    <w:p w:rsidR="001C3565" w:rsidRPr="00F8387A" w:rsidRDefault="001C3565" w:rsidP="001C3565">
      <w:pPr>
        <w:jc w:val="both"/>
      </w:pPr>
      <w:r w:rsidRPr="00F8387A">
        <w:t xml:space="preserve">Depuis le 1er février 2023, Expertise France met en œuvre le projet « Savoirs Éco en Tunisie » sur un financement de l’Union européenne de 4,5 M d’EUR pour une durée de 3 ans. L’objectif du Projet est d’appuyer le débat public sur les enjeux économiques en Tunisie à travers un renforcement des Structures Productrices de Savoirs Économiques (SPSE) : i) les structures publiques d’analyse économique et d’aide à la décision ; ii) les laboratoires de recherche en économie ; et iii) les </w:t>
      </w:r>
      <w:proofErr w:type="spellStart"/>
      <w:r w:rsidRPr="00F8387A">
        <w:t>think</w:t>
      </w:r>
      <w:proofErr w:type="spellEnd"/>
      <w:r w:rsidRPr="00F8387A">
        <w:t xml:space="preserve">-tanks issus de la société civile. Le Projet intervient sous la forme d’appuis techniques et financiers déclinés autour de trois composantes : </w:t>
      </w:r>
      <w:r w:rsidRPr="00F8387A">
        <w:sym w:font="Wingdings" w:char="F081"/>
      </w:r>
      <w:r w:rsidRPr="00F8387A">
        <w:t xml:space="preserve"> renforcement des capacités des SPSE ; </w:t>
      </w:r>
      <w:r w:rsidRPr="00F8387A">
        <w:sym w:font="Wingdings" w:char="F082"/>
      </w:r>
      <w:r w:rsidRPr="00F8387A">
        <w:t xml:space="preserve"> accompagnement à la production d’études/</w:t>
      </w:r>
      <w:proofErr w:type="spellStart"/>
      <w:r w:rsidRPr="00F8387A">
        <w:t>policy</w:t>
      </w:r>
      <w:proofErr w:type="spellEnd"/>
      <w:r w:rsidRPr="00F8387A">
        <w:t xml:space="preserve"> </w:t>
      </w:r>
      <w:proofErr w:type="spellStart"/>
      <w:r w:rsidRPr="00F8387A">
        <w:t>briefs</w:t>
      </w:r>
      <w:proofErr w:type="spellEnd"/>
      <w:r w:rsidRPr="00F8387A">
        <w:t xml:space="preserve"> par les SPSE ; </w:t>
      </w:r>
      <w:r w:rsidRPr="00F8387A">
        <w:sym w:font="Wingdings" w:char="F083"/>
      </w:r>
      <w:r w:rsidRPr="00F8387A">
        <w:t xml:space="preserve"> appuis à la diffusion, vulgarisation et expérimentation des études/</w:t>
      </w:r>
      <w:proofErr w:type="spellStart"/>
      <w:r w:rsidRPr="00F8387A">
        <w:t>policy</w:t>
      </w:r>
      <w:proofErr w:type="spellEnd"/>
      <w:r w:rsidRPr="00F8387A">
        <w:t xml:space="preserve"> </w:t>
      </w:r>
      <w:proofErr w:type="spellStart"/>
      <w:r w:rsidRPr="00F8387A">
        <w:t>briefs</w:t>
      </w:r>
      <w:proofErr w:type="spellEnd"/>
      <w:r w:rsidRPr="00F8387A">
        <w:t xml:space="preserve"> produits. Pour accompagner la mise en œuvre des activités, Expertise France travaille avec quatre partenaires de mise en œuvre : la Fondation pour les études et recherches sur le développement international (FERDI) ; le Global </w:t>
      </w:r>
      <w:proofErr w:type="spellStart"/>
      <w:r w:rsidRPr="00F8387A">
        <w:t>Development</w:t>
      </w:r>
      <w:proofErr w:type="spellEnd"/>
      <w:r w:rsidRPr="00F8387A">
        <w:t xml:space="preserve"> Network (GDN) ; France Stratégie et l’INSEE.  </w:t>
      </w:r>
    </w:p>
    <w:p w:rsidR="001C3565" w:rsidRDefault="001C3565" w:rsidP="001C3565">
      <w:pPr>
        <w:jc w:val="both"/>
      </w:pPr>
      <w:r w:rsidRPr="00F8387A">
        <w:t>Le ministère de l’Économie et de la planification (</w:t>
      </w:r>
      <w:hyperlink r:id="rId8" w:history="1">
        <w:r w:rsidRPr="00F8387A">
          <w:rPr>
            <w:color w:val="0563C1" w:themeColor="hyperlink"/>
            <w:u w:val="single"/>
          </w:rPr>
          <w:t>MEP</w:t>
        </w:r>
      </w:hyperlink>
      <w:r w:rsidRPr="00F8387A">
        <w:t>) et le ministère de l’Enseignement supérieur et de la recherche scientifique (</w:t>
      </w:r>
      <w:hyperlink r:id="rId9" w:history="1">
        <w:r w:rsidRPr="00F8387A">
          <w:rPr>
            <w:color w:val="0563C1" w:themeColor="hyperlink"/>
            <w:u w:val="single"/>
          </w:rPr>
          <w:t>MESRS</w:t>
        </w:r>
      </w:hyperlink>
      <w:r w:rsidRPr="00F8387A">
        <w:t xml:space="preserve">) sont les deux contreparties institutionnelles du projet. En mars 2025, le projet : i) apporte un soutien financier à 12 structures associatives de type </w:t>
      </w:r>
      <w:proofErr w:type="spellStart"/>
      <w:r w:rsidRPr="00F8387A">
        <w:t>think</w:t>
      </w:r>
      <w:proofErr w:type="spellEnd"/>
      <w:r w:rsidRPr="00F8387A">
        <w:t xml:space="preserve"> tank</w:t>
      </w:r>
      <w:r w:rsidRPr="00F8387A">
        <w:rPr>
          <w:vertAlign w:val="superscript"/>
        </w:rPr>
        <w:footnoteReference w:id="1"/>
      </w:r>
      <w:r w:rsidRPr="00F8387A">
        <w:t> ; ii) collabore avec 3 structures de recherche, et iii) apporte de l’assistance technique à deux structures publiques (Institut tunisien de la compétitivité et des études quantitatives (</w:t>
      </w:r>
      <w:hyperlink r:id="rId10" w:history="1">
        <w:r w:rsidRPr="00F8387A">
          <w:rPr>
            <w:color w:val="0563C1" w:themeColor="hyperlink"/>
            <w:u w:val="single"/>
          </w:rPr>
          <w:t>ITCEQ</w:t>
        </w:r>
      </w:hyperlink>
      <w:r w:rsidRPr="00F8387A">
        <w:t>) et Institut national de la statistique (</w:t>
      </w:r>
      <w:hyperlink r:id="rId11" w:history="1">
        <w:r w:rsidRPr="00F8387A">
          <w:rPr>
            <w:color w:val="0563C1" w:themeColor="hyperlink"/>
            <w:u w:val="single"/>
          </w:rPr>
          <w:t>INS</w:t>
        </w:r>
      </w:hyperlink>
      <w:r>
        <w:t xml:space="preserve">). </w:t>
      </w:r>
    </w:p>
    <w:p w:rsidR="00B360ED" w:rsidRDefault="001C3565" w:rsidP="00B360ED">
      <w:r>
        <w:t xml:space="preserve">Dans le </w:t>
      </w:r>
      <w:r w:rsidR="00CA43FF">
        <w:t xml:space="preserve">cadre de l’assistance </w:t>
      </w:r>
      <w:r>
        <w:t>apportée à l’INS en matière de renforcement des capacités en communication,</w:t>
      </w:r>
      <w:r w:rsidR="00B360ED" w:rsidRPr="00B360ED">
        <w:t xml:space="preserve"> il apparaît essentiel de consolider les pratiques professionnelles liées aux opérations de collecte de données.</w:t>
      </w:r>
      <w:r>
        <w:t xml:space="preserve"> </w:t>
      </w:r>
      <w:r w:rsidR="00B360ED">
        <w:t>L’INS joue un rôle central dans la production et la diffusion des statistiques officielles en Tunisie. La qualité et la fiabilité des données statistiques reposent en grande partie sur la qualité des opérations de collecte réalisées auprès des ménages et des entreprises.</w:t>
      </w:r>
    </w:p>
    <w:p w:rsidR="00B360ED" w:rsidRDefault="00B360ED" w:rsidP="00B360ED">
      <w:r>
        <w:t>Les agents de collecte de terrain constituent l’interface directe entre l’institution et les répondants. Leur capacité à instaurer un climat de confiance, à communiquer de manière professionnelle et à garantir la confidentialité des informations collectées est essentielle pour assurer la fiabilité des données recueillies et la protection des données personnelles des répondants.</w:t>
      </w:r>
      <w:r w:rsidRPr="00B360ED">
        <w:t xml:space="preserve"> </w:t>
      </w:r>
    </w:p>
    <w:p w:rsidR="00B360ED" w:rsidRDefault="00B360ED" w:rsidP="00B360ED"/>
    <w:p w:rsidR="00B360ED" w:rsidRDefault="00B360ED" w:rsidP="00B360ED">
      <w:r>
        <w:t>Dans ce contexte, l’INS souhaite se doter d’un guide pratique de communication éthique et de protection des données personnelles, destiné aux agents de collecte impliqués dans les enquêtes statistiques.</w:t>
      </w:r>
    </w:p>
    <w:p w:rsidR="00CA43FF" w:rsidRDefault="00B360ED" w:rsidP="00B360ED">
      <w:r>
        <w:t>Ce guide devra constituer un outil opérationnel de référence, permettant d’harmoniser les pratiques de communication des agents, de renforcer la confiance des répondants et de garantir le respect des règles de confidentialité et de protection des données.</w:t>
      </w:r>
    </w:p>
    <w:p w:rsidR="00B360ED" w:rsidRDefault="00B360ED" w:rsidP="00B360ED"/>
    <w:p w:rsidR="001C3565" w:rsidRPr="0089794B" w:rsidRDefault="00B360ED" w:rsidP="001C3565">
      <w:pPr>
        <w:rPr>
          <w:b/>
          <w:bCs/>
          <w:color w:val="002060"/>
          <w:sz w:val="24"/>
          <w:szCs w:val="24"/>
        </w:rPr>
      </w:pPr>
      <w:r>
        <w:rPr>
          <w:b/>
          <w:bCs/>
          <w:color w:val="002060"/>
          <w:sz w:val="24"/>
          <w:szCs w:val="24"/>
        </w:rPr>
        <w:t>2. Objectifs de la mission</w:t>
      </w:r>
    </w:p>
    <w:p w:rsidR="00C75C8E" w:rsidRDefault="00B360ED" w:rsidP="00C75C8E">
      <w:r>
        <w:t xml:space="preserve">L’objectif de la mission </w:t>
      </w:r>
      <w:r w:rsidR="00C75C8E">
        <w:t>est d’élaborer un guide de communication pour les enquêteurs et fonctionnaires de l’INS, pratique, synthétique et directement utilisable sur le terrain et en contexte interne.</w:t>
      </w:r>
    </w:p>
    <w:p w:rsidR="00C75C8E" w:rsidRDefault="00C75C8E" w:rsidP="00C75C8E">
      <w:r>
        <w:t xml:space="preserve"> Objectifs spécifiques</w:t>
      </w:r>
    </w:p>
    <w:p w:rsidR="00C75C8E" w:rsidRDefault="00C75C8E" w:rsidP="00C75C8E">
      <w:pPr>
        <w:pStyle w:val="Paragraphedeliste"/>
        <w:numPr>
          <w:ilvl w:val="0"/>
          <w:numId w:val="12"/>
        </w:numPr>
      </w:pPr>
      <w:r>
        <w:t>Clarifier les principes éthiques et le code de conduite applicable à tous les agents.</w:t>
      </w:r>
    </w:p>
    <w:p w:rsidR="00C75C8E" w:rsidRDefault="00C75C8E" w:rsidP="00C75C8E">
      <w:pPr>
        <w:pStyle w:val="Paragraphedeliste"/>
        <w:numPr>
          <w:ilvl w:val="0"/>
          <w:numId w:val="12"/>
        </w:numPr>
      </w:pPr>
      <w:r>
        <w:t>Définir les bonnes pratiques de communication avec le public et en situation de terrain.</w:t>
      </w:r>
    </w:p>
    <w:p w:rsidR="00C75C8E" w:rsidRDefault="00C75C8E" w:rsidP="00C75C8E">
      <w:pPr>
        <w:pStyle w:val="Paragraphedeliste"/>
        <w:numPr>
          <w:ilvl w:val="0"/>
          <w:numId w:val="12"/>
        </w:numPr>
      </w:pPr>
      <w:r>
        <w:t>Décrire les règles de communication interne et externe pour les fonctionnaires.</w:t>
      </w:r>
    </w:p>
    <w:p w:rsidR="00C75C8E" w:rsidRDefault="00C75C8E" w:rsidP="00C75C8E">
      <w:pPr>
        <w:pStyle w:val="Paragraphedeliste"/>
        <w:numPr>
          <w:ilvl w:val="0"/>
          <w:numId w:val="12"/>
        </w:numPr>
      </w:pPr>
      <w:r>
        <w:t>Fournir des outils pratiques (scripts, fiches mémo…) et des exemples concrets.</w:t>
      </w:r>
    </w:p>
    <w:p w:rsidR="00C75C8E" w:rsidRDefault="00C75C8E" w:rsidP="00C75C8E">
      <w:pPr>
        <w:pStyle w:val="Paragraphedeliste"/>
        <w:numPr>
          <w:ilvl w:val="0"/>
          <w:numId w:val="12"/>
        </w:numPr>
      </w:pPr>
      <w:r>
        <w:t>Décrire les modalités de gestion des situations difficiles et des risques.</w:t>
      </w:r>
    </w:p>
    <w:p w:rsidR="00B360ED" w:rsidRDefault="00B360ED" w:rsidP="00B360ED">
      <w:pPr>
        <w:pStyle w:val="Paragraphedeliste"/>
      </w:pPr>
    </w:p>
    <w:p w:rsidR="00C75C8E" w:rsidRPr="00C75C8E" w:rsidRDefault="00EF2650" w:rsidP="00C75C8E">
      <w:pPr>
        <w:pStyle w:val="Paragraphedeliste"/>
        <w:numPr>
          <w:ilvl w:val="0"/>
          <w:numId w:val="4"/>
        </w:numPr>
        <w:rPr>
          <w:b/>
          <w:bCs/>
          <w:color w:val="002060"/>
          <w:sz w:val="24"/>
          <w:szCs w:val="24"/>
        </w:rPr>
      </w:pPr>
      <w:r>
        <w:rPr>
          <w:b/>
          <w:bCs/>
          <w:color w:val="002060"/>
          <w:sz w:val="24"/>
          <w:szCs w:val="24"/>
        </w:rPr>
        <w:t xml:space="preserve">Contenu et </w:t>
      </w:r>
      <w:r w:rsidR="00C75C8E">
        <w:rPr>
          <w:b/>
          <w:bCs/>
          <w:color w:val="002060"/>
          <w:sz w:val="24"/>
          <w:szCs w:val="24"/>
        </w:rPr>
        <w:t>Structure du guide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6"/>
        <w:gridCol w:w="1929"/>
        <w:gridCol w:w="4307"/>
      </w:tblGrid>
      <w:tr w:rsidR="00C75C8E" w:rsidRPr="00C75C8E" w:rsidTr="00C75C8E">
        <w:trPr>
          <w:tblHeader/>
          <w:tblCellSpacing w:w="15" w:type="dxa"/>
        </w:trPr>
        <w:tc>
          <w:tcPr>
            <w:tcW w:w="0" w:type="auto"/>
            <w:vAlign w:val="center"/>
            <w:hideMark/>
          </w:tcPr>
          <w:p w:rsidR="00C75C8E" w:rsidRPr="00C75C8E" w:rsidRDefault="00C75C8E" w:rsidP="00C75C8E">
            <w:pPr>
              <w:rPr>
                <w:b/>
                <w:bCs/>
                <w:color w:val="002060"/>
                <w:sz w:val="24"/>
                <w:szCs w:val="24"/>
              </w:rPr>
            </w:pPr>
            <w:r w:rsidRPr="00C75C8E">
              <w:rPr>
                <w:b/>
                <w:bCs/>
                <w:color w:val="002060"/>
                <w:sz w:val="24"/>
                <w:szCs w:val="24"/>
              </w:rPr>
              <w:t>Partie</w:t>
            </w:r>
          </w:p>
        </w:tc>
        <w:tc>
          <w:tcPr>
            <w:tcW w:w="0" w:type="auto"/>
            <w:vAlign w:val="center"/>
            <w:hideMark/>
          </w:tcPr>
          <w:p w:rsidR="00C75C8E" w:rsidRPr="00C75C8E" w:rsidRDefault="00C75C8E" w:rsidP="00C75C8E">
            <w:pPr>
              <w:rPr>
                <w:b/>
                <w:bCs/>
                <w:color w:val="002060"/>
                <w:sz w:val="24"/>
                <w:szCs w:val="24"/>
              </w:rPr>
            </w:pPr>
            <w:r w:rsidRPr="00C75C8E">
              <w:rPr>
                <w:b/>
                <w:bCs/>
                <w:color w:val="002060"/>
                <w:sz w:val="24"/>
                <w:szCs w:val="24"/>
              </w:rPr>
              <w:t>Public cible principal</w:t>
            </w:r>
            <w:r>
              <w:rPr>
                <w:b/>
                <w:bCs/>
                <w:color w:val="002060"/>
                <w:sz w:val="24"/>
                <w:szCs w:val="24"/>
              </w:rPr>
              <w:t xml:space="preserve">                     </w:t>
            </w:r>
          </w:p>
        </w:tc>
        <w:tc>
          <w:tcPr>
            <w:tcW w:w="0" w:type="auto"/>
            <w:vAlign w:val="center"/>
            <w:hideMark/>
          </w:tcPr>
          <w:p w:rsidR="00C75C8E" w:rsidRPr="00C75C8E" w:rsidRDefault="00C75C8E" w:rsidP="00C75C8E">
            <w:pPr>
              <w:rPr>
                <w:b/>
                <w:bCs/>
                <w:color w:val="002060"/>
                <w:sz w:val="24"/>
                <w:szCs w:val="24"/>
              </w:rPr>
            </w:pPr>
            <w:r w:rsidRPr="00C75C8E">
              <w:rPr>
                <w:b/>
                <w:bCs/>
                <w:color w:val="002060"/>
                <w:sz w:val="24"/>
                <w:szCs w:val="24"/>
              </w:rPr>
              <w:t>Contenu synthétique</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1. Présentation générale</w:t>
            </w:r>
          </w:p>
        </w:tc>
        <w:tc>
          <w:tcPr>
            <w:tcW w:w="0" w:type="auto"/>
            <w:vAlign w:val="center"/>
            <w:hideMark/>
          </w:tcPr>
          <w:p w:rsidR="00C75C8E" w:rsidRPr="00C75C8E" w:rsidRDefault="00C75C8E" w:rsidP="00C75C8E">
            <w:pPr>
              <w:rPr>
                <w:b/>
                <w:bCs/>
                <w:sz w:val="24"/>
                <w:szCs w:val="24"/>
              </w:rPr>
            </w:pPr>
            <w:r w:rsidRPr="00C75C8E">
              <w:rPr>
                <w:b/>
                <w:bCs/>
                <w:sz w:val="24"/>
                <w:szCs w:val="24"/>
              </w:rPr>
              <w:t>Tous</w:t>
            </w:r>
          </w:p>
        </w:tc>
        <w:tc>
          <w:tcPr>
            <w:tcW w:w="0" w:type="auto"/>
            <w:vAlign w:val="center"/>
            <w:hideMark/>
          </w:tcPr>
          <w:p w:rsidR="00C75C8E" w:rsidRPr="00C75C8E" w:rsidRDefault="00C75C8E" w:rsidP="00C75C8E">
            <w:pPr>
              <w:rPr>
                <w:b/>
                <w:bCs/>
                <w:sz w:val="24"/>
                <w:szCs w:val="24"/>
              </w:rPr>
            </w:pPr>
            <w:r w:rsidRPr="00C75C8E">
              <w:rPr>
                <w:b/>
                <w:bCs/>
                <w:sz w:val="24"/>
                <w:szCs w:val="24"/>
              </w:rPr>
              <w:t>Rôle et missions de l’INS, objectifs et utilité du guide.</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2. Code de conduite et éthique</w:t>
            </w:r>
          </w:p>
        </w:tc>
        <w:tc>
          <w:tcPr>
            <w:tcW w:w="0" w:type="auto"/>
            <w:vAlign w:val="center"/>
            <w:hideMark/>
          </w:tcPr>
          <w:p w:rsidR="00C75C8E" w:rsidRPr="00C75C8E" w:rsidRDefault="00C75C8E" w:rsidP="00C75C8E">
            <w:pPr>
              <w:rPr>
                <w:b/>
                <w:bCs/>
                <w:sz w:val="24"/>
                <w:szCs w:val="24"/>
              </w:rPr>
            </w:pPr>
            <w:r w:rsidRPr="00C75C8E">
              <w:rPr>
                <w:b/>
                <w:bCs/>
                <w:sz w:val="24"/>
                <w:szCs w:val="24"/>
              </w:rPr>
              <w:t>Enquêteurs + fonctionnaires</w:t>
            </w:r>
          </w:p>
        </w:tc>
        <w:tc>
          <w:tcPr>
            <w:tcW w:w="0" w:type="auto"/>
            <w:vAlign w:val="center"/>
            <w:hideMark/>
          </w:tcPr>
          <w:p w:rsidR="00C75C8E" w:rsidRPr="00C75C8E" w:rsidRDefault="00C75C8E" w:rsidP="00C75C8E">
            <w:pPr>
              <w:rPr>
                <w:b/>
                <w:bCs/>
                <w:sz w:val="24"/>
                <w:szCs w:val="24"/>
              </w:rPr>
            </w:pPr>
            <w:r w:rsidRPr="00C75C8E">
              <w:rPr>
                <w:b/>
                <w:bCs/>
                <w:sz w:val="24"/>
                <w:szCs w:val="24"/>
              </w:rPr>
              <w:t>Confid</w:t>
            </w:r>
            <w:r>
              <w:rPr>
                <w:b/>
                <w:bCs/>
                <w:sz w:val="24"/>
                <w:szCs w:val="24"/>
              </w:rPr>
              <w:t>entialité, neutralité, respect.</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3. Communication des enquêteurs avec le public</w:t>
            </w:r>
          </w:p>
        </w:tc>
        <w:tc>
          <w:tcPr>
            <w:tcW w:w="0" w:type="auto"/>
            <w:vAlign w:val="center"/>
            <w:hideMark/>
          </w:tcPr>
          <w:p w:rsidR="00C75C8E" w:rsidRPr="00C75C8E" w:rsidRDefault="00C75C8E" w:rsidP="00C75C8E">
            <w:pPr>
              <w:rPr>
                <w:b/>
                <w:bCs/>
                <w:sz w:val="24"/>
                <w:szCs w:val="24"/>
              </w:rPr>
            </w:pPr>
            <w:r w:rsidRPr="00C75C8E">
              <w:rPr>
                <w:b/>
                <w:bCs/>
                <w:sz w:val="24"/>
                <w:szCs w:val="24"/>
              </w:rPr>
              <w:t>Enquêteurs</w:t>
            </w:r>
          </w:p>
        </w:tc>
        <w:tc>
          <w:tcPr>
            <w:tcW w:w="0" w:type="auto"/>
            <w:vAlign w:val="center"/>
            <w:hideMark/>
          </w:tcPr>
          <w:p w:rsidR="00C75C8E" w:rsidRPr="00C75C8E" w:rsidRDefault="00C75C8E" w:rsidP="00C75C8E">
            <w:pPr>
              <w:rPr>
                <w:b/>
                <w:bCs/>
                <w:sz w:val="24"/>
                <w:szCs w:val="24"/>
              </w:rPr>
            </w:pPr>
            <w:r w:rsidRPr="00C75C8E">
              <w:rPr>
                <w:b/>
                <w:bCs/>
                <w:sz w:val="24"/>
                <w:szCs w:val="24"/>
              </w:rPr>
              <w:t>Étapes avant, pendant et après l’entretien ; scripts types ; gestion des refus et des cas sensibles.</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4. Communication interne et externe des fonctionnaires</w:t>
            </w:r>
          </w:p>
        </w:tc>
        <w:tc>
          <w:tcPr>
            <w:tcW w:w="0" w:type="auto"/>
            <w:vAlign w:val="center"/>
            <w:hideMark/>
          </w:tcPr>
          <w:p w:rsidR="00C75C8E" w:rsidRPr="00C75C8E" w:rsidRDefault="00C75C8E" w:rsidP="00C75C8E">
            <w:pPr>
              <w:rPr>
                <w:b/>
                <w:bCs/>
                <w:sz w:val="24"/>
                <w:szCs w:val="24"/>
              </w:rPr>
            </w:pPr>
            <w:r w:rsidRPr="00C75C8E">
              <w:rPr>
                <w:b/>
                <w:bCs/>
                <w:sz w:val="24"/>
                <w:szCs w:val="24"/>
              </w:rPr>
              <w:t>Fonctionnaires</w:t>
            </w:r>
          </w:p>
        </w:tc>
        <w:tc>
          <w:tcPr>
            <w:tcW w:w="0" w:type="auto"/>
            <w:vAlign w:val="center"/>
            <w:hideMark/>
          </w:tcPr>
          <w:p w:rsidR="00C75C8E" w:rsidRPr="00C75C8E" w:rsidRDefault="00C75C8E" w:rsidP="00C75C8E">
            <w:pPr>
              <w:rPr>
                <w:b/>
                <w:bCs/>
                <w:sz w:val="24"/>
                <w:szCs w:val="24"/>
              </w:rPr>
            </w:pPr>
            <w:r w:rsidRPr="00C75C8E">
              <w:rPr>
                <w:b/>
                <w:bCs/>
                <w:sz w:val="24"/>
                <w:szCs w:val="24"/>
              </w:rPr>
              <w:t>Principes de communication interne, rôle des managers, canaux officiels, règles de prise de parole externe.</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5. Gestion des situations difficiles et des risques</w:t>
            </w:r>
          </w:p>
        </w:tc>
        <w:tc>
          <w:tcPr>
            <w:tcW w:w="0" w:type="auto"/>
            <w:vAlign w:val="center"/>
            <w:hideMark/>
          </w:tcPr>
          <w:p w:rsidR="00C75C8E" w:rsidRPr="00C75C8E" w:rsidRDefault="00C75C8E" w:rsidP="00C75C8E">
            <w:pPr>
              <w:rPr>
                <w:b/>
                <w:bCs/>
                <w:sz w:val="24"/>
                <w:szCs w:val="24"/>
              </w:rPr>
            </w:pPr>
            <w:r w:rsidRPr="00C75C8E">
              <w:rPr>
                <w:b/>
                <w:bCs/>
                <w:sz w:val="24"/>
                <w:szCs w:val="24"/>
              </w:rPr>
              <w:t>Enquêteurs + superviseurs</w:t>
            </w:r>
          </w:p>
        </w:tc>
        <w:tc>
          <w:tcPr>
            <w:tcW w:w="0" w:type="auto"/>
            <w:vAlign w:val="center"/>
            <w:hideMark/>
          </w:tcPr>
          <w:p w:rsidR="00C75C8E" w:rsidRPr="00C75C8E" w:rsidRDefault="00C75C8E" w:rsidP="00C75C8E">
            <w:pPr>
              <w:rPr>
                <w:b/>
                <w:bCs/>
                <w:sz w:val="24"/>
                <w:szCs w:val="24"/>
              </w:rPr>
            </w:pPr>
            <w:r w:rsidRPr="00C75C8E">
              <w:rPr>
                <w:b/>
                <w:bCs/>
                <w:sz w:val="24"/>
                <w:szCs w:val="24"/>
              </w:rPr>
              <w:t>Fiches réflexes, signalement des incidents, sécurité et prévention des conflits.</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lastRenderedPageBreak/>
              <w:t>6. Outils pratiques</w:t>
            </w:r>
          </w:p>
        </w:tc>
        <w:tc>
          <w:tcPr>
            <w:tcW w:w="0" w:type="auto"/>
            <w:vAlign w:val="center"/>
            <w:hideMark/>
          </w:tcPr>
          <w:p w:rsidR="00C75C8E" w:rsidRPr="00C75C8E" w:rsidRDefault="00C75C8E" w:rsidP="00C75C8E">
            <w:pPr>
              <w:rPr>
                <w:b/>
                <w:bCs/>
                <w:sz w:val="24"/>
                <w:szCs w:val="24"/>
              </w:rPr>
            </w:pPr>
            <w:r w:rsidRPr="00C75C8E">
              <w:rPr>
                <w:b/>
                <w:bCs/>
                <w:sz w:val="24"/>
                <w:szCs w:val="24"/>
              </w:rPr>
              <w:t>Tous</w:t>
            </w:r>
          </w:p>
        </w:tc>
        <w:tc>
          <w:tcPr>
            <w:tcW w:w="0" w:type="auto"/>
            <w:vAlign w:val="center"/>
            <w:hideMark/>
          </w:tcPr>
          <w:p w:rsidR="00C75C8E" w:rsidRPr="00C75C8E" w:rsidRDefault="00C75C8E" w:rsidP="00C75C8E">
            <w:pPr>
              <w:rPr>
                <w:b/>
                <w:bCs/>
                <w:sz w:val="24"/>
                <w:szCs w:val="24"/>
              </w:rPr>
            </w:pPr>
            <w:r w:rsidRPr="00C75C8E">
              <w:rPr>
                <w:b/>
                <w:bCs/>
                <w:sz w:val="24"/>
                <w:szCs w:val="24"/>
              </w:rPr>
              <w:t>Check-lists, modèles de documents, résumés visuels, fiches « à faire / à ne pas faire ».</w:t>
            </w:r>
          </w:p>
        </w:tc>
      </w:tr>
      <w:tr w:rsidR="00C75C8E" w:rsidRPr="00C75C8E" w:rsidTr="00C75C8E">
        <w:trPr>
          <w:tblCellSpacing w:w="15" w:type="dxa"/>
        </w:trPr>
        <w:tc>
          <w:tcPr>
            <w:tcW w:w="0" w:type="auto"/>
            <w:vAlign w:val="center"/>
            <w:hideMark/>
          </w:tcPr>
          <w:p w:rsidR="00C75C8E" w:rsidRPr="00C75C8E" w:rsidRDefault="00C75C8E" w:rsidP="00C75C8E">
            <w:pPr>
              <w:rPr>
                <w:b/>
                <w:bCs/>
                <w:sz w:val="24"/>
                <w:szCs w:val="24"/>
              </w:rPr>
            </w:pPr>
            <w:r w:rsidRPr="00C75C8E">
              <w:rPr>
                <w:b/>
                <w:bCs/>
                <w:sz w:val="24"/>
                <w:szCs w:val="24"/>
              </w:rPr>
              <w:t>7. Mise en œuvre et suivi</w:t>
            </w:r>
          </w:p>
        </w:tc>
        <w:tc>
          <w:tcPr>
            <w:tcW w:w="0" w:type="auto"/>
            <w:vAlign w:val="center"/>
            <w:hideMark/>
          </w:tcPr>
          <w:p w:rsidR="00C75C8E" w:rsidRPr="00C75C8E" w:rsidRDefault="00C75C8E" w:rsidP="00C75C8E">
            <w:pPr>
              <w:rPr>
                <w:b/>
                <w:bCs/>
                <w:sz w:val="24"/>
                <w:szCs w:val="24"/>
              </w:rPr>
            </w:pPr>
            <w:r w:rsidRPr="00C75C8E">
              <w:rPr>
                <w:b/>
                <w:bCs/>
                <w:sz w:val="24"/>
                <w:szCs w:val="24"/>
              </w:rPr>
              <w:t>Encadrement</w:t>
            </w:r>
          </w:p>
        </w:tc>
        <w:tc>
          <w:tcPr>
            <w:tcW w:w="0" w:type="auto"/>
            <w:vAlign w:val="center"/>
            <w:hideMark/>
          </w:tcPr>
          <w:p w:rsidR="00C75C8E" w:rsidRPr="00C75C8E" w:rsidRDefault="00C75C8E" w:rsidP="00C75C8E">
            <w:pPr>
              <w:rPr>
                <w:b/>
                <w:bCs/>
                <w:sz w:val="24"/>
                <w:szCs w:val="24"/>
              </w:rPr>
            </w:pPr>
            <w:r w:rsidRPr="00C75C8E">
              <w:rPr>
                <w:b/>
                <w:bCs/>
                <w:sz w:val="24"/>
                <w:szCs w:val="24"/>
              </w:rPr>
              <w:t>Intégration dans la formation initiale et continue, suivi, mécanisme de mise à jour du guide.</w:t>
            </w:r>
          </w:p>
        </w:tc>
      </w:tr>
    </w:tbl>
    <w:p w:rsidR="0089794B" w:rsidRDefault="0089794B" w:rsidP="0089794B">
      <w:pPr>
        <w:pStyle w:val="Paragraphedeliste"/>
      </w:pPr>
    </w:p>
    <w:p w:rsidR="0089794B" w:rsidRPr="0089794B" w:rsidRDefault="0089794B" w:rsidP="0089794B">
      <w:pPr>
        <w:pStyle w:val="Paragraphedeliste"/>
        <w:numPr>
          <w:ilvl w:val="0"/>
          <w:numId w:val="4"/>
        </w:numPr>
        <w:rPr>
          <w:b/>
          <w:bCs/>
          <w:color w:val="002060"/>
          <w:sz w:val="24"/>
          <w:szCs w:val="24"/>
        </w:rPr>
      </w:pPr>
      <w:r w:rsidRPr="0089794B">
        <w:rPr>
          <w:b/>
          <w:bCs/>
          <w:color w:val="002060"/>
          <w:sz w:val="24"/>
          <w:szCs w:val="24"/>
        </w:rPr>
        <w:t>Mission de l’expert</w:t>
      </w:r>
    </w:p>
    <w:p w:rsidR="00EF2650" w:rsidRDefault="000D3A01" w:rsidP="00EF2650">
      <w:pPr>
        <w:ind w:left="250"/>
      </w:pPr>
      <w:r>
        <w:t>L’expert</w:t>
      </w:r>
      <w:r w:rsidR="006B193A">
        <w:t xml:space="preserve"> (e)</w:t>
      </w:r>
      <w:r w:rsidR="000436B5">
        <w:t xml:space="preserve"> aura pour mission de :</w:t>
      </w:r>
    </w:p>
    <w:p w:rsidR="000436B5" w:rsidRPr="000436B5" w:rsidRDefault="000436B5" w:rsidP="000436B5">
      <w:pPr>
        <w:pStyle w:val="Paragraphedeliste"/>
        <w:numPr>
          <w:ilvl w:val="0"/>
          <w:numId w:val="17"/>
        </w:numPr>
        <w:rPr>
          <w:b/>
          <w:bCs/>
        </w:rPr>
      </w:pPr>
      <w:r w:rsidRPr="000436B5">
        <w:rPr>
          <w:b/>
          <w:bCs/>
        </w:rPr>
        <w:t>Conception et rédaction du guide</w:t>
      </w:r>
    </w:p>
    <w:p w:rsidR="000436B5" w:rsidRPr="000436B5" w:rsidRDefault="000436B5" w:rsidP="000436B5">
      <w:pPr>
        <w:pStyle w:val="Paragraphedeliste"/>
        <w:ind w:left="760"/>
        <w:rPr>
          <w:b/>
          <w:bCs/>
        </w:rPr>
      </w:pPr>
    </w:p>
    <w:p w:rsidR="000436B5" w:rsidRPr="000436B5" w:rsidRDefault="000436B5" w:rsidP="000436B5">
      <w:pPr>
        <w:pStyle w:val="Paragraphedeliste"/>
        <w:numPr>
          <w:ilvl w:val="0"/>
          <w:numId w:val="15"/>
        </w:numPr>
        <w:rPr>
          <w:b/>
          <w:bCs/>
        </w:rPr>
      </w:pPr>
      <w:r>
        <w:t>Produire un document pratique et synthétique, avec encadrés « à faire / à ne pas faire », exemples concrets et modèles réutilisables.</w:t>
      </w:r>
    </w:p>
    <w:p w:rsidR="000436B5" w:rsidRPr="000436B5" w:rsidRDefault="000436B5" w:rsidP="000436B5">
      <w:pPr>
        <w:pStyle w:val="Paragraphedeliste"/>
        <w:numPr>
          <w:ilvl w:val="0"/>
          <w:numId w:val="15"/>
        </w:numPr>
        <w:rPr>
          <w:b/>
          <w:bCs/>
        </w:rPr>
      </w:pPr>
      <w:r>
        <w:t>Harmoniser les contenus avec les standards nationaux et internationaux de communication et d’éthique.</w:t>
      </w:r>
    </w:p>
    <w:p w:rsidR="000436B5" w:rsidRPr="000436B5" w:rsidRDefault="000436B5" w:rsidP="000436B5">
      <w:pPr>
        <w:pStyle w:val="Paragraphedeliste"/>
        <w:numPr>
          <w:ilvl w:val="0"/>
          <w:numId w:val="15"/>
        </w:numPr>
        <w:rPr>
          <w:b/>
          <w:bCs/>
        </w:rPr>
      </w:pPr>
      <w:r>
        <w:t>Analyser les manuels d’enquête, les standards de communication interne et les guides internationaux comparables.</w:t>
      </w:r>
    </w:p>
    <w:p w:rsidR="000436B5" w:rsidRPr="000436B5" w:rsidRDefault="000436B5" w:rsidP="000436B5">
      <w:pPr>
        <w:pStyle w:val="Paragraphedeliste"/>
        <w:numPr>
          <w:ilvl w:val="0"/>
          <w:numId w:val="15"/>
        </w:numPr>
        <w:rPr>
          <w:b/>
          <w:bCs/>
        </w:rPr>
      </w:pPr>
      <w:r>
        <w:t>Fournir des outils pratiques : scripts types, fiches mémo, check-lists.</w:t>
      </w:r>
    </w:p>
    <w:p w:rsidR="000436B5" w:rsidRPr="000436B5" w:rsidRDefault="000436B5" w:rsidP="000436B5">
      <w:pPr>
        <w:ind w:left="250"/>
        <w:rPr>
          <w:b/>
          <w:bCs/>
        </w:rPr>
      </w:pPr>
      <w:r w:rsidRPr="000436B5">
        <w:rPr>
          <w:b/>
          <w:bCs/>
        </w:rPr>
        <w:t>2. Démarche participative</w:t>
      </w:r>
    </w:p>
    <w:p w:rsidR="000436B5" w:rsidRDefault="000436B5" w:rsidP="000436B5">
      <w:pPr>
        <w:pStyle w:val="Paragraphedeliste"/>
        <w:numPr>
          <w:ilvl w:val="0"/>
          <w:numId w:val="18"/>
        </w:numPr>
      </w:pPr>
      <w:r>
        <w:t>Au moins une réunion de cadrage initiale.</w:t>
      </w:r>
    </w:p>
    <w:p w:rsidR="000436B5" w:rsidRDefault="000436B5" w:rsidP="000436B5">
      <w:pPr>
        <w:pStyle w:val="Paragraphedeliste"/>
        <w:numPr>
          <w:ilvl w:val="0"/>
          <w:numId w:val="18"/>
        </w:numPr>
      </w:pPr>
      <w:r>
        <w:t>Au moins un atelier avec enquêteurs et fonctionnaires pour adapter les contenus au terrain.</w:t>
      </w:r>
    </w:p>
    <w:p w:rsidR="00CB4D92" w:rsidRDefault="000436B5" w:rsidP="00B57DE6">
      <w:pPr>
        <w:pStyle w:val="Paragraphedeliste"/>
        <w:numPr>
          <w:ilvl w:val="0"/>
          <w:numId w:val="18"/>
        </w:numPr>
      </w:pPr>
      <w:r>
        <w:t>Validation graphique et finale du guide par la direction de l’INS et le service communication.</w:t>
      </w:r>
    </w:p>
    <w:p w:rsidR="0089794B" w:rsidRPr="000436B5" w:rsidRDefault="000436B5" w:rsidP="000436B5">
      <w:pPr>
        <w:pStyle w:val="Paragraphedeliste"/>
        <w:numPr>
          <w:ilvl w:val="0"/>
          <w:numId w:val="4"/>
        </w:numPr>
        <w:rPr>
          <w:b/>
          <w:bCs/>
          <w:color w:val="002060"/>
          <w:sz w:val="24"/>
          <w:szCs w:val="24"/>
        </w:rPr>
      </w:pPr>
      <w:r>
        <w:rPr>
          <w:b/>
          <w:bCs/>
          <w:color w:val="002060"/>
          <w:sz w:val="24"/>
          <w:szCs w:val="24"/>
        </w:rPr>
        <w:t xml:space="preserve">Livrables </w:t>
      </w:r>
    </w:p>
    <w:p w:rsidR="000436B5" w:rsidRDefault="000436B5" w:rsidP="000436B5">
      <w:r>
        <w:t>L’expert devra fournir :</w:t>
      </w:r>
    </w:p>
    <w:p w:rsidR="000436B5" w:rsidRDefault="000436B5" w:rsidP="000436B5">
      <w:pPr>
        <w:pStyle w:val="Paragraphedeliste"/>
        <w:numPr>
          <w:ilvl w:val="0"/>
          <w:numId w:val="19"/>
        </w:numPr>
      </w:pPr>
      <w:r>
        <w:t>Version provisoire du guide pour revue.</w:t>
      </w:r>
    </w:p>
    <w:p w:rsidR="000436B5" w:rsidRDefault="000436B5" w:rsidP="000436B5">
      <w:pPr>
        <w:pStyle w:val="Paragraphedeliste"/>
        <w:numPr>
          <w:ilvl w:val="0"/>
          <w:numId w:val="19"/>
        </w:numPr>
      </w:pPr>
      <w:r w:rsidRPr="000436B5">
        <w:t>Version finale validée, avec tous</w:t>
      </w:r>
      <w:r>
        <w:t xml:space="preserve"> les outils pratiques intégrés.</w:t>
      </w:r>
    </w:p>
    <w:p w:rsidR="000436B5" w:rsidRDefault="000436B5" w:rsidP="000436B5">
      <w:pPr>
        <w:pStyle w:val="Paragraphedeliste"/>
        <w:numPr>
          <w:ilvl w:val="0"/>
          <w:numId w:val="19"/>
        </w:numPr>
      </w:pPr>
      <w:r>
        <w:t>Annexes : scripts types, check-lists, fiches mémo, formulaire de signalement.</w:t>
      </w:r>
    </w:p>
    <w:p w:rsidR="006B193A" w:rsidRDefault="000436B5" w:rsidP="000436B5">
      <w:r>
        <w:t>Tous les livrables devront être fournis en français.</w:t>
      </w:r>
    </w:p>
    <w:p w:rsidR="0089794B" w:rsidRPr="000436B5" w:rsidRDefault="000436B5" w:rsidP="000436B5">
      <w:pPr>
        <w:pStyle w:val="Paragraphedeliste"/>
        <w:numPr>
          <w:ilvl w:val="0"/>
          <w:numId w:val="4"/>
        </w:numPr>
        <w:rPr>
          <w:b/>
          <w:bCs/>
          <w:color w:val="002060"/>
          <w:sz w:val="24"/>
          <w:szCs w:val="24"/>
        </w:rPr>
      </w:pPr>
      <w:r w:rsidRPr="000436B5">
        <w:rPr>
          <w:b/>
          <w:bCs/>
          <w:color w:val="002060"/>
          <w:sz w:val="24"/>
          <w:szCs w:val="24"/>
        </w:rPr>
        <w:t>Durée de la mission</w:t>
      </w:r>
    </w:p>
    <w:p w:rsidR="000436B5" w:rsidRPr="000D3A01" w:rsidRDefault="000D3A01" w:rsidP="000436B5">
      <w:pPr>
        <w:rPr>
          <w:sz w:val="24"/>
          <w:szCs w:val="24"/>
        </w:rPr>
      </w:pPr>
      <w:r w:rsidRPr="000D3A01">
        <w:rPr>
          <w:sz w:val="24"/>
          <w:szCs w:val="24"/>
        </w:rPr>
        <w:t xml:space="preserve">Durée estimée : 4 </w:t>
      </w:r>
      <w:r w:rsidR="000436B5" w:rsidRPr="000D3A01">
        <w:rPr>
          <w:sz w:val="24"/>
          <w:szCs w:val="24"/>
        </w:rPr>
        <w:t>semaines</w:t>
      </w:r>
    </w:p>
    <w:p w:rsidR="000436B5" w:rsidRPr="000D3A01" w:rsidRDefault="000436B5" w:rsidP="000436B5">
      <w:pPr>
        <w:rPr>
          <w:sz w:val="24"/>
          <w:szCs w:val="24"/>
        </w:rPr>
      </w:pPr>
      <w:r w:rsidRPr="000D3A01">
        <w:rPr>
          <w:sz w:val="24"/>
          <w:szCs w:val="24"/>
        </w:rPr>
        <w:t>Calendrier indicatif :</w:t>
      </w:r>
    </w:p>
    <w:p w:rsidR="000436B5" w:rsidRPr="000D3A01" w:rsidRDefault="000D3A01" w:rsidP="000436B5">
      <w:pPr>
        <w:rPr>
          <w:sz w:val="24"/>
          <w:szCs w:val="24"/>
        </w:rPr>
      </w:pPr>
      <w:r w:rsidRPr="000D3A01">
        <w:rPr>
          <w:sz w:val="24"/>
          <w:szCs w:val="24"/>
        </w:rPr>
        <w:t>•</w:t>
      </w:r>
      <w:r w:rsidRPr="000D3A01">
        <w:rPr>
          <w:sz w:val="24"/>
          <w:szCs w:val="24"/>
        </w:rPr>
        <w:tab/>
        <w:t>Semaine 1 : Collecte et analyse documentaire et atelier de cadrage</w:t>
      </w:r>
    </w:p>
    <w:p w:rsidR="000436B5" w:rsidRPr="000D3A01" w:rsidRDefault="000436B5" w:rsidP="000436B5">
      <w:pPr>
        <w:rPr>
          <w:sz w:val="24"/>
          <w:szCs w:val="24"/>
        </w:rPr>
      </w:pPr>
      <w:r w:rsidRPr="000D3A01">
        <w:rPr>
          <w:sz w:val="24"/>
          <w:szCs w:val="24"/>
        </w:rPr>
        <w:t>•</w:t>
      </w:r>
      <w:r w:rsidRPr="000D3A01">
        <w:rPr>
          <w:sz w:val="24"/>
          <w:szCs w:val="24"/>
        </w:rPr>
        <w:tab/>
        <w:t>Semaine 2–</w:t>
      </w:r>
      <w:r w:rsidR="000D3A01" w:rsidRPr="000D3A01">
        <w:rPr>
          <w:sz w:val="24"/>
          <w:szCs w:val="24"/>
        </w:rPr>
        <w:t>3 : Rédaction de la version provisoire et atelier participatif</w:t>
      </w:r>
    </w:p>
    <w:p w:rsidR="00B57DE6" w:rsidRPr="000D3A01" w:rsidRDefault="000436B5" w:rsidP="00B57DE6">
      <w:pPr>
        <w:rPr>
          <w:sz w:val="24"/>
          <w:szCs w:val="24"/>
        </w:rPr>
      </w:pPr>
      <w:r w:rsidRPr="000D3A01">
        <w:rPr>
          <w:sz w:val="24"/>
          <w:szCs w:val="24"/>
        </w:rPr>
        <w:lastRenderedPageBreak/>
        <w:t>•</w:t>
      </w:r>
      <w:r w:rsidRPr="000D3A01">
        <w:rPr>
          <w:sz w:val="24"/>
          <w:szCs w:val="24"/>
        </w:rPr>
        <w:tab/>
        <w:t xml:space="preserve">Semaine 4 : </w:t>
      </w:r>
      <w:r w:rsidR="00B57DE6">
        <w:rPr>
          <w:sz w:val="24"/>
          <w:szCs w:val="24"/>
        </w:rPr>
        <w:t>Revue et validation</w:t>
      </w:r>
    </w:p>
    <w:p w:rsidR="000D3A01" w:rsidRPr="000D3A01" w:rsidRDefault="000D3A01" w:rsidP="00B57DE6">
      <w:pPr>
        <w:rPr>
          <w:b/>
          <w:bCs/>
          <w:color w:val="002060"/>
          <w:sz w:val="24"/>
          <w:szCs w:val="24"/>
        </w:rPr>
      </w:pPr>
      <w:r w:rsidRPr="000D3A01">
        <w:rPr>
          <w:sz w:val="24"/>
          <w:szCs w:val="24"/>
        </w:rPr>
        <w:t>•</w:t>
      </w:r>
      <w:r w:rsidRPr="000D3A01">
        <w:rPr>
          <w:sz w:val="24"/>
          <w:szCs w:val="24"/>
        </w:rPr>
        <w:tab/>
      </w:r>
      <w:r w:rsidRPr="000D3A01">
        <w:rPr>
          <w:b/>
          <w:bCs/>
          <w:color w:val="002060"/>
          <w:sz w:val="24"/>
          <w:szCs w:val="24"/>
        </w:rPr>
        <w:t>Profil de l’expert</w:t>
      </w:r>
    </w:p>
    <w:p w:rsidR="000D3A01" w:rsidRPr="000D3A01" w:rsidRDefault="000D3A01" w:rsidP="000D3A01">
      <w:r w:rsidRPr="000D3A01">
        <w:t>L’expert (e) doit :</w:t>
      </w:r>
    </w:p>
    <w:p w:rsidR="000D3A01" w:rsidRPr="000D3A01" w:rsidRDefault="000D3A01" w:rsidP="000D3A01">
      <w:pPr>
        <w:pStyle w:val="Paragraphedeliste"/>
        <w:numPr>
          <w:ilvl w:val="0"/>
          <w:numId w:val="20"/>
        </w:numPr>
      </w:pPr>
      <w:r w:rsidRPr="000D3A01">
        <w:t>Être expert(e) en communication institutionnelle, gestion de projets ou sciences sociales appliquées aux enquêtes statistiques.</w:t>
      </w:r>
    </w:p>
    <w:p w:rsidR="000D3A01" w:rsidRPr="000D3A01" w:rsidRDefault="000D3A01" w:rsidP="000D3A01">
      <w:pPr>
        <w:pStyle w:val="Paragraphedeliste"/>
        <w:numPr>
          <w:ilvl w:val="0"/>
          <w:numId w:val="20"/>
        </w:numPr>
      </w:pPr>
      <w:r w:rsidRPr="000D3A01">
        <w:t>Avoir une expérience avérée dans la rédaction de guides pratiques ou de manuels opérationnels.</w:t>
      </w:r>
    </w:p>
    <w:p w:rsidR="000D3A01" w:rsidRPr="000D3A01" w:rsidRDefault="000D3A01" w:rsidP="000D3A01">
      <w:pPr>
        <w:pStyle w:val="Paragraphedeliste"/>
        <w:numPr>
          <w:ilvl w:val="0"/>
          <w:numId w:val="20"/>
        </w:numPr>
      </w:pPr>
      <w:r w:rsidRPr="000D3A01">
        <w:t>Posséder une connaissance des standards de communication dans la fonction publique et des bonnes pratiques internationales.</w:t>
      </w:r>
    </w:p>
    <w:p w:rsidR="000D3A01" w:rsidRPr="000D3A01" w:rsidRDefault="000D3A01" w:rsidP="000D3A01">
      <w:pPr>
        <w:pStyle w:val="Paragraphedeliste"/>
        <w:numPr>
          <w:ilvl w:val="0"/>
          <w:numId w:val="20"/>
        </w:numPr>
      </w:pPr>
      <w:r w:rsidRPr="000D3A01">
        <w:t>Avoir la capacité à vulgariser des concepts techniques pour un public non spécialiste.</w:t>
      </w:r>
    </w:p>
    <w:p w:rsidR="000436B5" w:rsidRPr="000D3A01" w:rsidRDefault="000D3A01" w:rsidP="000D3A01">
      <w:pPr>
        <w:pStyle w:val="Paragraphedeliste"/>
        <w:numPr>
          <w:ilvl w:val="0"/>
          <w:numId w:val="20"/>
        </w:numPr>
      </w:pPr>
      <w:r w:rsidRPr="000D3A01">
        <w:t>Être capable de travailler de manière participative et collaborative avec des équipes de terrain et des superviseurs.</w:t>
      </w:r>
    </w:p>
    <w:p w:rsidR="000D3A01" w:rsidRDefault="000D3A01" w:rsidP="000D3A01">
      <w:pPr>
        <w:pStyle w:val="Paragraphedeliste"/>
        <w:rPr>
          <w:b/>
          <w:bCs/>
          <w:color w:val="002060"/>
          <w:sz w:val="24"/>
          <w:szCs w:val="24"/>
        </w:rPr>
      </w:pPr>
    </w:p>
    <w:p w:rsidR="000D3A01" w:rsidRPr="000D3A01" w:rsidRDefault="000D3A01" w:rsidP="000D3A01">
      <w:pPr>
        <w:rPr>
          <w:b/>
          <w:bCs/>
          <w:color w:val="002060"/>
          <w:sz w:val="24"/>
          <w:szCs w:val="24"/>
        </w:rPr>
      </w:pPr>
      <w:r>
        <w:rPr>
          <w:b/>
          <w:bCs/>
          <w:color w:val="002060"/>
          <w:sz w:val="24"/>
          <w:szCs w:val="24"/>
        </w:rPr>
        <w:t xml:space="preserve">   </w:t>
      </w:r>
      <w:r w:rsidRPr="000D3A01">
        <w:rPr>
          <w:b/>
          <w:bCs/>
          <w:color w:val="002060"/>
          <w:sz w:val="24"/>
          <w:szCs w:val="24"/>
        </w:rPr>
        <w:t>8. Modalités de soumission Profil de l’expert</w:t>
      </w:r>
    </w:p>
    <w:p w:rsidR="0089794B" w:rsidRDefault="0089794B" w:rsidP="006B193A">
      <w:r>
        <w:t>Nous vous prions d’env</w:t>
      </w:r>
      <w:r w:rsidR="006B193A">
        <w:t xml:space="preserve">oyer vos candidatures </w:t>
      </w:r>
      <w:r w:rsidR="006B193A" w:rsidRPr="006B193A">
        <w:t xml:space="preserve">avant </w:t>
      </w:r>
      <w:r w:rsidR="006B193A" w:rsidRPr="00CB4D92">
        <w:rPr>
          <w:b/>
          <w:bCs/>
        </w:rPr>
        <w:t>le</w:t>
      </w:r>
      <w:r w:rsidR="000D3A01">
        <w:rPr>
          <w:b/>
          <w:bCs/>
        </w:rPr>
        <w:t xml:space="preserve"> 31 Mars </w:t>
      </w:r>
      <w:r w:rsidR="00CB4D92" w:rsidRPr="00CB4D92">
        <w:rPr>
          <w:b/>
          <w:bCs/>
        </w:rPr>
        <w:t>à 12H</w:t>
      </w:r>
      <w:r w:rsidR="006B193A" w:rsidRPr="006B193A">
        <w:t xml:space="preserve"> </w:t>
      </w:r>
      <w:r w:rsidR="00CB4D92">
        <w:t>comprenant</w:t>
      </w:r>
      <w:r w:rsidR="00CB4D92" w:rsidRPr="006B193A">
        <w:t xml:space="preserve"> :</w:t>
      </w:r>
    </w:p>
    <w:p w:rsidR="0089794B" w:rsidRDefault="000D3A01" w:rsidP="0089794B">
      <w:r>
        <w:t xml:space="preserve">•  </w:t>
      </w:r>
      <w:r w:rsidRPr="000D3A01">
        <w:t>Une offre technique (note méthodologique + proposition créative)</w:t>
      </w:r>
    </w:p>
    <w:p w:rsidR="00CB4D92" w:rsidRDefault="000D3A01" w:rsidP="000D3A01">
      <w:r>
        <w:t xml:space="preserve">• </w:t>
      </w:r>
      <w:r w:rsidR="0089794B">
        <w:t xml:space="preserve">Une offre financière </w:t>
      </w:r>
      <w:r>
        <w:t>détaillée</w:t>
      </w:r>
      <w:r w:rsidR="0089794B">
        <w:t>.</w:t>
      </w:r>
    </w:p>
    <w:p w:rsidR="00CB4D92" w:rsidRDefault="00CB4D92" w:rsidP="0089794B">
      <w:bookmarkStart w:id="0" w:name="_GoBack"/>
      <w:bookmarkEnd w:id="0"/>
    </w:p>
    <w:p w:rsidR="006B193A" w:rsidRDefault="006B193A" w:rsidP="0089794B"/>
    <w:p w:rsidR="006B193A" w:rsidRDefault="006B193A" w:rsidP="0089794B"/>
    <w:sectPr w:rsidR="006B19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DDF" w:rsidRDefault="00987DDF" w:rsidP="001C3565">
      <w:pPr>
        <w:spacing w:after="0" w:line="240" w:lineRule="auto"/>
      </w:pPr>
      <w:r>
        <w:separator/>
      </w:r>
    </w:p>
  </w:endnote>
  <w:endnote w:type="continuationSeparator" w:id="0">
    <w:p w:rsidR="00987DDF" w:rsidRDefault="00987DDF" w:rsidP="001C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DDF" w:rsidRDefault="00987DDF" w:rsidP="001C3565">
      <w:pPr>
        <w:spacing w:after="0" w:line="240" w:lineRule="auto"/>
      </w:pPr>
      <w:r>
        <w:separator/>
      </w:r>
    </w:p>
  </w:footnote>
  <w:footnote w:type="continuationSeparator" w:id="0">
    <w:p w:rsidR="00987DDF" w:rsidRDefault="00987DDF" w:rsidP="001C3565">
      <w:pPr>
        <w:spacing w:after="0" w:line="240" w:lineRule="auto"/>
      </w:pPr>
      <w:r>
        <w:continuationSeparator/>
      </w:r>
    </w:p>
  </w:footnote>
  <w:footnote w:id="1">
    <w:p w:rsidR="001C3565" w:rsidRPr="00AB5ECF" w:rsidRDefault="001C3565" w:rsidP="001C3565">
      <w:pPr>
        <w:pStyle w:val="Notedebasdepag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2D6"/>
    <w:multiLevelType w:val="hybridMultilevel"/>
    <w:tmpl w:val="3F923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C4C4A"/>
    <w:multiLevelType w:val="hybridMultilevel"/>
    <w:tmpl w:val="FB9C2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02034"/>
    <w:multiLevelType w:val="hybridMultilevel"/>
    <w:tmpl w:val="3F8C339C"/>
    <w:lvl w:ilvl="0" w:tplc="2C3C852A">
      <w:start w:val="2"/>
      <w:numFmt w:val="bullet"/>
      <w:lvlText w:val="-"/>
      <w:lvlJc w:val="left"/>
      <w:pPr>
        <w:ind w:left="970" w:hanging="360"/>
      </w:pPr>
      <w:rPr>
        <w:rFonts w:ascii="Calibri" w:eastAsiaTheme="minorHAnsi" w:hAnsi="Calibri" w:cs="Calibri"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3" w15:restartNumberingAfterBreak="0">
    <w:nsid w:val="1AD639F6"/>
    <w:multiLevelType w:val="hybridMultilevel"/>
    <w:tmpl w:val="469068D6"/>
    <w:lvl w:ilvl="0" w:tplc="75DCE99A">
      <w:start w:val="1"/>
      <w:numFmt w:val="decimal"/>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4" w15:restartNumberingAfterBreak="0">
    <w:nsid w:val="256128DE"/>
    <w:multiLevelType w:val="hybridMultilevel"/>
    <w:tmpl w:val="0BF61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C76243"/>
    <w:multiLevelType w:val="hybridMultilevel"/>
    <w:tmpl w:val="DF961A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7A28CA"/>
    <w:multiLevelType w:val="hybridMultilevel"/>
    <w:tmpl w:val="5114BF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A52645"/>
    <w:multiLevelType w:val="hybridMultilevel"/>
    <w:tmpl w:val="C964B0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6E05D97"/>
    <w:multiLevelType w:val="hybridMultilevel"/>
    <w:tmpl w:val="C7848B8C"/>
    <w:lvl w:ilvl="0" w:tplc="773A6344">
      <w:start w:val="1"/>
      <w:numFmt w:val="upp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9" w15:restartNumberingAfterBreak="0">
    <w:nsid w:val="3DA05715"/>
    <w:multiLevelType w:val="hybridMultilevel"/>
    <w:tmpl w:val="F8A0A6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3313D1"/>
    <w:multiLevelType w:val="hybridMultilevel"/>
    <w:tmpl w:val="8E20F164"/>
    <w:lvl w:ilvl="0" w:tplc="792056A6">
      <w:start w:val="4"/>
      <w:numFmt w:val="bullet"/>
      <w:lvlText w:val="-"/>
      <w:lvlJc w:val="left"/>
      <w:pPr>
        <w:ind w:left="970" w:hanging="360"/>
      </w:pPr>
      <w:rPr>
        <w:rFonts w:ascii="Calibri" w:eastAsiaTheme="minorHAnsi" w:hAnsi="Calibri" w:cs="Calibri" w:hint="default"/>
      </w:rPr>
    </w:lvl>
    <w:lvl w:ilvl="1" w:tplc="040C0003" w:tentative="1">
      <w:start w:val="1"/>
      <w:numFmt w:val="bullet"/>
      <w:lvlText w:val="o"/>
      <w:lvlJc w:val="left"/>
      <w:pPr>
        <w:ind w:left="1690" w:hanging="360"/>
      </w:pPr>
      <w:rPr>
        <w:rFonts w:ascii="Courier New" w:hAnsi="Courier New" w:cs="Courier New" w:hint="default"/>
      </w:rPr>
    </w:lvl>
    <w:lvl w:ilvl="2" w:tplc="040C0005" w:tentative="1">
      <w:start w:val="1"/>
      <w:numFmt w:val="bullet"/>
      <w:lvlText w:val=""/>
      <w:lvlJc w:val="left"/>
      <w:pPr>
        <w:ind w:left="2410" w:hanging="360"/>
      </w:pPr>
      <w:rPr>
        <w:rFonts w:ascii="Wingdings" w:hAnsi="Wingdings" w:hint="default"/>
      </w:rPr>
    </w:lvl>
    <w:lvl w:ilvl="3" w:tplc="040C0001" w:tentative="1">
      <w:start w:val="1"/>
      <w:numFmt w:val="bullet"/>
      <w:lvlText w:val=""/>
      <w:lvlJc w:val="left"/>
      <w:pPr>
        <w:ind w:left="3130" w:hanging="360"/>
      </w:pPr>
      <w:rPr>
        <w:rFonts w:ascii="Symbol" w:hAnsi="Symbol" w:hint="default"/>
      </w:rPr>
    </w:lvl>
    <w:lvl w:ilvl="4" w:tplc="040C0003" w:tentative="1">
      <w:start w:val="1"/>
      <w:numFmt w:val="bullet"/>
      <w:lvlText w:val="o"/>
      <w:lvlJc w:val="left"/>
      <w:pPr>
        <w:ind w:left="3850" w:hanging="360"/>
      </w:pPr>
      <w:rPr>
        <w:rFonts w:ascii="Courier New" w:hAnsi="Courier New" w:cs="Courier New" w:hint="default"/>
      </w:rPr>
    </w:lvl>
    <w:lvl w:ilvl="5" w:tplc="040C0005" w:tentative="1">
      <w:start w:val="1"/>
      <w:numFmt w:val="bullet"/>
      <w:lvlText w:val=""/>
      <w:lvlJc w:val="left"/>
      <w:pPr>
        <w:ind w:left="4570" w:hanging="360"/>
      </w:pPr>
      <w:rPr>
        <w:rFonts w:ascii="Wingdings" w:hAnsi="Wingdings" w:hint="default"/>
      </w:rPr>
    </w:lvl>
    <w:lvl w:ilvl="6" w:tplc="040C0001" w:tentative="1">
      <w:start w:val="1"/>
      <w:numFmt w:val="bullet"/>
      <w:lvlText w:val=""/>
      <w:lvlJc w:val="left"/>
      <w:pPr>
        <w:ind w:left="5290" w:hanging="360"/>
      </w:pPr>
      <w:rPr>
        <w:rFonts w:ascii="Symbol" w:hAnsi="Symbol" w:hint="default"/>
      </w:rPr>
    </w:lvl>
    <w:lvl w:ilvl="7" w:tplc="040C0003" w:tentative="1">
      <w:start w:val="1"/>
      <w:numFmt w:val="bullet"/>
      <w:lvlText w:val="o"/>
      <w:lvlJc w:val="left"/>
      <w:pPr>
        <w:ind w:left="6010" w:hanging="360"/>
      </w:pPr>
      <w:rPr>
        <w:rFonts w:ascii="Courier New" w:hAnsi="Courier New" w:cs="Courier New" w:hint="default"/>
      </w:rPr>
    </w:lvl>
    <w:lvl w:ilvl="8" w:tplc="040C0005" w:tentative="1">
      <w:start w:val="1"/>
      <w:numFmt w:val="bullet"/>
      <w:lvlText w:val=""/>
      <w:lvlJc w:val="left"/>
      <w:pPr>
        <w:ind w:left="6730" w:hanging="360"/>
      </w:pPr>
      <w:rPr>
        <w:rFonts w:ascii="Wingdings" w:hAnsi="Wingdings" w:hint="default"/>
      </w:rPr>
    </w:lvl>
  </w:abstractNum>
  <w:abstractNum w:abstractNumId="11" w15:restartNumberingAfterBreak="0">
    <w:nsid w:val="477B6F14"/>
    <w:multiLevelType w:val="hybridMultilevel"/>
    <w:tmpl w:val="CEB81FA4"/>
    <w:lvl w:ilvl="0" w:tplc="27B800E0">
      <w:start w:val="2"/>
      <w:numFmt w:val="bullet"/>
      <w:lvlText w:val="-"/>
      <w:lvlJc w:val="left"/>
      <w:pPr>
        <w:ind w:left="610" w:hanging="360"/>
      </w:pPr>
      <w:rPr>
        <w:rFonts w:ascii="Calibri" w:eastAsiaTheme="minorHAnsi" w:hAnsi="Calibri" w:cs="Calibri" w:hint="default"/>
      </w:rPr>
    </w:lvl>
    <w:lvl w:ilvl="1" w:tplc="040C0003" w:tentative="1">
      <w:start w:val="1"/>
      <w:numFmt w:val="bullet"/>
      <w:lvlText w:val="o"/>
      <w:lvlJc w:val="left"/>
      <w:pPr>
        <w:ind w:left="1330" w:hanging="360"/>
      </w:pPr>
      <w:rPr>
        <w:rFonts w:ascii="Courier New" w:hAnsi="Courier New" w:cs="Courier New" w:hint="default"/>
      </w:rPr>
    </w:lvl>
    <w:lvl w:ilvl="2" w:tplc="040C0005" w:tentative="1">
      <w:start w:val="1"/>
      <w:numFmt w:val="bullet"/>
      <w:lvlText w:val=""/>
      <w:lvlJc w:val="left"/>
      <w:pPr>
        <w:ind w:left="2050" w:hanging="360"/>
      </w:pPr>
      <w:rPr>
        <w:rFonts w:ascii="Wingdings" w:hAnsi="Wingdings" w:hint="default"/>
      </w:rPr>
    </w:lvl>
    <w:lvl w:ilvl="3" w:tplc="040C0001" w:tentative="1">
      <w:start w:val="1"/>
      <w:numFmt w:val="bullet"/>
      <w:lvlText w:val=""/>
      <w:lvlJc w:val="left"/>
      <w:pPr>
        <w:ind w:left="2770" w:hanging="360"/>
      </w:pPr>
      <w:rPr>
        <w:rFonts w:ascii="Symbol" w:hAnsi="Symbol" w:hint="default"/>
      </w:rPr>
    </w:lvl>
    <w:lvl w:ilvl="4" w:tplc="040C0003" w:tentative="1">
      <w:start w:val="1"/>
      <w:numFmt w:val="bullet"/>
      <w:lvlText w:val="o"/>
      <w:lvlJc w:val="left"/>
      <w:pPr>
        <w:ind w:left="3490" w:hanging="360"/>
      </w:pPr>
      <w:rPr>
        <w:rFonts w:ascii="Courier New" w:hAnsi="Courier New" w:cs="Courier New" w:hint="default"/>
      </w:rPr>
    </w:lvl>
    <w:lvl w:ilvl="5" w:tplc="040C0005" w:tentative="1">
      <w:start w:val="1"/>
      <w:numFmt w:val="bullet"/>
      <w:lvlText w:val=""/>
      <w:lvlJc w:val="left"/>
      <w:pPr>
        <w:ind w:left="4210" w:hanging="360"/>
      </w:pPr>
      <w:rPr>
        <w:rFonts w:ascii="Wingdings" w:hAnsi="Wingdings" w:hint="default"/>
      </w:rPr>
    </w:lvl>
    <w:lvl w:ilvl="6" w:tplc="040C0001" w:tentative="1">
      <w:start w:val="1"/>
      <w:numFmt w:val="bullet"/>
      <w:lvlText w:val=""/>
      <w:lvlJc w:val="left"/>
      <w:pPr>
        <w:ind w:left="4930" w:hanging="360"/>
      </w:pPr>
      <w:rPr>
        <w:rFonts w:ascii="Symbol" w:hAnsi="Symbol" w:hint="default"/>
      </w:rPr>
    </w:lvl>
    <w:lvl w:ilvl="7" w:tplc="040C0003" w:tentative="1">
      <w:start w:val="1"/>
      <w:numFmt w:val="bullet"/>
      <w:lvlText w:val="o"/>
      <w:lvlJc w:val="left"/>
      <w:pPr>
        <w:ind w:left="5650" w:hanging="360"/>
      </w:pPr>
      <w:rPr>
        <w:rFonts w:ascii="Courier New" w:hAnsi="Courier New" w:cs="Courier New" w:hint="default"/>
      </w:rPr>
    </w:lvl>
    <w:lvl w:ilvl="8" w:tplc="040C0005" w:tentative="1">
      <w:start w:val="1"/>
      <w:numFmt w:val="bullet"/>
      <w:lvlText w:val=""/>
      <w:lvlJc w:val="left"/>
      <w:pPr>
        <w:ind w:left="6370" w:hanging="360"/>
      </w:pPr>
      <w:rPr>
        <w:rFonts w:ascii="Wingdings" w:hAnsi="Wingdings" w:hint="default"/>
      </w:rPr>
    </w:lvl>
  </w:abstractNum>
  <w:abstractNum w:abstractNumId="12" w15:restartNumberingAfterBreak="0">
    <w:nsid w:val="57954AA9"/>
    <w:multiLevelType w:val="hybridMultilevel"/>
    <w:tmpl w:val="02DCFEA2"/>
    <w:lvl w:ilvl="0" w:tplc="792056A6">
      <w:start w:val="4"/>
      <w:numFmt w:val="bullet"/>
      <w:lvlText w:val="-"/>
      <w:lvlJc w:val="left"/>
      <w:pPr>
        <w:ind w:left="9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A47C55"/>
    <w:multiLevelType w:val="hybridMultilevel"/>
    <w:tmpl w:val="34F860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CE86EF0"/>
    <w:multiLevelType w:val="hybridMultilevel"/>
    <w:tmpl w:val="5A24875C"/>
    <w:lvl w:ilvl="0" w:tplc="2C3C85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7765AC"/>
    <w:multiLevelType w:val="hybridMultilevel"/>
    <w:tmpl w:val="DDFE14C4"/>
    <w:lvl w:ilvl="0" w:tplc="D8FCB504">
      <w:start w:val="3"/>
      <w:numFmt w:val="decimal"/>
      <w:lvlText w:val="%1."/>
      <w:lvlJc w:val="left"/>
      <w:pPr>
        <w:ind w:left="610" w:hanging="360"/>
      </w:pPr>
      <w:rPr>
        <w:rFonts w:hint="default"/>
      </w:rPr>
    </w:lvl>
    <w:lvl w:ilvl="1" w:tplc="040C0019" w:tentative="1">
      <w:start w:val="1"/>
      <w:numFmt w:val="lowerLetter"/>
      <w:lvlText w:val="%2."/>
      <w:lvlJc w:val="left"/>
      <w:pPr>
        <w:ind w:left="1330" w:hanging="360"/>
      </w:pPr>
    </w:lvl>
    <w:lvl w:ilvl="2" w:tplc="040C001B" w:tentative="1">
      <w:start w:val="1"/>
      <w:numFmt w:val="lowerRoman"/>
      <w:lvlText w:val="%3."/>
      <w:lvlJc w:val="right"/>
      <w:pPr>
        <w:ind w:left="2050" w:hanging="180"/>
      </w:pPr>
    </w:lvl>
    <w:lvl w:ilvl="3" w:tplc="040C000F" w:tentative="1">
      <w:start w:val="1"/>
      <w:numFmt w:val="decimal"/>
      <w:lvlText w:val="%4."/>
      <w:lvlJc w:val="left"/>
      <w:pPr>
        <w:ind w:left="2770" w:hanging="360"/>
      </w:pPr>
    </w:lvl>
    <w:lvl w:ilvl="4" w:tplc="040C0019" w:tentative="1">
      <w:start w:val="1"/>
      <w:numFmt w:val="lowerLetter"/>
      <w:lvlText w:val="%5."/>
      <w:lvlJc w:val="left"/>
      <w:pPr>
        <w:ind w:left="3490" w:hanging="360"/>
      </w:pPr>
    </w:lvl>
    <w:lvl w:ilvl="5" w:tplc="040C001B" w:tentative="1">
      <w:start w:val="1"/>
      <w:numFmt w:val="lowerRoman"/>
      <w:lvlText w:val="%6."/>
      <w:lvlJc w:val="right"/>
      <w:pPr>
        <w:ind w:left="4210" w:hanging="180"/>
      </w:pPr>
    </w:lvl>
    <w:lvl w:ilvl="6" w:tplc="040C000F" w:tentative="1">
      <w:start w:val="1"/>
      <w:numFmt w:val="decimal"/>
      <w:lvlText w:val="%7."/>
      <w:lvlJc w:val="left"/>
      <w:pPr>
        <w:ind w:left="4930" w:hanging="360"/>
      </w:pPr>
    </w:lvl>
    <w:lvl w:ilvl="7" w:tplc="040C0019" w:tentative="1">
      <w:start w:val="1"/>
      <w:numFmt w:val="lowerLetter"/>
      <w:lvlText w:val="%8."/>
      <w:lvlJc w:val="left"/>
      <w:pPr>
        <w:ind w:left="5650" w:hanging="360"/>
      </w:pPr>
    </w:lvl>
    <w:lvl w:ilvl="8" w:tplc="040C001B" w:tentative="1">
      <w:start w:val="1"/>
      <w:numFmt w:val="lowerRoman"/>
      <w:lvlText w:val="%9."/>
      <w:lvlJc w:val="right"/>
      <w:pPr>
        <w:ind w:left="6370" w:hanging="180"/>
      </w:pPr>
    </w:lvl>
  </w:abstractNum>
  <w:abstractNum w:abstractNumId="16" w15:restartNumberingAfterBreak="0">
    <w:nsid w:val="67ED373C"/>
    <w:multiLevelType w:val="hybridMultilevel"/>
    <w:tmpl w:val="AF909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730B75"/>
    <w:multiLevelType w:val="hybridMultilevel"/>
    <w:tmpl w:val="05026D92"/>
    <w:lvl w:ilvl="0" w:tplc="2C3C85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1D4A82"/>
    <w:multiLevelType w:val="hybridMultilevel"/>
    <w:tmpl w:val="3768E182"/>
    <w:lvl w:ilvl="0" w:tplc="2C3C85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D34F49"/>
    <w:multiLevelType w:val="hybridMultilevel"/>
    <w:tmpl w:val="CD361F24"/>
    <w:lvl w:ilvl="0" w:tplc="2C3C852A">
      <w:start w:val="2"/>
      <w:numFmt w:val="bullet"/>
      <w:lvlText w:val="-"/>
      <w:lvlJc w:val="left"/>
      <w:pPr>
        <w:ind w:left="770" w:hanging="360"/>
      </w:pPr>
      <w:rPr>
        <w:rFonts w:ascii="Calibri" w:eastAsiaTheme="minorHAnsi" w:hAnsi="Calibri" w:cs="Calibri"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13"/>
  </w:num>
  <w:num w:numId="2">
    <w:abstractNumId w:val="16"/>
  </w:num>
  <w:num w:numId="3">
    <w:abstractNumId w:val="4"/>
  </w:num>
  <w:num w:numId="4">
    <w:abstractNumId w:val="15"/>
  </w:num>
  <w:num w:numId="5">
    <w:abstractNumId w:val="5"/>
  </w:num>
  <w:num w:numId="6">
    <w:abstractNumId w:val="10"/>
  </w:num>
  <w:num w:numId="7">
    <w:abstractNumId w:val="12"/>
  </w:num>
  <w:num w:numId="8">
    <w:abstractNumId w:val="1"/>
  </w:num>
  <w:num w:numId="9">
    <w:abstractNumId w:val="17"/>
  </w:num>
  <w:num w:numId="10">
    <w:abstractNumId w:val="18"/>
  </w:num>
  <w:num w:numId="11">
    <w:abstractNumId w:val="0"/>
  </w:num>
  <w:num w:numId="12">
    <w:abstractNumId w:val="7"/>
  </w:num>
  <w:num w:numId="13">
    <w:abstractNumId w:val="11"/>
  </w:num>
  <w:num w:numId="14">
    <w:abstractNumId w:val="3"/>
  </w:num>
  <w:num w:numId="15">
    <w:abstractNumId w:val="19"/>
  </w:num>
  <w:num w:numId="16">
    <w:abstractNumId w:val="8"/>
  </w:num>
  <w:num w:numId="17">
    <w:abstractNumId w:val="9"/>
  </w:num>
  <w:num w:numId="18">
    <w:abstractNumId w:val="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65"/>
    <w:rsid w:val="000436B5"/>
    <w:rsid w:val="000D3A01"/>
    <w:rsid w:val="001C3565"/>
    <w:rsid w:val="00257344"/>
    <w:rsid w:val="002E716F"/>
    <w:rsid w:val="003E5D54"/>
    <w:rsid w:val="003F085E"/>
    <w:rsid w:val="004A5748"/>
    <w:rsid w:val="006709FB"/>
    <w:rsid w:val="006B193A"/>
    <w:rsid w:val="0089794B"/>
    <w:rsid w:val="00987DDF"/>
    <w:rsid w:val="00B360ED"/>
    <w:rsid w:val="00B57DE6"/>
    <w:rsid w:val="00C75C8E"/>
    <w:rsid w:val="00CA43FF"/>
    <w:rsid w:val="00CB4D92"/>
    <w:rsid w:val="00EF26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5D4C"/>
  <w15:chartTrackingRefBased/>
  <w15:docId w15:val="{34ADB247-5733-4B32-9E23-EAFBBB0A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Yellow Bullet,Normal bullet 2,Paragraph,Bullets,Table/Figure Heading,List of pictures,References,Table of contents numbered,Bullet Points,Liste Paragraf,Renkli Liste - Vurgu 11,Liste Paragraf1,Bullet OFM"/>
    <w:basedOn w:val="Normal"/>
    <w:link w:val="ParagraphedelisteCar"/>
    <w:uiPriority w:val="34"/>
    <w:qFormat/>
    <w:rsid w:val="001C3565"/>
    <w:pPr>
      <w:ind w:left="720"/>
      <w:contextualSpacing/>
    </w:pPr>
  </w:style>
  <w:style w:type="character" w:customStyle="1" w:styleId="ParagraphedelisteCar">
    <w:name w:val="Paragraphe de liste Car"/>
    <w:aliases w:val="List Paragraph (numbered (a)) Car,Yellow Bullet Car,Normal bullet 2 Car,Paragraph Car,Bullets Car,Table/Figure Heading Car,List of pictures Car,References Car,Table of contents numbered Car,Bullet Points Car,Liste Paragraf Car"/>
    <w:basedOn w:val="Policepardfaut"/>
    <w:link w:val="Paragraphedeliste"/>
    <w:uiPriority w:val="34"/>
    <w:qFormat/>
    <w:rsid w:val="001C3565"/>
  </w:style>
  <w:style w:type="paragraph" w:styleId="Notedebasdepage">
    <w:name w:val="footnote text"/>
    <w:aliases w:val="Funotentext Char Char2,Char Char1 Char2,Funotentext Char Char Char1,Char Char1 Char Char1,Fu,Footnote,Footnote Text Char1 Char,Footnote Text Char Char Char,Footnote Text Char1 Char Char Char,Fußnotentext Char,Fußnotentext Char1 Char1"/>
    <w:basedOn w:val="Normal"/>
    <w:link w:val="NotedebasdepageCar"/>
    <w:uiPriority w:val="99"/>
    <w:unhideWhenUsed/>
    <w:qFormat/>
    <w:rsid w:val="001C3565"/>
    <w:pPr>
      <w:spacing w:after="0" w:line="240" w:lineRule="auto"/>
    </w:pPr>
    <w:rPr>
      <w:sz w:val="20"/>
      <w:szCs w:val="20"/>
    </w:rPr>
  </w:style>
  <w:style w:type="character" w:customStyle="1" w:styleId="NotedebasdepageCar">
    <w:name w:val="Note de bas de page Car"/>
    <w:aliases w:val="Funotentext Char Char2 Car,Char Char1 Char2 Car,Funotentext Char Char Char1 Car,Char Char1 Char Char1 Car,Fu Car,Footnote Car,Footnote Text Char1 Char Car,Footnote Text Char Char Char Car,Footnote Text Char1 Char Char Char Car"/>
    <w:basedOn w:val="Policepardfaut"/>
    <w:link w:val="Notedebasdepage"/>
    <w:uiPriority w:val="99"/>
    <w:qFormat/>
    <w:rsid w:val="001C3565"/>
    <w:rPr>
      <w:sz w:val="20"/>
      <w:szCs w:val="20"/>
    </w:rPr>
  </w:style>
  <w:style w:type="character" w:styleId="Lienhypertexte">
    <w:name w:val="Hyperlink"/>
    <w:basedOn w:val="Policepardfaut"/>
    <w:uiPriority w:val="99"/>
    <w:unhideWhenUsed/>
    <w:rsid w:val="00CB4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7100">
      <w:bodyDiv w:val="1"/>
      <w:marLeft w:val="0"/>
      <w:marRight w:val="0"/>
      <w:marTop w:val="0"/>
      <w:marBottom w:val="0"/>
      <w:divBdr>
        <w:top w:val="none" w:sz="0" w:space="0" w:color="auto"/>
        <w:left w:val="none" w:sz="0" w:space="0" w:color="auto"/>
        <w:bottom w:val="none" w:sz="0" w:space="0" w:color="auto"/>
        <w:right w:val="none" w:sz="0" w:space="0" w:color="auto"/>
      </w:divBdr>
    </w:div>
    <w:div w:id="13147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ici.gov.t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n/" TargetMode="External"/><Relationship Id="rId5" Type="http://schemas.openxmlformats.org/officeDocument/2006/relationships/footnotes" Target="footnotes.xml"/><Relationship Id="rId10" Type="http://schemas.openxmlformats.org/officeDocument/2006/relationships/hyperlink" Target="http://www.itceq.tn/" TargetMode="External"/><Relationship Id="rId4" Type="http://schemas.openxmlformats.org/officeDocument/2006/relationships/webSettings" Target="webSettings.xml"/><Relationship Id="rId9" Type="http://schemas.openxmlformats.org/officeDocument/2006/relationships/hyperlink" Target="https://www.mes.tn/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6028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RIHANE</dc:creator>
  <cp:keywords/>
  <dc:description/>
  <cp:lastModifiedBy>Rym HADFI</cp:lastModifiedBy>
  <cp:revision>2</cp:revision>
  <dcterms:created xsi:type="dcterms:W3CDTF">2026-03-09T10:24:00Z</dcterms:created>
  <dcterms:modified xsi:type="dcterms:W3CDTF">2026-03-09T10:24:00Z</dcterms:modified>
</cp:coreProperties>
</file>