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16F" w:rsidRDefault="003F56FB" w:rsidP="003F56FB">
      <w:r>
        <w:t xml:space="preserve">                                         </w:t>
      </w:r>
      <w:r w:rsidRPr="006B193A">
        <w:rPr>
          <w:rFonts w:asciiTheme="majorHAnsi" w:hAnsiTheme="majorHAnsi" w:cstheme="majorHAnsi"/>
          <w:b/>
          <w:bCs/>
          <w:noProof/>
          <w:color w:val="0070C0"/>
          <w:sz w:val="32"/>
          <w:szCs w:val="32"/>
          <w:lang w:eastAsia="fr-FR"/>
        </w:rPr>
        <w:drawing>
          <wp:inline distT="0" distB="0" distL="0" distR="0" wp14:anchorId="03A32784" wp14:editId="252FA41C">
            <wp:extent cx="3669558" cy="605790"/>
            <wp:effectExtent l="0" t="0" r="7620" b="3810"/>
            <wp:docPr id="1" name="Image 1" descr="C:\Users\asma.rihane\Downloads\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ma.rihane\Downloads\logo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0031" cy="619075"/>
                    </a:xfrm>
                    <a:prstGeom prst="rect">
                      <a:avLst/>
                    </a:prstGeom>
                    <a:noFill/>
                    <a:ln>
                      <a:noFill/>
                    </a:ln>
                  </pic:spPr>
                </pic:pic>
              </a:graphicData>
            </a:graphic>
          </wp:inline>
        </w:drawing>
      </w:r>
    </w:p>
    <w:p w:rsidR="0011185D" w:rsidRDefault="0011185D" w:rsidP="003F56FB"/>
    <w:p w:rsidR="0011185D" w:rsidRDefault="0011185D" w:rsidP="0011185D">
      <w:pPr>
        <w:jc w:val="center"/>
        <w:rPr>
          <w:sz w:val="28"/>
          <w:szCs w:val="28"/>
        </w:rPr>
      </w:pPr>
      <w:r w:rsidRPr="000A1776">
        <w:rPr>
          <w:rFonts w:asciiTheme="majorHAnsi" w:hAnsiTheme="majorHAnsi" w:cstheme="majorHAnsi"/>
          <w:b/>
          <w:bCs/>
          <w:color w:val="0070C0"/>
          <w:sz w:val="28"/>
          <w:szCs w:val="28"/>
        </w:rPr>
        <w:t>Termes de Référence</w:t>
      </w:r>
      <w:r w:rsidRPr="000A1776">
        <w:rPr>
          <w:sz w:val="28"/>
          <w:szCs w:val="28"/>
        </w:rPr>
        <w:t xml:space="preserve"> </w:t>
      </w:r>
    </w:p>
    <w:p w:rsidR="0011185D" w:rsidRDefault="0011185D" w:rsidP="0011185D">
      <w:pPr>
        <w:jc w:val="center"/>
        <w:rPr>
          <w:color w:val="0070C0"/>
          <w:sz w:val="28"/>
          <w:szCs w:val="28"/>
        </w:rPr>
      </w:pPr>
      <w:r w:rsidRPr="0011185D">
        <w:rPr>
          <w:color w:val="0070C0"/>
          <w:sz w:val="28"/>
          <w:szCs w:val="28"/>
        </w:rPr>
        <w:t xml:space="preserve">Formation en media training et communication économique </w:t>
      </w:r>
    </w:p>
    <w:p w:rsidR="0011185D" w:rsidRPr="000A1776" w:rsidRDefault="0011185D" w:rsidP="0011185D">
      <w:pPr>
        <w:jc w:val="center"/>
        <w:rPr>
          <w:sz w:val="28"/>
          <w:szCs w:val="28"/>
        </w:rPr>
      </w:pPr>
      <w:proofErr w:type="gramStart"/>
      <w:r w:rsidRPr="0011185D">
        <w:rPr>
          <w:color w:val="0070C0"/>
          <w:sz w:val="28"/>
          <w:szCs w:val="28"/>
        </w:rPr>
        <w:t>pour</w:t>
      </w:r>
      <w:proofErr w:type="gramEnd"/>
      <w:r w:rsidRPr="0011185D">
        <w:rPr>
          <w:color w:val="0070C0"/>
          <w:sz w:val="28"/>
          <w:szCs w:val="28"/>
        </w:rPr>
        <w:t xml:space="preserve"> les </w:t>
      </w:r>
      <w:r>
        <w:rPr>
          <w:color w:val="0070C0"/>
          <w:sz w:val="28"/>
          <w:szCs w:val="28"/>
        </w:rPr>
        <w:t xml:space="preserve">hauts </w:t>
      </w:r>
      <w:r w:rsidRPr="0011185D">
        <w:rPr>
          <w:color w:val="0070C0"/>
          <w:sz w:val="28"/>
          <w:szCs w:val="28"/>
        </w:rPr>
        <w:t>responsables de l’INS</w:t>
      </w:r>
    </w:p>
    <w:p w:rsidR="003F56FB" w:rsidRPr="00B96BEE" w:rsidRDefault="003F56FB" w:rsidP="003F56FB">
      <w:pPr>
        <w:jc w:val="both"/>
        <w:rPr>
          <w:b/>
          <w:bCs/>
        </w:rPr>
      </w:pPr>
    </w:p>
    <w:p w:rsidR="003F56FB" w:rsidRPr="0089794B" w:rsidRDefault="003F56FB" w:rsidP="003F56FB">
      <w:pPr>
        <w:pStyle w:val="Paragraphedeliste"/>
        <w:numPr>
          <w:ilvl w:val="0"/>
          <w:numId w:val="1"/>
        </w:numPr>
        <w:jc w:val="both"/>
        <w:rPr>
          <w:rFonts w:cstheme="minorHAnsi"/>
          <w:b/>
          <w:bCs/>
          <w:color w:val="002060"/>
          <w:sz w:val="24"/>
          <w:szCs w:val="24"/>
        </w:rPr>
      </w:pPr>
      <w:r w:rsidRPr="0089794B">
        <w:rPr>
          <w:rFonts w:cstheme="minorHAnsi"/>
          <w:b/>
          <w:bCs/>
          <w:color w:val="002060"/>
          <w:sz w:val="24"/>
          <w:szCs w:val="24"/>
        </w:rPr>
        <w:t>Contexte général</w:t>
      </w:r>
    </w:p>
    <w:p w:rsidR="003F56FB" w:rsidRPr="00F8387A" w:rsidRDefault="003F56FB" w:rsidP="003F56FB">
      <w:pPr>
        <w:jc w:val="both"/>
      </w:pPr>
      <w:r w:rsidRPr="00F8387A">
        <w:t xml:space="preserve">Depuis le 1er février 2023, Expertise France met en œuvre le projet « Savoirs Éco en Tunisie » sur un financement de l’Union européenne de 4,5 M d’EUR pour une durée de 3 ans. L’objectif du Projet est d’appuyer le débat public sur les enjeux économiques en Tunisie à travers un renforcement des Structures Productrices de Savoirs Économiques (SPSE) : i) les structures publiques d’analyse économique et d’aide à la décision ; ii) les laboratoires de recherche en économie ; et iii) les </w:t>
      </w:r>
      <w:proofErr w:type="spellStart"/>
      <w:r w:rsidRPr="00F8387A">
        <w:t>think</w:t>
      </w:r>
      <w:proofErr w:type="spellEnd"/>
      <w:r w:rsidRPr="00F8387A">
        <w:t xml:space="preserve">-tanks issus de la société civile. Le Projet intervient sous la forme d’appuis techniques et financiers déclinés autour de trois composantes : </w:t>
      </w:r>
      <w:r w:rsidRPr="00F8387A">
        <w:sym w:font="Wingdings" w:char="F081"/>
      </w:r>
      <w:r w:rsidRPr="00F8387A">
        <w:t xml:space="preserve"> renforcement des capacités des SPSE ; </w:t>
      </w:r>
      <w:r w:rsidRPr="00F8387A">
        <w:sym w:font="Wingdings" w:char="F082"/>
      </w:r>
      <w:r w:rsidRPr="00F8387A">
        <w:t xml:space="preserve"> accompagnement à la production d’études/</w:t>
      </w:r>
      <w:proofErr w:type="spellStart"/>
      <w:r w:rsidRPr="00F8387A">
        <w:t>policy</w:t>
      </w:r>
      <w:proofErr w:type="spellEnd"/>
      <w:r w:rsidRPr="00F8387A">
        <w:t xml:space="preserve"> </w:t>
      </w:r>
      <w:proofErr w:type="spellStart"/>
      <w:r w:rsidRPr="00F8387A">
        <w:t>briefs</w:t>
      </w:r>
      <w:proofErr w:type="spellEnd"/>
      <w:r w:rsidRPr="00F8387A">
        <w:t xml:space="preserve"> par les SPSE ; </w:t>
      </w:r>
      <w:r w:rsidRPr="00F8387A">
        <w:sym w:font="Wingdings" w:char="F083"/>
      </w:r>
      <w:r w:rsidRPr="00F8387A">
        <w:t xml:space="preserve"> appuis à la diffusion, vulgarisation et expérimentation des études/</w:t>
      </w:r>
      <w:proofErr w:type="spellStart"/>
      <w:r w:rsidRPr="00F8387A">
        <w:t>policy</w:t>
      </w:r>
      <w:proofErr w:type="spellEnd"/>
      <w:r w:rsidRPr="00F8387A">
        <w:t xml:space="preserve"> </w:t>
      </w:r>
      <w:proofErr w:type="spellStart"/>
      <w:r w:rsidRPr="00F8387A">
        <w:t>briefs</w:t>
      </w:r>
      <w:proofErr w:type="spellEnd"/>
      <w:r w:rsidRPr="00F8387A">
        <w:t xml:space="preserve"> produits. Pour accompagner la mise en œuvre des activités, Expertise France travaille avec quatre partenaires de mise en œuvre : la Fondation pour les études et recherches sur le développement international (FERDI) ; le Global </w:t>
      </w:r>
      <w:proofErr w:type="spellStart"/>
      <w:r w:rsidRPr="00F8387A">
        <w:t>Development</w:t>
      </w:r>
      <w:proofErr w:type="spellEnd"/>
      <w:r w:rsidRPr="00F8387A">
        <w:t xml:space="preserve"> Network (GDN) ; France Stratégie et l’INSEE.  </w:t>
      </w:r>
    </w:p>
    <w:p w:rsidR="003F56FB" w:rsidRDefault="003F56FB" w:rsidP="003F56FB">
      <w:pPr>
        <w:jc w:val="both"/>
      </w:pPr>
      <w:r w:rsidRPr="00F8387A">
        <w:t>Le ministère de l’Économie et de la planification (</w:t>
      </w:r>
      <w:hyperlink r:id="rId8" w:history="1">
        <w:r w:rsidRPr="00F8387A">
          <w:rPr>
            <w:color w:val="0563C1" w:themeColor="hyperlink"/>
            <w:u w:val="single"/>
          </w:rPr>
          <w:t>MEP</w:t>
        </w:r>
      </w:hyperlink>
      <w:r w:rsidRPr="00F8387A">
        <w:t>) et le ministère de l’Enseignement supérieur et de la recherche scientifique (</w:t>
      </w:r>
      <w:hyperlink r:id="rId9" w:history="1">
        <w:r w:rsidRPr="00F8387A">
          <w:rPr>
            <w:color w:val="0563C1" w:themeColor="hyperlink"/>
            <w:u w:val="single"/>
          </w:rPr>
          <w:t>MESRS</w:t>
        </w:r>
      </w:hyperlink>
      <w:r w:rsidRPr="00F8387A">
        <w:t xml:space="preserve">) sont les deux contreparties institutionnelles du projet. En mars 2025, le projet : i) apporte un soutien financier à 12 structures associatives de type </w:t>
      </w:r>
      <w:proofErr w:type="spellStart"/>
      <w:r w:rsidRPr="00F8387A">
        <w:t>think</w:t>
      </w:r>
      <w:proofErr w:type="spellEnd"/>
      <w:r w:rsidRPr="00F8387A">
        <w:t xml:space="preserve"> tank</w:t>
      </w:r>
      <w:r w:rsidRPr="00F8387A">
        <w:rPr>
          <w:vertAlign w:val="superscript"/>
        </w:rPr>
        <w:footnoteReference w:id="1"/>
      </w:r>
      <w:r w:rsidRPr="00F8387A">
        <w:t> ; ii) collabore avec 3 structures de recherche, et iii) apporte de l’assistance technique à deux structures publiques (Institut tunisien de la compétitivité et des études quantitatives (</w:t>
      </w:r>
      <w:hyperlink r:id="rId10" w:history="1">
        <w:r w:rsidRPr="00F8387A">
          <w:rPr>
            <w:color w:val="0563C1" w:themeColor="hyperlink"/>
            <w:u w:val="single"/>
          </w:rPr>
          <w:t>ITCEQ</w:t>
        </w:r>
      </w:hyperlink>
      <w:r w:rsidRPr="00F8387A">
        <w:t>) et Institut national de la statistique (</w:t>
      </w:r>
      <w:hyperlink r:id="rId11" w:history="1">
        <w:r w:rsidRPr="00F8387A">
          <w:rPr>
            <w:color w:val="0563C1" w:themeColor="hyperlink"/>
            <w:u w:val="single"/>
          </w:rPr>
          <w:t>INS</w:t>
        </w:r>
      </w:hyperlink>
      <w:r>
        <w:t xml:space="preserve">). </w:t>
      </w:r>
    </w:p>
    <w:p w:rsidR="003F56FB" w:rsidRDefault="003F56FB" w:rsidP="003F56FB">
      <w:r w:rsidRPr="003F56FB">
        <w:t>Dans le cadre de l’assistance apportée à l’INS pour le renforcement des capacités en communication, les responsables de l’institution sont régulièrement sollicités par les médias pour analyser et commenter les résultats des enquêtes et indicateurs économiques. Une communication efficace en matière économique exige à la fois une maîtrise rigoureuse des données, une capacité à les vulgariser sans en altérer la portée méthodologique, et une gestion professionnelle des interviews.</w:t>
      </w:r>
    </w:p>
    <w:p w:rsidR="003F56FB" w:rsidRDefault="003F56FB" w:rsidP="003F56FB">
      <w:r w:rsidRPr="003F56FB">
        <w:t>La présente formation vise à renforcer ces compétences afin de permettre aux responsables de l’INS d’assurer des interventions médiatiques analytiques, vulgarisées et conformes aux exigences de neutralité et de rigueur de l’institution.</w:t>
      </w:r>
    </w:p>
    <w:p w:rsidR="0011185D" w:rsidRDefault="0011185D" w:rsidP="003F56FB"/>
    <w:p w:rsidR="0011185D" w:rsidRDefault="0011185D" w:rsidP="003F56FB"/>
    <w:p w:rsidR="003F56FB" w:rsidRPr="0089794B" w:rsidRDefault="003F56FB" w:rsidP="003F56FB">
      <w:pPr>
        <w:rPr>
          <w:b/>
          <w:bCs/>
          <w:color w:val="002060"/>
          <w:sz w:val="24"/>
          <w:szCs w:val="24"/>
        </w:rPr>
      </w:pPr>
      <w:r w:rsidRPr="0089794B">
        <w:rPr>
          <w:b/>
          <w:bCs/>
          <w:color w:val="002060"/>
          <w:sz w:val="24"/>
          <w:szCs w:val="24"/>
        </w:rPr>
        <w:lastRenderedPageBreak/>
        <w:t>2. Objectifs de la formation</w:t>
      </w:r>
    </w:p>
    <w:p w:rsidR="003F56FB" w:rsidRDefault="003F56FB" w:rsidP="003F56FB">
      <w:r w:rsidRPr="003F56FB">
        <w:t>Le projet Savoirs éco souhaite faire appel à un/e expert/e pour dispenser une formation en media training destinée aux responsables de l’INS.</w:t>
      </w:r>
    </w:p>
    <w:p w:rsidR="003F56FB" w:rsidRPr="0011185D" w:rsidRDefault="003F56FB" w:rsidP="0011185D">
      <w:pPr>
        <w:rPr>
          <w:b/>
          <w:bCs/>
        </w:rPr>
      </w:pPr>
      <w:r w:rsidRPr="003F56FB">
        <w:rPr>
          <w:b/>
          <w:bCs/>
        </w:rPr>
        <w:t>Objectifs spécifiques</w:t>
      </w:r>
    </w:p>
    <w:p w:rsidR="003F56FB" w:rsidRDefault="003F56FB" w:rsidP="003F56FB">
      <w:r>
        <w:t>À l’issue de la formation, les participants devront être capables de :</w:t>
      </w:r>
    </w:p>
    <w:p w:rsidR="003F56FB" w:rsidRDefault="003F56FB" w:rsidP="003F56FB">
      <w:pPr>
        <w:pStyle w:val="Paragraphedeliste"/>
        <w:numPr>
          <w:ilvl w:val="0"/>
          <w:numId w:val="2"/>
        </w:numPr>
      </w:pPr>
      <w:r>
        <w:t>Préparer et formuler un message économique clair et structuré, adapté aux différents publics (médias spécialisés, décideurs, grand public), en mettant l’accent sur l’analyse et l’explication des tendances économiques.</w:t>
      </w:r>
    </w:p>
    <w:p w:rsidR="001F5443" w:rsidRDefault="003F56FB" w:rsidP="001F5443">
      <w:pPr>
        <w:pStyle w:val="Paragraphedeliste"/>
        <w:numPr>
          <w:ilvl w:val="0"/>
          <w:numId w:val="2"/>
        </w:numPr>
      </w:pPr>
      <w:r>
        <w:t>Vulgariser et présenter les résultats d’enquêtes et indicateurs économiques de manière pédagogique, sans altérer la rigueur méthodologique des données.</w:t>
      </w:r>
    </w:p>
    <w:p w:rsidR="001F5443" w:rsidRDefault="003F56FB" w:rsidP="001F5443">
      <w:pPr>
        <w:pStyle w:val="Paragraphedeliste"/>
        <w:numPr>
          <w:ilvl w:val="0"/>
          <w:numId w:val="2"/>
        </w:numPr>
      </w:pPr>
      <w:r>
        <w:t>Structurer des interventions courtes et percuta</w:t>
      </w:r>
      <w:r w:rsidR="001F5443">
        <w:t>ntes dans le cadre d’interviews.</w:t>
      </w:r>
    </w:p>
    <w:p w:rsidR="001F5443" w:rsidRDefault="003F56FB" w:rsidP="001F5443">
      <w:pPr>
        <w:pStyle w:val="Paragraphedeliste"/>
        <w:numPr>
          <w:ilvl w:val="0"/>
          <w:numId w:val="2"/>
        </w:numPr>
      </w:pPr>
      <w:r>
        <w:t>Gérer efficacement les interviews, avant, pendant et après l’intervention, en anticipant les questions difficiles</w:t>
      </w:r>
      <w:r w:rsidR="001F5443">
        <w:t xml:space="preserve">, polémiques ou contradictoires, </w:t>
      </w:r>
      <w:r>
        <w:t>en s’appuyant sur l’analyse économique et les faits.</w:t>
      </w:r>
    </w:p>
    <w:p w:rsidR="003F56FB" w:rsidRDefault="003F56FB" w:rsidP="001F5443">
      <w:pPr>
        <w:pStyle w:val="Paragraphedeliste"/>
        <w:numPr>
          <w:ilvl w:val="0"/>
          <w:numId w:val="2"/>
        </w:numPr>
      </w:pPr>
      <w:r>
        <w:t>Adopter une posture, un langage verbal et non verbal adaptés à la prise de parole en public ou face aux médias.</w:t>
      </w:r>
    </w:p>
    <w:p w:rsidR="001F5443" w:rsidRDefault="001F5443" w:rsidP="001F5443"/>
    <w:p w:rsidR="001F5443" w:rsidRPr="001F5443" w:rsidRDefault="001F5443" w:rsidP="001F5443">
      <w:pPr>
        <w:rPr>
          <w:b/>
          <w:bCs/>
          <w:color w:val="002060"/>
          <w:sz w:val="24"/>
          <w:szCs w:val="24"/>
        </w:rPr>
      </w:pPr>
      <w:r w:rsidRPr="001F5443">
        <w:rPr>
          <w:b/>
          <w:bCs/>
          <w:color w:val="002060"/>
          <w:sz w:val="24"/>
          <w:szCs w:val="24"/>
        </w:rPr>
        <w:t>3. Modalités d’intervention et livrables</w:t>
      </w:r>
    </w:p>
    <w:p w:rsidR="001F5443" w:rsidRDefault="001F5443" w:rsidP="001F5443">
      <w:r>
        <w:t>L</w:t>
      </w:r>
      <w:r w:rsidRPr="001F5443">
        <w:t xml:space="preserve">a mission de l’expert(e) se déroulera les 30 et 31 mars et le 1er avril 2026, pour un total de </w:t>
      </w:r>
      <w:r w:rsidR="0011185D">
        <w:rPr>
          <w:b/>
          <w:bCs/>
        </w:rPr>
        <w:t>6</w:t>
      </w:r>
      <w:r w:rsidRPr="001F5443">
        <w:rPr>
          <w:b/>
          <w:bCs/>
        </w:rPr>
        <w:t xml:space="preserve"> hommes/jours.</w:t>
      </w:r>
      <w:r w:rsidRPr="001F5443">
        <w:t xml:space="preserve"> La formation sera organisée sur trois journées consécutives.</w:t>
      </w:r>
      <w:r>
        <w:t xml:space="preserve"> </w:t>
      </w:r>
      <w:proofErr w:type="gramStart"/>
      <w:r>
        <w:t>La</w:t>
      </w:r>
      <w:proofErr w:type="gramEnd"/>
      <w:r>
        <w:t xml:space="preserve"> mission et les livrables s’articuleront selon la séquence suivante :</w:t>
      </w:r>
    </w:p>
    <w:p w:rsidR="001F5443" w:rsidRPr="001F5443" w:rsidRDefault="0011185D" w:rsidP="001F5443">
      <w:pPr>
        <w:rPr>
          <w:b/>
          <w:bCs/>
        </w:rPr>
      </w:pPr>
      <w:r>
        <w:rPr>
          <w:b/>
          <w:bCs/>
        </w:rPr>
        <w:t>Phase préparatoire (2</w:t>
      </w:r>
      <w:r w:rsidR="001F5443" w:rsidRPr="001F5443">
        <w:rPr>
          <w:b/>
          <w:bCs/>
        </w:rPr>
        <w:t xml:space="preserve"> hommes/jours)</w:t>
      </w:r>
    </w:p>
    <w:p w:rsidR="001F5443" w:rsidRDefault="001F5443" w:rsidP="001F5443">
      <w:r>
        <w:t xml:space="preserve">- </w:t>
      </w:r>
      <w:r>
        <w:t>Analyse des besoins spécifiques de l’INS (typologie des médias, thématiques sensibles, profils des porte-paroles).</w:t>
      </w:r>
    </w:p>
    <w:p w:rsidR="001F5443" w:rsidRDefault="001F5443" w:rsidP="001F5443">
      <w:r>
        <w:t xml:space="preserve">- </w:t>
      </w:r>
      <w:r>
        <w:t>Élaboration du programme détaillé de la formation.</w:t>
      </w:r>
    </w:p>
    <w:p w:rsidR="001F5443" w:rsidRDefault="001F5443" w:rsidP="001F5443">
      <w:r>
        <w:t xml:space="preserve">- </w:t>
      </w:r>
      <w:r>
        <w:t>Préparation des supports pédagogiques (présentations, fiches pratiques, exercices, scénarios de simulation, outils d’évaluation).</w:t>
      </w:r>
    </w:p>
    <w:p w:rsidR="001F5443" w:rsidRDefault="001F5443" w:rsidP="001F5443">
      <w:r>
        <w:t xml:space="preserve">- </w:t>
      </w:r>
      <w:r>
        <w:t>Conception de mises en situation adaptées au contexte réel de l’INS (communication de chiffres se</w:t>
      </w:r>
      <w:r>
        <w:t>nsibles, interviews polémiques, questions difficiles</w:t>
      </w:r>
      <w:r>
        <w:t>).</w:t>
      </w:r>
    </w:p>
    <w:p w:rsidR="001F5443" w:rsidRPr="001F5443" w:rsidRDefault="001F5443" w:rsidP="001F5443">
      <w:pPr>
        <w:rPr>
          <w:b/>
          <w:bCs/>
        </w:rPr>
      </w:pPr>
      <w:r w:rsidRPr="001F5443">
        <w:rPr>
          <w:b/>
          <w:bCs/>
        </w:rPr>
        <w:t>Animation de la formation (3 hommes/jours)</w:t>
      </w:r>
    </w:p>
    <w:p w:rsidR="001F5443" w:rsidRDefault="001F5443" w:rsidP="001F5443">
      <w:r>
        <w:t xml:space="preserve">- </w:t>
      </w:r>
      <w:r>
        <w:t xml:space="preserve">Animation des sessions </w:t>
      </w:r>
      <w:r>
        <w:t>pratiques avec une p</w:t>
      </w:r>
      <w:r>
        <w:t>résentation des notions clés relatives à la communication institutionnelle et médiatique.</w:t>
      </w:r>
    </w:p>
    <w:p w:rsidR="001F5443" w:rsidRDefault="001F5443" w:rsidP="001F5443">
      <w:r>
        <w:t xml:space="preserve">- </w:t>
      </w:r>
      <w:r>
        <w:t>Organisation de simulations d’interviews (radio, TV, web) et d’exercices de prise de parole en public.</w:t>
      </w:r>
    </w:p>
    <w:p w:rsidR="001F5443" w:rsidRDefault="001F5443" w:rsidP="001F5443">
      <w:r>
        <w:t>- E</w:t>
      </w:r>
      <w:r>
        <w:t>ncadrement et feedback individualisé aux participants.</w:t>
      </w:r>
    </w:p>
    <w:p w:rsidR="001F5443" w:rsidRPr="001F5443" w:rsidRDefault="001F5443" w:rsidP="001F5443">
      <w:pPr>
        <w:rPr>
          <w:b/>
          <w:bCs/>
        </w:rPr>
      </w:pPr>
      <w:r w:rsidRPr="001F5443">
        <w:rPr>
          <w:b/>
          <w:bCs/>
        </w:rPr>
        <w:t xml:space="preserve">Évaluation et </w:t>
      </w:r>
      <w:proofErr w:type="spellStart"/>
      <w:r w:rsidRPr="001F5443">
        <w:rPr>
          <w:b/>
          <w:bCs/>
        </w:rPr>
        <w:t>reporting</w:t>
      </w:r>
      <w:proofErr w:type="spellEnd"/>
      <w:r w:rsidRPr="001F5443">
        <w:rPr>
          <w:b/>
          <w:bCs/>
        </w:rPr>
        <w:t xml:space="preserve"> (1 homme/jour)</w:t>
      </w:r>
    </w:p>
    <w:p w:rsidR="001F5443" w:rsidRDefault="001F5443" w:rsidP="0011185D">
      <w:r>
        <w:t>Évaluation des compétences acquises à l’aide</w:t>
      </w:r>
      <w:r>
        <w:t xml:space="preserve"> d’une grille validée par l’INS et la r</w:t>
      </w:r>
      <w:r>
        <w:t>édactio</w:t>
      </w:r>
      <w:r w:rsidR="0011185D">
        <w:t>n d’un rapport final de mission.</w:t>
      </w:r>
    </w:p>
    <w:p w:rsidR="001F5443" w:rsidRPr="0011185D" w:rsidRDefault="001F5443" w:rsidP="0011185D">
      <w:pPr>
        <w:rPr>
          <w:b/>
          <w:bCs/>
          <w:color w:val="002060"/>
          <w:sz w:val="24"/>
          <w:szCs w:val="24"/>
        </w:rPr>
      </w:pPr>
      <w:r w:rsidRPr="001F5443">
        <w:rPr>
          <w:b/>
          <w:bCs/>
          <w:color w:val="002060"/>
          <w:sz w:val="24"/>
          <w:szCs w:val="24"/>
        </w:rPr>
        <w:lastRenderedPageBreak/>
        <w:t>4. Mission de l’expert</w:t>
      </w:r>
    </w:p>
    <w:p w:rsidR="001F5443" w:rsidRDefault="001F5443" w:rsidP="0011185D">
      <w:r>
        <w:t>Le formateur/expert(e) sera chargé(e) de :</w:t>
      </w:r>
    </w:p>
    <w:p w:rsidR="001F5443" w:rsidRDefault="001F5443" w:rsidP="0011185D">
      <w:pPr>
        <w:pStyle w:val="Paragraphedeliste"/>
        <w:numPr>
          <w:ilvl w:val="0"/>
          <w:numId w:val="3"/>
        </w:numPr>
      </w:pPr>
      <w:r>
        <w:t>Élaborer le programme détaillé et le contenu pédagogique.</w:t>
      </w:r>
    </w:p>
    <w:p w:rsidR="001F5443" w:rsidRDefault="001F5443" w:rsidP="0011185D">
      <w:pPr>
        <w:pStyle w:val="Paragraphedeliste"/>
        <w:numPr>
          <w:ilvl w:val="0"/>
          <w:numId w:val="3"/>
        </w:numPr>
      </w:pPr>
      <w:r>
        <w:t>Préparer les supports de formation adaptés au contexte de l’INS.</w:t>
      </w:r>
    </w:p>
    <w:p w:rsidR="001F5443" w:rsidRDefault="001F5443" w:rsidP="0011185D">
      <w:pPr>
        <w:pStyle w:val="Paragraphedeliste"/>
        <w:numPr>
          <w:ilvl w:val="0"/>
          <w:numId w:val="3"/>
        </w:numPr>
      </w:pPr>
      <w:r>
        <w:t>Présenter les notions clés relatives à la communication institutionnelle, à la vulgarisation des données statistiques et à la gestion des médias.</w:t>
      </w:r>
    </w:p>
    <w:p w:rsidR="001F5443" w:rsidRDefault="001F5443" w:rsidP="0011185D">
      <w:pPr>
        <w:pStyle w:val="Paragraphedeliste"/>
        <w:numPr>
          <w:ilvl w:val="0"/>
          <w:numId w:val="3"/>
        </w:numPr>
      </w:pPr>
      <w:r>
        <w:t>Animer les sessions dédiées aux techniques d’interview et de prise de parole publique.</w:t>
      </w:r>
    </w:p>
    <w:p w:rsidR="001F5443" w:rsidRDefault="001F5443" w:rsidP="0011185D">
      <w:pPr>
        <w:pStyle w:val="Paragraphedeliste"/>
        <w:numPr>
          <w:ilvl w:val="0"/>
          <w:numId w:val="3"/>
        </w:numPr>
      </w:pPr>
      <w:r>
        <w:t>Superviser les simulations et fournir un feedback individualisé.</w:t>
      </w:r>
    </w:p>
    <w:p w:rsidR="001F5443" w:rsidRDefault="001F5443" w:rsidP="001F5443">
      <w:pPr>
        <w:pStyle w:val="Paragraphedeliste"/>
        <w:numPr>
          <w:ilvl w:val="0"/>
          <w:numId w:val="3"/>
        </w:numPr>
      </w:pPr>
      <w:r>
        <w:t>Rédiger un rapport d’évaluation comprenant : déroulement, niveau des participants, difficultés rencontrées et recommandations.</w:t>
      </w:r>
    </w:p>
    <w:p w:rsidR="001F5443" w:rsidRDefault="001F5443" w:rsidP="001F5443"/>
    <w:p w:rsidR="001F5443" w:rsidRPr="001F5443" w:rsidRDefault="001F5443" w:rsidP="001F5443">
      <w:pPr>
        <w:rPr>
          <w:b/>
          <w:bCs/>
          <w:sz w:val="24"/>
          <w:szCs w:val="24"/>
        </w:rPr>
      </w:pPr>
      <w:r w:rsidRPr="001F5443">
        <w:rPr>
          <w:b/>
          <w:bCs/>
          <w:color w:val="002060"/>
          <w:sz w:val="24"/>
          <w:szCs w:val="24"/>
        </w:rPr>
        <w:t>5. Compétences attendues</w:t>
      </w:r>
    </w:p>
    <w:p w:rsidR="001F5443" w:rsidRDefault="001F5443" w:rsidP="001F5443">
      <w:r>
        <w:t>L’expert/e devra justifier des compétences suivantes :</w:t>
      </w:r>
    </w:p>
    <w:p w:rsidR="001F5443" w:rsidRDefault="001F5443" w:rsidP="0011185D">
      <w:r>
        <w:t>-</w:t>
      </w:r>
      <w:r>
        <w:t>Expérience confirmée en media training, coaching de porte-pa</w:t>
      </w:r>
      <w:r w:rsidR="0011185D">
        <w:t>roles ou communication publique,</w:t>
      </w:r>
      <w:r w:rsidR="0011185D" w:rsidRPr="0011185D">
        <w:t xml:space="preserve"> avec un accent sur la communication économique et la vulgarisation de données complexes.</w:t>
      </w:r>
    </w:p>
    <w:p w:rsidR="001F5443" w:rsidRDefault="001F5443" w:rsidP="0011185D">
      <w:r>
        <w:t>-</w:t>
      </w:r>
      <w:r>
        <w:t>Expérience auprès d’institutions publiques ou organisations nationales/internationales.</w:t>
      </w:r>
    </w:p>
    <w:p w:rsidR="001F5443" w:rsidRDefault="0011185D" w:rsidP="0011185D">
      <w:r>
        <w:t>-</w:t>
      </w:r>
      <w:r w:rsidR="001F5443">
        <w:t>Bonne compréhension des enjeux liés à la communication des données statistiques, économiques ou sociales.</w:t>
      </w:r>
    </w:p>
    <w:p w:rsidR="001F5443" w:rsidRDefault="0011185D" w:rsidP="0011185D">
      <w:r>
        <w:t>-</w:t>
      </w:r>
      <w:r w:rsidR="001F5443">
        <w:t>Maîtrise des techniques d’interview et de prise de parole en public.</w:t>
      </w:r>
    </w:p>
    <w:p w:rsidR="001F5443" w:rsidRDefault="001F5443" w:rsidP="0011185D">
      <w:bookmarkStart w:id="0" w:name="_GoBack"/>
      <w:bookmarkEnd w:id="0"/>
    </w:p>
    <w:p w:rsidR="001F5443" w:rsidRPr="0011185D" w:rsidRDefault="001F5443" w:rsidP="0011185D">
      <w:pPr>
        <w:rPr>
          <w:b/>
          <w:bCs/>
          <w:color w:val="002060"/>
          <w:sz w:val="24"/>
          <w:szCs w:val="24"/>
        </w:rPr>
      </w:pPr>
      <w:r w:rsidRPr="0011185D">
        <w:rPr>
          <w:b/>
          <w:bCs/>
          <w:color w:val="002060"/>
          <w:sz w:val="24"/>
          <w:szCs w:val="24"/>
        </w:rPr>
        <w:t>6. Livrables attendus</w:t>
      </w:r>
    </w:p>
    <w:p w:rsidR="001F5443" w:rsidRDefault="001F5443" w:rsidP="0011185D">
      <w:pPr>
        <w:pStyle w:val="Paragraphedeliste"/>
        <w:numPr>
          <w:ilvl w:val="0"/>
          <w:numId w:val="8"/>
        </w:numPr>
      </w:pPr>
      <w:r>
        <w:t>Programme détaillé de formation (avant le démarrage).</w:t>
      </w:r>
    </w:p>
    <w:p w:rsidR="001F5443" w:rsidRDefault="001F5443" w:rsidP="0011185D">
      <w:pPr>
        <w:pStyle w:val="Paragraphedeliste"/>
        <w:numPr>
          <w:ilvl w:val="0"/>
          <w:numId w:val="8"/>
        </w:numPr>
      </w:pPr>
      <w:r>
        <w:t>Supports pédagogiques remis aux participants.</w:t>
      </w:r>
    </w:p>
    <w:p w:rsidR="001F5443" w:rsidRDefault="001F5443" w:rsidP="0011185D">
      <w:pPr>
        <w:pStyle w:val="Paragraphedeliste"/>
        <w:numPr>
          <w:ilvl w:val="0"/>
          <w:numId w:val="8"/>
        </w:numPr>
      </w:pPr>
      <w:r>
        <w:t>Grille d’évaluation des compétences.</w:t>
      </w:r>
    </w:p>
    <w:p w:rsidR="001F5443" w:rsidRDefault="001F5443" w:rsidP="0011185D">
      <w:pPr>
        <w:pStyle w:val="Paragraphedeliste"/>
        <w:numPr>
          <w:ilvl w:val="0"/>
          <w:numId w:val="8"/>
        </w:numPr>
      </w:pPr>
      <w:r>
        <w:t>Rapport final de formation (bilan et recommandations).</w:t>
      </w:r>
    </w:p>
    <w:p w:rsidR="001F5443" w:rsidRDefault="001F5443" w:rsidP="001F5443"/>
    <w:p w:rsidR="001F5443" w:rsidRPr="0011185D" w:rsidRDefault="001F5443" w:rsidP="0011185D">
      <w:pPr>
        <w:rPr>
          <w:b/>
          <w:bCs/>
          <w:color w:val="002060"/>
          <w:sz w:val="24"/>
          <w:szCs w:val="24"/>
        </w:rPr>
      </w:pPr>
      <w:r w:rsidRPr="0011185D">
        <w:rPr>
          <w:b/>
          <w:bCs/>
          <w:color w:val="002060"/>
          <w:sz w:val="24"/>
          <w:szCs w:val="24"/>
        </w:rPr>
        <w:t>7. Modalités de soumission</w:t>
      </w:r>
    </w:p>
    <w:p w:rsidR="001F5443" w:rsidRDefault="001F5443" w:rsidP="0011185D">
      <w:r>
        <w:t xml:space="preserve">Nous vous prions d’envoyer vos candidatures avant le </w:t>
      </w:r>
      <w:r w:rsidR="0011185D" w:rsidRPr="0011185D">
        <w:rPr>
          <w:shd w:val="clear" w:color="auto" w:fill="FFFF00"/>
        </w:rPr>
        <w:t xml:space="preserve">23 Mars </w:t>
      </w:r>
      <w:r w:rsidRPr="0011185D">
        <w:rPr>
          <w:shd w:val="clear" w:color="auto" w:fill="FFFF00"/>
        </w:rPr>
        <w:t>à 12h</w:t>
      </w:r>
      <w:r>
        <w:t>, comprenant :</w:t>
      </w:r>
    </w:p>
    <w:p w:rsidR="0011185D" w:rsidRDefault="0011185D" w:rsidP="0011185D">
      <w:pPr>
        <w:pStyle w:val="Paragraphedeliste"/>
        <w:numPr>
          <w:ilvl w:val="0"/>
          <w:numId w:val="10"/>
        </w:numPr>
      </w:pPr>
      <w:r>
        <w:t>Un CV</w:t>
      </w:r>
    </w:p>
    <w:p w:rsidR="0011185D" w:rsidRDefault="0011185D" w:rsidP="0011185D">
      <w:pPr>
        <w:pStyle w:val="Paragraphedeliste"/>
        <w:numPr>
          <w:ilvl w:val="0"/>
          <w:numId w:val="10"/>
        </w:numPr>
      </w:pPr>
      <w:r>
        <w:t>Une note méthodologique</w:t>
      </w:r>
    </w:p>
    <w:p w:rsidR="001F5443" w:rsidRDefault="001F5443" w:rsidP="0011185D">
      <w:pPr>
        <w:pStyle w:val="Paragraphedeliste"/>
        <w:numPr>
          <w:ilvl w:val="0"/>
          <w:numId w:val="10"/>
        </w:numPr>
      </w:pPr>
      <w:r>
        <w:t>Une offre financière (taux d’honoraires journaliers).</w:t>
      </w:r>
    </w:p>
    <w:p w:rsidR="001F5443" w:rsidRDefault="001F5443" w:rsidP="001F5443">
      <w:r>
        <w:t>À l’adresse suivante :</w:t>
      </w:r>
    </w:p>
    <w:p w:rsidR="003F56FB" w:rsidRDefault="0011185D" w:rsidP="001F5443">
      <w:hyperlink r:id="rId12" w:history="1">
        <w:r w:rsidRPr="00416B9E">
          <w:rPr>
            <w:rStyle w:val="Lienhypertexte"/>
          </w:rPr>
          <w:t>rym.hadfi@expertisefrance.fr</w:t>
        </w:r>
      </w:hyperlink>
    </w:p>
    <w:p w:rsidR="0011185D" w:rsidRDefault="0011185D" w:rsidP="001F5443"/>
    <w:sectPr w:rsidR="001118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F93" w:rsidRDefault="00E57F93" w:rsidP="003F56FB">
      <w:pPr>
        <w:spacing w:after="0" w:line="240" w:lineRule="auto"/>
      </w:pPr>
      <w:r>
        <w:separator/>
      </w:r>
    </w:p>
  </w:endnote>
  <w:endnote w:type="continuationSeparator" w:id="0">
    <w:p w:rsidR="00E57F93" w:rsidRDefault="00E57F93" w:rsidP="003F5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F93" w:rsidRDefault="00E57F93" w:rsidP="003F56FB">
      <w:pPr>
        <w:spacing w:after="0" w:line="240" w:lineRule="auto"/>
      </w:pPr>
      <w:r>
        <w:separator/>
      </w:r>
    </w:p>
  </w:footnote>
  <w:footnote w:type="continuationSeparator" w:id="0">
    <w:p w:rsidR="00E57F93" w:rsidRDefault="00E57F93" w:rsidP="003F56FB">
      <w:pPr>
        <w:spacing w:after="0" w:line="240" w:lineRule="auto"/>
      </w:pPr>
      <w:r>
        <w:continuationSeparator/>
      </w:r>
    </w:p>
  </w:footnote>
  <w:footnote w:id="1">
    <w:p w:rsidR="003F56FB" w:rsidRPr="00AB5ECF" w:rsidRDefault="003F56FB" w:rsidP="003F56FB">
      <w:pPr>
        <w:pStyle w:val="Notedebasdepag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85D51"/>
    <w:multiLevelType w:val="hybridMultilevel"/>
    <w:tmpl w:val="1AF24092"/>
    <w:lvl w:ilvl="0" w:tplc="D4FA0354">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1A3F45"/>
    <w:multiLevelType w:val="hybridMultilevel"/>
    <w:tmpl w:val="1AEAD32C"/>
    <w:lvl w:ilvl="0" w:tplc="D4FA035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6B560B"/>
    <w:multiLevelType w:val="hybridMultilevel"/>
    <w:tmpl w:val="E77AB8BA"/>
    <w:lvl w:ilvl="0" w:tplc="D4FA0354">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566C3E"/>
    <w:multiLevelType w:val="hybridMultilevel"/>
    <w:tmpl w:val="7B1696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32027D9"/>
    <w:multiLevelType w:val="hybridMultilevel"/>
    <w:tmpl w:val="DFDE0618"/>
    <w:lvl w:ilvl="0" w:tplc="040C0001">
      <w:start w:val="1"/>
      <w:numFmt w:val="bullet"/>
      <w:lvlText w:val=""/>
      <w:lvlJc w:val="left"/>
      <w:pPr>
        <w:ind w:left="501" w:hanging="360"/>
      </w:pPr>
      <w:rPr>
        <w:rFonts w:ascii="Symbol" w:hAnsi="Symbol"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5" w15:restartNumberingAfterBreak="0">
    <w:nsid w:val="53CF6A22"/>
    <w:multiLevelType w:val="hybridMultilevel"/>
    <w:tmpl w:val="98A8E914"/>
    <w:lvl w:ilvl="0" w:tplc="797AC1CE">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A47C55"/>
    <w:multiLevelType w:val="hybridMultilevel"/>
    <w:tmpl w:val="34F860E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60FE4B93"/>
    <w:multiLevelType w:val="hybridMultilevel"/>
    <w:tmpl w:val="23DE5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5557D8"/>
    <w:multiLevelType w:val="hybridMultilevel"/>
    <w:tmpl w:val="FA0C2F58"/>
    <w:lvl w:ilvl="0" w:tplc="D4FA035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0B3DF6"/>
    <w:multiLevelType w:val="hybridMultilevel"/>
    <w:tmpl w:val="11BA6CBC"/>
    <w:lvl w:ilvl="0" w:tplc="5C9C444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9"/>
  </w:num>
  <w:num w:numId="5">
    <w:abstractNumId w:val="5"/>
  </w:num>
  <w:num w:numId="6">
    <w:abstractNumId w:val="8"/>
  </w:num>
  <w:num w:numId="7">
    <w:abstractNumId w:val="1"/>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6FB"/>
    <w:rsid w:val="0011185D"/>
    <w:rsid w:val="001F5443"/>
    <w:rsid w:val="002E716F"/>
    <w:rsid w:val="003F56FB"/>
    <w:rsid w:val="00E57F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77FA5"/>
  <w15:chartTrackingRefBased/>
  <w15:docId w15:val="{CBE28848-C06A-4645-85D6-6C6A9169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Yellow Bullet,Normal bullet 2,Paragraph,Bullets,Table/Figure Heading,List of pictures,References,Table of contents numbered,Bullet Points,Liste Paragraf,Renkli Liste - Vurgu 11,Liste Paragraf1,Bullet OFM"/>
    <w:basedOn w:val="Normal"/>
    <w:link w:val="ParagraphedelisteCar"/>
    <w:uiPriority w:val="34"/>
    <w:qFormat/>
    <w:rsid w:val="003F56FB"/>
    <w:pPr>
      <w:ind w:left="720"/>
      <w:contextualSpacing/>
    </w:pPr>
  </w:style>
  <w:style w:type="character" w:customStyle="1" w:styleId="ParagraphedelisteCar">
    <w:name w:val="Paragraphe de liste Car"/>
    <w:aliases w:val="List Paragraph (numbered (a)) Car,Yellow Bullet Car,Normal bullet 2 Car,Paragraph Car,Bullets Car,Table/Figure Heading Car,List of pictures Car,References Car,Table of contents numbered Car,Bullet Points Car,Liste Paragraf Car"/>
    <w:basedOn w:val="Policepardfaut"/>
    <w:link w:val="Paragraphedeliste"/>
    <w:uiPriority w:val="34"/>
    <w:qFormat/>
    <w:rsid w:val="003F56FB"/>
  </w:style>
  <w:style w:type="paragraph" w:styleId="Notedebasdepage">
    <w:name w:val="footnote text"/>
    <w:aliases w:val="Funotentext Char Char2,Char Char1 Char2,Funotentext Char Char Char1,Char Char1 Char Char1,Fu,Footnote,Footnote Text Char1 Char,Footnote Text Char Char Char,Footnote Text Char1 Char Char Char,Fußnotentext Char,Fußnotentext Char1 Char1"/>
    <w:basedOn w:val="Normal"/>
    <w:link w:val="NotedebasdepageCar"/>
    <w:uiPriority w:val="99"/>
    <w:unhideWhenUsed/>
    <w:qFormat/>
    <w:rsid w:val="003F56FB"/>
    <w:pPr>
      <w:spacing w:after="0" w:line="240" w:lineRule="auto"/>
    </w:pPr>
    <w:rPr>
      <w:sz w:val="20"/>
      <w:szCs w:val="20"/>
    </w:rPr>
  </w:style>
  <w:style w:type="character" w:customStyle="1" w:styleId="NotedebasdepageCar">
    <w:name w:val="Note de bas de page Car"/>
    <w:aliases w:val="Funotentext Char Char2 Car,Char Char1 Char2 Car,Funotentext Char Char Char1 Car,Char Char1 Char Char1 Car,Fu Car,Footnote Car,Footnote Text Char1 Char Car,Footnote Text Char Char Char Car,Footnote Text Char1 Char Char Char Car"/>
    <w:basedOn w:val="Policepardfaut"/>
    <w:link w:val="Notedebasdepage"/>
    <w:uiPriority w:val="99"/>
    <w:qFormat/>
    <w:rsid w:val="003F56FB"/>
    <w:rPr>
      <w:sz w:val="20"/>
      <w:szCs w:val="20"/>
    </w:rPr>
  </w:style>
  <w:style w:type="character" w:styleId="Lienhypertexte">
    <w:name w:val="Hyperlink"/>
    <w:basedOn w:val="Policepardfaut"/>
    <w:uiPriority w:val="99"/>
    <w:unhideWhenUsed/>
    <w:rsid w:val="001118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ici.gov.t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ym.hadfi@expertisefran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n/" TargetMode="External"/><Relationship Id="rId5" Type="http://schemas.openxmlformats.org/officeDocument/2006/relationships/footnotes" Target="footnotes.xml"/><Relationship Id="rId10" Type="http://schemas.openxmlformats.org/officeDocument/2006/relationships/hyperlink" Target="http://www.itceq.tn/" TargetMode="External"/><Relationship Id="rId4" Type="http://schemas.openxmlformats.org/officeDocument/2006/relationships/webSettings" Target="webSettings.xml"/><Relationship Id="rId9" Type="http://schemas.openxmlformats.org/officeDocument/2006/relationships/hyperlink" Target="https://www.mes.tn/index.php"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1027</Words>
  <Characters>5652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RIHANE</dc:creator>
  <cp:keywords/>
  <dc:description/>
  <cp:lastModifiedBy>Asma RIHANE</cp:lastModifiedBy>
  <cp:revision>1</cp:revision>
  <dcterms:created xsi:type="dcterms:W3CDTF">2026-03-03T08:25:00Z</dcterms:created>
  <dcterms:modified xsi:type="dcterms:W3CDTF">2026-03-03T08:57:00Z</dcterms:modified>
</cp:coreProperties>
</file>