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974F0" w14:textId="77777777" w:rsidR="004A767E" w:rsidRDefault="004A767E" w:rsidP="00D32CEA">
      <w:pPr>
        <w:jc w:val="both"/>
      </w:pPr>
    </w:p>
    <w:p w14:paraId="5167EB6F" w14:textId="77777777" w:rsidR="004A767E" w:rsidRDefault="00DA0DA7" w:rsidP="008D24F6">
      <w:pPr>
        <w:pBdr>
          <w:top w:val="single" w:sz="18" w:space="1" w:color="1F3864" w:themeColor="accent5" w:themeShade="80"/>
          <w:left w:val="single" w:sz="18" w:space="4" w:color="1F3864" w:themeColor="accent5" w:themeShade="80"/>
          <w:bottom w:val="single" w:sz="18" w:space="1" w:color="1F3864" w:themeColor="accent5" w:themeShade="80"/>
          <w:right w:val="single" w:sz="18" w:space="4" w:color="1F3864" w:themeColor="accent5" w:themeShade="80"/>
        </w:pBdr>
        <w:jc w:val="center"/>
        <w:rPr>
          <w:b/>
          <w:color w:val="1F3864" w:themeColor="accent5" w:themeShade="80"/>
          <w:sz w:val="24"/>
        </w:rPr>
      </w:pPr>
      <w:r>
        <w:rPr>
          <w:b/>
          <w:color w:val="1F3864" w:themeColor="accent5" w:themeShade="80"/>
          <w:sz w:val="24"/>
        </w:rPr>
        <w:t xml:space="preserve">Projet d’appui à l’internationalisation des entreprises tunisiennes </w:t>
      </w:r>
      <w:r w:rsidR="00F0673C">
        <w:rPr>
          <w:b/>
          <w:color w:val="1F3864" w:themeColor="accent5" w:themeShade="80"/>
          <w:sz w:val="24"/>
        </w:rPr>
        <w:t>à l’échelle du continent Africain</w:t>
      </w:r>
    </w:p>
    <w:p w14:paraId="473F62C8" w14:textId="77777777" w:rsidR="004A767E" w:rsidRDefault="00DA0DA7" w:rsidP="008D24F6">
      <w:pPr>
        <w:pBdr>
          <w:top w:val="single" w:sz="18" w:space="1" w:color="1F3864" w:themeColor="accent5" w:themeShade="80"/>
          <w:left w:val="single" w:sz="18" w:space="4" w:color="1F3864" w:themeColor="accent5" w:themeShade="80"/>
          <w:bottom w:val="single" w:sz="18" w:space="1" w:color="1F3864" w:themeColor="accent5" w:themeShade="80"/>
          <w:right w:val="single" w:sz="18" w:space="4" w:color="1F3864" w:themeColor="accent5" w:themeShade="80"/>
        </w:pBdr>
        <w:spacing w:after="0"/>
        <w:jc w:val="center"/>
        <w:rPr>
          <w:b/>
          <w:color w:val="1F3864" w:themeColor="accent5" w:themeShade="80"/>
          <w:sz w:val="24"/>
        </w:rPr>
      </w:pPr>
      <w:r>
        <w:rPr>
          <w:b/>
          <w:color w:val="1F3864" w:themeColor="accent5" w:themeShade="80"/>
          <w:sz w:val="24"/>
        </w:rPr>
        <w:t>Termes de référence</w:t>
      </w:r>
    </w:p>
    <w:p w14:paraId="65BD7B2E" w14:textId="77777777" w:rsidR="004A767E" w:rsidRDefault="00E308C7" w:rsidP="00D32CEA">
      <w:pPr>
        <w:pBdr>
          <w:top w:val="single" w:sz="18" w:space="1" w:color="1F3864" w:themeColor="accent5" w:themeShade="80"/>
          <w:left w:val="single" w:sz="18" w:space="4" w:color="1F3864" w:themeColor="accent5" w:themeShade="80"/>
          <w:bottom w:val="single" w:sz="18" w:space="1" w:color="1F3864" w:themeColor="accent5" w:themeShade="80"/>
          <w:right w:val="single" w:sz="18" w:space="4" w:color="1F3864" w:themeColor="accent5" w:themeShade="80"/>
        </w:pBdr>
        <w:jc w:val="both"/>
        <w:rPr>
          <w:b/>
          <w:color w:val="1F3864" w:themeColor="accent5" w:themeShade="80"/>
          <w:sz w:val="24"/>
        </w:rPr>
      </w:pPr>
      <w:r w:rsidRPr="00E308C7">
        <w:rPr>
          <w:b/>
          <w:color w:val="1F3864" w:themeColor="accent5" w:themeShade="80"/>
          <w:sz w:val="24"/>
        </w:rPr>
        <w:t>Consultance</w:t>
      </w:r>
      <w:r>
        <w:rPr>
          <w:b/>
          <w:color w:val="1F3864" w:themeColor="accent5" w:themeShade="80"/>
          <w:sz w:val="24"/>
        </w:rPr>
        <w:t xml:space="preserve"> </w:t>
      </w:r>
      <w:r w:rsidR="004F3D52">
        <w:rPr>
          <w:b/>
          <w:color w:val="1F3864" w:themeColor="accent5" w:themeShade="80"/>
          <w:sz w:val="24"/>
        </w:rPr>
        <w:t>–</w:t>
      </w:r>
      <w:r w:rsidR="00DA0DA7">
        <w:rPr>
          <w:b/>
          <w:color w:val="1F3864" w:themeColor="accent5" w:themeShade="80"/>
          <w:sz w:val="24"/>
        </w:rPr>
        <w:t xml:space="preserve"> </w:t>
      </w:r>
      <w:bookmarkStart w:id="0" w:name="_GoBack"/>
      <w:r w:rsidR="004F3D52">
        <w:rPr>
          <w:b/>
          <w:color w:val="1F3864" w:themeColor="accent5" w:themeShade="80"/>
          <w:sz w:val="24"/>
        </w:rPr>
        <w:t>appui au respect des engagements environnementaux et sociaux</w:t>
      </w:r>
    </w:p>
    <w:bookmarkEnd w:id="0"/>
    <w:p w14:paraId="36BDF9D3" w14:textId="77777777" w:rsidR="004A767E" w:rsidRDefault="00DA0DA7" w:rsidP="00D32CEA">
      <w:pPr>
        <w:pStyle w:val="Titre2"/>
        <w:numPr>
          <w:ilvl w:val="0"/>
          <w:numId w:val="14"/>
        </w:numPr>
        <w:ind w:left="567" w:hanging="567"/>
        <w:jc w:val="both"/>
        <w:rPr>
          <w:sz w:val="32"/>
        </w:rPr>
      </w:pPr>
      <w:r>
        <w:rPr>
          <w:sz w:val="32"/>
        </w:rPr>
        <w:t>Introduction</w:t>
      </w:r>
    </w:p>
    <w:p w14:paraId="3125DFB5" w14:textId="77777777" w:rsidR="004A767E" w:rsidRDefault="00DA0DA7" w:rsidP="00D32CEA">
      <w:pPr>
        <w:jc w:val="both"/>
      </w:pPr>
      <w:r>
        <w:t>Expertise France est l’Agence française de coopération technique internationale. Deuxième agence par sa taille en Europe, elle conçoit et met en œuvre des projets de coopération internationale qui visent à renforcer durablement les politiques publiques dans les domaines clés du développement. Elle contribue aux côtés de ses partenaires à la concrétisation des objectifs de développement durable (ODD). Expertise France est membre du Groupe AFD (Agence Française de Développement).</w:t>
      </w:r>
    </w:p>
    <w:p w14:paraId="1503E43F" w14:textId="4A76D776" w:rsidR="004A767E" w:rsidRDefault="00DA0DA7" w:rsidP="00D32CEA">
      <w:pPr>
        <w:jc w:val="both"/>
        <w:rPr>
          <w:szCs w:val="24"/>
        </w:rPr>
      </w:pPr>
      <w:r>
        <w:t xml:space="preserve">Dans le cadre de la mise en œuvre prochaine du « Projet d’appui à l’internationalisation des entreprises tunisiennes </w:t>
      </w:r>
      <w:r w:rsidR="0077158B">
        <w:t>à l’échelle du continent africain</w:t>
      </w:r>
      <w:r>
        <w:t xml:space="preserve"> », Expertise France recrute un consultant spécialisé en évaluation environnementale et sociale afin d’identifier </w:t>
      </w:r>
      <w:r>
        <w:rPr>
          <w:szCs w:val="24"/>
        </w:rPr>
        <w:t>les enjeux environnementaux et sociaux liés à la mise en œuvre du projet. L’évaluation environnementale et sociale doit proposer une vision claire, et sectorielle notamment, des enjeux environnementaux et sociaux, ainsi que des mesures réalistes pour prendre en considération, gérer et atténuer ou bonifier les impacts attendus du projet.</w:t>
      </w:r>
    </w:p>
    <w:p w14:paraId="3575A9C1" w14:textId="77777777" w:rsidR="004A767E" w:rsidRDefault="00DA0DA7" w:rsidP="00D32CEA">
      <w:pPr>
        <w:pStyle w:val="Titre2"/>
        <w:numPr>
          <w:ilvl w:val="0"/>
          <w:numId w:val="14"/>
        </w:numPr>
        <w:ind w:left="567" w:hanging="567"/>
        <w:jc w:val="both"/>
        <w:rPr>
          <w:sz w:val="32"/>
        </w:rPr>
      </w:pPr>
      <w:r>
        <w:rPr>
          <w:sz w:val="32"/>
        </w:rPr>
        <w:t>Contexte</w:t>
      </w:r>
    </w:p>
    <w:p w14:paraId="7DFE18AB" w14:textId="77777777" w:rsidR="004A767E" w:rsidRDefault="00DA0DA7" w:rsidP="00D32CEA">
      <w:pPr>
        <w:spacing w:after="240"/>
        <w:jc w:val="both"/>
        <w:rPr>
          <w:rFonts w:cstheme="minorHAnsi"/>
        </w:rPr>
      </w:pPr>
      <w:r>
        <w:rPr>
          <w:rFonts w:cstheme="minorHAnsi"/>
        </w:rPr>
        <w:t>L’ouverture de la Tunisie aux échanges internationaux et son intégration dans les chaines de valeur mondiales (CVM) ont fortement progressé depuis le milieu des années 90, témoignant des avantages comparatifs du pays. Les exportations ont sensiblement augmenté, tirées par le secteur manufacturier, avec une transformation en faveur de secteurs plus intensifs en technologies et compétences. Le commerce extérieur est ainsi le troisième moteur de l’économie derrière la consommation et l’investissement. En 2018, les exportations de biens et services représentaient 45,7 % du PIB</w:t>
      </w:r>
      <w:r>
        <w:rPr>
          <w:rFonts w:cstheme="minorHAnsi"/>
          <w:vertAlign w:val="superscript"/>
        </w:rPr>
        <w:footnoteReference w:id="1"/>
      </w:r>
      <w:r>
        <w:rPr>
          <w:rFonts w:cstheme="minorHAnsi"/>
        </w:rPr>
        <w:t>. L'Union européenne est le principal partenaire commercial de la Tunisie, représentant plus de la moitié de ses importations et exportations.</w:t>
      </w:r>
    </w:p>
    <w:p w14:paraId="180543DF" w14:textId="77777777" w:rsidR="004A767E" w:rsidRDefault="00DA0DA7" w:rsidP="00D32CEA">
      <w:pPr>
        <w:spacing w:after="240"/>
        <w:jc w:val="both"/>
        <w:rPr>
          <w:rFonts w:cstheme="minorHAnsi"/>
        </w:rPr>
      </w:pPr>
      <w:r>
        <w:rPr>
          <w:rFonts w:cstheme="minorHAnsi"/>
        </w:rPr>
        <w:t>Toutefois l’économie tunisienne reste confrontée à des défis majeurs en matière de diversification de son économie et d’accès à de nouveaux marchés pour favoriser la création d’emplois et garantir la stabilité sociale et politique du pays. Elle est encore très exposée aux aléas cycliques des secteurs agricole (9 % du PIB) ou touristique (5 % du PIB, mais jusqu’à 14 % du PIB de manière indirecte)</w:t>
      </w:r>
      <w:r>
        <w:rPr>
          <w:rFonts w:cstheme="minorHAnsi"/>
          <w:vertAlign w:val="superscript"/>
        </w:rPr>
        <w:footnoteReference w:id="2"/>
      </w:r>
      <w:r>
        <w:rPr>
          <w:rFonts w:cstheme="minorHAnsi"/>
        </w:rPr>
        <w:t>. La croissance du PIB est essentiellement entretenue par la demande intérieure (73 % du PIB en 2019</w:t>
      </w:r>
      <w:r>
        <w:rPr>
          <w:vertAlign w:val="superscript"/>
        </w:rPr>
        <w:footnoteReference w:id="3"/>
      </w:r>
      <w:r>
        <w:rPr>
          <w:rFonts w:cstheme="minorHAnsi"/>
        </w:rPr>
        <w:t>), révélant la perte de compétitivité du pays vis-à-vis des marchés extérieurs.</w:t>
      </w:r>
    </w:p>
    <w:p w14:paraId="1D097D48" w14:textId="77777777" w:rsidR="004A767E" w:rsidRDefault="00DA0DA7" w:rsidP="00D32CEA">
      <w:pPr>
        <w:jc w:val="both"/>
        <w:rPr>
          <w:rFonts w:cstheme="minorHAnsi"/>
        </w:rPr>
      </w:pPr>
      <w:r>
        <w:rPr>
          <w:rFonts w:cstheme="minorHAnsi"/>
        </w:rPr>
        <w:lastRenderedPageBreak/>
        <w:t>L’accès à de nouveaux marchés est d’autant plus important que le marché intérieur tunisien est restreint et le potentiel d’échange avec l’Afrique largement sous-exploité. Malgré un taux de croissance annuel moyen de 12,4 % entre 2017 et 2018 des importations du continent africain en valeur, la Tunisie n’a réussi à capter que 0,11 % de ce marché</w:t>
      </w:r>
      <w:r>
        <w:rPr>
          <w:rFonts w:cstheme="minorHAnsi"/>
          <w:vertAlign w:val="superscript"/>
        </w:rPr>
        <w:footnoteReference w:id="4"/>
      </w:r>
      <w:r>
        <w:rPr>
          <w:rFonts w:cstheme="minorHAnsi"/>
        </w:rPr>
        <w:t>. Les exportations à destination de l’Afrique n’ont représenté que 10 % des exportations tunisiennes au cours de l’année 2020.</w:t>
      </w:r>
    </w:p>
    <w:p w14:paraId="101800A3" w14:textId="77777777" w:rsidR="004A767E" w:rsidRDefault="00DA0DA7" w:rsidP="00D32CEA">
      <w:pPr>
        <w:spacing w:after="240"/>
        <w:jc w:val="both"/>
        <w:rPr>
          <w:rFonts w:cstheme="minorHAnsi"/>
        </w:rPr>
      </w:pPr>
      <w:r>
        <w:rPr>
          <w:rFonts w:cstheme="minorHAnsi"/>
        </w:rPr>
        <w:t>Le marché africain étant en expansion avec une croissance moyenne deux fois supérieure à celles des économies avancées sur la dernière décennie, les opportunités d’exportation vers l’Afrique devraient se renforcer considérablement et être soutenus par les efforts d’intégration régionale (Zlecaf).</w:t>
      </w:r>
    </w:p>
    <w:p w14:paraId="03DD19A7" w14:textId="77777777" w:rsidR="004A767E" w:rsidRDefault="00DA0DA7" w:rsidP="00D32CEA">
      <w:pPr>
        <w:spacing w:after="240"/>
        <w:jc w:val="both"/>
        <w:rPr>
          <w:rFonts w:cstheme="minorHAnsi"/>
        </w:rPr>
      </w:pPr>
      <w:r>
        <w:rPr>
          <w:rFonts w:cstheme="minorHAnsi"/>
        </w:rPr>
        <w:t>Conscient de ce potentiel et des enjeux de diversification de son économie et de création d’emplois, le gouvernement tunisien travaille à intensifier les exportations et investissements sur le continent africain dans les années à venir. Il a ainsi commanditée une étude sur une stratégie d’internationalisation en Afrique des entreprises tunisiennes, qui a été menée par le cabinet Deloitte.</w:t>
      </w:r>
    </w:p>
    <w:p w14:paraId="542DC421" w14:textId="37EF990D" w:rsidR="004A767E" w:rsidRDefault="00DA0DA7" w:rsidP="00D32CEA">
      <w:pPr>
        <w:spacing w:after="240"/>
        <w:jc w:val="both"/>
        <w:rPr>
          <w:rFonts w:cstheme="minorHAnsi"/>
        </w:rPr>
      </w:pPr>
      <w:r>
        <w:rPr>
          <w:rFonts w:cstheme="minorHAnsi"/>
        </w:rPr>
        <w:t xml:space="preserve">C’est dans ce contexte et dans le cadre de la coopération bilatérale France-Tunisie, qu’Expertise France met en œuvre le projet </w:t>
      </w:r>
      <w:r w:rsidR="0077158B">
        <w:rPr>
          <w:rFonts w:cstheme="minorHAnsi"/>
        </w:rPr>
        <w:t xml:space="preserve">d’appui à l’internationalisation des entreprises tunisiennes à l’échelle du continent africain </w:t>
      </w:r>
      <w:r>
        <w:rPr>
          <w:rFonts w:cstheme="minorHAnsi"/>
        </w:rPr>
        <w:t>financé par l’AFD et qui vise à donner une suite opérationnelle à certaines recommandations formulées par Deloitte.</w:t>
      </w:r>
    </w:p>
    <w:p w14:paraId="7ACA031F" w14:textId="77777777" w:rsidR="004A767E" w:rsidRDefault="00DA0DA7" w:rsidP="00D32CEA">
      <w:pPr>
        <w:pStyle w:val="Titre2"/>
        <w:numPr>
          <w:ilvl w:val="0"/>
          <w:numId w:val="14"/>
        </w:numPr>
        <w:ind w:left="567" w:hanging="567"/>
        <w:jc w:val="both"/>
        <w:rPr>
          <w:sz w:val="32"/>
        </w:rPr>
      </w:pPr>
      <w:r>
        <w:rPr>
          <w:sz w:val="32"/>
        </w:rPr>
        <w:t>Présentation du projet</w:t>
      </w:r>
    </w:p>
    <w:p w14:paraId="32E6B400" w14:textId="550949B7" w:rsidR="004A767E" w:rsidRDefault="00DA0DA7" w:rsidP="00D32CEA">
      <w:pPr>
        <w:spacing w:after="240"/>
        <w:jc w:val="both"/>
        <w:rPr>
          <w:rFonts w:cstheme="minorHAnsi"/>
        </w:rPr>
      </w:pPr>
      <w:r>
        <w:rPr>
          <w:rFonts w:cstheme="minorHAnsi"/>
        </w:rPr>
        <w:t xml:space="preserve">Le projet </w:t>
      </w:r>
      <w:r w:rsidR="0077158B">
        <w:rPr>
          <w:rFonts w:cstheme="minorHAnsi"/>
        </w:rPr>
        <w:t>d’appui à l’internationalisation des entreprises tunisiennes à l’échelle du continent africain</w:t>
      </w:r>
      <w:r>
        <w:rPr>
          <w:rFonts w:cstheme="minorHAnsi"/>
        </w:rPr>
        <w:t xml:space="preserve"> a pour objectif de contribuer à la création d’emplois, au développement économique inclusif de la Tunisie et à son intégration aux marchés africains en appuyant l’internationalisation de ses entreprises</w:t>
      </w:r>
      <w:r w:rsidR="002321AD">
        <w:rPr>
          <w:rFonts w:cstheme="minorHAnsi"/>
        </w:rPr>
        <w:t xml:space="preserve"> </w:t>
      </w:r>
      <w:r>
        <w:rPr>
          <w:rFonts w:cstheme="minorHAnsi"/>
        </w:rPr>
        <w:t xml:space="preserve">sur le continent. Il repose principalement sur les résultats de l’étude sur la stratégie d’internationalisation des entreprises tunisiennes en Afrique. Cette étude a notamment identifié : </w:t>
      </w:r>
    </w:p>
    <w:p w14:paraId="579421AA" w14:textId="77777777" w:rsidR="004A767E" w:rsidRDefault="00DA0DA7" w:rsidP="00D32CEA">
      <w:pPr>
        <w:pStyle w:val="Default"/>
        <w:numPr>
          <w:ilvl w:val="0"/>
          <w:numId w:val="7"/>
        </w:numPr>
        <w:jc w:val="both"/>
        <w:rPr>
          <w:rFonts w:asciiTheme="minorHAnsi" w:eastAsia="Times New Roman" w:hAnsiTheme="minorHAnsi" w:cstheme="minorHAnsi"/>
          <w:color w:val="auto"/>
          <w:sz w:val="22"/>
          <w:szCs w:val="22"/>
          <w:lang w:eastAsia="fr-FR"/>
        </w:rPr>
      </w:pPr>
      <w:r>
        <w:rPr>
          <w:rFonts w:asciiTheme="minorHAnsi" w:eastAsia="Times New Roman" w:hAnsiTheme="minorHAnsi" w:cstheme="minorHAnsi"/>
          <w:b/>
          <w:color w:val="auto"/>
          <w:sz w:val="22"/>
          <w:szCs w:val="22"/>
          <w:lang w:eastAsia="fr-FR"/>
        </w:rPr>
        <w:t>5 secteurs porteurs pour les entreprises tunisiennes</w:t>
      </w:r>
      <w:r>
        <w:rPr>
          <w:rFonts w:asciiTheme="minorHAnsi" w:eastAsia="Times New Roman" w:hAnsiTheme="minorHAnsi" w:cstheme="minorHAnsi"/>
          <w:color w:val="auto"/>
          <w:sz w:val="22"/>
          <w:szCs w:val="22"/>
          <w:lang w:eastAsia="fr-FR"/>
        </w:rPr>
        <w:t xml:space="preserve"> et identifiés selon le niveau de corrélation entre les besoins des marchés cibles et l’offre tunisienne, l’intensité concurrentielle, la taille du marché adressable, la maturité des acteurs tunisiens et les barrières règlementaires et fiscales.</w:t>
      </w:r>
    </w:p>
    <w:p w14:paraId="68DC6367" w14:textId="77777777" w:rsidR="004A767E" w:rsidRDefault="004A767E" w:rsidP="00D32CEA">
      <w:pPr>
        <w:pStyle w:val="Default"/>
        <w:jc w:val="both"/>
        <w:rPr>
          <w:rFonts w:asciiTheme="minorHAnsi" w:eastAsia="Times New Roman" w:hAnsiTheme="minorHAnsi" w:cstheme="minorHAnsi"/>
          <w:color w:val="auto"/>
          <w:sz w:val="22"/>
          <w:szCs w:val="22"/>
          <w:lang w:eastAsia="fr-FR"/>
        </w:rPr>
      </w:pPr>
    </w:p>
    <w:p w14:paraId="69DE4ECA" w14:textId="77777777" w:rsidR="004A767E" w:rsidRDefault="00DA0DA7" w:rsidP="00D32CEA">
      <w:pPr>
        <w:pStyle w:val="Paragraphedeliste"/>
        <w:numPr>
          <w:ilvl w:val="1"/>
          <w:numId w:val="7"/>
        </w:numPr>
        <w:spacing w:after="0" w:line="240" w:lineRule="auto"/>
        <w:contextualSpacing w:val="0"/>
        <w:jc w:val="both"/>
        <w:rPr>
          <w:rFonts w:asciiTheme="minorHAnsi" w:eastAsia="Times New Roman" w:hAnsiTheme="minorHAnsi" w:cstheme="minorHAnsi"/>
          <w:lang w:eastAsia="fr-FR"/>
        </w:rPr>
      </w:pPr>
      <w:r>
        <w:rPr>
          <w:rFonts w:asciiTheme="minorHAnsi" w:eastAsia="Times New Roman" w:hAnsiTheme="minorHAnsi" w:cstheme="minorHAnsi"/>
          <w:lang w:eastAsia="fr-FR"/>
        </w:rPr>
        <w:t>Les TIC ;</w:t>
      </w:r>
    </w:p>
    <w:p w14:paraId="10819C90" w14:textId="77777777" w:rsidR="004A767E" w:rsidRDefault="00DA0DA7" w:rsidP="00D32CEA">
      <w:pPr>
        <w:pStyle w:val="Paragraphedeliste"/>
        <w:numPr>
          <w:ilvl w:val="1"/>
          <w:numId w:val="7"/>
        </w:numPr>
        <w:spacing w:after="0" w:line="240" w:lineRule="auto"/>
        <w:contextualSpacing w:val="0"/>
        <w:jc w:val="both"/>
        <w:rPr>
          <w:rFonts w:asciiTheme="minorHAnsi" w:eastAsia="Times New Roman" w:hAnsiTheme="minorHAnsi" w:cstheme="minorHAnsi"/>
          <w:lang w:eastAsia="fr-FR"/>
        </w:rPr>
      </w:pPr>
      <w:r>
        <w:rPr>
          <w:rFonts w:asciiTheme="minorHAnsi" w:eastAsia="Times New Roman" w:hAnsiTheme="minorHAnsi" w:cstheme="minorHAnsi"/>
          <w:lang w:eastAsia="fr-FR"/>
        </w:rPr>
        <w:t>L’agroalimentaire et les FMCG</w:t>
      </w:r>
      <w:r>
        <w:rPr>
          <w:rFonts w:asciiTheme="minorHAnsi" w:eastAsia="Times New Roman" w:hAnsiTheme="minorHAnsi"/>
          <w:vertAlign w:val="superscript"/>
          <w:lang w:eastAsia="fr-FR"/>
        </w:rPr>
        <w:footnoteReference w:id="5"/>
      </w:r>
      <w:r>
        <w:rPr>
          <w:rFonts w:asciiTheme="minorHAnsi" w:eastAsia="Times New Roman" w:hAnsiTheme="minorHAnsi" w:cstheme="minorHAnsi"/>
          <w:lang w:eastAsia="fr-FR"/>
        </w:rPr>
        <w:t> ;</w:t>
      </w:r>
    </w:p>
    <w:p w14:paraId="575FF97B" w14:textId="77777777" w:rsidR="004A767E" w:rsidRDefault="00DA0DA7" w:rsidP="00D32CEA">
      <w:pPr>
        <w:pStyle w:val="Paragraphedeliste"/>
        <w:numPr>
          <w:ilvl w:val="1"/>
          <w:numId w:val="7"/>
        </w:numPr>
        <w:spacing w:after="0" w:line="240" w:lineRule="auto"/>
        <w:contextualSpacing w:val="0"/>
        <w:jc w:val="both"/>
        <w:rPr>
          <w:rFonts w:asciiTheme="minorHAnsi" w:eastAsia="Times New Roman" w:hAnsiTheme="minorHAnsi" w:cstheme="minorHAnsi"/>
          <w:lang w:eastAsia="fr-FR"/>
        </w:rPr>
      </w:pPr>
      <w:r>
        <w:rPr>
          <w:rFonts w:asciiTheme="minorHAnsi" w:eastAsia="Times New Roman" w:hAnsiTheme="minorHAnsi" w:cstheme="minorHAnsi"/>
          <w:lang w:eastAsia="fr-FR"/>
        </w:rPr>
        <w:t>L’éducation et l’enseignement supérieur ;</w:t>
      </w:r>
    </w:p>
    <w:p w14:paraId="17F2D43B" w14:textId="77777777" w:rsidR="004A767E" w:rsidRDefault="00DA0DA7" w:rsidP="00D32CEA">
      <w:pPr>
        <w:pStyle w:val="Paragraphedeliste"/>
        <w:numPr>
          <w:ilvl w:val="1"/>
          <w:numId w:val="7"/>
        </w:numPr>
        <w:spacing w:after="0" w:line="240" w:lineRule="auto"/>
        <w:contextualSpacing w:val="0"/>
        <w:jc w:val="both"/>
        <w:rPr>
          <w:rFonts w:asciiTheme="minorHAnsi" w:eastAsia="Times New Roman" w:hAnsiTheme="minorHAnsi" w:cstheme="minorHAnsi"/>
          <w:lang w:eastAsia="fr-FR"/>
        </w:rPr>
      </w:pPr>
      <w:r>
        <w:rPr>
          <w:rFonts w:asciiTheme="minorHAnsi" w:eastAsia="Times New Roman" w:hAnsiTheme="minorHAnsi" w:cstheme="minorHAnsi"/>
          <w:lang w:eastAsia="fr-FR"/>
        </w:rPr>
        <w:t>La santé et l’industrie pharmaceutique ;</w:t>
      </w:r>
    </w:p>
    <w:p w14:paraId="59C4882A" w14:textId="77777777" w:rsidR="004A767E" w:rsidRDefault="00DA0DA7" w:rsidP="00D32CEA">
      <w:pPr>
        <w:pStyle w:val="Paragraphedeliste"/>
        <w:numPr>
          <w:ilvl w:val="1"/>
          <w:numId w:val="7"/>
        </w:numPr>
        <w:spacing w:after="0" w:line="240" w:lineRule="auto"/>
        <w:contextualSpacing w:val="0"/>
        <w:jc w:val="both"/>
        <w:rPr>
          <w:rFonts w:asciiTheme="minorHAnsi" w:eastAsia="Times New Roman" w:hAnsiTheme="minorHAnsi" w:cstheme="minorHAnsi"/>
          <w:lang w:eastAsia="fr-FR"/>
        </w:rPr>
      </w:pPr>
      <w:r>
        <w:rPr>
          <w:rFonts w:asciiTheme="minorHAnsi" w:eastAsia="Times New Roman" w:hAnsiTheme="minorHAnsi" w:cstheme="minorHAnsi"/>
          <w:lang w:eastAsia="fr-FR"/>
        </w:rPr>
        <w:t>Les BTP et services.</w:t>
      </w:r>
    </w:p>
    <w:p w14:paraId="63A89DF4" w14:textId="77777777" w:rsidR="004A767E" w:rsidRDefault="00DA0DA7" w:rsidP="00D32CEA">
      <w:pPr>
        <w:pStyle w:val="Paragraphedeliste"/>
        <w:numPr>
          <w:ilvl w:val="0"/>
          <w:numId w:val="7"/>
        </w:numPr>
        <w:spacing w:before="240" w:after="0" w:line="240" w:lineRule="auto"/>
        <w:contextualSpacing w:val="0"/>
        <w:jc w:val="both"/>
        <w:rPr>
          <w:rFonts w:asciiTheme="minorHAnsi" w:eastAsia="Times New Roman" w:hAnsiTheme="minorHAnsi" w:cstheme="minorHAnsi"/>
          <w:lang w:eastAsia="fr-FR"/>
        </w:rPr>
      </w:pPr>
      <w:r>
        <w:rPr>
          <w:rFonts w:asciiTheme="minorHAnsi" w:eastAsia="Times New Roman" w:hAnsiTheme="minorHAnsi" w:cstheme="minorHAnsi"/>
          <w:b/>
          <w:lang w:eastAsia="fr-FR"/>
        </w:rPr>
        <w:t>20 propositions de mesures sectorielles</w:t>
      </w:r>
      <w:r>
        <w:rPr>
          <w:rFonts w:asciiTheme="minorHAnsi" w:eastAsia="Times New Roman" w:hAnsiTheme="minorHAnsi" w:cstheme="minorHAnsi"/>
          <w:lang w:eastAsia="fr-FR"/>
        </w:rPr>
        <w:t xml:space="preserve"> pour les 5 secteurs susmentionnés.</w:t>
      </w:r>
    </w:p>
    <w:p w14:paraId="56C08CA8" w14:textId="77777777" w:rsidR="004A767E" w:rsidRDefault="00DA0DA7" w:rsidP="00D32CEA">
      <w:pPr>
        <w:pStyle w:val="Paragraphedeliste"/>
        <w:numPr>
          <w:ilvl w:val="0"/>
          <w:numId w:val="7"/>
        </w:numPr>
        <w:spacing w:line="240" w:lineRule="auto"/>
        <w:contextualSpacing w:val="0"/>
        <w:jc w:val="both"/>
        <w:rPr>
          <w:rFonts w:asciiTheme="minorHAnsi" w:eastAsia="Times New Roman" w:hAnsiTheme="minorHAnsi" w:cstheme="minorHAnsi"/>
          <w:lang w:eastAsia="fr-FR"/>
        </w:rPr>
      </w:pPr>
      <w:r>
        <w:rPr>
          <w:rFonts w:asciiTheme="minorHAnsi" w:eastAsia="Times New Roman" w:hAnsiTheme="minorHAnsi" w:cstheme="minorHAnsi"/>
          <w:b/>
          <w:lang w:eastAsia="fr-FR"/>
        </w:rPr>
        <w:t>15 pays priorisés</w:t>
      </w:r>
      <w:r>
        <w:rPr>
          <w:rFonts w:asciiTheme="minorHAnsi" w:eastAsia="Times New Roman" w:hAnsiTheme="minorHAnsi" w:cstheme="minorHAnsi"/>
          <w:lang w:eastAsia="fr-FR"/>
        </w:rPr>
        <w:t xml:space="preserve"> avec un « score d’opportunités » construit selon l’attractivité économique, le risque pays et les barrières à l’entrée.  Les pays d’Afrique Subsaharienne identifiés comme étant à plus fort potentiel pour les PME tunisiennes sont la Côte d’Ivoire, le Sénégal, le Kenya, le Cameroun, le Ghana, le Nigéria, la RDC, l’Éthiopie, le Rwanda, l’Afrique du Sud.</w:t>
      </w:r>
    </w:p>
    <w:p w14:paraId="33E0DBE7" w14:textId="1F08CE66" w:rsidR="004A767E" w:rsidRDefault="00DA0DA7" w:rsidP="00A42477">
      <w:pPr>
        <w:spacing w:after="240"/>
        <w:jc w:val="both"/>
        <w:rPr>
          <w:rFonts w:cstheme="minorHAnsi"/>
        </w:rPr>
      </w:pPr>
      <w:r>
        <w:rPr>
          <w:rFonts w:cstheme="minorHAnsi"/>
        </w:rPr>
        <w:t xml:space="preserve">Le projet </w:t>
      </w:r>
      <w:r w:rsidR="00FD01FA">
        <w:rPr>
          <w:rFonts w:cstheme="minorHAnsi"/>
        </w:rPr>
        <w:t>mettra en place des appels à projets (AAP) visant à soutenir</w:t>
      </w:r>
      <w:r>
        <w:rPr>
          <w:rFonts w:cstheme="minorHAnsi"/>
        </w:rPr>
        <w:t xml:space="preserve"> des initiatives innovantes en matière d’export et/ou d’internationalisation. Des subventions et/ou une assistance technique seront apportées aux PME retenues dans le cadre de ces AAP et selon des critères d’éligibilité préalablement définis. </w:t>
      </w:r>
      <w:r w:rsidR="00A42477">
        <w:rPr>
          <w:rFonts w:cstheme="minorHAnsi"/>
        </w:rPr>
        <w:t>En cours de validation, l</w:t>
      </w:r>
      <w:r>
        <w:rPr>
          <w:rFonts w:cstheme="minorHAnsi"/>
        </w:rPr>
        <w:t xml:space="preserve">es AAP </w:t>
      </w:r>
      <w:r w:rsidR="002321AD">
        <w:rPr>
          <w:rFonts w:cstheme="minorHAnsi"/>
        </w:rPr>
        <w:t xml:space="preserve">pourraient </w:t>
      </w:r>
      <w:r>
        <w:rPr>
          <w:rFonts w:cstheme="minorHAnsi"/>
        </w:rPr>
        <w:t>concerne</w:t>
      </w:r>
      <w:r w:rsidR="002321AD">
        <w:rPr>
          <w:rFonts w:cstheme="minorHAnsi"/>
        </w:rPr>
        <w:t>r</w:t>
      </w:r>
      <w:r>
        <w:rPr>
          <w:rFonts w:cstheme="minorHAnsi"/>
        </w:rPr>
        <w:t xml:space="preserve"> entre autre l’accompagnement des PME gérées par des femmes, l’accompagnement à l’international de solutions innovantes d’un point de vue social/environnemental, l’accompagnement à l’export/l’internationalisation de PME à fort potentiel d’impact social, l’appui à la mise à niveau en matières de normes environnementales et sociales pour l’export/l’internationalisation.</w:t>
      </w:r>
    </w:p>
    <w:p w14:paraId="546102B6" w14:textId="77777777" w:rsidR="004A767E" w:rsidRDefault="00DA0DA7" w:rsidP="00D32CEA">
      <w:pPr>
        <w:pStyle w:val="Titre2"/>
        <w:numPr>
          <w:ilvl w:val="0"/>
          <w:numId w:val="14"/>
        </w:numPr>
        <w:ind w:left="567" w:hanging="567"/>
        <w:jc w:val="both"/>
        <w:rPr>
          <w:sz w:val="32"/>
        </w:rPr>
      </w:pPr>
      <w:r>
        <w:rPr>
          <w:sz w:val="32"/>
        </w:rPr>
        <w:t>Description de la mission</w:t>
      </w:r>
    </w:p>
    <w:p w14:paraId="28B1D922" w14:textId="77777777" w:rsidR="004A767E" w:rsidRDefault="00DA0DA7" w:rsidP="00D32CEA">
      <w:pPr>
        <w:pStyle w:val="Titre2"/>
        <w:numPr>
          <w:ilvl w:val="1"/>
          <w:numId w:val="14"/>
        </w:numPr>
        <w:jc w:val="both"/>
        <w:rPr>
          <w:sz w:val="28"/>
        </w:rPr>
      </w:pPr>
      <w:r>
        <w:rPr>
          <w:sz w:val="28"/>
        </w:rPr>
        <w:t>Objectifs</w:t>
      </w:r>
    </w:p>
    <w:p w14:paraId="49E3BF19" w14:textId="2FE767E4" w:rsidR="004A767E" w:rsidRDefault="00DA0DA7" w:rsidP="00D32CEA">
      <w:pPr>
        <w:ind w:left="142"/>
        <w:jc w:val="both"/>
        <w:rPr>
          <w:rFonts w:cstheme="minorHAnsi"/>
        </w:rPr>
      </w:pPr>
      <w:r>
        <w:rPr>
          <w:rFonts w:cs="Calibri"/>
          <w:color w:val="000000"/>
        </w:rPr>
        <w:t xml:space="preserve">Le projet étant en </w:t>
      </w:r>
      <w:r w:rsidR="00E05080">
        <w:rPr>
          <w:rFonts w:cs="Calibri"/>
          <w:color w:val="000000"/>
        </w:rPr>
        <w:t xml:space="preserve">phase </w:t>
      </w:r>
      <w:r>
        <w:rPr>
          <w:rFonts w:cs="Calibri"/>
          <w:color w:val="000000"/>
        </w:rPr>
        <w:t xml:space="preserve">de </w:t>
      </w:r>
      <w:r w:rsidR="00F15BBB">
        <w:rPr>
          <w:rFonts w:cs="Calibri"/>
          <w:color w:val="000000"/>
        </w:rPr>
        <w:t>démarrage</w:t>
      </w:r>
      <w:r w:rsidR="00E05080">
        <w:rPr>
          <w:rFonts w:cs="Calibri"/>
          <w:color w:val="000000"/>
        </w:rPr>
        <w:t>,</w:t>
      </w:r>
      <w:r w:rsidR="00C71ABA">
        <w:rPr>
          <w:rFonts w:cs="Calibri"/>
          <w:color w:val="000000"/>
        </w:rPr>
        <w:t xml:space="preserve"> l’expert permettra d’aider à mettre en place le plan environnemental et social</w:t>
      </w:r>
      <w:r w:rsidR="000712A6">
        <w:rPr>
          <w:rFonts w:cs="Calibri"/>
          <w:color w:val="000000"/>
        </w:rPr>
        <w:t xml:space="preserve"> du projet</w:t>
      </w:r>
      <w:r w:rsidR="00E05080">
        <w:rPr>
          <w:rFonts w:cs="Calibri"/>
          <w:color w:val="000000"/>
        </w:rPr>
        <w:t>, et ainsi :</w:t>
      </w:r>
      <w:r w:rsidR="00C71ABA">
        <w:rPr>
          <w:rFonts w:cs="Calibri"/>
          <w:color w:val="000000"/>
        </w:rPr>
        <w:t xml:space="preserve"> </w:t>
      </w:r>
    </w:p>
    <w:p w14:paraId="10957328" w14:textId="77777777" w:rsidR="004A767E" w:rsidRDefault="00DA0DA7" w:rsidP="00D32CEA">
      <w:pPr>
        <w:pStyle w:val="Paragraphedeliste"/>
        <w:numPr>
          <w:ilvl w:val="0"/>
          <w:numId w:val="21"/>
        </w:numPr>
        <w:spacing w:after="0" w:line="240" w:lineRule="auto"/>
        <w:ind w:left="709" w:hanging="349"/>
        <w:jc w:val="both"/>
        <w:rPr>
          <w:rFonts w:asciiTheme="minorHAnsi" w:hAnsiTheme="minorHAnsi" w:cstheme="minorHAnsi"/>
          <w:szCs w:val="24"/>
        </w:rPr>
      </w:pPr>
      <w:r>
        <w:rPr>
          <w:szCs w:val="24"/>
        </w:rPr>
        <w:t>D’identifier des mesures réalistes et un plan opérationnel pour prendre en considération, gérer et atténuer ou bonifier les impacts attendus du projet ;</w:t>
      </w:r>
    </w:p>
    <w:p w14:paraId="506F91A8" w14:textId="77777777" w:rsidR="004A767E" w:rsidRDefault="00DA0DA7" w:rsidP="00D32CEA">
      <w:pPr>
        <w:pStyle w:val="Paragraphedeliste"/>
        <w:numPr>
          <w:ilvl w:val="0"/>
          <w:numId w:val="21"/>
        </w:numPr>
        <w:spacing w:after="0" w:line="240" w:lineRule="auto"/>
        <w:ind w:left="709" w:hanging="349"/>
        <w:jc w:val="both"/>
        <w:rPr>
          <w:rFonts w:asciiTheme="minorHAnsi" w:hAnsiTheme="minorHAnsi" w:cstheme="minorHAnsi"/>
          <w:szCs w:val="24"/>
        </w:rPr>
      </w:pPr>
      <w:r>
        <w:rPr>
          <w:rFonts w:asciiTheme="minorHAnsi" w:hAnsiTheme="minorHAnsi" w:cstheme="minorHAnsi"/>
          <w:szCs w:val="24"/>
        </w:rPr>
        <w:t>De contribuer à la prise en compte, dans le processus de mise en œuvre, des considérations environnementales et sociales en particulier :</w:t>
      </w:r>
    </w:p>
    <w:p w14:paraId="6333C8D9" w14:textId="77777777" w:rsidR="004A767E" w:rsidRDefault="00DA0DA7" w:rsidP="009933D7">
      <w:pPr>
        <w:pStyle w:val="Paragraphedeliste"/>
        <w:numPr>
          <w:ilvl w:val="1"/>
          <w:numId w:val="21"/>
        </w:numPr>
        <w:spacing w:before="240" w:line="240" w:lineRule="auto"/>
        <w:ind w:left="993" w:hanging="219"/>
        <w:jc w:val="both"/>
        <w:rPr>
          <w:rFonts w:asciiTheme="minorHAnsi" w:hAnsiTheme="minorHAnsi" w:cstheme="minorHAnsi"/>
          <w:bCs/>
        </w:rPr>
      </w:pPr>
      <w:r>
        <w:rPr>
          <w:rFonts w:asciiTheme="minorHAnsi" w:hAnsiTheme="minorHAnsi" w:cstheme="minorHAnsi"/>
          <w:bCs/>
        </w:rPr>
        <w:t>La manière dont le projet pourrait favoriser l'égalité hommes-femmes et le développement à l’international des activités économiques gérées par des femmes ;</w:t>
      </w:r>
    </w:p>
    <w:p w14:paraId="54AD1F79" w14:textId="77777777" w:rsidR="004A767E" w:rsidRDefault="00DA0DA7" w:rsidP="009933D7">
      <w:pPr>
        <w:pStyle w:val="Paragraphedeliste"/>
        <w:numPr>
          <w:ilvl w:val="1"/>
          <w:numId w:val="21"/>
        </w:numPr>
        <w:spacing w:before="240" w:line="240" w:lineRule="auto"/>
        <w:ind w:left="993" w:hanging="219"/>
        <w:jc w:val="both"/>
        <w:rPr>
          <w:rFonts w:asciiTheme="minorHAnsi" w:hAnsiTheme="minorHAnsi" w:cstheme="minorHAnsi"/>
          <w:bCs/>
        </w:rPr>
      </w:pPr>
      <w:r>
        <w:rPr>
          <w:rFonts w:asciiTheme="minorHAnsi" w:hAnsiTheme="minorHAnsi" w:cstheme="minorHAnsi"/>
          <w:bCs/>
        </w:rPr>
        <w:t xml:space="preserve">La manière dont le projet pourrait atténuer les risques de distorsion entre les entreprises ; </w:t>
      </w:r>
    </w:p>
    <w:p w14:paraId="109D3B5A" w14:textId="77777777" w:rsidR="004A767E" w:rsidRDefault="00DA0DA7" w:rsidP="009933D7">
      <w:pPr>
        <w:pStyle w:val="Paragraphedeliste"/>
        <w:numPr>
          <w:ilvl w:val="1"/>
          <w:numId w:val="21"/>
        </w:numPr>
        <w:spacing w:after="0" w:line="240" w:lineRule="auto"/>
        <w:ind w:left="993" w:hanging="219"/>
        <w:jc w:val="both"/>
        <w:rPr>
          <w:rFonts w:asciiTheme="minorHAnsi" w:hAnsiTheme="minorHAnsi" w:cstheme="minorHAnsi"/>
          <w:szCs w:val="24"/>
        </w:rPr>
      </w:pPr>
      <w:r>
        <w:rPr>
          <w:rFonts w:asciiTheme="minorHAnsi" w:hAnsiTheme="minorHAnsi" w:cstheme="minorHAnsi"/>
          <w:bCs/>
        </w:rPr>
        <w:t>La manière dont le projet pourrait renforcer la responsabilisation des parties prenantes</w:t>
      </w:r>
      <w:r>
        <w:rPr>
          <w:rFonts w:asciiTheme="minorHAnsi" w:hAnsiTheme="minorHAnsi" w:cstheme="minorHAnsi"/>
          <w:szCs w:val="24"/>
        </w:rPr>
        <w:t xml:space="preserve"> ; </w:t>
      </w:r>
    </w:p>
    <w:p w14:paraId="7AFAAFBA" w14:textId="77777777" w:rsidR="004A767E" w:rsidRDefault="00DA0DA7" w:rsidP="00D32CEA">
      <w:pPr>
        <w:pStyle w:val="Paragraphedeliste"/>
        <w:numPr>
          <w:ilvl w:val="0"/>
          <w:numId w:val="21"/>
        </w:numPr>
        <w:jc w:val="both"/>
        <w:rPr>
          <w:rFonts w:cstheme="minorHAnsi"/>
          <w:i/>
        </w:rPr>
      </w:pPr>
      <w:r>
        <w:rPr>
          <w:rFonts w:asciiTheme="minorHAnsi" w:hAnsiTheme="minorHAnsi" w:cstheme="minorHAnsi"/>
        </w:rPr>
        <w:t xml:space="preserve">De renforcer le prisme de développement durable et inclusif du projet ; </w:t>
      </w:r>
    </w:p>
    <w:p w14:paraId="7E347012" w14:textId="77777777" w:rsidR="004A767E" w:rsidRDefault="00DA0DA7" w:rsidP="00D32CEA">
      <w:pPr>
        <w:pStyle w:val="Paragraphedeliste"/>
        <w:numPr>
          <w:ilvl w:val="0"/>
          <w:numId w:val="21"/>
        </w:numPr>
        <w:jc w:val="both"/>
        <w:rPr>
          <w:rFonts w:asciiTheme="minorHAnsi" w:hAnsiTheme="minorHAnsi" w:cstheme="minorHAnsi"/>
        </w:rPr>
      </w:pPr>
      <w:r>
        <w:rPr>
          <w:rFonts w:asciiTheme="minorHAnsi" w:hAnsiTheme="minorHAnsi" w:cstheme="minorHAnsi"/>
        </w:rPr>
        <w:t>de guider l’élaboration de lignes directrices des futurs appels à projet</w:t>
      </w:r>
      <w:r>
        <w:rPr>
          <w:rFonts w:cstheme="minorHAnsi"/>
        </w:rPr>
        <w:t xml:space="preserve"> pour une bonne prise en compte des dimensions environnementales et sociale (l’inclusion des femmes en particulier).</w:t>
      </w:r>
    </w:p>
    <w:p w14:paraId="3CBC6C55" w14:textId="77777777" w:rsidR="004A767E" w:rsidRDefault="00DA0DA7" w:rsidP="00D32CEA">
      <w:pPr>
        <w:tabs>
          <w:tab w:val="left" w:pos="3660"/>
        </w:tabs>
        <w:jc w:val="both"/>
      </w:pPr>
      <w:r>
        <w:rPr>
          <w:rFonts w:cstheme="minorHAnsi"/>
          <w:bCs/>
        </w:rPr>
        <w:t xml:space="preserve">Ces éléments de réponse doivent permettre </w:t>
      </w:r>
      <w:r>
        <w:t>d’intégrer dans la finalisation du projet la meilleure information possible sur les risques environnementaux et sociaux, de renforcer les liens entre les activités envisagées et les impacts en matière d’atteinte des ODD.</w:t>
      </w:r>
    </w:p>
    <w:p w14:paraId="2394D438" w14:textId="77777777" w:rsidR="004A767E" w:rsidRDefault="00DA0DA7" w:rsidP="00D32CEA">
      <w:pPr>
        <w:pStyle w:val="Titre2"/>
        <w:numPr>
          <w:ilvl w:val="1"/>
          <w:numId w:val="14"/>
        </w:numPr>
        <w:jc w:val="both"/>
        <w:rPr>
          <w:sz w:val="28"/>
        </w:rPr>
      </w:pPr>
      <w:r>
        <w:rPr>
          <w:sz w:val="28"/>
        </w:rPr>
        <w:t>Déroulé et contenu de la mission</w:t>
      </w:r>
    </w:p>
    <w:p w14:paraId="1F9E2BEE" w14:textId="77777777" w:rsidR="004A767E" w:rsidRDefault="00DA0DA7" w:rsidP="00D32CEA">
      <w:pPr>
        <w:jc w:val="both"/>
        <w:rPr>
          <w:rFonts w:ascii="Calibri" w:hAnsi="Calibri" w:cs="Calibri"/>
          <w:color w:val="000000"/>
        </w:rPr>
      </w:pPr>
      <w:r>
        <w:rPr>
          <w:rFonts w:ascii="Calibri" w:hAnsi="Calibri" w:cs="Calibri"/>
          <w:color w:val="000000"/>
        </w:rPr>
        <w:t>La mission portera sur la Tunisie. Le consultant doit être basé en Tunisie. Aucun déplacement international n’est prévu dans le cadre de la mission.</w:t>
      </w:r>
    </w:p>
    <w:p w14:paraId="12081D29" w14:textId="45C6F3D4" w:rsidR="004A767E" w:rsidRDefault="00DA0DA7" w:rsidP="00D32CEA">
      <w:pPr>
        <w:jc w:val="both"/>
        <w:rPr>
          <w:rFonts w:ascii="Calibri" w:hAnsi="Calibri" w:cs="Calibri"/>
          <w:color w:val="000000"/>
        </w:rPr>
      </w:pPr>
      <w:r>
        <w:rPr>
          <w:rFonts w:ascii="Calibri" w:hAnsi="Calibri" w:cs="Calibri"/>
          <w:color w:val="000000"/>
        </w:rPr>
        <w:t>Les tâches suivantes sont assignées au consultant :</w:t>
      </w:r>
    </w:p>
    <w:p w14:paraId="5C535D3F" w14:textId="77777777" w:rsidR="004A767E" w:rsidRDefault="000712A6" w:rsidP="00D32CEA">
      <w:pPr>
        <w:pStyle w:val="Paragraphedeliste"/>
        <w:numPr>
          <w:ilvl w:val="0"/>
          <w:numId w:val="23"/>
        </w:numPr>
        <w:spacing w:after="0"/>
        <w:jc w:val="both"/>
        <w:rPr>
          <w:rFonts w:cs="Calibri"/>
          <w:b/>
          <w:color w:val="000000"/>
        </w:rPr>
      </w:pPr>
      <w:r>
        <w:rPr>
          <w:rFonts w:cs="Calibri"/>
          <w:b/>
          <w:color w:val="000000"/>
        </w:rPr>
        <w:t>Rédaction du PGES</w:t>
      </w:r>
    </w:p>
    <w:p w14:paraId="052D324D" w14:textId="77777777" w:rsidR="004A767E" w:rsidRDefault="00DA0DA7" w:rsidP="00D32CEA">
      <w:pPr>
        <w:jc w:val="both"/>
        <w:rPr>
          <w:rFonts w:ascii="Calibri" w:hAnsi="Calibri"/>
        </w:rPr>
      </w:pPr>
      <w:r>
        <w:rPr>
          <w:rFonts w:ascii="Calibri" w:hAnsi="Calibri"/>
        </w:rPr>
        <w:t xml:space="preserve">Le Consultant </w:t>
      </w:r>
      <w:r w:rsidR="000712A6">
        <w:rPr>
          <w:rFonts w:ascii="Calibri" w:hAnsi="Calibri"/>
        </w:rPr>
        <w:t>prendra en compte</w:t>
      </w:r>
      <w:r>
        <w:rPr>
          <w:rFonts w:ascii="Calibri" w:hAnsi="Calibri"/>
        </w:rPr>
        <w:t xml:space="preserve"> le contexte légal, réglementaire et institutionnel qui s'applique au projet, tant sur les aspects environnementaux que sociaux, à savoir :</w:t>
      </w:r>
    </w:p>
    <w:p w14:paraId="31EF637A" w14:textId="77777777" w:rsidR="004A767E" w:rsidRDefault="00DA0DA7" w:rsidP="00D32CEA">
      <w:pPr>
        <w:pStyle w:val="Paragraphedeliste"/>
        <w:numPr>
          <w:ilvl w:val="0"/>
          <w:numId w:val="25"/>
        </w:numPr>
        <w:jc w:val="both"/>
      </w:pPr>
      <w:r>
        <w:t>Les textes internationaux portant sur des questions environnementales et sociales ratifiés par le pays et pertinents pour le projet ;</w:t>
      </w:r>
    </w:p>
    <w:p w14:paraId="47C81F4E" w14:textId="77777777" w:rsidR="004A767E" w:rsidRDefault="00DA0DA7" w:rsidP="00D32CEA">
      <w:pPr>
        <w:pStyle w:val="Paragraphedeliste"/>
        <w:numPr>
          <w:ilvl w:val="0"/>
          <w:numId w:val="25"/>
        </w:numPr>
        <w:jc w:val="both"/>
      </w:pPr>
      <w:r>
        <w:rPr>
          <w:rFonts w:cstheme="minorBidi"/>
        </w:rPr>
        <w:t xml:space="preserve">La réglementation nationale applicable en termes environnementaux et sociaux (ex : projets requérant une </w:t>
      </w:r>
      <w:r>
        <w:t>Étude</w:t>
      </w:r>
      <w:r>
        <w:rPr>
          <w:rFonts w:cstheme="minorBidi"/>
        </w:rPr>
        <w:t xml:space="preserve"> d’impact E&amp;S, contenu attendu d’une </w:t>
      </w:r>
      <w:r>
        <w:t>Étude</w:t>
      </w:r>
      <w:r>
        <w:rPr>
          <w:rFonts w:cstheme="minorBidi"/>
        </w:rPr>
        <w:t xml:space="preserve"> d’impact E&amp;S, etc.) ;</w:t>
      </w:r>
    </w:p>
    <w:p w14:paraId="6365C0F6" w14:textId="77777777" w:rsidR="004A767E" w:rsidRDefault="00DA0DA7" w:rsidP="00D32CEA">
      <w:pPr>
        <w:pStyle w:val="Paragraphedeliste"/>
        <w:numPr>
          <w:ilvl w:val="0"/>
          <w:numId w:val="25"/>
        </w:numPr>
        <w:spacing w:after="0"/>
        <w:jc w:val="both"/>
      </w:pPr>
      <w:r>
        <w:rPr>
          <w:rFonts w:cstheme="minorBidi"/>
        </w:rPr>
        <w:t>Le dispositif et le processus opérationnel nécessaire à la validation de la documentation E&amp;S par les autorités nationales compétentes (autorisations environnementales et autres permis à prévoir, par exemple). Le Consultant devra identifier les institutions en charge de la mise en œuvre des réglementations environnementales et sociales, ainsi que les procédures et les acteurs impliqués dans l'obtention des autorisations environnementales et sociales.</w:t>
      </w:r>
    </w:p>
    <w:p w14:paraId="51A87E19" w14:textId="77777777" w:rsidR="004A767E" w:rsidRDefault="004A767E" w:rsidP="00D32CEA">
      <w:pPr>
        <w:spacing w:after="0"/>
        <w:jc w:val="both"/>
        <w:rPr>
          <w:rFonts w:cs="Calibri"/>
          <w:b/>
          <w:color w:val="000000"/>
        </w:rPr>
      </w:pPr>
    </w:p>
    <w:p w14:paraId="6DF5546D" w14:textId="77777777" w:rsidR="004A767E" w:rsidRDefault="00DA0DA7" w:rsidP="00D32CEA">
      <w:pPr>
        <w:tabs>
          <w:tab w:val="left" w:pos="0"/>
        </w:tabs>
        <w:autoSpaceDE w:val="0"/>
        <w:autoSpaceDN w:val="0"/>
        <w:adjustRightInd w:val="0"/>
        <w:spacing w:after="0" w:line="240" w:lineRule="auto"/>
        <w:jc w:val="both"/>
        <w:rPr>
          <w:rStyle w:val="tlid-translation"/>
          <w:rFonts w:ascii="Times New Roman" w:hAnsi="Times New Roman" w:cs="Times New Roman"/>
          <w:sz w:val="20"/>
          <w:szCs w:val="20"/>
        </w:rPr>
      </w:pPr>
      <w:r>
        <w:rPr>
          <w:rStyle w:val="tlid-translation"/>
        </w:rPr>
        <w:t>Concernant les normes environnementales et sociales applicables par l’AFD, le Consultant se référera aux documents suivants :</w:t>
      </w:r>
    </w:p>
    <w:p w14:paraId="6A55DB67" w14:textId="77777777" w:rsidR="009933D7" w:rsidRPr="009933D7" w:rsidRDefault="00DA0DA7" w:rsidP="00D32CEA">
      <w:pPr>
        <w:pStyle w:val="Paragraphedeliste"/>
        <w:numPr>
          <w:ilvl w:val="0"/>
          <w:numId w:val="30"/>
        </w:numPr>
        <w:spacing w:after="0" w:line="240" w:lineRule="auto"/>
        <w:jc w:val="both"/>
        <w:rPr>
          <w:rStyle w:val="Lienhypertexte"/>
          <w:rFonts w:asciiTheme="minorHAnsi" w:hAnsiTheme="minorHAnsi" w:cstheme="minorHAnsi"/>
          <w:color w:val="auto"/>
          <w:sz w:val="20"/>
          <w:szCs w:val="20"/>
          <w:u w:val="none"/>
          <w:lang w:eastAsia="en-US"/>
        </w:rPr>
      </w:pPr>
      <w:r>
        <w:rPr>
          <w:rFonts w:asciiTheme="minorHAnsi" w:hAnsiTheme="minorHAnsi" w:cstheme="minorHAnsi"/>
          <w:sz w:val="20"/>
          <w:szCs w:val="20"/>
        </w:rPr>
        <w:t xml:space="preserve">Politique de maîtrise des risques E&amp;S de l’AFD : </w:t>
      </w:r>
      <w:hyperlink r:id="rId8" w:history="1">
        <w:r>
          <w:rPr>
            <w:rStyle w:val="Lienhypertexte"/>
            <w:rFonts w:asciiTheme="minorHAnsi" w:hAnsiTheme="minorHAnsi" w:cstheme="minorHAnsi"/>
            <w:sz w:val="20"/>
            <w:szCs w:val="20"/>
          </w:rPr>
          <w:t>https://www.afd.fr/fr/ressources/politique-de-maitrise-des-risques-environnementaux-et-sociaux-lies-aux-operations-financees-par-lafd</w:t>
        </w:r>
      </w:hyperlink>
    </w:p>
    <w:p w14:paraId="6DC159EA" w14:textId="1BDB6D8D" w:rsidR="004A767E" w:rsidRPr="009933D7" w:rsidRDefault="00DA0DA7" w:rsidP="00D32CEA">
      <w:pPr>
        <w:pStyle w:val="Paragraphedeliste"/>
        <w:numPr>
          <w:ilvl w:val="0"/>
          <w:numId w:val="30"/>
        </w:numPr>
        <w:spacing w:after="0" w:line="240" w:lineRule="auto"/>
        <w:jc w:val="both"/>
        <w:rPr>
          <w:rFonts w:asciiTheme="minorHAnsi" w:hAnsiTheme="minorHAnsi" w:cstheme="minorHAnsi"/>
          <w:sz w:val="20"/>
          <w:szCs w:val="20"/>
        </w:rPr>
      </w:pPr>
      <w:r>
        <w:rPr>
          <w:rFonts w:asciiTheme="minorHAnsi" w:hAnsiTheme="minorHAnsi" w:cstheme="minorHAnsi"/>
          <w:bCs/>
          <w:sz w:val="20"/>
          <w:szCs w:val="20"/>
        </w:rPr>
        <w:t xml:space="preserve">Conventions fondamentales de l’OIT ratifiées par le pays : </w:t>
      </w:r>
      <w:hyperlink r:id="rId9" w:history="1">
        <w:r>
          <w:rPr>
            <w:rStyle w:val="Lienhypertexte"/>
            <w:rFonts w:asciiTheme="minorHAnsi" w:hAnsiTheme="minorHAnsi" w:cstheme="minorHAnsi"/>
            <w:bCs/>
            <w:sz w:val="20"/>
            <w:szCs w:val="20"/>
          </w:rPr>
          <w:t>https://www.ilo.org/dyn/normlex/en/f?p=1000:11001:::NO</w:t>
        </w:r>
      </w:hyperlink>
    </w:p>
    <w:p w14:paraId="2DA3488A" w14:textId="34D0B010" w:rsidR="004A767E" w:rsidRPr="009933D7" w:rsidRDefault="00DA0DA7" w:rsidP="00D32CEA">
      <w:pPr>
        <w:pStyle w:val="Paragraphedeliste"/>
        <w:numPr>
          <w:ilvl w:val="0"/>
          <w:numId w:val="30"/>
        </w:numPr>
        <w:spacing w:after="0" w:line="240" w:lineRule="auto"/>
        <w:jc w:val="both"/>
        <w:rPr>
          <w:rFonts w:asciiTheme="minorHAnsi" w:hAnsiTheme="minorHAnsi" w:cstheme="minorHAnsi"/>
          <w:sz w:val="20"/>
          <w:szCs w:val="20"/>
        </w:rPr>
      </w:pPr>
      <w:r>
        <w:rPr>
          <w:rFonts w:asciiTheme="minorHAnsi" w:hAnsiTheme="minorHAnsi" w:cstheme="minorHAnsi"/>
          <w:bCs/>
          <w:sz w:val="20"/>
          <w:szCs w:val="20"/>
        </w:rPr>
        <w:t xml:space="preserve">Cadre environnemental et social de la Banque Mondiale: </w:t>
      </w:r>
      <w:hyperlink r:id="rId10" w:history="1">
        <w:r>
          <w:rPr>
            <w:rStyle w:val="Lienhypertexte"/>
            <w:rFonts w:asciiTheme="minorHAnsi" w:hAnsiTheme="minorHAnsi" w:cstheme="minorHAnsi"/>
            <w:bCs/>
            <w:sz w:val="20"/>
            <w:szCs w:val="20"/>
          </w:rPr>
          <w:t>https://projects.banquemondiale.org/fr/projects-operations/environmental-and-social-framework</w:t>
        </w:r>
      </w:hyperlink>
    </w:p>
    <w:p w14:paraId="6C22AA93" w14:textId="5568F766" w:rsidR="004A767E" w:rsidRDefault="00DA0DA7" w:rsidP="00721C3E">
      <w:pPr>
        <w:pStyle w:val="Paragraphedeliste"/>
        <w:numPr>
          <w:ilvl w:val="0"/>
          <w:numId w:val="25"/>
        </w:numPr>
        <w:spacing w:after="0"/>
        <w:jc w:val="both"/>
        <w:rPr>
          <w:rFonts w:cstheme="minorHAnsi"/>
          <w:color w:val="000000"/>
          <w:sz w:val="20"/>
          <w:szCs w:val="20"/>
        </w:rPr>
      </w:pPr>
      <w:r>
        <w:rPr>
          <w:rFonts w:asciiTheme="minorHAnsi" w:hAnsiTheme="minorHAnsi" w:cstheme="minorHAnsi"/>
          <w:color w:val="000000"/>
          <w:sz w:val="20"/>
          <w:szCs w:val="20"/>
        </w:rPr>
        <w:t>La liste d’exclusion de l’AFD</w:t>
      </w:r>
      <w:r w:rsidR="009933D7">
        <w:rPr>
          <w:rFonts w:asciiTheme="minorHAnsi" w:hAnsiTheme="minorHAnsi" w:cstheme="minorHAnsi"/>
          <w:color w:val="000000"/>
          <w:sz w:val="20"/>
          <w:szCs w:val="20"/>
        </w:rPr>
        <w:t>.</w:t>
      </w:r>
      <w:r>
        <w:rPr>
          <w:rFonts w:asciiTheme="minorHAnsi" w:hAnsiTheme="minorHAnsi" w:cstheme="minorHAnsi"/>
          <w:color w:val="000000"/>
          <w:sz w:val="20"/>
          <w:szCs w:val="20"/>
        </w:rPr>
        <w:t xml:space="preserve"> </w:t>
      </w:r>
    </w:p>
    <w:p w14:paraId="08F6BE72" w14:textId="77777777" w:rsidR="004A767E" w:rsidRDefault="004A767E" w:rsidP="00D32CEA">
      <w:pPr>
        <w:spacing w:after="0"/>
        <w:jc w:val="both"/>
        <w:rPr>
          <w:rFonts w:cs="Calibri"/>
          <w:b/>
          <w:color w:val="000000"/>
        </w:rPr>
      </w:pPr>
    </w:p>
    <w:p w14:paraId="7CF4C465" w14:textId="77777777" w:rsidR="004A767E" w:rsidRDefault="000712A6" w:rsidP="00D32CEA">
      <w:pPr>
        <w:pStyle w:val="Paragraphedeliste"/>
        <w:numPr>
          <w:ilvl w:val="0"/>
          <w:numId w:val="23"/>
        </w:numPr>
        <w:spacing w:after="0"/>
        <w:jc w:val="both"/>
        <w:rPr>
          <w:rFonts w:cs="Calibri"/>
          <w:b/>
          <w:color w:val="000000"/>
        </w:rPr>
      </w:pPr>
      <w:r>
        <w:rPr>
          <w:rFonts w:cs="Calibri"/>
          <w:b/>
          <w:color w:val="000000"/>
        </w:rPr>
        <w:t>Recommandations du plan d’engagement environnemental et social</w:t>
      </w:r>
    </w:p>
    <w:p w14:paraId="30636959" w14:textId="77777777" w:rsidR="004A767E" w:rsidRDefault="00DA0DA7" w:rsidP="00D32CEA">
      <w:pPr>
        <w:pStyle w:val="Paragraphedeliste"/>
        <w:numPr>
          <w:ilvl w:val="0"/>
          <w:numId w:val="23"/>
        </w:numPr>
        <w:spacing w:after="0"/>
        <w:jc w:val="both"/>
        <w:rPr>
          <w:rFonts w:cs="Calibri"/>
          <w:b/>
          <w:color w:val="000000"/>
        </w:rPr>
      </w:pPr>
      <w:r>
        <w:rPr>
          <w:rFonts w:cs="Calibri"/>
          <w:b/>
          <w:color w:val="000000"/>
        </w:rPr>
        <w:t>Détermination et description des impacts potentiels et des mesures de mitigation</w:t>
      </w:r>
    </w:p>
    <w:p w14:paraId="70CD4968" w14:textId="77777777" w:rsidR="00FA7451" w:rsidRDefault="006C219D" w:rsidP="00D32CEA">
      <w:pPr>
        <w:tabs>
          <w:tab w:val="left" w:pos="0"/>
        </w:tabs>
        <w:autoSpaceDE w:val="0"/>
        <w:autoSpaceDN w:val="0"/>
        <w:adjustRightInd w:val="0"/>
        <w:spacing w:after="0" w:line="240" w:lineRule="auto"/>
        <w:jc w:val="both"/>
      </w:pPr>
      <w:r>
        <w:t>Rédaction</w:t>
      </w:r>
      <w:r w:rsidR="00F0673C">
        <w:t xml:space="preserve"> d’une procédure, d’outils E&amp;S et</w:t>
      </w:r>
      <w:r w:rsidR="00FA7451" w:rsidRPr="00FA7451">
        <w:t xml:space="preserve"> clauses E&amp;S à insérer dans les conventions de subventions (et conventions de financements qui seront accordés aux PME dans le cadre du projet via des prestataires sélectionnés par appel à projet)</w:t>
      </w:r>
      <w:r w:rsidR="00FA7451">
        <w:t xml:space="preserve">. </w:t>
      </w:r>
    </w:p>
    <w:p w14:paraId="0E85FEF7" w14:textId="77777777" w:rsidR="00FA7451" w:rsidRDefault="00FA7451" w:rsidP="00D32CEA">
      <w:pPr>
        <w:tabs>
          <w:tab w:val="left" w:pos="0"/>
        </w:tabs>
        <w:autoSpaceDE w:val="0"/>
        <w:autoSpaceDN w:val="0"/>
        <w:adjustRightInd w:val="0"/>
        <w:spacing w:after="0" w:line="240" w:lineRule="auto"/>
        <w:jc w:val="both"/>
      </w:pPr>
    </w:p>
    <w:p w14:paraId="4592F7A9" w14:textId="77777777" w:rsidR="004A767E" w:rsidRDefault="00DA0DA7" w:rsidP="00D32CEA">
      <w:pPr>
        <w:tabs>
          <w:tab w:val="left" w:pos="0"/>
        </w:tabs>
        <w:autoSpaceDE w:val="0"/>
        <w:autoSpaceDN w:val="0"/>
        <w:adjustRightInd w:val="0"/>
        <w:spacing w:after="0" w:line="240" w:lineRule="auto"/>
        <w:jc w:val="both"/>
      </w:pPr>
      <w:r>
        <w:t xml:space="preserve">Dès le démarrage, le projet doit être conçu afin d’éviter, d’atténuer, de compenser ou de bonifier les risques environnementaux et sociaux. </w:t>
      </w:r>
    </w:p>
    <w:p w14:paraId="3233F57F" w14:textId="77777777" w:rsidR="004A767E" w:rsidRDefault="00DA0DA7" w:rsidP="00D32CEA">
      <w:pPr>
        <w:tabs>
          <w:tab w:val="left" w:pos="0"/>
        </w:tabs>
        <w:autoSpaceDE w:val="0"/>
        <w:autoSpaceDN w:val="0"/>
        <w:adjustRightInd w:val="0"/>
        <w:spacing w:after="0" w:line="240" w:lineRule="auto"/>
        <w:jc w:val="both"/>
      </w:pPr>
      <w:r>
        <w:t xml:space="preserve">À cette fin, le Consultant </w:t>
      </w:r>
      <w:r w:rsidR="00FA7451">
        <w:t xml:space="preserve">rédigera une procédure et proposera des outils E&amp;S à destination des bénéficiaires des appels à projets. Il, elle </w:t>
      </w:r>
      <w:r>
        <w:t>complètera la liste de vérification jointe sur les risques E&amp;S en identifiant et qualifiant ces risques, et proposera des mesures de maîtrise des risques pour le projet, entre autres, une proposition de critères d’éligibilité pour les appels à projets.</w:t>
      </w:r>
    </w:p>
    <w:p w14:paraId="0E5DE095" w14:textId="77777777" w:rsidR="004A767E" w:rsidRDefault="004A767E" w:rsidP="00D32CEA">
      <w:pPr>
        <w:tabs>
          <w:tab w:val="left" w:pos="0"/>
        </w:tabs>
        <w:autoSpaceDE w:val="0"/>
        <w:autoSpaceDN w:val="0"/>
        <w:adjustRightInd w:val="0"/>
        <w:spacing w:after="0" w:line="240" w:lineRule="auto"/>
        <w:jc w:val="both"/>
      </w:pPr>
    </w:p>
    <w:p w14:paraId="427D66A1" w14:textId="77777777" w:rsidR="004A767E" w:rsidRDefault="00DA0DA7" w:rsidP="00D32CEA">
      <w:pPr>
        <w:pStyle w:val="Paragraphedeliste"/>
        <w:numPr>
          <w:ilvl w:val="0"/>
          <w:numId w:val="23"/>
        </w:numPr>
        <w:tabs>
          <w:tab w:val="left" w:pos="0"/>
        </w:tabs>
        <w:autoSpaceDE w:val="0"/>
        <w:autoSpaceDN w:val="0"/>
        <w:adjustRightInd w:val="0"/>
        <w:spacing w:before="120" w:after="120" w:line="240" w:lineRule="auto"/>
        <w:jc w:val="both"/>
        <w:rPr>
          <w:rStyle w:val="tlid-translation"/>
          <w:rFonts w:asciiTheme="minorHAnsi" w:hAnsiTheme="minorHAnsi" w:cstheme="minorHAnsi"/>
          <w:b/>
        </w:rPr>
      </w:pPr>
      <w:r>
        <w:rPr>
          <w:rStyle w:val="tlid-translation"/>
          <w:rFonts w:asciiTheme="minorHAnsi" w:hAnsiTheme="minorHAnsi" w:cstheme="minorHAnsi"/>
          <w:b/>
        </w:rPr>
        <w:t xml:space="preserve">Suivi-évaluation </w:t>
      </w:r>
    </w:p>
    <w:p w14:paraId="5FD718A9" w14:textId="77777777" w:rsidR="004A767E" w:rsidRDefault="00DA0DA7" w:rsidP="00D32CEA">
      <w:pPr>
        <w:tabs>
          <w:tab w:val="left" w:pos="0"/>
        </w:tabs>
        <w:autoSpaceDE w:val="0"/>
        <w:autoSpaceDN w:val="0"/>
        <w:adjustRightInd w:val="0"/>
        <w:spacing w:after="0" w:line="240" w:lineRule="auto"/>
        <w:jc w:val="both"/>
        <w:rPr>
          <w:rStyle w:val="tlid-translation"/>
          <w:rFonts w:cstheme="minorHAnsi"/>
        </w:rPr>
      </w:pPr>
      <w:r>
        <w:rPr>
          <w:rStyle w:val="tlid-translation"/>
          <w:rFonts w:cstheme="minorHAnsi"/>
        </w:rPr>
        <w:t xml:space="preserve">L’objectif du suivi environnemental et social est de : </w:t>
      </w:r>
    </w:p>
    <w:p w14:paraId="59D9F3FE" w14:textId="77777777" w:rsidR="004A767E" w:rsidRDefault="00DA0DA7" w:rsidP="00D32CEA">
      <w:pPr>
        <w:pStyle w:val="Paragraphedeliste"/>
        <w:numPr>
          <w:ilvl w:val="0"/>
          <w:numId w:val="33"/>
        </w:numPr>
        <w:tabs>
          <w:tab w:val="left" w:pos="0"/>
        </w:tabs>
        <w:autoSpaceDE w:val="0"/>
        <w:autoSpaceDN w:val="0"/>
        <w:adjustRightInd w:val="0"/>
        <w:spacing w:after="0" w:line="240" w:lineRule="auto"/>
        <w:jc w:val="both"/>
        <w:rPr>
          <w:rStyle w:val="tlid-translation"/>
          <w:rFonts w:asciiTheme="minorHAnsi" w:hAnsiTheme="minorHAnsi" w:cstheme="minorHAnsi"/>
        </w:rPr>
      </w:pPr>
      <w:r>
        <w:rPr>
          <w:rStyle w:val="tlid-translation"/>
          <w:rFonts w:asciiTheme="minorHAnsi" w:hAnsiTheme="minorHAnsi" w:cstheme="minorHAnsi"/>
        </w:rPr>
        <w:t xml:space="preserve">vérifier que les engagements pris par la maîtrise d’œuvre et la maîtrise d’ouvrage en matière environnementale et sociale ont été respectés, </w:t>
      </w:r>
    </w:p>
    <w:p w14:paraId="197246FF" w14:textId="77777777" w:rsidR="004A767E" w:rsidRDefault="00DA0DA7" w:rsidP="00D32CEA">
      <w:pPr>
        <w:pStyle w:val="Paragraphedeliste"/>
        <w:numPr>
          <w:ilvl w:val="0"/>
          <w:numId w:val="33"/>
        </w:numPr>
        <w:tabs>
          <w:tab w:val="left" w:pos="0"/>
        </w:tabs>
        <w:autoSpaceDE w:val="0"/>
        <w:autoSpaceDN w:val="0"/>
        <w:adjustRightInd w:val="0"/>
        <w:spacing w:after="0" w:line="240" w:lineRule="auto"/>
        <w:jc w:val="both"/>
        <w:rPr>
          <w:rStyle w:val="tlid-translation"/>
          <w:rFonts w:asciiTheme="minorHAnsi" w:hAnsiTheme="minorHAnsi" w:cstheme="minorHAnsi"/>
        </w:rPr>
      </w:pPr>
      <w:r>
        <w:rPr>
          <w:rStyle w:val="tlid-translation"/>
          <w:rFonts w:asciiTheme="minorHAnsi" w:hAnsiTheme="minorHAnsi" w:cstheme="minorHAnsi"/>
        </w:rPr>
        <w:t xml:space="preserve">donner des informations sur les principaux problèmes environnementaux et sociaux du projet, en particulier sur ses impacts, et </w:t>
      </w:r>
    </w:p>
    <w:p w14:paraId="501A5171" w14:textId="77777777" w:rsidR="004A767E" w:rsidRDefault="00DA0DA7" w:rsidP="00D32CEA">
      <w:pPr>
        <w:pStyle w:val="Paragraphedeliste"/>
        <w:numPr>
          <w:ilvl w:val="0"/>
          <w:numId w:val="33"/>
        </w:numPr>
        <w:tabs>
          <w:tab w:val="left" w:pos="0"/>
        </w:tabs>
        <w:autoSpaceDE w:val="0"/>
        <w:autoSpaceDN w:val="0"/>
        <w:adjustRightInd w:val="0"/>
        <w:spacing w:after="0" w:line="240" w:lineRule="auto"/>
        <w:jc w:val="both"/>
        <w:rPr>
          <w:rStyle w:val="tlid-translation"/>
          <w:rFonts w:asciiTheme="minorHAnsi" w:hAnsiTheme="minorHAnsi" w:cstheme="minorHAnsi"/>
        </w:rPr>
      </w:pPr>
      <w:r>
        <w:rPr>
          <w:rStyle w:val="tlid-translation"/>
          <w:rFonts w:asciiTheme="minorHAnsi" w:hAnsiTheme="minorHAnsi" w:cstheme="minorHAnsi"/>
        </w:rPr>
        <w:t>analyser l'efficacité des mesures de maîtrise des risques appliquées (progrès réalisés et résultats dans le cadre de ces mesures).</w:t>
      </w:r>
    </w:p>
    <w:p w14:paraId="11689D7B" w14:textId="77777777" w:rsidR="00052DD1" w:rsidRDefault="00052DD1" w:rsidP="00D32CEA">
      <w:pPr>
        <w:tabs>
          <w:tab w:val="left" w:pos="0"/>
        </w:tabs>
        <w:autoSpaceDE w:val="0"/>
        <w:autoSpaceDN w:val="0"/>
        <w:adjustRightInd w:val="0"/>
        <w:spacing w:after="0" w:line="240" w:lineRule="auto"/>
        <w:jc w:val="both"/>
        <w:rPr>
          <w:rStyle w:val="tlid-translation"/>
          <w:rFonts w:cstheme="minorHAnsi"/>
        </w:rPr>
      </w:pPr>
    </w:p>
    <w:p w14:paraId="1CB34DB8" w14:textId="14D02D5A" w:rsidR="004A767E" w:rsidRDefault="00DA0DA7" w:rsidP="00D32CEA">
      <w:pPr>
        <w:tabs>
          <w:tab w:val="left" w:pos="0"/>
        </w:tabs>
        <w:autoSpaceDE w:val="0"/>
        <w:autoSpaceDN w:val="0"/>
        <w:adjustRightInd w:val="0"/>
        <w:spacing w:after="0" w:line="240" w:lineRule="auto"/>
        <w:jc w:val="both"/>
        <w:rPr>
          <w:rStyle w:val="tlid-translation"/>
          <w:rFonts w:cstheme="minorHAnsi"/>
        </w:rPr>
      </w:pPr>
      <w:r>
        <w:rPr>
          <w:rStyle w:val="tlid-translation"/>
          <w:rFonts w:cstheme="minorHAnsi"/>
        </w:rPr>
        <w:t>Ces informations permettent d’évaluer le succès des mesures de mitigation dans le cadre de la supervision du projet et de prendre, le cas échéant, des mesures correctives.</w:t>
      </w:r>
    </w:p>
    <w:p w14:paraId="25B95460" w14:textId="36E7E935" w:rsidR="004A767E" w:rsidRDefault="00DA0DA7" w:rsidP="00D32CEA">
      <w:pPr>
        <w:tabs>
          <w:tab w:val="left" w:pos="0"/>
        </w:tabs>
        <w:autoSpaceDE w:val="0"/>
        <w:autoSpaceDN w:val="0"/>
        <w:adjustRightInd w:val="0"/>
        <w:spacing w:after="0" w:line="240" w:lineRule="auto"/>
        <w:jc w:val="both"/>
        <w:rPr>
          <w:rFonts w:cstheme="minorHAnsi"/>
        </w:rPr>
      </w:pPr>
      <w:r>
        <w:rPr>
          <w:rFonts w:cstheme="minorHAnsi"/>
        </w:rPr>
        <w:t>Le CGES décrira comment ce suivi sera intégré au suivi technique global du projet, en proposant un format synthétique adapté (par exemple, tableau de suivi de la mise en œuvre des mesures du CGES).</w:t>
      </w:r>
    </w:p>
    <w:p w14:paraId="79EA7855" w14:textId="33174C2A" w:rsidR="00721C3E" w:rsidRDefault="00721C3E" w:rsidP="00D32CEA">
      <w:pPr>
        <w:tabs>
          <w:tab w:val="left" w:pos="0"/>
        </w:tabs>
        <w:autoSpaceDE w:val="0"/>
        <w:autoSpaceDN w:val="0"/>
        <w:adjustRightInd w:val="0"/>
        <w:spacing w:after="0" w:line="240" w:lineRule="auto"/>
        <w:jc w:val="both"/>
        <w:rPr>
          <w:rFonts w:cstheme="minorHAnsi"/>
        </w:rPr>
      </w:pPr>
    </w:p>
    <w:p w14:paraId="1FD1C7B1" w14:textId="77777777" w:rsidR="00721C3E" w:rsidRDefault="00721C3E" w:rsidP="00D32CEA">
      <w:pPr>
        <w:tabs>
          <w:tab w:val="left" w:pos="0"/>
        </w:tabs>
        <w:autoSpaceDE w:val="0"/>
        <w:autoSpaceDN w:val="0"/>
        <w:adjustRightInd w:val="0"/>
        <w:spacing w:after="0" w:line="240" w:lineRule="auto"/>
        <w:jc w:val="both"/>
        <w:rPr>
          <w:rStyle w:val="tlid-translation"/>
          <w:rFonts w:cstheme="minorHAnsi"/>
        </w:rPr>
      </w:pPr>
    </w:p>
    <w:p w14:paraId="1B7F0989" w14:textId="77777777" w:rsidR="004A767E" w:rsidRDefault="00DA0DA7" w:rsidP="00D32CEA">
      <w:pPr>
        <w:pStyle w:val="Paragraphedeliste"/>
        <w:numPr>
          <w:ilvl w:val="0"/>
          <w:numId w:val="23"/>
        </w:numPr>
        <w:spacing w:after="0"/>
        <w:jc w:val="both"/>
        <w:rPr>
          <w:rFonts w:cs="Calibri"/>
          <w:b/>
          <w:color w:val="000000"/>
        </w:rPr>
      </w:pPr>
      <w:r>
        <w:rPr>
          <w:rFonts w:cs="Calibri"/>
          <w:b/>
          <w:color w:val="000000"/>
        </w:rPr>
        <w:t>Montage institutionnel et renforcement des capacités</w:t>
      </w:r>
    </w:p>
    <w:p w14:paraId="739D912D" w14:textId="77777777" w:rsidR="004A767E" w:rsidRDefault="00DA0DA7" w:rsidP="00D32CEA">
      <w:pPr>
        <w:tabs>
          <w:tab w:val="left" w:pos="0"/>
        </w:tabs>
        <w:autoSpaceDE w:val="0"/>
        <w:autoSpaceDN w:val="0"/>
        <w:adjustRightInd w:val="0"/>
        <w:spacing w:after="0" w:line="240" w:lineRule="auto"/>
        <w:jc w:val="both"/>
      </w:pPr>
      <w:r>
        <w:t>En outre, le Consultant décrira les dispositions institutionnelles nécessaires dans l'organisation de gestion du projet pour la mise en œuvre des mesures d'atténuation et/ou de bonification des impacts environnementaux et sociaux. Des propositions de renforcement de l'organisation et de renforcement des capacités des parties prenantes devront être proposées au besoin.</w:t>
      </w:r>
    </w:p>
    <w:p w14:paraId="28573CA1" w14:textId="77777777" w:rsidR="004A767E" w:rsidRDefault="004A767E" w:rsidP="00D32CEA">
      <w:pPr>
        <w:tabs>
          <w:tab w:val="left" w:pos="0"/>
        </w:tabs>
        <w:autoSpaceDE w:val="0"/>
        <w:autoSpaceDN w:val="0"/>
        <w:adjustRightInd w:val="0"/>
        <w:spacing w:after="0" w:line="240" w:lineRule="auto"/>
        <w:jc w:val="both"/>
        <w:rPr>
          <w:rFonts w:cstheme="minorHAnsi"/>
          <w:b/>
          <w:bCs/>
        </w:rPr>
      </w:pPr>
    </w:p>
    <w:p w14:paraId="35BDC2BB" w14:textId="77777777" w:rsidR="004A767E" w:rsidRDefault="00242996" w:rsidP="00D32CEA">
      <w:pPr>
        <w:pStyle w:val="Paragraphedeliste"/>
        <w:numPr>
          <w:ilvl w:val="0"/>
          <w:numId w:val="23"/>
        </w:numPr>
        <w:tabs>
          <w:tab w:val="left" w:pos="0"/>
        </w:tabs>
        <w:autoSpaceDE w:val="0"/>
        <w:autoSpaceDN w:val="0"/>
        <w:adjustRightInd w:val="0"/>
        <w:spacing w:after="120" w:line="240" w:lineRule="auto"/>
        <w:jc w:val="both"/>
        <w:rPr>
          <w:rFonts w:asciiTheme="minorHAnsi" w:hAnsiTheme="minorHAnsi" w:cstheme="minorHAnsi"/>
          <w:b/>
        </w:rPr>
      </w:pPr>
      <w:r w:rsidRPr="00242996">
        <w:rPr>
          <w:rFonts w:asciiTheme="minorHAnsi" w:hAnsiTheme="minorHAnsi" w:cstheme="minorHAnsi"/>
          <w:b/>
        </w:rPr>
        <w:t>Définition du budget requis pour la mise en œuvre des mesures E&amp;S</w:t>
      </w:r>
    </w:p>
    <w:p w14:paraId="4BE45C65" w14:textId="77777777" w:rsidR="004A767E" w:rsidRDefault="00DA0DA7" w:rsidP="00D32CEA">
      <w:pPr>
        <w:tabs>
          <w:tab w:val="left" w:pos="0"/>
        </w:tabs>
        <w:autoSpaceDE w:val="0"/>
        <w:autoSpaceDN w:val="0"/>
        <w:adjustRightInd w:val="0"/>
        <w:spacing w:after="0" w:line="240" w:lineRule="auto"/>
        <w:jc w:val="both"/>
        <w:rPr>
          <w:rFonts w:cstheme="minorHAnsi"/>
        </w:rPr>
      </w:pPr>
      <w:r>
        <w:rPr>
          <w:rStyle w:val="tlid-translation"/>
          <w:rFonts w:cstheme="minorHAnsi"/>
        </w:rPr>
        <w:t>Les ressources humaines et l’expertise nécessaires à la bonne maîtrise des risques E&amp;S devront être précisées et inté</w:t>
      </w:r>
      <w:r w:rsidR="00242996">
        <w:rPr>
          <w:rStyle w:val="tlid-translation"/>
          <w:rFonts w:cstheme="minorHAnsi"/>
        </w:rPr>
        <w:t>grées à la conception du projet en fonction du PEES.</w:t>
      </w:r>
    </w:p>
    <w:p w14:paraId="12B96E14" w14:textId="77777777" w:rsidR="004A767E" w:rsidRDefault="004A767E" w:rsidP="00D32CEA">
      <w:pPr>
        <w:tabs>
          <w:tab w:val="left" w:pos="0"/>
        </w:tabs>
        <w:autoSpaceDE w:val="0"/>
        <w:autoSpaceDN w:val="0"/>
        <w:adjustRightInd w:val="0"/>
        <w:spacing w:after="0" w:line="240" w:lineRule="auto"/>
        <w:jc w:val="both"/>
        <w:rPr>
          <w:rFonts w:cstheme="minorHAnsi"/>
          <w:b/>
        </w:rPr>
      </w:pPr>
    </w:p>
    <w:p w14:paraId="6EC0B181" w14:textId="77777777" w:rsidR="004A767E" w:rsidRDefault="00DA0DA7" w:rsidP="00D32CEA">
      <w:pPr>
        <w:pStyle w:val="Paragraphedeliste"/>
        <w:numPr>
          <w:ilvl w:val="0"/>
          <w:numId w:val="23"/>
        </w:numPr>
        <w:tabs>
          <w:tab w:val="left" w:pos="0"/>
        </w:tabs>
        <w:autoSpaceDE w:val="0"/>
        <w:autoSpaceDN w:val="0"/>
        <w:adjustRightInd w:val="0"/>
        <w:spacing w:after="120" w:line="240" w:lineRule="auto"/>
        <w:ind w:left="714" w:hanging="357"/>
        <w:jc w:val="both"/>
        <w:rPr>
          <w:rFonts w:asciiTheme="minorHAnsi" w:hAnsiTheme="minorHAnsi" w:cstheme="minorHAnsi"/>
          <w:b/>
        </w:rPr>
      </w:pPr>
      <w:r>
        <w:rPr>
          <w:rFonts w:asciiTheme="minorHAnsi" w:hAnsiTheme="minorHAnsi" w:cstheme="minorHAnsi"/>
          <w:b/>
        </w:rPr>
        <w:t>Calendrier et estimation des coûts</w:t>
      </w:r>
    </w:p>
    <w:p w14:paraId="7166A390" w14:textId="77777777" w:rsidR="004A767E" w:rsidRDefault="00DA0DA7" w:rsidP="00D32CEA">
      <w:pPr>
        <w:tabs>
          <w:tab w:val="left" w:pos="0"/>
        </w:tabs>
        <w:autoSpaceDE w:val="0"/>
        <w:autoSpaceDN w:val="0"/>
        <w:adjustRightInd w:val="0"/>
        <w:spacing w:after="0" w:line="240" w:lineRule="auto"/>
        <w:jc w:val="both"/>
        <w:rPr>
          <w:rStyle w:val="tlid-translation"/>
          <w:rFonts w:cstheme="minorHAnsi"/>
        </w:rPr>
      </w:pPr>
      <w:r>
        <w:rPr>
          <w:rStyle w:val="tlid-translation"/>
          <w:rFonts w:cstheme="minorHAnsi"/>
        </w:rPr>
        <w:t>Le Consultant proposera d’établir un budget de maîtrise des risques environnementaux et sociaux, en détaillant l’ensemble des postes de coûts et les sources de financement éventuels.</w:t>
      </w:r>
    </w:p>
    <w:p w14:paraId="02427EFC" w14:textId="77777777" w:rsidR="004A767E" w:rsidRDefault="00DA0DA7" w:rsidP="00D32CEA">
      <w:pPr>
        <w:pStyle w:val="Titre2"/>
        <w:numPr>
          <w:ilvl w:val="1"/>
          <w:numId w:val="14"/>
        </w:numPr>
        <w:jc w:val="both"/>
        <w:rPr>
          <w:sz w:val="28"/>
        </w:rPr>
      </w:pPr>
      <w:r>
        <w:rPr>
          <w:sz w:val="28"/>
        </w:rPr>
        <w:t>Livrables attendus</w:t>
      </w:r>
    </w:p>
    <w:p w14:paraId="4C0E3BC0" w14:textId="77777777" w:rsidR="004A767E" w:rsidRDefault="00DA0DA7" w:rsidP="00D32CEA">
      <w:pPr>
        <w:jc w:val="both"/>
        <w:rPr>
          <w:rFonts w:cs="Calibri"/>
          <w:color w:val="000000"/>
        </w:rPr>
      </w:pPr>
      <w:r>
        <w:rPr>
          <w:rFonts w:cs="Calibri"/>
          <w:color w:val="000000"/>
        </w:rPr>
        <w:t>Le consultant retenu devra présenter les livrables suivants :</w:t>
      </w:r>
    </w:p>
    <w:p w14:paraId="5917030D" w14:textId="77777777" w:rsidR="004A767E" w:rsidRPr="007F4C9B" w:rsidRDefault="00DA0DA7" w:rsidP="00052DD1">
      <w:pPr>
        <w:pStyle w:val="Paragraphedeliste"/>
        <w:numPr>
          <w:ilvl w:val="0"/>
          <w:numId w:val="25"/>
        </w:numPr>
        <w:ind w:left="284" w:hanging="207"/>
        <w:jc w:val="both"/>
      </w:pPr>
      <w:r w:rsidRPr="007F4C9B">
        <w:t>Note présentant la méthodologie de travail (</w:t>
      </w:r>
      <w:r w:rsidRPr="00052DD1">
        <w:rPr>
          <w:u w:val="single"/>
        </w:rPr>
        <w:t>à joindre dans le dossier de candidature</w:t>
      </w:r>
      <w:r w:rsidRPr="007F4C9B">
        <w:t>) ;</w:t>
      </w:r>
    </w:p>
    <w:p w14:paraId="62DCF372" w14:textId="54A59358" w:rsidR="00E10A66" w:rsidRPr="00C06B01" w:rsidRDefault="00E10A66" w:rsidP="00052DD1">
      <w:pPr>
        <w:pStyle w:val="Paragraphedeliste"/>
        <w:numPr>
          <w:ilvl w:val="0"/>
          <w:numId w:val="25"/>
        </w:numPr>
        <w:ind w:left="284" w:hanging="207"/>
        <w:jc w:val="both"/>
      </w:pPr>
      <w:r w:rsidRPr="00C06B01">
        <w:t>Plan de Gestion Environnementale et Sociale (PGES)</w:t>
      </w:r>
      <w:r w:rsidR="00D76A0D" w:rsidRPr="00C06B01">
        <w:t> ;</w:t>
      </w:r>
    </w:p>
    <w:p w14:paraId="51744191" w14:textId="77777777" w:rsidR="004A767E" w:rsidRPr="00C06B01" w:rsidRDefault="00607E90" w:rsidP="00052DD1">
      <w:pPr>
        <w:pStyle w:val="Paragraphedeliste"/>
        <w:numPr>
          <w:ilvl w:val="0"/>
          <w:numId w:val="25"/>
        </w:numPr>
        <w:ind w:left="284" w:hanging="207"/>
        <w:jc w:val="both"/>
      </w:pPr>
      <w:r w:rsidRPr="00C06B01">
        <w:t>Calendrier et</w:t>
      </w:r>
      <w:r w:rsidR="00DA0DA7" w:rsidRPr="00C06B01">
        <w:t xml:space="preserve"> </w:t>
      </w:r>
      <w:r w:rsidR="00BD0B80" w:rsidRPr="00C06B01">
        <w:t>budget requis pour la mise en œuvre des mesures</w:t>
      </w:r>
      <w:r w:rsidR="00DA0DA7" w:rsidRPr="00C06B01">
        <w:t xml:space="preserve"> environnementale</w:t>
      </w:r>
      <w:r w:rsidR="00BD0B80" w:rsidRPr="00C06B01">
        <w:t>s</w:t>
      </w:r>
      <w:r w:rsidR="00DA0DA7" w:rsidRPr="00C06B01">
        <w:t xml:space="preserve"> et sociale</w:t>
      </w:r>
      <w:r w:rsidR="00BD0B80" w:rsidRPr="00C06B01">
        <w:t>s</w:t>
      </w:r>
      <w:r w:rsidR="00DA0DA7" w:rsidRPr="00C06B01">
        <w:t> ;</w:t>
      </w:r>
    </w:p>
    <w:p w14:paraId="740439C1" w14:textId="77777777" w:rsidR="004A767E" w:rsidRPr="00C06B01" w:rsidRDefault="00E10A66" w:rsidP="00052DD1">
      <w:pPr>
        <w:pStyle w:val="Paragraphedeliste"/>
        <w:numPr>
          <w:ilvl w:val="0"/>
          <w:numId w:val="25"/>
        </w:numPr>
        <w:ind w:left="284" w:hanging="207"/>
        <w:jc w:val="both"/>
      </w:pPr>
      <w:r w:rsidRPr="00C06B01">
        <w:t>Procédures</w:t>
      </w:r>
      <w:r w:rsidR="00607E90" w:rsidRPr="00C06B01">
        <w:t>, outils</w:t>
      </w:r>
      <w:r w:rsidRPr="00C06B01">
        <w:t xml:space="preserve"> et clauses d’ES à intégrer aux conventions de subventions des Appels à projets </w:t>
      </w:r>
      <w:r w:rsidR="00DA0DA7" w:rsidRPr="00C06B01">
        <w:t>;</w:t>
      </w:r>
    </w:p>
    <w:p w14:paraId="61289866" w14:textId="1D210A64" w:rsidR="004A767E" w:rsidRPr="00C06B01" w:rsidRDefault="00E10A66" w:rsidP="00052DD1">
      <w:pPr>
        <w:pStyle w:val="Paragraphedeliste"/>
        <w:numPr>
          <w:ilvl w:val="0"/>
          <w:numId w:val="25"/>
        </w:numPr>
        <w:ind w:left="284" w:hanging="207"/>
        <w:jc w:val="both"/>
      </w:pPr>
      <w:r w:rsidRPr="00C06B01">
        <w:t>Mise à jour du PEES en accord avec le PGES et le budget proposé</w:t>
      </w:r>
      <w:r w:rsidR="00295B2D" w:rsidRPr="00C06B01">
        <w:t>.</w:t>
      </w:r>
    </w:p>
    <w:p w14:paraId="6D6B617C" w14:textId="77777777" w:rsidR="004A767E" w:rsidRDefault="00DA0DA7" w:rsidP="00D32CEA">
      <w:pPr>
        <w:pStyle w:val="Titre2"/>
        <w:numPr>
          <w:ilvl w:val="1"/>
          <w:numId w:val="14"/>
        </w:numPr>
        <w:jc w:val="both"/>
        <w:rPr>
          <w:sz w:val="28"/>
        </w:rPr>
      </w:pPr>
      <w:r>
        <w:rPr>
          <w:sz w:val="28"/>
        </w:rPr>
        <w:t>Profil souhaité</w:t>
      </w:r>
    </w:p>
    <w:p w14:paraId="4B87C97B" w14:textId="77777777" w:rsidR="004A767E" w:rsidRDefault="00DA0DA7" w:rsidP="00D32CEA">
      <w:pPr>
        <w:autoSpaceDE w:val="0"/>
        <w:autoSpaceDN w:val="0"/>
        <w:adjustRightInd w:val="0"/>
        <w:spacing w:after="0" w:line="240" w:lineRule="auto"/>
        <w:jc w:val="both"/>
        <w:rPr>
          <w:rFonts w:cs="Calibri"/>
          <w:color w:val="000000"/>
          <w:u w:val="single"/>
        </w:rPr>
      </w:pPr>
      <w:r>
        <w:rPr>
          <w:rFonts w:cs="Calibri"/>
          <w:color w:val="000000"/>
          <w:u w:val="single"/>
        </w:rPr>
        <w:t>Consultant – Expert en évaluation environnementale et sociale</w:t>
      </w:r>
    </w:p>
    <w:p w14:paraId="33496234" w14:textId="77777777" w:rsidR="004A767E" w:rsidRDefault="004A767E" w:rsidP="00D32CEA">
      <w:pPr>
        <w:autoSpaceDE w:val="0"/>
        <w:autoSpaceDN w:val="0"/>
        <w:adjustRightInd w:val="0"/>
        <w:spacing w:after="0" w:line="240" w:lineRule="auto"/>
        <w:jc w:val="both"/>
        <w:rPr>
          <w:rFonts w:cs="Calibri"/>
          <w:color w:val="000000"/>
        </w:rPr>
      </w:pPr>
    </w:p>
    <w:p w14:paraId="21493BA9" w14:textId="77777777" w:rsidR="004A767E" w:rsidRDefault="00DA0DA7" w:rsidP="00D32CEA">
      <w:pPr>
        <w:autoSpaceDE w:val="0"/>
        <w:autoSpaceDN w:val="0"/>
        <w:adjustRightInd w:val="0"/>
        <w:spacing w:line="240" w:lineRule="auto"/>
        <w:jc w:val="both"/>
        <w:rPr>
          <w:rFonts w:cs="Calibri"/>
          <w:color w:val="000000"/>
        </w:rPr>
      </w:pPr>
      <w:r>
        <w:rPr>
          <w:rFonts w:cs="Calibri"/>
          <w:color w:val="000000"/>
        </w:rPr>
        <w:t xml:space="preserve">Qualifications, compétences et qualités requises : </w:t>
      </w:r>
    </w:p>
    <w:p w14:paraId="118282E9" w14:textId="77777777" w:rsidR="004A767E" w:rsidRPr="00052DD1" w:rsidRDefault="00DA0DA7" w:rsidP="00052DD1">
      <w:pPr>
        <w:pStyle w:val="Paragraphedeliste"/>
        <w:numPr>
          <w:ilvl w:val="0"/>
          <w:numId w:val="25"/>
        </w:numPr>
        <w:ind w:left="284" w:hanging="207"/>
        <w:jc w:val="both"/>
      </w:pPr>
      <w:r w:rsidRPr="00052DD1">
        <w:t>Titulaire d’un diplôme Bac +5 au minimum en sciences sociales, sciences de l’environnement, gestion des ressources naturelles et/ou de la biodiversité, géographie, développement durable ou tout autre domaine pertinent ;</w:t>
      </w:r>
    </w:p>
    <w:p w14:paraId="56E4E72E" w14:textId="5B895B96" w:rsidR="004A767E" w:rsidRPr="00052DD1" w:rsidRDefault="00DA0DA7" w:rsidP="00052DD1">
      <w:pPr>
        <w:pStyle w:val="Paragraphedeliste"/>
        <w:numPr>
          <w:ilvl w:val="0"/>
          <w:numId w:val="25"/>
        </w:numPr>
        <w:ind w:left="284" w:hanging="207"/>
        <w:jc w:val="both"/>
      </w:pPr>
      <w:r w:rsidRPr="00052DD1">
        <w:t xml:space="preserve">Avoir une expérience significative (au moins </w:t>
      </w:r>
      <w:r w:rsidR="00295B2D" w:rsidRPr="00052DD1">
        <w:t xml:space="preserve">7 </w:t>
      </w:r>
      <w:r w:rsidRPr="00052DD1">
        <w:t>ans) sur la conduite d’études environnementales et sociales et/ou d’évaluations d’impact dans le cadre de projets de coopération internationale ;</w:t>
      </w:r>
    </w:p>
    <w:p w14:paraId="2685B4F1" w14:textId="77777777" w:rsidR="004A767E" w:rsidRPr="00052DD1" w:rsidRDefault="00DA0DA7" w:rsidP="00052DD1">
      <w:pPr>
        <w:pStyle w:val="Paragraphedeliste"/>
        <w:numPr>
          <w:ilvl w:val="0"/>
          <w:numId w:val="25"/>
        </w:numPr>
        <w:ind w:left="284" w:hanging="207"/>
        <w:jc w:val="both"/>
      </w:pPr>
      <w:r w:rsidRPr="00052DD1">
        <w:t>Très bonnes capacités d’analyse, de collecte et de recoupement de données/informations de différentes sources pour dresser des recommandations stratégiques ;</w:t>
      </w:r>
    </w:p>
    <w:p w14:paraId="727B443C" w14:textId="77777777" w:rsidR="004A767E" w:rsidRPr="00052DD1" w:rsidRDefault="00DA0DA7" w:rsidP="00052DD1">
      <w:pPr>
        <w:pStyle w:val="Paragraphedeliste"/>
        <w:numPr>
          <w:ilvl w:val="0"/>
          <w:numId w:val="25"/>
        </w:numPr>
        <w:ind w:left="284" w:hanging="207"/>
        <w:jc w:val="both"/>
      </w:pPr>
      <w:r w:rsidRPr="00052DD1">
        <w:t>Très bonnes capacités à appréhender les dynamiques (structurelles/socio-culturelles) liés aux risques sociaux et environnementaux dans les projets de développement,</w:t>
      </w:r>
    </w:p>
    <w:p w14:paraId="7DF5A4F5" w14:textId="77777777" w:rsidR="004A767E" w:rsidRPr="00052DD1" w:rsidRDefault="00DA0DA7" w:rsidP="00052DD1">
      <w:pPr>
        <w:pStyle w:val="Paragraphedeliste"/>
        <w:numPr>
          <w:ilvl w:val="0"/>
          <w:numId w:val="25"/>
        </w:numPr>
        <w:ind w:left="284" w:hanging="207"/>
        <w:jc w:val="both"/>
      </w:pPr>
      <w:r w:rsidRPr="00052DD1">
        <w:t>Très bonne connaissance du contexte socio-économique tunisien ;</w:t>
      </w:r>
    </w:p>
    <w:p w14:paraId="53C65240" w14:textId="77777777" w:rsidR="004A767E" w:rsidRPr="00052DD1" w:rsidRDefault="00DA0DA7" w:rsidP="00052DD1">
      <w:pPr>
        <w:pStyle w:val="Paragraphedeliste"/>
        <w:numPr>
          <w:ilvl w:val="0"/>
          <w:numId w:val="25"/>
        </w:numPr>
        <w:ind w:left="284" w:hanging="207"/>
        <w:jc w:val="both"/>
      </w:pPr>
      <w:r w:rsidRPr="00052DD1">
        <w:t>Excellentes capacités rédactionnelles ;</w:t>
      </w:r>
    </w:p>
    <w:p w14:paraId="7A4E35D7" w14:textId="77777777" w:rsidR="004A767E" w:rsidRPr="00052DD1" w:rsidRDefault="00DA0DA7" w:rsidP="00052DD1">
      <w:pPr>
        <w:pStyle w:val="Paragraphedeliste"/>
        <w:numPr>
          <w:ilvl w:val="0"/>
          <w:numId w:val="25"/>
        </w:numPr>
        <w:ind w:left="284" w:hanging="207"/>
        <w:jc w:val="both"/>
      </w:pPr>
      <w:r w:rsidRPr="00052DD1">
        <w:t>Excellente maitrise du français ;</w:t>
      </w:r>
    </w:p>
    <w:p w14:paraId="25747C15" w14:textId="77777777" w:rsidR="004A767E" w:rsidRPr="00052DD1" w:rsidRDefault="00DA0DA7" w:rsidP="00052DD1">
      <w:pPr>
        <w:pStyle w:val="Paragraphedeliste"/>
        <w:numPr>
          <w:ilvl w:val="0"/>
          <w:numId w:val="25"/>
        </w:numPr>
        <w:ind w:left="284" w:hanging="207"/>
        <w:jc w:val="both"/>
      </w:pPr>
      <w:r w:rsidRPr="00052DD1">
        <w:t>Autonomie, rigueur et proactivité.</w:t>
      </w:r>
    </w:p>
    <w:p w14:paraId="00C8F897" w14:textId="77777777" w:rsidR="004A767E" w:rsidRDefault="004A767E" w:rsidP="00D32CEA">
      <w:pPr>
        <w:autoSpaceDE w:val="0"/>
        <w:autoSpaceDN w:val="0"/>
        <w:adjustRightInd w:val="0"/>
        <w:spacing w:after="0" w:line="240" w:lineRule="auto"/>
        <w:jc w:val="both"/>
        <w:rPr>
          <w:rFonts w:cs="Calibri"/>
          <w:color w:val="000000"/>
        </w:rPr>
      </w:pPr>
    </w:p>
    <w:p w14:paraId="38F56CDB" w14:textId="77777777" w:rsidR="004A767E" w:rsidRDefault="00DA0DA7" w:rsidP="00D32CEA">
      <w:pPr>
        <w:pStyle w:val="Titre2"/>
        <w:numPr>
          <w:ilvl w:val="1"/>
          <w:numId w:val="14"/>
        </w:numPr>
        <w:jc w:val="both"/>
        <w:rPr>
          <w:sz w:val="28"/>
        </w:rPr>
      </w:pPr>
      <w:r>
        <w:rPr>
          <w:sz w:val="28"/>
        </w:rPr>
        <w:t>Informations générales</w:t>
      </w:r>
    </w:p>
    <w:p w14:paraId="3A5DE9A6" w14:textId="3F8B6774" w:rsidR="004A767E" w:rsidRDefault="00DA0DA7" w:rsidP="00D32CEA">
      <w:pPr>
        <w:jc w:val="both"/>
        <w:rPr>
          <w:rFonts w:cs="Calibri"/>
          <w:color w:val="000000"/>
        </w:rPr>
      </w:pPr>
      <w:r>
        <w:rPr>
          <w:rFonts w:cs="Calibri"/>
          <w:color w:val="000000"/>
        </w:rPr>
        <w:t xml:space="preserve">La mission se déroulera en Tunisie pour une durée totale de </w:t>
      </w:r>
      <w:r w:rsidR="00D76A0D" w:rsidRPr="00C06B01">
        <w:rPr>
          <w:rFonts w:cs="Calibri"/>
          <w:color w:val="000000"/>
        </w:rPr>
        <w:t>25h</w:t>
      </w:r>
      <w:r w:rsidRPr="00C06B01">
        <w:rPr>
          <w:rFonts w:cs="Calibri"/>
          <w:color w:val="000000"/>
        </w:rPr>
        <w:t>/j.</w:t>
      </w:r>
    </w:p>
    <w:p w14:paraId="3FD94D50" w14:textId="77777777" w:rsidR="004A767E" w:rsidRDefault="00DA0DA7" w:rsidP="00D32CEA">
      <w:pPr>
        <w:jc w:val="both"/>
        <w:rPr>
          <w:rFonts w:cs="Calibri"/>
          <w:color w:val="000000"/>
        </w:rPr>
      </w:pPr>
      <w:r>
        <w:rPr>
          <w:rFonts w:cs="Calibri"/>
          <w:color w:val="000000"/>
        </w:rPr>
        <w:t>Les dossiers de candidature devront être constitués par :</w:t>
      </w:r>
    </w:p>
    <w:p w14:paraId="0E77BEE5" w14:textId="77777777" w:rsidR="004A767E" w:rsidRPr="001F114A" w:rsidRDefault="00DA0DA7" w:rsidP="001F114A">
      <w:pPr>
        <w:pStyle w:val="Paragraphedeliste"/>
        <w:numPr>
          <w:ilvl w:val="0"/>
          <w:numId w:val="25"/>
        </w:numPr>
        <w:ind w:left="284" w:hanging="207"/>
        <w:jc w:val="both"/>
      </w:pPr>
      <w:r w:rsidRPr="001F114A">
        <w:t>1 CV ;</w:t>
      </w:r>
    </w:p>
    <w:p w14:paraId="22E31FF3" w14:textId="77777777" w:rsidR="004A767E" w:rsidRPr="001F114A" w:rsidRDefault="00DA0DA7" w:rsidP="001F114A">
      <w:pPr>
        <w:pStyle w:val="Paragraphedeliste"/>
        <w:numPr>
          <w:ilvl w:val="0"/>
          <w:numId w:val="25"/>
        </w:numPr>
        <w:ind w:left="284" w:hanging="207"/>
        <w:jc w:val="both"/>
      </w:pPr>
      <w:r w:rsidRPr="001F114A">
        <w:t>Une note de présentation de la structure et/ou de l’expert désigné ;</w:t>
      </w:r>
    </w:p>
    <w:p w14:paraId="7E4D6F10" w14:textId="77777777" w:rsidR="004A767E" w:rsidRPr="001F114A" w:rsidRDefault="00DA0DA7" w:rsidP="001F114A">
      <w:pPr>
        <w:pStyle w:val="Paragraphedeliste"/>
        <w:numPr>
          <w:ilvl w:val="0"/>
          <w:numId w:val="25"/>
        </w:numPr>
        <w:ind w:left="284" w:hanging="207"/>
        <w:jc w:val="both"/>
      </w:pPr>
      <w:r w:rsidRPr="001F114A">
        <w:t>Une note technique sur la méthodologie d’intervention ;</w:t>
      </w:r>
    </w:p>
    <w:p w14:paraId="7BAAA515" w14:textId="64FB1296" w:rsidR="004A767E" w:rsidRPr="001F114A" w:rsidRDefault="00DA0DA7" w:rsidP="001F114A">
      <w:pPr>
        <w:pStyle w:val="Paragraphedeliste"/>
        <w:numPr>
          <w:ilvl w:val="0"/>
          <w:numId w:val="25"/>
        </w:numPr>
        <w:ind w:left="284" w:hanging="207"/>
        <w:jc w:val="both"/>
      </w:pPr>
      <w:r w:rsidRPr="001F114A">
        <w:t>Une offre financière</w:t>
      </w:r>
      <w:r w:rsidR="00295B2D" w:rsidRPr="001F114A">
        <w:t> ;</w:t>
      </w:r>
    </w:p>
    <w:p w14:paraId="0F04DE1C" w14:textId="31187182" w:rsidR="00295B2D" w:rsidRPr="001F114A" w:rsidRDefault="00295B2D" w:rsidP="001F114A">
      <w:pPr>
        <w:pStyle w:val="Paragraphedeliste"/>
        <w:numPr>
          <w:ilvl w:val="0"/>
          <w:numId w:val="25"/>
        </w:numPr>
        <w:ind w:left="284" w:hanging="207"/>
        <w:jc w:val="both"/>
      </w:pPr>
      <w:r w:rsidRPr="001F114A">
        <w:t xml:space="preserve">Trois références </w:t>
      </w:r>
      <w:r w:rsidR="00A1383F" w:rsidRPr="001F114A">
        <w:t xml:space="preserve">pour des travaux similaires effectués récemment. </w:t>
      </w:r>
    </w:p>
    <w:p w14:paraId="3CCC87AA" w14:textId="77777777" w:rsidR="00D32CEA" w:rsidRPr="001F114A" w:rsidRDefault="00FF76E4" w:rsidP="001F114A">
      <w:pPr>
        <w:jc w:val="both"/>
        <w:rPr>
          <w:rFonts w:cs="Calibri"/>
          <w:color w:val="000000"/>
        </w:rPr>
      </w:pPr>
      <w:r w:rsidRPr="001F114A">
        <w:rPr>
          <w:rFonts w:cs="Calibri"/>
          <w:color w:val="000000"/>
        </w:rPr>
        <w:t>Les documents suivants</w:t>
      </w:r>
      <w:r w:rsidR="00C37966" w:rsidRPr="001F114A">
        <w:rPr>
          <w:rFonts w:cs="Calibri"/>
          <w:color w:val="000000"/>
        </w:rPr>
        <w:t xml:space="preserve"> nécessaires à la </w:t>
      </w:r>
      <w:r w:rsidR="00D32CEA" w:rsidRPr="001F114A">
        <w:rPr>
          <w:rFonts w:cs="Calibri"/>
          <w:color w:val="000000"/>
        </w:rPr>
        <w:t>présentation du dossier de candidatures</w:t>
      </w:r>
      <w:r w:rsidRPr="001F114A">
        <w:rPr>
          <w:rFonts w:cs="Calibri"/>
          <w:color w:val="000000"/>
        </w:rPr>
        <w:t xml:space="preserve"> seront partagés avec les candidats </w:t>
      </w:r>
      <w:r w:rsidR="00C37966" w:rsidRPr="001F114A">
        <w:rPr>
          <w:rFonts w:cs="Calibri"/>
          <w:color w:val="000000"/>
        </w:rPr>
        <w:t>intéressés</w:t>
      </w:r>
      <w:r w:rsidR="00D32CEA" w:rsidRPr="001F114A">
        <w:rPr>
          <w:rFonts w:cs="Calibri"/>
          <w:color w:val="000000"/>
        </w:rPr>
        <w:t xml:space="preserve"> : </w:t>
      </w:r>
    </w:p>
    <w:p w14:paraId="024C9E0C" w14:textId="0D0325AF" w:rsidR="006C219D" w:rsidRPr="001F114A" w:rsidRDefault="006C219D" w:rsidP="001F114A">
      <w:pPr>
        <w:pStyle w:val="Paragraphedeliste"/>
        <w:numPr>
          <w:ilvl w:val="0"/>
          <w:numId w:val="25"/>
        </w:numPr>
        <w:ind w:left="284" w:hanging="207"/>
        <w:jc w:val="both"/>
      </w:pPr>
      <w:r w:rsidRPr="001F114A">
        <w:t>Liste d’exclusion du groupe AFD</w:t>
      </w:r>
    </w:p>
    <w:p w14:paraId="5057EC81" w14:textId="4CC969D0" w:rsidR="006C219D" w:rsidRPr="001F114A" w:rsidRDefault="006C219D" w:rsidP="001F114A">
      <w:pPr>
        <w:pStyle w:val="Paragraphedeliste"/>
        <w:numPr>
          <w:ilvl w:val="0"/>
          <w:numId w:val="25"/>
        </w:numPr>
        <w:ind w:left="284" w:hanging="207"/>
        <w:jc w:val="both"/>
      </w:pPr>
      <w:r w:rsidRPr="001F114A">
        <w:t>Tableau d’identification des risques E&amp;S et mesures de maîtrise des risques associées</w:t>
      </w:r>
    </w:p>
    <w:p w14:paraId="5818E8E8" w14:textId="65ED3617" w:rsidR="006C219D" w:rsidRPr="001F114A" w:rsidRDefault="006C219D" w:rsidP="001F114A">
      <w:pPr>
        <w:pStyle w:val="Paragraphedeliste"/>
        <w:numPr>
          <w:ilvl w:val="0"/>
          <w:numId w:val="25"/>
        </w:numPr>
        <w:ind w:left="284" w:hanging="207"/>
        <w:jc w:val="both"/>
      </w:pPr>
      <w:r w:rsidRPr="001F114A">
        <w:t xml:space="preserve">Etude environnementale et sociale </w:t>
      </w:r>
    </w:p>
    <w:p w14:paraId="1C6D6E2D" w14:textId="04B5AAA8" w:rsidR="006C219D" w:rsidRPr="001F114A" w:rsidRDefault="00B55D39" w:rsidP="001F114A">
      <w:pPr>
        <w:pStyle w:val="Paragraphedeliste"/>
        <w:numPr>
          <w:ilvl w:val="0"/>
          <w:numId w:val="25"/>
        </w:numPr>
        <w:ind w:left="284" w:hanging="207"/>
        <w:jc w:val="both"/>
        <w:sectPr w:rsidR="006C219D" w:rsidRPr="001F114A">
          <w:headerReference w:type="default" r:id="rId11"/>
          <w:pgSz w:w="11906" w:h="16838"/>
          <w:pgMar w:top="1417" w:right="1417" w:bottom="1417" w:left="1417" w:header="708" w:footer="708" w:gutter="0"/>
          <w:cols w:space="708"/>
          <w:docGrid w:linePitch="360"/>
        </w:sectPr>
      </w:pPr>
      <w:r w:rsidRPr="001F114A">
        <w:t>F</w:t>
      </w:r>
      <w:r w:rsidR="006C219D" w:rsidRPr="001F114A">
        <w:t>iche de screening E&amp;S</w:t>
      </w:r>
      <w:r w:rsidRPr="001F114A">
        <w:t xml:space="preserve"> </w:t>
      </w:r>
    </w:p>
    <w:p w14:paraId="2D286C78" w14:textId="77777777" w:rsidR="004A767E" w:rsidRPr="00C06B01" w:rsidRDefault="004A767E" w:rsidP="00D32CEA">
      <w:pPr>
        <w:tabs>
          <w:tab w:val="left" w:pos="0"/>
        </w:tabs>
        <w:autoSpaceDE w:val="0"/>
        <w:autoSpaceDN w:val="0"/>
        <w:adjustRightInd w:val="0"/>
        <w:spacing w:after="0" w:line="240" w:lineRule="auto"/>
        <w:jc w:val="both"/>
        <w:rPr>
          <w:lang w:val="en-GB"/>
        </w:rPr>
      </w:pPr>
    </w:p>
    <w:sectPr w:rsidR="004A767E" w:rsidRPr="00C06B0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5E281" w14:textId="77777777" w:rsidR="00841295" w:rsidRDefault="00841295">
      <w:pPr>
        <w:spacing w:after="0" w:line="240" w:lineRule="auto"/>
      </w:pPr>
      <w:r>
        <w:separator/>
      </w:r>
    </w:p>
  </w:endnote>
  <w:endnote w:type="continuationSeparator" w:id="0">
    <w:p w14:paraId="45200B0C" w14:textId="77777777" w:rsidR="00841295" w:rsidRDefault="00841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Sans-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odaySBOP-Regular">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Swis721 LtCn BT">
    <w:altName w:val="Arial Narrow"/>
    <w:charset w:val="00"/>
    <w:family w:val="swiss"/>
    <w:pitch w:val="variable"/>
    <w:sig w:usb0="00000003" w:usb1="00000000" w:usb2="00000000" w:usb3="00000000" w:csb0="0000001B"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62D6E" w14:textId="77777777" w:rsidR="00841295" w:rsidRDefault="00841295">
      <w:pPr>
        <w:spacing w:after="0" w:line="240" w:lineRule="auto"/>
      </w:pPr>
      <w:r>
        <w:separator/>
      </w:r>
    </w:p>
  </w:footnote>
  <w:footnote w:type="continuationSeparator" w:id="0">
    <w:p w14:paraId="14EFD8DD" w14:textId="77777777" w:rsidR="00841295" w:rsidRDefault="00841295">
      <w:pPr>
        <w:spacing w:after="0" w:line="240" w:lineRule="auto"/>
      </w:pPr>
      <w:r>
        <w:continuationSeparator/>
      </w:r>
    </w:p>
  </w:footnote>
  <w:footnote w:id="1">
    <w:p w14:paraId="4B7FD2DD" w14:textId="77777777" w:rsidR="004A767E" w:rsidRDefault="00DA0DA7">
      <w:pPr>
        <w:pStyle w:val="Notedebasdepage"/>
        <w:rPr>
          <w:rStyle w:val="Appelnotedebasdep"/>
          <w:rFonts w:ascii="Calibri" w:hAnsi="Calibri" w:cs="Calibri"/>
          <w:sz w:val="16"/>
          <w:szCs w:val="16"/>
        </w:rPr>
      </w:pPr>
      <w:r>
        <w:rPr>
          <w:rStyle w:val="Appelnotedebasdep"/>
          <w:rFonts w:ascii="Calibri" w:hAnsi="Calibri" w:cs="Calibri"/>
          <w:sz w:val="16"/>
          <w:szCs w:val="16"/>
        </w:rPr>
        <w:footnoteRef/>
      </w:r>
      <w:r>
        <w:rPr>
          <w:rStyle w:val="Appelnotedebasdep"/>
          <w:rFonts w:ascii="Calibri" w:hAnsi="Calibri" w:cs="Calibri"/>
          <w:sz w:val="16"/>
          <w:szCs w:val="16"/>
        </w:rPr>
        <w:t xml:space="preserve"> Banque Mondiale, Données Tunisie</w:t>
      </w:r>
    </w:p>
  </w:footnote>
  <w:footnote w:id="2">
    <w:p w14:paraId="01C939BD" w14:textId="77777777" w:rsidR="004A767E" w:rsidRDefault="00DA0DA7">
      <w:pPr>
        <w:pStyle w:val="Notedebasdepage"/>
        <w:rPr>
          <w:rFonts w:asciiTheme="minorHAnsi" w:hAnsiTheme="minorHAnsi" w:cstheme="minorHAnsi"/>
          <w:sz w:val="18"/>
        </w:rPr>
      </w:pPr>
      <w:r>
        <w:rPr>
          <w:rStyle w:val="Appelnotedebasdep"/>
          <w:rFonts w:asciiTheme="minorHAnsi" w:hAnsiTheme="minorHAnsi" w:cstheme="minorHAnsi"/>
          <w:sz w:val="16"/>
          <w:szCs w:val="16"/>
        </w:rPr>
        <w:footnoteRef/>
      </w:r>
      <w:r>
        <w:rPr>
          <w:rStyle w:val="Appelnotedebasdep"/>
          <w:rFonts w:asciiTheme="minorHAnsi" w:hAnsiTheme="minorHAnsi" w:cstheme="minorHAnsi"/>
          <w:sz w:val="16"/>
          <w:szCs w:val="16"/>
        </w:rPr>
        <w:t xml:space="preserve"> Direction Générale du Trésor – Indicateurs et conjoncture Tunisie Mars 2022</w:t>
      </w:r>
    </w:p>
  </w:footnote>
  <w:footnote w:id="3">
    <w:p w14:paraId="1FB8A5C9" w14:textId="77777777" w:rsidR="004A767E" w:rsidRDefault="00DA0DA7">
      <w:pPr>
        <w:pStyle w:val="Notedebasdepage"/>
        <w:rPr>
          <w:rStyle w:val="Appelnotedebasdep"/>
          <w:rFonts w:asciiTheme="minorHAnsi" w:hAnsiTheme="minorHAnsi" w:cstheme="minorHAnsi"/>
          <w:sz w:val="16"/>
          <w:szCs w:val="16"/>
        </w:rPr>
      </w:pPr>
      <w:r>
        <w:rPr>
          <w:rStyle w:val="Appelnotedebasdep"/>
          <w:rFonts w:asciiTheme="minorHAnsi" w:hAnsiTheme="minorHAnsi" w:cstheme="minorHAnsi"/>
          <w:sz w:val="16"/>
          <w:szCs w:val="16"/>
        </w:rPr>
        <w:footnoteRef/>
      </w:r>
      <w:r>
        <w:rPr>
          <w:rStyle w:val="Appelnotedebasdep"/>
          <w:rFonts w:asciiTheme="minorHAnsi" w:hAnsiTheme="minorHAnsi" w:cstheme="minorHAnsi"/>
          <w:sz w:val="16"/>
          <w:szCs w:val="16"/>
        </w:rPr>
        <w:t xml:space="preserve"> CNUCED, Profil général Tunisie, Janvier 2022</w:t>
      </w:r>
    </w:p>
  </w:footnote>
  <w:footnote w:id="4">
    <w:p w14:paraId="09BCC440" w14:textId="77777777" w:rsidR="004A767E" w:rsidRDefault="00DA0DA7">
      <w:pPr>
        <w:pStyle w:val="Notedebasdepage"/>
        <w:rPr>
          <w:rFonts w:asciiTheme="minorHAnsi" w:hAnsiTheme="minorHAnsi" w:cstheme="minorHAnsi"/>
        </w:rPr>
      </w:pPr>
      <w:r>
        <w:rPr>
          <w:rStyle w:val="Appelnotedebasdep"/>
          <w:rFonts w:asciiTheme="minorHAnsi" w:hAnsiTheme="minorHAnsi" w:cstheme="minorHAnsi"/>
          <w:sz w:val="16"/>
          <w:szCs w:val="16"/>
        </w:rPr>
        <w:footnoteRef/>
      </w:r>
      <w:r>
        <w:rPr>
          <w:rFonts w:asciiTheme="minorHAnsi" w:hAnsiTheme="minorHAnsi" w:cstheme="minorHAnsi"/>
          <w:sz w:val="16"/>
          <w:szCs w:val="16"/>
        </w:rPr>
        <w:t xml:space="preserve"> Deloitte Tunisie – Stratégie d’internationalisation des entreprises tunisiennes en Afrique, 2020</w:t>
      </w:r>
    </w:p>
  </w:footnote>
  <w:footnote w:id="5">
    <w:p w14:paraId="29C18685" w14:textId="77777777" w:rsidR="004A767E" w:rsidRDefault="00DA0DA7">
      <w:pPr>
        <w:pStyle w:val="Notedebasdepage"/>
        <w:rPr>
          <w:rFonts w:asciiTheme="minorHAnsi" w:hAnsiTheme="minorHAnsi" w:cstheme="minorHAnsi"/>
          <w:sz w:val="16"/>
        </w:rPr>
      </w:pPr>
      <w:r>
        <w:rPr>
          <w:rStyle w:val="Appelnotedebasdep"/>
          <w:rFonts w:asciiTheme="minorHAnsi" w:hAnsiTheme="minorHAnsi" w:cstheme="minorHAnsi"/>
          <w:sz w:val="16"/>
        </w:rPr>
        <w:footnoteRef/>
      </w:r>
      <w:r>
        <w:rPr>
          <w:rFonts w:asciiTheme="minorHAnsi" w:hAnsiTheme="minorHAnsi" w:cstheme="minorHAnsi"/>
          <w:sz w:val="16"/>
        </w:rPr>
        <w:t xml:space="preserve"> Fast-Moving Consumer Goods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95180" w14:textId="77777777" w:rsidR="004A767E" w:rsidRDefault="00DA0DA7">
    <w:pPr>
      <w:pStyle w:val="En-tte"/>
      <w:spacing w:after="240"/>
      <w:jc w:val="center"/>
    </w:pPr>
    <w:r>
      <w:rPr>
        <w:noProof/>
        <w:lang w:eastAsia="fr-FR"/>
      </w:rPr>
      <w:drawing>
        <wp:inline distT="0" distB="0" distL="0" distR="0" wp14:anchorId="0C070C78" wp14:editId="05760EF8">
          <wp:extent cx="1870364" cy="95596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 Groupe AFD.jpg"/>
                  <pic:cNvPicPr/>
                </pic:nvPicPr>
                <pic:blipFill>
                  <a:blip r:embed="rId1">
                    <a:extLst>
                      <a:ext uri="{28A0092B-C50C-407E-A947-70E740481C1C}">
                        <a14:useLocalDpi xmlns:a14="http://schemas.microsoft.com/office/drawing/2010/main" val="0"/>
                      </a:ext>
                    </a:extLst>
                  </a:blip>
                  <a:stretch>
                    <a:fillRect/>
                  </a:stretch>
                </pic:blipFill>
                <pic:spPr>
                  <a:xfrm>
                    <a:off x="0" y="0"/>
                    <a:ext cx="1870364" cy="9559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7458"/>
    <w:multiLevelType w:val="hybridMultilevel"/>
    <w:tmpl w:val="CDD294EE"/>
    <w:lvl w:ilvl="0" w:tplc="453EB616">
      <w:start w:val="1"/>
      <w:numFmt w:val="bullet"/>
      <w:lvlText w:val="●"/>
      <w:lvlJc w:val="left"/>
      <w:pPr>
        <w:ind w:left="786" w:hanging="360"/>
      </w:pPr>
      <w:rPr>
        <w:rFonts w:ascii="Helvetica" w:hAnsi="Helvetica" w:hint="default"/>
      </w:rPr>
    </w:lvl>
    <w:lvl w:ilvl="1" w:tplc="040C0005">
      <w:start w:val="1"/>
      <w:numFmt w:val="bullet"/>
      <w:lvlText w:val=""/>
      <w:lvlJc w:val="left"/>
      <w:pPr>
        <w:ind w:left="1506" w:hanging="360"/>
      </w:pPr>
      <w:rPr>
        <w:rFonts w:ascii="Wingdings" w:hAnsi="Wingdings"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15:restartNumberingAfterBreak="0">
    <w:nsid w:val="01E97B3C"/>
    <w:multiLevelType w:val="hybridMultilevel"/>
    <w:tmpl w:val="FE50EFD2"/>
    <w:lvl w:ilvl="0" w:tplc="FF0C0F28">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896834"/>
    <w:multiLevelType w:val="hybridMultilevel"/>
    <w:tmpl w:val="B8CABC66"/>
    <w:lvl w:ilvl="0" w:tplc="453EB616">
      <w:start w:val="1"/>
      <w:numFmt w:val="bullet"/>
      <w:lvlText w:val="●"/>
      <w:lvlJc w:val="left"/>
      <w:pPr>
        <w:tabs>
          <w:tab w:val="num" w:pos="720"/>
        </w:tabs>
        <w:ind w:left="720" w:hanging="360"/>
      </w:pPr>
      <w:rPr>
        <w:rFonts w:ascii="Helvetica" w:hAnsi="Helvetica" w:hint="default"/>
      </w:rPr>
    </w:lvl>
    <w:lvl w:ilvl="1" w:tplc="02F613F0" w:tentative="1">
      <w:start w:val="1"/>
      <w:numFmt w:val="bullet"/>
      <w:lvlText w:val="●"/>
      <w:lvlJc w:val="left"/>
      <w:pPr>
        <w:tabs>
          <w:tab w:val="num" w:pos="1440"/>
        </w:tabs>
        <w:ind w:left="1440" w:hanging="360"/>
      </w:pPr>
      <w:rPr>
        <w:rFonts w:ascii="Helvetica" w:hAnsi="Helvetica" w:hint="default"/>
      </w:rPr>
    </w:lvl>
    <w:lvl w:ilvl="2" w:tplc="5BC63FD0" w:tentative="1">
      <w:start w:val="1"/>
      <w:numFmt w:val="bullet"/>
      <w:lvlText w:val="●"/>
      <w:lvlJc w:val="left"/>
      <w:pPr>
        <w:tabs>
          <w:tab w:val="num" w:pos="2160"/>
        </w:tabs>
        <w:ind w:left="2160" w:hanging="360"/>
      </w:pPr>
      <w:rPr>
        <w:rFonts w:ascii="Helvetica" w:hAnsi="Helvetica" w:hint="default"/>
      </w:rPr>
    </w:lvl>
    <w:lvl w:ilvl="3" w:tplc="9D2403F0" w:tentative="1">
      <w:start w:val="1"/>
      <w:numFmt w:val="bullet"/>
      <w:lvlText w:val="●"/>
      <w:lvlJc w:val="left"/>
      <w:pPr>
        <w:tabs>
          <w:tab w:val="num" w:pos="2880"/>
        </w:tabs>
        <w:ind w:left="2880" w:hanging="360"/>
      </w:pPr>
      <w:rPr>
        <w:rFonts w:ascii="Helvetica" w:hAnsi="Helvetica" w:hint="default"/>
      </w:rPr>
    </w:lvl>
    <w:lvl w:ilvl="4" w:tplc="6A968254" w:tentative="1">
      <w:start w:val="1"/>
      <w:numFmt w:val="bullet"/>
      <w:lvlText w:val="●"/>
      <w:lvlJc w:val="left"/>
      <w:pPr>
        <w:tabs>
          <w:tab w:val="num" w:pos="3600"/>
        </w:tabs>
        <w:ind w:left="3600" w:hanging="360"/>
      </w:pPr>
      <w:rPr>
        <w:rFonts w:ascii="Helvetica" w:hAnsi="Helvetica" w:hint="default"/>
      </w:rPr>
    </w:lvl>
    <w:lvl w:ilvl="5" w:tplc="35CE99AC" w:tentative="1">
      <w:start w:val="1"/>
      <w:numFmt w:val="bullet"/>
      <w:lvlText w:val="●"/>
      <w:lvlJc w:val="left"/>
      <w:pPr>
        <w:tabs>
          <w:tab w:val="num" w:pos="4320"/>
        </w:tabs>
        <w:ind w:left="4320" w:hanging="360"/>
      </w:pPr>
      <w:rPr>
        <w:rFonts w:ascii="Helvetica" w:hAnsi="Helvetica" w:hint="default"/>
      </w:rPr>
    </w:lvl>
    <w:lvl w:ilvl="6" w:tplc="E43C548E" w:tentative="1">
      <w:start w:val="1"/>
      <w:numFmt w:val="bullet"/>
      <w:lvlText w:val="●"/>
      <w:lvlJc w:val="left"/>
      <w:pPr>
        <w:tabs>
          <w:tab w:val="num" w:pos="5040"/>
        </w:tabs>
        <w:ind w:left="5040" w:hanging="360"/>
      </w:pPr>
      <w:rPr>
        <w:rFonts w:ascii="Helvetica" w:hAnsi="Helvetica" w:hint="default"/>
      </w:rPr>
    </w:lvl>
    <w:lvl w:ilvl="7" w:tplc="1B4EFDF6" w:tentative="1">
      <w:start w:val="1"/>
      <w:numFmt w:val="bullet"/>
      <w:lvlText w:val="●"/>
      <w:lvlJc w:val="left"/>
      <w:pPr>
        <w:tabs>
          <w:tab w:val="num" w:pos="5760"/>
        </w:tabs>
        <w:ind w:left="5760" w:hanging="360"/>
      </w:pPr>
      <w:rPr>
        <w:rFonts w:ascii="Helvetica" w:hAnsi="Helvetica" w:hint="default"/>
      </w:rPr>
    </w:lvl>
    <w:lvl w:ilvl="8" w:tplc="91805C12" w:tentative="1">
      <w:start w:val="1"/>
      <w:numFmt w:val="bullet"/>
      <w:lvlText w:val="●"/>
      <w:lvlJc w:val="left"/>
      <w:pPr>
        <w:tabs>
          <w:tab w:val="num" w:pos="6480"/>
        </w:tabs>
        <w:ind w:left="6480" w:hanging="360"/>
      </w:pPr>
      <w:rPr>
        <w:rFonts w:ascii="Helvetica" w:hAnsi="Helvetica" w:hint="default"/>
      </w:rPr>
    </w:lvl>
  </w:abstractNum>
  <w:abstractNum w:abstractNumId="3" w15:restartNumberingAfterBreak="0">
    <w:nsid w:val="0DD9791A"/>
    <w:multiLevelType w:val="hybridMultilevel"/>
    <w:tmpl w:val="34CE1A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EC2697E"/>
    <w:multiLevelType w:val="hybridMultilevel"/>
    <w:tmpl w:val="698A69E6"/>
    <w:lvl w:ilvl="0" w:tplc="A9106184">
      <w:start w:val="1"/>
      <w:numFmt w:val="low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124E716E"/>
    <w:multiLevelType w:val="hybridMultilevel"/>
    <w:tmpl w:val="8D4AE3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AC771E3"/>
    <w:multiLevelType w:val="hybridMultilevel"/>
    <w:tmpl w:val="B6265030"/>
    <w:lvl w:ilvl="0" w:tplc="040C0009">
      <w:start w:val="1"/>
      <w:numFmt w:val="bullet"/>
      <w:lvlText w:val=""/>
      <w:lvlJc w:val="left"/>
      <w:pPr>
        <w:ind w:left="1210" w:hanging="360"/>
      </w:pPr>
      <w:rPr>
        <w:rFonts w:ascii="Wingdings" w:hAnsi="Wingdings" w:hint="default"/>
      </w:rPr>
    </w:lvl>
    <w:lvl w:ilvl="1" w:tplc="040C0003" w:tentative="1">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7" w15:restartNumberingAfterBreak="0">
    <w:nsid w:val="1B7E79AD"/>
    <w:multiLevelType w:val="hybridMultilevel"/>
    <w:tmpl w:val="BAE0D4CC"/>
    <w:lvl w:ilvl="0" w:tplc="1954330A">
      <w:start w:val="1"/>
      <w:numFmt w:val="bullet"/>
      <w:lvlText w:val=""/>
      <w:lvlJc w:val="left"/>
      <w:pPr>
        <w:ind w:left="720" w:hanging="360"/>
      </w:pPr>
      <w:rPr>
        <w:rFonts w:ascii="Symbol" w:hAnsi="Symbol" w:hint="default"/>
        <w:sz w:val="20"/>
      </w:rPr>
    </w:lvl>
    <w:lvl w:ilvl="1" w:tplc="8A4A9BF8">
      <w:start w:val="200"/>
      <w:numFmt w:val="bullet"/>
      <w:lvlText w:val="-"/>
      <w:lvlJc w:val="left"/>
      <w:pPr>
        <w:ind w:left="1440" w:hanging="360"/>
      </w:pPr>
      <w:rPr>
        <w:rFonts w:ascii="Times New Roman" w:eastAsia="Times New Roman" w:hAnsi="Times New Roman" w:cs="Times New Roman"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0286379"/>
    <w:multiLevelType w:val="hybridMultilevel"/>
    <w:tmpl w:val="D36EB8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CA6AD9"/>
    <w:multiLevelType w:val="hybridMultilevel"/>
    <w:tmpl w:val="A4641C72"/>
    <w:lvl w:ilvl="0" w:tplc="8A4A9BF8">
      <w:start w:val="20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D903BC"/>
    <w:multiLevelType w:val="hybridMultilevel"/>
    <w:tmpl w:val="37AAFD54"/>
    <w:lvl w:ilvl="0" w:tplc="C43471E0">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92D6D4B"/>
    <w:multiLevelType w:val="hybridMultilevel"/>
    <w:tmpl w:val="57328B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0A90EC1"/>
    <w:multiLevelType w:val="hybridMultilevel"/>
    <w:tmpl w:val="2020EBBE"/>
    <w:lvl w:ilvl="0" w:tplc="75CCB886">
      <w:start w:val="1"/>
      <w:numFmt w:val="bullet"/>
      <w:lvlText w:val="­"/>
      <w:lvlJc w:val="left"/>
      <w:pPr>
        <w:ind w:left="720" w:hanging="360"/>
      </w:pPr>
      <w:rPr>
        <w:rFonts w:ascii="Times New Roman" w:hAnsi="Times New Roman"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2BF0B0A"/>
    <w:multiLevelType w:val="hybridMultilevel"/>
    <w:tmpl w:val="63FA0C26"/>
    <w:lvl w:ilvl="0" w:tplc="60B2294E">
      <w:start w:val="1"/>
      <w:numFmt w:val="bullet"/>
      <w:lvlText w:val="●"/>
      <w:lvlJc w:val="left"/>
      <w:pPr>
        <w:tabs>
          <w:tab w:val="num" w:pos="720"/>
        </w:tabs>
        <w:ind w:left="720" w:hanging="360"/>
      </w:pPr>
      <w:rPr>
        <w:rFonts w:ascii="Helvetica" w:hAnsi="Helvetica" w:hint="default"/>
      </w:rPr>
    </w:lvl>
    <w:lvl w:ilvl="1" w:tplc="192E6D38" w:tentative="1">
      <w:start w:val="1"/>
      <w:numFmt w:val="bullet"/>
      <w:lvlText w:val="●"/>
      <w:lvlJc w:val="left"/>
      <w:pPr>
        <w:tabs>
          <w:tab w:val="num" w:pos="1440"/>
        </w:tabs>
        <w:ind w:left="1440" w:hanging="360"/>
      </w:pPr>
      <w:rPr>
        <w:rFonts w:ascii="Helvetica" w:hAnsi="Helvetica" w:hint="default"/>
      </w:rPr>
    </w:lvl>
    <w:lvl w:ilvl="2" w:tplc="61A2E9F2" w:tentative="1">
      <w:start w:val="1"/>
      <w:numFmt w:val="bullet"/>
      <w:lvlText w:val="●"/>
      <w:lvlJc w:val="left"/>
      <w:pPr>
        <w:tabs>
          <w:tab w:val="num" w:pos="2160"/>
        </w:tabs>
        <w:ind w:left="2160" w:hanging="360"/>
      </w:pPr>
      <w:rPr>
        <w:rFonts w:ascii="Helvetica" w:hAnsi="Helvetica" w:hint="default"/>
      </w:rPr>
    </w:lvl>
    <w:lvl w:ilvl="3" w:tplc="67CEE484" w:tentative="1">
      <w:start w:val="1"/>
      <w:numFmt w:val="bullet"/>
      <w:lvlText w:val="●"/>
      <w:lvlJc w:val="left"/>
      <w:pPr>
        <w:tabs>
          <w:tab w:val="num" w:pos="2880"/>
        </w:tabs>
        <w:ind w:left="2880" w:hanging="360"/>
      </w:pPr>
      <w:rPr>
        <w:rFonts w:ascii="Helvetica" w:hAnsi="Helvetica" w:hint="default"/>
      </w:rPr>
    </w:lvl>
    <w:lvl w:ilvl="4" w:tplc="454CC23C" w:tentative="1">
      <w:start w:val="1"/>
      <w:numFmt w:val="bullet"/>
      <w:lvlText w:val="●"/>
      <w:lvlJc w:val="left"/>
      <w:pPr>
        <w:tabs>
          <w:tab w:val="num" w:pos="3600"/>
        </w:tabs>
        <w:ind w:left="3600" w:hanging="360"/>
      </w:pPr>
      <w:rPr>
        <w:rFonts w:ascii="Helvetica" w:hAnsi="Helvetica" w:hint="default"/>
      </w:rPr>
    </w:lvl>
    <w:lvl w:ilvl="5" w:tplc="11C2BA32" w:tentative="1">
      <w:start w:val="1"/>
      <w:numFmt w:val="bullet"/>
      <w:lvlText w:val="●"/>
      <w:lvlJc w:val="left"/>
      <w:pPr>
        <w:tabs>
          <w:tab w:val="num" w:pos="4320"/>
        </w:tabs>
        <w:ind w:left="4320" w:hanging="360"/>
      </w:pPr>
      <w:rPr>
        <w:rFonts w:ascii="Helvetica" w:hAnsi="Helvetica" w:hint="default"/>
      </w:rPr>
    </w:lvl>
    <w:lvl w:ilvl="6" w:tplc="BB0896DA" w:tentative="1">
      <w:start w:val="1"/>
      <w:numFmt w:val="bullet"/>
      <w:lvlText w:val="●"/>
      <w:lvlJc w:val="left"/>
      <w:pPr>
        <w:tabs>
          <w:tab w:val="num" w:pos="5040"/>
        </w:tabs>
        <w:ind w:left="5040" w:hanging="360"/>
      </w:pPr>
      <w:rPr>
        <w:rFonts w:ascii="Helvetica" w:hAnsi="Helvetica" w:hint="default"/>
      </w:rPr>
    </w:lvl>
    <w:lvl w:ilvl="7" w:tplc="C6B6D418" w:tentative="1">
      <w:start w:val="1"/>
      <w:numFmt w:val="bullet"/>
      <w:lvlText w:val="●"/>
      <w:lvlJc w:val="left"/>
      <w:pPr>
        <w:tabs>
          <w:tab w:val="num" w:pos="5760"/>
        </w:tabs>
        <w:ind w:left="5760" w:hanging="360"/>
      </w:pPr>
      <w:rPr>
        <w:rFonts w:ascii="Helvetica" w:hAnsi="Helvetica" w:hint="default"/>
      </w:rPr>
    </w:lvl>
    <w:lvl w:ilvl="8" w:tplc="1480B7B2" w:tentative="1">
      <w:start w:val="1"/>
      <w:numFmt w:val="bullet"/>
      <w:lvlText w:val="●"/>
      <w:lvlJc w:val="left"/>
      <w:pPr>
        <w:tabs>
          <w:tab w:val="num" w:pos="6480"/>
        </w:tabs>
        <w:ind w:left="6480" w:hanging="360"/>
      </w:pPr>
      <w:rPr>
        <w:rFonts w:ascii="Helvetica" w:hAnsi="Helvetica" w:hint="default"/>
      </w:rPr>
    </w:lvl>
  </w:abstractNum>
  <w:abstractNum w:abstractNumId="14" w15:restartNumberingAfterBreak="0">
    <w:nsid w:val="3C7A533C"/>
    <w:multiLevelType w:val="hybridMultilevel"/>
    <w:tmpl w:val="B1BE3F2C"/>
    <w:lvl w:ilvl="0" w:tplc="1954330A">
      <w:start w:val="1"/>
      <w:numFmt w:val="bullet"/>
      <w:pStyle w:val="Titre2"/>
      <w:lvlText w:val=""/>
      <w:lvlJc w:val="left"/>
      <w:pPr>
        <w:ind w:left="720" w:hanging="360"/>
      </w:pPr>
      <w:rPr>
        <w:rFonts w:ascii="Symbol" w:hAnsi="Symbol" w:hint="default"/>
        <w:sz w:val="20"/>
      </w:rPr>
    </w:lvl>
    <w:lvl w:ilvl="1" w:tplc="0C0C0003" w:tentative="1">
      <w:start w:val="1"/>
      <w:numFmt w:val="bullet"/>
      <w:pStyle w:val="Titre3"/>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54C3BA5"/>
    <w:multiLevelType w:val="hybridMultilevel"/>
    <w:tmpl w:val="B4081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165C42"/>
    <w:multiLevelType w:val="hybridMultilevel"/>
    <w:tmpl w:val="CE4606DE"/>
    <w:lvl w:ilvl="0" w:tplc="040C0001">
      <w:start w:val="1"/>
      <w:numFmt w:val="bullet"/>
      <w:lvlText w:val=""/>
      <w:lvlJc w:val="left"/>
      <w:pPr>
        <w:ind w:left="360" w:hanging="360"/>
      </w:pPr>
      <w:rPr>
        <w:rFonts w:ascii="Symbol" w:hAnsi="Symbol" w:hint="default"/>
      </w:rPr>
    </w:lvl>
    <w:lvl w:ilvl="1" w:tplc="E0E684B6">
      <w:start w:val="4"/>
      <w:numFmt w:val="bullet"/>
      <w:lvlText w:val="-"/>
      <w:lvlJc w:val="left"/>
      <w:pPr>
        <w:ind w:left="1080" w:hanging="36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0603B18"/>
    <w:multiLevelType w:val="hybridMultilevel"/>
    <w:tmpl w:val="AAF277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1C3BD0"/>
    <w:multiLevelType w:val="multilevel"/>
    <w:tmpl w:val="3CE0A780"/>
    <w:lvl w:ilvl="0">
      <w:start w:val="1"/>
      <w:numFmt w:val="decimal"/>
      <w:lvlText w:val="%1."/>
      <w:lvlJc w:val="left"/>
      <w:pPr>
        <w:ind w:left="502" w:hanging="360"/>
      </w:pPr>
      <w:rPr>
        <w:rFonts w:ascii="Cambria" w:hAnsi="Cambria" w:cs="GillSans-Bold" w:hint="default"/>
        <w:b/>
        <w:i w:val="0"/>
        <w:spacing w:val="0"/>
        <w:w w:val="100"/>
        <w:kern w:val="0"/>
        <w:position w:val="0"/>
        <w:sz w:val="32"/>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298" w:hanging="720"/>
      </w:pPr>
      <w:rPr>
        <w:rFonts w:cs="Times New Roman" w:hint="default"/>
      </w:rPr>
    </w:lvl>
    <w:lvl w:ilvl="3">
      <w:start w:val="1"/>
      <w:numFmt w:val="decimal"/>
      <w:isLgl/>
      <w:lvlText w:val="%1.%2.%3.%4"/>
      <w:lvlJc w:val="left"/>
      <w:pPr>
        <w:ind w:left="1876" w:hanging="1080"/>
      </w:pPr>
      <w:rPr>
        <w:rFonts w:cs="Times New Roman" w:hint="default"/>
      </w:rPr>
    </w:lvl>
    <w:lvl w:ilvl="4">
      <w:start w:val="1"/>
      <w:numFmt w:val="decimal"/>
      <w:isLgl/>
      <w:lvlText w:val="%1.%2.%3.%4.%5"/>
      <w:lvlJc w:val="left"/>
      <w:pPr>
        <w:ind w:left="2454" w:hanging="1440"/>
      </w:pPr>
      <w:rPr>
        <w:rFonts w:cs="Times New Roman" w:hint="default"/>
      </w:rPr>
    </w:lvl>
    <w:lvl w:ilvl="5">
      <w:start w:val="1"/>
      <w:numFmt w:val="decimal"/>
      <w:isLgl/>
      <w:lvlText w:val="%1.%2.%3.%4.%5.%6"/>
      <w:lvlJc w:val="left"/>
      <w:pPr>
        <w:ind w:left="2672" w:hanging="1440"/>
      </w:pPr>
      <w:rPr>
        <w:rFonts w:cs="Times New Roman" w:hint="default"/>
      </w:rPr>
    </w:lvl>
    <w:lvl w:ilvl="6">
      <w:start w:val="1"/>
      <w:numFmt w:val="decimal"/>
      <w:isLgl/>
      <w:lvlText w:val="%1.%2.%3.%4.%5.%6.%7"/>
      <w:lvlJc w:val="left"/>
      <w:pPr>
        <w:ind w:left="3250" w:hanging="1800"/>
      </w:pPr>
      <w:rPr>
        <w:rFonts w:cs="Times New Roman" w:hint="default"/>
      </w:rPr>
    </w:lvl>
    <w:lvl w:ilvl="7">
      <w:start w:val="1"/>
      <w:numFmt w:val="decimal"/>
      <w:isLgl/>
      <w:lvlText w:val="%1.%2.%3.%4.%5.%6.%7.%8"/>
      <w:lvlJc w:val="left"/>
      <w:pPr>
        <w:ind w:left="3828" w:hanging="2160"/>
      </w:pPr>
      <w:rPr>
        <w:rFonts w:cs="Times New Roman" w:hint="default"/>
      </w:rPr>
    </w:lvl>
    <w:lvl w:ilvl="8">
      <w:start w:val="1"/>
      <w:numFmt w:val="decimal"/>
      <w:isLgl/>
      <w:lvlText w:val="%1.%2.%3.%4.%5.%6.%7.%8.%9"/>
      <w:lvlJc w:val="left"/>
      <w:pPr>
        <w:ind w:left="4046" w:hanging="2160"/>
      </w:pPr>
      <w:rPr>
        <w:rFonts w:cs="Times New Roman" w:hint="default"/>
      </w:rPr>
    </w:lvl>
  </w:abstractNum>
  <w:abstractNum w:abstractNumId="19" w15:restartNumberingAfterBreak="0">
    <w:nsid w:val="62F7605A"/>
    <w:multiLevelType w:val="hybridMultilevel"/>
    <w:tmpl w:val="38D0EA0E"/>
    <w:lvl w:ilvl="0" w:tplc="D24EAE7E">
      <w:start w:val="1"/>
      <w:numFmt w:val="bullet"/>
      <w:lvlText w:val="●"/>
      <w:lvlJc w:val="left"/>
      <w:pPr>
        <w:tabs>
          <w:tab w:val="num" w:pos="720"/>
        </w:tabs>
        <w:ind w:left="720" w:hanging="360"/>
      </w:pPr>
      <w:rPr>
        <w:rFonts w:ascii="Helvetica" w:hAnsi="Helvetica" w:hint="default"/>
      </w:rPr>
    </w:lvl>
    <w:lvl w:ilvl="1" w:tplc="CABAE0C0" w:tentative="1">
      <w:start w:val="1"/>
      <w:numFmt w:val="bullet"/>
      <w:lvlText w:val="●"/>
      <w:lvlJc w:val="left"/>
      <w:pPr>
        <w:tabs>
          <w:tab w:val="num" w:pos="1440"/>
        </w:tabs>
        <w:ind w:left="1440" w:hanging="360"/>
      </w:pPr>
      <w:rPr>
        <w:rFonts w:ascii="Helvetica" w:hAnsi="Helvetica" w:hint="default"/>
      </w:rPr>
    </w:lvl>
    <w:lvl w:ilvl="2" w:tplc="BB32F630" w:tentative="1">
      <w:start w:val="1"/>
      <w:numFmt w:val="bullet"/>
      <w:lvlText w:val="●"/>
      <w:lvlJc w:val="left"/>
      <w:pPr>
        <w:tabs>
          <w:tab w:val="num" w:pos="2160"/>
        </w:tabs>
        <w:ind w:left="2160" w:hanging="360"/>
      </w:pPr>
      <w:rPr>
        <w:rFonts w:ascii="Helvetica" w:hAnsi="Helvetica" w:hint="default"/>
      </w:rPr>
    </w:lvl>
    <w:lvl w:ilvl="3" w:tplc="3E68AC5E" w:tentative="1">
      <w:start w:val="1"/>
      <w:numFmt w:val="bullet"/>
      <w:lvlText w:val="●"/>
      <w:lvlJc w:val="left"/>
      <w:pPr>
        <w:tabs>
          <w:tab w:val="num" w:pos="2880"/>
        </w:tabs>
        <w:ind w:left="2880" w:hanging="360"/>
      </w:pPr>
      <w:rPr>
        <w:rFonts w:ascii="Helvetica" w:hAnsi="Helvetica" w:hint="default"/>
      </w:rPr>
    </w:lvl>
    <w:lvl w:ilvl="4" w:tplc="2E3C040C" w:tentative="1">
      <w:start w:val="1"/>
      <w:numFmt w:val="bullet"/>
      <w:lvlText w:val="●"/>
      <w:lvlJc w:val="left"/>
      <w:pPr>
        <w:tabs>
          <w:tab w:val="num" w:pos="3600"/>
        </w:tabs>
        <w:ind w:left="3600" w:hanging="360"/>
      </w:pPr>
      <w:rPr>
        <w:rFonts w:ascii="Helvetica" w:hAnsi="Helvetica" w:hint="default"/>
      </w:rPr>
    </w:lvl>
    <w:lvl w:ilvl="5" w:tplc="C3B0CA92" w:tentative="1">
      <w:start w:val="1"/>
      <w:numFmt w:val="bullet"/>
      <w:lvlText w:val="●"/>
      <w:lvlJc w:val="left"/>
      <w:pPr>
        <w:tabs>
          <w:tab w:val="num" w:pos="4320"/>
        </w:tabs>
        <w:ind w:left="4320" w:hanging="360"/>
      </w:pPr>
      <w:rPr>
        <w:rFonts w:ascii="Helvetica" w:hAnsi="Helvetica" w:hint="default"/>
      </w:rPr>
    </w:lvl>
    <w:lvl w:ilvl="6" w:tplc="BFB89EF2" w:tentative="1">
      <w:start w:val="1"/>
      <w:numFmt w:val="bullet"/>
      <w:lvlText w:val="●"/>
      <w:lvlJc w:val="left"/>
      <w:pPr>
        <w:tabs>
          <w:tab w:val="num" w:pos="5040"/>
        </w:tabs>
        <w:ind w:left="5040" w:hanging="360"/>
      </w:pPr>
      <w:rPr>
        <w:rFonts w:ascii="Helvetica" w:hAnsi="Helvetica" w:hint="default"/>
      </w:rPr>
    </w:lvl>
    <w:lvl w:ilvl="7" w:tplc="10AAB8CE" w:tentative="1">
      <w:start w:val="1"/>
      <w:numFmt w:val="bullet"/>
      <w:lvlText w:val="●"/>
      <w:lvlJc w:val="left"/>
      <w:pPr>
        <w:tabs>
          <w:tab w:val="num" w:pos="5760"/>
        </w:tabs>
        <w:ind w:left="5760" w:hanging="360"/>
      </w:pPr>
      <w:rPr>
        <w:rFonts w:ascii="Helvetica" w:hAnsi="Helvetica" w:hint="default"/>
      </w:rPr>
    </w:lvl>
    <w:lvl w:ilvl="8" w:tplc="64882666" w:tentative="1">
      <w:start w:val="1"/>
      <w:numFmt w:val="bullet"/>
      <w:lvlText w:val="●"/>
      <w:lvlJc w:val="left"/>
      <w:pPr>
        <w:tabs>
          <w:tab w:val="num" w:pos="6480"/>
        </w:tabs>
        <w:ind w:left="6480" w:hanging="360"/>
      </w:pPr>
      <w:rPr>
        <w:rFonts w:ascii="Helvetica" w:hAnsi="Helvetica" w:hint="default"/>
      </w:rPr>
    </w:lvl>
  </w:abstractNum>
  <w:abstractNum w:abstractNumId="20" w15:restartNumberingAfterBreak="0">
    <w:nsid w:val="659B2E99"/>
    <w:multiLevelType w:val="hybridMultilevel"/>
    <w:tmpl w:val="9E48AA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6A0483E"/>
    <w:multiLevelType w:val="hybridMultilevel"/>
    <w:tmpl w:val="6060C2B2"/>
    <w:lvl w:ilvl="0" w:tplc="040C0009">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71632BE1"/>
    <w:multiLevelType w:val="hybridMultilevel"/>
    <w:tmpl w:val="0EC86998"/>
    <w:lvl w:ilvl="0" w:tplc="040C000F">
      <w:start w:val="1"/>
      <w:numFmt w:val="decimal"/>
      <w:lvlText w:val="%1."/>
      <w:lvlJc w:val="left"/>
      <w:pPr>
        <w:ind w:left="3600" w:hanging="360"/>
      </w:p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23" w15:restartNumberingAfterBreak="0">
    <w:nsid w:val="719770FE"/>
    <w:multiLevelType w:val="hybridMultilevel"/>
    <w:tmpl w:val="744282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533042C"/>
    <w:multiLevelType w:val="hybridMultilevel"/>
    <w:tmpl w:val="9B521BCA"/>
    <w:lvl w:ilvl="0" w:tplc="040C0009">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5" w15:restartNumberingAfterBreak="0">
    <w:nsid w:val="7FC17133"/>
    <w:multiLevelType w:val="hybridMultilevel"/>
    <w:tmpl w:val="02AA87BE"/>
    <w:lvl w:ilvl="0" w:tplc="CE10EAB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9"/>
  </w:num>
  <w:num w:numId="4">
    <w:abstractNumId w:val="24"/>
  </w:num>
  <w:num w:numId="5">
    <w:abstractNumId w:val="0"/>
  </w:num>
  <w:num w:numId="6">
    <w:abstractNumId w:val="1"/>
  </w:num>
  <w:num w:numId="7">
    <w:abstractNumId w:val="16"/>
  </w:num>
  <w:num w:numId="8">
    <w:abstractNumId w:val="20"/>
  </w:num>
  <w:num w:numId="9">
    <w:abstractNumId w:val="10"/>
  </w:num>
  <w:num w:numId="10">
    <w:abstractNumId w:val="21"/>
  </w:num>
  <w:num w:numId="11">
    <w:abstractNumId w:val="22"/>
  </w:num>
  <w:num w:numId="12">
    <w:abstractNumId w:val="6"/>
  </w:num>
  <w:num w:numId="13">
    <w:abstractNumId w:val="14"/>
  </w:num>
  <w:num w:numId="14">
    <w:abstractNumId w:val="18"/>
    <w:lvlOverride w:ilvl="0">
      <w:startOverride w:val="1"/>
    </w:lvlOverride>
  </w:num>
  <w:num w:numId="15">
    <w:abstractNumId w:val="14"/>
  </w:num>
  <w:num w:numId="16">
    <w:abstractNumId w:val="14"/>
  </w:num>
  <w:num w:numId="17">
    <w:abstractNumId w:val="14"/>
  </w:num>
  <w:num w:numId="18">
    <w:abstractNumId w:val="17"/>
  </w:num>
  <w:num w:numId="19">
    <w:abstractNumId w:val="8"/>
  </w:num>
  <w:num w:numId="20">
    <w:abstractNumId w:val="14"/>
  </w:num>
  <w:num w:numId="21">
    <w:abstractNumId w:val="7"/>
  </w:num>
  <w:num w:numId="22">
    <w:abstractNumId w:val="14"/>
  </w:num>
  <w:num w:numId="23">
    <w:abstractNumId w:val="11"/>
  </w:num>
  <w:num w:numId="24">
    <w:abstractNumId w:val="25"/>
  </w:num>
  <w:num w:numId="25">
    <w:abstractNumId w:val="9"/>
  </w:num>
  <w:num w:numId="26">
    <w:abstractNumId w:val="23"/>
  </w:num>
  <w:num w:numId="27">
    <w:abstractNumId w:val="14"/>
  </w:num>
  <w:num w:numId="28">
    <w:abstractNumId w:val="14"/>
  </w:num>
  <w:num w:numId="29">
    <w:abstractNumId w:val="14"/>
  </w:num>
  <w:num w:numId="30">
    <w:abstractNumId w:val="12"/>
  </w:num>
  <w:num w:numId="31">
    <w:abstractNumId w:val="3"/>
  </w:num>
  <w:num w:numId="32">
    <w:abstractNumId w:val="5"/>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67E"/>
    <w:rsid w:val="00052DD1"/>
    <w:rsid w:val="000712A6"/>
    <w:rsid w:val="001E79A1"/>
    <w:rsid w:val="001F114A"/>
    <w:rsid w:val="002321AD"/>
    <w:rsid w:val="00242996"/>
    <w:rsid w:val="00295B2D"/>
    <w:rsid w:val="004A767E"/>
    <w:rsid w:val="004F3D52"/>
    <w:rsid w:val="00607E90"/>
    <w:rsid w:val="006167A8"/>
    <w:rsid w:val="006C219D"/>
    <w:rsid w:val="00721C3E"/>
    <w:rsid w:val="0077158B"/>
    <w:rsid w:val="007F4C9B"/>
    <w:rsid w:val="00841295"/>
    <w:rsid w:val="008C39A0"/>
    <w:rsid w:val="008D24F6"/>
    <w:rsid w:val="009933D7"/>
    <w:rsid w:val="009C028E"/>
    <w:rsid w:val="00A1383F"/>
    <w:rsid w:val="00A42477"/>
    <w:rsid w:val="00B55D39"/>
    <w:rsid w:val="00B8069F"/>
    <w:rsid w:val="00BB3694"/>
    <w:rsid w:val="00BD0B80"/>
    <w:rsid w:val="00C06B01"/>
    <w:rsid w:val="00C37966"/>
    <w:rsid w:val="00C71ABA"/>
    <w:rsid w:val="00CA4D9E"/>
    <w:rsid w:val="00D32CEA"/>
    <w:rsid w:val="00D72D2A"/>
    <w:rsid w:val="00D76A0D"/>
    <w:rsid w:val="00DA0DA7"/>
    <w:rsid w:val="00E05080"/>
    <w:rsid w:val="00E10A66"/>
    <w:rsid w:val="00E308C7"/>
    <w:rsid w:val="00F0673C"/>
    <w:rsid w:val="00F15BBB"/>
    <w:rsid w:val="00FA7451"/>
    <w:rsid w:val="00FD01FA"/>
    <w:rsid w:val="00FF76E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8FC7D"/>
  <w15:chartTrackingRefBased/>
  <w15:docId w15:val="{25A3F54F-D6FE-4BC7-9601-4F9D24E6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E308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aliases w:val="Titre 2 tdr"/>
    <w:basedOn w:val="Normal"/>
    <w:next w:val="Normal"/>
    <w:link w:val="Titre2Car"/>
    <w:uiPriority w:val="99"/>
    <w:qFormat/>
    <w:pPr>
      <w:keepNext/>
      <w:keepLines/>
      <w:numPr>
        <w:numId w:val="13"/>
      </w:numPr>
      <w:spacing w:before="360" w:after="240" w:line="240" w:lineRule="auto"/>
      <w:outlineLvl w:val="1"/>
    </w:pPr>
    <w:rPr>
      <w:rFonts w:ascii="Cambria" w:eastAsia="Times New Roman" w:hAnsi="Cambria" w:cs="Times New Roman"/>
      <w:b/>
      <w:bCs/>
      <w:color w:val="244061"/>
      <w:sz w:val="36"/>
      <w:szCs w:val="26"/>
      <w:lang w:val="fr-CA"/>
    </w:rPr>
  </w:style>
  <w:style w:type="paragraph" w:styleId="Titre3">
    <w:name w:val="heading 3"/>
    <w:basedOn w:val="Normal"/>
    <w:next w:val="Normal"/>
    <w:link w:val="Titre3Car"/>
    <w:uiPriority w:val="99"/>
    <w:qFormat/>
    <w:pPr>
      <w:keepNext/>
      <w:keepLines/>
      <w:numPr>
        <w:ilvl w:val="1"/>
        <w:numId w:val="13"/>
      </w:numPr>
      <w:spacing w:before="240" w:after="240" w:line="240" w:lineRule="auto"/>
      <w:ind w:left="709" w:hanging="709"/>
      <w:outlineLvl w:val="2"/>
    </w:pPr>
    <w:rPr>
      <w:rFonts w:ascii="Cambria" w:eastAsia="Times New Roman" w:hAnsi="Cambria" w:cs="Times New Roman"/>
      <w:b/>
      <w:bCs/>
      <w:color w:val="244061"/>
      <w:sz w:val="28"/>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Paragraphedeliste">
    <w:name w:val="List Paragraph"/>
    <w:aliases w:val="List of pictures,Bullets,References,Liste couleur - Accent 11,List Paragraph (numbered (a)),Use Case List Paragraph,texte tableau,Table/Figure Heading,En tête 1,List Paragraph1"/>
    <w:basedOn w:val="Normal"/>
    <w:link w:val="ParagraphedelisteCar"/>
    <w:uiPriority w:val="34"/>
    <w:qFormat/>
    <w:pPr>
      <w:spacing w:after="200" w:line="276" w:lineRule="auto"/>
      <w:ind w:left="720"/>
      <w:contextualSpacing/>
    </w:pPr>
    <w:rPr>
      <w:rFonts w:ascii="Calibri" w:eastAsia="Calibri" w:hAnsi="Calibri" w:cs="Times New Roman"/>
    </w:rPr>
  </w:style>
  <w:style w:type="character" w:customStyle="1" w:styleId="ParagraphedelisteCar">
    <w:name w:val="Paragraphe de liste Car"/>
    <w:aliases w:val="List of pictures Car,Bullets Car,References Car,Liste couleur - Accent 11 Car,List Paragraph (numbered (a)) Car,Use Case List Paragraph Car,texte tableau Car,Table/Figure Heading Car,En tête 1 Car,List Paragraph1 Car"/>
    <w:link w:val="Paragraphedeliste"/>
    <w:uiPriority w:val="34"/>
    <w:locked/>
    <w:rPr>
      <w:rFonts w:ascii="Calibri" w:eastAsia="Calibri" w:hAnsi="Calibri" w:cs="Times New Roman"/>
    </w:rPr>
  </w:style>
  <w:style w:type="character" w:styleId="Marquedecommentaire">
    <w:name w:val="annotation reference"/>
    <w:uiPriority w:val="99"/>
    <w:semiHidden/>
    <w:rPr>
      <w:sz w:val="16"/>
    </w:rPr>
  </w:style>
  <w:style w:type="paragraph" w:styleId="Commentaire">
    <w:name w:val="annotation text"/>
    <w:basedOn w:val="Normal"/>
    <w:link w:val="CommentaireCar"/>
    <w:uiPriority w:val="99"/>
    <w:pPr>
      <w:spacing w:after="0" w:line="240" w:lineRule="auto"/>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aliases w:val="ftref,16 Point,Superscript 6 Point,(NECG) Footnote Reference,Footnote number,BVI fnr,Comment Text Char1,Footnote Reference1,Error-Fußnotenzeichen5,Error-Fußnotenzeichen6,Error-Fußnotenzeichen3"/>
    <w:uiPriority w:val="99"/>
    <w:rPr>
      <w:vertAlign w:val="baseline"/>
    </w:rPr>
  </w:style>
  <w:style w:type="paragraph" w:styleId="Notedebasdepage">
    <w:name w:val="footnote text"/>
    <w:aliases w:val="FOOTNOTES,fn,single space,pied de page,Footnote,12pt,Note de bas de page Car1,Note de bas de page Car Car,Note de bas de page Car1 Car Car,Note de bas de page Car Car Car Car,fn Car Car Car Car,Footnote Text Char Char Char,ft,ADB,ft1"/>
    <w:basedOn w:val="Normal"/>
    <w:link w:val="NotedebasdepageCar"/>
    <w:uiPriority w:val="99"/>
    <w:pPr>
      <w:spacing w:after="0" w:line="240" w:lineRule="auto"/>
      <w:jc w:val="both"/>
    </w:pPr>
    <w:rPr>
      <w:rFonts w:ascii="Times New Roman" w:eastAsia="Times New Roman" w:hAnsi="Times New Roman" w:cs="Times New Roman"/>
      <w:sz w:val="20"/>
      <w:szCs w:val="20"/>
      <w:lang w:eastAsia="fr-FR"/>
    </w:rPr>
  </w:style>
  <w:style w:type="character" w:customStyle="1" w:styleId="NotedebasdepageCar">
    <w:name w:val="Note de bas de page Car"/>
    <w:aliases w:val="FOOTNOTES Car,fn Car,single space Car,pied de page Car,Footnote Car,12pt Car,Note de bas de page Car1 Car,Note de bas de page Car Car Car,Note de bas de page Car1 Car Car Car,Note de bas de page Car Car Car Car Car,ft Car,ADB Car"/>
    <w:basedOn w:val="Policepardfaut"/>
    <w:link w:val="Notedebasdepage"/>
    <w:uiPriority w:val="99"/>
    <w:rPr>
      <w:rFonts w:ascii="Times New Roman" w:eastAsia="Times New Roman" w:hAnsi="Times New Roman" w:cs="Times New Roman"/>
      <w:sz w:val="20"/>
      <w:szCs w:val="20"/>
      <w:lang w:eastAsia="fr-FR"/>
    </w:rPr>
  </w:style>
  <w:style w:type="paragraph" w:customStyle="1" w:styleId="text-align-justify">
    <w:name w:val="text-align-justify"/>
    <w:basedOn w:val="Normal"/>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pPr>
      <w:autoSpaceDE w:val="0"/>
      <w:autoSpaceDN w:val="0"/>
      <w:adjustRightInd w:val="0"/>
      <w:spacing w:after="0" w:line="240" w:lineRule="auto"/>
    </w:pPr>
    <w:rPr>
      <w:rFonts w:ascii="TodaySBOP-Regular" w:hAnsi="TodaySBOP-Regular" w:cs="TodaySBOP-Regular"/>
      <w:color w:val="000000"/>
      <w:sz w:val="24"/>
      <w:szCs w:val="24"/>
    </w:rPr>
  </w:style>
  <w:style w:type="character" w:customStyle="1" w:styleId="hgkelc">
    <w:name w:val="hgkelc"/>
    <w:basedOn w:val="Policepardfaut"/>
  </w:style>
  <w:style w:type="character" w:styleId="Lienhypertexte">
    <w:name w:val="Hyperlink"/>
    <w:uiPriority w:val="99"/>
    <w:unhideWhenUsed/>
    <w:rPr>
      <w:color w:val="0000FF"/>
      <w:u w:val="single"/>
      <w:lang w:val="fr-FR" w:eastAsia="fr-FR"/>
    </w:rPr>
  </w:style>
  <w:style w:type="paragraph" w:styleId="Notedefin">
    <w:name w:val="endnote text"/>
    <w:basedOn w:val="Normal"/>
    <w:link w:val="NotedefinCar"/>
    <w:uiPriority w:val="99"/>
    <w:semiHidden/>
    <w:unhideWhenUsed/>
    <w:pPr>
      <w:spacing w:after="0" w:line="240" w:lineRule="auto"/>
    </w:pPr>
    <w:rPr>
      <w:rFonts w:ascii="Calibri" w:eastAsia="MS Mincho" w:hAnsi="Calibri" w:cs="Times New Roman"/>
      <w:sz w:val="20"/>
      <w:szCs w:val="20"/>
      <w:lang w:eastAsia="fr-FR"/>
    </w:rPr>
  </w:style>
  <w:style w:type="character" w:customStyle="1" w:styleId="NotedefinCar">
    <w:name w:val="Note de fin Car"/>
    <w:basedOn w:val="Policepardfaut"/>
    <w:link w:val="Notedefin"/>
    <w:uiPriority w:val="99"/>
    <w:semiHidden/>
    <w:rPr>
      <w:rFonts w:ascii="Calibri" w:eastAsia="MS Mincho" w:hAnsi="Calibri" w:cs="Times New Roman"/>
      <w:sz w:val="20"/>
      <w:szCs w:val="20"/>
      <w:lang w:eastAsia="fr-FR"/>
    </w:rPr>
  </w:style>
  <w:style w:type="character" w:styleId="Appeldenotedefin">
    <w:name w:val="endnote reference"/>
    <w:basedOn w:val="Policepardfaut"/>
    <w:uiPriority w:val="99"/>
    <w:semiHidden/>
    <w:unhideWhenUsed/>
    <w:rPr>
      <w:vertAlign w:val="superscript"/>
    </w:rPr>
  </w:style>
  <w:style w:type="character" w:customStyle="1" w:styleId="Titre2Car">
    <w:name w:val="Titre 2 Car"/>
    <w:aliases w:val="Titre 2 tdr Car"/>
    <w:basedOn w:val="Policepardfaut"/>
    <w:link w:val="Titre2"/>
    <w:uiPriority w:val="99"/>
    <w:rPr>
      <w:rFonts w:ascii="Cambria" w:eastAsia="Times New Roman" w:hAnsi="Cambria" w:cs="Times New Roman"/>
      <w:b/>
      <w:bCs/>
      <w:color w:val="244061"/>
      <w:sz w:val="36"/>
      <w:szCs w:val="26"/>
      <w:lang w:val="fr-CA"/>
    </w:rPr>
  </w:style>
  <w:style w:type="character" w:customStyle="1" w:styleId="Titre3Car">
    <w:name w:val="Titre 3 Car"/>
    <w:basedOn w:val="Policepardfaut"/>
    <w:link w:val="Titre3"/>
    <w:uiPriority w:val="99"/>
    <w:rPr>
      <w:rFonts w:ascii="Cambria" w:eastAsia="Times New Roman" w:hAnsi="Cambria" w:cs="Times New Roman"/>
      <w:b/>
      <w:bCs/>
      <w:color w:val="244061"/>
      <w:sz w:val="28"/>
      <w:lang w:val="fr-CA"/>
    </w:rPr>
  </w:style>
  <w:style w:type="paragraph" w:customStyle="1" w:styleId="InstructionsNormal">
    <w:name w:val="Instructions_Normal"/>
    <w:basedOn w:val="Normal"/>
    <w:qFormat/>
    <w:pPr>
      <w:spacing w:after="0" w:line="240" w:lineRule="auto"/>
      <w:jc w:val="both"/>
    </w:pPr>
    <w:rPr>
      <w:rFonts w:ascii="Times New Roman" w:eastAsia="Times New Roman" w:hAnsi="Times New Roman" w:cs="Times New Roman"/>
      <w:i/>
      <w:color w:val="0070C0"/>
      <w:sz w:val="24"/>
      <w:szCs w:val="24"/>
      <w:lang w:eastAsia="fr-FR"/>
    </w:rPr>
  </w:style>
  <w:style w:type="character" w:customStyle="1" w:styleId="tlid-translation">
    <w:name w:val="tlid-translation"/>
    <w:basedOn w:val="Policepardfaut"/>
  </w:style>
  <w:style w:type="paragraph" w:customStyle="1" w:styleId="Tab">
    <w:name w:val="Tab"/>
    <w:basedOn w:val="Normal"/>
    <w:qFormat/>
    <w:pPr>
      <w:widowControl w:val="0"/>
      <w:autoSpaceDE w:val="0"/>
      <w:autoSpaceDN w:val="0"/>
      <w:adjustRightInd w:val="0"/>
      <w:spacing w:before="20" w:after="20" w:line="240" w:lineRule="auto"/>
      <w:jc w:val="center"/>
    </w:pPr>
    <w:rPr>
      <w:rFonts w:ascii="Swis721 LtCn BT" w:eastAsia="Times New Roman" w:hAnsi="Swis721 LtCn BT" w:cs="Times New Roman"/>
      <w:bCs/>
      <w:color w:val="000000"/>
      <w:sz w:val="20"/>
      <w:lang w:eastAsia="fr-FR"/>
    </w:rPr>
  </w:style>
  <w:style w:type="paragraph" w:styleId="Objetducommentaire">
    <w:name w:val="annotation subject"/>
    <w:basedOn w:val="Commentaire"/>
    <w:next w:val="Commentaire"/>
    <w:link w:val="ObjetducommentaireCar"/>
    <w:uiPriority w:val="99"/>
    <w:semiHidden/>
    <w:unhideWhenUsed/>
    <w:pPr>
      <w:spacing w:after="160"/>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Pr>
      <w:rFonts w:ascii="Times New Roman" w:eastAsia="Times New Roman" w:hAnsi="Times New Roman" w:cs="Times New Roman"/>
      <w:b/>
      <w:bCs/>
      <w:sz w:val="20"/>
      <w:szCs w:val="20"/>
      <w:lang w:eastAsia="fr-FR"/>
    </w:rPr>
  </w:style>
  <w:style w:type="character" w:styleId="Lienhypertextesuivivisit">
    <w:name w:val="FollowedHyperlink"/>
    <w:basedOn w:val="Policepardfaut"/>
    <w:uiPriority w:val="99"/>
    <w:semiHidden/>
    <w:unhideWhenUsed/>
    <w:rPr>
      <w:color w:val="954F72" w:themeColor="followedHyperlink"/>
      <w:u w:val="single"/>
    </w:rPr>
  </w:style>
  <w:style w:type="character" w:customStyle="1" w:styleId="Titre1Car">
    <w:name w:val="Titre 1 Car"/>
    <w:basedOn w:val="Policepardfaut"/>
    <w:link w:val="Titre1"/>
    <w:uiPriority w:val="9"/>
    <w:rsid w:val="00E308C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37815">
      <w:bodyDiv w:val="1"/>
      <w:marLeft w:val="0"/>
      <w:marRight w:val="0"/>
      <w:marTop w:val="0"/>
      <w:marBottom w:val="0"/>
      <w:divBdr>
        <w:top w:val="none" w:sz="0" w:space="0" w:color="auto"/>
        <w:left w:val="none" w:sz="0" w:space="0" w:color="auto"/>
        <w:bottom w:val="none" w:sz="0" w:space="0" w:color="auto"/>
        <w:right w:val="none" w:sz="0" w:space="0" w:color="auto"/>
      </w:divBdr>
    </w:div>
    <w:div w:id="453406511">
      <w:bodyDiv w:val="1"/>
      <w:marLeft w:val="0"/>
      <w:marRight w:val="0"/>
      <w:marTop w:val="0"/>
      <w:marBottom w:val="0"/>
      <w:divBdr>
        <w:top w:val="none" w:sz="0" w:space="0" w:color="auto"/>
        <w:left w:val="none" w:sz="0" w:space="0" w:color="auto"/>
        <w:bottom w:val="none" w:sz="0" w:space="0" w:color="auto"/>
        <w:right w:val="none" w:sz="0" w:space="0" w:color="auto"/>
      </w:divBdr>
      <w:divsChild>
        <w:div w:id="1374384472">
          <w:marLeft w:val="360"/>
          <w:marRight w:val="0"/>
          <w:marTop w:val="200"/>
          <w:marBottom w:val="0"/>
          <w:divBdr>
            <w:top w:val="none" w:sz="0" w:space="0" w:color="auto"/>
            <w:left w:val="none" w:sz="0" w:space="0" w:color="auto"/>
            <w:bottom w:val="none" w:sz="0" w:space="0" w:color="auto"/>
            <w:right w:val="none" w:sz="0" w:space="0" w:color="auto"/>
          </w:divBdr>
        </w:div>
        <w:div w:id="1643387778">
          <w:marLeft w:val="360"/>
          <w:marRight w:val="0"/>
          <w:marTop w:val="200"/>
          <w:marBottom w:val="0"/>
          <w:divBdr>
            <w:top w:val="none" w:sz="0" w:space="0" w:color="auto"/>
            <w:left w:val="none" w:sz="0" w:space="0" w:color="auto"/>
            <w:bottom w:val="none" w:sz="0" w:space="0" w:color="auto"/>
            <w:right w:val="none" w:sz="0" w:space="0" w:color="auto"/>
          </w:divBdr>
        </w:div>
        <w:div w:id="1249071584">
          <w:marLeft w:val="360"/>
          <w:marRight w:val="0"/>
          <w:marTop w:val="200"/>
          <w:marBottom w:val="0"/>
          <w:divBdr>
            <w:top w:val="none" w:sz="0" w:space="0" w:color="auto"/>
            <w:left w:val="none" w:sz="0" w:space="0" w:color="auto"/>
            <w:bottom w:val="none" w:sz="0" w:space="0" w:color="auto"/>
            <w:right w:val="none" w:sz="0" w:space="0" w:color="auto"/>
          </w:divBdr>
        </w:div>
        <w:div w:id="1680278235">
          <w:marLeft w:val="360"/>
          <w:marRight w:val="0"/>
          <w:marTop w:val="200"/>
          <w:marBottom w:val="0"/>
          <w:divBdr>
            <w:top w:val="none" w:sz="0" w:space="0" w:color="auto"/>
            <w:left w:val="none" w:sz="0" w:space="0" w:color="auto"/>
            <w:bottom w:val="none" w:sz="0" w:space="0" w:color="auto"/>
            <w:right w:val="none" w:sz="0" w:space="0" w:color="auto"/>
          </w:divBdr>
        </w:div>
        <w:div w:id="1358850938">
          <w:marLeft w:val="360"/>
          <w:marRight w:val="0"/>
          <w:marTop w:val="200"/>
          <w:marBottom w:val="0"/>
          <w:divBdr>
            <w:top w:val="none" w:sz="0" w:space="0" w:color="auto"/>
            <w:left w:val="none" w:sz="0" w:space="0" w:color="auto"/>
            <w:bottom w:val="none" w:sz="0" w:space="0" w:color="auto"/>
            <w:right w:val="none" w:sz="0" w:space="0" w:color="auto"/>
          </w:divBdr>
        </w:div>
        <w:div w:id="1274286475">
          <w:marLeft w:val="360"/>
          <w:marRight w:val="0"/>
          <w:marTop w:val="200"/>
          <w:marBottom w:val="0"/>
          <w:divBdr>
            <w:top w:val="none" w:sz="0" w:space="0" w:color="auto"/>
            <w:left w:val="none" w:sz="0" w:space="0" w:color="auto"/>
            <w:bottom w:val="none" w:sz="0" w:space="0" w:color="auto"/>
            <w:right w:val="none" w:sz="0" w:space="0" w:color="auto"/>
          </w:divBdr>
        </w:div>
      </w:divsChild>
    </w:div>
    <w:div w:id="798032268">
      <w:bodyDiv w:val="1"/>
      <w:marLeft w:val="0"/>
      <w:marRight w:val="0"/>
      <w:marTop w:val="0"/>
      <w:marBottom w:val="0"/>
      <w:divBdr>
        <w:top w:val="none" w:sz="0" w:space="0" w:color="auto"/>
        <w:left w:val="none" w:sz="0" w:space="0" w:color="auto"/>
        <w:bottom w:val="none" w:sz="0" w:space="0" w:color="auto"/>
        <w:right w:val="none" w:sz="0" w:space="0" w:color="auto"/>
      </w:divBdr>
    </w:div>
    <w:div w:id="804087466">
      <w:bodyDiv w:val="1"/>
      <w:marLeft w:val="0"/>
      <w:marRight w:val="0"/>
      <w:marTop w:val="0"/>
      <w:marBottom w:val="0"/>
      <w:divBdr>
        <w:top w:val="none" w:sz="0" w:space="0" w:color="auto"/>
        <w:left w:val="none" w:sz="0" w:space="0" w:color="auto"/>
        <w:bottom w:val="none" w:sz="0" w:space="0" w:color="auto"/>
        <w:right w:val="none" w:sz="0" w:space="0" w:color="auto"/>
      </w:divBdr>
    </w:div>
    <w:div w:id="1203325529">
      <w:bodyDiv w:val="1"/>
      <w:marLeft w:val="0"/>
      <w:marRight w:val="0"/>
      <w:marTop w:val="0"/>
      <w:marBottom w:val="0"/>
      <w:divBdr>
        <w:top w:val="none" w:sz="0" w:space="0" w:color="auto"/>
        <w:left w:val="none" w:sz="0" w:space="0" w:color="auto"/>
        <w:bottom w:val="none" w:sz="0" w:space="0" w:color="auto"/>
        <w:right w:val="none" w:sz="0" w:space="0" w:color="auto"/>
      </w:divBdr>
      <w:divsChild>
        <w:div w:id="1105080894">
          <w:marLeft w:val="0"/>
          <w:marRight w:val="0"/>
          <w:marTop w:val="0"/>
          <w:marBottom w:val="0"/>
          <w:divBdr>
            <w:top w:val="none" w:sz="0" w:space="0" w:color="auto"/>
            <w:left w:val="none" w:sz="0" w:space="0" w:color="auto"/>
            <w:bottom w:val="none" w:sz="0" w:space="0" w:color="auto"/>
            <w:right w:val="none" w:sz="0" w:space="0" w:color="auto"/>
          </w:divBdr>
          <w:divsChild>
            <w:div w:id="1363748268">
              <w:marLeft w:val="0"/>
              <w:marRight w:val="0"/>
              <w:marTop w:val="0"/>
              <w:marBottom w:val="0"/>
              <w:divBdr>
                <w:top w:val="none" w:sz="0" w:space="0" w:color="auto"/>
                <w:left w:val="none" w:sz="0" w:space="0" w:color="auto"/>
                <w:bottom w:val="none" w:sz="0" w:space="0" w:color="auto"/>
                <w:right w:val="none" w:sz="0" w:space="0" w:color="auto"/>
              </w:divBdr>
            </w:div>
          </w:divsChild>
        </w:div>
        <w:div w:id="796408528">
          <w:marLeft w:val="0"/>
          <w:marRight w:val="0"/>
          <w:marTop w:val="0"/>
          <w:marBottom w:val="0"/>
          <w:divBdr>
            <w:top w:val="none" w:sz="0" w:space="0" w:color="auto"/>
            <w:left w:val="none" w:sz="0" w:space="0" w:color="auto"/>
            <w:bottom w:val="none" w:sz="0" w:space="0" w:color="auto"/>
            <w:right w:val="none" w:sz="0" w:space="0" w:color="auto"/>
          </w:divBdr>
          <w:divsChild>
            <w:div w:id="737899996">
              <w:marLeft w:val="0"/>
              <w:marRight w:val="0"/>
              <w:marTop w:val="0"/>
              <w:marBottom w:val="0"/>
              <w:divBdr>
                <w:top w:val="none" w:sz="0" w:space="0" w:color="auto"/>
                <w:left w:val="none" w:sz="0" w:space="0" w:color="auto"/>
                <w:bottom w:val="none" w:sz="0" w:space="0" w:color="auto"/>
                <w:right w:val="none" w:sz="0" w:space="0" w:color="auto"/>
              </w:divBdr>
              <w:divsChild>
                <w:div w:id="575360146">
                  <w:marLeft w:val="0"/>
                  <w:marRight w:val="0"/>
                  <w:marTop w:val="0"/>
                  <w:marBottom w:val="0"/>
                  <w:divBdr>
                    <w:top w:val="none" w:sz="0" w:space="0" w:color="auto"/>
                    <w:left w:val="none" w:sz="0" w:space="0" w:color="auto"/>
                    <w:bottom w:val="none" w:sz="0" w:space="0" w:color="auto"/>
                    <w:right w:val="none" w:sz="0" w:space="0" w:color="auto"/>
                  </w:divBdr>
                  <w:divsChild>
                    <w:div w:id="1874266137">
                      <w:marLeft w:val="0"/>
                      <w:marRight w:val="0"/>
                      <w:marTop w:val="0"/>
                      <w:marBottom w:val="0"/>
                      <w:divBdr>
                        <w:top w:val="none" w:sz="0" w:space="0" w:color="auto"/>
                        <w:left w:val="none" w:sz="0" w:space="0" w:color="auto"/>
                        <w:bottom w:val="none" w:sz="0" w:space="0" w:color="auto"/>
                        <w:right w:val="none" w:sz="0" w:space="0" w:color="auto"/>
                      </w:divBdr>
                      <w:divsChild>
                        <w:div w:id="1217856392">
                          <w:marLeft w:val="0"/>
                          <w:marRight w:val="0"/>
                          <w:marTop w:val="0"/>
                          <w:marBottom w:val="0"/>
                          <w:divBdr>
                            <w:top w:val="none" w:sz="0" w:space="0" w:color="auto"/>
                            <w:left w:val="none" w:sz="0" w:space="0" w:color="auto"/>
                            <w:bottom w:val="none" w:sz="0" w:space="0" w:color="auto"/>
                            <w:right w:val="none" w:sz="0" w:space="0" w:color="auto"/>
                          </w:divBdr>
                          <w:divsChild>
                            <w:div w:id="21036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273603">
      <w:bodyDiv w:val="1"/>
      <w:marLeft w:val="0"/>
      <w:marRight w:val="0"/>
      <w:marTop w:val="0"/>
      <w:marBottom w:val="0"/>
      <w:divBdr>
        <w:top w:val="none" w:sz="0" w:space="0" w:color="auto"/>
        <w:left w:val="none" w:sz="0" w:space="0" w:color="auto"/>
        <w:bottom w:val="none" w:sz="0" w:space="0" w:color="auto"/>
        <w:right w:val="none" w:sz="0" w:space="0" w:color="auto"/>
      </w:divBdr>
    </w:div>
    <w:div w:id="1678118195">
      <w:bodyDiv w:val="1"/>
      <w:marLeft w:val="0"/>
      <w:marRight w:val="0"/>
      <w:marTop w:val="0"/>
      <w:marBottom w:val="0"/>
      <w:divBdr>
        <w:top w:val="none" w:sz="0" w:space="0" w:color="auto"/>
        <w:left w:val="none" w:sz="0" w:space="0" w:color="auto"/>
        <w:bottom w:val="none" w:sz="0" w:space="0" w:color="auto"/>
        <w:right w:val="none" w:sz="0" w:space="0" w:color="auto"/>
      </w:divBdr>
      <w:divsChild>
        <w:div w:id="742534481">
          <w:marLeft w:val="360"/>
          <w:marRight w:val="0"/>
          <w:marTop w:val="200"/>
          <w:marBottom w:val="0"/>
          <w:divBdr>
            <w:top w:val="none" w:sz="0" w:space="0" w:color="auto"/>
            <w:left w:val="none" w:sz="0" w:space="0" w:color="auto"/>
            <w:bottom w:val="none" w:sz="0" w:space="0" w:color="auto"/>
            <w:right w:val="none" w:sz="0" w:space="0" w:color="auto"/>
          </w:divBdr>
        </w:div>
        <w:div w:id="350566754">
          <w:marLeft w:val="360"/>
          <w:marRight w:val="0"/>
          <w:marTop w:val="200"/>
          <w:marBottom w:val="0"/>
          <w:divBdr>
            <w:top w:val="none" w:sz="0" w:space="0" w:color="auto"/>
            <w:left w:val="none" w:sz="0" w:space="0" w:color="auto"/>
            <w:bottom w:val="none" w:sz="0" w:space="0" w:color="auto"/>
            <w:right w:val="none" w:sz="0" w:space="0" w:color="auto"/>
          </w:divBdr>
        </w:div>
        <w:div w:id="2025983511">
          <w:marLeft w:val="360"/>
          <w:marRight w:val="0"/>
          <w:marTop w:val="200"/>
          <w:marBottom w:val="0"/>
          <w:divBdr>
            <w:top w:val="none" w:sz="0" w:space="0" w:color="auto"/>
            <w:left w:val="none" w:sz="0" w:space="0" w:color="auto"/>
            <w:bottom w:val="none" w:sz="0" w:space="0" w:color="auto"/>
            <w:right w:val="none" w:sz="0" w:space="0" w:color="auto"/>
          </w:divBdr>
        </w:div>
        <w:div w:id="2028632782">
          <w:marLeft w:val="360"/>
          <w:marRight w:val="0"/>
          <w:marTop w:val="200"/>
          <w:marBottom w:val="0"/>
          <w:divBdr>
            <w:top w:val="none" w:sz="0" w:space="0" w:color="auto"/>
            <w:left w:val="none" w:sz="0" w:space="0" w:color="auto"/>
            <w:bottom w:val="none" w:sz="0" w:space="0" w:color="auto"/>
            <w:right w:val="none" w:sz="0" w:space="0" w:color="auto"/>
          </w:divBdr>
        </w:div>
        <w:div w:id="1853955703">
          <w:marLeft w:val="360"/>
          <w:marRight w:val="0"/>
          <w:marTop w:val="200"/>
          <w:marBottom w:val="0"/>
          <w:divBdr>
            <w:top w:val="none" w:sz="0" w:space="0" w:color="auto"/>
            <w:left w:val="none" w:sz="0" w:space="0" w:color="auto"/>
            <w:bottom w:val="none" w:sz="0" w:space="0" w:color="auto"/>
            <w:right w:val="none" w:sz="0" w:space="0" w:color="auto"/>
          </w:divBdr>
        </w:div>
        <w:div w:id="1502544038">
          <w:marLeft w:val="360"/>
          <w:marRight w:val="0"/>
          <w:marTop w:val="200"/>
          <w:marBottom w:val="0"/>
          <w:divBdr>
            <w:top w:val="none" w:sz="0" w:space="0" w:color="auto"/>
            <w:left w:val="none" w:sz="0" w:space="0" w:color="auto"/>
            <w:bottom w:val="none" w:sz="0" w:space="0" w:color="auto"/>
            <w:right w:val="none" w:sz="0" w:space="0" w:color="auto"/>
          </w:divBdr>
        </w:div>
      </w:divsChild>
    </w:div>
    <w:div w:id="1915966675">
      <w:bodyDiv w:val="1"/>
      <w:marLeft w:val="0"/>
      <w:marRight w:val="0"/>
      <w:marTop w:val="0"/>
      <w:marBottom w:val="0"/>
      <w:divBdr>
        <w:top w:val="none" w:sz="0" w:space="0" w:color="auto"/>
        <w:left w:val="none" w:sz="0" w:space="0" w:color="auto"/>
        <w:bottom w:val="none" w:sz="0" w:space="0" w:color="auto"/>
        <w:right w:val="none" w:sz="0" w:space="0" w:color="auto"/>
      </w:divBdr>
    </w:div>
    <w:div w:id="1950745424">
      <w:bodyDiv w:val="1"/>
      <w:marLeft w:val="0"/>
      <w:marRight w:val="0"/>
      <w:marTop w:val="0"/>
      <w:marBottom w:val="0"/>
      <w:divBdr>
        <w:top w:val="none" w:sz="0" w:space="0" w:color="auto"/>
        <w:left w:val="none" w:sz="0" w:space="0" w:color="auto"/>
        <w:bottom w:val="none" w:sz="0" w:space="0" w:color="auto"/>
        <w:right w:val="none" w:sz="0" w:space="0" w:color="auto"/>
      </w:divBdr>
      <w:divsChild>
        <w:div w:id="369917478">
          <w:marLeft w:val="360"/>
          <w:marRight w:val="0"/>
          <w:marTop w:val="200"/>
          <w:marBottom w:val="0"/>
          <w:divBdr>
            <w:top w:val="none" w:sz="0" w:space="0" w:color="auto"/>
            <w:left w:val="none" w:sz="0" w:space="0" w:color="auto"/>
            <w:bottom w:val="none" w:sz="0" w:space="0" w:color="auto"/>
            <w:right w:val="none" w:sz="0" w:space="0" w:color="auto"/>
          </w:divBdr>
        </w:div>
        <w:div w:id="671875442">
          <w:marLeft w:val="360"/>
          <w:marRight w:val="0"/>
          <w:marTop w:val="200"/>
          <w:marBottom w:val="0"/>
          <w:divBdr>
            <w:top w:val="none" w:sz="0" w:space="0" w:color="auto"/>
            <w:left w:val="none" w:sz="0" w:space="0" w:color="auto"/>
            <w:bottom w:val="none" w:sz="0" w:space="0" w:color="auto"/>
            <w:right w:val="none" w:sz="0" w:space="0" w:color="auto"/>
          </w:divBdr>
        </w:div>
        <w:div w:id="1540319249">
          <w:marLeft w:val="360"/>
          <w:marRight w:val="0"/>
          <w:marTop w:val="200"/>
          <w:marBottom w:val="0"/>
          <w:divBdr>
            <w:top w:val="none" w:sz="0" w:space="0" w:color="auto"/>
            <w:left w:val="none" w:sz="0" w:space="0" w:color="auto"/>
            <w:bottom w:val="none" w:sz="0" w:space="0" w:color="auto"/>
            <w:right w:val="none" w:sz="0" w:space="0" w:color="auto"/>
          </w:divBdr>
        </w:div>
      </w:divsChild>
    </w:div>
    <w:div w:id="206302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d.fr/fr/ressources/politique-de-maitrise-des-risques-environnementaux-et-sociaux-lies-aux-operations-financees-par-laf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rojects.banquemondiale.org/fr/projects-operations/environmental-and-social-framework" TargetMode="External"/><Relationship Id="rId4" Type="http://schemas.openxmlformats.org/officeDocument/2006/relationships/settings" Target="settings.xml"/><Relationship Id="rId9" Type="http://schemas.openxmlformats.org/officeDocument/2006/relationships/hyperlink" Target="https://www.ilo.org/dyn/normlex/en/f?p=1000:11001:::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8F035-07ED-424D-9EF5-140F07794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2241</Words>
  <Characters>12329</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Latif DIOP</dc:creator>
  <cp:keywords/>
  <dc:description/>
  <cp:lastModifiedBy>Ahmed Zied BENNOUR</cp:lastModifiedBy>
  <cp:revision>2</cp:revision>
  <cp:lastPrinted>2022-08-30T13:30:00Z</cp:lastPrinted>
  <dcterms:created xsi:type="dcterms:W3CDTF">2023-09-04T07:25:00Z</dcterms:created>
  <dcterms:modified xsi:type="dcterms:W3CDTF">2023-09-04T07:25:00Z</dcterms:modified>
</cp:coreProperties>
</file>