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1565" w14:textId="3A04A359" w:rsidR="00CF1631" w:rsidRPr="00067FC0" w:rsidRDefault="00CF1631" w:rsidP="00CF1631">
      <w:pPr>
        <w:widowControl w:val="0"/>
        <w:autoSpaceDE w:val="0"/>
        <w:autoSpaceDN w:val="0"/>
        <w:spacing w:before="62" w:after="0" w:line="321" w:lineRule="exact"/>
        <w:ind w:right="17"/>
        <w:jc w:val="center"/>
        <w:rPr>
          <w:rFonts w:ascii="Times New Roman" w:eastAsia="Times New Roman" w:hAnsi="Times New Roman" w:cs="Times New Roman"/>
          <w:b/>
          <w:bCs/>
          <w:color w:val="auto"/>
          <w:sz w:val="28"/>
          <w:szCs w:val="28"/>
          <w:lang w:val="en-GB"/>
          <w14:ligatures w14:val="none"/>
        </w:rPr>
      </w:pPr>
      <w:r>
        <w:rPr>
          <w:rFonts w:ascii="Times New Roman" w:eastAsia="Times New Roman" w:hAnsi="Times New Roman" w:cs="Times New Roman"/>
          <w:b/>
          <w:bCs/>
          <w:color w:val="auto"/>
          <w:sz w:val="28"/>
          <w:szCs w:val="28"/>
          <w:lang w:val="en-GB"/>
          <w14:ligatures w14:val="none"/>
        </w:rPr>
        <w:t>Technical Coordinator</w:t>
      </w:r>
    </w:p>
    <w:p w14:paraId="0E75A686" w14:textId="7BD14B76" w:rsidR="00CF1631" w:rsidRPr="00067FC0" w:rsidRDefault="00CF1631" w:rsidP="00CF1631">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r w:rsidRPr="00067FC0">
        <w:rPr>
          <w:rFonts w:ascii="Times New Roman" w:eastAsia="Times New Roman" w:hAnsi="Times New Roman" w:cs="Times New Roman"/>
          <w:b/>
          <w:bCs/>
          <w:color w:val="auto"/>
          <w:sz w:val="24"/>
          <w:szCs w:val="24"/>
          <w:lang w:val="en-GB"/>
          <w14:ligatures w14:val="none"/>
        </w:rPr>
        <w:t>Technical</w:t>
      </w:r>
      <w:r w:rsidRPr="00067FC0">
        <w:rPr>
          <w:rFonts w:ascii="Times New Roman" w:eastAsia="Times New Roman" w:hAnsi="Times New Roman" w:cs="Times New Roman"/>
          <w:b/>
          <w:bCs/>
          <w:color w:val="auto"/>
          <w:spacing w:val="-4"/>
          <w:sz w:val="24"/>
          <w:szCs w:val="24"/>
          <w:lang w:val="en-GB"/>
          <w14:ligatures w14:val="none"/>
        </w:rPr>
        <w:t xml:space="preserve"> </w:t>
      </w:r>
      <w:r>
        <w:rPr>
          <w:rFonts w:ascii="Times New Roman" w:eastAsia="Times New Roman" w:hAnsi="Times New Roman" w:cs="Times New Roman"/>
          <w:b/>
          <w:bCs/>
          <w:color w:val="auto"/>
          <w:sz w:val="24"/>
          <w:szCs w:val="24"/>
          <w:lang w:val="en-GB"/>
          <w14:ligatures w14:val="none"/>
        </w:rPr>
        <w:t>coordination of</w:t>
      </w:r>
      <w:r>
        <w:rPr>
          <w:rFonts w:ascii="Times New Roman" w:eastAsia="Times New Roman" w:hAnsi="Times New Roman" w:cs="Times New Roman"/>
          <w:b/>
          <w:bCs/>
          <w:color w:val="auto"/>
          <w:spacing w:val="-3"/>
          <w:sz w:val="24"/>
          <w:szCs w:val="24"/>
          <w:lang w:val="en-GB"/>
          <w14:ligatures w14:val="none"/>
        </w:rPr>
        <w:t xml:space="preserve"> project for implementing </w:t>
      </w:r>
      <w:r w:rsidRPr="00067FC0">
        <w:rPr>
          <w:rFonts w:ascii="Times New Roman" w:eastAsia="Times New Roman" w:hAnsi="Times New Roman" w:cs="Times New Roman"/>
          <w:b/>
          <w:bCs/>
          <w:color w:val="auto"/>
          <w:sz w:val="24"/>
          <w:szCs w:val="24"/>
          <w:lang w:val="en-GB"/>
          <w14:ligatures w14:val="none"/>
        </w:rPr>
        <w:t>green</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budgeting</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 xml:space="preserve">practices in </w:t>
      </w:r>
      <w:r>
        <w:rPr>
          <w:rFonts w:ascii="Times New Roman" w:eastAsia="Times New Roman" w:hAnsi="Times New Roman" w:cs="Times New Roman"/>
          <w:b/>
          <w:bCs/>
          <w:color w:val="auto"/>
          <w:sz w:val="24"/>
          <w:szCs w:val="24"/>
          <w:lang w:val="en-GB"/>
          <w14:ligatures w14:val="none"/>
        </w:rPr>
        <w:t>EU Member States</w:t>
      </w:r>
    </w:p>
    <w:p w14:paraId="52822C8F" w14:textId="77777777" w:rsidR="00CF1631" w:rsidRPr="00067FC0" w:rsidRDefault="00CF1631" w:rsidP="00CF1631">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66F44788" w14:textId="77777777" w:rsidR="00CF1631" w:rsidRPr="00067FC0" w:rsidRDefault="00CF1631" w:rsidP="00CF1631">
      <w:pPr>
        <w:widowControl w:val="0"/>
        <w:autoSpaceDE w:val="0"/>
        <w:autoSpaceDN w:val="0"/>
        <w:spacing w:after="0" w:line="240" w:lineRule="auto"/>
        <w:ind w:right="265"/>
        <w:outlineLvl w:val="0"/>
        <w:rPr>
          <w:rFonts w:ascii="Times New Roman" w:eastAsia="Times New Roman" w:hAnsi="Times New Roman" w:cs="Times New Roman"/>
          <w:b/>
          <w:bCs/>
          <w:color w:val="auto"/>
          <w:sz w:val="22"/>
          <w:szCs w:val="22"/>
          <w:lang w:val="en-GB"/>
          <w14:ligatures w14:val="none"/>
        </w:rPr>
      </w:pPr>
      <w:r w:rsidRPr="00067FC0">
        <w:rPr>
          <w:rFonts w:ascii="Times New Roman" w:eastAsia="Times New Roman" w:hAnsi="Times New Roman" w:cs="Times New Roman"/>
          <w:b/>
          <w:bCs/>
          <w:color w:val="auto"/>
          <w:sz w:val="22"/>
          <w:szCs w:val="22"/>
          <w:lang w:val="en-GB"/>
          <w14:ligatures w14:val="none"/>
        </w:rPr>
        <w:t>Duty</w:t>
      </w:r>
      <w:r w:rsidRPr="00067FC0">
        <w:rPr>
          <w:rFonts w:ascii="Times New Roman" w:eastAsia="Times New Roman" w:hAnsi="Times New Roman" w:cs="Times New Roman"/>
          <w:b/>
          <w:bCs/>
          <w:color w:val="auto"/>
          <w:spacing w:val="-1"/>
          <w:sz w:val="22"/>
          <w:szCs w:val="22"/>
          <w:lang w:val="en-GB"/>
          <w14:ligatures w14:val="none"/>
        </w:rPr>
        <w:t xml:space="preserve"> </w:t>
      </w:r>
      <w:r w:rsidRPr="00067FC0">
        <w:rPr>
          <w:rFonts w:ascii="Times New Roman" w:eastAsia="Times New Roman" w:hAnsi="Times New Roman" w:cs="Times New Roman"/>
          <w:b/>
          <w:bCs/>
          <w:color w:val="auto"/>
          <w:sz w:val="22"/>
          <w:szCs w:val="22"/>
          <w:lang w:val="en-GB"/>
          <w14:ligatures w14:val="none"/>
        </w:rPr>
        <w:t>station:</w:t>
      </w:r>
      <w:r w:rsidRPr="00067FC0">
        <w:rPr>
          <w:rFonts w:ascii="Times New Roman" w:eastAsia="Times New Roman" w:hAnsi="Times New Roman" w:cs="Times New Roman"/>
          <w:b/>
          <w:bCs/>
          <w:color w:val="auto"/>
          <w:spacing w:val="-1"/>
          <w:sz w:val="22"/>
          <w:szCs w:val="22"/>
          <w:lang w:val="en-GB"/>
          <w14:ligatures w14:val="none"/>
        </w:rPr>
        <w:t xml:space="preserve"> </w:t>
      </w:r>
      <w:r w:rsidRPr="00067FC0">
        <w:rPr>
          <w:rFonts w:ascii="Times New Roman" w:eastAsia="Times New Roman" w:hAnsi="Times New Roman" w:cs="Times New Roman"/>
          <w:color w:val="auto"/>
          <w:spacing w:val="-2"/>
          <w:sz w:val="22"/>
          <w:szCs w:val="22"/>
          <w:lang w:val="en-GB"/>
          <w14:ligatures w14:val="none"/>
        </w:rPr>
        <w:t>remote</w:t>
      </w:r>
    </w:p>
    <w:p w14:paraId="44692797" w14:textId="77777777" w:rsidR="00CF1631" w:rsidRPr="00067FC0" w:rsidRDefault="00CF1631" w:rsidP="00CF1631">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Contract</w:t>
      </w:r>
      <w:r w:rsidRPr="00067FC0">
        <w:rPr>
          <w:rFonts w:ascii="Times New Roman" w:eastAsia="Times New Roman" w:hAnsi="Times New Roman" w:cs="Times New Roman"/>
          <w:b/>
          <w:color w:val="auto"/>
          <w:spacing w:val="1"/>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type:</w:t>
      </w:r>
      <w:r w:rsidRPr="00067FC0">
        <w:rPr>
          <w:rFonts w:ascii="Times New Roman" w:eastAsia="Times New Roman" w:hAnsi="Times New Roman" w:cs="Times New Roman"/>
          <w:b/>
          <w:color w:val="auto"/>
          <w:spacing w:val="-16"/>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service</w:t>
      </w:r>
      <w:r w:rsidRPr="00067FC0">
        <w:rPr>
          <w:rFonts w:ascii="Times New Roman" w:eastAsia="Times New Roman" w:hAnsi="Times New Roman" w:cs="Times New Roman"/>
          <w:color w:val="auto"/>
          <w:spacing w:val="-1"/>
          <w:sz w:val="22"/>
          <w:szCs w:val="22"/>
          <w:lang w:val="en-GB"/>
          <w14:ligatures w14:val="none"/>
        </w:rPr>
        <w:t xml:space="preserve"> </w:t>
      </w:r>
      <w:r w:rsidRPr="00067FC0">
        <w:rPr>
          <w:rFonts w:ascii="Times New Roman" w:eastAsia="Times New Roman" w:hAnsi="Times New Roman" w:cs="Times New Roman"/>
          <w:color w:val="auto"/>
          <w:spacing w:val="-2"/>
          <w:sz w:val="22"/>
          <w:szCs w:val="22"/>
          <w:lang w:val="en-GB"/>
          <w14:ligatures w14:val="none"/>
        </w:rPr>
        <w:t>contract</w:t>
      </w:r>
    </w:p>
    <w:p w14:paraId="11209703" w14:textId="3C8022DF" w:rsidR="00CF1631" w:rsidRDefault="00CF1631" w:rsidP="00CF1631">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Duration:</w:t>
      </w:r>
      <w:r w:rsidRPr="00067FC0">
        <w:rPr>
          <w:rFonts w:ascii="Times New Roman" w:eastAsia="Times New Roman" w:hAnsi="Times New Roman" w:cs="Times New Roman"/>
          <w:b/>
          <w:color w:val="auto"/>
          <w:spacing w:val="-1"/>
          <w:sz w:val="22"/>
          <w:szCs w:val="22"/>
          <w:lang w:val="en-GB"/>
          <w14:ligatures w14:val="none"/>
        </w:rPr>
        <w:t xml:space="preserve"> </w:t>
      </w:r>
      <w:r w:rsidRPr="00CF1631">
        <w:rPr>
          <w:rFonts w:ascii="Times New Roman" w:eastAsia="Times New Roman" w:hAnsi="Times New Roman" w:cs="Times New Roman"/>
          <w:bCs/>
          <w:color w:val="auto"/>
          <w:spacing w:val="-1"/>
          <w:sz w:val="22"/>
          <w:szCs w:val="22"/>
          <w:lang w:val="en-GB"/>
          <w14:ligatures w14:val="none"/>
        </w:rPr>
        <w:t>30 months</w:t>
      </w:r>
    </w:p>
    <w:p w14:paraId="2A4E08AF" w14:textId="4979974C" w:rsidR="00CF1631" w:rsidRPr="00067FC0" w:rsidRDefault="00CF1631" w:rsidP="00CF1631">
      <w:pPr>
        <w:widowControl w:val="0"/>
        <w:autoSpaceDE w:val="0"/>
        <w:autoSpaceDN w:val="0"/>
        <w:spacing w:after="0" w:line="240" w:lineRule="auto"/>
        <w:rPr>
          <w:rFonts w:ascii="Times New Roman" w:eastAsia="Times New Roman" w:hAnsi="Times New Roman" w:cs="Times New Roman"/>
          <w:color w:val="auto"/>
          <w:spacing w:val="-4"/>
          <w:sz w:val="22"/>
          <w:szCs w:val="22"/>
          <w:lang w:val="en-GB"/>
          <w14:ligatures w14:val="none"/>
        </w:rPr>
      </w:pPr>
      <w:r>
        <w:rPr>
          <w:rFonts w:ascii="Times New Roman" w:eastAsia="Times New Roman" w:hAnsi="Times New Roman" w:cs="Times New Roman"/>
          <w:b/>
          <w:color w:val="auto"/>
          <w:spacing w:val="-1"/>
          <w:sz w:val="22"/>
          <w:szCs w:val="22"/>
          <w:lang w:val="en-GB"/>
          <w14:ligatures w14:val="none"/>
        </w:rPr>
        <w:t>Total number of working days:</w:t>
      </w:r>
      <w:r>
        <w:rPr>
          <w:rFonts w:ascii="Times New Roman" w:eastAsia="Times New Roman" w:hAnsi="Times New Roman" w:cs="Times New Roman"/>
          <w:b/>
          <w:color w:val="auto"/>
          <w:spacing w:val="-1"/>
          <w:sz w:val="22"/>
          <w:szCs w:val="22"/>
          <w:lang w:val="en-GB"/>
          <w14:ligatures w14:val="none"/>
        </w:rPr>
        <w:t xml:space="preserve"> </w:t>
      </w:r>
      <w:r w:rsidRPr="00CF1631">
        <w:rPr>
          <w:rFonts w:ascii="Times New Roman" w:eastAsia="Times New Roman" w:hAnsi="Times New Roman" w:cs="Times New Roman"/>
          <w:bCs/>
          <w:color w:val="auto"/>
          <w:spacing w:val="-1"/>
          <w:sz w:val="22"/>
          <w:szCs w:val="22"/>
          <w:lang w:val="en-GB"/>
          <w14:ligatures w14:val="none"/>
        </w:rPr>
        <w:t>210</w:t>
      </w:r>
    </w:p>
    <w:p w14:paraId="0EAFFD11" w14:textId="77777777" w:rsidR="00CF1631" w:rsidRPr="00067FC0" w:rsidRDefault="00CF1631" w:rsidP="00CF1631">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Financing Authority:</w:t>
      </w:r>
      <w:r w:rsidRPr="00067FC0">
        <w:rPr>
          <w:rFonts w:ascii="Times New Roman" w:eastAsia="Times New Roman" w:hAnsi="Times New Roman" w:cs="Times New Roman"/>
          <w:color w:val="auto"/>
          <w:sz w:val="22"/>
          <w:szCs w:val="22"/>
          <w:lang w:val="en-GB"/>
          <w14:ligatures w14:val="none"/>
        </w:rPr>
        <w:t xml:space="preserve"> Task Force for Reform and Investment (SG REFORM) of the European Commission.</w:t>
      </w:r>
    </w:p>
    <w:p w14:paraId="108C2056" w14:textId="77777777" w:rsidR="00CF1631" w:rsidRPr="00067FC0" w:rsidRDefault="00CF1631" w:rsidP="00CF1631">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 xml:space="preserve">Implementing Partner: </w:t>
      </w:r>
      <w:r w:rsidRPr="00067FC0">
        <w:rPr>
          <w:rFonts w:ascii="Times New Roman" w:eastAsia="Times New Roman" w:hAnsi="Times New Roman" w:cs="Times New Roman"/>
          <w:bCs/>
          <w:color w:val="auto"/>
          <w:sz w:val="22"/>
          <w:szCs w:val="22"/>
          <w:lang w:val="en-GB"/>
          <w14:ligatures w14:val="none"/>
        </w:rPr>
        <w:t>Expertise France</w:t>
      </w:r>
    </w:p>
    <w:p w14:paraId="6AC14EB1" w14:textId="77777777" w:rsidR="00CF1631" w:rsidRPr="00067FC0" w:rsidRDefault="00CF1631" w:rsidP="00CF1631">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Deadline</w:t>
      </w:r>
      <w:r w:rsidRPr="00067FC0">
        <w:rPr>
          <w:rFonts w:ascii="Times New Roman" w:eastAsia="Times New Roman" w:hAnsi="Times New Roman" w:cs="Times New Roman"/>
          <w:b/>
          <w:color w:val="auto"/>
          <w:spacing w:val="-2"/>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for</w:t>
      </w:r>
      <w:r w:rsidRPr="00067FC0">
        <w:rPr>
          <w:rFonts w:ascii="Times New Roman" w:eastAsia="Times New Roman" w:hAnsi="Times New Roman" w:cs="Times New Roman"/>
          <w:b/>
          <w:color w:val="auto"/>
          <w:spacing w:val="-2"/>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application</w:t>
      </w:r>
      <w:r w:rsidRPr="00067FC0">
        <w:rPr>
          <w:rFonts w:ascii="Times New Roman" w:eastAsia="Times New Roman" w:hAnsi="Times New Roman" w:cs="Times New Roman"/>
          <w:b/>
          <w:color w:val="auto"/>
          <w:spacing w:val="-1"/>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is:</w:t>
      </w:r>
      <w:r w:rsidRPr="00067FC0">
        <w:rPr>
          <w:rFonts w:ascii="Times New Roman" w:eastAsia="Times New Roman" w:hAnsi="Times New Roman" w:cs="Times New Roman"/>
          <w:b/>
          <w:color w:val="auto"/>
          <w:spacing w:val="2"/>
          <w:sz w:val="22"/>
          <w:szCs w:val="22"/>
          <w:lang w:val="en-GB"/>
          <w14:ligatures w14:val="none"/>
        </w:rPr>
        <w:t xml:space="preserve"> </w:t>
      </w:r>
    </w:p>
    <w:p w14:paraId="14F4D922" w14:textId="77777777" w:rsidR="00CF1631" w:rsidRPr="00067FC0" w:rsidRDefault="00CF1631" w:rsidP="00CF1631">
      <w:pPr>
        <w:widowControl w:val="0"/>
        <w:autoSpaceDE w:val="0"/>
        <w:autoSpaceDN w:val="0"/>
        <w:spacing w:before="6" w:after="0" w:line="240" w:lineRule="auto"/>
        <w:rPr>
          <w:rFonts w:ascii="Times New Roman" w:eastAsia="Times New Roman" w:hAnsi="Times New Roman" w:cs="Times New Roman"/>
          <w:color w:val="auto"/>
          <w:sz w:val="24"/>
          <w:szCs w:val="24"/>
          <w:lang w:val="en-GB"/>
          <w14:ligatures w14:val="none"/>
        </w:rPr>
      </w:pPr>
    </w:p>
    <w:p w14:paraId="103AB85C" w14:textId="5895F68D" w:rsidR="00CF1631" w:rsidRDefault="00CF1631" w:rsidP="00CF163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bCs/>
          <w:color w:val="auto"/>
          <w:sz w:val="22"/>
          <w:szCs w:val="22"/>
          <w:lang w:val="en-GB"/>
          <w14:ligatures w14:val="none"/>
        </w:rPr>
        <w:t xml:space="preserve">Mission </w:t>
      </w:r>
      <w:r w:rsidRPr="00067FC0">
        <w:rPr>
          <w:rFonts w:ascii="Times New Roman" w:eastAsia="Times New Roman" w:hAnsi="Times New Roman" w:cs="Times New Roman"/>
          <w:b/>
          <w:bCs/>
          <w:color w:val="auto"/>
          <w:spacing w:val="-2"/>
          <w:sz w:val="22"/>
          <w:szCs w:val="22"/>
          <w:lang w:val="en-GB"/>
          <w14:ligatures w14:val="none"/>
        </w:rPr>
        <w:t xml:space="preserve">Description: </w:t>
      </w:r>
      <w:r w:rsidRPr="00067FC0">
        <w:rPr>
          <w:rFonts w:ascii="Times New Roman" w:eastAsia="Times New Roman" w:hAnsi="Times New Roman" w:cs="Times New Roman"/>
          <w:color w:val="auto"/>
          <w:sz w:val="22"/>
          <w:szCs w:val="22"/>
          <w:lang w:val="en-GB"/>
          <w14:ligatures w14:val="none"/>
        </w:rPr>
        <w:t>In</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the</w:t>
      </w:r>
      <w:r w:rsidRPr="00067FC0">
        <w:rPr>
          <w:rFonts w:ascii="Times New Roman" w:eastAsia="Times New Roman" w:hAnsi="Times New Roman" w:cs="Times New Roman"/>
          <w:color w:val="auto"/>
          <w:spacing w:val="-1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framework</w:t>
      </w:r>
      <w:r w:rsidRPr="00067FC0">
        <w:rPr>
          <w:rFonts w:ascii="Times New Roman" w:eastAsia="Times New Roman" w:hAnsi="Times New Roman" w:cs="Times New Roman"/>
          <w:color w:val="auto"/>
          <w:spacing w:val="-1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of</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the</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project Implementing Effective Green Budgeting practices,</w:t>
      </w:r>
      <w:r w:rsidRPr="00067FC0">
        <w:rPr>
          <w:rFonts w:ascii="Times New Roman" w:eastAsia="Times New Roman" w:hAnsi="Times New Roman" w:cs="Times New Roman"/>
          <w:color w:val="auto"/>
          <w:spacing w:val="-13"/>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Expertise</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France</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is</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 xml:space="preserve">recruiting </w:t>
      </w:r>
      <w:r w:rsidRPr="00067FC0">
        <w:rPr>
          <w:rFonts w:ascii="Times New Roman" w:eastAsia="Times New Roman" w:hAnsi="Times New Roman" w:cs="Times New Roman"/>
          <w:color w:val="auto"/>
          <w:sz w:val="22"/>
          <w:szCs w:val="22"/>
          <w:lang w:val="en-GB"/>
          <w14:ligatures w14:val="none"/>
        </w:rPr>
        <w:t>a</w:t>
      </w:r>
      <w:r w:rsidRPr="00067FC0">
        <w:rPr>
          <w:rFonts w:ascii="Times New Roman" w:eastAsia="Times New Roman" w:hAnsi="Times New Roman" w:cs="Times New Roman"/>
          <w:color w:val="auto"/>
          <w:sz w:val="22"/>
          <w:szCs w:val="22"/>
          <w:lang w:val="en-GB"/>
          <w14:ligatures w14:val="none"/>
        </w:rPr>
        <w:t xml:space="preserve"> </w:t>
      </w:r>
      <w:r>
        <w:rPr>
          <w:rFonts w:ascii="Times New Roman" w:eastAsia="Times New Roman" w:hAnsi="Times New Roman" w:cs="Times New Roman"/>
          <w:color w:val="auto"/>
          <w:sz w:val="22"/>
          <w:szCs w:val="22"/>
          <w:lang w:val="en-GB"/>
          <w14:ligatures w14:val="none"/>
        </w:rPr>
        <w:t>technical project coordinator with experience coordinating EU-financed projects and knowledge of Green Budgeting, Public Financial Management</w:t>
      </w:r>
      <w:r>
        <w:rPr>
          <w:rFonts w:ascii="Times New Roman" w:eastAsia="Times New Roman" w:hAnsi="Times New Roman" w:cs="Times New Roman"/>
          <w:color w:val="auto"/>
          <w:sz w:val="22"/>
          <w:szCs w:val="22"/>
          <w:lang w:val="en-GB"/>
          <w14:ligatures w14:val="none"/>
        </w:rPr>
        <w:t xml:space="preserve">, as well as with </w:t>
      </w:r>
      <w:r w:rsidRPr="00067FC0">
        <w:rPr>
          <w:rFonts w:ascii="Times New Roman" w:eastAsia="Times New Roman" w:hAnsi="Times New Roman" w:cs="Times New Roman"/>
          <w:color w:val="auto"/>
          <w:sz w:val="22"/>
          <w:szCs w:val="22"/>
          <w:lang w:val="en-GB"/>
          <w14:ligatures w14:val="none"/>
        </w:rPr>
        <w:t xml:space="preserve">knowledge of latest </w:t>
      </w:r>
      <w:r>
        <w:rPr>
          <w:rFonts w:ascii="Times New Roman" w:eastAsia="Times New Roman" w:hAnsi="Times New Roman" w:cs="Times New Roman"/>
          <w:color w:val="auto"/>
          <w:sz w:val="22"/>
          <w:szCs w:val="22"/>
          <w:lang w:val="en-GB"/>
          <w14:ligatures w14:val="none"/>
        </w:rPr>
        <w:t xml:space="preserve">Climate and Environmental </w:t>
      </w:r>
      <w:r w:rsidRPr="00067FC0">
        <w:rPr>
          <w:rFonts w:ascii="Times New Roman" w:eastAsia="Times New Roman" w:hAnsi="Times New Roman" w:cs="Times New Roman"/>
          <w:color w:val="auto"/>
          <w:sz w:val="22"/>
          <w:szCs w:val="22"/>
          <w:lang w:val="en-GB"/>
          <w14:ligatures w14:val="none"/>
        </w:rPr>
        <w:t>policy developments at EU leve</w:t>
      </w:r>
      <w:r>
        <w:rPr>
          <w:rFonts w:ascii="Times New Roman" w:eastAsia="Times New Roman" w:hAnsi="Times New Roman" w:cs="Times New Roman"/>
          <w:color w:val="auto"/>
          <w:sz w:val="22"/>
          <w:szCs w:val="22"/>
          <w:lang w:val="en-GB"/>
          <w14:ligatures w14:val="none"/>
        </w:rPr>
        <w:t>l.</w:t>
      </w:r>
    </w:p>
    <w:p w14:paraId="5D119A94" w14:textId="77777777" w:rsidR="009076EE" w:rsidRDefault="009076EE" w:rsidP="00CF163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23FDC35E" w14:textId="39B1AFDE" w:rsidR="009076EE" w:rsidRDefault="009076EE" w:rsidP="00CF163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Pr>
          <w:rFonts w:ascii="Times New Roman" w:eastAsia="Times New Roman" w:hAnsi="Times New Roman" w:cs="Times New Roman"/>
          <w:color w:val="auto"/>
          <w:sz w:val="22"/>
          <w:szCs w:val="22"/>
          <w:lang w:val="en-GB"/>
          <w14:ligatures w14:val="none"/>
        </w:rPr>
        <w:t>Th</w:t>
      </w:r>
      <w:r w:rsidRPr="009076EE">
        <w:rPr>
          <w:rFonts w:ascii="Times New Roman" w:eastAsia="Times New Roman" w:hAnsi="Times New Roman" w:cs="Times New Roman"/>
          <w:color w:val="auto"/>
          <w:sz w:val="22"/>
          <w:szCs w:val="22"/>
          <w:lang w:val="en-GB"/>
          <w14:ligatures w14:val="none"/>
        </w:rPr>
        <w:t xml:space="preserve">e coordinator </w:t>
      </w:r>
      <w:r w:rsidRPr="009076EE">
        <w:rPr>
          <w:rFonts w:ascii="Times New Roman" w:eastAsia="Times New Roman" w:hAnsi="Times New Roman" w:cs="Times New Roman"/>
          <w:b/>
          <w:bCs/>
          <w:color w:val="auto"/>
          <w:sz w:val="22"/>
          <w:szCs w:val="22"/>
          <w:lang w:val="en-GB"/>
          <w14:ligatures w14:val="none"/>
        </w:rPr>
        <w:t>will ensure the smooth coordination and implementation project activities</w:t>
      </w:r>
      <w:r w:rsidRPr="009076EE">
        <w:rPr>
          <w:rFonts w:ascii="Times New Roman" w:eastAsia="Times New Roman" w:hAnsi="Times New Roman" w:cs="Times New Roman"/>
          <w:color w:val="auto"/>
          <w:sz w:val="22"/>
          <w:szCs w:val="22"/>
          <w:lang w:val="en-GB"/>
          <w14:ligatures w14:val="none"/>
        </w:rPr>
        <w:t>, in collaboration with the project manager and project assistant. In addition, the coordinator will be the liaison person with SG REFORM policy officers,</w:t>
      </w:r>
      <w:r w:rsidR="00D74464">
        <w:rPr>
          <w:rFonts w:ascii="Times New Roman" w:eastAsia="Times New Roman" w:hAnsi="Times New Roman" w:cs="Times New Roman"/>
          <w:color w:val="auto"/>
          <w:sz w:val="22"/>
          <w:szCs w:val="22"/>
          <w:lang w:val="en-GB"/>
          <w14:ligatures w14:val="none"/>
        </w:rPr>
        <w:t xml:space="preserve"> EU services,</w:t>
      </w:r>
      <w:r w:rsidRPr="009076EE">
        <w:rPr>
          <w:rFonts w:ascii="Times New Roman" w:eastAsia="Times New Roman" w:hAnsi="Times New Roman" w:cs="Times New Roman"/>
          <w:color w:val="auto"/>
          <w:sz w:val="22"/>
          <w:szCs w:val="22"/>
          <w:lang w:val="en-GB"/>
          <w14:ligatures w14:val="none"/>
        </w:rPr>
        <w:t xml:space="preserve"> the </w:t>
      </w:r>
      <w:r w:rsidR="00D74464">
        <w:rPr>
          <w:rFonts w:ascii="Times New Roman" w:eastAsia="Times New Roman" w:hAnsi="Times New Roman" w:cs="Times New Roman"/>
          <w:color w:val="auto"/>
          <w:sz w:val="22"/>
          <w:szCs w:val="22"/>
          <w:lang w:val="en-GB"/>
          <w14:ligatures w14:val="none"/>
        </w:rPr>
        <w:t xml:space="preserve">national </w:t>
      </w:r>
      <w:r w:rsidRPr="009076EE">
        <w:rPr>
          <w:rFonts w:ascii="Times New Roman" w:eastAsia="Times New Roman" w:hAnsi="Times New Roman" w:cs="Times New Roman"/>
          <w:color w:val="auto"/>
          <w:sz w:val="22"/>
          <w:szCs w:val="22"/>
          <w:lang w:val="en-GB"/>
          <w14:ligatures w14:val="none"/>
        </w:rPr>
        <w:t>experts and the beneficiaries on implementation of project activities and ensure regular communication with SG REFORM on reporting and follow</w:t>
      </w:r>
      <w:r>
        <w:rPr>
          <w:rFonts w:ascii="Times New Roman" w:eastAsia="Times New Roman" w:hAnsi="Times New Roman" w:cs="Times New Roman"/>
          <w:color w:val="auto"/>
          <w:sz w:val="22"/>
          <w:szCs w:val="22"/>
          <w:lang w:val="en-GB"/>
          <w14:ligatures w14:val="none"/>
        </w:rPr>
        <w:t>-</w:t>
      </w:r>
      <w:r w:rsidRPr="009076EE">
        <w:rPr>
          <w:rFonts w:ascii="Times New Roman" w:eastAsia="Times New Roman" w:hAnsi="Times New Roman" w:cs="Times New Roman"/>
          <w:color w:val="auto"/>
          <w:sz w:val="22"/>
          <w:szCs w:val="22"/>
          <w:lang w:val="en-GB"/>
          <w14:ligatures w14:val="none"/>
        </w:rPr>
        <w:t>up on implementation activities, as well as inform SG REFORM of the potential risks and obstacles in the implementation of the technical support and provide suggestions for solutions.</w:t>
      </w:r>
    </w:p>
    <w:p w14:paraId="3AB10D01" w14:textId="77777777" w:rsidR="001D6F19" w:rsidRDefault="001D6F19" w:rsidP="00CF163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56057035"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29AE8E6D"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b/>
          <w:bCs/>
          <w:color w:val="auto"/>
          <w:sz w:val="22"/>
          <w:szCs w:val="22"/>
          <w:lang w:val="en-GB"/>
          <w14:ligatures w14:val="none"/>
        </w:rPr>
      </w:pPr>
      <w:r w:rsidRPr="001D6F19">
        <w:rPr>
          <w:rFonts w:ascii="Times New Roman" w:eastAsia="Times New Roman" w:hAnsi="Times New Roman" w:cs="Times New Roman"/>
          <w:b/>
          <w:bCs/>
          <w:color w:val="auto"/>
          <w:sz w:val="22"/>
          <w:szCs w:val="22"/>
          <w:lang w:val="en-GB"/>
          <w14:ligatures w14:val="none"/>
        </w:rPr>
        <w:t>Project context:</w:t>
      </w:r>
    </w:p>
    <w:p w14:paraId="289AB807"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5E713762" w14:textId="30A16E44"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Green Budgeting aims to align national budgets with sustainability objectives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r w:rsidR="00C26407">
        <w:rPr>
          <w:rFonts w:ascii="Times New Roman" w:eastAsia="Times New Roman" w:hAnsi="Times New Roman" w:cs="Times New Roman"/>
          <w:color w:val="auto"/>
          <w:sz w:val="22"/>
          <w:szCs w:val="22"/>
          <w:lang w:val="en-GB"/>
          <w14:ligatures w14:val="none"/>
        </w:rPr>
        <w:t xml:space="preserve"> </w:t>
      </w:r>
      <w:r w:rsidRPr="001D6F19">
        <w:rPr>
          <w:rFonts w:ascii="Times New Roman" w:eastAsia="Times New Roman" w:hAnsi="Times New Roman" w:cs="Times New Roman"/>
          <w:color w:val="auto"/>
          <w:sz w:val="22"/>
          <w:szCs w:val="22"/>
          <w:lang w:val="en-GB"/>
          <w14:ligatures w14:val="none"/>
        </w:rPr>
        <w:t>The reformed EU Economic Governance Framework,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4DCC1C57"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4FA8F816" w14:textId="4326D5EA"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The recently adopted EU Directive 2024/</w:t>
      </w:r>
      <w:r w:rsidR="0032099E" w:rsidRPr="001D6F19">
        <w:rPr>
          <w:rFonts w:ascii="Times New Roman" w:eastAsia="Times New Roman" w:hAnsi="Times New Roman" w:cs="Times New Roman"/>
          <w:color w:val="auto"/>
          <w:sz w:val="22"/>
          <w:szCs w:val="22"/>
          <w:lang w:val="en-GB"/>
          <w14:ligatures w14:val="none"/>
        </w:rPr>
        <w:t>1265 and</w:t>
      </w:r>
      <w:r w:rsidRPr="001D6F19">
        <w:rPr>
          <w:rFonts w:ascii="Times New Roman" w:eastAsia="Times New Roman" w:hAnsi="Times New Roman" w:cs="Times New Roman"/>
          <w:color w:val="auto"/>
          <w:sz w:val="22"/>
          <w:szCs w:val="22"/>
          <w:lang w:val="en-GB"/>
          <w14:ligatures w14:val="none"/>
        </w:rPr>
        <w:t xml:space="preserve"> the new EU Economic Governance Framework emphasize the importance of aligning fiscal policies with sustainability and climate objectives. The Directive requires Member States to report on macro-fiscal risks arising from climate change, climate-related contingent liabilities, and fiscal costs of disasters. The Green Deal Communication, the Fit for 55 </w:t>
      </w:r>
      <w:r w:rsidR="0032099E" w:rsidRPr="001D6F19">
        <w:rPr>
          <w:rFonts w:ascii="Times New Roman" w:eastAsia="Times New Roman" w:hAnsi="Times New Roman" w:cs="Times New Roman"/>
          <w:color w:val="auto"/>
          <w:sz w:val="22"/>
          <w:szCs w:val="22"/>
          <w:lang w:val="en-GB"/>
          <w14:ligatures w14:val="none"/>
        </w:rPr>
        <w:t>package,</w:t>
      </w:r>
      <w:r w:rsidRPr="001D6F19">
        <w:rPr>
          <w:rFonts w:ascii="Times New Roman" w:eastAsia="Times New Roman" w:hAnsi="Times New Roman" w:cs="Times New Roman"/>
          <w:color w:val="auto"/>
          <w:sz w:val="22"/>
          <w:szCs w:val="22"/>
          <w:lang w:val="en-GB"/>
          <w14:ligatures w14:val="none"/>
        </w:rPr>
        <w:t xml:space="preserve"> and the reformed EU Economic Governance Framework set an ambitious policy context for addressing climate change, emphasizing the need to align public finances with climate and environmental objectives. Green Budgeting is critical to achieving these goals.</w:t>
      </w:r>
    </w:p>
    <w:p w14:paraId="2036F182"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20423571" w14:textId="77777777"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Between 2021 and 2024, the Commission implemented the Green Budgeting Training Programme , a multi-country technical support project under the Technical Support Instrument (TSI). This program, based on the European Union Green Budgeting Reference Framework, provided capacity-building in Green Budgeting to 23 Member States. It consisted of four modules covering foundational principles, tagging methodologies, environmental impact assessments, and peer-to-peer exchanges. The program:</w:t>
      </w:r>
    </w:p>
    <w:p w14:paraId="670A5692"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2708F489"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Trained approximately 1,200 participants.</w:t>
      </w:r>
    </w:p>
    <w:p w14:paraId="1D9A065C"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lastRenderedPageBreak/>
        <w:t>•</w:t>
      </w:r>
      <w:r w:rsidRPr="001D6F19">
        <w:rPr>
          <w:rFonts w:ascii="Times New Roman" w:eastAsia="Times New Roman" w:hAnsi="Times New Roman" w:cs="Times New Roman"/>
          <w:color w:val="auto"/>
          <w:sz w:val="22"/>
          <w:szCs w:val="22"/>
          <w:lang w:val="en-GB"/>
          <w14:ligatures w14:val="none"/>
        </w:rPr>
        <w:tab/>
        <w:t>Enabled Member States to develop and implement Green Budgeting frameworks at the national level.</w:t>
      </w:r>
    </w:p>
    <w:p w14:paraId="38F2C20D" w14:textId="77777777"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Fostered cross-border collaboration and established a community of Green Budgeting Practitioners among public officials across the EU.</w:t>
      </w:r>
    </w:p>
    <w:p w14:paraId="5187DB76"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540B4344"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At the Closing Conference on June 7, 2024, beneficiary authorities identified ongoing technical support needs at both national and sub-national levels. These include further development and implementation of green budgeting methodologies, alignment with other green workstreams such as those relating to the Do No Significant Harm (DNSH) principle and its application in EU funding.</w:t>
      </w:r>
    </w:p>
    <w:p w14:paraId="4F2059AD" w14:textId="77777777"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Implementing Effective Green Budgeting practices</w:t>
      </w:r>
    </w:p>
    <w:p w14:paraId="330E4953"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271D10C0" w14:textId="77777777"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These technical support needs shall be addressed in the framework of this new project for Implementing Effective Green Budgeting practices. The Beneficiary Authorities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each country require technical support to address gaps in capacity, governance, and data management, and to refine methodologies for identifying and categorizing green expenditures. The countries will benefit from the action through tailored support as well as common activities to share experiences, develop and strengthen methodologies, and foster cross-border collaboration.</w:t>
      </w:r>
    </w:p>
    <w:p w14:paraId="49F09F00"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2118537E"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 xml:space="preserve">Croatia, Czech Republic, Cyprus, Denmark, France, Ireland, Portugal, Slovakia, Slovenia and Spain have requested support from the European Commission under Regulation (EU) 2021/240 establishing a Technical Support Instrument ("TSI Regulation").  The request for technical support was assessed by the European Commission in accordance with the criteria and principles referred to in Article 9 of the TSI Regulation and was selected for funding. </w:t>
      </w:r>
    </w:p>
    <w:p w14:paraId="3D47D606" w14:textId="77777777"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The national authorities that requested technical support and will benefit from this Project are:</w:t>
      </w:r>
    </w:p>
    <w:p w14:paraId="2DD61954"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07EA8870"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Ministry of Finance of the Republic of Croatia (Ministarstvo financija)</w:t>
      </w:r>
    </w:p>
    <w:p w14:paraId="4B80E583"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Ministry of Finance of Cyprus</w:t>
      </w:r>
    </w:p>
    <w:p w14:paraId="2AF1AE9A"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Ministry of Finance of the Czech Republic (Ministerstvo financí České republiky)</w:t>
      </w:r>
    </w:p>
    <w:p w14:paraId="14C425E3"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Ministry of Finance of Denmark (Finansministeriet)</w:t>
      </w:r>
    </w:p>
    <w:p w14:paraId="43EE2412"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fr-FR"/>
          <w14:ligatures w14:val="none"/>
        </w:rPr>
      </w:pPr>
      <w:r w:rsidRPr="001D6F19">
        <w:rPr>
          <w:rFonts w:ascii="Times New Roman" w:eastAsia="Times New Roman" w:hAnsi="Times New Roman" w:cs="Times New Roman"/>
          <w:color w:val="auto"/>
          <w:sz w:val="22"/>
          <w:szCs w:val="22"/>
          <w:lang w:val="fr-FR"/>
          <w14:ligatures w14:val="none"/>
        </w:rPr>
        <w:t>•</w:t>
      </w:r>
      <w:r w:rsidRPr="001D6F19">
        <w:rPr>
          <w:rFonts w:ascii="Times New Roman" w:eastAsia="Times New Roman" w:hAnsi="Times New Roman" w:cs="Times New Roman"/>
          <w:color w:val="auto"/>
          <w:sz w:val="22"/>
          <w:szCs w:val="22"/>
          <w:lang w:val="fr-FR"/>
          <w14:ligatures w14:val="none"/>
        </w:rPr>
        <w:tab/>
        <w:t>General Direction for Public Finances and Budget Directorate, Ministry of Economics, Finance and Industrial and Digital Sovereignty (Direction Générale des Finances Publiques (DGFiP) and Direction du Budget (Ministère de l’Économie, des Finances et de l’Industrie)</w:t>
      </w:r>
    </w:p>
    <w:p w14:paraId="21EA9FA2"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Department of Public Expenditure and Reform, Department of Finance of Ireland (An Roinn Caiteachais Phoiblí, Bonneagair, Seirbhísí Poiblí, Athchóirithe agus Digiteachaithe)</w:t>
      </w:r>
    </w:p>
    <w:p w14:paraId="40FABC34"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Office for Economic Policy and International Affairs, Ministry of Finance (Gabinete de Planeamento, Estratégia, Avaliação e Relações Internacionais (GPEARI) – Ministério das Finanças)</w:t>
      </w:r>
    </w:p>
    <w:p w14:paraId="6E12F320"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Ministry of Environment of Slovakia (Ministerstvo životného prostredia Slovenskej republiky)</w:t>
      </w:r>
    </w:p>
    <w:p w14:paraId="68060377"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w:t>
      </w:r>
      <w:r w:rsidRPr="001D6F19">
        <w:rPr>
          <w:rFonts w:ascii="Times New Roman" w:eastAsia="Times New Roman" w:hAnsi="Times New Roman" w:cs="Times New Roman"/>
          <w:color w:val="auto"/>
          <w:sz w:val="22"/>
          <w:szCs w:val="22"/>
          <w:lang w:val="en-GB"/>
          <w14:ligatures w14:val="none"/>
        </w:rPr>
        <w:tab/>
        <w:t>Ministry of Finance of Slovenia (Ministrstvo za finance)</w:t>
      </w:r>
    </w:p>
    <w:p w14:paraId="49BFDB59"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s-ES"/>
          <w14:ligatures w14:val="none"/>
        </w:rPr>
      </w:pPr>
      <w:r w:rsidRPr="001D6F19">
        <w:rPr>
          <w:rFonts w:ascii="Times New Roman" w:eastAsia="Times New Roman" w:hAnsi="Times New Roman" w:cs="Times New Roman"/>
          <w:color w:val="auto"/>
          <w:sz w:val="22"/>
          <w:szCs w:val="22"/>
          <w:lang w:val="es-ES"/>
          <w14:ligatures w14:val="none"/>
        </w:rPr>
        <w:t>•</w:t>
      </w:r>
      <w:r w:rsidRPr="001D6F19">
        <w:rPr>
          <w:rFonts w:ascii="Times New Roman" w:eastAsia="Times New Roman" w:hAnsi="Times New Roman" w:cs="Times New Roman"/>
          <w:color w:val="auto"/>
          <w:sz w:val="22"/>
          <w:szCs w:val="22"/>
          <w:lang w:val="es-ES"/>
          <w14:ligatures w14:val="none"/>
        </w:rPr>
        <w:tab/>
        <w:t>Ministry of Ecological Transition and the Demographic Challenge of Spain (Ministerio para la Transición Ecológica y el Reto Demográfico)</w:t>
      </w:r>
    </w:p>
    <w:p w14:paraId="604ECD7B" w14:textId="77777777" w:rsidR="001D6F19" w:rsidRP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s-ES"/>
          <w14:ligatures w14:val="none"/>
        </w:rPr>
      </w:pPr>
    </w:p>
    <w:p w14:paraId="4A2DD3F4" w14:textId="77777777"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 xml:space="preserve">This project has two strands of technical support: </w:t>
      </w:r>
    </w:p>
    <w:p w14:paraId="6AD23068" w14:textId="77777777" w:rsidR="00C26407" w:rsidRPr="001D6F19" w:rsidRDefault="00C26407"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685A06DE" w14:textId="7F6B6446" w:rsidR="00F96948" w:rsidRPr="00415161" w:rsidRDefault="001D6F19" w:rsidP="0041516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415161">
        <w:rPr>
          <w:rFonts w:ascii="Times New Roman" w:eastAsia="Times New Roman" w:hAnsi="Times New Roman" w:cs="Times New Roman"/>
          <w:color w:val="auto"/>
          <w:sz w:val="22"/>
          <w:szCs w:val="22"/>
          <w:lang w:val="en-GB"/>
          <w14:ligatures w14:val="none"/>
        </w:rPr>
        <w:t>Five Standalone Requests: These focus on tailored technical support for implementing Green Budgeting practices at the national level in Cyprus, Czechia, Denmark, France (sub-national), and Portugal. The support includes developing methodologies for tagging climate-relevant expenditures, enhancing governance frameworks, and building capacity within national ministries.</w:t>
      </w:r>
    </w:p>
    <w:p w14:paraId="52949EDF" w14:textId="77777777" w:rsidR="00415161" w:rsidRDefault="00415161"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5BDCCC63" w14:textId="3F80FDC7" w:rsidR="001D6F19" w:rsidRDefault="001D6F19" w:rsidP="001D6F19">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1D6F19">
        <w:rPr>
          <w:rFonts w:ascii="Times New Roman" w:eastAsia="Times New Roman" w:hAnsi="Times New Roman" w:cs="Times New Roman"/>
          <w:color w:val="auto"/>
          <w:sz w:val="22"/>
          <w:szCs w:val="22"/>
          <w:lang w:val="en-GB"/>
          <w14:ligatures w14:val="none"/>
        </w:rPr>
        <w:t>Civil Servants Exchange: This component facilitates knowledge-sharing and capacity-building among Member States. It includes participation from the five standalone project beneficiaries (Cyprus, Czechia, Denmark, France, and Portugal) as well as Croatia, Ireland, Slovakia, Slovenia, and Spain.</w:t>
      </w:r>
    </w:p>
    <w:p w14:paraId="13A3CBBE" w14:textId="77777777" w:rsidR="00CF1631" w:rsidRDefault="00CF1631" w:rsidP="00CF1631"/>
    <w:p w14:paraId="55BF4C9F" w14:textId="25548E50" w:rsidR="00CF1631" w:rsidRPr="00E118EE" w:rsidRDefault="00E118EE" w:rsidP="00CF1631">
      <w:pPr>
        <w:rPr>
          <w:rFonts w:ascii="Times New Roman" w:hAnsi="Times New Roman" w:cs="Times New Roman"/>
          <w:b/>
          <w:bCs/>
          <w:sz w:val="22"/>
          <w:szCs w:val="22"/>
        </w:rPr>
      </w:pPr>
      <w:r w:rsidRPr="00E118EE">
        <w:rPr>
          <w:rFonts w:ascii="Times New Roman" w:hAnsi="Times New Roman" w:cs="Times New Roman"/>
          <w:b/>
          <w:bCs/>
          <w:sz w:val="22"/>
          <w:szCs w:val="22"/>
        </w:rPr>
        <w:lastRenderedPageBreak/>
        <w:t>Deliverables and timeframe</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513"/>
      </w:tblGrid>
      <w:tr w:rsidR="009076EE" w:rsidRPr="00067FC0" w14:paraId="6C33187B" w14:textId="77777777" w:rsidTr="00B24AE1">
        <w:trPr>
          <w:trHeight w:val="940"/>
        </w:trPr>
        <w:tc>
          <w:tcPr>
            <w:tcW w:w="1701" w:type="dxa"/>
            <w:shd w:val="clear" w:color="auto" w:fill="002060"/>
          </w:tcPr>
          <w:p w14:paraId="5365DE91" w14:textId="17045665" w:rsidR="009076EE" w:rsidRPr="00B24AE1" w:rsidRDefault="00B20173" w:rsidP="00B24AE1">
            <w:pPr>
              <w:ind w:left="107"/>
              <w:rPr>
                <w:rFonts w:ascii="Times New Roman" w:eastAsia="Times New Roman" w:hAnsi="Times New Roman" w:cs="Times New Roman"/>
                <w:b/>
                <w:color w:val="FFFFFF"/>
                <w:spacing w:val="-2"/>
                <w:lang w:val="en-GB"/>
              </w:rPr>
            </w:pPr>
            <w:r>
              <w:rPr>
                <w:rFonts w:ascii="Times New Roman" w:eastAsia="Times New Roman" w:hAnsi="Times New Roman" w:cs="Times New Roman"/>
                <w:b/>
                <w:color w:val="FFFFFF"/>
                <w:spacing w:val="-2"/>
                <w:lang w:val="en-GB"/>
              </w:rPr>
              <w:t xml:space="preserve">Deliverables and </w:t>
            </w:r>
            <w:r w:rsidR="00B24AE1">
              <w:rPr>
                <w:rFonts w:ascii="Times New Roman" w:eastAsia="Times New Roman" w:hAnsi="Times New Roman" w:cs="Times New Roman"/>
                <w:b/>
                <w:color w:val="FFFFFF"/>
                <w:spacing w:val="-2"/>
                <w:lang w:val="en-GB"/>
              </w:rPr>
              <w:t>T</w:t>
            </w:r>
            <w:r w:rsidR="009076EE" w:rsidRPr="00067FC0">
              <w:rPr>
                <w:rFonts w:ascii="Times New Roman" w:eastAsia="Times New Roman" w:hAnsi="Times New Roman" w:cs="Times New Roman"/>
                <w:b/>
                <w:color w:val="FFFFFF"/>
                <w:spacing w:val="-2"/>
                <w:lang w:val="en-GB"/>
              </w:rPr>
              <w:t xml:space="preserve">imeframe </w:t>
            </w:r>
          </w:p>
        </w:tc>
        <w:tc>
          <w:tcPr>
            <w:tcW w:w="7513" w:type="dxa"/>
            <w:shd w:val="clear" w:color="auto" w:fill="002060"/>
          </w:tcPr>
          <w:p w14:paraId="0618459C" w14:textId="77777777" w:rsidR="009076EE" w:rsidRPr="00067FC0" w:rsidRDefault="009076EE" w:rsidP="00603C7F">
            <w:pPr>
              <w:ind w:left="107"/>
              <w:jc w:val="center"/>
              <w:rPr>
                <w:rFonts w:ascii="Times New Roman" w:eastAsia="Times New Roman" w:hAnsi="Times New Roman" w:cs="Times New Roman"/>
                <w:b/>
                <w:color w:val="FFFFFF"/>
                <w:sz w:val="24"/>
                <w:szCs w:val="24"/>
                <w:lang w:val="en-GB"/>
              </w:rPr>
            </w:pPr>
            <w:r w:rsidRPr="00067FC0">
              <w:rPr>
                <w:rFonts w:ascii="Times New Roman" w:eastAsia="Times New Roman" w:hAnsi="Times New Roman" w:cs="Times New Roman"/>
                <w:b/>
                <w:color w:val="FFFFFF"/>
                <w:sz w:val="24"/>
                <w:szCs w:val="24"/>
                <w:lang w:val="en-GB"/>
              </w:rPr>
              <w:t>Activities</w:t>
            </w:r>
          </w:p>
        </w:tc>
      </w:tr>
      <w:tr w:rsidR="009076EE" w:rsidRPr="00696FF7" w14:paraId="0996A86F" w14:textId="77777777" w:rsidTr="00B24AE1">
        <w:trPr>
          <w:trHeight w:val="517"/>
        </w:trPr>
        <w:tc>
          <w:tcPr>
            <w:tcW w:w="1701" w:type="dxa"/>
          </w:tcPr>
          <w:p w14:paraId="6C246D9D" w14:textId="77777777" w:rsidR="00B20173" w:rsidRDefault="00B20173" w:rsidP="009076EE">
            <w:pPr>
              <w:spacing w:before="1"/>
              <w:rPr>
                <w:rFonts w:ascii="Times New Roman" w:eastAsia="Times New Roman" w:hAnsi="Times New Roman" w:cs="Times New Roman"/>
                <w:lang w:val="en-GB"/>
              </w:rPr>
            </w:pPr>
            <w:r>
              <w:rPr>
                <w:rFonts w:ascii="Times New Roman" w:eastAsia="Times New Roman" w:hAnsi="Times New Roman" w:cs="Times New Roman"/>
                <w:lang w:val="en-GB"/>
              </w:rPr>
              <w:t xml:space="preserve">Activity diagnosis </w:t>
            </w:r>
          </w:p>
          <w:p w14:paraId="4CB04C05" w14:textId="414AA230" w:rsidR="00B24AE1" w:rsidRPr="00B20173" w:rsidRDefault="00B20173" w:rsidP="009076EE">
            <w:pPr>
              <w:spacing w:before="1"/>
              <w:rPr>
                <w:rFonts w:ascii="Times New Roman" w:eastAsia="Times New Roman" w:hAnsi="Times New Roman" w:cs="Times New Roman"/>
                <w:lang w:val="en-GB"/>
              </w:rPr>
            </w:pPr>
            <w:r>
              <w:rPr>
                <w:rFonts w:ascii="Times New Roman" w:eastAsia="Times New Roman" w:hAnsi="Times New Roman" w:cs="Times New Roman"/>
                <w:lang w:val="en-GB"/>
              </w:rPr>
              <w:t xml:space="preserve">Report of </w:t>
            </w:r>
            <w:r w:rsidR="00B24AE1" w:rsidRPr="00B20173">
              <w:rPr>
                <w:rFonts w:ascii="Times New Roman" w:eastAsia="Times New Roman" w:hAnsi="Times New Roman" w:cs="Times New Roman"/>
                <w:lang w:val="en-GB"/>
              </w:rPr>
              <w:t>Technical coordination</w:t>
            </w:r>
            <w:r>
              <w:rPr>
                <w:rFonts w:ascii="Times New Roman" w:eastAsia="Times New Roman" w:hAnsi="Times New Roman" w:cs="Times New Roman"/>
                <w:lang w:val="en-GB"/>
              </w:rPr>
              <w:t xml:space="preserve"> (monthly)</w:t>
            </w:r>
          </w:p>
          <w:p w14:paraId="09455DD3" w14:textId="77777777" w:rsidR="00B24AE1" w:rsidRPr="00B20173" w:rsidRDefault="00B24AE1" w:rsidP="009076EE">
            <w:pPr>
              <w:spacing w:before="1"/>
              <w:rPr>
                <w:rFonts w:ascii="Times New Roman" w:eastAsia="Times New Roman" w:hAnsi="Times New Roman" w:cs="Times New Roman"/>
                <w:lang w:val="en-GB"/>
              </w:rPr>
            </w:pPr>
          </w:p>
          <w:p w14:paraId="21269306" w14:textId="2814BA3D" w:rsidR="009076EE" w:rsidRPr="00B20173" w:rsidRDefault="009076EE" w:rsidP="009076EE">
            <w:pPr>
              <w:spacing w:before="1"/>
              <w:rPr>
                <w:rFonts w:ascii="Times New Roman" w:eastAsia="Times New Roman" w:hAnsi="Times New Roman" w:cs="Times New Roman"/>
                <w:lang w:val="en-GB"/>
              </w:rPr>
            </w:pPr>
          </w:p>
        </w:tc>
        <w:tc>
          <w:tcPr>
            <w:tcW w:w="7513" w:type="dxa"/>
          </w:tcPr>
          <w:p w14:paraId="2CA7A0F6" w14:textId="27C9CFEF" w:rsidR="00B24AE1" w:rsidRPr="00B20173" w:rsidRDefault="009076EE" w:rsidP="009076EE">
            <w:pPr>
              <w:pStyle w:val="Prrafodelista"/>
              <w:numPr>
                <w:ilvl w:val="0"/>
                <w:numId w:val="2"/>
              </w:numPr>
              <w:rPr>
                <w:rFonts w:ascii="Times New Roman" w:hAnsi="Times New Roman" w:cs="Times New Roman"/>
              </w:rPr>
            </w:pPr>
            <w:r w:rsidRPr="00B20173">
              <w:rPr>
                <w:rFonts w:ascii="Times New Roman" w:hAnsi="Times New Roman" w:cs="Times New Roman"/>
                <w:lang w:val="en-GB"/>
              </w:rPr>
              <w:t>Contribute to</w:t>
            </w:r>
            <w:r w:rsidRPr="00B20173">
              <w:rPr>
                <w:rFonts w:ascii="Times New Roman" w:hAnsi="Times New Roman" w:cs="Times New Roman"/>
              </w:rPr>
              <w:t xml:space="preserve"> the definition of the project's strategy, plans and approaches, from conception to implementation, to ensure that it is technically sound</w:t>
            </w:r>
            <w:r w:rsidR="00B24AE1" w:rsidRPr="00B20173">
              <w:rPr>
                <w:rFonts w:ascii="Times New Roman" w:hAnsi="Times New Roman" w:cs="Times New Roman"/>
              </w:rPr>
              <w:t xml:space="preserve"> and in</w:t>
            </w:r>
            <w:r w:rsidRPr="00B20173">
              <w:rPr>
                <w:rFonts w:ascii="Times New Roman" w:hAnsi="Times New Roman" w:cs="Times New Roman"/>
              </w:rPr>
              <w:t xml:space="preserve"> line </w:t>
            </w:r>
            <w:r w:rsidR="00B24AE1" w:rsidRPr="00B20173">
              <w:rPr>
                <w:rFonts w:ascii="Times New Roman" w:hAnsi="Times New Roman" w:cs="Times New Roman"/>
              </w:rPr>
              <w:t>with the</w:t>
            </w:r>
            <w:r w:rsidRPr="00B20173">
              <w:rPr>
                <w:rFonts w:ascii="Times New Roman" w:hAnsi="Times New Roman" w:cs="Times New Roman"/>
              </w:rPr>
              <w:t xml:space="preserve"> </w:t>
            </w:r>
            <w:r w:rsidRPr="00B20173">
              <w:rPr>
                <w:rFonts w:ascii="Times New Roman" w:hAnsi="Times New Roman" w:cs="Times New Roman"/>
              </w:rPr>
              <w:t>financing authority</w:t>
            </w:r>
            <w:r w:rsidRPr="00B20173">
              <w:rPr>
                <w:rFonts w:ascii="Times New Roman" w:hAnsi="Times New Roman" w:cs="Times New Roman"/>
              </w:rPr>
              <w:t xml:space="preserve"> and </w:t>
            </w:r>
            <w:r w:rsidRPr="00B20173">
              <w:rPr>
                <w:rFonts w:ascii="Times New Roman" w:hAnsi="Times New Roman" w:cs="Times New Roman"/>
              </w:rPr>
              <w:t>beneficiaries´</w:t>
            </w:r>
            <w:r w:rsidRPr="00B20173">
              <w:rPr>
                <w:rFonts w:ascii="Times New Roman" w:hAnsi="Times New Roman" w:cs="Times New Roman"/>
              </w:rPr>
              <w:t xml:space="preserve"> priorities</w:t>
            </w:r>
          </w:p>
          <w:p w14:paraId="1C82C5CC" w14:textId="753DBC45" w:rsidR="009076EE" w:rsidRPr="00B20173" w:rsidRDefault="009076EE" w:rsidP="009076EE">
            <w:pPr>
              <w:pStyle w:val="Prrafodelista"/>
              <w:numPr>
                <w:ilvl w:val="0"/>
                <w:numId w:val="2"/>
              </w:numPr>
              <w:rPr>
                <w:rFonts w:ascii="Times New Roman" w:hAnsi="Times New Roman" w:cs="Times New Roman"/>
              </w:rPr>
            </w:pPr>
            <w:r w:rsidRPr="00B20173">
              <w:rPr>
                <w:rFonts w:ascii="Times New Roman" w:hAnsi="Times New Roman" w:cs="Times New Roman"/>
              </w:rPr>
              <w:t xml:space="preserve">Summarise and consolidates beneficiary authorities’ requests and constraints in terms of topics of interest, availability, capacity, time and language constraints in a comprehensive </w:t>
            </w:r>
            <w:r w:rsidR="00B20173" w:rsidRPr="00B20173">
              <w:rPr>
                <w:rFonts w:ascii="Times New Roman" w:hAnsi="Times New Roman" w:cs="Times New Roman"/>
              </w:rPr>
              <w:t>manner</w:t>
            </w:r>
          </w:p>
          <w:p w14:paraId="4CC17472" w14:textId="61FF5A7F" w:rsidR="00C17A87" w:rsidRPr="00B20173" w:rsidRDefault="00C17A87" w:rsidP="009076EE">
            <w:pPr>
              <w:pStyle w:val="Prrafodelista"/>
              <w:numPr>
                <w:ilvl w:val="0"/>
                <w:numId w:val="2"/>
              </w:numPr>
              <w:rPr>
                <w:rFonts w:ascii="Times New Roman" w:hAnsi="Times New Roman" w:cs="Times New Roman"/>
              </w:rPr>
            </w:pPr>
            <w:r w:rsidRPr="00B20173">
              <w:rPr>
                <w:rFonts w:ascii="Times New Roman" w:hAnsi="Times New Roman" w:cs="Times New Roman"/>
              </w:rPr>
              <w:t xml:space="preserve">Collaborate closely with the project manager to mitigate risks </w:t>
            </w:r>
            <w:r w:rsidR="00B20173" w:rsidRPr="00B20173">
              <w:rPr>
                <w:rFonts w:ascii="Times New Roman" w:hAnsi="Times New Roman" w:cs="Times New Roman"/>
              </w:rPr>
              <w:t>and address beneficiaries needs considering the available resources</w:t>
            </w:r>
          </w:p>
          <w:p w14:paraId="5FEAD649" w14:textId="3F3908B8" w:rsidR="009076EE" w:rsidRPr="00B20173" w:rsidRDefault="00C17A87" w:rsidP="009076EE">
            <w:pPr>
              <w:pStyle w:val="Prrafodelista"/>
              <w:numPr>
                <w:ilvl w:val="0"/>
                <w:numId w:val="2"/>
              </w:numPr>
              <w:rPr>
                <w:rFonts w:ascii="Times New Roman" w:hAnsi="Times New Roman" w:cs="Times New Roman"/>
              </w:rPr>
            </w:pPr>
            <w:r w:rsidRPr="00B20173">
              <w:rPr>
                <w:rFonts w:ascii="Times New Roman" w:hAnsi="Times New Roman" w:cs="Times New Roman"/>
              </w:rPr>
              <w:t>Organise and execute</w:t>
            </w:r>
            <w:r w:rsidR="00B24AE1" w:rsidRPr="00B20173">
              <w:rPr>
                <w:rFonts w:ascii="Times New Roman" w:hAnsi="Times New Roman" w:cs="Times New Roman"/>
              </w:rPr>
              <w:t xml:space="preserve"> consultation meetings and workshops with the various project stakeholders/beneficiaries</w:t>
            </w:r>
            <w:r w:rsidR="00B24AE1" w:rsidRPr="00B20173">
              <w:rPr>
                <w:rFonts w:ascii="Times New Roman" w:hAnsi="Times New Roman" w:cs="Times New Roman"/>
              </w:rPr>
              <w:t xml:space="preserve"> and t</w:t>
            </w:r>
            <w:r w:rsidR="009076EE" w:rsidRPr="00B20173">
              <w:rPr>
                <w:rFonts w:ascii="Times New Roman" w:hAnsi="Times New Roman" w:cs="Times New Roman"/>
              </w:rPr>
              <w:t xml:space="preserve">ake part in relevant project meeting, such as project </w:t>
            </w:r>
            <w:r w:rsidR="009076EE" w:rsidRPr="00B20173">
              <w:rPr>
                <w:rFonts w:ascii="Times New Roman" w:hAnsi="Times New Roman" w:cs="Times New Roman"/>
              </w:rPr>
              <w:t>Advisory Group</w:t>
            </w:r>
          </w:p>
          <w:p w14:paraId="4F2B8AAE" w14:textId="08C4E0D6" w:rsidR="009076EE" w:rsidRPr="00B20173" w:rsidRDefault="009076EE" w:rsidP="009076EE">
            <w:pPr>
              <w:pStyle w:val="Prrafodelista"/>
              <w:numPr>
                <w:ilvl w:val="0"/>
                <w:numId w:val="2"/>
              </w:numPr>
              <w:rPr>
                <w:rFonts w:ascii="Times New Roman" w:hAnsi="Times New Roman" w:cs="Times New Roman"/>
              </w:rPr>
            </w:pPr>
            <w:r w:rsidRPr="00B20173">
              <w:rPr>
                <w:rFonts w:ascii="Times New Roman" w:hAnsi="Times New Roman" w:cs="Times New Roman"/>
              </w:rPr>
              <w:t xml:space="preserve">Estimates with the </w:t>
            </w:r>
            <w:r w:rsidR="00B20173">
              <w:rPr>
                <w:rFonts w:ascii="Times New Roman" w:hAnsi="Times New Roman" w:cs="Times New Roman"/>
              </w:rPr>
              <w:t>t</w:t>
            </w:r>
            <w:r w:rsidRPr="00B20173">
              <w:rPr>
                <w:rFonts w:ascii="Times New Roman" w:hAnsi="Times New Roman" w:cs="Times New Roman"/>
              </w:rPr>
              <w:t xml:space="preserve">echnical </w:t>
            </w:r>
            <w:r w:rsidR="00B24AE1" w:rsidRPr="00B20173">
              <w:rPr>
                <w:rFonts w:ascii="Times New Roman" w:hAnsi="Times New Roman" w:cs="Times New Roman"/>
              </w:rPr>
              <w:t>experts</w:t>
            </w:r>
            <w:r w:rsidRPr="00B20173">
              <w:rPr>
                <w:rFonts w:ascii="Times New Roman" w:hAnsi="Times New Roman" w:cs="Times New Roman"/>
              </w:rPr>
              <w:t xml:space="preserve"> expertise needs in each Member State based on their topics of interest</w:t>
            </w:r>
            <w:r w:rsidR="00B24AE1" w:rsidRPr="00B20173">
              <w:rPr>
                <w:rFonts w:ascii="Times New Roman" w:hAnsi="Times New Roman" w:cs="Times New Roman"/>
              </w:rPr>
              <w:t xml:space="preserve"> and political context</w:t>
            </w:r>
          </w:p>
          <w:p w14:paraId="54741F15" w14:textId="29852DE0" w:rsidR="009076EE" w:rsidRPr="00B20173" w:rsidRDefault="009076EE" w:rsidP="009076EE">
            <w:pPr>
              <w:pStyle w:val="Prrafodelista"/>
              <w:numPr>
                <w:ilvl w:val="0"/>
                <w:numId w:val="2"/>
              </w:numPr>
              <w:rPr>
                <w:rFonts w:ascii="Times New Roman" w:hAnsi="Times New Roman" w:cs="Times New Roman"/>
              </w:rPr>
            </w:pPr>
            <w:r w:rsidRPr="00B20173">
              <w:rPr>
                <w:rFonts w:ascii="Times New Roman" w:hAnsi="Times New Roman" w:cs="Times New Roman"/>
              </w:rPr>
              <w:t>C</w:t>
            </w:r>
            <w:r w:rsidR="00B24AE1" w:rsidRPr="00B20173">
              <w:rPr>
                <w:rFonts w:ascii="Times New Roman" w:hAnsi="Times New Roman" w:cs="Times New Roman"/>
              </w:rPr>
              <w:t>ontributes to drafting</w:t>
            </w:r>
            <w:r w:rsidRPr="00B20173">
              <w:rPr>
                <w:rFonts w:ascii="Times New Roman" w:hAnsi="Times New Roman" w:cs="Times New Roman"/>
              </w:rPr>
              <w:t xml:space="preserve"> technical reports (narrative report, final report,</w:t>
            </w:r>
            <w:r w:rsidR="00B24AE1" w:rsidRPr="00B20173">
              <w:rPr>
                <w:rFonts w:ascii="Times New Roman" w:hAnsi="Times New Roman" w:cs="Times New Roman"/>
              </w:rPr>
              <w:t xml:space="preserve"> </w:t>
            </w:r>
            <w:r w:rsidRPr="00B20173">
              <w:rPr>
                <w:rFonts w:ascii="Times New Roman" w:hAnsi="Times New Roman" w:cs="Times New Roman"/>
              </w:rPr>
              <w:t>inception report, project sheet, etc.)</w:t>
            </w:r>
          </w:p>
          <w:p w14:paraId="5D3D63A2" w14:textId="1A188BCE" w:rsidR="00B24AE1" w:rsidRPr="00B20173" w:rsidRDefault="00B24AE1" w:rsidP="009076EE">
            <w:pPr>
              <w:pStyle w:val="Prrafodelista"/>
              <w:numPr>
                <w:ilvl w:val="0"/>
                <w:numId w:val="2"/>
              </w:numPr>
              <w:rPr>
                <w:rFonts w:ascii="Times New Roman" w:hAnsi="Times New Roman" w:cs="Times New Roman"/>
              </w:rPr>
            </w:pPr>
            <w:r w:rsidRPr="00B20173">
              <w:rPr>
                <w:rFonts w:ascii="Times New Roman" w:hAnsi="Times New Roman" w:cs="Times New Roman"/>
              </w:rPr>
              <w:t xml:space="preserve">Liaise </w:t>
            </w:r>
            <w:r w:rsidR="00C17A87" w:rsidRPr="00B20173">
              <w:rPr>
                <w:rFonts w:ascii="Times New Roman" w:hAnsi="Times New Roman" w:cs="Times New Roman"/>
              </w:rPr>
              <w:t xml:space="preserve">continuously </w:t>
            </w:r>
            <w:r w:rsidRPr="00B20173">
              <w:rPr>
                <w:rFonts w:ascii="Times New Roman" w:hAnsi="Times New Roman" w:cs="Times New Roman"/>
              </w:rPr>
              <w:t xml:space="preserve">with policy officers, </w:t>
            </w:r>
            <w:r w:rsidR="00B20173">
              <w:rPr>
                <w:rFonts w:ascii="Times New Roman" w:hAnsi="Times New Roman" w:cs="Times New Roman"/>
              </w:rPr>
              <w:t xml:space="preserve">national </w:t>
            </w:r>
            <w:r w:rsidRPr="00B20173">
              <w:rPr>
                <w:rFonts w:ascii="Times New Roman" w:hAnsi="Times New Roman" w:cs="Times New Roman"/>
              </w:rPr>
              <w:t xml:space="preserve">technical experts, and </w:t>
            </w:r>
            <w:r w:rsidR="00B20173" w:rsidRPr="00B20173">
              <w:rPr>
                <w:rFonts w:ascii="Times New Roman" w:hAnsi="Times New Roman" w:cs="Times New Roman"/>
              </w:rPr>
              <w:t xml:space="preserve"> technical experts from the European Commission Joint Research Centre (JRC)</w:t>
            </w:r>
            <w:r w:rsidR="00B20173">
              <w:rPr>
                <w:rFonts w:ascii="Times New Roman" w:hAnsi="Times New Roman" w:cs="Times New Roman"/>
              </w:rPr>
              <w:t xml:space="preserve"> </w:t>
            </w:r>
            <w:r w:rsidRPr="00B20173">
              <w:rPr>
                <w:rFonts w:ascii="Times New Roman" w:hAnsi="Times New Roman" w:cs="Times New Roman"/>
              </w:rPr>
              <w:t xml:space="preserve">to integrate feedback into </w:t>
            </w:r>
            <w:r w:rsidR="00B20173">
              <w:rPr>
                <w:rFonts w:ascii="Times New Roman" w:hAnsi="Times New Roman" w:cs="Times New Roman"/>
              </w:rPr>
              <w:t xml:space="preserve">country-specific and horizontal </w:t>
            </w:r>
            <w:r w:rsidRPr="00B20173">
              <w:rPr>
                <w:rFonts w:ascii="Times New Roman" w:hAnsi="Times New Roman" w:cs="Times New Roman"/>
              </w:rPr>
              <w:t>technical deliverables</w:t>
            </w:r>
          </w:p>
          <w:p w14:paraId="668E1CC0" w14:textId="4E6158B9" w:rsidR="00C17A87" w:rsidRPr="00B20173" w:rsidRDefault="00C17A87" w:rsidP="00C17A87">
            <w:pPr>
              <w:pStyle w:val="Prrafodelista"/>
              <w:numPr>
                <w:ilvl w:val="0"/>
                <w:numId w:val="2"/>
              </w:numPr>
              <w:rPr>
                <w:rFonts w:ascii="Times New Roman" w:hAnsi="Times New Roman" w:cs="Times New Roman"/>
              </w:rPr>
            </w:pPr>
            <w:r w:rsidRPr="00B20173">
              <w:rPr>
                <w:rFonts w:ascii="Times New Roman" w:hAnsi="Times New Roman" w:cs="Times New Roman"/>
              </w:rPr>
              <w:t>Collaborate with the project manager to ensure coherence between technical activities and resources in terms of costs, legal requirements and timescales</w:t>
            </w:r>
          </w:p>
          <w:p w14:paraId="2C305585" w14:textId="50A8E703" w:rsidR="00C17A87" w:rsidRPr="00B20173" w:rsidRDefault="00C17A87" w:rsidP="009076EE">
            <w:pPr>
              <w:pStyle w:val="Prrafodelista"/>
              <w:numPr>
                <w:ilvl w:val="0"/>
                <w:numId w:val="2"/>
              </w:numPr>
              <w:rPr>
                <w:rFonts w:ascii="Times New Roman" w:hAnsi="Times New Roman" w:cs="Times New Roman"/>
              </w:rPr>
            </w:pPr>
            <w:r w:rsidRPr="00B20173">
              <w:rPr>
                <w:rFonts w:ascii="Times New Roman" w:hAnsi="Times New Roman" w:cs="Times New Roman"/>
              </w:rPr>
              <w:t>Liaise with Monitoring and Evaluation experts to ensure follow-up on indicators and targets</w:t>
            </w:r>
          </w:p>
          <w:p w14:paraId="17C55D3D" w14:textId="77777777" w:rsidR="009076EE" w:rsidRPr="00B20173" w:rsidRDefault="009076EE" w:rsidP="00B24AE1">
            <w:pPr>
              <w:rPr>
                <w:rFonts w:ascii="Times New Roman" w:eastAsia="Times New Roman" w:hAnsi="Times New Roman" w:cs="Times New Roman"/>
                <w:lang w:val="en-IE"/>
              </w:rPr>
            </w:pPr>
          </w:p>
        </w:tc>
      </w:tr>
      <w:tr w:rsidR="00B24AE1" w:rsidRPr="00696FF7" w14:paraId="4DD659F2" w14:textId="77777777" w:rsidTr="00B24AE1">
        <w:trPr>
          <w:trHeight w:val="517"/>
        </w:trPr>
        <w:tc>
          <w:tcPr>
            <w:tcW w:w="1701" w:type="dxa"/>
          </w:tcPr>
          <w:p w14:paraId="01F3CA65" w14:textId="407763B6" w:rsidR="00B24AE1" w:rsidRDefault="00B20173" w:rsidP="009076EE">
            <w:pPr>
              <w:spacing w:before="1"/>
              <w:rPr>
                <w:rFonts w:ascii="Times New Roman" w:eastAsia="Times New Roman" w:hAnsi="Times New Roman" w:cs="Times New Roman"/>
                <w:lang w:val="en-GB"/>
              </w:rPr>
            </w:pPr>
            <w:r>
              <w:rPr>
                <w:rFonts w:ascii="Times New Roman" w:eastAsia="Times New Roman" w:hAnsi="Times New Roman" w:cs="Times New Roman"/>
                <w:lang w:val="en-GB"/>
              </w:rPr>
              <w:t xml:space="preserve">Mission report on </w:t>
            </w:r>
            <w:r w:rsidR="00B24AE1">
              <w:rPr>
                <w:rFonts w:ascii="Times New Roman" w:eastAsia="Times New Roman" w:hAnsi="Times New Roman" w:cs="Times New Roman"/>
                <w:lang w:val="en-GB"/>
              </w:rPr>
              <w:t>the Civil Servants Exchange Programme</w:t>
            </w:r>
            <w:r>
              <w:rPr>
                <w:rFonts w:ascii="Times New Roman" w:eastAsia="Times New Roman" w:hAnsi="Times New Roman" w:cs="Times New Roman"/>
                <w:lang w:val="en-GB"/>
              </w:rPr>
              <w:t xml:space="preserve"> </w:t>
            </w:r>
            <w:r w:rsidR="001D6F19">
              <w:rPr>
                <w:rFonts w:ascii="Times New Roman" w:eastAsia="Times New Roman" w:hAnsi="Times New Roman" w:cs="Times New Roman"/>
                <w:lang w:val="en-GB"/>
              </w:rPr>
              <w:t>(after</w:t>
            </w:r>
            <w:r>
              <w:rPr>
                <w:rFonts w:ascii="Times New Roman" w:eastAsia="Times New Roman" w:hAnsi="Times New Roman" w:cs="Times New Roman"/>
                <w:lang w:val="en-GB"/>
              </w:rPr>
              <w:t xml:space="preserve"> each exchange)</w:t>
            </w:r>
          </w:p>
        </w:tc>
        <w:tc>
          <w:tcPr>
            <w:tcW w:w="7513" w:type="dxa"/>
          </w:tcPr>
          <w:p w14:paraId="7EA74BCE" w14:textId="4E104080" w:rsidR="00C17A87" w:rsidRDefault="00B24AE1" w:rsidP="00C17A87">
            <w:pPr>
              <w:pStyle w:val="Prrafodelista"/>
              <w:numPr>
                <w:ilvl w:val="0"/>
                <w:numId w:val="2"/>
              </w:numPr>
              <w:rPr>
                <w:rFonts w:ascii="Times New Roman" w:hAnsi="Times New Roman" w:cs="Times New Roman"/>
                <w:lang w:val="en-GB"/>
              </w:rPr>
            </w:pPr>
            <w:r w:rsidRPr="001D6F19">
              <w:rPr>
                <w:rFonts w:ascii="Times New Roman" w:hAnsi="Times New Roman" w:cs="Times New Roman"/>
                <w:lang w:val="en-GB"/>
              </w:rPr>
              <w:t>Co</w:t>
            </w:r>
            <w:r w:rsidR="00C17A87" w:rsidRPr="001D6F19">
              <w:rPr>
                <w:rFonts w:ascii="Times New Roman" w:hAnsi="Times New Roman" w:cs="Times New Roman"/>
                <w:lang w:val="en-GB"/>
              </w:rPr>
              <w:t>-develop the concept note of the Civil Servants Exchange Programme</w:t>
            </w:r>
            <w:r w:rsidR="00041EBD">
              <w:rPr>
                <w:rFonts w:ascii="Times New Roman" w:hAnsi="Times New Roman" w:cs="Times New Roman"/>
                <w:lang w:val="en-GB"/>
              </w:rPr>
              <w:t xml:space="preserve"> with </w:t>
            </w:r>
            <w:r w:rsidR="00041EBD" w:rsidRPr="00041EBD">
              <w:rPr>
                <w:rFonts w:ascii="Times New Roman" w:hAnsi="Times New Roman" w:cs="Times New Roman"/>
                <w:lang w:val="en-GB"/>
              </w:rPr>
              <w:t>Green budgeting expert for peer</w:t>
            </w:r>
            <w:r w:rsidR="00041EBD">
              <w:rPr>
                <w:rFonts w:ascii="Times New Roman" w:hAnsi="Times New Roman" w:cs="Times New Roman"/>
                <w:lang w:val="en-GB"/>
              </w:rPr>
              <w:t xml:space="preserve"> </w:t>
            </w:r>
            <w:r w:rsidR="00041EBD" w:rsidRPr="00041EBD">
              <w:rPr>
                <w:rFonts w:ascii="Times New Roman" w:hAnsi="Times New Roman" w:cs="Times New Roman"/>
                <w:lang w:val="en-GB"/>
              </w:rPr>
              <w:t>exchanges</w:t>
            </w:r>
          </w:p>
          <w:p w14:paraId="6930F0B9" w14:textId="4751660C" w:rsidR="00187715" w:rsidRDefault="00187715" w:rsidP="00C17A87">
            <w:pPr>
              <w:pStyle w:val="Prrafodelista"/>
              <w:numPr>
                <w:ilvl w:val="0"/>
                <w:numId w:val="2"/>
              </w:numPr>
              <w:rPr>
                <w:rFonts w:ascii="Times New Roman" w:hAnsi="Times New Roman" w:cs="Times New Roman"/>
                <w:lang w:val="en-GB"/>
              </w:rPr>
            </w:pPr>
            <w:r>
              <w:rPr>
                <w:rFonts w:ascii="Times New Roman" w:hAnsi="Times New Roman" w:cs="Times New Roman"/>
                <w:lang w:val="en-GB"/>
              </w:rPr>
              <w:t>Lia</w:t>
            </w:r>
            <w:r w:rsidR="008923A4">
              <w:rPr>
                <w:rFonts w:ascii="Times New Roman" w:hAnsi="Times New Roman" w:cs="Times New Roman"/>
                <w:lang w:val="en-GB"/>
              </w:rPr>
              <w:t>i</w:t>
            </w:r>
            <w:r>
              <w:rPr>
                <w:rFonts w:ascii="Times New Roman" w:hAnsi="Times New Roman" w:cs="Times New Roman"/>
                <w:lang w:val="en-GB"/>
              </w:rPr>
              <w:t xml:space="preserve">se with Member States, </w:t>
            </w:r>
            <w:r w:rsidR="008923A4">
              <w:rPr>
                <w:rFonts w:ascii="Times New Roman" w:hAnsi="Times New Roman" w:cs="Times New Roman"/>
                <w:lang w:val="en-GB"/>
              </w:rPr>
              <w:t xml:space="preserve">JRC, DG ECFIN, SG REFORM and Green Budgeting Experts </w:t>
            </w:r>
            <w:r w:rsidR="0038525D">
              <w:rPr>
                <w:rFonts w:ascii="Times New Roman" w:hAnsi="Times New Roman" w:cs="Times New Roman"/>
                <w:lang w:val="en-GB"/>
              </w:rPr>
              <w:t xml:space="preserve">to ensure the programme aligns with </w:t>
            </w:r>
            <w:r w:rsidR="006F1BC5">
              <w:rPr>
                <w:rFonts w:ascii="Times New Roman" w:hAnsi="Times New Roman" w:cs="Times New Roman"/>
                <w:lang w:val="en-GB"/>
              </w:rPr>
              <w:t>beneficiaries’</w:t>
            </w:r>
            <w:r w:rsidR="0038525D">
              <w:rPr>
                <w:rFonts w:ascii="Times New Roman" w:hAnsi="Times New Roman" w:cs="Times New Roman"/>
                <w:lang w:val="en-GB"/>
              </w:rPr>
              <w:t xml:space="preserve"> needs and EU policy priorities</w:t>
            </w:r>
          </w:p>
          <w:p w14:paraId="4BCC2B03" w14:textId="735D5F5E" w:rsidR="006F1BC5" w:rsidRPr="001D6F19" w:rsidRDefault="004A59C1" w:rsidP="00C17A87">
            <w:pPr>
              <w:pStyle w:val="Prrafodelista"/>
              <w:numPr>
                <w:ilvl w:val="0"/>
                <w:numId w:val="2"/>
              </w:numPr>
              <w:rPr>
                <w:rFonts w:ascii="Times New Roman" w:hAnsi="Times New Roman" w:cs="Times New Roman"/>
                <w:lang w:val="en-GB"/>
              </w:rPr>
            </w:pPr>
            <w:r>
              <w:rPr>
                <w:rFonts w:ascii="Times New Roman" w:hAnsi="Times New Roman" w:cs="Times New Roman"/>
                <w:lang w:val="en-GB"/>
              </w:rPr>
              <w:t>Organise and execute preparatory meetings before each exchange and provide</w:t>
            </w:r>
            <w:r w:rsidR="006F1BC5">
              <w:rPr>
                <w:rFonts w:ascii="Times New Roman" w:hAnsi="Times New Roman" w:cs="Times New Roman"/>
                <w:lang w:val="en-GB"/>
              </w:rPr>
              <w:t xml:space="preserve"> input to the agenda of each peer-exchange</w:t>
            </w:r>
          </w:p>
          <w:p w14:paraId="7CE6798A" w14:textId="3EAFFADA" w:rsidR="00C17A87" w:rsidRPr="001D6F19" w:rsidRDefault="00C17A87" w:rsidP="00C17A87">
            <w:pPr>
              <w:pStyle w:val="Prrafodelista"/>
              <w:numPr>
                <w:ilvl w:val="0"/>
                <w:numId w:val="2"/>
              </w:numPr>
              <w:rPr>
                <w:rFonts w:ascii="Times New Roman" w:hAnsi="Times New Roman" w:cs="Times New Roman"/>
                <w:lang w:val="en-GB"/>
              </w:rPr>
            </w:pPr>
            <w:r w:rsidRPr="001D6F19">
              <w:rPr>
                <w:rFonts w:ascii="Times New Roman" w:hAnsi="Times New Roman" w:cs="Times New Roman"/>
                <w:lang w:val="en-GB"/>
              </w:rPr>
              <w:t>Coordinate</w:t>
            </w:r>
            <w:r w:rsidR="006F1BC5">
              <w:rPr>
                <w:rFonts w:ascii="Times New Roman" w:hAnsi="Times New Roman" w:cs="Times New Roman"/>
                <w:lang w:val="en-GB"/>
              </w:rPr>
              <w:t xml:space="preserve"> </w:t>
            </w:r>
            <w:r w:rsidRPr="001D6F19">
              <w:rPr>
                <w:rFonts w:ascii="Times New Roman" w:hAnsi="Times New Roman" w:cs="Times New Roman"/>
                <w:lang w:val="en-GB"/>
              </w:rPr>
              <w:t>with the project assistant logistics for peer-exchanges</w:t>
            </w:r>
          </w:p>
          <w:p w14:paraId="3169D28D" w14:textId="25F7CB31" w:rsidR="00C17A87" w:rsidRPr="001D6F19" w:rsidRDefault="00C17A87" w:rsidP="00C17A87">
            <w:pPr>
              <w:pStyle w:val="Prrafodelista"/>
              <w:numPr>
                <w:ilvl w:val="0"/>
                <w:numId w:val="2"/>
              </w:numPr>
              <w:rPr>
                <w:rFonts w:ascii="Times New Roman" w:hAnsi="Times New Roman" w:cs="Times New Roman"/>
                <w:lang w:val="en-GB"/>
              </w:rPr>
            </w:pPr>
            <w:r w:rsidRPr="001D6F19">
              <w:rPr>
                <w:rFonts w:ascii="Times New Roman" w:hAnsi="Times New Roman" w:cs="Times New Roman"/>
                <w:lang w:val="en-GB"/>
              </w:rPr>
              <w:t>Provide input to</w:t>
            </w:r>
            <w:r w:rsidRPr="001D6F19">
              <w:rPr>
                <w:rFonts w:ascii="Times New Roman" w:hAnsi="Times New Roman" w:cs="Times New Roman"/>
                <w:lang w:val="en-GB"/>
              </w:rPr>
              <w:t xml:space="preserve"> communication and visibility </w:t>
            </w:r>
            <w:r w:rsidR="006F1BC5">
              <w:rPr>
                <w:rFonts w:ascii="Times New Roman" w:hAnsi="Times New Roman" w:cs="Times New Roman"/>
                <w:lang w:val="en-GB"/>
              </w:rPr>
              <w:t>material</w:t>
            </w:r>
          </w:p>
          <w:p w14:paraId="00A8266A" w14:textId="5BA4B2F0" w:rsidR="00C17A87" w:rsidRPr="00C17A87" w:rsidRDefault="00C17A87" w:rsidP="00C17A87">
            <w:pPr>
              <w:pStyle w:val="Prrafodelista"/>
              <w:numPr>
                <w:ilvl w:val="0"/>
                <w:numId w:val="2"/>
              </w:numPr>
              <w:rPr>
                <w:lang w:val="en-GB"/>
              </w:rPr>
            </w:pPr>
            <w:r w:rsidRPr="001D6F19">
              <w:rPr>
                <w:rFonts w:ascii="Times New Roman" w:hAnsi="Times New Roman" w:cs="Times New Roman"/>
                <w:lang w:val="en-GB"/>
              </w:rPr>
              <w:t>Follow-up on pre and post exchange surveys and mission reports</w:t>
            </w:r>
          </w:p>
        </w:tc>
      </w:tr>
    </w:tbl>
    <w:p w14:paraId="550969C9" w14:textId="77777777" w:rsidR="009076EE" w:rsidRPr="009076EE" w:rsidRDefault="009076EE" w:rsidP="00CF1631">
      <w:pPr>
        <w:rPr>
          <w:rFonts w:ascii="Times New Roman" w:hAnsi="Times New Roman" w:cs="Times New Roman"/>
          <w:sz w:val="22"/>
          <w:szCs w:val="22"/>
          <w:lang w:val="en-IE"/>
        </w:rPr>
      </w:pPr>
    </w:p>
    <w:p w14:paraId="201685BE" w14:textId="77777777" w:rsidR="00B20173" w:rsidRPr="00067FC0" w:rsidRDefault="00B20173" w:rsidP="00B20173">
      <w:pPr>
        <w:widowControl w:val="0"/>
        <w:autoSpaceDE w:val="0"/>
        <w:autoSpaceDN w:val="0"/>
        <w:spacing w:before="161" w:after="0" w:line="240" w:lineRule="auto"/>
        <w:ind w:left="100"/>
        <w:outlineLvl w:val="0"/>
        <w:rPr>
          <w:rFonts w:ascii="Times New Roman" w:eastAsia="Times New Roman" w:hAnsi="Times New Roman" w:cs="Times New Roman"/>
          <w:b/>
          <w:bCs/>
          <w:color w:val="auto"/>
          <w:sz w:val="24"/>
          <w:szCs w:val="24"/>
          <w:lang w:val="en-GB"/>
          <w14:ligatures w14:val="none"/>
        </w:rPr>
      </w:pPr>
      <w:r w:rsidRPr="00067FC0">
        <w:rPr>
          <w:rFonts w:ascii="Times New Roman" w:eastAsia="Times New Roman" w:hAnsi="Times New Roman" w:cs="Times New Roman"/>
          <w:b/>
          <w:bCs/>
          <w:color w:val="auto"/>
          <w:sz w:val="24"/>
          <w:szCs w:val="24"/>
          <w:lang w:val="en-GB"/>
          <w14:ligatures w14:val="none"/>
        </w:rPr>
        <w:t>Desired</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pacing w:val="-2"/>
          <w:sz w:val="24"/>
          <w:szCs w:val="24"/>
          <w:lang w:val="en-GB"/>
          <w14:ligatures w14:val="none"/>
        </w:rPr>
        <w:t>profile</w:t>
      </w:r>
    </w:p>
    <w:p w14:paraId="69C1643C" w14:textId="77777777" w:rsidR="009076EE" w:rsidRPr="00CF1631" w:rsidRDefault="009076EE" w:rsidP="00CF1631">
      <w:pPr>
        <w:rPr>
          <w:rFonts w:ascii="Times New Roman" w:hAnsi="Times New Roman" w:cs="Times New Roman"/>
          <w:sz w:val="22"/>
          <w:szCs w:val="22"/>
        </w:rPr>
      </w:pPr>
    </w:p>
    <w:p w14:paraId="39EF9815" w14:textId="265D20C7" w:rsidR="00B20173" w:rsidRPr="00B20173" w:rsidRDefault="009C173D" w:rsidP="00B20173">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Bachelor</w:t>
      </w:r>
      <w:r w:rsidR="008202E1">
        <w:rPr>
          <w:rFonts w:ascii="Times New Roman" w:hAnsi="Times New Roman" w:cs="Times New Roman"/>
          <w:sz w:val="22"/>
          <w:szCs w:val="22"/>
        </w:rPr>
        <w:t xml:space="preserve"> and/or </w:t>
      </w:r>
      <w:r w:rsidR="00B20173" w:rsidRPr="00B20173">
        <w:rPr>
          <w:rFonts w:ascii="Times New Roman" w:hAnsi="Times New Roman" w:cs="Times New Roman"/>
          <w:sz w:val="22"/>
          <w:szCs w:val="22"/>
        </w:rPr>
        <w:t xml:space="preserve">Master´s in International Development, European Studies, </w:t>
      </w:r>
      <w:r w:rsidR="008202E1">
        <w:rPr>
          <w:rFonts w:ascii="Times New Roman" w:hAnsi="Times New Roman" w:cs="Times New Roman"/>
          <w:sz w:val="22"/>
          <w:szCs w:val="22"/>
        </w:rPr>
        <w:t xml:space="preserve">Economics, </w:t>
      </w:r>
      <w:r w:rsidR="00B20173" w:rsidRPr="00B20173">
        <w:rPr>
          <w:rFonts w:ascii="Times New Roman" w:hAnsi="Times New Roman" w:cs="Times New Roman"/>
          <w:sz w:val="22"/>
          <w:szCs w:val="22"/>
        </w:rPr>
        <w:t>or similar field</w:t>
      </w:r>
      <w:r w:rsidR="00B20173" w:rsidRPr="00B20173">
        <w:rPr>
          <w:rFonts w:ascii="Times New Roman" w:hAnsi="Times New Roman" w:cs="Times New Roman"/>
          <w:sz w:val="22"/>
          <w:szCs w:val="22"/>
        </w:rPr>
        <w:t xml:space="preserve"> </w:t>
      </w:r>
    </w:p>
    <w:p w14:paraId="15084BD5" w14:textId="77777777" w:rsidR="00B20173" w:rsidRPr="00B20173" w:rsidRDefault="00B20173" w:rsidP="00B20173">
      <w:pPr>
        <w:pStyle w:val="Default"/>
        <w:numPr>
          <w:ilvl w:val="0"/>
          <w:numId w:val="6"/>
        </w:numPr>
        <w:spacing w:after="11"/>
        <w:rPr>
          <w:rFonts w:ascii="Times New Roman" w:hAnsi="Times New Roman" w:cs="Times New Roman"/>
          <w:sz w:val="22"/>
          <w:szCs w:val="22"/>
        </w:rPr>
      </w:pPr>
      <w:r w:rsidRPr="00B20173">
        <w:rPr>
          <w:rFonts w:ascii="Times New Roman" w:hAnsi="Times New Roman" w:cs="Times New Roman"/>
          <w:sz w:val="22"/>
          <w:szCs w:val="22"/>
        </w:rPr>
        <w:t xml:space="preserve">3-5 years project management experience in international cooperation with focus on the European Union. Experience with multiple-country initiatives and EU Commission funded projects is a plus </w:t>
      </w:r>
    </w:p>
    <w:p w14:paraId="7A51F228" w14:textId="2E7DDF29" w:rsidR="00B20173" w:rsidRPr="00B20173" w:rsidRDefault="00B20173" w:rsidP="00B20173">
      <w:pPr>
        <w:pStyle w:val="Default"/>
        <w:numPr>
          <w:ilvl w:val="0"/>
          <w:numId w:val="6"/>
        </w:numPr>
        <w:spacing w:after="11"/>
        <w:rPr>
          <w:rFonts w:ascii="Times New Roman" w:hAnsi="Times New Roman" w:cs="Times New Roman"/>
          <w:sz w:val="22"/>
          <w:szCs w:val="22"/>
        </w:rPr>
      </w:pPr>
      <w:r w:rsidRPr="00B20173">
        <w:rPr>
          <w:rFonts w:ascii="Times New Roman" w:hAnsi="Times New Roman" w:cs="Times New Roman"/>
          <w:sz w:val="22"/>
          <w:szCs w:val="22"/>
        </w:rPr>
        <w:t>Knowledge</w:t>
      </w:r>
      <w:r w:rsidR="001D6F19">
        <w:rPr>
          <w:rFonts w:ascii="Times New Roman" w:hAnsi="Times New Roman" w:cs="Times New Roman"/>
          <w:sz w:val="22"/>
          <w:szCs w:val="22"/>
        </w:rPr>
        <w:t xml:space="preserve"> of</w:t>
      </w:r>
      <w:r w:rsidRPr="00B20173">
        <w:rPr>
          <w:rFonts w:ascii="Times New Roman" w:hAnsi="Times New Roman" w:cs="Times New Roman"/>
          <w:sz w:val="22"/>
          <w:szCs w:val="22"/>
        </w:rPr>
        <w:t xml:space="preserve"> and experience </w:t>
      </w:r>
      <w:r w:rsidR="001D6F19">
        <w:rPr>
          <w:rFonts w:ascii="Times New Roman" w:hAnsi="Times New Roman" w:cs="Times New Roman"/>
          <w:sz w:val="22"/>
          <w:szCs w:val="22"/>
        </w:rPr>
        <w:t>with coordinating projects</w:t>
      </w:r>
      <w:r>
        <w:rPr>
          <w:rFonts w:ascii="Times New Roman" w:hAnsi="Times New Roman" w:cs="Times New Roman"/>
          <w:sz w:val="22"/>
          <w:szCs w:val="22"/>
        </w:rPr>
        <w:t xml:space="preserve"> </w:t>
      </w:r>
      <w:r w:rsidR="001D6F19">
        <w:rPr>
          <w:rFonts w:ascii="Times New Roman" w:hAnsi="Times New Roman" w:cs="Times New Roman"/>
          <w:sz w:val="22"/>
          <w:szCs w:val="22"/>
        </w:rPr>
        <w:t>to enhance the alignment of public finances with climate and environmental objectives</w:t>
      </w:r>
    </w:p>
    <w:p w14:paraId="34C3E92F" w14:textId="77777777" w:rsidR="00B20173" w:rsidRDefault="00B20173" w:rsidP="00B20173">
      <w:pPr>
        <w:pStyle w:val="Default"/>
        <w:numPr>
          <w:ilvl w:val="0"/>
          <w:numId w:val="6"/>
        </w:numPr>
        <w:spacing w:after="11"/>
        <w:rPr>
          <w:rFonts w:ascii="Times New Roman" w:hAnsi="Times New Roman" w:cs="Times New Roman"/>
          <w:sz w:val="22"/>
          <w:szCs w:val="22"/>
        </w:rPr>
      </w:pPr>
      <w:r w:rsidRPr="00B20173">
        <w:rPr>
          <w:rFonts w:ascii="Times New Roman" w:hAnsi="Times New Roman" w:cs="Times New Roman"/>
          <w:sz w:val="22"/>
          <w:szCs w:val="22"/>
        </w:rPr>
        <w:t xml:space="preserve">Relevant experience with organizing study visits, seminars, webinar and events for high-level stakeholders </w:t>
      </w:r>
    </w:p>
    <w:p w14:paraId="19D69462" w14:textId="77777777" w:rsidR="001D6F19" w:rsidRPr="001D6F19" w:rsidRDefault="001D6F19" w:rsidP="001D6F19">
      <w:pPr>
        <w:pStyle w:val="Default"/>
        <w:numPr>
          <w:ilvl w:val="0"/>
          <w:numId w:val="6"/>
        </w:numPr>
        <w:spacing w:after="11"/>
        <w:rPr>
          <w:rFonts w:ascii="Times New Roman" w:hAnsi="Times New Roman" w:cs="Times New Roman"/>
          <w:sz w:val="22"/>
          <w:szCs w:val="22"/>
        </w:rPr>
      </w:pPr>
      <w:r w:rsidRPr="001D6F19">
        <w:rPr>
          <w:rFonts w:ascii="Times New Roman" w:hAnsi="Times New Roman" w:cs="Times New Roman"/>
          <w:sz w:val="22"/>
          <w:szCs w:val="22"/>
        </w:rPr>
        <w:lastRenderedPageBreak/>
        <w:t xml:space="preserve">Good interpersonal skills (tact, diplomacy, discretion and impartiality) are essential for this position </w:t>
      </w:r>
    </w:p>
    <w:p w14:paraId="580743B3" w14:textId="77777777" w:rsidR="001D6F19" w:rsidRPr="001D6F19" w:rsidRDefault="001D6F19" w:rsidP="001D6F19">
      <w:pPr>
        <w:pStyle w:val="Default"/>
        <w:numPr>
          <w:ilvl w:val="0"/>
          <w:numId w:val="6"/>
        </w:numPr>
        <w:spacing w:after="11"/>
        <w:rPr>
          <w:rFonts w:ascii="Times New Roman" w:hAnsi="Times New Roman" w:cs="Times New Roman"/>
          <w:sz w:val="22"/>
          <w:szCs w:val="22"/>
        </w:rPr>
      </w:pPr>
      <w:r w:rsidRPr="001D6F19">
        <w:rPr>
          <w:rFonts w:ascii="Times New Roman" w:hAnsi="Times New Roman" w:cs="Times New Roman"/>
          <w:sz w:val="22"/>
          <w:szCs w:val="22"/>
        </w:rPr>
        <w:t xml:space="preserve">Strong team-player with ability to work in virtual teams </w:t>
      </w:r>
    </w:p>
    <w:p w14:paraId="5AD58544" w14:textId="4A733A2A" w:rsidR="00B20173" w:rsidRPr="001D6F19" w:rsidRDefault="001D6F19" w:rsidP="001D6F19">
      <w:pPr>
        <w:pStyle w:val="Default"/>
        <w:numPr>
          <w:ilvl w:val="0"/>
          <w:numId w:val="6"/>
        </w:numPr>
        <w:spacing w:after="11"/>
        <w:rPr>
          <w:rFonts w:ascii="Times New Roman" w:hAnsi="Times New Roman" w:cs="Times New Roman"/>
          <w:sz w:val="22"/>
          <w:szCs w:val="22"/>
        </w:rPr>
      </w:pPr>
      <w:r w:rsidRPr="001D6F19">
        <w:rPr>
          <w:rFonts w:ascii="Times New Roman" w:hAnsi="Times New Roman" w:cs="Times New Roman"/>
          <w:sz w:val="22"/>
          <w:szCs w:val="22"/>
        </w:rPr>
        <w:t xml:space="preserve">Ability to work and communicate effectively with a broad spectrum of individuals within a broad range of cultural environments, especially in the European context </w:t>
      </w:r>
      <w:r w:rsidR="00B20173" w:rsidRPr="001D6F19">
        <w:rPr>
          <w:rFonts w:ascii="Times New Roman" w:hAnsi="Times New Roman" w:cs="Times New Roman"/>
          <w:sz w:val="22"/>
          <w:szCs w:val="22"/>
        </w:rPr>
        <w:t xml:space="preserve"> </w:t>
      </w:r>
    </w:p>
    <w:p w14:paraId="4C666FB3" w14:textId="77777777" w:rsidR="00B20173" w:rsidRPr="00B20173" w:rsidRDefault="00B20173" w:rsidP="00B20173">
      <w:pPr>
        <w:pStyle w:val="Default"/>
        <w:numPr>
          <w:ilvl w:val="0"/>
          <w:numId w:val="6"/>
        </w:numPr>
        <w:rPr>
          <w:rFonts w:ascii="Times New Roman" w:hAnsi="Times New Roman" w:cs="Times New Roman"/>
          <w:sz w:val="22"/>
          <w:szCs w:val="22"/>
        </w:rPr>
      </w:pPr>
      <w:r w:rsidRPr="00B20173">
        <w:rPr>
          <w:rFonts w:ascii="Times New Roman" w:hAnsi="Times New Roman" w:cs="Times New Roman"/>
          <w:sz w:val="22"/>
          <w:szCs w:val="22"/>
        </w:rPr>
        <w:t xml:space="preserve">Fluency in English, knowledge of other EU languages is an asset </w:t>
      </w:r>
    </w:p>
    <w:p w14:paraId="19981689" w14:textId="77777777" w:rsidR="00B20173" w:rsidRDefault="00B20173" w:rsidP="00B20173">
      <w:pPr>
        <w:pStyle w:val="Default"/>
        <w:rPr>
          <w:sz w:val="20"/>
          <w:szCs w:val="20"/>
        </w:rPr>
      </w:pPr>
    </w:p>
    <w:p w14:paraId="044F91B1" w14:textId="5871799A" w:rsidR="00284BF1" w:rsidRPr="00B20173" w:rsidRDefault="00284BF1" w:rsidP="00CF1631">
      <w:pPr>
        <w:rPr>
          <w:lang w:val="en-GB"/>
        </w:rPr>
      </w:pPr>
    </w:p>
    <w:sectPr w:rsidR="00284BF1" w:rsidRPr="00B20173" w:rsidSect="00431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altName w:val="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8D96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6EA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570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A312F7"/>
    <w:multiLevelType w:val="hybridMultilevel"/>
    <w:tmpl w:val="851E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83200"/>
    <w:multiLevelType w:val="hybridMultilevel"/>
    <w:tmpl w:val="BD1417AA"/>
    <w:lvl w:ilvl="0" w:tplc="510A62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E22CB"/>
    <w:multiLevelType w:val="hybridMultilevel"/>
    <w:tmpl w:val="F9A2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0596"/>
    <w:multiLevelType w:val="hybridMultilevel"/>
    <w:tmpl w:val="FCFE6A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2152187">
    <w:abstractNumId w:val="6"/>
  </w:num>
  <w:num w:numId="2" w16cid:durableId="1868181577">
    <w:abstractNumId w:val="3"/>
  </w:num>
  <w:num w:numId="3" w16cid:durableId="1153762302">
    <w:abstractNumId w:val="1"/>
  </w:num>
  <w:num w:numId="4" w16cid:durableId="1654022407">
    <w:abstractNumId w:val="2"/>
  </w:num>
  <w:num w:numId="5" w16cid:durableId="194123254">
    <w:abstractNumId w:val="0"/>
  </w:num>
  <w:num w:numId="6" w16cid:durableId="910312506">
    <w:abstractNumId w:val="5"/>
  </w:num>
  <w:num w:numId="7" w16cid:durableId="783504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31"/>
    <w:rsid w:val="000135DB"/>
    <w:rsid w:val="00041EBD"/>
    <w:rsid w:val="00187715"/>
    <w:rsid w:val="001D6F19"/>
    <w:rsid w:val="00284BF1"/>
    <w:rsid w:val="0032099E"/>
    <w:rsid w:val="0038525D"/>
    <w:rsid w:val="0040413C"/>
    <w:rsid w:val="00415161"/>
    <w:rsid w:val="00431DA3"/>
    <w:rsid w:val="004A59C1"/>
    <w:rsid w:val="006F1BC5"/>
    <w:rsid w:val="007763E4"/>
    <w:rsid w:val="008202E1"/>
    <w:rsid w:val="008923A4"/>
    <w:rsid w:val="009076EE"/>
    <w:rsid w:val="009C173D"/>
    <w:rsid w:val="00B20173"/>
    <w:rsid w:val="00B24AE1"/>
    <w:rsid w:val="00C17A87"/>
    <w:rsid w:val="00C26407"/>
    <w:rsid w:val="00CF1631"/>
    <w:rsid w:val="00D74464"/>
    <w:rsid w:val="00E118EE"/>
    <w:rsid w:val="00F96948"/>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E599"/>
  <w15:chartTrackingRefBased/>
  <w15:docId w15:val="{0FDC4167-1E3D-4671-B049-DAFC3FF2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EE"/>
  </w:style>
  <w:style w:type="paragraph" w:styleId="Ttulo1">
    <w:name w:val="heading 1"/>
    <w:basedOn w:val="Normal"/>
    <w:next w:val="Normal"/>
    <w:link w:val="Ttulo1Car"/>
    <w:uiPriority w:val="9"/>
    <w:qFormat/>
    <w:rsid w:val="00CF16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F16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F163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F16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CF1631"/>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CF16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F163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F163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F163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6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F16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F1631"/>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F1631"/>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semiHidden/>
    <w:rsid w:val="00CF1631"/>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semiHidden/>
    <w:rsid w:val="00CF163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F163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F163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F163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F163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F1631"/>
    <w:rPr>
      <w:rFonts w:asciiTheme="majorHAnsi" w:eastAsiaTheme="majorEastAsia" w:hAnsiTheme="majorHAnsi" w:cstheme="majorBidi"/>
      <w:color w:val="auto"/>
      <w:spacing w:val="-10"/>
      <w:kern w:val="28"/>
      <w:sz w:val="56"/>
      <w:szCs w:val="56"/>
    </w:rPr>
  </w:style>
  <w:style w:type="paragraph" w:styleId="Subttulo">
    <w:name w:val="Subtitle"/>
    <w:basedOn w:val="Normal"/>
    <w:next w:val="Normal"/>
    <w:link w:val="SubttuloCar"/>
    <w:uiPriority w:val="11"/>
    <w:qFormat/>
    <w:rsid w:val="00CF16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163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F1631"/>
    <w:pPr>
      <w:spacing w:before="160"/>
      <w:jc w:val="center"/>
    </w:pPr>
    <w:rPr>
      <w:i/>
      <w:iCs/>
      <w:color w:val="404040" w:themeColor="text1" w:themeTint="BF"/>
    </w:rPr>
  </w:style>
  <w:style w:type="character" w:customStyle="1" w:styleId="CitaCar">
    <w:name w:val="Cita Car"/>
    <w:basedOn w:val="Fuentedeprrafopredeter"/>
    <w:link w:val="Cita"/>
    <w:uiPriority w:val="29"/>
    <w:rsid w:val="00CF1631"/>
    <w:rPr>
      <w:i/>
      <w:iCs/>
      <w:color w:val="404040" w:themeColor="text1" w:themeTint="BF"/>
    </w:rPr>
  </w:style>
  <w:style w:type="paragraph" w:styleId="Prrafodelista">
    <w:name w:val="List Paragraph"/>
    <w:basedOn w:val="Normal"/>
    <w:uiPriority w:val="34"/>
    <w:qFormat/>
    <w:rsid w:val="00CF1631"/>
    <w:pPr>
      <w:ind w:left="720"/>
      <w:contextualSpacing/>
    </w:pPr>
  </w:style>
  <w:style w:type="character" w:styleId="nfasisintenso">
    <w:name w:val="Intense Emphasis"/>
    <w:basedOn w:val="Fuentedeprrafopredeter"/>
    <w:uiPriority w:val="21"/>
    <w:qFormat/>
    <w:rsid w:val="00CF1631"/>
    <w:rPr>
      <w:i/>
      <w:iCs/>
      <w:color w:val="2F5496" w:themeColor="accent1" w:themeShade="BF"/>
    </w:rPr>
  </w:style>
  <w:style w:type="paragraph" w:styleId="Citadestacada">
    <w:name w:val="Intense Quote"/>
    <w:basedOn w:val="Normal"/>
    <w:next w:val="Normal"/>
    <w:link w:val="CitadestacadaCar"/>
    <w:uiPriority w:val="30"/>
    <w:qFormat/>
    <w:rsid w:val="00CF1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F1631"/>
    <w:rPr>
      <w:i/>
      <w:iCs/>
      <w:color w:val="2F5496" w:themeColor="accent1" w:themeShade="BF"/>
    </w:rPr>
  </w:style>
  <w:style w:type="character" w:styleId="Referenciaintensa">
    <w:name w:val="Intense Reference"/>
    <w:basedOn w:val="Fuentedeprrafopredeter"/>
    <w:uiPriority w:val="32"/>
    <w:qFormat/>
    <w:rsid w:val="00CF1631"/>
    <w:rPr>
      <w:b/>
      <w:bCs/>
      <w:smallCaps/>
      <w:color w:val="2F5496" w:themeColor="accent1" w:themeShade="BF"/>
      <w:spacing w:val="5"/>
    </w:rPr>
  </w:style>
  <w:style w:type="table" w:customStyle="1" w:styleId="TableNormal">
    <w:name w:val="Table Normal"/>
    <w:uiPriority w:val="2"/>
    <w:semiHidden/>
    <w:unhideWhenUsed/>
    <w:qFormat/>
    <w:rsid w:val="009076EE"/>
    <w:pPr>
      <w:widowControl w:val="0"/>
      <w:autoSpaceDE w:val="0"/>
      <w:autoSpaceDN w:val="0"/>
      <w:spacing w:after="0" w:line="240" w:lineRule="auto"/>
    </w:pPr>
    <w:rPr>
      <w:rFonts w:ascii="Calibri" w:hAnsi="Calibri"/>
      <w:color w:val="auto"/>
      <w:sz w:val="22"/>
      <w:szCs w:val="22"/>
      <w14:ligatures w14:val="none"/>
    </w:rPr>
    <w:tblPr>
      <w:tblInd w:w="0" w:type="dxa"/>
      <w:tblCellMar>
        <w:top w:w="0" w:type="dxa"/>
        <w:left w:w="0" w:type="dxa"/>
        <w:bottom w:w="0" w:type="dxa"/>
        <w:right w:w="0" w:type="dxa"/>
      </w:tblCellMar>
    </w:tblPr>
  </w:style>
  <w:style w:type="paragraph" w:customStyle="1" w:styleId="Default">
    <w:name w:val="Default"/>
    <w:rsid w:val="00B20173"/>
    <w:pPr>
      <w:autoSpaceDE w:val="0"/>
      <w:autoSpaceDN w:val="0"/>
      <w:adjustRightInd w:val="0"/>
      <w:spacing w:after="0" w:line="240" w:lineRule="auto"/>
    </w:pPr>
    <w:rPr>
      <w:rFonts w:ascii="Helvetica" w:hAnsi="Helvetica" w:cs="Helvetic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1590</Words>
  <Characters>9069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Antonio Jimeno</cp:lastModifiedBy>
  <cp:revision>17</cp:revision>
  <dcterms:created xsi:type="dcterms:W3CDTF">2025-07-28T13:59:00Z</dcterms:created>
  <dcterms:modified xsi:type="dcterms:W3CDTF">2025-07-28T16:15:00Z</dcterms:modified>
</cp:coreProperties>
</file>