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7B779" w14:textId="77777777" w:rsidR="003562C0" w:rsidRPr="00A57AF8" w:rsidRDefault="003562C0" w:rsidP="00177701">
      <w:pPr>
        <w:spacing w:before="240" w:after="240"/>
        <w:rPr>
          <w:b/>
          <w:sz w:val="20"/>
          <w:szCs w:val="20"/>
        </w:rPr>
      </w:pPr>
    </w:p>
    <w:p w14:paraId="221699CA" w14:textId="77777777" w:rsidR="00A57AF8" w:rsidRPr="0000667A" w:rsidRDefault="00A57AF8" w:rsidP="004E0539">
      <w:pPr>
        <w:spacing w:before="240" w:after="240"/>
        <w:jc w:val="center"/>
        <w:rPr>
          <w:b/>
          <w:color w:val="31849B" w:themeColor="accent5" w:themeShade="BF"/>
          <w:sz w:val="24"/>
          <w:szCs w:val="20"/>
        </w:rPr>
      </w:pPr>
      <w:r w:rsidRPr="0000667A">
        <w:rPr>
          <w:b/>
          <w:color w:val="31849B" w:themeColor="accent5" w:themeShade="BF"/>
          <w:sz w:val="24"/>
          <w:szCs w:val="20"/>
        </w:rPr>
        <w:t>Termes de référence</w:t>
      </w:r>
    </w:p>
    <w:p w14:paraId="5816A589" w14:textId="72C2140D" w:rsidR="006027BF" w:rsidRPr="0000667A" w:rsidRDefault="00A711E7" w:rsidP="00F20128">
      <w:pPr>
        <w:spacing w:before="240" w:after="240"/>
        <w:jc w:val="center"/>
        <w:rPr>
          <w:color w:val="31849B" w:themeColor="accent5" w:themeShade="BF"/>
          <w:sz w:val="24"/>
          <w:szCs w:val="20"/>
        </w:rPr>
      </w:pPr>
      <w:r>
        <w:rPr>
          <w:b/>
          <w:color w:val="31849B" w:themeColor="accent5" w:themeShade="BF"/>
          <w:sz w:val="24"/>
          <w:szCs w:val="20"/>
        </w:rPr>
        <w:t>D</w:t>
      </w:r>
      <w:r w:rsidR="00F20128" w:rsidRPr="0000667A">
        <w:rPr>
          <w:b/>
          <w:color w:val="31849B" w:themeColor="accent5" w:themeShade="BF"/>
          <w:sz w:val="24"/>
          <w:szCs w:val="20"/>
        </w:rPr>
        <w:t>éveloppement d’un outil de mesure d’impact pour les entreprises vertes</w:t>
      </w:r>
    </w:p>
    <w:p w14:paraId="77D959B9" w14:textId="77777777" w:rsidR="00A57AF8" w:rsidRPr="0000667A" w:rsidRDefault="00A57AF8" w:rsidP="00A57AF8">
      <w:pPr>
        <w:spacing w:before="240" w:after="240"/>
        <w:jc w:val="center"/>
        <w:rPr>
          <w:color w:val="31849B" w:themeColor="accent5" w:themeShade="BF"/>
          <w:sz w:val="24"/>
          <w:szCs w:val="20"/>
        </w:rPr>
      </w:pPr>
    </w:p>
    <w:p w14:paraId="6854100E" w14:textId="77777777" w:rsidR="003562C0" w:rsidRPr="0000667A" w:rsidRDefault="00A55886" w:rsidP="00A57AF8">
      <w:pPr>
        <w:pStyle w:val="Paragraphedeliste"/>
        <w:numPr>
          <w:ilvl w:val="0"/>
          <w:numId w:val="27"/>
        </w:numPr>
        <w:spacing w:before="240" w:after="240"/>
        <w:jc w:val="both"/>
        <w:rPr>
          <w:b/>
          <w:szCs w:val="20"/>
        </w:rPr>
      </w:pPr>
      <w:r w:rsidRPr="0000667A">
        <w:rPr>
          <w:b/>
          <w:szCs w:val="20"/>
        </w:rPr>
        <w:t>Contexte et présentation du projet</w:t>
      </w:r>
    </w:p>
    <w:p w14:paraId="7BF8E10B" w14:textId="77777777" w:rsidR="00A57AF8" w:rsidRPr="0000667A" w:rsidRDefault="00A57AF8" w:rsidP="00A57AF8">
      <w:pPr>
        <w:pStyle w:val="Titre2"/>
        <w:keepLines w:val="0"/>
        <w:widowControl w:val="0"/>
        <w:numPr>
          <w:ilvl w:val="0"/>
          <w:numId w:val="24"/>
        </w:numPr>
        <w:spacing w:before="0" w:after="0" w:line="240" w:lineRule="auto"/>
        <w:rPr>
          <w:sz w:val="20"/>
          <w:szCs w:val="20"/>
          <w:u w:val="single"/>
        </w:rPr>
      </w:pPr>
      <w:bookmarkStart w:id="0" w:name="_Toc176853661"/>
      <w:r w:rsidRPr="0000667A">
        <w:rPr>
          <w:sz w:val="20"/>
          <w:szCs w:val="20"/>
          <w:u w:val="single"/>
        </w:rPr>
        <w:t>L'entrepreneuriat vert en Tunisie</w:t>
      </w:r>
      <w:bookmarkEnd w:id="0"/>
      <w:r w:rsidRPr="0000667A" w:rsidDel="007242F9">
        <w:rPr>
          <w:sz w:val="20"/>
          <w:szCs w:val="20"/>
          <w:u w:val="single"/>
        </w:rPr>
        <w:t xml:space="preserve"> </w:t>
      </w:r>
    </w:p>
    <w:p w14:paraId="15DE5BC9" w14:textId="77777777" w:rsidR="00A57AF8" w:rsidRPr="0000667A" w:rsidRDefault="00A57AF8" w:rsidP="00A57AF8"/>
    <w:p w14:paraId="0E73DA01" w14:textId="77777777" w:rsidR="00A57AF8" w:rsidRPr="0000667A" w:rsidRDefault="00A57AF8" w:rsidP="00A57AF8">
      <w:pPr>
        <w:spacing w:line="240" w:lineRule="auto"/>
        <w:jc w:val="both"/>
        <w:rPr>
          <w:sz w:val="20"/>
          <w:szCs w:val="20"/>
        </w:rPr>
      </w:pPr>
      <w:r w:rsidRPr="0000667A">
        <w:rPr>
          <w:sz w:val="20"/>
          <w:szCs w:val="20"/>
        </w:rPr>
        <w:t xml:space="preserve">Depuis cinq ans, un écosystème entrepreneurial s’est développé en Tunisie, favorisé par l’adoption du Startup </w:t>
      </w:r>
      <w:proofErr w:type="spellStart"/>
      <w:r w:rsidRPr="0000667A">
        <w:rPr>
          <w:sz w:val="20"/>
          <w:szCs w:val="20"/>
        </w:rPr>
        <w:t>Act</w:t>
      </w:r>
      <w:proofErr w:type="spellEnd"/>
      <w:r w:rsidRPr="0000667A">
        <w:rPr>
          <w:sz w:val="20"/>
          <w:szCs w:val="20"/>
        </w:rPr>
        <w:t xml:space="preserve"> en 2018 et par l’intervention d’acteurs internationaux et de la société civile. </w:t>
      </w:r>
    </w:p>
    <w:p w14:paraId="0D7F23BF" w14:textId="77777777" w:rsidR="00A57AF8" w:rsidRPr="0000667A" w:rsidRDefault="00A57AF8" w:rsidP="00A57AF8">
      <w:pPr>
        <w:spacing w:before="120" w:after="120" w:line="240" w:lineRule="auto"/>
        <w:jc w:val="both"/>
        <w:rPr>
          <w:sz w:val="20"/>
          <w:szCs w:val="20"/>
        </w:rPr>
      </w:pPr>
      <w:r w:rsidRPr="0000667A">
        <w:rPr>
          <w:sz w:val="20"/>
          <w:szCs w:val="20"/>
        </w:rPr>
        <w:t xml:space="preserve">Bien que démontrant une capacité de résilience et un fort potentiel de croissance et d’internationalisation, les startups et </w:t>
      </w:r>
      <w:proofErr w:type="spellStart"/>
      <w:r w:rsidRPr="0000667A">
        <w:rPr>
          <w:sz w:val="20"/>
          <w:szCs w:val="20"/>
        </w:rPr>
        <w:t>PMEs</w:t>
      </w:r>
      <w:proofErr w:type="spellEnd"/>
      <w:r w:rsidRPr="0000667A">
        <w:rPr>
          <w:sz w:val="20"/>
          <w:szCs w:val="20"/>
        </w:rPr>
        <w:t xml:space="preserve"> font invariablement face à un certain nombre d’obstacles à leur développement, principalement lié à l’accès au financement. </w:t>
      </w:r>
    </w:p>
    <w:p w14:paraId="618AFF85" w14:textId="77777777" w:rsidR="00A57AF8" w:rsidRPr="0000667A" w:rsidRDefault="00A57AF8" w:rsidP="00A57AF8">
      <w:pPr>
        <w:spacing w:before="120" w:after="120" w:line="240" w:lineRule="auto"/>
        <w:jc w:val="both"/>
        <w:rPr>
          <w:sz w:val="20"/>
          <w:szCs w:val="20"/>
        </w:rPr>
      </w:pPr>
      <w:r w:rsidRPr="0000667A">
        <w:rPr>
          <w:sz w:val="20"/>
          <w:szCs w:val="20"/>
        </w:rPr>
        <w:t xml:space="preserve">De plus, le pays n’échappe pas aux crises mondiales : la pandémie du COVID 19 et la crise climatique, à laquelle la Tunisie est particulièrement exposée, ont ainsi creusé les difficultés économiques, sociales et environnementales auxquelles le pays faisait déjà face. </w:t>
      </w:r>
    </w:p>
    <w:p w14:paraId="4D355F7B" w14:textId="0BBBD112" w:rsidR="00A57AF8" w:rsidRPr="0000667A" w:rsidRDefault="00A57AF8" w:rsidP="00A57AF8">
      <w:pPr>
        <w:spacing w:before="120" w:after="120" w:line="240" w:lineRule="auto"/>
        <w:jc w:val="both"/>
        <w:rPr>
          <w:sz w:val="20"/>
          <w:szCs w:val="20"/>
        </w:rPr>
      </w:pPr>
      <w:r w:rsidRPr="0000667A">
        <w:rPr>
          <w:sz w:val="20"/>
          <w:szCs w:val="20"/>
        </w:rPr>
        <w:t>Ces évolutions mettent en exergue la nécessité de développer des modèles d’affaires innovants, et d’adopter des pratiques durables au sein des entreprises et industries traditionnelles, ayant le potentiel de pouvoir résorber le chômage de masse et apporter des solutions aux enjeux environnementaux.</w:t>
      </w:r>
    </w:p>
    <w:p w14:paraId="139CD8F0" w14:textId="77777777" w:rsidR="00A57AF8" w:rsidRPr="0000667A" w:rsidRDefault="00A57AF8" w:rsidP="00A51632">
      <w:pPr>
        <w:pStyle w:val="Titre2"/>
        <w:keepLines w:val="0"/>
        <w:widowControl w:val="0"/>
        <w:numPr>
          <w:ilvl w:val="0"/>
          <w:numId w:val="24"/>
        </w:numPr>
        <w:spacing w:after="0" w:line="240" w:lineRule="auto"/>
        <w:rPr>
          <w:sz w:val="20"/>
          <w:szCs w:val="20"/>
          <w:u w:val="single"/>
        </w:rPr>
      </w:pPr>
      <w:bookmarkStart w:id="1" w:name="_Toc176853662"/>
      <w:r w:rsidRPr="0000667A">
        <w:rPr>
          <w:sz w:val="20"/>
          <w:szCs w:val="20"/>
          <w:u w:val="single"/>
        </w:rPr>
        <w:t>Greenov’i</w:t>
      </w:r>
      <w:bookmarkEnd w:id="1"/>
      <w:r w:rsidRPr="0000667A">
        <w:rPr>
          <w:sz w:val="20"/>
          <w:szCs w:val="20"/>
          <w:u w:val="single"/>
        </w:rPr>
        <w:t xml:space="preserve"> </w:t>
      </w:r>
    </w:p>
    <w:p w14:paraId="1958A9C2" w14:textId="486E393F" w:rsidR="00A51632" w:rsidRPr="0000667A" w:rsidRDefault="00A51632" w:rsidP="00A51632">
      <w:pPr>
        <w:spacing w:before="360" w:after="240" w:line="240" w:lineRule="auto"/>
        <w:jc w:val="both"/>
        <w:outlineLvl w:val="1"/>
        <w:rPr>
          <w:sz w:val="20"/>
          <w:szCs w:val="20"/>
        </w:rPr>
      </w:pPr>
      <w:r w:rsidRPr="0000667A">
        <w:rPr>
          <w:sz w:val="20"/>
          <w:szCs w:val="20"/>
        </w:rPr>
        <w:t>Greenov’i est le projet d’appui au secteur privé de la programmation d’appui à l’action environnementale en Tunisie. D’un montant de 12 M EUR, le projet est prévu sur une durée de 60 mois (5 ans).</w:t>
      </w:r>
    </w:p>
    <w:p w14:paraId="05B1FFC3" w14:textId="6C9B354D" w:rsidR="00A51632" w:rsidRPr="0000667A" w:rsidRDefault="00A51632" w:rsidP="00A51632">
      <w:pPr>
        <w:spacing w:after="240" w:line="240" w:lineRule="auto"/>
        <w:jc w:val="both"/>
        <w:outlineLvl w:val="1"/>
        <w:rPr>
          <w:sz w:val="20"/>
          <w:szCs w:val="20"/>
        </w:rPr>
      </w:pPr>
      <w:r w:rsidRPr="0000667A">
        <w:rPr>
          <w:sz w:val="20"/>
          <w:szCs w:val="20"/>
        </w:rPr>
        <w:t>Financé par l’Union Européenne et mis en œuvre par Expertise France en étroite collaboration avec le Ministère de l’Environnement, le CITET et le Ministère de l’Economie et de la Planification, il se donne pour objectif de contribuer à la transition écologique de l'économie tunisienne à travers des modes de consommation et de production plus sobres, en phase avec l’économie verte.</w:t>
      </w:r>
    </w:p>
    <w:p w14:paraId="6A474D44" w14:textId="281F0A18" w:rsidR="00A51632" w:rsidRPr="0000667A" w:rsidRDefault="00A51632" w:rsidP="00A516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jc w:val="both"/>
        <w:rPr>
          <w:sz w:val="20"/>
          <w:szCs w:val="20"/>
        </w:rPr>
      </w:pPr>
      <w:r w:rsidRPr="0000667A">
        <w:rPr>
          <w:sz w:val="20"/>
          <w:szCs w:val="20"/>
        </w:rPr>
        <w:t>L’objectif spécifique se concentrera sur l’appui au développement d’un entrepreneuriat vert agissant en faveur de la justice sociale et de genre en Tunisie, au moyen d’un dispositif de financement et d’accompagnement innovant dans les secteurs de l’innovation verte, l’économie sociale et solidaire, l’économie circulaire, etc. Il s’articule autour des deux composantes suivantes, définies par la nature des entreprises ciblées :</w:t>
      </w:r>
    </w:p>
    <w:p w14:paraId="4C6C1899" w14:textId="77777777" w:rsidR="00A51632" w:rsidRPr="0000667A" w:rsidRDefault="00A51632" w:rsidP="00A51632">
      <w:pPr>
        <w:pStyle w:val="Paragraphedeliste"/>
        <w:numPr>
          <w:ilvl w:val="0"/>
          <w:numId w:val="29"/>
        </w:numPr>
        <w:spacing w:after="160" w:line="240" w:lineRule="auto"/>
        <w:jc w:val="both"/>
        <w:outlineLvl w:val="1"/>
        <w:rPr>
          <w:sz w:val="20"/>
          <w:szCs w:val="20"/>
        </w:rPr>
      </w:pPr>
      <w:r w:rsidRPr="0000667A">
        <w:rPr>
          <w:sz w:val="20"/>
          <w:szCs w:val="20"/>
        </w:rPr>
        <w:t>Composante 1 : Appui à l'émergence et à la création d’entreprises de biens et services verts qui intègrent la justice sociale et de genre ;</w:t>
      </w:r>
    </w:p>
    <w:p w14:paraId="7C402F49" w14:textId="262615B6" w:rsidR="00A51632" w:rsidRPr="0000667A" w:rsidRDefault="00A51632" w:rsidP="00A51632">
      <w:pPr>
        <w:pStyle w:val="Paragraphedeliste"/>
        <w:numPr>
          <w:ilvl w:val="0"/>
          <w:numId w:val="29"/>
        </w:numPr>
        <w:spacing w:after="160" w:line="240" w:lineRule="auto"/>
        <w:jc w:val="both"/>
        <w:outlineLvl w:val="1"/>
        <w:rPr>
          <w:sz w:val="20"/>
          <w:szCs w:val="20"/>
        </w:rPr>
      </w:pPr>
      <w:r w:rsidRPr="0000667A">
        <w:rPr>
          <w:sz w:val="20"/>
          <w:szCs w:val="20"/>
        </w:rPr>
        <w:t>Composante 2 : Appui à la transition écologique des entreprises vers des modes de production sobres, équitables et durables.</w:t>
      </w:r>
    </w:p>
    <w:p w14:paraId="419A85B1" w14:textId="48F30A58" w:rsidR="00A51632" w:rsidRPr="0000667A" w:rsidRDefault="00A51632" w:rsidP="00A51632">
      <w:pPr>
        <w:pStyle w:val="Corpsdetexte"/>
        <w:spacing w:before="120"/>
        <w:jc w:val="both"/>
        <w:rPr>
          <w:rFonts w:eastAsia="Arial"/>
          <w:b w:val="0"/>
          <w:caps w:val="0"/>
          <w:sz w:val="20"/>
          <w:szCs w:val="20"/>
          <w:lang w:val="fr"/>
        </w:rPr>
      </w:pPr>
      <w:r w:rsidRPr="0000667A">
        <w:rPr>
          <w:rFonts w:eastAsia="Arial"/>
          <w:b w:val="0"/>
          <w:caps w:val="0"/>
          <w:sz w:val="20"/>
          <w:szCs w:val="20"/>
          <w:lang w:val="fr"/>
        </w:rPr>
        <w:t xml:space="preserve">Chaque composante accordera une attention particulière à la sensibilisation et à la valorisation d’un entrepreneuriat vert qui agit en faveur de la justice sociale et de genre. </w:t>
      </w:r>
    </w:p>
    <w:p w14:paraId="5DCA848B" w14:textId="77777777" w:rsidR="00A57AF8" w:rsidRPr="0000667A" w:rsidRDefault="00A57AF8" w:rsidP="00A57AF8">
      <w:pPr>
        <w:pStyle w:val="Corpsdetexte"/>
        <w:spacing w:before="120"/>
        <w:jc w:val="both"/>
        <w:rPr>
          <w:rFonts w:eastAsia="Arial"/>
          <w:b w:val="0"/>
          <w:caps w:val="0"/>
          <w:sz w:val="20"/>
          <w:szCs w:val="20"/>
          <w:lang w:val="fr"/>
        </w:rPr>
      </w:pPr>
    </w:p>
    <w:p w14:paraId="3D4BA675" w14:textId="77777777" w:rsidR="00A57AF8" w:rsidRPr="0000667A" w:rsidRDefault="00A57AF8" w:rsidP="00A57AF8">
      <w:pPr>
        <w:pStyle w:val="Titre2"/>
        <w:keepLines w:val="0"/>
        <w:widowControl w:val="0"/>
        <w:numPr>
          <w:ilvl w:val="0"/>
          <w:numId w:val="24"/>
        </w:numPr>
        <w:spacing w:before="0" w:after="0" w:line="240" w:lineRule="auto"/>
        <w:rPr>
          <w:sz w:val="20"/>
          <w:szCs w:val="20"/>
          <w:u w:val="single"/>
        </w:rPr>
      </w:pPr>
      <w:bookmarkStart w:id="2" w:name="_Toc176853664"/>
      <w:r w:rsidRPr="0000667A">
        <w:rPr>
          <w:sz w:val="20"/>
          <w:szCs w:val="20"/>
          <w:u w:val="single"/>
        </w:rPr>
        <w:t>Définitions et cadrage</w:t>
      </w:r>
      <w:bookmarkEnd w:id="2"/>
    </w:p>
    <w:p w14:paraId="1A3DA7CE" w14:textId="77777777" w:rsidR="00A57AF8" w:rsidRPr="0000667A" w:rsidRDefault="00A57AF8" w:rsidP="00A57AF8">
      <w:pPr>
        <w:rPr>
          <w:sz w:val="20"/>
          <w:szCs w:val="20"/>
        </w:rPr>
      </w:pPr>
    </w:p>
    <w:p w14:paraId="4A5B4062" w14:textId="77777777" w:rsidR="00A57AF8" w:rsidRPr="0000667A" w:rsidRDefault="00A57AF8" w:rsidP="00A57AF8">
      <w:pPr>
        <w:spacing w:line="240" w:lineRule="auto"/>
        <w:jc w:val="both"/>
        <w:rPr>
          <w:sz w:val="20"/>
          <w:szCs w:val="20"/>
        </w:rPr>
      </w:pPr>
      <w:r w:rsidRPr="0000667A">
        <w:rPr>
          <w:sz w:val="20"/>
          <w:szCs w:val="20"/>
        </w:rPr>
        <w:t>Afin de cadrer ses activités, le projet Greenov’i a construit deux documents clefs – la Charte Verte, qui définit les principes du projet, les critères à respecter durant sa mise en œuvre et l’engagement de l’ensemble des parties prenantes, et le Glossaire qui explicite et opérationnalise ce cadre général.</w:t>
      </w:r>
    </w:p>
    <w:p w14:paraId="29C1D26F" w14:textId="77777777" w:rsidR="00A57AF8" w:rsidRPr="0000667A" w:rsidRDefault="00A57AF8" w:rsidP="00A57AF8">
      <w:pPr>
        <w:spacing w:line="240" w:lineRule="auto"/>
        <w:jc w:val="both"/>
        <w:rPr>
          <w:sz w:val="20"/>
          <w:szCs w:val="20"/>
        </w:rPr>
      </w:pPr>
    </w:p>
    <w:p w14:paraId="0BB2B635" w14:textId="4129A0FD" w:rsidR="00A57AF8" w:rsidRPr="0000667A" w:rsidRDefault="00A57AF8" w:rsidP="00A57AF8">
      <w:pPr>
        <w:spacing w:line="240" w:lineRule="auto"/>
        <w:jc w:val="both"/>
        <w:rPr>
          <w:rFonts w:eastAsia="Times New Roman"/>
          <w:sz w:val="20"/>
          <w:szCs w:val="20"/>
          <w:u w:val="single"/>
        </w:rPr>
      </w:pPr>
      <w:r w:rsidRPr="0000667A">
        <w:rPr>
          <w:rFonts w:eastAsia="Times New Roman"/>
          <w:sz w:val="20"/>
          <w:szCs w:val="20"/>
          <w:u w:val="single"/>
        </w:rPr>
        <w:lastRenderedPageBreak/>
        <w:t xml:space="preserve">Charte </w:t>
      </w:r>
      <w:r w:rsidR="00396588" w:rsidRPr="0000667A">
        <w:rPr>
          <w:rFonts w:eastAsia="Times New Roman"/>
          <w:sz w:val="20"/>
          <w:szCs w:val="20"/>
          <w:u w:val="single"/>
        </w:rPr>
        <w:t>V</w:t>
      </w:r>
      <w:r w:rsidRPr="0000667A">
        <w:rPr>
          <w:rFonts w:eastAsia="Times New Roman"/>
          <w:sz w:val="20"/>
          <w:szCs w:val="20"/>
          <w:u w:val="single"/>
        </w:rPr>
        <w:t xml:space="preserve">erte </w:t>
      </w:r>
    </w:p>
    <w:p w14:paraId="6204C679" w14:textId="77777777" w:rsidR="00A57AF8" w:rsidRPr="0000667A" w:rsidRDefault="00A57AF8" w:rsidP="00A57AF8">
      <w:pPr>
        <w:spacing w:line="240" w:lineRule="auto"/>
        <w:jc w:val="both"/>
        <w:rPr>
          <w:sz w:val="20"/>
          <w:szCs w:val="20"/>
        </w:rPr>
      </w:pPr>
    </w:p>
    <w:p w14:paraId="616FCB77" w14:textId="528AD678" w:rsidR="00A57AF8" w:rsidRPr="0000667A" w:rsidRDefault="00A57AF8" w:rsidP="00A57AF8">
      <w:pPr>
        <w:spacing w:line="240" w:lineRule="auto"/>
        <w:jc w:val="both"/>
        <w:rPr>
          <w:sz w:val="20"/>
          <w:szCs w:val="20"/>
        </w:rPr>
      </w:pPr>
      <w:r w:rsidRPr="0000667A">
        <w:rPr>
          <w:sz w:val="20"/>
          <w:szCs w:val="20"/>
        </w:rPr>
        <w:t xml:space="preserve">La </w:t>
      </w:r>
      <w:hyperlink r:id="rId8" w:history="1">
        <w:r w:rsidRPr="0000667A">
          <w:rPr>
            <w:rStyle w:val="Lienhypertexte"/>
            <w:sz w:val="20"/>
            <w:szCs w:val="20"/>
          </w:rPr>
          <w:t>Charte Verte</w:t>
        </w:r>
      </w:hyperlink>
      <w:r w:rsidRPr="0000667A">
        <w:rPr>
          <w:sz w:val="20"/>
          <w:szCs w:val="20"/>
        </w:rPr>
        <w:t xml:space="preserve"> définit les principes du projet, les critères à respecter durant son implémentation, et les engagements de l’ensemble de ses parties prenantes. La Charte Verte s’articule autour de cinq axes fondamentaux : </w:t>
      </w:r>
    </w:p>
    <w:p w14:paraId="18DD76B0" w14:textId="77777777" w:rsidR="00A57AF8" w:rsidRPr="0000667A" w:rsidRDefault="00A57AF8" w:rsidP="00A57AF8">
      <w:pPr>
        <w:pStyle w:val="Paragraphedeliste"/>
        <w:numPr>
          <w:ilvl w:val="0"/>
          <w:numId w:val="25"/>
        </w:numPr>
        <w:spacing w:line="240" w:lineRule="auto"/>
        <w:jc w:val="both"/>
        <w:rPr>
          <w:sz w:val="20"/>
          <w:szCs w:val="20"/>
        </w:rPr>
      </w:pPr>
      <w:r w:rsidRPr="0000667A">
        <w:rPr>
          <w:sz w:val="20"/>
          <w:szCs w:val="20"/>
        </w:rPr>
        <w:t>La création d’impacts environnementaux, sociaux et économiques positifs ;</w:t>
      </w:r>
    </w:p>
    <w:p w14:paraId="031F0B58" w14:textId="77777777" w:rsidR="00A57AF8" w:rsidRPr="0000667A" w:rsidRDefault="00A57AF8" w:rsidP="00A57AF8">
      <w:pPr>
        <w:pStyle w:val="Paragraphedeliste"/>
        <w:numPr>
          <w:ilvl w:val="0"/>
          <w:numId w:val="25"/>
        </w:numPr>
        <w:spacing w:line="240" w:lineRule="auto"/>
        <w:jc w:val="both"/>
        <w:rPr>
          <w:sz w:val="20"/>
          <w:szCs w:val="20"/>
        </w:rPr>
      </w:pPr>
      <w:r w:rsidRPr="0000667A">
        <w:rPr>
          <w:sz w:val="20"/>
          <w:szCs w:val="20"/>
        </w:rPr>
        <w:t>Le respect et la promotion des principes clefs du projet ;</w:t>
      </w:r>
    </w:p>
    <w:p w14:paraId="5902D46F" w14:textId="77777777" w:rsidR="00A57AF8" w:rsidRPr="0000667A" w:rsidRDefault="00A57AF8" w:rsidP="00A57AF8">
      <w:pPr>
        <w:pStyle w:val="Paragraphedeliste"/>
        <w:numPr>
          <w:ilvl w:val="0"/>
          <w:numId w:val="25"/>
        </w:numPr>
        <w:spacing w:line="240" w:lineRule="auto"/>
        <w:jc w:val="both"/>
        <w:rPr>
          <w:sz w:val="20"/>
          <w:szCs w:val="20"/>
        </w:rPr>
      </w:pPr>
      <w:r w:rsidRPr="0000667A">
        <w:rPr>
          <w:sz w:val="20"/>
          <w:szCs w:val="20"/>
        </w:rPr>
        <w:t>La conformité avec des prérequis essentiels du projet ;</w:t>
      </w:r>
    </w:p>
    <w:p w14:paraId="5C9C7945" w14:textId="77777777" w:rsidR="00A57AF8" w:rsidRPr="0000667A" w:rsidRDefault="00A57AF8" w:rsidP="00A57AF8">
      <w:pPr>
        <w:pStyle w:val="Paragraphedeliste"/>
        <w:numPr>
          <w:ilvl w:val="0"/>
          <w:numId w:val="25"/>
        </w:numPr>
        <w:spacing w:line="240" w:lineRule="auto"/>
        <w:jc w:val="both"/>
        <w:rPr>
          <w:sz w:val="20"/>
          <w:szCs w:val="20"/>
        </w:rPr>
      </w:pPr>
      <w:r w:rsidRPr="0000667A">
        <w:rPr>
          <w:sz w:val="20"/>
          <w:szCs w:val="20"/>
        </w:rPr>
        <w:t xml:space="preserve">L’application du principe de transparence, favorisant l’inclusion et luttant contre le </w:t>
      </w:r>
      <w:proofErr w:type="spellStart"/>
      <w:r w:rsidRPr="0000667A">
        <w:rPr>
          <w:i/>
          <w:sz w:val="20"/>
          <w:szCs w:val="20"/>
        </w:rPr>
        <w:t>greenwashing</w:t>
      </w:r>
      <w:proofErr w:type="spellEnd"/>
      <w:r w:rsidRPr="0000667A">
        <w:rPr>
          <w:sz w:val="20"/>
          <w:szCs w:val="20"/>
        </w:rPr>
        <w:t> ;</w:t>
      </w:r>
    </w:p>
    <w:p w14:paraId="79E53FD4" w14:textId="77777777" w:rsidR="00A57AF8" w:rsidRPr="0000667A" w:rsidRDefault="00A57AF8" w:rsidP="00A57AF8">
      <w:pPr>
        <w:pStyle w:val="Paragraphedeliste"/>
        <w:numPr>
          <w:ilvl w:val="0"/>
          <w:numId w:val="25"/>
        </w:numPr>
        <w:spacing w:line="240" w:lineRule="auto"/>
        <w:jc w:val="both"/>
        <w:rPr>
          <w:sz w:val="20"/>
          <w:szCs w:val="20"/>
        </w:rPr>
      </w:pPr>
      <w:r w:rsidRPr="0000667A">
        <w:rPr>
          <w:sz w:val="20"/>
          <w:szCs w:val="20"/>
        </w:rPr>
        <w:t>La participation active et continue de l’ensemble des parties prenantes.</w:t>
      </w:r>
    </w:p>
    <w:p w14:paraId="6ACE9A34" w14:textId="77777777" w:rsidR="00A57AF8" w:rsidRPr="0000667A" w:rsidRDefault="00A57AF8" w:rsidP="00A57AF8">
      <w:pPr>
        <w:spacing w:line="240" w:lineRule="auto"/>
        <w:jc w:val="both"/>
        <w:rPr>
          <w:rFonts w:eastAsia="Times New Roman"/>
          <w:sz w:val="20"/>
          <w:szCs w:val="20"/>
        </w:rPr>
      </w:pPr>
    </w:p>
    <w:p w14:paraId="12FEB634" w14:textId="77777777" w:rsidR="00A57AF8" w:rsidRPr="0000667A" w:rsidRDefault="00A57AF8" w:rsidP="00A57AF8">
      <w:pPr>
        <w:spacing w:line="240" w:lineRule="auto"/>
        <w:jc w:val="both"/>
        <w:rPr>
          <w:rFonts w:eastAsia="Times New Roman"/>
          <w:sz w:val="20"/>
          <w:szCs w:val="20"/>
          <w:u w:val="single"/>
        </w:rPr>
      </w:pPr>
      <w:r w:rsidRPr="0000667A">
        <w:rPr>
          <w:rFonts w:eastAsia="Times New Roman"/>
          <w:sz w:val="20"/>
          <w:szCs w:val="20"/>
          <w:u w:val="single"/>
        </w:rPr>
        <w:t xml:space="preserve">Glossaire </w:t>
      </w:r>
    </w:p>
    <w:p w14:paraId="50A09F5D" w14:textId="77777777" w:rsidR="00A57AF8" w:rsidRPr="0000667A" w:rsidRDefault="00A57AF8" w:rsidP="00A57AF8">
      <w:pPr>
        <w:spacing w:line="240" w:lineRule="auto"/>
        <w:jc w:val="both"/>
        <w:rPr>
          <w:rFonts w:eastAsia="Times New Roman"/>
          <w:sz w:val="20"/>
          <w:szCs w:val="20"/>
        </w:rPr>
      </w:pPr>
    </w:p>
    <w:p w14:paraId="3D0E8EA6" w14:textId="77777777" w:rsidR="00A57AF8" w:rsidRPr="0000667A" w:rsidRDefault="00A57AF8" w:rsidP="00A57AF8">
      <w:pPr>
        <w:spacing w:line="240" w:lineRule="auto"/>
        <w:jc w:val="both"/>
        <w:rPr>
          <w:rFonts w:eastAsia="Times New Roman"/>
          <w:sz w:val="20"/>
          <w:szCs w:val="20"/>
        </w:rPr>
      </w:pPr>
      <w:r w:rsidRPr="0000667A">
        <w:rPr>
          <w:rFonts w:eastAsia="Times New Roman"/>
          <w:sz w:val="20"/>
          <w:szCs w:val="20"/>
        </w:rPr>
        <w:t xml:space="preserve">Le </w:t>
      </w:r>
      <w:hyperlink r:id="rId9" w:history="1">
        <w:r w:rsidRPr="0000667A">
          <w:rPr>
            <w:rStyle w:val="Lienhypertexte"/>
            <w:rFonts w:eastAsia="Times New Roman"/>
            <w:sz w:val="20"/>
            <w:szCs w:val="20"/>
          </w:rPr>
          <w:t>Glossaire</w:t>
        </w:r>
      </w:hyperlink>
      <w:r w:rsidRPr="0000667A">
        <w:rPr>
          <w:rFonts w:eastAsia="Times New Roman"/>
          <w:sz w:val="20"/>
          <w:szCs w:val="20"/>
        </w:rPr>
        <w:t xml:space="preserve"> est un outil d’aide à la mise en œuvre du projet. Recensant un ensemble de définitions opérationnelles, il a été conçu afin d’apporter une clarification et une compréhension commune des termes mobilisés.</w:t>
      </w:r>
    </w:p>
    <w:p w14:paraId="7283444D" w14:textId="77777777" w:rsidR="00A57AF8" w:rsidRPr="0000667A" w:rsidRDefault="00A57AF8" w:rsidP="00A57AF8">
      <w:pPr>
        <w:spacing w:line="240" w:lineRule="auto"/>
        <w:jc w:val="both"/>
        <w:rPr>
          <w:rFonts w:eastAsia="Times New Roman"/>
          <w:sz w:val="20"/>
          <w:szCs w:val="20"/>
        </w:rPr>
      </w:pPr>
    </w:p>
    <w:p w14:paraId="6AC03449" w14:textId="5FE2B7ED" w:rsidR="00A57AF8" w:rsidRPr="0000667A" w:rsidRDefault="00A57AF8" w:rsidP="00A57AF8">
      <w:pPr>
        <w:spacing w:line="240" w:lineRule="auto"/>
        <w:jc w:val="both"/>
        <w:rPr>
          <w:sz w:val="20"/>
          <w:szCs w:val="20"/>
        </w:rPr>
      </w:pPr>
      <w:r w:rsidRPr="0000667A">
        <w:rPr>
          <w:rFonts w:eastAsia="Times New Roman"/>
          <w:sz w:val="20"/>
          <w:szCs w:val="20"/>
        </w:rPr>
        <w:t xml:space="preserve">Dans le cadre du projet Greenov’i et tel qu’indiqué dans le Glossaire, </w:t>
      </w:r>
      <w:r w:rsidRPr="0000667A">
        <w:rPr>
          <w:sz w:val="20"/>
          <w:szCs w:val="20"/>
        </w:rPr>
        <w:t>l’entrepreneuriat vert, se définit comme un est processus permettant l’émergence d’entreprises créatrices de valeur qui contribuent au développement durable du système socio-écologique à l’échelle nationale. L’entrepreneuriat vert contribue ainsi à l’atténuation des défaillances du marché ayant trait à l’environnement, à travers l’exploitation de potentielles opportunités rentables. Il englobe les activités économiques, technologies, produits et services moins polluants qui visent à réduire durablement les émissions de gaz à effet de serre et l’empreinte écologique, minimiser la pollution et économiser les ressources. La clé de l’entrepreneuriat vert est la capacité d’une entreprise à innover et à développer des biens et des services sobres en ressources naturelles et à faibles impacts environnementaux et climatiques. Les opportunités de l’entrepreneuriat vert sont multiples et concernent les principaux secteurs d’activité, notamment l’agriculture, l’énergie, l’industrie, le tourisme, le transport, le bâtiment ou l’urbanisme.</w:t>
      </w:r>
    </w:p>
    <w:p w14:paraId="7ED1080A" w14:textId="6007A5E6" w:rsidR="00A57AF8" w:rsidRPr="0000667A" w:rsidRDefault="00A57AF8" w:rsidP="00A57AF8">
      <w:pPr>
        <w:spacing w:line="240" w:lineRule="auto"/>
        <w:jc w:val="both"/>
        <w:rPr>
          <w:sz w:val="20"/>
          <w:szCs w:val="20"/>
        </w:rPr>
      </w:pPr>
    </w:p>
    <w:p w14:paraId="46C0AB1D" w14:textId="400F2AA5" w:rsidR="00A715C1" w:rsidRPr="0000667A" w:rsidRDefault="00A57AF8" w:rsidP="00A57AF8">
      <w:pPr>
        <w:spacing w:line="240" w:lineRule="auto"/>
        <w:jc w:val="both"/>
        <w:rPr>
          <w:sz w:val="20"/>
          <w:szCs w:val="20"/>
        </w:rPr>
      </w:pPr>
      <w:r w:rsidRPr="0000667A">
        <w:rPr>
          <w:sz w:val="20"/>
          <w:szCs w:val="20"/>
        </w:rPr>
        <w:t>L’entrepreneuriat vert permet de favoriser les circuits courts de commercialisation et les modes de production plus intégrés. Il permet, également, de valoriser les savoir-faire et les produits locaux en promouvant le développement local et la création d’emplois durables et inclusifs.</w:t>
      </w:r>
      <w:r w:rsidR="00C93C04">
        <w:rPr>
          <w:sz w:val="20"/>
          <w:szCs w:val="20"/>
        </w:rPr>
        <w:t xml:space="preserve"> </w:t>
      </w:r>
      <w:r w:rsidRPr="0000667A">
        <w:rPr>
          <w:sz w:val="20"/>
          <w:szCs w:val="20"/>
        </w:rPr>
        <w:t>De l’entrepreneuriat vert découle une amélioration du bien être humain et de l’équité sociale, en plus d’une réduction des risques environnementaux. Par conséquent, l’entrepreneuriat vert s’inscrit dans une démarche écologique et responsable.</w:t>
      </w:r>
    </w:p>
    <w:p w14:paraId="26C7A5AB" w14:textId="77777777" w:rsidR="00A57AF8" w:rsidRPr="0000667A" w:rsidRDefault="00A57AF8" w:rsidP="00A57AF8">
      <w:pPr>
        <w:spacing w:line="240" w:lineRule="auto"/>
        <w:jc w:val="both"/>
        <w:rPr>
          <w:sz w:val="20"/>
          <w:szCs w:val="20"/>
        </w:rPr>
      </w:pPr>
    </w:p>
    <w:p w14:paraId="542B69FC" w14:textId="77777777" w:rsidR="00A57AF8" w:rsidRPr="0000667A" w:rsidRDefault="00A57AF8" w:rsidP="00A57AF8">
      <w:pPr>
        <w:spacing w:line="240" w:lineRule="auto"/>
        <w:jc w:val="both"/>
        <w:rPr>
          <w:sz w:val="20"/>
          <w:szCs w:val="20"/>
        </w:rPr>
      </w:pPr>
      <w:r w:rsidRPr="0000667A">
        <w:rPr>
          <w:sz w:val="20"/>
          <w:szCs w:val="20"/>
        </w:rPr>
        <w:t xml:space="preserve">Le projet Greenov’i s’appuie sur une définition à double sens de l’entrepreneuriat, basée sur deux approches définies par l’OCDE : </w:t>
      </w:r>
    </w:p>
    <w:p w14:paraId="208DD2B9" w14:textId="77777777" w:rsidR="00A57AF8" w:rsidRPr="0000667A" w:rsidRDefault="00A57AF8" w:rsidP="00A57AF8">
      <w:pPr>
        <w:pStyle w:val="Paragraphedeliste"/>
        <w:numPr>
          <w:ilvl w:val="0"/>
          <w:numId w:val="26"/>
        </w:numPr>
        <w:spacing w:line="240" w:lineRule="auto"/>
        <w:jc w:val="both"/>
        <w:rPr>
          <w:sz w:val="20"/>
          <w:szCs w:val="20"/>
        </w:rPr>
      </w:pPr>
      <w:r w:rsidRPr="0000667A">
        <w:rPr>
          <w:b/>
          <w:sz w:val="20"/>
          <w:szCs w:val="20"/>
        </w:rPr>
        <w:t>Une approche par la production :</w:t>
      </w:r>
      <w:r w:rsidRPr="0000667A">
        <w:rPr>
          <w:sz w:val="20"/>
          <w:szCs w:val="20"/>
        </w:rPr>
        <w:t xml:space="preserve"> l’entrepreneuriat vert équivaut à lancer une activité verte, autrement dit à produire un bien ou un service écologique, qui agit en faveur de l’environnement (Composante 1).</w:t>
      </w:r>
    </w:p>
    <w:p w14:paraId="532337BD" w14:textId="6965FA13" w:rsidR="00A51632" w:rsidRPr="00C93C04" w:rsidRDefault="00A57AF8" w:rsidP="00C93C04">
      <w:pPr>
        <w:pStyle w:val="Paragraphedeliste"/>
        <w:numPr>
          <w:ilvl w:val="0"/>
          <w:numId w:val="26"/>
        </w:numPr>
        <w:spacing w:line="240" w:lineRule="auto"/>
        <w:jc w:val="both"/>
        <w:rPr>
          <w:sz w:val="20"/>
          <w:szCs w:val="20"/>
        </w:rPr>
      </w:pPr>
      <w:r w:rsidRPr="0000667A">
        <w:rPr>
          <w:b/>
          <w:sz w:val="20"/>
          <w:szCs w:val="20"/>
        </w:rPr>
        <w:t>Une approche par les processus :</w:t>
      </w:r>
      <w:r w:rsidRPr="0000667A">
        <w:rPr>
          <w:sz w:val="20"/>
          <w:szCs w:val="20"/>
        </w:rPr>
        <w:t xml:space="preserve"> l’entrepreneuriat vert consiste à verdir le mode de production d’un bien ou d’un service (Composante 2).</w:t>
      </w:r>
    </w:p>
    <w:p w14:paraId="6C786FC4" w14:textId="7AACD2E3" w:rsidR="00A57AF8" w:rsidRPr="0000667A" w:rsidRDefault="00A57AF8" w:rsidP="00A57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240" w:lineRule="auto"/>
        <w:jc w:val="both"/>
        <w:rPr>
          <w:sz w:val="20"/>
          <w:szCs w:val="20"/>
        </w:rPr>
      </w:pPr>
      <w:r w:rsidRPr="0000667A">
        <w:rPr>
          <w:sz w:val="20"/>
          <w:szCs w:val="20"/>
        </w:rPr>
        <w:t xml:space="preserve">Le projet se </w:t>
      </w:r>
      <w:r w:rsidR="00396588" w:rsidRPr="0000667A">
        <w:rPr>
          <w:sz w:val="20"/>
          <w:szCs w:val="20"/>
        </w:rPr>
        <w:t xml:space="preserve">base </w:t>
      </w:r>
      <w:r w:rsidRPr="0000667A">
        <w:rPr>
          <w:sz w:val="20"/>
          <w:szCs w:val="20"/>
        </w:rPr>
        <w:t>sur l’approche de l’ADEME</w:t>
      </w:r>
      <w:r w:rsidRPr="0000667A">
        <w:rPr>
          <w:rStyle w:val="Appelnotedebasdep"/>
          <w:sz w:val="20"/>
          <w:szCs w:val="20"/>
        </w:rPr>
        <w:footnoteReference w:id="1"/>
      </w:r>
      <w:r w:rsidRPr="0000667A">
        <w:rPr>
          <w:sz w:val="20"/>
          <w:szCs w:val="20"/>
        </w:rPr>
        <w:t xml:space="preserve"> pour définir les éco entreprises : « </w:t>
      </w:r>
      <w:r w:rsidRPr="0000667A">
        <w:rPr>
          <w:i/>
          <w:sz w:val="20"/>
          <w:szCs w:val="20"/>
        </w:rPr>
        <w:t>une éco entreprise est une entreprise qui commercialise une solution (produits, services…) visant explicitement à prévenir, réduire ou mesurer les atteintes des activités humaines sur l’environnement […] Une éco entreprise se positionne du côté de l’offre de biens et services environnementaux.</w:t>
      </w:r>
      <w:r w:rsidRPr="0000667A">
        <w:rPr>
          <w:sz w:val="20"/>
          <w:szCs w:val="20"/>
        </w:rPr>
        <w:t> »</w:t>
      </w:r>
    </w:p>
    <w:p w14:paraId="28201CE9" w14:textId="62DA8902" w:rsidR="00A57AF8" w:rsidRPr="0000667A" w:rsidRDefault="00A57AF8">
      <w:pPr>
        <w:rPr>
          <w:b/>
          <w:szCs w:val="20"/>
        </w:rPr>
      </w:pPr>
    </w:p>
    <w:p w14:paraId="7B881D3D" w14:textId="77777777" w:rsidR="00C93C04" w:rsidRDefault="00C93C04">
      <w:pPr>
        <w:rPr>
          <w:b/>
          <w:szCs w:val="20"/>
        </w:rPr>
      </w:pPr>
      <w:r>
        <w:rPr>
          <w:b/>
          <w:szCs w:val="20"/>
        </w:rPr>
        <w:br w:type="page"/>
      </w:r>
    </w:p>
    <w:p w14:paraId="2A48CFAE" w14:textId="2EE0A78A" w:rsidR="003562C0" w:rsidRPr="0000667A" w:rsidRDefault="00A55886" w:rsidP="00A57AF8">
      <w:pPr>
        <w:pStyle w:val="Paragraphedeliste"/>
        <w:numPr>
          <w:ilvl w:val="0"/>
          <w:numId w:val="27"/>
        </w:numPr>
        <w:spacing w:before="240" w:after="240"/>
        <w:jc w:val="both"/>
        <w:rPr>
          <w:b/>
          <w:szCs w:val="20"/>
        </w:rPr>
      </w:pPr>
      <w:r w:rsidRPr="0000667A">
        <w:rPr>
          <w:b/>
          <w:szCs w:val="20"/>
        </w:rPr>
        <w:t>Termes de la mission</w:t>
      </w:r>
    </w:p>
    <w:p w14:paraId="398105D2" w14:textId="5A17AEE8" w:rsidR="00C72E23" w:rsidRPr="0000667A" w:rsidRDefault="00C72E23" w:rsidP="00C72E23">
      <w:pPr>
        <w:spacing w:before="240" w:after="240"/>
        <w:jc w:val="both"/>
        <w:rPr>
          <w:sz w:val="20"/>
          <w:szCs w:val="20"/>
          <w:u w:val="single"/>
        </w:rPr>
      </w:pPr>
      <w:r w:rsidRPr="0000667A">
        <w:rPr>
          <w:sz w:val="20"/>
          <w:szCs w:val="20"/>
          <w:u w:val="single"/>
        </w:rPr>
        <w:t xml:space="preserve">Contexte spécifique de la mission </w:t>
      </w:r>
    </w:p>
    <w:p w14:paraId="6734C7A9" w14:textId="00F99DEF" w:rsidR="00C72E23" w:rsidRPr="0000667A" w:rsidRDefault="00C72E23" w:rsidP="00B12825">
      <w:pPr>
        <w:spacing w:before="240" w:after="240" w:line="240" w:lineRule="auto"/>
        <w:jc w:val="both"/>
        <w:rPr>
          <w:sz w:val="20"/>
          <w:szCs w:val="20"/>
        </w:rPr>
      </w:pPr>
      <w:r w:rsidRPr="0000667A">
        <w:rPr>
          <w:sz w:val="20"/>
          <w:szCs w:val="20"/>
        </w:rPr>
        <w:t>Dans le</w:t>
      </w:r>
      <w:r w:rsidRPr="0000667A">
        <w:t xml:space="preserve"> </w:t>
      </w:r>
      <w:r w:rsidRPr="0000667A">
        <w:rPr>
          <w:sz w:val="20"/>
          <w:szCs w:val="20"/>
        </w:rPr>
        <w:t xml:space="preserve">cadre de ses activités, le projet Greenov’i consacre un budget pour développer </w:t>
      </w:r>
      <w:r w:rsidR="00922FCF" w:rsidRPr="0000667A">
        <w:rPr>
          <w:sz w:val="20"/>
          <w:szCs w:val="20"/>
        </w:rPr>
        <w:t>des</w:t>
      </w:r>
      <w:r w:rsidRPr="0000667A">
        <w:rPr>
          <w:sz w:val="20"/>
          <w:szCs w:val="20"/>
        </w:rPr>
        <w:t xml:space="preserve"> outils pédagogiques en lien avec l’entrepreneuriat vert et la transition écologique. Ces outils pédagogique</w:t>
      </w:r>
      <w:r w:rsidR="002F370A" w:rsidRPr="0000667A">
        <w:rPr>
          <w:sz w:val="20"/>
          <w:szCs w:val="20"/>
        </w:rPr>
        <w:t>s visent à soutenir l’objectif général</w:t>
      </w:r>
      <w:r w:rsidRPr="0000667A">
        <w:rPr>
          <w:sz w:val="20"/>
          <w:szCs w:val="20"/>
        </w:rPr>
        <w:t xml:space="preserve"> du projet, qui est de contribuer à la transition écologique de l’économie tunisienne à travers des modes de consommation et de production plus sobres, en phase avec l’économie verte</w:t>
      </w:r>
      <w:r w:rsidR="00494565" w:rsidRPr="0000667A">
        <w:rPr>
          <w:sz w:val="20"/>
          <w:szCs w:val="20"/>
        </w:rPr>
        <w:t>.</w:t>
      </w:r>
    </w:p>
    <w:p w14:paraId="19993BAF" w14:textId="681277E3" w:rsidR="00C72E23" w:rsidRPr="0000667A" w:rsidRDefault="00C72E23" w:rsidP="00C72E23">
      <w:pPr>
        <w:spacing w:before="240" w:after="240" w:line="240" w:lineRule="auto"/>
        <w:jc w:val="both"/>
        <w:rPr>
          <w:sz w:val="20"/>
          <w:szCs w:val="20"/>
        </w:rPr>
      </w:pPr>
      <w:r w:rsidRPr="0000667A">
        <w:rPr>
          <w:sz w:val="20"/>
          <w:szCs w:val="20"/>
        </w:rPr>
        <w:t>Définition d’un outil pédagogique </w:t>
      </w:r>
      <w:r w:rsidR="00511ACF" w:rsidRPr="0000667A">
        <w:rPr>
          <w:sz w:val="20"/>
          <w:szCs w:val="20"/>
        </w:rPr>
        <w:t xml:space="preserve">(voir Glossaire Greenov’i) </w:t>
      </w:r>
      <w:r w:rsidRPr="0000667A">
        <w:rPr>
          <w:sz w:val="20"/>
          <w:szCs w:val="20"/>
        </w:rPr>
        <w:t>:</w:t>
      </w:r>
    </w:p>
    <w:p w14:paraId="2BA00B4E" w14:textId="6F8F7060" w:rsidR="00C72E23" w:rsidRPr="0000667A" w:rsidRDefault="00C72E23" w:rsidP="00C72E23">
      <w:pPr>
        <w:spacing w:before="240" w:after="240" w:line="240" w:lineRule="auto"/>
        <w:jc w:val="both"/>
        <w:rPr>
          <w:i/>
          <w:iCs/>
          <w:sz w:val="20"/>
          <w:szCs w:val="20"/>
        </w:rPr>
      </w:pPr>
      <w:r w:rsidRPr="0000667A">
        <w:rPr>
          <w:i/>
          <w:iCs/>
          <w:sz w:val="20"/>
          <w:szCs w:val="20"/>
        </w:rPr>
        <w:t>Un outil pédagogique est un support associé à une démarche, élaboré dans le but d’aider ou d’accompagner un public. Un support devient un outil pédagogique lorsqu’il est déployé dans le cadre d’une démarche visant à aider un public à atteindre un objectif et/ou à résoudre une problématique. Il peut prendre la forme d’un podcast, d’une carte, d’un guide, d’un support de formation etc. Lorsqu’un outil pédagogique est proposé en ligne, on parle d’outil digital. Un outil digital permet de toucher un plus grand nombre d’individus, de diversifier les approches et de limiter les émissions de carbone et les coûts en réduisant les déplacements. Il existe un diversité d’outils digitaux, à l’instar des MOOC, des plateformes ou encore des webinaires</w:t>
      </w:r>
    </w:p>
    <w:p w14:paraId="6CD707C3" w14:textId="2D61FF77" w:rsidR="00C72E23" w:rsidRPr="0000667A" w:rsidRDefault="009D275E" w:rsidP="009D275E">
      <w:pPr>
        <w:spacing w:before="240" w:after="240" w:line="240" w:lineRule="auto"/>
        <w:jc w:val="both"/>
        <w:rPr>
          <w:sz w:val="20"/>
          <w:szCs w:val="20"/>
        </w:rPr>
      </w:pPr>
      <w:r w:rsidRPr="0000667A">
        <w:rPr>
          <w:sz w:val="20"/>
          <w:szCs w:val="20"/>
        </w:rPr>
        <w:t>U</w:t>
      </w:r>
      <w:r w:rsidR="00C72E23" w:rsidRPr="0000667A">
        <w:rPr>
          <w:sz w:val="20"/>
          <w:szCs w:val="20"/>
        </w:rPr>
        <w:t>n diagnostic</w:t>
      </w:r>
      <w:r w:rsidRPr="0000667A">
        <w:rPr>
          <w:sz w:val="20"/>
          <w:szCs w:val="20"/>
        </w:rPr>
        <w:t xml:space="preserve"> mené par le projet</w:t>
      </w:r>
      <w:r w:rsidR="00C72E23" w:rsidRPr="0000667A">
        <w:rPr>
          <w:sz w:val="20"/>
          <w:szCs w:val="20"/>
        </w:rPr>
        <w:t xml:space="preserve"> </w:t>
      </w:r>
      <w:r w:rsidR="002F370A" w:rsidRPr="0000667A">
        <w:rPr>
          <w:sz w:val="20"/>
          <w:szCs w:val="20"/>
        </w:rPr>
        <w:t xml:space="preserve">au T1 2024 </w:t>
      </w:r>
      <w:r w:rsidR="00C72E23" w:rsidRPr="0000667A">
        <w:rPr>
          <w:sz w:val="20"/>
          <w:szCs w:val="20"/>
        </w:rPr>
        <w:t xml:space="preserve">a </w:t>
      </w:r>
      <w:r w:rsidR="002F370A" w:rsidRPr="0000667A">
        <w:rPr>
          <w:sz w:val="20"/>
          <w:szCs w:val="20"/>
        </w:rPr>
        <w:t>permis</w:t>
      </w:r>
      <w:r w:rsidR="00C72E23" w:rsidRPr="0000667A">
        <w:rPr>
          <w:sz w:val="20"/>
          <w:szCs w:val="20"/>
        </w:rPr>
        <w:t xml:space="preserve"> de recenser les besoins des acteurs de l’entrepreneuriat vert, afin d’identifier des outils pouvant y répondre. Favorisant l’engagement d’une diversité d’acteurs, l’approche adoptée permet d’obtenir une compréhension nuancée des besoins. Elle facilite l'identification d’outils adaptés, ce qui accroît la probabilité qu’ils soient saisis une fois déployés.</w:t>
      </w:r>
    </w:p>
    <w:p w14:paraId="592E1B87" w14:textId="17B3F415" w:rsidR="008D2175" w:rsidRDefault="00C72E23" w:rsidP="008D2175">
      <w:pPr>
        <w:spacing w:before="240" w:after="240" w:line="240" w:lineRule="auto"/>
        <w:jc w:val="both"/>
        <w:rPr>
          <w:sz w:val="20"/>
          <w:szCs w:val="20"/>
        </w:rPr>
      </w:pPr>
      <w:r w:rsidRPr="0000667A">
        <w:rPr>
          <w:sz w:val="20"/>
          <w:szCs w:val="20"/>
        </w:rPr>
        <w:t xml:space="preserve">Une question clé a guidé ce diagnostic : </w:t>
      </w:r>
      <w:r w:rsidR="002F370A" w:rsidRPr="0000667A">
        <w:rPr>
          <w:sz w:val="20"/>
          <w:szCs w:val="20"/>
        </w:rPr>
        <w:t>q</w:t>
      </w:r>
      <w:r w:rsidR="00803184" w:rsidRPr="0000667A">
        <w:rPr>
          <w:sz w:val="20"/>
          <w:szCs w:val="20"/>
        </w:rPr>
        <w:t xml:space="preserve">uels outils permettrait de faciliter le développement de l’entrepreneuriat vert en Tunisie ? </w:t>
      </w:r>
      <w:r w:rsidR="00494565" w:rsidRPr="0000667A">
        <w:rPr>
          <w:sz w:val="20"/>
          <w:szCs w:val="20"/>
        </w:rPr>
        <w:t xml:space="preserve">Parmi les outils recensés, l’outil de mesure d’impact pour les entreprises vertes a été identifié. </w:t>
      </w:r>
    </w:p>
    <w:p w14:paraId="08BB5F79" w14:textId="2C2BEC97" w:rsidR="008D2175" w:rsidRDefault="00494565" w:rsidP="008D2175">
      <w:pPr>
        <w:spacing w:before="240" w:after="240" w:line="240" w:lineRule="auto"/>
        <w:jc w:val="both"/>
        <w:rPr>
          <w:sz w:val="20"/>
          <w:szCs w:val="20"/>
        </w:rPr>
      </w:pPr>
      <w:r w:rsidRPr="0000667A">
        <w:rPr>
          <w:sz w:val="20"/>
          <w:szCs w:val="20"/>
        </w:rPr>
        <w:t xml:space="preserve">La présente consultation vise à recruter </w:t>
      </w:r>
      <w:r w:rsidR="00C93C04">
        <w:rPr>
          <w:sz w:val="20"/>
          <w:szCs w:val="20"/>
        </w:rPr>
        <w:t xml:space="preserve">des expert.es </w:t>
      </w:r>
      <w:r w:rsidR="008D2175">
        <w:rPr>
          <w:sz w:val="20"/>
          <w:szCs w:val="20"/>
        </w:rPr>
        <w:t>po</w:t>
      </w:r>
      <w:r w:rsidR="00C93C04">
        <w:rPr>
          <w:sz w:val="20"/>
          <w:szCs w:val="20"/>
        </w:rPr>
        <w:t xml:space="preserve">ur le développement de cet outil. </w:t>
      </w:r>
    </w:p>
    <w:p w14:paraId="46541569" w14:textId="77777777" w:rsidR="003562C0" w:rsidRPr="0000667A" w:rsidRDefault="00A55886">
      <w:pPr>
        <w:spacing w:before="240" w:after="240"/>
        <w:jc w:val="both"/>
        <w:rPr>
          <w:sz w:val="20"/>
          <w:szCs w:val="20"/>
          <w:u w:val="single"/>
        </w:rPr>
      </w:pPr>
      <w:r w:rsidRPr="0000667A">
        <w:rPr>
          <w:sz w:val="20"/>
          <w:szCs w:val="20"/>
          <w:u w:val="single"/>
        </w:rPr>
        <w:t>Objectifs de la mission :</w:t>
      </w:r>
    </w:p>
    <w:p w14:paraId="22C636C3" w14:textId="12319B33" w:rsidR="003562C0" w:rsidRPr="0000667A" w:rsidRDefault="00A715C1" w:rsidP="00A57AF8">
      <w:pPr>
        <w:spacing w:before="240" w:line="240" w:lineRule="auto"/>
        <w:jc w:val="both"/>
        <w:rPr>
          <w:sz w:val="20"/>
          <w:szCs w:val="20"/>
        </w:rPr>
      </w:pPr>
      <w:r w:rsidRPr="0000667A">
        <w:rPr>
          <w:sz w:val="20"/>
          <w:szCs w:val="20"/>
        </w:rPr>
        <w:t>L’objectif principal de cette mission est :</w:t>
      </w:r>
    </w:p>
    <w:p w14:paraId="4149BDFE" w14:textId="2889CF53" w:rsidR="00A13FB9" w:rsidRPr="0000667A" w:rsidRDefault="002F370A" w:rsidP="004011F6">
      <w:pPr>
        <w:spacing w:before="240" w:line="240" w:lineRule="auto"/>
        <w:jc w:val="both"/>
        <w:rPr>
          <w:b/>
          <w:sz w:val="20"/>
          <w:szCs w:val="20"/>
        </w:rPr>
      </w:pPr>
      <w:r w:rsidRPr="0000667A">
        <w:rPr>
          <w:b/>
          <w:sz w:val="20"/>
          <w:szCs w:val="20"/>
        </w:rPr>
        <w:t xml:space="preserve">Le </w:t>
      </w:r>
      <w:r w:rsidR="00A715C1" w:rsidRPr="0000667A">
        <w:rPr>
          <w:b/>
          <w:sz w:val="20"/>
          <w:szCs w:val="20"/>
        </w:rPr>
        <w:t>développement d’un outil de mesure d’impact</w:t>
      </w:r>
      <w:r w:rsidR="00707C4C">
        <w:rPr>
          <w:b/>
          <w:sz w:val="20"/>
          <w:szCs w:val="20"/>
        </w:rPr>
        <w:t xml:space="preserve"> environnemental</w:t>
      </w:r>
      <w:r w:rsidR="00A715C1" w:rsidRPr="0000667A">
        <w:rPr>
          <w:b/>
          <w:sz w:val="20"/>
          <w:szCs w:val="20"/>
        </w:rPr>
        <w:t xml:space="preserve"> pour les entreprises vertes </w:t>
      </w:r>
    </w:p>
    <w:p w14:paraId="21532396" w14:textId="5A697316" w:rsidR="00670D1C" w:rsidRPr="0000667A" w:rsidRDefault="008D2175" w:rsidP="00A715C1">
      <w:pPr>
        <w:spacing w:before="240" w:after="240"/>
        <w:jc w:val="both"/>
        <w:rPr>
          <w:sz w:val="20"/>
          <w:szCs w:val="20"/>
        </w:rPr>
      </w:pPr>
      <w:r>
        <w:rPr>
          <w:sz w:val="20"/>
          <w:szCs w:val="20"/>
        </w:rPr>
        <w:t>Les expert</w:t>
      </w:r>
      <w:r w:rsidR="00C93C04">
        <w:rPr>
          <w:sz w:val="20"/>
          <w:szCs w:val="20"/>
        </w:rPr>
        <w:t>.e</w:t>
      </w:r>
      <w:r>
        <w:rPr>
          <w:sz w:val="20"/>
          <w:szCs w:val="20"/>
        </w:rPr>
        <w:t>s travailleront</w:t>
      </w:r>
      <w:r w:rsidR="00DE45B7" w:rsidRPr="0000667A">
        <w:rPr>
          <w:sz w:val="20"/>
          <w:szCs w:val="20"/>
        </w:rPr>
        <w:t xml:space="preserve"> </w:t>
      </w:r>
      <w:r w:rsidR="00A715C1" w:rsidRPr="0000667A">
        <w:rPr>
          <w:sz w:val="20"/>
          <w:szCs w:val="20"/>
        </w:rPr>
        <w:t xml:space="preserve">sur la conception d’un outil pédagogique permettant aux entreprises de mesurer leur impact environnemental. </w:t>
      </w:r>
    </w:p>
    <w:p w14:paraId="37BA89E4" w14:textId="69312D41" w:rsidR="00A715C1" w:rsidRPr="0000667A" w:rsidRDefault="00A715C1" w:rsidP="00A715C1">
      <w:pPr>
        <w:spacing w:before="240" w:after="240"/>
        <w:jc w:val="both"/>
        <w:rPr>
          <w:sz w:val="20"/>
          <w:szCs w:val="20"/>
        </w:rPr>
      </w:pPr>
      <w:r w:rsidRPr="0000667A">
        <w:rPr>
          <w:sz w:val="20"/>
          <w:szCs w:val="20"/>
        </w:rPr>
        <w:t>Cet outil permettra de :</w:t>
      </w:r>
    </w:p>
    <w:p w14:paraId="1DFDFB62" w14:textId="660A9B2B" w:rsidR="00A715C1" w:rsidRPr="0000667A" w:rsidRDefault="00A715C1" w:rsidP="00A715C1">
      <w:pPr>
        <w:pStyle w:val="Paragraphedeliste"/>
        <w:numPr>
          <w:ilvl w:val="0"/>
          <w:numId w:val="26"/>
        </w:numPr>
        <w:spacing w:before="240" w:after="240"/>
        <w:jc w:val="both"/>
        <w:rPr>
          <w:sz w:val="20"/>
          <w:szCs w:val="20"/>
        </w:rPr>
      </w:pPr>
      <w:r w:rsidRPr="0000667A">
        <w:rPr>
          <w:sz w:val="20"/>
          <w:szCs w:val="20"/>
        </w:rPr>
        <w:t>Pour les entreprises : mesurer leur impact environnement</w:t>
      </w:r>
      <w:r w:rsidR="00511ACF" w:rsidRPr="0000667A">
        <w:rPr>
          <w:sz w:val="20"/>
          <w:szCs w:val="20"/>
        </w:rPr>
        <w:t>al</w:t>
      </w:r>
      <w:r w:rsidR="00C93C04">
        <w:rPr>
          <w:sz w:val="20"/>
          <w:szCs w:val="20"/>
        </w:rPr>
        <w:t xml:space="preserve"> et proposer</w:t>
      </w:r>
      <w:r w:rsidRPr="0000667A">
        <w:rPr>
          <w:sz w:val="20"/>
          <w:szCs w:val="20"/>
        </w:rPr>
        <w:t xml:space="preserve"> des actions </w:t>
      </w:r>
      <w:proofErr w:type="spellStart"/>
      <w:r w:rsidR="00C93C04">
        <w:rPr>
          <w:sz w:val="20"/>
          <w:szCs w:val="20"/>
        </w:rPr>
        <w:t>mitigatrices</w:t>
      </w:r>
      <w:proofErr w:type="spellEnd"/>
      <w:r w:rsidR="00C93C04">
        <w:rPr>
          <w:sz w:val="20"/>
          <w:szCs w:val="20"/>
        </w:rPr>
        <w:t xml:space="preserve"> ou </w:t>
      </w:r>
      <w:r w:rsidRPr="0000667A">
        <w:rPr>
          <w:sz w:val="20"/>
          <w:szCs w:val="20"/>
        </w:rPr>
        <w:t xml:space="preserve">correctrices ; </w:t>
      </w:r>
    </w:p>
    <w:p w14:paraId="3E96E658" w14:textId="762E02E0" w:rsidR="00A715C1" w:rsidRDefault="00A715C1" w:rsidP="00A715C1">
      <w:pPr>
        <w:pStyle w:val="Paragraphedeliste"/>
        <w:numPr>
          <w:ilvl w:val="0"/>
          <w:numId w:val="26"/>
        </w:numPr>
        <w:spacing w:before="240" w:after="240"/>
        <w:jc w:val="both"/>
        <w:rPr>
          <w:sz w:val="20"/>
          <w:szCs w:val="20"/>
        </w:rPr>
      </w:pPr>
      <w:r w:rsidRPr="0000667A">
        <w:rPr>
          <w:sz w:val="20"/>
          <w:szCs w:val="20"/>
        </w:rPr>
        <w:t>Pour les investisseurs : servir d’indicateu</w:t>
      </w:r>
      <w:r w:rsidR="00707C4C">
        <w:rPr>
          <w:sz w:val="20"/>
          <w:szCs w:val="20"/>
        </w:rPr>
        <w:t>r pour l’octroi de financements ;</w:t>
      </w:r>
    </w:p>
    <w:p w14:paraId="5E313DB7" w14:textId="281BB00D" w:rsidR="00707C4C" w:rsidRPr="0000667A" w:rsidRDefault="00707C4C" w:rsidP="00A715C1">
      <w:pPr>
        <w:pStyle w:val="Paragraphedeliste"/>
        <w:numPr>
          <w:ilvl w:val="0"/>
          <w:numId w:val="26"/>
        </w:numPr>
        <w:spacing w:before="240" w:after="240"/>
        <w:jc w:val="both"/>
        <w:rPr>
          <w:sz w:val="20"/>
          <w:szCs w:val="20"/>
        </w:rPr>
      </w:pPr>
      <w:r>
        <w:rPr>
          <w:sz w:val="20"/>
          <w:szCs w:val="20"/>
        </w:rPr>
        <w:t xml:space="preserve">Pour les structures d’accompagnement : servir d’outil pour le </w:t>
      </w:r>
      <w:proofErr w:type="spellStart"/>
      <w:r w:rsidRPr="00707C4C">
        <w:rPr>
          <w:i/>
          <w:sz w:val="20"/>
          <w:szCs w:val="20"/>
        </w:rPr>
        <w:t>reporting</w:t>
      </w:r>
      <w:proofErr w:type="spellEnd"/>
      <w:r w:rsidRPr="00707C4C">
        <w:rPr>
          <w:i/>
          <w:sz w:val="20"/>
          <w:szCs w:val="20"/>
        </w:rPr>
        <w:t xml:space="preserve"> </w:t>
      </w:r>
      <w:r>
        <w:rPr>
          <w:sz w:val="20"/>
          <w:szCs w:val="20"/>
        </w:rPr>
        <w:t xml:space="preserve">d’impact. </w:t>
      </w:r>
    </w:p>
    <w:p w14:paraId="0B03C05F" w14:textId="787421F9" w:rsidR="004011F6" w:rsidRPr="0000667A" w:rsidRDefault="008D2175" w:rsidP="004011F6">
      <w:pPr>
        <w:spacing w:before="240" w:after="240"/>
        <w:jc w:val="both"/>
        <w:rPr>
          <w:sz w:val="20"/>
          <w:szCs w:val="20"/>
        </w:rPr>
      </w:pPr>
      <w:r>
        <w:rPr>
          <w:sz w:val="20"/>
          <w:szCs w:val="20"/>
        </w:rPr>
        <w:t>Les expert</w:t>
      </w:r>
      <w:r w:rsidR="00C93C04">
        <w:rPr>
          <w:sz w:val="20"/>
          <w:szCs w:val="20"/>
        </w:rPr>
        <w:t>.e</w:t>
      </w:r>
      <w:r>
        <w:rPr>
          <w:sz w:val="20"/>
          <w:szCs w:val="20"/>
        </w:rPr>
        <w:t>s devront</w:t>
      </w:r>
      <w:r w:rsidR="004011F6" w:rsidRPr="0000667A">
        <w:rPr>
          <w:sz w:val="20"/>
          <w:szCs w:val="20"/>
        </w:rPr>
        <w:t xml:space="preserve"> valider l’approche de départ et (1) travailler à cartographier l’état existant afin d’identifier l</w:t>
      </w:r>
      <w:r w:rsidR="002F370A" w:rsidRPr="0000667A">
        <w:rPr>
          <w:sz w:val="20"/>
          <w:szCs w:val="20"/>
        </w:rPr>
        <w:t>es potentiels outils similaires et/ou inspirants</w:t>
      </w:r>
      <w:r w:rsidR="004011F6" w:rsidRPr="0000667A">
        <w:rPr>
          <w:sz w:val="20"/>
          <w:szCs w:val="20"/>
        </w:rPr>
        <w:t xml:space="preserve"> (2) réaliser des entretiens avec les entreprises et les investisseurs afin d’identifier les </w:t>
      </w:r>
      <w:r w:rsidR="004011F6" w:rsidRPr="00553B5F">
        <w:rPr>
          <w:sz w:val="20"/>
          <w:szCs w:val="20"/>
        </w:rPr>
        <w:t xml:space="preserve">indicateurs clés de l’outil (3) </w:t>
      </w:r>
      <w:r w:rsidR="00803184" w:rsidRPr="00553B5F">
        <w:rPr>
          <w:sz w:val="20"/>
          <w:szCs w:val="20"/>
        </w:rPr>
        <w:t xml:space="preserve">valider </w:t>
      </w:r>
      <w:r w:rsidR="00613FA1" w:rsidRPr="00553B5F">
        <w:rPr>
          <w:sz w:val="20"/>
          <w:szCs w:val="20"/>
        </w:rPr>
        <w:t>les indicateurs clés et</w:t>
      </w:r>
      <w:r w:rsidR="004011F6" w:rsidRPr="00553B5F">
        <w:rPr>
          <w:sz w:val="20"/>
          <w:szCs w:val="20"/>
        </w:rPr>
        <w:t xml:space="preserve"> l’approche de développement de l’outil (4) assurer le développement de l’outil</w:t>
      </w:r>
      <w:r w:rsidR="00F058EE" w:rsidRPr="00553B5F">
        <w:rPr>
          <w:sz w:val="20"/>
          <w:szCs w:val="20"/>
        </w:rPr>
        <w:t>, en lien avec un prestataire externe</w:t>
      </w:r>
      <w:r w:rsidR="00553B5F" w:rsidRPr="00553B5F">
        <w:rPr>
          <w:sz w:val="20"/>
          <w:szCs w:val="20"/>
        </w:rPr>
        <w:t xml:space="preserve"> compétent</w:t>
      </w:r>
      <w:r w:rsidR="003C4D9F" w:rsidRPr="00553B5F">
        <w:rPr>
          <w:sz w:val="20"/>
          <w:szCs w:val="20"/>
        </w:rPr>
        <w:t>.</w:t>
      </w:r>
    </w:p>
    <w:p w14:paraId="40A25083" w14:textId="0096B2B2" w:rsidR="00922FCF" w:rsidRPr="008D2175" w:rsidRDefault="000755FC" w:rsidP="008D2175">
      <w:pPr>
        <w:spacing w:before="240" w:after="240"/>
        <w:jc w:val="both"/>
        <w:rPr>
          <w:sz w:val="20"/>
          <w:szCs w:val="20"/>
        </w:rPr>
      </w:pPr>
      <w:r w:rsidRPr="0000667A">
        <w:rPr>
          <w:sz w:val="20"/>
          <w:szCs w:val="20"/>
        </w:rPr>
        <w:t>L</w:t>
      </w:r>
      <w:r w:rsidR="00840D6A" w:rsidRPr="0000667A">
        <w:rPr>
          <w:sz w:val="20"/>
          <w:szCs w:val="20"/>
        </w:rPr>
        <w:t>a consul</w:t>
      </w:r>
      <w:r w:rsidR="00670D1C" w:rsidRPr="0000667A">
        <w:rPr>
          <w:sz w:val="20"/>
          <w:szCs w:val="20"/>
        </w:rPr>
        <w:t xml:space="preserve">tation visera donc </w:t>
      </w:r>
      <w:r w:rsidR="00047C30" w:rsidRPr="0000667A">
        <w:rPr>
          <w:sz w:val="20"/>
          <w:szCs w:val="20"/>
        </w:rPr>
        <w:t xml:space="preserve">à : </w:t>
      </w:r>
    </w:p>
    <w:p w14:paraId="1A27012E" w14:textId="64E858C4" w:rsidR="00047C30" w:rsidRPr="0000667A" w:rsidRDefault="004011F6" w:rsidP="00047C30">
      <w:pPr>
        <w:pStyle w:val="Paragraphedeliste"/>
        <w:numPr>
          <w:ilvl w:val="0"/>
          <w:numId w:val="8"/>
        </w:numPr>
        <w:spacing w:before="240" w:after="240"/>
        <w:jc w:val="both"/>
        <w:rPr>
          <w:sz w:val="20"/>
          <w:szCs w:val="20"/>
        </w:rPr>
      </w:pPr>
      <w:r w:rsidRPr="0000667A">
        <w:rPr>
          <w:sz w:val="20"/>
          <w:szCs w:val="20"/>
        </w:rPr>
        <w:t>Recenser les outils de mesure d’impact existants en Tunisie</w:t>
      </w:r>
      <w:r w:rsidR="00047C30" w:rsidRPr="0000667A">
        <w:rPr>
          <w:sz w:val="20"/>
          <w:szCs w:val="20"/>
        </w:rPr>
        <w:t xml:space="preserve"> ; </w:t>
      </w:r>
    </w:p>
    <w:p w14:paraId="656505D2" w14:textId="0D1CE798" w:rsidR="00047C30" w:rsidRPr="0000667A" w:rsidRDefault="004011F6" w:rsidP="004011F6">
      <w:pPr>
        <w:pStyle w:val="Paragraphedeliste"/>
        <w:numPr>
          <w:ilvl w:val="0"/>
          <w:numId w:val="8"/>
        </w:numPr>
        <w:spacing w:before="240" w:after="240"/>
        <w:jc w:val="both"/>
        <w:rPr>
          <w:sz w:val="20"/>
          <w:szCs w:val="20"/>
        </w:rPr>
      </w:pPr>
      <w:r w:rsidRPr="0000667A">
        <w:rPr>
          <w:sz w:val="20"/>
          <w:szCs w:val="20"/>
        </w:rPr>
        <w:t>Identifier les besoins</w:t>
      </w:r>
      <w:r w:rsidR="00840D6A" w:rsidRPr="0000667A">
        <w:rPr>
          <w:sz w:val="20"/>
          <w:szCs w:val="20"/>
        </w:rPr>
        <w:t xml:space="preserve"> des acteurs</w:t>
      </w:r>
      <w:r w:rsidRPr="0000667A">
        <w:rPr>
          <w:sz w:val="20"/>
          <w:szCs w:val="20"/>
        </w:rPr>
        <w:t xml:space="preserve"> concernés par l’outil de mesure d’impact</w:t>
      </w:r>
      <w:r w:rsidR="00840D6A" w:rsidRPr="0000667A">
        <w:rPr>
          <w:sz w:val="20"/>
          <w:szCs w:val="20"/>
        </w:rPr>
        <w:t xml:space="preserve"> </w:t>
      </w:r>
      <w:r w:rsidRPr="0000667A">
        <w:rPr>
          <w:sz w:val="20"/>
          <w:szCs w:val="20"/>
        </w:rPr>
        <w:t>(entreprises et investisseurs)</w:t>
      </w:r>
      <w:r w:rsidR="00922FCF" w:rsidRPr="0000667A">
        <w:rPr>
          <w:sz w:val="20"/>
          <w:szCs w:val="20"/>
        </w:rPr>
        <w:t> ;</w:t>
      </w:r>
    </w:p>
    <w:p w14:paraId="5F2881D0" w14:textId="4AAA5A07" w:rsidR="00553B5F" w:rsidRPr="00553B5F" w:rsidRDefault="00DF7310" w:rsidP="00553B5F">
      <w:pPr>
        <w:pStyle w:val="Paragraphedeliste"/>
        <w:numPr>
          <w:ilvl w:val="0"/>
          <w:numId w:val="8"/>
        </w:numPr>
        <w:spacing w:before="240" w:after="240"/>
        <w:jc w:val="both"/>
        <w:rPr>
          <w:color w:val="FF0000"/>
          <w:sz w:val="20"/>
          <w:szCs w:val="20"/>
        </w:rPr>
      </w:pPr>
      <w:r w:rsidRPr="00553B5F">
        <w:rPr>
          <w:sz w:val="20"/>
          <w:szCs w:val="20"/>
        </w:rPr>
        <w:t>Identifier les indicateurs clés de l’outil de mesure d’impact</w:t>
      </w:r>
      <w:r w:rsidR="00803184" w:rsidRPr="00553B5F">
        <w:rPr>
          <w:sz w:val="20"/>
          <w:szCs w:val="20"/>
        </w:rPr>
        <w:t> ;</w:t>
      </w:r>
    </w:p>
    <w:p w14:paraId="4AF87BA6" w14:textId="77777777" w:rsidR="00553B5F" w:rsidRPr="00553B5F" w:rsidRDefault="00553B5F" w:rsidP="004011F6">
      <w:pPr>
        <w:pStyle w:val="Paragraphedeliste"/>
        <w:numPr>
          <w:ilvl w:val="0"/>
          <w:numId w:val="8"/>
        </w:numPr>
        <w:spacing w:before="240" w:after="240"/>
        <w:jc w:val="both"/>
        <w:rPr>
          <w:color w:val="FF0000"/>
          <w:sz w:val="20"/>
          <w:szCs w:val="20"/>
        </w:rPr>
      </w:pPr>
      <w:r>
        <w:rPr>
          <w:sz w:val="20"/>
          <w:szCs w:val="20"/>
        </w:rPr>
        <w:t>Développer l’outil, en lien avec un prestataire externe compétent.</w:t>
      </w:r>
    </w:p>
    <w:p w14:paraId="7AFD5349" w14:textId="7215D77B" w:rsidR="006723A6" w:rsidRPr="00553B5F" w:rsidRDefault="00624E43" w:rsidP="00553B5F">
      <w:pPr>
        <w:spacing w:before="240" w:after="240"/>
        <w:jc w:val="both"/>
        <w:rPr>
          <w:color w:val="FF0000"/>
          <w:sz w:val="20"/>
          <w:szCs w:val="20"/>
        </w:rPr>
      </w:pPr>
      <w:r w:rsidRPr="00553B5F">
        <w:rPr>
          <w:sz w:val="20"/>
          <w:szCs w:val="20"/>
        </w:rPr>
        <w:t xml:space="preserve">Résultats attendus : </w:t>
      </w:r>
      <w:r w:rsidR="00840D6A" w:rsidRPr="00553B5F">
        <w:rPr>
          <w:sz w:val="20"/>
          <w:szCs w:val="20"/>
        </w:rPr>
        <w:t xml:space="preserve"> </w:t>
      </w:r>
      <w:r w:rsidRPr="00553B5F">
        <w:rPr>
          <w:sz w:val="20"/>
          <w:szCs w:val="20"/>
        </w:rPr>
        <w:t>Expertise France</w:t>
      </w:r>
      <w:r w:rsidR="00840D6A" w:rsidRPr="00553B5F">
        <w:rPr>
          <w:sz w:val="20"/>
          <w:szCs w:val="20"/>
        </w:rPr>
        <w:t xml:space="preserve"> et</w:t>
      </w:r>
      <w:r w:rsidR="004011F6" w:rsidRPr="00553B5F">
        <w:rPr>
          <w:sz w:val="20"/>
          <w:szCs w:val="20"/>
        </w:rPr>
        <w:t xml:space="preserve"> ses partenaires disposent d’un</w:t>
      </w:r>
      <w:r w:rsidR="00840D6A" w:rsidRPr="00553B5F">
        <w:rPr>
          <w:sz w:val="20"/>
          <w:szCs w:val="20"/>
        </w:rPr>
        <w:t xml:space="preserve"> </w:t>
      </w:r>
      <w:r w:rsidR="004011F6" w:rsidRPr="00553B5F">
        <w:rPr>
          <w:sz w:val="20"/>
          <w:szCs w:val="20"/>
        </w:rPr>
        <w:t>outil de mesure d’impact pour les entreprises vertes.</w:t>
      </w:r>
    </w:p>
    <w:p w14:paraId="637112A0" w14:textId="1BABC4BA" w:rsidR="00FF62B2" w:rsidRPr="0000667A" w:rsidRDefault="00FF62B2" w:rsidP="00FF62B2">
      <w:pPr>
        <w:pStyle w:val="Paragraphedeliste"/>
        <w:numPr>
          <w:ilvl w:val="0"/>
          <w:numId w:val="17"/>
        </w:numPr>
        <w:spacing w:before="240" w:after="240"/>
        <w:jc w:val="both"/>
        <w:rPr>
          <w:rFonts w:eastAsia="Times New Roman"/>
          <w:b/>
          <w:bCs/>
          <w:i/>
          <w:iCs/>
          <w:color w:val="0070C0"/>
          <w:sz w:val="20"/>
          <w:szCs w:val="20"/>
        </w:rPr>
      </w:pPr>
      <w:r w:rsidRPr="0000667A">
        <w:rPr>
          <w:rFonts w:eastAsia="Times New Roman"/>
          <w:b/>
          <w:bCs/>
          <w:i/>
          <w:iCs/>
          <w:color w:val="0070C0"/>
          <w:sz w:val="20"/>
          <w:szCs w:val="20"/>
        </w:rPr>
        <w:t>Méthodologie d’intervention </w:t>
      </w:r>
    </w:p>
    <w:p w14:paraId="1CDA2234" w14:textId="0A8FB7B5" w:rsidR="00020F4B" w:rsidRPr="0000667A" w:rsidRDefault="00F4141E" w:rsidP="00EC6F50">
      <w:pPr>
        <w:spacing w:before="120" w:after="120"/>
        <w:jc w:val="both"/>
        <w:rPr>
          <w:b/>
          <w:bCs/>
          <w:sz w:val="20"/>
          <w:szCs w:val="20"/>
          <w:u w:val="single"/>
        </w:rPr>
      </w:pPr>
      <w:r w:rsidRPr="0000667A">
        <w:rPr>
          <w:b/>
          <w:bCs/>
          <w:sz w:val="20"/>
          <w:szCs w:val="20"/>
          <w:u w:val="single"/>
        </w:rPr>
        <w:t>Etape 1 : c</w:t>
      </w:r>
      <w:r w:rsidR="00020F4B" w:rsidRPr="0000667A">
        <w:rPr>
          <w:b/>
          <w:bCs/>
          <w:sz w:val="20"/>
          <w:szCs w:val="20"/>
          <w:u w:val="single"/>
        </w:rPr>
        <w:t xml:space="preserve">adrage de la mission et </w:t>
      </w:r>
      <w:r w:rsidR="00EC6F50" w:rsidRPr="0000667A">
        <w:rPr>
          <w:b/>
          <w:bCs/>
          <w:sz w:val="20"/>
          <w:szCs w:val="20"/>
          <w:u w:val="single"/>
        </w:rPr>
        <w:t>état des lieux</w:t>
      </w:r>
      <w:r w:rsidR="00020F4B" w:rsidRPr="0000667A">
        <w:rPr>
          <w:b/>
          <w:bCs/>
          <w:sz w:val="20"/>
          <w:szCs w:val="20"/>
          <w:u w:val="single"/>
        </w:rPr>
        <w:t xml:space="preserve"> des éléments existants </w:t>
      </w:r>
    </w:p>
    <w:p w14:paraId="5C5F77DC" w14:textId="58B2F2A6" w:rsidR="00020F4B" w:rsidRPr="0000667A" w:rsidRDefault="00020F4B" w:rsidP="00F81CD3">
      <w:pPr>
        <w:pStyle w:val="Paragraphedeliste"/>
        <w:numPr>
          <w:ilvl w:val="0"/>
          <w:numId w:val="30"/>
        </w:numPr>
        <w:spacing w:before="120" w:after="120"/>
        <w:jc w:val="both"/>
        <w:rPr>
          <w:sz w:val="20"/>
          <w:szCs w:val="20"/>
        </w:rPr>
      </w:pPr>
      <w:r w:rsidRPr="0000667A">
        <w:rPr>
          <w:sz w:val="20"/>
          <w:szCs w:val="20"/>
        </w:rPr>
        <w:t>Cible</w:t>
      </w:r>
      <w:r w:rsidR="00F81CD3" w:rsidRPr="0000667A">
        <w:rPr>
          <w:sz w:val="20"/>
          <w:szCs w:val="20"/>
        </w:rPr>
        <w:t>s</w:t>
      </w:r>
      <w:r w:rsidRPr="0000667A">
        <w:rPr>
          <w:sz w:val="20"/>
          <w:szCs w:val="20"/>
        </w:rPr>
        <w:t xml:space="preserve"> : </w:t>
      </w:r>
      <w:r w:rsidR="00F81CD3" w:rsidRPr="0000667A">
        <w:rPr>
          <w:sz w:val="20"/>
          <w:szCs w:val="20"/>
        </w:rPr>
        <w:t>équipe Greenov’i</w:t>
      </w:r>
    </w:p>
    <w:p w14:paraId="558617D9" w14:textId="23EA3D43" w:rsidR="00020F4B" w:rsidRPr="0000667A" w:rsidRDefault="00F81CD3" w:rsidP="00F81CD3">
      <w:pPr>
        <w:pStyle w:val="Paragraphedeliste"/>
        <w:numPr>
          <w:ilvl w:val="0"/>
          <w:numId w:val="30"/>
        </w:numPr>
        <w:spacing w:before="120" w:after="120" w:line="259" w:lineRule="auto"/>
        <w:jc w:val="both"/>
        <w:rPr>
          <w:sz w:val="20"/>
          <w:szCs w:val="20"/>
        </w:rPr>
      </w:pPr>
      <w:r w:rsidRPr="0000667A">
        <w:rPr>
          <w:sz w:val="20"/>
          <w:szCs w:val="20"/>
        </w:rPr>
        <w:t>Livrables</w:t>
      </w:r>
      <w:r w:rsidR="00020F4B" w:rsidRPr="0000667A">
        <w:rPr>
          <w:sz w:val="20"/>
          <w:szCs w:val="20"/>
        </w:rPr>
        <w:t> : note de cadrage</w:t>
      </w:r>
      <w:r w:rsidRPr="0000667A">
        <w:rPr>
          <w:sz w:val="20"/>
          <w:szCs w:val="20"/>
        </w:rPr>
        <w:t xml:space="preserve"> </w:t>
      </w:r>
      <w:r w:rsidR="00020F4B" w:rsidRPr="0000667A">
        <w:rPr>
          <w:sz w:val="20"/>
          <w:szCs w:val="20"/>
        </w:rPr>
        <w:t xml:space="preserve">incluant la méthodologie finale validée, les résultats de l’appropriation des benchmarks </w:t>
      </w:r>
      <w:r w:rsidR="007C5174" w:rsidRPr="0000667A">
        <w:rPr>
          <w:sz w:val="20"/>
          <w:szCs w:val="20"/>
        </w:rPr>
        <w:t xml:space="preserve">existants. </w:t>
      </w:r>
    </w:p>
    <w:p w14:paraId="6935BBFD" w14:textId="5F65A5C5" w:rsidR="00F81CD3" w:rsidRPr="00707C4C" w:rsidRDefault="00020F4B" w:rsidP="00707C4C">
      <w:pPr>
        <w:autoSpaceDE w:val="0"/>
        <w:autoSpaceDN w:val="0"/>
        <w:adjustRightInd w:val="0"/>
        <w:rPr>
          <w:rFonts w:ascii="Calibri" w:hAnsi="Calibri" w:cs="Calibri"/>
          <w:sz w:val="24"/>
          <w:szCs w:val="24"/>
        </w:rPr>
      </w:pPr>
      <w:r w:rsidRPr="0000667A">
        <w:rPr>
          <w:sz w:val="20"/>
          <w:szCs w:val="20"/>
        </w:rPr>
        <w:t>Cette étape consiste à bien définir le cadre de la mission en s’appropriant les outils</w:t>
      </w:r>
      <w:r w:rsidR="00EE529C" w:rsidRPr="0000667A">
        <w:rPr>
          <w:sz w:val="20"/>
          <w:szCs w:val="20"/>
        </w:rPr>
        <w:t xml:space="preserve"> déjà développé</w:t>
      </w:r>
      <w:r w:rsidRPr="0000667A">
        <w:rPr>
          <w:sz w:val="20"/>
          <w:szCs w:val="20"/>
        </w:rPr>
        <w:t xml:space="preserve">s, notamment à l’échelle internationale, tout en prenant en compte les spécificités du contexte tunisien. </w:t>
      </w:r>
      <w:r w:rsidR="008D2175">
        <w:rPr>
          <w:sz w:val="20"/>
          <w:szCs w:val="20"/>
        </w:rPr>
        <w:t>Les expert</w:t>
      </w:r>
      <w:r w:rsidR="00C93C04">
        <w:rPr>
          <w:sz w:val="20"/>
          <w:szCs w:val="20"/>
        </w:rPr>
        <w:t>.e</w:t>
      </w:r>
      <w:r w:rsidR="008D2175">
        <w:rPr>
          <w:sz w:val="20"/>
          <w:szCs w:val="20"/>
        </w:rPr>
        <w:t>s devront</w:t>
      </w:r>
      <w:r w:rsidR="00EC6F50" w:rsidRPr="0000667A">
        <w:rPr>
          <w:sz w:val="20"/>
          <w:szCs w:val="20"/>
        </w:rPr>
        <w:t xml:space="preserve"> réaliser un état des lieux </w:t>
      </w:r>
      <w:r w:rsidR="00707C4C">
        <w:rPr>
          <w:sz w:val="20"/>
          <w:szCs w:val="20"/>
        </w:rPr>
        <w:t xml:space="preserve">approfondi </w:t>
      </w:r>
      <w:r w:rsidR="00EC6F50" w:rsidRPr="0000667A">
        <w:rPr>
          <w:sz w:val="20"/>
          <w:szCs w:val="20"/>
        </w:rPr>
        <w:t xml:space="preserve">des outils existants </w:t>
      </w:r>
      <w:r w:rsidR="00707C4C" w:rsidRPr="00707C4C">
        <w:rPr>
          <w:sz w:val="20"/>
          <w:szCs w:val="20"/>
        </w:rPr>
        <w:t xml:space="preserve">(ex. : Score 2050, outils développés par </w:t>
      </w:r>
      <w:proofErr w:type="spellStart"/>
      <w:r w:rsidR="00707C4C" w:rsidRPr="00707C4C">
        <w:rPr>
          <w:sz w:val="20"/>
          <w:szCs w:val="20"/>
        </w:rPr>
        <w:t>Bpifrance</w:t>
      </w:r>
      <w:proofErr w:type="spellEnd"/>
      <w:r w:rsidR="00707C4C" w:rsidRPr="00707C4C">
        <w:rPr>
          <w:sz w:val="20"/>
          <w:szCs w:val="20"/>
        </w:rPr>
        <w:t>, ISO 14031, etc.)</w:t>
      </w:r>
      <w:r w:rsidR="00707C4C" w:rsidRPr="00317D6D">
        <w:rPr>
          <w:rFonts w:ascii="Calibri" w:hAnsi="Calibri" w:cs="Calibri"/>
          <w:sz w:val="24"/>
          <w:szCs w:val="24"/>
        </w:rPr>
        <w:t xml:space="preserve"> </w:t>
      </w:r>
      <w:r w:rsidR="002430F1" w:rsidRPr="0000667A">
        <w:rPr>
          <w:sz w:val="20"/>
          <w:szCs w:val="20"/>
        </w:rPr>
        <w:t>et/</w:t>
      </w:r>
      <w:r w:rsidR="00EC6F50" w:rsidRPr="0000667A">
        <w:rPr>
          <w:sz w:val="20"/>
          <w:szCs w:val="20"/>
        </w:rPr>
        <w:t>ou déjà utilisés pour le contexte tunisien.</w:t>
      </w:r>
    </w:p>
    <w:p w14:paraId="39DD8824" w14:textId="500999A7" w:rsidR="004F1DC6" w:rsidRPr="0000667A" w:rsidRDefault="008D2175" w:rsidP="00EC6F50">
      <w:pPr>
        <w:spacing w:before="240" w:after="240"/>
        <w:jc w:val="both"/>
        <w:rPr>
          <w:sz w:val="20"/>
          <w:szCs w:val="20"/>
        </w:rPr>
      </w:pPr>
      <w:r>
        <w:rPr>
          <w:sz w:val="20"/>
          <w:szCs w:val="20"/>
        </w:rPr>
        <w:t>Les expert</w:t>
      </w:r>
      <w:r w:rsidR="00C93C04">
        <w:rPr>
          <w:sz w:val="20"/>
          <w:szCs w:val="20"/>
        </w:rPr>
        <w:t>.e</w:t>
      </w:r>
      <w:r>
        <w:rPr>
          <w:sz w:val="20"/>
          <w:szCs w:val="20"/>
        </w:rPr>
        <w:t>s devront</w:t>
      </w:r>
      <w:r w:rsidR="004F1DC6" w:rsidRPr="0000667A">
        <w:rPr>
          <w:sz w:val="20"/>
          <w:szCs w:val="20"/>
        </w:rPr>
        <w:t xml:space="preserve"> s’assurer de la prise en compte des éléments suivants dans la réflexion initiale :</w:t>
      </w:r>
    </w:p>
    <w:p w14:paraId="4E4B7F9C" w14:textId="3D1361D9" w:rsidR="004F1DC6" w:rsidRPr="0000667A" w:rsidRDefault="004F1DC6" w:rsidP="000557FE">
      <w:pPr>
        <w:pStyle w:val="Paragraphedeliste"/>
        <w:numPr>
          <w:ilvl w:val="0"/>
          <w:numId w:val="8"/>
        </w:numPr>
        <w:spacing w:before="240" w:after="240"/>
        <w:jc w:val="both"/>
        <w:rPr>
          <w:sz w:val="20"/>
          <w:szCs w:val="20"/>
        </w:rPr>
      </w:pPr>
      <w:r w:rsidRPr="0000667A">
        <w:rPr>
          <w:sz w:val="20"/>
          <w:szCs w:val="20"/>
        </w:rPr>
        <w:t>La pertinence de développer un nouvel outil ou la déclinaison</w:t>
      </w:r>
      <w:r w:rsidR="002430F1" w:rsidRPr="0000667A">
        <w:rPr>
          <w:sz w:val="20"/>
          <w:szCs w:val="20"/>
        </w:rPr>
        <w:t>/l’adaptation</w:t>
      </w:r>
      <w:r w:rsidRPr="0000667A">
        <w:rPr>
          <w:sz w:val="20"/>
          <w:szCs w:val="20"/>
        </w:rPr>
        <w:t xml:space="preserve"> d’outils existants pour le contexte tunisien</w:t>
      </w:r>
      <w:r w:rsidR="00707C4C">
        <w:rPr>
          <w:sz w:val="20"/>
          <w:szCs w:val="20"/>
        </w:rPr>
        <w:t> ;</w:t>
      </w:r>
    </w:p>
    <w:p w14:paraId="1CC036E1" w14:textId="14A77432" w:rsidR="004F1DC6" w:rsidRPr="0000667A" w:rsidRDefault="004F1DC6" w:rsidP="004F1DC6">
      <w:pPr>
        <w:pStyle w:val="Paragraphedeliste"/>
        <w:numPr>
          <w:ilvl w:val="0"/>
          <w:numId w:val="8"/>
        </w:numPr>
        <w:spacing w:before="240" w:after="240"/>
        <w:jc w:val="both"/>
        <w:rPr>
          <w:sz w:val="20"/>
          <w:szCs w:val="20"/>
        </w:rPr>
      </w:pPr>
      <w:r w:rsidRPr="0000667A">
        <w:rPr>
          <w:sz w:val="20"/>
          <w:szCs w:val="20"/>
        </w:rPr>
        <w:t>Les indicateurs / impacts intégrer à l’outil</w:t>
      </w:r>
      <w:r w:rsidR="00922FCF" w:rsidRPr="0000667A">
        <w:rPr>
          <w:sz w:val="20"/>
          <w:szCs w:val="20"/>
        </w:rPr>
        <w:t> ;</w:t>
      </w:r>
    </w:p>
    <w:p w14:paraId="2AA73B44" w14:textId="77777777" w:rsidR="002430F1" w:rsidRPr="0000667A" w:rsidRDefault="004F1DC6" w:rsidP="002430F1">
      <w:pPr>
        <w:pStyle w:val="Paragraphedeliste"/>
        <w:numPr>
          <w:ilvl w:val="0"/>
          <w:numId w:val="8"/>
        </w:numPr>
        <w:spacing w:before="240" w:after="240"/>
        <w:jc w:val="both"/>
        <w:rPr>
          <w:sz w:val="20"/>
          <w:szCs w:val="20"/>
        </w:rPr>
      </w:pPr>
      <w:r w:rsidRPr="0000667A">
        <w:rPr>
          <w:sz w:val="20"/>
          <w:szCs w:val="20"/>
        </w:rPr>
        <w:t xml:space="preserve">Le </w:t>
      </w:r>
      <w:r w:rsidR="007C5174" w:rsidRPr="0000667A">
        <w:rPr>
          <w:sz w:val="20"/>
          <w:szCs w:val="20"/>
        </w:rPr>
        <w:t xml:space="preserve">format </w:t>
      </w:r>
      <w:r w:rsidR="002430F1" w:rsidRPr="0000667A">
        <w:rPr>
          <w:sz w:val="20"/>
          <w:szCs w:val="20"/>
        </w:rPr>
        <w:t xml:space="preserve">et la gouvernance </w:t>
      </w:r>
      <w:r w:rsidR="007C5174" w:rsidRPr="0000667A">
        <w:rPr>
          <w:sz w:val="20"/>
          <w:szCs w:val="20"/>
        </w:rPr>
        <w:t>de</w:t>
      </w:r>
      <w:r w:rsidRPr="0000667A">
        <w:rPr>
          <w:sz w:val="20"/>
          <w:szCs w:val="20"/>
        </w:rPr>
        <w:t xml:space="preserve"> l’outil à privilégier pour le contexte tunisien</w:t>
      </w:r>
      <w:r w:rsidR="00922FCF" w:rsidRPr="0000667A">
        <w:rPr>
          <w:sz w:val="20"/>
          <w:szCs w:val="20"/>
        </w:rPr>
        <w:t> ;</w:t>
      </w:r>
    </w:p>
    <w:p w14:paraId="2B06C766" w14:textId="039DB927" w:rsidR="002430F1" w:rsidRPr="0000667A" w:rsidRDefault="002430F1" w:rsidP="002430F1">
      <w:pPr>
        <w:pStyle w:val="Paragraphedeliste"/>
        <w:numPr>
          <w:ilvl w:val="0"/>
          <w:numId w:val="8"/>
        </w:numPr>
        <w:spacing w:before="240" w:after="240"/>
        <w:jc w:val="both"/>
        <w:rPr>
          <w:sz w:val="20"/>
          <w:szCs w:val="20"/>
        </w:rPr>
      </w:pPr>
      <w:r w:rsidRPr="0000667A">
        <w:rPr>
          <w:sz w:val="20"/>
          <w:szCs w:val="20"/>
        </w:rPr>
        <w:t xml:space="preserve">La double définition d’une entreprise verte adoptée par Greenov’i, et la diversité des entreprises ciblées (start-ups, </w:t>
      </w:r>
      <w:proofErr w:type="spellStart"/>
      <w:r w:rsidRPr="0000667A">
        <w:rPr>
          <w:sz w:val="20"/>
          <w:szCs w:val="20"/>
        </w:rPr>
        <w:t>PMEs</w:t>
      </w:r>
      <w:proofErr w:type="spellEnd"/>
      <w:r w:rsidRPr="0000667A">
        <w:rPr>
          <w:sz w:val="20"/>
          <w:szCs w:val="20"/>
        </w:rPr>
        <w:t xml:space="preserve">, </w:t>
      </w:r>
      <w:proofErr w:type="spellStart"/>
      <w:r w:rsidRPr="0000667A">
        <w:rPr>
          <w:sz w:val="20"/>
          <w:szCs w:val="20"/>
        </w:rPr>
        <w:t>TPEs</w:t>
      </w:r>
      <w:proofErr w:type="spellEnd"/>
      <w:r w:rsidRPr="0000667A">
        <w:rPr>
          <w:sz w:val="20"/>
          <w:szCs w:val="20"/>
        </w:rPr>
        <w:t>, etc.) ;</w:t>
      </w:r>
    </w:p>
    <w:p w14:paraId="54D4D0AD" w14:textId="3079FC5C" w:rsidR="002430F1" w:rsidRPr="0000667A" w:rsidRDefault="002430F1" w:rsidP="00131AE6">
      <w:pPr>
        <w:pStyle w:val="Paragraphedeliste"/>
        <w:numPr>
          <w:ilvl w:val="0"/>
          <w:numId w:val="8"/>
        </w:numPr>
        <w:spacing w:before="240" w:after="240"/>
        <w:jc w:val="both"/>
        <w:rPr>
          <w:sz w:val="20"/>
          <w:szCs w:val="20"/>
        </w:rPr>
      </w:pPr>
      <w:r w:rsidRPr="0000667A">
        <w:rPr>
          <w:sz w:val="20"/>
          <w:szCs w:val="20"/>
        </w:rPr>
        <w:t>L’intégration de la mesure de l’inclusion des femmes et de l’égalité femmes-hommes dans l’outil en vue de favoriser une transition écologique et juste.</w:t>
      </w:r>
      <w:r w:rsidR="00131AE6" w:rsidRPr="0000667A">
        <w:rPr>
          <w:sz w:val="20"/>
          <w:szCs w:val="20"/>
        </w:rPr>
        <w:t xml:space="preserve"> Cela peut inclure (liste non exhaustive) : égalité professionnelle (rôle et place des femmes, égalité salariale, etc.), prévention et lutte contre les violences sexistes et sexuelles, conciliation vies professionnelle et personnelle, environnement de travail adapté, etc.</w:t>
      </w:r>
    </w:p>
    <w:p w14:paraId="6509C4E3" w14:textId="2075D86D" w:rsidR="00EC6F50" w:rsidRPr="0000667A" w:rsidRDefault="00EC6F50" w:rsidP="003C4D9F">
      <w:pPr>
        <w:spacing w:before="120" w:after="120"/>
        <w:jc w:val="both"/>
        <w:rPr>
          <w:sz w:val="20"/>
          <w:szCs w:val="20"/>
        </w:rPr>
      </w:pPr>
      <w:r w:rsidRPr="0000667A">
        <w:rPr>
          <w:sz w:val="20"/>
          <w:szCs w:val="20"/>
        </w:rPr>
        <w:t xml:space="preserve">Une réunion de </w:t>
      </w:r>
      <w:r w:rsidR="00325D71">
        <w:rPr>
          <w:sz w:val="20"/>
          <w:szCs w:val="20"/>
        </w:rPr>
        <w:t xml:space="preserve">cadrage entre </w:t>
      </w:r>
      <w:r w:rsidR="00C93C04">
        <w:rPr>
          <w:sz w:val="20"/>
          <w:szCs w:val="20"/>
        </w:rPr>
        <w:t>les expert.es</w:t>
      </w:r>
      <w:r w:rsidR="003C4D9F">
        <w:rPr>
          <w:sz w:val="20"/>
          <w:szCs w:val="20"/>
        </w:rPr>
        <w:t xml:space="preserve"> </w:t>
      </w:r>
      <w:r w:rsidR="00325D71">
        <w:rPr>
          <w:sz w:val="20"/>
          <w:szCs w:val="20"/>
        </w:rPr>
        <w:t xml:space="preserve">l’équipe </w:t>
      </w:r>
      <w:r w:rsidRPr="0000667A">
        <w:rPr>
          <w:sz w:val="20"/>
          <w:szCs w:val="20"/>
        </w:rPr>
        <w:t xml:space="preserve">Greenov’i </w:t>
      </w:r>
      <w:r w:rsidR="00553B5F">
        <w:rPr>
          <w:sz w:val="20"/>
          <w:szCs w:val="20"/>
        </w:rPr>
        <w:t xml:space="preserve">et ses partenaires </w:t>
      </w:r>
      <w:r w:rsidR="00354538" w:rsidRPr="0000667A">
        <w:rPr>
          <w:sz w:val="20"/>
          <w:szCs w:val="20"/>
        </w:rPr>
        <w:t>sera</w:t>
      </w:r>
      <w:r w:rsidRPr="0000667A">
        <w:rPr>
          <w:sz w:val="20"/>
          <w:szCs w:val="20"/>
        </w:rPr>
        <w:t xml:space="preserve"> organisée en début de mission pour la </w:t>
      </w:r>
      <w:r w:rsidR="007C5174" w:rsidRPr="0000667A">
        <w:rPr>
          <w:sz w:val="20"/>
          <w:szCs w:val="20"/>
        </w:rPr>
        <w:t xml:space="preserve">validation et la </w:t>
      </w:r>
      <w:r w:rsidRPr="0000667A">
        <w:rPr>
          <w:sz w:val="20"/>
          <w:szCs w:val="20"/>
        </w:rPr>
        <w:t>planification des étapes.</w:t>
      </w:r>
    </w:p>
    <w:p w14:paraId="73A5036A" w14:textId="16025DA8" w:rsidR="00EC6F50" w:rsidRPr="0000667A" w:rsidRDefault="00EC6F50" w:rsidP="008D726D">
      <w:pPr>
        <w:spacing w:before="120" w:after="120"/>
        <w:jc w:val="both"/>
        <w:rPr>
          <w:b/>
          <w:bCs/>
          <w:sz w:val="20"/>
          <w:szCs w:val="20"/>
          <w:u w:val="single"/>
        </w:rPr>
      </w:pPr>
      <w:r w:rsidRPr="0000667A">
        <w:rPr>
          <w:b/>
          <w:bCs/>
          <w:sz w:val="20"/>
          <w:szCs w:val="20"/>
          <w:u w:val="single"/>
        </w:rPr>
        <w:t xml:space="preserve">Etape 2 : entretiens avec les </w:t>
      </w:r>
      <w:r w:rsidR="004C04CF" w:rsidRPr="0000667A">
        <w:rPr>
          <w:b/>
          <w:bCs/>
          <w:sz w:val="20"/>
          <w:szCs w:val="20"/>
          <w:u w:val="single"/>
        </w:rPr>
        <w:t>bénéficiaires</w:t>
      </w:r>
      <w:r w:rsidRPr="0000667A">
        <w:rPr>
          <w:b/>
          <w:bCs/>
          <w:sz w:val="20"/>
          <w:szCs w:val="20"/>
          <w:u w:val="single"/>
        </w:rPr>
        <w:t xml:space="preserve"> pour </w:t>
      </w:r>
      <w:r w:rsidR="008D726D" w:rsidRPr="0000667A">
        <w:rPr>
          <w:b/>
          <w:bCs/>
          <w:sz w:val="20"/>
          <w:szCs w:val="20"/>
          <w:u w:val="single"/>
        </w:rPr>
        <w:t>l’identification</w:t>
      </w:r>
      <w:r w:rsidR="0041594A" w:rsidRPr="0000667A">
        <w:rPr>
          <w:b/>
          <w:bCs/>
          <w:sz w:val="20"/>
          <w:szCs w:val="20"/>
          <w:u w:val="single"/>
        </w:rPr>
        <w:t xml:space="preserve"> des indicateurs et du format de l’outil</w:t>
      </w:r>
    </w:p>
    <w:p w14:paraId="0344029F" w14:textId="76203BF8" w:rsidR="00F4141E" w:rsidRPr="0000667A" w:rsidRDefault="00F4141E" w:rsidP="00F4141E">
      <w:pPr>
        <w:pStyle w:val="Paragraphedeliste"/>
        <w:numPr>
          <w:ilvl w:val="0"/>
          <w:numId w:val="30"/>
        </w:numPr>
        <w:spacing w:before="120" w:after="120"/>
        <w:jc w:val="both"/>
        <w:rPr>
          <w:sz w:val="20"/>
          <w:szCs w:val="20"/>
        </w:rPr>
      </w:pPr>
      <w:r w:rsidRPr="0000667A">
        <w:rPr>
          <w:sz w:val="20"/>
          <w:szCs w:val="20"/>
        </w:rPr>
        <w:t>Cible</w:t>
      </w:r>
      <w:r w:rsidR="00F81CD3" w:rsidRPr="0000667A">
        <w:rPr>
          <w:sz w:val="20"/>
          <w:szCs w:val="20"/>
        </w:rPr>
        <w:t>s</w:t>
      </w:r>
      <w:r w:rsidR="00707C4C">
        <w:rPr>
          <w:sz w:val="20"/>
          <w:szCs w:val="20"/>
        </w:rPr>
        <w:t> : entreprises vertes,</w:t>
      </w:r>
      <w:r w:rsidRPr="0000667A">
        <w:rPr>
          <w:sz w:val="20"/>
          <w:szCs w:val="20"/>
        </w:rPr>
        <w:t xml:space="preserve"> investisseurs </w:t>
      </w:r>
      <w:r w:rsidR="00707C4C">
        <w:rPr>
          <w:sz w:val="20"/>
          <w:szCs w:val="20"/>
        </w:rPr>
        <w:t>et structures d’accompagnement</w:t>
      </w:r>
    </w:p>
    <w:p w14:paraId="50A89568" w14:textId="61C87A01" w:rsidR="00F4141E" w:rsidRPr="0000667A" w:rsidRDefault="0041594A" w:rsidP="00405E42">
      <w:pPr>
        <w:pStyle w:val="Paragraphedeliste"/>
        <w:numPr>
          <w:ilvl w:val="0"/>
          <w:numId w:val="30"/>
        </w:numPr>
        <w:spacing w:before="120" w:after="120" w:line="259" w:lineRule="auto"/>
        <w:jc w:val="both"/>
        <w:rPr>
          <w:sz w:val="20"/>
          <w:szCs w:val="20"/>
        </w:rPr>
      </w:pPr>
      <w:r w:rsidRPr="0000667A">
        <w:rPr>
          <w:sz w:val="20"/>
          <w:szCs w:val="20"/>
        </w:rPr>
        <w:t>Livrable</w:t>
      </w:r>
      <w:r w:rsidR="00F81CD3" w:rsidRPr="0000667A">
        <w:rPr>
          <w:sz w:val="20"/>
          <w:szCs w:val="20"/>
        </w:rPr>
        <w:t>s</w:t>
      </w:r>
      <w:r w:rsidR="00F4141E" w:rsidRPr="0000667A">
        <w:rPr>
          <w:sz w:val="20"/>
          <w:szCs w:val="20"/>
        </w:rPr>
        <w:t> : document de diagnostic des besoins</w:t>
      </w:r>
      <w:r w:rsidRPr="0000667A">
        <w:rPr>
          <w:sz w:val="20"/>
          <w:szCs w:val="20"/>
        </w:rPr>
        <w:t> ; fiche d’indicateurs</w:t>
      </w:r>
    </w:p>
    <w:p w14:paraId="72D8953F" w14:textId="4F516AC5" w:rsidR="00707C4C" w:rsidRDefault="004C04CF" w:rsidP="00405E42">
      <w:pPr>
        <w:spacing w:before="120" w:after="120"/>
        <w:jc w:val="both"/>
        <w:rPr>
          <w:sz w:val="20"/>
          <w:szCs w:val="20"/>
        </w:rPr>
      </w:pPr>
      <w:r w:rsidRPr="0000667A">
        <w:rPr>
          <w:sz w:val="20"/>
          <w:szCs w:val="20"/>
        </w:rPr>
        <w:t>Comme indiqué plus haut, cet outil devra servir à la fois les entreprises vertes pour les aider dan</w:t>
      </w:r>
      <w:r w:rsidR="00C93C04">
        <w:rPr>
          <w:sz w:val="20"/>
          <w:szCs w:val="20"/>
        </w:rPr>
        <w:t xml:space="preserve">s leur transition écologique, </w:t>
      </w:r>
      <w:r w:rsidRPr="0000667A">
        <w:rPr>
          <w:sz w:val="20"/>
          <w:szCs w:val="20"/>
        </w:rPr>
        <w:t>les investisseurs pour servir d’i</w:t>
      </w:r>
      <w:r w:rsidR="00C93C04">
        <w:rPr>
          <w:sz w:val="20"/>
          <w:szCs w:val="20"/>
        </w:rPr>
        <w:t xml:space="preserve">ndicateur pour leur financement et les structures d’accompagnement pour leur </w:t>
      </w:r>
      <w:proofErr w:type="spellStart"/>
      <w:r w:rsidR="00C93C04" w:rsidRPr="00C93C04">
        <w:rPr>
          <w:i/>
          <w:sz w:val="20"/>
          <w:szCs w:val="20"/>
        </w:rPr>
        <w:t>reporting</w:t>
      </w:r>
      <w:proofErr w:type="spellEnd"/>
      <w:r w:rsidR="00C93C04">
        <w:rPr>
          <w:sz w:val="20"/>
          <w:szCs w:val="20"/>
        </w:rPr>
        <w:t xml:space="preserve"> d’impact.</w:t>
      </w:r>
    </w:p>
    <w:p w14:paraId="213D247E" w14:textId="0EDF687B" w:rsidR="003C4D9F" w:rsidRDefault="00C93C04" w:rsidP="00405E42">
      <w:pPr>
        <w:spacing w:before="120" w:after="120"/>
        <w:jc w:val="both"/>
        <w:rPr>
          <w:sz w:val="20"/>
          <w:szCs w:val="20"/>
        </w:rPr>
      </w:pPr>
      <w:r>
        <w:rPr>
          <w:sz w:val="20"/>
          <w:szCs w:val="20"/>
        </w:rPr>
        <w:t xml:space="preserve">Pour ce faire, les </w:t>
      </w:r>
      <w:r w:rsidR="004C04CF" w:rsidRPr="0000667A">
        <w:rPr>
          <w:sz w:val="20"/>
          <w:szCs w:val="20"/>
        </w:rPr>
        <w:t>expert.e</w:t>
      </w:r>
      <w:r>
        <w:rPr>
          <w:sz w:val="20"/>
          <w:szCs w:val="20"/>
        </w:rPr>
        <w:t>s devront</w:t>
      </w:r>
      <w:r w:rsidR="004C04CF" w:rsidRPr="0000667A">
        <w:rPr>
          <w:sz w:val="20"/>
          <w:szCs w:val="20"/>
        </w:rPr>
        <w:t xml:space="preserve"> identifier un échantillon d’acteurs appartenant au groupe cible et réaliser un diagno</w:t>
      </w:r>
      <w:r w:rsidR="00553B5F">
        <w:rPr>
          <w:sz w:val="20"/>
          <w:szCs w:val="20"/>
        </w:rPr>
        <w:t xml:space="preserve">stic des besoins pour valider la conception </w:t>
      </w:r>
      <w:r w:rsidR="004C04CF" w:rsidRPr="0000667A">
        <w:rPr>
          <w:sz w:val="20"/>
          <w:szCs w:val="20"/>
        </w:rPr>
        <w:t>de l’outil.</w:t>
      </w:r>
      <w:r w:rsidR="002430F1" w:rsidRPr="0000667A">
        <w:t xml:space="preserve"> </w:t>
      </w:r>
      <w:r w:rsidR="00131AE6" w:rsidRPr="0000667A">
        <w:rPr>
          <w:sz w:val="20"/>
          <w:szCs w:val="20"/>
        </w:rPr>
        <w:t>Il sera essentiel de s’assurer d’une participation de femmes équilibrée à ces entretiens (dans la mesure de ce que permet l’échantillon), et d’analyser les éventuels besoin divergents</w:t>
      </w:r>
      <w:r w:rsidR="002430F1" w:rsidRPr="0000667A">
        <w:rPr>
          <w:sz w:val="20"/>
          <w:szCs w:val="20"/>
        </w:rPr>
        <w:t xml:space="preserve">. </w:t>
      </w:r>
    </w:p>
    <w:p w14:paraId="1F407350" w14:textId="77777777" w:rsidR="00553B5F" w:rsidRDefault="004C04CF" w:rsidP="00405E42">
      <w:pPr>
        <w:spacing w:before="120" w:after="120"/>
        <w:jc w:val="both"/>
        <w:rPr>
          <w:sz w:val="20"/>
          <w:szCs w:val="20"/>
        </w:rPr>
      </w:pPr>
      <w:r w:rsidRPr="0000667A">
        <w:rPr>
          <w:sz w:val="20"/>
          <w:szCs w:val="20"/>
        </w:rPr>
        <w:t>Un atelier de lancement ciblant l’ensemble des acteurs identifiés pourra être organisé pour présen</w:t>
      </w:r>
      <w:r w:rsidR="00553B5F">
        <w:rPr>
          <w:sz w:val="20"/>
          <w:szCs w:val="20"/>
        </w:rPr>
        <w:t xml:space="preserve">ter l’objectif de cet outil, </w:t>
      </w:r>
      <w:r w:rsidRPr="0000667A">
        <w:rPr>
          <w:sz w:val="20"/>
          <w:szCs w:val="20"/>
        </w:rPr>
        <w:t xml:space="preserve">recueillir leurs </w:t>
      </w:r>
      <w:r w:rsidR="00553B5F">
        <w:rPr>
          <w:sz w:val="20"/>
          <w:szCs w:val="20"/>
        </w:rPr>
        <w:t xml:space="preserve">attentes et commencer à </w:t>
      </w:r>
      <w:r w:rsidR="00AC3B4A" w:rsidRPr="0000667A">
        <w:rPr>
          <w:sz w:val="20"/>
          <w:szCs w:val="20"/>
        </w:rPr>
        <w:t>identifier les indicateurs qui seront intégrés à l’outil de mesure d’impact.</w:t>
      </w:r>
      <w:r w:rsidRPr="0000667A">
        <w:rPr>
          <w:sz w:val="20"/>
          <w:szCs w:val="20"/>
        </w:rPr>
        <w:t xml:space="preserve"> </w:t>
      </w:r>
    </w:p>
    <w:p w14:paraId="61D6262E" w14:textId="308E50B4" w:rsidR="00131AE6" w:rsidRDefault="00AC3B4A" w:rsidP="00405E42">
      <w:pPr>
        <w:spacing w:before="120" w:after="120"/>
        <w:jc w:val="both"/>
        <w:rPr>
          <w:sz w:val="20"/>
          <w:szCs w:val="20"/>
        </w:rPr>
      </w:pPr>
      <w:r w:rsidRPr="0000667A">
        <w:rPr>
          <w:sz w:val="20"/>
          <w:szCs w:val="20"/>
        </w:rPr>
        <w:t xml:space="preserve">Dans un second temps, </w:t>
      </w:r>
      <w:r w:rsidR="00553B5F">
        <w:rPr>
          <w:sz w:val="20"/>
          <w:szCs w:val="20"/>
        </w:rPr>
        <w:t xml:space="preserve">des </w:t>
      </w:r>
      <w:r w:rsidR="005F00FC" w:rsidRPr="0000667A">
        <w:rPr>
          <w:sz w:val="20"/>
          <w:szCs w:val="20"/>
        </w:rPr>
        <w:t xml:space="preserve">entretiens individuels </w:t>
      </w:r>
      <w:r w:rsidR="00553B5F">
        <w:rPr>
          <w:sz w:val="20"/>
          <w:szCs w:val="20"/>
        </w:rPr>
        <w:t xml:space="preserve">pourront être organisés </w:t>
      </w:r>
      <w:r w:rsidR="005F00FC" w:rsidRPr="0000667A">
        <w:rPr>
          <w:sz w:val="20"/>
          <w:szCs w:val="20"/>
        </w:rPr>
        <w:t>avec certains des ac</w:t>
      </w:r>
      <w:r w:rsidRPr="0000667A">
        <w:rPr>
          <w:sz w:val="20"/>
          <w:szCs w:val="20"/>
        </w:rPr>
        <w:t xml:space="preserve">teurs pour valider le </w:t>
      </w:r>
      <w:r w:rsidR="00553B5F">
        <w:rPr>
          <w:sz w:val="20"/>
          <w:szCs w:val="20"/>
        </w:rPr>
        <w:t xml:space="preserve">contenu et le </w:t>
      </w:r>
      <w:r w:rsidRPr="0000667A">
        <w:rPr>
          <w:sz w:val="20"/>
          <w:szCs w:val="20"/>
        </w:rPr>
        <w:t>format de l’outil</w:t>
      </w:r>
      <w:r w:rsidR="005F00FC" w:rsidRPr="0000667A">
        <w:rPr>
          <w:sz w:val="20"/>
          <w:szCs w:val="20"/>
        </w:rPr>
        <w:t xml:space="preserve">. </w:t>
      </w:r>
      <w:r w:rsidR="00C93C04">
        <w:rPr>
          <w:sz w:val="20"/>
          <w:szCs w:val="20"/>
        </w:rPr>
        <w:t>Cette phase d’entretiens</w:t>
      </w:r>
      <w:r w:rsidR="004C04CF" w:rsidRPr="0000667A">
        <w:rPr>
          <w:sz w:val="20"/>
          <w:szCs w:val="20"/>
        </w:rPr>
        <w:t xml:space="preserve"> est essentielle pour garantir la bonne compréhension des besoins </w:t>
      </w:r>
      <w:r w:rsidR="00553B5F">
        <w:rPr>
          <w:sz w:val="20"/>
          <w:szCs w:val="20"/>
        </w:rPr>
        <w:t>et identifier</w:t>
      </w:r>
      <w:r w:rsidR="005F00FC" w:rsidRPr="0000667A">
        <w:rPr>
          <w:sz w:val="20"/>
          <w:szCs w:val="20"/>
        </w:rPr>
        <w:t xml:space="preserve"> le format de l’outil qui sera développé.</w:t>
      </w:r>
    </w:p>
    <w:p w14:paraId="761DF11F" w14:textId="10B21764" w:rsidR="00707C4C" w:rsidRPr="0000667A" w:rsidRDefault="00707C4C" w:rsidP="00405E42">
      <w:pPr>
        <w:spacing w:before="120" w:after="120"/>
        <w:jc w:val="both"/>
        <w:rPr>
          <w:sz w:val="20"/>
          <w:szCs w:val="20"/>
        </w:rPr>
      </w:pPr>
      <w:r>
        <w:rPr>
          <w:sz w:val="20"/>
          <w:szCs w:val="20"/>
        </w:rPr>
        <w:t xml:space="preserve">Ces entretiens auront pour objectif de définir une base d’évaluation commune, pouvant répondre aux besoins des entreprises vertes mais devant également être utile aux investisseurs (servir d’indicateurs pour l’octroi de financements) et aux structures d’accompagnement (outil de </w:t>
      </w:r>
      <w:proofErr w:type="spellStart"/>
      <w:r w:rsidRPr="00707C4C">
        <w:rPr>
          <w:i/>
          <w:sz w:val="20"/>
          <w:szCs w:val="20"/>
        </w:rPr>
        <w:t>reporting</w:t>
      </w:r>
      <w:proofErr w:type="spellEnd"/>
      <w:r w:rsidRPr="00707C4C">
        <w:rPr>
          <w:i/>
          <w:sz w:val="20"/>
          <w:szCs w:val="20"/>
        </w:rPr>
        <w:t xml:space="preserve"> </w:t>
      </w:r>
      <w:r>
        <w:rPr>
          <w:sz w:val="20"/>
          <w:szCs w:val="20"/>
        </w:rPr>
        <w:t>d’impact).</w:t>
      </w:r>
      <w:r w:rsidRPr="00707C4C">
        <w:rPr>
          <w:sz w:val="20"/>
          <w:szCs w:val="20"/>
        </w:rPr>
        <w:t xml:space="preserve"> </w:t>
      </w:r>
    </w:p>
    <w:p w14:paraId="0661536E" w14:textId="6018D89E" w:rsidR="007C5174" w:rsidRPr="0000667A" w:rsidRDefault="007C5174" w:rsidP="007C5174">
      <w:pPr>
        <w:spacing w:before="120" w:after="120"/>
        <w:jc w:val="both"/>
        <w:rPr>
          <w:b/>
          <w:bCs/>
          <w:sz w:val="20"/>
          <w:szCs w:val="20"/>
          <w:u w:val="single"/>
        </w:rPr>
      </w:pPr>
      <w:r w:rsidRPr="0000667A">
        <w:rPr>
          <w:b/>
          <w:bCs/>
          <w:sz w:val="20"/>
          <w:szCs w:val="20"/>
          <w:u w:val="single"/>
        </w:rPr>
        <w:t>Etape 3 : développement d’une version préliminaire de l’outil et test auprès de la cible</w:t>
      </w:r>
    </w:p>
    <w:p w14:paraId="0020438A" w14:textId="73BCBF71" w:rsidR="00405E42" w:rsidRPr="0000667A" w:rsidRDefault="00405E42" w:rsidP="00405E42">
      <w:pPr>
        <w:pStyle w:val="Paragraphedeliste"/>
        <w:numPr>
          <w:ilvl w:val="0"/>
          <w:numId w:val="30"/>
        </w:numPr>
        <w:spacing w:before="120" w:after="120"/>
        <w:jc w:val="both"/>
        <w:rPr>
          <w:sz w:val="20"/>
          <w:szCs w:val="20"/>
        </w:rPr>
      </w:pPr>
      <w:r w:rsidRPr="0000667A">
        <w:rPr>
          <w:sz w:val="20"/>
          <w:szCs w:val="20"/>
        </w:rPr>
        <w:t xml:space="preserve">Cibles : </w:t>
      </w:r>
      <w:r w:rsidR="00707C4C">
        <w:rPr>
          <w:sz w:val="20"/>
          <w:szCs w:val="20"/>
        </w:rPr>
        <w:t>entreprises vertes,</w:t>
      </w:r>
      <w:r w:rsidR="00707C4C" w:rsidRPr="0000667A">
        <w:rPr>
          <w:sz w:val="20"/>
          <w:szCs w:val="20"/>
        </w:rPr>
        <w:t xml:space="preserve"> investisseurs </w:t>
      </w:r>
      <w:r w:rsidR="00707C4C">
        <w:rPr>
          <w:sz w:val="20"/>
          <w:szCs w:val="20"/>
        </w:rPr>
        <w:t>et structures d’accompagnement</w:t>
      </w:r>
      <w:r w:rsidR="00707C4C" w:rsidRPr="0000667A">
        <w:rPr>
          <w:sz w:val="20"/>
          <w:szCs w:val="20"/>
        </w:rPr>
        <w:t xml:space="preserve"> </w:t>
      </w:r>
    </w:p>
    <w:p w14:paraId="343B1E2F" w14:textId="1BB6129E" w:rsidR="00405E42" w:rsidRPr="0000667A" w:rsidRDefault="00405E42" w:rsidP="000A4021">
      <w:pPr>
        <w:pStyle w:val="Paragraphedeliste"/>
        <w:numPr>
          <w:ilvl w:val="0"/>
          <w:numId w:val="30"/>
        </w:numPr>
        <w:spacing w:before="120" w:after="120" w:line="259" w:lineRule="auto"/>
        <w:jc w:val="both"/>
        <w:rPr>
          <w:sz w:val="20"/>
          <w:szCs w:val="20"/>
        </w:rPr>
      </w:pPr>
      <w:r w:rsidRPr="0000667A">
        <w:rPr>
          <w:sz w:val="20"/>
          <w:szCs w:val="20"/>
        </w:rPr>
        <w:t xml:space="preserve">Livrables : </w:t>
      </w:r>
      <w:r w:rsidR="000A4021" w:rsidRPr="0000667A">
        <w:rPr>
          <w:sz w:val="20"/>
          <w:szCs w:val="20"/>
        </w:rPr>
        <w:t>V0 de l’outil de mesure d’impact</w:t>
      </w:r>
    </w:p>
    <w:p w14:paraId="77324C47" w14:textId="5B3613BC" w:rsidR="003C4D9F" w:rsidRDefault="00905DB2" w:rsidP="00C93C04">
      <w:pPr>
        <w:jc w:val="both"/>
        <w:rPr>
          <w:sz w:val="20"/>
          <w:szCs w:val="20"/>
        </w:rPr>
      </w:pPr>
      <w:r w:rsidRPr="00553B5F">
        <w:rPr>
          <w:sz w:val="20"/>
          <w:szCs w:val="20"/>
        </w:rPr>
        <w:t xml:space="preserve">Une fois la phase de diagnostic réalisée, </w:t>
      </w:r>
      <w:r w:rsidR="005E4C6F" w:rsidRPr="00553B5F">
        <w:rPr>
          <w:sz w:val="20"/>
          <w:szCs w:val="20"/>
        </w:rPr>
        <w:t>l</w:t>
      </w:r>
      <w:r w:rsidR="008D2175">
        <w:rPr>
          <w:sz w:val="20"/>
          <w:szCs w:val="20"/>
        </w:rPr>
        <w:t xml:space="preserve">es </w:t>
      </w:r>
      <w:r w:rsidR="005E4C6F" w:rsidRPr="00553B5F">
        <w:rPr>
          <w:sz w:val="20"/>
          <w:szCs w:val="20"/>
        </w:rPr>
        <w:t>expert.e</w:t>
      </w:r>
      <w:r w:rsidR="008D2175">
        <w:rPr>
          <w:sz w:val="20"/>
          <w:szCs w:val="20"/>
        </w:rPr>
        <w:t>s</w:t>
      </w:r>
      <w:r w:rsidR="00C93C04">
        <w:rPr>
          <w:sz w:val="20"/>
          <w:szCs w:val="20"/>
        </w:rPr>
        <w:t xml:space="preserve"> devront</w:t>
      </w:r>
      <w:r w:rsidR="005E4C6F" w:rsidRPr="00553B5F">
        <w:rPr>
          <w:sz w:val="20"/>
          <w:szCs w:val="20"/>
        </w:rPr>
        <w:t xml:space="preserve"> développer une </w:t>
      </w:r>
      <w:r w:rsidR="00C93C04">
        <w:rPr>
          <w:sz w:val="20"/>
          <w:szCs w:val="20"/>
        </w:rPr>
        <w:t>version préliminaire de l’outil. L’outil devra être digital, facile d’utilisation et accessible.</w:t>
      </w:r>
    </w:p>
    <w:p w14:paraId="47B438E4" w14:textId="77777777" w:rsidR="003C4D9F" w:rsidRDefault="005E4C6F" w:rsidP="00DB21E9">
      <w:pPr>
        <w:spacing w:before="120" w:after="120"/>
        <w:jc w:val="both"/>
        <w:rPr>
          <w:sz w:val="20"/>
          <w:szCs w:val="20"/>
        </w:rPr>
      </w:pPr>
      <w:r w:rsidRPr="0000667A">
        <w:rPr>
          <w:sz w:val="20"/>
          <w:szCs w:val="20"/>
        </w:rPr>
        <w:t xml:space="preserve">Avant de valider la version finale, cet outil devra </w:t>
      </w:r>
      <w:r w:rsidR="00C37231" w:rsidRPr="0000667A">
        <w:rPr>
          <w:sz w:val="20"/>
          <w:szCs w:val="20"/>
        </w:rPr>
        <w:t>être</w:t>
      </w:r>
      <w:r w:rsidRPr="0000667A">
        <w:rPr>
          <w:sz w:val="20"/>
          <w:szCs w:val="20"/>
        </w:rPr>
        <w:t xml:space="preserve"> testé auprès d’un échantillon représentatif. </w:t>
      </w:r>
      <w:r w:rsidR="002430F1" w:rsidRPr="0000667A">
        <w:rPr>
          <w:sz w:val="20"/>
          <w:szCs w:val="20"/>
        </w:rPr>
        <w:t xml:space="preserve">Comme mentionné ci-dessus, il sera nécessaire de s’assurer de la participation suffisante de femmes dans l’échantillon expérimental. </w:t>
      </w:r>
    </w:p>
    <w:p w14:paraId="794FA4A9" w14:textId="7D0659BC" w:rsidR="007C5174" w:rsidRPr="0000667A" w:rsidRDefault="005E4C6F" w:rsidP="00DB21E9">
      <w:pPr>
        <w:spacing w:before="120" w:after="120"/>
        <w:jc w:val="both"/>
        <w:rPr>
          <w:b/>
          <w:bCs/>
          <w:sz w:val="20"/>
          <w:szCs w:val="20"/>
          <w:u w:val="single"/>
        </w:rPr>
      </w:pPr>
      <w:r w:rsidRPr="0000667A">
        <w:rPr>
          <w:sz w:val="20"/>
          <w:szCs w:val="20"/>
        </w:rPr>
        <w:t xml:space="preserve">Cette phase de test permettra de valider la version finale de l’outil </w:t>
      </w:r>
      <w:r w:rsidR="00C37231" w:rsidRPr="0000667A">
        <w:rPr>
          <w:sz w:val="20"/>
          <w:szCs w:val="20"/>
        </w:rPr>
        <w:t>avant le déploiement final.</w:t>
      </w:r>
      <w:r w:rsidR="00DF7310" w:rsidRPr="0000667A">
        <w:rPr>
          <w:sz w:val="20"/>
          <w:szCs w:val="20"/>
        </w:rPr>
        <w:t xml:space="preserve"> </w:t>
      </w:r>
      <w:r w:rsidR="00C93C04">
        <w:rPr>
          <w:sz w:val="20"/>
          <w:szCs w:val="20"/>
        </w:rPr>
        <w:t xml:space="preserve">Les </w:t>
      </w:r>
      <w:r w:rsidR="002430F1" w:rsidRPr="0000667A">
        <w:rPr>
          <w:sz w:val="20"/>
          <w:szCs w:val="20"/>
        </w:rPr>
        <w:t>expert</w:t>
      </w:r>
      <w:r w:rsidR="00C93C04">
        <w:rPr>
          <w:sz w:val="20"/>
          <w:szCs w:val="20"/>
        </w:rPr>
        <w:t>.es veilleront</w:t>
      </w:r>
      <w:r w:rsidR="002430F1" w:rsidRPr="0000667A">
        <w:rPr>
          <w:sz w:val="20"/>
          <w:szCs w:val="20"/>
        </w:rPr>
        <w:t xml:space="preserve"> à</w:t>
      </w:r>
      <w:r w:rsidR="002430F1" w:rsidRPr="0000667A">
        <w:t xml:space="preserve"> </w:t>
      </w:r>
      <w:r w:rsidR="002430F1" w:rsidRPr="0000667A">
        <w:rPr>
          <w:sz w:val="20"/>
          <w:szCs w:val="20"/>
        </w:rPr>
        <w:t xml:space="preserve">la qualité de l’expérience utilisateur dans le développement de l’outil. </w:t>
      </w:r>
      <w:r w:rsidR="00C93C04">
        <w:rPr>
          <w:sz w:val="20"/>
          <w:szCs w:val="20"/>
        </w:rPr>
        <w:t xml:space="preserve">Les </w:t>
      </w:r>
      <w:r w:rsidR="00DF7310" w:rsidRPr="0000667A">
        <w:rPr>
          <w:sz w:val="20"/>
          <w:szCs w:val="20"/>
        </w:rPr>
        <w:t>expert</w:t>
      </w:r>
      <w:r w:rsidR="00C93C04">
        <w:rPr>
          <w:sz w:val="20"/>
          <w:szCs w:val="20"/>
        </w:rPr>
        <w:t>.es devront</w:t>
      </w:r>
      <w:r w:rsidR="00DF7310" w:rsidRPr="0000667A">
        <w:rPr>
          <w:sz w:val="20"/>
          <w:szCs w:val="20"/>
        </w:rPr>
        <w:t xml:space="preserve"> également proposer un plan de diffusion de l’outil de mesure d’impact auprès des </w:t>
      </w:r>
      <w:r w:rsidR="00E305D8" w:rsidRPr="0000667A">
        <w:rPr>
          <w:sz w:val="20"/>
          <w:szCs w:val="20"/>
        </w:rPr>
        <w:t>potentiels utilisateurs de l’outil</w:t>
      </w:r>
      <w:r w:rsidR="00DE7DD6" w:rsidRPr="0000667A">
        <w:rPr>
          <w:sz w:val="20"/>
          <w:szCs w:val="20"/>
        </w:rPr>
        <w:t>, qui sera déployé</w:t>
      </w:r>
      <w:r w:rsidR="00DF7310" w:rsidRPr="0000667A">
        <w:rPr>
          <w:sz w:val="20"/>
          <w:szCs w:val="20"/>
        </w:rPr>
        <w:t xml:space="preserve"> par Expertise France et ses partenaires.</w:t>
      </w:r>
      <w:r w:rsidR="00F5472C" w:rsidRPr="0000667A">
        <w:rPr>
          <w:sz w:val="20"/>
          <w:szCs w:val="20"/>
        </w:rPr>
        <w:t xml:space="preserve"> Il sera également essentiel de s'adresser spécifiquement aux femmes fondatrices ou dirigeantes d’entreprises vertes, en utilisant des canaux de diffusion adaptés et en mettant en avant des rôles modèles féminins pour encourager leur participation.</w:t>
      </w:r>
    </w:p>
    <w:p w14:paraId="7FC45EEE" w14:textId="65CF4AB4" w:rsidR="007B7BDB" w:rsidRPr="0000667A" w:rsidRDefault="007B7BDB" w:rsidP="007C5174">
      <w:pPr>
        <w:spacing w:before="120" w:after="120"/>
        <w:jc w:val="both"/>
        <w:rPr>
          <w:b/>
          <w:bCs/>
          <w:sz w:val="20"/>
          <w:szCs w:val="20"/>
          <w:u w:val="single"/>
        </w:rPr>
      </w:pPr>
      <w:r w:rsidRPr="0000667A">
        <w:rPr>
          <w:b/>
          <w:bCs/>
          <w:sz w:val="20"/>
          <w:szCs w:val="20"/>
          <w:u w:val="single"/>
        </w:rPr>
        <w:t>Etape 4 : présentation et validation de l’outil de mesure d’impact</w:t>
      </w:r>
    </w:p>
    <w:p w14:paraId="53381670" w14:textId="256FAC61" w:rsidR="00A73482" w:rsidRPr="0000667A" w:rsidRDefault="00A73482" w:rsidP="00A73482">
      <w:pPr>
        <w:pStyle w:val="Paragraphedeliste"/>
        <w:numPr>
          <w:ilvl w:val="0"/>
          <w:numId w:val="31"/>
        </w:numPr>
        <w:spacing w:after="160"/>
        <w:jc w:val="both"/>
        <w:rPr>
          <w:sz w:val="20"/>
          <w:szCs w:val="20"/>
        </w:rPr>
      </w:pPr>
      <w:r w:rsidRPr="0000667A">
        <w:rPr>
          <w:sz w:val="20"/>
          <w:szCs w:val="20"/>
        </w:rPr>
        <w:t xml:space="preserve">Cibles : Equipe Greenov’i </w:t>
      </w:r>
      <w:r w:rsidR="00961ABE" w:rsidRPr="0000667A">
        <w:rPr>
          <w:sz w:val="20"/>
          <w:szCs w:val="20"/>
        </w:rPr>
        <w:t>et ses partenaires</w:t>
      </w:r>
    </w:p>
    <w:p w14:paraId="037B9916" w14:textId="31F26ED1" w:rsidR="00A73482" w:rsidRPr="0000667A" w:rsidRDefault="0041594A" w:rsidP="0041594A">
      <w:pPr>
        <w:pStyle w:val="Paragraphedeliste"/>
        <w:numPr>
          <w:ilvl w:val="0"/>
          <w:numId w:val="31"/>
        </w:numPr>
        <w:spacing w:after="160"/>
        <w:jc w:val="both"/>
        <w:rPr>
          <w:sz w:val="20"/>
          <w:szCs w:val="20"/>
        </w:rPr>
      </w:pPr>
      <w:r w:rsidRPr="0000667A">
        <w:rPr>
          <w:sz w:val="20"/>
          <w:szCs w:val="20"/>
        </w:rPr>
        <w:t>Livrable</w:t>
      </w:r>
      <w:r w:rsidR="00A73482" w:rsidRPr="0000667A">
        <w:rPr>
          <w:sz w:val="20"/>
          <w:szCs w:val="20"/>
        </w:rPr>
        <w:t xml:space="preserve"> : </w:t>
      </w:r>
      <w:r w:rsidRPr="0000667A">
        <w:rPr>
          <w:sz w:val="20"/>
          <w:szCs w:val="20"/>
        </w:rPr>
        <w:t>o</w:t>
      </w:r>
      <w:r w:rsidR="00A73482" w:rsidRPr="0000667A">
        <w:rPr>
          <w:sz w:val="20"/>
          <w:szCs w:val="20"/>
        </w:rPr>
        <w:t>util de mesure d’impact (à valider pendant la tenue de la séance)</w:t>
      </w:r>
    </w:p>
    <w:p w14:paraId="03FD636B" w14:textId="4EEA9050" w:rsidR="00EC6F50" w:rsidRPr="0000667A" w:rsidRDefault="00961ABE" w:rsidP="00961ABE">
      <w:pPr>
        <w:jc w:val="both"/>
        <w:rPr>
          <w:sz w:val="20"/>
          <w:szCs w:val="20"/>
        </w:rPr>
      </w:pPr>
      <w:r w:rsidRPr="0000667A">
        <w:rPr>
          <w:sz w:val="20"/>
          <w:szCs w:val="20"/>
        </w:rPr>
        <w:t xml:space="preserve">La session </w:t>
      </w:r>
      <w:r w:rsidR="00A73482" w:rsidRPr="0000667A">
        <w:rPr>
          <w:sz w:val="20"/>
          <w:szCs w:val="20"/>
        </w:rPr>
        <w:t xml:space="preserve">de validation avec </w:t>
      </w:r>
      <w:r w:rsidRPr="0000667A">
        <w:rPr>
          <w:sz w:val="20"/>
          <w:szCs w:val="20"/>
        </w:rPr>
        <w:t xml:space="preserve">l’équipe projet Greenov’i et ses partenaires </w:t>
      </w:r>
      <w:r w:rsidR="00A73482" w:rsidRPr="0000667A">
        <w:rPr>
          <w:sz w:val="20"/>
          <w:szCs w:val="20"/>
        </w:rPr>
        <w:t xml:space="preserve">vise à présenter </w:t>
      </w:r>
      <w:r w:rsidRPr="0000667A">
        <w:rPr>
          <w:sz w:val="20"/>
          <w:szCs w:val="20"/>
        </w:rPr>
        <w:t xml:space="preserve">la version finale de l’outil de mesure d’impact </w:t>
      </w:r>
      <w:r w:rsidR="00A73482" w:rsidRPr="0000667A">
        <w:rPr>
          <w:sz w:val="20"/>
          <w:szCs w:val="20"/>
        </w:rPr>
        <w:t>et rec</w:t>
      </w:r>
      <w:r w:rsidRPr="0000667A">
        <w:rPr>
          <w:sz w:val="20"/>
          <w:szCs w:val="20"/>
        </w:rPr>
        <w:t xml:space="preserve">ueillir les retours finaux. </w:t>
      </w:r>
    </w:p>
    <w:p w14:paraId="389493FC" w14:textId="77777777" w:rsidR="00553B5F" w:rsidRDefault="00553B5F" w:rsidP="00A13FB9">
      <w:pPr>
        <w:jc w:val="both"/>
        <w:rPr>
          <w:sz w:val="20"/>
          <w:szCs w:val="20"/>
        </w:rPr>
      </w:pPr>
    </w:p>
    <w:p w14:paraId="6D9C693B" w14:textId="0C74D2B5" w:rsidR="00A13FB9" w:rsidRDefault="008D2175" w:rsidP="00A13FB9">
      <w:pPr>
        <w:jc w:val="both"/>
        <w:rPr>
          <w:sz w:val="20"/>
          <w:szCs w:val="20"/>
        </w:rPr>
      </w:pPr>
      <w:r>
        <w:rPr>
          <w:sz w:val="20"/>
          <w:szCs w:val="20"/>
        </w:rPr>
        <w:t xml:space="preserve">Enfin, les </w:t>
      </w:r>
      <w:r w:rsidR="00A13FB9" w:rsidRPr="0000667A">
        <w:rPr>
          <w:sz w:val="20"/>
          <w:szCs w:val="20"/>
        </w:rPr>
        <w:t>expert.e</w:t>
      </w:r>
      <w:r>
        <w:rPr>
          <w:sz w:val="20"/>
          <w:szCs w:val="20"/>
        </w:rPr>
        <w:t xml:space="preserve">s devront </w:t>
      </w:r>
      <w:r w:rsidR="00A13FB9" w:rsidRPr="0000667A">
        <w:rPr>
          <w:sz w:val="20"/>
          <w:szCs w:val="20"/>
        </w:rPr>
        <w:t>proposer une stratégie de pérennisation de l'outil, afin d’assu</w:t>
      </w:r>
      <w:r w:rsidR="00C37231" w:rsidRPr="0000667A">
        <w:rPr>
          <w:sz w:val="20"/>
          <w:szCs w:val="20"/>
        </w:rPr>
        <w:t>rer la mise à jour des données. La question de la gouvernance de l’outil devra être prise en considération tout au long du déploiement des tro</w:t>
      </w:r>
      <w:r w:rsidR="00F5472C" w:rsidRPr="0000667A">
        <w:rPr>
          <w:sz w:val="20"/>
          <w:szCs w:val="20"/>
        </w:rPr>
        <w:t>is étapes décrites précédemment, incluant des recommandations en matière de participation des femmes à cette gouvernance.</w:t>
      </w:r>
    </w:p>
    <w:p w14:paraId="3D809A76" w14:textId="3E52267A" w:rsidR="00385190" w:rsidRPr="0000667A" w:rsidRDefault="00385190" w:rsidP="00BA2667">
      <w:pPr>
        <w:jc w:val="both"/>
        <w:rPr>
          <w:sz w:val="20"/>
          <w:szCs w:val="20"/>
        </w:rPr>
      </w:pPr>
    </w:p>
    <w:p w14:paraId="09B268CD" w14:textId="23EC9A17" w:rsidR="00385190" w:rsidRPr="0000667A" w:rsidRDefault="00C37231" w:rsidP="00C37231">
      <w:pPr>
        <w:jc w:val="both"/>
        <w:rPr>
          <w:sz w:val="20"/>
          <w:szCs w:val="20"/>
        </w:rPr>
      </w:pPr>
      <w:r w:rsidRPr="0000667A">
        <w:rPr>
          <w:sz w:val="20"/>
          <w:szCs w:val="20"/>
        </w:rPr>
        <w:t>Cette</w:t>
      </w:r>
      <w:r w:rsidR="00385190" w:rsidRPr="0000667A">
        <w:rPr>
          <w:sz w:val="20"/>
          <w:szCs w:val="20"/>
        </w:rPr>
        <w:t xml:space="preserve"> méthodologie </w:t>
      </w:r>
      <w:r w:rsidRPr="0000667A">
        <w:rPr>
          <w:sz w:val="20"/>
          <w:szCs w:val="20"/>
        </w:rPr>
        <w:t xml:space="preserve">est </w:t>
      </w:r>
      <w:r w:rsidR="00385190" w:rsidRPr="0000667A">
        <w:rPr>
          <w:sz w:val="20"/>
          <w:szCs w:val="20"/>
        </w:rPr>
        <w:t xml:space="preserve">préliminaire. Nous encourageons les </w:t>
      </w:r>
      <w:proofErr w:type="spellStart"/>
      <w:r w:rsidR="00385190" w:rsidRPr="0000667A">
        <w:rPr>
          <w:sz w:val="20"/>
          <w:szCs w:val="20"/>
        </w:rPr>
        <w:t>candidat.</w:t>
      </w:r>
      <w:proofErr w:type="gramStart"/>
      <w:r w:rsidR="00385190" w:rsidRPr="0000667A">
        <w:rPr>
          <w:sz w:val="20"/>
          <w:szCs w:val="20"/>
        </w:rPr>
        <w:t>e.s</w:t>
      </w:r>
      <w:proofErr w:type="spellEnd"/>
      <w:proofErr w:type="gramEnd"/>
      <w:r w:rsidR="00385190" w:rsidRPr="0000667A">
        <w:rPr>
          <w:sz w:val="20"/>
          <w:szCs w:val="20"/>
        </w:rPr>
        <w:t xml:space="preserve"> à évaluer cette proposition et à suggérer, le cas échéant, une autre méthodologie, s'ils estiment qu'une approche différente pourrait mieux répondre aux objectifs de la mission. Toute proposition alternative doit être accompagnée d'une justification détaillée expliquant les raisons de ces modifications et les avantages attendus.</w:t>
      </w:r>
    </w:p>
    <w:p w14:paraId="1C6B4256" w14:textId="4154FFAC" w:rsidR="00C122B6" w:rsidRPr="0000667A" w:rsidRDefault="00C122B6" w:rsidP="00BA2667">
      <w:pPr>
        <w:jc w:val="both"/>
        <w:rPr>
          <w:sz w:val="20"/>
          <w:szCs w:val="20"/>
        </w:rPr>
      </w:pPr>
    </w:p>
    <w:p w14:paraId="74E15035" w14:textId="6E4CA429" w:rsidR="00A13FB9" w:rsidRPr="0000667A" w:rsidRDefault="00A13FB9" w:rsidP="00C34191">
      <w:pPr>
        <w:jc w:val="both"/>
        <w:rPr>
          <w:sz w:val="20"/>
          <w:szCs w:val="20"/>
        </w:rPr>
      </w:pPr>
      <w:r w:rsidRPr="0000667A">
        <w:rPr>
          <w:sz w:val="20"/>
          <w:szCs w:val="20"/>
        </w:rPr>
        <w:t>La date de dém</w:t>
      </w:r>
      <w:r w:rsidR="00F058EE" w:rsidRPr="0000667A">
        <w:rPr>
          <w:sz w:val="20"/>
          <w:szCs w:val="20"/>
        </w:rPr>
        <w:t xml:space="preserve">arrage </w:t>
      </w:r>
      <w:r w:rsidR="00C93C04">
        <w:rPr>
          <w:sz w:val="20"/>
          <w:szCs w:val="20"/>
        </w:rPr>
        <w:t xml:space="preserve">indicative est le </w:t>
      </w:r>
      <w:r w:rsidR="00C34191">
        <w:rPr>
          <w:sz w:val="20"/>
          <w:szCs w:val="20"/>
        </w:rPr>
        <w:t>03</w:t>
      </w:r>
      <w:bookmarkStart w:id="3" w:name="_GoBack"/>
      <w:bookmarkEnd w:id="3"/>
      <w:r w:rsidR="00C34191">
        <w:rPr>
          <w:sz w:val="20"/>
          <w:szCs w:val="20"/>
        </w:rPr>
        <w:t xml:space="preserve"> Mars </w:t>
      </w:r>
      <w:r w:rsidR="00F058EE" w:rsidRPr="0000667A">
        <w:rPr>
          <w:sz w:val="20"/>
          <w:szCs w:val="20"/>
        </w:rPr>
        <w:t xml:space="preserve"> </w:t>
      </w:r>
      <w:r w:rsidR="00823201">
        <w:rPr>
          <w:sz w:val="20"/>
          <w:szCs w:val="20"/>
        </w:rPr>
        <w:t>2025</w:t>
      </w:r>
      <w:r w:rsidRPr="0000667A">
        <w:rPr>
          <w:sz w:val="20"/>
          <w:szCs w:val="20"/>
        </w:rPr>
        <w:t>.</w:t>
      </w:r>
    </w:p>
    <w:p w14:paraId="794BFDCC" w14:textId="77777777" w:rsidR="00A13FB9" w:rsidRPr="0000667A" w:rsidRDefault="00A13FB9" w:rsidP="00BA2667">
      <w:pPr>
        <w:jc w:val="both"/>
        <w:rPr>
          <w:sz w:val="20"/>
          <w:szCs w:val="20"/>
        </w:rPr>
      </w:pPr>
    </w:p>
    <w:tbl>
      <w:tblPr>
        <w:tblStyle w:val="a"/>
        <w:tblpPr w:leftFromText="141" w:rightFromText="141" w:vertAnchor="text" w:horzAnchor="margin" w:tblpY="14"/>
        <w:tblW w:w="489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240"/>
        <w:gridCol w:w="3582"/>
      </w:tblGrid>
      <w:tr w:rsidR="00C122B6" w:rsidRPr="0000667A" w14:paraId="53603E47" w14:textId="77777777" w:rsidTr="00C93C04">
        <w:trPr>
          <w:trHeight w:val="143"/>
        </w:trPr>
        <w:tc>
          <w:tcPr>
            <w:tcW w:w="2970" w:type="pct"/>
            <w:tcMar>
              <w:top w:w="0" w:type="dxa"/>
              <w:left w:w="100" w:type="dxa"/>
              <w:bottom w:w="0" w:type="dxa"/>
              <w:right w:w="100" w:type="dxa"/>
            </w:tcMar>
            <w:vAlign w:val="center"/>
          </w:tcPr>
          <w:p w14:paraId="59DCAA1E" w14:textId="77777777" w:rsidR="00670D1C" w:rsidRPr="0000667A" w:rsidRDefault="00C122B6" w:rsidP="00670D1C">
            <w:pPr>
              <w:spacing w:before="240"/>
              <w:jc w:val="center"/>
              <w:rPr>
                <w:b/>
                <w:sz w:val="20"/>
                <w:szCs w:val="20"/>
              </w:rPr>
            </w:pPr>
            <w:r w:rsidRPr="0000667A">
              <w:rPr>
                <w:b/>
                <w:sz w:val="20"/>
                <w:szCs w:val="20"/>
              </w:rPr>
              <w:t>Livrables</w:t>
            </w:r>
          </w:p>
        </w:tc>
        <w:tc>
          <w:tcPr>
            <w:tcW w:w="2030" w:type="pct"/>
            <w:tcMar>
              <w:top w:w="0" w:type="dxa"/>
              <w:left w:w="100" w:type="dxa"/>
              <w:bottom w:w="0" w:type="dxa"/>
              <w:right w:w="100" w:type="dxa"/>
            </w:tcMar>
            <w:vAlign w:val="center"/>
          </w:tcPr>
          <w:p w14:paraId="017728AE" w14:textId="77777777" w:rsidR="00670D1C" w:rsidRPr="0000667A" w:rsidRDefault="00C122B6" w:rsidP="00670D1C">
            <w:pPr>
              <w:spacing w:before="240"/>
              <w:jc w:val="center"/>
              <w:rPr>
                <w:b/>
                <w:sz w:val="20"/>
                <w:szCs w:val="20"/>
              </w:rPr>
            </w:pPr>
            <w:r w:rsidRPr="0000667A">
              <w:rPr>
                <w:b/>
                <w:sz w:val="20"/>
                <w:szCs w:val="20"/>
              </w:rPr>
              <w:t>Date de livraison</w:t>
            </w:r>
          </w:p>
        </w:tc>
      </w:tr>
      <w:tr w:rsidR="00C122B6" w:rsidRPr="0000667A" w14:paraId="7F0774D7" w14:textId="77777777" w:rsidTr="00C93C04">
        <w:trPr>
          <w:trHeight w:val="108"/>
        </w:trPr>
        <w:tc>
          <w:tcPr>
            <w:tcW w:w="2970" w:type="pct"/>
            <w:tcMar>
              <w:top w:w="0" w:type="dxa"/>
              <w:left w:w="100" w:type="dxa"/>
              <w:bottom w:w="0" w:type="dxa"/>
              <w:right w:w="100" w:type="dxa"/>
            </w:tcMar>
          </w:tcPr>
          <w:p w14:paraId="2E4203EF" w14:textId="15B52F6C" w:rsidR="00C122B6" w:rsidRPr="00C93C04" w:rsidRDefault="00C93C04" w:rsidP="00C93C04">
            <w:pPr>
              <w:pStyle w:val="Paragraphedeliste"/>
              <w:numPr>
                <w:ilvl w:val="0"/>
                <w:numId w:val="43"/>
              </w:numPr>
              <w:spacing w:before="240"/>
              <w:rPr>
                <w:sz w:val="20"/>
                <w:szCs w:val="20"/>
              </w:rPr>
            </w:pPr>
            <w:r>
              <w:rPr>
                <w:sz w:val="20"/>
                <w:szCs w:val="20"/>
              </w:rPr>
              <w:t>Etat des lieux</w:t>
            </w:r>
            <w:r w:rsidR="00C122B6" w:rsidRPr="00C93C04">
              <w:rPr>
                <w:sz w:val="20"/>
                <w:szCs w:val="20"/>
              </w:rPr>
              <w:t xml:space="preserve"> de</w:t>
            </w:r>
            <w:r>
              <w:rPr>
                <w:sz w:val="20"/>
                <w:szCs w:val="20"/>
              </w:rPr>
              <w:t xml:space="preserve">s outils </w:t>
            </w:r>
            <w:r w:rsidR="00C122B6" w:rsidRPr="00C93C04">
              <w:rPr>
                <w:sz w:val="20"/>
                <w:szCs w:val="20"/>
              </w:rPr>
              <w:t>existant</w:t>
            </w:r>
            <w:r>
              <w:rPr>
                <w:sz w:val="20"/>
                <w:szCs w:val="20"/>
              </w:rPr>
              <w:t>s</w:t>
            </w:r>
            <w:r w:rsidR="00F058EE" w:rsidRPr="00C93C04">
              <w:rPr>
                <w:sz w:val="20"/>
                <w:szCs w:val="20"/>
              </w:rPr>
              <w:t xml:space="preserve"> (</w:t>
            </w:r>
            <w:r>
              <w:rPr>
                <w:sz w:val="20"/>
                <w:szCs w:val="20"/>
              </w:rPr>
              <w:t>(nationaux et internationaux)</w:t>
            </w:r>
          </w:p>
        </w:tc>
        <w:tc>
          <w:tcPr>
            <w:tcW w:w="2030" w:type="pct"/>
            <w:tcMar>
              <w:top w:w="0" w:type="dxa"/>
              <w:left w:w="100" w:type="dxa"/>
              <w:bottom w:w="0" w:type="dxa"/>
              <w:right w:w="100" w:type="dxa"/>
            </w:tcMar>
          </w:tcPr>
          <w:p w14:paraId="359DBA79" w14:textId="15E59977" w:rsidR="00C122B6" w:rsidRPr="0000667A" w:rsidRDefault="00325D71" w:rsidP="00670D1C">
            <w:pPr>
              <w:spacing w:before="240"/>
              <w:rPr>
                <w:sz w:val="20"/>
                <w:szCs w:val="20"/>
              </w:rPr>
            </w:pPr>
            <w:r>
              <w:rPr>
                <w:sz w:val="20"/>
                <w:szCs w:val="20"/>
              </w:rPr>
              <w:t>15</w:t>
            </w:r>
            <w:r w:rsidR="00C122B6" w:rsidRPr="0000667A">
              <w:rPr>
                <w:sz w:val="20"/>
                <w:szCs w:val="20"/>
              </w:rPr>
              <w:t xml:space="preserve"> jours après la tenue de la réunion de démarrage</w:t>
            </w:r>
          </w:p>
        </w:tc>
      </w:tr>
      <w:tr w:rsidR="00C122B6" w:rsidRPr="0000667A" w14:paraId="5CFCECEF" w14:textId="77777777" w:rsidTr="00C93C04">
        <w:trPr>
          <w:trHeight w:val="108"/>
        </w:trPr>
        <w:tc>
          <w:tcPr>
            <w:tcW w:w="2970" w:type="pct"/>
            <w:tcMar>
              <w:top w:w="0" w:type="dxa"/>
              <w:left w:w="100" w:type="dxa"/>
              <w:bottom w:w="0" w:type="dxa"/>
              <w:right w:w="100" w:type="dxa"/>
            </w:tcMar>
          </w:tcPr>
          <w:p w14:paraId="5C1A67D8" w14:textId="61E3AE32" w:rsidR="00C122B6" w:rsidRPr="00C93C04" w:rsidRDefault="00C122B6" w:rsidP="00C93C04">
            <w:pPr>
              <w:pStyle w:val="Paragraphedeliste"/>
              <w:numPr>
                <w:ilvl w:val="0"/>
                <w:numId w:val="43"/>
              </w:numPr>
              <w:spacing w:before="240"/>
              <w:rPr>
                <w:sz w:val="20"/>
                <w:szCs w:val="20"/>
              </w:rPr>
            </w:pPr>
            <w:r w:rsidRPr="00C93C04">
              <w:rPr>
                <w:sz w:val="20"/>
                <w:szCs w:val="20"/>
              </w:rPr>
              <w:t>Compte-rendu des différents entretiens avec les acteurs de l’écosystème</w:t>
            </w:r>
          </w:p>
        </w:tc>
        <w:tc>
          <w:tcPr>
            <w:tcW w:w="2030" w:type="pct"/>
            <w:tcMar>
              <w:top w:w="0" w:type="dxa"/>
              <w:left w:w="100" w:type="dxa"/>
              <w:bottom w:w="0" w:type="dxa"/>
              <w:right w:w="100" w:type="dxa"/>
            </w:tcMar>
          </w:tcPr>
          <w:p w14:paraId="7C0EC087" w14:textId="77777777" w:rsidR="00C122B6" w:rsidRPr="0000667A" w:rsidRDefault="00670D1C" w:rsidP="00670D1C">
            <w:pPr>
              <w:spacing w:before="240"/>
              <w:rPr>
                <w:sz w:val="20"/>
                <w:szCs w:val="20"/>
              </w:rPr>
            </w:pPr>
            <w:r w:rsidRPr="0000667A">
              <w:rPr>
                <w:sz w:val="20"/>
                <w:szCs w:val="20"/>
              </w:rPr>
              <w:t>U</w:t>
            </w:r>
            <w:r w:rsidR="00C122B6" w:rsidRPr="0000667A">
              <w:rPr>
                <w:sz w:val="20"/>
                <w:szCs w:val="20"/>
              </w:rPr>
              <w:t>ne semaine a</w:t>
            </w:r>
            <w:r w:rsidR="004F610B" w:rsidRPr="0000667A">
              <w:rPr>
                <w:sz w:val="20"/>
                <w:szCs w:val="20"/>
              </w:rPr>
              <w:t>près la tenue de l’ensemble des</w:t>
            </w:r>
            <w:r w:rsidR="00C122B6" w:rsidRPr="0000667A">
              <w:rPr>
                <w:sz w:val="20"/>
                <w:szCs w:val="20"/>
              </w:rPr>
              <w:t xml:space="preserve"> entretiens</w:t>
            </w:r>
          </w:p>
        </w:tc>
      </w:tr>
      <w:tr w:rsidR="00B86B71" w:rsidRPr="0000667A" w14:paraId="40DE60FA" w14:textId="77777777" w:rsidTr="00C93C04">
        <w:trPr>
          <w:trHeight w:val="108"/>
        </w:trPr>
        <w:tc>
          <w:tcPr>
            <w:tcW w:w="2970" w:type="pct"/>
            <w:tcMar>
              <w:top w:w="0" w:type="dxa"/>
              <w:left w:w="100" w:type="dxa"/>
              <w:bottom w:w="0" w:type="dxa"/>
              <w:right w:w="100" w:type="dxa"/>
            </w:tcMar>
          </w:tcPr>
          <w:p w14:paraId="7FD19575" w14:textId="5878803F" w:rsidR="00B86B71" w:rsidRPr="00C93C04" w:rsidRDefault="00B86B71" w:rsidP="00C93C04">
            <w:pPr>
              <w:pStyle w:val="Paragraphedeliste"/>
              <w:numPr>
                <w:ilvl w:val="0"/>
                <w:numId w:val="43"/>
              </w:numPr>
              <w:spacing w:before="240"/>
              <w:rPr>
                <w:sz w:val="20"/>
                <w:szCs w:val="20"/>
              </w:rPr>
            </w:pPr>
            <w:r w:rsidRPr="00C93C04">
              <w:rPr>
                <w:sz w:val="20"/>
                <w:szCs w:val="20"/>
              </w:rPr>
              <w:t>Modèle de gouvernance de l’outil de mesure d’impact</w:t>
            </w:r>
          </w:p>
        </w:tc>
        <w:tc>
          <w:tcPr>
            <w:tcW w:w="2030" w:type="pct"/>
            <w:tcMar>
              <w:top w:w="0" w:type="dxa"/>
              <w:left w:w="100" w:type="dxa"/>
              <w:bottom w:w="0" w:type="dxa"/>
              <w:right w:w="100" w:type="dxa"/>
            </w:tcMar>
          </w:tcPr>
          <w:p w14:paraId="265FB639" w14:textId="3E077FC4" w:rsidR="00B86B71" w:rsidRPr="0000667A" w:rsidRDefault="002F5B33" w:rsidP="00670D1C">
            <w:pPr>
              <w:spacing w:before="240"/>
              <w:rPr>
                <w:sz w:val="20"/>
                <w:szCs w:val="20"/>
              </w:rPr>
            </w:pPr>
            <w:r w:rsidRPr="0000667A">
              <w:rPr>
                <w:sz w:val="20"/>
                <w:szCs w:val="20"/>
              </w:rPr>
              <w:t>T0 + 2 mois</w:t>
            </w:r>
          </w:p>
        </w:tc>
      </w:tr>
      <w:tr w:rsidR="00C122B6" w:rsidRPr="0000667A" w14:paraId="3A83044E" w14:textId="77777777" w:rsidTr="00C93C04">
        <w:trPr>
          <w:trHeight w:val="108"/>
        </w:trPr>
        <w:tc>
          <w:tcPr>
            <w:tcW w:w="2970" w:type="pct"/>
            <w:tcMar>
              <w:top w:w="0" w:type="dxa"/>
              <w:left w:w="100" w:type="dxa"/>
              <w:bottom w:w="0" w:type="dxa"/>
              <w:right w:w="100" w:type="dxa"/>
            </w:tcMar>
          </w:tcPr>
          <w:p w14:paraId="5158D665" w14:textId="084FECDD" w:rsidR="00C122B6" w:rsidRPr="00C93C04" w:rsidRDefault="00F058EE" w:rsidP="00C93C04">
            <w:pPr>
              <w:pStyle w:val="Paragraphedeliste"/>
              <w:numPr>
                <w:ilvl w:val="0"/>
                <w:numId w:val="43"/>
              </w:numPr>
              <w:spacing w:before="240"/>
              <w:rPr>
                <w:sz w:val="20"/>
                <w:szCs w:val="20"/>
              </w:rPr>
            </w:pPr>
            <w:r w:rsidRPr="00C93C04">
              <w:rPr>
                <w:sz w:val="20"/>
                <w:szCs w:val="20"/>
              </w:rPr>
              <w:t>Outil de mesure d’impact</w:t>
            </w:r>
            <w:r w:rsidR="00C122B6" w:rsidRPr="00C93C04">
              <w:rPr>
                <w:sz w:val="20"/>
                <w:szCs w:val="20"/>
              </w:rPr>
              <w:t xml:space="preserve"> – </w:t>
            </w:r>
            <w:r w:rsidRPr="00C93C04">
              <w:rPr>
                <w:sz w:val="20"/>
                <w:szCs w:val="20"/>
              </w:rPr>
              <w:t xml:space="preserve">Livrable </w:t>
            </w:r>
            <w:r w:rsidR="00C122B6" w:rsidRPr="00C93C04">
              <w:rPr>
                <w:sz w:val="20"/>
                <w:szCs w:val="20"/>
              </w:rPr>
              <w:t>intermédiaire</w:t>
            </w:r>
            <w:r w:rsidR="00F5472C" w:rsidRPr="00C93C04">
              <w:rPr>
                <w:sz w:val="20"/>
                <w:szCs w:val="20"/>
              </w:rPr>
              <w:t>, intégrant la gouvernance et la stratégie de diffusion</w:t>
            </w:r>
            <w:r w:rsidR="00B86B71" w:rsidRPr="00C93C04">
              <w:rPr>
                <w:sz w:val="20"/>
                <w:szCs w:val="20"/>
              </w:rPr>
              <w:t xml:space="preserve"> auprès des potentiels utilisateurs de l’outil</w:t>
            </w:r>
          </w:p>
        </w:tc>
        <w:tc>
          <w:tcPr>
            <w:tcW w:w="2030" w:type="pct"/>
            <w:tcMar>
              <w:top w:w="0" w:type="dxa"/>
              <w:left w:w="100" w:type="dxa"/>
              <w:bottom w:w="0" w:type="dxa"/>
              <w:right w:w="100" w:type="dxa"/>
            </w:tcMar>
          </w:tcPr>
          <w:p w14:paraId="5825BAFB" w14:textId="383C1C71" w:rsidR="00C122B6" w:rsidRPr="0000667A" w:rsidRDefault="00670D1C" w:rsidP="00F058EE">
            <w:pPr>
              <w:spacing w:before="240"/>
              <w:rPr>
                <w:sz w:val="20"/>
                <w:szCs w:val="20"/>
              </w:rPr>
            </w:pPr>
            <w:r w:rsidRPr="0000667A">
              <w:rPr>
                <w:sz w:val="20"/>
                <w:szCs w:val="20"/>
              </w:rPr>
              <w:t>T</w:t>
            </w:r>
            <w:r w:rsidR="00C37231" w:rsidRPr="0000667A">
              <w:rPr>
                <w:sz w:val="20"/>
                <w:szCs w:val="20"/>
              </w:rPr>
              <w:t>0 + 3</w:t>
            </w:r>
            <w:r w:rsidR="00C122B6" w:rsidRPr="0000667A">
              <w:rPr>
                <w:sz w:val="20"/>
                <w:szCs w:val="20"/>
              </w:rPr>
              <w:t xml:space="preserve"> mois</w:t>
            </w:r>
            <w:r w:rsidRPr="0000667A">
              <w:rPr>
                <w:sz w:val="20"/>
                <w:szCs w:val="20"/>
              </w:rPr>
              <w:t xml:space="preserve"> </w:t>
            </w:r>
          </w:p>
        </w:tc>
      </w:tr>
      <w:tr w:rsidR="00C122B6" w:rsidRPr="0000667A" w14:paraId="41F35BF1" w14:textId="77777777" w:rsidTr="00C93C04">
        <w:trPr>
          <w:trHeight w:val="241"/>
        </w:trPr>
        <w:tc>
          <w:tcPr>
            <w:tcW w:w="2970" w:type="pct"/>
            <w:tcMar>
              <w:top w:w="0" w:type="dxa"/>
              <w:left w:w="100" w:type="dxa"/>
              <w:bottom w:w="0" w:type="dxa"/>
              <w:right w:w="100" w:type="dxa"/>
            </w:tcMar>
          </w:tcPr>
          <w:p w14:paraId="4F48E500" w14:textId="7398366E" w:rsidR="00C122B6" w:rsidRPr="00C93C04" w:rsidRDefault="00F058EE" w:rsidP="00C93C04">
            <w:pPr>
              <w:pStyle w:val="Paragraphedeliste"/>
              <w:numPr>
                <w:ilvl w:val="0"/>
                <w:numId w:val="43"/>
              </w:numPr>
              <w:spacing w:before="240"/>
              <w:rPr>
                <w:sz w:val="20"/>
                <w:szCs w:val="20"/>
              </w:rPr>
            </w:pPr>
            <w:r w:rsidRPr="00C93C04">
              <w:rPr>
                <w:sz w:val="20"/>
                <w:szCs w:val="20"/>
              </w:rPr>
              <w:t>Outil de mesure d’impact – Livrable final</w:t>
            </w:r>
          </w:p>
        </w:tc>
        <w:tc>
          <w:tcPr>
            <w:tcW w:w="2030" w:type="pct"/>
            <w:tcMar>
              <w:top w:w="0" w:type="dxa"/>
              <w:left w:w="100" w:type="dxa"/>
              <w:bottom w:w="0" w:type="dxa"/>
              <w:right w:w="100" w:type="dxa"/>
            </w:tcMar>
          </w:tcPr>
          <w:p w14:paraId="3A860179" w14:textId="26990FBA" w:rsidR="00C122B6" w:rsidRPr="0000667A" w:rsidRDefault="00823201" w:rsidP="00F058EE">
            <w:pPr>
              <w:spacing w:before="240"/>
              <w:rPr>
                <w:sz w:val="20"/>
                <w:szCs w:val="20"/>
              </w:rPr>
            </w:pPr>
            <w:r>
              <w:rPr>
                <w:sz w:val="20"/>
                <w:szCs w:val="20"/>
              </w:rPr>
              <w:t>T0 + 4</w:t>
            </w:r>
            <w:r w:rsidR="00C122B6" w:rsidRPr="0000667A">
              <w:rPr>
                <w:sz w:val="20"/>
                <w:szCs w:val="20"/>
              </w:rPr>
              <w:t xml:space="preserve"> mois</w:t>
            </w:r>
            <w:r w:rsidR="00670D1C" w:rsidRPr="0000667A">
              <w:rPr>
                <w:sz w:val="20"/>
                <w:szCs w:val="20"/>
              </w:rPr>
              <w:t xml:space="preserve"> </w:t>
            </w:r>
          </w:p>
        </w:tc>
      </w:tr>
      <w:tr w:rsidR="00C93C04" w:rsidRPr="0000667A" w14:paraId="7B749030" w14:textId="77777777" w:rsidTr="00C93C04">
        <w:trPr>
          <w:trHeight w:val="241"/>
        </w:trPr>
        <w:tc>
          <w:tcPr>
            <w:tcW w:w="2970" w:type="pct"/>
            <w:tcMar>
              <w:top w:w="0" w:type="dxa"/>
              <w:left w:w="100" w:type="dxa"/>
              <w:bottom w:w="0" w:type="dxa"/>
              <w:right w:w="100" w:type="dxa"/>
            </w:tcMar>
          </w:tcPr>
          <w:p w14:paraId="2D9403D8" w14:textId="49014DF5" w:rsidR="00C93C04" w:rsidRPr="00C93C04" w:rsidRDefault="00C93C04" w:rsidP="00C93C04">
            <w:pPr>
              <w:pStyle w:val="Paragraphedeliste"/>
              <w:numPr>
                <w:ilvl w:val="0"/>
                <w:numId w:val="43"/>
              </w:numPr>
              <w:spacing w:before="240"/>
              <w:rPr>
                <w:sz w:val="20"/>
                <w:szCs w:val="20"/>
              </w:rPr>
            </w:pPr>
            <w:r w:rsidRPr="00C93C04">
              <w:rPr>
                <w:sz w:val="20"/>
                <w:szCs w:val="20"/>
              </w:rPr>
              <w:t>Présentations PPT diverses</w:t>
            </w:r>
          </w:p>
        </w:tc>
        <w:tc>
          <w:tcPr>
            <w:tcW w:w="2030" w:type="pct"/>
            <w:tcMar>
              <w:top w:w="0" w:type="dxa"/>
              <w:left w:w="100" w:type="dxa"/>
              <w:bottom w:w="0" w:type="dxa"/>
              <w:right w:w="100" w:type="dxa"/>
            </w:tcMar>
          </w:tcPr>
          <w:p w14:paraId="2264433F" w14:textId="5C7DE9C4" w:rsidR="00C93C04" w:rsidRDefault="00C93C04" w:rsidP="00C93C04">
            <w:pPr>
              <w:spacing w:before="240"/>
              <w:rPr>
                <w:sz w:val="20"/>
                <w:szCs w:val="20"/>
              </w:rPr>
            </w:pPr>
            <w:r w:rsidRPr="0000667A">
              <w:rPr>
                <w:sz w:val="20"/>
                <w:szCs w:val="20"/>
              </w:rPr>
              <w:t>A la fin de la mission</w:t>
            </w:r>
          </w:p>
        </w:tc>
      </w:tr>
    </w:tbl>
    <w:p w14:paraId="301B165A" w14:textId="705D7646" w:rsidR="00C122B6" w:rsidRPr="0000667A" w:rsidRDefault="00C122B6" w:rsidP="00BA2667">
      <w:pPr>
        <w:jc w:val="both"/>
        <w:rPr>
          <w:sz w:val="20"/>
          <w:szCs w:val="20"/>
        </w:rPr>
      </w:pPr>
    </w:p>
    <w:p w14:paraId="331443AA" w14:textId="5357E312" w:rsidR="00A51632" w:rsidRPr="0000667A" w:rsidRDefault="008D2175" w:rsidP="008D2175">
      <w:pPr>
        <w:jc w:val="both"/>
        <w:rPr>
          <w:sz w:val="20"/>
          <w:szCs w:val="20"/>
        </w:rPr>
      </w:pPr>
      <w:r>
        <w:rPr>
          <w:sz w:val="20"/>
          <w:szCs w:val="20"/>
        </w:rPr>
        <w:t xml:space="preserve">Les </w:t>
      </w:r>
      <w:r w:rsidR="00A51632" w:rsidRPr="0000667A">
        <w:rPr>
          <w:sz w:val="20"/>
          <w:szCs w:val="20"/>
        </w:rPr>
        <w:t>expert.e</w:t>
      </w:r>
      <w:r>
        <w:rPr>
          <w:sz w:val="20"/>
          <w:szCs w:val="20"/>
        </w:rPr>
        <w:t>s devront</w:t>
      </w:r>
      <w:r w:rsidR="00A51632" w:rsidRPr="0000667A">
        <w:rPr>
          <w:sz w:val="20"/>
          <w:szCs w:val="20"/>
        </w:rPr>
        <w:t xml:space="preserve"> notamment se référer à la Charte Verte et au Glossaire Greenov’i, documents de références du projet.</w:t>
      </w:r>
      <w:r w:rsidR="00F5472C" w:rsidRPr="0000667A">
        <w:rPr>
          <w:sz w:val="20"/>
          <w:szCs w:val="20"/>
        </w:rPr>
        <w:t xml:space="preserve"> Par ailleurs, </w:t>
      </w:r>
      <w:proofErr w:type="spellStart"/>
      <w:proofErr w:type="gramStart"/>
      <w:r w:rsidR="00F5472C" w:rsidRPr="0000667A">
        <w:rPr>
          <w:sz w:val="20"/>
          <w:szCs w:val="20"/>
        </w:rPr>
        <w:t>il</w:t>
      </w:r>
      <w:r>
        <w:rPr>
          <w:sz w:val="20"/>
          <w:szCs w:val="20"/>
        </w:rPr>
        <w:t>.s</w:t>
      </w:r>
      <w:proofErr w:type="spellEnd"/>
      <w:proofErr w:type="gramEnd"/>
      <w:r>
        <w:rPr>
          <w:sz w:val="20"/>
          <w:szCs w:val="20"/>
        </w:rPr>
        <w:t>/</w:t>
      </w:r>
      <w:proofErr w:type="spellStart"/>
      <w:r w:rsidR="00F5472C" w:rsidRPr="0000667A">
        <w:rPr>
          <w:sz w:val="20"/>
          <w:szCs w:val="20"/>
        </w:rPr>
        <w:t>elle</w:t>
      </w:r>
      <w:r>
        <w:rPr>
          <w:sz w:val="20"/>
          <w:szCs w:val="20"/>
        </w:rPr>
        <w:t>.s</w:t>
      </w:r>
      <w:proofErr w:type="spellEnd"/>
      <w:r>
        <w:rPr>
          <w:sz w:val="20"/>
          <w:szCs w:val="20"/>
        </w:rPr>
        <w:t xml:space="preserve"> devront</w:t>
      </w:r>
      <w:r w:rsidR="00F5472C" w:rsidRPr="0000667A">
        <w:rPr>
          <w:sz w:val="20"/>
          <w:szCs w:val="20"/>
        </w:rPr>
        <w:t xml:space="preserve"> aussi s’appuyer sur le travail élaboré en interne dans le cadre du suivi-évaluation du projet Greenov’i. </w:t>
      </w:r>
    </w:p>
    <w:p w14:paraId="4C8F5DF4" w14:textId="77777777" w:rsidR="00A51632" w:rsidRPr="0000667A" w:rsidRDefault="00A51632" w:rsidP="00BA2667">
      <w:pPr>
        <w:jc w:val="both"/>
        <w:rPr>
          <w:sz w:val="20"/>
          <w:szCs w:val="20"/>
        </w:rPr>
      </w:pPr>
    </w:p>
    <w:p w14:paraId="1A354075" w14:textId="77777777" w:rsidR="00B817CF" w:rsidRPr="0000667A" w:rsidRDefault="00B817CF" w:rsidP="00C93C04">
      <w:pPr>
        <w:pStyle w:val="Paragraphedeliste"/>
        <w:numPr>
          <w:ilvl w:val="0"/>
          <w:numId w:val="43"/>
        </w:numPr>
        <w:spacing w:after="100" w:afterAutospacing="1" w:line="240" w:lineRule="auto"/>
        <w:jc w:val="both"/>
        <w:rPr>
          <w:rFonts w:eastAsia="Times New Roman"/>
          <w:b/>
          <w:bCs/>
          <w:i/>
          <w:iCs/>
          <w:color w:val="0070C0"/>
          <w:sz w:val="20"/>
          <w:szCs w:val="20"/>
        </w:rPr>
      </w:pPr>
      <w:r w:rsidRPr="0000667A">
        <w:rPr>
          <w:rFonts w:eastAsia="Times New Roman"/>
          <w:b/>
          <w:bCs/>
          <w:i/>
          <w:iCs/>
          <w:color w:val="0070C0"/>
          <w:sz w:val="20"/>
          <w:szCs w:val="20"/>
        </w:rPr>
        <w:t>Déroulement de la mission</w:t>
      </w:r>
    </w:p>
    <w:p w14:paraId="07F6801B" w14:textId="5A0B9FA4" w:rsidR="00B817CF" w:rsidRPr="0000667A" w:rsidRDefault="008D2175" w:rsidP="00F058EE">
      <w:pPr>
        <w:jc w:val="both"/>
        <w:rPr>
          <w:rFonts w:eastAsia="Times New Roman"/>
          <w:iCs/>
          <w:sz w:val="20"/>
          <w:szCs w:val="20"/>
        </w:rPr>
      </w:pPr>
      <w:r>
        <w:rPr>
          <w:rFonts w:eastAsia="Times New Roman"/>
          <w:iCs/>
          <w:sz w:val="20"/>
          <w:szCs w:val="20"/>
        </w:rPr>
        <w:t>Les expert.es</w:t>
      </w:r>
      <w:r w:rsidR="00B817CF" w:rsidRPr="0000667A">
        <w:rPr>
          <w:rFonts w:eastAsia="Times New Roman"/>
          <w:iCs/>
          <w:sz w:val="20"/>
          <w:szCs w:val="20"/>
        </w:rPr>
        <w:t xml:space="preserve"> inte</w:t>
      </w:r>
      <w:r>
        <w:rPr>
          <w:rFonts w:eastAsia="Times New Roman"/>
          <w:iCs/>
          <w:sz w:val="20"/>
          <w:szCs w:val="20"/>
        </w:rPr>
        <w:t>rviendront</w:t>
      </w:r>
      <w:r w:rsidR="00F058EE" w:rsidRPr="0000667A">
        <w:rPr>
          <w:rFonts w:eastAsia="Times New Roman"/>
          <w:iCs/>
          <w:sz w:val="20"/>
          <w:szCs w:val="20"/>
        </w:rPr>
        <w:t xml:space="preserve"> de manière ponctuelle en précisant les jours/homme nécessaires à la réalisation de cette mission. </w:t>
      </w:r>
      <w:r w:rsidR="00352837">
        <w:rPr>
          <w:rFonts w:eastAsia="Times New Roman"/>
          <w:iCs/>
          <w:sz w:val="20"/>
          <w:szCs w:val="20"/>
        </w:rPr>
        <w:t>La</w:t>
      </w:r>
      <w:r w:rsidR="00B817CF" w:rsidRPr="0000667A">
        <w:rPr>
          <w:rFonts w:eastAsia="Times New Roman"/>
          <w:iCs/>
          <w:sz w:val="20"/>
          <w:szCs w:val="20"/>
        </w:rPr>
        <w:t xml:space="preserve"> mission </w:t>
      </w:r>
      <w:proofErr w:type="gramStart"/>
      <w:r w:rsidR="00B817CF" w:rsidRPr="0000667A">
        <w:rPr>
          <w:rFonts w:eastAsia="Times New Roman"/>
          <w:iCs/>
          <w:sz w:val="20"/>
          <w:szCs w:val="20"/>
        </w:rPr>
        <w:t xml:space="preserve">se </w:t>
      </w:r>
      <w:r w:rsidR="00352837">
        <w:rPr>
          <w:rFonts w:eastAsia="Times New Roman"/>
          <w:iCs/>
          <w:sz w:val="20"/>
          <w:szCs w:val="20"/>
        </w:rPr>
        <w:t xml:space="preserve"> déroulera</w:t>
      </w:r>
      <w:proofErr w:type="gramEnd"/>
      <w:r w:rsidR="00352837">
        <w:rPr>
          <w:rFonts w:eastAsia="Times New Roman"/>
          <w:iCs/>
          <w:sz w:val="20"/>
          <w:szCs w:val="20"/>
        </w:rPr>
        <w:t xml:space="preserve"> </w:t>
      </w:r>
      <w:r w:rsidR="00B817CF" w:rsidRPr="0000667A">
        <w:rPr>
          <w:rFonts w:eastAsia="Times New Roman"/>
          <w:iCs/>
          <w:sz w:val="20"/>
          <w:szCs w:val="20"/>
        </w:rPr>
        <w:t xml:space="preserve">en Tunisie, avec la possibilité d’organiser des missions en dehors de la capitale. </w:t>
      </w:r>
    </w:p>
    <w:p w14:paraId="169D36BF" w14:textId="77777777" w:rsidR="00D5029E" w:rsidRPr="0000667A" w:rsidRDefault="00D5029E" w:rsidP="00B817CF">
      <w:pPr>
        <w:jc w:val="both"/>
        <w:rPr>
          <w:rFonts w:eastAsia="Times New Roman"/>
          <w:iCs/>
          <w:sz w:val="20"/>
          <w:szCs w:val="20"/>
        </w:rPr>
      </w:pPr>
    </w:p>
    <w:p w14:paraId="2849F3F0" w14:textId="77777777" w:rsidR="00D5029E" w:rsidRPr="0000667A" w:rsidRDefault="00D5029E" w:rsidP="00C93C04">
      <w:pPr>
        <w:pStyle w:val="Paragraphedeliste"/>
        <w:numPr>
          <w:ilvl w:val="0"/>
          <w:numId w:val="43"/>
        </w:numPr>
        <w:spacing w:after="100" w:afterAutospacing="1" w:line="240" w:lineRule="auto"/>
        <w:jc w:val="both"/>
        <w:rPr>
          <w:rFonts w:eastAsia="Times New Roman"/>
          <w:b/>
          <w:bCs/>
          <w:i/>
          <w:iCs/>
          <w:color w:val="0070C0"/>
          <w:sz w:val="20"/>
          <w:szCs w:val="20"/>
        </w:rPr>
      </w:pPr>
      <w:r w:rsidRPr="0000667A">
        <w:rPr>
          <w:rFonts w:eastAsia="Times New Roman"/>
          <w:b/>
          <w:bCs/>
          <w:i/>
          <w:iCs/>
          <w:color w:val="0070C0"/>
          <w:sz w:val="20"/>
          <w:szCs w:val="20"/>
        </w:rPr>
        <w:t>Coordination</w:t>
      </w:r>
    </w:p>
    <w:p w14:paraId="1B31F650" w14:textId="630436E6" w:rsidR="00A13FB9" w:rsidRPr="0000667A" w:rsidRDefault="00D5029E" w:rsidP="002D5E98">
      <w:pPr>
        <w:spacing w:after="100" w:afterAutospacing="1" w:line="240" w:lineRule="auto"/>
        <w:jc w:val="both"/>
        <w:rPr>
          <w:rFonts w:eastAsia="Times New Roman"/>
          <w:iCs/>
          <w:sz w:val="20"/>
          <w:szCs w:val="20"/>
        </w:rPr>
      </w:pPr>
      <w:r w:rsidRPr="0000667A">
        <w:rPr>
          <w:rFonts w:eastAsia="Times New Roman"/>
          <w:iCs/>
          <w:sz w:val="20"/>
          <w:szCs w:val="20"/>
        </w:rPr>
        <w:t xml:space="preserve">Une réunion de </w:t>
      </w:r>
      <w:r w:rsidR="00385190" w:rsidRPr="0000667A">
        <w:rPr>
          <w:rFonts w:eastAsia="Times New Roman"/>
          <w:iCs/>
          <w:sz w:val="20"/>
          <w:szCs w:val="20"/>
        </w:rPr>
        <w:t xml:space="preserve">démarrage et cadrage </w:t>
      </w:r>
      <w:r w:rsidRPr="0000667A">
        <w:rPr>
          <w:rFonts w:eastAsia="Times New Roman"/>
          <w:iCs/>
          <w:sz w:val="20"/>
          <w:szCs w:val="20"/>
        </w:rPr>
        <w:t>se tiendra 7 jours après la notification du contrat.</w:t>
      </w:r>
      <w:r w:rsidR="00670D1C" w:rsidRPr="0000667A">
        <w:rPr>
          <w:rFonts w:eastAsia="Times New Roman"/>
          <w:iCs/>
          <w:sz w:val="20"/>
          <w:szCs w:val="20"/>
        </w:rPr>
        <w:t xml:space="preserve"> </w:t>
      </w:r>
      <w:r w:rsidRPr="0000667A">
        <w:rPr>
          <w:rFonts w:eastAsia="Times New Roman"/>
          <w:iCs/>
          <w:sz w:val="20"/>
          <w:szCs w:val="20"/>
        </w:rPr>
        <w:t xml:space="preserve">Une coordination étroite avec les équipes du projet Greenov’i devra impérativement être mise en place dès la préparation des missions et jusqu’à leur finalisation. </w:t>
      </w:r>
    </w:p>
    <w:p w14:paraId="0EA95DF6" w14:textId="0742B6B7" w:rsidR="00A52AE3" w:rsidRPr="0000667A" w:rsidRDefault="00FF62B2" w:rsidP="00C93C04">
      <w:pPr>
        <w:pStyle w:val="Paragraphedeliste"/>
        <w:numPr>
          <w:ilvl w:val="0"/>
          <w:numId w:val="43"/>
        </w:numPr>
        <w:spacing w:after="100" w:afterAutospacing="1" w:line="240" w:lineRule="auto"/>
        <w:jc w:val="both"/>
        <w:rPr>
          <w:rFonts w:eastAsia="Times New Roman"/>
          <w:b/>
          <w:bCs/>
          <w:i/>
          <w:iCs/>
          <w:color w:val="0070C0"/>
          <w:sz w:val="20"/>
          <w:szCs w:val="20"/>
        </w:rPr>
      </w:pPr>
      <w:r w:rsidRPr="0000667A">
        <w:rPr>
          <w:rFonts w:eastAsia="Times New Roman"/>
          <w:b/>
          <w:bCs/>
          <w:i/>
          <w:iCs/>
          <w:color w:val="0070C0"/>
          <w:sz w:val="20"/>
          <w:szCs w:val="20"/>
        </w:rPr>
        <w:t xml:space="preserve">Compétences et expériences recherchées </w:t>
      </w:r>
    </w:p>
    <w:p w14:paraId="390569E8" w14:textId="1C133819" w:rsidR="00C93C04" w:rsidRPr="00C93C04" w:rsidRDefault="00C93C04" w:rsidP="00A13FB9">
      <w:pPr>
        <w:rPr>
          <w:rFonts w:eastAsia="Times New Roman"/>
          <w:sz w:val="20"/>
          <w:szCs w:val="20"/>
        </w:rPr>
      </w:pPr>
      <w:r w:rsidRPr="00C93C04">
        <w:rPr>
          <w:rFonts w:eastAsia="Times New Roman"/>
          <w:sz w:val="20"/>
          <w:szCs w:val="20"/>
        </w:rPr>
        <w:t>Un binôme d’expert.es est attendu pour cette mission, incluant :</w:t>
      </w:r>
    </w:p>
    <w:p w14:paraId="252B5FE8" w14:textId="77777777" w:rsidR="00C93C04" w:rsidRPr="008D2175" w:rsidRDefault="00C93C04" w:rsidP="00C93C04">
      <w:pPr>
        <w:pStyle w:val="Paragraphedeliste"/>
        <w:numPr>
          <w:ilvl w:val="0"/>
          <w:numId w:val="26"/>
        </w:numPr>
        <w:spacing w:before="240" w:after="240" w:line="240" w:lineRule="auto"/>
        <w:jc w:val="both"/>
        <w:rPr>
          <w:sz w:val="20"/>
          <w:szCs w:val="20"/>
        </w:rPr>
      </w:pPr>
      <w:proofErr w:type="spellStart"/>
      <w:r w:rsidRPr="008D2175">
        <w:rPr>
          <w:b/>
          <w:sz w:val="20"/>
          <w:szCs w:val="20"/>
        </w:rPr>
        <w:t>Expert.e</w:t>
      </w:r>
      <w:proofErr w:type="spellEnd"/>
      <w:r w:rsidRPr="008D2175">
        <w:rPr>
          <w:b/>
          <w:sz w:val="20"/>
          <w:szCs w:val="20"/>
        </w:rPr>
        <w:t xml:space="preserve"> 1 :</w:t>
      </w:r>
      <w:r>
        <w:rPr>
          <w:sz w:val="20"/>
          <w:szCs w:val="20"/>
        </w:rPr>
        <w:t xml:space="preserve"> </w:t>
      </w:r>
      <w:proofErr w:type="spellStart"/>
      <w:proofErr w:type="gramStart"/>
      <w:r w:rsidRPr="008D2175">
        <w:rPr>
          <w:sz w:val="20"/>
          <w:szCs w:val="20"/>
        </w:rPr>
        <w:t>un.e</w:t>
      </w:r>
      <w:proofErr w:type="spellEnd"/>
      <w:proofErr w:type="gramEnd"/>
      <w:r w:rsidRPr="008D2175">
        <w:rPr>
          <w:sz w:val="20"/>
          <w:szCs w:val="20"/>
        </w:rPr>
        <w:t xml:space="preserve"> </w:t>
      </w:r>
      <w:proofErr w:type="spellStart"/>
      <w:r w:rsidRPr="008D2175">
        <w:rPr>
          <w:sz w:val="20"/>
          <w:szCs w:val="20"/>
        </w:rPr>
        <w:t>expert</w:t>
      </w:r>
      <w:r>
        <w:rPr>
          <w:sz w:val="20"/>
          <w:szCs w:val="20"/>
        </w:rPr>
        <w:t>.e</w:t>
      </w:r>
      <w:proofErr w:type="spellEnd"/>
      <w:r w:rsidRPr="008D2175">
        <w:rPr>
          <w:sz w:val="20"/>
          <w:szCs w:val="20"/>
        </w:rPr>
        <w:t xml:space="preserve"> </w:t>
      </w:r>
      <w:proofErr w:type="spellStart"/>
      <w:r w:rsidRPr="008D2175">
        <w:rPr>
          <w:sz w:val="20"/>
          <w:szCs w:val="20"/>
        </w:rPr>
        <w:t>spécialisé.e</w:t>
      </w:r>
      <w:proofErr w:type="spellEnd"/>
      <w:r w:rsidRPr="008D2175">
        <w:rPr>
          <w:sz w:val="20"/>
          <w:szCs w:val="20"/>
        </w:rPr>
        <w:t xml:space="preserve"> sur l’impact environnemental des entreprises, qui apportera </w:t>
      </w:r>
      <w:proofErr w:type="spellStart"/>
      <w:r w:rsidRPr="008D2175">
        <w:rPr>
          <w:sz w:val="20"/>
          <w:szCs w:val="20"/>
        </w:rPr>
        <w:t>apportera</w:t>
      </w:r>
      <w:proofErr w:type="spellEnd"/>
      <w:r w:rsidRPr="008D2175">
        <w:rPr>
          <w:sz w:val="20"/>
          <w:szCs w:val="20"/>
        </w:rPr>
        <w:t xml:space="preserve"> sa connaissance approfondie des enjeux écologiques, des méthodologies d'évaluation environnementale (ACV, empreinte carbone) et des spécificités du contexte tunisien. Il/elle définira les indicateurs clés à mesurer et assurera la cohérence de l'outil avec les normes et réglementations en vigueur.</w:t>
      </w:r>
    </w:p>
    <w:p w14:paraId="01883EA3" w14:textId="1606F988" w:rsidR="00C93C04" w:rsidRPr="00352837" w:rsidRDefault="00C93C04" w:rsidP="00C93C04">
      <w:pPr>
        <w:pStyle w:val="Paragraphedeliste"/>
        <w:numPr>
          <w:ilvl w:val="0"/>
          <w:numId w:val="26"/>
        </w:numPr>
        <w:spacing w:before="240" w:after="240" w:line="240" w:lineRule="auto"/>
        <w:jc w:val="both"/>
        <w:rPr>
          <w:sz w:val="20"/>
          <w:szCs w:val="20"/>
        </w:rPr>
      </w:pPr>
      <w:proofErr w:type="spellStart"/>
      <w:r w:rsidRPr="008D2175">
        <w:rPr>
          <w:b/>
          <w:sz w:val="20"/>
          <w:szCs w:val="20"/>
        </w:rPr>
        <w:t>Expert.e</w:t>
      </w:r>
      <w:proofErr w:type="spellEnd"/>
      <w:r w:rsidRPr="008D2175">
        <w:rPr>
          <w:b/>
          <w:sz w:val="20"/>
          <w:szCs w:val="20"/>
        </w:rPr>
        <w:t xml:space="preserve"> 2 :</w:t>
      </w:r>
      <w:r>
        <w:rPr>
          <w:sz w:val="20"/>
          <w:szCs w:val="20"/>
        </w:rPr>
        <w:t xml:space="preserve"> </w:t>
      </w:r>
      <w:proofErr w:type="spellStart"/>
      <w:proofErr w:type="gramStart"/>
      <w:r>
        <w:rPr>
          <w:sz w:val="20"/>
          <w:szCs w:val="20"/>
        </w:rPr>
        <w:t>un.e</w:t>
      </w:r>
      <w:proofErr w:type="spellEnd"/>
      <w:proofErr w:type="gramEnd"/>
      <w:r>
        <w:rPr>
          <w:sz w:val="20"/>
          <w:szCs w:val="20"/>
        </w:rPr>
        <w:t xml:space="preserve"> </w:t>
      </w:r>
      <w:proofErr w:type="spellStart"/>
      <w:r>
        <w:rPr>
          <w:sz w:val="20"/>
          <w:szCs w:val="20"/>
        </w:rPr>
        <w:t>expert.e</w:t>
      </w:r>
      <w:proofErr w:type="spellEnd"/>
      <w:r>
        <w:rPr>
          <w:sz w:val="20"/>
          <w:szCs w:val="20"/>
        </w:rPr>
        <w:t xml:space="preserve"> </w:t>
      </w:r>
      <w:r w:rsidRPr="008D2175">
        <w:rPr>
          <w:sz w:val="20"/>
          <w:szCs w:val="20"/>
        </w:rPr>
        <w:t>en d</w:t>
      </w:r>
      <w:r>
        <w:rPr>
          <w:sz w:val="20"/>
          <w:szCs w:val="20"/>
        </w:rPr>
        <w:t xml:space="preserve">éveloppement numérique, qui </w:t>
      </w:r>
      <w:r w:rsidRPr="008D2175">
        <w:rPr>
          <w:sz w:val="20"/>
          <w:szCs w:val="20"/>
        </w:rPr>
        <w:t>sera en charge de la conception et du développement technique de l'outil. Ses compét</w:t>
      </w:r>
      <w:r>
        <w:rPr>
          <w:sz w:val="20"/>
          <w:szCs w:val="20"/>
        </w:rPr>
        <w:t xml:space="preserve">ences en programmation, en </w:t>
      </w:r>
      <w:proofErr w:type="gramStart"/>
      <w:r>
        <w:rPr>
          <w:sz w:val="20"/>
          <w:szCs w:val="20"/>
        </w:rPr>
        <w:t>base</w:t>
      </w:r>
      <w:proofErr w:type="gramEnd"/>
      <w:r w:rsidRPr="008D2175">
        <w:rPr>
          <w:sz w:val="20"/>
          <w:szCs w:val="20"/>
        </w:rPr>
        <w:t xml:space="preserve"> de données e</w:t>
      </w:r>
      <w:r>
        <w:rPr>
          <w:sz w:val="20"/>
          <w:szCs w:val="20"/>
        </w:rPr>
        <w:t xml:space="preserve">t en intelligence artificielle devront permettre </w:t>
      </w:r>
      <w:r w:rsidRPr="008D2175">
        <w:rPr>
          <w:sz w:val="20"/>
          <w:szCs w:val="20"/>
        </w:rPr>
        <w:t>de créer un outil performant, intuitif et évolutif.</w:t>
      </w:r>
    </w:p>
    <w:p w14:paraId="3090E2BA" w14:textId="4D4C9BBA" w:rsidR="00C93C04" w:rsidRDefault="00C93C04" w:rsidP="00352837">
      <w:pPr>
        <w:autoSpaceDE w:val="0"/>
        <w:autoSpaceDN w:val="0"/>
        <w:adjustRightInd w:val="0"/>
        <w:rPr>
          <w:sz w:val="20"/>
          <w:szCs w:val="20"/>
        </w:rPr>
      </w:pPr>
      <w:r w:rsidRPr="00352837">
        <w:rPr>
          <w:sz w:val="20"/>
          <w:szCs w:val="20"/>
        </w:rPr>
        <w:t>Cett</w:t>
      </w:r>
      <w:r w:rsidR="00352837">
        <w:rPr>
          <w:sz w:val="20"/>
          <w:szCs w:val="20"/>
        </w:rPr>
        <w:t>e complémentarité permettra de garantir (i) l’adaptation de</w:t>
      </w:r>
      <w:r w:rsidRPr="00352837">
        <w:rPr>
          <w:sz w:val="20"/>
          <w:szCs w:val="20"/>
        </w:rPr>
        <w:t xml:space="preserve"> l'outil au contexte tunisien</w:t>
      </w:r>
      <w:r w:rsidR="00352837">
        <w:rPr>
          <w:sz w:val="20"/>
          <w:szCs w:val="20"/>
        </w:rPr>
        <w:t>, (ii)</w:t>
      </w:r>
      <w:r w:rsidRPr="00352837">
        <w:rPr>
          <w:sz w:val="20"/>
          <w:szCs w:val="20"/>
        </w:rPr>
        <w:t xml:space="preserve"> la pertinence s</w:t>
      </w:r>
      <w:r w:rsidR="00352837">
        <w:rPr>
          <w:sz w:val="20"/>
          <w:szCs w:val="20"/>
        </w:rPr>
        <w:t>cientifique du contenu et (iii) le format innovant et la performance de l’outil.</w:t>
      </w:r>
    </w:p>
    <w:p w14:paraId="0EFF033E" w14:textId="77777777" w:rsidR="00352837" w:rsidRPr="00C93C04" w:rsidRDefault="00352837" w:rsidP="00352837">
      <w:pPr>
        <w:autoSpaceDE w:val="0"/>
        <w:autoSpaceDN w:val="0"/>
        <w:adjustRightInd w:val="0"/>
        <w:rPr>
          <w:sz w:val="20"/>
          <w:szCs w:val="20"/>
        </w:rPr>
      </w:pPr>
    </w:p>
    <w:p w14:paraId="7204F0C7" w14:textId="37A933A8" w:rsidR="00352837" w:rsidRPr="00352837" w:rsidRDefault="00352837" w:rsidP="00A13FB9">
      <w:pPr>
        <w:rPr>
          <w:rFonts w:eastAsia="Times New Roman"/>
          <w:sz w:val="20"/>
          <w:szCs w:val="20"/>
          <w:u w:val="single"/>
        </w:rPr>
      </w:pPr>
      <w:r w:rsidRPr="00352837">
        <w:rPr>
          <w:rFonts w:eastAsia="Times New Roman"/>
          <w:sz w:val="20"/>
          <w:szCs w:val="20"/>
          <w:u w:val="single"/>
        </w:rPr>
        <w:t>Pour l‘</w:t>
      </w:r>
      <w:proofErr w:type="spellStart"/>
      <w:proofErr w:type="gramStart"/>
      <w:r w:rsidRPr="00352837">
        <w:rPr>
          <w:rFonts w:eastAsia="Times New Roman"/>
          <w:sz w:val="20"/>
          <w:szCs w:val="20"/>
          <w:u w:val="single"/>
        </w:rPr>
        <w:t>expert.e</w:t>
      </w:r>
      <w:proofErr w:type="spellEnd"/>
      <w:proofErr w:type="gramEnd"/>
      <w:r w:rsidRPr="00352837">
        <w:rPr>
          <w:rFonts w:eastAsia="Times New Roman"/>
          <w:sz w:val="20"/>
          <w:szCs w:val="20"/>
          <w:u w:val="single"/>
        </w:rPr>
        <w:t xml:space="preserve"> 1 : </w:t>
      </w:r>
    </w:p>
    <w:p w14:paraId="4914ADAA" w14:textId="77777777" w:rsidR="00352837" w:rsidRDefault="00352837" w:rsidP="00A13FB9">
      <w:pPr>
        <w:rPr>
          <w:rFonts w:eastAsia="Times New Roman"/>
          <w:i/>
          <w:sz w:val="20"/>
          <w:szCs w:val="20"/>
          <w:u w:val="single"/>
        </w:rPr>
      </w:pPr>
    </w:p>
    <w:p w14:paraId="5178DC14" w14:textId="712F9283" w:rsidR="00A13FB9" w:rsidRPr="0000667A" w:rsidRDefault="00A52AE3" w:rsidP="00A13FB9">
      <w:pPr>
        <w:rPr>
          <w:rFonts w:eastAsia="Times New Roman"/>
          <w:i/>
          <w:sz w:val="20"/>
          <w:szCs w:val="20"/>
          <w:u w:val="single"/>
        </w:rPr>
      </w:pPr>
      <w:r w:rsidRPr="0000667A">
        <w:rPr>
          <w:rFonts w:eastAsia="Times New Roman"/>
          <w:i/>
          <w:sz w:val="20"/>
          <w:szCs w:val="20"/>
          <w:u w:val="single"/>
        </w:rPr>
        <w:t>Qualifications et c</w:t>
      </w:r>
      <w:r w:rsidR="001D1478" w:rsidRPr="0000667A">
        <w:rPr>
          <w:rFonts w:eastAsia="Times New Roman"/>
          <w:i/>
          <w:sz w:val="20"/>
          <w:szCs w:val="20"/>
          <w:u w:val="single"/>
        </w:rPr>
        <w:t>ompétences</w:t>
      </w:r>
    </w:p>
    <w:p w14:paraId="15F5C864" w14:textId="715FFF1C" w:rsidR="00A52AE3" w:rsidRPr="0000667A" w:rsidRDefault="00A52AE3" w:rsidP="00A52AE3">
      <w:pPr>
        <w:pStyle w:val="Paragraphedeliste"/>
        <w:numPr>
          <w:ilvl w:val="0"/>
          <w:numId w:val="36"/>
        </w:numPr>
        <w:spacing w:after="160" w:line="259" w:lineRule="auto"/>
        <w:jc w:val="both"/>
        <w:rPr>
          <w:rFonts w:eastAsia="Times New Roman"/>
          <w:iCs/>
          <w:sz w:val="20"/>
          <w:szCs w:val="20"/>
        </w:rPr>
      </w:pPr>
      <w:r w:rsidRPr="0000667A">
        <w:rPr>
          <w:rFonts w:eastAsia="Times New Roman"/>
          <w:iCs/>
          <w:sz w:val="20"/>
          <w:szCs w:val="20"/>
        </w:rPr>
        <w:t>Titulaire d’un Bac+5 en développement durable, économie verte, sciences environnementales, politiques publiques, ou finance verte autre discipline pertinente ;</w:t>
      </w:r>
    </w:p>
    <w:p w14:paraId="23E2E42A" w14:textId="77777777" w:rsidR="00FF62B2" w:rsidRPr="0000667A" w:rsidRDefault="00FF62B2" w:rsidP="00FF62B2">
      <w:pPr>
        <w:pStyle w:val="Paragraphedeliste"/>
        <w:numPr>
          <w:ilvl w:val="0"/>
          <w:numId w:val="15"/>
        </w:numPr>
        <w:spacing w:line="240" w:lineRule="auto"/>
        <w:rPr>
          <w:rFonts w:eastAsia="Times New Roman"/>
          <w:iCs/>
          <w:sz w:val="20"/>
          <w:szCs w:val="20"/>
        </w:rPr>
      </w:pPr>
      <w:r w:rsidRPr="0000667A">
        <w:rPr>
          <w:rFonts w:eastAsia="Times New Roman"/>
          <w:iCs/>
          <w:sz w:val="20"/>
          <w:szCs w:val="20"/>
        </w:rPr>
        <w:t xml:space="preserve">Connaissance des enjeux d’entrepreneuriat et de soutien au secteur privé ; </w:t>
      </w:r>
    </w:p>
    <w:p w14:paraId="5257D462" w14:textId="77777777" w:rsidR="00FF62B2" w:rsidRPr="0000667A" w:rsidRDefault="00FF62B2" w:rsidP="00FF62B2">
      <w:pPr>
        <w:pStyle w:val="Paragraphedeliste"/>
        <w:numPr>
          <w:ilvl w:val="0"/>
          <w:numId w:val="15"/>
        </w:numPr>
        <w:spacing w:line="240" w:lineRule="auto"/>
        <w:rPr>
          <w:rFonts w:eastAsia="Times New Roman"/>
          <w:iCs/>
          <w:sz w:val="20"/>
          <w:szCs w:val="20"/>
        </w:rPr>
      </w:pPr>
      <w:r w:rsidRPr="0000667A">
        <w:rPr>
          <w:rFonts w:eastAsia="Times New Roman"/>
          <w:iCs/>
          <w:sz w:val="20"/>
          <w:szCs w:val="20"/>
        </w:rPr>
        <w:t xml:space="preserve">Connaissance des mécanismes de financement du secteur privé ; </w:t>
      </w:r>
    </w:p>
    <w:p w14:paraId="0F4BFE38" w14:textId="30DC934D" w:rsidR="00131AE6" w:rsidRPr="008D2175" w:rsidRDefault="00FF62B2" w:rsidP="00131AE6">
      <w:pPr>
        <w:pStyle w:val="Paragraphedeliste"/>
        <w:numPr>
          <w:ilvl w:val="0"/>
          <w:numId w:val="15"/>
        </w:numPr>
        <w:spacing w:line="240" w:lineRule="auto"/>
        <w:rPr>
          <w:rFonts w:eastAsia="Times New Roman"/>
          <w:iCs/>
          <w:sz w:val="20"/>
          <w:szCs w:val="20"/>
        </w:rPr>
      </w:pPr>
      <w:r w:rsidRPr="0000667A">
        <w:rPr>
          <w:rFonts w:eastAsia="Times New Roman"/>
          <w:iCs/>
          <w:sz w:val="20"/>
          <w:szCs w:val="20"/>
        </w:rPr>
        <w:t xml:space="preserve">Connaissance </w:t>
      </w:r>
      <w:r w:rsidR="00E15FB2" w:rsidRPr="0000667A">
        <w:rPr>
          <w:rFonts w:eastAsia="Times New Roman"/>
          <w:iCs/>
          <w:sz w:val="20"/>
          <w:szCs w:val="20"/>
        </w:rPr>
        <w:t xml:space="preserve">avérée </w:t>
      </w:r>
      <w:r w:rsidR="0000667A" w:rsidRPr="0000667A">
        <w:rPr>
          <w:rFonts w:eastAsia="Times New Roman"/>
          <w:iCs/>
          <w:sz w:val="20"/>
          <w:szCs w:val="20"/>
        </w:rPr>
        <w:t>des enjeux liés au genre</w:t>
      </w:r>
      <w:r w:rsidR="00131AE6" w:rsidRPr="0000667A">
        <w:rPr>
          <w:rFonts w:eastAsia="Times New Roman"/>
          <w:iCs/>
          <w:sz w:val="20"/>
          <w:szCs w:val="20"/>
        </w:rPr>
        <w:t xml:space="preserve">, de l’égalité professionnelle, </w:t>
      </w:r>
      <w:r w:rsidR="00F5472C" w:rsidRPr="0000667A">
        <w:rPr>
          <w:rFonts w:eastAsia="Times New Roman"/>
          <w:iCs/>
          <w:sz w:val="20"/>
          <w:szCs w:val="20"/>
        </w:rPr>
        <w:t>et capacité à les mobiliser dans le cadre de la présente mission</w:t>
      </w:r>
      <w:r w:rsidRPr="0000667A">
        <w:rPr>
          <w:rFonts w:eastAsia="Times New Roman"/>
          <w:iCs/>
          <w:sz w:val="20"/>
          <w:szCs w:val="20"/>
        </w:rPr>
        <w:t xml:space="preserve"> ; </w:t>
      </w:r>
    </w:p>
    <w:p w14:paraId="47FDDCFE" w14:textId="77777777" w:rsidR="00FF62B2" w:rsidRPr="0000667A" w:rsidRDefault="00FF62B2" w:rsidP="00FF62B2">
      <w:pPr>
        <w:pStyle w:val="Paragraphedeliste"/>
        <w:numPr>
          <w:ilvl w:val="0"/>
          <w:numId w:val="15"/>
        </w:numPr>
        <w:spacing w:line="240" w:lineRule="auto"/>
        <w:rPr>
          <w:rFonts w:eastAsia="Times New Roman"/>
          <w:iCs/>
          <w:sz w:val="20"/>
          <w:szCs w:val="20"/>
        </w:rPr>
      </w:pPr>
      <w:r w:rsidRPr="0000667A">
        <w:rPr>
          <w:rFonts w:eastAsia="Times New Roman"/>
          <w:iCs/>
          <w:sz w:val="20"/>
          <w:szCs w:val="20"/>
        </w:rPr>
        <w:t xml:space="preserve">Capacité à analyser les enjeux stratégiques du secteur privé, notamment dans le domaine du développement durable ; </w:t>
      </w:r>
    </w:p>
    <w:p w14:paraId="19B286B5" w14:textId="6B426C44" w:rsidR="00961ABE" w:rsidRPr="0000667A" w:rsidRDefault="00FF62B2" w:rsidP="000557FE">
      <w:pPr>
        <w:pStyle w:val="Paragraphedeliste"/>
        <w:numPr>
          <w:ilvl w:val="0"/>
          <w:numId w:val="15"/>
        </w:numPr>
        <w:spacing w:line="240" w:lineRule="auto"/>
        <w:rPr>
          <w:rFonts w:eastAsia="Times New Roman"/>
          <w:iCs/>
          <w:sz w:val="20"/>
          <w:szCs w:val="20"/>
        </w:rPr>
      </w:pPr>
      <w:r w:rsidRPr="0000667A">
        <w:rPr>
          <w:rFonts w:eastAsia="Times New Roman"/>
          <w:iCs/>
          <w:sz w:val="20"/>
          <w:szCs w:val="20"/>
        </w:rPr>
        <w:t>Excellente maitrise du français.</w:t>
      </w:r>
    </w:p>
    <w:p w14:paraId="5911E269" w14:textId="04A3880B" w:rsidR="00961ABE" w:rsidRPr="0000667A" w:rsidRDefault="00961ABE" w:rsidP="00FF62B2">
      <w:pPr>
        <w:rPr>
          <w:rFonts w:eastAsia="Times New Roman"/>
          <w:iCs/>
          <w:sz w:val="20"/>
          <w:szCs w:val="20"/>
        </w:rPr>
      </w:pPr>
    </w:p>
    <w:p w14:paraId="3E47A803" w14:textId="7A154D4B" w:rsidR="00FF62B2" w:rsidRPr="0000667A" w:rsidRDefault="001D1478" w:rsidP="00FF62B2">
      <w:pPr>
        <w:rPr>
          <w:rFonts w:eastAsia="Times New Roman"/>
          <w:i/>
          <w:iCs/>
          <w:sz w:val="20"/>
          <w:szCs w:val="20"/>
          <w:u w:val="single"/>
        </w:rPr>
      </w:pPr>
      <w:r w:rsidRPr="0000667A">
        <w:rPr>
          <w:rFonts w:eastAsia="Times New Roman"/>
          <w:i/>
          <w:iCs/>
          <w:sz w:val="20"/>
          <w:szCs w:val="20"/>
          <w:u w:val="single"/>
        </w:rPr>
        <w:t>Expérience</w:t>
      </w:r>
    </w:p>
    <w:p w14:paraId="0E4D17FD" w14:textId="5D68B049" w:rsidR="00385190" w:rsidRPr="00352837" w:rsidRDefault="00FF62B2" w:rsidP="00352837">
      <w:pPr>
        <w:pStyle w:val="Paragraphedeliste"/>
        <w:numPr>
          <w:ilvl w:val="0"/>
          <w:numId w:val="15"/>
        </w:numPr>
        <w:spacing w:line="240" w:lineRule="auto"/>
        <w:jc w:val="both"/>
        <w:rPr>
          <w:rFonts w:eastAsia="Times New Roman"/>
          <w:iCs/>
          <w:sz w:val="20"/>
          <w:szCs w:val="20"/>
        </w:rPr>
      </w:pPr>
      <w:r w:rsidRPr="00352837">
        <w:rPr>
          <w:rFonts w:eastAsia="Times New Roman"/>
          <w:iCs/>
          <w:sz w:val="20"/>
          <w:szCs w:val="20"/>
        </w:rPr>
        <w:t>Expérience avérée dans le domaine d</w:t>
      </w:r>
      <w:r w:rsidR="00352837" w:rsidRPr="00352837">
        <w:rPr>
          <w:rFonts w:eastAsia="Times New Roman"/>
          <w:iCs/>
          <w:sz w:val="20"/>
          <w:szCs w:val="20"/>
        </w:rPr>
        <w:t>e la mesure d’impact environnemental des entreprises </w:t>
      </w:r>
      <w:r w:rsidR="00352837">
        <w:rPr>
          <w:rFonts w:eastAsia="Times New Roman"/>
          <w:iCs/>
          <w:sz w:val="20"/>
          <w:szCs w:val="20"/>
        </w:rPr>
        <w:t>et d</w:t>
      </w:r>
      <w:r w:rsidR="00385190" w:rsidRPr="00352837">
        <w:rPr>
          <w:rFonts w:eastAsia="Times New Roman"/>
          <w:iCs/>
          <w:sz w:val="20"/>
          <w:szCs w:val="20"/>
        </w:rPr>
        <w:t xml:space="preserve">ans l'utilisation de méthodes et </w:t>
      </w:r>
      <w:r w:rsidR="00352837">
        <w:rPr>
          <w:rFonts w:eastAsia="Times New Roman"/>
          <w:iCs/>
          <w:sz w:val="20"/>
          <w:szCs w:val="20"/>
        </w:rPr>
        <w:t>d’</w:t>
      </w:r>
      <w:r w:rsidR="00385190" w:rsidRPr="00352837">
        <w:rPr>
          <w:rFonts w:eastAsia="Times New Roman"/>
          <w:iCs/>
          <w:sz w:val="20"/>
          <w:szCs w:val="20"/>
        </w:rPr>
        <w:t xml:space="preserve">approches innovantes d’analyse et visualisation de données, en lien avec des projets ou thématiques complexes ; </w:t>
      </w:r>
    </w:p>
    <w:p w14:paraId="17361E9C" w14:textId="1970E6D1" w:rsidR="00A13FB9" w:rsidRPr="0000667A" w:rsidRDefault="00FF62B2" w:rsidP="00352837">
      <w:pPr>
        <w:pStyle w:val="Paragraphedeliste"/>
        <w:numPr>
          <w:ilvl w:val="0"/>
          <w:numId w:val="15"/>
        </w:numPr>
        <w:spacing w:line="240" w:lineRule="auto"/>
        <w:jc w:val="both"/>
        <w:rPr>
          <w:rFonts w:eastAsia="Times New Roman"/>
          <w:iCs/>
          <w:sz w:val="20"/>
          <w:szCs w:val="20"/>
        </w:rPr>
      </w:pPr>
      <w:r w:rsidRPr="0000667A">
        <w:rPr>
          <w:rFonts w:eastAsia="Times New Roman"/>
          <w:iCs/>
          <w:sz w:val="20"/>
          <w:szCs w:val="20"/>
        </w:rPr>
        <w:t xml:space="preserve">Expérience souhaitable de travail sur des projets de coopération internationale, en particulier avec la Tunisie et/ou Expertise France. </w:t>
      </w:r>
    </w:p>
    <w:p w14:paraId="411AFD38" w14:textId="6239A586" w:rsidR="00670D1C" w:rsidRDefault="00670D1C" w:rsidP="00BA2667">
      <w:pPr>
        <w:jc w:val="both"/>
        <w:rPr>
          <w:b/>
          <w:bCs/>
          <w:sz w:val="20"/>
          <w:szCs w:val="20"/>
          <w:u w:val="single"/>
        </w:rPr>
      </w:pPr>
    </w:p>
    <w:p w14:paraId="27E844A8" w14:textId="225FB490" w:rsidR="00352837" w:rsidRDefault="00352837" w:rsidP="00352837">
      <w:pPr>
        <w:rPr>
          <w:rFonts w:eastAsia="Times New Roman"/>
          <w:sz w:val="20"/>
          <w:szCs w:val="20"/>
          <w:u w:val="single"/>
        </w:rPr>
      </w:pPr>
      <w:r w:rsidRPr="00352837">
        <w:rPr>
          <w:rFonts w:eastAsia="Times New Roman"/>
          <w:sz w:val="20"/>
          <w:szCs w:val="20"/>
          <w:u w:val="single"/>
        </w:rPr>
        <w:t>Pour l‘</w:t>
      </w:r>
      <w:proofErr w:type="spellStart"/>
      <w:proofErr w:type="gramStart"/>
      <w:r w:rsidRPr="00352837">
        <w:rPr>
          <w:rFonts w:eastAsia="Times New Roman"/>
          <w:sz w:val="20"/>
          <w:szCs w:val="20"/>
          <w:u w:val="single"/>
        </w:rPr>
        <w:t>expert.e</w:t>
      </w:r>
      <w:proofErr w:type="spellEnd"/>
      <w:proofErr w:type="gramEnd"/>
      <w:r w:rsidRPr="00352837">
        <w:rPr>
          <w:rFonts w:eastAsia="Times New Roman"/>
          <w:sz w:val="20"/>
          <w:szCs w:val="20"/>
          <w:u w:val="single"/>
        </w:rPr>
        <w:t xml:space="preserve"> 2 : </w:t>
      </w:r>
    </w:p>
    <w:p w14:paraId="4C9EC317" w14:textId="01AF2DD7" w:rsidR="00352837" w:rsidRDefault="00352837" w:rsidP="00352837">
      <w:pPr>
        <w:rPr>
          <w:rFonts w:eastAsia="Times New Roman"/>
          <w:sz w:val="20"/>
          <w:szCs w:val="20"/>
          <w:u w:val="single"/>
        </w:rPr>
      </w:pPr>
    </w:p>
    <w:p w14:paraId="5CAFD59B" w14:textId="77777777" w:rsidR="00352837" w:rsidRPr="0000667A" w:rsidRDefault="00352837" w:rsidP="00352837">
      <w:pPr>
        <w:rPr>
          <w:rFonts w:eastAsia="Times New Roman"/>
          <w:i/>
          <w:sz w:val="20"/>
          <w:szCs w:val="20"/>
          <w:u w:val="single"/>
        </w:rPr>
      </w:pPr>
      <w:r w:rsidRPr="0000667A">
        <w:rPr>
          <w:rFonts w:eastAsia="Times New Roman"/>
          <w:i/>
          <w:sz w:val="20"/>
          <w:szCs w:val="20"/>
          <w:u w:val="single"/>
        </w:rPr>
        <w:t>Qualifications et compétences</w:t>
      </w:r>
    </w:p>
    <w:p w14:paraId="38ED8353" w14:textId="47E70D02" w:rsidR="00352837" w:rsidRPr="00352837" w:rsidRDefault="00352837" w:rsidP="00352837">
      <w:pPr>
        <w:pStyle w:val="Paragraphedeliste"/>
        <w:numPr>
          <w:ilvl w:val="0"/>
          <w:numId w:val="15"/>
        </w:numPr>
        <w:rPr>
          <w:rFonts w:eastAsia="Times New Roman"/>
          <w:iCs/>
          <w:sz w:val="20"/>
          <w:szCs w:val="20"/>
        </w:rPr>
      </w:pPr>
      <w:r>
        <w:rPr>
          <w:rFonts w:eastAsia="Times New Roman"/>
          <w:iCs/>
          <w:sz w:val="20"/>
          <w:szCs w:val="20"/>
        </w:rPr>
        <w:t>Compétences solides</w:t>
      </w:r>
      <w:r w:rsidRPr="00352837">
        <w:rPr>
          <w:rFonts w:eastAsia="Times New Roman"/>
          <w:iCs/>
          <w:sz w:val="20"/>
          <w:szCs w:val="20"/>
        </w:rPr>
        <w:t xml:space="preserve"> </w:t>
      </w:r>
      <w:r>
        <w:rPr>
          <w:rFonts w:eastAsia="Times New Roman"/>
          <w:iCs/>
          <w:sz w:val="20"/>
          <w:szCs w:val="20"/>
        </w:rPr>
        <w:t>en programmation, construction de base de données, et utilisation de l’</w:t>
      </w:r>
      <w:r w:rsidRPr="00352837">
        <w:rPr>
          <w:rFonts w:eastAsia="Times New Roman"/>
          <w:iCs/>
          <w:sz w:val="20"/>
          <w:szCs w:val="20"/>
        </w:rPr>
        <w:t>intelligence</w:t>
      </w:r>
      <w:r>
        <w:rPr>
          <w:rFonts w:eastAsia="Times New Roman"/>
          <w:iCs/>
          <w:sz w:val="20"/>
          <w:szCs w:val="20"/>
        </w:rPr>
        <w:t xml:space="preserve"> artificielle ; </w:t>
      </w:r>
    </w:p>
    <w:p w14:paraId="39BEAFDF" w14:textId="4655C8DF" w:rsidR="00352837" w:rsidRPr="0000667A" w:rsidRDefault="00352837" w:rsidP="00352837">
      <w:pPr>
        <w:pStyle w:val="Paragraphedeliste"/>
        <w:numPr>
          <w:ilvl w:val="0"/>
          <w:numId w:val="15"/>
        </w:numPr>
        <w:spacing w:line="240" w:lineRule="auto"/>
        <w:rPr>
          <w:rFonts w:eastAsia="Times New Roman"/>
          <w:iCs/>
          <w:sz w:val="20"/>
          <w:szCs w:val="20"/>
        </w:rPr>
      </w:pPr>
      <w:r>
        <w:rPr>
          <w:rFonts w:eastAsia="Times New Roman"/>
          <w:iCs/>
          <w:sz w:val="20"/>
          <w:szCs w:val="20"/>
        </w:rPr>
        <w:t>Appétence pour les</w:t>
      </w:r>
      <w:r w:rsidRPr="0000667A">
        <w:rPr>
          <w:rFonts w:eastAsia="Times New Roman"/>
          <w:iCs/>
          <w:sz w:val="20"/>
          <w:szCs w:val="20"/>
        </w:rPr>
        <w:t xml:space="preserve"> enjeux </w:t>
      </w:r>
      <w:r>
        <w:rPr>
          <w:rFonts w:eastAsia="Times New Roman"/>
          <w:iCs/>
          <w:sz w:val="20"/>
          <w:szCs w:val="20"/>
        </w:rPr>
        <w:t xml:space="preserve">liés au développement durable et au développement du </w:t>
      </w:r>
      <w:r w:rsidRPr="0000667A">
        <w:rPr>
          <w:rFonts w:eastAsia="Times New Roman"/>
          <w:iCs/>
          <w:sz w:val="20"/>
          <w:szCs w:val="20"/>
        </w:rPr>
        <w:t xml:space="preserve">secteur privé ; </w:t>
      </w:r>
    </w:p>
    <w:p w14:paraId="636DCA83" w14:textId="77777777" w:rsidR="00352837" w:rsidRPr="0000667A" w:rsidRDefault="00352837" w:rsidP="00352837">
      <w:pPr>
        <w:pStyle w:val="Paragraphedeliste"/>
        <w:numPr>
          <w:ilvl w:val="0"/>
          <w:numId w:val="15"/>
        </w:numPr>
        <w:spacing w:line="240" w:lineRule="auto"/>
        <w:rPr>
          <w:rFonts w:eastAsia="Times New Roman"/>
          <w:iCs/>
          <w:sz w:val="20"/>
          <w:szCs w:val="20"/>
        </w:rPr>
      </w:pPr>
      <w:r w:rsidRPr="0000667A">
        <w:rPr>
          <w:rFonts w:eastAsia="Times New Roman"/>
          <w:iCs/>
          <w:sz w:val="20"/>
          <w:szCs w:val="20"/>
        </w:rPr>
        <w:t>Excellente maitrise du français.</w:t>
      </w:r>
    </w:p>
    <w:p w14:paraId="05FEEEE4" w14:textId="77777777" w:rsidR="00352837" w:rsidRPr="0000667A" w:rsidRDefault="00352837" w:rsidP="00352837">
      <w:pPr>
        <w:rPr>
          <w:rFonts w:eastAsia="Times New Roman"/>
          <w:iCs/>
          <w:sz w:val="20"/>
          <w:szCs w:val="20"/>
        </w:rPr>
      </w:pPr>
    </w:p>
    <w:p w14:paraId="201F5881" w14:textId="77777777" w:rsidR="00352837" w:rsidRPr="0000667A" w:rsidRDefault="00352837" w:rsidP="00352837">
      <w:pPr>
        <w:rPr>
          <w:rFonts w:eastAsia="Times New Roman"/>
          <w:i/>
          <w:iCs/>
          <w:sz w:val="20"/>
          <w:szCs w:val="20"/>
          <w:u w:val="single"/>
        </w:rPr>
      </w:pPr>
      <w:r w:rsidRPr="0000667A">
        <w:rPr>
          <w:rFonts w:eastAsia="Times New Roman"/>
          <w:i/>
          <w:iCs/>
          <w:sz w:val="20"/>
          <w:szCs w:val="20"/>
          <w:u w:val="single"/>
        </w:rPr>
        <w:t>Expérience</w:t>
      </w:r>
    </w:p>
    <w:p w14:paraId="1FA31288" w14:textId="3545111B" w:rsidR="00352837" w:rsidRDefault="00352837" w:rsidP="00352837">
      <w:pPr>
        <w:pStyle w:val="Paragraphedeliste"/>
        <w:numPr>
          <w:ilvl w:val="0"/>
          <w:numId w:val="15"/>
        </w:numPr>
        <w:rPr>
          <w:rFonts w:eastAsia="Times New Roman"/>
          <w:iCs/>
          <w:sz w:val="20"/>
          <w:szCs w:val="20"/>
        </w:rPr>
      </w:pPr>
      <w:r w:rsidRPr="00352837">
        <w:rPr>
          <w:rFonts w:eastAsia="Times New Roman"/>
          <w:iCs/>
          <w:sz w:val="20"/>
          <w:szCs w:val="20"/>
        </w:rPr>
        <w:t xml:space="preserve">Expérience avérée dans </w:t>
      </w:r>
      <w:r>
        <w:rPr>
          <w:rFonts w:eastAsia="Times New Roman"/>
          <w:iCs/>
          <w:sz w:val="20"/>
          <w:szCs w:val="20"/>
        </w:rPr>
        <w:t>le développement numérique d’outils pédagogiques ;</w:t>
      </w:r>
    </w:p>
    <w:p w14:paraId="3B447DFE" w14:textId="396FE0E9" w:rsidR="00352837" w:rsidRPr="0000667A" w:rsidRDefault="00352837" w:rsidP="00352837">
      <w:pPr>
        <w:pStyle w:val="Paragraphedeliste"/>
        <w:numPr>
          <w:ilvl w:val="0"/>
          <w:numId w:val="15"/>
        </w:numPr>
        <w:spacing w:line="240" w:lineRule="auto"/>
        <w:jc w:val="both"/>
        <w:rPr>
          <w:rFonts w:eastAsia="Times New Roman"/>
          <w:iCs/>
          <w:sz w:val="20"/>
          <w:szCs w:val="20"/>
        </w:rPr>
      </w:pPr>
      <w:r>
        <w:rPr>
          <w:rFonts w:eastAsia="Times New Roman"/>
          <w:iCs/>
          <w:sz w:val="20"/>
          <w:szCs w:val="20"/>
        </w:rPr>
        <w:t>Une expérience de</w:t>
      </w:r>
      <w:r w:rsidRPr="0000667A">
        <w:rPr>
          <w:rFonts w:eastAsia="Times New Roman"/>
          <w:iCs/>
          <w:sz w:val="20"/>
          <w:szCs w:val="20"/>
        </w:rPr>
        <w:t xml:space="preserve"> travail sur des projets de coopération internationale, en particulier avec la</w:t>
      </w:r>
      <w:r>
        <w:rPr>
          <w:rFonts w:eastAsia="Times New Roman"/>
          <w:iCs/>
          <w:sz w:val="20"/>
          <w:szCs w:val="20"/>
        </w:rPr>
        <w:t xml:space="preserve"> Tunisie et/ou Expertise France est un atout. </w:t>
      </w:r>
      <w:r w:rsidRPr="0000667A">
        <w:rPr>
          <w:rFonts w:eastAsia="Times New Roman"/>
          <w:iCs/>
          <w:sz w:val="20"/>
          <w:szCs w:val="20"/>
        </w:rPr>
        <w:t xml:space="preserve"> </w:t>
      </w:r>
    </w:p>
    <w:p w14:paraId="589003A2" w14:textId="63BA1B5D" w:rsidR="00352837" w:rsidRDefault="00352837" w:rsidP="00BA2667">
      <w:pPr>
        <w:jc w:val="both"/>
        <w:rPr>
          <w:rFonts w:eastAsia="Times New Roman"/>
          <w:sz w:val="20"/>
          <w:szCs w:val="20"/>
          <w:u w:val="single"/>
        </w:rPr>
      </w:pPr>
    </w:p>
    <w:p w14:paraId="75B8ACC7" w14:textId="77777777" w:rsidR="00352837" w:rsidRPr="0000667A" w:rsidRDefault="00352837" w:rsidP="00BA2667">
      <w:pPr>
        <w:jc w:val="both"/>
        <w:rPr>
          <w:b/>
          <w:bCs/>
          <w:sz w:val="20"/>
          <w:szCs w:val="20"/>
          <w:u w:val="single"/>
        </w:rPr>
      </w:pPr>
    </w:p>
    <w:p w14:paraId="23DDEE83" w14:textId="77777777" w:rsidR="002B1BB6" w:rsidRPr="0000667A" w:rsidRDefault="002B1BB6" w:rsidP="002B1BB6">
      <w:pPr>
        <w:spacing w:after="160"/>
        <w:jc w:val="both"/>
        <w:rPr>
          <w:rFonts w:eastAsia="Times New Roman"/>
          <w:i/>
          <w:iCs/>
          <w:sz w:val="20"/>
          <w:szCs w:val="20"/>
          <w:u w:val="single"/>
        </w:rPr>
      </w:pPr>
      <w:r w:rsidRPr="0000667A">
        <w:rPr>
          <w:rFonts w:eastAsia="Times New Roman"/>
          <w:i/>
          <w:iCs/>
          <w:sz w:val="20"/>
          <w:szCs w:val="20"/>
          <w:u w:val="single"/>
        </w:rPr>
        <w:t xml:space="preserve">Modalités de sélection </w:t>
      </w:r>
    </w:p>
    <w:p w14:paraId="569E7A21" w14:textId="7164629D" w:rsidR="002B1BB6" w:rsidRPr="0000667A" w:rsidRDefault="002B1BB6" w:rsidP="002B1BB6">
      <w:pPr>
        <w:spacing w:after="160"/>
        <w:jc w:val="both"/>
        <w:rPr>
          <w:rFonts w:eastAsia="Times New Roman"/>
          <w:iCs/>
          <w:sz w:val="20"/>
          <w:szCs w:val="20"/>
        </w:rPr>
      </w:pPr>
      <w:r w:rsidRPr="0000667A">
        <w:rPr>
          <w:rFonts w:eastAsia="Times New Roman"/>
          <w:iCs/>
          <w:sz w:val="20"/>
          <w:szCs w:val="20"/>
        </w:rPr>
        <w:t>Les candidatures doivent inclure les éléments suivants :</w:t>
      </w:r>
    </w:p>
    <w:p w14:paraId="163FF901" w14:textId="07B08279" w:rsidR="00775B4B" w:rsidRDefault="00775B4B" w:rsidP="000557FE">
      <w:pPr>
        <w:pStyle w:val="Paragraphedeliste"/>
        <w:numPr>
          <w:ilvl w:val="0"/>
          <w:numId w:val="40"/>
        </w:numPr>
        <w:spacing w:after="160"/>
        <w:jc w:val="both"/>
        <w:rPr>
          <w:rFonts w:eastAsia="Times New Roman"/>
          <w:iCs/>
          <w:sz w:val="20"/>
          <w:szCs w:val="20"/>
        </w:rPr>
      </w:pPr>
      <w:r>
        <w:rPr>
          <w:rFonts w:eastAsia="Times New Roman"/>
          <w:iCs/>
          <w:sz w:val="20"/>
          <w:szCs w:val="20"/>
        </w:rPr>
        <w:t>Justification d’enregistrement au registre national des entreprises (RNE, K-bis ou équivalent)</w:t>
      </w:r>
    </w:p>
    <w:p w14:paraId="18C039EE" w14:textId="00CEBD47" w:rsidR="002B1BB6" w:rsidRPr="0000667A" w:rsidRDefault="002B1BB6" w:rsidP="000557FE">
      <w:pPr>
        <w:pStyle w:val="Paragraphedeliste"/>
        <w:numPr>
          <w:ilvl w:val="0"/>
          <w:numId w:val="40"/>
        </w:numPr>
        <w:spacing w:after="160"/>
        <w:jc w:val="both"/>
        <w:rPr>
          <w:rFonts w:eastAsia="Times New Roman"/>
          <w:iCs/>
          <w:sz w:val="20"/>
          <w:szCs w:val="20"/>
        </w:rPr>
      </w:pPr>
      <w:r w:rsidRPr="0000667A">
        <w:rPr>
          <w:rFonts w:eastAsia="Times New Roman"/>
          <w:iCs/>
          <w:sz w:val="20"/>
          <w:szCs w:val="20"/>
        </w:rPr>
        <w:t>Les CV détaillés des expert.es, avec une mise en avant claire des références professionnelles pour des missions similaires ;</w:t>
      </w:r>
    </w:p>
    <w:p w14:paraId="217B0F31" w14:textId="335E9A72" w:rsidR="002B1BB6" w:rsidRPr="0000667A" w:rsidRDefault="002B1BB6" w:rsidP="000557FE">
      <w:pPr>
        <w:pStyle w:val="Paragraphedeliste"/>
        <w:numPr>
          <w:ilvl w:val="0"/>
          <w:numId w:val="40"/>
        </w:numPr>
        <w:spacing w:after="160"/>
        <w:jc w:val="both"/>
        <w:rPr>
          <w:rFonts w:eastAsia="Times New Roman"/>
          <w:iCs/>
          <w:sz w:val="20"/>
          <w:szCs w:val="20"/>
        </w:rPr>
      </w:pPr>
      <w:r w:rsidRPr="0000667A">
        <w:rPr>
          <w:rFonts w:eastAsia="Times New Roman"/>
          <w:iCs/>
          <w:sz w:val="20"/>
          <w:szCs w:val="20"/>
        </w:rPr>
        <w:t xml:space="preserve">Une offre technique, incluant au moins une (i) description du contexte et des enjeux de la mission, (ii) une proposition méthodologie claire et détaillée (iii) ainsi qu’un calendrier prévisionnel ; </w:t>
      </w:r>
    </w:p>
    <w:p w14:paraId="43C0ECC7" w14:textId="514A48DA" w:rsidR="002B1BB6" w:rsidRPr="0000667A" w:rsidRDefault="002B1BB6" w:rsidP="000557FE">
      <w:pPr>
        <w:pStyle w:val="Paragraphedeliste"/>
        <w:numPr>
          <w:ilvl w:val="0"/>
          <w:numId w:val="40"/>
        </w:numPr>
        <w:spacing w:after="160"/>
        <w:jc w:val="both"/>
        <w:rPr>
          <w:rFonts w:eastAsia="Times New Roman"/>
          <w:iCs/>
          <w:sz w:val="20"/>
          <w:szCs w:val="20"/>
        </w:rPr>
      </w:pPr>
      <w:r w:rsidRPr="0000667A">
        <w:rPr>
          <w:rFonts w:eastAsia="Times New Roman"/>
          <w:iCs/>
          <w:sz w:val="20"/>
          <w:szCs w:val="20"/>
        </w:rPr>
        <w:t>Une offre financière.</w:t>
      </w:r>
    </w:p>
    <w:p w14:paraId="6587C002" w14:textId="77777777" w:rsidR="002B1BB6" w:rsidRPr="00A57AF8" w:rsidRDefault="002B1BB6" w:rsidP="00BA2667">
      <w:pPr>
        <w:jc w:val="both"/>
        <w:rPr>
          <w:b/>
          <w:bCs/>
          <w:sz w:val="20"/>
          <w:szCs w:val="20"/>
          <w:u w:val="single"/>
        </w:rPr>
      </w:pPr>
    </w:p>
    <w:sectPr w:rsidR="002B1BB6" w:rsidRPr="00A57AF8">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EC0C" w14:textId="77777777" w:rsidR="004D6609" w:rsidRDefault="004D6609">
      <w:pPr>
        <w:spacing w:line="240" w:lineRule="auto"/>
      </w:pPr>
      <w:r>
        <w:separator/>
      </w:r>
    </w:p>
  </w:endnote>
  <w:endnote w:type="continuationSeparator" w:id="0">
    <w:p w14:paraId="76567F2F" w14:textId="77777777" w:rsidR="004D6609" w:rsidRDefault="004D6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EE79" w14:textId="77777777" w:rsidR="004D6609" w:rsidRDefault="004D6609">
      <w:pPr>
        <w:spacing w:line="240" w:lineRule="auto"/>
      </w:pPr>
      <w:r>
        <w:separator/>
      </w:r>
    </w:p>
  </w:footnote>
  <w:footnote w:type="continuationSeparator" w:id="0">
    <w:p w14:paraId="60DBA06E" w14:textId="77777777" w:rsidR="004D6609" w:rsidRDefault="004D6609">
      <w:pPr>
        <w:spacing w:line="240" w:lineRule="auto"/>
      </w:pPr>
      <w:r>
        <w:continuationSeparator/>
      </w:r>
    </w:p>
  </w:footnote>
  <w:footnote w:id="1">
    <w:p w14:paraId="04098467" w14:textId="77777777" w:rsidR="00A57AF8" w:rsidRPr="007C19FA" w:rsidRDefault="00A57AF8" w:rsidP="00A57AF8">
      <w:pPr>
        <w:pStyle w:val="Notedebasdepage"/>
        <w:rPr>
          <w:rFonts w:ascii="Times New Roman" w:hAnsi="Times New Roman" w:cs="Times New Roman"/>
          <w:sz w:val="18"/>
        </w:rPr>
      </w:pPr>
      <w:r w:rsidRPr="007C19FA">
        <w:rPr>
          <w:rStyle w:val="Appelnotedebasdep"/>
          <w:sz w:val="18"/>
        </w:rPr>
        <w:footnoteRef/>
      </w:r>
      <w:r w:rsidRPr="007C19FA">
        <w:rPr>
          <w:rFonts w:ascii="Times New Roman" w:hAnsi="Times New Roman" w:cs="Times New Roman"/>
          <w:sz w:val="18"/>
        </w:rPr>
        <w:t xml:space="preserve"> « Les éco entreprises et filières vertes », ADEME, </w:t>
      </w:r>
      <w:r>
        <w:rPr>
          <w:rFonts w:ascii="Times New Roman" w:hAnsi="Times New Roman" w:cs="Times New Roman"/>
          <w:sz w:val="18"/>
        </w:rPr>
        <w:t xml:space="preserve">consulté le </w:t>
      </w:r>
      <w:r w:rsidRPr="007C19FA">
        <w:rPr>
          <w:rFonts w:ascii="Times New Roman" w:hAnsi="Times New Roman" w:cs="Times New Roman"/>
          <w:sz w:val="18"/>
        </w:rPr>
        <w:t>11 septembre 2023.</w:t>
      </w:r>
    </w:p>
    <w:p w14:paraId="7C2915EB" w14:textId="77777777" w:rsidR="00A57AF8" w:rsidRDefault="00A57AF8" w:rsidP="00A57AF8">
      <w:pPr>
        <w:pStyle w:val="Notedebasdepage"/>
      </w:pPr>
      <w:r w:rsidRPr="007C19FA">
        <w:rPr>
          <w:rFonts w:ascii="Times New Roman" w:hAnsi="Times New Roman" w:cs="Times New Roman"/>
          <w:sz w:val="18"/>
        </w:rPr>
        <w:t>https://expertises.ademe.fr/production-durable/production-industrielle-services/dossier/quoi-parle-t/eco-entreprises-filieres-vertes#:~:text=Une%20%C3%A9co%2Dentreprise%20est%20une,activit%C3%A9s%20humaines%20sur%20l'environnement.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2BBC" w14:textId="63690304" w:rsidR="00BA2667" w:rsidRDefault="00A711E7" w:rsidP="00A711E7">
    <w:pPr>
      <w:jc w:val="center"/>
    </w:pPr>
    <w:r>
      <w:rPr>
        <w:noProof/>
        <w:lang w:val="fr-FR"/>
      </w:rPr>
      <w:drawing>
        <wp:inline distT="0" distB="0" distL="0" distR="0" wp14:anchorId="728EB2D3" wp14:editId="2F56F8D4">
          <wp:extent cx="3911600" cy="457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 Barre de logos Greenov'i - PNG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0" cy="457835"/>
                  </a:xfrm>
                  <a:prstGeom prst="rect">
                    <a:avLst/>
                  </a:prstGeom>
                </pic:spPr>
              </pic:pic>
            </a:graphicData>
          </a:graphic>
        </wp:inline>
      </w:drawing>
    </w:r>
    <w:r w:rsidR="00177701" w:rsidRPr="00177701">
      <w:rPr>
        <w:noProof/>
        <w:lang w:val="fr-FR"/>
      </w:rPr>
      <mc:AlternateContent>
        <mc:Choice Requires="wps">
          <w:drawing>
            <wp:anchor distT="0" distB="0" distL="114300" distR="114300" simplePos="0" relativeHeight="251659264" behindDoc="0" locked="0" layoutInCell="1" hidden="0" allowOverlap="1" wp14:anchorId="54C10F55" wp14:editId="05E5BADE">
              <wp:simplePos x="0" y="0"/>
              <wp:positionH relativeFrom="column">
                <wp:posOffset>-666432</wp:posOffset>
              </wp:positionH>
              <wp:positionV relativeFrom="paragraph">
                <wp:posOffset>-705169</wp:posOffset>
              </wp:positionV>
              <wp:extent cx="1123950" cy="1628775"/>
              <wp:effectExtent l="0" t="0" r="0" b="0"/>
              <wp:wrapNone/>
              <wp:docPr id="2" name="Triangle rectangle 2"/>
              <wp:cNvGraphicFramePr/>
              <a:graphic xmlns:a="http://schemas.openxmlformats.org/drawingml/2006/main">
                <a:graphicData uri="http://schemas.microsoft.com/office/word/2010/wordprocessingShape">
                  <wps:wsp>
                    <wps:cNvSpPr/>
                    <wps:spPr>
                      <a:xfrm rot="5400000">
                        <a:off x="0" y="0"/>
                        <a:ext cx="1123950" cy="1628775"/>
                      </a:xfrm>
                      <a:prstGeom prst="rtTriangle">
                        <a:avLst/>
                      </a:prstGeom>
                      <a:solidFill>
                        <a:srgbClr val="009CA6"/>
                      </a:solidFill>
                      <a:ln>
                        <a:noFill/>
                      </a:ln>
                    </wps:spPr>
                    <wps:txbx>
                      <w:txbxContent>
                        <w:p w14:paraId="1C46372C" w14:textId="77777777" w:rsidR="00177701" w:rsidRDefault="00177701" w:rsidP="00177701">
                          <w:pPr>
                            <w:spacing w:line="240" w:lineRule="auto"/>
                            <w:ind w:hanging="2"/>
                          </w:pPr>
                        </w:p>
                      </w:txbxContent>
                    </wps:txbx>
                    <wps:bodyPr spcFirstLastPara="1" wrap="square" lIns="91425" tIns="91425" rIns="91425" bIns="91425" anchor="ctr" anchorCtr="0">
                      <a:noAutofit/>
                    </wps:bodyPr>
                  </wps:wsp>
                </a:graphicData>
              </a:graphic>
            </wp:anchor>
          </w:drawing>
        </mc:Choice>
        <mc:Fallback>
          <w:pict>
            <v:shapetype w14:anchorId="54C10F55" id="_x0000_t6" coordsize="21600,21600" o:spt="6" path="m,l,21600r21600,xe">
              <v:stroke joinstyle="miter"/>
              <v:path gradientshapeok="t" o:connecttype="custom" o:connectlocs="0,0;0,10800;0,21600;10800,21600;21600,21600;10800,10800" textboxrect="1800,12600,12600,19800"/>
            </v:shapetype>
            <v:shape id="Triangle rectangle 2" o:spid="_x0000_s1026" type="#_x0000_t6" style="position:absolute;left:0;text-align:left;margin-left:-52.45pt;margin-top:-55.55pt;width:88.5pt;height:128.2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" fillcolor="#009ca6" stroked="f">
              <v:textbox inset="2.53958mm,2.53958mm,2.53958mm,2.53958mm">
                <w:txbxContent>
                  <w:p w14:paraId="1C46372C" w14:textId="77777777" w:rsidR="00177701" w:rsidRDefault="00177701" w:rsidP="00177701">
                    <w:pPr>
                      <w:spacing w:line="240" w:lineRule="auto"/>
                      <w:ind w:hanging="2"/>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313"/>
    <w:multiLevelType w:val="hybridMultilevel"/>
    <w:tmpl w:val="D69CD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737BAE"/>
    <w:multiLevelType w:val="hybridMultilevel"/>
    <w:tmpl w:val="1116B4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E04BC2"/>
    <w:multiLevelType w:val="hybridMultilevel"/>
    <w:tmpl w:val="3F921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52922"/>
    <w:multiLevelType w:val="hybridMultilevel"/>
    <w:tmpl w:val="4A9004BA"/>
    <w:lvl w:ilvl="0" w:tplc="D034D6E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74031F"/>
    <w:multiLevelType w:val="hybridMultilevel"/>
    <w:tmpl w:val="F962DED4"/>
    <w:lvl w:ilvl="0" w:tplc="32D6AC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C5DC9"/>
    <w:multiLevelType w:val="multilevel"/>
    <w:tmpl w:val="5ABC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873E11"/>
    <w:multiLevelType w:val="hybridMultilevel"/>
    <w:tmpl w:val="EEBA1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77C9E"/>
    <w:multiLevelType w:val="hybridMultilevel"/>
    <w:tmpl w:val="1BE45436"/>
    <w:lvl w:ilvl="0" w:tplc="3378CAA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086193"/>
    <w:multiLevelType w:val="hybridMultilevel"/>
    <w:tmpl w:val="D89A3004"/>
    <w:lvl w:ilvl="0" w:tplc="88A6E4B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9" w15:restartNumberingAfterBreak="0">
    <w:nsid w:val="2A5829DC"/>
    <w:multiLevelType w:val="multilevel"/>
    <w:tmpl w:val="4532E5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B5A4FA0"/>
    <w:multiLevelType w:val="hybridMultilevel"/>
    <w:tmpl w:val="67BAC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5E1FDF"/>
    <w:multiLevelType w:val="hybridMultilevel"/>
    <w:tmpl w:val="E3F02626"/>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F52544"/>
    <w:multiLevelType w:val="multilevel"/>
    <w:tmpl w:val="B0229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760EBB"/>
    <w:multiLevelType w:val="multilevel"/>
    <w:tmpl w:val="7A0EF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3414F"/>
    <w:multiLevelType w:val="hybridMultilevel"/>
    <w:tmpl w:val="35CEA8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9A5509"/>
    <w:multiLevelType w:val="hybridMultilevel"/>
    <w:tmpl w:val="15CEC42E"/>
    <w:lvl w:ilvl="0" w:tplc="E17CD6C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79C0F60"/>
    <w:multiLevelType w:val="hybridMultilevel"/>
    <w:tmpl w:val="5CD023B6"/>
    <w:lvl w:ilvl="0" w:tplc="9678265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DE766A"/>
    <w:multiLevelType w:val="hybridMultilevel"/>
    <w:tmpl w:val="92E01D9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3D4BB8"/>
    <w:multiLevelType w:val="hybridMultilevel"/>
    <w:tmpl w:val="17E61CBA"/>
    <w:lvl w:ilvl="0" w:tplc="74FC72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5C6E0B"/>
    <w:multiLevelType w:val="hybridMultilevel"/>
    <w:tmpl w:val="F28A6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E7BB6"/>
    <w:multiLevelType w:val="hybridMultilevel"/>
    <w:tmpl w:val="18720F56"/>
    <w:lvl w:ilvl="0" w:tplc="DD5E0BEA">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1F10F4"/>
    <w:multiLevelType w:val="hybridMultilevel"/>
    <w:tmpl w:val="018C97D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AE00CC"/>
    <w:multiLevelType w:val="hybridMultilevel"/>
    <w:tmpl w:val="DA708B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C9558E"/>
    <w:multiLevelType w:val="hybridMultilevel"/>
    <w:tmpl w:val="D6842CBC"/>
    <w:lvl w:ilvl="0" w:tplc="E17CD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143BC8"/>
    <w:multiLevelType w:val="multilevel"/>
    <w:tmpl w:val="44DE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DE4A06"/>
    <w:multiLevelType w:val="hybridMultilevel"/>
    <w:tmpl w:val="4B648D94"/>
    <w:lvl w:ilvl="0" w:tplc="32D6AC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C7B7E"/>
    <w:multiLevelType w:val="hybridMultilevel"/>
    <w:tmpl w:val="D89099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30828E6"/>
    <w:multiLevelType w:val="hybridMultilevel"/>
    <w:tmpl w:val="733E9436"/>
    <w:lvl w:ilvl="0" w:tplc="08F2A898">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8" w15:restartNumberingAfterBreak="0">
    <w:nsid w:val="54C43008"/>
    <w:multiLevelType w:val="multilevel"/>
    <w:tmpl w:val="CBAE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61E89"/>
    <w:multiLevelType w:val="hybridMultilevel"/>
    <w:tmpl w:val="6D12EB10"/>
    <w:lvl w:ilvl="0" w:tplc="32D6AC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AD57C3"/>
    <w:multiLevelType w:val="hybridMultilevel"/>
    <w:tmpl w:val="22B84262"/>
    <w:lvl w:ilvl="0" w:tplc="78D648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815972"/>
    <w:multiLevelType w:val="hybridMultilevel"/>
    <w:tmpl w:val="7C3C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C33C16"/>
    <w:multiLevelType w:val="multilevel"/>
    <w:tmpl w:val="96FEF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94109A"/>
    <w:multiLevelType w:val="hybridMultilevel"/>
    <w:tmpl w:val="6846AF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BB4761"/>
    <w:multiLevelType w:val="hybridMultilevel"/>
    <w:tmpl w:val="47027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4B7130"/>
    <w:multiLevelType w:val="hybridMultilevel"/>
    <w:tmpl w:val="25F0C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8F0079"/>
    <w:multiLevelType w:val="hybridMultilevel"/>
    <w:tmpl w:val="9C4EC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662FCF"/>
    <w:multiLevelType w:val="hybridMultilevel"/>
    <w:tmpl w:val="9D6CA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173A78"/>
    <w:multiLevelType w:val="hybridMultilevel"/>
    <w:tmpl w:val="707EEFD2"/>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135C78"/>
    <w:multiLevelType w:val="hybridMultilevel"/>
    <w:tmpl w:val="D4AA1E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D56503"/>
    <w:multiLevelType w:val="hybridMultilevel"/>
    <w:tmpl w:val="414437CE"/>
    <w:lvl w:ilvl="0" w:tplc="1B68D2F2">
      <w:start w:val="40"/>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5B37BD"/>
    <w:multiLevelType w:val="hybridMultilevel"/>
    <w:tmpl w:val="687829D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78356D"/>
    <w:multiLevelType w:val="hybridMultilevel"/>
    <w:tmpl w:val="FBA46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24"/>
  </w:num>
  <w:num w:numId="5">
    <w:abstractNumId w:val="32"/>
  </w:num>
  <w:num w:numId="6">
    <w:abstractNumId w:val="21"/>
  </w:num>
  <w:num w:numId="7">
    <w:abstractNumId w:val="17"/>
  </w:num>
  <w:num w:numId="8">
    <w:abstractNumId w:val="29"/>
  </w:num>
  <w:num w:numId="9">
    <w:abstractNumId w:val="0"/>
  </w:num>
  <w:num w:numId="10">
    <w:abstractNumId w:val="37"/>
  </w:num>
  <w:num w:numId="11">
    <w:abstractNumId w:val="25"/>
  </w:num>
  <w:num w:numId="12">
    <w:abstractNumId w:val="28"/>
  </w:num>
  <w:num w:numId="13">
    <w:abstractNumId w:val="27"/>
  </w:num>
  <w:num w:numId="14">
    <w:abstractNumId w:val="9"/>
  </w:num>
  <w:num w:numId="15">
    <w:abstractNumId w:val="36"/>
  </w:num>
  <w:num w:numId="16">
    <w:abstractNumId w:val="22"/>
  </w:num>
  <w:num w:numId="17">
    <w:abstractNumId w:val="38"/>
  </w:num>
  <w:num w:numId="18">
    <w:abstractNumId w:val="4"/>
  </w:num>
  <w:num w:numId="19">
    <w:abstractNumId w:val="8"/>
  </w:num>
  <w:num w:numId="20">
    <w:abstractNumId w:val="41"/>
  </w:num>
  <w:num w:numId="21">
    <w:abstractNumId w:val="35"/>
  </w:num>
  <w:num w:numId="22">
    <w:abstractNumId w:val="31"/>
  </w:num>
  <w:num w:numId="23">
    <w:abstractNumId w:val="14"/>
  </w:num>
  <w:num w:numId="24">
    <w:abstractNumId w:val="7"/>
  </w:num>
  <w:num w:numId="25">
    <w:abstractNumId w:val="11"/>
  </w:num>
  <w:num w:numId="26">
    <w:abstractNumId w:val="30"/>
  </w:num>
  <w:num w:numId="27">
    <w:abstractNumId w:val="39"/>
  </w:num>
  <w:num w:numId="28">
    <w:abstractNumId w:val="1"/>
  </w:num>
  <w:num w:numId="29">
    <w:abstractNumId w:val="40"/>
  </w:num>
  <w:num w:numId="30">
    <w:abstractNumId w:val="6"/>
  </w:num>
  <w:num w:numId="31">
    <w:abstractNumId w:val="26"/>
  </w:num>
  <w:num w:numId="32">
    <w:abstractNumId w:val="18"/>
  </w:num>
  <w:num w:numId="33">
    <w:abstractNumId w:val="10"/>
  </w:num>
  <w:num w:numId="34">
    <w:abstractNumId w:val="15"/>
  </w:num>
  <w:num w:numId="35">
    <w:abstractNumId w:val="19"/>
  </w:num>
  <w:num w:numId="36">
    <w:abstractNumId w:val="2"/>
  </w:num>
  <w:num w:numId="37">
    <w:abstractNumId w:val="33"/>
  </w:num>
  <w:num w:numId="38">
    <w:abstractNumId w:val="42"/>
  </w:num>
  <w:num w:numId="39">
    <w:abstractNumId w:val="23"/>
  </w:num>
  <w:num w:numId="40">
    <w:abstractNumId w:val="34"/>
  </w:num>
  <w:num w:numId="41">
    <w:abstractNumId w:val="16"/>
  </w:num>
  <w:num w:numId="42">
    <w:abstractNumId w:val="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C0"/>
    <w:rsid w:val="00000D17"/>
    <w:rsid w:val="0000667A"/>
    <w:rsid w:val="00020F4B"/>
    <w:rsid w:val="00047C30"/>
    <w:rsid w:val="00047C64"/>
    <w:rsid w:val="000557FE"/>
    <w:rsid w:val="00060EE3"/>
    <w:rsid w:val="000755FC"/>
    <w:rsid w:val="000A4021"/>
    <w:rsid w:val="000F4818"/>
    <w:rsid w:val="000F5A8D"/>
    <w:rsid w:val="0010787D"/>
    <w:rsid w:val="0011335B"/>
    <w:rsid w:val="00117CF0"/>
    <w:rsid w:val="00131AE6"/>
    <w:rsid w:val="00174763"/>
    <w:rsid w:val="00177701"/>
    <w:rsid w:val="001D1478"/>
    <w:rsid w:val="001E1437"/>
    <w:rsid w:val="002430F1"/>
    <w:rsid w:val="0024663D"/>
    <w:rsid w:val="002A2819"/>
    <w:rsid w:val="002B1BB6"/>
    <w:rsid w:val="002D5E98"/>
    <w:rsid w:val="002F206E"/>
    <w:rsid w:val="002F25A6"/>
    <w:rsid w:val="002F370A"/>
    <w:rsid w:val="002F5B33"/>
    <w:rsid w:val="00313B21"/>
    <w:rsid w:val="0032134A"/>
    <w:rsid w:val="00325D71"/>
    <w:rsid w:val="00352837"/>
    <w:rsid w:val="00354538"/>
    <w:rsid w:val="003562C0"/>
    <w:rsid w:val="003578C3"/>
    <w:rsid w:val="00361D25"/>
    <w:rsid w:val="0037346F"/>
    <w:rsid w:val="00385190"/>
    <w:rsid w:val="00390F4E"/>
    <w:rsid w:val="00396588"/>
    <w:rsid w:val="003A49FC"/>
    <w:rsid w:val="003C4D9F"/>
    <w:rsid w:val="004011F6"/>
    <w:rsid w:val="00405E42"/>
    <w:rsid w:val="0041594A"/>
    <w:rsid w:val="004872F4"/>
    <w:rsid w:val="00494565"/>
    <w:rsid w:val="004C04CF"/>
    <w:rsid w:val="004D6609"/>
    <w:rsid w:val="004E0539"/>
    <w:rsid w:val="004F1DC6"/>
    <w:rsid w:val="004F610B"/>
    <w:rsid w:val="004F6F95"/>
    <w:rsid w:val="00511ACF"/>
    <w:rsid w:val="00515DBB"/>
    <w:rsid w:val="005319DA"/>
    <w:rsid w:val="00553B5F"/>
    <w:rsid w:val="005612C9"/>
    <w:rsid w:val="005D5268"/>
    <w:rsid w:val="005E4C6F"/>
    <w:rsid w:val="005F00FC"/>
    <w:rsid w:val="006027BF"/>
    <w:rsid w:val="00613FA1"/>
    <w:rsid w:val="00620930"/>
    <w:rsid w:val="00624E43"/>
    <w:rsid w:val="0062751E"/>
    <w:rsid w:val="006463E3"/>
    <w:rsid w:val="00652898"/>
    <w:rsid w:val="00670D1C"/>
    <w:rsid w:val="006723A6"/>
    <w:rsid w:val="006F6CFF"/>
    <w:rsid w:val="00702D9E"/>
    <w:rsid w:val="00707C4C"/>
    <w:rsid w:val="007134F5"/>
    <w:rsid w:val="00775B4B"/>
    <w:rsid w:val="007B7BDB"/>
    <w:rsid w:val="007C5174"/>
    <w:rsid w:val="007F14AC"/>
    <w:rsid w:val="00803184"/>
    <w:rsid w:val="00822474"/>
    <w:rsid w:val="00823201"/>
    <w:rsid w:val="00840D6A"/>
    <w:rsid w:val="00854C79"/>
    <w:rsid w:val="00862507"/>
    <w:rsid w:val="008656AB"/>
    <w:rsid w:val="008800E0"/>
    <w:rsid w:val="008D2175"/>
    <w:rsid w:val="008D726D"/>
    <w:rsid w:val="008F3A92"/>
    <w:rsid w:val="00905DB2"/>
    <w:rsid w:val="00905DC0"/>
    <w:rsid w:val="00917172"/>
    <w:rsid w:val="00922FCF"/>
    <w:rsid w:val="00937B5A"/>
    <w:rsid w:val="009400B4"/>
    <w:rsid w:val="0094176D"/>
    <w:rsid w:val="0094721D"/>
    <w:rsid w:val="00961ABE"/>
    <w:rsid w:val="009B660C"/>
    <w:rsid w:val="009B6E23"/>
    <w:rsid w:val="009C0BC9"/>
    <w:rsid w:val="009C355F"/>
    <w:rsid w:val="009D0C81"/>
    <w:rsid w:val="009D275E"/>
    <w:rsid w:val="009E17AA"/>
    <w:rsid w:val="009E52E3"/>
    <w:rsid w:val="009F1092"/>
    <w:rsid w:val="00A13FB9"/>
    <w:rsid w:val="00A51632"/>
    <w:rsid w:val="00A52AE3"/>
    <w:rsid w:val="00A55886"/>
    <w:rsid w:val="00A55983"/>
    <w:rsid w:val="00A57AF8"/>
    <w:rsid w:val="00A66AD4"/>
    <w:rsid w:val="00A711E7"/>
    <w:rsid w:val="00A715C1"/>
    <w:rsid w:val="00A7201E"/>
    <w:rsid w:val="00A73482"/>
    <w:rsid w:val="00AA3FBA"/>
    <w:rsid w:val="00AC3B4A"/>
    <w:rsid w:val="00AE64BD"/>
    <w:rsid w:val="00AE6E9C"/>
    <w:rsid w:val="00B12825"/>
    <w:rsid w:val="00B34B07"/>
    <w:rsid w:val="00B768E8"/>
    <w:rsid w:val="00B817CF"/>
    <w:rsid w:val="00B86B71"/>
    <w:rsid w:val="00B939BE"/>
    <w:rsid w:val="00BA2667"/>
    <w:rsid w:val="00BC78DB"/>
    <w:rsid w:val="00C122B6"/>
    <w:rsid w:val="00C34191"/>
    <w:rsid w:val="00C37231"/>
    <w:rsid w:val="00C72E23"/>
    <w:rsid w:val="00C93C04"/>
    <w:rsid w:val="00CF16C7"/>
    <w:rsid w:val="00D5029E"/>
    <w:rsid w:val="00DB21E9"/>
    <w:rsid w:val="00DC1510"/>
    <w:rsid w:val="00DE45B7"/>
    <w:rsid w:val="00DE7DD6"/>
    <w:rsid w:val="00DF7310"/>
    <w:rsid w:val="00E061DB"/>
    <w:rsid w:val="00E15FB2"/>
    <w:rsid w:val="00E232EE"/>
    <w:rsid w:val="00E305D8"/>
    <w:rsid w:val="00E42E09"/>
    <w:rsid w:val="00E473D7"/>
    <w:rsid w:val="00EC6F50"/>
    <w:rsid w:val="00EE49EE"/>
    <w:rsid w:val="00EE529C"/>
    <w:rsid w:val="00F058EE"/>
    <w:rsid w:val="00F20128"/>
    <w:rsid w:val="00F4141E"/>
    <w:rsid w:val="00F4178C"/>
    <w:rsid w:val="00F5472C"/>
    <w:rsid w:val="00F81CD3"/>
    <w:rsid w:val="00FA7FF3"/>
    <w:rsid w:val="00FF62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69F8"/>
  <w15:docId w15:val="{737CB5F8-2075-4D2E-B025-F01000E8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tedebasdepage">
    <w:name w:val="footnote text"/>
    <w:aliases w:val="Funotentext Char Char2,Char Char1 Char2,Funotentext Char Char Char1,Char Char1 Char Char1,Fu,Footnote,Footnote Text Char1 Char Char Char,Fußnotentext Char,Fußnotentext Char1 Char1"/>
    <w:basedOn w:val="Normal"/>
    <w:link w:val="NotedebasdepageCar"/>
    <w:uiPriority w:val="99"/>
    <w:unhideWhenUsed/>
    <w:qFormat/>
    <w:rsid w:val="005319DA"/>
    <w:pPr>
      <w:spacing w:line="240" w:lineRule="auto"/>
    </w:pPr>
    <w:rPr>
      <w:sz w:val="20"/>
      <w:szCs w:val="20"/>
    </w:rPr>
  </w:style>
  <w:style w:type="character" w:customStyle="1" w:styleId="NotedebasdepageCar">
    <w:name w:val="Note de bas de page Car"/>
    <w:aliases w:val="Funotentext Char Char2 Car,Char Char1 Char2 Car,Funotentext Char Char Char1 Car,Char Char1 Char Char1 Car,Fu Car,Footnote Car,Footnote Text Char1 Char Char Char Car,Fußnotentext Char Car,Fußnotentext Char1 Char1 Car"/>
    <w:basedOn w:val="Policepardfaut"/>
    <w:link w:val="Notedebasdepage"/>
    <w:uiPriority w:val="99"/>
    <w:qFormat/>
    <w:rsid w:val="005319DA"/>
    <w:rPr>
      <w:sz w:val="20"/>
      <w:szCs w:val="20"/>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ftref,16 Point"/>
    <w:basedOn w:val="Policepardfaut"/>
    <w:link w:val="Char2"/>
    <w:uiPriority w:val="99"/>
    <w:unhideWhenUsed/>
    <w:qFormat/>
    <w:rsid w:val="005319DA"/>
    <w:rPr>
      <w:vertAlign w:val="superscript"/>
    </w:rPr>
  </w:style>
  <w:style w:type="paragraph" w:styleId="Paragraphedeliste">
    <w:name w:val="List Paragraph"/>
    <w:aliases w:val="List numbered,Yellow Bullet,Normal bullet 2,Paragraph,List Paragraph (numbered (a)),Bullets,Medium Grid 1 - Accent 22,Dot pt,F5 List Paragraph,List Paragraph Char Char Char,Indicator Text,Numbered Para 1,List Paragraph1,EC,Listes,del"/>
    <w:basedOn w:val="Normal"/>
    <w:link w:val="ParagraphedelisteCar"/>
    <w:uiPriority w:val="34"/>
    <w:qFormat/>
    <w:rsid w:val="00DE45B7"/>
    <w:pPr>
      <w:ind w:left="720"/>
      <w:contextualSpacing/>
    </w:pPr>
  </w:style>
  <w:style w:type="character" w:customStyle="1" w:styleId="ParagraphedelisteCar">
    <w:name w:val="Paragraphe de liste Car"/>
    <w:aliases w:val="List numbered Car,Yellow Bullet Car,Normal bullet 2 Car,Paragraph Car,List Paragraph (numbered (a)) Car,Bullets Car,Medium Grid 1 - Accent 22 Car,Dot pt Car,F5 List Paragraph Car,List Paragraph Char Char Char Car,EC Car,del Car"/>
    <w:basedOn w:val="Policepardfaut"/>
    <w:link w:val="Paragraphedeliste"/>
    <w:uiPriority w:val="34"/>
    <w:qFormat/>
    <w:locked/>
    <w:rsid w:val="009C0BC9"/>
  </w:style>
  <w:style w:type="character" w:styleId="Lienhypertexte">
    <w:name w:val="Hyperlink"/>
    <w:basedOn w:val="Policepardfaut"/>
    <w:uiPriority w:val="99"/>
    <w:unhideWhenUsed/>
    <w:rsid w:val="00BA2667"/>
    <w:rPr>
      <w:color w:val="0000FF" w:themeColor="hyperlink"/>
      <w:u w:val="single"/>
    </w:rPr>
  </w:style>
  <w:style w:type="paragraph" w:styleId="En-tte">
    <w:name w:val="header"/>
    <w:basedOn w:val="Normal"/>
    <w:link w:val="En-tteCar"/>
    <w:uiPriority w:val="99"/>
    <w:unhideWhenUsed/>
    <w:rsid w:val="00177701"/>
    <w:pPr>
      <w:tabs>
        <w:tab w:val="center" w:pos="4536"/>
        <w:tab w:val="right" w:pos="9072"/>
      </w:tabs>
      <w:spacing w:line="240" w:lineRule="auto"/>
    </w:pPr>
  </w:style>
  <w:style w:type="character" w:customStyle="1" w:styleId="En-tteCar">
    <w:name w:val="En-tête Car"/>
    <w:basedOn w:val="Policepardfaut"/>
    <w:link w:val="En-tte"/>
    <w:uiPriority w:val="99"/>
    <w:rsid w:val="00177701"/>
  </w:style>
  <w:style w:type="paragraph" w:styleId="Pieddepage">
    <w:name w:val="footer"/>
    <w:basedOn w:val="Normal"/>
    <w:link w:val="PieddepageCar"/>
    <w:uiPriority w:val="99"/>
    <w:unhideWhenUsed/>
    <w:rsid w:val="00177701"/>
    <w:pPr>
      <w:tabs>
        <w:tab w:val="center" w:pos="4536"/>
        <w:tab w:val="right" w:pos="9072"/>
      </w:tabs>
      <w:spacing w:line="240" w:lineRule="auto"/>
    </w:pPr>
  </w:style>
  <w:style w:type="character" w:customStyle="1" w:styleId="PieddepageCar">
    <w:name w:val="Pied de page Car"/>
    <w:basedOn w:val="Policepardfaut"/>
    <w:link w:val="Pieddepage"/>
    <w:uiPriority w:val="99"/>
    <w:rsid w:val="00177701"/>
  </w:style>
  <w:style w:type="paragraph" w:styleId="Textebrut">
    <w:name w:val="Plain Text"/>
    <w:basedOn w:val="Normal"/>
    <w:link w:val="TextebrutCar"/>
    <w:uiPriority w:val="99"/>
    <w:unhideWhenUsed/>
    <w:rsid w:val="006463E3"/>
    <w:pPr>
      <w:spacing w:line="240" w:lineRule="auto"/>
    </w:pPr>
    <w:rPr>
      <w:rFonts w:ascii="Calibri" w:eastAsiaTheme="minorHAnsi" w:hAnsi="Calibri" w:cstheme="minorBidi"/>
      <w:szCs w:val="21"/>
      <w:lang w:val="fr-FR" w:eastAsia="en-US"/>
    </w:rPr>
  </w:style>
  <w:style w:type="character" w:customStyle="1" w:styleId="TextebrutCar">
    <w:name w:val="Texte brut Car"/>
    <w:basedOn w:val="Policepardfaut"/>
    <w:link w:val="Textebrut"/>
    <w:uiPriority w:val="99"/>
    <w:rsid w:val="006463E3"/>
    <w:rPr>
      <w:rFonts w:ascii="Calibri" w:eastAsiaTheme="minorHAnsi" w:hAnsi="Calibri" w:cstheme="minorBidi"/>
      <w:szCs w:val="21"/>
      <w:lang w:val="fr-FR" w:eastAsia="en-US"/>
    </w:rPr>
  </w:style>
  <w:style w:type="paragraph" w:styleId="Corpsdetexte">
    <w:name w:val="Body Text"/>
    <w:basedOn w:val="Normal"/>
    <w:link w:val="CorpsdetexteCar"/>
    <w:qFormat/>
    <w:rsid w:val="00A57AF8"/>
    <w:pPr>
      <w:widowControl w:val="0"/>
      <w:spacing w:line="240" w:lineRule="auto"/>
      <w:jc w:val="center"/>
    </w:pPr>
    <w:rPr>
      <w:rFonts w:eastAsia="Times New Roman"/>
      <w:b/>
      <w:caps/>
      <w:sz w:val="24"/>
      <w:szCs w:val="24"/>
      <w:lang w:val="fr-FR"/>
    </w:rPr>
  </w:style>
  <w:style w:type="character" w:customStyle="1" w:styleId="CorpsdetexteCar">
    <w:name w:val="Corps de texte Car"/>
    <w:basedOn w:val="Policepardfaut"/>
    <w:link w:val="Corpsdetexte"/>
    <w:rsid w:val="00A57AF8"/>
    <w:rPr>
      <w:rFonts w:eastAsia="Times New Roman"/>
      <w:b/>
      <w:caps/>
      <w:sz w:val="24"/>
      <w:szCs w:val="24"/>
      <w:lang w:val="fr-FR"/>
    </w:rPr>
  </w:style>
  <w:style w:type="paragraph" w:customStyle="1" w:styleId="Char2">
    <w:name w:val="Char2"/>
    <w:basedOn w:val="Normal"/>
    <w:link w:val="Appelnotedebasdep"/>
    <w:uiPriority w:val="99"/>
    <w:rsid w:val="00A57AF8"/>
    <w:pPr>
      <w:spacing w:after="160" w:line="240" w:lineRule="exact"/>
    </w:pPr>
    <w:rPr>
      <w:vertAlign w:val="superscript"/>
    </w:rPr>
  </w:style>
  <w:style w:type="paragraph" w:customStyle="1" w:styleId="xmsolistparagraph">
    <w:name w:val="x_msolistparagraph"/>
    <w:basedOn w:val="Normal"/>
    <w:rsid w:val="00A57AF8"/>
    <w:pPr>
      <w:spacing w:line="240" w:lineRule="auto"/>
      <w:ind w:left="720"/>
    </w:pPr>
    <w:rPr>
      <w:rFonts w:ascii="Calibri" w:eastAsiaTheme="minorHAnsi" w:hAnsi="Calibri" w:cs="Times New Roman"/>
      <w:lang w:val="en-GB" w:eastAsia="en-GB"/>
    </w:rPr>
  </w:style>
  <w:style w:type="character" w:styleId="Marquedecommentaire">
    <w:name w:val="annotation reference"/>
    <w:basedOn w:val="Policepardfaut"/>
    <w:uiPriority w:val="99"/>
    <w:semiHidden/>
    <w:unhideWhenUsed/>
    <w:rsid w:val="00396588"/>
    <w:rPr>
      <w:sz w:val="16"/>
      <w:szCs w:val="16"/>
    </w:rPr>
  </w:style>
  <w:style w:type="paragraph" w:styleId="Commentaire">
    <w:name w:val="annotation text"/>
    <w:basedOn w:val="Normal"/>
    <w:link w:val="CommentaireCar"/>
    <w:uiPriority w:val="99"/>
    <w:semiHidden/>
    <w:unhideWhenUsed/>
    <w:rsid w:val="00396588"/>
    <w:pPr>
      <w:spacing w:line="240" w:lineRule="auto"/>
    </w:pPr>
    <w:rPr>
      <w:sz w:val="20"/>
      <w:szCs w:val="20"/>
    </w:rPr>
  </w:style>
  <w:style w:type="character" w:customStyle="1" w:styleId="CommentaireCar">
    <w:name w:val="Commentaire Car"/>
    <w:basedOn w:val="Policepardfaut"/>
    <w:link w:val="Commentaire"/>
    <w:uiPriority w:val="99"/>
    <w:semiHidden/>
    <w:rsid w:val="00396588"/>
    <w:rPr>
      <w:sz w:val="20"/>
      <w:szCs w:val="20"/>
    </w:rPr>
  </w:style>
  <w:style w:type="paragraph" w:styleId="Objetducommentaire">
    <w:name w:val="annotation subject"/>
    <w:basedOn w:val="Commentaire"/>
    <w:next w:val="Commentaire"/>
    <w:link w:val="ObjetducommentaireCar"/>
    <w:uiPriority w:val="99"/>
    <w:semiHidden/>
    <w:unhideWhenUsed/>
    <w:rsid w:val="00396588"/>
    <w:rPr>
      <w:b/>
      <w:bCs/>
    </w:rPr>
  </w:style>
  <w:style w:type="character" w:customStyle="1" w:styleId="ObjetducommentaireCar">
    <w:name w:val="Objet du commentaire Car"/>
    <w:basedOn w:val="CommentaireCar"/>
    <w:link w:val="Objetducommentaire"/>
    <w:uiPriority w:val="99"/>
    <w:semiHidden/>
    <w:rsid w:val="00396588"/>
    <w:rPr>
      <w:b/>
      <w:bCs/>
      <w:sz w:val="20"/>
      <w:szCs w:val="20"/>
    </w:rPr>
  </w:style>
  <w:style w:type="paragraph" w:styleId="Textedebulles">
    <w:name w:val="Balloon Text"/>
    <w:basedOn w:val="Normal"/>
    <w:link w:val="TextedebullesCar"/>
    <w:uiPriority w:val="99"/>
    <w:semiHidden/>
    <w:unhideWhenUsed/>
    <w:rsid w:val="0039658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6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56169">
      <w:bodyDiv w:val="1"/>
      <w:marLeft w:val="0"/>
      <w:marRight w:val="0"/>
      <w:marTop w:val="0"/>
      <w:marBottom w:val="0"/>
      <w:divBdr>
        <w:top w:val="none" w:sz="0" w:space="0" w:color="auto"/>
        <w:left w:val="none" w:sz="0" w:space="0" w:color="auto"/>
        <w:bottom w:val="none" w:sz="0" w:space="0" w:color="auto"/>
        <w:right w:val="none" w:sz="0" w:space="0" w:color="auto"/>
      </w:divBdr>
    </w:div>
    <w:div w:id="134528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ovi.tn/wp-content/uploads/2024/06/Charte-verte-Greenovi-V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eenovi.tn/wp-content/uploads/2024/07/glossai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F553-CA09-4F96-B968-A02A842C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3142</Words>
  <Characters>17285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 Ouni</dc:creator>
  <cp:lastModifiedBy>Ahmed Zied BENNOUR</cp:lastModifiedBy>
  <cp:revision>3</cp:revision>
  <dcterms:created xsi:type="dcterms:W3CDTF">2025-01-29T08:09:00Z</dcterms:created>
  <dcterms:modified xsi:type="dcterms:W3CDTF">2025-01-29T14:09:00Z</dcterms:modified>
</cp:coreProperties>
</file>