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37" w:rsidRDefault="00250637" w:rsidP="003752D5">
      <w:pPr>
        <w:spacing w:after="0" w:line="276" w:lineRule="auto"/>
        <w:jc w:val="center"/>
        <w:rPr>
          <w:rFonts w:ascii="Arial" w:eastAsia="Arial" w:hAnsi="Arial" w:cs="Arial"/>
          <w:b/>
          <w:sz w:val="32"/>
          <w:szCs w:val="32"/>
          <w:lang w:val="fr" w:eastAsia="fr-FR"/>
        </w:rPr>
      </w:pPr>
    </w:p>
    <w:p w:rsidR="00CF24D6" w:rsidRPr="003752D5" w:rsidRDefault="00CF24D6" w:rsidP="003752D5">
      <w:pPr>
        <w:spacing w:after="0" w:line="276" w:lineRule="auto"/>
        <w:jc w:val="center"/>
        <w:rPr>
          <w:rFonts w:ascii="Arial" w:eastAsia="Arial" w:hAnsi="Arial" w:cs="Arial"/>
          <w:b/>
          <w:sz w:val="32"/>
          <w:szCs w:val="32"/>
          <w:lang w:val="fr" w:eastAsia="fr-FR"/>
        </w:rPr>
      </w:pPr>
      <w:r w:rsidRPr="003752D5">
        <w:rPr>
          <w:rFonts w:ascii="Arial" w:eastAsia="Arial" w:hAnsi="Arial" w:cs="Arial"/>
          <w:b/>
          <w:sz w:val="32"/>
          <w:szCs w:val="32"/>
          <w:lang w:val="fr" w:eastAsia="fr-FR"/>
        </w:rPr>
        <w:t>Termes de référence de la mission de l’Expert en suivi-évaluation-redevabilité-apprentissage (SERA)</w:t>
      </w:r>
    </w:p>
    <w:p w:rsidR="003752D5" w:rsidRDefault="003752D5" w:rsidP="00CF24D6">
      <w:pPr>
        <w:jc w:val="center"/>
        <w:rPr>
          <w:rFonts w:ascii="Arial" w:hAnsi="Arial" w:cs="Arial"/>
          <w:b/>
          <w:bCs/>
          <w:color w:val="002060"/>
          <w:sz w:val="28"/>
          <w:szCs w:val="28"/>
        </w:rPr>
      </w:pPr>
    </w:p>
    <w:p w:rsidR="003752D5" w:rsidRPr="003752D5" w:rsidRDefault="003752D5" w:rsidP="003752D5">
      <w:pPr>
        <w:jc w:val="both"/>
        <w:rPr>
          <w:rFonts w:ascii="Arial" w:hAnsi="Arial" w:cs="Arial"/>
        </w:rPr>
      </w:pPr>
      <w:r w:rsidRPr="003752D5">
        <w:rPr>
          <w:rFonts w:ascii="Arial" w:hAnsi="Arial" w:cs="Arial"/>
        </w:rPr>
        <w:t>Dans le cadre du projet « </w:t>
      </w:r>
      <w:r w:rsidRPr="003752D5">
        <w:rPr>
          <w:rFonts w:ascii="Arial" w:hAnsi="Arial" w:cs="Arial"/>
          <w:b/>
          <w:i/>
        </w:rPr>
        <w:t>Appui technique à la mise en œuvre d’une gestion publique plus efficace et transparente dans le cadre de la Loi Organique relative à la Loi de Finances</w:t>
      </w:r>
      <w:r w:rsidRPr="003752D5">
        <w:rPr>
          <w:rFonts w:ascii="Arial" w:hAnsi="Arial" w:cs="Arial"/>
        </w:rPr>
        <w:t> »</w:t>
      </w:r>
      <w:r w:rsidR="0070128A">
        <w:rPr>
          <w:rFonts w:ascii="Arial" w:hAnsi="Arial" w:cs="Arial"/>
        </w:rPr>
        <w:t xml:space="preserve"> au Maroc</w:t>
      </w:r>
      <w:r w:rsidRPr="003752D5">
        <w:rPr>
          <w:rFonts w:ascii="Arial" w:hAnsi="Arial" w:cs="Arial"/>
        </w:rPr>
        <w:t>, Expertise France lance la présente consultation en vue du recrutement d’</w:t>
      </w:r>
      <w:proofErr w:type="spellStart"/>
      <w:r w:rsidRPr="003752D5">
        <w:rPr>
          <w:rFonts w:ascii="Arial" w:hAnsi="Arial" w:cs="Arial"/>
        </w:rPr>
        <w:t>un</w:t>
      </w:r>
      <w:r w:rsidR="009F04E9">
        <w:rPr>
          <w:rFonts w:ascii="Arial" w:hAnsi="Arial" w:cs="Arial"/>
        </w:rPr>
        <w:t>.e</w:t>
      </w:r>
      <w:proofErr w:type="spellEnd"/>
      <w:r w:rsidRPr="003752D5">
        <w:rPr>
          <w:rFonts w:ascii="Arial" w:hAnsi="Arial" w:cs="Arial"/>
        </w:rPr>
        <w:t xml:space="preserve"> </w:t>
      </w:r>
      <w:proofErr w:type="spellStart"/>
      <w:r w:rsidR="00456E84">
        <w:rPr>
          <w:rFonts w:ascii="Arial" w:hAnsi="Arial" w:cs="Arial"/>
        </w:rPr>
        <w:t>expert</w:t>
      </w:r>
      <w:r w:rsidR="009F04E9">
        <w:rPr>
          <w:rFonts w:ascii="Arial" w:hAnsi="Arial" w:cs="Arial"/>
        </w:rPr>
        <w:t>.e</w:t>
      </w:r>
      <w:proofErr w:type="spellEnd"/>
      <w:r w:rsidRPr="003752D5">
        <w:rPr>
          <w:rFonts w:ascii="Arial" w:hAnsi="Arial" w:cs="Arial"/>
        </w:rPr>
        <w:t xml:space="preserve"> </w:t>
      </w:r>
      <w:r>
        <w:rPr>
          <w:rFonts w:ascii="Arial" w:hAnsi="Arial" w:cs="Arial"/>
        </w:rPr>
        <w:t>pour la mise en place du dispositif de suivi et évaluation du projet.</w:t>
      </w:r>
    </w:p>
    <w:p w:rsidR="003752D5" w:rsidRPr="003752D5" w:rsidRDefault="003752D5" w:rsidP="003752D5">
      <w:pPr>
        <w:jc w:val="both"/>
        <w:rPr>
          <w:rFonts w:ascii="Arial" w:hAnsi="Arial" w:cs="Arial"/>
          <w:b/>
        </w:rPr>
      </w:pPr>
      <w:r w:rsidRPr="003752D5">
        <w:rPr>
          <w:rFonts w:ascii="Arial" w:hAnsi="Arial" w:cs="Arial"/>
          <w:b/>
        </w:rPr>
        <w:t xml:space="preserve"> </w:t>
      </w:r>
    </w:p>
    <w:p w:rsidR="003752D5" w:rsidRPr="003752D5" w:rsidRDefault="003752D5" w:rsidP="003752D5">
      <w:pPr>
        <w:pStyle w:val="Paragraphedeliste"/>
        <w:numPr>
          <w:ilvl w:val="0"/>
          <w:numId w:val="23"/>
        </w:numPr>
        <w:spacing w:line="276" w:lineRule="auto"/>
        <w:jc w:val="both"/>
        <w:rPr>
          <w:rFonts w:ascii="Arial" w:hAnsi="Arial" w:cs="Arial"/>
          <w:b/>
        </w:rPr>
      </w:pPr>
      <w:r w:rsidRPr="003752D5">
        <w:rPr>
          <w:rFonts w:ascii="Arial" w:hAnsi="Arial" w:cs="Arial"/>
          <w:b/>
        </w:rPr>
        <w:t>Contexte</w:t>
      </w:r>
      <w:r>
        <w:rPr>
          <w:rFonts w:ascii="Arial" w:hAnsi="Arial" w:cs="Arial"/>
          <w:b/>
        </w:rPr>
        <w:t xml:space="preserve"> général</w:t>
      </w:r>
    </w:p>
    <w:p w:rsidR="003752D5" w:rsidRPr="003752D5" w:rsidRDefault="003752D5" w:rsidP="003752D5">
      <w:pPr>
        <w:jc w:val="both"/>
        <w:rPr>
          <w:rFonts w:ascii="Arial" w:hAnsi="Arial" w:cs="Arial"/>
        </w:rPr>
      </w:pPr>
      <w:r w:rsidRPr="003752D5">
        <w:rPr>
          <w:rFonts w:ascii="Arial" w:hAnsi="Arial" w:cs="Arial"/>
        </w:rPr>
        <w:t xml:space="preserve"> </w:t>
      </w:r>
    </w:p>
    <w:p w:rsidR="003752D5" w:rsidRPr="003752D5" w:rsidRDefault="003752D5" w:rsidP="003752D5">
      <w:pPr>
        <w:jc w:val="both"/>
        <w:rPr>
          <w:rFonts w:ascii="Arial" w:hAnsi="Arial" w:cs="Arial"/>
        </w:rPr>
      </w:pPr>
      <w:r w:rsidRPr="003752D5">
        <w:rPr>
          <w:rFonts w:ascii="Arial" w:hAnsi="Arial" w:cs="Arial"/>
        </w:rPr>
        <w:t>En juillet 2015, la Loi Organique relative à la Loi de Finances 130.13 qui offre de nouvelles perspectives de modernisation du processus de gestion des finances publiques a été adoptée. Elle applique les principes promulgués par la constitution de 2011 et entreprend un processus de transformation des règles budgétaires et comptables de l’État.</w:t>
      </w:r>
    </w:p>
    <w:p w:rsidR="003752D5" w:rsidRPr="003752D5" w:rsidRDefault="003752D5" w:rsidP="003752D5">
      <w:pPr>
        <w:jc w:val="both"/>
        <w:rPr>
          <w:rFonts w:ascii="Arial" w:hAnsi="Arial" w:cs="Arial"/>
        </w:rPr>
      </w:pPr>
      <w:r w:rsidRPr="003752D5">
        <w:rPr>
          <w:rFonts w:ascii="Arial" w:hAnsi="Arial" w:cs="Arial"/>
        </w:rPr>
        <w:t>L’objectif étant le respect des principes de la bonne gouvernance en instaurant :</w:t>
      </w:r>
    </w:p>
    <w:p w:rsidR="003752D5" w:rsidRPr="003752D5" w:rsidRDefault="003752D5" w:rsidP="003752D5">
      <w:pPr>
        <w:spacing w:line="240" w:lineRule="auto"/>
        <w:ind w:left="1080" w:hanging="360"/>
        <w:jc w:val="both"/>
        <w:rPr>
          <w:rFonts w:ascii="Arial" w:hAnsi="Arial" w:cs="Arial"/>
        </w:rPr>
      </w:pPr>
      <w:r w:rsidRPr="003752D5">
        <w:rPr>
          <w:rFonts w:ascii="Arial" w:eastAsia="Arial Unicode MS" w:hAnsi="Arial" w:cs="Arial"/>
        </w:rPr>
        <w:t>−</w:t>
      </w:r>
      <w:r w:rsidRPr="003752D5">
        <w:rPr>
          <w:rFonts w:ascii="Arial" w:eastAsia="Times New Roman" w:hAnsi="Arial" w:cs="Arial"/>
        </w:rPr>
        <w:t xml:space="preserve">  </w:t>
      </w:r>
      <w:r w:rsidRPr="003752D5">
        <w:rPr>
          <w:rFonts w:ascii="Arial" w:eastAsia="Times New Roman" w:hAnsi="Arial" w:cs="Arial"/>
        </w:rPr>
        <w:tab/>
      </w:r>
      <w:r w:rsidRPr="003752D5">
        <w:rPr>
          <w:rFonts w:ascii="Arial" w:hAnsi="Arial" w:cs="Arial"/>
        </w:rPr>
        <w:t>Une gestion publique axée sur la performance</w:t>
      </w:r>
    </w:p>
    <w:p w:rsidR="003752D5" w:rsidRPr="003752D5" w:rsidRDefault="003752D5" w:rsidP="003752D5">
      <w:pPr>
        <w:spacing w:line="240" w:lineRule="auto"/>
        <w:ind w:left="1080" w:hanging="360"/>
        <w:jc w:val="both"/>
        <w:rPr>
          <w:rFonts w:ascii="Arial" w:hAnsi="Arial" w:cs="Arial"/>
        </w:rPr>
      </w:pPr>
      <w:r w:rsidRPr="003752D5">
        <w:rPr>
          <w:rFonts w:ascii="Arial" w:eastAsia="Arial Unicode MS" w:hAnsi="Arial" w:cs="Arial"/>
        </w:rPr>
        <w:t>−</w:t>
      </w:r>
      <w:r w:rsidRPr="003752D5">
        <w:rPr>
          <w:rFonts w:ascii="Arial" w:eastAsia="Times New Roman" w:hAnsi="Arial" w:cs="Arial"/>
        </w:rPr>
        <w:t xml:space="preserve">  </w:t>
      </w:r>
      <w:r w:rsidRPr="003752D5">
        <w:rPr>
          <w:rFonts w:ascii="Arial" w:eastAsia="Times New Roman" w:hAnsi="Arial" w:cs="Arial"/>
        </w:rPr>
        <w:tab/>
      </w:r>
      <w:r w:rsidRPr="003752D5">
        <w:rPr>
          <w:rFonts w:ascii="Arial" w:hAnsi="Arial" w:cs="Arial"/>
        </w:rPr>
        <w:t>Un budget de l’État plus transparent et plus sincère</w:t>
      </w:r>
    </w:p>
    <w:p w:rsidR="003752D5" w:rsidRPr="003752D5" w:rsidRDefault="003752D5" w:rsidP="003752D5">
      <w:pPr>
        <w:spacing w:line="240" w:lineRule="auto"/>
        <w:ind w:left="1080" w:hanging="360"/>
        <w:jc w:val="both"/>
        <w:rPr>
          <w:rFonts w:ascii="Arial" w:hAnsi="Arial" w:cs="Arial"/>
        </w:rPr>
      </w:pPr>
      <w:r w:rsidRPr="003752D5">
        <w:rPr>
          <w:rFonts w:ascii="Arial" w:eastAsia="Arial Unicode MS" w:hAnsi="Arial" w:cs="Arial"/>
        </w:rPr>
        <w:t>−</w:t>
      </w:r>
      <w:r w:rsidRPr="003752D5">
        <w:rPr>
          <w:rFonts w:ascii="Arial" w:eastAsia="Times New Roman" w:hAnsi="Arial" w:cs="Arial"/>
        </w:rPr>
        <w:t xml:space="preserve">  </w:t>
      </w:r>
      <w:r w:rsidRPr="003752D5">
        <w:rPr>
          <w:rFonts w:ascii="Arial" w:eastAsia="Times New Roman" w:hAnsi="Arial" w:cs="Arial"/>
        </w:rPr>
        <w:tab/>
      </w:r>
      <w:r w:rsidRPr="003752D5">
        <w:rPr>
          <w:rFonts w:ascii="Arial" w:hAnsi="Arial" w:cs="Arial"/>
        </w:rPr>
        <w:t>Un parlement mieux informé pour une meilleure évaluation des politiques publiques</w:t>
      </w:r>
    </w:p>
    <w:p w:rsidR="003752D5" w:rsidRPr="003752D5" w:rsidRDefault="003752D5" w:rsidP="003752D5">
      <w:pPr>
        <w:jc w:val="both"/>
        <w:rPr>
          <w:rFonts w:ascii="Arial" w:hAnsi="Arial" w:cs="Arial"/>
        </w:rPr>
      </w:pPr>
      <w:r w:rsidRPr="003752D5">
        <w:rPr>
          <w:rFonts w:ascii="Arial" w:hAnsi="Arial" w:cs="Arial"/>
        </w:rPr>
        <w:t xml:space="preserve"> La loi organique </w:t>
      </w:r>
      <w:r w:rsidR="009F04E9">
        <w:rPr>
          <w:rFonts w:ascii="Arial" w:hAnsi="Arial" w:cs="Arial"/>
        </w:rPr>
        <w:t>relative à la loi de</w:t>
      </w:r>
      <w:r w:rsidRPr="003752D5">
        <w:rPr>
          <w:rFonts w:ascii="Arial" w:hAnsi="Arial" w:cs="Arial"/>
        </w:rPr>
        <w:t xml:space="preserve"> finances répond aux attentes des : </w:t>
      </w:r>
    </w:p>
    <w:p w:rsidR="003752D5" w:rsidRPr="003752D5" w:rsidRDefault="003752D5" w:rsidP="003752D5">
      <w:pPr>
        <w:numPr>
          <w:ilvl w:val="0"/>
          <w:numId w:val="20"/>
        </w:numPr>
        <w:spacing w:after="0" w:line="276" w:lineRule="auto"/>
        <w:jc w:val="both"/>
        <w:rPr>
          <w:rFonts w:ascii="Arial" w:hAnsi="Arial" w:cs="Arial"/>
        </w:rPr>
      </w:pPr>
      <w:r w:rsidRPr="003752D5">
        <w:rPr>
          <w:rFonts w:ascii="Arial" w:hAnsi="Arial" w:cs="Arial"/>
        </w:rPr>
        <w:t>Citoyens en s’assurant de l’efficacité et de l’efficience des politiques publiques.</w:t>
      </w:r>
    </w:p>
    <w:p w:rsidR="003752D5" w:rsidRPr="003752D5" w:rsidRDefault="003752D5" w:rsidP="003752D5">
      <w:pPr>
        <w:numPr>
          <w:ilvl w:val="0"/>
          <w:numId w:val="20"/>
        </w:numPr>
        <w:spacing w:after="0" w:line="276" w:lineRule="auto"/>
        <w:jc w:val="both"/>
        <w:rPr>
          <w:rFonts w:ascii="Arial" w:hAnsi="Arial" w:cs="Arial"/>
        </w:rPr>
      </w:pPr>
      <w:r w:rsidRPr="003752D5">
        <w:rPr>
          <w:rFonts w:ascii="Arial" w:hAnsi="Arial" w:cs="Arial"/>
        </w:rPr>
        <w:t>Parlementaires en mettant en place une meilleure lisibilité du budget et une transparence au niveau de son exécution.</w:t>
      </w:r>
    </w:p>
    <w:p w:rsidR="003752D5" w:rsidRPr="003752D5" w:rsidRDefault="003752D5" w:rsidP="003752D5">
      <w:pPr>
        <w:numPr>
          <w:ilvl w:val="0"/>
          <w:numId w:val="20"/>
        </w:numPr>
        <w:spacing w:after="0" w:line="276" w:lineRule="auto"/>
        <w:jc w:val="both"/>
        <w:rPr>
          <w:rFonts w:ascii="Arial" w:hAnsi="Arial" w:cs="Arial"/>
        </w:rPr>
      </w:pPr>
      <w:r w:rsidRPr="003752D5">
        <w:rPr>
          <w:rFonts w:ascii="Arial" w:hAnsi="Arial" w:cs="Arial"/>
        </w:rPr>
        <w:t>Gestionnaires publics en soumettant une plus grande marge de manœuvre dans la gestion budgétaire.</w:t>
      </w:r>
    </w:p>
    <w:p w:rsidR="003752D5" w:rsidRPr="003752D5" w:rsidRDefault="003752D5" w:rsidP="003752D5">
      <w:pPr>
        <w:jc w:val="both"/>
        <w:rPr>
          <w:rFonts w:ascii="Arial" w:hAnsi="Arial" w:cs="Arial"/>
        </w:rPr>
      </w:pPr>
      <w:r w:rsidRPr="003752D5">
        <w:rPr>
          <w:rFonts w:ascii="Arial" w:hAnsi="Arial" w:cs="Arial"/>
        </w:rPr>
        <w:t>Cette loi s'inscrit dans la continuité́ de la mise en œuvre du programme gouvernemental, ainsi que des dispositions constitutionnelles et engagements internationaux du Maroc.</w:t>
      </w:r>
    </w:p>
    <w:p w:rsidR="003752D5" w:rsidRDefault="003752D5" w:rsidP="003752D5">
      <w:pPr>
        <w:rPr>
          <w:rFonts w:ascii="Arial" w:hAnsi="Arial" w:cs="Arial"/>
        </w:rPr>
      </w:pPr>
      <w:r w:rsidRPr="003752D5">
        <w:rPr>
          <w:rFonts w:ascii="Arial" w:hAnsi="Arial" w:cs="Arial"/>
        </w:rPr>
        <w:t xml:space="preserve"> </w:t>
      </w:r>
    </w:p>
    <w:p w:rsidR="003752D5" w:rsidRPr="003752D5" w:rsidRDefault="003752D5" w:rsidP="003752D5">
      <w:pPr>
        <w:pStyle w:val="Paragraphedeliste"/>
        <w:numPr>
          <w:ilvl w:val="0"/>
          <w:numId w:val="23"/>
        </w:numPr>
        <w:spacing w:line="276" w:lineRule="auto"/>
        <w:jc w:val="both"/>
        <w:rPr>
          <w:rFonts w:ascii="Arial" w:hAnsi="Arial" w:cs="Arial"/>
          <w:b/>
        </w:rPr>
      </w:pPr>
      <w:r w:rsidRPr="003752D5">
        <w:rPr>
          <w:rFonts w:ascii="Arial" w:hAnsi="Arial" w:cs="Arial"/>
          <w:b/>
        </w:rPr>
        <w:t xml:space="preserve">Contexte du projet </w:t>
      </w:r>
    </w:p>
    <w:p w:rsidR="003752D5" w:rsidRPr="003752D5" w:rsidRDefault="003752D5" w:rsidP="003752D5">
      <w:pPr>
        <w:pStyle w:val="Paragraphedeliste"/>
        <w:ind w:left="1800"/>
        <w:jc w:val="both"/>
        <w:rPr>
          <w:rFonts w:ascii="Arial" w:hAnsi="Arial" w:cs="Arial"/>
        </w:rPr>
      </w:pPr>
      <w:r w:rsidRPr="003752D5">
        <w:rPr>
          <w:rFonts w:ascii="Arial" w:hAnsi="Arial" w:cs="Arial"/>
        </w:rPr>
        <w:t xml:space="preserve"> </w:t>
      </w:r>
    </w:p>
    <w:p w:rsidR="003752D5" w:rsidRPr="003752D5" w:rsidRDefault="003752D5" w:rsidP="003752D5">
      <w:pPr>
        <w:jc w:val="both"/>
        <w:rPr>
          <w:rFonts w:ascii="Arial" w:hAnsi="Arial" w:cs="Arial"/>
        </w:rPr>
      </w:pPr>
      <w:r w:rsidRPr="003752D5">
        <w:rPr>
          <w:rFonts w:ascii="Arial" w:hAnsi="Arial" w:cs="Arial"/>
        </w:rPr>
        <w:t>Le projet fait partie du programme HAKAMA II (100 M€) pour le renforcement de la gouvernance publique financé par l’instrument européen de voisinage. L’objectif général de ce programme est l’accroissement de l’efficience de l’action publique et de la qualité des services publics par la mise en œuvre d’une gestion plus performante et transparente.</w:t>
      </w:r>
    </w:p>
    <w:p w:rsidR="003752D5" w:rsidRPr="003752D5" w:rsidRDefault="003752D5" w:rsidP="003752D5">
      <w:pPr>
        <w:jc w:val="both"/>
        <w:rPr>
          <w:rFonts w:ascii="Arial" w:hAnsi="Arial" w:cs="Arial"/>
        </w:rPr>
      </w:pPr>
      <w:r w:rsidRPr="003752D5">
        <w:rPr>
          <w:rFonts w:ascii="Arial" w:hAnsi="Arial" w:cs="Arial"/>
        </w:rPr>
        <w:t>Ce projet est financé par l’U</w:t>
      </w:r>
      <w:r w:rsidR="00456E84">
        <w:rPr>
          <w:rFonts w:ascii="Arial" w:hAnsi="Arial" w:cs="Arial"/>
        </w:rPr>
        <w:t>nion européenne (4,8</w:t>
      </w:r>
      <w:r w:rsidRPr="003752D5">
        <w:rPr>
          <w:rFonts w:ascii="Arial" w:hAnsi="Arial" w:cs="Arial"/>
        </w:rPr>
        <w:t xml:space="preserve"> M€), mis en œuvre par l’agence Expertise France et a pour bénéficiaire principal le Ministère de l’Économie et des Finances.</w:t>
      </w:r>
      <w:r w:rsidR="006D18B9">
        <w:rPr>
          <w:rFonts w:ascii="Arial" w:hAnsi="Arial" w:cs="Arial"/>
        </w:rPr>
        <w:t xml:space="preserve"> Il a débuté en novembre 2020 et se terminera en décembre 2024.</w:t>
      </w:r>
    </w:p>
    <w:p w:rsidR="003752D5" w:rsidRPr="003752D5" w:rsidRDefault="003752D5" w:rsidP="003752D5">
      <w:pPr>
        <w:jc w:val="both"/>
        <w:rPr>
          <w:rFonts w:ascii="Arial" w:hAnsi="Arial" w:cs="Arial"/>
        </w:rPr>
      </w:pPr>
      <w:r w:rsidRPr="003752D5">
        <w:rPr>
          <w:rFonts w:ascii="Arial" w:hAnsi="Arial" w:cs="Arial"/>
        </w:rPr>
        <w:t xml:space="preserve">Le projet </w:t>
      </w:r>
      <w:r>
        <w:rPr>
          <w:rFonts w:ascii="Arial" w:hAnsi="Arial" w:cs="Arial"/>
          <w:b/>
        </w:rPr>
        <w:t>HAKAMA</w:t>
      </w:r>
      <w:r w:rsidRPr="003752D5">
        <w:rPr>
          <w:rFonts w:ascii="Arial" w:hAnsi="Arial" w:cs="Arial"/>
        </w:rPr>
        <w:t xml:space="preserve"> a pour principal objectif la mise en œuvre d’une gestion publique plus efficace et transparente dans le cadre de la LOF.</w:t>
      </w:r>
    </w:p>
    <w:p w:rsidR="006D18B9" w:rsidRPr="003752D5" w:rsidRDefault="003752D5" w:rsidP="006D18B9">
      <w:pPr>
        <w:jc w:val="both"/>
        <w:rPr>
          <w:rFonts w:ascii="Arial" w:hAnsi="Arial" w:cs="Arial"/>
          <w:b/>
        </w:rPr>
      </w:pPr>
      <w:r w:rsidRPr="003752D5">
        <w:rPr>
          <w:rFonts w:ascii="Arial" w:hAnsi="Arial" w:cs="Arial"/>
        </w:rPr>
        <w:lastRenderedPageBreak/>
        <w:t xml:space="preserve"> </w:t>
      </w:r>
      <w:r w:rsidR="006D18B9" w:rsidRPr="003752D5">
        <w:rPr>
          <w:rFonts w:ascii="Arial" w:hAnsi="Arial" w:cs="Arial"/>
          <w:b/>
        </w:rPr>
        <w:t>Les composantes du projet sont :</w:t>
      </w:r>
    </w:p>
    <w:p w:rsidR="006D18B9" w:rsidRPr="003752D5" w:rsidRDefault="006D18B9" w:rsidP="006D18B9">
      <w:pPr>
        <w:pStyle w:val="Paragraphedeliste"/>
        <w:numPr>
          <w:ilvl w:val="0"/>
          <w:numId w:val="22"/>
        </w:numPr>
        <w:rPr>
          <w:rFonts w:ascii="Arial" w:hAnsi="Arial" w:cs="Arial"/>
        </w:rPr>
      </w:pPr>
      <w:r w:rsidRPr="003752D5">
        <w:rPr>
          <w:rFonts w:ascii="Arial" w:hAnsi="Arial" w:cs="Arial"/>
        </w:rPr>
        <w:t>Composante 1 – Approfondissement de la LOF</w:t>
      </w:r>
    </w:p>
    <w:p w:rsidR="006D18B9" w:rsidRPr="003752D5" w:rsidRDefault="006D18B9" w:rsidP="006D18B9">
      <w:pPr>
        <w:pStyle w:val="Paragraphedeliste"/>
        <w:numPr>
          <w:ilvl w:val="0"/>
          <w:numId w:val="22"/>
        </w:numPr>
        <w:rPr>
          <w:rFonts w:ascii="Arial" w:hAnsi="Arial" w:cs="Arial"/>
        </w:rPr>
      </w:pPr>
      <w:r w:rsidRPr="003752D5">
        <w:rPr>
          <w:rFonts w:ascii="Arial" w:hAnsi="Arial" w:cs="Arial"/>
        </w:rPr>
        <w:t>Composante 2 – Appui à la digitalisation/numérisation des métiers de la DB</w:t>
      </w:r>
    </w:p>
    <w:p w:rsidR="006D18B9" w:rsidRPr="003752D5" w:rsidRDefault="006D18B9" w:rsidP="006D18B9">
      <w:pPr>
        <w:pStyle w:val="Paragraphedeliste"/>
        <w:numPr>
          <w:ilvl w:val="0"/>
          <w:numId w:val="22"/>
        </w:numPr>
        <w:rPr>
          <w:rFonts w:ascii="Arial" w:hAnsi="Arial" w:cs="Arial"/>
        </w:rPr>
      </w:pPr>
      <w:r w:rsidRPr="003752D5">
        <w:rPr>
          <w:rFonts w:ascii="Arial" w:hAnsi="Arial" w:cs="Arial"/>
        </w:rPr>
        <w:t>Composante 3 – Appui au développement d’un dispositif de formation et d’accompagnement</w:t>
      </w:r>
    </w:p>
    <w:p w:rsidR="006D18B9" w:rsidRPr="003752D5" w:rsidRDefault="006D18B9" w:rsidP="006D18B9">
      <w:pPr>
        <w:pStyle w:val="Paragraphedeliste"/>
        <w:numPr>
          <w:ilvl w:val="0"/>
          <w:numId w:val="22"/>
        </w:numPr>
        <w:rPr>
          <w:rFonts w:ascii="Arial" w:hAnsi="Arial" w:cs="Arial"/>
        </w:rPr>
      </w:pPr>
      <w:r w:rsidRPr="003752D5">
        <w:rPr>
          <w:rFonts w:ascii="Arial" w:hAnsi="Arial" w:cs="Arial"/>
        </w:rPr>
        <w:t>Composante 4 – Appui à la gestion et à la transparence budgétaires</w:t>
      </w:r>
    </w:p>
    <w:p w:rsidR="006D18B9" w:rsidRPr="003752D5" w:rsidRDefault="006D18B9" w:rsidP="006D18B9">
      <w:pPr>
        <w:pStyle w:val="Paragraphedeliste"/>
        <w:numPr>
          <w:ilvl w:val="0"/>
          <w:numId w:val="22"/>
        </w:numPr>
        <w:rPr>
          <w:rFonts w:ascii="Arial" w:hAnsi="Arial" w:cs="Arial"/>
        </w:rPr>
      </w:pPr>
      <w:r w:rsidRPr="003752D5">
        <w:rPr>
          <w:rFonts w:ascii="Arial" w:hAnsi="Arial" w:cs="Arial"/>
        </w:rPr>
        <w:t>Composante 5 – Accompagnement à la mise en œuvre de chantiers stratégiques</w:t>
      </w:r>
    </w:p>
    <w:p w:rsidR="006D18B9" w:rsidRPr="003752D5" w:rsidRDefault="006D18B9" w:rsidP="006D18B9">
      <w:pPr>
        <w:pStyle w:val="Paragraphedeliste"/>
        <w:numPr>
          <w:ilvl w:val="0"/>
          <w:numId w:val="22"/>
        </w:numPr>
        <w:rPr>
          <w:rFonts w:ascii="Arial" w:hAnsi="Arial" w:cs="Arial"/>
        </w:rPr>
      </w:pPr>
      <w:r w:rsidRPr="003752D5">
        <w:rPr>
          <w:rFonts w:ascii="Arial" w:hAnsi="Arial" w:cs="Arial"/>
        </w:rPr>
        <w:t>Composante 6 – Appui à la mobilisation des ressources</w:t>
      </w:r>
    </w:p>
    <w:p w:rsidR="006D18B9" w:rsidRDefault="006D18B9" w:rsidP="006D18B9">
      <w:pPr>
        <w:pStyle w:val="Paragraphedeliste"/>
        <w:numPr>
          <w:ilvl w:val="0"/>
          <w:numId w:val="22"/>
        </w:numPr>
        <w:rPr>
          <w:rFonts w:ascii="Arial" w:hAnsi="Arial" w:cs="Arial"/>
        </w:rPr>
      </w:pPr>
      <w:r w:rsidRPr="003752D5">
        <w:rPr>
          <w:rFonts w:ascii="Arial" w:hAnsi="Arial" w:cs="Arial"/>
        </w:rPr>
        <w:t>Composante 7 – Appui à la mise en œuvre du référentiel de contrôle interne</w:t>
      </w:r>
    </w:p>
    <w:p w:rsidR="006D18B9" w:rsidRPr="003752D5" w:rsidRDefault="006D18B9" w:rsidP="006D18B9">
      <w:pPr>
        <w:pStyle w:val="Paragraphedeliste"/>
        <w:numPr>
          <w:ilvl w:val="0"/>
          <w:numId w:val="22"/>
        </w:numPr>
        <w:rPr>
          <w:rFonts w:ascii="Arial" w:hAnsi="Arial" w:cs="Arial"/>
        </w:rPr>
      </w:pPr>
      <w:r>
        <w:rPr>
          <w:rFonts w:ascii="Arial" w:hAnsi="Arial" w:cs="Arial"/>
        </w:rPr>
        <w:t>Composante 8 – Appui aux contrôles externes incombant à la cour des comptes</w:t>
      </w:r>
    </w:p>
    <w:p w:rsidR="006D18B9" w:rsidRDefault="006D18B9" w:rsidP="006D18B9">
      <w:pPr>
        <w:jc w:val="both"/>
        <w:rPr>
          <w:rFonts w:ascii="Arial" w:hAnsi="Arial" w:cs="Arial"/>
        </w:rPr>
      </w:pPr>
    </w:p>
    <w:p w:rsidR="006D18B9" w:rsidRPr="006D18B9" w:rsidRDefault="006D18B9" w:rsidP="006D18B9">
      <w:pPr>
        <w:jc w:val="both"/>
        <w:rPr>
          <w:rFonts w:ascii="Arial" w:hAnsi="Arial" w:cs="Arial"/>
        </w:rPr>
      </w:pPr>
      <w:r w:rsidRPr="006D18B9">
        <w:rPr>
          <w:rFonts w:ascii="Arial" w:hAnsi="Arial" w:cs="Arial"/>
        </w:rPr>
        <w:t>Le projet vise à :</w:t>
      </w:r>
    </w:p>
    <w:p w:rsidR="006D18B9" w:rsidRPr="006D18B9" w:rsidRDefault="006D18B9" w:rsidP="006D18B9">
      <w:pPr>
        <w:pStyle w:val="Paragraphedeliste"/>
        <w:numPr>
          <w:ilvl w:val="0"/>
          <w:numId w:val="25"/>
        </w:numPr>
        <w:jc w:val="both"/>
        <w:rPr>
          <w:rFonts w:ascii="Arial" w:hAnsi="Arial" w:cs="Arial"/>
        </w:rPr>
      </w:pPr>
      <w:r w:rsidRPr="006D18B9">
        <w:rPr>
          <w:rFonts w:ascii="Arial" w:hAnsi="Arial" w:cs="Arial"/>
        </w:rPr>
        <w:t xml:space="preserve">accompagner la direction du Budget dans l’opérationnalisation de la réforme budgétaire et sa transformation digitale pour une meilleure appropriation de la gestion axée sur les résultats au niveau des ministères sectoriels, </w:t>
      </w:r>
    </w:p>
    <w:p w:rsidR="006D18B9" w:rsidRPr="006D18B9" w:rsidRDefault="006D18B9" w:rsidP="006D18B9">
      <w:pPr>
        <w:pStyle w:val="Paragraphedeliste"/>
        <w:numPr>
          <w:ilvl w:val="0"/>
          <w:numId w:val="25"/>
        </w:numPr>
        <w:jc w:val="both"/>
        <w:rPr>
          <w:rFonts w:ascii="Arial" w:hAnsi="Arial" w:cs="Arial"/>
        </w:rPr>
      </w:pPr>
      <w:r w:rsidRPr="006D18B9">
        <w:rPr>
          <w:rFonts w:ascii="Arial" w:hAnsi="Arial" w:cs="Arial"/>
        </w:rPr>
        <w:t xml:space="preserve">améliorer la mobilisation des ressources publiques à travers le renforcement du pilotage et la professionnalisation de l’exercice des missions de la direction générale des impôts, </w:t>
      </w:r>
    </w:p>
    <w:p w:rsidR="006D18B9" w:rsidRPr="006D18B9" w:rsidRDefault="006D18B9" w:rsidP="006D18B9">
      <w:pPr>
        <w:pStyle w:val="Paragraphedeliste"/>
        <w:numPr>
          <w:ilvl w:val="0"/>
          <w:numId w:val="25"/>
        </w:numPr>
        <w:jc w:val="both"/>
        <w:rPr>
          <w:rFonts w:ascii="Arial" w:hAnsi="Arial" w:cs="Arial"/>
        </w:rPr>
      </w:pPr>
      <w:r w:rsidRPr="006D18B9">
        <w:rPr>
          <w:rFonts w:ascii="Arial" w:hAnsi="Arial" w:cs="Arial"/>
        </w:rPr>
        <w:t xml:space="preserve">appuyer l’Inspection Générale des Finances dans la mise en œuvre d’un référentiel de contrôle interne et la définition de son plan de formation, </w:t>
      </w:r>
    </w:p>
    <w:p w:rsidR="006D18B9" w:rsidRPr="006D18B9" w:rsidRDefault="006D18B9" w:rsidP="006D18B9">
      <w:pPr>
        <w:pStyle w:val="Paragraphedeliste"/>
        <w:numPr>
          <w:ilvl w:val="0"/>
          <w:numId w:val="25"/>
        </w:numPr>
        <w:jc w:val="both"/>
        <w:rPr>
          <w:rFonts w:ascii="Arial" w:hAnsi="Arial" w:cs="Arial"/>
        </w:rPr>
      </w:pPr>
      <w:r w:rsidRPr="006D18B9">
        <w:rPr>
          <w:rFonts w:ascii="Arial" w:hAnsi="Arial" w:cs="Arial"/>
        </w:rPr>
        <w:t>renforcer les capacités du Haut-Commissariat au Plan (régionalisation, techniques d’enquêtes, système de production des statistiques d’entreprises).</w:t>
      </w:r>
    </w:p>
    <w:p w:rsidR="005D0CB3" w:rsidRPr="00CD7E2B" w:rsidRDefault="003752D5" w:rsidP="006D18B9">
      <w:pPr>
        <w:jc w:val="both"/>
        <w:rPr>
          <w:rFonts w:ascii="Arial" w:hAnsi="Arial" w:cs="Arial"/>
          <w:sz w:val="20"/>
          <w:szCs w:val="20"/>
        </w:rPr>
      </w:pPr>
      <w:r w:rsidRPr="003752D5">
        <w:rPr>
          <w:rFonts w:ascii="Arial" w:hAnsi="Arial" w:cs="Arial"/>
        </w:rPr>
        <w:t xml:space="preserve"> </w:t>
      </w:r>
    </w:p>
    <w:p w:rsidR="003752D5" w:rsidRPr="003752D5" w:rsidRDefault="005D0CB3" w:rsidP="003752D5">
      <w:pPr>
        <w:jc w:val="both"/>
        <w:rPr>
          <w:rFonts w:ascii="Arial" w:hAnsi="Arial" w:cs="Arial"/>
        </w:rPr>
      </w:pPr>
      <w:r w:rsidRPr="003752D5">
        <w:rPr>
          <w:rFonts w:ascii="Arial" w:hAnsi="Arial" w:cs="Arial"/>
        </w:rPr>
        <w:t xml:space="preserve">Les présents termes de référence portent sur le suivi évaluation du projet. </w:t>
      </w:r>
    </w:p>
    <w:p w:rsidR="00E92042" w:rsidRPr="003752D5" w:rsidRDefault="00E92042" w:rsidP="003752D5">
      <w:pPr>
        <w:pStyle w:val="Paragraphedeliste"/>
        <w:numPr>
          <w:ilvl w:val="0"/>
          <w:numId w:val="23"/>
        </w:numPr>
        <w:spacing w:line="276" w:lineRule="auto"/>
        <w:jc w:val="both"/>
        <w:rPr>
          <w:rFonts w:ascii="Arial" w:hAnsi="Arial" w:cs="Arial"/>
          <w:b/>
        </w:rPr>
      </w:pPr>
      <w:r w:rsidRPr="003752D5">
        <w:rPr>
          <w:rFonts w:ascii="Arial" w:hAnsi="Arial" w:cs="Arial"/>
          <w:b/>
        </w:rPr>
        <w:t>Le dispositif de s</w:t>
      </w:r>
      <w:r w:rsidR="003752D5">
        <w:rPr>
          <w:rFonts w:ascii="Arial" w:hAnsi="Arial" w:cs="Arial"/>
          <w:b/>
        </w:rPr>
        <w:t>uivi évaluation du projet HAKAMA</w:t>
      </w:r>
    </w:p>
    <w:p w:rsidR="00392BB0" w:rsidRDefault="00392BB0" w:rsidP="00A257DC">
      <w:pPr>
        <w:suppressAutoHyphens/>
        <w:spacing w:line="276" w:lineRule="auto"/>
        <w:jc w:val="both"/>
        <w:rPr>
          <w:rFonts w:ascii="Arial" w:hAnsi="Arial" w:cs="Arial"/>
          <w:sz w:val="20"/>
          <w:szCs w:val="20"/>
        </w:rPr>
      </w:pPr>
    </w:p>
    <w:p w:rsidR="005B09FC" w:rsidRPr="00250637" w:rsidRDefault="00250637" w:rsidP="00250637">
      <w:pPr>
        <w:jc w:val="both"/>
        <w:rPr>
          <w:rFonts w:ascii="Arial" w:hAnsi="Arial" w:cs="Arial"/>
        </w:rPr>
      </w:pPr>
      <w:r w:rsidRPr="00250637">
        <w:rPr>
          <w:rFonts w:ascii="Arial" w:hAnsi="Arial" w:cs="Arial"/>
        </w:rPr>
        <w:t>U</w:t>
      </w:r>
      <w:r w:rsidR="00E92042" w:rsidRPr="00250637">
        <w:rPr>
          <w:rFonts w:ascii="Arial" w:hAnsi="Arial" w:cs="Arial"/>
        </w:rPr>
        <w:t>ne pluralité d</w:t>
      </w:r>
      <w:r w:rsidR="005B09FC" w:rsidRPr="00250637">
        <w:rPr>
          <w:rFonts w:ascii="Arial" w:hAnsi="Arial" w:cs="Arial"/>
        </w:rPr>
        <w:t xml:space="preserve">e bénéficiaires </w:t>
      </w:r>
      <w:r w:rsidR="00596FBD">
        <w:rPr>
          <w:rFonts w:ascii="Arial" w:hAnsi="Arial" w:cs="Arial"/>
        </w:rPr>
        <w:t>est</w:t>
      </w:r>
      <w:r w:rsidR="005B09FC" w:rsidRPr="00250637">
        <w:rPr>
          <w:rFonts w:ascii="Arial" w:hAnsi="Arial" w:cs="Arial"/>
        </w:rPr>
        <w:t xml:space="preserve"> </w:t>
      </w:r>
      <w:r w:rsidR="00E92042" w:rsidRPr="00250637">
        <w:rPr>
          <w:rFonts w:ascii="Arial" w:hAnsi="Arial" w:cs="Arial"/>
        </w:rPr>
        <w:t>mobilisé</w:t>
      </w:r>
      <w:r w:rsidR="00596FBD">
        <w:rPr>
          <w:rFonts w:ascii="Arial" w:hAnsi="Arial" w:cs="Arial"/>
        </w:rPr>
        <w:t>e</w:t>
      </w:r>
      <w:r>
        <w:rPr>
          <w:rFonts w:ascii="Arial" w:hAnsi="Arial" w:cs="Arial"/>
        </w:rPr>
        <w:t xml:space="preserve"> dans le cadre du projet HAKAMA : le Ministère de l’Economie et des Finances </w:t>
      </w:r>
      <w:r w:rsidR="009F04E9">
        <w:rPr>
          <w:rFonts w:ascii="Arial" w:hAnsi="Arial" w:cs="Arial"/>
        </w:rPr>
        <w:t>(</w:t>
      </w:r>
      <w:r>
        <w:rPr>
          <w:rFonts w:ascii="Arial" w:hAnsi="Arial" w:cs="Arial"/>
        </w:rPr>
        <w:t xml:space="preserve">dont la Direction du Budget, la Direction des Affaires administratives générales et l’Institut des Finances, l’Inspection générale des Finances, et la Direction </w:t>
      </w:r>
      <w:r w:rsidR="00272C99">
        <w:rPr>
          <w:rFonts w:ascii="Arial" w:hAnsi="Arial" w:cs="Arial"/>
        </w:rPr>
        <w:t>générale des impôts</w:t>
      </w:r>
      <w:r w:rsidR="009F04E9">
        <w:rPr>
          <w:rFonts w:ascii="Arial" w:hAnsi="Arial" w:cs="Arial"/>
        </w:rPr>
        <w:t>)</w:t>
      </w:r>
      <w:r w:rsidR="00272C99">
        <w:rPr>
          <w:rFonts w:ascii="Arial" w:hAnsi="Arial" w:cs="Arial"/>
        </w:rPr>
        <w:t>,</w:t>
      </w:r>
      <w:r>
        <w:rPr>
          <w:rFonts w:ascii="Arial" w:hAnsi="Arial" w:cs="Arial"/>
        </w:rPr>
        <w:t xml:space="preserve"> le Haut-Commissariat au plan</w:t>
      </w:r>
      <w:r w:rsidR="00272C99">
        <w:rPr>
          <w:rFonts w:ascii="Arial" w:hAnsi="Arial" w:cs="Arial"/>
        </w:rPr>
        <w:t xml:space="preserve"> et la Cour des Comptes.</w:t>
      </w:r>
    </w:p>
    <w:p w:rsidR="007045F2" w:rsidRPr="00250637" w:rsidRDefault="009F4EB5" w:rsidP="00250637">
      <w:pPr>
        <w:jc w:val="both"/>
        <w:rPr>
          <w:rFonts w:ascii="Arial" w:hAnsi="Arial" w:cs="Arial"/>
        </w:rPr>
      </w:pPr>
      <w:r w:rsidRPr="00250637">
        <w:rPr>
          <w:rFonts w:ascii="Arial" w:hAnsi="Arial" w:cs="Arial"/>
        </w:rPr>
        <w:t xml:space="preserve">De même, </w:t>
      </w:r>
      <w:r w:rsidR="00D521B8" w:rsidRPr="00250637">
        <w:rPr>
          <w:rFonts w:ascii="Arial" w:hAnsi="Arial" w:cs="Arial"/>
        </w:rPr>
        <w:t xml:space="preserve">des </w:t>
      </w:r>
      <w:r w:rsidR="006D18B9">
        <w:rPr>
          <w:rFonts w:ascii="Arial" w:hAnsi="Arial" w:cs="Arial"/>
        </w:rPr>
        <w:t xml:space="preserve">partenaires institutionnels </w:t>
      </w:r>
      <w:r w:rsidR="009F04E9">
        <w:rPr>
          <w:rFonts w:ascii="Arial" w:hAnsi="Arial" w:cs="Arial"/>
        </w:rPr>
        <w:t xml:space="preserve">français </w:t>
      </w:r>
      <w:r w:rsidR="006D18B9">
        <w:rPr>
          <w:rFonts w:ascii="Arial" w:hAnsi="Arial" w:cs="Arial"/>
        </w:rPr>
        <w:t>s</w:t>
      </w:r>
      <w:r w:rsidRPr="00250637">
        <w:rPr>
          <w:rFonts w:ascii="Arial" w:hAnsi="Arial" w:cs="Arial"/>
        </w:rPr>
        <w:t>ont directement impliqués da</w:t>
      </w:r>
      <w:r w:rsidR="00D521B8" w:rsidRPr="00250637">
        <w:rPr>
          <w:rFonts w:ascii="Arial" w:hAnsi="Arial" w:cs="Arial"/>
        </w:rPr>
        <w:t xml:space="preserve">ns </w:t>
      </w:r>
      <w:r w:rsidR="006D18B9">
        <w:rPr>
          <w:rFonts w:ascii="Arial" w:hAnsi="Arial" w:cs="Arial"/>
        </w:rPr>
        <w:t xml:space="preserve">la mise en œuvre des </w:t>
      </w:r>
      <w:r w:rsidR="00D521B8" w:rsidRPr="00250637">
        <w:rPr>
          <w:rFonts w:ascii="Arial" w:hAnsi="Arial" w:cs="Arial"/>
        </w:rPr>
        <w:t>activités tels la DGFIP,</w:t>
      </w:r>
      <w:r w:rsidR="00272C99">
        <w:rPr>
          <w:rFonts w:ascii="Arial" w:hAnsi="Arial" w:cs="Arial"/>
        </w:rPr>
        <w:t xml:space="preserve"> l’INSEE,</w:t>
      </w:r>
      <w:r w:rsidR="00D521B8" w:rsidRPr="00250637">
        <w:rPr>
          <w:rFonts w:ascii="Arial" w:hAnsi="Arial" w:cs="Arial"/>
        </w:rPr>
        <w:t xml:space="preserve"> </w:t>
      </w:r>
      <w:r w:rsidR="00272C99">
        <w:rPr>
          <w:rFonts w:ascii="Arial" w:hAnsi="Arial" w:cs="Arial"/>
        </w:rPr>
        <w:t>la DB et la Cour des comptes.</w:t>
      </w:r>
    </w:p>
    <w:p w:rsidR="009F4EB5" w:rsidRPr="00250637" w:rsidRDefault="00562E5B" w:rsidP="00250637">
      <w:pPr>
        <w:jc w:val="both"/>
        <w:rPr>
          <w:rFonts w:ascii="Arial" w:hAnsi="Arial" w:cs="Arial"/>
        </w:rPr>
      </w:pPr>
      <w:r w:rsidRPr="00250637">
        <w:rPr>
          <w:rFonts w:ascii="Arial" w:hAnsi="Arial" w:cs="Arial"/>
        </w:rPr>
        <w:t>Il est par conséquent nécessaire de garantir et de coordonner l’intégration des éléments de collecte issus de leurs travaux et activités dans le dispositif global de suivi évaluation</w:t>
      </w:r>
      <w:r w:rsidR="00EC38C1" w:rsidRPr="00250637">
        <w:rPr>
          <w:rFonts w:ascii="Arial" w:hAnsi="Arial" w:cs="Arial"/>
        </w:rPr>
        <w:t>,</w:t>
      </w:r>
      <w:r w:rsidRPr="00250637">
        <w:rPr>
          <w:rFonts w:ascii="Arial" w:hAnsi="Arial" w:cs="Arial"/>
        </w:rPr>
        <w:t xml:space="preserve"> s’agissant des indicateurs en particulier</w:t>
      </w:r>
      <w:r w:rsidR="00D16043" w:rsidRPr="00250637">
        <w:rPr>
          <w:rFonts w:ascii="Arial" w:hAnsi="Arial" w:cs="Arial"/>
        </w:rPr>
        <w:t>,</w:t>
      </w:r>
      <w:r w:rsidRPr="00250637">
        <w:rPr>
          <w:rFonts w:ascii="Arial" w:hAnsi="Arial" w:cs="Arial"/>
        </w:rPr>
        <w:t xml:space="preserve"> en veillant au respect des calendriers prévus.</w:t>
      </w:r>
      <w:r w:rsidR="009F4EB5" w:rsidRPr="00250637">
        <w:rPr>
          <w:rFonts w:ascii="Arial" w:hAnsi="Arial" w:cs="Arial"/>
        </w:rPr>
        <w:t xml:space="preserve"> </w:t>
      </w:r>
      <w:r w:rsidR="007045F2" w:rsidRPr="00250637">
        <w:rPr>
          <w:rFonts w:ascii="Arial" w:hAnsi="Arial" w:cs="Arial"/>
        </w:rPr>
        <w:t>Cela suppose d’assurer une parfaite coordination des intervenants e</w:t>
      </w:r>
      <w:r w:rsidR="009F04E9">
        <w:rPr>
          <w:rFonts w:ascii="Arial" w:hAnsi="Arial" w:cs="Arial"/>
        </w:rPr>
        <w:t xml:space="preserve">n ce qui concerne la collecte des </w:t>
      </w:r>
      <w:r w:rsidR="007045F2" w:rsidRPr="00250637">
        <w:rPr>
          <w:rFonts w:ascii="Arial" w:hAnsi="Arial" w:cs="Arial"/>
        </w:rPr>
        <w:t>informations.</w:t>
      </w:r>
    </w:p>
    <w:p w:rsidR="005838C1" w:rsidRPr="00250637" w:rsidRDefault="00254C5E" w:rsidP="00250637">
      <w:pPr>
        <w:jc w:val="both"/>
        <w:rPr>
          <w:rFonts w:ascii="Arial" w:hAnsi="Arial" w:cs="Arial"/>
        </w:rPr>
      </w:pPr>
      <w:r w:rsidRPr="00250637">
        <w:rPr>
          <w:rFonts w:ascii="Arial" w:hAnsi="Arial" w:cs="Arial"/>
        </w:rPr>
        <w:t xml:space="preserve">En </w:t>
      </w:r>
      <w:r w:rsidR="00A71BC1" w:rsidRPr="00250637">
        <w:rPr>
          <w:rFonts w:ascii="Arial" w:hAnsi="Arial" w:cs="Arial"/>
        </w:rPr>
        <w:t>raison de</w:t>
      </w:r>
      <w:r w:rsidR="008D10E1" w:rsidRPr="00250637">
        <w:rPr>
          <w:rFonts w:ascii="Arial" w:hAnsi="Arial" w:cs="Arial"/>
        </w:rPr>
        <w:t xml:space="preserve"> l’</w:t>
      </w:r>
      <w:r w:rsidRPr="00250637">
        <w:rPr>
          <w:rFonts w:ascii="Arial" w:hAnsi="Arial" w:cs="Arial"/>
        </w:rPr>
        <w:t>ancrage</w:t>
      </w:r>
      <w:r w:rsidR="00E92042" w:rsidRPr="00250637">
        <w:rPr>
          <w:rFonts w:ascii="Arial" w:hAnsi="Arial" w:cs="Arial"/>
        </w:rPr>
        <w:t xml:space="preserve"> stratégique</w:t>
      </w:r>
      <w:r w:rsidR="008D10E1" w:rsidRPr="00250637">
        <w:rPr>
          <w:rFonts w:ascii="Arial" w:hAnsi="Arial" w:cs="Arial"/>
        </w:rPr>
        <w:t xml:space="preserve"> du projet, de son</w:t>
      </w:r>
      <w:r w:rsidR="00E92042" w:rsidRPr="00250637">
        <w:rPr>
          <w:rFonts w:ascii="Arial" w:hAnsi="Arial" w:cs="Arial"/>
        </w:rPr>
        <w:t xml:space="preserve"> périmètre d’intervention large</w:t>
      </w:r>
      <w:r w:rsidR="008D10E1" w:rsidRPr="00250637">
        <w:rPr>
          <w:rFonts w:ascii="Arial" w:hAnsi="Arial" w:cs="Arial"/>
        </w:rPr>
        <w:t xml:space="preserve"> </w:t>
      </w:r>
      <w:r w:rsidR="00E92042" w:rsidRPr="00250637">
        <w:rPr>
          <w:rFonts w:ascii="Arial" w:hAnsi="Arial" w:cs="Arial"/>
        </w:rPr>
        <w:t xml:space="preserve">et </w:t>
      </w:r>
      <w:r w:rsidRPr="00250637">
        <w:rPr>
          <w:rFonts w:ascii="Arial" w:hAnsi="Arial" w:cs="Arial"/>
        </w:rPr>
        <w:t xml:space="preserve">de </w:t>
      </w:r>
      <w:r w:rsidR="009F04E9">
        <w:rPr>
          <w:rFonts w:ascii="Arial" w:hAnsi="Arial" w:cs="Arial"/>
        </w:rPr>
        <w:t xml:space="preserve">la multiplicité des </w:t>
      </w:r>
      <w:r w:rsidR="00E92042" w:rsidRPr="00250637">
        <w:rPr>
          <w:rFonts w:ascii="Arial" w:hAnsi="Arial" w:cs="Arial"/>
        </w:rPr>
        <w:t>acteurs impliqués,</w:t>
      </w:r>
      <w:r w:rsidRPr="00250637">
        <w:rPr>
          <w:rFonts w:ascii="Arial" w:hAnsi="Arial" w:cs="Arial"/>
        </w:rPr>
        <w:t xml:space="preserve"> il apparait </w:t>
      </w:r>
      <w:r w:rsidR="00262E36" w:rsidRPr="00250637">
        <w:rPr>
          <w:rFonts w:ascii="Arial" w:hAnsi="Arial" w:cs="Arial"/>
        </w:rPr>
        <w:t xml:space="preserve">ainsi </w:t>
      </w:r>
      <w:r w:rsidR="007045F2" w:rsidRPr="00250637">
        <w:rPr>
          <w:rFonts w:ascii="Arial" w:hAnsi="Arial" w:cs="Arial"/>
        </w:rPr>
        <w:t>d’autant plus nécessaire de me</w:t>
      </w:r>
      <w:r w:rsidRPr="00250637">
        <w:rPr>
          <w:rFonts w:ascii="Arial" w:hAnsi="Arial" w:cs="Arial"/>
        </w:rPr>
        <w:t>ttre en place un dispositif de pilotage et suivi évalu</w:t>
      </w:r>
      <w:r w:rsidR="008D10E1" w:rsidRPr="00250637">
        <w:rPr>
          <w:rFonts w:ascii="Arial" w:hAnsi="Arial" w:cs="Arial"/>
        </w:rPr>
        <w:t>ation solide et continu afin</w:t>
      </w:r>
      <w:r w:rsidR="00E92042" w:rsidRPr="00250637">
        <w:rPr>
          <w:rFonts w:ascii="Arial" w:hAnsi="Arial" w:cs="Arial"/>
        </w:rPr>
        <w:t xml:space="preserve"> </w:t>
      </w:r>
      <w:r w:rsidR="008D10E1" w:rsidRPr="00250637">
        <w:rPr>
          <w:rFonts w:ascii="Arial" w:hAnsi="Arial" w:cs="Arial"/>
        </w:rPr>
        <w:t>d’assurer l’efficacité et la qualité des actions menées ainsi que la redevabilité envers le bailleur</w:t>
      </w:r>
      <w:r w:rsidR="00A257DC" w:rsidRPr="00250637">
        <w:rPr>
          <w:rFonts w:ascii="Arial" w:hAnsi="Arial" w:cs="Arial"/>
        </w:rPr>
        <w:t>, les bénéficiaires et les parties prenantes.</w:t>
      </w:r>
    </w:p>
    <w:p w:rsidR="007E0F03" w:rsidRPr="00250637" w:rsidRDefault="007E0F03" w:rsidP="00250637">
      <w:pPr>
        <w:jc w:val="both"/>
        <w:rPr>
          <w:rFonts w:ascii="Arial" w:hAnsi="Arial" w:cs="Arial"/>
        </w:rPr>
      </w:pPr>
      <w:bookmarkStart w:id="0" w:name="_Toc57659913"/>
    </w:p>
    <w:p w:rsidR="00262E36" w:rsidRPr="00272C99" w:rsidRDefault="00262E36" w:rsidP="00272C99">
      <w:pPr>
        <w:jc w:val="both"/>
        <w:rPr>
          <w:rFonts w:ascii="Arial" w:hAnsi="Arial" w:cs="Arial"/>
          <w:i/>
          <w:u w:val="single"/>
        </w:rPr>
      </w:pPr>
      <w:r w:rsidRPr="00272C99">
        <w:rPr>
          <w:rFonts w:ascii="Arial" w:hAnsi="Arial" w:cs="Arial"/>
          <w:i/>
          <w:u w:val="single"/>
        </w:rPr>
        <w:t>Suivi-Evaluation et contrôle qualité à destination du bailleur</w:t>
      </w:r>
      <w:bookmarkEnd w:id="0"/>
    </w:p>
    <w:p w:rsidR="00262E36" w:rsidRPr="00272C99" w:rsidRDefault="00262E36" w:rsidP="00272C99">
      <w:pPr>
        <w:jc w:val="both"/>
        <w:rPr>
          <w:rFonts w:ascii="Arial" w:hAnsi="Arial" w:cs="Arial"/>
        </w:rPr>
      </w:pPr>
      <w:r w:rsidRPr="00272C99">
        <w:rPr>
          <w:rFonts w:ascii="Arial" w:hAnsi="Arial" w:cs="Arial"/>
        </w:rPr>
        <w:lastRenderedPageBreak/>
        <w:t xml:space="preserve">Le Projet </w:t>
      </w:r>
      <w:r w:rsidR="00D9796E" w:rsidRPr="00272C99">
        <w:rPr>
          <w:rFonts w:ascii="Arial" w:hAnsi="Arial" w:cs="Arial"/>
        </w:rPr>
        <w:t xml:space="preserve">doit fournir </w:t>
      </w:r>
      <w:r w:rsidRPr="00272C99">
        <w:rPr>
          <w:rFonts w:ascii="Arial" w:hAnsi="Arial" w:cs="Arial"/>
        </w:rPr>
        <w:t xml:space="preserve">au bailleur </w:t>
      </w:r>
      <w:r w:rsidR="00250637" w:rsidRPr="00272C99">
        <w:rPr>
          <w:rFonts w:ascii="Arial" w:hAnsi="Arial" w:cs="Arial"/>
        </w:rPr>
        <w:t>(la DUE</w:t>
      </w:r>
      <w:r w:rsidR="00823914" w:rsidRPr="00272C99">
        <w:rPr>
          <w:rFonts w:ascii="Arial" w:hAnsi="Arial" w:cs="Arial"/>
        </w:rPr>
        <w:t xml:space="preserve">) </w:t>
      </w:r>
      <w:r w:rsidRPr="00272C99">
        <w:rPr>
          <w:rFonts w:ascii="Arial" w:hAnsi="Arial" w:cs="Arial"/>
        </w:rPr>
        <w:t>toutes les informations relatives à</w:t>
      </w:r>
      <w:r w:rsidR="000D333F" w:rsidRPr="00272C99">
        <w:rPr>
          <w:rFonts w:ascii="Arial" w:hAnsi="Arial" w:cs="Arial"/>
        </w:rPr>
        <w:t xml:space="preserve"> la mise en œuvre des actions. </w:t>
      </w:r>
    </w:p>
    <w:p w:rsidR="00262E36" w:rsidRPr="00272C99" w:rsidRDefault="006D18B9" w:rsidP="00272C99">
      <w:pPr>
        <w:jc w:val="both"/>
        <w:rPr>
          <w:rFonts w:ascii="Arial" w:hAnsi="Arial" w:cs="Arial"/>
        </w:rPr>
      </w:pPr>
      <w:r>
        <w:rPr>
          <w:rFonts w:ascii="Arial" w:hAnsi="Arial" w:cs="Arial"/>
        </w:rPr>
        <w:t>Le Projet fournit</w:t>
      </w:r>
      <w:r w:rsidR="00262E36" w:rsidRPr="00272C99">
        <w:rPr>
          <w:rFonts w:ascii="Arial" w:hAnsi="Arial" w:cs="Arial"/>
        </w:rPr>
        <w:t xml:space="preserve"> </w:t>
      </w:r>
      <w:r w:rsidR="00D9796E" w:rsidRPr="00272C99">
        <w:rPr>
          <w:rFonts w:ascii="Arial" w:hAnsi="Arial" w:cs="Arial"/>
        </w:rPr>
        <w:t xml:space="preserve">notamment </w:t>
      </w:r>
      <w:r w:rsidR="00262E36" w:rsidRPr="00272C99">
        <w:rPr>
          <w:rFonts w:ascii="Arial" w:hAnsi="Arial" w:cs="Arial"/>
        </w:rPr>
        <w:t xml:space="preserve">un rapport d’avancement </w:t>
      </w:r>
      <w:r w:rsidR="00272C99">
        <w:rPr>
          <w:rFonts w:ascii="Arial" w:hAnsi="Arial" w:cs="Arial"/>
        </w:rPr>
        <w:t>chaque année</w:t>
      </w:r>
      <w:r w:rsidR="00262E36" w:rsidRPr="00272C99">
        <w:rPr>
          <w:rFonts w:ascii="Arial" w:hAnsi="Arial" w:cs="Arial"/>
        </w:rPr>
        <w:t xml:space="preserve"> </w:t>
      </w:r>
      <w:r w:rsidR="00441019" w:rsidRPr="00272C99">
        <w:rPr>
          <w:rFonts w:ascii="Arial" w:hAnsi="Arial" w:cs="Arial"/>
        </w:rPr>
        <w:t xml:space="preserve">dès le </w:t>
      </w:r>
      <w:r w:rsidR="00262E36" w:rsidRPr="00272C99">
        <w:rPr>
          <w:rFonts w:ascii="Arial" w:hAnsi="Arial" w:cs="Arial"/>
        </w:rPr>
        <w:t xml:space="preserve">début de la période de mise en œuvre. Chaque rapport </w:t>
      </w:r>
      <w:r>
        <w:rPr>
          <w:rFonts w:ascii="Arial" w:hAnsi="Arial" w:cs="Arial"/>
        </w:rPr>
        <w:t>rend</w:t>
      </w:r>
      <w:r w:rsidR="00D9796E" w:rsidRPr="00272C99">
        <w:rPr>
          <w:rFonts w:ascii="Arial" w:hAnsi="Arial" w:cs="Arial"/>
        </w:rPr>
        <w:t xml:space="preserve"> </w:t>
      </w:r>
      <w:r w:rsidR="00262E36" w:rsidRPr="00272C99">
        <w:rPr>
          <w:rFonts w:ascii="Arial" w:hAnsi="Arial" w:cs="Arial"/>
        </w:rPr>
        <w:t xml:space="preserve">compte avec précision de la mise en œuvre des actions, des difficultés rencontrées, des changements mis en place, ainsi que des résultats obtenus (réalisations et effets directs), mesurés par rapport aux indicateurs correspondants, en utilisant comme référence la matrice du cadre logique </w:t>
      </w:r>
      <w:r w:rsidR="00823914" w:rsidRPr="00272C99">
        <w:rPr>
          <w:rFonts w:ascii="Arial" w:hAnsi="Arial" w:cs="Arial"/>
        </w:rPr>
        <w:t>et</w:t>
      </w:r>
      <w:r w:rsidR="00262E36" w:rsidRPr="00272C99">
        <w:rPr>
          <w:rFonts w:ascii="Arial" w:hAnsi="Arial" w:cs="Arial"/>
        </w:rPr>
        <w:t xml:space="preserve"> la li</w:t>
      </w:r>
      <w:r>
        <w:rPr>
          <w:rFonts w:ascii="Arial" w:hAnsi="Arial" w:cs="Arial"/>
        </w:rPr>
        <w:t xml:space="preserve">ste des </w:t>
      </w:r>
      <w:r w:rsidR="000D333F" w:rsidRPr="00272C99">
        <w:rPr>
          <w:rFonts w:ascii="Arial" w:hAnsi="Arial" w:cs="Arial"/>
        </w:rPr>
        <w:t xml:space="preserve">indicateurs de résultat. </w:t>
      </w:r>
    </w:p>
    <w:p w:rsidR="000D333F" w:rsidRPr="00272C99" w:rsidRDefault="000D333F" w:rsidP="00272C99">
      <w:pPr>
        <w:jc w:val="both"/>
        <w:rPr>
          <w:rFonts w:ascii="Arial" w:hAnsi="Arial" w:cs="Arial"/>
        </w:rPr>
      </w:pPr>
      <w:r w:rsidRPr="00272C99">
        <w:rPr>
          <w:rFonts w:ascii="Arial" w:hAnsi="Arial" w:cs="Arial"/>
        </w:rPr>
        <w:t>Le</w:t>
      </w:r>
      <w:r w:rsidR="00262E36" w:rsidRPr="00272C99">
        <w:rPr>
          <w:rFonts w:ascii="Arial" w:hAnsi="Arial" w:cs="Arial"/>
        </w:rPr>
        <w:t xml:space="preserve"> dispositif de suivi évaluation </w:t>
      </w:r>
      <w:r w:rsidR="00441019" w:rsidRPr="00272C99">
        <w:rPr>
          <w:rFonts w:ascii="Arial" w:hAnsi="Arial" w:cs="Arial"/>
        </w:rPr>
        <w:t>contribuera ainsi au</w:t>
      </w:r>
      <w:r w:rsidRPr="00272C99">
        <w:rPr>
          <w:rFonts w:ascii="Arial" w:hAnsi="Arial" w:cs="Arial"/>
        </w:rPr>
        <w:t xml:space="preserve"> pilotage </w:t>
      </w:r>
      <w:r w:rsidR="00433428" w:rsidRPr="00272C99">
        <w:rPr>
          <w:rFonts w:ascii="Arial" w:hAnsi="Arial" w:cs="Arial"/>
        </w:rPr>
        <w:t xml:space="preserve">global </w:t>
      </w:r>
      <w:r w:rsidRPr="00272C99">
        <w:rPr>
          <w:rFonts w:ascii="Arial" w:hAnsi="Arial" w:cs="Arial"/>
        </w:rPr>
        <w:t xml:space="preserve">du projet </w:t>
      </w:r>
      <w:r w:rsidR="00433428" w:rsidRPr="00272C99">
        <w:rPr>
          <w:rFonts w:ascii="Arial" w:hAnsi="Arial" w:cs="Arial"/>
        </w:rPr>
        <w:t>notamment par</w:t>
      </w:r>
      <w:r w:rsidRPr="00272C99">
        <w:rPr>
          <w:rFonts w:ascii="Arial" w:hAnsi="Arial" w:cs="Arial"/>
        </w:rPr>
        <w:t xml:space="preserve"> l</w:t>
      </w:r>
      <w:r w:rsidR="00D9796E" w:rsidRPr="00272C99">
        <w:rPr>
          <w:rFonts w:ascii="Arial" w:hAnsi="Arial" w:cs="Arial"/>
        </w:rPr>
        <w:t>a collecte et le</w:t>
      </w:r>
      <w:r w:rsidRPr="00272C99">
        <w:rPr>
          <w:rFonts w:ascii="Arial" w:hAnsi="Arial" w:cs="Arial"/>
        </w:rPr>
        <w:t xml:space="preserve"> suivi des indicateurs de résultats</w:t>
      </w:r>
      <w:r w:rsidR="009600AB" w:rsidRPr="00272C99">
        <w:rPr>
          <w:rFonts w:ascii="Arial" w:hAnsi="Arial" w:cs="Arial"/>
        </w:rPr>
        <w:t xml:space="preserve"> définis dans le cadre logique</w:t>
      </w:r>
      <w:r w:rsidR="00A23824">
        <w:rPr>
          <w:rFonts w:ascii="Arial" w:hAnsi="Arial" w:cs="Arial"/>
        </w:rPr>
        <w:t>.</w:t>
      </w:r>
      <w:r w:rsidR="009600AB" w:rsidRPr="00272C99">
        <w:rPr>
          <w:rFonts w:ascii="Arial" w:hAnsi="Arial" w:cs="Arial"/>
        </w:rPr>
        <w:t xml:space="preserve"> </w:t>
      </w:r>
    </w:p>
    <w:p w:rsidR="00A807DE" w:rsidRPr="00A23824" w:rsidRDefault="00E113A1" w:rsidP="00A23824">
      <w:pPr>
        <w:jc w:val="both"/>
        <w:rPr>
          <w:rFonts w:ascii="Arial" w:hAnsi="Arial" w:cs="Arial"/>
          <w:i/>
          <w:u w:val="single"/>
        </w:rPr>
      </w:pPr>
      <w:r w:rsidRPr="00A23824">
        <w:rPr>
          <w:rFonts w:ascii="Arial" w:hAnsi="Arial" w:cs="Arial"/>
          <w:i/>
          <w:u w:val="single"/>
        </w:rPr>
        <w:t xml:space="preserve">Le dispositif de pilotage du SERA </w:t>
      </w:r>
      <w:r w:rsidR="003925F6" w:rsidRPr="00A23824">
        <w:rPr>
          <w:rFonts w:ascii="Arial" w:hAnsi="Arial" w:cs="Arial"/>
          <w:i/>
          <w:u w:val="single"/>
        </w:rPr>
        <w:t>est</w:t>
      </w:r>
      <w:r w:rsidR="00A807DE" w:rsidRPr="00A23824">
        <w:rPr>
          <w:rFonts w:ascii="Arial" w:hAnsi="Arial" w:cs="Arial"/>
          <w:i/>
          <w:u w:val="single"/>
        </w:rPr>
        <w:t xml:space="preserve"> </w:t>
      </w:r>
      <w:r w:rsidR="00743244" w:rsidRPr="00A23824">
        <w:rPr>
          <w:rFonts w:ascii="Arial" w:hAnsi="Arial" w:cs="Arial"/>
          <w:i/>
          <w:u w:val="single"/>
        </w:rPr>
        <w:t>organisé à plusieurs niveaux</w:t>
      </w:r>
    </w:p>
    <w:p w:rsidR="00A807DE" w:rsidRPr="00A23824" w:rsidRDefault="00A807DE" w:rsidP="00A807DE">
      <w:pPr>
        <w:pStyle w:val="Paragraphedeliste"/>
        <w:numPr>
          <w:ilvl w:val="0"/>
          <w:numId w:val="3"/>
        </w:numPr>
        <w:tabs>
          <w:tab w:val="left" w:pos="0"/>
        </w:tabs>
        <w:suppressAutoHyphens/>
        <w:jc w:val="both"/>
        <w:rPr>
          <w:rFonts w:ascii="Arial" w:hAnsi="Arial" w:cs="Arial"/>
        </w:rPr>
      </w:pPr>
      <w:r w:rsidRPr="00A23824">
        <w:rPr>
          <w:rFonts w:ascii="Arial" w:hAnsi="Arial" w:cs="Arial"/>
        </w:rPr>
        <w:t xml:space="preserve">Un processus formalisé de suivi des données et des indicateurs sera alimenté </w:t>
      </w:r>
      <w:r w:rsidR="004A74E1" w:rsidRPr="00A23824">
        <w:rPr>
          <w:rFonts w:ascii="Arial" w:hAnsi="Arial" w:cs="Arial"/>
        </w:rPr>
        <w:t xml:space="preserve">tout au long du </w:t>
      </w:r>
      <w:r w:rsidR="00A23824" w:rsidRPr="00A23824">
        <w:rPr>
          <w:rFonts w:ascii="Arial" w:hAnsi="Arial" w:cs="Arial"/>
        </w:rPr>
        <w:t>projet</w:t>
      </w:r>
      <w:r w:rsidR="004A74E1" w:rsidRPr="00A23824">
        <w:rPr>
          <w:rFonts w:ascii="Arial" w:hAnsi="Arial" w:cs="Arial"/>
        </w:rPr>
        <w:t xml:space="preserve"> </w:t>
      </w:r>
      <w:r w:rsidRPr="00A23824">
        <w:rPr>
          <w:rFonts w:ascii="Arial" w:hAnsi="Arial" w:cs="Arial"/>
        </w:rPr>
        <w:t xml:space="preserve">par l’équipe projet terrain, </w:t>
      </w:r>
    </w:p>
    <w:p w:rsidR="00A807DE" w:rsidRPr="00A23824" w:rsidRDefault="00A807DE" w:rsidP="00A807DE">
      <w:pPr>
        <w:pStyle w:val="Paragraphedeliste"/>
        <w:numPr>
          <w:ilvl w:val="0"/>
          <w:numId w:val="3"/>
        </w:numPr>
        <w:tabs>
          <w:tab w:val="left" w:pos="0"/>
        </w:tabs>
        <w:suppressAutoHyphens/>
        <w:jc w:val="both"/>
        <w:rPr>
          <w:rFonts w:ascii="Arial" w:hAnsi="Arial" w:cs="Arial"/>
        </w:rPr>
      </w:pPr>
      <w:r w:rsidRPr="00A23824">
        <w:rPr>
          <w:rFonts w:ascii="Arial" w:hAnsi="Arial" w:cs="Arial"/>
        </w:rPr>
        <w:t xml:space="preserve">Des revues </w:t>
      </w:r>
      <w:r w:rsidR="003D67FC">
        <w:rPr>
          <w:rFonts w:ascii="Arial" w:hAnsi="Arial" w:cs="Arial"/>
        </w:rPr>
        <w:t>de projet (c</w:t>
      </w:r>
      <w:r w:rsidR="00E64FDE" w:rsidRPr="00A23824">
        <w:rPr>
          <w:rFonts w:ascii="Arial" w:hAnsi="Arial" w:cs="Arial"/>
        </w:rPr>
        <w:t xml:space="preserve">ollecte et </w:t>
      </w:r>
      <w:proofErr w:type="spellStart"/>
      <w:r w:rsidR="00E64FDE" w:rsidRPr="00A23824">
        <w:rPr>
          <w:rFonts w:ascii="Arial" w:hAnsi="Arial" w:cs="Arial"/>
        </w:rPr>
        <w:t>reporting</w:t>
      </w:r>
      <w:proofErr w:type="spellEnd"/>
      <w:r w:rsidR="00531707">
        <w:rPr>
          <w:rFonts w:ascii="Arial" w:hAnsi="Arial" w:cs="Arial"/>
        </w:rPr>
        <w:t xml:space="preserve"> sur les mois de janvier, avril et septembre</w:t>
      </w:r>
      <w:r w:rsidR="00E64FDE" w:rsidRPr="00A23824">
        <w:rPr>
          <w:rFonts w:ascii="Arial" w:hAnsi="Arial" w:cs="Arial"/>
        </w:rPr>
        <w:t xml:space="preserve">) seront réalisées durant le projet par la Direction de </w:t>
      </w:r>
      <w:r w:rsidR="00E113A1" w:rsidRPr="00A23824">
        <w:rPr>
          <w:rFonts w:ascii="Arial" w:hAnsi="Arial" w:cs="Arial"/>
        </w:rPr>
        <w:t>projet du</w:t>
      </w:r>
      <w:r w:rsidR="00E64FDE" w:rsidRPr="00A23824">
        <w:rPr>
          <w:rFonts w:ascii="Arial" w:hAnsi="Arial" w:cs="Arial"/>
        </w:rPr>
        <w:t xml:space="preserve"> siège, afin de contribuer à l’ajustement de la planifica</w:t>
      </w:r>
      <w:r w:rsidR="00E113A1" w:rsidRPr="00A23824">
        <w:rPr>
          <w:rFonts w:ascii="Arial" w:hAnsi="Arial" w:cs="Arial"/>
        </w:rPr>
        <w:t>tion</w:t>
      </w:r>
      <w:r w:rsidR="00E64FDE" w:rsidRPr="00A23824">
        <w:rPr>
          <w:rFonts w:ascii="Arial" w:hAnsi="Arial" w:cs="Arial"/>
        </w:rPr>
        <w:t>,</w:t>
      </w:r>
      <w:r w:rsidR="00391922">
        <w:rPr>
          <w:rFonts w:ascii="Arial" w:hAnsi="Arial" w:cs="Arial"/>
        </w:rPr>
        <w:t> </w:t>
      </w:r>
    </w:p>
    <w:p w:rsidR="00335CEB" w:rsidRPr="00A23824" w:rsidRDefault="006A5137" w:rsidP="00A807DE">
      <w:pPr>
        <w:pStyle w:val="Paragraphedeliste"/>
        <w:numPr>
          <w:ilvl w:val="0"/>
          <w:numId w:val="3"/>
        </w:numPr>
        <w:tabs>
          <w:tab w:val="left" w:pos="0"/>
        </w:tabs>
        <w:suppressAutoHyphens/>
        <w:jc w:val="both"/>
        <w:rPr>
          <w:rFonts w:ascii="Arial" w:hAnsi="Arial" w:cs="Arial"/>
        </w:rPr>
      </w:pPr>
      <w:r w:rsidRPr="00A23824">
        <w:rPr>
          <w:rFonts w:ascii="Arial" w:hAnsi="Arial" w:cs="Arial"/>
        </w:rPr>
        <w:t>La capitalisation des bonnes pratiques et connaissances acquises au cours du projet</w:t>
      </w:r>
      <w:r w:rsidR="00205756" w:rsidRPr="00A23824">
        <w:rPr>
          <w:rFonts w:ascii="Arial" w:hAnsi="Arial" w:cs="Arial"/>
        </w:rPr>
        <w:t xml:space="preserve"> sera encouragée</w:t>
      </w:r>
      <w:r w:rsidR="008B51E9" w:rsidRPr="00A23824">
        <w:rPr>
          <w:rFonts w:ascii="Arial" w:hAnsi="Arial" w:cs="Arial"/>
        </w:rPr>
        <w:t>, afin d’améliorer la qualité des actions</w:t>
      </w:r>
      <w:r w:rsidR="00E113A1" w:rsidRPr="00A23824">
        <w:rPr>
          <w:rFonts w:ascii="Arial" w:hAnsi="Arial" w:cs="Arial"/>
        </w:rPr>
        <w:t>,</w:t>
      </w:r>
    </w:p>
    <w:p w:rsidR="004A74E1" w:rsidRPr="004A74E1" w:rsidRDefault="004A74E1" w:rsidP="004A74E1">
      <w:pPr>
        <w:tabs>
          <w:tab w:val="left" w:pos="0"/>
        </w:tabs>
        <w:suppressAutoHyphens/>
        <w:jc w:val="both"/>
        <w:rPr>
          <w:rFonts w:ascii="Arial" w:hAnsi="Arial" w:cs="Arial"/>
          <w:sz w:val="20"/>
          <w:szCs w:val="20"/>
        </w:rPr>
      </w:pPr>
    </w:p>
    <w:p w:rsidR="00A807DE" w:rsidRPr="00A23824" w:rsidRDefault="00A807DE" w:rsidP="00A23824">
      <w:pPr>
        <w:jc w:val="both"/>
        <w:rPr>
          <w:rFonts w:ascii="Arial" w:hAnsi="Arial" w:cs="Arial"/>
        </w:rPr>
      </w:pPr>
      <w:r w:rsidRPr="00A23824">
        <w:rPr>
          <w:rFonts w:ascii="Arial" w:hAnsi="Arial" w:cs="Arial"/>
        </w:rPr>
        <w:t>L</w:t>
      </w:r>
      <w:r w:rsidR="003C7785">
        <w:rPr>
          <w:rFonts w:ascii="Arial" w:hAnsi="Arial" w:cs="Arial"/>
        </w:rPr>
        <w:t>’équipe projet</w:t>
      </w:r>
      <w:r w:rsidR="00F22D57" w:rsidRPr="00A23824">
        <w:rPr>
          <w:rFonts w:ascii="Arial" w:hAnsi="Arial" w:cs="Arial"/>
        </w:rPr>
        <w:t xml:space="preserve"> d’Expertise France </w:t>
      </w:r>
      <w:r w:rsidR="003C7785">
        <w:rPr>
          <w:rFonts w:ascii="Arial" w:hAnsi="Arial" w:cs="Arial"/>
        </w:rPr>
        <w:t>assurera la bonne mise en œuvre du</w:t>
      </w:r>
      <w:r w:rsidR="00F22D57" w:rsidRPr="00A23824">
        <w:rPr>
          <w:rFonts w:ascii="Arial" w:hAnsi="Arial" w:cs="Arial"/>
        </w:rPr>
        <w:t xml:space="preserve"> dispositif de suivi évaluation</w:t>
      </w:r>
      <w:r w:rsidRPr="00A23824">
        <w:rPr>
          <w:rFonts w:ascii="Arial" w:hAnsi="Arial" w:cs="Arial"/>
        </w:rPr>
        <w:t xml:space="preserve"> et la diffusion de la synthèse des données collectées</w:t>
      </w:r>
      <w:r w:rsidR="00205756" w:rsidRPr="00A23824">
        <w:rPr>
          <w:rFonts w:ascii="Arial" w:hAnsi="Arial" w:cs="Arial"/>
        </w:rPr>
        <w:t>, notamment</w:t>
      </w:r>
      <w:r w:rsidRPr="00A23824">
        <w:rPr>
          <w:rFonts w:ascii="Arial" w:hAnsi="Arial" w:cs="Arial"/>
        </w:rPr>
        <w:t xml:space="preserve"> auprès du bailleur.</w:t>
      </w:r>
    </w:p>
    <w:p w:rsidR="00262E36" w:rsidRPr="00214C35" w:rsidRDefault="00262E36" w:rsidP="00262E36">
      <w:pPr>
        <w:suppressAutoHyphens/>
        <w:spacing w:after="240" w:line="240" w:lineRule="auto"/>
        <w:jc w:val="both"/>
        <w:rPr>
          <w:rFonts w:asciiTheme="minorBidi" w:hAnsiTheme="minorBidi"/>
          <w:sz w:val="20"/>
          <w:szCs w:val="20"/>
        </w:rPr>
      </w:pPr>
    </w:p>
    <w:p w:rsidR="004F19BA" w:rsidRPr="00A23824" w:rsidRDefault="004F19BA" w:rsidP="00A23824">
      <w:pPr>
        <w:pStyle w:val="Paragraphedeliste"/>
        <w:numPr>
          <w:ilvl w:val="0"/>
          <w:numId w:val="23"/>
        </w:numPr>
        <w:spacing w:line="276" w:lineRule="auto"/>
        <w:jc w:val="both"/>
        <w:rPr>
          <w:rFonts w:ascii="Arial" w:hAnsi="Arial" w:cs="Arial"/>
          <w:b/>
        </w:rPr>
      </w:pPr>
      <w:r w:rsidRPr="00A23824">
        <w:rPr>
          <w:rFonts w:ascii="Arial" w:hAnsi="Arial" w:cs="Arial"/>
          <w:b/>
        </w:rPr>
        <w:t>Mise en œuvre – organisation – mode opératoire</w:t>
      </w:r>
    </w:p>
    <w:p w:rsidR="00A23824" w:rsidRDefault="00A23824" w:rsidP="00167996">
      <w:pPr>
        <w:spacing w:after="0" w:line="276" w:lineRule="auto"/>
        <w:jc w:val="both"/>
        <w:rPr>
          <w:rFonts w:ascii="Arial" w:hAnsi="Arial" w:cs="Arial"/>
          <w:sz w:val="20"/>
          <w:szCs w:val="20"/>
        </w:rPr>
      </w:pPr>
    </w:p>
    <w:p w:rsidR="004F19BA" w:rsidRPr="00A23824" w:rsidRDefault="004F19BA" w:rsidP="00A23824">
      <w:pPr>
        <w:jc w:val="both"/>
        <w:rPr>
          <w:rFonts w:ascii="Arial" w:hAnsi="Arial" w:cs="Arial"/>
        </w:rPr>
      </w:pPr>
      <w:r w:rsidRPr="00A23824">
        <w:rPr>
          <w:rFonts w:ascii="Arial" w:hAnsi="Arial" w:cs="Arial"/>
        </w:rPr>
        <w:t xml:space="preserve">Afin d’accompagner l’équipe projet dans la mise en place du dispositif de suivi-évaluation et son suivi au cours du projet, Expertise France recrute </w:t>
      </w:r>
      <w:proofErr w:type="spellStart"/>
      <w:r w:rsidRPr="00A23824">
        <w:rPr>
          <w:rFonts w:ascii="Arial" w:hAnsi="Arial" w:cs="Arial"/>
        </w:rPr>
        <w:t>un.e</w:t>
      </w:r>
      <w:proofErr w:type="spellEnd"/>
      <w:r w:rsidRPr="00A23824">
        <w:rPr>
          <w:rFonts w:ascii="Arial" w:hAnsi="Arial" w:cs="Arial"/>
        </w:rPr>
        <w:t xml:space="preserve"> </w:t>
      </w:r>
      <w:proofErr w:type="spellStart"/>
      <w:r w:rsidRPr="00A23824">
        <w:rPr>
          <w:rFonts w:ascii="Arial" w:hAnsi="Arial" w:cs="Arial"/>
        </w:rPr>
        <w:t>expert.e</w:t>
      </w:r>
      <w:proofErr w:type="spellEnd"/>
      <w:r w:rsidRPr="00A23824">
        <w:rPr>
          <w:rFonts w:ascii="Arial" w:hAnsi="Arial" w:cs="Arial"/>
        </w:rPr>
        <w:t xml:space="preserve"> en suivi-évaluation pour une mission d’expertise perlée</w:t>
      </w:r>
      <w:r w:rsidR="001501B9" w:rsidRPr="00A23824">
        <w:rPr>
          <w:rFonts w:ascii="Arial" w:hAnsi="Arial" w:cs="Arial"/>
        </w:rPr>
        <w:t xml:space="preserve"> répartie</w:t>
      </w:r>
      <w:r w:rsidRPr="00A23824">
        <w:rPr>
          <w:rFonts w:ascii="Arial" w:hAnsi="Arial" w:cs="Arial"/>
        </w:rPr>
        <w:t xml:space="preserve"> </w:t>
      </w:r>
      <w:r w:rsidR="002E1686" w:rsidRPr="00A23824">
        <w:rPr>
          <w:rFonts w:ascii="Arial" w:hAnsi="Arial" w:cs="Arial"/>
        </w:rPr>
        <w:t>sur la durée du projet à partir de la date de son recrutement (e</w:t>
      </w:r>
      <w:r w:rsidRPr="00A23824">
        <w:rPr>
          <w:rFonts w:ascii="Arial" w:hAnsi="Arial" w:cs="Arial"/>
        </w:rPr>
        <w:t>nvi</w:t>
      </w:r>
      <w:r w:rsidR="00A23824">
        <w:rPr>
          <w:rFonts w:ascii="Arial" w:hAnsi="Arial" w:cs="Arial"/>
        </w:rPr>
        <w:t>ron 30</w:t>
      </w:r>
      <w:r w:rsidRPr="00A23824">
        <w:rPr>
          <w:rFonts w:ascii="Arial" w:hAnsi="Arial" w:cs="Arial"/>
        </w:rPr>
        <w:t xml:space="preserve"> jours). </w:t>
      </w:r>
    </w:p>
    <w:p w:rsidR="004F19BA" w:rsidRPr="00A23824" w:rsidRDefault="004F19BA" w:rsidP="00A23824">
      <w:pPr>
        <w:jc w:val="both"/>
        <w:rPr>
          <w:rFonts w:ascii="Arial" w:hAnsi="Arial" w:cs="Arial"/>
        </w:rPr>
      </w:pPr>
      <w:r w:rsidRPr="00A23824">
        <w:rPr>
          <w:rFonts w:ascii="Arial" w:hAnsi="Arial" w:cs="Arial"/>
        </w:rPr>
        <w:t>L’</w:t>
      </w:r>
      <w:proofErr w:type="spellStart"/>
      <w:r w:rsidRPr="00A23824">
        <w:rPr>
          <w:rFonts w:ascii="Arial" w:hAnsi="Arial" w:cs="Arial"/>
        </w:rPr>
        <w:t>expert.e</w:t>
      </w:r>
      <w:proofErr w:type="spellEnd"/>
      <w:r w:rsidRPr="00A23824">
        <w:rPr>
          <w:rFonts w:ascii="Arial" w:hAnsi="Arial" w:cs="Arial"/>
        </w:rPr>
        <w:t xml:space="preserve"> sera fortement </w:t>
      </w:r>
      <w:proofErr w:type="spellStart"/>
      <w:r w:rsidRPr="00A23824">
        <w:rPr>
          <w:rFonts w:ascii="Arial" w:hAnsi="Arial" w:cs="Arial"/>
        </w:rPr>
        <w:t>mobilisé.e</w:t>
      </w:r>
      <w:proofErr w:type="spellEnd"/>
      <w:r w:rsidRPr="00A23824">
        <w:rPr>
          <w:rFonts w:ascii="Arial" w:hAnsi="Arial" w:cs="Arial"/>
        </w:rPr>
        <w:t xml:space="preserve"> au début </w:t>
      </w:r>
      <w:r w:rsidR="005962EA">
        <w:rPr>
          <w:rFonts w:ascii="Arial" w:hAnsi="Arial" w:cs="Arial"/>
        </w:rPr>
        <w:t>de la mission</w:t>
      </w:r>
      <w:r w:rsidRPr="00A23824">
        <w:rPr>
          <w:rFonts w:ascii="Arial" w:hAnsi="Arial" w:cs="Arial"/>
        </w:rPr>
        <w:t xml:space="preserve"> dans le cadre de la mise en œuvre du dispositif de suivi évaluation et de la formation de l’équipe projet, puis interviendra par la suite de manière périodique en fonction des besoins. </w:t>
      </w:r>
    </w:p>
    <w:p w:rsidR="00147E19" w:rsidRPr="00A23824" w:rsidRDefault="004F19BA" w:rsidP="00A23824">
      <w:pPr>
        <w:jc w:val="both"/>
        <w:rPr>
          <w:rFonts w:ascii="Arial" w:hAnsi="Arial" w:cs="Arial"/>
        </w:rPr>
      </w:pPr>
      <w:r w:rsidRPr="00A23824">
        <w:rPr>
          <w:rFonts w:ascii="Arial" w:hAnsi="Arial" w:cs="Arial"/>
        </w:rPr>
        <w:t>L’</w:t>
      </w:r>
      <w:proofErr w:type="spellStart"/>
      <w:r w:rsidRPr="00A23824">
        <w:rPr>
          <w:rFonts w:ascii="Arial" w:hAnsi="Arial" w:cs="Arial"/>
        </w:rPr>
        <w:t>expert.e</w:t>
      </w:r>
      <w:proofErr w:type="spellEnd"/>
      <w:r w:rsidRPr="00A23824">
        <w:rPr>
          <w:rFonts w:ascii="Arial" w:hAnsi="Arial" w:cs="Arial"/>
        </w:rPr>
        <w:t xml:space="preserve"> </w:t>
      </w:r>
      <w:proofErr w:type="spellStart"/>
      <w:r w:rsidRPr="00A23824">
        <w:rPr>
          <w:rFonts w:ascii="Arial" w:hAnsi="Arial" w:cs="Arial"/>
        </w:rPr>
        <w:t>recruté.e</w:t>
      </w:r>
      <w:proofErr w:type="spellEnd"/>
      <w:r w:rsidRPr="00A23824">
        <w:rPr>
          <w:rFonts w:ascii="Arial" w:hAnsi="Arial" w:cs="Arial"/>
        </w:rPr>
        <w:t xml:space="preserve"> travaillera en collaboration notamment avec </w:t>
      </w:r>
      <w:r w:rsidR="00880A8E">
        <w:rPr>
          <w:rFonts w:ascii="Arial" w:hAnsi="Arial" w:cs="Arial"/>
        </w:rPr>
        <w:t>l’équipe projet</w:t>
      </w:r>
      <w:r w:rsidRPr="00A23824">
        <w:rPr>
          <w:rFonts w:ascii="Arial" w:hAnsi="Arial" w:cs="Arial"/>
        </w:rPr>
        <w:t>, pour la partie</w:t>
      </w:r>
      <w:r w:rsidR="004B7E35" w:rsidRPr="00A23824">
        <w:rPr>
          <w:rFonts w:ascii="Arial" w:hAnsi="Arial" w:cs="Arial"/>
        </w:rPr>
        <w:t xml:space="preserve"> opérationnelle</w:t>
      </w:r>
      <w:r w:rsidRPr="00A23824">
        <w:rPr>
          <w:rFonts w:ascii="Arial" w:hAnsi="Arial" w:cs="Arial"/>
        </w:rPr>
        <w:t xml:space="preserve"> de</w:t>
      </w:r>
      <w:r w:rsidR="00A60AC7" w:rsidRPr="00A23824">
        <w:rPr>
          <w:rFonts w:ascii="Arial" w:hAnsi="Arial" w:cs="Arial"/>
        </w:rPr>
        <w:t xml:space="preserve"> collecte et de</w:t>
      </w:r>
      <w:r w:rsidRPr="00A23824">
        <w:rPr>
          <w:rFonts w:ascii="Arial" w:hAnsi="Arial" w:cs="Arial"/>
        </w:rPr>
        <w:t xml:space="preserve"> suivi des indicateurs au plan local. </w:t>
      </w:r>
    </w:p>
    <w:p w:rsidR="00167996" w:rsidRPr="00A23824" w:rsidRDefault="00147E19" w:rsidP="00A23824">
      <w:pPr>
        <w:jc w:val="both"/>
        <w:rPr>
          <w:rFonts w:ascii="Arial" w:hAnsi="Arial" w:cs="Arial"/>
        </w:rPr>
      </w:pPr>
      <w:r w:rsidRPr="00A23824">
        <w:rPr>
          <w:rFonts w:ascii="Arial" w:hAnsi="Arial" w:cs="Arial"/>
        </w:rPr>
        <w:t>Les modalités e</w:t>
      </w:r>
      <w:r w:rsidR="00205756" w:rsidRPr="00A23824">
        <w:rPr>
          <w:rFonts w:ascii="Arial" w:hAnsi="Arial" w:cs="Arial"/>
        </w:rPr>
        <w:t xml:space="preserve">t la fréquence du </w:t>
      </w:r>
      <w:proofErr w:type="spellStart"/>
      <w:r w:rsidR="00205756" w:rsidRPr="00A23824">
        <w:rPr>
          <w:rFonts w:ascii="Arial" w:hAnsi="Arial" w:cs="Arial"/>
        </w:rPr>
        <w:t>reporting</w:t>
      </w:r>
      <w:proofErr w:type="spellEnd"/>
      <w:r w:rsidR="00205756" w:rsidRPr="00A23824">
        <w:rPr>
          <w:rFonts w:ascii="Arial" w:hAnsi="Arial" w:cs="Arial"/>
        </w:rPr>
        <w:t xml:space="preserve"> seront</w:t>
      </w:r>
      <w:r w:rsidRPr="00A23824">
        <w:rPr>
          <w:rFonts w:ascii="Arial" w:hAnsi="Arial" w:cs="Arial"/>
        </w:rPr>
        <w:t xml:space="preserve"> déterminé</w:t>
      </w:r>
      <w:r w:rsidR="00205756" w:rsidRPr="00A23824">
        <w:rPr>
          <w:rFonts w:ascii="Arial" w:hAnsi="Arial" w:cs="Arial"/>
        </w:rPr>
        <w:t>es</w:t>
      </w:r>
      <w:r w:rsidRPr="00A23824">
        <w:rPr>
          <w:rFonts w:ascii="Arial" w:hAnsi="Arial" w:cs="Arial"/>
        </w:rPr>
        <w:t xml:space="preserve"> en concertation </w:t>
      </w:r>
      <w:r w:rsidR="00490685" w:rsidRPr="00A23824">
        <w:rPr>
          <w:rFonts w:ascii="Arial" w:hAnsi="Arial" w:cs="Arial"/>
        </w:rPr>
        <w:t xml:space="preserve">entre la </w:t>
      </w:r>
      <w:r w:rsidR="00880A8E">
        <w:rPr>
          <w:rFonts w:ascii="Arial" w:hAnsi="Arial" w:cs="Arial"/>
        </w:rPr>
        <w:t>cheffe de projet</w:t>
      </w:r>
      <w:r w:rsidR="00490685" w:rsidRPr="00A23824">
        <w:rPr>
          <w:rFonts w:ascii="Arial" w:hAnsi="Arial" w:cs="Arial"/>
        </w:rPr>
        <w:t xml:space="preserve"> et l</w:t>
      </w:r>
      <w:r w:rsidRPr="00A23824">
        <w:rPr>
          <w:rFonts w:ascii="Arial" w:hAnsi="Arial" w:cs="Arial"/>
        </w:rPr>
        <w:t>’expert au moment de la validation de son plan de travail.</w:t>
      </w:r>
    </w:p>
    <w:p w:rsidR="004F19BA" w:rsidRPr="004F19BA" w:rsidRDefault="004F19BA" w:rsidP="004F19BA">
      <w:pPr>
        <w:spacing w:after="0" w:line="240" w:lineRule="auto"/>
        <w:jc w:val="both"/>
        <w:rPr>
          <w:rFonts w:ascii="Arial" w:hAnsi="Arial" w:cs="Arial"/>
          <w:sz w:val="20"/>
          <w:szCs w:val="20"/>
        </w:rPr>
      </w:pPr>
    </w:p>
    <w:p w:rsidR="00167996" w:rsidRPr="00A23824" w:rsidRDefault="00167996" w:rsidP="00A23824">
      <w:pPr>
        <w:pStyle w:val="Paragraphedeliste"/>
        <w:numPr>
          <w:ilvl w:val="0"/>
          <w:numId w:val="23"/>
        </w:numPr>
        <w:spacing w:line="276" w:lineRule="auto"/>
        <w:jc w:val="both"/>
        <w:rPr>
          <w:rFonts w:ascii="Arial" w:hAnsi="Arial" w:cs="Arial"/>
          <w:b/>
        </w:rPr>
      </w:pPr>
      <w:r w:rsidRPr="00A23824">
        <w:rPr>
          <w:rFonts w:ascii="Arial" w:hAnsi="Arial" w:cs="Arial"/>
          <w:b/>
        </w:rPr>
        <w:t xml:space="preserve">Les outils de pilotage du </w:t>
      </w:r>
      <w:r w:rsidR="00C567BE" w:rsidRPr="00A23824">
        <w:rPr>
          <w:rFonts w:ascii="Arial" w:hAnsi="Arial" w:cs="Arial"/>
          <w:b/>
        </w:rPr>
        <w:t>SERA</w:t>
      </w:r>
      <w:r w:rsidR="00A23824">
        <w:rPr>
          <w:rFonts w:ascii="Arial" w:hAnsi="Arial" w:cs="Arial"/>
          <w:b/>
        </w:rPr>
        <w:t xml:space="preserve"> du projet HAKAMA</w:t>
      </w:r>
    </w:p>
    <w:p w:rsidR="00A23824" w:rsidRDefault="00A23824" w:rsidP="00A23824">
      <w:pPr>
        <w:jc w:val="both"/>
        <w:rPr>
          <w:rFonts w:ascii="Arial" w:hAnsi="Arial" w:cs="Arial"/>
          <w:i/>
          <w:u w:val="single"/>
        </w:rPr>
      </w:pPr>
      <w:bookmarkStart w:id="1" w:name="_Toc57659915"/>
    </w:p>
    <w:p w:rsidR="00167996" w:rsidRPr="00A23824" w:rsidRDefault="00167996" w:rsidP="00A23824">
      <w:pPr>
        <w:jc w:val="both"/>
        <w:rPr>
          <w:rFonts w:ascii="Arial" w:hAnsi="Arial" w:cs="Arial"/>
          <w:i/>
          <w:u w:val="single"/>
        </w:rPr>
      </w:pPr>
      <w:r w:rsidRPr="00A23824">
        <w:rPr>
          <w:rFonts w:ascii="Arial" w:hAnsi="Arial" w:cs="Arial"/>
          <w:i/>
          <w:u w:val="single"/>
        </w:rPr>
        <w:t>Un tableau de pilotage</w:t>
      </w:r>
      <w:bookmarkEnd w:id="1"/>
      <w:r w:rsidRPr="00A23824">
        <w:rPr>
          <w:rFonts w:ascii="Arial" w:hAnsi="Arial" w:cs="Arial"/>
          <w:i/>
          <w:u w:val="single"/>
        </w:rPr>
        <w:t xml:space="preserve"> de SERA</w:t>
      </w:r>
    </w:p>
    <w:p w:rsidR="00B372EB" w:rsidRDefault="00B372EB" w:rsidP="002B5351">
      <w:pPr>
        <w:suppressAutoHyphens/>
        <w:spacing w:after="0" w:line="240" w:lineRule="auto"/>
        <w:jc w:val="both"/>
        <w:rPr>
          <w:rFonts w:ascii="Arial" w:hAnsi="Arial" w:cs="Arial"/>
          <w:sz w:val="20"/>
          <w:szCs w:val="20"/>
        </w:rPr>
      </w:pPr>
    </w:p>
    <w:p w:rsidR="002B5351" w:rsidRPr="00A23824" w:rsidRDefault="002B5351" w:rsidP="00A23824">
      <w:pPr>
        <w:jc w:val="both"/>
        <w:rPr>
          <w:rFonts w:ascii="Arial" w:hAnsi="Arial" w:cs="Arial"/>
        </w:rPr>
      </w:pPr>
      <w:r w:rsidRPr="00A23824">
        <w:rPr>
          <w:rFonts w:ascii="Arial" w:hAnsi="Arial" w:cs="Arial"/>
        </w:rPr>
        <w:t xml:space="preserve">Le </w:t>
      </w:r>
      <w:r w:rsidR="003A4FD6" w:rsidRPr="00A23824">
        <w:rPr>
          <w:rFonts w:ascii="Arial" w:hAnsi="Arial" w:cs="Arial"/>
        </w:rPr>
        <w:t>tableau de bord fourni par le siège sera en tout premier lieu utilisé</w:t>
      </w:r>
      <w:r w:rsidR="00DC7FA6" w:rsidRPr="00A23824">
        <w:rPr>
          <w:rFonts w:ascii="Arial" w:hAnsi="Arial" w:cs="Arial"/>
        </w:rPr>
        <w:t xml:space="preserve"> pour le pilotage du SERA</w:t>
      </w:r>
      <w:r w:rsidR="003A4FD6" w:rsidRPr="00A23824">
        <w:rPr>
          <w:rFonts w:ascii="Arial" w:hAnsi="Arial" w:cs="Arial"/>
        </w:rPr>
        <w:t xml:space="preserve">. </w:t>
      </w:r>
    </w:p>
    <w:p w:rsidR="004C6601" w:rsidRPr="00A23824" w:rsidRDefault="003A4FD6" w:rsidP="00A23824">
      <w:pPr>
        <w:jc w:val="both"/>
        <w:rPr>
          <w:rFonts w:ascii="Arial" w:hAnsi="Arial" w:cs="Arial"/>
        </w:rPr>
      </w:pPr>
      <w:r w:rsidRPr="00A23824">
        <w:rPr>
          <w:rFonts w:ascii="Arial" w:hAnsi="Arial" w:cs="Arial"/>
        </w:rPr>
        <w:lastRenderedPageBreak/>
        <w:t xml:space="preserve">En complément, et afin de répondre au besoin de suivi micro des indicateurs </w:t>
      </w:r>
      <w:r w:rsidR="003B4BA0" w:rsidRPr="00A23824">
        <w:rPr>
          <w:rFonts w:ascii="Arial" w:hAnsi="Arial" w:cs="Arial"/>
        </w:rPr>
        <w:t xml:space="preserve">du projet </w:t>
      </w:r>
      <w:r w:rsidRPr="00A23824">
        <w:rPr>
          <w:rFonts w:ascii="Arial" w:hAnsi="Arial" w:cs="Arial"/>
        </w:rPr>
        <w:t>par activité, l</w:t>
      </w:r>
      <w:r w:rsidR="00F153EC" w:rsidRPr="00A23824">
        <w:rPr>
          <w:rFonts w:ascii="Arial" w:hAnsi="Arial" w:cs="Arial"/>
        </w:rPr>
        <w:t>’</w:t>
      </w:r>
      <w:proofErr w:type="spellStart"/>
      <w:r w:rsidR="00F153EC" w:rsidRPr="00A23824">
        <w:rPr>
          <w:rFonts w:ascii="Arial" w:hAnsi="Arial" w:cs="Arial"/>
        </w:rPr>
        <w:t>expert.e</w:t>
      </w:r>
      <w:proofErr w:type="spellEnd"/>
      <w:r w:rsidR="00F153EC" w:rsidRPr="00A23824">
        <w:rPr>
          <w:rFonts w:ascii="Arial" w:hAnsi="Arial" w:cs="Arial"/>
        </w:rPr>
        <w:t xml:space="preserve"> </w:t>
      </w:r>
      <w:r w:rsidR="002B5351" w:rsidRPr="00A23824">
        <w:rPr>
          <w:rFonts w:ascii="Arial" w:hAnsi="Arial" w:cs="Arial"/>
        </w:rPr>
        <w:t xml:space="preserve">pourra </w:t>
      </w:r>
      <w:r w:rsidR="00F153EC" w:rsidRPr="00A23824">
        <w:rPr>
          <w:rFonts w:ascii="Arial" w:hAnsi="Arial" w:cs="Arial"/>
        </w:rPr>
        <w:t xml:space="preserve">mettre en place </w:t>
      </w:r>
      <w:r w:rsidR="002B5351" w:rsidRPr="00A23824">
        <w:rPr>
          <w:rFonts w:ascii="Arial" w:hAnsi="Arial" w:cs="Arial"/>
        </w:rPr>
        <w:t xml:space="preserve">ou proposer </w:t>
      </w:r>
      <w:r w:rsidR="00F153EC" w:rsidRPr="00A23824">
        <w:rPr>
          <w:rFonts w:ascii="Arial" w:hAnsi="Arial" w:cs="Arial"/>
        </w:rPr>
        <w:t xml:space="preserve">un outil </w:t>
      </w:r>
      <w:r w:rsidR="00DC7FA6" w:rsidRPr="00A23824">
        <w:rPr>
          <w:rFonts w:ascii="Arial" w:hAnsi="Arial" w:cs="Arial"/>
        </w:rPr>
        <w:t>complémentaire</w:t>
      </w:r>
      <w:r w:rsidRPr="00A23824">
        <w:rPr>
          <w:rFonts w:ascii="Arial" w:hAnsi="Arial" w:cs="Arial"/>
        </w:rPr>
        <w:t xml:space="preserve"> </w:t>
      </w:r>
      <w:r w:rsidR="002005A5" w:rsidRPr="00A23824">
        <w:rPr>
          <w:rFonts w:ascii="Arial" w:hAnsi="Arial" w:cs="Arial"/>
        </w:rPr>
        <w:t>permettant de suivre</w:t>
      </w:r>
      <w:r w:rsidRPr="00A23824">
        <w:rPr>
          <w:rFonts w:ascii="Arial" w:hAnsi="Arial" w:cs="Arial"/>
        </w:rPr>
        <w:t xml:space="preserve"> les</w:t>
      </w:r>
      <w:r w:rsidR="002005A5" w:rsidRPr="00A23824">
        <w:rPr>
          <w:rFonts w:ascii="Arial" w:hAnsi="Arial" w:cs="Arial"/>
        </w:rPr>
        <w:t xml:space="preserve"> indicateurs micro de chaque sous-composante </w:t>
      </w:r>
      <w:r w:rsidR="00024AC2" w:rsidRPr="00A23824">
        <w:rPr>
          <w:rFonts w:ascii="Arial" w:hAnsi="Arial" w:cs="Arial"/>
        </w:rPr>
        <w:t xml:space="preserve">et </w:t>
      </w:r>
      <w:r w:rsidR="004C6601" w:rsidRPr="00A23824">
        <w:rPr>
          <w:rFonts w:ascii="Arial" w:hAnsi="Arial" w:cs="Arial"/>
        </w:rPr>
        <w:t xml:space="preserve">par </w:t>
      </w:r>
      <w:r w:rsidR="00024AC2" w:rsidRPr="00A23824">
        <w:rPr>
          <w:rFonts w:ascii="Arial" w:hAnsi="Arial" w:cs="Arial"/>
        </w:rPr>
        <w:t>activité</w:t>
      </w:r>
      <w:r w:rsidR="004C6601" w:rsidRPr="00A23824">
        <w:rPr>
          <w:rFonts w:ascii="Arial" w:hAnsi="Arial" w:cs="Arial"/>
        </w:rPr>
        <w:t>.</w:t>
      </w:r>
    </w:p>
    <w:p w:rsidR="009F04AB" w:rsidRPr="00A23824" w:rsidRDefault="009F04AB" w:rsidP="00A23824">
      <w:pPr>
        <w:jc w:val="both"/>
        <w:rPr>
          <w:rFonts w:ascii="Arial" w:hAnsi="Arial" w:cs="Arial"/>
        </w:rPr>
      </w:pPr>
      <w:r w:rsidRPr="00A23824">
        <w:rPr>
          <w:rFonts w:ascii="Arial" w:hAnsi="Arial" w:cs="Arial"/>
        </w:rPr>
        <w:t>Les données par indicateur devront être en lien avec les objectifs à atteindre et les livrables à produire, par activité, en adéquation av</w:t>
      </w:r>
      <w:r w:rsidR="00880A8E">
        <w:rPr>
          <w:rFonts w:ascii="Arial" w:hAnsi="Arial" w:cs="Arial"/>
        </w:rPr>
        <w:t>ec le calendrier de réalisation. T</w:t>
      </w:r>
      <w:r w:rsidRPr="00A23824">
        <w:rPr>
          <w:rFonts w:ascii="Arial" w:hAnsi="Arial" w:cs="Arial"/>
        </w:rPr>
        <w:t>ous les éléments descriptifs ainsi que les difficultés et moyens de résolution y seront renseignés.</w:t>
      </w:r>
    </w:p>
    <w:p w:rsidR="00DC7FA6" w:rsidRPr="00A23824" w:rsidRDefault="00DC7FA6" w:rsidP="00A23824">
      <w:pPr>
        <w:jc w:val="both"/>
        <w:rPr>
          <w:rFonts w:ascii="Arial" w:hAnsi="Arial" w:cs="Arial"/>
        </w:rPr>
      </w:pPr>
      <w:r w:rsidRPr="00A23824">
        <w:rPr>
          <w:rFonts w:ascii="Arial" w:hAnsi="Arial" w:cs="Arial"/>
        </w:rPr>
        <w:t xml:space="preserve">Cet outil sera centralisé au niveau de la direction de projet </w:t>
      </w:r>
      <w:r w:rsidR="00C80EBC">
        <w:rPr>
          <w:rFonts w:ascii="Arial" w:hAnsi="Arial" w:cs="Arial"/>
        </w:rPr>
        <w:t>d’</w:t>
      </w:r>
      <w:r w:rsidRPr="00A23824">
        <w:rPr>
          <w:rFonts w:ascii="Arial" w:hAnsi="Arial" w:cs="Arial"/>
        </w:rPr>
        <w:t xml:space="preserve">Expertise France. </w:t>
      </w:r>
    </w:p>
    <w:p w:rsidR="00AA28F1" w:rsidRPr="00A23824" w:rsidRDefault="00B372EB" w:rsidP="00A23824">
      <w:pPr>
        <w:jc w:val="both"/>
        <w:rPr>
          <w:rFonts w:ascii="Arial" w:hAnsi="Arial" w:cs="Arial"/>
        </w:rPr>
      </w:pPr>
      <w:r w:rsidRPr="00A23824">
        <w:rPr>
          <w:rFonts w:ascii="Arial" w:hAnsi="Arial" w:cs="Arial"/>
        </w:rPr>
        <w:t xml:space="preserve">Les données </w:t>
      </w:r>
      <w:r w:rsidR="00811DE9" w:rsidRPr="00A23824">
        <w:rPr>
          <w:rFonts w:ascii="Arial" w:hAnsi="Arial" w:cs="Arial"/>
        </w:rPr>
        <w:t>recueillies p</w:t>
      </w:r>
      <w:r w:rsidRPr="00A23824">
        <w:rPr>
          <w:rFonts w:ascii="Arial" w:hAnsi="Arial" w:cs="Arial"/>
        </w:rPr>
        <w:t xml:space="preserve">ar l’équipe projet terrain </w:t>
      </w:r>
      <w:r w:rsidR="0011600F" w:rsidRPr="00A23824">
        <w:rPr>
          <w:rFonts w:ascii="Arial" w:hAnsi="Arial" w:cs="Arial"/>
        </w:rPr>
        <w:t>auprès</w:t>
      </w:r>
      <w:r w:rsidRPr="00A23824">
        <w:rPr>
          <w:rFonts w:ascii="Arial" w:hAnsi="Arial" w:cs="Arial"/>
        </w:rPr>
        <w:t xml:space="preserve"> des bénéficiaires du projet, ainsi que celles issues des partenaires de mise en œuvre </w:t>
      </w:r>
      <w:r w:rsidR="00C7222F" w:rsidRPr="00A23824">
        <w:rPr>
          <w:rFonts w:ascii="Arial" w:hAnsi="Arial" w:cs="Arial"/>
        </w:rPr>
        <w:t xml:space="preserve">qui alimenteront les tableaux de suivi et de pilotage </w:t>
      </w:r>
      <w:r w:rsidRPr="00A23824">
        <w:rPr>
          <w:rFonts w:ascii="Arial" w:hAnsi="Arial" w:cs="Arial"/>
        </w:rPr>
        <w:t>seront compilées</w:t>
      </w:r>
      <w:r w:rsidR="00D11A02" w:rsidRPr="00A23824">
        <w:rPr>
          <w:rFonts w:ascii="Arial" w:hAnsi="Arial" w:cs="Arial"/>
        </w:rPr>
        <w:t xml:space="preserve"> par </w:t>
      </w:r>
      <w:r w:rsidR="00CA20EF" w:rsidRPr="00A23824">
        <w:rPr>
          <w:rFonts w:ascii="Arial" w:hAnsi="Arial" w:cs="Arial"/>
        </w:rPr>
        <w:t xml:space="preserve">l’équipe projet </w:t>
      </w:r>
      <w:r w:rsidR="00CA20EF">
        <w:rPr>
          <w:rFonts w:ascii="Arial" w:hAnsi="Arial" w:cs="Arial"/>
        </w:rPr>
        <w:t>terrain</w:t>
      </w:r>
      <w:r w:rsidRPr="00A23824">
        <w:rPr>
          <w:rFonts w:ascii="Arial" w:hAnsi="Arial" w:cs="Arial"/>
        </w:rPr>
        <w:t>.</w:t>
      </w:r>
    </w:p>
    <w:p w:rsidR="003A4FD6" w:rsidRPr="00A87B5E" w:rsidRDefault="003A4FD6" w:rsidP="003A4FD6">
      <w:pPr>
        <w:suppressAutoHyphens/>
        <w:spacing w:after="0" w:line="240" w:lineRule="auto"/>
        <w:jc w:val="both"/>
        <w:rPr>
          <w:rFonts w:asciiTheme="minorBidi" w:hAnsiTheme="minorBidi"/>
          <w:sz w:val="20"/>
          <w:szCs w:val="20"/>
        </w:rPr>
      </w:pPr>
    </w:p>
    <w:p w:rsidR="00017461" w:rsidRPr="00A6016A" w:rsidRDefault="00017461" w:rsidP="00A23824">
      <w:pPr>
        <w:jc w:val="both"/>
        <w:rPr>
          <w:rFonts w:ascii="Arial" w:hAnsi="Arial" w:cs="Arial"/>
          <w:i/>
          <w:u w:val="single"/>
        </w:rPr>
      </w:pPr>
      <w:bookmarkStart w:id="2" w:name="_Toc57659916"/>
      <w:r w:rsidRPr="00A6016A">
        <w:rPr>
          <w:rFonts w:ascii="Arial" w:hAnsi="Arial" w:cs="Arial"/>
          <w:i/>
          <w:u w:val="single"/>
        </w:rPr>
        <w:t>Revue périodique interne</w:t>
      </w:r>
    </w:p>
    <w:bookmarkEnd w:id="2"/>
    <w:p w:rsidR="008F5D8F" w:rsidRPr="00A23824" w:rsidRDefault="00167996" w:rsidP="00A23824">
      <w:pPr>
        <w:jc w:val="both"/>
        <w:rPr>
          <w:rFonts w:ascii="Arial" w:hAnsi="Arial" w:cs="Arial"/>
        </w:rPr>
      </w:pPr>
      <w:r w:rsidRPr="00A23824">
        <w:rPr>
          <w:rFonts w:ascii="Arial" w:hAnsi="Arial" w:cs="Arial"/>
        </w:rPr>
        <w:t xml:space="preserve">Un dispositif de revue </w:t>
      </w:r>
      <w:r w:rsidR="009F04AB" w:rsidRPr="00A23824">
        <w:rPr>
          <w:rFonts w:ascii="Arial" w:hAnsi="Arial" w:cs="Arial"/>
        </w:rPr>
        <w:t>périodique interne</w:t>
      </w:r>
      <w:r w:rsidR="007B7609">
        <w:rPr>
          <w:rFonts w:ascii="Arial" w:hAnsi="Arial" w:cs="Arial"/>
        </w:rPr>
        <w:t xml:space="preserve"> (janvier, avril et septembre)</w:t>
      </w:r>
      <w:r w:rsidR="009F04AB" w:rsidRPr="00A23824">
        <w:rPr>
          <w:rFonts w:ascii="Arial" w:hAnsi="Arial" w:cs="Arial"/>
        </w:rPr>
        <w:t>, adossé</w:t>
      </w:r>
      <w:r w:rsidR="008F5D8F" w:rsidRPr="00A23824">
        <w:rPr>
          <w:rFonts w:ascii="Arial" w:hAnsi="Arial" w:cs="Arial"/>
        </w:rPr>
        <w:t xml:space="preserve"> aux outils de suivi des indicateurs</w:t>
      </w:r>
      <w:r w:rsidR="009F04AB" w:rsidRPr="00A23824">
        <w:rPr>
          <w:rFonts w:ascii="Arial" w:hAnsi="Arial" w:cs="Arial"/>
        </w:rPr>
        <w:t>,</w:t>
      </w:r>
      <w:r w:rsidR="008F5D8F" w:rsidRPr="00A23824">
        <w:rPr>
          <w:rFonts w:ascii="Arial" w:hAnsi="Arial" w:cs="Arial"/>
        </w:rPr>
        <w:t xml:space="preserve"> </w:t>
      </w:r>
      <w:r w:rsidRPr="00A23824">
        <w:rPr>
          <w:rFonts w:ascii="Arial" w:hAnsi="Arial" w:cs="Arial"/>
        </w:rPr>
        <w:t>est mis en place afin de vérifier la qualité des actions de SE</w:t>
      </w:r>
      <w:r w:rsidR="00823914" w:rsidRPr="00A23824">
        <w:rPr>
          <w:rFonts w:ascii="Arial" w:hAnsi="Arial" w:cs="Arial"/>
        </w:rPr>
        <w:t>RA</w:t>
      </w:r>
      <w:r w:rsidRPr="00A23824">
        <w:rPr>
          <w:rFonts w:ascii="Arial" w:hAnsi="Arial" w:cs="Arial"/>
        </w:rPr>
        <w:t xml:space="preserve"> tout au long du projet. </w:t>
      </w:r>
    </w:p>
    <w:p w:rsidR="00167996" w:rsidRPr="00A23824" w:rsidRDefault="00530081" w:rsidP="00A23824">
      <w:pPr>
        <w:jc w:val="both"/>
        <w:rPr>
          <w:rFonts w:ascii="Arial" w:hAnsi="Arial" w:cs="Arial"/>
        </w:rPr>
      </w:pPr>
      <w:r>
        <w:rPr>
          <w:rFonts w:ascii="Arial" w:hAnsi="Arial" w:cs="Arial"/>
        </w:rPr>
        <w:t>D</w:t>
      </w:r>
      <w:r w:rsidR="00167996" w:rsidRPr="00A23824">
        <w:rPr>
          <w:rFonts w:ascii="Arial" w:hAnsi="Arial" w:cs="Arial"/>
        </w:rPr>
        <w:t>es revues</w:t>
      </w:r>
      <w:r w:rsidR="002835F5" w:rsidRPr="00A23824">
        <w:rPr>
          <w:rFonts w:ascii="Arial" w:hAnsi="Arial" w:cs="Arial"/>
        </w:rPr>
        <w:t xml:space="preserve"> périodiques auront l</w:t>
      </w:r>
      <w:r w:rsidR="00F61561" w:rsidRPr="00A23824">
        <w:rPr>
          <w:rFonts w:ascii="Arial" w:hAnsi="Arial" w:cs="Arial"/>
        </w:rPr>
        <w:t xml:space="preserve">ieu en </w:t>
      </w:r>
      <w:r w:rsidR="007E18F2" w:rsidRPr="00A23824">
        <w:rPr>
          <w:rFonts w:ascii="Arial" w:hAnsi="Arial" w:cs="Arial"/>
        </w:rPr>
        <w:t xml:space="preserve">amont des comités </w:t>
      </w:r>
      <w:r w:rsidR="00C576B3">
        <w:rPr>
          <w:rFonts w:ascii="Arial" w:hAnsi="Arial" w:cs="Arial"/>
        </w:rPr>
        <w:t>techniques et du comité de pilotage annuel</w:t>
      </w:r>
      <w:r w:rsidR="007E18F2" w:rsidRPr="00A23824">
        <w:rPr>
          <w:rFonts w:ascii="Arial" w:hAnsi="Arial" w:cs="Arial"/>
        </w:rPr>
        <w:t>, afin de co</w:t>
      </w:r>
      <w:r w:rsidR="00A6016A">
        <w:rPr>
          <w:rFonts w:ascii="Arial" w:hAnsi="Arial" w:cs="Arial"/>
        </w:rPr>
        <w:t>mmuniquer les résultats lors de ces</w:t>
      </w:r>
      <w:r w:rsidR="007E18F2" w:rsidRPr="00A23824">
        <w:rPr>
          <w:rFonts w:ascii="Arial" w:hAnsi="Arial" w:cs="Arial"/>
        </w:rPr>
        <w:t xml:space="preserve"> réunions. </w:t>
      </w:r>
      <w:r w:rsidR="008F5D8F" w:rsidRPr="00A23824">
        <w:rPr>
          <w:rFonts w:ascii="Arial" w:hAnsi="Arial" w:cs="Arial"/>
        </w:rPr>
        <w:t xml:space="preserve">Le </w:t>
      </w:r>
      <w:r w:rsidR="007C082B" w:rsidRPr="00A23824">
        <w:rPr>
          <w:rFonts w:ascii="Arial" w:hAnsi="Arial" w:cs="Arial"/>
        </w:rPr>
        <w:t xml:space="preserve">cas échéant, le </w:t>
      </w:r>
      <w:r w:rsidR="008F5D8F" w:rsidRPr="00A23824">
        <w:rPr>
          <w:rFonts w:ascii="Arial" w:hAnsi="Arial" w:cs="Arial"/>
        </w:rPr>
        <w:t>résultat de ces revues ser</w:t>
      </w:r>
      <w:r w:rsidR="007C082B" w:rsidRPr="00A23824">
        <w:rPr>
          <w:rFonts w:ascii="Arial" w:hAnsi="Arial" w:cs="Arial"/>
        </w:rPr>
        <w:t>a</w:t>
      </w:r>
      <w:r w:rsidR="008F5D8F" w:rsidRPr="00A23824">
        <w:rPr>
          <w:rFonts w:ascii="Arial" w:hAnsi="Arial" w:cs="Arial"/>
        </w:rPr>
        <w:t xml:space="preserve"> </w:t>
      </w:r>
      <w:r w:rsidR="006A71C5" w:rsidRPr="00A23824">
        <w:rPr>
          <w:rFonts w:ascii="Arial" w:hAnsi="Arial" w:cs="Arial"/>
        </w:rPr>
        <w:t>fourni</w:t>
      </w:r>
      <w:r w:rsidR="008F5D8F" w:rsidRPr="00A23824">
        <w:rPr>
          <w:rFonts w:ascii="Arial" w:hAnsi="Arial" w:cs="Arial"/>
        </w:rPr>
        <w:t xml:space="preserve"> en annexe des</w:t>
      </w:r>
      <w:r w:rsidR="007C082B" w:rsidRPr="00A23824">
        <w:rPr>
          <w:rFonts w:ascii="Arial" w:hAnsi="Arial" w:cs="Arial"/>
        </w:rPr>
        <w:t xml:space="preserve"> rapports établis à </w:t>
      </w:r>
      <w:r w:rsidR="008F5D8F" w:rsidRPr="00A23824">
        <w:rPr>
          <w:rFonts w:ascii="Arial" w:hAnsi="Arial" w:cs="Arial"/>
        </w:rPr>
        <w:t xml:space="preserve">différents moments du projet (démarrage, comités </w:t>
      </w:r>
      <w:r w:rsidR="00A6016A">
        <w:rPr>
          <w:rFonts w:ascii="Arial" w:hAnsi="Arial" w:cs="Arial"/>
        </w:rPr>
        <w:t>techniques et comités de pilotage</w:t>
      </w:r>
      <w:r w:rsidR="008F5D8F" w:rsidRPr="00A23824">
        <w:rPr>
          <w:rFonts w:ascii="Arial" w:hAnsi="Arial" w:cs="Arial"/>
        </w:rPr>
        <w:t>).</w:t>
      </w:r>
    </w:p>
    <w:p w:rsidR="00191415" w:rsidRPr="00A23824" w:rsidRDefault="00167996" w:rsidP="00A23824">
      <w:pPr>
        <w:jc w:val="both"/>
        <w:rPr>
          <w:rFonts w:ascii="Arial" w:hAnsi="Arial" w:cs="Arial"/>
        </w:rPr>
      </w:pPr>
      <w:r w:rsidRPr="00A23824">
        <w:rPr>
          <w:rFonts w:ascii="Arial" w:hAnsi="Arial" w:cs="Arial"/>
        </w:rPr>
        <w:t xml:space="preserve">Ces deux systèmes de suivi permettront </w:t>
      </w:r>
      <w:r w:rsidR="006A71C5" w:rsidRPr="00A23824">
        <w:rPr>
          <w:rFonts w:ascii="Arial" w:hAnsi="Arial" w:cs="Arial"/>
        </w:rPr>
        <w:t>d’identifier les</w:t>
      </w:r>
      <w:r w:rsidRPr="00A23824">
        <w:rPr>
          <w:rFonts w:ascii="Arial" w:hAnsi="Arial" w:cs="Arial"/>
        </w:rPr>
        <w:t xml:space="preserve"> résultats obtenus et les difficultés rencontrées</w:t>
      </w:r>
      <w:r w:rsidR="001F7F1D" w:rsidRPr="00A23824">
        <w:rPr>
          <w:rFonts w:ascii="Arial" w:hAnsi="Arial" w:cs="Arial"/>
        </w:rPr>
        <w:t>,</w:t>
      </w:r>
      <w:r w:rsidRPr="00A23824">
        <w:rPr>
          <w:rFonts w:ascii="Arial" w:hAnsi="Arial" w:cs="Arial"/>
        </w:rPr>
        <w:t xml:space="preserve"> et </w:t>
      </w:r>
      <w:r w:rsidR="006A71C5" w:rsidRPr="00A23824">
        <w:rPr>
          <w:rFonts w:ascii="Arial" w:hAnsi="Arial" w:cs="Arial"/>
        </w:rPr>
        <w:t xml:space="preserve">le cas échéant, contribuer à </w:t>
      </w:r>
      <w:r w:rsidR="001F7F1D" w:rsidRPr="00A23824">
        <w:rPr>
          <w:rFonts w:ascii="Arial" w:hAnsi="Arial" w:cs="Arial"/>
        </w:rPr>
        <w:t xml:space="preserve">envisager des solutions correctives. </w:t>
      </w:r>
    </w:p>
    <w:p w:rsidR="009E3921" w:rsidRPr="00A23824" w:rsidRDefault="009E3921" w:rsidP="00A23824">
      <w:pPr>
        <w:jc w:val="both"/>
        <w:rPr>
          <w:rFonts w:ascii="Arial" w:hAnsi="Arial" w:cs="Arial"/>
        </w:rPr>
      </w:pPr>
    </w:p>
    <w:p w:rsidR="00191415" w:rsidRPr="009E3921" w:rsidRDefault="00191415" w:rsidP="009E3921">
      <w:pPr>
        <w:pStyle w:val="Paragraphedeliste"/>
        <w:numPr>
          <w:ilvl w:val="0"/>
          <w:numId w:val="23"/>
        </w:numPr>
        <w:spacing w:line="276" w:lineRule="auto"/>
        <w:jc w:val="both"/>
        <w:rPr>
          <w:rFonts w:ascii="Arial" w:hAnsi="Arial" w:cs="Arial"/>
          <w:b/>
        </w:rPr>
      </w:pPr>
      <w:r w:rsidRPr="009E3921">
        <w:rPr>
          <w:rFonts w:ascii="Arial" w:hAnsi="Arial" w:cs="Arial"/>
          <w:b/>
        </w:rPr>
        <w:t>Contenu de la mission de l’expert en SERA</w:t>
      </w:r>
    </w:p>
    <w:p w:rsidR="009E3921" w:rsidRDefault="009E3921" w:rsidP="00A23824">
      <w:pPr>
        <w:jc w:val="both"/>
        <w:rPr>
          <w:rFonts w:ascii="Arial" w:hAnsi="Arial" w:cs="Arial"/>
        </w:rPr>
      </w:pPr>
    </w:p>
    <w:p w:rsidR="00191415" w:rsidRPr="00A23824" w:rsidRDefault="00191415" w:rsidP="00A23824">
      <w:pPr>
        <w:jc w:val="both"/>
        <w:rPr>
          <w:rFonts w:ascii="Arial" w:hAnsi="Arial" w:cs="Arial"/>
        </w:rPr>
      </w:pPr>
      <w:r w:rsidRPr="00A23824">
        <w:rPr>
          <w:rFonts w:ascii="Arial" w:hAnsi="Arial" w:cs="Arial"/>
        </w:rPr>
        <w:t xml:space="preserve">Sous l’autorité de </w:t>
      </w:r>
      <w:r w:rsidR="00A6016A">
        <w:rPr>
          <w:rFonts w:ascii="Arial" w:hAnsi="Arial" w:cs="Arial"/>
        </w:rPr>
        <w:t>l’équipe</w:t>
      </w:r>
      <w:r w:rsidR="00391922">
        <w:rPr>
          <w:rFonts w:ascii="Arial" w:hAnsi="Arial" w:cs="Arial"/>
        </w:rPr>
        <w:t xml:space="preserve"> projet basée à Rabat</w:t>
      </w:r>
      <w:r w:rsidRPr="00A23824">
        <w:rPr>
          <w:rFonts w:ascii="Arial" w:hAnsi="Arial" w:cs="Arial"/>
        </w:rPr>
        <w:t>, l’</w:t>
      </w:r>
      <w:proofErr w:type="spellStart"/>
      <w:r w:rsidRPr="00A23824">
        <w:rPr>
          <w:rFonts w:ascii="Arial" w:hAnsi="Arial" w:cs="Arial"/>
        </w:rPr>
        <w:t>expert.e</w:t>
      </w:r>
      <w:proofErr w:type="spellEnd"/>
      <w:r w:rsidRPr="00A23824">
        <w:rPr>
          <w:rFonts w:ascii="Arial" w:hAnsi="Arial" w:cs="Arial"/>
        </w:rPr>
        <w:t xml:space="preserve"> aura pour mission d’élaborer le dispositif SERA du projet.</w:t>
      </w:r>
    </w:p>
    <w:p w:rsidR="00167996" w:rsidRPr="00A23824" w:rsidRDefault="00191415" w:rsidP="00A23824">
      <w:pPr>
        <w:jc w:val="both"/>
        <w:rPr>
          <w:rFonts w:ascii="Arial" w:hAnsi="Arial" w:cs="Arial"/>
        </w:rPr>
      </w:pPr>
      <w:r w:rsidRPr="00A23824">
        <w:rPr>
          <w:rFonts w:ascii="Arial" w:hAnsi="Arial" w:cs="Arial"/>
        </w:rPr>
        <w:t xml:space="preserve">Il/elle </w:t>
      </w:r>
      <w:r w:rsidR="00BE02AA">
        <w:rPr>
          <w:rFonts w:ascii="Arial" w:hAnsi="Arial" w:cs="Arial"/>
        </w:rPr>
        <w:t>appuiera no</w:t>
      </w:r>
      <w:r w:rsidRPr="00A23824">
        <w:rPr>
          <w:rFonts w:ascii="Arial" w:hAnsi="Arial" w:cs="Arial"/>
        </w:rPr>
        <w:t xml:space="preserve">tamment </w:t>
      </w:r>
      <w:r w:rsidR="00BE02AA">
        <w:rPr>
          <w:rFonts w:ascii="Arial" w:hAnsi="Arial" w:cs="Arial"/>
        </w:rPr>
        <w:t xml:space="preserve">l’équipe projet sur </w:t>
      </w:r>
      <w:r w:rsidRPr="00A23824">
        <w:rPr>
          <w:rFonts w:ascii="Arial" w:hAnsi="Arial" w:cs="Arial"/>
        </w:rPr>
        <w:t xml:space="preserve">(i) </w:t>
      </w:r>
      <w:r w:rsidR="00BE02AA">
        <w:rPr>
          <w:rFonts w:ascii="Arial" w:hAnsi="Arial" w:cs="Arial"/>
        </w:rPr>
        <w:t>l</w:t>
      </w:r>
      <w:r w:rsidRPr="00A23824">
        <w:rPr>
          <w:rFonts w:ascii="Arial" w:hAnsi="Arial" w:cs="Arial"/>
        </w:rPr>
        <w:t xml:space="preserve">es modalités </w:t>
      </w:r>
      <w:r w:rsidR="00BE14C3" w:rsidRPr="00A23824">
        <w:rPr>
          <w:rFonts w:ascii="Arial" w:hAnsi="Arial" w:cs="Arial"/>
        </w:rPr>
        <w:t xml:space="preserve">de </w:t>
      </w:r>
      <w:r w:rsidRPr="00A23824">
        <w:rPr>
          <w:rFonts w:ascii="Arial" w:hAnsi="Arial" w:cs="Arial"/>
        </w:rPr>
        <w:t>collecte, d’anal</w:t>
      </w:r>
      <w:r w:rsidR="00BE14C3" w:rsidRPr="00A23824">
        <w:rPr>
          <w:rFonts w:ascii="Arial" w:hAnsi="Arial" w:cs="Arial"/>
        </w:rPr>
        <w:t xml:space="preserve">yse et de </w:t>
      </w:r>
      <w:proofErr w:type="spellStart"/>
      <w:r w:rsidR="00BE14C3" w:rsidRPr="00A23824">
        <w:rPr>
          <w:rFonts w:ascii="Arial" w:hAnsi="Arial" w:cs="Arial"/>
        </w:rPr>
        <w:t>reporting</w:t>
      </w:r>
      <w:proofErr w:type="spellEnd"/>
      <w:r w:rsidR="00BE14C3" w:rsidRPr="00A23824">
        <w:rPr>
          <w:rFonts w:ascii="Arial" w:hAnsi="Arial" w:cs="Arial"/>
        </w:rPr>
        <w:t xml:space="preserve"> des </w:t>
      </w:r>
      <w:proofErr w:type="gramStart"/>
      <w:r w:rsidR="00BE14C3" w:rsidRPr="00A23824">
        <w:rPr>
          <w:rFonts w:ascii="Arial" w:hAnsi="Arial" w:cs="Arial"/>
        </w:rPr>
        <w:t>données</w:t>
      </w:r>
      <w:r w:rsidRPr="00A23824">
        <w:rPr>
          <w:rFonts w:ascii="Arial" w:hAnsi="Arial" w:cs="Arial"/>
        </w:rPr>
        <w:t>;</w:t>
      </w:r>
      <w:proofErr w:type="gramEnd"/>
      <w:r w:rsidRPr="00A23824">
        <w:rPr>
          <w:rFonts w:ascii="Arial" w:hAnsi="Arial" w:cs="Arial"/>
        </w:rPr>
        <w:t xml:space="preserve"> (ii) la documentation / capitalisation des acquis et des innovations du projet ; iii) la cohérence des indicateurs ; </w:t>
      </w:r>
      <w:r w:rsidR="00BE02AA">
        <w:rPr>
          <w:rFonts w:ascii="Arial" w:hAnsi="Arial" w:cs="Arial"/>
        </w:rPr>
        <w:t xml:space="preserve">et </w:t>
      </w:r>
      <w:r w:rsidRPr="00A23824">
        <w:rPr>
          <w:rFonts w:ascii="Arial" w:hAnsi="Arial" w:cs="Arial"/>
        </w:rPr>
        <w:t xml:space="preserve">iv) </w:t>
      </w:r>
      <w:r w:rsidR="00BE02AA">
        <w:rPr>
          <w:rFonts w:ascii="Arial" w:hAnsi="Arial" w:cs="Arial"/>
        </w:rPr>
        <w:t>le</w:t>
      </w:r>
      <w:r w:rsidRPr="00A23824">
        <w:rPr>
          <w:rFonts w:ascii="Arial" w:hAnsi="Arial" w:cs="Arial"/>
        </w:rPr>
        <w:t xml:space="preserve"> renforcement de capacités des acteurs du dispositif SERA. </w:t>
      </w:r>
    </w:p>
    <w:p w:rsidR="003D0283" w:rsidRPr="00391922" w:rsidRDefault="003D0283" w:rsidP="00A23824">
      <w:pPr>
        <w:jc w:val="both"/>
        <w:rPr>
          <w:rFonts w:ascii="Arial" w:hAnsi="Arial" w:cs="Arial"/>
          <w:b/>
          <w:i/>
        </w:rPr>
      </w:pPr>
      <w:r w:rsidRPr="00391922">
        <w:rPr>
          <w:rFonts w:ascii="Arial" w:hAnsi="Arial" w:cs="Arial"/>
          <w:b/>
          <w:i/>
        </w:rPr>
        <w:t>Elaboration du plan de suivi évaluation</w:t>
      </w:r>
    </w:p>
    <w:p w:rsidR="003D0283" w:rsidRPr="00A23824" w:rsidRDefault="003D0283" w:rsidP="00A23824">
      <w:pPr>
        <w:jc w:val="both"/>
        <w:rPr>
          <w:rFonts w:ascii="Arial" w:hAnsi="Arial" w:cs="Arial"/>
        </w:rPr>
      </w:pPr>
      <w:r w:rsidRPr="00A23824">
        <w:rPr>
          <w:rFonts w:ascii="Arial" w:hAnsi="Arial" w:cs="Arial"/>
        </w:rPr>
        <w:t>En collaboration avec l’équipe projet, l’</w:t>
      </w:r>
      <w:proofErr w:type="spellStart"/>
      <w:r w:rsidRPr="00A23824">
        <w:rPr>
          <w:rFonts w:ascii="Arial" w:hAnsi="Arial" w:cs="Arial"/>
        </w:rPr>
        <w:t>expert.e</w:t>
      </w:r>
      <w:proofErr w:type="spellEnd"/>
      <w:r w:rsidRPr="00A23824">
        <w:rPr>
          <w:rFonts w:ascii="Arial" w:hAnsi="Arial" w:cs="Arial"/>
        </w:rPr>
        <w:t xml:space="preserve"> devra élaborer le plan de suivi évaluation du projet. </w:t>
      </w:r>
    </w:p>
    <w:p w:rsidR="003D0283" w:rsidRPr="00A23824" w:rsidRDefault="003D0283" w:rsidP="00A23824">
      <w:pPr>
        <w:jc w:val="both"/>
        <w:rPr>
          <w:rFonts w:ascii="Arial" w:hAnsi="Arial" w:cs="Arial"/>
        </w:rPr>
      </w:pPr>
      <w:r w:rsidRPr="00A23824">
        <w:rPr>
          <w:rFonts w:ascii="Arial" w:hAnsi="Arial" w:cs="Arial"/>
        </w:rPr>
        <w:t xml:space="preserve">Il sera en premier lieu nécessaire d’évaluer les besoins du projet en matière de suivi-évaluation : étendue de la collecte de données, usage d’outils internes et externes, et transmission des informations (destinataire, format, périodicité) en prenant en compte des ressources disponibles. </w:t>
      </w:r>
    </w:p>
    <w:p w:rsidR="00030E04" w:rsidRPr="00A23824" w:rsidRDefault="00030E04" w:rsidP="00A23824">
      <w:pPr>
        <w:jc w:val="both"/>
        <w:rPr>
          <w:rFonts w:ascii="Arial" w:hAnsi="Arial" w:cs="Arial"/>
        </w:rPr>
      </w:pPr>
      <w:r w:rsidRPr="00A23824">
        <w:rPr>
          <w:rFonts w:ascii="Arial" w:hAnsi="Arial" w:cs="Arial"/>
        </w:rPr>
        <w:t>De même, l’</w:t>
      </w:r>
      <w:proofErr w:type="spellStart"/>
      <w:r w:rsidRPr="00A23824">
        <w:rPr>
          <w:rFonts w:ascii="Arial" w:hAnsi="Arial" w:cs="Arial"/>
        </w:rPr>
        <w:t>expert.e</w:t>
      </w:r>
      <w:proofErr w:type="spellEnd"/>
      <w:r w:rsidR="001865EB" w:rsidRPr="00A23824">
        <w:rPr>
          <w:rFonts w:ascii="Arial" w:hAnsi="Arial" w:cs="Arial"/>
        </w:rPr>
        <w:t xml:space="preserve"> devra appuyer l’équipe projet dans</w:t>
      </w:r>
      <w:r w:rsidRPr="00A23824">
        <w:rPr>
          <w:rFonts w:ascii="Arial" w:hAnsi="Arial" w:cs="Arial"/>
        </w:rPr>
        <w:t xml:space="preserve"> la définition des méthodes de collecte, de centralisation et d’analyse des données</w:t>
      </w:r>
      <w:r w:rsidR="0051777E" w:rsidRPr="00A23824">
        <w:rPr>
          <w:rFonts w:ascii="Arial" w:hAnsi="Arial" w:cs="Arial"/>
        </w:rPr>
        <w:t>.</w:t>
      </w:r>
    </w:p>
    <w:p w:rsidR="003D0283" w:rsidRPr="00A23824" w:rsidRDefault="003D0283" w:rsidP="00A23824">
      <w:pPr>
        <w:jc w:val="both"/>
        <w:rPr>
          <w:rFonts w:ascii="Arial" w:hAnsi="Arial" w:cs="Arial"/>
        </w:rPr>
      </w:pPr>
      <w:r w:rsidRPr="00A23824">
        <w:rPr>
          <w:rFonts w:ascii="Arial" w:hAnsi="Arial" w:cs="Arial"/>
        </w:rPr>
        <w:t xml:space="preserve">Le plan devra renseigner les modalités de mise en œuvre du suivi évaluation durant toute la durée du projet : rôles et responsabilités, tableau de suivi des indicateurs, calendrier des </w:t>
      </w:r>
      <w:proofErr w:type="spellStart"/>
      <w:r w:rsidRPr="00A23824">
        <w:rPr>
          <w:rFonts w:ascii="Arial" w:hAnsi="Arial" w:cs="Arial"/>
        </w:rPr>
        <w:lastRenderedPageBreak/>
        <w:t>reporting</w:t>
      </w:r>
      <w:proofErr w:type="spellEnd"/>
      <w:r w:rsidRPr="00A23824">
        <w:rPr>
          <w:rFonts w:ascii="Arial" w:hAnsi="Arial" w:cs="Arial"/>
        </w:rPr>
        <w:t>, calendrier des revues périodiques, méthode et outils de collecte, d’analyse et de visualisation des données, mécanisme de redevabilité, ressources mobilisées, séances de formation, séances de sensibilisation, capitalisation, etc.</w:t>
      </w:r>
    </w:p>
    <w:p w:rsidR="003D0283" w:rsidRPr="00A23824" w:rsidRDefault="003D0283" w:rsidP="00A23824">
      <w:pPr>
        <w:jc w:val="both"/>
        <w:rPr>
          <w:rFonts w:ascii="Arial" w:hAnsi="Arial" w:cs="Arial"/>
        </w:rPr>
      </w:pPr>
      <w:r w:rsidRPr="00A23824">
        <w:rPr>
          <w:rFonts w:ascii="Arial" w:hAnsi="Arial" w:cs="Arial"/>
        </w:rPr>
        <w:t xml:space="preserve">Il devra également </w:t>
      </w:r>
      <w:r w:rsidR="00D01855" w:rsidRPr="00A23824">
        <w:rPr>
          <w:rFonts w:ascii="Arial" w:hAnsi="Arial" w:cs="Arial"/>
        </w:rPr>
        <w:t xml:space="preserve">présenter </w:t>
      </w:r>
      <w:r w:rsidRPr="00A23824">
        <w:rPr>
          <w:rFonts w:ascii="Arial" w:hAnsi="Arial" w:cs="Arial"/>
        </w:rPr>
        <w:t>les modalités de pilotage du SE</w:t>
      </w:r>
      <w:r w:rsidR="00D01855" w:rsidRPr="00A23824">
        <w:rPr>
          <w:rFonts w:ascii="Arial" w:hAnsi="Arial" w:cs="Arial"/>
        </w:rPr>
        <w:t>RA</w:t>
      </w:r>
      <w:r w:rsidRPr="00A23824">
        <w:rPr>
          <w:rFonts w:ascii="Arial" w:hAnsi="Arial" w:cs="Arial"/>
        </w:rPr>
        <w:t>, la description des outils permettant la visualisation des données et le cale</w:t>
      </w:r>
      <w:r w:rsidR="00A6016A">
        <w:rPr>
          <w:rFonts w:ascii="Arial" w:hAnsi="Arial" w:cs="Arial"/>
        </w:rPr>
        <w:t>ndrier des revues qualités</w:t>
      </w:r>
      <w:r w:rsidRPr="00A23824">
        <w:rPr>
          <w:rFonts w:ascii="Arial" w:hAnsi="Arial" w:cs="Arial"/>
        </w:rPr>
        <w:t>.</w:t>
      </w:r>
    </w:p>
    <w:p w:rsidR="0051777E" w:rsidRPr="00A23824" w:rsidRDefault="003D0283" w:rsidP="00A23824">
      <w:pPr>
        <w:jc w:val="both"/>
        <w:rPr>
          <w:rFonts w:ascii="Arial" w:hAnsi="Arial" w:cs="Arial"/>
        </w:rPr>
      </w:pPr>
      <w:r w:rsidRPr="00A23824">
        <w:rPr>
          <w:rFonts w:ascii="Arial" w:hAnsi="Arial" w:cs="Arial"/>
        </w:rPr>
        <w:t>Enfin, l’</w:t>
      </w:r>
      <w:proofErr w:type="spellStart"/>
      <w:r w:rsidRPr="00A23824">
        <w:rPr>
          <w:rFonts w:ascii="Arial" w:hAnsi="Arial" w:cs="Arial"/>
        </w:rPr>
        <w:t>expert.e</w:t>
      </w:r>
      <w:proofErr w:type="spellEnd"/>
      <w:r w:rsidRPr="00A23824">
        <w:rPr>
          <w:rFonts w:ascii="Arial" w:hAnsi="Arial" w:cs="Arial"/>
        </w:rPr>
        <w:t xml:space="preserve"> devra proposer un système </w:t>
      </w:r>
      <w:r w:rsidR="005322D8" w:rsidRPr="00A23824">
        <w:rPr>
          <w:rFonts w:ascii="Arial" w:hAnsi="Arial" w:cs="Arial"/>
        </w:rPr>
        <w:t xml:space="preserve">de </w:t>
      </w:r>
      <w:proofErr w:type="spellStart"/>
      <w:r w:rsidR="00FC2616" w:rsidRPr="00A23824">
        <w:rPr>
          <w:rFonts w:ascii="Arial" w:hAnsi="Arial" w:cs="Arial"/>
        </w:rPr>
        <w:t>reporting</w:t>
      </w:r>
      <w:proofErr w:type="spellEnd"/>
      <w:r w:rsidR="00FC2616" w:rsidRPr="00A23824">
        <w:rPr>
          <w:rFonts w:ascii="Arial" w:hAnsi="Arial" w:cs="Arial"/>
        </w:rPr>
        <w:t xml:space="preserve"> permettant la</w:t>
      </w:r>
      <w:r w:rsidRPr="00A23824">
        <w:rPr>
          <w:rFonts w:ascii="Arial" w:hAnsi="Arial" w:cs="Arial"/>
        </w:rPr>
        <w:t xml:space="preserve"> redevabilité envers le bailleur. Il s’agira ainsi de travailler sur des indicateurs qualité (d’impact) pour identifier l’atteinte des résultats permettant de répondre de façon durable aux objectifs du projet.  </w:t>
      </w:r>
    </w:p>
    <w:p w:rsidR="004718B3" w:rsidRPr="00391922" w:rsidRDefault="007508EC" w:rsidP="00A23824">
      <w:pPr>
        <w:jc w:val="both"/>
        <w:rPr>
          <w:rFonts w:ascii="Arial" w:hAnsi="Arial" w:cs="Arial"/>
          <w:b/>
          <w:i/>
        </w:rPr>
      </w:pPr>
      <w:r w:rsidRPr="00391922">
        <w:rPr>
          <w:rFonts w:ascii="Arial" w:hAnsi="Arial" w:cs="Arial"/>
          <w:b/>
          <w:i/>
        </w:rPr>
        <w:t>Reality check du cadre logique et consolidation de la TDC</w:t>
      </w:r>
    </w:p>
    <w:p w:rsidR="0051777E" w:rsidRPr="00A23824" w:rsidRDefault="0051777E" w:rsidP="00A23824">
      <w:pPr>
        <w:jc w:val="both"/>
        <w:rPr>
          <w:rFonts w:ascii="Arial" w:hAnsi="Arial" w:cs="Arial"/>
        </w:rPr>
      </w:pPr>
      <w:r w:rsidRPr="00A23824">
        <w:rPr>
          <w:rFonts w:ascii="Arial" w:hAnsi="Arial" w:cs="Arial"/>
        </w:rPr>
        <w:t>L’élaboration du plan de SERA nécessitera d’affiner la théorie du changement et de mettre à jour si besoin le cadre logique ainsi que les indicateurs.</w:t>
      </w:r>
    </w:p>
    <w:p w:rsidR="004718B3" w:rsidRPr="00A23824" w:rsidRDefault="004718B3" w:rsidP="00A23824">
      <w:pPr>
        <w:jc w:val="both"/>
        <w:rPr>
          <w:rFonts w:ascii="Arial" w:hAnsi="Arial" w:cs="Arial"/>
        </w:rPr>
      </w:pPr>
      <w:r w:rsidRPr="00A23824">
        <w:rPr>
          <w:rFonts w:ascii="Arial" w:hAnsi="Arial" w:cs="Arial"/>
        </w:rPr>
        <w:t xml:space="preserve">L’offre technique du projet </w:t>
      </w:r>
      <w:r w:rsidR="00702D45" w:rsidRPr="00A23824">
        <w:rPr>
          <w:rFonts w:ascii="Arial" w:hAnsi="Arial" w:cs="Arial"/>
        </w:rPr>
        <w:t xml:space="preserve">présente </w:t>
      </w:r>
      <w:r w:rsidR="0051777E" w:rsidRPr="00A23824">
        <w:rPr>
          <w:rFonts w:ascii="Arial" w:hAnsi="Arial" w:cs="Arial"/>
        </w:rPr>
        <w:t xml:space="preserve">en effet </w:t>
      </w:r>
      <w:r w:rsidR="00702D45" w:rsidRPr="00A23824">
        <w:rPr>
          <w:rFonts w:ascii="Arial" w:hAnsi="Arial" w:cs="Arial"/>
        </w:rPr>
        <w:t xml:space="preserve">une base d’outils de SERA </w:t>
      </w:r>
      <w:r w:rsidRPr="00A23824">
        <w:rPr>
          <w:rFonts w:ascii="Arial" w:hAnsi="Arial" w:cs="Arial"/>
        </w:rPr>
        <w:t>déjà élaborés</w:t>
      </w:r>
      <w:r w:rsidR="0051777E" w:rsidRPr="00A23824">
        <w:rPr>
          <w:rFonts w:ascii="Arial" w:hAnsi="Arial" w:cs="Arial"/>
        </w:rPr>
        <w:t xml:space="preserve"> ou initiés qu’il conviendra de vérifier et valider</w:t>
      </w:r>
      <w:r w:rsidR="00162E60" w:rsidRPr="00A23824">
        <w:rPr>
          <w:rFonts w:ascii="Arial" w:hAnsi="Arial" w:cs="Arial"/>
        </w:rPr>
        <w:t> ;</w:t>
      </w:r>
      <w:r w:rsidRPr="00A23824">
        <w:rPr>
          <w:rFonts w:ascii="Arial" w:hAnsi="Arial" w:cs="Arial"/>
        </w:rPr>
        <w:t xml:space="preserve"> notamment le cadre logique</w:t>
      </w:r>
      <w:r w:rsidR="00C15F57" w:rsidRPr="00A23824">
        <w:rPr>
          <w:rFonts w:ascii="Arial" w:hAnsi="Arial" w:cs="Arial"/>
        </w:rPr>
        <w:t xml:space="preserve"> </w:t>
      </w:r>
      <w:r w:rsidR="0053462C" w:rsidRPr="00A23824">
        <w:rPr>
          <w:rFonts w:ascii="Arial" w:hAnsi="Arial" w:cs="Arial"/>
        </w:rPr>
        <w:t>et</w:t>
      </w:r>
      <w:r w:rsidR="00C15F57" w:rsidRPr="00A23824">
        <w:rPr>
          <w:rFonts w:ascii="Arial" w:hAnsi="Arial" w:cs="Arial"/>
        </w:rPr>
        <w:t xml:space="preserve"> indicateurs associés</w:t>
      </w:r>
      <w:r w:rsidR="00702D45" w:rsidRPr="00A23824">
        <w:rPr>
          <w:rFonts w:ascii="Arial" w:hAnsi="Arial" w:cs="Arial"/>
        </w:rPr>
        <w:t xml:space="preserve"> aux activités</w:t>
      </w:r>
      <w:r w:rsidRPr="00A23824">
        <w:rPr>
          <w:rFonts w:ascii="Arial" w:hAnsi="Arial" w:cs="Arial"/>
        </w:rPr>
        <w:t>, t un</w:t>
      </w:r>
      <w:r w:rsidR="008329E1" w:rsidRPr="00A23824">
        <w:rPr>
          <w:rFonts w:ascii="Arial" w:hAnsi="Arial" w:cs="Arial"/>
        </w:rPr>
        <w:t>e ébauche de</w:t>
      </w:r>
      <w:r w:rsidRPr="00A23824">
        <w:rPr>
          <w:rFonts w:ascii="Arial" w:hAnsi="Arial" w:cs="Arial"/>
        </w:rPr>
        <w:t xml:space="preserve"> </w:t>
      </w:r>
      <w:proofErr w:type="spellStart"/>
      <w:r w:rsidR="00050530" w:rsidRPr="00A23824">
        <w:rPr>
          <w:rFonts w:ascii="Arial" w:hAnsi="Arial" w:cs="Arial"/>
        </w:rPr>
        <w:t>baseline</w:t>
      </w:r>
      <w:proofErr w:type="spellEnd"/>
      <w:r w:rsidR="00050530" w:rsidRPr="00A23824">
        <w:rPr>
          <w:rFonts w:ascii="Arial" w:hAnsi="Arial" w:cs="Arial"/>
        </w:rPr>
        <w:t xml:space="preserve">. </w:t>
      </w:r>
    </w:p>
    <w:p w:rsidR="00912E2E" w:rsidRPr="00A23824" w:rsidRDefault="00E16EC4" w:rsidP="00A23824">
      <w:pPr>
        <w:jc w:val="both"/>
        <w:rPr>
          <w:rFonts w:ascii="Arial" w:hAnsi="Arial" w:cs="Arial"/>
        </w:rPr>
      </w:pPr>
      <w:r w:rsidRPr="00A23824">
        <w:rPr>
          <w:rFonts w:ascii="Arial" w:hAnsi="Arial" w:cs="Arial"/>
        </w:rPr>
        <w:t>L’</w:t>
      </w:r>
      <w:proofErr w:type="spellStart"/>
      <w:r w:rsidRPr="00A23824">
        <w:rPr>
          <w:rFonts w:ascii="Arial" w:hAnsi="Arial" w:cs="Arial"/>
        </w:rPr>
        <w:t>expert.e</w:t>
      </w:r>
      <w:proofErr w:type="spellEnd"/>
      <w:r w:rsidRPr="00A23824">
        <w:rPr>
          <w:rFonts w:ascii="Arial" w:hAnsi="Arial" w:cs="Arial"/>
        </w:rPr>
        <w:t xml:space="preserve"> devra </w:t>
      </w:r>
      <w:r w:rsidR="00A6016A">
        <w:rPr>
          <w:rFonts w:ascii="Arial" w:hAnsi="Arial" w:cs="Arial"/>
        </w:rPr>
        <w:t>produire une version</w:t>
      </w:r>
      <w:r w:rsidRPr="00A23824">
        <w:rPr>
          <w:rFonts w:ascii="Arial" w:hAnsi="Arial" w:cs="Arial"/>
        </w:rPr>
        <w:t xml:space="preserve"> détaillée et formalisée de la </w:t>
      </w:r>
      <w:proofErr w:type="spellStart"/>
      <w:r w:rsidRPr="00A23824">
        <w:rPr>
          <w:rFonts w:ascii="Arial" w:hAnsi="Arial" w:cs="Arial"/>
        </w:rPr>
        <w:t>TdC</w:t>
      </w:r>
      <w:proofErr w:type="spellEnd"/>
      <w:r w:rsidR="00014CCA" w:rsidRPr="00A23824">
        <w:rPr>
          <w:rFonts w:ascii="Arial" w:hAnsi="Arial" w:cs="Arial"/>
        </w:rPr>
        <w:t xml:space="preserve"> qui dev</w:t>
      </w:r>
      <w:r w:rsidRPr="00A23824">
        <w:rPr>
          <w:rFonts w:ascii="Arial" w:hAnsi="Arial" w:cs="Arial"/>
        </w:rPr>
        <w:t xml:space="preserve">ra expliciter les objectifs visés, les changements souhaités et identifier les hypothèses sous-jacentes de causalité entre les différents niveaux devant permettre l’atteinte des résultats souhaités et les risques. </w:t>
      </w:r>
    </w:p>
    <w:p w:rsidR="00912E2E" w:rsidRPr="00A23824" w:rsidRDefault="00912E2E" w:rsidP="00A23824">
      <w:pPr>
        <w:jc w:val="both"/>
        <w:rPr>
          <w:rFonts w:ascii="Arial" w:hAnsi="Arial" w:cs="Arial"/>
        </w:rPr>
      </w:pPr>
      <w:r w:rsidRPr="00A23824">
        <w:rPr>
          <w:rFonts w:ascii="Arial" w:hAnsi="Arial" w:cs="Arial"/>
        </w:rPr>
        <w:t xml:space="preserve">Si besoin et en cohérence avec la </w:t>
      </w:r>
      <w:proofErr w:type="spellStart"/>
      <w:r w:rsidRPr="00A23824">
        <w:rPr>
          <w:rFonts w:ascii="Arial" w:hAnsi="Arial" w:cs="Arial"/>
        </w:rPr>
        <w:t>TdC</w:t>
      </w:r>
      <w:proofErr w:type="spellEnd"/>
      <w:r w:rsidRPr="00A23824">
        <w:rPr>
          <w:rFonts w:ascii="Arial" w:hAnsi="Arial" w:cs="Arial"/>
        </w:rPr>
        <w:t xml:space="preserve"> consolidée, l’</w:t>
      </w:r>
      <w:proofErr w:type="spellStart"/>
      <w:r w:rsidRPr="00A23824">
        <w:rPr>
          <w:rFonts w:ascii="Arial" w:hAnsi="Arial" w:cs="Arial"/>
        </w:rPr>
        <w:t>expert.e</w:t>
      </w:r>
      <w:proofErr w:type="spellEnd"/>
      <w:r w:rsidRPr="00A23824">
        <w:rPr>
          <w:rFonts w:ascii="Arial" w:hAnsi="Arial" w:cs="Arial"/>
        </w:rPr>
        <w:t xml:space="preserve"> proposera une mise à jour du cadre logique afin de garantir des cibles/ indicateurs de suivi fiables. L’expert proposera le recours à des données qualitatives et/ou secondaires lorsque cela est opportun et possible.</w:t>
      </w:r>
    </w:p>
    <w:p w:rsidR="00AA666E" w:rsidRPr="00A23824" w:rsidRDefault="00C94547" w:rsidP="00A23824">
      <w:pPr>
        <w:jc w:val="both"/>
        <w:rPr>
          <w:rFonts w:ascii="Arial" w:hAnsi="Arial" w:cs="Arial"/>
        </w:rPr>
      </w:pPr>
      <w:r w:rsidRPr="00A23824">
        <w:rPr>
          <w:rFonts w:ascii="Arial" w:hAnsi="Arial" w:cs="Arial"/>
        </w:rPr>
        <w:t>L</w:t>
      </w:r>
      <w:r w:rsidR="00406649" w:rsidRPr="00A23824">
        <w:rPr>
          <w:rFonts w:ascii="Arial" w:hAnsi="Arial" w:cs="Arial"/>
        </w:rPr>
        <w:t>’ensemble de ces travaux, y compris l</w:t>
      </w:r>
      <w:r w:rsidRPr="00A23824">
        <w:rPr>
          <w:rFonts w:ascii="Arial" w:hAnsi="Arial" w:cs="Arial"/>
        </w:rPr>
        <w:t xml:space="preserve">a représentation visuelle de la </w:t>
      </w:r>
      <w:proofErr w:type="spellStart"/>
      <w:r w:rsidRPr="00A23824">
        <w:rPr>
          <w:rFonts w:ascii="Arial" w:hAnsi="Arial" w:cs="Arial"/>
        </w:rPr>
        <w:t>TdC</w:t>
      </w:r>
      <w:proofErr w:type="spellEnd"/>
      <w:r w:rsidR="00912E2E" w:rsidRPr="00A23824">
        <w:rPr>
          <w:rFonts w:ascii="Arial" w:hAnsi="Arial" w:cs="Arial"/>
        </w:rPr>
        <w:t>,</w:t>
      </w:r>
      <w:r w:rsidRPr="00A23824">
        <w:rPr>
          <w:rFonts w:ascii="Arial" w:hAnsi="Arial" w:cs="Arial"/>
        </w:rPr>
        <w:t xml:space="preserve"> ser</w:t>
      </w:r>
      <w:r w:rsidR="00406649" w:rsidRPr="00A23824">
        <w:rPr>
          <w:rFonts w:ascii="Arial" w:hAnsi="Arial" w:cs="Arial"/>
        </w:rPr>
        <w:t>ont définis</w:t>
      </w:r>
      <w:r w:rsidRPr="00A23824">
        <w:rPr>
          <w:rFonts w:ascii="Arial" w:hAnsi="Arial" w:cs="Arial"/>
        </w:rPr>
        <w:t xml:space="preserve"> en collaboration avec </w:t>
      </w:r>
      <w:r w:rsidR="00A6016A">
        <w:rPr>
          <w:rFonts w:ascii="Arial" w:hAnsi="Arial" w:cs="Arial"/>
        </w:rPr>
        <w:t>l’équipe projet</w:t>
      </w:r>
      <w:r w:rsidRPr="00A23824">
        <w:rPr>
          <w:rFonts w:ascii="Arial" w:hAnsi="Arial" w:cs="Arial"/>
        </w:rPr>
        <w:t>.</w:t>
      </w:r>
      <w:r w:rsidR="00014CCA" w:rsidRPr="00A23824">
        <w:rPr>
          <w:rFonts w:ascii="Arial" w:hAnsi="Arial" w:cs="Arial"/>
        </w:rPr>
        <w:t xml:space="preserve"> L</w:t>
      </w:r>
      <w:r w:rsidR="007B61D6" w:rsidRPr="00A23824">
        <w:rPr>
          <w:rFonts w:ascii="Arial" w:hAnsi="Arial" w:cs="Arial"/>
        </w:rPr>
        <w:t>’</w:t>
      </w:r>
      <w:proofErr w:type="spellStart"/>
      <w:r w:rsidR="007B61D6" w:rsidRPr="00A23824">
        <w:rPr>
          <w:rFonts w:ascii="Arial" w:hAnsi="Arial" w:cs="Arial"/>
        </w:rPr>
        <w:t>expert.e</w:t>
      </w:r>
      <w:proofErr w:type="spellEnd"/>
      <w:r w:rsidR="007B61D6" w:rsidRPr="00A23824">
        <w:rPr>
          <w:rFonts w:ascii="Arial" w:hAnsi="Arial" w:cs="Arial"/>
        </w:rPr>
        <w:t xml:space="preserve"> devra apporter des ajustements à la </w:t>
      </w:r>
      <w:proofErr w:type="spellStart"/>
      <w:r w:rsidR="007B61D6" w:rsidRPr="00A23824">
        <w:rPr>
          <w:rFonts w:ascii="Arial" w:hAnsi="Arial" w:cs="Arial"/>
        </w:rPr>
        <w:t>TdC</w:t>
      </w:r>
      <w:proofErr w:type="spellEnd"/>
      <w:r w:rsidR="007B61D6" w:rsidRPr="00A23824">
        <w:rPr>
          <w:rFonts w:ascii="Arial" w:hAnsi="Arial" w:cs="Arial"/>
        </w:rPr>
        <w:t xml:space="preserve"> au cours de la mise en œuvre du projet si nécessaire.</w:t>
      </w:r>
      <w:r w:rsidR="00AA666E" w:rsidRPr="00A23824">
        <w:rPr>
          <w:rFonts w:ascii="Arial" w:hAnsi="Arial" w:cs="Arial"/>
        </w:rPr>
        <w:t xml:space="preserve"> </w:t>
      </w:r>
    </w:p>
    <w:p w:rsidR="00491E88" w:rsidRPr="00A23824" w:rsidRDefault="00491E88" w:rsidP="00A23824">
      <w:pPr>
        <w:jc w:val="both"/>
        <w:rPr>
          <w:rFonts w:ascii="Arial" w:hAnsi="Arial" w:cs="Arial"/>
        </w:rPr>
      </w:pPr>
      <w:r w:rsidRPr="00A23824">
        <w:rPr>
          <w:rFonts w:ascii="Arial" w:hAnsi="Arial" w:cs="Arial"/>
        </w:rPr>
        <w:t>L’ensemble des outils révisés devront être intégrés dans le plan de suivi évaluation.</w:t>
      </w:r>
    </w:p>
    <w:p w:rsidR="007B61D6" w:rsidRPr="009E3921" w:rsidRDefault="007B61D6" w:rsidP="00A23824">
      <w:pPr>
        <w:jc w:val="both"/>
        <w:rPr>
          <w:rFonts w:ascii="Arial" w:hAnsi="Arial" w:cs="Arial"/>
          <w:b/>
          <w:i/>
        </w:rPr>
      </w:pPr>
      <w:r w:rsidRPr="009E3921">
        <w:rPr>
          <w:rFonts w:ascii="Arial" w:hAnsi="Arial" w:cs="Arial"/>
          <w:b/>
          <w:i/>
        </w:rPr>
        <w:t>Appui à la mise en place des outils de suivi évaluation</w:t>
      </w:r>
    </w:p>
    <w:p w:rsidR="009E4CC0" w:rsidRPr="00A23824" w:rsidRDefault="009E4CC0" w:rsidP="00A23824">
      <w:pPr>
        <w:jc w:val="both"/>
        <w:rPr>
          <w:rFonts w:ascii="Arial" w:hAnsi="Arial" w:cs="Arial"/>
        </w:rPr>
      </w:pPr>
      <w:r w:rsidRPr="00A23824">
        <w:rPr>
          <w:rFonts w:ascii="Arial" w:hAnsi="Arial" w:cs="Arial"/>
        </w:rPr>
        <w:t xml:space="preserve">En </w:t>
      </w:r>
      <w:r w:rsidR="005D5DF7" w:rsidRPr="00A23824">
        <w:rPr>
          <w:rFonts w:ascii="Arial" w:hAnsi="Arial" w:cs="Arial"/>
        </w:rPr>
        <w:t>adéquation avec les critères</w:t>
      </w:r>
      <w:r w:rsidR="00B03537" w:rsidRPr="00A23824">
        <w:rPr>
          <w:rFonts w:ascii="Arial" w:hAnsi="Arial" w:cs="Arial"/>
        </w:rPr>
        <w:t xml:space="preserve"> définis dans le plan de suivi évaluation</w:t>
      </w:r>
      <w:r w:rsidR="005D5DF7" w:rsidRPr="00A23824">
        <w:rPr>
          <w:rFonts w:ascii="Arial" w:hAnsi="Arial" w:cs="Arial"/>
        </w:rPr>
        <w:t xml:space="preserve"> (besoins en information, ressources, RGPD)</w:t>
      </w:r>
      <w:r w:rsidRPr="00A23824">
        <w:rPr>
          <w:rFonts w:ascii="Arial" w:hAnsi="Arial" w:cs="Arial"/>
        </w:rPr>
        <w:t>, l’</w:t>
      </w:r>
      <w:proofErr w:type="spellStart"/>
      <w:r w:rsidRPr="00A23824">
        <w:rPr>
          <w:rFonts w:ascii="Arial" w:hAnsi="Arial" w:cs="Arial"/>
        </w:rPr>
        <w:t>expert.e</w:t>
      </w:r>
      <w:proofErr w:type="spellEnd"/>
      <w:r w:rsidRPr="00A23824">
        <w:rPr>
          <w:rFonts w:ascii="Arial" w:hAnsi="Arial" w:cs="Arial"/>
        </w:rPr>
        <w:t xml:space="preserve"> et l’équipe projet identifieront un ou plusieurs outils </w:t>
      </w:r>
      <w:r w:rsidR="007A138E" w:rsidRPr="00A23824">
        <w:rPr>
          <w:rFonts w:ascii="Arial" w:hAnsi="Arial" w:cs="Arial"/>
        </w:rPr>
        <w:t>de c</w:t>
      </w:r>
      <w:r w:rsidRPr="00A23824">
        <w:rPr>
          <w:rFonts w:ascii="Arial" w:hAnsi="Arial" w:cs="Arial"/>
        </w:rPr>
        <w:t xml:space="preserve">ollecte, </w:t>
      </w:r>
      <w:r w:rsidR="007A138E" w:rsidRPr="00A23824">
        <w:rPr>
          <w:rFonts w:ascii="Arial" w:hAnsi="Arial" w:cs="Arial"/>
        </w:rPr>
        <w:t>d</w:t>
      </w:r>
      <w:r w:rsidRPr="00A23824">
        <w:rPr>
          <w:rFonts w:ascii="Arial" w:hAnsi="Arial" w:cs="Arial"/>
        </w:rPr>
        <w:t xml:space="preserve">’analyse </w:t>
      </w:r>
      <w:r w:rsidR="007A138E" w:rsidRPr="00A23824">
        <w:rPr>
          <w:rFonts w:ascii="Arial" w:hAnsi="Arial" w:cs="Arial"/>
        </w:rPr>
        <w:t>et de</w:t>
      </w:r>
      <w:r w:rsidRPr="00A23824">
        <w:rPr>
          <w:rFonts w:ascii="Arial" w:hAnsi="Arial" w:cs="Arial"/>
        </w:rPr>
        <w:t xml:space="preserve"> visualisati</w:t>
      </w:r>
      <w:r w:rsidR="007A138E" w:rsidRPr="00A23824">
        <w:rPr>
          <w:rFonts w:ascii="Arial" w:hAnsi="Arial" w:cs="Arial"/>
        </w:rPr>
        <w:t xml:space="preserve">on des données facilitant la </w:t>
      </w:r>
      <w:r w:rsidR="008D31E2" w:rsidRPr="00A23824">
        <w:rPr>
          <w:rFonts w:ascii="Arial" w:hAnsi="Arial" w:cs="Arial"/>
        </w:rPr>
        <w:t xml:space="preserve">consolidation, la centralisation </w:t>
      </w:r>
      <w:r w:rsidR="007A138E" w:rsidRPr="00A23824">
        <w:rPr>
          <w:rFonts w:ascii="Arial" w:hAnsi="Arial" w:cs="Arial"/>
        </w:rPr>
        <w:t>et la gestion des informations</w:t>
      </w:r>
      <w:r w:rsidR="005A0CE2" w:rsidRPr="00A23824">
        <w:rPr>
          <w:rFonts w:ascii="Arial" w:hAnsi="Arial" w:cs="Arial"/>
        </w:rPr>
        <w:t xml:space="preserve"> de SERA</w:t>
      </w:r>
      <w:r w:rsidR="007A138E" w:rsidRPr="00A23824">
        <w:rPr>
          <w:rFonts w:ascii="Arial" w:hAnsi="Arial" w:cs="Arial"/>
        </w:rPr>
        <w:t>.</w:t>
      </w:r>
    </w:p>
    <w:p w:rsidR="004914DD" w:rsidRPr="00A23824" w:rsidRDefault="004914DD" w:rsidP="00A23824">
      <w:pPr>
        <w:jc w:val="both"/>
        <w:rPr>
          <w:rFonts w:ascii="Arial" w:hAnsi="Arial" w:cs="Arial"/>
        </w:rPr>
      </w:pPr>
      <w:r w:rsidRPr="00A23824">
        <w:rPr>
          <w:rFonts w:ascii="Arial" w:hAnsi="Arial" w:cs="Arial"/>
        </w:rPr>
        <w:t xml:space="preserve">Les outils choisis devront également être adaptés aux besoins des indicateurs du cadre logique. Il pourra s’agir d’un/de logiciels ou d’applications dédiés ou bien d’un système de </w:t>
      </w:r>
      <w:proofErr w:type="spellStart"/>
      <w:r w:rsidRPr="00A23824">
        <w:rPr>
          <w:rFonts w:ascii="Arial" w:hAnsi="Arial" w:cs="Arial"/>
        </w:rPr>
        <w:t>database</w:t>
      </w:r>
      <w:proofErr w:type="spellEnd"/>
      <w:r w:rsidRPr="00A23824">
        <w:rPr>
          <w:rFonts w:ascii="Arial" w:hAnsi="Arial" w:cs="Arial"/>
        </w:rPr>
        <w:t xml:space="preserve"> créé à cet effet (Excel par ex). </w:t>
      </w:r>
    </w:p>
    <w:p w:rsidR="00DE731D" w:rsidRPr="00A23824" w:rsidRDefault="004914DD" w:rsidP="00A23824">
      <w:pPr>
        <w:jc w:val="both"/>
        <w:rPr>
          <w:rFonts w:ascii="Arial" w:hAnsi="Arial" w:cs="Arial"/>
        </w:rPr>
      </w:pPr>
      <w:r w:rsidRPr="00A23824">
        <w:rPr>
          <w:rFonts w:ascii="Arial" w:hAnsi="Arial" w:cs="Arial"/>
        </w:rPr>
        <w:t>Par ailleurs, les mécanismes et outil</w:t>
      </w:r>
      <w:r w:rsidR="00AF5E54" w:rsidRPr="00A23824">
        <w:rPr>
          <w:rFonts w:ascii="Arial" w:hAnsi="Arial" w:cs="Arial"/>
        </w:rPr>
        <w:t>s de collecte et de suivi</w:t>
      </w:r>
      <w:r w:rsidRPr="00A23824">
        <w:rPr>
          <w:rFonts w:ascii="Arial" w:hAnsi="Arial" w:cs="Arial"/>
        </w:rPr>
        <w:t xml:space="preserve"> </w:t>
      </w:r>
      <w:r w:rsidR="007B61D6" w:rsidRPr="00A23824">
        <w:rPr>
          <w:rFonts w:ascii="Arial" w:hAnsi="Arial" w:cs="Arial"/>
        </w:rPr>
        <w:t>seront actualisés au gré de l’évolu</w:t>
      </w:r>
      <w:r w:rsidRPr="00A23824">
        <w:rPr>
          <w:rFonts w:ascii="Arial" w:hAnsi="Arial" w:cs="Arial"/>
        </w:rPr>
        <w:t>tion du projet si nécessaire.</w:t>
      </w:r>
    </w:p>
    <w:p w:rsidR="00327A25" w:rsidRPr="009E3921" w:rsidRDefault="00760053" w:rsidP="00A23824">
      <w:pPr>
        <w:jc w:val="both"/>
        <w:rPr>
          <w:rFonts w:ascii="Arial" w:hAnsi="Arial" w:cs="Arial"/>
          <w:b/>
          <w:i/>
        </w:rPr>
      </w:pPr>
      <w:r w:rsidRPr="009E3921">
        <w:rPr>
          <w:rFonts w:ascii="Arial" w:hAnsi="Arial" w:cs="Arial"/>
          <w:b/>
          <w:i/>
        </w:rPr>
        <w:t>M</w:t>
      </w:r>
      <w:r w:rsidR="004914DD" w:rsidRPr="009E3921">
        <w:rPr>
          <w:rFonts w:ascii="Arial" w:hAnsi="Arial" w:cs="Arial"/>
          <w:b/>
          <w:i/>
        </w:rPr>
        <w:t>ise en place d’une étude de référence (</w:t>
      </w:r>
      <w:proofErr w:type="spellStart"/>
      <w:r w:rsidR="004914DD" w:rsidRPr="009E3921">
        <w:rPr>
          <w:rFonts w:ascii="Arial" w:hAnsi="Arial" w:cs="Arial"/>
          <w:b/>
          <w:i/>
        </w:rPr>
        <w:t>baseline</w:t>
      </w:r>
      <w:proofErr w:type="spellEnd"/>
      <w:r w:rsidR="004914DD" w:rsidRPr="009E3921">
        <w:rPr>
          <w:rFonts w:ascii="Arial" w:hAnsi="Arial" w:cs="Arial"/>
          <w:b/>
          <w:i/>
        </w:rPr>
        <w:t xml:space="preserve">) des indicateurs du projet </w:t>
      </w:r>
    </w:p>
    <w:p w:rsidR="00B86251" w:rsidRPr="00A23824" w:rsidRDefault="004914DD" w:rsidP="00A23824">
      <w:pPr>
        <w:jc w:val="both"/>
        <w:rPr>
          <w:rFonts w:ascii="Arial" w:hAnsi="Arial" w:cs="Arial"/>
        </w:rPr>
      </w:pPr>
      <w:r w:rsidRPr="00A23824">
        <w:rPr>
          <w:rFonts w:ascii="Arial" w:hAnsi="Arial" w:cs="Arial"/>
        </w:rPr>
        <w:t xml:space="preserve">Afin </w:t>
      </w:r>
      <w:r w:rsidR="00B86251" w:rsidRPr="00A23824">
        <w:rPr>
          <w:rFonts w:ascii="Arial" w:hAnsi="Arial" w:cs="Arial"/>
        </w:rPr>
        <w:t>de pouvoir</w:t>
      </w:r>
      <w:r w:rsidRPr="00A23824">
        <w:rPr>
          <w:rFonts w:ascii="Arial" w:hAnsi="Arial" w:cs="Arial"/>
        </w:rPr>
        <w:t xml:space="preserve"> mesurer </w:t>
      </w:r>
      <w:r w:rsidR="00C656BA" w:rsidRPr="00A23824">
        <w:rPr>
          <w:rFonts w:ascii="Arial" w:hAnsi="Arial" w:cs="Arial"/>
        </w:rPr>
        <w:t xml:space="preserve">l’avancée </w:t>
      </w:r>
      <w:r w:rsidR="00DC137E" w:rsidRPr="00A23824">
        <w:rPr>
          <w:rFonts w:ascii="Arial" w:hAnsi="Arial" w:cs="Arial"/>
        </w:rPr>
        <w:t>des</w:t>
      </w:r>
      <w:r w:rsidR="00C656BA" w:rsidRPr="00A23824">
        <w:rPr>
          <w:rFonts w:ascii="Arial" w:hAnsi="Arial" w:cs="Arial"/>
        </w:rPr>
        <w:t xml:space="preserve"> activités</w:t>
      </w:r>
      <w:r w:rsidR="00DC137E" w:rsidRPr="00A23824">
        <w:rPr>
          <w:rFonts w:ascii="Arial" w:hAnsi="Arial" w:cs="Arial"/>
        </w:rPr>
        <w:t>, l’atteinte des résultats</w:t>
      </w:r>
      <w:r w:rsidR="00C656BA" w:rsidRPr="00A23824">
        <w:rPr>
          <w:rFonts w:ascii="Arial" w:hAnsi="Arial" w:cs="Arial"/>
        </w:rPr>
        <w:t xml:space="preserve"> et les </w:t>
      </w:r>
      <w:r w:rsidRPr="00A23824">
        <w:rPr>
          <w:rFonts w:ascii="Arial" w:hAnsi="Arial" w:cs="Arial"/>
        </w:rPr>
        <w:t xml:space="preserve">progrès induits par le projet, il est nécessaire de </w:t>
      </w:r>
      <w:r w:rsidR="00323037" w:rsidRPr="00A23824">
        <w:rPr>
          <w:rFonts w:ascii="Arial" w:hAnsi="Arial" w:cs="Arial"/>
        </w:rPr>
        <w:t>mettre en place une étude de référence initiale (</w:t>
      </w:r>
      <w:proofErr w:type="spellStart"/>
      <w:r w:rsidR="00323037" w:rsidRPr="00A23824">
        <w:rPr>
          <w:rFonts w:ascii="Arial" w:hAnsi="Arial" w:cs="Arial"/>
        </w:rPr>
        <w:t>baseline</w:t>
      </w:r>
      <w:proofErr w:type="spellEnd"/>
      <w:r w:rsidR="00323037" w:rsidRPr="00A23824">
        <w:rPr>
          <w:rFonts w:ascii="Arial" w:hAnsi="Arial" w:cs="Arial"/>
        </w:rPr>
        <w:t>) et finale (</w:t>
      </w:r>
      <w:proofErr w:type="spellStart"/>
      <w:r w:rsidR="00323037" w:rsidRPr="00A23824">
        <w:rPr>
          <w:rFonts w:ascii="Arial" w:hAnsi="Arial" w:cs="Arial"/>
        </w:rPr>
        <w:t>endline</w:t>
      </w:r>
      <w:proofErr w:type="spellEnd"/>
      <w:r w:rsidR="00323037" w:rsidRPr="00A23824">
        <w:rPr>
          <w:rFonts w:ascii="Arial" w:hAnsi="Arial" w:cs="Arial"/>
        </w:rPr>
        <w:t xml:space="preserve">). </w:t>
      </w:r>
    </w:p>
    <w:p w:rsidR="004914DD" w:rsidRPr="00A23824" w:rsidRDefault="004914DD" w:rsidP="00A23824">
      <w:pPr>
        <w:jc w:val="both"/>
        <w:rPr>
          <w:rFonts w:ascii="Arial" w:hAnsi="Arial" w:cs="Arial"/>
        </w:rPr>
      </w:pPr>
      <w:r w:rsidRPr="00A23824">
        <w:rPr>
          <w:rFonts w:ascii="Arial" w:hAnsi="Arial" w:cs="Arial"/>
        </w:rPr>
        <w:t xml:space="preserve">La </w:t>
      </w:r>
      <w:proofErr w:type="spellStart"/>
      <w:r w:rsidR="00323037" w:rsidRPr="00A23824">
        <w:rPr>
          <w:rFonts w:ascii="Arial" w:hAnsi="Arial" w:cs="Arial"/>
        </w:rPr>
        <w:t>baseline</w:t>
      </w:r>
      <w:proofErr w:type="spellEnd"/>
      <w:r w:rsidRPr="00A23824">
        <w:rPr>
          <w:rFonts w:ascii="Arial" w:hAnsi="Arial" w:cs="Arial"/>
        </w:rPr>
        <w:t xml:space="preserve"> permettra de bénéficier d’un point d</w:t>
      </w:r>
      <w:r w:rsidR="00323037" w:rsidRPr="00A23824">
        <w:rPr>
          <w:rFonts w:ascii="Arial" w:hAnsi="Arial" w:cs="Arial"/>
        </w:rPr>
        <w:t xml:space="preserve">e repère au démarrage du projet ; identification du point « 0 » des indicateurs, </w:t>
      </w:r>
      <w:r w:rsidRPr="00A23824">
        <w:rPr>
          <w:rFonts w:ascii="Arial" w:hAnsi="Arial" w:cs="Arial"/>
        </w:rPr>
        <w:t xml:space="preserve">et servira de référence </w:t>
      </w:r>
      <w:r w:rsidR="000C7DD6" w:rsidRPr="00A23824">
        <w:rPr>
          <w:rFonts w:ascii="Arial" w:hAnsi="Arial" w:cs="Arial"/>
        </w:rPr>
        <w:t xml:space="preserve">de </w:t>
      </w:r>
      <w:r w:rsidRPr="00A23824">
        <w:rPr>
          <w:rFonts w:ascii="Arial" w:hAnsi="Arial" w:cs="Arial"/>
        </w:rPr>
        <w:t>compar</w:t>
      </w:r>
      <w:r w:rsidR="000C7DD6" w:rsidRPr="00A23824">
        <w:rPr>
          <w:rFonts w:ascii="Arial" w:hAnsi="Arial" w:cs="Arial"/>
        </w:rPr>
        <w:t>aison d</w:t>
      </w:r>
      <w:r w:rsidRPr="00A23824">
        <w:rPr>
          <w:rFonts w:ascii="Arial" w:hAnsi="Arial" w:cs="Arial"/>
        </w:rPr>
        <w:t xml:space="preserve">es données qui seront </w:t>
      </w:r>
      <w:r w:rsidR="00327A25" w:rsidRPr="00A23824">
        <w:rPr>
          <w:rFonts w:ascii="Arial" w:hAnsi="Arial" w:cs="Arial"/>
        </w:rPr>
        <w:lastRenderedPageBreak/>
        <w:t xml:space="preserve">collectées </w:t>
      </w:r>
      <w:r w:rsidR="00323037" w:rsidRPr="00A23824">
        <w:rPr>
          <w:rFonts w:ascii="Arial" w:hAnsi="Arial" w:cs="Arial"/>
        </w:rPr>
        <w:t>au cours de</w:t>
      </w:r>
      <w:r w:rsidRPr="00A23824">
        <w:rPr>
          <w:rFonts w:ascii="Arial" w:hAnsi="Arial" w:cs="Arial"/>
        </w:rPr>
        <w:t xml:space="preserve"> la phase de mise en œuvre. </w:t>
      </w:r>
      <w:r w:rsidR="00DC137E" w:rsidRPr="00A23824">
        <w:rPr>
          <w:rFonts w:ascii="Arial" w:hAnsi="Arial" w:cs="Arial"/>
        </w:rPr>
        <w:t>La</w:t>
      </w:r>
      <w:r w:rsidR="00E42A50" w:rsidRPr="00A23824">
        <w:rPr>
          <w:rFonts w:ascii="Arial" w:hAnsi="Arial" w:cs="Arial"/>
        </w:rPr>
        <w:t xml:space="preserve"> collecte régulière des données permettra </w:t>
      </w:r>
      <w:r w:rsidR="00DC137E" w:rsidRPr="00A23824">
        <w:rPr>
          <w:rFonts w:ascii="Arial" w:hAnsi="Arial" w:cs="Arial"/>
        </w:rPr>
        <w:t xml:space="preserve">quant à elle </w:t>
      </w:r>
      <w:r w:rsidR="00E42A50" w:rsidRPr="00A23824">
        <w:rPr>
          <w:rFonts w:ascii="Arial" w:hAnsi="Arial" w:cs="Arial"/>
        </w:rPr>
        <w:t>de visualiser les avancées/ retards des activités.</w:t>
      </w:r>
    </w:p>
    <w:p w:rsidR="00E42A50" w:rsidRPr="00A23824" w:rsidRDefault="00E42A50" w:rsidP="00A23824">
      <w:pPr>
        <w:jc w:val="both"/>
        <w:rPr>
          <w:rFonts w:ascii="Arial" w:hAnsi="Arial" w:cs="Arial"/>
        </w:rPr>
      </w:pPr>
      <w:r w:rsidRPr="00A23824">
        <w:rPr>
          <w:rFonts w:ascii="Arial" w:hAnsi="Arial" w:cs="Arial"/>
        </w:rPr>
        <w:t>L’</w:t>
      </w:r>
      <w:proofErr w:type="spellStart"/>
      <w:r w:rsidRPr="00A23824">
        <w:rPr>
          <w:rFonts w:ascii="Arial" w:hAnsi="Arial" w:cs="Arial"/>
        </w:rPr>
        <w:t>expert.e</w:t>
      </w:r>
      <w:proofErr w:type="spellEnd"/>
      <w:r w:rsidRPr="00A23824">
        <w:rPr>
          <w:rFonts w:ascii="Arial" w:hAnsi="Arial" w:cs="Arial"/>
        </w:rPr>
        <w:t xml:space="preserve"> contribuera à l’élaboration et à la réalisation </w:t>
      </w:r>
      <w:r w:rsidR="00BA4FCE" w:rsidRPr="00A23824">
        <w:rPr>
          <w:rFonts w:ascii="Arial" w:hAnsi="Arial" w:cs="Arial"/>
        </w:rPr>
        <w:t xml:space="preserve">des études </w:t>
      </w:r>
      <w:r w:rsidR="004A279F" w:rsidRPr="00A23824">
        <w:rPr>
          <w:rFonts w:ascii="Arial" w:hAnsi="Arial" w:cs="Arial"/>
        </w:rPr>
        <w:t>de référence</w:t>
      </w:r>
      <w:r w:rsidRPr="00A23824">
        <w:rPr>
          <w:rFonts w:ascii="Arial" w:hAnsi="Arial" w:cs="Arial"/>
        </w:rPr>
        <w:t xml:space="preserve"> initiale</w:t>
      </w:r>
      <w:r w:rsidR="00BA4FCE" w:rsidRPr="00A23824">
        <w:rPr>
          <w:rFonts w:ascii="Arial" w:hAnsi="Arial" w:cs="Arial"/>
        </w:rPr>
        <w:t xml:space="preserve"> et finale</w:t>
      </w:r>
      <w:r w:rsidRPr="00A23824">
        <w:rPr>
          <w:rFonts w:ascii="Arial" w:hAnsi="Arial" w:cs="Arial"/>
        </w:rPr>
        <w:t xml:space="preserve"> pour les indicateurs principaux (essentiels au pilotage et à la redevabilité). </w:t>
      </w:r>
    </w:p>
    <w:p w:rsidR="004914DD" w:rsidRPr="00A23824" w:rsidRDefault="00DC137E" w:rsidP="00A23824">
      <w:pPr>
        <w:jc w:val="both"/>
        <w:rPr>
          <w:rFonts w:ascii="Arial" w:hAnsi="Arial" w:cs="Arial"/>
        </w:rPr>
      </w:pPr>
      <w:r w:rsidRPr="00A23824">
        <w:rPr>
          <w:rFonts w:ascii="Arial" w:hAnsi="Arial" w:cs="Arial"/>
        </w:rPr>
        <w:t>Il/elle apportera son appui à la collecte des valeurs initiales pour chaque indicateur et à leur intégration dans l’ou</w:t>
      </w:r>
      <w:r w:rsidR="003B6EA2" w:rsidRPr="00A23824">
        <w:rPr>
          <w:rFonts w:ascii="Arial" w:hAnsi="Arial" w:cs="Arial"/>
        </w:rPr>
        <w:t>til de collecte, ainsi qu’à l’élaboration de</w:t>
      </w:r>
      <w:r w:rsidRPr="00A23824">
        <w:rPr>
          <w:rFonts w:ascii="Arial" w:hAnsi="Arial" w:cs="Arial"/>
        </w:rPr>
        <w:t xml:space="preserve"> la première base de données.</w:t>
      </w:r>
    </w:p>
    <w:p w:rsidR="000C7DD6" w:rsidRPr="00A23824" w:rsidRDefault="00B458F1" w:rsidP="00A23824">
      <w:pPr>
        <w:jc w:val="both"/>
        <w:rPr>
          <w:rFonts w:ascii="Arial" w:hAnsi="Arial" w:cs="Arial"/>
        </w:rPr>
      </w:pPr>
      <w:r w:rsidRPr="00A23824">
        <w:rPr>
          <w:rFonts w:ascii="Arial" w:hAnsi="Arial" w:cs="Arial"/>
        </w:rPr>
        <w:t>Par ai</w:t>
      </w:r>
      <w:r w:rsidR="004A279F" w:rsidRPr="00A23824">
        <w:rPr>
          <w:rFonts w:ascii="Arial" w:hAnsi="Arial" w:cs="Arial"/>
        </w:rPr>
        <w:t>l</w:t>
      </w:r>
      <w:r w:rsidRPr="00A23824">
        <w:rPr>
          <w:rFonts w:ascii="Arial" w:hAnsi="Arial" w:cs="Arial"/>
        </w:rPr>
        <w:t>leurs, l</w:t>
      </w:r>
      <w:r w:rsidR="004914DD" w:rsidRPr="00A23824">
        <w:rPr>
          <w:rFonts w:ascii="Arial" w:hAnsi="Arial" w:cs="Arial"/>
        </w:rPr>
        <w:t>’</w:t>
      </w:r>
      <w:proofErr w:type="spellStart"/>
      <w:r w:rsidR="004914DD" w:rsidRPr="00A23824">
        <w:rPr>
          <w:rFonts w:ascii="Arial" w:hAnsi="Arial" w:cs="Arial"/>
        </w:rPr>
        <w:t>expert.e</w:t>
      </w:r>
      <w:proofErr w:type="spellEnd"/>
      <w:r w:rsidR="004914DD" w:rsidRPr="00A23824">
        <w:rPr>
          <w:rFonts w:ascii="Arial" w:hAnsi="Arial" w:cs="Arial"/>
        </w:rPr>
        <w:t xml:space="preserve"> </w:t>
      </w:r>
      <w:proofErr w:type="spellStart"/>
      <w:r w:rsidR="004914DD" w:rsidRPr="00A23824">
        <w:rPr>
          <w:rFonts w:ascii="Arial" w:hAnsi="Arial" w:cs="Arial"/>
        </w:rPr>
        <w:t>mobilisé.e</w:t>
      </w:r>
      <w:proofErr w:type="spellEnd"/>
      <w:r w:rsidR="004914DD" w:rsidRPr="00A23824">
        <w:rPr>
          <w:rFonts w:ascii="Arial" w:hAnsi="Arial" w:cs="Arial"/>
        </w:rPr>
        <w:t xml:space="preserve"> et l’équipe projet réviseront ensemble les </w:t>
      </w:r>
      <w:r w:rsidR="00A30A5D" w:rsidRPr="00A23824">
        <w:rPr>
          <w:rFonts w:ascii="Arial" w:hAnsi="Arial" w:cs="Arial"/>
        </w:rPr>
        <w:t>outils de collecte d’informations</w:t>
      </w:r>
      <w:r w:rsidR="004914DD" w:rsidRPr="00A23824">
        <w:rPr>
          <w:rFonts w:ascii="Arial" w:hAnsi="Arial" w:cs="Arial"/>
        </w:rPr>
        <w:t xml:space="preserve"> </w:t>
      </w:r>
      <w:r w:rsidRPr="00A23824">
        <w:rPr>
          <w:rFonts w:ascii="Arial" w:hAnsi="Arial" w:cs="Arial"/>
        </w:rPr>
        <w:t xml:space="preserve">initiés, notamment les questionnaires, </w:t>
      </w:r>
      <w:r w:rsidR="004914DD" w:rsidRPr="00A23824">
        <w:rPr>
          <w:rFonts w:ascii="Arial" w:hAnsi="Arial" w:cs="Arial"/>
        </w:rPr>
        <w:t>et pourront en créer de nouveaux</w:t>
      </w:r>
      <w:r w:rsidRPr="00A23824">
        <w:rPr>
          <w:rFonts w:ascii="Arial" w:hAnsi="Arial" w:cs="Arial"/>
        </w:rPr>
        <w:t xml:space="preserve"> si besoin.</w:t>
      </w:r>
      <w:r w:rsidR="006A5E4F" w:rsidRPr="00A23824">
        <w:rPr>
          <w:rFonts w:ascii="Arial" w:hAnsi="Arial" w:cs="Arial"/>
        </w:rPr>
        <w:t xml:space="preserve"> </w:t>
      </w:r>
    </w:p>
    <w:p w:rsidR="00130AEF" w:rsidRPr="009E3921" w:rsidRDefault="00130AEF" w:rsidP="00A23824">
      <w:pPr>
        <w:jc w:val="both"/>
        <w:rPr>
          <w:rFonts w:ascii="Arial" w:hAnsi="Arial" w:cs="Arial"/>
          <w:b/>
          <w:i/>
        </w:rPr>
      </w:pPr>
      <w:r w:rsidRPr="009E3921">
        <w:rPr>
          <w:rFonts w:ascii="Arial" w:hAnsi="Arial" w:cs="Arial"/>
          <w:b/>
          <w:i/>
        </w:rPr>
        <w:t xml:space="preserve">Formation de l’équipe projet </w:t>
      </w:r>
    </w:p>
    <w:p w:rsidR="009E3921" w:rsidRDefault="00130AEF" w:rsidP="009E3921">
      <w:pPr>
        <w:jc w:val="both"/>
        <w:rPr>
          <w:rFonts w:ascii="Arial" w:hAnsi="Arial" w:cs="Arial"/>
        </w:rPr>
      </w:pPr>
      <w:r w:rsidRPr="00A23824">
        <w:rPr>
          <w:rFonts w:ascii="Arial" w:hAnsi="Arial" w:cs="Arial"/>
        </w:rPr>
        <w:t>L’équipe projet devra être accompagnée dans la mise en œuvre du dispositif et béné</w:t>
      </w:r>
      <w:r w:rsidR="009E3921">
        <w:rPr>
          <w:rFonts w:ascii="Arial" w:hAnsi="Arial" w:cs="Arial"/>
        </w:rPr>
        <w:t xml:space="preserve">ficier de formations pratiques : </w:t>
      </w:r>
    </w:p>
    <w:p w:rsidR="009E3921" w:rsidRDefault="00130AEF" w:rsidP="00EA7EA3">
      <w:pPr>
        <w:pStyle w:val="Paragraphedeliste"/>
        <w:numPr>
          <w:ilvl w:val="0"/>
          <w:numId w:val="29"/>
        </w:numPr>
        <w:jc w:val="both"/>
        <w:rPr>
          <w:rFonts w:ascii="Arial" w:hAnsi="Arial" w:cs="Arial"/>
        </w:rPr>
      </w:pPr>
      <w:r w:rsidRPr="00EA7EA3">
        <w:rPr>
          <w:rFonts w:ascii="Arial" w:hAnsi="Arial" w:cs="Arial"/>
        </w:rPr>
        <w:t>pour la collecte des données, stockage des données, utilisation des outils</w:t>
      </w:r>
      <w:r w:rsidR="00C31BA7" w:rsidRPr="00EA7EA3">
        <w:rPr>
          <w:rFonts w:ascii="Arial" w:hAnsi="Arial" w:cs="Arial"/>
        </w:rPr>
        <w:t xml:space="preserve"> de</w:t>
      </w:r>
      <w:r w:rsidRPr="00EA7EA3">
        <w:rPr>
          <w:rFonts w:ascii="Arial" w:hAnsi="Arial" w:cs="Arial"/>
        </w:rPr>
        <w:t xml:space="preserve"> visualisation des données, méthodes de présentation des résultats adaptées à chaque c</w:t>
      </w:r>
      <w:r w:rsidR="00ED6875" w:rsidRPr="00EA7EA3">
        <w:rPr>
          <w:rFonts w:ascii="Arial" w:hAnsi="Arial" w:cs="Arial"/>
        </w:rPr>
        <w:t>ible</w:t>
      </w:r>
      <w:r w:rsidR="006C6800" w:rsidRPr="00EA7EA3">
        <w:rPr>
          <w:rFonts w:ascii="Arial" w:hAnsi="Arial" w:cs="Arial"/>
        </w:rPr>
        <w:t>,</w:t>
      </w:r>
      <w:r w:rsidRPr="00EA7EA3">
        <w:rPr>
          <w:rFonts w:ascii="Arial" w:hAnsi="Arial" w:cs="Arial"/>
        </w:rPr>
        <w:t xml:space="preserve"> </w:t>
      </w:r>
    </w:p>
    <w:p w:rsidR="00FA27C7" w:rsidRPr="00EA7EA3" w:rsidRDefault="00FA27C7" w:rsidP="00EA7EA3">
      <w:pPr>
        <w:pStyle w:val="Paragraphedeliste"/>
        <w:numPr>
          <w:ilvl w:val="0"/>
          <w:numId w:val="29"/>
        </w:numPr>
        <w:jc w:val="both"/>
        <w:rPr>
          <w:rFonts w:ascii="Arial" w:hAnsi="Arial" w:cs="Arial"/>
        </w:rPr>
      </w:pPr>
      <w:r>
        <w:rPr>
          <w:rFonts w:ascii="Arial" w:hAnsi="Arial" w:cs="Arial"/>
        </w:rPr>
        <w:t>A l’utilisation d’outils de suivi des indicateurs ;</w:t>
      </w:r>
    </w:p>
    <w:p w:rsidR="003F720B" w:rsidRPr="00EA7EA3" w:rsidRDefault="00130AEF" w:rsidP="00EA7EA3">
      <w:pPr>
        <w:pStyle w:val="Paragraphedeliste"/>
        <w:numPr>
          <w:ilvl w:val="0"/>
          <w:numId w:val="29"/>
        </w:numPr>
        <w:spacing w:after="240"/>
        <w:jc w:val="both"/>
        <w:rPr>
          <w:rFonts w:ascii="Arial" w:hAnsi="Arial" w:cs="Arial"/>
        </w:rPr>
      </w:pPr>
      <w:r w:rsidRPr="00EA7EA3">
        <w:rPr>
          <w:rFonts w:ascii="Arial" w:hAnsi="Arial" w:cs="Arial"/>
        </w:rPr>
        <w:t xml:space="preserve">pour l’analyse des données, </w:t>
      </w:r>
      <w:proofErr w:type="spellStart"/>
      <w:r w:rsidRPr="00EA7EA3">
        <w:rPr>
          <w:rFonts w:ascii="Arial" w:hAnsi="Arial" w:cs="Arial"/>
        </w:rPr>
        <w:t>reporting</w:t>
      </w:r>
      <w:proofErr w:type="spellEnd"/>
      <w:r w:rsidRPr="00EA7EA3">
        <w:rPr>
          <w:rFonts w:ascii="Arial" w:hAnsi="Arial" w:cs="Arial"/>
        </w:rPr>
        <w:t>, contrôle qualité de</w:t>
      </w:r>
      <w:r w:rsidR="00ED6875" w:rsidRPr="00EA7EA3">
        <w:rPr>
          <w:rFonts w:ascii="Arial" w:hAnsi="Arial" w:cs="Arial"/>
        </w:rPr>
        <w:t xml:space="preserve">s données, </w:t>
      </w:r>
      <w:r w:rsidR="00196204" w:rsidRPr="00EA7EA3">
        <w:rPr>
          <w:rFonts w:ascii="Arial" w:hAnsi="Arial" w:cs="Arial"/>
        </w:rPr>
        <w:t>capitalisation.</w:t>
      </w:r>
    </w:p>
    <w:p w:rsidR="00403D0B" w:rsidRPr="009E3921" w:rsidRDefault="00CC08D9" w:rsidP="00A23824">
      <w:pPr>
        <w:jc w:val="both"/>
        <w:rPr>
          <w:rFonts w:ascii="Arial" w:hAnsi="Arial" w:cs="Arial"/>
          <w:b/>
          <w:i/>
        </w:rPr>
      </w:pPr>
      <w:r w:rsidRPr="009E3921">
        <w:rPr>
          <w:rFonts w:ascii="Arial" w:hAnsi="Arial" w:cs="Arial"/>
          <w:b/>
          <w:i/>
        </w:rPr>
        <w:t>Accompagner l’équipe projet en SERA tout au long du projet</w:t>
      </w:r>
    </w:p>
    <w:p w:rsidR="005F2549" w:rsidRPr="005F2549" w:rsidRDefault="005F2549" w:rsidP="005F2549">
      <w:pPr>
        <w:spacing w:after="0"/>
        <w:jc w:val="both"/>
        <w:rPr>
          <w:rFonts w:ascii="Arial" w:hAnsi="Arial" w:cs="Arial"/>
        </w:rPr>
      </w:pPr>
      <w:r w:rsidRPr="005F2549">
        <w:rPr>
          <w:rFonts w:ascii="Arial" w:hAnsi="Arial" w:cs="Arial"/>
        </w:rPr>
        <w:t>L’</w:t>
      </w:r>
      <w:proofErr w:type="spellStart"/>
      <w:r w:rsidRPr="005F2549">
        <w:rPr>
          <w:rFonts w:ascii="Arial" w:hAnsi="Arial" w:cs="Arial"/>
        </w:rPr>
        <w:t>expert.e</w:t>
      </w:r>
      <w:proofErr w:type="spellEnd"/>
      <w:r w:rsidRPr="005F2549">
        <w:rPr>
          <w:rFonts w:ascii="Arial" w:hAnsi="Arial" w:cs="Arial"/>
        </w:rPr>
        <w:t xml:space="preserve"> accompagnera l’équipe en matière de suivi-évaluation tout au long du projet. A ce titre, il/ elle sera </w:t>
      </w:r>
      <w:proofErr w:type="spellStart"/>
      <w:r w:rsidRPr="005F2549">
        <w:rPr>
          <w:rFonts w:ascii="Arial" w:hAnsi="Arial" w:cs="Arial"/>
        </w:rPr>
        <w:t>amené.e</w:t>
      </w:r>
      <w:proofErr w:type="spellEnd"/>
      <w:r w:rsidRPr="005F2549">
        <w:rPr>
          <w:rFonts w:ascii="Arial" w:hAnsi="Arial" w:cs="Arial"/>
        </w:rPr>
        <w:t xml:space="preserve"> à :</w:t>
      </w:r>
    </w:p>
    <w:p w:rsidR="005F2549" w:rsidRPr="005F2549" w:rsidRDefault="005F2549" w:rsidP="005F2549">
      <w:pPr>
        <w:spacing w:after="0"/>
        <w:jc w:val="both"/>
        <w:rPr>
          <w:rFonts w:ascii="Arial" w:hAnsi="Arial" w:cs="Arial"/>
        </w:rPr>
      </w:pPr>
    </w:p>
    <w:p w:rsidR="005F2549" w:rsidRPr="005F2549" w:rsidRDefault="005F2549" w:rsidP="005F2549">
      <w:pPr>
        <w:pStyle w:val="Paragraphedeliste"/>
        <w:numPr>
          <w:ilvl w:val="0"/>
          <w:numId w:val="16"/>
        </w:numPr>
        <w:spacing w:after="240"/>
        <w:jc w:val="both"/>
        <w:rPr>
          <w:rFonts w:ascii="Arial" w:hAnsi="Arial" w:cs="Arial"/>
          <w:u w:val="single"/>
        </w:rPr>
      </w:pPr>
      <w:r w:rsidRPr="005F2549">
        <w:rPr>
          <w:rFonts w:ascii="Arial" w:hAnsi="Arial" w:cs="Arial"/>
          <w:u w:val="single"/>
        </w:rPr>
        <w:t>Assurer un contrôle de qualité des données collectées par l’équipe</w:t>
      </w:r>
    </w:p>
    <w:p w:rsidR="005F2549" w:rsidRPr="005F2549" w:rsidRDefault="005F2549" w:rsidP="005F2549">
      <w:pPr>
        <w:spacing w:after="0"/>
        <w:jc w:val="both"/>
        <w:rPr>
          <w:rFonts w:ascii="Arial" w:hAnsi="Arial" w:cs="Arial"/>
        </w:rPr>
      </w:pPr>
      <w:r w:rsidRPr="005F2549">
        <w:rPr>
          <w:rFonts w:ascii="Arial" w:hAnsi="Arial" w:cs="Arial"/>
        </w:rPr>
        <w:t>L’</w:t>
      </w:r>
      <w:proofErr w:type="spellStart"/>
      <w:r w:rsidRPr="005F2549">
        <w:rPr>
          <w:rFonts w:ascii="Arial" w:hAnsi="Arial" w:cs="Arial"/>
        </w:rPr>
        <w:t>expert.e</w:t>
      </w:r>
      <w:proofErr w:type="spellEnd"/>
      <w:r w:rsidRPr="005F2549">
        <w:rPr>
          <w:rFonts w:ascii="Arial" w:hAnsi="Arial" w:cs="Arial"/>
        </w:rPr>
        <w:t xml:space="preserve"> devra accompagner et contrôler la qualité des données périodiquement et tout au long du projet, et sensibiliser l’équipe afin de garantir la qualité des données collectées et transmises.</w:t>
      </w:r>
    </w:p>
    <w:p w:rsidR="005F2549" w:rsidRPr="005F2549" w:rsidRDefault="005F2549" w:rsidP="005F2549">
      <w:pPr>
        <w:suppressAutoHyphens/>
        <w:spacing w:after="0" w:line="240" w:lineRule="auto"/>
        <w:jc w:val="both"/>
        <w:rPr>
          <w:rFonts w:ascii="Arial" w:eastAsia="Times New Roman" w:hAnsi="Arial" w:cs="Arial"/>
          <w:i/>
          <w:kern w:val="1"/>
          <w:u w:val="single"/>
          <w:lang w:eastAsia="fr-FR"/>
        </w:rPr>
      </w:pPr>
    </w:p>
    <w:p w:rsidR="005F2549" w:rsidRPr="005F2549" w:rsidRDefault="005F2549" w:rsidP="005F2549">
      <w:pPr>
        <w:pStyle w:val="Paragraphedeliste"/>
        <w:numPr>
          <w:ilvl w:val="0"/>
          <w:numId w:val="16"/>
        </w:numPr>
        <w:spacing w:after="240"/>
        <w:jc w:val="both"/>
        <w:rPr>
          <w:rFonts w:ascii="Arial" w:hAnsi="Arial" w:cs="Arial"/>
          <w:u w:val="single"/>
        </w:rPr>
      </w:pPr>
      <w:r w:rsidRPr="005F2549">
        <w:rPr>
          <w:rFonts w:ascii="Arial" w:hAnsi="Arial" w:cs="Arial"/>
          <w:u w:val="single"/>
        </w:rPr>
        <w:t>Préparation des revues semestrielles de projet ;</w:t>
      </w:r>
    </w:p>
    <w:p w:rsidR="005F2549" w:rsidRPr="005F2549" w:rsidRDefault="005F2549" w:rsidP="005F2549">
      <w:pPr>
        <w:spacing w:after="0" w:line="240" w:lineRule="auto"/>
        <w:contextualSpacing/>
        <w:jc w:val="both"/>
        <w:rPr>
          <w:rFonts w:ascii="Arial" w:hAnsi="Arial" w:cs="Arial"/>
        </w:rPr>
      </w:pPr>
      <w:r w:rsidRPr="005F2549">
        <w:rPr>
          <w:rFonts w:ascii="Arial" w:hAnsi="Arial" w:cs="Arial"/>
          <w:u w:val="single"/>
        </w:rPr>
        <w:t>Production de rapports semestriels</w:t>
      </w:r>
      <w:r w:rsidRPr="005F2549">
        <w:rPr>
          <w:rFonts w:ascii="Arial" w:hAnsi="Arial" w:cs="Arial"/>
        </w:rPr>
        <w:t xml:space="preserve"> </w:t>
      </w:r>
    </w:p>
    <w:p w:rsidR="005F2549" w:rsidRPr="005F2549" w:rsidRDefault="005F2549" w:rsidP="005F2549">
      <w:pPr>
        <w:spacing w:after="240" w:line="240" w:lineRule="auto"/>
        <w:contextualSpacing/>
        <w:jc w:val="both"/>
        <w:rPr>
          <w:rFonts w:ascii="Arial" w:hAnsi="Arial" w:cs="Arial"/>
        </w:rPr>
      </w:pPr>
      <w:r w:rsidRPr="005F2549">
        <w:rPr>
          <w:rFonts w:ascii="Arial" w:hAnsi="Arial" w:cs="Arial"/>
        </w:rPr>
        <w:t>L’</w:t>
      </w:r>
      <w:proofErr w:type="spellStart"/>
      <w:r w:rsidRPr="005F2549">
        <w:rPr>
          <w:rFonts w:ascii="Arial" w:hAnsi="Arial" w:cs="Arial"/>
        </w:rPr>
        <w:t>expert.e</w:t>
      </w:r>
      <w:proofErr w:type="spellEnd"/>
      <w:r w:rsidRPr="005F2549">
        <w:rPr>
          <w:rFonts w:ascii="Arial" w:hAnsi="Arial" w:cs="Arial"/>
        </w:rPr>
        <w:t xml:space="preserve"> en SERA produira des rapports semestriels présentant et analysant les informations collectées dans le cadre du plan de SERA.</w:t>
      </w:r>
    </w:p>
    <w:p w:rsidR="005F2549" w:rsidRPr="005F2549" w:rsidRDefault="005F2549" w:rsidP="005F2549">
      <w:pPr>
        <w:spacing w:after="0" w:line="240" w:lineRule="auto"/>
        <w:jc w:val="both"/>
        <w:rPr>
          <w:rFonts w:ascii="Arial" w:hAnsi="Arial" w:cs="Arial"/>
        </w:rPr>
      </w:pPr>
    </w:p>
    <w:p w:rsidR="005F2549" w:rsidRPr="005F2549" w:rsidRDefault="005F2549" w:rsidP="005F2549">
      <w:pPr>
        <w:spacing w:after="0" w:line="240" w:lineRule="auto"/>
        <w:jc w:val="both"/>
        <w:rPr>
          <w:rFonts w:ascii="Arial" w:hAnsi="Arial" w:cs="Arial"/>
          <w:u w:val="single"/>
        </w:rPr>
      </w:pPr>
      <w:r w:rsidRPr="005F2549">
        <w:rPr>
          <w:rFonts w:ascii="Arial" w:hAnsi="Arial" w:cs="Arial"/>
          <w:u w:val="single"/>
        </w:rPr>
        <w:t xml:space="preserve">Contribuer aux exercices de revue semestrielle </w:t>
      </w:r>
      <w:r>
        <w:rPr>
          <w:rFonts w:ascii="Arial" w:hAnsi="Arial" w:cs="Arial"/>
          <w:u w:val="single"/>
        </w:rPr>
        <w:t>du</w:t>
      </w:r>
      <w:r w:rsidRPr="005F2549">
        <w:rPr>
          <w:rFonts w:ascii="Arial" w:hAnsi="Arial" w:cs="Arial"/>
          <w:u w:val="single"/>
        </w:rPr>
        <w:t xml:space="preserve"> projet</w:t>
      </w:r>
    </w:p>
    <w:p w:rsidR="005F2549" w:rsidRPr="005F2549" w:rsidRDefault="005F2549" w:rsidP="005F2549">
      <w:pPr>
        <w:spacing w:after="0" w:line="240" w:lineRule="auto"/>
        <w:jc w:val="both"/>
        <w:rPr>
          <w:rFonts w:ascii="Arial" w:hAnsi="Arial" w:cs="Arial"/>
        </w:rPr>
      </w:pPr>
      <w:r w:rsidRPr="005F2549">
        <w:rPr>
          <w:rFonts w:ascii="Arial" w:hAnsi="Arial" w:cs="Arial"/>
        </w:rPr>
        <w:t>L’</w:t>
      </w:r>
      <w:proofErr w:type="spellStart"/>
      <w:r w:rsidRPr="005F2549">
        <w:rPr>
          <w:rFonts w:ascii="Arial" w:hAnsi="Arial" w:cs="Arial"/>
        </w:rPr>
        <w:t>expert.e</w:t>
      </w:r>
      <w:proofErr w:type="spellEnd"/>
      <w:r w:rsidRPr="005F2549">
        <w:rPr>
          <w:rFonts w:ascii="Arial" w:hAnsi="Arial" w:cs="Arial"/>
        </w:rPr>
        <w:t xml:space="preserve"> prendra part aux échanges de l’équipe lors des revues semestrielles du projet</w:t>
      </w:r>
      <w:r w:rsidR="00A77428">
        <w:rPr>
          <w:rFonts w:ascii="Arial" w:hAnsi="Arial" w:cs="Arial"/>
        </w:rPr>
        <w:t xml:space="preserve"> (janvier et septembre)</w:t>
      </w:r>
      <w:r w:rsidRPr="005F2549">
        <w:rPr>
          <w:rFonts w:ascii="Arial" w:hAnsi="Arial" w:cs="Arial"/>
        </w:rPr>
        <w:t xml:space="preserve">, afin d’apporter un regard extérieur et avisé et de conseiller l’équipe lors de ces périodes pouvant impacter la planification. </w:t>
      </w:r>
    </w:p>
    <w:p w:rsidR="005F2549" w:rsidRPr="005F2549" w:rsidRDefault="005F2549" w:rsidP="005F2549">
      <w:pPr>
        <w:pStyle w:val="Sansinterligne"/>
        <w:jc w:val="both"/>
      </w:pPr>
    </w:p>
    <w:p w:rsidR="005F2549" w:rsidRPr="005F2549" w:rsidRDefault="005F2549" w:rsidP="005F2549">
      <w:pPr>
        <w:pStyle w:val="Sansinterligne"/>
        <w:numPr>
          <w:ilvl w:val="0"/>
          <w:numId w:val="16"/>
        </w:numPr>
        <w:spacing w:after="240"/>
        <w:jc w:val="both"/>
        <w:rPr>
          <w:rFonts w:ascii="Arial" w:hAnsi="Arial" w:cs="Arial"/>
          <w:u w:val="single"/>
        </w:rPr>
      </w:pPr>
      <w:r w:rsidRPr="005F2549">
        <w:rPr>
          <w:rFonts w:ascii="Arial" w:hAnsi="Arial" w:cs="Arial"/>
          <w:u w:val="single"/>
        </w:rPr>
        <w:t>Mettre en place un système de redevabilité envers le bailleur ;</w:t>
      </w:r>
    </w:p>
    <w:p w:rsidR="005F2549" w:rsidRPr="005F2549" w:rsidRDefault="005F2549" w:rsidP="005F2549">
      <w:pPr>
        <w:pStyle w:val="Sansinterligne"/>
        <w:jc w:val="both"/>
        <w:rPr>
          <w:rFonts w:ascii="Arial" w:hAnsi="Arial" w:cs="Arial"/>
        </w:rPr>
      </w:pPr>
      <w:r w:rsidRPr="005F2549">
        <w:rPr>
          <w:rFonts w:ascii="Arial" w:hAnsi="Arial" w:cs="Arial"/>
        </w:rPr>
        <w:t>Dans cet objectif, il s’agira de</w:t>
      </w:r>
      <w:r w:rsidR="008713BE">
        <w:rPr>
          <w:rFonts w:ascii="Arial" w:hAnsi="Arial" w:cs="Arial"/>
        </w:rPr>
        <w:t xml:space="preserve"> s’assurer du bon remplissage des données dans le système de suivi et de</w:t>
      </w:r>
      <w:r w:rsidRPr="005F2549">
        <w:rPr>
          <w:rFonts w:ascii="Arial" w:hAnsi="Arial" w:cs="Arial"/>
        </w:rPr>
        <w:t xml:space="preserve"> travailler sur des indicateurs qualité (d’impact) pour identifier l’atteinte des résultats du projet permettent de répondre de façon durable aux objectifs du projet</w:t>
      </w:r>
      <w:r w:rsidR="00FF4C01">
        <w:rPr>
          <w:rFonts w:ascii="Arial" w:hAnsi="Arial" w:cs="Arial"/>
        </w:rPr>
        <w:t>.</w:t>
      </w:r>
    </w:p>
    <w:p w:rsidR="005F2549" w:rsidRPr="005F2549" w:rsidRDefault="005F2549" w:rsidP="005F2549">
      <w:pPr>
        <w:jc w:val="both"/>
        <w:rPr>
          <w:rFonts w:ascii="Arial" w:hAnsi="Arial" w:cs="Arial"/>
          <w:b/>
          <w:i/>
        </w:rPr>
      </w:pPr>
    </w:p>
    <w:p w:rsidR="005F2549" w:rsidRPr="005F2549" w:rsidRDefault="005F2549" w:rsidP="005F2549">
      <w:pPr>
        <w:jc w:val="both"/>
        <w:rPr>
          <w:rFonts w:ascii="Arial" w:hAnsi="Arial" w:cs="Arial"/>
          <w:b/>
          <w:i/>
        </w:rPr>
      </w:pPr>
      <w:r w:rsidRPr="005F2549">
        <w:rPr>
          <w:rFonts w:ascii="Arial" w:hAnsi="Arial" w:cs="Arial"/>
          <w:b/>
          <w:i/>
        </w:rPr>
        <w:t xml:space="preserve">Proposer des modes de capitalisation de l’expérience acquise </w:t>
      </w:r>
    </w:p>
    <w:p w:rsidR="005F2549" w:rsidRPr="00A23824" w:rsidRDefault="005F2549" w:rsidP="005F2549">
      <w:pPr>
        <w:jc w:val="both"/>
        <w:rPr>
          <w:rFonts w:ascii="Arial" w:hAnsi="Arial" w:cs="Arial"/>
        </w:rPr>
      </w:pPr>
      <w:r w:rsidRPr="00A23824">
        <w:rPr>
          <w:rFonts w:ascii="Arial" w:hAnsi="Arial" w:cs="Arial"/>
        </w:rPr>
        <w:lastRenderedPageBreak/>
        <w:t xml:space="preserve">L’objectif de la capitalisation est d’améliorer la qualité des actions via un apprentissage continu provenant de l’expérience acquise d’un projet sur le terrain. Elle concerne aussi bien les pratiques (actions) que le vécu des acteurs. </w:t>
      </w:r>
    </w:p>
    <w:p w:rsidR="005F2549" w:rsidRPr="00A23824" w:rsidRDefault="005F2549" w:rsidP="005F2549">
      <w:pPr>
        <w:jc w:val="both"/>
        <w:rPr>
          <w:rFonts w:ascii="Arial" w:hAnsi="Arial" w:cs="Arial"/>
        </w:rPr>
      </w:pPr>
      <w:r w:rsidRPr="00A23824">
        <w:rPr>
          <w:rFonts w:ascii="Arial" w:hAnsi="Arial" w:cs="Arial"/>
        </w:rPr>
        <w:t xml:space="preserve">Les revues internes et les évaluations constituent des outils permettant d’analyser et de dégager des connaissances sur lesquelles l’agence doit pouvoir capitaliser. </w:t>
      </w:r>
    </w:p>
    <w:p w:rsidR="005F2549" w:rsidRPr="00A23824" w:rsidRDefault="005F2549" w:rsidP="005F2549">
      <w:pPr>
        <w:jc w:val="both"/>
        <w:rPr>
          <w:rFonts w:ascii="Arial" w:hAnsi="Arial" w:cs="Arial"/>
        </w:rPr>
      </w:pPr>
      <w:r w:rsidRPr="00A23824">
        <w:rPr>
          <w:rFonts w:ascii="Arial" w:hAnsi="Arial" w:cs="Arial"/>
        </w:rPr>
        <w:t xml:space="preserve">Il est de plus indispensable de favoriser le partage transversal entre les membres de l’équipe terrain mais aussi inter départements et pôles outre le partage vertical des données. </w:t>
      </w:r>
    </w:p>
    <w:p w:rsidR="005F2549" w:rsidRPr="00A23824" w:rsidRDefault="005F2549" w:rsidP="005F2549">
      <w:pPr>
        <w:jc w:val="both"/>
        <w:rPr>
          <w:rFonts w:ascii="Arial" w:hAnsi="Arial" w:cs="Arial"/>
        </w:rPr>
      </w:pPr>
      <w:r w:rsidRPr="00A23824">
        <w:rPr>
          <w:rFonts w:ascii="Arial" w:hAnsi="Arial" w:cs="Arial"/>
        </w:rPr>
        <w:t xml:space="preserve">La mise en place d’ateliers de réflexion /retours d'expériences tout au long du projet en vue d’un apprentissage continu pour une amélioration de la qualité des actions est préconisée. </w:t>
      </w:r>
    </w:p>
    <w:p w:rsidR="005F2549" w:rsidRPr="00A23824" w:rsidRDefault="005F2549" w:rsidP="005F2549">
      <w:pPr>
        <w:jc w:val="both"/>
        <w:rPr>
          <w:rFonts w:ascii="Arial" w:hAnsi="Arial" w:cs="Arial"/>
        </w:rPr>
      </w:pPr>
      <w:r w:rsidRPr="00A23824">
        <w:rPr>
          <w:rFonts w:ascii="Arial" w:hAnsi="Arial" w:cs="Arial"/>
        </w:rPr>
        <w:t>L’objectif est de permettre de tirer les leçons des expériences (po</w:t>
      </w:r>
      <w:r>
        <w:rPr>
          <w:rFonts w:ascii="Arial" w:hAnsi="Arial" w:cs="Arial"/>
        </w:rPr>
        <w:t>sitives ou négatives) du projet</w:t>
      </w:r>
      <w:r w:rsidRPr="00A23824">
        <w:rPr>
          <w:rFonts w:ascii="Arial" w:hAnsi="Arial" w:cs="Arial"/>
        </w:rPr>
        <w:t>, de valoriser les bonnes pratiques et de proposer le cas échéant, des réorientations stratégiques.</w:t>
      </w:r>
    </w:p>
    <w:p w:rsidR="005F2549" w:rsidRPr="00A23824" w:rsidRDefault="005F2549" w:rsidP="005F2549">
      <w:pPr>
        <w:jc w:val="both"/>
        <w:rPr>
          <w:rFonts w:ascii="Arial" w:hAnsi="Arial" w:cs="Arial"/>
        </w:rPr>
      </w:pPr>
      <w:r w:rsidRPr="00A23824">
        <w:rPr>
          <w:rFonts w:ascii="Arial" w:hAnsi="Arial" w:cs="Arial"/>
        </w:rPr>
        <w:t>Ce dispositif vient ainsi compléter et enrichir le suivi du projet, les données quantitatives issues des tableaux de bord appelant à des interprétations qualitatives. En fin de projet, une documentation relative aux réalisations et aux leçons apprises du projet devra être fournie pour la programmation future, et mise à disposition de l’agence.</w:t>
      </w:r>
    </w:p>
    <w:p w:rsidR="005F2549" w:rsidRDefault="005F2549" w:rsidP="005F2549">
      <w:pPr>
        <w:jc w:val="both"/>
        <w:rPr>
          <w:rFonts w:ascii="Arial" w:hAnsi="Arial" w:cs="Arial"/>
        </w:rPr>
      </w:pPr>
      <w:r w:rsidRPr="00A23824">
        <w:rPr>
          <w:rFonts w:ascii="Arial" w:hAnsi="Arial" w:cs="Arial"/>
        </w:rPr>
        <w:t>L’</w:t>
      </w:r>
      <w:proofErr w:type="spellStart"/>
      <w:r w:rsidRPr="00A23824">
        <w:rPr>
          <w:rFonts w:ascii="Arial" w:hAnsi="Arial" w:cs="Arial"/>
        </w:rPr>
        <w:t>expert.e</w:t>
      </w:r>
      <w:proofErr w:type="spellEnd"/>
      <w:r w:rsidRPr="00A23824">
        <w:rPr>
          <w:rFonts w:ascii="Arial" w:hAnsi="Arial" w:cs="Arial"/>
        </w:rPr>
        <w:t xml:space="preserve"> devra proposer et inclure dans le plan de SERA les modalités qu’il propose pour la mise en œuvre d’actions de capitalisation. </w:t>
      </w:r>
    </w:p>
    <w:p w:rsidR="005F2549" w:rsidRDefault="005F2549" w:rsidP="005F2549">
      <w:pPr>
        <w:pStyle w:val="Paragraphedeliste"/>
        <w:numPr>
          <w:ilvl w:val="0"/>
          <w:numId w:val="23"/>
        </w:numPr>
        <w:spacing w:line="276" w:lineRule="auto"/>
        <w:jc w:val="both"/>
        <w:rPr>
          <w:rFonts w:ascii="Arial" w:hAnsi="Arial" w:cs="Arial"/>
          <w:b/>
        </w:rPr>
      </w:pPr>
      <w:r w:rsidRPr="005F2549">
        <w:rPr>
          <w:rFonts w:ascii="Arial" w:hAnsi="Arial" w:cs="Arial"/>
          <w:b/>
        </w:rPr>
        <w:t>Organisation des travaux</w:t>
      </w:r>
    </w:p>
    <w:p w:rsidR="005F2549" w:rsidRDefault="005F2549" w:rsidP="005F2549">
      <w:pPr>
        <w:pStyle w:val="Paragraphedeliste"/>
        <w:spacing w:line="276" w:lineRule="auto"/>
        <w:ind w:left="1080"/>
        <w:jc w:val="both"/>
        <w:rPr>
          <w:rFonts w:ascii="Arial" w:hAnsi="Arial" w:cs="Arial"/>
          <w:b/>
        </w:rPr>
      </w:pPr>
    </w:p>
    <w:p w:rsidR="005F2549" w:rsidRPr="00530081" w:rsidRDefault="005F2549" w:rsidP="00530081">
      <w:pPr>
        <w:jc w:val="both"/>
        <w:rPr>
          <w:rFonts w:ascii="Arial" w:hAnsi="Arial" w:cs="Arial"/>
          <w:b/>
          <w:i/>
        </w:rPr>
      </w:pPr>
      <w:bookmarkStart w:id="3" w:name="_Toc82695074"/>
      <w:r w:rsidRPr="00530081">
        <w:rPr>
          <w:rFonts w:ascii="Arial" w:hAnsi="Arial" w:cs="Arial"/>
          <w:b/>
          <w:i/>
        </w:rPr>
        <w:t>Modalités de coordination</w:t>
      </w:r>
      <w:bookmarkEnd w:id="3"/>
    </w:p>
    <w:p w:rsidR="005F2549" w:rsidRPr="009A1B56" w:rsidRDefault="009A1B56" w:rsidP="009A1B56">
      <w:pPr>
        <w:jc w:val="both"/>
        <w:rPr>
          <w:rFonts w:ascii="Arial" w:hAnsi="Arial" w:cs="Arial"/>
        </w:rPr>
      </w:pPr>
      <w:r w:rsidRPr="005F2549">
        <w:rPr>
          <w:rFonts w:ascii="Arial" w:hAnsi="Arial" w:cs="Arial"/>
        </w:rPr>
        <w:t>L’</w:t>
      </w:r>
      <w:proofErr w:type="spellStart"/>
      <w:r w:rsidRPr="005F2549">
        <w:rPr>
          <w:rFonts w:ascii="Arial" w:hAnsi="Arial" w:cs="Arial"/>
        </w:rPr>
        <w:t>expert.e</w:t>
      </w:r>
      <w:proofErr w:type="spellEnd"/>
      <w:r w:rsidRPr="005F2549">
        <w:rPr>
          <w:rFonts w:ascii="Arial" w:hAnsi="Arial" w:cs="Arial"/>
        </w:rPr>
        <w:t xml:space="preserve"> en SERA </w:t>
      </w:r>
      <w:r w:rsidR="005F2549" w:rsidRPr="009A1B56">
        <w:rPr>
          <w:rFonts w:ascii="Arial" w:hAnsi="Arial" w:cs="Arial"/>
        </w:rPr>
        <w:t xml:space="preserve">travaillera sous la supervision de </w:t>
      </w:r>
      <w:r w:rsidRPr="009A1B56">
        <w:rPr>
          <w:rFonts w:ascii="Arial" w:hAnsi="Arial" w:cs="Arial"/>
        </w:rPr>
        <w:t>la cheffe de projet HAKAMA</w:t>
      </w:r>
      <w:r w:rsidR="005F2549" w:rsidRPr="009A1B56">
        <w:rPr>
          <w:rFonts w:ascii="Arial" w:hAnsi="Arial" w:cs="Arial"/>
        </w:rPr>
        <w:t xml:space="preserve"> pour l’ensemble de la mission. Il sera également en contact régulier a</w:t>
      </w:r>
      <w:r w:rsidRPr="009A1B56">
        <w:rPr>
          <w:rFonts w:ascii="Arial" w:hAnsi="Arial" w:cs="Arial"/>
        </w:rPr>
        <w:t>vec l’équipe du projet, basée à Rabat, Maroc</w:t>
      </w:r>
      <w:r w:rsidR="005F2549" w:rsidRPr="009A1B56">
        <w:rPr>
          <w:rFonts w:ascii="Arial" w:hAnsi="Arial" w:cs="Arial"/>
        </w:rPr>
        <w:t xml:space="preserve"> et le siège d’Expertise France à Paris. </w:t>
      </w:r>
    </w:p>
    <w:p w:rsidR="005F2549" w:rsidRPr="00530081" w:rsidRDefault="005F2549" w:rsidP="00530081">
      <w:pPr>
        <w:jc w:val="both"/>
        <w:rPr>
          <w:rFonts w:ascii="Arial" w:hAnsi="Arial" w:cs="Arial"/>
          <w:b/>
          <w:i/>
        </w:rPr>
      </w:pPr>
      <w:bookmarkStart w:id="4" w:name="_Toc82695076"/>
      <w:r w:rsidRPr="00530081">
        <w:rPr>
          <w:rFonts w:ascii="Arial" w:hAnsi="Arial" w:cs="Arial"/>
          <w:b/>
          <w:i/>
        </w:rPr>
        <w:t>Lieu et durée de la mission</w:t>
      </w:r>
      <w:bookmarkEnd w:id="4"/>
    </w:p>
    <w:p w:rsidR="00530081" w:rsidRPr="00A23824" w:rsidRDefault="00530081" w:rsidP="00530081">
      <w:pPr>
        <w:jc w:val="both"/>
        <w:rPr>
          <w:rFonts w:ascii="Arial" w:hAnsi="Arial" w:cs="Arial"/>
        </w:rPr>
      </w:pPr>
      <w:r w:rsidRPr="00A23824">
        <w:rPr>
          <w:rFonts w:ascii="Arial" w:hAnsi="Arial" w:cs="Arial"/>
        </w:rPr>
        <w:t xml:space="preserve">Les missions seront réalisées à distance ou à </w:t>
      </w:r>
      <w:r>
        <w:rPr>
          <w:rFonts w:ascii="Arial" w:hAnsi="Arial" w:cs="Arial"/>
        </w:rPr>
        <w:t>Rabat, Maroc</w:t>
      </w:r>
      <w:r w:rsidRPr="00A23824">
        <w:rPr>
          <w:rFonts w:ascii="Arial" w:hAnsi="Arial" w:cs="Arial"/>
        </w:rPr>
        <w:t xml:space="preserve">, en fonction des possibilités de déplacement et des conditions sanitaires. La répartition entre les missions à distance et les missions sur place sera opérée en fonction des besoins, et en fonction de la rationalisation possible des déplacements avec d’autres missions terrain de l’expert sur d’autres projets notamment à </w:t>
      </w:r>
      <w:r>
        <w:rPr>
          <w:rFonts w:ascii="Arial" w:hAnsi="Arial" w:cs="Arial"/>
        </w:rPr>
        <w:t>Rabat</w:t>
      </w:r>
      <w:r w:rsidRPr="00A23824">
        <w:rPr>
          <w:rFonts w:ascii="Arial" w:hAnsi="Arial" w:cs="Arial"/>
        </w:rPr>
        <w:t>.</w:t>
      </w:r>
    </w:p>
    <w:p w:rsidR="00530081" w:rsidRPr="00530081" w:rsidRDefault="00530081" w:rsidP="00530081">
      <w:pPr>
        <w:jc w:val="both"/>
        <w:rPr>
          <w:rFonts w:ascii="Arial" w:hAnsi="Arial" w:cs="Arial"/>
          <w:b/>
          <w:i/>
        </w:rPr>
      </w:pPr>
      <w:r w:rsidRPr="00530081">
        <w:rPr>
          <w:rFonts w:ascii="Arial" w:hAnsi="Arial" w:cs="Arial"/>
          <w:b/>
          <w:i/>
        </w:rPr>
        <w:t>Modalités de travail</w:t>
      </w:r>
    </w:p>
    <w:p w:rsidR="005F2549" w:rsidRPr="00A23824" w:rsidRDefault="005F2549" w:rsidP="00530081">
      <w:pPr>
        <w:jc w:val="both"/>
        <w:rPr>
          <w:rFonts w:ascii="Arial" w:hAnsi="Arial" w:cs="Arial"/>
        </w:rPr>
      </w:pPr>
      <w:r w:rsidRPr="00A23824">
        <w:rPr>
          <w:rFonts w:ascii="Arial" w:hAnsi="Arial" w:cs="Arial"/>
        </w:rPr>
        <w:t>La mission de l’</w:t>
      </w:r>
      <w:proofErr w:type="spellStart"/>
      <w:r w:rsidRPr="00A23824">
        <w:rPr>
          <w:rFonts w:ascii="Arial" w:hAnsi="Arial" w:cs="Arial"/>
        </w:rPr>
        <w:t>expert.e</w:t>
      </w:r>
      <w:proofErr w:type="spellEnd"/>
      <w:r w:rsidRPr="00A23824">
        <w:rPr>
          <w:rFonts w:ascii="Arial" w:hAnsi="Arial" w:cs="Arial"/>
        </w:rPr>
        <w:t xml:space="preserve"> sera itérative, c’est-à-dire ponctuelle sur du long terme en fonction de l’actualité et des besoins du projet. L’</w:t>
      </w:r>
      <w:proofErr w:type="spellStart"/>
      <w:r w:rsidRPr="00A23824">
        <w:rPr>
          <w:rFonts w:ascii="Arial" w:hAnsi="Arial" w:cs="Arial"/>
        </w:rPr>
        <w:t>expert.e</w:t>
      </w:r>
      <w:proofErr w:type="spellEnd"/>
      <w:r w:rsidRPr="00A23824">
        <w:rPr>
          <w:rFonts w:ascii="Arial" w:hAnsi="Arial" w:cs="Arial"/>
        </w:rPr>
        <w:t xml:space="preserve"> pourra être </w:t>
      </w:r>
      <w:proofErr w:type="spellStart"/>
      <w:r w:rsidRPr="00A23824">
        <w:rPr>
          <w:rFonts w:ascii="Arial" w:hAnsi="Arial" w:cs="Arial"/>
        </w:rPr>
        <w:t>amené.e</w:t>
      </w:r>
      <w:proofErr w:type="spellEnd"/>
      <w:r w:rsidRPr="00A23824">
        <w:rPr>
          <w:rFonts w:ascii="Arial" w:hAnsi="Arial" w:cs="Arial"/>
        </w:rPr>
        <w:t xml:space="preserve"> à se déplacer dans les locaux du projet à </w:t>
      </w:r>
      <w:r w:rsidR="00530081">
        <w:rPr>
          <w:rFonts w:ascii="Arial" w:hAnsi="Arial" w:cs="Arial"/>
        </w:rPr>
        <w:t>Rabat</w:t>
      </w:r>
      <w:r w:rsidRPr="00A23824">
        <w:rPr>
          <w:rFonts w:ascii="Arial" w:hAnsi="Arial" w:cs="Arial"/>
        </w:rPr>
        <w:t>, pour suivre certaines des activités sur place et/ou travailler avec l</w:t>
      </w:r>
      <w:r w:rsidR="000F37C8">
        <w:rPr>
          <w:rFonts w:ascii="Arial" w:hAnsi="Arial" w:cs="Arial"/>
        </w:rPr>
        <w:t>’équipe projet</w:t>
      </w:r>
      <w:r w:rsidRPr="00A23824">
        <w:rPr>
          <w:rFonts w:ascii="Arial" w:hAnsi="Arial" w:cs="Arial"/>
        </w:rPr>
        <w:t xml:space="preserve">. </w:t>
      </w:r>
    </w:p>
    <w:p w:rsidR="005F2549" w:rsidRPr="00A23824" w:rsidRDefault="005F2549" w:rsidP="00530081">
      <w:pPr>
        <w:jc w:val="both"/>
        <w:rPr>
          <w:rFonts w:ascii="Arial" w:hAnsi="Arial" w:cs="Arial"/>
        </w:rPr>
      </w:pPr>
      <w:r w:rsidRPr="00A23824">
        <w:rPr>
          <w:rFonts w:ascii="Arial" w:hAnsi="Arial" w:cs="Arial"/>
        </w:rPr>
        <w:t xml:space="preserve">La mission est estimée pour un maximum de </w:t>
      </w:r>
      <w:r w:rsidR="00530081">
        <w:rPr>
          <w:rFonts w:ascii="Arial" w:hAnsi="Arial" w:cs="Arial"/>
        </w:rPr>
        <w:t>30</w:t>
      </w:r>
      <w:r w:rsidRPr="00A23824">
        <w:rPr>
          <w:rFonts w:ascii="Arial" w:hAnsi="Arial" w:cs="Arial"/>
        </w:rPr>
        <w:t xml:space="preserve"> jours de travail, à répartir sur la durée totale du projet en fonction des besoins, à partir du 1 er </w:t>
      </w:r>
      <w:r w:rsidR="00530081">
        <w:rPr>
          <w:rFonts w:ascii="Arial" w:hAnsi="Arial" w:cs="Arial"/>
        </w:rPr>
        <w:t>mars 2022</w:t>
      </w:r>
      <w:r w:rsidRPr="00A23824">
        <w:rPr>
          <w:rFonts w:ascii="Arial" w:hAnsi="Arial" w:cs="Arial"/>
        </w:rPr>
        <w:t xml:space="preserve"> jusqu’en </w:t>
      </w:r>
      <w:r w:rsidR="00530081">
        <w:rPr>
          <w:rFonts w:ascii="Arial" w:hAnsi="Arial" w:cs="Arial"/>
        </w:rPr>
        <w:t>décembre 2024</w:t>
      </w:r>
      <w:r w:rsidRPr="00A23824">
        <w:rPr>
          <w:rFonts w:ascii="Arial" w:hAnsi="Arial" w:cs="Arial"/>
        </w:rPr>
        <w:t xml:space="preserve">. </w:t>
      </w:r>
    </w:p>
    <w:p w:rsidR="005F2549" w:rsidRPr="00A23824" w:rsidRDefault="005F2549" w:rsidP="005F2549">
      <w:pPr>
        <w:jc w:val="both"/>
        <w:rPr>
          <w:rFonts w:ascii="Arial" w:hAnsi="Arial" w:cs="Arial"/>
        </w:rPr>
      </w:pPr>
      <w:r w:rsidRPr="00A23824">
        <w:rPr>
          <w:rFonts w:ascii="Arial" w:hAnsi="Arial" w:cs="Arial"/>
        </w:rPr>
        <w:t xml:space="preserve">La répartition des jours des activités (élaboration et du plan de suivi-évaluation, des </w:t>
      </w:r>
      <w:proofErr w:type="spellStart"/>
      <w:r w:rsidRPr="00A23824">
        <w:rPr>
          <w:rFonts w:ascii="Arial" w:hAnsi="Arial" w:cs="Arial"/>
        </w:rPr>
        <w:t>baselines</w:t>
      </w:r>
      <w:proofErr w:type="spellEnd"/>
      <w:r w:rsidRPr="00A23824">
        <w:rPr>
          <w:rFonts w:ascii="Arial" w:hAnsi="Arial" w:cs="Arial"/>
        </w:rPr>
        <w:t xml:space="preserve">, de la </w:t>
      </w:r>
      <w:proofErr w:type="spellStart"/>
      <w:r w:rsidRPr="00A23824">
        <w:rPr>
          <w:rFonts w:ascii="Arial" w:hAnsi="Arial" w:cs="Arial"/>
        </w:rPr>
        <w:t>TdC</w:t>
      </w:r>
      <w:proofErr w:type="spellEnd"/>
      <w:r w:rsidRPr="00A23824">
        <w:rPr>
          <w:rFonts w:ascii="Arial" w:hAnsi="Arial" w:cs="Arial"/>
        </w:rPr>
        <w:t xml:space="preserve">, collecte des données, formations, </w:t>
      </w:r>
      <w:proofErr w:type="spellStart"/>
      <w:r w:rsidRPr="00A23824">
        <w:rPr>
          <w:rFonts w:ascii="Arial" w:hAnsi="Arial" w:cs="Arial"/>
        </w:rPr>
        <w:t>reporting</w:t>
      </w:r>
      <w:proofErr w:type="spellEnd"/>
      <w:r w:rsidRPr="00A23824">
        <w:rPr>
          <w:rFonts w:ascii="Arial" w:hAnsi="Arial" w:cs="Arial"/>
        </w:rPr>
        <w:t xml:space="preserve">, capitalisation, </w:t>
      </w:r>
      <w:proofErr w:type="spellStart"/>
      <w:r w:rsidRPr="00A23824">
        <w:rPr>
          <w:rFonts w:ascii="Arial" w:hAnsi="Arial" w:cs="Arial"/>
        </w:rPr>
        <w:t>etc</w:t>
      </w:r>
      <w:proofErr w:type="spellEnd"/>
      <w:r w:rsidRPr="00A23824">
        <w:rPr>
          <w:rFonts w:ascii="Arial" w:hAnsi="Arial" w:cs="Arial"/>
        </w:rPr>
        <w:t xml:space="preserve">) pourra être ajustée en fonction des échéances liées au projet </w:t>
      </w:r>
    </w:p>
    <w:p w:rsidR="00C93FBC" w:rsidRPr="00A23824" w:rsidRDefault="005F2549" w:rsidP="00A23824">
      <w:pPr>
        <w:jc w:val="both"/>
        <w:rPr>
          <w:rFonts w:ascii="Arial" w:hAnsi="Arial" w:cs="Arial"/>
        </w:rPr>
      </w:pPr>
      <w:r w:rsidRPr="00A23824">
        <w:rPr>
          <w:rFonts w:ascii="Arial" w:hAnsi="Arial" w:cs="Arial"/>
        </w:rPr>
        <w:t>Le calendrier et la répartition des jours seront précisé</w:t>
      </w:r>
      <w:r w:rsidR="00530081">
        <w:rPr>
          <w:rFonts w:ascii="Arial" w:hAnsi="Arial" w:cs="Arial"/>
        </w:rPr>
        <w:t>s avec l’équipe projet.</w:t>
      </w:r>
    </w:p>
    <w:p w:rsidR="00C93FBC" w:rsidRDefault="0011282F" w:rsidP="00A23824">
      <w:pPr>
        <w:jc w:val="both"/>
        <w:rPr>
          <w:rFonts w:ascii="Arial" w:hAnsi="Arial" w:cs="Arial"/>
        </w:rPr>
      </w:pPr>
      <w:r w:rsidRPr="00A23824">
        <w:rPr>
          <w:rFonts w:ascii="Arial" w:hAnsi="Arial" w:cs="Arial"/>
        </w:rPr>
        <w:lastRenderedPageBreak/>
        <w:t>La liste de tâche</w:t>
      </w:r>
      <w:r w:rsidR="0029629D" w:rsidRPr="00A23824">
        <w:rPr>
          <w:rFonts w:ascii="Arial" w:hAnsi="Arial" w:cs="Arial"/>
        </w:rPr>
        <w:t xml:space="preserve"> et le calendrier qui incluent du travail en chambre et du travail en équipe devront être complétés ou modifiés</w:t>
      </w:r>
      <w:r w:rsidRPr="00A23824">
        <w:rPr>
          <w:rFonts w:ascii="Arial" w:hAnsi="Arial" w:cs="Arial"/>
        </w:rPr>
        <w:t xml:space="preserve"> en fonction des</w:t>
      </w:r>
      <w:r w:rsidR="0029629D" w:rsidRPr="00A23824">
        <w:rPr>
          <w:rFonts w:ascii="Arial" w:hAnsi="Arial" w:cs="Arial"/>
        </w:rPr>
        <w:t xml:space="preserve"> </w:t>
      </w:r>
      <w:r w:rsidRPr="00A23824">
        <w:rPr>
          <w:rFonts w:ascii="Arial" w:hAnsi="Arial" w:cs="Arial"/>
        </w:rPr>
        <w:t xml:space="preserve">besoins </w:t>
      </w:r>
      <w:r w:rsidR="0029629D" w:rsidRPr="00A23824">
        <w:rPr>
          <w:rFonts w:ascii="Arial" w:hAnsi="Arial" w:cs="Arial"/>
        </w:rPr>
        <w:t xml:space="preserve">et possibilités </w:t>
      </w:r>
      <w:r w:rsidRPr="00A23824">
        <w:rPr>
          <w:rFonts w:ascii="Arial" w:hAnsi="Arial" w:cs="Arial"/>
        </w:rPr>
        <w:t xml:space="preserve">du projet. </w:t>
      </w:r>
    </w:p>
    <w:p w:rsidR="00530081" w:rsidRPr="00A23824" w:rsidRDefault="00530081" w:rsidP="00A23824">
      <w:pPr>
        <w:jc w:val="both"/>
        <w:rPr>
          <w:rFonts w:ascii="Arial" w:hAnsi="Arial" w:cs="Arial"/>
        </w:rPr>
      </w:pPr>
    </w:p>
    <w:tbl>
      <w:tblPr>
        <w:tblW w:w="9923" w:type="dxa"/>
        <w:tblInd w:w="-5" w:type="dxa"/>
        <w:tblCellMar>
          <w:left w:w="70" w:type="dxa"/>
          <w:right w:w="70" w:type="dxa"/>
        </w:tblCellMar>
        <w:tblLook w:val="04A0" w:firstRow="1" w:lastRow="0" w:firstColumn="1" w:lastColumn="0" w:noHBand="0" w:noVBand="1"/>
      </w:tblPr>
      <w:tblGrid>
        <w:gridCol w:w="3119"/>
        <w:gridCol w:w="2551"/>
        <w:gridCol w:w="1701"/>
        <w:gridCol w:w="2552"/>
      </w:tblGrid>
      <w:tr w:rsidR="0011282F" w:rsidRPr="00A23824" w:rsidTr="00530081">
        <w:trPr>
          <w:trHeight w:val="600"/>
        </w:trPr>
        <w:tc>
          <w:tcPr>
            <w:tcW w:w="3119" w:type="dxa"/>
            <w:tcBorders>
              <w:top w:val="single" w:sz="4" w:space="0" w:color="A6A6A6"/>
              <w:left w:val="single" w:sz="4" w:space="0" w:color="A6A6A6"/>
              <w:bottom w:val="single" w:sz="4" w:space="0" w:color="A6A6A6"/>
              <w:right w:val="single" w:sz="4" w:space="0" w:color="A6A6A6"/>
            </w:tcBorders>
            <w:shd w:val="clear" w:color="auto" w:fill="2F5496" w:themeFill="accent5" w:themeFillShade="BF"/>
            <w:vAlign w:val="center"/>
            <w:hideMark/>
          </w:tcPr>
          <w:p w:rsidR="0011282F" w:rsidRPr="00530081" w:rsidRDefault="0011282F" w:rsidP="00A23824">
            <w:pPr>
              <w:jc w:val="both"/>
              <w:rPr>
                <w:rFonts w:ascii="Arial" w:hAnsi="Arial" w:cs="Arial"/>
                <w:b/>
                <w:color w:val="FFFFFF" w:themeColor="background1"/>
              </w:rPr>
            </w:pPr>
            <w:r w:rsidRPr="00530081">
              <w:rPr>
                <w:rFonts w:ascii="Arial" w:hAnsi="Arial" w:cs="Arial"/>
                <w:b/>
                <w:color w:val="FFFFFF" w:themeColor="background1"/>
              </w:rPr>
              <w:t>Activité</w:t>
            </w:r>
          </w:p>
        </w:tc>
        <w:tc>
          <w:tcPr>
            <w:tcW w:w="2551" w:type="dxa"/>
            <w:tcBorders>
              <w:top w:val="single" w:sz="4" w:space="0" w:color="A6A6A6"/>
              <w:left w:val="nil"/>
              <w:bottom w:val="single" w:sz="4" w:space="0" w:color="A6A6A6"/>
              <w:right w:val="single" w:sz="4" w:space="0" w:color="A6A6A6"/>
            </w:tcBorders>
            <w:shd w:val="clear" w:color="auto" w:fill="2F5496" w:themeFill="accent5" w:themeFillShade="BF"/>
            <w:vAlign w:val="center"/>
            <w:hideMark/>
          </w:tcPr>
          <w:p w:rsidR="0011282F" w:rsidRPr="00530081" w:rsidRDefault="0011282F" w:rsidP="00A23824">
            <w:pPr>
              <w:jc w:val="both"/>
              <w:rPr>
                <w:rFonts w:ascii="Arial" w:hAnsi="Arial" w:cs="Arial"/>
                <w:b/>
                <w:color w:val="FFFFFF" w:themeColor="background1"/>
              </w:rPr>
            </w:pPr>
            <w:r w:rsidRPr="00530081">
              <w:rPr>
                <w:rFonts w:ascii="Arial" w:hAnsi="Arial" w:cs="Arial"/>
                <w:b/>
                <w:color w:val="FFFFFF" w:themeColor="background1"/>
              </w:rPr>
              <w:t>Livrable</w:t>
            </w:r>
          </w:p>
        </w:tc>
        <w:tc>
          <w:tcPr>
            <w:tcW w:w="1701" w:type="dxa"/>
            <w:tcBorders>
              <w:top w:val="single" w:sz="4" w:space="0" w:color="A6A6A6"/>
              <w:left w:val="nil"/>
              <w:bottom w:val="single" w:sz="4" w:space="0" w:color="A6A6A6"/>
              <w:right w:val="single" w:sz="4" w:space="0" w:color="A6A6A6"/>
            </w:tcBorders>
            <w:shd w:val="clear" w:color="auto" w:fill="2F5496" w:themeFill="accent5" w:themeFillShade="BF"/>
            <w:vAlign w:val="center"/>
            <w:hideMark/>
          </w:tcPr>
          <w:p w:rsidR="0011282F" w:rsidRPr="00530081" w:rsidRDefault="0011282F" w:rsidP="00A23824">
            <w:pPr>
              <w:jc w:val="both"/>
              <w:rPr>
                <w:rFonts w:ascii="Arial" w:hAnsi="Arial" w:cs="Arial"/>
                <w:b/>
                <w:color w:val="FFFFFF" w:themeColor="background1"/>
              </w:rPr>
            </w:pPr>
            <w:proofErr w:type="spellStart"/>
            <w:r w:rsidRPr="00530081">
              <w:rPr>
                <w:rFonts w:ascii="Arial" w:hAnsi="Arial" w:cs="Arial"/>
                <w:b/>
                <w:color w:val="FFFFFF" w:themeColor="background1"/>
              </w:rPr>
              <w:t>Nbre</w:t>
            </w:r>
            <w:proofErr w:type="spellEnd"/>
            <w:r w:rsidRPr="00530081">
              <w:rPr>
                <w:rFonts w:ascii="Arial" w:hAnsi="Arial" w:cs="Arial"/>
                <w:b/>
                <w:color w:val="FFFFFF" w:themeColor="background1"/>
              </w:rPr>
              <w:t xml:space="preserve"> jours</w:t>
            </w:r>
          </w:p>
        </w:tc>
        <w:tc>
          <w:tcPr>
            <w:tcW w:w="2552" w:type="dxa"/>
            <w:tcBorders>
              <w:top w:val="single" w:sz="4" w:space="0" w:color="A6A6A6"/>
              <w:left w:val="nil"/>
              <w:bottom w:val="single" w:sz="4" w:space="0" w:color="A6A6A6"/>
              <w:right w:val="single" w:sz="4" w:space="0" w:color="A6A6A6"/>
            </w:tcBorders>
            <w:shd w:val="clear" w:color="auto" w:fill="2F5496" w:themeFill="accent5" w:themeFillShade="BF"/>
            <w:vAlign w:val="center"/>
            <w:hideMark/>
          </w:tcPr>
          <w:p w:rsidR="0011282F" w:rsidRPr="00530081" w:rsidRDefault="0011282F" w:rsidP="00A23824">
            <w:pPr>
              <w:jc w:val="both"/>
              <w:rPr>
                <w:rFonts w:ascii="Arial" w:hAnsi="Arial" w:cs="Arial"/>
                <w:b/>
                <w:color w:val="FFFFFF" w:themeColor="background1"/>
              </w:rPr>
            </w:pPr>
            <w:r w:rsidRPr="00530081">
              <w:rPr>
                <w:rFonts w:ascii="Arial" w:hAnsi="Arial" w:cs="Arial"/>
                <w:b/>
                <w:color w:val="FFFFFF" w:themeColor="background1"/>
              </w:rPr>
              <w:t xml:space="preserve">Période </w:t>
            </w:r>
          </w:p>
        </w:tc>
      </w:tr>
      <w:tr w:rsidR="00C14696" w:rsidRPr="00A23824" w:rsidTr="00530081">
        <w:trPr>
          <w:trHeight w:val="510"/>
        </w:trPr>
        <w:tc>
          <w:tcPr>
            <w:tcW w:w="3119" w:type="dxa"/>
            <w:tcBorders>
              <w:top w:val="nil"/>
              <w:left w:val="single" w:sz="4" w:space="0" w:color="A6A6A6"/>
              <w:bottom w:val="single" w:sz="4" w:space="0" w:color="A6A6A6"/>
              <w:right w:val="single" w:sz="4" w:space="0" w:color="A6A6A6"/>
            </w:tcBorders>
            <w:shd w:val="clear" w:color="auto" w:fill="auto"/>
            <w:vAlign w:val="center"/>
          </w:tcPr>
          <w:p w:rsidR="00C14696" w:rsidRPr="00A23824" w:rsidRDefault="00C14696" w:rsidP="00A23824">
            <w:pPr>
              <w:jc w:val="both"/>
              <w:rPr>
                <w:rFonts w:ascii="Arial" w:hAnsi="Arial" w:cs="Arial"/>
              </w:rPr>
            </w:pPr>
            <w:r w:rsidRPr="00A23824">
              <w:rPr>
                <w:rFonts w:ascii="Arial" w:hAnsi="Arial" w:cs="Arial"/>
              </w:rPr>
              <w:t xml:space="preserve">Temps d’étude de l’environnement, appropriation du projet </w:t>
            </w:r>
          </w:p>
        </w:tc>
        <w:tc>
          <w:tcPr>
            <w:tcW w:w="2551" w:type="dxa"/>
            <w:tcBorders>
              <w:top w:val="nil"/>
              <w:left w:val="nil"/>
              <w:bottom w:val="single" w:sz="4" w:space="0" w:color="A6A6A6"/>
              <w:right w:val="single" w:sz="4" w:space="0" w:color="A6A6A6"/>
            </w:tcBorders>
            <w:shd w:val="clear" w:color="auto" w:fill="auto"/>
            <w:vAlign w:val="center"/>
          </w:tcPr>
          <w:p w:rsidR="00C14696" w:rsidRPr="00A23824" w:rsidRDefault="00C14696" w:rsidP="00A23824">
            <w:pPr>
              <w:jc w:val="both"/>
              <w:rPr>
                <w:rFonts w:ascii="Arial" w:hAnsi="Arial" w:cs="Arial"/>
              </w:rPr>
            </w:pPr>
            <w:r w:rsidRPr="00A23824">
              <w:rPr>
                <w:rFonts w:ascii="Arial" w:hAnsi="Arial" w:cs="Arial"/>
              </w:rPr>
              <w:t>SO</w:t>
            </w:r>
          </w:p>
        </w:tc>
        <w:tc>
          <w:tcPr>
            <w:tcW w:w="1701" w:type="dxa"/>
            <w:tcBorders>
              <w:top w:val="nil"/>
              <w:left w:val="nil"/>
              <w:bottom w:val="single" w:sz="4" w:space="0" w:color="A6A6A6"/>
              <w:right w:val="single" w:sz="4" w:space="0" w:color="A6A6A6"/>
            </w:tcBorders>
            <w:shd w:val="clear" w:color="auto" w:fill="auto"/>
            <w:noWrap/>
            <w:vAlign w:val="center"/>
          </w:tcPr>
          <w:p w:rsidR="00C14696" w:rsidRPr="00A23824" w:rsidRDefault="00E55725" w:rsidP="002A4056">
            <w:pPr>
              <w:jc w:val="center"/>
              <w:rPr>
                <w:rFonts w:ascii="Arial" w:hAnsi="Arial" w:cs="Arial"/>
              </w:rPr>
            </w:pPr>
            <w:r>
              <w:rPr>
                <w:rFonts w:ascii="Arial" w:hAnsi="Arial" w:cs="Arial"/>
              </w:rPr>
              <w:t>1</w:t>
            </w:r>
          </w:p>
        </w:tc>
        <w:tc>
          <w:tcPr>
            <w:tcW w:w="2552" w:type="dxa"/>
            <w:tcBorders>
              <w:top w:val="nil"/>
              <w:left w:val="nil"/>
              <w:bottom w:val="single" w:sz="4" w:space="0" w:color="A6A6A6"/>
              <w:right w:val="single" w:sz="4" w:space="0" w:color="A6A6A6"/>
            </w:tcBorders>
            <w:shd w:val="clear" w:color="auto" w:fill="auto"/>
            <w:noWrap/>
            <w:vAlign w:val="center"/>
          </w:tcPr>
          <w:p w:rsidR="00C14696" w:rsidRPr="00A23824" w:rsidRDefault="00B651BF" w:rsidP="00E55725">
            <w:pPr>
              <w:jc w:val="both"/>
              <w:rPr>
                <w:rFonts w:ascii="Arial" w:hAnsi="Arial" w:cs="Arial"/>
              </w:rPr>
            </w:pPr>
            <w:r w:rsidRPr="00A23824">
              <w:rPr>
                <w:rFonts w:ascii="Arial" w:hAnsi="Arial" w:cs="Arial"/>
              </w:rPr>
              <w:t xml:space="preserve">Début </w:t>
            </w:r>
            <w:r w:rsidR="00E55725">
              <w:rPr>
                <w:rFonts w:ascii="Arial" w:hAnsi="Arial" w:cs="Arial"/>
              </w:rPr>
              <w:t>mars 2022</w:t>
            </w:r>
          </w:p>
        </w:tc>
      </w:tr>
      <w:tr w:rsidR="0011282F" w:rsidRPr="00A23824" w:rsidTr="00530081">
        <w:trPr>
          <w:trHeight w:val="510"/>
        </w:trPr>
        <w:tc>
          <w:tcPr>
            <w:tcW w:w="3119" w:type="dxa"/>
            <w:tcBorders>
              <w:top w:val="nil"/>
              <w:left w:val="single" w:sz="4" w:space="0" w:color="A6A6A6"/>
              <w:bottom w:val="single" w:sz="4" w:space="0" w:color="A6A6A6"/>
              <w:right w:val="single" w:sz="4" w:space="0" w:color="A6A6A6"/>
            </w:tcBorders>
            <w:shd w:val="clear" w:color="auto" w:fill="auto"/>
            <w:vAlign w:val="center"/>
            <w:hideMark/>
          </w:tcPr>
          <w:p w:rsidR="0011282F" w:rsidRPr="00A23824" w:rsidRDefault="0011282F" w:rsidP="00A23824">
            <w:pPr>
              <w:jc w:val="both"/>
              <w:rPr>
                <w:rFonts w:ascii="Arial" w:hAnsi="Arial" w:cs="Arial"/>
              </w:rPr>
            </w:pPr>
            <w:r w:rsidRPr="00A23824">
              <w:rPr>
                <w:rFonts w:ascii="Arial" w:hAnsi="Arial" w:cs="Arial"/>
              </w:rPr>
              <w:t>Elaboration du plan de SERA,</w:t>
            </w:r>
          </w:p>
          <w:p w:rsidR="0011282F" w:rsidRPr="00A23824" w:rsidRDefault="0011282F" w:rsidP="00A23824">
            <w:pPr>
              <w:jc w:val="both"/>
              <w:rPr>
                <w:rFonts w:ascii="Arial" w:hAnsi="Arial" w:cs="Arial"/>
              </w:rPr>
            </w:pPr>
            <w:r w:rsidRPr="00A23824">
              <w:rPr>
                <w:rFonts w:ascii="Arial" w:hAnsi="Arial" w:cs="Arial"/>
              </w:rPr>
              <w:t xml:space="preserve">validation des indicateurs du cadre logique et renforcement de la </w:t>
            </w:r>
            <w:proofErr w:type="spellStart"/>
            <w:r w:rsidRPr="00A23824">
              <w:rPr>
                <w:rFonts w:ascii="Arial" w:hAnsi="Arial" w:cs="Arial"/>
              </w:rPr>
              <w:t>TdC</w:t>
            </w:r>
            <w:proofErr w:type="spellEnd"/>
          </w:p>
        </w:tc>
        <w:tc>
          <w:tcPr>
            <w:tcW w:w="2551" w:type="dxa"/>
            <w:tcBorders>
              <w:top w:val="nil"/>
              <w:left w:val="nil"/>
              <w:bottom w:val="single" w:sz="4" w:space="0" w:color="A6A6A6"/>
              <w:right w:val="single" w:sz="4" w:space="0" w:color="A6A6A6"/>
            </w:tcBorders>
            <w:shd w:val="clear" w:color="auto" w:fill="auto"/>
            <w:vAlign w:val="center"/>
            <w:hideMark/>
          </w:tcPr>
          <w:p w:rsidR="0011282F" w:rsidRPr="00A23824" w:rsidRDefault="0011282F" w:rsidP="002A4056">
            <w:pPr>
              <w:rPr>
                <w:rFonts w:ascii="Arial" w:hAnsi="Arial" w:cs="Arial"/>
              </w:rPr>
            </w:pPr>
            <w:r w:rsidRPr="00A23824">
              <w:rPr>
                <w:rFonts w:ascii="Arial" w:hAnsi="Arial" w:cs="Arial"/>
              </w:rPr>
              <w:t>Plan de SERA</w:t>
            </w:r>
          </w:p>
          <w:p w:rsidR="004F78DF" w:rsidRPr="00A23824" w:rsidRDefault="004F78DF" w:rsidP="002A4056">
            <w:pPr>
              <w:rPr>
                <w:rFonts w:ascii="Arial" w:hAnsi="Arial" w:cs="Arial"/>
              </w:rPr>
            </w:pPr>
            <w:r w:rsidRPr="00A23824">
              <w:rPr>
                <w:rFonts w:ascii="Arial" w:hAnsi="Arial" w:cs="Arial"/>
              </w:rPr>
              <w:t>Dispositif de redevabilité bailleur (capitalisation avec les outils existants ou complément si besoin)</w:t>
            </w:r>
          </w:p>
        </w:tc>
        <w:tc>
          <w:tcPr>
            <w:tcW w:w="1701" w:type="dxa"/>
            <w:tcBorders>
              <w:top w:val="nil"/>
              <w:left w:val="nil"/>
              <w:bottom w:val="single" w:sz="4" w:space="0" w:color="A6A6A6"/>
              <w:right w:val="single" w:sz="4" w:space="0" w:color="A6A6A6"/>
            </w:tcBorders>
            <w:shd w:val="clear" w:color="auto" w:fill="auto"/>
            <w:noWrap/>
            <w:vAlign w:val="center"/>
            <w:hideMark/>
          </w:tcPr>
          <w:p w:rsidR="0011282F" w:rsidRPr="00A23824" w:rsidRDefault="00ED308B" w:rsidP="002A4056">
            <w:pPr>
              <w:jc w:val="center"/>
              <w:rPr>
                <w:rFonts w:ascii="Arial" w:hAnsi="Arial" w:cs="Arial"/>
              </w:rPr>
            </w:pPr>
            <w:r>
              <w:rPr>
                <w:rFonts w:ascii="Arial" w:hAnsi="Arial" w:cs="Arial"/>
              </w:rPr>
              <w:t>4</w:t>
            </w:r>
          </w:p>
        </w:tc>
        <w:tc>
          <w:tcPr>
            <w:tcW w:w="2552" w:type="dxa"/>
            <w:tcBorders>
              <w:top w:val="nil"/>
              <w:left w:val="nil"/>
              <w:bottom w:val="single" w:sz="4" w:space="0" w:color="A6A6A6"/>
              <w:right w:val="single" w:sz="4" w:space="0" w:color="A6A6A6"/>
            </w:tcBorders>
            <w:shd w:val="clear" w:color="auto" w:fill="auto"/>
            <w:noWrap/>
            <w:vAlign w:val="center"/>
            <w:hideMark/>
          </w:tcPr>
          <w:p w:rsidR="0011282F" w:rsidRPr="00A23824" w:rsidRDefault="00B651BF" w:rsidP="004051B9">
            <w:pPr>
              <w:rPr>
                <w:rFonts w:ascii="Arial" w:hAnsi="Arial" w:cs="Arial"/>
              </w:rPr>
            </w:pPr>
            <w:r w:rsidRPr="00A23824">
              <w:rPr>
                <w:rFonts w:ascii="Arial" w:hAnsi="Arial" w:cs="Arial"/>
              </w:rPr>
              <w:t xml:space="preserve">A partir de </w:t>
            </w:r>
            <w:r w:rsidR="004051B9">
              <w:rPr>
                <w:rFonts w:ascii="Arial" w:hAnsi="Arial" w:cs="Arial"/>
              </w:rPr>
              <w:t>mars 2022</w:t>
            </w:r>
          </w:p>
        </w:tc>
      </w:tr>
      <w:tr w:rsidR="0011282F" w:rsidRPr="00A23824" w:rsidTr="00530081">
        <w:trPr>
          <w:trHeight w:val="510"/>
        </w:trPr>
        <w:tc>
          <w:tcPr>
            <w:tcW w:w="3119" w:type="dxa"/>
            <w:tcBorders>
              <w:top w:val="nil"/>
              <w:left w:val="single" w:sz="4" w:space="0" w:color="A6A6A6"/>
              <w:bottom w:val="single" w:sz="4" w:space="0" w:color="A6A6A6"/>
              <w:right w:val="single" w:sz="4" w:space="0" w:color="A6A6A6"/>
            </w:tcBorders>
            <w:shd w:val="clear" w:color="auto" w:fill="auto"/>
            <w:vAlign w:val="center"/>
            <w:hideMark/>
          </w:tcPr>
          <w:p w:rsidR="0011282F" w:rsidRPr="00A23824" w:rsidRDefault="004B5E7E" w:rsidP="00A23824">
            <w:pPr>
              <w:jc w:val="both"/>
              <w:rPr>
                <w:rFonts w:ascii="Arial" w:hAnsi="Arial" w:cs="Arial"/>
              </w:rPr>
            </w:pPr>
            <w:r w:rsidRPr="00A23824">
              <w:rPr>
                <w:rFonts w:ascii="Arial" w:hAnsi="Arial" w:cs="Arial"/>
              </w:rPr>
              <w:t>Choix et m</w:t>
            </w:r>
            <w:r w:rsidR="0011282F" w:rsidRPr="00A23824">
              <w:rPr>
                <w:rFonts w:ascii="Arial" w:hAnsi="Arial" w:cs="Arial"/>
              </w:rPr>
              <w:t>ise en place des outils de SERA</w:t>
            </w:r>
          </w:p>
        </w:tc>
        <w:tc>
          <w:tcPr>
            <w:tcW w:w="2551" w:type="dxa"/>
            <w:tcBorders>
              <w:top w:val="nil"/>
              <w:left w:val="nil"/>
              <w:bottom w:val="single" w:sz="4" w:space="0" w:color="A6A6A6"/>
              <w:right w:val="single" w:sz="4" w:space="0" w:color="A6A6A6"/>
            </w:tcBorders>
            <w:shd w:val="clear" w:color="auto" w:fill="auto"/>
            <w:vAlign w:val="center"/>
            <w:hideMark/>
          </w:tcPr>
          <w:p w:rsidR="0011282F" w:rsidRPr="00A23824" w:rsidRDefault="0011282F" w:rsidP="002A4056">
            <w:pPr>
              <w:rPr>
                <w:rFonts w:ascii="Arial" w:hAnsi="Arial" w:cs="Arial"/>
              </w:rPr>
            </w:pPr>
            <w:r w:rsidRPr="00A23824">
              <w:rPr>
                <w:rFonts w:ascii="Arial" w:hAnsi="Arial" w:cs="Arial"/>
              </w:rPr>
              <w:t xml:space="preserve">Outils paramétrés et disponibles en saisie et en </w:t>
            </w:r>
            <w:proofErr w:type="spellStart"/>
            <w:r w:rsidRPr="00A23824">
              <w:rPr>
                <w:rFonts w:ascii="Arial" w:hAnsi="Arial" w:cs="Arial"/>
              </w:rPr>
              <w:t>reporting</w:t>
            </w:r>
            <w:proofErr w:type="spellEnd"/>
            <w:r w:rsidRPr="00A23824">
              <w:rPr>
                <w:rFonts w:ascii="Arial" w:hAnsi="Arial" w:cs="Arial"/>
              </w:rPr>
              <w:t>, adaptés aux indicateurs</w:t>
            </w:r>
          </w:p>
        </w:tc>
        <w:tc>
          <w:tcPr>
            <w:tcW w:w="1701" w:type="dxa"/>
            <w:tcBorders>
              <w:top w:val="nil"/>
              <w:left w:val="nil"/>
              <w:bottom w:val="single" w:sz="4" w:space="0" w:color="A6A6A6"/>
              <w:right w:val="single" w:sz="4" w:space="0" w:color="A6A6A6"/>
            </w:tcBorders>
            <w:shd w:val="clear" w:color="auto" w:fill="auto"/>
            <w:noWrap/>
            <w:vAlign w:val="center"/>
            <w:hideMark/>
          </w:tcPr>
          <w:p w:rsidR="0011282F" w:rsidRPr="00A23824" w:rsidRDefault="00842360" w:rsidP="002A4056">
            <w:pPr>
              <w:jc w:val="center"/>
              <w:rPr>
                <w:rFonts w:ascii="Arial" w:hAnsi="Arial" w:cs="Arial"/>
              </w:rPr>
            </w:pPr>
            <w:r>
              <w:rPr>
                <w:rFonts w:ascii="Arial" w:hAnsi="Arial" w:cs="Arial"/>
              </w:rPr>
              <w:t>5</w:t>
            </w:r>
          </w:p>
        </w:tc>
        <w:tc>
          <w:tcPr>
            <w:tcW w:w="2552" w:type="dxa"/>
            <w:tcBorders>
              <w:top w:val="nil"/>
              <w:left w:val="nil"/>
              <w:bottom w:val="single" w:sz="4" w:space="0" w:color="A6A6A6"/>
              <w:right w:val="single" w:sz="4" w:space="0" w:color="A6A6A6"/>
            </w:tcBorders>
            <w:shd w:val="clear" w:color="auto" w:fill="auto"/>
            <w:noWrap/>
            <w:vAlign w:val="center"/>
            <w:hideMark/>
          </w:tcPr>
          <w:p w:rsidR="0011282F" w:rsidRPr="00A23824" w:rsidRDefault="004051B9" w:rsidP="00E55725">
            <w:pPr>
              <w:rPr>
                <w:rFonts w:ascii="Arial" w:hAnsi="Arial" w:cs="Arial"/>
              </w:rPr>
            </w:pPr>
            <w:r>
              <w:rPr>
                <w:rFonts w:ascii="Arial" w:hAnsi="Arial" w:cs="Arial"/>
              </w:rPr>
              <w:t>Mars à mai 2023</w:t>
            </w:r>
          </w:p>
        </w:tc>
      </w:tr>
      <w:tr w:rsidR="0011282F" w:rsidRPr="00A23824" w:rsidTr="00530081">
        <w:trPr>
          <w:trHeight w:val="1020"/>
        </w:trPr>
        <w:tc>
          <w:tcPr>
            <w:tcW w:w="3119" w:type="dxa"/>
            <w:tcBorders>
              <w:top w:val="nil"/>
              <w:left w:val="single" w:sz="4" w:space="0" w:color="A6A6A6"/>
              <w:bottom w:val="single" w:sz="4" w:space="0" w:color="A6A6A6"/>
              <w:right w:val="single" w:sz="4" w:space="0" w:color="A6A6A6"/>
            </w:tcBorders>
            <w:shd w:val="clear" w:color="auto" w:fill="auto"/>
            <w:vAlign w:val="center"/>
            <w:hideMark/>
          </w:tcPr>
          <w:p w:rsidR="0011282F" w:rsidRPr="00A23824" w:rsidRDefault="0011282F" w:rsidP="00A23824">
            <w:pPr>
              <w:jc w:val="both"/>
              <w:rPr>
                <w:rFonts w:ascii="Arial" w:hAnsi="Arial" w:cs="Arial"/>
              </w:rPr>
            </w:pPr>
            <w:r w:rsidRPr="00A23824">
              <w:rPr>
                <w:rFonts w:ascii="Arial" w:hAnsi="Arial" w:cs="Arial"/>
              </w:rPr>
              <w:t xml:space="preserve">Appui aux </w:t>
            </w:r>
            <w:proofErr w:type="spellStart"/>
            <w:r w:rsidRPr="00A23824">
              <w:rPr>
                <w:rFonts w:ascii="Arial" w:hAnsi="Arial" w:cs="Arial"/>
              </w:rPr>
              <w:t>baselines</w:t>
            </w:r>
            <w:proofErr w:type="spellEnd"/>
            <w:r w:rsidRPr="00A23824">
              <w:rPr>
                <w:rFonts w:ascii="Arial" w:hAnsi="Arial" w:cs="Arial"/>
              </w:rPr>
              <w:t xml:space="preserve"> </w:t>
            </w:r>
          </w:p>
          <w:p w:rsidR="0011282F" w:rsidRPr="00A23824" w:rsidRDefault="0011282F">
            <w:pPr>
              <w:jc w:val="both"/>
              <w:rPr>
                <w:rFonts w:ascii="Arial" w:hAnsi="Arial" w:cs="Arial"/>
              </w:rPr>
            </w:pPr>
            <w:r w:rsidRPr="00A23824">
              <w:rPr>
                <w:rFonts w:ascii="Arial" w:hAnsi="Arial" w:cs="Arial"/>
              </w:rPr>
              <w:t>(création, mise en place</w:t>
            </w:r>
            <w:r w:rsidR="00171B46" w:rsidRPr="00A23824">
              <w:rPr>
                <w:rFonts w:ascii="Arial" w:hAnsi="Arial" w:cs="Arial"/>
              </w:rPr>
              <w:t>, suivi</w:t>
            </w:r>
            <w:r w:rsidR="00921F7F" w:rsidRPr="00A23824">
              <w:rPr>
                <w:rFonts w:ascii="Arial" w:hAnsi="Arial" w:cs="Arial"/>
              </w:rPr>
              <w:t>)</w:t>
            </w:r>
          </w:p>
        </w:tc>
        <w:tc>
          <w:tcPr>
            <w:tcW w:w="2551" w:type="dxa"/>
            <w:tcBorders>
              <w:top w:val="nil"/>
              <w:left w:val="nil"/>
              <w:bottom w:val="single" w:sz="4" w:space="0" w:color="A6A6A6"/>
              <w:right w:val="single" w:sz="4" w:space="0" w:color="A6A6A6"/>
            </w:tcBorders>
            <w:shd w:val="clear" w:color="auto" w:fill="auto"/>
            <w:vAlign w:val="center"/>
            <w:hideMark/>
          </w:tcPr>
          <w:p w:rsidR="00171B46" w:rsidRPr="00A23824" w:rsidRDefault="0011282F" w:rsidP="002A4056">
            <w:pPr>
              <w:rPr>
                <w:rFonts w:ascii="Arial" w:hAnsi="Arial" w:cs="Arial"/>
              </w:rPr>
            </w:pPr>
            <w:r w:rsidRPr="00A23824">
              <w:rPr>
                <w:rFonts w:ascii="Arial" w:hAnsi="Arial" w:cs="Arial"/>
              </w:rPr>
              <w:t xml:space="preserve">Baseline globale du cadre logique </w:t>
            </w:r>
          </w:p>
          <w:p w:rsidR="0011282F" w:rsidRPr="00A23824" w:rsidRDefault="004B5E7E" w:rsidP="002A4056">
            <w:pPr>
              <w:rPr>
                <w:rFonts w:ascii="Arial" w:hAnsi="Arial" w:cs="Arial"/>
              </w:rPr>
            </w:pPr>
            <w:proofErr w:type="spellStart"/>
            <w:r w:rsidRPr="00A23824">
              <w:rPr>
                <w:rFonts w:ascii="Arial" w:hAnsi="Arial" w:cs="Arial"/>
              </w:rPr>
              <w:t>Baselines</w:t>
            </w:r>
            <w:proofErr w:type="spellEnd"/>
            <w:r w:rsidRPr="00A23824">
              <w:rPr>
                <w:rFonts w:ascii="Arial" w:hAnsi="Arial" w:cs="Arial"/>
              </w:rPr>
              <w:t xml:space="preserve"> </w:t>
            </w:r>
            <w:r w:rsidR="0011282F" w:rsidRPr="00A23824">
              <w:rPr>
                <w:rFonts w:ascii="Arial" w:hAnsi="Arial" w:cs="Arial"/>
              </w:rPr>
              <w:t>opérationnelles par indicateur</w:t>
            </w:r>
          </w:p>
          <w:p w:rsidR="00171B46" w:rsidRPr="00A23824" w:rsidRDefault="00171B46" w:rsidP="002A4056">
            <w:pPr>
              <w:rPr>
                <w:rFonts w:ascii="Arial" w:hAnsi="Arial" w:cs="Arial"/>
              </w:rPr>
            </w:pPr>
            <w:proofErr w:type="spellStart"/>
            <w:r w:rsidRPr="00A23824">
              <w:rPr>
                <w:rFonts w:ascii="Arial" w:hAnsi="Arial" w:cs="Arial"/>
              </w:rPr>
              <w:t>En</w:t>
            </w:r>
            <w:r w:rsidR="00A65A24" w:rsidRPr="00A23824">
              <w:rPr>
                <w:rFonts w:ascii="Arial" w:hAnsi="Arial" w:cs="Arial"/>
              </w:rPr>
              <w:t>d</w:t>
            </w:r>
            <w:r w:rsidRPr="00A23824">
              <w:rPr>
                <w:rFonts w:ascii="Arial" w:hAnsi="Arial" w:cs="Arial"/>
              </w:rPr>
              <w:t>line</w:t>
            </w:r>
            <w:proofErr w:type="spellEnd"/>
            <w:r w:rsidRPr="00A23824">
              <w:rPr>
                <w:rFonts w:ascii="Arial" w:hAnsi="Arial" w:cs="Arial"/>
              </w:rPr>
              <w:t xml:space="preserve"> fin de projet</w:t>
            </w:r>
          </w:p>
        </w:tc>
        <w:tc>
          <w:tcPr>
            <w:tcW w:w="1701" w:type="dxa"/>
            <w:tcBorders>
              <w:top w:val="nil"/>
              <w:left w:val="nil"/>
              <w:bottom w:val="single" w:sz="4" w:space="0" w:color="A6A6A6"/>
              <w:right w:val="single" w:sz="4" w:space="0" w:color="A6A6A6"/>
            </w:tcBorders>
            <w:shd w:val="clear" w:color="auto" w:fill="auto"/>
            <w:noWrap/>
            <w:vAlign w:val="center"/>
            <w:hideMark/>
          </w:tcPr>
          <w:p w:rsidR="0011282F" w:rsidRPr="00A23824" w:rsidRDefault="00817719" w:rsidP="002A4056">
            <w:pPr>
              <w:jc w:val="center"/>
              <w:rPr>
                <w:rFonts w:ascii="Arial" w:hAnsi="Arial" w:cs="Arial"/>
              </w:rPr>
            </w:pPr>
            <w:r>
              <w:rPr>
                <w:rFonts w:ascii="Arial" w:hAnsi="Arial" w:cs="Arial"/>
              </w:rPr>
              <w:t>5</w:t>
            </w:r>
          </w:p>
          <w:p w:rsidR="0011282F" w:rsidRPr="00A23824" w:rsidRDefault="0011282F" w:rsidP="00E55725">
            <w:pPr>
              <w:jc w:val="center"/>
              <w:rPr>
                <w:rFonts w:ascii="Arial" w:hAnsi="Arial" w:cs="Arial"/>
              </w:rPr>
            </w:pPr>
          </w:p>
        </w:tc>
        <w:tc>
          <w:tcPr>
            <w:tcW w:w="2552" w:type="dxa"/>
            <w:tcBorders>
              <w:top w:val="nil"/>
              <w:left w:val="nil"/>
              <w:bottom w:val="single" w:sz="4" w:space="0" w:color="A6A6A6"/>
              <w:right w:val="single" w:sz="4" w:space="0" w:color="A6A6A6"/>
            </w:tcBorders>
            <w:shd w:val="clear" w:color="auto" w:fill="auto"/>
            <w:noWrap/>
            <w:vAlign w:val="center"/>
            <w:hideMark/>
          </w:tcPr>
          <w:p w:rsidR="0011282F" w:rsidRPr="00A23824" w:rsidRDefault="004051B9" w:rsidP="00E55725">
            <w:pPr>
              <w:rPr>
                <w:rFonts w:ascii="Arial" w:hAnsi="Arial" w:cs="Arial"/>
              </w:rPr>
            </w:pPr>
            <w:r>
              <w:rPr>
                <w:rFonts w:ascii="Arial" w:hAnsi="Arial" w:cs="Arial"/>
              </w:rPr>
              <w:t>Juin – juillet 2023</w:t>
            </w:r>
          </w:p>
        </w:tc>
      </w:tr>
      <w:tr w:rsidR="0011282F" w:rsidRPr="00A23824" w:rsidTr="00530081">
        <w:trPr>
          <w:trHeight w:val="2040"/>
        </w:trPr>
        <w:tc>
          <w:tcPr>
            <w:tcW w:w="3119" w:type="dxa"/>
            <w:tcBorders>
              <w:top w:val="nil"/>
              <w:left w:val="single" w:sz="4" w:space="0" w:color="A6A6A6"/>
              <w:bottom w:val="single" w:sz="4" w:space="0" w:color="A6A6A6"/>
              <w:right w:val="single" w:sz="4" w:space="0" w:color="A6A6A6"/>
            </w:tcBorders>
            <w:shd w:val="clear" w:color="auto" w:fill="auto"/>
            <w:vAlign w:val="center"/>
            <w:hideMark/>
          </w:tcPr>
          <w:p w:rsidR="0011282F" w:rsidRPr="00A23824" w:rsidRDefault="0011282F" w:rsidP="00A23824">
            <w:pPr>
              <w:jc w:val="both"/>
              <w:rPr>
                <w:rFonts w:ascii="Arial" w:hAnsi="Arial" w:cs="Arial"/>
              </w:rPr>
            </w:pPr>
            <w:r w:rsidRPr="00A23824">
              <w:rPr>
                <w:rFonts w:ascii="Arial" w:hAnsi="Arial" w:cs="Arial"/>
              </w:rPr>
              <w:t>Accompagnement et formation de l'équipe projet</w:t>
            </w:r>
          </w:p>
        </w:tc>
        <w:tc>
          <w:tcPr>
            <w:tcW w:w="2551" w:type="dxa"/>
            <w:tcBorders>
              <w:top w:val="nil"/>
              <w:left w:val="nil"/>
              <w:bottom w:val="single" w:sz="4" w:space="0" w:color="A6A6A6"/>
              <w:right w:val="single" w:sz="4" w:space="0" w:color="A6A6A6"/>
            </w:tcBorders>
            <w:shd w:val="clear" w:color="auto" w:fill="auto"/>
            <w:vAlign w:val="center"/>
            <w:hideMark/>
          </w:tcPr>
          <w:p w:rsidR="0011282F" w:rsidRPr="00A23824" w:rsidRDefault="0011282F" w:rsidP="002A4056">
            <w:pPr>
              <w:rPr>
                <w:rFonts w:ascii="Arial" w:hAnsi="Arial" w:cs="Arial"/>
              </w:rPr>
            </w:pPr>
            <w:r w:rsidRPr="00A23824">
              <w:rPr>
                <w:rFonts w:ascii="Arial" w:hAnsi="Arial" w:cs="Arial"/>
              </w:rPr>
              <w:t xml:space="preserve">Formations de l’équipe projet réalisées : </w:t>
            </w:r>
          </w:p>
          <w:p w:rsidR="0011282F" w:rsidRPr="00A23824" w:rsidRDefault="0011282F" w:rsidP="002A4056">
            <w:pPr>
              <w:rPr>
                <w:rFonts w:ascii="Arial" w:hAnsi="Arial" w:cs="Arial"/>
              </w:rPr>
            </w:pPr>
            <w:r w:rsidRPr="00A23824">
              <w:rPr>
                <w:rFonts w:ascii="Arial" w:hAnsi="Arial" w:cs="Arial"/>
              </w:rPr>
              <w:t xml:space="preserve">- utilisation des outils de collecte </w:t>
            </w:r>
          </w:p>
          <w:p w:rsidR="0011282F" w:rsidRPr="00A23824" w:rsidRDefault="0011282F" w:rsidP="002A4056">
            <w:pPr>
              <w:rPr>
                <w:rFonts w:ascii="Arial" w:hAnsi="Arial" w:cs="Arial"/>
              </w:rPr>
            </w:pPr>
            <w:r w:rsidRPr="00A23824">
              <w:rPr>
                <w:rFonts w:ascii="Arial" w:hAnsi="Arial" w:cs="Arial"/>
              </w:rPr>
              <w:t xml:space="preserve">-utilisation des outils de suivi des indicateurs </w:t>
            </w:r>
          </w:p>
          <w:p w:rsidR="0011282F" w:rsidRPr="00A23824" w:rsidRDefault="0011282F" w:rsidP="002A4056">
            <w:pPr>
              <w:rPr>
                <w:rFonts w:ascii="Arial" w:hAnsi="Arial" w:cs="Arial"/>
              </w:rPr>
            </w:pPr>
            <w:r w:rsidRPr="00A23824">
              <w:rPr>
                <w:rFonts w:ascii="Arial" w:hAnsi="Arial" w:cs="Arial"/>
              </w:rPr>
              <w:t xml:space="preserve">- collecte qualitative </w:t>
            </w:r>
          </w:p>
          <w:p w:rsidR="0011282F" w:rsidRPr="00A23824" w:rsidRDefault="0011282F" w:rsidP="00ED308B">
            <w:pPr>
              <w:rPr>
                <w:rFonts w:ascii="Arial" w:hAnsi="Arial" w:cs="Arial"/>
              </w:rPr>
            </w:pPr>
            <w:r w:rsidRPr="00A23824">
              <w:rPr>
                <w:rFonts w:ascii="Arial" w:hAnsi="Arial" w:cs="Arial"/>
              </w:rPr>
              <w:t xml:space="preserve">- </w:t>
            </w:r>
            <w:proofErr w:type="spellStart"/>
            <w:r w:rsidRPr="00A23824">
              <w:rPr>
                <w:rFonts w:ascii="Arial" w:hAnsi="Arial" w:cs="Arial"/>
              </w:rPr>
              <w:t>reporting</w:t>
            </w:r>
            <w:proofErr w:type="spellEnd"/>
            <w:r w:rsidRPr="00A23824">
              <w:rPr>
                <w:rFonts w:ascii="Arial" w:hAnsi="Arial" w:cs="Arial"/>
              </w:rPr>
              <w:t xml:space="preserve"> de qualité</w:t>
            </w:r>
          </w:p>
        </w:tc>
        <w:tc>
          <w:tcPr>
            <w:tcW w:w="1701" w:type="dxa"/>
            <w:tcBorders>
              <w:top w:val="nil"/>
              <w:left w:val="nil"/>
              <w:bottom w:val="single" w:sz="4" w:space="0" w:color="A6A6A6"/>
              <w:right w:val="single" w:sz="4" w:space="0" w:color="A6A6A6"/>
            </w:tcBorders>
            <w:shd w:val="clear" w:color="auto" w:fill="auto"/>
            <w:noWrap/>
            <w:vAlign w:val="center"/>
            <w:hideMark/>
          </w:tcPr>
          <w:p w:rsidR="0011282F" w:rsidRPr="00A23824" w:rsidRDefault="00817719" w:rsidP="002A4056">
            <w:pPr>
              <w:jc w:val="center"/>
              <w:rPr>
                <w:rFonts w:ascii="Arial" w:hAnsi="Arial" w:cs="Arial"/>
              </w:rPr>
            </w:pPr>
            <w:r>
              <w:rPr>
                <w:rFonts w:ascii="Arial" w:hAnsi="Arial" w:cs="Arial"/>
              </w:rPr>
              <w:t>3</w:t>
            </w:r>
          </w:p>
        </w:tc>
        <w:tc>
          <w:tcPr>
            <w:tcW w:w="2552" w:type="dxa"/>
            <w:tcBorders>
              <w:top w:val="nil"/>
              <w:left w:val="nil"/>
              <w:bottom w:val="single" w:sz="4" w:space="0" w:color="A6A6A6"/>
              <w:right w:val="single" w:sz="4" w:space="0" w:color="A6A6A6"/>
            </w:tcBorders>
            <w:shd w:val="clear" w:color="auto" w:fill="auto"/>
            <w:vAlign w:val="center"/>
            <w:hideMark/>
          </w:tcPr>
          <w:p w:rsidR="0011282F" w:rsidRPr="00A23824" w:rsidRDefault="004051B9" w:rsidP="00E55725">
            <w:pPr>
              <w:rPr>
                <w:rFonts w:ascii="Arial" w:hAnsi="Arial" w:cs="Arial"/>
              </w:rPr>
            </w:pPr>
            <w:r>
              <w:rPr>
                <w:rFonts w:ascii="Arial" w:hAnsi="Arial" w:cs="Arial"/>
              </w:rPr>
              <w:t>Septembre-novembre 2023</w:t>
            </w:r>
          </w:p>
        </w:tc>
      </w:tr>
      <w:tr w:rsidR="00171B46" w:rsidRPr="00A23824" w:rsidTr="00530081">
        <w:trPr>
          <w:trHeight w:val="765"/>
        </w:trPr>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171B46" w:rsidRPr="00A23824" w:rsidRDefault="00171B46" w:rsidP="00E55725">
            <w:pPr>
              <w:jc w:val="both"/>
              <w:rPr>
                <w:rFonts w:ascii="Arial" w:hAnsi="Arial" w:cs="Arial"/>
              </w:rPr>
            </w:pPr>
            <w:r w:rsidRPr="00A23824">
              <w:rPr>
                <w:rFonts w:ascii="Arial" w:hAnsi="Arial" w:cs="Arial"/>
              </w:rPr>
              <w:t xml:space="preserve">Revues </w:t>
            </w:r>
            <w:r w:rsidR="001655B0">
              <w:rPr>
                <w:rFonts w:ascii="Arial" w:hAnsi="Arial" w:cs="Arial"/>
              </w:rPr>
              <w:t>semestrielles</w:t>
            </w:r>
          </w:p>
        </w:tc>
        <w:tc>
          <w:tcPr>
            <w:tcW w:w="2551" w:type="dxa"/>
            <w:tcBorders>
              <w:top w:val="single" w:sz="4" w:space="0" w:color="BFBFBF"/>
              <w:left w:val="nil"/>
              <w:bottom w:val="single" w:sz="4" w:space="0" w:color="BFBFBF"/>
              <w:right w:val="single" w:sz="4" w:space="0" w:color="BFBFBF"/>
            </w:tcBorders>
            <w:shd w:val="clear" w:color="auto" w:fill="auto"/>
            <w:vAlign w:val="center"/>
          </w:tcPr>
          <w:p w:rsidR="00171B46" w:rsidRPr="00A23824" w:rsidRDefault="00171B46" w:rsidP="002A4056">
            <w:pPr>
              <w:rPr>
                <w:rFonts w:ascii="Arial" w:hAnsi="Arial" w:cs="Arial"/>
              </w:rPr>
            </w:pPr>
            <w:r w:rsidRPr="00A23824">
              <w:rPr>
                <w:rFonts w:ascii="Arial" w:hAnsi="Arial" w:cs="Arial"/>
              </w:rPr>
              <w:t>Rapports</w:t>
            </w:r>
          </w:p>
          <w:p w:rsidR="00171B46" w:rsidRPr="00A23824" w:rsidRDefault="00171B46" w:rsidP="00E55725">
            <w:pPr>
              <w:rPr>
                <w:rFonts w:ascii="Arial" w:hAnsi="Arial" w:cs="Arial"/>
              </w:rPr>
            </w:pPr>
            <w:r w:rsidRPr="00A23824">
              <w:rPr>
                <w:rFonts w:ascii="Arial" w:hAnsi="Arial" w:cs="Arial"/>
              </w:rPr>
              <w:t>Revues qualitatives</w:t>
            </w:r>
            <w:r w:rsidR="00A65A24" w:rsidRPr="00A23824">
              <w:rPr>
                <w:rFonts w:ascii="Arial" w:hAnsi="Arial" w:cs="Arial"/>
              </w:rPr>
              <w:t xml:space="preserve"> </w:t>
            </w:r>
          </w:p>
        </w:tc>
        <w:tc>
          <w:tcPr>
            <w:tcW w:w="1701" w:type="dxa"/>
            <w:tcBorders>
              <w:top w:val="single" w:sz="4" w:space="0" w:color="BFBFBF"/>
              <w:left w:val="nil"/>
              <w:bottom w:val="single" w:sz="4" w:space="0" w:color="BFBFBF"/>
              <w:right w:val="single" w:sz="4" w:space="0" w:color="BFBFBF"/>
            </w:tcBorders>
            <w:shd w:val="clear" w:color="auto" w:fill="auto"/>
            <w:noWrap/>
            <w:vAlign w:val="center"/>
          </w:tcPr>
          <w:p w:rsidR="00171B46" w:rsidRPr="00A23824" w:rsidRDefault="00E55725" w:rsidP="002A4056">
            <w:pPr>
              <w:jc w:val="center"/>
              <w:rPr>
                <w:rFonts w:ascii="Arial" w:hAnsi="Arial" w:cs="Arial"/>
              </w:rPr>
            </w:pPr>
            <w:r>
              <w:rPr>
                <w:rFonts w:ascii="Arial" w:hAnsi="Arial" w:cs="Arial"/>
              </w:rPr>
              <w:t>3</w:t>
            </w:r>
          </w:p>
        </w:tc>
        <w:tc>
          <w:tcPr>
            <w:tcW w:w="2552" w:type="dxa"/>
            <w:tcBorders>
              <w:top w:val="single" w:sz="4" w:space="0" w:color="BFBFBF"/>
              <w:left w:val="nil"/>
              <w:bottom w:val="single" w:sz="4" w:space="0" w:color="BFBFBF"/>
              <w:right w:val="single" w:sz="4" w:space="0" w:color="BFBFBF"/>
            </w:tcBorders>
            <w:shd w:val="clear" w:color="auto" w:fill="auto"/>
            <w:noWrap/>
            <w:vAlign w:val="center"/>
          </w:tcPr>
          <w:p w:rsidR="00171B46" w:rsidRPr="00A23824" w:rsidRDefault="00ED308B" w:rsidP="00E55725">
            <w:pPr>
              <w:rPr>
                <w:rFonts w:ascii="Arial" w:hAnsi="Arial" w:cs="Arial"/>
              </w:rPr>
            </w:pPr>
            <w:r>
              <w:rPr>
                <w:rFonts w:ascii="Arial" w:hAnsi="Arial" w:cs="Arial"/>
              </w:rPr>
              <w:t>2023-2024</w:t>
            </w:r>
          </w:p>
        </w:tc>
      </w:tr>
      <w:tr w:rsidR="0011282F" w:rsidRPr="00A23824" w:rsidTr="00530081">
        <w:trPr>
          <w:trHeight w:val="765"/>
        </w:trPr>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1282F" w:rsidRPr="00A23824" w:rsidRDefault="0011282F" w:rsidP="00F95A47">
            <w:pPr>
              <w:rPr>
                <w:rFonts w:ascii="Arial" w:hAnsi="Arial" w:cs="Arial"/>
              </w:rPr>
            </w:pPr>
            <w:r w:rsidRPr="00A23824">
              <w:rPr>
                <w:rFonts w:ascii="Arial" w:hAnsi="Arial" w:cs="Arial"/>
              </w:rPr>
              <w:t xml:space="preserve">Accompagnement du SERA </w:t>
            </w:r>
            <w:r w:rsidR="00171B46" w:rsidRPr="00A23824">
              <w:rPr>
                <w:rFonts w:ascii="Arial" w:hAnsi="Arial" w:cs="Arial"/>
              </w:rPr>
              <w:t>tout au long du</w:t>
            </w:r>
            <w:r w:rsidRPr="00A23824">
              <w:rPr>
                <w:rFonts w:ascii="Arial" w:hAnsi="Arial" w:cs="Arial"/>
              </w:rPr>
              <w:t xml:space="preserve"> projet</w:t>
            </w:r>
          </w:p>
        </w:tc>
        <w:tc>
          <w:tcPr>
            <w:tcW w:w="2551" w:type="dxa"/>
            <w:tcBorders>
              <w:top w:val="single" w:sz="4" w:space="0" w:color="BFBFBF"/>
              <w:left w:val="nil"/>
              <w:bottom w:val="single" w:sz="4" w:space="0" w:color="BFBFBF"/>
              <w:right w:val="single" w:sz="4" w:space="0" w:color="BFBFBF"/>
            </w:tcBorders>
            <w:shd w:val="clear" w:color="auto" w:fill="auto"/>
            <w:vAlign w:val="center"/>
            <w:hideMark/>
          </w:tcPr>
          <w:p w:rsidR="0011282F" w:rsidRPr="00A23824" w:rsidRDefault="00B651BF" w:rsidP="002A4056">
            <w:pPr>
              <w:rPr>
                <w:rFonts w:ascii="Arial" w:hAnsi="Arial" w:cs="Arial"/>
              </w:rPr>
            </w:pPr>
            <w:r w:rsidRPr="00A23824">
              <w:rPr>
                <w:rFonts w:ascii="Arial" w:hAnsi="Arial" w:cs="Arial"/>
              </w:rPr>
              <w:t xml:space="preserve">Vérification qualité des données </w:t>
            </w:r>
          </w:p>
          <w:p w:rsidR="00BA0D33" w:rsidRPr="00A23824" w:rsidRDefault="00BA0D33">
            <w:pPr>
              <w:rPr>
                <w:rFonts w:ascii="Arial" w:hAnsi="Arial" w:cs="Arial"/>
              </w:rPr>
            </w:pPr>
          </w:p>
        </w:tc>
        <w:tc>
          <w:tcPr>
            <w:tcW w:w="1701" w:type="dxa"/>
            <w:tcBorders>
              <w:top w:val="single" w:sz="4" w:space="0" w:color="BFBFBF"/>
              <w:left w:val="nil"/>
              <w:bottom w:val="single" w:sz="4" w:space="0" w:color="BFBFBF"/>
              <w:right w:val="single" w:sz="4" w:space="0" w:color="BFBFBF"/>
            </w:tcBorders>
            <w:shd w:val="clear" w:color="auto" w:fill="auto"/>
            <w:noWrap/>
            <w:vAlign w:val="center"/>
            <w:hideMark/>
          </w:tcPr>
          <w:p w:rsidR="0011282F" w:rsidRPr="00A23824" w:rsidRDefault="00842360" w:rsidP="002A4056">
            <w:pPr>
              <w:jc w:val="center"/>
              <w:rPr>
                <w:rFonts w:ascii="Arial" w:hAnsi="Arial" w:cs="Arial"/>
              </w:rPr>
            </w:pPr>
            <w:r>
              <w:rPr>
                <w:rFonts w:ascii="Arial" w:hAnsi="Arial" w:cs="Arial"/>
              </w:rPr>
              <w:t>6</w:t>
            </w:r>
          </w:p>
        </w:tc>
        <w:tc>
          <w:tcPr>
            <w:tcW w:w="2552" w:type="dxa"/>
            <w:tcBorders>
              <w:top w:val="single" w:sz="4" w:space="0" w:color="BFBFBF"/>
              <w:left w:val="nil"/>
              <w:bottom w:val="single" w:sz="4" w:space="0" w:color="BFBFBF"/>
              <w:right w:val="single" w:sz="4" w:space="0" w:color="BFBFBF"/>
            </w:tcBorders>
            <w:shd w:val="clear" w:color="auto" w:fill="auto"/>
            <w:noWrap/>
            <w:vAlign w:val="center"/>
            <w:hideMark/>
          </w:tcPr>
          <w:p w:rsidR="0011282F" w:rsidRPr="00A23824" w:rsidRDefault="004051B9" w:rsidP="00E55725">
            <w:pPr>
              <w:rPr>
                <w:rFonts w:ascii="Arial" w:hAnsi="Arial" w:cs="Arial"/>
              </w:rPr>
            </w:pPr>
            <w:r>
              <w:rPr>
                <w:rFonts w:ascii="Arial" w:hAnsi="Arial" w:cs="Arial"/>
              </w:rPr>
              <w:t>mars</w:t>
            </w:r>
            <w:r w:rsidR="00B651BF" w:rsidRPr="00A23824">
              <w:rPr>
                <w:rFonts w:ascii="Arial" w:hAnsi="Arial" w:cs="Arial"/>
              </w:rPr>
              <w:t xml:space="preserve"> 2023</w:t>
            </w:r>
            <w:r>
              <w:rPr>
                <w:rFonts w:ascii="Arial" w:hAnsi="Arial" w:cs="Arial"/>
              </w:rPr>
              <w:t xml:space="preserve"> à décembre 2024</w:t>
            </w:r>
          </w:p>
        </w:tc>
      </w:tr>
      <w:tr w:rsidR="00842360" w:rsidRPr="00A23824" w:rsidTr="00530081">
        <w:trPr>
          <w:trHeight w:val="765"/>
        </w:trPr>
        <w:tc>
          <w:tcPr>
            <w:tcW w:w="3119" w:type="dxa"/>
            <w:tcBorders>
              <w:top w:val="single" w:sz="4" w:space="0" w:color="BFBFBF"/>
              <w:left w:val="single" w:sz="4" w:space="0" w:color="BFBFBF"/>
              <w:bottom w:val="single" w:sz="4" w:space="0" w:color="BFBFBF"/>
              <w:right w:val="single" w:sz="4" w:space="0" w:color="BFBFBF"/>
            </w:tcBorders>
            <w:shd w:val="clear" w:color="auto" w:fill="auto"/>
            <w:vAlign w:val="center"/>
          </w:tcPr>
          <w:p w:rsidR="00842360" w:rsidRPr="00A23824" w:rsidRDefault="00842360" w:rsidP="00F95A47">
            <w:pPr>
              <w:rPr>
                <w:rFonts w:ascii="Arial" w:hAnsi="Arial" w:cs="Arial"/>
              </w:rPr>
            </w:pPr>
            <w:r>
              <w:rPr>
                <w:rFonts w:ascii="Arial" w:hAnsi="Arial" w:cs="Arial"/>
              </w:rPr>
              <w:lastRenderedPageBreak/>
              <w:t>Mise en place d’un dispositif de capitalisation du projet</w:t>
            </w:r>
          </w:p>
        </w:tc>
        <w:tc>
          <w:tcPr>
            <w:tcW w:w="2551" w:type="dxa"/>
            <w:tcBorders>
              <w:top w:val="single" w:sz="4" w:space="0" w:color="BFBFBF"/>
              <w:left w:val="nil"/>
              <w:bottom w:val="single" w:sz="4" w:space="0" w:color="BFBFBF"/>
              <w:right w:val="single" w:sz="4" w:space="0" w:color="BFBFBF"/>
            </w:tcBorders>
            <w:shd w:val="clear" w:color="auto" w:fill="auto"/>
            <w:vAlign w:val="center"/>
          </w:tcPr>
          <w:p w:rsidR="00842360" w:rsidRPr="00A23824" w:rsidRDefault="00842360" w:rsidP="002A4056">
            <w:pPr>
              <w:rPr>
                <w:rFonts w:ascii="Arial" w:hAnsi="Arial" w:cs="Arial"/>
              </w:rPr>
            </w:pPr>
            <w:r w:rsidRPr="00A23824">
              <w:rPr>
                <w:rFonts w:ascii="Arial" w:hAnsi="Arial" w:cs="Arial"/>
              </w:rPr>
              <w:t>Dispositif de capitalisation du projet formalisé</w:t>
            </w:r>
          </w:p>
        </w:tc>
        <w:tc>
          <w:tcPr>
            <w:tcW w:w="1701" w:type="dxa"/>
            <w:tcBorders>
              <w:top w:val="single" w:sz="4" w:space="0" w:color="BFBFBF"/>
              <w:left w:val="nil"/>
              <w:bottom w:val="single" w:sz="4" w:space="0" w:color="BFBFBF"/>
              <w:right w:val="single" w:sz="4" w:space="0" w:color="BFBFBF"/>
            </w:tcBorders>
            <w:shd w:val="clear" w:color="auto" w:fill="auto"/>
            <w:noWrap/>
            <w:vAlign w:val="center"/>
          </w:tcPr>
          <w:p w:rsidR="00842360" w:rsidRDefault="00842360" w:rsidP="002A4056">
            <w:pPr>
              <w:jc w:val="center"/>
              <w:rPr>
                <w:rFonts w:ascii="Arial" w:hAnsi="Arial" w:cs="Arial"/>
              </w:rPr>
            </w:pPr>
            <w:r>
              <w:rPr>
                <w:rFonts w:ascii="Arial" w:hAnsi="Arial" w:cs="Arial"/>
              </w:rPr>
              <w:t>3</w:t>
            </w:r>
          </w:p>
        </w:tc>
        <w:tc>
          <w:tcPr>
            <w:tcW w:w="2552" w:type="dxa"/>
            <w:tcBorders>
              <w:top w:val="single" w:sz="4" w:space="0" w:color="BFBFBF"/>
              <w:left w:val="nil"/>
              <w:bottom w:val="single" w:sz="4" w:space="0" w:color="BFBFBF"/>
              <w:right w:val="single" w:sz="4" w:space="0" w:color="BFBFBF"/>
            </w:tcBorders>
            <w:shd w:val="clear" w:color="auto" w:fill="auto"/>
            <w:noWrap/>
            <w:vAlign w:val="center"/>
          </w:tcPr>
          <w:p w:rsidR="00842360" w:rsidRDefault="00842360" w:rsidP="00E55725">
            <w:pPr>
              <w:rPr>
                <w:rFonts w:ascii="Arial" w:hAnsi="Arial" w:cs="Arial"/>
              </w:rPr>
            </w:pPr>
            <w:r>
              <w:rPr>
                <w:rFonts w:ascii="Arial" w:hAnsi="Arial" w:cs="Arial"/>
              </w:rPr>
              <w:t>Septembre à décembre 2024</w:t>
            </w:r>
          </w:p>
        </w:tc>
      </w:tr>
      <w:tr w:rsidR="0011282F" w:rsidRPr="00A23824" w:rsidTr="00530081">
        <w:trPr>
          <w:trHeight w:val="510"/>
        </w:trPr>
        <w:tc>
          <w:tcPr>
            <w:tcW w:w="3119" w:type="dxa"/>
            <w:tcBorders>
              <w:top w:val="nil"/>
              <w:left w:val="nil"/>
              <w:bottom w:val="nil"/>
              <w:right w:val="nil"/>
            </w:tcBorders>
            <w:shd w:val="clear" w:color="auto" w:fill="auto"/>
            <w:vAlign w:val="center"/>
            <w:hideMark/>
          </w:tcPr>
          <w:p w:rsidR="0011282F" w:rsidRPr="00A23824" w:rsidRDefault="0011282F" w:rsidP="00A23824">
            <w:pPr>
              <w:jc w:val="both"/>
              <w:rPr>
                <w:rFonts w:ascii="Arial" w:hAnsi="Arial" w:cs="Arial"/>
              </w:rPr>
            </w:pPr>
          </w:p>
        </w:tc>
        <w:tc>
          <w:tcPr>
            <w:tcW w:w="2551" w:type="dxa"/>
            <w:tcBorders>
              <w:top w:val="nil"/>
              <w:left w:val="nil"/>
              <w:bottom w:val="nil"/>
              <w:right w:val="nil"/>
            </w:tcBorders>
            <w:shd w:val="clear" w:color="auto" w:fill="auto"/>
            <w:vAlign w:val="center"/>
            <w:hideMark/>
          </w:tcPr>
          <w:p w:rsidR="0011282F" w:rsidRPr="00A23824" w:rsidRDefault="0011282F" w:rsidP="00A23824">
            <w:pPr>
              <w:jc w:val="both"/>
              <w:rPr>
                <w:rFonts w:ascii="Arial" w:hAnsi="Arial" w:cs="Arial"/>
              </w:rPr>
            </w:pPr>
            <w:r w:rsidRPr="00A23824">
              <w:rPr>
                <w:rFonts w:ascii="Arial" w:hAnsi="Arial" w:cs="Arial"/>
              </w:rPr>
              <w:t>TOTAL</w:t>
            </w:r>
          </w:p>
        </w:tc>
        <w:tc>
          <w:tcPr>
            <w:tcW w:w="1701" w:type="dxa"/>
            <w:tcBorders>
              <w:top w:val="nil"/>
              <w:left w:val="nil"/>
              <w:bottom w:val="nil"/>
              <w:right w:val="nil"/>
            </w:tcBorders>
            <w:shd w:val="clear" w:color="auto" w:fill="auto"/>
            <w:noWrap/>
            <w:vAlign w:val="center"/>
            <w:hideMark/>
          </w:tcPr>
          <w:p w:rsidR="0011282F" w:rsidRPr="00A23824" w:rsidRDefault="002A4056" w:rsidP="002A4056">
            <w:pPr>
              <w:jc w:val="center"/>
              <w:rPr>
                <w:rFonts w:ascii="Arial" w:hAnsi="Arial" w:cs="Arial"/>
              </w:rPr>
            </w:pPr>
            <w:r>
              <w:rPr>
                <w:rFonts w:ascii="Arial" w:hAnsi="Arial" w:cs="Arial"/>
              </w:rPr>
              <w:t>30</w:t>
            </w:r>
          </w:p>
        </w:tc>
        <w:tc>
          <w:tcPr>
            <w:tcW w:w="2552" w:type="dxa"/>
            <w:tcBorders>
              <w:top w:val="nil"/>
              <w:left w:val="nil"/>
              <w:bottom w:val="nil"/>
              <w:right w:val="nil"/>
            </w:tcBorders>
            <w:shd w:val="clear" w:color="auto" w:fill="auto"/>
            <w:vAlign w:val="center"/>
            <w:hideMark/>
          </w:tcPr>
          <w:p w:rsidR="0011282F" w:rsidRPr="00A23824" w:rsidRDefault="002A4056" w:rsidP="00A23824">
            <w:pPr>
              <w:jc w:val="both"/>
              <w:rPr>
                <w:rFonts w:ascii="Arial" w:hAnsi="Arial" w:cs="Arial"/>
              </w:rPr>
            </w:pPr>
            <w:r>
              <w:rPr>
                <w:rFonts w:ascii="Arial" w:hAnsi="Arial" w:cs="Arial"/>
              </w:rPr>
              <w:t>2023-2024</w:t>
            </w:r>
          </w:p>
        </w:tc>
      </w:tr>
    </w:tbl>
    <w:p w:rsidR="0011282F" w:rsidRPr="00530081" w:rsidRDefault="00530081" w:rsidP="00530081">
      <w:pPr>
        <w:pStyle w:val="Paragraphedeliste"/>
        <w:numPr>
          <w:ilvl w:val="0"/>
          <w:numId w:val="23"/>
        </w:numPr>
        <w:spacing w:line="276" w:lineRule="auto"/>
        <w:jc w:val="both"/>
        <w:rPr>
          <w:rFonts w:ascii="Arial" w:hAnsi="Arial" w:cs="Arial"/>
          <w:b/>
        </w:rPr>
      </w:pPr>
      <w:r w:rsidRPr="00530081">
        <w:rPr>
          <w:rFonts w:ascii="Arial" w:hAnsi="Arial" w:cs="Arial"/>
          <w:b/>
        </w:rPr>
        <w:t>Expertise attendue</w:t>
      </w:r>
    </w:p>
    <w:p w:rsidR="00530081" w:rsidRDefault="00530081" w:rsidP="00A23824">
      <w:pPr>
        <w:jc w:val="both"/>
        <w:rPr>
          <w:rFonts w:ascii="Arial" w:hAnsi="Arial" w:cs="Arial"/>
          <w:b/>
          <w:u w:val="single"/>
        </w:rPr>
      </w:pPr>
    </w:p>
    <w:p w:rsidR="006F6648" w:rsidRPr="00A23824" w:rsidRDefault="006F6648" w:rsidP="00A23824">
      <w:pPr>
        <w:jc w:val="both"/>
        <w:rPr>
          <w:rFonts w:ascii="Arial" w:hAnsi="Arial" w:cs="Arial"/>
        </w:rPr>
      </w:pPr>
      <w:r w:rsidRPr="002A4056">
        <w:rPr>
          <w:rFonts w:ascii="Arial" w:hAnsi="Arial" w:cs="Arial"/>
          <w:b/>
          <w:u w:val="single"/>
        </w:rPr>
        <w:t>Qualifications et compétences</w:t>
      </w:r>
      <w:r w:rsidRPr="00A23824">
        <w:rPr>
          <w:rFonts w:ascii="Arial" w:hAnsi="Arial" w:cs="Arial"/>
        </w:rPr>
        <w:t>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Diplôme de l’enseignement supérieur niveau Master en coopération internationale, développement, gestion de projets ou tout autre domaine pertinent pour la mission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Expérience préalable dans les projets de coopération et d’assistance technique multilatérale et/ou dans une organisation internationale</w:t>
      </w:r>
      <w:r w:rsidR="00D21C0F" w:rsidRPr="001655B0">
        <w:rPr>
          <w:rFonts w:ascii="Arial" w:hAnsi="Arial" w:cs="Arial"/>
        </w:rPr>
        <w:t xml:space="preserve"> et/ou administration publique </w:t>
      </w:r>
      <w:r w:rsidR="00424BFD" w:rsidRPr="001655B0">
        <w:rPr>
          <w:rFonts w:ascii="Arial" w:hAnsi="Arial" w:cs="Arial"/>
        </w:rPr>
        <w:t xml:space="preserve">et/ou une structure de formation </w:t>
      </w:r>
      <w:r w:rsidR="00D21C0F" w:rsidRPr="001655B0">
        <w:rPr>
          <w:rFonts w:ascii="Arial" w:hAnsi="Arial" w:cs="Arial"/>
        </w:rPr>
        <w:t>;</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Expérience préalable minimum de 5 ans sur les problématiques de suivi, évaluation, capitalisation et apprentissages collectifs ;</w:t>
      </w:r>
      <w:r w:rsidR="004821B5" w:rsidRPr="001655B0">
        <w:rPr>
          <w:rFonts w:ascii="Arial" w:hAnsi="Arial" w:cs="Arial"/>
        </w:rPr>
        <w:t xml:space="preserve"> </w:t>
      </w:r>
    </w:p>
    <w:p w:rsidR="00C567BE" w:rsidRPr="001655B0" w:rsidRDefault="00C567BE" w:rsidP="001655B0">
      <w:pPr>
        <w:pStyle w:val="Paragraphedeliste"/>
        <w:numPr>
          <w:ilvl w:val="0"/>
          <w:numId w:val="27"/>
        </w:numPr>
        <w:jc w:val="both"/>
        <w:rPr>
          <w:rFonts w:ascii="Arial" w:hAnsi="Arial" w:cs="Arial"/>
        </w:rPr>
      </w:pPr>
      <w:r w:rsidRPr="001655B0">
        <w:rPr>
          <w:rFonts w:ascii="Arial" w:hAnsi="Arial" w:cs="Arial"/>
        </w:rPr>
        <w:t xml:space="preserve">Expérience préalable dans les pays </w:t>
      </w:r>
      <w:r w:rsidR="001655B0" w:rsidRPr="001655B0">
        <w:rPr>
          <w:rFonts w:ascii="Arial" w:hAnsi="Arial" w:cs="Arial"/>
        </w:rPr>
        <w:t>du Maghreb</w:t>
      </w:r>
      <w:r w:rsidRPr="001655B0">
        <w:rPr>
          <w:rFonts w:ascii="Arial" w:hAnsi="Arial" w:cs="Arial"/>
        </w:rPr>
        <w:t xml:space="preserve"> souhaitée</w:t>
      </w:r>
      <w:r w:rsidR="00424BFD" w:rsidRPr="001655B0">
        <w:rPr>
          <w:rFonts w:ascii="Arial" w:hAnsi="Arial" w:cs="Arial"/>
        </w:rPr>
        <w:t>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Bonnes connaissances des méthodes et outils de suivi-évaluation redevabilité et apprentissage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Maitrise des outils de conception de projet : cadre logique, théorie du changement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 xml:space="preserve">Maîtrise de logiciels pertinents pour la mission : </w:t>
      </w:r>
      <w:proofErr w:type="spellStart"/>
      <w:r w:rsidRPr="001655B0">
        <w:rPr>
          <w:rFonts w:ascii="Arial" w:hAnsi="Arial" w:cs="Arial"/>
        </w:rPr>
        <w:t>Kobo</w:t>
      </w:r>
      <w:proofErr w:type="spellEnd"/>
      <w:r w:rsidRPr="001655B0">
        <w:rPr>
          <w:rFonts w:ascii="Arial" w:hAnsi="Arial" w:cs="Arial"/>
        </w:rPr>
        <w:t>/ODK, Power-BI,</w:t>
      </w:r>
      <w:r w:rsidR="008713BE">
        <w:rPr>
          <w:rFonts w:ascii="Arial" w:hAnsi="Arial" w:cs="Arial"/>
        </w:rPr>
        <w:t xml:space="preserve"> OPSYS,</w:t>
      </w:r>
      <w:r w:rsidRPr="001655B0">
        <w:rPr>
          <w:rFonts w:ascii="Arial" w:hAnsi="Arial" w:cs="Arial"/>
        </w:rPr>
        <w:t xml:space="preserve"> etc.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Bonne capacité en animation de processus et planification participative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Aptitude à faire adhérer l'équipe aux processus de suivi et aux usages des outils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 xml:space="preserve">Parfaite maitrise du français, </w:t>
      </w:r>
      <w:r w:rsidR="00723F0D" w:rsidRPr="001655B0">
        <w:rPr>
          <w:rFonts w:ascii="Arial" w:hAnsi="Arial" w:cs="Arial"/>
        </w:rPr>
        <w:t xml:space="preserve">notamment </w:t>
      </w:r>
      <w:r w:rsidRPr="001655B0">
        <w:rPr>
          <w:rFonts w:ascii="Arial" w:hAnsi="Arial" w:cs="Arial"/>
        </w:rPr>
        <w:t xml:space="preserve">une excellente capacité de rédaction et de </w:t>
      </w:r>
      <w:proofErr w:type="spellStart"/>
      <w:r w:rsidRPr="001655B0">
        <w:rPr>
          <w:rFonts w:ascii="Arial" w:hAnsi="Arial" w:cs="Arial"/>
        </w:rPr>
        <w:t>reporting</w:t>
      </w:r>
      <w:proofErr w:type="spellEnd"/>
      <w:r w:rsidR="00424BFD" w:rsidRPr="001655B0">
        <w:rPr>
          <w:rFonts w:ascii="Arial" w:hAnsi="Arial" w:cs="Arial"/>
        </w:rPr>
        <w:t> ;</w:t>
      </w:r>
      <w:r w:rsidRPr="001655B0">
        <w:rPr>
          <w:rFonts w:ascii="Arial" w:hAnsi="Arial" w:cs="Arial"/>
        </w:rPr>
        <w:t xml:space="preserve">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Capacité d’adaptation, sens de l’organisation et de l’anticipation</w:t>
      </w:r>
      <w:r w:rsidR="00424BFD" w:rsidRPr="001655B0">
        <w:rPr>
          <w:rFonts w:ascii="Arial" w:hAnsi="Arial" w:cs="Arial"/>
        </w:rPr>
        <w:t> ;</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Dynami</w:t>
      </w:r>
      <w:r w:rsidR="00424BFD" w:rsidRPr="001655B0">
        <w:rPr>
          <w:rFonts w:ascii="Arial" w:hAnsi="Arial" w:cs="Arial"/>
        </w:rPr>
        <w:t>sme, autonomie, e</w:t>
      </w:r>
      <w:r w:rsidRPr="001655B0">
        <w:rPr>
          <w:rFonts w:ascii="Arial" w:hAnsi="Arial" w:cs="Arial"/>
        </w:rPr>
        <w:t>sprit d’initiative et créativité</w:t>
      </w:r>
      <w:r w:rsidR="00424BFD" w:rsidRPr="001655B0">
        <w:rPr>
          <w:rFonts w:ascii="Arial" w:hAnsi="Arial" w:cs="Arial"/>
        </w:rPr>
        <w:t>,</w:t>
      </w:r>
    </w:p>
    <w:p w:rsidR="006F6648" w:rsidRPr="001655B0" w:rsidRDefault="006F6648" w:rsidP="001655B0">
      <w:pPr>
        <w:pStyle w:val="Paragraphedeliste"/>
        <w:numPr>
          <w:ilvl w:val="0"/>
          <w:numId w:val="27"/>
        </w:numPr>
        <w:jc w:val="both"/>
        <w:rPr>
          <w:rFonts w:ascii="Arial" w:hAnsi="Arial" w:cs="Arial"/>
        </w:rPr>
      </w:pPr>
      <w:r w:rsidRPr="001655B0">
        <w:rPr>
          <w:rFonts w:ascii="Arial" w:hAnsi="Arial" w:cs="Arial"/>
        </w:rPr>
        <w:t>Très bon relationnel et esprit d’équipe</w:t>
      </w:r>
    </w:p>
    <w:p w:rsidR="006F6648" w:rsidRDefault="006F6648" w:rsidP="00A23824">
      <w:pPr>
        <w:jc w:val="both"/>
        <w:rPr>
          <w:rFonts w:ascii="Arial" w:hAnsi="Arial" w:cs="Arial"/>
        </w:rPr>
      </w:pPr>
    </w:p>
    <w:p w:rsidR="008713BE" w:rsidRDefault="008713BE" w:rsidP="00A23824">
      <w:pPr>
        <w:jc w:val="both"/>
        <w:rPr>
          <w:rFonts w:ascii="Arial" w:hAnsi="Arial" w:cs="Arial"/>
        </w:rPr>
      </w:pPr>
    </w:p>
    <w:p w:rsidR="008713BE" w:rsidRPr="00A926B9" w:rsidRDefault="00842360" w:rsidP="00A23824">
      <w:pPr>
        <w:jc w:val="both"/>
        <w:rPr>
          <w:rFonts w:ascii="Arial" w:hAnsi="Arial" w:cs="Arial"/>
          <w:b/>
        </w:rPr>
      </w:pPr>
      <w:r>
        <w:rPr>
          <w:rFonts w:ascii="Arial" w:hAnsi="Arial" w:cs="Arial"/>
          <w:b/>
        </w:rPr>
        <w:t xml:space="preserve">IX - </w:t>
      </w:r>
      <w:r w:rsidR="008713BE" w:rsidRPr="00A926B9">
        <w:rPr>
          <w:rFonts w:ascii="Arial" w:hAnsi="Arial" w:cs="Arial"/>
          <w:b/>
        </w:rPr>
        <w:t>Modalités de candidature</w:t>
      </w:r>
    </w:p>
    <w:p w:rsidR="008713BE" w:rsidRDefault="008713BE" w:rsidP="00A926B9">
      <w:pPr>
        <w:pStyle w:val="Paragraphedeliste"/>
        <w:numPr>
          <w:ilvl w:val="0"/>
          <w:numId w:val="27"/>
        </w:numPr>
        <w:jc w:val="both"/>
        <w:rPr>
          <w:rFonts w:ascii="Arial" w:hAnsi="Arial" w:cs="Arial"/>
        </w:rPr>
      </w:pPr>
      <w:r>
        <w:rPr>
          <w:rFonts w:ascii="Arial" w:hAnsi="Arial" w:cs="Arial"/>
        </w:rPr>
        <w:t>CV</w:t>
      </w:r>
    </w:p>
    <w:p w:rsidR="008713BE" w:rsidRDefault="008713BE" w:rsidP="00A926B9">
      <w:pPr>
        <w:pStyle w:val="Paragraphedeliste"/>
        <w:numPr>
          <w:ilvl w:val="0"/>
          <w:numId w:val="27"/>
        </w:numPr>
        <w:jc w:val="both"/>
        <w:rPr>
          <w:rFonts w:ascii="Arial" w:hAnsi="Arial" w:cs="Arial"/>
        </w:rPr>
      </w:pPr>
      <w:r>
        <w:rPr>
          <w:rFonts w:ascii="Arial" w:hAnsi="Arial" w:cs="Arial"/>
        </w:rPr>
        <w:t>Offre technique courte</w:t>
      </w:r>
      <w:r w:rsidR="00531707">
        <w:rPr>
          <w:rFonts w:ascii="Arial" w:hAnsi="Arial" w:cs="Arial"/>
        </w:rPr>
        <w:t xml:space="preserve"> (Méthodologie proposée, compréhension des </w:t>
      </w:r>
      <w:proofErr w:type="spellStart"/>
      <w:r w:rsidR="00531707">
        <w:rPr>
          <w:rFonts w:ascii="Arial" w:hAnsi="Arial" w:cs="Arial"/>
        </w:rPr>
        <w:t>TdR</w:t>
      </w:r>
      <w:proofErr w:type="spellEnd"/>
      <w:r w:rsidR="00531707">
        <w:rPr>
          <w:rFonts w:ascii="Arial" w:hAnsi="Arial" w:cs="Arial"/>
        </w:rPr>
        <w:t xml:space="preserve"> et expériences similaires)</w:t>
      </w:r>
    </w:p>
    <w:p w:rsidR="008713BE" w:rsidRDefault="008713BE" w:rsidP="00A926B9">
      <w:pPr>
        <w:pStyle w:val="Paragraphedeliste"/>
        <w:numPr>
          <w:ilvl w:val="0"/>
          <w:numId w:val="27"/>
        </w:numPr>
        <w:jc w:val="both"/>
        <w:rPr>
          <w:rFonts w:ascii="Arial" w:hAnsi="Arial" w:cs="Arial"/>
        </w:rPr>
      </w:pPr>
      <w:r>
        <w:rPr>
          <w:rFonts w:ascii="Arial" w:hAnsi="Arial" w:cs="Arial"/>
        </w:rPr>
        <w:t>Offre financière, incluant les honoraires</w:t>
      </w:r>
      <w:r w:rsidR="00482688">
        <w:rPr>
          <w:rFonts w:ascii="Arial" w:hAnsi="Arial" w:cs="Arial"/>
        </w:rPr>
        <w:t xml:space="preserve"> et les frais de voyages</w:t>
      </w:r>
    </w:p>
    <w:p w:rsidR="00842360" w:rsidRDefault="00842360" w:rsidP="00842360">
      <w:pPr>
        <w:jc w:val="both"/>
        <w:rPr>
          <w:rFonts w:ascii="Arial" w:hAnsi="Arial" w:cs="Arial"/>
        </w:rPr>
      </w:pPr>
    </w:p>
    <w:p w:rsidR="00842360" w:rsidRDefault="00842360" w:rsidP="00842360">
      <w:pPr>
        <w:jc w:val="both"/>
        <w:rPr>
          <w:rFonts w:ascii="Arial" w:hAnsi="Arial" w:cs="Arial"/>
        </w:rPr>
      </w:pPr>
    </w:p>
    <w:p w:rsidR="00E01DF6" w:rsidRDefault="00E01DF6">
      <w:pPr>
        <w:rPr>
          <w:rFonts w:ascii="Arial" w:hAnsi="Arial" w:cs="Arial"/>
        </w:rPr>
        <w:sectPr w:rsidR="00E01DF6">
          <w:headerReference w:type="default" r:id="rId8"/>
          <w:footerReference w:type="default" r:id="rId9"/>
          <w:pgSz w:w="11906" w:h="16838"/>
          <w:pgMar w:top="1417" w:right="1417" w:bottom="1417" w:left="1417" w:header="708" w:footer="708" w:gutter="0"/>
          <w:cols w:space="708"/>
          <w:docGrid w:linePitch="360"/>
        </w:sectPr>
      </w:pPr>
    </w:p>
    <w:p w:rsidR="00842360" w:rsidRDefault="00842360" w:rsidP="00842360">
      <w:pPr>
        <w:jc w:val="both"/>
        <w:rPr>
          <w:rFonts w:ascii="Arial" w:eastAsia="Arial" w:hAnsi="Arial" w:cs="Arial"/>
          <w:b/>
          <w:sz w:val="32"/>
          <w:szCs w:val="32"/>
          <w:lang w:val="fr" w:eastAsia="fr-FR"/>
        </w:rPr>
      </w:pPr>
      <w:r w:rsidRPr="00E01DF6">
        <w:rPr>
          <w:rFonts w:ascii="Arial" w:eastAsia="Arial" w:hAnsi="Arial" w:cs="Arial"/>
          <w:b/>
          <w:sz w:val="32"/>
          <w:szCs w:val="32"/>
          <w:lang w:val="fr" w:eastAsia="fr-FR"/>
        </w:rPr>
        <w:lastRenderedPageBreak/>
        <w:t>Annexe n°1 : Cadre logique du projet</w:t>
      </w:r>
    </w:p>
    <w:tbl>
      <w:tblPr>
        <w:tblpPr w:leftFromText="141" w:rightFromText="141" w:vertAnchor="text" w:horzAnchor="margin" w:tblpY="47"/>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808"/>
        <w:gridCol w:w="2017"/>
        <w:gridCol w:w="1821"/>
        <w:gridCol w:w="2017"/>
        <w:gridCol w:w="2571"/>
        <w:gridCol w:w="1807"/>
      </w:tblGrid>
      <w:tr w:rsidR="003A0B1B" w:rsidRPr="00ED4C1E" w:rsidTr="002D0E04">
        <w:trPr>
          <w:tblHeader/>
        </w:trPr>
        <w:tc>
          <w:tcPr>
            <w:tcW w:w="352" w:type="pct"/>
            <w:tcBorders>
              <w:bottom w:val="single" w:sz="4" w:space="0" w:color="auto"/>
            </w:tcBorders>
            <w:shd w:val="clear" w:color="auto" w:fill="BFBFBF"/>
          </w:tcPr>
          <w:p w:rsidR="003A0B1B" w:rsidRPr="00ED4C1E" w:rsidRDefault="003A0B1B" w:rsidP="003A0B1B">
            <w:pPr>
              <w:spacing w:after="0" w:line="240" w:lineRule="auto"/>
              <w:rPr>
                <w:rFonts w:eastAsia="Times New Roman" w:cs="Calibri Light"/>
                <w:b/>
                <w:sz w:val="24"/>
                <w:lang w:eastAsia="en-GB"/>
              </w:rPr>
            </w:pPr>
          </w:p>
        </w:tc>
        <w:tc>
          <w:tcPr>
            <w:tcW w:w="1017" w:type="pct"/>
            <w:tcBorders>
              <w:bottom w:val="single" w:sz="4" w:space="0" w:color="auto"/>
            </w:tcBorders>
            <w:shd w:val="clear" w:color="auto" w:fill="BFBFBF"/>
          </w:tcPr>
          <w:p w:rsidR="003A0B1B" w:rsidRPr="00DB3ACD" w:rsidRDefault="003A0B1B" w:rsidP="003A0B1B">
            <w:pPr>
              <w:spacing w:after="0" w:line="240" w:lineRule="auto"/>
              <w:jc w:val="center"/>
              <w:rPr>
                <w:rFonts w:eastAsia="Times New Roman" w:cs="Calibri Light"/>
                <w:b/>
                <w:sz w:val="20"/>
                <w:lang w:eastAsia="en-GB"/>
              </w:rPr>
            </w:pPr>
            <w:r w:rsidRPr="00DB3ACD">
              <w:rPr>
                <w:rFonts w:eastAsia="Times New Roman" w:cs="Calibri Light"/>
                <w:b/>
                <w:sz w:val="20"/>
                <w:lang w:eastAsia="en-GB"/>
              </w:rPr>
              <w:t>Chaîne de résultats</w:t>
            </w:r>
          </w:p>
        </w:tc>
        <w:tc>
          <w:tcPr>
            <w:tcW w:w="734" w:type="pct"/>
            <w:tcBorders>
              <w:bottom w:val="single" w:sz="4" w:space="0" w:color="auto"/>
            </w:tcBorders>
            <w:shd w:val="clear" w:color="auto" w:fill="BFBFBF"/>
          </w:tcPr>
          <w:p w:rsidR="003A0B1B" w:rsidRPr="00DB3ACD" w:rsidRDefault="003A0B1B" w:rsidP="003A0B1B">
            <w:pPr>
              <w:spacing w:after="0" w:line="240" w:lineRule="auto"/>
              <w:jc w:val="center"/>
              <w:rPr>
                <w:rFonts w:eastAsia="Times New Roman" w:cs="Calibri Light"/>
                <w:b/>
                <w:sz w:val="20"/>
                <w:lang w:eastAsia="en-GB"/>
              </w:rPr>
            </w:pPr>
            <w:r w:rsidRPr="00DB3ACD">
              <w:rPr>
                <w:rFonts w:eastAsia="Times New Roman" w:cs="Calibri Light"/>
                <w:b/>
                <w:sz w:val="20"/>
                <w:lang w:eastAsia="en-GB"/>
              </w:rPr>
              <w:t>Indicateurs</w:t>
            </w:r>
          </w:p>
        </w:tc>
        <w:tc>
          <w:tcPr>
            <w:tcW w:w="664" w:type="pct"/>
            <w:tcBorders>
              <w:bottom w:val="single" w:sz="4" w:space="0" w:color="auto"/>
            </w:tcBorders>
            <w:shd w:val="clear" w:color="auto" w:fill="BFBFBF"/>
          </w:tcPr>
          <w:p w:rsidR="003A0B1B" w:rsidRPr="00DB3ACD" w:rsidRDefault="003A0B1B" w:rsidP="003A0B1B">
            <w:pPr>
              <w:spacing w:after="0" w:line="240" w:lineRule="auto"/>
              <w:jc w:val="center"/>
              <w:rPr>
                <w:rFonts w:eastAsia="Times New Roman" w:cs="Calibri Light"/>
                <w:b/>
                <w:sz w:val="20"/>
                <w:lang w:eastAsia="en-GB"/>
              </w:rPr>
            </w:pPr>
            <w:r w:rsidRPr="00DB3ACD">
              <w:rPr>
                <w:rFonts w:eastAsia="Times New Roman" w:cs="Calibri Light"/>
                <w:b/>
                <w:sz w:val="20"/>
                <w:lang w:eastAsia="en-GB"/>
              </w:rPr>
              <w:t>Points de référence</w:t>
            </w:r>
          </w:p>
          <w:p w:rsidR="003A0B1B" w:rsidRPr="00DB3ACD" w:rsidRDefault="003A0B1B" w:rsidP="003A0B1B">
            <w:pPr>
              <w:spacing w:after="0" w:line="240" w:lineRule="auto"/>
              <w:jc w:val="center"/>
              <w:rPr>
                <w:rFonts w:eastAsia="Times New Roman" w:cs="Calibri Light"/>
                <w:b/>
                <w:sz w:val="16"/>
                <w:szCs w:val="16"/>
                <w:lang w:eastAsia="en-GB"/>
              </w:rPr>
            </w:pPr>
            <w:r w:rsidRPr="00DB3ACD">
              <w:rPr>
                <w:rFonts w:eastAsia="Times New Roman" w:cs="Calibri Light"/>
                <w:b/>
                <w:sz w:val="16"/>
                <w:szCs w:val="16"/>
                <w:lang w:eastAsia="en-GB"/>
              </w:rPr>
              <w:t>(2020)</w:t>
            </w:r>
          </w:p>
        </w:tc>
        <w:tc>
          <w:tcPr>
            <w:tcW w:w="734" w:type="pct"/>
            <w:tcBorders>
              <w:bottom w:val="single" w:sz="4" w:space="0" w:color="auto"/>
            </w:tcBorders>
            <w:shd w:val="clear" w:color="auto" w:fill="BFBFBF"/>
          </w:tcPr>
          <w:p w:rsidR="003A0B1B" w:rsidRPr="00DB3ACD" w:rsidRDefault="003A0B1B" w:rsidP="003A0B1B">
            <w:pPr>
              <w:spacing w:after="0" w:line="240" w:lineRule="auto"/>
              <w:jc w:val="center"/>
              <w:rPr>
                <w:rFonts w:eastAsia="Times New Roman" w:cs="Calibri Light"/>
                <w:b/>
                <w:sz w:val="16"/>
                <w:szCs w:val="16"/>
                <w:lang w:eastAsia="en-GB"/>
              </w:rPr>
            </w:pPr>
            <w:r w:rsidRPr="00DB3ACD">
              <w:rPr>
                <w:rFonts w:eastAsia="Times New Roman" w:cs="Calibri Light"/>
                <w:b/>
                <w:sz w:val="20"/>
                <w:lang w:eastAsia="en-GB"/>
              </w:rPr>
              <w:t>Cibles</w:t>
            </w:r>
          </w:p>
          <w:p w:rsidR="003A0B1B" w:rsidRPr="00DB3ACD" w:rsidRDefault="003A0B1B" w:rsidP="003A0B1B">
            <w:pPr>
              <w:spacing w:after="0" w:line="240" w:lineRule="auto"/>
              <w:jc w:val="center"/>
              <w:rPr>
                <w:rFonts w:eastAsia="Times New Roman" w:cs="Calibri Light"/>
                <w:b/>
                <w:sz w:val="16"/>
                <w:szCs w:val="16"/>
                <w:lang w:eastAsia="en-GB"/>
              </w:rPr>
            </w:pPr>
            <w:r w:rsidRPr="00DB3ACD">
              <w:rPr>
                <w:rFonts w:eastAsia="Times New Roman" w:cs="Calibri Light"/>
                <w:b/>
                <w:sz w:val="16"/>
                <w:szCs w:val="16"/>
                <w:lang w:eastAsia="en-GB"/>
              </w:rPr>
              <w:t>(2024)</w:t>
            </w:r>
          </w:p>
        </w:tc>
        <w:tc>
          <w:tcPr>
            <w:tcW w:w="840" w:type="pct"/>
            <w:tcBorders>
              <w:bottom w:val="single" w:sz="4" w:space="0" w:color="auto"/>
            </w:tcBorders>
            <w:shd w:val="clear" w:color="auto" w:fill="BFBFBF"/>
          </w:tcPr>
          <w:p w:rsidR="003A0B1B" w:rsidRPr="00DB3ACD" w:rsidRDefault="003A0B1B" w:rsidP="003A0B1B">
            <w:pPr>
              <w:spacing w:after="0" w:line="240" w:lineRule="auto"/>
              <w:jc w:val="center"/>
              <w:rPr>
                <w:rFonts w:eastAsia="Times New Roman" w:cs="Calibri Light"/>
                <w:b/>
                <w:sz w:val="20"/>
                <w:lang w:eastAsia="en-GB"/>
              </w:rPr>
            </w:pPr>
            <w:r w:rsidRPr="00DB3ACD">
              <w:rPr>
                <w:rFonts w:eastAsia="Times New Roman" w:cs="Calibri Light"/>
                <w:b/>
                <w:sz w:val="20"/>
                <w:lang w:eastAsia="en-GB"/>
              </w:rPr>
              <w:t>Sources et moyens de vérification</w:t>
            </w:r>
          </w:p>
        </w:tc>
        <w:tc>
          <w:tcPr>
            <w:tcW w:w="660" w:type="pct"/>
            <w:shd w:val="clear" w:color="auto" w:fill="BFBFBF"/>
          </w:tcPr>
          <w:p w:rsidR="003A0B1B" w:rsidRPr="00DB3ACD" w:rsidRDefault="003A0B1B" w:rsidP="003A0B1B">
            <w:pPr>
              <w:spacing w:after="0" w:line="240" w:lineRule="auto"/>
              <w:jc w:val="center"/>
              <w:rPr>
                <w:rFonts w:eastAsia="Times New Roman" w:cs="Calibri Light"/>
                <w:b/>
                <w:sz w:val="20"/>
                <w:lang w:eastAsia="en-GB"/>
              </w:rPr>
            </w:pPr>
            <w:r w:rsidRPr="00DB3ACD">
              <w:rPr>
                <w:rFonts w:eastAsia="Times New Roman" w:cs="Calibri Light"/>
                <w:b/>
                <w:sz w:val="20"/>
                <w:lang w:eastAsia="en-GB"/>
              </w:rPr>
              <w:t>Hypothèses</w:t>
            </w:r>
          </w:p>
        </w:tc>
      </w:tr>
      <w:tr w:rsidR="003A0B1B" w:rsidRPr="00ED4C1E" w:rsidTr="002D0E04">
        <w:trPr>
          <w:trHeight w:val="1125"/>
          <w:tblHeader/>
        </w:trPr>
        <w:tc>
          <w:tcPr>
            <w:tcW w:w="352" w:type="pct"/>
            <w:shd w:val="clear" w:color="auto" w:fill="D9D9D9"/>
            <w:textDirection w:val="btLr"/>
          </w:tcPr>
          <w:p w:rsidR="003A0B1B" w:rsidRPr="00DB3ACD" w:rsidRDefault="003A0B1B" w:rsidP="003A0B1B">
            <w:pPr>
              <w:tabs>
                <w:tab w:val="left" w:pos="0"/>
                <w:tab w:val="left" w:pos="132"/>
              </w:tabs>
              <w:spacing w:after="0" w:line="240" w:lineRule="auto"/>
              <w:ind w:left="113" w:right="113"/>
              <w:jc w:val="center"/>
              <w:rPr>
                <w:rFonts w:eastAsia="Times New Roman" w:cs="Calibri Light"/>
                <w:b/>
                <w:sz w:val="20"/>
                <w:highlight w:val="yellow"/>
                <w:lang w:eastAsia="en-GB"/>
              </w:rPr>
            </w:pPr>
            <w:r w:rsidRPr="00DB3ACD">
              <w:rPr>
                <w:rFonts w:eastAsia="Times New Roman" w:cs="Calibri Light"/>
                <w:b/>
                <w:sz w:val="20"/>
                <w:lang w:eastAsia="en-GB"/>
              </w:rPr>
              <w:t>Objectif général</w:t>
            </w:r>
          </w:p>
        </w:tc>
        <w:tc>
          <w:tcPr>
            <w:tcW w:w="1017" w:type="pct"/>
            <w:shd w:val="clear" w:color="auto" w:fill="auto"/>
          </w:tcPr>
          <w:p w:rsidR="003A0B1B" w:rsidRPr="00DB3ACD" w:rsidRDefault="003A0B1B" w:rsidP="003A0B1B">
            <w:pPr>
              <w:autoSpaceDE w:val="0"/>
              <w:autoSpaceDN w:val="0"/>
              <w:adjustRightInd w:val="0"/>
              <w:spacing w:after="0" w:line="240" w:lineRule="auto"/>
              <w:rPr>
                <w:rFonts w:eastAsia="Times New Roman" w:cs="Calibri Light"/>
                <w:i/>
                <w:sz w:val="20"/>
                <w:highlight w:val="yellow"/>
                <w:lang w:eastAsia="en-GB"/>
              </w:rPr>
            </w:pPr>
            <w:r w:rsidRPr="00BE7A3C">
              <w:rPr>
                <w:rFonts w:eastAsia="Times New Roman" w:cs="Calibri Light"/>
                <w:i/>
                <w:sz w:val="20"/>
                <w:lang w:eastAsia="en-GB"/>
              </w:rPr>
              <w:t>Accroître l’efficacité, l’efficience et la qualité de l’action publique par la mise en œuvre d’une gestion publique plus performante et transparente</w:t>
            </w:r>
            <w:r w:rsidRPr="00BE7A3C">
              <w:rPr>
                <w:rFonts w:eastAsia="Times New Roman" w:cs="Calibri Light"/>
                <w:i/>
                <w:sz w:val="20"/>
                <w:highlight w:val="yellow"/>
                <w:lang w:eastAsia="en-GB"/>
              </w:rPr>
              <w:t xml:space="preserve"> </w:t>
            </w:r>
          </w:p>
          <w:p w:rsidR="003A0B1B" w:rsidRPr="00BE7A3C" w:rsidRDefault="003A0B1B" w:rsidP="003A0B1B">
            <w:pPr>
              <w:autoSpaceDE w:val="0"/>
              <w:autoSpaceDN w:val="0"/>
              <w:adjustRightInd w:val="0"/>
              <w:spacing w:after="0" w:line="240" w:lineRule="auto"/>
              <w:rPr>
                <w:rFonts w:eastAsia="Times New Roman" w:cs="Calibri Light"/>
                <w:b/>
                <w:sz w:val="20"/>
                <w:highlight w:val="yellow"/>
                <w:lang w:eastAsia="en-GB"/>
              </w:rPr>
            </w:pPr>
          </w:p>
        </w:tc>
        <w:tc>
          <w:tcPr>
            <w:tcW w:w="734" w:type="pct"/>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r w:rsidRPr="00ED4C1E">
              <w:rPr>
                <w:rFonts w:eastAsia="Times New Roman" w:cs="Calibri Light"/>
                <w:sz w:val="20"/>
                <w:lang w:eastAsia="en-GB"/>
              </w:rPr>
              <w:t>Des progrès significatifs en matière d’efficacité de la gestion publique, de transparence budgétaire et de reddition des comptes par les pouvoirs publics sont réalisés.</w:t>
            </w:r>
          </w:p>
        </w:tc>
        <w:tc>
          <w:tcPr>
            <w:tcW w:w="664" w:type="pct"/>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Indicateurs PEFA 2016</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Documentation budgétaire : D</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Accès du public aux informations budgétaires : C</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 xml:space="preserve">Open Budget Index </w:t>
            </w:r>
            <w:proofErr w:type="spellStart"/>
            <w:r w:rsidRPr="00ED4C1E">
              <w:rPr>
                <w:rFonts w:eastAsia="Times New Roman" w:cs="Calibri Light"/>
                <w:sz w:val="20"/>
                <w:lang w:eastAsia="en-GB"/>
              </w:rPr>
              <w:t>Ranking</w:t>
            </w:r>
            <w:proofErr w:type="spellEnd"/>
            <w:r w:rsidRPr="00ED4C1E">
              <w:rPr>
                <w:rFonts w:eastAsia="Times New Roman" w:cs="Calibri Light"/>
                <w:sz w:val="20"/>
                <w:lang w:eastAsia="en-GB"/>
              </w:rPr>
              <w:t xml:space="preserve"> 2017</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45/100</w:t>
            </w:r>
          </w:p>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c>
          <w:tcPr>
            <w:tcW w:w="734" w:type="pct"/>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Indicateurs PEFA 2023</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Documentation budgétaire : C</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Accès du public aux informations budgétaires : B</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 xml:space="preserve">Open Budget Index </w:t>
            </w:r>
            <w:proofErr w:type="spellStart"/>
            <w:r w:rsidRPr="00ED4C1E">
              <w:rPr>
                <w:rFonts w:eastAsia="Times New Roman" w:cs="Calibri Light"/>
                <w:sz w:val="20"/>
                <w:lang w:eastAsia="en-GB"/>
              </w:rPr>
              <w:t>Ranking</w:t>
            </w:r>
            <w:proofErr w:type="spellEnd"/>
            <w:r w:rsidRPr="00ED4C1E">
              <w:rPr>
                <w:rFonts w:eastAsia="Times New Roman" w:cs="Calibri Light"/>
                <w:sz w:val="20"/>
                <w:lang w:eastAsia="en-GB"/>
              </w:rPr>
              <w:t xml:space="preserve"> 2023</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51/100</w:t>
            </w:r>
          </w:p>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c>
          <w:tcPr>
            <w:tcW w:w="840" w:type="pct"/>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Rapport final du projet</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br/>
              <w:t xml:space="preserve">Nouveau Rapport PEFA </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r w:rsidRPr="00ED4C1E">
              <w:rPr>
                <w:rFonts w:eastAsia="Times New Roman" w:cs="Calibri Light"/>
                <w:sz w:val="20"/>
                <w:lang w:eastAsia="en-GB"/>
              </w:rPr>
              <w:t xml:space="preserve">Open budget index </w:t>
            </w:r>
            <w:proofErr w:type="spellStart"/>
            <w:r w:rsidRPr="00ED4C1E">
              <w:rPr>
                <w:rFonts w:eastAsia="Times New Roman" w:cs="Calibri Light"/>
                <w:sz w:val="20"/>
                <w:lang w:eastAsia="en-GB"/>
              </w:rPr>
              <w:t>ranking</w:t>
            </w:r>
            <w:proofErr w:type="spellEnd"/>
          </w:p>
        </w:tc>
        <w:tc>
          <w:tcPr>
            <w:tcW w:w="660" w:type="pct"/>
            <w:shd w:val="clear" w:color="auto" w:fill="auto"/>
          </w:tcPr>
          <w:p w:rsidR="003A0B1B" w:rsidRPr="00ED4C1E" w:rsidRDefault="003A0B1B" w:rsidP="003A0B1B">
            <w:pPr>
              <w:spacing w:after="0" w:line="240" w:lineRule="auto"/>
              <w:ind w:left="34"/>
              <w:rPr>
                <w:rFonts w:eastAsia="Times New Roman" w:cs="Calibri Light"/>
                <w:b/>
                <w:sz w:val="20"/>
                <w:highlight w:val="yellow"/>
                <w:lang w:eastAsia="en-GB"/>
              </w:rPr>
            </w:pPr>
          </w:p>
        </w:tc>
      </w:tr>
      <w:tr w:rsidR="003A0B1B" w:rsidRPr="00ED4C1E" w:rsidTr="003A0B1B">
        <w:trPr>
          <w:trHeight w:val="699"/>
          <w:tblHeader/>
        </w:trPr>
        <w:tc>
          <w:tcPr>
            <w:tcW w:w="352" w:type="pct"/>
            <w:vMerge w:val="restart"/>
            <w:shd w:val="clear" w:color="auto" w:fill="D9D9D9"/>
            <w:textDirection w:val="btLr"/>
          </w:tcPr>
          <w:p w:rsidR="003A0B1B" w:rsidRPr="00DB3ACD" w:rsidRDefault="003A0B1B" w:rsidP="003A0B1B">
            <w:pPr>
              <w:tabs>
                <w:tab w:val="left" w:pos="0"/>
                <w:tab w:val="left" w:pos="132"/>
              </w:tabs>
              <w:spacing w:after="0" w:line="240" w:lineRule="auto"/>
              <w:ind w:left="113" w:right="113" w:hanging="101"/>
              <w:jc w:val="center"/>
              <w:rPr>
                <w:rFonts w:eastAsia="Times New Roman" w:cs="Calibri Light"/>
                <w:b/>
                <w:sz w:val="20"/>
                <w:highlight w:val="yellow"/>
                <w:lang w:eastAsia="en-GB"/>
              </w:rPr>
            </w:pPr>
            <w:r w:rsidRPr="00DB3ACD">
              <w:rPr>
                <w:rFonts w:eastAsia="Times New Roman" w:cs="Calibri Light"/>
                <w:b/>
                <w:sz w:val="20"/>
                <w:lang w:eastAsia="en-GB"/>
              </w:rPr>
              <w:t>Objectifs spécifiques</w:t>
            </w:r>
          </w:p>
        </w:tc>
        <w:tc>
          <w:tcPr>
            <w:tcW w:w="1017" w:type="pct"/>
            <w:tcBorders>
              <w:bottom w:val="single" w:sz="4" w:space="0" w:color="auto"/>
            </w:tcBorders>
            <w:shd w:val="clear" w:color="auto" w:fill="auto"/>
          </w:tcPr>
          <w:p w:rsidR="003A0B1B" w:rsidRPr="00BE7A3C" w:rsidRDefault="003A0B1B" w:rsidP="003A0B1B">
            <w:pPr>
              <w:autoSpaceDE w:val="0"/>
              <w:autoSpaceDN w:val="0"/>
              <w:adjustRightInd w:val="0"/>
              <w:spacing w:after="0" w:line="240" w:lineRule="auto"/>
              <w:rPr>
                <w:rFonts w:eastAsia="Times New Roman" w:cs="Calibri Light"/>
                <w:b/>
                <w:sz w:val="20"/>
                <w:lang w:eastAsia="en-GB"/>
              </w:rPr>
            </w:pPr>
            <w:r w:rsidRPr="00DB3ACD">
              <w:rPr>
                <w:rFonts w:eastAsia="Times New Roman" w:cs="Calibri Light"/>
                <w:b/>
                <w:i/>
                <w:sz w:val="20"/>
                <w:lang w:eastAsia="en-GB"/>
              </w:rPr>
              <w:t>OS1 – La mise en œuvre des piliers de la LOF (transparence, responsabilité, performance) est effective</w:t>
            </w:r>
          </w:p>
        </w:tc>
        <w:tc>
          <w:tcPr>
            <w:tcW w:w="734" w:type="pct"/>
            <w:tcBorders>
              <w:bottom w:val="single" w:sz="4" w:space="0" w:color="auto"/>
            </w:tcBorders>
            <w:shd w:val="clear" w:color="auto" w:fill="auto"/>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Les documents budgétaires sont accessibles au citoyen</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Les responsables de programme animent le dialogue de gestion</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 xml:space="preserve">Des chartes de gestion élaborées et appliquées dans les </w:t>
            </w:r>
            <w:r w:rsidRPr="000414CF">
              <w:rPr>
                <w:rFonts w:eastAsia="Times New Roman" w:cs="Calibri Light"/>
                <w:sz w:val="20"/>
                <w:lang w:eastAsia="en-GB"/>
              </w:rPr>
              <w:lastRenderedPageBreak/>
              <w:t>ministères à forts enjeux budgétaires</w:t>
            </w:r>
          </w:p>
        </w:tc>
        <w:tc>
          <w:tcPr>
            <w:tcW w:w="664" w:type="pct"/>
            <w:tcBorders>
              <w:bottom w:val="single" w:sz="4" w:space="0" w:color="auto"/>
            </w:tcBorders>
            <w:shd w:val="clear" w:color="auto" w:fill="auto"/>
          </w:tcPr>
          <w:p w:rsidR="003A0B1B" w:rsidRPr="000414CF" w:rsidRDefault="003A0B1B" w:rsidP="003A0B1B">
            <w:pPr>
              <w:spacing w:after="0" w:line="240" w:lineRule="auto"/>
              <w:rPr>
                <w:rFonts w:eastAsia="Times New Roman" w:cs="Calibri Light"/>
                <w:b/>
                <w:sz w:val="20"/>
                <w:lang w:eastAsia="en-GB"/>
              </w:rPr>
            </w:pPr>
          </w:p>
        </w:tc>
        <w:tc>
          <w:tcPr>
            <w:tcW w:w="734" w:type="pct"/>
            <w:tcBorders>
              <w:bottom w:val="single" w:sz="4" w:space="0" w:color="auto"/>
            </w:tcBorders>
            <w:shd w:val="clear" w:color="auto" w:fill="auto"/>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Plus grande accessibilité des citoyens aux données budgétaires</w:t>
            </w:r>
          </w:p>
          <w:p w:rsidR="003A0B1B"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Le dialogue de gestion est opérationnel et le cycle de performance est amélioré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Le dialogue de gestion est outillé</w:t>
            </w:r>
          </w:p>
        </w:tc>
        <w:tc>
          <w:tcPr>
            <w:tcW w:w="840" w:type="pct"/>
            <w:tcBorders>
              <w:bottom w:val="single" w:sz="4" w:space="0" w:color="auto"/>
            </w:tcBorders>
            <w:shd w:val="clear" w:color="auto" w:fill="auto"/>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Participation à l’évènement budget citoyen</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Nombre de consultations portail sur le budget ouvert</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Rapport d’audit de performance de l’IGF</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Chartes de gestion</w:t>
            </w:r>
          </w:p>
        </w:tc>
        <w:tc>
          <w:tcPr>
            <w:tcW w:w="660" w:type="pct"/>
            <w:vMerge w:val="restart"/>
            <w:shd w:val="clear" w:color="auto" w:fill="auto"/>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Volonté du gouvernement</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 xml:space="preserve">Engagement du MEF et plus particulièrement du SG de la Direction du Budget et de la Direction générale des impôts </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lastRenderedPageBreak/>
              <w:t xml:space="preserve">Engagement et disponibilité des DM </w:t>
            </w:r>
          </w:p>
        </w:tc>
      </w:tr>
      <w:tr w:rsidR="003A0B1B" w:rsidRPr="00ED4C1E" w:rsidTr="003A0B1B">
        <w:trPr>
          <w:trHeight w:val="556"/>
          <w:tblHeader/>
        </w:trPr>
        <w:tc>
          <w:tcPr>
            <w:tcW w:w="352" w:type="pct"/>
            <w:vMerge/>
            <w:shd w:val="clear" w:color="auto" w:fill="D9D9D9"/>
            <w:textDirection w:val="btLr"/>
          </w:tcPr>
          <w:p w:rsidR="003A0B1B" w:rsidRPr="00FF5A57" w:rsidRDefault="003A0B1B" w:rsidP="003A0B1B">
            <w:pPr>
              <w:tabs>
                <w:tab w:val="left" w:pos="0"/>
                <w:tab w:val="left" w:pos="132"/>
              </w:tabs>
              <w:spacing w:after="0" w:line="240" w:lineRule="auto"/>
              <w:ind w:left="113" w:right="113" w:hanging="101"/>
              <w:jc w:val="center"/>
              <w:rPr>
                <w:rFonts w:eastAsia="Times New Roman" w:cs="Calibri Light"/>
                <w:b/>
                <w:sz w:val="20"/>
                <w:highlight w:val="yellow"/>
                <w:lang w:eastAsia="en-GB"/>
              </w:rPr>
            </w:pPr>
          </w:p>
        </w:tc>
        <w:tc>
          <w:tcPr>
            <w:tcW w:w="1017" w:type="pct"/>
            <w:tcBorders>
              <w:bottom w:val="single" w:sz="4" w:space="0" w:color="auto"/>
            </w:tcBorders>
            <w:shd w:val="clear" w:color="auto" w:fill="auto"/>
          </w:tcPr>
          <w:p w:rsidR="003A0B1B" w:rsidRPr="00FF5A57" w:rsidRDefault="003A0B1B" w:rsidP="003A0B1B">
            <w:pPr>
              <w:autoSpaceDE w:val="0"/>
              <w:autoSpaceDN w:val="0"/>
              <w:adjustRightInd w:val="0"/>
              <w:spacing w:after="0" w:line="240" w:lineRule="auto"/>
              <w:rPr>
                <w:rFonts w:eastAsia="Times New Roman" w:cs="Calibri Light"/>
                <w:b/>
                <w:sz w:val="20"/>
                <w:highlight w:val="yellow"/>
                <w:lang w:eastAsia="en-GB"/>
              </w:rPr>
            </w:pPr>
            <w:r w:rsidRPr="00FF5A57">
              <w:rPr>
                <w:rFonts w:eastAsia="Times New Roman" w:cs="Calibri Light"/>
                <w:b/>
                <w:i/>
                <w:sz w:val="20"/>
                <w:lang w:eastAsia="en-GB"/>
              </w:rPr>
              <w:t>OS2 - Le contrôle, l’audit internes et de l’audit externe sont renforcés</w:t>
            </w:r>
          </w:p>
        </w:tc>
        <w:tc>
          <w:tcPr>
            <w:tcW w:w="734" w:type="pct"/>
            <w:tcBorders>
              <w:bottom w:val="single" w:sz="4" w:space="0" w:color="auto"/>
            </w:tcBorders>
            <w:shd w:val="clear" w:color="auto" w:fill="auto"/>
          </w:tcPr>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Un pool de formateurs de la DGI est formé aux techniques d’audit interne</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r w:rsidRPr="00DE6C26">
              <w:rPr>
                <w:rFonts w:eastAsia="Times New Roman" w:cs="Calibri Light"/>
                <w:sz w:val="20"/>
                <w:lang w:eastAsia="en-GB"/>
              </w:rPr>
              <w:t>Un cadre harmonisé du contrôle interne est établi et outillé, et 2 ministères pilotes ont été accompagnés au développement de matrices des risques</w:t>
            </w: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r w:rsidRPr="00DE6C26">
              <w:rPr>
                <w:rFonts w:eastAsia="Times New Roman" w:cs="Calibri Light"/>
                <w:sz w:val="20"/>
                <w:lang w:eastAsia="en-GB"/>
              </w:rPr>
              <w:t>La Cour des comptes est en capacité de certifier les comptes de l’Etat et est en mesure d’évaluer la performance budgétaire et des programmes publics</w:t>
            </w:r>
          </w:p>
        </w:tc>
        <w:tc>
          <w:tcPr>
            <w:tcW w:w="664" w:type="pct"/>
            <w:tcBorders>
              <w:bottom w:val="single" w:sz="4" w:space="0" w:color="auto"/>
            </w:tcBorders>
            <w:shd w:val="clear" w:color="auto" w:fill="auto"/>
          </w:tcPr>
          <w:p w:rsidR="003A0B1B" w:rsidRPr="00DE6C26" w:rsidRDefault="003A0B1B" w:rsidP="003A0B1B">
            <w:pPr>
              <w:spacing w:after="0" w:line="240" w:lineRule="auto"/>
              <w:rPr>
                <w:rFonts w:eastAsia="Times New Roman" w:cs="Calibri Light"/>
                <w:b/>
                <w:sz w:val="20"/>
                <w:lang w:eastAsia="en-GB"/>
              </w:rPr>
            </w:pPr>
            <w:r w:rsidRPr="00DE6C26">
              <w:rPr>
                <w:rFonts w:eastAsia="Times New Roman" w:cs="Calibri Light"/>
                <w:sz w:val="20"/>
                <w:lang w:eastAsia="en-GB"/>
              </w:rPr>
              <w:t>Aucun formateur n’est formé</w:t>
            </w: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r w:rsidRPr="00DE6C26">
              <w:rPr>
                <w:rFonts w:eastAsia="Times New Roman" w:cs="Calibri Light"/>
                <w:sz w:val="20"/>
                <w:lang w:eastAsia="en-GB"/>
              </w:rPr>
              <w:t xml:space="preserve">Le contrôle interne n’est pas harmonisé et le contrôle interne n’est que peu développé au sein des ministères. </w:t>
            </w: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r w:rsidRPr="00DE6C26">
              <w:rPr>
                <w:rFonts w:eastAsia="Times New Roman" w:cs="Calibri Light"/>
                <w:sz w:val="20"/>
                <w:lang w:eastAsia="en-GB"/>
              </w:rPr>
              <w:t xml:space="preserve">Les comptes ne sont pas transmis à la Cour des comptes et les nouvelles missions introduites par la LOF (performance budgétaires, évaluation des programmes publics) nécessitent une appropriation. </w:t>
            </w:r>
          </w:p>
        </w:tc>
        <w:tc>
          <w:tcPr>
            <w:tcW w:w="734" w:type="pct"/>
            <w:tcBorders>
              <w:bottom w:val="single" w:sz="4" w:space="0" w:color="auto"/>
            </w:tcBorders>
            <w:shd w:val="clear" w:color="auto" w:fill="auto"/>
          </w:tcPr>
          <w:p w:rsidR="003A0B1B" w:rsidRPr="00D02EDC" w:rsidRDefault="003A0B1B" w:rsidP="003A0B1B">
            <w:pPr>
              <w:spacing w:after="0" w:line="240" w:lineRule="auto"/>
              <w:rPr>
                <w:rFonts w:eastAsia="Times New Roman" w:cs="Calibri Light"/>
                <w:b/>
                <w:sz w:val="20"/>
                <w:lang w:eastAsia="en-GB"/>
              </w:rPr>
            </w:pPr>
            <w:r>
              <w:rPr>
                <w:rFonts w:eastAsia="Times New Roman" w:cs="Calibri Light"/>
                <w:sz w:val="20"/>
                <w:lang w:eastAsia="en-GB"/>
              </w:rPr>
              <w:t>10</w:t>
            </w:r>
            <w:r w:rsidRPr="00D02EDC">
              <w:rPr>
                <w:rFonts w:eastAsia="Times New Roman" w:cs="Calibri Light"/>
                <w:sz w:val="20"/>
                <w:lang w:eastAsia="en-GB"/>
              </w:rPr>
              <w:t xml:space="preserve"> formateurs de la DGI sont formés aux techniques d’audit interne</w:t>
            </w:r>
          </w:p>
          <w:p w:rsidR="003A0B1B"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 xml:space="preserve">Un cadre de contrôle interne harmonisé est disponible. </w:t>
            </w: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 xml:space="preserve">2 ministères pilotes ont été accompagnés dans le développement d’un système de contrôle interne. </w:t>
            </w: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La formation au contrôle de l’administration d’Etat a été initiée</w:t>
            </w: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Les comptes de 2020 sont certifiés</w:t>
            </w: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p>
          <w:p w:rsidR="003A0B1B" w:rsidRPr="00DE6C26"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La Cour des comptes maitrise le processus et les techniques d’évaluation de la performance budgétaire et des programmes publics</w:t>
            </w:r>
          </w:p>
        </w:tc>
        <w:tc>
          <w:tcPr>
            <w:tcW w:w="840" w:type="pct"/>
            <w:tcBorders>
              <w:bottom w:val="single" w:sz="4" w:space="0" w:color="auto"/>
            </w:tcBorders>
            <w:shd w:val="clear" w:color="auto" w:fill="auto"/>
          </w:tcPr>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Rapport de la DGI</w:t>
            </w:r>
            <w:r w:rsidRPr="00D02EDC">
              <w:rPr>
                <w:rFonts w:eastAsia="Times New Roman" w:cs="Calibri Light"/>
                <w:sz w:val="20"/>
                <w:lang w:eastAsia="en-GB"/>
              </w:rPr>
              <w:br/>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Rapport final</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Cadre harmonisé du contrôle interne</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Matrices des risques</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Plan de formation et modules</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Rapport de certification des comptes</w:t>
            </w: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p>
          <w:p w:rsidR="003A0B1B" w:rsidRPr="00DE6C26" w:rsidRDefault="003A0B1B" w:rsidP="003A0B1B">
            <w:pPr>
              <w:autoSpaceDE w:val="0"/>
              <w:autoSpaceDN w:val="0"/>
              <w:adjustRightInd w:val="0"/>
              <w:spacing w:after="0" w:line="240" w:lineRule="auto"/>
              <w:rPr>
                <w:rFonts w:eastAsia="Times New Roman" w:cs="Calibri Light"/>
                <w:b/>
                <w:sz w:val="20"/>
                <w:lang w:eastAsia="en-GB"/>
              </w:rPr>
            </w:pPr>
            <w:r w:rsidRPr="00DE6C26">
              <w:rPr>
                <w:rFonts w:eastAsia="Times New Roman" w:cs="Calibri Light"/>
                <w:sz w:val="20"/>
                <w:lang w:eastAsia="en-GB"/>
              </w:rPr>
              <w:t>Rapport d’évaluation sur un programme ou un projet</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rHeight w:val="3676"/>
          <w:tblHeader/>
        </w:trPr>
        <w:tc>
          <w:tcPr>
            <w:tcW w:w="352" w:type="pct"/>
            <w:tcBorders>
              <w:bottom w:val="single" w:sz="4" w:space="0" w:color="auto"/>
            </w:tcBorders>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lang w:eastAsia="en-GB"/>
              </w:rPr>
            </w:pPr>
          </w:p>
        </w:tc>
        <w:tc>
          <w:tcPr>
            <w:tcW w:w="1017" w:type="pct"/>
            <w:tcBorders>
              <w:bottom w:val="single" w:sz="4" w:space="0" w:color="auto"/>
            </w:tcBorders>
            <w:shd w:val="clear" w:color="auto" w:fill="FFFFFF"/>
          </w:tcPr>
          <w:p w:rsidR="003A0B1B" w:rsidRPr="00BE7A3C" w:rsidRDefault="003A0B1B" w:rsidP="003A0B1B">
            <w:pPr>
              <w:autoSpaceDE w:val="0"/>
              <w:autoSpaceDN w:val="0"/>
              <w:adjustRightInd w:val="0"/>
              <w:spacing w:after="0" w:line="240" w:lineRule="auto"/>
              <w:rPr>
                <w:rFonts w:eastAsia="Times New Roman" w:cs="Calibri Light"/>
                <w:b/>
                <w:sz w:val="20"/>
                <w:lang w:eastAsia="en-GB"/>
              </w:rPr>
            </w:pPr>
            <w:r w:rsidRPr="00DB3ACD">
              <w:rPr>
                <w:rFonts w:eastAsia="Times New Roman" w:cs="Calibri Light"/>
                <w:b/>
                <w:i/>
                <w:sz w:val="20"/>
                <w:lang w:eastAsia="en-GB"/>
              </w:rPr>
              <w:t>OS3 – La mise en œuvre de chantiers stratégiques</w:t>
            </w:r>
          </w:p>
        </w:tc>
        <w:tc>
          <w:tcPr>
            <w:tcW w:w="734" w:type="pct"/>
            <w:tcBorders>
              <w:bottom w:val="single" w:sz="4" w:space="0" w:color="auto"/>
            </w:tcBorders>
            <w:shd w:val="clear" w:color="auto" w:fill="auto"/>
          </w:tcPr>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La nouvelle organisation du MEF au niveau centrale est effective</w:t>
            </w: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 xml:space="preserve">La déconcentration administrative est effective notamment au MEF et au HCP </w:t>
            </w:r>
          </w:p>
        </w:tc>
        <w:tc>
          <w:tcPr>
            <w:tcW w:w="664" w:type="pct"/>
            <w:tcBorders>
              <w:bottom w:val="single" w:sz="4" w:space="0" w:color="auto"/>
            </w:tcBorders>
            <w:shd w:val="clear" w:color="auto" w:fill="auto"/>
          </w:tcPr>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 xml:space="preserve">La réforme du MEF est évoquée, mais n’a pas été annoncée officiellement. </w:t>
            </w:r>
          </w:p>
          <w:p w:rsidR="003A0B1B" w:rsidRPr="00D02EDC" w:rsidRDefault="003A0B1B" w:rsidP="003A0B1B">
            <w:pPr>
              <w:spacing w:after="0" w:line="240" w:lineRule="auto"/>
              <w:rPr>
                <w:rFonts w:eastAsia="Times New Roman" w:cs="Calibri Light"/>
                <w:b/>
                <w:sz w:val="20"/>
                <w:lang w:eastAsia="en-GB"/>
              </w:rPr>
            </w:pPr>
          </w:p>
          <w:p w:rsidR="003A0B1B" w:rsidRPr="00D02EDC" w:rsidRDefault="003A0B1B" w:rsidP="003A0B1B">
            <w:pPr>
              <w:spacing w:after="0" w:line="240" w:lineRule="auto"/>
              <w:rPr>
                <w:rFonts w:eastAsia="Times New Roman" w:cs="Calibri Light"/>
                <w:b/>
                <w:sz w:val="20"/>
                <w:lang w:eastAsia="en-GB"/>
              </w:rPr>
            </w:pPr>
            <w:r w:rsidRPr="00D02EDC">
              <w:rPr>
                <w:rFonts w:eastAsia="Times New Roman" w:cs="Calibri Light"/>
                <w:sz w:val="20"/>
                <w:lang w:eastAsia="en-GB"/>
              </w:rPr>
              <w:t>Les départements ministériels et régions ont adopté des schémas directeurs de la déconcentration administrative</w:t>
            </w:r>
          </w:p>
        </w:tc>
        <w:tc>
          <w:tcPr>
            <w:tcW w:w="734" w:type="pct"/>
            <w:tcBorders>
              <w:bottom w:val="single" w:sz="4" w:space="0" w:color="auto"/>
            </w:tcBorders>
            <w:shd w:val="clear" w:color="auto" w:fill="auto"/>
          </w:tcPr>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Le nouvel</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organigramme est publié</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Les schémas de déconcentration administrative du MEFRA et du HCP sont opérationnels</w:t>
            </w:r>
          </w:p>
        </w:tc>
        <w:tc>
          <w:tcPr>
            <w:tcW w:w="840" w:type="pct"/>
            <w:tcBorders>
              <w:bottom w:val="single" w:sz="4" w:space="0" w:color="auto"/>
            </w:tcBorders>
            <w:shd w:val="clear" w:color="auto" w:fill="auto"/>
          </w:tcPr>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Décret portant la nouvelle organisation</w:t>
            </w: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p>
          <w:p w:rsidR="003A0B1B" w:rsidRPr="00D02EDC" w:rsidRDefault="003A0B1B" w:rsidP="003A0B1B">
            <w:pPr>
              <w:autoSpaceDE w:val="0"/>
              <w:autoSpaceDN w:val="0"/>
              <w:adjustRightInd w:val="0"/>
              <w:spacing w:after="0" w:line="240" w:lineRule="auto"/>
              <w:rPr>
                <w:rFonts w:eastAsia="Times New Roman" w:cs="Calibri Light"/>
                <w:b/>
                <w:sz w:val="20"/>
                <w:lang w:eastAsia="en-GB"/>
              </w:rPr>
            </w:pPr>
            <w:r w:rsidRPr="00D02EDC">
              <w:rPr>
                <w:rFonts w:eastAsia="Times New Roman" w:cs="Calibri Light"/>
                <w:sz w:val="20"/>
                <w:lang w:eastAsia="en-GB"/>
              </w:rPr>
              <w:t>Rapport sur la mise en œuvre de la déconcentration administrative au MEF et au HCP</w:t>
            </w:r>
          </w:p>
        </w:tc>
        <w:tc>
          <w:tcPr>
            <w:tcW w:w="660" w:type="pct"/>
            <w:tcBorders>
              <w:bottom w:val="single" w:sz="4" w:space="0" w:color="auto"/>
            </w:tcBorders>
            <w:shd w:val="clear" w:color="auto" w:fill="auto"/>
          </w:tcPr>
          <w:p w:rsidR="003A0B1B" w:rsidRPr="00ED4C1E" w:rsidRDefault="003A0B1B" w:rsidP="003A0B1B">
            <w:pPr>
              <w:autoSpaceDE w:val="0"/>
              <w:autoSpaceDN w:val="0"/>
              <w:adjustRightInd w:val="0"/>
              <w:spacing w:after="0" w:line="240" w:lineRule="auto"/>
              <w:rPr>
                <w:rFonts w:eastAsia="Times New Roman" w:cs="Calibri Light"/>
                <w:b/>
                <w:color w:val="2E74B5"/>
                <w:sz w:val="20"/>
                <w:lang w:eastAsia="en-GB"/>
              </w:rPr>
            </w:pPr>
          </w:p>
        </w:tc>
      </w:tr>
      <w:tr w:rsidR="003A0B1B" w:rsidRPr="00ED4C1E" w:rsidTr="003A0B1B">
        <w:trPr>
          <w:trHeight w:val="698"/>
          <w:tblHeader/>
        </w:trPr>
        <w:tc>
          <w:tcPr>
            <w:tcW w:w="352" w:type="pct"/>
            <w:vMerge w:val="restart"/>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r w:rsidRPr="00ED4C1E">
              <w:rPr>
                <w:rFonts w:eastAsia="Times New Roman" w:cs="Calibri Light"/>
                <w:sz w:val="20"/>
                <w:lang w:eastAsia="en-GB"/>
              </w:rPr>
              <w:t>Résultats</w:t>
            </w:r>
          </w:p>
        </w:tc>
        <w:tc>
          <w:tcPr>
            <w:tcW w:w="1017"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Résultat 1.1 – La coordination interministérielle de la performance publique est renforcée (lié à l’OS1)</w:t>
            </w: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Un cadre de coordination interministérielle est élaboré</w:t>
            </w: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 </w:t>
            </w: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 xml:space="preserve">Un forum des responsables de programme est mis en place et actif </w:t>
            </w:r>
          </w:p>
        </w:tc>
        <w:tc>
          <w:tcPr>
            <w:tcW w:w="664" w:type="pct"/>
            <w:shd w:val="clear" w:color="auto" w:fill="FFFFFF"/>
          </w:tcPr>
          <w:p w:rsidR="003A0B1B" w:rsidRPr="00DB3ACD" w:rsidRDefault="003A0B1B" w:rsidP="003A0B1B">
            <w:pPr>
              <w:spacing w:after="0" w:line="240" w:lineRule="auto"/>
              <w:rPr>
                <w:rFonts w:eastAsia="Times New Roman" w:cs="Calibri Light"/>
                <w:sz w:val="20"/>
                <w:lang w:eastAsia="en-GB"/>
              </w:rPr>
            </w:pPr>
            <w:r w:rsidRPr="000414CF">
              <w:rPr>
                <w:rFonts w:eastAsia="Times New Roman" w:cs="Calibri Light"/>
                <w:sz w:val="20"/>
                <w:lang w:eastAsia="en-GB"/>
              </w:rPr>
              <w:t>La loi organique relative à la loi de finances (LOF) revêt un caractère transversal, les départements ministériels doivent l’appliquer et développer la démarche de performance dans leur administration. De ce fait, il est primordial de mettre en place des mécanismes de coordination au niveau interministériel.</w:t>
            </w:r>
          </w:p>
        </w:tc>
        <w:tc>
          <w:tcPr>
            <w:tcW w:w="734"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Cadre validé</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1</w:t>
            </w:r>
            <w:r w:rsidRPr="000414CF">
              <w:rPr>
                <w:rFonts w:eastAsia="Times New Roman" w:cs="Calibri Light"/>
                <w:sz w:val="20"/>
                <w:vertAlign w:val="superscript"/>
                <w:lang w:eastAsia="en-GB"/>
              </w:rPr>
              <w:t>ère</w:t>
            </w:r>
            <w:r w:rsidRPr="000414CF">
              <w:rPr>
                <w:rFonts w:eastAsia="Times New Roman" w:cs="Calibri Light"/>
                <w:sz w:val="20"/>
                <w:lang w:eastAsia="en-GB"/>
              </w:rPr>
              <w:t xml:space="preserve"> réunion du forum</w:t>
            </w:r>
          </w:p>
        </w:tc>
        <w:tc>
          <w:tcPr>
            <w:tcW w:w="840"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Note conceptuelle portant la création d’un forum</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autoSpaceDE w:val="0"/>
              <w:autoSpaceDN w:val="0"/>
              <w:adjustRightInd w:val="0"/>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PV de la réunion du forum</w:t>
            </w:r>
          </w:p>
        </w:tc>
        <w:tc>
          <w:tcPr>
            <w:tcW w:w="660" w:type="pct"/>
            <w:vMerge w:val="restart"/>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 xml:space="preserve">Soutien politique au plus haut niveau </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Participation active des départements ministériels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 xml:space="preserve">Disponibilité des gestionnaires concernés </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Implication des responsables de programmes dans les activités programmées</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Acceptation du changement</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Forte implication du top management dans la démarche de performance (dialogue de gestion et contrôle de gestion)</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Entrée en vigueur de la circulaire</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Participation des acteurs identifiés au dialogue et au contrôle de gestion</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Capacités techniques et humaines suffisantes des services gestionnaires en matière de contrôle de gestion</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Validation du texte, de la fiche de poste et du guide par les instances compétentes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 xml:space="preserve">Implication du top management </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Capacités techniques des services gestionnaires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Participation des services gestionnaires aux actions de formation</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Default="003A0B1B" w:rsidP="003A0B1B">
            <w:pPr>
              <w:autoSpaceDE w:val="0"/>
              <w:autoSpaceDN w:val="0"/>
              <w:adjustRightInd w:val="0"/>
              <w:spacing w:after="0" w:line="240" w:lineRule="auto"/>
              <w:rPr>
                <w:rFonts w:eastAsia="Times New Roman" w:cs="Calibri Light"/>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Forte implication de la DB dans la démarche de transformation digitale</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Forte implication et capacités techniques reconnues de la DSI de la DB</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Accès à l’information et aux données afin d’élaborer la cartographie des processus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Disponibilité des équipes afin de réaliser la cartographie de processus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Validation du plan d’action et de conduite du changement par la DB</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Acceptation du changement</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Forte implication de tous les acteurs concernés (DB, DAAG, IDF)</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Capacité de l’IDF à communiquer, et organiser les sessions de formation</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Capacité de l</w:t>
            </w:r>
            <w:r>
              <w:rPr>
                <w:rFonts w:eastAsia="Times New Roman" w:cs="Calibri Light"/>
                <w:sz w:val="20"/>
                <w:lang w:eastAsia="en-GB"/>
              </w:rPr>
              <w:t>a DAAG à élaborer les modules d’</w:t>
            </w:r>
            <w:r w:rsidRPr="00ED4C1E">
              <w:rPr>
                <w:rFonts w:eastAsia="Times New Roman" w:cs="Calibri Light"/>
                <w:sz w:val="20"/>
                <w:lang w:eastAsia="en-GB"/>
              </w:rPr>
              <w:t>e-formation</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Validation des rapports dans les délais prévus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 xml:space="preserve"> </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Implication du top management et des gestionnaires dans la mise en place d’un contrôle interne et d’un audit interne opérationnels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Disponibilité des ressources humaines nécessaires pour la mise en place du contrôle et de l’audit internes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Participation active des gestionnaires aux réunions de travail et au séminaire</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Validation des livrables : plan de contrôle, recueil des outils et rapport de mission dans les délais définis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Disponibilité des capacités techniques en termes de production des données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Implication du management dans la démarche de croisement des données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Participation massive des cadres supérieurs en charge du contrôle fiscal à l’atelier de travail</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 xml:space="preserve">Les états financiers sont transmis et exploitables. </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Disponibilité des équipes de la Cour des comptes</w:t>
            </w: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Résultat 1.2 – Le dialogue et le contrôle de gestion au niveau ministériel sont effectifs (lié à l’OS1)</w:t>
            </w: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Les responsabilités des acteurs sont clairement définies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Des outils de dialogue de gestion au niveau central et déconcentré sont disponibles et appliqués</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La démarche de contrôle de gestion est formalisée et généralisée</w:t>
            </w:r>
          </w:p>
        </w:tc>
        <w:tc>
          <w:tcPr>
            <w:tcW w:w="66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Absence de textes fixant le rôle et attributions des responsables de programme</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Aucun texte ne réglemente le contrôle de gestion. La pratique, le degré d’appropriation et la maturité des dispositifs de contrôle de gestion (quand ils existent) sont très hétérogènes. Les outils de contrôle de gestion sont pour la plupart du temps inexistants, ou embryonnaires.</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Texte sur le rôle des </w:t>
            </w:r>
            <w:proofErr w:type="spellStart"/>
            <w:r w:rsidRPr="000414CF">
              <w:rPr>
                <w:rFonts w:eastAsia="Times New Roman" w:cs="Calibri Light"/>
                <w:sz w:val="20"/>
                <w:lang w:eastAsia="en-GB"/>
              </w:rPr>
              <w:t>RProg</w:t>
            </w:r>
            <w:proofErr w:type="spellEnd"/>
            <w:r w:rsidRPr="000414CF">
              <w:rPr>
                <w:rFonts w:eastAsia="Times New Roman" w:cs="Calibri Light"/>
                <w:sz w:val="20"/>
                <w:lang w:eastAsia="en-GB"/>
              </w:rPr>
              <w:t xml:space="preserve"> adopté</w:t>
            </w:r>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5 DM ayant mis en place une charte de gestion </w:t>
            </w:r>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10 DM ayant mis en place le contrôle de gestion</w:t>
            </w:r>
          </w:p>
        </w:tc>
        <w:tc>
          <w:tcPr>
            <w:tcW w:w="840"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Texte de la circulaire </w:t>
            </w:r>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Chartes de gestion signées</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Texte portant référentiel de contrôle de gestion dans les DM</w:t>
            </w: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Guide opérationnel de contrôle de gestion</w:t>
            </w: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Fiches de postes et de compétences du contrôleur de gestion</w:t>
            </w: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Schéma d’organisation et de positionnement du contrôle de gestion</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Résultat 1.3 – Le cycle de performance est amélioré (lié à l’OS1)</w:t>
            </w: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Les indicateurs des fonctions support sont harmonisés</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Les recommandations issues de l’audit de performance de l’IGF sont prises en compte</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Les </w:t>
            </w:r>
            <w:proofErr w:type="spellStart"/>
            <w:r w:rsidRPr="000414CF">
              <w:rPr>
                <w:rFonts w:eastAsia="Times New Roman" w:cs="Calibri Light"/>
                <w:sz w:val="20"/>
                <w:lang w:eastAsia="en-GB"/>
              </w:rPr>
              <w:t>PdP</w:t>
            </w:r>
            <w:proofErr w:type="spellEnd"/>
            <w:r w:rsidRPr="000414CF">
              <w:rPr>
                <w:rFonts w:eastAsia="Times New Roman" w:cs="Calibri Light"/>
                <w:sz w:val="20"/>
                <w:lang w:eastAsia="en-GB"/>
              </w:rPr>
              <w:t xml:space="preserve"> et les </w:t>
            </w:r>
            <w:proofErr w:type="spellStart"/>
            <w:r w:rsidRPr="000414CF">
              <w:rPr>
                <w:rFonts w:eastAsia="Times New Roman" w:cs="Calibri Light"/>
                <w:sz w:val="20"/>
                <w:lang w:eastAsia="en-GB"/>
              </w:rPr>
              <w:t>RdP</w:t>
            </w:r>
            <w:proofErr w:type="spellEnd"/>
            <w:r w:rsidRPr="000414CF">
              <w:rPr>
                <w:rFonts w:eastAsia="Times New Roman" w:cs="Calibri Light"/>
                <w:sz w:val="20"/>
                <w:lang w:eastAsia="en-GB"/>
              </w:rPr>
              <w:t xml:space="preserve"> sont améliorés</w:t>
            </w:r>
          </w:p>
          <w:p w:rsidR="003A0B1B" w:rsidRPr="000414CF" w:rsidRDefault="003A0B1B" w:rsidP="003A0B1B">
            <w:pPr>
              <w:spacing w:after="0" w:line="240" w:lineRule="auto"/>
              <w:rPr>
                <w:rFonts w:eastAsia="Times New Roman" w:cs="Calibri Light"/>
                <w:b/>
                <w:sz w:val="20"/>
                <w:lang w:eastAsia="en-GB"/>
              </w:rPr>
            </w:pPr>
          </w:p>
        </w:tc>
        <w:tc>
          <w:tcPr>
            <w:tcW w:w="66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211 indicateurs support recensés : harmonisation à trouver sur les objectifs, le champ et le libellé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Le contenu des</w:t>
            </w:r>
            <w:r w:rsidRPr="000414CF">
              <w:rPr>
                <w:rFonts w:eastAsia="Times New Roman" w:cs="Calibri Light"/>
                <w:color w:val="2E74B5"/>
                <w:sz w:val="20"/>
                <w:lang w:eastAsia="en-GB"/>
              </w:rPr>
              <w:t xml:space="preserve"> </w:t>
            </w:r>
            <w:r w:rsidRPr="000414CF">
              <w:rPr>
                <w:rFonts w:eastAsia="Times New Roman" w:cs="Calibri Light"/>
                <w:sz w:val="20"/>
                <w:lang w:eastAsia="en-GB"/>
              </w:rPr>
              <w:t xml:space="preserve">documents de performance doit être amélioré. </w:t>
            </w:r>
          </w:p>
          <w:p w:rsidR="003A0B1B" w:rsidRPr="000414CF" w:rsidRDefault="003A0B1B" w:rsidP="003A0B1B">
            <w:pPr>
              <w:spacing w:after="0" w:line="240" w:lineRule="auto"/>
              <w:rPr>
                <w:rFonts w:eastAsia="Times New Roman" w:cs="Calibri Light"/>
                <w:b/>
                <w:sz w:val="20"/>
                <w:lang w:eastAsia="en-GB"/>
              </w:rPr>
            </w:pP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Les indicateurs communs sont intégrés aux </w:t>
            </w:r>
            <w:proofErr w:type="spellStart"/>
            <w:r w:rsidRPr="000414CF">
              <w:rPr>
                <w:rFonts w:eastAsia="Times New Roman" w:cs="Calibri Light"/>
                <w:sz w:val="20"/>
                <w:lang w:eastAsia="en-GB"/>
              </w:rPr>
              <w:t>PdP</w:t>
            </w:r>
            <w:proofErr w:type="spellEnd"/>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Les recommandations issues de l’audit de performance de l’IGF sont intégrées aux </w:t>
            </w:r>
            <w:proofErr w:type="spellStart"/>
            <w:r w:rsidRPr="000414CF">
              <w:rPr>
                <w:rFonts w:eastAsia="Times New Roman" w:cs="Calibri Light"/>
                <w:sz w:val="20"/>
                <w:lang w:eastAsia="en-GB"/>
              </w:rPr>
              <w:t>PdP</w:t>
            </w:r>
            <w:proofErr w:type="spellEnd"/>
          </w:p>
          <w:p w:rsidR="003A0B1B" w:rsidRPr="000414CF"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Le contenu des </w:t>
            </w:r>
            <w:proofErr w:type="spellStart"/>
            <w:r w:rsidRPr="000414CF">
              <w:rPr>
                <w:rFonts w:eastAsia="Times New Roman" w:cs="Calibri Light"/>
                <w:sz w:val="20"/>
                <w:lang w:eastAsia="en-GB"/>
              </w:rPr>
              <w:t>PdP</w:t>
            </w:r>
            <w:proofErr w:type="spellEnd"/>
            <w:r w:rsidRPr="000414CF">
              <w:rPr>
                <w:rFonts w:eastAsia="Times New Roman" w:cs="Calibri Light"/>
                <w:sz w:val="20"/>
                <w:lang w:eastAsia="en-GB"/>
              </w:rPr>
              <w:t xml:space="preserve"> et des </w:t>
            </w:r>
            <w:proofErr w:type="spellStart"/>
            <w:r w:rsidRPr="000414CF">
              <w:rPr>
                <w:rFonts w:eastAsia="Times New Roman" w:cs="Calibri Light"/>
                <w:sz w:val="20"/>
                <w:lang w:eastAsia="en-GB"/>
              </w:rPr>
              <w:t>RdP</w:t>
            </w:r>
            <w:proofErr w:type="spellEnd"/>
            <w:r w:rsidRPr="000414CF">
              <w:rPr>
                <w:rFonts w:eastAsia="Times New Roman" w:cs="Calibri Light"/>
                <w:sz w:val="20"/>
                <w:lang w:eastAsia="en-GB"/>
              </w:rPr>
              <w:t xml:space="preserve"> a évolué : nombre d’indicateurs revus à la baisse, suppression des indicateurs de moyen, stabilité des indicateurs, indicateurs renseignés</w:t>
            </w:r>
          </w:p>
          <w:p w:rsidR="003A0B1B"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roofErr w:type="gramStart"/>
            <w:r>
              <w:rPr>
                <w:rFonts w:eastAsia="Times New Roman" w:cs="Calibri Light"/>
                <w:sz w:val="20"/>
                <w:lang w:eastAsia="en-GB"/>
              </w:rPr>
              <w:t>La</w:t>
            </w:r>
            <w:proofErr w:type="gramEnd"/>
            <w:r>
              <w:rPr>
                <w:rFonts w:eastAsia="Times New Roman" w:cs="Calibri Light"/>
                <w:sz w:val="20"/>
                <w:lang w:eastAsia="en-GB"/>
              </w:rPr>
              <w:t xml:space="preserve"> format de la CPP est revu</w:t>
            </w:r>
          </w:p>
          <w:p w:rsidR="003A0B1B" w:rsidRPr="000414CF" w:rsidRDefault="003A0B1B" w:rsidP="003A0B1B">
            <w:pPr>
              <w:spacing w:after="0" w:line="240" w:lineRule="auto"/>
              <w:rPr>
                <w:rFonts w:eastAsia="Times New Roman" w:cs="Calibri Light"/>
                <w:b/>
                <w:sz w:val="20"/>
                <w:lang w:eastAsia="en-GB"/>
              </w:rPr>
            </w:pPr>
          </w:p>
        </w:tc>
        <w:tc>
          <w:tcPr>
            <w:tcW w:w="840" w:type="pct"/>
            <w:shd w:val="clear" w:color="auto" w:fill="FFFFFF"/>
          </w:tcPr>
          <w:p w:rsidR="003A0B1B" w:rsidRPr="000414CF" w:rsidRDefault="003A0B1B" w:rsidP="003A0B1B">
            <w:pPr>
              <w:spacing w:after="0" w:line="240" w:lineRule="auto"/>
              <w:rPr>
                <w:rFonts w:eastAsia="Times New Roman" w:cs="Calibri Light"/>
                <w:b/>
                <w:sz w:val="20"/>
                <w:lang w:eastAsia="en-GB"/>
              </w:rPr>
            </w:pPr>
            <w:proofErr w:type="spellStart"/>
            <w:r w:rsidRPr="000414CF">
              <w:rPr>
                <w:rFonts w:eastAsia="Times New Roman" w:cs="Calibri Light"/>
                <w:sz w:val="20"/>
                <w:lang w:eastAsia="en-GB"/>
              </w:rPr>
              <w:t>PdP</w:t>
            </w:r>
            <w:proofErr w:type="spellEnd"/>
            <w:r w:rsidRPr="000414CF">
              <w:rPr>
                <w:rFonts w:eastAsia="Times New Roman" w:cs="Calibri Light"/>
                <w:sz w:val="20"/>
                <w:lang w:eastAsia="en-GB"/>
              </w:rPr>
              <w:t xml:space="preserve"> et </w:t>
            </w:r>
            <w:proofErr w:type="spellStart"/>
            <w:r w:rsidRPr="000414CF">
              <w:rPr>
                <w:rFonts w:eastAsia="Times New Roman" w:cs="Calibri Light"/>
                <w:sz w:val="20"/>
                <w:lang w:eastAsia="en-GB"/>
              </w:rPr>
              <w:t>RdP</w:t>
            </w:r>
            <w:proofErr w:type="spellEnd"/>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Résultat 1.4 – La mise en place des méthodes de travail modernes et de nouvelles organisations plus efficaces est appuyée (lié à l’OS1)</w:t>
            </w: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Un schéma directeur de la transformation digitale de la direction du Budget est élaboré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Une nouvelle organisation des processus au sein de la direction du Budget et le plan d’accompagnement de sa mise en œuvre sont définis</w:t>
            </w:r>
          </w:p>
          <w:p w:rsidR="003A0B1B" w:rsidRPr="000414CF" w:rsidRDefault="003A0B1B" w:rsidP="003A0B1B">
            <w:pPr>
              <w:spacing w:after="0" w:line="240" w:lineRule="auto"/>
              <w:rPr>
                <w:rFonts w:eastAsia="Times New Roman" w:cs="Calibri Light"/>
                <w:b/>
                <w:sz w:val="20"/>
                <w:lang w:eastAsia="en-GB"/>
              </w:rPr>
            </w:pPr>
          </w:p>
        </w:tc>
        <w:tc>
          <w:tcPr>
            <w:tcW w:w="66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 xml:space="preserve">La direction du Budget a inscrit la transformation digitale au cœur de ses orientations </w:t>
            </w:r>
            <w:r w:rsidRPr="000414CF">
              <w:rPr>
                <w:rFonts w:eastAsia="Times New Roman" w:cs="Calibri Light"/>
                <w:sz w:val="20"/>
                <w:lang w:eastAsia="en-GB"/>
              </w:rPr>
              <w:lastRenderedPageBreak/>
              <w:t xml:space="preserve">stratégiques, mais ne dispose pas de stratégie de transformation digitale.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color w:val="2E74B5"/>
                <w:sz w:val="20"/>
                <w:lang w:eastAsia="en-GB"/>
              </w:rPr>
            </w:pPr>
          </w:p>
          <w:p w:rsidR="003A0B1B" w:rsidRPr="000414CF" w:rsidRDefault="003A0B1B" w:rsidP="003A0B1B">
            <w:pPr>
              <w:spacing w:after="0" w:line="240" w:lineRule="auto"/>
              <w:rPr>
                <w:rFonts w:eastAsia="Times New Roman" w:cs="Calibri Light"/>
                <w:b/>
                <w:color w:val="2E74B5"/>
                <w:sz w:val="20"/>
                <w:lang w:eastAsia="en-GB"/>
              </w:rPr>
            </w:pP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Schéma directeur validé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Plan d’action validé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 xml:space="preserve">Extension fonctionnelle </w:t>
            </w:r>
            <w:proofErr w:type="gramStart"/>
            <w:r w:rsidRPr="000414CF">
              <w:rPr>
                <w:rFonts w:eastAsia="Times New Roman" w:cs="Calibri Light"/>
                <w:sz w:val="20"/>
                <w:lang w:eastAsia="en-GB"/>
              </w:rPr>
              <w:t>de e-budget2</w:t>
            </w:r>
            <w:proofErr w:type="gramEnd"/>
          </w:p>
        </w:tc>
        <w:tc>
          <w:tcPr>
            <w:tcW w:w="840"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 xml:space="preserve">Schéma directeur de transformation digitale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Plan d’action et de conduite du changement</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FFFFFF"/>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Résultat 1.5 – Un dispositif de formation pérenne et de communication en matière de gestion budgétaire en mode LOF est mis en place (lié à l’OS1)</w:t>
            </w: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L’Académie de la LOF proposant un parcours de formation sur les dispositifs de la LOF y compris la budgétisation sensible au genre est mise en place.</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Des modules de formation à distance sur les dispositifs de la LOF (e-learning) </w:t>
            </w:r>
            <w:r w:rsidRPr="000414CF">
              <w:rPr>
                <w:rFonts w:eastAsia="Times New Roman" w:cs="Calibri Light"/>
                <w:sz w:val="20"/>
                <w:lang w:eastAsia="en-GB"/>
              </w:rPr>
              <w:lastRenderedPageBreak/>
              <w:t xml:space="preserve">sont élaborés et disponibles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tc>
        <w:tc>
          <w:tcPr>
            <w:tcW w:w="66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 xml:space="preserve">L’Institut des Finances est une structure de formation qui dispose d’un catalogue fourni de formations proposées à diverses institutions publiques. L’institut des Finances a collaboré activement avec la </w:t>
            </w:r>
            <w:r w:rsidRPr="000414CF">
              <w:rPr>
                <w:rFonts w:eastAsia="Times New Roman" w:cs="Calibri Light"/>
                <w:sz w:val="20"/>
                <w:lang w:eastAsia="en-GB"/>
              </w:rPr>
              <w:lastRenderedPageBreak/>
              <w:t>direction du Budget tout au long du projet de jumelage afin d’assurer des formations de qualité.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La DB ne dispose que de modules d’initiation à la LOF, et seulement en présentiel. </w:t>
            </w:r>
          </w:p>
          <w:p w:rsidR="003A0B1B" w:rsidRPr="000414CF" w:rsidRDefault="003A0B1B" w:rsidP="003A0B1B">
            <w:pPr>
              <w:spacing w:after="0" w:line="240" w:lineRule="auto"/>
              <w:rPr>
                <w:rFonts w:eastAsia="Times New Roman" w:cs="Calibri Light"/>
                <w:b/>
                <w:sz w:val="20"/>
                <w:lang w:eastAsia="en-GB"/>
              </w:rPr>
            </w:pP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Inscription du cursus dans le catalogue de l’</w:t>
            </w:r>
            <w:proofErr w:type="spellStart"/>
            <w:r w:rsidRPr="000414CF">
              <w:rPr>
                <w:rFonts w:eastAsia="Times New Roman" w:cs="Calibri Light"/>
                <w:sz w:val="20"/>
                <w:lang w:eastAsia="en-GB"/>
              </w:rPr>
              <w:t>IdF</w:t>
            </w:r>
            <w:proofErr w:type="spellEnd"/>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5 formations réalisées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2 modules e-learning disponibles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5 actions de communication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tc>
        <w:tc>
          <w:tcPr>
            <w:tcW w:w="840"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Catalogue de l’IDF</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Modules de formation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Bilans pédagogiques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Evaluations des formations</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Parcours en ligne</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Plan de communication</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Rapport de recommandations sur la communication et une </w:t>
            </w:r>
            <w:r w:rsidRPr="000414CF">
              <w:rPr>
                <w:rFonts w:eastAsia="Times New Roman" w:cs="Calibri Light"/>
                <w:sz w:val="20"/>
                <w:lang w:eastAsia="en-GB"/>
              </w:rPr>
              <w:lastRenderedPageBreak/>
              <w:t>meilleure association des citoyens à l’élaboration et au suivi de l’exécution du budget</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auto"/>
          </w:tcPr>
          <w:p w:rsidR="003A0B1B" w:rsidRPr="000414CF" w:rsidRDefault="003A0B1B" w:rsidP="003A0B1B">
            <w:pPr>
              <w:autoSpaceDE w:val="0"/>
              <w:autoSpaceDN w:val="0"/>
              <w:adjustRightInd w:val="0"/>
              <w:spacing w:after="0" w:line="240" w:lineRule="auto"/>
              <w:rPr>
                <w:rFonts w:eastAsia="Times New Roman" w:cs="Calibri Light"/>
                <w:b/>
                <w:sz w:val="20"/>
                <w:lang w:eastAsia="en-GB"/>
              </w:rPr>
            </w:pPr>
            <w:r w:rsidRPr="000414CF">
              <w:rPr>
                <w:rFonts w:eastAsia="Times New Roman" w:cs="Calibri Light"/>
                <w:sz w:val="20"/>
                <w:lang w:eastAsia="en-GB"/>
              </w:rPr>
              <w:t>Résultat 1.6 – la transparence budgétaire est renforcée (lié à l’OS1)</w:t>
            </w: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La communication autour du budget citoyen est renforcée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Plan de communication en vue de la valorisation des données sur la performance publique </w:t>
            </w:r>
            <w:proofErr w:type="gramStart"/>
            <w:r w:rsidRPr="000414CF">
              <w:rPr>
                <w:rFonts w:eastAsia="Times New Roman" w:cs="Calibri Light"/>
                <w:sz w:val="20"/>
                <w:lang w:eastAsia="en-GB"/>
              </w:rPr>
              <w:t>est</w:t>
            </w:r>
            <w:proofErr w:type="gramEnd"/>
            <w:r w:rsidRPr="000414CF">
              <w:rPr>
                <w:rFonts w:eastAsia="Times New Roman" w:cs="Calibri Light"/>
                <w:sz w:val="20"/>
                <w:lang w:eastAsia="en-GB"/>
              </w:rPr>
              <w:t xml:space="preserve"> élaboré et mis en œuvre</w:t>
            </w:r>
          </w:p>
        </w:tc>
        <w:tc>
          <w:tcPr>
            <w:tcW w:w="664" w:type="pct"/>
            <w:shd w:val="clear" w:color="auto" w:fill="FFFFFF"/>
          </w:tcPr>
          <w:p w:rsidR="003A0B1B" w:rsidRPr="000414CF" w:rsidRDefault="003A0B1B" w:rsidP="003A0B1B">
            <w:pPr>
              <w:spacing w:before="100" w:beforeAutospacing="1" w:after="0" w:line="240" w:lineRule="auto"/>
              <w:rPr>
                <w:rFonts w:eastAsia="Times New Roman" w:cs="Calibri Light"/>
                <w:b/>
                <w:sz w:val="20"/>
                <w:lang w:eastAsia="en-GB"/>
              </w:rPr>
            </w:pPr>
            <w:r w:rsidRPr="000414CF">
              <w:rPr>
                <w:rFonts w:eastAsia="Times New Roman" w:cs="Calibri Light"/>
                <w:sz w:val="20"/>
                <w:lang w:eastAsia="en-GB"/>
              </w:rPr>
              <w:t xml:space="preserve">Dans le cadre de l’application du principe de transparence dicté par la LOF, le MEF publie le Budget Citoyen.  Au titre de l’enquête 2019, le Maroc s’est vu attribuer un score de 43 en matière de transparence budgétaire. Ce qui correspond à la publication sur le site du ministère des Finances d'informations budgétaires </w:t>
            </w:r>
            <w:r w:rsidRPr="000414CF">
              <w:rPr>
                <w:rFonts w:eastAsia="Times New Roman" w:cs="Calibri Light"/>
                <w:sz w:val="20"/>
                <w:lang w:eastAsia="en-GB"/>
              </w:rPr>
              <w:lastRenderedPageBreak/>
              <w:t xml:space="preserve">limitées. Ce score est de 44 en matière de contrôle budgétaire assuré par le Parlement et la Cour des comptes, ce qui est qualifié de limité. </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 xml:space="preserve">La communication institutionnelle en matière de performance </w:t>
            </w: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répond à l’objectif de transparence poursuivi par la LOF et permet aux gestionnaires de disposer de toutes les informations nécessaires à leur activité, mais ne permet pas une appropriation aisée par le citoyen des données de performance.</w:t>
            </w:r>
          </w:p>
          <w:p w:rsidR="003A0B1B" w:rsidRPr="000414CF" w:rsidRDefault="003A0B1B" w:rsidP="003A0B1B">
            <w:pPr>
              <w:spacing w:after="0" w:line="240" w:lineRule="auto"/>
              <w:rPr>
                <w:rFonts w:eastAsia="Times New Roman" w:cs="Calibri Light"/>
                <w:b/>
                <w:sz w:val="20"/>
                <w:lang w:eastAsia="en-GB"/>
              </w:rPr>
            </w:pPr>
          </w:p>
        </w:tc>
        <w:tc>
          <w:tcPr>
            <w:tcW w:w="734"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Rapport avec recommandations en matière de transparence budgétaire validé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Un rapport préalable est publié 4 mois avant le début de la période de mise en œuvre de la LDF</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Plan de communication</w:t>
            </w: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Validé</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Rapport sur les données de performance mis en ligne</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tc>
        <w:tc>
          <w:tcPr>
            <w:tcW w:w="840" w:type="pct"/>
            <w:shd w:val="clear" w:color="auto" w:fill="FFFFFF"/>
          </w:tcPr>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lastRenderedPageBreak/>
              <w:t>Rapport</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Site de la LOF</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r w:rsidRPr="000414CF">
              <w:rPr>
                <w:rFonts w:eastAsia="Times New Roman" w:cs="Calibri Light"/>
                <w:sz w:val="20"/>
                <w:lang w:eastAsia="en-GB"/>
              </w:rPr>
              <w:t>Plan de communication</w:t>
            </w:r>
          </w:p>
          <w:p w:rsidR="003A0B1B" w:rsidRPr="000414CF" w:rsidRDefault="003A0B1B" w:rsidP="003A0B1B">
            <w:pPr>
              <w:spacing w:after="0" w:line="240" w:lineRule="auto"/>
              <w:rPr>
                <w:rFonts w:eastAsia="Times New Roman" w:cs="Calibri Light"/>
                <w:b/>
                <w:sz w:val="20"/>
                <w:lang w:eastAsia="en-GB"/>
              </w:rPr>
            </w:pPr>
          </w:p>
          <w:p w:rsidR="003A0B1B" w:rsidRPr="000414CF" w:rsidRDefault="003A0B1B" w:rsidP="003A0B1B">
            <w:pPr>
              <w:spacing w:after="0" w:line="240" w:lineRule="auto"/>
              <w:rPr>
                <w:rFonts w:eastAsia="Times New Roman" w:cs="Calibri Light"/>
                <w:b/>
                <w:sz w:val="20"/>
                <w:lang w:eastAsia="en-GB"/>
              </w:rPr>
            </w:pP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r w:rsidRPr="006932D5">
              <w:rPr>
                <w:rFonts w:eastAsia="Times New Roman" w:cs="Calibri Light"/>
                <w:sz w:val="20"/>
                <w:lang w:eastAsia="en-GB"/>
              </w:rPr>
              <w:t xml:space="preserve">Résultat 2.1 – </w:t>
            </w:r>
            <w:r w:rsidRPr="00DE6C26">
              <w:rPr>
                <w:rFonts w:eastAsia="Times New Roman" w:cs="Calibri Light"/>
                <w:sz w:val="20"/>
                <w:lang w:eastAsia="en-GB"/>
              </w:rPr>
              <w:t>Le</w:t>
            </w:r>
            <w:r w:rsidRPr="006932D5">
              <w:rPr>
                <w:rFonts w:eastAsia="Times New Roman" w:cs="Calibri Light"/>
                <w:sz w:val="20"/>
                <w:lang w:eastAsia="en-GB"/>
              </w:rPr>
              <w:t xml:space="preserve"> dispositif d’audit interne</w:t>
            </w:r>
            <w:r w:rsidRPr="00DE6C26">
              <w:rPr>
                <w:rFonts w:eastAsia="Times New Roman" w:cs="Calibri Light"/>
                <w:sz w:val="20"/>
                <w:lang w:eastAsia="en-GB"/>
              </w:rPr>
              <w:t xml:space="preserve"> de la DGI est renforcé et mieux structuré</w:t>
            </w:r>
            <w:r w:rsidRPr="006932D5">
              <w:rPr>
                <w:rFonts w:eastAsia="Times New Roman" w:cs="Calibri Light"/>
                <w:sz w:val="20"/>
                <w:lang w:eastAsia="en-GB"/>
              </w:rPr>
              <w:t xml:space="preserve"> (lié à l’OS2)</w:t>
            </w:r>
          </w:p>
        </w:tc>
        <w:tc>
          <w:tcPr>
            <w:tcW w:w="734" w:type="pct"/>
            <w:shd w:val="clear" w:color="auto" w:fill="FFFFFF"/>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10 formateurs de la DGI ont été formés à l’audit interne</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c>
          <w:tcPr>
            <w:tcW w:w="664" w:type="pct"/>
            <w:shd w:val="clear" w:color="auto" w:fill="FFFFFF"/>
          </w:tcPr>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 xml:space="preserve">La mission d’audit interne, thématique ou comptable, est une activité récente à la DGI (3 ans). Aucune </w:t>
            </w:r>
            <w:r w:rsidRPr="00ED4C1E">
              <w:rPr>
                <w:rFonts w:eastAsia="Times New Roman" w:cs="Calibri Light"/>
                <w:sz w:val="20"/>
                <w:lang w:eastAsia="en-GB"/>
              </w:rPr>
              <w:lastRenderedPageBreak/>
              <w:t>charte, aucun référentiel n’a précédé sa mise en œuvre ou n’a été conçu depuis. Aucune cartographie des risques n’a été établie.</w:t>
            </w:r>
          </w:p>
          <w:p w:rsidR="003A0B1B" w:rsidRPr="00ED4C1E"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sz w:val="20"/>
                <w:lang w:eastAsia="en-GB"/>
              </w:rPr>
            </w:pPr>
            <w:r w:rsidRPr="00880DF0">
              <w:rPr>
                <w:rFonts w:eastAsia="Times New Roman" w:cs="Calibri Light"/>
                <w:sz w:val="20"/>
                <w:lang w:eastAsia="en-GB"/>
              </w:rPr>
              <w:t>La pratique de l’audit est effective mais l’essentiel de l’activité consiste encore en opérations d’inspection où la recherche de responsabilités dans la situation d’un service donné demeure l’objectif.</w:t>
            </w:r>
          </w:p>
          <w:p w:rsidR="003A0B1B" w:rsidRPr="00880DF0" w:rsidRDefault="003A0B1B" w:rsidP="003A0B1B">
            <w:pPr>
              <w:spacing w:after="0" w:line="240" w:lineRule="auto"/>
              <w:rPr>
                <w:rFonts w:eastAsia="Times New Roman" w:cs="Calibri Light"/>
                <w:b/>
                <w:sz w:val="20"/>
                <w:highlight w:val="yellow"/>
                <w:lang w:eastAsia="en-GB"/>
              </w:rPr>
            </w:pPr>
          </w:p>
        </w:tc>
        <w:tc>
          <w:tcPr>
            <w:tcW w:w="734" w:type="pct"/>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Recuei</w:t>
            </w:r>
            <w:r w:rsidRPr="00ED4C1E">
              <w:rPr>
                <w:rFonts w:eastAsia="Times New Roman" w:cs="Calibri Light"/>
                <w:sz w:val="20"/>
                <w:lang w:eastAsia="en-GB"/>
              </w:rPr>
              <w:t>l des outils méthodologiques disponible</w:t>
            </w:r>
          </w:p>
          <w:p w:rsidR="003A0B1B" w:rsidRPr="00ED4C1E" w:rsidRDefault="003A0B1B" w:rsidP="003A0B1B">
            <w:pPr>
              <w:spacing w:after="0" w:line="240" w:lineRule="auto"/>
              <w:rPr>
                <w:rFonts w:eastAsia="Times New Roman" w:cs="Calibri Light"/>
                <w:b/>
                <w:sz w:val="20"/>
                <w:highlight w:val="yellow"/>
                <w:lang w:eastAsia="en-GB"/>
              </w:rPr>
            </w:pPr>
            <w:r>
              <w:rPr>
                <w:rFonts w:eastAsia="Times New Roman" w:cs="Calibri Light"/>
                <w:sz w:val="20"/>
                <w:lang w:eastAsia="en-GB"/>
              </w:rPr>
              <w:t>10 formateurs de la DGI ont été formés à l’audit interne</w:t>
            </w:r>
          </w:p>
        </w:tc>
        <w:tc>
          <w:tcPr>
            <w:tcW w:w="840" w:type="pct"/>
            <w:shd w:val="clear" w:color="auto" w:fill="FFFFFF"/>
          </w:tcPr>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Plan d’audit interne</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Recueil des outils méthodologiques</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highlight w:val="yellow"/>
                <w:lang w:eastAsia="en-GB"/>
              </w:rPr>
            </w:pPr>
            <w:r w:rsidRPr="00ED4C1E">
              <w:rPr>
                <w:rFonts w:eastAsia="Times New Roman" w:cs="Calibri Light"/>
                <w:sz w:val="20"/>
                <w:lang w:eastAsia="en-GB"/>
              </w:rPr>
              <w:lastRenderedPageBreak/>
              <w:t>Rapport de mission sur l’accompagnement à la mise en œuvre de l’audit interne</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auto"/>
          </w:tcPr>
          <w:p w:rsidR="003A0B1B" w:rsidRPr="00DE6C26" w:rsidRDefault="003A0B1B" w:rsidP="003A0B1B">
            <w:pPr>
              <w:autoSpaceDE w:val="0"/>
              <w:autoSpaceDN w:val="0"/>
              <w:adjustRightInd w:val="0"/>
              <w:spacing w:after="0" w:line="240" w:lineRule="auto"/>
              <w:rPr>
                <w:rFonts w:eastAsia="Times New Roman" w:cs="Calibri Light"/>
                <w:b/>
                <w:sz w:val="20"/>
                <w:lang w:eastAsia="en-GB"/>
              </w:rPr>
            </w:pPr>
            <w:r w:rsidRPr="006932D5">
              <w:rPr>
                <w:rFonts w:eastAsia="Times New Roman" w:cs="Calibri Light"/>
                <w:sz w:val="20"/>
                <w:lang w:eastAsia="en-GB"/>
              </w:rPr>
              <w:t xml:space="preserve">Résultat 2.2 – Les données numériques fiscales sont disponibles et valorisées (lié </w:t>
            </w:r>
            <w:r w:rsidRPr="00DE6C26">
              <w:rPr>
                <w:rFonts w:eastAsia="Times New Roman" w:cs="Calibri Light"/>
                <w:sz w:val="20"/>
                <w:lang w:eastAsia="en-GB"/>
              </w:rPr>
              <w:t>à l’</w:t>
            </w:r>
            <w:r w:rsidRPr="006932D5">
              <w:rPr>
                <w:rFonts w:eastAsia="Times New Roman" w:cs="Calibri Light"/>
                <w:sz w:val="20"/>
                <w:lang w:eastAsia="en-GB"/>
              </w:rPr>
              <w:t>OS2)</w:t>
            </w:r>
          </w:p>
          <w:p w:rsidR="003A0B1B" w:rsidRPr="00DE6C26" w:rsidRDefault="003A0B1B" w:rsidP="003A0B1B">
            <w:pPr>
              <w:spacing w:after="0"/>
              <w:rPr>
                <w:rFonts w:eastAsia="Times New Roman" w:cs="Calibri Light"/>
                <w:sz w:val="20"/>
                <w:lang w:eastAsia="en-GB"/>
              </w:rPr>
            </w:pPr>
          </w:p>
          <w:p w:rsidR="003A0B1B" w:rsidRPr="00DE6C26" w:rsidRDefault="003A0B1B" w:rsidP="003A0B1B">
            <w:pPr>
              <w:spacing w:after="0"/>
              <w:rPr>
                <w:rFonts w:eastAsia="Times New Roman" w:cs="Calibri Light"/>
                <w:sz w:val="20"/>
                <w:lang w:eastAsia="en-GB"/>
              </w:rPr>
            </w:pPr>
          </w:p>
          <w:p w:rsidR="003A0B1B" w:rsidRPr="00DE6C26" w:rsidRDefault="003A0B1B" w:rsidP="003A0B1B">
            <w:pPr>
              <w:spacing w:after="0"/>
              <w:rPr>
                <w:rFonts w:eastAsia="Times New Roman" w:cs="Calibri Light"/>
                <w:sz w:val="20"/>
                <w:lang w:eastAsia="en-GB"/>
              </w:rPr>
            </w:pPr>
          </w:p>
          <w:p w:rsidR="003A0B1B" w:rsidRPr="00DE6C26" w:rsidRDefault="003A0B1B" w:rsidP="003A0B1B">
            <w:pPr>
              <w:spacing w:after="0"/>
              <w:ind w:firstLine="708"/>
              <w:rPr>
                <w:rFonts w:eastAsia="Times New Roman" w:cs="Calibri Light"/>
                <w:sz w:val="20"/>
                <w:lang w:eastAsia="en-GB"/>
              </w:rPr>
            </w:pPr>
          </w:p>
        </w:tc>
        <w:tc>
          <w:tcPr>
            <w:tcW w:w="734" w:type="pct"/>
            <w:shd w:val="clear" w:color="auto" w:fill="FFFFFF"/>
          </w:tcPr>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t>Un état des lieux des causes d’instabilité des données et une évaluation des choix techniques et opérationnels opérés sont réalisés</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highlight w:val="yellow"/>
                <w:lang w:eastAsia="en-GB"/>
              </w:rPr>
            </w:pPr>
            <w:r w:rsidRPr="00ED4C1E">
              <w:rPr>
                <w:rFonts w:eastAsia="Times New Roman" w:cs="Calibri Light"/>
                <w:sz w:val="20"/>
                <w:lang w:eastAsia="en-GB"/>
              </w:rPr>
              <w:t>Les échanges en</w:t>
            </w:r>
            <w:r>
              <w:rPr>
                <w:rFonts w:eastAsia="Times New Roman" w:cs="Calibri Light"/>
                <w:sz w:val="20"/>
                <w:lang w:eastAsia="en-GB"/>
              </w:rPr>
              <w:t>tre</w:t>
            </w:r>
            <w:r w:rsidRPr="00ED4C1E">
              <w:rPr>
                <w:rFonts w:eastAsia="Times New Roman" w:cs="Calibri Light"/>
                <w:sz w:val="20"/>
                <w:lang w:eastAsia="en-GB"/>
              </w:rPr>
              <w:t xml:space="preserve"> pairs sur les méthodes et outils </w:t>
            </w:r>
            <w:r w:rsidRPr="00ED4C1E">
              <w:rPr>
                <w:rFonts w:eastAsia="Times New Roman" w:cs="Calibri Light"/>
                <w:sz w:val="20"/>
                <w:lang w:eastAsia="en-GB"/>
              </w:rPr>
              <w:lastRenderedPageBreak/>
              <w:t>visant à améliorer l’efficacité du travail de la DGI dans la lutte contre la fraude fiscale sont organisés</w:t>
            </w:r>
          </w:p>
        </w:tc>
        <w:tc>
          <w:tcPr>
            <w:tcW w:w="664" w:type="pct"/>
            <w:shd w:val="clear" w:color="auto" w:fill="FFFFFF"/>
          </w:tcPr>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lastRenderedPageBreak/>
              <w:t xml:space="preserve">Un Data </w:t>
            </w:r>
            <w:proofErr w:type="spellStart"/>
            <w:r w:rsidRPr="00ED4C1E">
              <w:rPr>
                <w:rFonts w:eastAsia="Times New Roman" w:cs="Calibri Light"/>
                <w:sz w:val="20"/>
                <w:lang w:eastAsia="en-GB"/>
              </w:rPr>
              <w:t>Lab</w:t>
            </w:r>
            <w:proofErr w:type="spellEnd"/>
            <w:r w:rsidRPr="00ED4C1E">
              <w:rPr>
                <w:rFonts w:eastAsia="Times New Roman" w:cs="Calibri Light"/>
                <w:sz w:val="20"/>
                <w:lang w:eastAsia="en-GB"/>
              </w:rPr>
              <w:t xml:space="preserve"> est en cours de mise en place au sein de la DGI afin d’optimiser l'efficacité des différents métiers et d’en améliorer la performance.</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lastRenderedPageBreak/>
              <w:t>La DGI se trouve confrontée à une difficulté liée à une incertitude quant à l’intégrité des données tout au long du processus de migration et de traitement.</w:t>
            </w:r>
          </w:p>
          <w:p w:rsidR="003A0B1B" w:rsidRPr="00ED4C1E" w:rsidRDefault="003A0B1B" w:rsidP="003A0B1B">
            <w:pPr>
              <w:spacing w:after="0" w:line="240" w:lineRule="auto"/>
              <w:rPr>
                <w:rFonts w:eastAsia="Times New Roman" w:cs="Calibri Light"/>
                <w:b/>
                <w:sz w:val="20"/>
                <w:highlight w:val="yellow"/>
                <w:lang w:eastAsia="en-GB"/>
              </w:rPr>
            </w:pPr>
          </w:p>
        </w:tc>
        <w:tc>
          <w:tcPr>
            <w:tcW w:w="734" w:type="pct"/>
            <w:shd w:val="clear" w:color="auto" w:fill="FFFFFF"/>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lastRenderedPageBreak/>
              <w:t>Rapport d’audit et propositions d’évolutions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r w:rsidRPr="00ED4C1E">
              <w:rPr>
                <w:rFonts w:eastAsia="Times New Roman" w:cs="Calibri Light"/>
                <w:sz w:val="20"/>
                <w:lang w:eastAsia="en-GB"/>
              </w:rPr>
              <w:t>Atelier de travail organisé</w:t>
            </w:r>
          </w:p>
        </w:tc>
        <w:tc>
          <w:tcPr>
            <w:tcW w:w="840" w:type="pct"/>
            <w:shd w:val="clear" w:color="auto" w:fill="FFFFFF"/>
          </w:tcPr>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 xml:space="preserve">Etude sur les données croisées </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highlight w:val="yellow"/>
                <w:lang w:eastAsia="en-GB"/>
              </w:rPr>
            </w:pPr>
            <w:r w:rsidRPr="00ED4C1E">
              <w:rPr>
                <w:rFonts w:eastAsia="Times New Roman" w:cs="Calibri Light"/>
                <w:sz w:val="20"/>
                <w:lang w:eastAsia="en-GB"/>
              </w:rPr>
              <w:t>Matériaux de l’atelier de travail</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shd w:val="clear" w:color="auto" w:fill="auto"/>
          </w:tcPr>
          <w:p w:rsidR="003A0B1B" w:rsidRPr="00DE6C26" w:rsidRDefault="003A0B1B" w:rsidP="003A0B1B">
            <w:pPr>
              <w:autoSpaceDE w:val="0"/>
              <w:autoSpaceDN w:val="0"/>
              <w:adjustRightInd w:val="0"/>
              <w:spacing w:after="0" w:line="240" w:lineRule="auto"/>
              <w:rPr>
                <w:rFonts w:eastAsia="Times New Roman" w:cs="Calibri Light"/>
                <w:b/>
                <w:sz w:val="20"/>
                <w:lang w:eastAsia="en-GB"/>
              </w:rPr>
            </w:pPr>
            <w:r w:rsidRPr="00DE6C26">
              <w:rPr>
                <w:rFonts w:eastAsia="Times New Roman" w:cs="Calibri Light"/>
                <w:sz w:val="20"/>
                <w:lang w:eastAsia="en-GB"/>
              </w:rPr>
              <w:t>Résultats 2.3 – Un référentiel harmonisé de contrôle interne est développé et décliné (lié à l’OS 2)</w:t>
            </w:r>
          </w:p>
        </w:tc>
        <w:tc>
          <w:tcPr>
            <w:tcW w:w="734" w:type="pct"/>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Une stratégie de déploiement et des guides pratiques de mise en œuvre du contrôle interne sont rédigés.</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Un plan de formation recensant les effectifs à former et les modules de formations est établi et mis en œuvre sur un nombre limité de modules. </w:t>
            </w:r>
          </w:p>
          <w:p w:rsidR="003A0B1B" w:rsidRDefault="003A0B1B" w:rsidP="003A0B1B">
            <w:pPr>
              <w:spacing w:after="0" w:line="240" w:lineRule="auto"/>
              <w:rPr>
                <w:rFonts w:eastAsia="Times New Roman" w:cs="Calibri Light"/>
                <w:b/>
                <w:sz w:val="20"/>
                <w:lang w:eastAsia="en-GB"/>
              </w:rPr>
            </w:pPr>
          </w:p>
          <w:p w:rsidR="003A0B1B" w:rsidRPr="00ED4C1E" w:rsidDel="00E149D5" w:rsidRDefault="003A0B1B" w:rsidP="003A0B1B">
            <w:pPr>
              <w:spacing w:after="0" w:line="240" w:lineRule="auto"/>
              <w:rPr>
                <w:rFonts w:eastAsia="Times New Roman" w:cs="Calibri Light"/>
                <w:b/>
                <w:sz w:val="20"/>
                <w:lang w:eastAsia="en-GB"/>
              </w:rPr>
            </w:pPr>
            <w:r>
              <w:rPr>
                <w:rFonts w:eastAsia="Times New Roman" w:cs="Calibri Light"/>
                <w:sz w:val="20"/>
                <w:lang w:eastAsia="en-GB"/>
              </w:rPr>
              <w:t>Le référentiel de contrôle interne est décliné sur 2 macro-processus dans 2 ministères pilotes.</w:t>
            </w:r>
          </w:p>
        </w:tc>
        <w:tc>
          <w:tcPr>
            <w:tcW w:w="664" w:type="pct"/>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La mise en place du contrôle interne est embryonnaire et hétérogène selon les départements ministériels. </w:t>
            </w:r>
          </w:p>
          <w:p w:rsidR="003A0B1B"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Aucun référentiel commun de contrôle interne n’existe. </w:t>
            </w:r>
          </w:p>
        </w:tc>
        <w:tc>
          <w:tcPr>
            <w:tcW w:w="734" w:type="pct"/>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Stratégie de déploiement.</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3 guides pratiques.</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Plan de formation.</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2 matrices des risques et plans d’actions sont rédigés pour chaque ministère pilote.</w:t>
            </w:r>
          </w:p>
        </w:tc>
        <w:tc>
          <w:tcPr>
            <w:tcW w:w="840" w:type="pct"/>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Guide pratique de mise en œuvre du contrôle interne</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Stratégie de déploiement</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Plan de formation</w:t>
            </w:r>
          </w:p>
          <w:p w:rsidR="003A0B1B"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sidRPr="00DE6C26">
              <w:rPr>
                <w:rFonts w:eastAsia="Times New Roman" w:cs="Calibri Light"/>
                <w:sz w:val="20"/>
                <w:lang w:eastAsia="en-GB"/>
              </w:rPr>
              <w:t>Référentiel</w:t>
            </w:r>
            <w:r w:rsidRPr="006331D6">
              <w:rPr>
                <w:rFonts w:eastAsia="Times New Roman" w:cs="Calibri Light"/>
                <w:sz w:val="20"/>
                <w:lang w:eastAsia="en-GB"/>
              </w:rPr>
              <w:t xml:space="preserve"> harmonisé de</w:t>
            </w:r>
            <w:r w:rsidRPr="006D0AFD">
              <w:rPr>
                <w:rFonts w:eastAsia="Times New Roman" w:cs="Calibri Light"/>
                <w:sz w:val="20"/>
                <w:lang w:eastAsia="en-GB"/>
              </w:rPr>
              <w:t xml:space="preserve"> Contrôle interne</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tcBorders>
              <w:top w:val="single" w:sz="4" w:space="0" w:color="auto"/>
              <w:left w:val="single" w:sz="4" w:space="0" w:color="auto"/>
              <w:bottom w:val="single" w:sz="4" w:space="0" w:color="auto"/>
              <w:right w:val="single" w:sz="4" w:space="0" w:color="auto"/>
            </w:tcBorders>
            <w:shd w:val="clear" w:color="auto" w:fill="FFFFFF"/>
          </w:tcPr>
          <w:p w:rsidR="003A0B1B" w:rsidRPr="00EC5F79" w:rsidRDefault="003A0B1B" w:rsidP="003A0B1B">
            <w:pPr>
              <w:spacing w:after="0" w:line="240" w:lineRule="auto"/>
              <w:ind w:right="113" w:hanging="4"/>
              <w:rPr>
                <w:rFonts w:eastAsia="Times New Roman" w:cs="Calibri Light"/>
                <w:b/>
                <w:sz w:val="20"/>
                <w:lang w:eastAsia="en-GB"/>
              </w:rPr>
            </w:pPr>
            <w:r w:rsidRPr="00EC5F79">
              <w:rPr>
                <w:rFonts w:eastAsia="Times New Roman" w:cs="Calibri Light"/>
                <w:sz w:val="20"/>
                <w:lang w:eastAsia="en-GB"/>
              </w:rPr>
              <w:t>Résultat 2.4 – La Cour des comptes est en capacité de certifier les comptes publics</w:t>
            </w:r>
          </w:p>
          <w:p w:rsidR="003A0B1B" w:rsidRPr="00EC5F79" w:rsidRDefault="003A0B1B" w:rsidP="003A0B1B">
            <w:pPr>
              <w:tabs>
                <w:tab w:val="left" w:pos="64"/>
              </w:tabs>
              <w:spacing w:after="0" w:line="240" w:lineRule="auto"/>
              <w:ind w:left="113" w:right="113" w:hanging="101"/>
              <w:rPr>
                <w:rFonts w:eastAsia="Times New Roman" w:cs="Calibri Light"/>
                <w:b/>
                <w:sz w:val="20"/>
                <w:lang w:eastAsia="en-GB"/>
              </w:rPr>
            </w:pPr>
            <w:r w:rsidRPr="00EC5F79">
              <w:rPr>
                <w:rFonts w:eastAsia="Times New Roman" w:cs="Calibri Light"/>
                <w:sz w:val="20"/>
                <w:lang w:eastAsia="en-GB"/>
              </w:rPr>
              <w:t xml:space="preserve">(lié à l’OS 2) </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 xml:space="preserve">La Cour des comptes est accompagnée sur la préparation et la conduite d’une </w:t>
            </w:r>
            <w:r>
              <w:rPr>
                <w:rFonts w:eastAsia="Times New Roman" w:cs="Calibri Light"/>
                <w:sz w:val="20"/>
                <w:lang w:eastAsia="en-GB"/>
              </w:rPr>
              <w:lastRenderedPageBreak/>
              <w:t xml:space="preserve">mission de certification. </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 xml:space="preserve">La cour des comptes ne disposent pas des comptes pour </w:t>
            </w:r>
            <w:r>
              <w:rPr>
                <w:rFonts w:eastAsia="Times New Roman" w:cs="Calibri Light"/>
                <w:sz w:val="20"/>
                <w:lang w:eastAsia="en-GB"/>
              </w:rPr>
              <w:lastRenderedPageBreak/>
              <w:t>pouvoir les certifier.</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Programme de travail.</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Guides d’audit (contrôle interne, système d’information)</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Rapport de certification </w:t>
            </w:r>
          </w:p>
          <w:p w:rsidR="003A0B1B"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t>Rapports de missions</w:t>
            </w: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lastRenderedPageBreak/>
              <w:t>Rapport de certification des comptes</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tcBorders>
              <w:top w:val="single" w:sz="4" w:space="0" w:color="auto"/>
              <w:left w:val="single" w:sz="4" w:space="0" w:color="auto"/>
              <w:bottom w:val="single" w:sz="4" w:space="0" w:color="auto"/>
              <w:right w:val="single" w:sz="4" w:space="0" w:color="auto"/>
            </w:tcBorders>
            <w:shd w:val="clear" w:color="auto" w:fill="FFFFFF"/>
          </w:tcPr>
          <w:p w:rsidR="003A0B1B" w:rsidRPr="00EC5F79" w:rsidRDefault="003A0B1B" w:rsidP="003A0B1B">
            <w:pPr>
              <w:tabs>
                <w:tab w:val="left" w:pos="393"/>
              </w:tabs>
              <w:spacing w:after="0" w:line="240" w:lineRule="auto"/>
              <w:ind w:right="113" w:hanging="4"/>
              <w:rPr>
                <w:rFonts w:eastAsia="Times New Roman" w:cs="Calibri Light"/>
                <w:b/>
                <w:sz w:val="20"/>
                <w:lang w:eastAsia="en-GB"/>
              </w:rPr>
            </w:pPr>
            <w:r w:rsidRPr="00EC5F79">
              <w:rPr>
                <w:rFonts w:eastAsia="Times New Roman" w:cs="Calibri Light"/>
                <w:sz w:val="20"/>
                <w:lang w:eastAsia="en-GB"/>
              </w:rPr>
              <w:t xml:space="preserve">Résultat 2.5 - La maitrise des contrôles externes de la Cour est </w:t>
            </w:r>
            <w:proofErr w:type="gramStart"/>
            <w:r w:rsidRPr="00EC5F79">
              <w:rPr>
                <w:rFonts w:eastAsia="Times New Roman" w:cs="Calibri Light"/>
                <w:sz w:val="20"/>
                <w:lang w:eastAsia="en-GB"/>
              </w:rPr>
              <w:t>renforcée  (</w:t>
            </w:r>
            <w:proofErr w:type="gramEnd"/>
            <w:r w:rsidRPr="00EC5F79">
              <w:rPr>
                <w:rFonts w:eastAsia="Times New Roman" w:cs="Calibri Light"/>
                <w:sz w:val="20"/>
                <w:lang w:eastAsia="en-GB"/>
              </w:rPr>
              <w:t>lié à l’OS2)</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sidRPr="00950F10">
              <w:rPr>
                <w:rFonts w:eastAsia="Times New Roman" w:cs="Calibri Light"/>
                <w:sz w:val="20"/>
                <w:lang w:eastAsia="en-GB"/>
              </w:rPr>
              <w:t xml:space="preserve">La Cour des comptes </w:t>
            </w:r>
            <w:r>
              <w:rPr>
                <w:rFonts w:eastAsia="Times New Roman" w:cs="Calibri Light"/>
                <w:sz w:val="20"/>
                <w:lang w:eastAsia="en-GB"/>
              </w:rPr>
              <w:t xml:space="preserve">est en capacité </w:t>
            </w:r>
            <w:r w:rsidRPr="00950F10">
              <w:rPr>
                <w:rFonts w:eastAsia="Times New Roman" w:cs="Calibri Light"/>
                <w:sz w:val="20"/>
                <w:lang w:eastAsia="en-GB"/>
              </w:rPr>
              <w:t>d’auditer</w:t>
            </w:r>
            <w:r>
              <w:rPr>
                <w:rFonts w:eastAsia="Times New Roman" w:cs="Calibri Light"/>
                <w:sz w:val="20"/>
                <w:lang w:eastAsia="en-GB"/>
              </w:rPr>
              <w:t xml:space="preserve"> </w:t>
            </w:r>
            <w:r w:rsidRPr="00950F10">
              <w:rPr>
                <w:rFonts w:eastAsia="Times New Roman" w:cs="Calibri Light"/>
                <w:sz w:val="20"/>
                <w:lang w:eastAsia="en-GB"/>
              </w:rPr>
              <w:t>les projets de performance (</w:t>
            </w:r>
            <w:proofErr w:type="spellStart"/>
            <w:r w:rsidRPr="00950F10">
              <w:rPr>
                <w:rFonts w:eastAsia="Times New Roman" w:cs="Calibri Light"/>
                <w:sz w:val="20"/>
                <w:lang w:eastAsia="en-GB"/>
              </w:rPr>
              <w:t>PdP</w:t>
            </w:r>
            <w:proofErr w:type="spellEnd"/>
            <w:r w:rsidRPr="00950F10">
              <w:rPr>
                <w:rFonts w:eastAsia="Times New Roman" w:cs="Calibri Light"/>
                <w:sz w:val="20"/>
                <w:lang w:eastAsia="en-GB"/>
              </w:rPr>
              <w:t>) et les rapports de performance (</w:t>
            </w:r>
            <w:proofErr w:type="spellStart"/>
            <w:r w:rsidRPr="00950F10">
              <w:rPr>
                <w:rFonts w:eastAsia="Times New Roman" w:cs="Calibri Light"/>
                <w:sz w:val="20"/>
                <w:lang w:eastAsia="en-GB"/>
              </w:rPr>
              <w:t>RdP</w:t>
            </w:r>
            <w:proofErr w:type="spellEnd"/>
            <w:r w:rsidRPr="00950F10">
              <w:rPr>
                <w:rFonts w:eastAsia="Times New Roman" w:cs="Calibri Light"/>
                <w:sz w:val="20"/>
                <w:lang w:eastAsia="en-GB"/>
              </w:rPr>
              <w:t>) des départements ministériels, ainsi que le rapport annuel de performance (</w:t>
            </w:r>
            <w:proofErr w:type="spellStart"/>
            <w:r w:rsidRPr="00950F10">
              <w:rPr>
                <w:rFonts w:eastAsia="Times New Roman" w:cs="Calibri Light"/>
                <w:sz w:val="20"/>
                <w:lang w:eastAsia="en-GB"/>
              </w:rPr>
              <w:t>RaP</w:t>
            </w:r>
            <w:proofErr w:type="spellEnd"/>
            <w:r w:rsidRPr="00950F10">
              <w:rPr>
                <w:rFonts w:eastAsia="Times New Roman" w:cs="Calibri Light"/>
                <w:sz w:val="20"/>
                <w:lang w:eastAsia="en-GB"/>
              </w:rPr>
              <w:t>)</w:t>
            </w:r>
            <w:r>
              <w:rPr>
                <w:rFonts w:eastAsia="Times New Roman" w:cs="Calibri Light"/>
                <w:sz w:val="20"/>
                <w:lang w:eastAsia="en-GB"/>
              </w:rPr>
              <w:t>.</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sidRPr="00341D9E">
              <w:rPr>
                <w:rFonts w:eastAsia="Times New Roman" w:cs="Calibri Light"/>
                <w:sz w:val="20"/>
                <w:lang w:eastAsia="en-GB"/>
              </w:rPr>
              <w:t xml:space="preserve">La Cour des comptes </w:t>
            </w:r>
            <w:r>
              <w:rPr>
                <w:rFonts w:eastAsia="Times New Roman" w:cs="Calibri Light"/>
                <w:sz w:val="20"/>
                <w:lang w:eastAsia="en-GB"/>
              </w:rPr>
              <w:t>est</w:t>
            </w:r>
            <w:r w:rsidRPr="00341D9E">
              <w:rPr>
                <w:rFonts w:eastAsia="Times New Roman" w:cs="Calibri Light"/>
                <w:sz w:val="20"/>
                <w:lang w:eastAsia="en-GB"/>
              </w:rPr>
              <w:t xml:space="preserve"> en mesure d’évaluer les programmes budgétaires et les projets qui les constituent</w:t>
            </w:r>
            <w:r>
              <w:rPr>
                <w:rFonts w:eastAsia="Times New Roman" w:cs="Calibri Light"/>
                <w:sz w:val="20"/>
                <w:lang w:eastAsia="en-GB"/>
              </w:rPr>
              <w:t>.</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617292">
              <w:rPr>
                <w:rFonts w:eastAsia="Times New Roman" w:cs="Calibri Light"/>
                <w:sz w:val="20"/>
                <w:lang w:eastAsia="en-GB"/>
              </w:rPr>
              <w:t xml:space="preserve">Les magistrats et vérificateurs des juridictions financières sont en mesure, dans le domaine du contrôle juridictionnel, de </w:t>
            </w:r>
            <w:r w:rsidRPr="00617292">
              <w:rPr>
                <w:rFonts w:eastAsia="Times New Roman" w:cs="Calibri Light"/>
                <w:sz w:val="20"/>
                <w:lang w:eastAsia="en-GB"/>
              </w:rPr>
              <w:lastRenderedPageBreak/>
              <w:t>maîtriser les techniques du contrôle intégré sur des comptes dématérialisés.</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Démarche récente d’évaluation de la performance et des programmes mise en place par la LOF.</w:t>
            </w:r>
          </w:p>
          <w:p w:rsidR="003A0B1B"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Processus de certification des comptes sous forme dématérialisée a débuté en 2022 qui nécessite l’acquisition de nouvelles compétences en vue du renforcement du contrôle juridictionnel en mode dématérialisé. </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Guide de contrôle de la performance budgétaire</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Rapports de missions et recommandations</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Guide pratique de l’évaluateur</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Rapports de mission et recommandations</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Guide d’aide au contrôle juridictionnel en mode dématérialisé</w:t>
            </w:r>
          </w:p>
          <w:p w:rsidR="003A0B1B"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Lignes directrices pour la </w:t>
            </w:r>
            <w:r>
              <w:rPr>
                <w:rFonts w:eastAsia="Times New Roman" w:cs="Calibri Light"/>
                <w:sz w:val="20"/>
                <w:lang w:eastAsia="en-GB"/>
              </w:rPr>
              <w:lastRenderedPageBreak/>
              <w:t>programmation des contrôles dans le cadre d’une démarche intégrée</w:t>
            </w: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lastRenderedPageBreak/>
              <w:t>Rapport de synthèse sur l’analyse de la performance</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Rapport d’évaluation d’un programme ou projet</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Evaluation des formations</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Rapports, décisions juridictionnels, avis juridictionnels</w:t>
            </w: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tcBorders>
              <w:top w:val="single" w:sz="4" w:space="0" w:color="auto"/>
              <w:left w:val="single" w:sz="4" w:space="0" w:color="auto"/>
              <w:bottom w:val="single" w:sz="4" w:space="0" w:color="auto"/>
              <w:right w:val="single" w:sz="4" w:space="0" w:color="auto"/>
            </w:tcBorders>
            <w:shd w:val="clear" w:color="auto" w:fill="FFFFFF"/>
          </w:tcPr>
          <w:p w:rsidR="003A0B1B" w:rsidRPr="00ED4C1E" w:rsidRDefault="003A0B1B" w:rsidP="003A0B1B">
            <w:pPr>
              <w:tabs>
                <w:tab w:val="left" w:pos="64"/>
              </w:tabs>
              <w:spacing w:after="0" w:line="240" w:lineRule="auto"/>
              <w:ind w:left="113" w:right="113" w:hanging="101"/>
              <w:rPr>
                <w:rFonts w:eastAsia="Times New Roman" w:cs="Calibri Light"/>
                <w:b/>
                <w:sz w:val="20"/>
                <w:lang w:eastAsia="en-GB"/>
              </w:rPr>
            </w:pPr>
            <w:r w:rsidRPr="00ED4C1E">
              <w:rPr>
                <w:rFonts w:eastAsia="Times New Roman" w:cs="Calibri Light"/>
                <w:sz w:val="20"/>
                <w:lang w:eastAsia="en-GB"/>
              </w:rPr>
              <w:t xml:space="preserve">Résultat 3.1 </w:t>
            </w:r>
            <w:proofErr w:type="gramStart"/>
            <w:r w:rsidRPr="00ED4C1E">
              <w:rPr>
                <w:rFonts w:eastAsia="Times New Roman" w:cs="Calibri Light"/>
                <w:sz w:val="20"/>
                <w:lang w:eastAsia="en-GB"/>
              </w:rPr>
              <w:t xml:space="preserve">–  </w:t>
            </w:r>
            <w:r>
              <w:rPr>
                <w:rFonts w:eastAsia="Times New Roman" w:cs="Calibri Light"/>
                <w:sz w:val="20"/>
                <w:lang w:eastAsia="en-GB"/>
              </w:rPr>
              <w:t>Le</w:t>
            </w:r>
            <w:proofErr w:type="gramEnd"/>
            <w:r>
              <w:rPr>
                <w:rFonts w:eastAsia="Times New Roman" w:cs="Calibri Light"/>
                <w:sz w:val="20"/>
                <w:lang w:eastAsia="en-GB"/>
              </w:rPr>
              <w:t xml:space="preserve"> schéma </w:t>
            </w:r>
            <w:r w:rsidRPr="00ED4C1E">
              <w:rPr>
                <w:rFonts w:eastAsia="Times New Roman" w:cs="Calibri Light"/>
                <w:sz w:val="20"/>
                <w:lang w:eastAsia="en-GB"/>
              </w:rPr>
              <w:t>directeur de la déconcentra</w:t>
            </w:r>
            <w:r>
              <w:rPr>
                <w:rFonts w:eastAsia="Times New Roman" w:cs="Calibri Light"/>
                <w:sz w:val="20"/>
                <w:lang w:eastAsia="en-GB"/>
              </w:rPr>
              <w:t>tion budgétaire du MEF</w:t>
            </w:r>
            <w:r w:rsidRPr="00ED4C1E">
              <w:rPr>
                <w:rFonts w:eastAsia="Times New Roman" w:cs="Calibri Light"/>
                <w:sz w:val="20"/>
                <w:lang w:eastAsia="en-GB"/>
              </w:rPr>
              <w:t xml:space="preserve"> </w:t>
            </w:r>
            <w:r>
              <w:rPr>
                <w:rFonts w:eastAsia="Times New Roman" w:cs="Calibri Light"/>
                <w:sz w:val="20"/>
                <w:lang w:eastAsia="en-GB"/>
              </w:rPr>
              <w:t>est</w:t>
            </w:r>
            <w:r w:rsidRPr="00ED4C1E">
              <w:rPr>
                <w:rFonts w:eastAsia="Times New Roman" w:cs="Calibri Light"/>
                <w:sz w:val="20"/>
                <w:lang w:eastAsia="en-GB"/>
              </w:rPr>
              <w:t xml:space="preserve"> opérationnel</w:t>
            </w:r>
            <w:r>
              <w:rPr>
                <w:rFonts w:eastAsia="Times New Roman" w:cs="Calibri Light"/>
                <w:sz w:val="20"/>
                <w:lang w:eastAsia="en-GB"/>
              </w:rPr>
              <w:t xml:space="preserve"> et</w:t>
            </w:r>
            <w:r w:rsidRPr="00ED4C1E">
              <w:rPr>
                <w:rFonts w:eastAsia="Times New Roman" w:cs="Calibri Light"/>
                <w:sz w:val="20"/>
                <w:lang w:eastAsia="en-GB"/>
              </w:rPr>
              <w:t xml:space="preserve"> </w:t>
            </w:r>
            <w:r>
              <w:rPr>
                <w:rFonts w:eastAsia="Times New Roman" w:cs="Calibri Light"/>
                <w:sz w:val="20"/>
                <w:lang w:eastAsia="en-GB"/>
              </w:rPr>
              <w:t>l</w:t>
            </w:r>
            <w:r w:rsidRPr="00ED4C1E">
              <w:rPr>
                <w:rFonts w:eastAsia="Times New Roman" w:cs="Calibri Light"/>
                <w:sz w:val="20"/>
                <w:lang w:eastAsia="en-GB"/>
              </w:rPr>
              <w:t>e plan de conduite du changement e</w:t>
            </w:r>
            <w:r>
              <w:rPr>
                <w:rFonts w:eastAsia="Times New Roman" w:cs="Calibri Light"/>
                <w:sz w:val="20"/>
                <w:lang w:eastAsia="en-GB"/>
              </w:rPr>
              <w:t>st validé et mis en œuvre (lié à l’</w:t>
            </w:r>
            <w:r w:rsidRPr="00ED4C1E">
              <w:rPr>
                <w:rFonts w:eastAsia="Times New Roman" w:cs="Calibri Light"/>
                <w:sz w:val="20"/>
                <w:lang w:eastAsia="en-GB"/>
              </w:rPr>
              <w:t>OS</w:t>
            </w:r>
            <w:r>
              <w:rPr>
                <w:rFonts w:eastAsia="Times New Roman" w:cs="Calibri Light"/>
                <w:sz w:val="20"/>
                <w:lang w:eastAsia="en-GB"/>
              </w:rPr>
              <w:t xml:space="preserve"> </w:t>
            </w:r>
            <w:r w:rsidRPr="00ED4C1E">
              <w:rPr>
                <w:rFonts w:eastAsia="Times New Roman" w:cs="Calibri Light"/>
                <w:sz w:val="20"/>
                <w:lang w:eastAsia="en-GB"/>
              </w:rPr>
              <w:t>3)</w:t>
            </w:r>
          </w:p>
          <w:p w:rsidR="003A0B1B" w:rsidRPr="00ED4C1E" w:rsidRDefault="003A0B1B" w:rsidP="003A0B1B">
            <w:pPr>
              <w:tabs>
                <w:tab w:val="left" w:pos="64"/>
              </w:tabs>
              <w:spacing w:after="0" w:line="240" w:lineRule="auto"/>
              <w:ind w:left="113" w:right="113" w:hanging="101"/>
              <w:rPr>
                <w:rFonts w:eastAsia="Times New Roman" w:cs="Calibri Light"/>
                <w:b/>
                <w:sz w:val="20"/>
                <w:lang w:eastAsia="en-GB"/>
              </w:rPr>
            </w:pP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L’ensemble du personnel est sensibilisé à la réforme, approuve le changement, et adapte son comportement</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 xml:space="preserve">Les structures coexistent et n’ont pas encore été fusionnées </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 xml:space="preserve">Les </w:t>
            </w:r>
            <w:proofErr w:type="spellStart"/>
            <w:r w:rsidRPr="00ED4C1E">
              <w:rPr>
                <w:rFonts w:eastAsia="Times New Roman" w:cs="Calibri Light"/>
                <w:sz w:val="20"/>
                <w:lang w:eastAsia="en-GB"/>
              </w:rPr>
              <w:t>process</w:t>
            </w:r>
            <w:proofErr w:type="spellEnd"/>
            <w:r w:rsidRPr="00ED4C1E">
              <w:rPr>
                <w:rFonts w:eastAsia="Times New Roman" w:cs="Calibri Light"/>
                <w:sz w:val="20"/>
                <w:lang w:eastAsia="en-GB"/>
              </w:rPr>
              <w:t xml:space="preserve"> de travail n’ont pas intégré les nouvelles structures</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Plan de communication sur la réforme élaboré</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Plan de conduite du changement validé</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50 personnes sensibilisées</w:t>
            </w:r>
          </w:p>
          <w:p w:rsidR="003A0B1B" w:rsidRPr="00ED4C1E" w:rsidRDefault="003A0B1B" w:rsidP="003A0B1B">
            <w:pPr>
              <w:spacing w:after="0" w:line="240" w:lineRule="auto"/>
              <w:rPr>
                <w:rFonts w:eastAsia="Times New Roman" w:cs="Calibri Light"/>
                <w:b/>
                <w:sz w:val="20"/>
                <w:lang w:eastAsia="en-GB"/>
              </w:rPr>
            </w:pPr>
            <w:r w:rsidRPr="00ED4C1E">
              <w:rPr>
                <w:rFonts w:eastAsia="Times New Roman" w:cs="Calibri Light"/>
                <w:sz w:val="20"/>
                <w:lang w:eastAsia="en-GB"/>
              </w:rPr>
              <w:t>au travers d’ateliers</w:t>
            </w:r>
          </w:p>
          <w:p w:rsidR="003A0B1B" w:rsidRPr="00ED4C1E" w:rsidRDefault="003A0B1B" w:rsidP="003A0B1B">
            <w:pPr>
              <w:spacing w:after="0" w:line="240" w:lineRule="auto"/>
              <w:rPr>
                <w:rFonts w:eastAsia="Times New Roman" w:cs="Calibri Light"/>
                <w:b/>
                <w:sz w:val="20"/>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Plan de communication sur la réforme</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Plan de conduite du changement</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ED4C1E">
              <w:rPr>
                <w:rFonts w:eastAsia="Times New Roman" w:cs="Calibri Light"/>
                <w:sz w:val="20"/>
                <w:lang w:eastAsia="en-GB"/>
              </w:rPr>
              <w:t>Listes de présence et évaluation des ateliers</w:t>
            </w: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p>
        </w:tc>
        <w:tc>
          <w:tcPr>
            <w:tcW w:w="660" w:type="pct"/>
            <w:vMerge/>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r w:rsidR="003A0B1B" w:rsidRPr="00ED4C1E" w:rsidTr="002D0E04">
        <w:trPr>
          <w:tblHeader/>
        </w:trPr>
        <w:tc>
          <w:tcPr>
            <w:tcW w:w="352" w:type="pct"/>
            <w:vMerge/>
            <w:tcBorders>
              <w:bottom w:val="single" w:sz="4" w:space="0" w:color="auto"/>
            </w:tcBorders>
            <w:shd w:val="clear" w:color="auto" w:fill="D9D9D9"/>
            <w:textDirection w:val="btLr"/>
          </w:tcPr>
          <w:p w:rsidR="003A0B1B" w:rsidRPr="00ED4C1E" w:rsidRDefault="003A0B1B" w:rsidP="003A0B1B">
            <w:pPr>
              <w:tabs>
                <w:tab w:val="left" w:pos="0"/>
                <w:tab w:val="left" w:pos="132"/>
              </w:tabs>
              <w:spacing w:after="0" w:line="240" w:lineRule="auto"/>
              <w:ind w:left="113" w:right="113" w:hanging="101"/>
              <w:jc w:val="center"/>
              <w:rPr>
                <w:rFonts w:eastAsia="Times New Roman" w:cs="Calibri Light"/>
                <w:sz w:val="20"/>
                <w:highlight w:val="yellow"/>
                <w:lang w:eastAsia="en-GB"/>
              </w:rPr>
            </w:pPr>
          </w:p>
        </w:tc>
        <w:tc>
          <w:tcPr>
            <w:tcW w:w="1017" w:type="pct"/>
            <w:tcBorders>
              <w:top w:val="single" w:sz="4" w:space="0" w:color="auto"/>
              <w:left w:val="single" w:sz="4" w:space="0" w:color="auto"/>
              <w:bottom w:val="single" w:sz="4" w:space="0" w:color="auto"/>
              <w:right w:val="single" w:sz="4" w:space="0" w:color="auto"/>
            </w:tcBorders>
            <w:shd w:val="clear" w:color="auto" w:fill="FFFFFF"/>
          </w:tcPr>
          <w:p w:rsidR="003A0B1B" w:rsidRPr="00ED4C1E" w:rsidRDefault="003A0B1B" w:rsidP="003A0B1B">
            <w:pPr>
              <w:tabs>
                <w:tab w:val="left" w:pos="64"/>
              </w:tabs>
              <w:spacing w:after="0" w:line="240" w:lineRule="auto"/>
              <w:ind w:left="113" w:right="113" w:hanging="101"/>
              <w:rPr>
                <w:rFonts w:eastAsia="Times New Roman" w:cs="Calibri Light"/>
                <w:b/>
                <w:sz w:val="20"/>
                <w:lang w:eastAsia="en-GB"/>
              </w:rPr>
            </w:pPr>
            <w:r w:rsidRPr="00ED4C1E">
              <w:rPr>
                <w:rFonts w:eastAsia="Times New Roman" w:cs="Calibri Light"/>
                <w:sz w:val="20"/>
                <w:lang w:eastAsia="en-GB"/>
              </w:rPr>
              <w:t xml:space="preserve">Résultat 3.2 – </w:t>
            </w:r>
            <w:r>
              <w:rPr>
                <w:rFonts w:eastAsia="Times New Roman" w:cs="Calibri Light"/>
                <w:sz w:val="20"/>
                <w:lang w:eastAsia="en-GB"/>
              </w:rPr>
              <w:t xml:space="preserve">Les capacités du HCP sont renforcées en matière de statistiques régionales </w:t>
            </w:r>
            <w:r w:rsidRPr="00ED4C1E">
              <w:rPr>
                <w:rFonts w:eastAsia="Times New Roman" w:cs="Calibri Light"/>
                <w:sz w:val="20"/>
                <w:lang w:eastAsia="en-GB"/>
              </w:rPr>
              <w:t xml:space="preserve">(lié </w:t>
            </w:r>
            <w:r>
              <w:rPr>
                <w:rFonts w:eastAsia="Times New Roman" w:cs="Calibri Light"/>
                <w:sz w:val="20"/>
                <w:lang w:eastAsia="en-GB"/>
              </w:rPr>
              <w:t>à l’OS 3</w:t>
            </w:r>
            <w:r w:rsidRPr="00ED4C1E">
              <w:rPr>
                <w:rFonts w:eastAsia="Times New Roman" w:cs="Calibri Light"/>
                <w:sz w:val="20"/>
                <w:lang w:eastAsia="en-GB"/>
              </w:rPr>
              <w: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 xml:space="preserve">Les services déconcentrés sont en capacité de produire, exploiter, réaliser des études et communiquer sur les statistiques locales. </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Une enquête en multimode est conduite.</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sidRPr="006D0AFD">
              <w:rPr>
                <w:rFonts w:eastAsia="Times New Roman" w:cs="Calibri Light"/>
                <w:sz w:val="20"/>
                <w:lang w:eastAsia="en-GB"/>
              </w:rPr>
              <w:t>Le système de production des statistiques structurelles d’entreprises est amélioré</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 xml:space="preserve">Les services déconcentrés du HCP vont être plus largement sollicités par les conseils régionaux suite à la réforme de la régionalisation avancée. </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Le HCP a pu expérimenter lors de la crise du COVID-19 la collecte en mode multimode, mais ne maitrise pas encore totalement </w:t>
            </w:r>
            <w:r>
              <w:rPr>
                <w:rFonts w:eastAsia="Times New Roman" w:cs="Calibri Light"/>
                <w:sz w:val="20"/>
                <w:lang w:eastAsia="en-GB"/>
              </w:rPr>
              <w:lastRenderedPageBreak/>
              <w:t xml:space="preserve">cette modalité de collecte. </w:t>
            </w:r>
          </w:p>
          <w:p w:rsidR="003A0B1B"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sz w:val="20"/>
                <w:lang w:eastAsia="en-GB"/>
              </w:rPr>
            </w:pPr>
            <w:r>
              <w:rPr>
                <w:rFonts w:eastAsia="Times New Roman" w:cs="Calibri Light"/>
                <w:sz w:val="20"/>
                <w:lang w:eastAsia="en-GB"/>
              </w:rPr>
              <w:t xml:space="preserve">Deux processus d’enquêtes dédiées à la production des statistiques d’entreprises sont conduits et le HCP souhaite refondre le processus et éventuellement fusionner les deux enquêtes. </w:t>
            </w:r>
          </w:p>
          <w:p w:rsidR="003A0B1B" w:rsidRPr="00ED4C1E" w:rsidRDefault="003A0B1B" w:rsidP="003A0B1B">
            <w:pPr>
              <w:spacing w:after="0" w:line="240" w:lineRule="auto"/>
              <w:rPr>
                <w:rFonts w:eastAsia="Times New Roman" w:cs="Calibri Light"/>
                <w:b/>
                <w:sz w:val="20"/>
                <w:lang w:eastAsia="en-GB"/>
              </w:rPr>
            </w:pPr>
          </w:p>
        </w:tc>
        <w:tc>
          <w:tcPr>
            <w:tcW w:w="734"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Nouveau schéma d’organisation de la DR de Tanger</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Enquête conduite au niveau local et rapport d’analyse</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lastRenderedPageBreak/>
              <w:t>Mise en place de la méthodologie de l’enquête multimode</w:t>
            </w:r>
          </w:p>
          <w:p w:rsidR="003A0B1B" w:rsidRDefault="003A0B1B" w:rsidP="003A0B1B">
            <w:pPr>
              <w:spacing w:after="0" w:line="240" w:lineRule="auto"/>
              <w:rPr>
                <w:rFonts w:eastAsia="Times New Roman" w:cs="Calibri Light"/>
                <w:b/>
                <w:sz w:val="20"/>
                <w:lang w:eastAsia="en-GB"/>
              </w:rPr>
            </w:pPr>
          </w:p>
          <w:p w:rsidR="003A0B1B" w:rsidRDefault="003A0B1B" w:rsidP="003A0B1B">
            <w:pPr>
              <w:spacing w:after="0" w:line="240" w:lineRule="auto"/>
              <w:rPr>
                <w:rFonts w:eastAsia="Times New Roman" w:cs="Calibri Light"/>
                <w:b/>
                <w:sz w:val="20"/>
                <w:lang w:eastAsia="en-GB"/>
              </w:rPr>
            </w:pPr>
            <w:r>
              <w:rPr>
                <w:rFonts w:eastAsia="Times New Roman" w:cs="Calibri Light"/>
                <w:sz w:val="20"/>
                <w:lang w:eastAsia="en-GB"/>
              </w:rPr>
              <w:t>Enquête conduite en multimode et rapport d’analyse</w:t>
            </w:r>
          </w:p>
          <w:p w:rsidR="003A0B1B" w:rsidRPr="00ED4C1E" w:rsidRDefault="003A0B1B" w:rsidP="003A0B1B">
            <w:pPr>
              <w:spacing w:after="0" w:line="240" w:lineRule="auto"/>
              <w:rPr>
                <w:rFonts w:eastAsia="Times New Roman" w:cs="Calibri Light"/>
                <w:b/>
                <w:sz w:val="20"/>
                <w:lang w:eastAsia="en-GB"/>
              </w:rPr>
            </w:pPr>
          </w:p>
          <w:p w:rsidR="003A0B1B" w:rsidRPr="00ED4C1E" w:rsidRDefault="003A0B1B" w:rsidP="003A0B1B">
            <w:pPr>
              <w:spacing w:after="0" w:line="240" w:lineRule="auto"/>
              <w:rPr>
                <w:rFonts w:eastAsia="Times New Roman" w:cs="Calibri Light"/>
                <w:b/>
                <w:color w:val="2E74B5"/>
                <w:sz w:val="20"/>
                <w:lang w:eastAsia="en-GB"/>
              </w:rPr>
            </w:pPr>
            <w:r w:rsidRPr="00DE6C26">
              <w:rPr>
                <w:rFonts w:eastAsia="Times New Roman" w:cs="Calibri Light"/>
                <w:sz w:val="20"/>
                <w:lang w:eastAsia="en-GB"/>
              </w:rPr>
              <w:t>Evaluation des deux processus et identification des sources d’informations disponibles sur les statistiques d’entreprises</w:t>
            </w: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lastRenderedPageBreak/>
              <w:t>Nouvel organigramme</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Rapport d’enquête et données de l’enquête</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Méthodologie/questionnaire</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Rapport d’enquête et données de l’enquête</w:t>
            </w: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Default="003A0B1B" w:rsidP="003A0B1B">
            <w:pPr>
              <w:autoSpaceDE w:val="0"/>
              <w:autoSpaceDN w:val="0"/>
              <w:adjustRightInd w:val="0"/>
              <w:spacing w:after="0" w:line="240" w:lineRule="auto"/>
              <w:rPr>
                <w:rFonts w:eastAsia="Times New Roman" w:cs="Calibri Light"/>
                <w:b/>
                <w:sz w:val="20"/>
                <w:lang w:eastAsia="en-GB"/>
              </w:rPr>
            </w:pPr>
          </w:p>
          <w:p w:rsidR="003A0B1B" w:rsidRPr="00ED4C1E" w:rsidRDefault="003A0B1B" w:rsidP="003A0B1B">
            <w:pPr>
              <w:autoSpaceDE w:val="0"/>
              <w:autoSpaceDN w:val="0"/>
              <w:adjustRightInd w:val="0"/>
              <w:spacing w:after="0" w:line="240" w:lineRule="auto"/>
              <w:rPr>
                <w:rFonts w:eastAsia="Times New Roman" w:cs="Calibri Light"/>
                <w:b/>
                <w:sz w:val="20"/>
                <w:lang w:eastAsia="en-GB"/>
              </w:rPr>
            </w:pPr>
            <w:r>
              <w:rPr>
                <w:rFonts w:eastAsia="Times New Roman" w:cs="Calibri Light"/>
                <w:sz w:val="20"/>
                <w:lang w:eastAsia="en-GB"/>
              </w:rPr>
              <w:t xml:space="preserve">Rapport d’évaluation </w:t>
            </w:r>
          </w:p>
        </w:tc>
        <w:tc>
          <w:tcPr>
            <w:tcW w:w="660" w:type="pct"/>
            <w:vMerge/>
            <w:tcBorders>
              <w:bottom w:val="single" w:sz="4" w:space="0" w:color="auto"/>
            </w:tcBorders>
            <w:shd w:val="clear" w:color="auto" w:fill="auto"/>
          </w:tcPr>
          <w:p w:rsidR="003A0B1B" w:rsidRPr="00ED4C1E" w:rsidRDefault="003A0B1B" w:rsidP="003A0B1B">
            <w:pPr>
              <w:autoSpaceDE w:val="0"/>
              <w:autoSpaceDN w:val="0"/>
              <w:adjustRightInd w:val="0"/>
              <w:spacing w:after="0" w:line="240" w:lineRule="auto"/>
              <w:rPr>
                <w:rFonts w:eastAsia="Times New Roman" w:cs="Calibri Light"/>
                <w:b/>
                <w:sz w:val="20"/>
                <w:highlight w:val="yellow"/>
                <w:lang w:eastAsia="en-GB"/>
              </w:rPr>
            </w:pPr>
          </w:p>
        </w:tc>
      </w:tr>
    </w:tbl>
    <w:p w:rsidR="00E01DF6" w:rsidRDefault="00E01DF6" w:rsidP="00842360">
      <w:pPr>
        <w:jc w:val="both"/>
        <w:rPr>
          <w:rFonts w:ascii="Arial" w:eastAsia="Arial" w:hAnsi="Arial" w:cs="Arial"/>
          <w:b/>
          <w:sz w:val="32"/>
          <w:szCs w:val="32"/>
          <w:lang w:val="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433"/>
        <w:gridCol w:w="3618"/>
      </w:tblGrid>
      <w:tr w:rsidR="00FB3690" w:rsidRPr="00FB3690" w:rsidTr="007F73A5">
        <w:trPr>
          <w:trHeight w:val="1325"/>
        </w:trPr>
        <w:tc>
          <w:tcPr>
            <w:tcW w:w="336" w:type="pct"/>
            <w:shd w:val="clear" w:color="auto" w:fill="D9D9D9"/>
            <w:textDirection w:val="btLr"/>
          </w:tcPr>
          <w:p w:rsidR="00FB3690" w:rsidRPr="007F73A5" w:rsidRDefault="00FB3690" w:rsidP="00FB3690">
            <w:pPr>
              <w:tabs>
                <w:tab w:val="left" w:pos="0"/>
                <w:tab w:val="left" w:pos="132"/>
              </w:tabs>
              <w:spacing w:after="0" w:line="240" w:lineRule="auto"/>
              <w:ind w:left="113" w:right="113" w:hanging="101"/>
              <w:jc w:val="center"/>
              <w:rPr>
                <w:rFonts w:ascii="Calibri Light" w:eastAsia="Times New Roman" w:hAnsi="Calibri Light" w:cs="Calibri Light"/>
                <w:b/>
                <w:sz w:val="20"/>
                <w:szCs w:val="24"/>
                <w:lang w:eastAsia="en-GB"/>
              </w:rPr>
            </w:pPr>
            <w:r w:rsidRPr="007F73A5">
              <w:rPr>
                <w:rFonts w:ascii="Calibri Light" w:eastAsia="Times New Roman" w:hAnsi="Calibri Light" w:cs="Calibri Light"/>
                <w:b/>
                <w:sz w:val="20"/>
                <w:szCs w:val="24"/>
                <w:lang w:eastAsia="en-GB"/>
              </w:rPr>
              <w:t>Activités</w:t>
            </w:r>
          </w:p>
        </w:tc>
        <w:tc>
          <w:tcPr>
            <w:tcW w:w="3371" w:type="pct"/>
            <w:shd w:val="clear" w:color="auto" w:fill="FFFFFF"/>
          </w:tcPr>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Composante 1 : Approfondissement de la LOF</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SC1.1 : Structurer et renforcer la coordination interministérielle de la performance publique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 au Résultat 1.1.)</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SC1.2 : Améliorer les documents et le cycle de performance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A1.2.1 - Harmoniser les indicateurs des fonctions support</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1.2.2 - Élaborer le plan d’actions de mise en œuvre des recommandations de l’IGF en vue d’améliorer les documents de performance et le cycle de performance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A1.2.3 - Perfectionner les projets de performance : appuis sectoriels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1.2.4 - Mise en place d’outils pour améliorer les documents de performance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1.2.5 - Renforcement de l’articulation des programmes avec le dispositif de performance</w:t>
            </w:r>
          </w:p>
          <w:p w:rsidR="00FB3690" w:rsidRPr="007F73A5" w:rsidRDefault="00FB3690" w:rsidP="00FB3690">
            <w:pPr>
              <w:spacing w:before="60" w:after="6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1.2.6 - Conduite du changement</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SC1.3 : Définir les rôles des acteurs de la gestion ministérielle et organiser le dialogue de gestion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1.3.1 - Accompagnement des DM pour la mise en place des chartes de gestion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SC1.4 : Renforcer le pilotage de la gestion budgétaire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A1.4.1 : Formaliser un dispositif de contrôle de gestion orienté performance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Sous-activité 1.4.1.1 : Déploiement du contrôle de gestion dans 7 nouveaux départements ministériels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Sous-activité 1.4.1.1 : Elaboration et déploiement du plan de formation au contrôle de gestion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SC1.5 : Appuyer l’actualisation des guides existants concernant la mise en œuvre opérationnelle de la LOF</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SC1.6 : Structurer la communication sur les données de performance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 1.7 : Améliorer le processus de la PBT</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 1.8 : Appuyer les évolutions législatives liées à la LOF</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Composante 2 : Appui à la digitalisation/numérisation des métiers de la Direction du budget</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SC2.1 : Cadrer et préparer le projet de transformation digitale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SC2.2 : Définir la stratégie de transformation digitale de la DB</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A2.2.1 : Recenser les missions, productions et activités de la direction du Budget, des partenaires niveau central et déconcentré (ministères et établissements publics)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A2.2.2 : Analyse de la maturité digitale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SC2.3 : Élaborer du schéma directeur de la transformation digitale et des instances de gouvernance de sa mise en œuvre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SC2.4 : Mettre en œuvre des initiatives de la transformation digitale</w:t>
            </w:r>
          </w:p>
          <w:p w:rsidR="00FB3690" w:rsidRPr="007F73A5" w:rsidRDefault="00FB3690" w:rsidP="00FB3690">
            <w:pPr>
              <w:spacing w:after="0" w:line="240" w:lineRule="auto"/>
              <w:jc w:val="both"/>
              <w:rPr>
                <w:rFonts w:ascii="Calibri Light" w:eastAsia="Times New Roman" w:hAnsi="Calibri Light" w:cs="Calibri"/>
                <w:b/>
                <w:i/>
                <w:color w:val="FFC000"/>
                <w:sz w:val="24"/>
                <w:szCs w:val="24"/>
                <w:lang w:eastAsia="fr-FR"/>
              </w:rPr>
            </w:pPr>
            <w:r w:rsidRPr="007F73A5">
              <w:rPr>
                <w:rFonts w:ascii="Calibri Light" w:eastAsia="Times New Roman" w:hAnsi="Calibri Light" w:cs="Calibri Light"/>
                <w:i/>
                <w:iCs/>
                <w:sz w:val="20"/>
                <w:szCs w:val="24"/>
                <w:lang w:eastAsia="en-GB"/>
              </w:rPr>
              <w:t>Sous-activités 2.4.1 : développement du module suivi des investissements publics dans e-budget2</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Sous-activité 2.4.2 : développement d’un système </w:t>
            </w:r>
            <w:bookmarkStart w:id="5" w:name="_GoBack"/>
            <w:bookmarkEnd w:id="5"/>
            <w:r w:rsidR="007F73A5" w:rsidRPr="007F73A5">
              <w:rPr>
                <w:rFonts w:ascii="Calibri Light" w:eastAsia="Times New Roman" w:hAnsi="Calibri Light" w:cs="Calibri Light"/>
                <w:i/>
                <w:iCs/>
                <w:sz w:val="20"/>
                <w:szCs w:val="24"/>
                <w:lang w:eastAsia="en-GB"/>
              </w:rPr>
              <w:t>d’information performance</w:t>
            </w:r>
            <w:r w:rsidRPr="007F73A5">
              <w:rPr>
                <w:rFonts w:ascii="Calibri Light" w:eastAsia="Times New Roman" w:hAnsi="Calibri Light" w:cs="Calibri Light"/>
                <w:i/>
                <w:iCs/>
                <w:sz w:val="20"/>
                <w:szCs w:val="24"/>
                <w:lang w:eastAsia="en-GB"/>
              </w:rPr>
              <w:t xml:space="preserve"> à destination des départements ministériels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(liées au Résultat 1.4)</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Composante 3 : Appui à la mise en place d’un dispositif de formation, accompagnement et communication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SC3.1 : Pérenniser le dispositif de formation dans le domaine de la LOF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lastRenderedPageBreak/>
              <w:t>A3.1.1 : Création d’une « Académie de la LOF » en collaboration avec l’Institut des Finances et création d’un réseau des responsables formation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A3.1.2 : Accompagnement des départements ministériels dans le déploiement de formations au niveau déconcentré et animation du dispositif de formation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A3.1.3 : Élaboration de modules de professionnalisation dans le domaine de la LOF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A3.1.4 : Développement de modules </w:t>
            </w:r>
            <w:r w:rsidR="007F73A5" w:rsidRPr="007F73A5">
              <w:rPr>
                <w:rFonts w:ascii="Calibri Light" w:eastAsia="Times New Roman" w:hAnsi="Calibri Light" w:cs="Calibri Light"/>
                <w:i/>
                <w:iCs/>
                <w:sz w:val="20"/>
                <w:szCs w:val="24"/>
                <w:lang w:eastAsia="en-GB"/>
              </w:rPr>
              <w:t>d’e-formation</w:t>
            </w:r>
            <w:r w:rsidRPr="007F73A5">
              <w:rPr>
                <w:rFonts w:ascii="Calibri Light" w:eastAsia="Times New Roman" w:hAnsi="Calibri Light" w:cs="Calibri Light"/>
                <w:i/>
                <w:iCs/>
                <w:sz w:val="20"/>
                <w:szCs w:val="24"/>
                <w:lang w:eastAsia="en-GB"/>
              </w:rPr>
              <w:t xml:space="preserve"> sur la LOF</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(liées au résultat 1.5)</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SC3.2 : Organiser des actions de formation en réponse à des besoins spécifiques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 3.3. Consolider et animer le déploiement du Plan de formation et de l’Académie de la LOF</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A3.3.1 : Consolider le déploiement du Plan de formation et l’Académie de la LOF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A3.3.2 : Animer le déploiement du Plan de formation et l’Académie de la LOF</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 xml:space="preserve">Composante </w:t>
            </w:r>
            <w:r w:rsidR="007F73A5" w:rsidRPr="007F73A5">
              <w:rPr>
                <w:rFonts w:ascii="Calibri Light" w:eastAsia="Times New Roman" w:hAnsi="Calibri Light" w:cs="Calibri Light"/>
                <w:i/>
                <w:iCs/>
                <w:sz w:val="20"/>
                <w:szCs w:val="24"/>
                <w:lang w:eastAsia="en-GB"/>
              </w:rPr>
              <w:t>4 :</w:t>
            </w:r>
            <w:r w:rsidRPr="007F73A5">
              <w:rPr>
                <w:rFonts w:ascii="Calibri Light" w:eastAsia="Times New Roman" w:hAnsi="Calibri Light" w:cs="Calibri Light"/>
                <w:i/>
                <w:iCs/>
                <w:sz w:val="20"/>
                <w:szCs w:val="24"/>
                <w:lang w:eastAsia="en-GB"/>
              </w:rPr>
              <w:t xml:space="preserve"> Appui à la gestion et à la transparence budgétaires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7F73A5"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SC4.1 :</w:t>
            </w:r>
            <w:r w:rsidR="00FB3690" w:rsidRPr="007F73A5">
              <w:rPr>
                <w:rFonts w:ascii="Calibri Light" w:eastAsia="Times New Roman" w:hAnsi="Calibri Light" w:cs="Calibri Light"/>
                <w:i/>
                <w:iCs/>
                <w:sz w:val="20"/>
                <w:szCs w:val="24"/>
                <w:lang w:eastAsia="en-GB"/>
              </w:rPr>
              <w:t xml:space="preserve"> Approfondir la nomenclature budgétaire d’exécution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A4.1.1 : La nomenclature des projets d’investissement public</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A4.1.2 : Améliorer la nomenclature des recettes budgétaires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SC </w:t>
            </w:r>
            <w:proofErr w:type="gramStart"/>
            <w:r w:rsidRPr="007F73A5">
              <w:rPr>
                <w:rFonts w:ascii="Calibri Light" w:eastAsia="Times New Roman" w:hAnsi="Calibri Light" w:cs="Calibri Light"/>
                <w:i/>
                <w:iCs/>
                <w:sz w:val="20"/>
                <w:szCs w:val="24"/>
                <w:lang w:eastAsia="en-GB"/>
              </w:rPr>
              <w:t>4.2:</w:t>
            </w:r>
            <w:proofErr w:type="gramEnd"/>
            <w:r w:rsidRPr="007F73A5">
              <w:rPr>
                <w:rFonts w:ascii="Calibri Light" w:eastAsia="Times New Roman" w:hAnsi="Calibri Light" w:cs="Calibri Light"/>
                <w:i/>
                <w:iCs/>
                <w:sz w:val="20"/>
                <w:szCs w:val="24"/>
                <w:lang w:eastAsia="en-GB"/>
              </w:rPr>
              <w:t xml:space="preserve"> Renforcer la transparence budgétaire (liée au résultat 1.6)</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A4.2.1 : Le rapport d’exécution budgétaire à </w:t>
            </w:r>
            <w:proofErr w:type="spellStart"/>
            <w:r w:rsidRPr="007F73A5">
              <w:rPr>
                <w:rFonts w:ascii="Calibri Light" w:eastAsia="Times New Roman" w:hAnsi="Calibri Light" w:cs="Calibri Light"/>
                <w:i/>
                <w:iCs/>
                <w:sz w:val="20"/>
                <w:szCs w:val="24"/>
                <w:lang w:eastAsia="en-GB"/>
              </w:rPr>
              <w:t>mi-année</w:t>
            </w:r>
            <w:proofErr w:type="spellEnd"/>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A4.2.2 : réalisation d’un budget citoyen adapté aux attentes du public</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A4.2.3 : Améliorer et pérenniser le mécanisme de consultation citoyenne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A4.2.4 : Mise en place d’un portail sur le budget ouvert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SC4.3 : Accompagner la réforme de gestion des investissements publics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A4.3.1 : Améliorer la nomenclature des projets d’investissement public</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A4.3.2 : Appui à l’élaboration du guide de gestion des investissements publics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Composante 5 : Accompagnement à la mise en œuvre de chantiers stratégiques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 5.1 : Accompagnement dans le cadre de la réorganisation du MEF (liée au Résultat 3.1)</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SC5.3 : Développement des capacités du HCP en matière de statistiques régionales (liée au résultat 3.2)</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A5.3.1 : Renforcement des capacités techniques des services extérieurs du HCP</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A5.3.2 : Mise en place d’enquêtes multimodes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A5.3.3 : Refonte du système de production des statistiques d’entreprises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 xml:space="preserve">Composante 6 : Appui à la Direction générale des impôts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SC6.1 : Conforter la mise en place d’un dispositif structuré d’audit venant en complément du déploiement d’un véritable contrôle interne au sein de l’ensemble des services de la DGI</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 au Résultat 2.1)</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SC6.2 : Valoriser les données numériques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 au Résultat 2.2)</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SC6.3 : Evaluation de l’impact de la crise COVID-19 de la mise en œuvre des actions relatives à la modernisation de l’administration fiscale dans le cadre du Programme </w:t>
            </w:r>
            <w:proofErr w:type="spellStart"/>
            <w:r w:rsidRPr="007F73A5">
              <w:rPr>
                <w:rFonts w:ascii="Calibri Light" w:eastAsia="Times New Roman" w:hAnsi="Calibri Light" w:cs="Calibri Light"/>
                <w:i/>
                <w:iCs/>
                <w:sz w:val="20"/>
                <w:szCs w:val="24"/>
                <w:lang w:eastAsia="en-GB"/>
              </w:rPr>
              <w:t>Hakama</w:t>
            </w:r>
            <w:proofErr w:type="spellEnd"/>
            <w:r w:rsidRPr="007F73A5">
              <w:rPr>
                <w:rFonts w:ascii="Calibri Light" w:eastAsia="Times New Roman" w:hAnsi="Calibri Light" w:cs="Calibri Light"/>
                <w:i/>
                <w:iCs/>
                <w:sz w:val="20"/>
                <w:szCs w:val="24"/>
                <w:lang w:eastAsia="en-GB"/>
              </w:rPr>
              <w:t xml:space="preserve"> II (liée au Résultat 2.1)</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iCs/>
                <w:sz w:val="20"/>
                <w:szCs w:val="24"/>
                <w:lang w:eastAsia="en-GB"/>
              </w:rPr>
            </w:pPr>
            <w:r w:rsidRPr="007F73A5">
              <w:rPr>
                <w:rFonts w:ascii="Calibri Light" w:eastAsia="Times New Roman" w:hAnsi="Calibri Light" w:cs="Calibri Light"/>
                <w:i/>
                <w:iCs/>
                <w:sz w:val="20"/>
                <w:szCs w:val="24"/>
                <w:lang w:eastAsia="en-GB"/>
              </w:rPr>
              <w:t>Composante 7 : Appui à la mise en œuvre du référentiel de contrôle interne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 xml:space="preserve">A 7.1 : Appui à l’élaboration du référentiel de contrôle interne commun </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 au Résultat 2.3)</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7.2 : Conseil sur la stratégie de déploiement</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 au Résultat 2.3)</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 7.3 : Assistance en matière d’appropriation, de compréhension et d’adhésion au cadre de référence</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(liée au Résultat 2.3)</w:t>
            </w:r>
          </w:p>
          <w:p w:rsidR="00FB3690" w:rsidRPr="007F73A5" w:rsidRDefault="00FB3690" w:rsidP="00FB3690">
            <w:pPr>
              <w:spacing w:after="0" w:line="240" w:lineRule="auto"/>
              <w:jc w:val="both"/>
              <w:rPr>
                <w:rFonts w:ascii="Calibri Light" w:eastAsia="Times New Roman" w:hAnsi="Calibri Light" w:cs="Calibri Light"/>
                <w:b/>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A 7.4 : Déclinaison du contrôle interne commun</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(liée au Résultat 2.3)</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i/>
                <w:sz w:val="20"/>
                <w:szCs w:val="24"/>
                <w:lang w:eastAsia="en-GB"/>
              </w:rPr>
            </w:pPr>
            <w:r w:rsidRPr="007F73A5">
              <w:rPr>
                <w:rFonts w:ascii="Calibri Light" w:eastAsia="Times New Roman" w:hAnsi="Calibri Light" w:cs="Calibri Light"/>
                <w:i/>
                <w:sz w:val="20"/>
                <w:szCs w:val="24"/>
                <w:lang w:eastAsia="en-GB"/>
              </w:rPr>
              <w:t>Composante 8 : Appui aux contrôles externes incombant à la Cour des comptes</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A 8.1 : Certification des comptes du Royaume</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(liée au Résultat 2.4)</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A 8.2 : Appréciation de la performance budgétaire</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(liée au Résultat 2.5)</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A 8.3 : Evaluation des programmes et projets publics</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(liée au Résultat 2.5)</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A 8.4 : Contrôles juridictionnels</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(liée au Résultat 2.5)</w:t>
            </w:r>
          </w:p>
          <w:p w:rsidR="00FB3690" w:rsidRPr="007F73A5" w:rsidRDefault="00FB3690" w:rsidP="00FB3690">
            <w:pPr>
              <w:spacing w:after="0" w:line="240" w:lineRule="auto"/>
              <w:jc w:val="both"/>
              <w:rPr>
                <w:rFonts w:ascii="Calibri Light" w:eastAsia="Times New Roman" w:hAnsi="Calibri Light" w:cs="Calibri Light"/>
                <w:b/>
                <w:i/>
                <w:sz w:val="20"/>
                <w:szCs w:val="24"/>
                <w:lang w:eastAsia="en-GB"/>
              </w:rPr>
            </w:pPr>
          </w:p>
        </w:tc>
        <w:tc>
          <w:tcPr>
            <w:tcW w:w="1293" w:type="pct"/>
            <w:shd w:val="clear" w:color="auto" w:fill="auto"/>
          </w:tcPr>
          <w:p w:rsidR="00FB3690" w:rsidRPr="007F73A5" w:rsidRDefault="00FB3690" w:rsidP="00FB3690">
            <w:pPr>
              <w:spacing w:after="0" w:line="240" w:lineRule="auto"/>
              <w:jc w:val="both"/>
              <w:rPr>
                <w:rFonts w:ascii="Calibri Light" w:eastAsia="Times New Roman" w:hAnsi="Calibri Light" w:cs="Calibri Light"/>
                <w:bCs/>
                <w:i/>
                <w:iCs/>
                <w:sz w:val="20"/>
                <w:szCs w:val="24"/>
                <w:lang w:eastAsia="en-GB"/>
              </w:rPr>
            </w:pPr>
            <w:r w:rsidRPr="007F73A5">
              <w:rPr>
                <w:rFonts w:ascii="Calibri Light" w:eastAsia="Times New Roman" w:hAnsi="Calibri Light" w:cs="Calibri Light"/>
                <w:bCs/>
                <w:i/>
                <w:iCs/>
                <w:sz w:val="20"/>
                <w:szCs w:val="24"/>
                <w:lang w:eastAsia="en-GB"/>
              </w:rPr>
              <w:lastRenderedPageBreak/>
              <w:t>Moyens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Personnel : Cheffe de projet, Chef de projet adjoint, experts référents, experts court-terme, formateurs locaux, assistant, contrôle qualité et suivi/évaluation</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Matériel et fournitures : informatique, support de formation, consommables…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Installations opérationnelles : bureau projet au sein de l’administration bénéficiaire, salles de réunion, salles de formation, modules e-learning</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Cs/>
                <w:i/>
                <w:iCs/>
                <w:sz w:val="20"/>
                <w:szCs w:val="24"/>
                <w:lang w:eastAsia="en-GB"/>
              </w:rPr>
            </w:pPr>
            <w:r w:rsidRPr="007F73A5">
              <w:rPr>
                <w:rFonts w:ascii="Calibri Light" w:eastAsia="Times New Roman" w:hAnsi="Calibri Light" w:cs="Calibri Light"/>
                <w:bCs/>
                <w:i/>
                <w:iCs/>
                <w:sz w:val="20"/>
                <w:szCs w:val="24"/>
                <w:lang w:eastAsia="en-GB"/>
              </w:rPr>
              <w:t>Coûts</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Ressources humaines : équipe projet (cheffe de projet, chef de projet adjoint, assistante, RAF), expertise court-terme (2380h/j) – 2,55M€</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lastRenderedPageBreak/>
              <w:t>Voyages : voyages et per diem experts court-terme, backstopping, visites d’étude, déplacement locaux – 500 000€</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Bureau local : consommables et autres services – 27 000€</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Autres coûts et services : audit, suivi-évaluation, impression/reproduction, coûts de séminaires, formations, communication et visibilité, traduction/interprétariat – 340 000€</w:t>
            </w: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p>
          <w:p w:rsidR="00FB3690" w:rsidRPr="007F73A5" w:rsidRDefault="00FB3690" w:rsidP="00FB3690">
            <w:pPr>
              <w:spacing w:after="0" w:line="240" w:lineRule="auto"/>
              <w:jc w:val="both"/>
              <w:rPr>
                <w:rFonts w:ascii="Calibri Light" w:eastAsia="Times New Roman" w:hAnsi="Calibri Light" w:cs="Calibri Light"/>
                <w:b/>
                <w:i/>
                <w:iCs/>
                <w:sz w:val="20"/>
                <w:szCs w:val="24"/>
                <w:lang w:eastAsia="en-GB"/>
              </w:rPr>
            </w:pPr>
            <w:r w:rsidRPr="007F73A5">
              <w:rPr>
                <w:rFonts w:ascii="Calibri Light" w:eastAsia="Times New Roman" w:hAnsi="Calibri Light" w:cs="Calibri Light"/>
                <w:i/>
                <w:iCs/>
                <w:sz w:val="20"/>
                <w:szCs w:val="24"/>
                <w:lang w:eastAsia="en-GB"/>
              </w:rPr>
              <w:t>Passation de marchés – 1 060 000€</w:t>
            </w: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Forte implication des différents bénéficiaires du projet.</w:t>
            </w: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Les recommandations sont entièrement suivies par les bénéficiaires.</w:t>
            </w: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Appropriation du projet par les bénéficiaires aux différents niveaux.</w:t>
            </w: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Capacité d’absorption suffisante des bénéficiaires.</w:t>
            </w:r>
          </w:p>
          <w:p w:rsidR="00FB3690" w:rsidRPr="007F73A5"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p>
          <w:p w:rsidR="00FB3690" w:rsidRPr="00FB3690" w:rsidRDefault="00FB3690" w:rsidP="00FB3690">
            <w:pPr>
              <w:autoSpaceDE w:val="0"/>
              <w:autoSpaceDN w:val="0"/>
              <w:adjustRightInd w:val="0"/>
              <w:spacing w:after="0" w:line="240" w:lineRule="auto"/>
              <w:jc w:val="both"/>
              <w:rPr>
                <w:rFonts w:ascii="Calibri Light" w:eastAsia="Times New Roman" w:hAnsi="Calibri Light" w:cs="Calibri Light"/>
                <w:b/>
                <w:i/>
                <w:sz w:val="20"/>
                <w:szCs w:val="24"/>
                <w:lang w:eastAsia="en-GB"/>
              </w:rPr>
            </w:pPr>
            <w:r w:rsidRPr="007F73A5">
              <w:rPr>
                <w:rFonts w:ascii="Calibri Light" w:eastAsia="Times New Roman" w:hAnsi="Calibri Light" w:cs="Calibri Light"/>
                <w:i/>
                <w:sz w:val="20"/>
                <w:szCs w:val="24"/>
                <w:lang w:eastAsia="en-GB"/>
              </w:rPr>
              <w:t>Stabilité politique, sociale et sanitaire</w:t>
            </w:r>
          </w:p>
        </w:tc>
      </w:tr>
    </w:tbl>
    <w:p w:rsidR="00FB3690" w:rsidRPr="00FB3690" w:rsidRDefault="00FB3690" w:rsidP="00FB3690">
      <w:pPr>
        <w:spacing w:after="0" w:line="276" w:lineRule="auto"/>
        <w:jc w:val="both"/>
        <w:rPr>
          <w:rFonts w:ascii="Calibri Light" w:eastAsia="Calibri" w:hAnsi="Calibri Light" w:cs="Times New Roman"/>
          <w:sz w:val="20"/>
          <w:szCs w:val="24"/>
        </w:rPr>
      </w:pPr>
    </w:p>
    <w:p w:rsidR="00FB3690" w:rsidRPr="00FB3690" w:rsidRDefault="00FB3690" w:rsidP="00FB3690">
      <w:pPr>
        <w:spacing w:after="0" w:line="276" w:lineRule="auto"/>
        <w:jc w:val="both"/>
        <w:rPr>
          <w:rFonts w:ascii="Calibri Light" w:eastAsia="Calibri" w:hAnsi="Calibri Light" w:cs="Times New Roman"/>
          <w:szCs w:val="24"/>
          <w:highlight w:val="yellow"/>
        </w:rPr>
      </w:pPr>
    </w:p>
    <w:p w:rsidR="00FB3690" w:rsidRPr="00FB3690" w:rsidRDefault="00FB3690" w:rsidP="00FB3690">
      <w:pPr>
        <w:spacing w:after="0" w:line="276" w:lineRule="auto"/>
        <w:jc w:val="both"/>
        <w:rPr>
          <w:rFonts w:ascii="Calibri Light" w:eastAsia="Calibri" w:hAnsi="Calibri Light" w:cs="Times New Roman"/>
          <w:szCs w:val="24"/>
          <w:highlight w:val="yellow"/>
        </w:rPr>
      </w:pPr>
    </w:p>
    <w:p w:rsidR="00E01DF6" w:rsidRPr="00E01DF6" w:rsidRDefault="00E01DF6" w:rsidP="00842360">
      <w:pPr>
        <w:jc w:val="both"/>
        <w:rPr>
          <w:rFonts w:ascii="Arial" w:eastAsia="Arial" w:hAnsi="Arial" w:cs="Arial"/>
          <w:b/>
          <w:sz w:val="32"/>
          <w:szCs w:val="32"/>
          <w:lang w:eastAsia="fr-FR"/>
        </w:rPr>
      </w:pPr>
    </w:p>
    <w:sectPr w:rsidR="00E01DF6" w:rsidRPr="00E01DF6" w:rsidSect="00E01DF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A12" w:rsidRDefault="00B72A12" w:rsidP="00CF24D6">
      <w:pPr>
        <w:spacing w:after="0" w:line="240" w:lineRule="auto"/>
      </w:pPr>
      <w:r>
        <w:separator/>
      </w:r>
    </w:p>
  </w:endnote>
  <w:endnote w:type="continuationSeparator" w:id="0">
    <w:p w:rsidR="00B72A12" w:rsidRDefault="00B72A12" w:rsidP="00CF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90" w:rsidRDefault="00FB369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85C0C">
      <w:rPr>
        <w:caps/>
        <w:noProof/>
        <w:color w:val="5B9BD5" w:themeColor="accent1"/>
      </w:rPr>
      <w:t>24</w:t>
    </w:r>
    <w:r>
      <w:rPr>
        <w:caps/>
        <w:color w:val="5B9BD5" w:themeColor="accent1"/>
      </w:rPr>
      <w:fldChar w:fldCharType="end"/>
    </w:r>
  </w:p>
  <w:p w:rsidR="00FB3690" w:rsidRDefault="00FB36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A12" w:rsidRDefault="00B72A12" w:rsidP="00CF24D6">
      <w:pPr>
        <w:spacing w:after="0" w:line="240" w:lineRule="auto"/>
      </w:pPr>
      <w:r>
        <w:separator/>
      </w:r>
    </w:p>
  </w:footnote>
  <w:footnote w:type="continuationSeparator" w:id="0">
    <w:p w:rsidR="00B72A12" w:rsidRDefault="00B72A12" w:rsidP="00CF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90" w:rsidRDefault="00FB3690">
    <w:pPr>
      <w:pStyle w:val="En-tte"/>
    </w:pPr>
    <w:r>
      <w:rPr>
        <w:noProof/>
        <w:lang w:eastAsia="fr-FR"/>
      </w:rPr>
      <w:drawing>
        <wp:inline distT="0" distB="0" distL="0" distR="0" wp14:anchorId="769E356C" wp14:editId="7D111182">
          <wp:extent cx="1187532" cy="608034"/>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198082" cy="6134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AF1"/>
    <w:multiLevelType w:val="hybridMultilevel"/>
    <w:tmpl w:val="85F8FEAA"/>
    <w:lvl w:ilvl="0" w:tplc="2138CB8E">
      <w:numFmt w:val="bullet"/>
      <w:lvlText w:val="-"/>
      <w:lvlJc w:val="left"/>
      <w:pPr>
        <w:ind w:left="720" w:hanging="360"/>
      </w:pPr>
      <w:rPr>
        <w:rFonts w:ascii="Calibri" w:eastAsiaTheme="minorHAnsi" w:hAnsi="Calibri" w:cs="Calibri" w:hint="default"/>
        <w:color w:val="14195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84898"/>
    <w:multiLevelType w:val="hybridMultilevel"/>
    <w:tmpl w:val="A98AB9D8"/>
    <w:lvl w:ilvl="0" w:tplc="231C29F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A2217"/>
    <w:multiLevelType w:val="hybridMultilevel"/>
    <w:tmpl w:val="A25E5E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C7736D"/>
    <w:multiLevelType w:val="hybridMultilevel"/>
    <w:tmpl w:val="CE58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B35F9"/>
    <w:multiLevelType w:val="multilevel"/>
    <w:tmpl w:val="9296F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70933CD"/>
    <w:multiLevelType w:val="hybridMultilevel"/>
    <w:tmpl w:val="D4C2B584"/>
    <w:lvl w:ilvl="0" w:tplc="44BAFE7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07405"/>
    <w:multiLevelType w:val="hybridMultilevel"/>
    <w:tmpl w:val="23584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9001FAB"/>
    <w:multiLevelType w:val="hybridMultilevel"/>
    <w:tmpl w:val="24FAD388"/>
    <w:lvl w:ilvl="0" w:tplc="2138CB8E">
      <w:numFmt w:val="bullet"/>
      <w:lvlText w:val="-"/>
      <w:lvlJc w:val="left"/>
      <w:pPr>
        <w:ind w:left="720" w:hanging="360"/>
      </w:pPr>
      <w:rPr>
        <w:rFonts w:ascii="Calibri" w:eastAsiaTheme="minorHAnsi" w:hAnsi="Calibri" w:cs="Calibri" w:hint="default"/>
        <w:color w:val="14195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31462"/>
    <w:multiLevelType w:val="hybridMultilevel"/>
    <w:tmpl w:val="23584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2F51468"/>
    <w:multiLevelType w:val="hybridMultilevel"/>
    <w:tmpl w:val="49F0DC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786944"/>
    <w:multiLevelType w:val="hybridMultilevel"/>
    <w:tmpl w:val="369C70C2"/>
    <w:lvl w:ilvl="0" w:tplc="DAE4E6BC">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E981D5B"/>
    <w:multiLevelType w:val="hybridMultilevel"/>
    <w:tmpl w:val="3258CB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F37BAC"/>
    <w:multiLevelType w:val="hybridMultilevel"/>
    <w:tmpl w:val="958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BE7E55"/>
    <w:multiLevelType w:val="hybridMultilevel"/>
    <w:tmpl w:val="9AD674F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9D1121C"/>
    <w:multiLevelType w:val="hybridMultilevel"/>
    <w:tmpl w:val="B9D4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F85E93"/>
    <w:multiLevelType w:val="hybridMultilevel"/>
    <w:tmpl w:val="23584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CFC1690"/>
    <w:multiLevelType w:val="hybridMultilevel"/>
    <w:tmpl w:val="1F1E0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526BCE"/>
    <w:multiLevelType w:val="hybridMultilevel"/>
    <w:tmpl w:val="49F0DC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893EC5"/>
    <w:multiLevelType w:val="multilevel"/>
    <w:tmpl w:val="8C32F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64B4856"/>
    <w:multiLevelType w:val="hybridMultilevel"/>
    <w:tmpl w:val="49F0DC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FB7D24"/>
    <w:multiLevelType w:val="hybridMultilevel"/>
    <w:tmpl w:val="D1EAB158"/>
    <w:lvl w:ilvl="0" w:tplc="8D08E5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C9333DA"/>
    <w:multiLevelType w:val="hybridMultilevel"/>
    <w:tmpl w:val="95EE43D4"/>
    <w:lvl w:ilvl="0" w:tplc="4608355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128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1164E08"/>
    <w:multiLevelType w:val="hybridMultilevel"/>
    <w:tmpl w:val="AF7CDF5A"/>
    <w:lvl w:ilvl="0" w:tplc="2138CB8E">
      <w:numFmt w:val="bullet"/>
      <w:lvlText w:val="-"/>
      <w:lvlJc w:val="left"/>
      <w:pPr>
        <w:ind w:left="720" w:hanging="360"/>
      </w:pPr>
      <w:rPr>
        <w:rFonts w:ascii="Calibri" w:eastAsiaTheme="minorHAnsi" w:hAnsi="Calibri" w:cs="Calibri" w:hint="default"/>
        <w:color w:val="14195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0D076D"/>
    <w:multiLevelType w:val="hybridMultilevel"/>
    <w:tmpl w:val="45125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AF278A"/>
    <w:multiLevelType w:val="hybridMultilevel"/>
    <w:tmpl w:val="834C771E"/>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B94580F"/>
    <w:multiLevelType w:val="hybridMultilevel"/>
    <w:tmpl w:val="1812E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EA3B58"/>
    <w:multiLevelType w:val="hybridMultilevel"/>
    <w:tmpl w:val="C3727EB0"/>
    <w:lvl w:ilvl="0" w:tplc="DAE4E6B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1"/>
  </w:num>
  <w:num w:numId="4">
    <w:abstractNumId w:val="13"/>
  </w:num>
  <w:num w:numId="5">
    <w:abstractNumId w:val="6"/>
  </w:num>
  <w:num w:numId="6">
    <w:abstractNumId w:val="15"/>
  </w:num>
  <w:num w:numId="7">
    <w:abstractNumId w:val="8"/>
  </w:num>
  <w:num w:numId="8">
    <w:abstractNumId w:val="16"/>
  </w:num>
  <w:num w:numId="9">
    <w:abstractNumId w:val="14"/>
  </w:num>
  <w:num w:numId="10">
    <w:abstractNumId w:val="3"/>
  </w:num>
  <w:num w:numId="11">
    <w:abstractNumId w:val="5"/>
  </w:num>
  <w:num w:numId="12">
    <w:abstractNumId w:val="12"/>
  </w:num>
  <w:num w:numId="13">
    <w:abstractNumId w:val="24"/>
  </w:num>
  <w:num w:numId="14">
    <w:abstractNumId w:val="2"/>
  </w:num>
  <w:num w:numId="15">
    <w:abstractNumId w:val="11"/>
  </w:num>
  <w:num w:numId="16">
    <w:abstractNumId w:val="9"/>
  </w:num>
  <w:num w:numId="17">
    <w:abstractNumId w:val="19"/>
  </w:num>
  <w:num w:numId="18">
    <w:abstractNumId w:val="17"/>
  </w:num>
  <w:num w:numId="19">
    <w:abstractNumId w:val="20"/>
  </w:num>
  <w:num w:numId="20">
    <w:abstractNumId w:val="18"/>
  </w:num>
  <w:num w:numId="21">
    <w:abstractNumId w:val="4"/>
  </w:num>
  <w:num w:numId="22">
    <w:abstractNumId w:val="10"/>
  </w:num>
  <w:num w:numId="23">
    <w:abstractNumId w:val="25"/>
  </w:num>
  <w:num w:numId="24">
    <w:abstractNumId w:val="23"/>
  </w:num>
  <w:num w:numId="25">
    <w:abstractNumId w:val="7"/>
  </w:num>
  <w:num w:numId="26">
    <w:abstractNumId w:val="22"/>
  </w:num>
  <w:num w:numId="27">
    <w:abstractNumId w:val="0"/>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D6"/>
    <w:rsid w:val="000038D9"/>
    <w:rsid w:val="00014CCA"/>
    <w:rsid w:val="000161D4"/>
    <w:rsid w:val="00017461"/>
    <w:rsid w:val="00024AC2"/>
    <w:rsid w:val="0002547C"/>
    <w:rsid w:val="00030E04"/>
    <w:rsid w:val="00046D97"/>
    <w:rsid w:val="00050530"/>
    <w:rsid w:val="0007303A"/>
    <w:rsid w:val="00096DD0"/>
    <w:rsid w:val="00097E35"/>
    <w:rsid w:val="000A14B1"/>
    <w:rsid w:val="000B0EE6"/>
    <w:rsid w:val="000C7DD6"/>
    <w:rsid w:val="000D333F"/>
    <w:rsid w:val="000E6366"/>
    <w:rsid w:val="000F37C8"/>
    <w:rsid w:val="0011282F"/>
    <w:rsid w:val="0011405B"/>
    <w:rsid w:val="0011600F"/>
    <w:rsid w:val="00130AEF"/>
    <w:rsid w:val="00145391"/>
    <w:rsid w:val="00147E19"/>
    <w:rsid w:val="001501B9"/>
    <w:rsid w:val="00162E60"/>
    <w:rsid w:val="001655B0"/>
    <w:rsid w:val="00167996"/>
    <w:rsid w:val="00171228"/>
    <w:rsid w:val="00171B46"/>
    <w:rsid w:val="001865EB"/>
    <w:rsid w:val="00191415"/>
    <w:rsid w:val="00196204"/>
    <w:rsid w:val="001F7F1D"/>
    <w:rsid w:val="002005A5"/>
    <w:rsid w:val="00205756"/>
    <w:rsid w:val="002072AE"/>
    <w:rsid w:val="00211DBD"/>
    <w:rsid w:val="00214D64"/>
    <w:rsid w:val="002201AE"/>
    <w:rsid w:val="0023091F"/>
    <w:rsid w:val="00232BD1"/>
    <w:rsid w:val="00250637"/>
    <w:rsid w:val="00254C5E"/>
    <w:rsid w:val="0025619E"/>
    <w:rsid w:val="00262E36"/>
    <w:rsid w:val="00272C99"/>
    <w:rsid w:val="002835F5"/>
    <w:rsid w:val="0029629D"/>
    <w:rsid w:val="002A33EF"/>
    <w:rsid w:val="002A4056"/>
    <w:rsid w:val="002B3279"/>
    <w:rsid w:val="002B5351"/>
    <w:rsid w:val="002E1686"/>
    <w:rsid w:val="002E6990"/>
    <w:rsid w:val="002E781B"/>
    <w:rsid w:val="00315418"/>
    <w:rsid w:val="00323037"/>
    <w:rsid w:val="00327A25"/>
    <w:rsid w:val="00335CEB"/>
    <w:rsid w:val="00341DC0"/>
    <w:rsid w:val="003752D5"/>
    <w:rsid w:val="00391922"/>
    <w:rsid w:val="003925F6"/>
    <w:rsid w:val="00392BB0"/>
    <w:rsid w:val="00396964"/>
    <w:rsid w:val="003A0B1B"/>
    <w:rsid w:val="003A4FD6"/>
    <w:rsid w:val="003B4BA0"/>
    <w:rsid w:val="003B6EA2"/>
    <w:rsid w:val="003C435C"/>
    <w:rsid w:val="003C7785"/>
    <w:rsid w:val="003D0283"/>
    <w:rsid w:val="003D138B"/>
    <w:rsid w:val="003D67FC"/>
    <w:rsid w:val="003E5FC8"/>
    <w:rsid w:val="003F720B"/>
    <w:rsid w:val="004006F3"/>
    <w:rsid w:val="00403D0B"/>
    <w:rsid w:val="004051B9"/>
    <w:rsid w:val="00406649"/>
    <w:rsid w:val="004226FF"/>
    <w:rsid w:val="00424BFD"/>
    <w:rsid w:val="00433428"/>
    <w:rsid w:val="00441019"/>
    <w:rsid w:val="00456E84"/>
    <w:rsid w:val="004718B3"/>
    <w:rsid w:val="004750C1"/>
    <w:rsid w:val="004821B5"/>
    <w:rsid w:val="00482688"/>
    <w:rsid w:val="00490685"/>
    <w:rsid w:val="004914DD"/>
    <w:rsid w:val="00491E88"/>
    <w:rsid w:val="004A279F"/>
    <w:rsid w:val="004A3FD3"/>
    <w:rsid w:val="004A74E1"/>
    <w:rsid w:val="004B5E7E"/>
    <w:rsid w:val="004B7E35"/>
    <w:rsid w:val="004C65B7"/>
    <w:rsid w:val="004C6601"/>
    <w:rsid w:val="004F19BA"/>
    <w:rsid w:val="004F2DD0"/>
    <w:rsid w:val="004F78DF"/>
    <w:rsid w:val="00513D80"/>
    <w:rsid w:val="00516CBB"/>
    <w:rsid w:val="0051777E"/>
    <w:rsid w:val="00530081"/>
    <w:rsid w:val="00531707"/>
    <w:rsid w:val="005322D8"/>
    <w:rsid w:val="0053462C"/>
    <w:rsid w:val="00545ECC"/>
    <w:rsid w:val="00555B1B"/>
    <w:rsid w:val="00562E5B"/>
    <w:rsid w:val="005838C1"/>
    <w:rsid w:val="00583A71"/>
    <w:rsid w:val="00590574"/>
    <w:rsid w:val="005962EA"/>
    <w:rsid w:val="00596FBD"/>
    <w:rsid w:val="005A0CE2"/>
    <w:rsid w:val="005A3AE0"/>
    <w:rsid w:val="005B09FC"/>
    <w:rsid w:val="005B18F2"/>
    <w:rsid w:val="005B6E02"/>
    <w:rsid w:val="005D0CB3"/>
    <w:rsid w:val="005D4614"/>
    <w:rsid w:val="005D5DF7"/>
    <w:rsid w:val="005E2850"/>
    <w:rsid w:val="005F2549"/>
    <w:rsid w:val="005F6B17"/>
    <w:rsid w:val="006017B2"/>
    <w:rsid w:val="006110EA"/>
    <w:rsid w:val="00627EC2"/>
    <w:rsid w:val="006615B8"/>
    <w:rsid w:val="0066488F"/>
    <w:rsid w:val="00670B5F"/>
    <w:rsid w:val="0067493E"/>
    <w:rsid w:val="00692CB5"/>
    <w:rsid w:val="006A3254"/>
    <w:rsid w:val="006A5137"/>
    <w:rsid w:val="006A5E4F"/>
    <w:rsid w:val="006A71C5"/>
    <w:rsid w:val="006B1345"/>
    <w:rsid w:val="006B20F8"/>
    <w:rsid w:val="006B2D36"/>
    <w:rsid w:val="006C6800"/>
    <w:rsid w:val="006D18B9"/>
    <w:rsid w:val="006F0AEA"/>
    <w:rsid w:val="006F6648"/>
    <w:rsid w:val="0070128A"/>
    <w:rsid w:val="00702D45"/>
    <w:rsid w:val="007045F2"/>
    <w:rsid w:val="007235A9"/>
    <w:rsid w:val="00723F0D"/>
    <w:rsid w:val="0074158C"/>
    <w:rsid w:val="00743244"/>
    <w:rsid w:val="007508EC"/>
    <w:rsid w:val="007559AE"/>
    <w:rsid w:val="00760053"/>
    <w:rsid w:val="007856D3"/>
    <w:rsid w:val="00785A03"/>
    <w:rsid w:val="00790A5C"/>
    <w:rsid w:val="007A138E"/>
    <w:rsid w:val="007B61D6"/>
    <w:rsid w:val="007B7609"/>
    <w:rsid w:val="007C082B"/>
    <w:rsid w:val="007E0F03"/>
    <w:rsid w:val="007E18F2"/>
    <w:rsid w:val="007F73A5"/>
    <w:rsid w:val="00811DE9"/>
    <w:rsid w:val="00817719"/>
    <w:rsid w:val="00823914"/>
    <w:rsid w:val="008329E1"/>
    <w:rsid w:val="00841971"/>
    <w:rsid w:val="00842360"/>
    <w:rsid w:val="00867FE1"/>
    <w:rsid w:val="008713BE"/>
    <w:rsid w:val="008727DD"/>
    <w:rsid w:val="00880A8E"/>
    <w:rsid w:val="00885C0C"/>
    <w:rsid w:val="008A34A9"/>
    <w:rsid w:val="008A73D1"/>
    <w:rsid w:val="008B0336"/>
    <w:rsid w:val="008B51E9"/>
    <w:rsid w:val="008B568D"/>
    <w:rsid w:val="008C19E3"/>
    <w:rsid w:val="008C2483"/>
    <w:rsid w:val="008D10E1"/>
    <w:rsid w:val="008D31E2"/>
    <w:rsid w:val="008D4645"/>
    <w:rsid w:val="008F5D8F"/>
    <w:rsid w:val="00901004"/>
    <w:rsid w:val="009015C5"/>
    <w:rsid w:val="00912E2E"/>
    <w:rsid w:val="0091357B"/>
    <w:rsid w:val="009166EA"/>
    <w:rsid w:val="00921F7F"/>
    <w:rsid w:val="0092283A"/>
    <w:rsid w:val="009274CF"/>
    <w:rsid w:val="009600AB"/>
    <w:rsid w:val="00970475"/>
    <w:rsid w:val="00976F1A"/>
    <w:rsid w:val="0097749A"/>
    <w:rsid w:val="009847E3"/>
    <w:rsid w:val="009969E1"/>
    <w:rsid w:val="009A1B56"/>
    <w:rsid w:val="009C1994"/>
    <w:rsid w:val="009C70DF"/>
    <w:rsid w:val="009D1F0A"/>
    <w:rsid w:val="009E3921"/>
    <w:rsid w:val="009E4CC0"/>
    <w:rsid w:val="009E6B2F"/>
    <w:rsid w:val="009F04AB"/>
    <w:rsid w:val="009F04E9"/>
    <w:rsid w:val="009F43E6"/>
    <w:rsid w:val="009F4EB5"/>
    <w:rsid w:val="009F5A6F"/>
    <w:rsid w:val="00A05381"/>
    <w:rsid w:val="00A13B1C"/>
    <w:rsid w:val="00A1422E"/>
    <w:rsid w:val="00A23824"/>
    <w:rsid w:val="00A24130"/>
    <w:rsid w:val="00A257DC"/>
    <w:rsid w:val="00A30A5D"/>
    <w:rsid w:val="00A43D98"/>
    <w:rsid w:val="00A6016A"/>
    <w:rsid w:val="00A60AC7"/>
    <w:rsid w:val="00A65A24"/>
    <w:rsid w:val="00A71BC1"/>
    <w:rsid w:val="00A77428"/>
    <w:rsid w:val="00A807DE"/>
    <w:rsid w:val="00A926B9"/>
    <w:rsid w:val="00AA28F1"/>
    <w:rsid w:val="00AA666E"/>
    <w:rsid w:val="00AB1202"/>
    <w:rsid w:val="00AC3457"/>
    <w:rsid w:val="00AC612C"/>
    <w:rsid w:val="00AC7643"/>
    <w:rsid w:val="00AF5E54"/>
    <w:rsid w:val="00B03537"/>
    <w:rsid w:val="00B06668"/>
    <w:rsid w:val="00B10BF1"/>
    <w:rsid w:val="00B12E7C"/>
    <w:rsid w:val="00B20FA9"/>
    <w:rsid w:val="00B33114"/>
    <w:rsid w:val="00B372EB"/>
    <w:rsid w:val="00B458F1"/>
    <w:rsid w:val="00B509B5"/>
    <w:rsid w:val="00B57407"/>
    <w:rsid w:val="00B600B9"/>
    <w:rsid w:val="00B651BF"/>
    <w:rsid w:val="00B72A12"/>
    <w:rsid w:val="00B86251"/>
    <w:rsid w:val="00BA0D33"/>
    <w:rsid w:val="00BA4FCE"/>
    <w:rsid w:val="00BC3F2A"/>
    <w:rsid w:val="00BC5C14"/>
    <w:rsid w:val="00BE02AA"/>
    <w:rsid w:val="00BE14C3"/>
    <w:rsid w:val="00BF58F5"/>
    <w:rsid w:val="00C059D5"/>
    <w:rsid w:val="00C14696"/>
    <w:rsid w:val="00C15F57"/>
    <w:rsid w:val="00C23A2E"/>
    <w:rsid w:val="00C31BA7"/>
    <w:rsid w:val="00C36EC8"/>
    <w:rsid w:val="00C41460"/>
    <w:rsid w:val="00C567BE"/>
    <w:rsid w:val="00C576B3"/>
    <w:rsid w:val="00C622C2"/>
    <w:rsid w:val="00C64C49"/>
    <w:rsid w:val="00C656BA"/>
    <w:rsid w:val="00C7222F"/>
    <w:rsid w:val="00C80EBC"/>
    <w:rsid w:val="00C938A9"/>
    <w:rsid w:val="00C93FBC"/>
    <w:rsid w:val="00C94547"/>
    <w:rsid w:val="00CA20EF"/>
    <w:rsid w:val="00CC08D9"/>
    <w:rsid w:val="00CC6AB6"/>
    <w:rsid w:val="00CD2380"/>
    <w:rsid w:val="00CD2DA8"/>
    <w:rsid w:val="00CD73BF"/>
    <w:rsid w:val="00CF24D6"/>
    <w:rsid w:val="00CF2EFC"/>
    <w:rsid w:val="00D006CF"/>
    <w:rsid w:val="00D01855"/>
    <w:rsid w:val="00D11A02"/>
    <w:rsid w:val="00D16043"/>
    <w:rsid w:val="00D21C0F"/>
    <w:rsid w:val="00D37582"/>
    <w:rsid w:val="00D521B8"/>
    <w:rsid w:val="00D614AA"/>
    <w:rsid w:val="00D73C4D"/>
    <w:rsid w:val="00D85C35"/>
    <w:rsid w:val="00D9796E"/>
    <w:rsid w:val="00DA0885"/>
    <w:rsid w:val="00DA3F64"/>
    <w:rsid w:val="00DA56EA"/>
    <w:rsid w:val="00DB199D"/>
    <w:rsid w:val="00DC0284"/>
    <w:rsid w:val="00DC137E"/>
    <w:rsid w:val="00DC2086"/>
    <w:rsid w:val="00DC7FA6"/>
    <w:rsid w:val="00DD70B6"/>
    <w:rsid w:val="00DE6476"/>
    <w:rsid w:val="00DE731D"/>
    <w:rsid w:val="00DF0C66"/>
    <w:rsid w:val="00E01DF6"/>
    <w:rsid w:val="00E06254"/>
    <w:rsid w:val="00E113A1"/>
    <w:rsid w:val="00E16EC4"/>
    <w:rsid w:val="00E25B8C"/>
    <w:rsid w:val="00E42A50"/>
    <w:rsid w:val="00E5108A"/>
    <w:rsid w:val="00E55725"/>
    <w:rsid w:val="00E57382"/>
    <w:rsid w:val="00E644B6"/>
    <w:rsid w:val="00E64FDE"/>
    <w:rsid w:val="00E6558D"/>
    <w:rsid w:val="00E70DC8"/>
    <w:rsid w:val="00E92042"/>
    <w:rsid w:val="00EA1E8F"/>
    <w:rsid w:val="00EA7EA3"/>
    <w:rsid w:val="00EB2B90"/>
    <w:rsid w:val="00EB32E7"/>
    <w:rsid w:val="00EB6730"/>
    <w:rsid w:val="00EC38C1"/>
    <w:rsid w:val="00ED04DD"/>
    <w:rsid w:val="00ED308B"/>
    <w:rsid w:val="00ED35F9"/>
    <w:rsid w:val="00ED6875"/>
    <w:rsid w:val="00F046A3"/>
    <w:rsid w:val="00F04DED"/>
    <w:rsid w:val="00F153EC"/>
    <w:rsid w:val="00F22D57"/>
    <w:rsid w:val="00F40E78"/>
    <w:rsid w:val="00F55F4E"/>
    <w:rsid w:val="00F604AC"/>
    <w:rsid w:val="00F61561"/>
    <w:rsid w:val="00F73EB1"/>
    <w:rsid w:val="00F766D9"/>
    <w:rsid w:val="00F85362"/>
    <w:rsid w:val="00F91DEE"/>
    <w:rsid w:val="00F91EE1"/>
    <w:rsid w:val="00F94402"/>
    <w:rsid w:val="00F95A47"/>
    <w:rsid w:val="00FA27C7"/>
    <w:rsid w:val="00FB3690"/>
    <w:rsid w:val="00FB5DA6"/>
    <w:rsid w:val="00FC2616"/>
    <w:rsid w:val="00FE4F5A"/>
    <w:rsid w:val="00FF4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424C19-D50A-4426-981D-82B0152C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4D6"/>
  </w:style>
  <w:style w:type="paragraph" w:styleId="Titre1">
    <w:name w:val="heading 1"/>
    <w:basedOn w:val="Normal"/>
    <w:next w:val="Normal"/>
    <w:link w:val="Titre1Car"/>
    <w:uiPriority w:val="9"/>
    <w:qFormat/>
    <w:rsid w:val="005F2549"/>
    <w:pPr>
      <w:numPr>
        <w:numId w:val="26"/>
      </w:numPr>
      <w:shd w:val="clear" w:color="auto" w:fill="44546A" w:themeFill="text2"/>
      <w:tabs>
        <w:tab w:val="right" w:leader="dot" w:pos="9923"/>
      </w:tabs>
      <w:spacing w:after="240" w:line="300" w:lineRule="atLeast"/>
      <w:jc w:val="both"/>
      <w:outlineLvl w:val="0"/>
    </w:pPr>
    <w:rPr>
      <w:rFonts w:ascii="Calibri-Italic" w:eastAsiaTheme="minorEastAsia" w:hAnsi="Calibri-Italic" w:cs="Arial"/>
      <w:i/>
      <w:iCs/>
      <w:caps/>
      <w:color w:val="FFFFFF" w:themeColor="background1"/>
      <w:shd w:val="clear" w:color="auto" w:fill="004979"/>
      <w:lang w:eastAsia="ja-JP"/>
    </w:rPr>
  </w:style>
  <w:style w:type="paragraph" w:styleId="Titre2">
    <w:name w:val="heading 2"/>
    <w:basedOn w:val="Normal"/>
    <w:next w:val="Normal"/>
    <w:link w:val="Titre2Car"/>
    <w:uiPriority w:val="9"/>
    <w:unhideWhenUsed/>
    <w:qFormat/>
    <w:rsid w:val="005F2549"/>
    <w:pPr>
      <w:numPr>
        <w:ilvl w:val="1"/>
        <w:numId w:val="26"/>
      </w:numPr>
      <w:shd w:val="clear" w:color="auto" w:fill="9CC2E5" w:themeFill="accent1" w:themeFillTint="99"/>
      <w:tabs>
        <w:tab w:val="right" w:leader="dot" w:pos="9923"/>
      </w:tabs>
      <w:spacing w:after="240" w:line="300" w:lineRule="atLeast"/>
      <w:jc w:val="both"/>
      <w:outlineLvl w:val="1"/>
    </w:pPr>
    <w:rPr>
      <w:rFonts w:ascii="Calibri-Italic" w:eastAsiaTheme="minorEastAsia" w:hAnsi="Calibri-Italic" w:cs="Arial"/>
      <w:i/>
      <w:iCs/>
      <w:color w:val="FFFFFF" w:themeColor="background1"/>
      <w:lang w:eastAsia="ja-JP"/>
    </w:rPr>
  </w:style>
  <w:style w:type="paragraph" w:styleId="Titre3">
    <w:name w:val="heading 3"/>
    <w:basedOn w:val="Normal"/>
    <w:next w:val="Normal"/>
    <w:link w:val="Titre3Car"/>
    <w:uiPriority w:val="9"/>
    <w:unhideWhenUsed/>
    <w:qFormat/>
    <w:rsid w:val="005F2549"/>
    <w:pPr>
      <w:keepNext/>
      <w:keepLines/>
      <w:numPr>
        <w:ilvl w:val="2"/>
        <w:numId w:val="26"/>
      </w:numPr>
      <w:tabs>
        <w:tab w:val="right" w:leader="dot" w:pos="9923"/>
      </w:tabs>
      <w:spacing w:before="40" w:after="240" w:line="240" w:lineRule="auto"/>
      <w:jc w:val="both"/>
      <w:outlineLvl w:val="2"/>
    </w:pPr>
    <w:rPr>
      <w:rFonts w:asciiTheme="majorHAnsi" w:eastAsiaTheme="majorEastAsia" w:hAnsiTheme="majorHAnsi" w:cstheme="majorBidi"/>
      <w:b/>
      <w:bCs/>
      <w:i/>
      <w:iCs/>
      <w:color w:val="1F4D78" w:themeColor="accent1" w:themeShade="7F"/>
      <w:lang w:eastAsia="ja-JP"/>
    </w:rPr>
  </w:style>
  <w:style w:type="paragraph" w:styleId="Titre5">
    <w:name w:val="heading 5"/>
    <w:basedOn w:val="Normal"/>
    <w:next w:val="Normal"/>
    <w:link w:val="Titre5Car"/>
    <w:uiPriority w:val="9"/>
    <w:unhideWhenUsed/>
    <w:qFormat/>
    <w:rsid w:val="005F2549"/>
    <w:pPr>
      <w:keepNext/>
      <w:keepLines/>
      <w:numPr>
        <w:ilvl w:val="4"/>
        <w:numId w:val="26"/>
      </w:numPr>
      <w:tabs>
        <w:tab w:val="right" w:leader="dot" w:pos="9923"/>
      </w:tabs>
      <w:spacing w:before="40" w:after="0" w:line="240" w:lineRule="auto"/>
      <w:jc w:val="both"/>
      <w:outlineLvl w:val="4"/>
    </w:pPr>
    <w:rPr>
      <w:rFonts w:asciiTheme="majorHAnsi" w:eastAsiaTheme="majorEastAsia" w:hAnsiTheme="majorHAnsi" w:cstheme="majorBidi"/>
      <w:i/>
      <w:iCs/>
      <w:color w:val="2E74B5" w:themeColor="accent1" w:themeShade="BF"/>
      <w:lang w:eastAsia="ja-JP"/>
    </w:rPr>
  </w:style>
  <w:style w:type="paragraph" w:styleId="Titre6">
    <w:name w:val="heading 6"/>
    <w:basedOn w:val="Normal"/>
    <w:next w:val="Normal"/>
    <w:link w:val="Titre6Car"/>
    <w:uiPriority w:val="9"/>
    <w:unhideWhenUsed/>
    <w:qFormat/>
    <w:rsid w:val="005F2549"/>
    <w:pPr>
      <w:keepNext/>
      <w:keepLines/>
      <w:numPr>
        <w:ilvl w:val="5"/>
        <w:numId w:val="26"/>
      </w:numPr>
      <w:tabs>
        <w:tab w:val="right" w:leader="dot" w:pos="9923"/>
      </w:tabs>
      <w:spacing w:before="40" w:after="0" w:line="240" w:lineRule="auto"/>
      <w:jc w:val="both"/>
      <w:outlineLvl w:val="5"/>
    </w:pPr>
    <w:rPr>
      <w:rFonts w:asciiTheme="majorHAnsi" w:eastAsiaTheme="majorEastAsia" w:hAnsiTheme="majorHAnsi" w:cstheme="majorBidi"/>
      <w:i/>
      <w:iCs/>
      <w:color w:val="1F4D78" w:themeColor="accent1" w:themeShade="7F"/>
      <w:lang w:eastAsia="ja-JP"/>
    </w:rPr>
  </w:style>
  <w:style w:type="paragraph" w:styleId="Titre7">
    <w:name w:val="heading 7"/>
    <w:basedOn w:val="Normal"/>
    <w:next w:val="Normal"/>
    <w:link w:val="Titre7Car"/>
    <w:uiPriority w:val="9"/>
    <w:unhideWhenUsed/>
    <w:qFormat/>
    <w:rsid w:val="005F2549"/>
    <w:pPr>
      <w:keepNext/>
      <w:keepLines/>
      <w:numPr>
        <w:ilvl w:val="6"/>
        <w:numId w:val="26"/>
      </w:numPr>
      <w:tabs>
        <w:tab w:val="right" w:leader="dot" w:pos="9923"/>
      </w:tabs>
      <w:spacing w:before="40" w:after="0" w:line="240" w:lineRule="auto"/>
      <w:jc w:val="both"/>
      <w:outlineLvl w:val="6"/>
    </w:pPr>
    <w:rPr>
      <w:rFonts w:asciiTheme="majorHAnsi" w:eastAsiaTheme="majorEastAsia" w:hAnsiTheme="majorHAnsi" w:cstheme="majorBidi"/>
      <w:color w:val="1F4D78" w:themeColor="accent1" w:themeShade="7F"/>
      <w:lang w:eastAsia="ja-JP"/>
    </w:rPr>
  </w:style>
  <w:style w:type="paragraph" w:styleId="Titre8">
    <w:name w:val="heading 8"/>
    <w:basedOn w:val="Normal"/>
    <w:next w:val="Normal"/>
    <w:link w:val="Titre8Car"/>
    <w:uiPriority w:val="9"/>
    <w:semiHidden/>
    <w:unhideWhenUsed/>
    <w:qFormat/>
    <w:rsid w:val="005F2549"/>
    <w:pPr>
      <w:keepNext/>
      <w:keepLines/>
      <w:numPr>
        <w:ilvl w:val="7"/>
        <w:numId w:val="26"/>
      </w:numPr>
      <w:tabs>
        <w:tab w:val="right" w:leader="dot" w:pos="9923"/>
      </w:tabs>
      <w:spacing w:before="40" w:after="0" w:line="240" w:lineRule="auto"/>
      <w:jc w:val="both"/>
      <w:outlineLvl w:val="7"/>
    </w:pPr>
    <w:rPr>
      <w:rFonts w:asciiTheme="majorHAnsi" w:eastAsiaTheme="majorEastAsia" w:hAnsiTheme="majorHAnsi" w:cstheme="majorBidi"/>
      <w:i/>
      <w:iCs/>
      <w:color w:val="272727" w:themeColor="text1" w:themeTint="D8"/>
      <w:sz w:val="21"/>
      <w:szCs w:val="21"/>
      <w:lang w:eastAsia="ja-JP"/>
    </w:rPr>
  </w:style>
  <w:style w:type="paragraph" w:styleId="Titre9">
    <w:name w:val="heading 9"/>
    <w:basedOn w:val="Normal"/>
    <w:next w:val="Normal"/>
    <w:link w:val="Titre9Car"/>
    <w:uiPriority w:val="9"/>
    <w:semiHidden/>
    <w:unhideWhenUsed/>
    <w:qFormat/>
    <w:rsid w:val="005F2549"/>
    <w:pPr>
      <w:keepNext/>
      <w:keepLines/>
      <w:numPr>
        <w:ilvl w:val="8"/>
        <w:numId w:val="26"/>
      </w:numPr>
      <w:tabs>
        <w:tab w:val="right" w:leader="dot" w:pos="9923"/>
      </w:tabs>
      <w:spacing w:before="40" w:after="0" w:line="240" w:lineRule="auto"/>
      <w:jc w:val="both"/>
      <w:outlineLvl w:val="8"/>
    </w:pPr>
    <w:rPr>
      <w:rFonts w:asciiTheme="majorHAnsi" w:eastAsiaTheme="majorEastAsia" w:hAnsiTheme="majorHAnsi" w:cstheme="majorBidi"/>
      <w:color w:val="272727" w:themeColor="text1" w:themeTint="D8"/>
      <w:sz w:val="21"/>
      <w:szCs w:val="21"/>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24D6"/>
    <w:pPr>
      <w:tabs>
        <w:tab w:val="center" w:pos="4536"/>
        <w:tab w:val="right" w:pos="9072"/>
      </w:tabs>
      <w:spacing w:after="0" w:line="240" w:lineRule="auto"/>
    </w:pPr>
  </w:style>
  <w:style w:type="character" w:customStyle="1" w:styleId="En-tteCar">
    <w:name w:val="En-tête Car"/>
    <w:basedOn w:val="Policepardfaut"/>
    <w:link w:val="En-tte"/>
    <w:uiPriority w:val="99"/>
    <w:rsid w:val="00CF24D6"/>
  </w:style>
  <w:style w:type="paragraph" w:styleId="Pieddepage">
    <w:name w:val="footer"/>
    <w:basedOn w:val="Normal"/>
    <w:link w:val="PieddepageCar"/>
    <w:uiPriority w:val="99"/>
    <w:unhideWhenUsed/>
    <w:rsid w:val="00CF24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24D6"/>
  </w:style>
  <w:style w:type="character" w:styleId="Lienhypertexte">
    <w:name w:val="Hyperlink"/>
    <w:basedOn w:val="Policepardfaut"/>
    <w:uiPriority w:val="99"/>
    <w:unhideWhenUsed/>
    <w:rsid w:val="00CF24D6"/>
    <w:rPr>
      <w:color w:val="0563C1" w:themeColor="hyperlink"/>
      <w:u w:val="single"/>
    </w:rPr>
  </w:style>
  <w:style w:type="character" w:styleId="Marquedecommentaire">
    <w:name w:val="annotation reference"/>
    <w:basedOn w:val="Policepardfaut"/>
    <w:uiPriority w:val="99"/>
    <w:semiHidden/>
    <w:unhideWhenUsed/>
    <w:rsid w:val="00CF24D6"/>
    <w:rPr>
      <w:sz w:val="16"/>
      <w:szCs w:val="16"/>
    </w:rPr>
  </w:style>
  <w:style w:type="paragraph" w:styleId="Commentaire">
    <w:name w:val="annotation text"/>
    <w:basedOn w:val="Normal"/>
    <w:link w:val="CommentaireCar"/>
    <w:uiPriority w:val="99"/>
    <w:unhideWhenUsed/>
    <w:rsid w:val="00CF24D6"/>
    <w:pPr>
      <w:spacing w:line="240" w:lineRule="auto"/>
    </w:pPr>
    <w:rPr>
      <w:sz w:val="20"/>
      <w:szCs w:val="20"/>
    </w:rPr>
  </w:style>
  <w:style w:type="character" w:customStyle="1" w:styleId="CommentaireCar">
    <w:name w:val="Commentaire Car"/>
    <w:basedOn w:val="Policepardfaut"/>
    <w:link w:val="Commentaire"/>
    <w:uiPriority w:val="99"/>
    <w:rsid w:val="00CF24D6"/>
    <w:rPr>
      <w:sz w:val="20"/>
      <w:szCs w:val="20"/>
    </w:rPr>
  </w:style>
  <w:style w:type="paragraph" w:styleId="Sansinterligne">
    <w:name w:val="No Spacing"/>
    <w:uiPriority w:val="1"/>
    <w:qFormat/>
    <w:rsid w:val="00CF24D6"/>
    <w:pPr>
      <w:spacing w:after="0" w:line="240" w:lineRule="auto"/>
    </w:pPr>
  </w:style>
  <w:style w:type="paragraph" w:styleId="Textedebulles">
    <w:name w:val="Balloon Text"/>
    <w:basedOn w:val="Normal"/>
    <w:link w:val="TextedebullesCar"/>
    <w:uiPriority w:val="99"/>
    <w:semiHidden/>
    <w:unhideWhenUsed/>
    <w:rsid w:val="00CF24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4D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F24D6"/>
    <w:rPr>
      <w:b/>
      <w:bCs/>
    </w:rPr>
  </w:style>
  <w:style w:type="character" w:customStyle="1" w:styleId="ObjetducommentaireCar">
    <w:name w:val="Objet du commentaire Car"/>
    <w:basedOn w:val="CommentaireCar"/>
    <w:link w:val="Objetducommentaire"/>
    <w:uiPriority w:val="99"/>
    <w:semiHidden/>
    <w:rsid w:val="00CF24D6"/>
    <w:rPr>
      <w:b/>
      <w:bCs/>
      <w:sz w:val="20"/>
      <w:szCs w:val="20"/>
    </w:rPr>
  </w:style>
  <w:style w:type="paragraph" w:styleId="Paragraphedeliste">
    <w:name w:val="List Paragraph"/>
    <w:aliases w:val="Indent Paragraph,Lettre d'introduction,Paragraphe de liste PBLH,Graph &amp; Table tite,Bullet Points,Liste Paragraf,Llista Nivell1,Lista de nivel 1,Table/Figure Heading,List of pictures,References,Yellow Bullet,Normal bullet 2,Paragraph"/>
    <w:basedOn w:val="Normal"/>
    <w:link w:val="ParagraphedelisteCar"/>
    <w:uiPriority w:val="99"/>
    <w:qFormat/>
    <w:rsid w:val="00A807DE"/>
    <w:pPr>
      <w:spacing w:after="0" w:line="240" w:lineRule="auto"/>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Table/Figure Heading Car,List of pictures Car"/>
    <w:link w:val="Paragraphedeliste"/>
    <w:uiPriority w:val="99"/>
    <w:qFormat/>
    <w:locked/>
    <w:rsid w:val="00A807DE"/>
  </w:style>
  <w:style w:type="character" w:customStyle="1" w:styleId="Titre1Car">
    <w:name w:val="Titre 1 Car"/>
    <w:basedOn w:val="Policepardfaut"/>
    <w:link w:val="Titre1"/>
    <w:uiPriority w:val="9"/>
    <w:rsid w:val="005F2549"/>
    <w:rPr>
      <w:rFonts w:ascii="Calibri-Italic" w:eastAsiaTheme="minorEastAsia" w:hAnsi="Calibri-Italic" w:cs="Arial"/>
      <w:i/>
      <w:iCs/>
      <w:caps/>
      <w:color w:val="FFFFFF" w:themeColor="background1"/>
      <w:shd w:val="clear" w:color="auto" w:fill="44546A" w:themeFill="text2"/>
      <w:lang w:eastAsia="ja-JP"/>
    </w:rPr>
  </w:style>
  <w:style w:type="character" w:customStyle="1" w:styleId="Titre2Car">
    <w:name w:val="Titre 2 Car"/>
    <w:basedOn w:val="Policepardfaut"/>
    <w:link w:val="Titre2"/>
    <w:uiPriority w:val="9"/>
    <w:rsid w:val="005F2549"/>
    <w:rPr>
      <w:rFonts w:ascii="Calibri-Italic" w:eastAsiaTheme="minorEastAsia" w:hAnsi="Calibri-Italic" w:cs="Arial"/>
      <w:i/>
      <w:iCs/>
      <w:color w:val="FFFFFF" w:themeColor="background1"/>
      <w:shd w:val="clear" w:color="auto" w:fill="9CC2E5" w:themeFill="accent1" w:themeFillTint="99"/>
      <w:lang w:eastAsia="ja-JP"/>
    </w:rPr>
  </w:style>
  <w:style w:type="character" w:customStyle="1" w:styleId="Titre3Car">
    <w:name w:val="Titre 3 Car"/>
    <w:basedOn w:val="Policepardfaut"/>
    <w:link w:val="Titre3"/>
    <w:uiPriority w:val="9"/>
    <w:rsid w:val="005F2549"/>
    <w:rPr>
      <w:rFonts w:asciiTheme="majorHAnsi" w:eastAsiaTheme="majorEastAsia" w:hAnsiTheme="majorHAnsi" w:cstheme="majorBidi"/>
      <w:b/>
      <w:bCs/>
      <w:i/>
      <w:iCs/>
      <w:color w:val="1F4D78" w:themeColor="accent1" w:themeShade="7F"/>
      <w:lang w:eastAsia="ja-JP"/>
    </w:rPr>
  </w:style>
  <w:style w:type="character" w:customStyle="1" w:styleId="Titre5Car">
    <w:name w:val="Titre 5 Car"/>
    <w:basedOn w:val="Policepardfaut"/>
    <w:link w:val="Titre5"/>
    <w:uiPriority w:val="9"/>
    <w:rsid w:val="005F2549"/>
    <w:rPr>
      <w:rFonts w:asciiTheme="majorHAnsi" w:eastAsiaTheme="majorEastAsia" w:hAnsiTheme="majorHAnsi" w:cstheme="majorBidi"/>
      <w:i/>
      <w:iCs/>
      <w:color w:val="2E74B5" w:themeColor="accent1" w:themeShade="BF"/>
      <w:lang w:eastAsia="ja-JP"/>
    </w:rPr>
  </w:style>
  <w:style w:type="character" w:customStyle="1" w:styleId="Titre6Car">
    <w:name w:val="Titre 6 Car"/>
    <w:basedOn w:val="Policepardfaut"/>
    <w:link w:val="Titre6"/>
    <w:uiPriority w:val="9"/>
    <w:rsid w:val="005F2549"/>
    <w:rPr>
      <w:rFonts w:asciiTheme="majorHAnsi" w:eastAsiaTheme="majorEastAsia" w:hAnsiTheme="majorHAnsi" w:cstheme="majorBidi"/>
      <w:i/>
      <w:iCs/>
      <w:color w:val="1F4D78" w:themeColor="accent1" w:themeShade="7F"/>
      <w:lang w:eastAsia="ja-JP"/>
    </w:rPr>
  </w:style>
  <w:style w:type="character" w:customStyle="1" w:styleId="Titre7Car">
    <w:name w:val="Titre 7 Car"/>
    <w:basedOn w:val="Policepardfaut"/>
    <w:link w:val="Titre7"/>
    <w:uiPriority w:val="9"/>
    <w:rsid w:val="005F2549"/>
    <w:rPr>
      <w:rFonts w:asciiTheme="majorHAnsi" w:eastAsiaTheme="majorEastAsia" w:hAnsiTheme="majorHAnsi" w:cstheme="majorBidi"/>
      <w:color w:val="1F4D78" w:themeColor="accent1" w:themeShade="7F"/>
      <w:lang w:eastAsia="ja-JP"/>
    </w:rPr>
  </w:style>
  <w:style w:type="character" w:customStyle="1" w:styleId="Titre8Car">
    <w:name w:val="Titre 8 Car"/>
    <w:basedOn w:val="Policepardfaut"/>
    <w:link w:val="Titre8"/>
    <w:uiPriority w:val="9"/>
    <w:semiHidden/>
    <w:rsid w:val="005F2549"/>
    <w:rPr>
      <w:rFonts w:asciiTheme="majorHAnsi" w:eastAsiaTheme="majorEastAsia" w:hAnsiTheme="majorHAnsi" w:cstheme="majorBidi"/>
      <w:i/>
      <w:iCs/>
      <w:color w:val="272727" w:themeColor="text1" w:themeTint="D8"/>
      <w:sz w:val="21"/>
      <w:szCs w:val="21"/>
      <w:lang w:eastAsia="ja-JP"/>
    </w:rPr>
  </w:style>
  <w:style w:type="character" w:customStyle="1" w:styleId="Titre9Car">
    <w:name w:val="Titre 9 Car"/>
    <w:basedOn w:val="Policepardfaut"/>
    <w:link w:val="Titre9"/>
    <w:uiPriority w:val="9"/>
    <w:semiHidden/>
    <w:rsid w:val="005F2549"/>
    <w:rPr>
      <w:rFonts w:asciiTheme="majorHAnsi" w:eastAsiaTheme="majorEastAsia" w:hAnsiTheme="majorHAnsi" w:cstheme="majorBidi"/>
      <w:color w:val="272727" w:themeColor="text1" w:themeTint="D8"/>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7AD6-BA74-45A5-AE77-88346997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7376</Words>
  <Characters>40569</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47850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Léana BRIELLES</dc:creator>
  <cp:keywords/>
  <dc:description/>
  <cp:lastModifiedBy>Simon SOUSTELLE</cp:lastModifiedBy>
  <cp:revision>2</cp:revision>
  <dcterms:created xsi:type="dcterms:W3CDTF">2023-01-23T10:46:00Z</dcterms:created>
  <dcterms:modified xsi:type="dcterms:W3CDTF">2023-01-23T10:46:00Z</dcterms:modified>
</cp:coreProperties>
</file>