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7DF171" w14:textId="77777777" w:rsidR="00D12C94" w:rsidRPr="00393B88" w:rsidRDefault="00FE300A">
      <w:pPr>
        <w:jc w:val="center"/>
      </w:pPr>
      <w:r w:rsidRPr="00393B88">
        <w:rPr>
          <w:b/>
          <w:bCs/>
        </w:rPr>
        <w:t>RÉPUBLIQUE ISLAMIQUE DE MAURITANIE</w:t>
      </w:r>
    </w:p>
    <w:p w14:paraId="0DA43B72" w14:textId="498FF1E4" w:rsidR="00D12C94" w:rsidRPr="00393B88" w:rsidRDefault="00FE300A">
      <w:pPr>
        <w:jc w:val="center"/>
      </w:pPr>
      <w:r w:rsidRPr="00393B88">
        <w:rPr>
          <w:b/>
          <w:bCs/>
          <w:sz w:val="22"/>
          <w:szCs w:val="22"/>
        </w:rPr>
        <w:t>Ministère de la Transformation Numérique et de la Modernisation de l’Administration</w:t>
      </w:r>
    </w:p>
    <w:p w14:paraId="59494D7C" w14:textId="77777777" w:rsidR="00D12C94" w:rsidRPr="00393B88" w:rsidRDefault="00D12C94">
      <w:pPr>
        <w:pBdr>
          <w:bottom w:val="single" w:sz="4" w:space="6" w:color="000000"/>
        </w:pBdr>
        <w:ind w:left="2600" w:right="2600"/>
        <w:jc w:val="center"/>
      </w:pPr>
    </w:p>
    <w:p w14:paraId="6C2E7179" w14:textId="77777777" w:rsidR="00D12C94" w:rsidRPr="00393B88" w:rsidRDefault="00FE300A">
      <w:pPr>
        <w:pBdr>
          <w:bottom w:val="single" w:sz="4" w:space="6" w:color="000000"/>
        </w:pBdr>
        <w:ind w:left="2600" w:right="2600"/>
        <w:jc w:val="center"/>
      </w:pPr>
      <w:r w:rsidRPr="00393B88">
        <w:rPr>
          <w:noProof/>
          <w:lang w:eastAsia="fr-FR"/>
        </w:rPr>
        <w:drawing>
          <wp:inline distT="0" distB="0" distL="0" distR="0" wp14:anchorId="71FF5684" wp14:editId="6BA6EF4D">
            <wp:extent cx="1303020" cy="1303020"/>
            <wp:effectExtent l="0" t="0" r="0" b="0"/>
            <wp:docPr id="1" name="Image 3" descr="Une image contenant Emblème, logo, Marque, badg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3" descr="Une image contenant Emblème, logo, Marque, badge&#10;&#10;Description générée automatiquement"/>
                    <pic:cNvPicPr>
                      <a:picLocks noChangeAspect="1" noChangeArrowheads="1"/>
                    </pic:cNvPicPr>
                  </pic:nvPicPr>
                  <pic:blipFill>
                    <a:blip r:embed="rId8"/>
                    <a:stretch>
                      <a:fillRect/>
                    </a:stretch>
                  </pic:blipFill>
                  <pic:spPr bwMode="auto">
                    <a:xfrm>
                      <a:off x="0" y="0"/>
                      <a:ext cx="1303020" cy="1303020"/>
                    </a:xfrm>
                    <a:prstGeom prst="rect">
                      <a:avLst/>
                    </a:prstGeom>
                  </pic:spPr>
                </pic:pic>
              </a:graphicData>
            </a:graphic>
          </wp:inline>
        </w:drawing>
      </w:r>
    </w:p>
    <w:p w14:paraId="1D88A743" w14:textId="77777777" w:rsidR="00D12C94" w:rsidRPr="00393B88" w:rsidRDefault="00D12C94">
      <w:pPr>
        <w:pStyle w:val="Corpsdetexte"/>
        <w:pBdr>
          <w:bottom w:val="single" w:sz="4" w:space="6" w:color="000000"/>
        </w:pBdr>
        <w:ind w:left="2600" w:right="2600"/>
        <w:jc w:val="center"/>
      </w:pPr>
    </w:p>
    <w:p w14:paraId="1E8574BB" w14:textId="77777777" w:rsidR="00D12C94" w:rsidRPr="00393B88" w:rsidRDefault="00FE300A">
      <w:pPr>
        <w:spacing w:before="120"/>
        <w:jc w:val="center"/>
      </w:pPr>
      <w:r w:rsidRPr="00393B88">
        <w:rPr>
          <w:sz w:val="22"/>
          <w:szCs w:val="22"/>
        </w:rPr>
        <w:t>Direction de la Modernisation de l’Administration</w:t>
      </w:r>
    </w:p>
    <w:p w14:paraId="11A0EA97" w14:textId="77777777" w:rsidR="00D12C94" w:rsidRPr="00393B88" w:rsidRDefault="00D12C94">
      <w:pPr>
        <w:pStyle w:val="Titre1"/>
        <w:spacing w:before="0" w:after="500"/>
      </w:pPr>
    </w:p>
    <w:p w14:paraId="70F0C77F" w14:textId="1FFC7482" w:rsidR="00D12C94" w:rsidRPr="00393B88" w:rsidRDefault="00842291">
      <w:pPr>
        <w:pStyle w:val="Corpsdetexte"/>
        <w:spacing w:after="480"/>
        <w:jc w:val="right"/>
      </w:pPr>
      <w:r>
        <w:rPr>
          <w:b/>
          <w:bCs/>
          <w:sz w:val="22"/>
          <w:szCs w:val="22"/>
        </w:rPr>
        <w:t>24</w:t>
      </w:r>
      <w:r w:rsidR="00FE300A" w:rsidRPr="00393B88">
        <w:rPr>
          <w:b/>
          <w:bCs/>
          <w:sz w:val="22"/>
          <w:szCs w:val="22"/>
        </w:rPr>
        <w:t>/10/2026</w:t>
      </w:r>
    </w:p>
    <w:p w14:paraId="602244BA" w14:textId="77777777" w:rsidR="00D12C94" w:rsidRPr="00393B88" w:rsidRDefault="00FE300A">
      <w:pPr>
        <w:spacing w:after="240"/>
        <w:jc w:val="center"/>
      </w:pPr>
      <w:r w:rsidRPr="00393B88">
        <w:rPr>
          <w:b/>
          <w:bCs/>
          <w:sz w:val="32"/>
          <w:szCs w:val="32"/>
        </w:rPr>
        <w:t>TERMES DE RÉFÉRENCE</w:t>
      </w:r>
    </w:p>
    <w:p w14:paraId="1DB37B80" w14:textId="510D47F6" w:rsidR="00D12C94" w:rsidRPr="00393B88" w:rsidRDefault="00FE300A">
      <w:pPr>
        <w:pBdr>
          <w:top w:val="single" w:sz="6" w:space="8" w:color="000000"/>
          <w:bottom w:val="single" w:sz="6" w:space="8" w:color="000000"/>
        </w:pBdr>
        <w:spacing w:after="480" w:line="300" w:lineRule="auto"/>
        <w:jc w:val="center"/>
      </w:pPr>
      <w:r w:rsidRPr="00393B88">
        <w:rPr>
          <w:b/>
          <w:bCs/>
        </w:rPr>
        <w:t>RECRUTEMENT D’UN CONSULTANT POUR ACCOMPAGNER LE MINISTERE DE LA TRANSFORMATION NUMERIQUE ET DE LA MODERNISATION DE L’ADMINISTRATION DANS LA PREPARATION DE LA STRATEGIE DE MODERNISATION DE L’ADMINISTRATION 2028/2031</w:t>
      </w:r>
    </w:p>
    <w:p w14:paraId="4988BCC2" w14:textId="6FCC61FE" w:rsidR="00D12C94" w:rsidRPr="00F83DB0" w:rsidRDefault="00FE300A" w:rsidP="00F83DB0">
      <w:pPr>
        <w:pStyle w:val="Paragraphedeliste"/>
        <w:numPr>
          <w:ilvl w:val="0"/>
          <w:numId w:val="30"/>
        </w:numPr>
        <w:rPr>
          <w:b/>
          <w:bCs/>
          <w:sz w:val="28"/>
          <w:szCs w:val="28"/>
        </w:rPr>
      </w:pPr>
      <w:r w:rsidRPr="00F83DB0">
        <w:rPr>
          <w:b/>
          <w:bCs/>
          <w:sz w:val="28"/>
          <w:szCs w:val="28"/>
        </w:rPr>
        <w:t>OBJET DE LA MISSION</w:t>
      </w:r>
    </w:p>
    <w:p w14:paraId="23A79A04" w14:textId="77777777" w:rsidR="00F83DB0" w:rsidRPr="00393B88" w:rsidRDefault="00F83DB0" w:rsidP="00F83DB0"/>
    <w:p w14:paraId="1DBE4CC6" w14:textId="1D178166" w:rsidR="00D12C94" w:rsidRPr="00393B88" w:rsidRDefault="00FE300A">
      <w:pPr>
        <w:spacing w:after="120"/>
        <w:jc w:val="both"/>
      </w:pPr>
      <w:r w:rsidRPr="00393B88">
        <w:t>Expertise France recrute un consultant spécialisé pour accompagner le MTNMA de Mauritanie dans la préparation de la future stratégie nationale de modernisation de l’administration couvrant les années 2028 à 2031, accompagnée d’une proposition de plan d’action chiffré, d’un dispositif de gouvernance et d’un cadre de suivi des résultats.</w:t>
      </w:r>
    </w:p>
    <w:p w14:paraId="289409CB" w14:textId="77777777" w:rsidR="00D12C94" w:rsidRPr="00393B88" w:rsidRDefault="00FE300A">
      <w:pPr>
        <w:spacing w:after="120"/>
        <w:jc w:val="both"/>
      </w:pPr>
      <w:r w:rsidRPr="00393B88">
        <w:t>La mission devra traduire les enseignements de la SMA 2024–2027 et structurer un cadre global en choix de réforme réalisables, avec des options de financement et des résultats mesurables pour les usagers et les administrations.</w:t>
      </w:r>
    </w:p>
    <w:p w14:paraId="52487D9F" w14:textId="16928A3D" w:rsidR="00D12C94" w:rsidRPr="00393B88" w:rsidRDefault="00FE300A">
      <w:pPr>
        <w:spacing w:after="120"/>
        <w:jc w:val="both"/>
      </w:pPr>
      <w:r w:rsidRPr="00393B88">
        <w:t xml:space="preserve">Les présents TDR sont établis à </w:t>
      </w:r>
      <w:r w:rsidR="00393B88" w:rsidRPr="00393B88">
        <w:t>partir de</w:t>
      </w:r>
      <w:r w:rsidRPr="00393B88">
        <w:t xml:space="preserve"> l'ensemble de la documentation disponible posent une mission distincte de l’évaluation à mi-parcours, dont les conclusions seront exploitées dès qu’elles seront disponibles. La mission comprend un diagnostic actualisé et les vérifications nécessaires à la préparation de la stratégie.</w:t>
      </w:r>
    </w:p>
    <w:p w14:paraId="4D6E8B90" w14:textId="33CC7298" w:rsidR="00D12C94" w:rsidRPr="00393B88" w:rsidRDefault="00FE300A">
      <w:pPr>
        <w:spacing w:after="120"/>
        <w:jc w:val="both"/>
      </w:pPr>
      <w:r w:rsidRPr="00393B88">
        <w:t xml:space="preserve">Sur financement de l’Union Européenne, Expertise France met en œuvre un Programme d’Appui à la Gouvernance Financière et Administrative en Mauritanie (PAGFAM). Le programme du PAGFAM prévoit un appui à la définition d’un dispositif opérationnel pour la gouvernance des projets gérés par l’administration de Mauritanie dans le cadre de la </w:t>
      </w:r>
      <w:r w:rsidRPr="00393B88">
        <w:lastRenderedPageBreak/>
        <w:t>composante 2.1 du PAGFAM dédiée à la coordination de l'action gouvernementale et à la conduite des réformes et communication.</w:t>
      </w:r>
    </w:p>
    <w:p w14:paraId="24ECED74" w14:textId="77777777" w:rsidR="00D12C94" w:rsidRPr="00393B88" w:rsidRDefault="00FE300A">
      <w:pPr>
        <w:spacing w:after="120"/>
        <w:jc w:val="both"/>
      </w:pPr>
      <w:r w:rsidRPr="00393B88">
        <w:t>Il a pour ambition d’approfondir les résultats obtenus ces dernières années sur la gestion des finances publiques et la fonction publique (PAGEFIP 2017-2022 déjà opéré par Expertise France sur financement de l’Union Européenne et de la France) tout en élargissant le périmètre de l’appui à la gouvernance administrative.</w:t>
      </w:r>
    </w:p>
    <w:p w14:paraId="2B23330F" w14:textId="4554FCF9" w:rsidR="00D12C94" w:rsidRPr="00F83DB0" w:rsidRDefault="00FE300A">
      <w:pPr>
        <w:rPr>
          <w:b/>
          <w:bCs/>
          <w:sz w:val="28"/>
          <w:szCs w:val="28"/>
        </w:rPr>
      </w:pPr>
      <w:r w:rsidRPr="00F83DB0">
        <w:rPr>
          <w:b/>
          <w:bCs/>
          <w:sz w:val="28"/>
          <w:szCs w:val="28"/>
        </w:rPr>
        <w:t>2. CONTEXTE ET JUSTIFICATION</w:t>
      </w:r>
    </w:p>
    <w:p w14:paraId="006A962D" w14:textId="77777777" w:rsidR="00D12C94" w:rsidRPr="00393B88" w:rsidRDefault="00FE300A">
      <w:pPr>
        <w:pStyle w:val="Titre2"/>
      </w:pPr>
      <w:r w:rsidRPr="00393B88">
        <w:t>Une priorité nationale renouvelée</w:t>
      </w:r>
    </w:p>
    <w:p w14:paraId="140FFA04" w14:textId="77777777" w:rsidR="00D12C94" w:rsidRPr="00393B88" w:rsidRDefault="00FE300A">
      <w:pPr>
        <w:spacing w:after="120"/>
        <w:jc w:val="both"/>
      </w:pPr>
      <w:r w:rsidRPr="00393B88">
        <w:t>La modernisation de l’administration publique constitue une condition essentielle de la mise en œuvre des politiques de développement de la République islamique de Mauritanie. Elle doit permettre à l’État de mieux concevoir, coordonner et évaluer son action, de mobiliser ses ressources avec efficacité et de fournir aux citoyens et aux entreprises des services accessibles, fiables et équitables.</w:t>
      </w:r>
    </w:p>
    <w:p w14:paraId="43F731BD" w14:textId="4CA37A38" w:rsidR="00D12C94" w:rsidRPr="00393B88" w:rsidRDefault="00FE300A">
      <w:pPr>
        <w:spacing w:after="120"/>
        <w:jc w:val="both"/>
      </w:pPr>
      <w:r w:rsidRPr="00393B88">
        <w:t xml:space="preserve">La préparation de la stratégie pour la période </w:t>
      </w:r>
      <w:r w:rsidRPr="00896C20">
        <w:t>202</w:t>
      </w:r>
      <w:r w:rsidR="00842291" w:rsidRPr="00896C20">
        <w:t>8</w:t>
      </w:r>
      <w:r w:rsidRPr="00896C20">
        <w:t xml:space="preserve">–2031 </w:t>
      </w:r>
      <w:r w:rsidRPr="00393B88">
        <w:t>s’inscrit dans les orientations du programme présidentiel « Mon ambition pour la Patrie » 2024–2029, dans la continuité des engagements antérieurs. Le programme de travail du Gouvernement pour 2026 réaffirme la priorité accordée à la réforme de l’administration, à la gouvernance et à la lutte contre la corruption. La nouvelle stratégie devra assurer la cohérence de ces orientations avec la Stratégie de croissance accélérée et de prospérité partagée (SCAPP) 2016–2030 et préparer leur prolongement au-delà de cet horizon.</w:t>
      </w:r>
    </w:p>
    <w:p w14:paraId="7D3BED2C" w14:textId="77777777" w:rsidR="00D12C94" w:rsidRPr="00393B88" w:rsidRDefault="00FE300A">
      <w:pPr>
        <w:pStyle w:val="Titre2"/>
      </w:pPr>
      <w:r w:rsidRPr="00393B88">
        <w:t>Un contexte économique porteur mais soumis à des contraintes</w:t>
      </w:r>
    </w:p>
    <w:p w14:paraId="7F069A7B" w14:textId="1E3F8B35" w:rsidR="00D12C94" w:rsidRPr="00393B88" w:rsidRDefault="00FE300A">
      <w:pPr>
        <w:spacing w:after="120"/>
        <w:jc w:val="both"/>
      </w:pPr>
      <w:r w:rsidRPr="00393B88">
        <w:t>Le démarrage des exportations de gaz naturel liquéfié du projet Grand Tortue Ahmeyim (GTA) ouvre de nouvelles perspectives économiques. Ces perspectives ne suppriment toutefois ni la dépendance aux activités extractives ni la vulnérabilité aux chocs extérieurs. Dans son rapport publié le 29 juin 2026, le FMI estime la croissance à 4,0 % en 2025, contre 6,3 % en 2024, et souligne les contraintes liées aux infrastructures, à la gouvernance et à la diversification économique.</w:t>
      </w:r>
    </w:p>
    <w:p w14:paraId="3B61574C" w14:textId="06CC44C7" w:rsidR="00D12C94" w:rsidRPr="00393B88" w:rsidRDefault="00FE300A">
      <w:pPr>
        <w:spacing w:after="120"/>
        <w:jc w:val="both"/>
      </w:pPr>
      <w:r w:rsidRPr="00393B88">
        <w:t>L’analyse de viabilité de la dette de juin 2026 maintient le risque de surendettement extérieur et public global à un niveau modéré, avec une capacité limitée d’absorption des chocs. La programmation des réformes administratives devra donc être accompagnée d’un chiffrage réaliste, d’une priorisation des investissements et d’une identification des financements disponibles. Le renforcement de l’efficacité de la dépense publique et des capacités d’exécution de l’administration sera déterminant pour convertir les opportunités économiques en résultats durables.</w:t>
      </w:r>
    </w:p>
    <w:p w14:paraId="6EFC23F8" w14:textId="77777777" w:rsidR="00D12C94" w:rsidRPr="00393B88" w:rsidRDefault="00FE300A">
      <w:r w:rsidRPr="00393B88">
        <w:t>Des exigences accrues de proximité et de résilience</w:t>
      </w:r>
    </w:p>
    <w:p w14:paraId="51905E11" w14:textId="65773592" w:rsidR="00D12C94" w:rsidRPr="00393B88" w:rsidRDefault="00FE300A">
      <w:pPr>
        <w:spacing w:after="120"/>
        <w:jc w:val="both"/>
      </w:pPr>
      <w:r w:rsidRPr="00393B88">
        <w:t>Les tensions dans le Sahel, notamment au Mali, et les déplacements de populations vers la Mauritanie exercent une pression sur les services publics et les territoires d’accueil. Le HCR souligne les besoins d’accès des réfugiés aux services nationaux et l’importance d’une réponse coordonnée avec les autorités et les communautés hôtes. Ces enjeux se combinent avec les besoins d’adaptation aux risques climatiques relevés par le FMI.</w:t>
      </w:r>
    </w:p>
    <w:p w14:paraId="2A759E60" w14:textId="77777777" w:rsidR="00D12C94" w:rsidRPr="00393B88" w:rsidRDefault="00FE300A">
      <w:pPr>
        <w:spacing w:after="120"/>
        <w:jc w:val="both"/>
      </w:pPr>
      <w:r w:rsidRPr="00393B88">
        <w:lastRenderedPageBreak/>
        <w:t>La nouvelle stratégie devra, en conséquence, intégrer la continuité du service public, l’accessibilité territoriale et la capacité de réponse aux crises. Le diagnostic examinera les besoins des administrations déconcentrées et leurs relations avec les collectivités territoriales, ainsi que les obstacles rencontrés par les usagers. Une attention particulière sera portée aux personnes vulnérables, aux personnes en situation de handicap et aux populations éloignées des services ou disposant d’un accès limité au numérique.</w:t>
      </w:r>
    </w:p>
    <w:p w14:paraId="7D498770" w14:textId="77777777" w:rsidR="00D12C94" w:rsidRPr="00393B88" w:rsidRDefault="00FE300A">
      <w:pPr>
        <w:pStyle w:val="Titre2"/>
      </w:pPr>
      <w:r w:rsidRPr="00393B88">
        <w:t>Une transformation numérique à articuler avec la réforme administrative</w:t>
      </w:r>
    </w:p>
    <w:p w14:paraId="08DDC73B" w14:textId="77777777" w:rsidR="00D12C94" w:rsidRPr="00393B88" w:rsidRDefault="00FE300A">
      <w:pPr>
        <w:spacing w:after="120"/>
        <w:jc w:val="both"/>
      </w:pPr>
      <w:r w:rsidRPr="00393B88">
        <w:t xml:space="preserve">L’année 2026 marque une accélération de la transformation numérique de l’administration mauritanienne. Le portail national </w:t>
      </w:r>
      <w:r w:rsidRPr="00393B88">
        <w:rPr>
          <w:b/>
          <w:bCs/>
        </w:rPr>
        <w:t>Khidmaty</w:t>
      </w:r>
      <w:r w:rsidRPr="00393B88">
        <w:t xml:space="preserve"> regroupe désormais plus de vingt services publics dématérialisés de bout en bout, adossés à l’identité numérique </w:t>
      </w:r>
      <w:r w:rsidRPr="00393B88">
        <w:rPr>
          <w:b/>
          <w:bCs/>
        </w:rPr>
        <w:t>Houwiyeti</w:t>
      </w:r>
      <w:r w:rsidRPr="00393B88">
        <w:t>, parmi lesquels le permis de construire, l’inscription à l’université ou la délivrance du casier judiciaire. Cette dynamique s’étend progressivement aux organismes publics : le 12 mai 2026, la CNASS a ouvert sur Khidmaty ses services d’adhésion, de paiement des cotisations et de suivi des dossiers. Dans le domaine de la fonction publique, la réunion interministérielle du 17 mars 2026 a identifié plusieurs projets prioritaires : le portail sectoriel, la gestion dématérialisée des décisions administratives et la digitalisation des services du travail.</w:t>
      </w:r>
    </w:p>
    <w:p w14:paraId="3F30D982" w14:textId="77777777" w:rsidR="00D12C94" w:rsidRPr="00393B88" w:rsidRDefault="00FE300A">
      <w:pPr>
        <w:spacing w:after="120"/>
        <w:jc w:val="both"/>
      </w:pPr>
      <w:r w:rsidRPr="00393B88">
        <w:t>Parallèlement, l’État pose les fondations d’une architecture numérique commune. Le 28 septembre 2026, le ministère chargé de la transformation numérique a lancé une formation sur les normes communes de l’architecture numérique de l’État et fait état des premières interconnexions entre systèmes d’information administratifs ainsi que de l’ouverture du cloud gouvernemental à l’hébergement des services de l’État. Ces infrastructures partagées constituent un levier déterminant : elles permettent de mutualiser les investissements, de réutiliser des composants communs (identification, paiement en ligne, échange de données) et de mettre progressivement en œuvre le principe « dites-le nous une fois », selon lequel l’usager n’a plus à fournir une information déjà détenue par l’administration.</w:t>
      </w:r>
    </w:p>
    <w:p w14:paraId="5015171C" w14:textId="77777777" w:rsidR="00D12C94" w:rsidRPr="00393B88" w:rsidRDefault="00FE300A">
      <w:pPr>
        <w:spacing w:after="120"/>
        <w:jc w:val="both"/>
      </w:pPr>
      <w:r w:rsidRPr="00393B88">
        <w:t>Ces avancées restent toutefois à consolider. La multiplication d’initiatives sectorielles expose au risque de solutions cloisonnées, de doublons et de dépendance à l’égard des prestataires si elles ne s’inscrivent pas dans un cadre commun de gouvernance, d’interopérabilité et de sécurité. Surtout, la numérisation d’une procédure n’en améliore pas mécaniquement la qualité : dématérialiser une démarche complexe sans la simplifier au préalable revient à reproduire en ligne ses lourdeurs. Le diagnostic devra donc distinguer les services effectivement opérationnels de ceux qui demeurent au stade de projet ou de pilote, et apprécier leur déploiement réel, leur niveau d’utilisation, la satisfaction des usagers ainsi que leurs effets sur les délais, les coûts et la transparence des procédures.</w:t>
      </w:r>
    </w:p>
    <w:p w14:paraId="54246091" w14:textId="77777777" w:rsidR="00D12C94" w:rsidRPr="00393B88" w:rsidRDefault="00FE300A">
      <w:pPr>
        <w:keepNext/>
        <w:spacing w:after="120"/>
        <w:jc w:val="both"/>
      </w:pPr>
      <w:r w:rsidRPr="00393B88">
        <w:t>La stratégie 2028–2031 devra en conséquence faire de la transformation numérique un levier au service de la réforme administrative, et non une fin en soi. Elle devra notamment :</w:t>
      </w:r>
    </w:p>
    <w:p w14:paraId="12997AE3" w14:textId="77777777" w:rsidR="00D12C94" w:rsidRPr="00393B88" w:rsidRDefault="00FE300A">
      <w:pPr>
        <w:pStyle w:val="Paragraphedeliste"/>
        <w:numPr>
          <w:ilvl w:val="0"/>
          <w:numId w:val="13"/>
        </w:numPr>
        <w:spacing w:after="60"/>
        <w:jc w:val="both"/>
      </w:pPr>
      <w:r w:rsidRPr="00393B88">
        <w:rPr>
          <w:b/>
          <w:bCs/>
        </w:rPr>
        <w:t>repenser les procédures avant de les dématérialiser</w:t>
      </w:r>
      <w:r w:rsidRPr="00393B88">
        <w:t>, en s’appuyant sur la simplification, la suppression des pièces justificatives redondantes et la clarification des responsabilités entre administrations ;</w:t>
      </w:r>
    </w:p>
    <w:p w14:paraId="250C12A2" w14:textId="77777777" w:rsidR="00D12C94" w:rsidRPr="00393B88" w:rsidRDefault="00FE300A">
      <w:pPr>
        <w:pStyle w:val="Paragraphedeliste"/>
        <w:numPr>
          <w:ilvl w:val="0"/>
          <w:numId w:val="1"/>
        </w:numPr>
        <w:spacing w:after="60"/>
        <w:jc w:val="both"/>
      </w:pPr>
      <w:r w:rsidRPr="00393B88">
        <w:rPr>
          <w:b/>
          <w:bCs/>
        </w:rPr>
        <w:t>consolider la gouvernance des projets numériques publics</w:t>
      </w:r>
      <w:r w:rsidRPr="00393B88">
        <w:t xml:space="preserve"> : pilotage interministériel, respect des normes communes d’architecture et d’interopérabilité, mutualisation des infrastructures et des composants partagés ;</w:t>
      </w:r>
    </w:p>
    <w:p w14:paraId="5B33A538" w14:textId="77777777" w:rsidR="00D12C94" w:rsidRPr="00393B88" w:rsidRDefault="00FE300A">
      <w:pPr>
        <w:pStyle w:val="Paragraphedeliste"/>
        <w:numPr>
          <w:ilvl w:val="0"/>
          <w:numId w:val="1"/>
        </w:numPr>
        <w:spacing w:after="60"/>
        <w:jc w:val="both"/>
      </w:pPr>
      <w:r w:rsidRPr="00393B88">
        <w:rPr>
          <w:b/>
          <w:bCs/>
        </w:rPr>
        <w:lastRenderedPageBreak/>
        <w:t>garantir la confiance numérique</w:t>
      </w:r>
      <w:r w:rsidRPr="00393B88">
        <w:t xml:space="preserve"> : protection des données à caractère personnel, cybersécurité des systèmes d’information de l’État et gestion des archives, y compris électroniques ;</w:t>
      </w:r>
    </w:p>
    <w:p w14:paraId="67564369" w14:textId="77777777" w:rsidR="00D12C94" w:rsidRPr="00393B88" w:rsidRDefault="00FE300A">
      <w:pPr>
        <w:pStyle w:val="Paragraphedeliste"/>
        <w:numPr>
          <w:ilvl w:val="0"/>
          <w:numId w:val="1"/>
        </w:numPr>
        <w:spacing w:after="60"/>
        <w:jc w:val="both"/>
      </w:pPr>
      <w:r w:rsidRPr="00393B88">
        <w:rPr>
          <w:b/>
          <w:bCs/>
        </w:rPr>
        <w:t>accompagner le changement au sein des administrations</w:t>
      </w:r>
      <w:r w:rsidRPr="00393B88">
        <w:t xml:space="preserve"> : développement des compétences numériques des agents, adaptation des organisations et des métiers, appropriation des nouveaux outils ;</w:t>
      </w:r>
    </w:p>
    <w:p w14:paraId="73650CD3" w14:textId="77777777" w:rsidR="00D12C94" w:rsidRPr="00393B88" w:rsidRDefault="00FE300A">
      <w:pPr>
        <w:pStyle w:val="Paragraphedeliste"/>
        <w:numPr>
          <w:ilvl w:val="0"/>
          <w:numId w:val="1"/>
        </w:numPr>
        <w:spacing w:after="60"/>
        <w:jc w:val="both"/>
      </w:pPr>
      <w:r w:rsidRPr="00393B88">
        <w:rPr>
          <w:b/>
          <w:bCs/>
        </w:rPr>
        <w:t>préserver l’inclusion des usagers</w:t>
      </w:r>
      <w:r w:rsidRPr="00393B88">
        <w:t xml:space="preserve"> : accompagnement de proximité et maintien de canaux d’accès physiques et assistés pour les personnes qui ne peuvent utiliser les services numériques ;</w:t>
      </w:r>
    </w:p>
    <w:p w14:paraId="06A9FA42" w14:textId="77777777" w:rsidR="00D12C94" w:rsidRPr="00393B88" w:rsidRDefault="00FE300A">
      <w:pPr>
        <w:pStyle w:val="Paragraphedeliste"/>
        <w:numPr>
          <w:ilvl w:val="0"/>
          <w:numId w:val="1"/>
        </w:numPr>
        <w:spacing w:after="60"/>
        <w:jc w:val="both"/>
      </w:pPr>
      <w:r w:rsidRPr="00393B88">
        <w:rPr>
          <w:b/>
          <w:bCs/>
        </w:rPr>
        <w:t>mesurer les résultats du point de vue des usagers</w:t>
      </w:r>
      <w:r w:rsidRPr="00393B88">
        <w:t>, au moyen d’indicateurs de déploiement, d’utilisation, de délais de traitement et de satisfaction.</w:t>
      </w:r>
    </w:p>
    <w:p w14:paraId="41F27657" w14:textId="77777777" w:rsidR="00D12C94" w:rsidRPr="00393B88" w:rsidRDefault="00D12C94">
      <w:pPr>
        <w:spacing w:after="60"/>
      </w:pPr>
    </w:p>
    <w:p w14:paraId="3C3AC5DE" w14:textId="0636B3D7" w:rsidR="00D12C94" w:rsidRPr="00393B88" w:rsidRDefault="00FE300A">
      <w:r w:rsidRPr="00393B88">
        <w:t>Une stratégie intégrée fondée sur les résultats de l’évaluation</w:t>
      </w:r>
    </w:p>
    <w:p w14:paraId="7D62AF23" w14:textId="77777777" w:rsidR="00D12C94" w:rsidRPr="00B33F7A" w:rsidRDefault="00FE300A">
      <w:pPr>
        <w:pStyle w:val="Titre1"/>
        <w:spacing w:before="0" w:after="120"/>
        <w:jc w:val="both"/>
        <w:rPr>
          <w:b w:val="0"/>
          <w:bCs w:val="0"/>
        </w:rPr>
      </w:pPr>
      <w:r w:rsidRPr="00B33F7A">
        <w:rPr>
          <w:b w:val="0"/>
          <w:bCs w:val="0"/>
        </w:rPr>
        <w:t>La préparation de la nouvelle stratégie devra partir d’un bilan documenté de la stratégie de modernisation en cours, en mobilisant notamment son évaluation à mi-parcours, les tableaux de bord disponibles et les consultations des parties prenantes. Ce bilan devra distinguer les actions réalisées, les résultats mesurables, les engagements non achevés et les difficultés rencontrées. Il devra également examiner les suites de l’Agenda national de transformation numérique 2022–2025 et la cohérence des programmes sectoriels avec les objectifs de réforme administrative.</w:t>
      </w:r>
    </w:p>
    <w:p w14:paraId="4DE5CEB2" w14:textId="77777777" w:rsidR="00D12C94" w:rsidRPr="00393B88" w:rsidRDefault="00FE300A">
      <w:pPr>
        <w:spacing w:after="120"/>
        <w:jc w:val="both"/>
      </w:pPr>
      <w:r w:rsidRPr="00393B88">
        <w:t>Le diagnostic portera sur les missions et l’organisation des administrations, la coordination interministérielle, la gestion des ressources humaines, les procédures, les systèmes d’information et la qualité des services. Il devra permettre de définir les priorités en matière de fiabilisation des données de personnel, de gestion prévisionnelle des emplois et des compétences, de formation et d’évaluation professionnelle. Ces priorités seront établies sur la base des constats, sans préjuger des conclusions de l’évaluation.</w:t>
      </w:r>
    </w:p>
    <w:p w14:paraId="04375B9C" w14:textId="77777777" w:rsidR="00D12C94" w:rsidRPr="00393B88" w:rsidRDefault="00FE300A">
      <w:pPr>
        <w:spacing w:after="120"/>
        <w:jc w:val="both"/>
      </w:pPr>
      <w:r w:rsidRPr="00393B88">
        <w:t>La nouvelle stratégie devra proposer un cadre commun à l’ensemble des initiatives de modernisation. Ses axes définitifs seront arrêtés à l’issue du diagnostic et de la concertation. Elle sera assortie d’un plan d’action chiffré et séquencé, de responsabilités explicites, d’indicateurs avec valeurs de référence et cibles, ainsi que de mécanismes de pilotage et de suivi. L’objectif est de disposer d’un programme réalisable de transformation de l’administration, dont les progrès puissent être appréciés à travers l’amélioration effective des services rendus aux usagers.</w:t>
      </w:r>
    </w:p>
    <w:p w14:paraId="70D4A295" w14:textId="37FA6AC2" w:rsidR="00D12C94" w:rsidRPr="00F83DB0" w:rsidRDefault="00FE300A" w:rsidP="00F83DB0">
      <w:pPr>
        <w:ind w:left="360"/>
        <w:rPr>
          <w:b/>
          <w:bCs/>
          <w:sz w:val="28"/>
          <w:szCs w:val="28"/>
        </w:rPr>
      </w:pPr>
      <w:r w:rsidRPr="00393B88">
        <w:br w:type="page"/>
      </w:r>
      <w:r w:rsidR="00F83DB0" w:rsidRPr="00F83DB0">
        <w:rPr>
          <w:b/>
          <w:bCs/>
          <w:sz w:val="28"/>
          <w:szCs w:val="28"/>
        </w:rPr>
        <w:lastRenderedPageBreak/>
        <w:t>3.</w:t>
      </w:r>
      <w:r w:rsidR="00F83DB0">
        <w:t xml:space="preserve"> </w:t>
      </w:r>
      <w:r w:rsidRPr="00F83DB0">
        <w:rPr>
          <w:b/>
          <w:bCs/>
          <w:sz w:val="28"/>
          <w:szCs w:val="28"/>
        </w:rPr>
        <w:t>OBJECTIF GÉNÉRAL</w:t>
      </w:r>
    </w:p>
    <w:p w14:paraId="44BCEF36" w14:textId="77777777" w:rsidR="00F83DB0" w:rsidRPr="00393B88" w:rsidRDefault="00F83DB0" w:rsidP="00F83DB0"/>
    <w:p w14:paraId="266FDF24" w14:textId="77777777" w:rsidR="00D12C94" w:rsidRPr="00F83DB0" w:rsidRDefault="00FE300A">
      <w:pPr>
        <w:pStyle w:val="Titre1"/>
        <w:spacing w:before="0" w:after="120"/>
        <w:jc w:val="both"/>
      </w:pPr>
      <w:r w:rsidRPr="00F83DB0">
        <w:t>Élaborer, selon une démarche participative et sur la base d’un diagnostic documenté, la nouvelle Stratégie de modernisation de l’administration mauritanienne pour la période 2028–2031, assortie d’un dispositif opérationnel de mise en œuvre, de financement et de suivi-évaluation. Cette stratégie devra traduire les orientations nationales en priorités de réforme cohérentes et réalistes, visant à renforcer la performance de l’action publique, à améliorer la qualité et l’accessibilité des services publics et à consolider les capacités des administrations à conduire durablement les transformations attendues.</w:t>
      </w:r>
    </w:p>
    <w:p w14:paraId="2CD037A7" w14:textId="77777777" w:rsidR="00D12C94" w:rsidRPr="00393B88" w:rsidRDefault="00FE300A">
      <w:pPr>
        <w:spacing w:after="120"/>
        <w:jc w:val="both"/>
      </w:pPr>
      <w:r w:rsidRPr="00393B88">
        <w:t>Son élaboration s’appuiera sur les acquis, les enseignements et les limites de la stratégie en cours, ainsi que sur les besoins des administrations et les attentes des usagers, en assurant la continuité et l’articulation entre les deux cadres stratégiques.</w:t>
      </w:r>
    </w:p>
    <w:p w14:paraId="4AF3D7C3" w14:textId="77777777" w:rsidR="00D12C94" w:rsidRPr="00393B88" w:rsidRDefault="00FE300A">
      <w:pPr>
        <w:pStyle w:val="Titre2"/>
      </w:pPr>
      <w:r w:rsidRPr="00393B88">
        <w:t>OBJECTIFS SPÉCIFIQUES</w:t>
      </w:r>
    </w:p>
    <w:p w14:paraId="07A9225E" w14:textId="77777777" w:rsidR="00D12C94" w:rsidRPr="00393B88" w:rsidRDefault="00FE300A">
      <w:pPr>
        <w:keepNext/>
        <w:spacing w:after="120"/>
        <w:jc w:val="both"/>
      </w:pPr>
      <w:r w:rsidRPr="00393B88">
        <w:t>La mission poursuivra les objectifs spécifiques suivants :</w:t>
      </w:r>
    </w:p>
    <w:p w14:paraId="7E983168" w14:textId="77777777" w:rsidR="00D12C94" w:rsidRPr="00393B88" w:rsidRDefault="00FE300A">
      <w:pPr>
        <w:pStyle w:val="Paragraphedeliste"/>
        <w:numPr>
          <w:ilvl w:val="0"/>
          <w:numId w:val="14"/>
        </w:numPr>
        <w:spacing w:after="80"/>
        <w:jc w:val="both"/>
      </w:pPr>
      <w:r w:rsidRPr="00393B88">
        <w:rPr>
          <w:b/>
          <w:bCs/>
        </w:rPr>
        <w:t>Établir un diagnostic partagé de l’administration</w:t>
      </w:r>
      <w:r w:rsidRPr="00393B88">
        <w:t>, à partir du bilan de la stratégie en cours, des résultats disponibles de son évaluation et de l’analyse des contraintes institutionnelles, organisationnelles, humaines, techniques et financières qui affectent la performance des services publics.</w:t>
      </w:r>
    </w:p>
    <w:p w14:paraId="2FAC6B01" w14:textId="77777777" w:rsidR="00D12C94" w:rsidRPr="00393B88" w:rsidRDefault="00FE300A">
      <w:pPr>
        <w:pStyle w:val="Paragraphedeliste"/>
        <w:numPr>
          <w:ilvl w:val="0"/>
          <w:numId w:val="2"/>
        </w:numPr>
        <w:spacing w:after="80"/>
        <w:jc w:val="both"/>
      </w:pPr>
      <w:r w:rsidRPr="00393B88">
        <w:rPr>
          <w:b/>
          <w:bCs/>
        </w:rPr>
        <w:t>Définir la vision, les résultats attendus et les priorités de modernisation pour 2028–2031</w:t>
      </w:r>
      <w:r w:rsidRPr="00393B88">
        <w:t>, en cohérence avec les orientations nationales et les politiques sectorielles, à travers une concertation associant les administrations concernées et les représentants des usagers.</w:t>
      </w:r>
    </w:p>
    <w:p w14:paraId="0491C189" w14:textId="77777777" w:rsidR="00D12C94" w:rsidRPr="00393B88" w:rsidRDefault="00FE300A">
      <w:pPr>
        <w:pStyle w:val="Paragraphedeliste"/>
        <w:numPr>
          <w:ilvl w:val="0"/>
          <w:numId w:val="2"/>
        </w:numPr>
        <w:spacing w:after="80"/>
        <w:jc w:val="both"/>
      </w:pPr>
      <w:r w:rsidRPr="00393B88">
        <w:rPr>
          <w:b/>
          <w:bCs/>
        </w:rPr>
        <w:t>Construire un cadre stratégique cohérent</w:t>
      </w:r>
      <w:r w:rsidRPr="00393B88">
        <w:t>, articulant les réformes institutionnelles et organisationnelles, la gestion des ressources humaines, la simplification des procédures et la transformation numérique, en tenant compte des exigences d’accessibilité et d’inclusion des services publics.</w:t>
      </w:r>
    </w:p>
    <w:p w14:paraId="51C3447B" w14:textId="77777777" w:rsidR="001E2C59" w:rsidRPr="00896C20" w:rsidRDefault="00FE300A" w:rsidP="001E2C59">
      <w:pPr>
        <w:pStyle w:val="Paragraphedeliste"/>
        <w:numPr>
          <w:ilvl w:val="0"/>
          <w:numId w:val="2"/>
        </w:numPr>
        <w:spacing w:after="80"/>
        <w:jc w:val="both"/>
      </w:pPr>
      <w:r w:rsidRPr="00393B88">
        <w:rPr>
          <w:b/>
          <w:bCs/>
        </w:rPr>
        <w:t>Définir les modalités de gouvernance et de conduite du changement</w:t>
      </w:r>
      <w:r w:rsidRPr="00393B88">
        <w:t>, notamment les mécanismes de pilotage, de coordination interministérielle, de mobilisation des acteurs et de renforcement des capacités nécessaires à la mise en œuvre de la stratégie.</w:t>
      </w:r>
      <w:r w:rsidR="001E2C59">
        <w:t xml:space="preserve"> </w:t>
      </w:r>
      <w:r w:rsidR="001E2C59" w:rsidRPr="00896C20">
        <w:t>La méthodologie de gestion des projets sera priorisée, en ce qui concerne leur portage et leur suivi à un triple niveau : directions générales porteuses des projets, portage politique ministériel et interministériel au niveau de la primature.</w:t>
      </w:r>
    </w:p>
    <w:p w14:paraId="15066401" w14:textId="324766D7" w:rsidR="00D12C94" w:rsidRPr="00393B88" w:rsidRDefault="001E2C59" w:rsidP="001E2C59">
      <w:pPr>
        <w:pStyle w:val="Paragraphedeliste"/>
        <w:numPr>
          <w:ilvl w:val="0"/>
          <w:numId w:val="2"/>
        </w:numPr>
        <w:spacing w:after="80"/>
        <w:jc w:val="both"/>
      </w:pPr>
      <w:r w:rsidRPr="001E2C59">
        <w:rPr>
          <w:b/>
          <w:bCs/>
        </w:rPr>
        <w:t>Élaborer un plan d’action priorisé, chiffré et séquencé</w:t>
      </w:r>
      <w:r w:rsidRPr="00393B88">
        <w:t>, précisant les responsabilités, les échéances, les moyens nécessaires et les sources de financement envisageables.</w:t>
      </w:r>
      <w:r>
        <w:t xml:space="preserve"> </w:t>
      </w:r>
    </w:p>
    <w:p w14:paraId="31372752" w14:textId="77777777" w:rsidR="00D12C94" w:rsidRPr="00393B88" w:rsidRDefault="00FE300A">
      <w:pPr>
        <w:pStyle w:val="Paragraphedeliste"/>
        <w:numPr>
          <w:ilvl w:val="0"/>
          <w:numId w:val="2"/>
        </w:numPr>
        <w:spacing w:after="80"/>
        <w:jc w:val="both"/>
      </w:pPr>
      <w:r w:rsidRPr="00393B88">
        <w:rPr>
          <w:b/>
          <w:bCs/>
        </w:rPr>
        <w:t>Établir un cadre de résultats et de suivi-évaluation</w:t>
      </w:r>
      <w:r w:rsidRPr="00393B88">
        <w:t>, comprenant des indicateurs mesurables, des valeurs de référence à documenter, des cibles et des modalités de collecte et de fiabilisation des données, afin de suivre les progrès et d’éclairer les ajustements.</w:t>
      </w:r>
    </w:p>
    <w:p w14:paraId="2BEC4E08" w14:textId="2502C91C" w:rsidR="00D12C94" w:rsidRPr="00393B88" w:rsidRDefault="00FE300A">
      <w:pPr>
        <w:pStyle w:val="Paragraphedeliste"/>
        <w:numPr>
          <w:ilvl w:val="0"/>
          <w:numId w:val="2"/>
        </w:numPr>
        <w:spacing w:after="80"/>
        <w:jc w:val="both"/>
      </w:pPr>
      <w:r w:rsidRPr="00393B88">
        <w:rPr>
          <w:b/>
          <w:bCs/>
        </w:rPr>
        <w:t>Organiser la transition entre la stratégie en cours et le nouveau ca</w:t>
      </w:r>
      <w:r w:rsidR="00440864">
        <w:rPr>
          <w:b/>
          <w:bCs/>
        </w:rPr>
        <w:t>dre 2028</w:t>
      </w:r>
      <w:r w:rsidRPr="00393B88">
        <w:rPr>
          <w:b/>
          <w:bCs/>
        </w:rPr>
        <w:t>–2031</w:t>
      </w:r>
      <w:r w:rsidRPr="00393B88">
        <w:t>, en identifiant les actions à poursuivre, à réorienter ou à intégrer dans la nouvelle programmation, sur la base du diagnostic et des arbitrages issus de la concertation.</w:t>
      </w:r>
    </w:p>
    <w:p w14:paraId="2556D729" w14:textId="4EB5F608" w:rsidR="00D12C94" w:rsidRPr="00F83DB0" w:rsidRDefault="00FE300A">
      <w:pPr>
        <w:pStyle w:val="NormalWeb"/>
        <w:rPr>
          <w:b/>
          <w:bCs/>
          <w:sz w:val="28"/>
          <w:szCs w:val="28"/>
        </w:rPr>
      </w:pPr>
      <w:r w:rsidRPr="00F83DB0">
        <w:rPr>
          <w:b/>
          <w:bCs/>
          <w:sz w:val="28"/>
          <w:szCs w:val="28"/>
        </w:rPr>
        <w:t>4. QUEST</w:t>
      </w:r>
      <w:r w:rsidR="00F83DB0">
        <w:rPr>
          <w:b/>
          <w:bCs/>
          <w:sz w:val="28"/>
          <w:szCs w:val="28"/>
        </w:rPr>
        <w:t>I</w:t>
      </w:r>
      <w:r w:rsidRPr="00F83DB0">
        <w:rPr>
          <w:b/>
          <w:bCs/>
          <w:sz w:val="28"/>
          <w:szCs w:val="28"/>
        </w:rPr>
        <w:t>ONS CLES</w:t>
      </w:r>
    </w:p>
    <w:p w14:paraId="201AE4CE" w14:textId="562EFBD1" w:rsidR="00D12C94" w:rsidRPr="00393B88" w:rsidRDefault="00FE300A">
      <w:pPr>
        <w:pStyle w:val="Titre1"/>
        <w:spacing w:before="0" w:after="120"/>
        <w:jc w:val="both"/>
      </w:pPr>
      <w:r w:rsidRPr="00393B88">
        <w:lastRenderedPageBreak/>
        <w:t>Cette étape clé de la mission s’attachera à préciser les critères de l’évaluation de la SMA en vigueur qui constitue une étape clé de la préparation de la SMA 2028/2031.</w:t>
      </w:r>
    </w:p>
    <w:tbl>
      <w:tblPr>
        <w:tblW w:w="9070" w:type="dxa"/>
        <w:tblLayout w:type="fixed"/>
        <w:tblCellMar>
          <w:top w:w="60" w:type="dxa"/>
          <w:left w:w="100" w:type="dxa"/>
          <w:bottom w:w="60" w:type="dxa"/>
          <w:right w:w="100" w:type="dxa"/>
        </w:tblCellMar>
        <w:tblLook w:val="04A0" w:firstRow="1" w:lastRow="0" w:firstColumn="1" w:lastColumn="0" w:noHBand="0" w:noVBand="1"/>
      </w:tblPr>
      <w:tblGrid>
        <w:gridCol w:w="2399"/>
        <w:gridCol w:w="6671"/>
      </w:tblGrid>
      <w:tr w:rsidR="00D12C94" w:rsidRPr="00393B88" w14:paraId="3C2F95D3" w14:textId="77777777">
        <w:trPr>
          <w:cantSplit/>
          <w:tblHeader/>
        </w:trPr>
        <w:tc>
          <w:tcPr>
            <w:tcW w:w="239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211E14D" w14:textId="77777777" w:rsidR="00D12C94" w:rsidRPr="00393B88" w:rsidRDefault="00FE300A">
            <w:pPr>
              <w:spacing w:before="40" w:after="40"/>
              <w:jc w:val="center"/>
            </w:pPr>
            <w:r w:rsidRPr="00393B88">
              <w:rPr>
                <w:b/>
                <w:bCs/>
                <w:sz w:val="21"/>
                <w:szCs w:val="21"/>
              </w:rPr>
              <w:t>Critère</w:t>
            </w:r>
          </w:p>
        </w:tc>
        <w:tc>
          <w:tcPr>
            <w:tcW w:w="667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2FCED7D" w14:textId="77777777" w:rsidR="00D12C94" w:rsidRPr="00393B88" w:rsidRDefault="00FE300A">
            <w:pPr>
              <w:spacing w:before="40" w:after="40"/>
              <w:jc w:val="center"/>
            </w:pPr>
            <w:r w:rsidRPr="00393B88">
              <w:rPr>
                <w:b/>
                <w:bCs/>
                <w:sz w:val="21"/>
                <w:szCs w:val="21"/>
              </w:rPr>
              <w:t>Question clé d'évaluation</w:t>
            </w:r>
          </w:p>
        </w:tc>
      </w:tr>
      <w:tr w:rsidR="00D12C94" w:rsidRPr="00393B88" w14:paraId="665B8C96" w14:textId="77777777">
        <w:trPr>
          <w:cantSplit/>
        </w:trPr>
        <w:tc>
          <w:tcPr>
            <w:tcW w:w="2399" w:type="dxa"/>
            <w:tcBorders>
              <w:top w:val="single" w:sz="4" w:space="0" w:color="000000"/>
              <w:left w:val="single" w:sz="4" w:space="0" w:color="000000"/>
              <w:bottom w:val="single" w:sz="4" w:space="0" w:color="000000"/>
              <w:right w:val="single" w:sz="4" w:space="0" w:color="000000"/>
            </w:tcBorders>
          </w:tcPr>
          <w:p w14:paraId="0893A016" w14:textId="77777777" w:rsidR="00D12C94" w:rsidRPr="00393B88" w:rsidRDefault="00FE300A">
            <w:pPr>
              <w:spacing w:before="40" w:after="40"/>
            </w:pPr>
            <w:r w:rsidRPr="00393B88">
              <w:rPr>
                <w:b/>
                <w:bCs/>
                <w:sz w:val="21"/>
                <w:szCs w:val="21"/>
              </w:rPr>
              <w:t>Pertinence</w:t>
            </w:r>
          </w:p>
        </w:tc>
        <w:tc>
          <w:tcPr>
            <w:tcW w:w="6670" w:type="dxa"/>
            <w:tcBorders>
              <w:top w:val="single" w:sz="4" w:space="0" w:color="000000"/>
              <w:left w:val="single" w:sz="4" w:space="0" w:color="000000"/>
              <w:bottom w:val="single" w:sz="4" w:space="0" w:color="000000"/>
              <w:right w:val="single" w:sz="4" w:space="0" w:color="000000"/>
            </w:tcBorders>
          </w:tcPr>
          <w:p w14:paraId="22710F10" w14:textId="77777777" w:rsidR="00D12C94" w:rsidRPr="00393B88" w:rsidRDefault="00FE300A">
            <w:pPr>
              <w:spacing w:before="40" w:after="40"/>
            </w:pPr>
            <w:r w:rsidRPr="00393B88">
              <w:rPr>
                <w:sz w:val="21"/>
                <w:szCs w:val="21"/>
              </w:rPr>
              <w:t>Les projets de la SMA nécessitent-ils une mise à jour pour rester alignés avec les priorités nationales et les besoins des usagers ?</w:t>
            </w:r>
          </w:p>
        </w:tc>
      </w:tr>
      <w:tr w:rsidR="00D12C94" w:rsidRPr="00393B88" w14:paraId="01C009DC" w14:textId="77777777">
        <w:trPr>
          <w:cantSplit/>
        </w:trPr>
        <w:tc>
          <w:tcPr>
            <w:tcW w:w="2399" w:type="dxa"/>
            <w:tcBorders>
              <w:top w:val="single" w:sz="4" w:space="0" w:color="000000"/>
              <w:left w:val="single" w:sz="4" w:space="0" w:color="000000"/>
              <w:bottom w:val="single" w:sz="4" w:space="0" w:color="000000"/>
              <w:right w:val="single" w:sz="4" w:space="0" w:color="000000"/>
            </w:tcBorders>
          </w:tcPr>
          <w:p w14:paraId="612D4409" w14:textId="77777777" w:rsidR="00D12C94" w:rsidRPr="00393B88" w:rsidRDefault="00FE300A">
            <w:pPr>
              <w:spacing w:before="40" w:after="40"/>
            </w:pPr>
            <w:r w:rsidRPr="00393B88">
              <w:rPr>
                <w:b/>
                <w:bCs/>
                <w:sz w:val="21"/>
                <w:szCs w:val="21"/>
              </w:rPr>
              <w:t>Efficacité</w:t>
            </w:r>
          </w:p>
        </w:tc>
        <w:tc>
          <w:tcPr>
            <w:tcW w:w="6670" w:type="dxa"/>
            <w:tcBorders>
              <w:top w:val="single" w:sz="4" w:space="0" w:color="000000"/>
              <w:left w:val="single" w:sz="4" w:space="0" w:color="000000"/>
              <w:bottom w:val="single" w:sz="4" w:space="0" w:color="000000"/>
              <w:right w:val="single" w:sz="4" w:space="0" w:color="000000"/>
            </w:tcBorders>
          </w:tcPr>
          <w:p w14:paraId="2097FC8A" w14:textId="77777777" w:rsidR="00D12C94" w:rsidRPr="00393B88" w:rsidRDefault="00FE300A">
            <w:pPr>
              <w:spacing w:before="40" w:after="40"/>
            </w:pPr>
            <w:r w:rsidRPr="00393B88">
              <w:rPr>
                <w:sz w:val="21"/>
                <w:szCs w:val="21"/>
              </w:rPr>
              <w:t>Dans quelle mesure les résultats attendus ont-ils été atteints à ce stade ?</w:t>
            </w:r>
          </w:p>
        </w:tc>
      </w:tr>
      <w:tr w:rsidR="00D12C94" w:rsidRPr="00393B88" w14:paraId="5384F318" w14:textId="77777777">
        <w:trPr>
          <w:cantSplit/>
        </w:trPr>
        <w:tc>
          <w:tcPr>
            <w:tcW w:w="2399" w:type="dxa"/>
            <w:tcBorders>
              <w:top w:val="single" w:sz="4" w:space="0" w:color="000000"/>
              <w:left w:val="single" w:sz="4" w:space="0" w:color="000000"/>
              <w:bottom w:val="single" w:sz="4" w:space="0" w:color="000000"/>
              <w:right w:val="single" w:sz="4" w:space="0" w:color="000000"/>
            </w:tcBorders>
          </w:tcPr>
          <w:p w14:paraId="3F46FA97" w14:textId="77777777" w:rsidR="00D12C94" w:rsidRPr="00393B88" w:rsidRDefault="00FE300A">
            <w:pPr>
              <w:spacing w:before="40" w:after="40"/>
            </w:pPr>
            <w:r w:rsidRPr="00393B88">
              <w:rPr>
                <w:b/>
                <w:bCs/>
                <w:sz w:val="21"/>
                <w:szCs w:val="21"/>
              </w:rPr>
              <w:t>Efficience</w:t>
            </w:r>
          </w:p>
        </w:tc>
        <w:tc>
          <w:tcPr>
            <w:tcW w:w="6670" w:type="dxa"/>
            <w:tcBorders>
              <w:top w:val="single" w:sz="4" w:space="0" w:color="000000"/>
              <w:left w:val="single" w:sz="4" w:space="0" w:color="000000"/>
              <w:bottom w:val="single" w:sz="4" w:space="0" w:color="000000"/>
              <w:right w:val="single" w:sz="4" w:space="0" w:color="000000"/>
            </w:tcBorders>
          </w:tcPr>
          <w:p w14:paraId="21083925" w14:textId="24190BAE" w:rsidR="00D12C94" w:rsidRPr="00393B88" w:rsidRDefault="00FE300A">
            <w:pPr>
              <w:spacing w:before="40" w:after="40"/>
            </w:pPr>
            <w:r w:rsidRPr="00393B88">
              <w:rPr>
                <w:sz w:val="21"/>
                <w:szCs w:val="21"/>
              </w:rPr>
              <w:t xml:space="preserve">Les ressources mobilisées </w:t>
            </w:r>
            <w:r w:rsidR="009A5522" w:rsidRPr="00896C20">
              <w:rPr>
                <w:sz w:val="21"/>
                <w:szCs w:val="21"/>
              </w:rPr>
              <w:t>o</w:t>
            </w:r>
            <w:r w:rsidRPr="00896C20">
              <w:rPr>
                <w:sz w:val="21"/>
                <w:szCs w:val="21"/>
              </w:rPr>
              <w:t xml:space="preserve">nt-elles </w:t>
            </w:r>
            <w:r w:rsidRPr="00393B88">
              <w:rPr>
                <w:sz w:val="21"/>
                <w:szCs w:val="21"/>
              </w:rPr>
              <w:t>été utilisées de manière optimale ?</w:t>
            </w:r>
          </w:p>
        </w:tc>
      </w:tr>
      <w:tr w:rsidR="00D12C94" w:rsidRPr="00393B88" w14:paraId="40BF24F6" w14:textId="77777777">
        <w:trPr>
          <w:cantSplit/>
        </w:trPr>
        <w:tc>
          <w:tcPr>
            <w:tcW w:w="2399" w:type="dxa"/>
            <w:tcBorders>
              <w:top w:val="single" w:sz="4" w:space="0" w:color="000000"/>
              <w:left w:val="single" w:sz="4" w:space="0" w:color="000000"/>
              <w:bottom w:val="single" w:sz="4" w:space="0" w:color="000000"/>
              <w:right w:val="single" w:sz="4" w:space="0" w:color="000000"/>
            </w:tcBorders>
          </w:tcPr>
          <w:p w14:paraId="2E6EB178" w14:textId="77777777" w:rsidR="00D12C94" w:rsidRPr="00393B88" w:rsidRDefault="00FE300A">
            <w:pPr>
              <w:spacing w:before="40" w:after="40"/>
            </w:pPr>
            <w:r w:rsidRPr="00393B88">
              <w:rPr>
                <w:b/>
                <w:bCs/>
                <w:sz w:val="21"/>
                <w:szCs w:val="21"/>
              </w:rPr>
              <w:t>Impact (intermédiaire)</w:t>
            </w:r>
          </w:p>
        </w:tc>
        <w:tc>
          <w:tcPr>
            <w:tcW w:w="6670" w:type="dxa"/>
            <w:tcBorders>
              <w:top w:val="single" w:sz="4" w:space="0" w:color="000000"/>
              <w:left w:val="single" w:sz="4" w:space="0" w:color="000000"/>
              <w:bottom w:val="single" w:sz="4" w:space="0" w:color="000000"/>
              <w:right w:val="single" w:sz="4" w:space="0" w:color="000000"/>
            </w:tcBorders>
          </w:tcPr>
          <w:p w14:paraId="679B0296" w14:textId="2902002C" w:rsidR="00D12C94" w:rsidRPr="00393B88" w:rsidRDefault="00FE300A">
            <w:pPr>
              <w:spacing w:before="40" w:after="40"/>
            </w:pPr>
            <w:r w:rsidRPr="00393B88">
              <w:rPr>
                <w:sz w:val="21"/>
                <w:szCs w:val="21"/>
              </w:rPr>
              <w:t>Quels changements concrets sont</w:t>
            </w:r>
            <w:r w:rsidR="00440864">
              <w:rPr>
                <w:sz w:val="21"/>
                <w:szCs w:val="21"/>
              </w:rPr>
              <w:t>-ils</w:t>
            </w:r>
            <w:r w:rsidRPr="00393B88">
              <w:rPr>
                <w:sz w:val="21"/>
                <w:szCs w:val="21"/>
              </w:rPr>
              <w:t xml:space="preserve"> d'ores et déjà observables ?</w:t>
            </w:r>
          </w:p>
        </w:tc>
      </w:tr>
      <w:tr w:rsidR="00D12C94" w:rsidRPr="00393B88" w14:paraId="0D308893" w14:textId="77777777">
        <w:trPr>
          <w:cantSplit/>
        </w:trPr>
        <w:tc>
          <w:tcPr>
            <w:tcW w:w="2399" w:type="dxa"/>
            <w:tcBorders>
              <w:top w:val="single" w:sz="4" w:space="0" w:color="000000"/>
              <w:left w:val="single" w:sz="4" w:space="0" w:color="000000"/>
              <w:bottom w:val="single" w:sz="4" w:space="0" w:color="000000"/>
              <w:right w:val="single" w:sz="4" w:space="0" w:color="000000"/>
            </w:tcBorders>
          </w:tcPr>
          <w:p w14:paraId="7FF9BD7E" w14:textId="77777777" w:rsidR="00D12C94" w:rsidRPr="00393B88" w:rsidRDefault="00FE300A">
            <w:pPr>
              <w:spacing w:before="40" w:after="40"/>
            </w:pPr>
            <w:r w:rsidRPr="00393B88">
              <w:rPr>
                <w:b/>
                <w:bCs/>
                <w:sz w:val="21"/>
                <w:szCs w:val="21"/>
              </w:rPr>
              <w:t>Durabilité</w:t>
            </w:r>
          </w:p>
        </w:tc>
        <w:tc>
          <w:tcPr>
            <w:tcW w:w="6670" w:type="dxa"/>
            <w:tcBorders>
              <w:top w:val="single" w:sz="4" w:space="0" w:color="000000"/>
              <w:left w:val="single" w:sz="4" w:space="0" w:color="000000"/>
              <w:bottom w:val="single" w:sz="4" w:space="0" w:color="000000"/>
              <w:right w:val="single" w:sz="4" w:space="0" w:color="000000"/>
            </w:tcBorders>
          </w:tcPr>
          <w:p w14:paraId="2AE77998" w14:textId="77777777" w:rsidR="00D12C94" w:rsidRPr="00393B88" w:rsidRDefault="00FE300A">
            <w:pPr>
              <w:spacing w:before="40" w:after="40"/>
            </w:pPr>
            <w:r w:rsidRPr="00393B88">
              <w:rPr>
                <w:sz w:val="21"/>
                <w:szCs w:val="21"/>
              </w:rPr>
              <w:t>Les acquis de la stratégie sont-ils susceptibles d'être pérennisés ?</w:t>
            </w:r>
          </w:p>
        </w:tc>
      </w:tr>
    </w:tbl>
    <w:p w14:paraId="19F42667" w14:textId="77777777" w:rsidR="00D12C94" w:rsidRPr="00393B88" w:rsidRDefault="00D12C94">
      <w:pPr>
        <w:spacing w:after="120"/>
      </w:pPr>
    </w:p>
    <w:p w14:paraId="1E107D66" w14:textId="6CDBB580" w:rsidR="00D12C94" w:rsidRPr="00F83DB0" w:rsidRDefault="00FE300A">
      <w:pPr>
        <w:pStyle w:val="Titre1"/>
        <w:rPr>
          <w:sz w:val="28"/>
          <w:szCs w:val="28"/>
        </w:rPr>
      </w:pPr>
      <w:r w:rsidRPr="00F83DB0">
        <w:rPr>
          <w:sz w:val="28"/>
          <w:szCs w:val="28"/>
        </w:rPr>
        <w:t>5. METHODOLOG</w:t>
      </w:r>
      <w:r w:rsidR="00F83DB0">
        <w:rPr>
          <w:sz w:val="28"/>
          <w:szCs w:val="28"/>
        </w:rPr>
        <w:t>I</w:t>
      </w:r>
      <w:r w:rsidRPr="00F83DB0">
        <w:rPr>
          <w:sz w:val="28"/>
          <w:szCs w:val="28"/>
        </w:rPr>
        <w:t>E</w:t>
      </w:r>
    </w:p>
    <w:p w14:paraId="79A76B86" w14:textId="77777777" w:rsidR="00D12C94" w:rsidRPr="00393B88" w:rsidRDefault="00FE300A">
      <w:pPr>
        <w:keepNext/>
        <w:spacing w:after="120"/>
        <w:jc w:val="both"/>
      </w:pPr>
      <w:r w:rsidRPr="00393B88">
        <w:t>L'approche retenue sera mixte, combinant analyses quantitatives et qualitatives, et s'appuiera sur les outils suivants :</w:t>
      </w:r>
    </w:p>
    <w:tbl>
      <w:tblPr>
        <w:tblW w:w="9070" w:type="dxa"/>
        <w:tblLayout w:type="fixed"/>
        <w:tblCellMar>
          <w:top w:w="60" w:type="dxa"/>
          <w:left w:w="100" w:type="dxa"/>
          <w:bottom w:w="60" w:type="dxa"/>
          <w:right w:w="100" w:type="dxa"/>
        </w:tblCellMar>
        <w:tblLook w:val="04A0" w:firstRow="1" w:lastRow="0" w:firstColumn="1" w:lastColumn="0" w:noHBand="0" w:noVBand="1"/>
      </w:tblPr>
      <w:tblGrid>
        <w:gridCol w:w="2799"/>
        <w:gridCol w:w="6271"/>
      </w:tblGrid>
      <w:tr w:rsidR="00D12C94" w:rsidRPr="00393B88" w14:paraId="6FA80C07" w14:textId="77777777">
        <w:trPr>
          <w:cantSplit/>
          <w:tblHeader/>
        </w:trPr>
        <w:tc>
          <w:tcPr>
            <w:tcW w:w="279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EB1C40F" w14:textId="77777777" w:rsidR="00D12C94" w:rsidRPr="00393B88" w:rsidRDefault="00FE300A">
            <w:pPr>
              <w:spacing w:before="40" w:after="40"/>
              <w:jc w:val="center"/>
            </w:pPr>
            <w:r w:rsidRPr="00393B88">
              <w:rPr>
                <w:b/>
                <w:bCs/>
                <w:sz w:val="21"/>
                <w:szCs w:val="21"/>
              </w:rPr>
              <w:t>Outil méthodologique</w:t>
            </w:r>
          </w:p>
        </w:tc>
        <w:tc>
          <w:tcPr>
            <w:tcW w:w="627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4BB4739" w14:textId="77777777" w:rsidR="00D12C94" w:rsidRPr="00393B88" w:rsidRDefault="00FE300A">
            <w:pPr>
              <w:spacing w:before="40" w:after="40"/>
              <w:jc w:val="center"/>
            </w:pPr>
            <w:r w:rsidRPr="00393B88">
              <w:rPr>
                <w:b/>
                <w:bCs/>
                <w:sz w:val="21"/>
                <w:szCs w:val="21"/>
              </w:rPr>
              <w:t>Contenu / Cibles</w:t>
            </w:r>
          </w:p>
        </w:tc>
      </w:tr>
      <w:tr w:rsidR="00D12C94" w:rsidRPr="00393B88" w14:paraId="0EB3093A" w14:textId="77777777">
        <w:trPr>
          <w:cantSplit/>
        </w:trPr>
        <w:tc>
          <w:tcPr>
            <w:tcW w:w="2799" w:type="dxa"/>
            <w:tcBorders>
              <w:top w:val="single" w:sz="4" w:space="0" w:color="000000"/>
              <w:left w:val="single" w:sz="4" w:space="0" w:color="000000"/>
              <w:bottom w:val="single" w:sz="4" w:space="0" w:color="000000"/>
              <w:right w:val="single" w:sz="4" w:space="0" w:color="000000"/>
            </w:tcBorders>
          </w:tcPr>
          <w:p w14:paraId="1CE25CD6" w14:textId="77777777" w:rsidR="00D12C94" w:rsidRPr="00393B88" w:rsidRDefault="00FE300A">
            <w:pPr>
              <w:spacing w:before="40" w:after="40"/>
            </w:pPr>
            <w:r w:rsidRPr="00393B88">
              <w:rPr>
                <w:b/>
                <w:bCs/>
                <w:sz w:val="21"/>
                <w:szCs w:val="21"/>
              </w:rPr>
              <w:t>Revue documentaire</w:t>
            </w:r>
          </w:p>
        </w:tc>
        <w:tc>
          <w:tcPr>
            <w:tcW w:w="6270" w:type="dxa"/>
            <w:tcBorders>
              <w:top w:val="single" w:sz="4" w:space="0" w:color="000000"/>
              <w:left w:val="single" w:sz="4" w:space="0" w:color="000000"/>
              <w:bottom w:val="single" w:sz="4" w:space="0" w:color="000000"/>
              <w:right w:val="single" w:sz="4" w:space="0" w:color="000000"/>
            </w:tcBorders>
          </w:tcPr>
          <w:p w14:paraId="33102D9F" w14:textId="1D0D4D85" w:rsidR="00D12C94" w:rsidRPr="00393B88" w:rsidRDefault="00FE300A">
            <w:pPr>
              <w:spacing w:before="40" w:after="40"/>
            </w:pPr>
            <w:r w:rsidRPr="00393B88">
              <w:rPr>
                <w:sz w:val="21"/>
                <w:szCs w:val="21"/>
              </w:rPr>
              <w:t>Stratégie SMA, plans d'action</w:t>
            </w:r>
            <w:r w:rsidR="00AC6B5D">
              <w:rPr>
                <w:sz w:val="21"/>
                <w:szCs w:val="21"/>
              </w:rPr>
              <w:t>s</w:t>
            </w:r>
            <w:r w:rsidRPr="00393B88">
              <w:rPr>
                <w:sz w:val="21"/>
                <w:szCs w:val="21"/>
              </w:rPr>
              <w:t>, rapports d'exécution, données de suivi</w:t>
            </w:r>
          </w:p>
        </w:tc>
      </w:tr>
      <w:tr w:rsidR="00D12C94" w:rsidRPr="00393B88" w14:paraId="1931A3B5" w14:textId="77777777">
        <w:trPr>
          <w:cantSplit/>
        </w:trPr>
        <w:tc>
          <w:tcPr>
            <w:tcW w:w="2799" w:type="dxa"/>
            <w:tcBorders>
              <w:top w:val="single" w:sz="4" w:space="0" w:color="000000"/>
              <w:left w:val="single" w:sz="4" w:space="0" w:color="000000"/>
              <w:bottom w:val="single" w:sz="4" w:space="0" w:color="000000"/>
              <w:right w:val="single" w:sz="4" w:space="0" w:color="000000"/>
            </w:tcBorders>
          </w:tcPr>
          <w:p w14:paraId="0575AF18" w14:textId="77777777" w:rsidR="00D12C94" w:rsidRPr="00393B88" w:rsidRDefault="00FE300A">
            <w:pPr>
              <w:spacing w:before="40" w:after="40"/>
            </w:pPr>
            <w:r w:rsidRPr="00393B88">
              <w:rPr>
                <w:b/>
                <w:bCs/>
                <w:sz w:val="21"/>
                <w:szCs w:val="21"/>
              </w:rPr>
              <w:t>Analyse des données</w:t>
            </w:r>
          </w:p>
        </w:tc>
        <w:tc>
          <w:tcPr>
            <w:tcW w:w="6270" w:type="dxa"/>
            <w:tcBorders>
              <w:top w:val="single" w:sz="4" w:space="0" w:color="000000"/>
              <w:left w:val="single" w:sz="4" w:space="0" w:color="000000"/>
              <w:bottom w:val="single" w:sz="4" w:space="0" w:color="000000"/>
              <w:right w:val="single" w:sz="4" w:space="0" w:color="000000"/>
            </w:tcBorders>
          </w:tcPr>
          <w:p w14:paraId="0ECAE7F7" w14:textId="77777777" w:rsidR="00D12C94" w:rsidRPr="00393B88" w:rsidRDefault="00FE300A">
            <w:pPr>
              <w:spacing w:before="40" w:after="40"/>
            </w:pPr>
            <w:r w:rsidRPr="00393B88">
              <w:rPr>
                <w:sz w:val="21"/>
                <w:szCs w:val="21"/>
              </w:rPr>
              <w:t>Indicateurs de performance et tableaux de bord du dispositif de suivi-évaluation</w:t>
            </w:r>
          </w:p>
        </w:tc>
      </w:tr>
      <w:tr w:rsidR="00D12C94" w:rsidRPr="00393B88" w14:paraId="0A8412B2" w14:textId="77777777">
        <w:trPr>
          <w:cantSplit/>
        </w:trPr>
        <w:tc>
          <w:tcPr>
            <w:tcW w:w="2799" w:type="dxa"/>
            <w:tcBorders>
              <w:top w:val="single" w:sz="4" w:space="0" w:color="000000"/>
              <w:left w:val="single" w:sz="4" w:space="0" w:color="000000"/>
              <w:bottom w:val="single" w:sz="4" w:space="0" w:color="000000"/>
              <w:right w:val="single" w:sz="4" w:space="0" w:color="000000"/>
            </w:tcBorders>
          </w:tcPr>
          <w:p w14:paraId="20621A57" w14:textId="77777777" w:rsidR="00D12C94" w:rsidRPr="00393B88" w:rsidRDefault="00FE300A">
            <w:pPr>
              <w:spacing w:before="40" w:after="40"/>
            </w:pPr>
            <w:r w:rsidRPr="00393B88">
              <w:rPr>
                <w:b/>
                <w:bCs/>
                <w:sz w:val="21"/>
                <w:szCs w:val="21"/>
              </w:rPr>
              <w:t>Entretiens</w:t>
            </w:r>
          </w:p>
        </w:tc>
        <w:tc>
          <w:tcPr>
            <w:tcW w:w="6270" w:type="dxa"/>
            <w:tcBorders>
              <w:top w:val="single" w:sz="4" w:space="0" w:color="000000"/>
              <w:left w:val="single" w:sz="4" w:space="0" w:color="000000"/>
              <w:bottom w:val="single" w:sz="4" w:space="0" w:color="000000"/>
              <w:right w:val="single" w:sz="4" w:space="0" w:color="000000"/>
            </w:tcBorders>
          </w:tcPr>
          <w:p w14:paraId="6E994F4C" w14:textId="77777777" w:rsidR="00D12C94" w:rsidRPr="00393B88" w:rsidRDefault="00FE300A">
            <w:pPr>
              <w:spacing w:before="40" w:after="40"/>
            </w:pPr>
            <w:r w:rsidRPr="00393B88">
              <w:rPr>
                <w:sz w:val="21"/>
                <w:szCs w:val="21"/>
              </w:rPr>
              <w:t>Responsables institutionnels, équipes techniques du MTNMA et partenaires</w:t>
            </w:r>
          </w:p>
        </w:tc>
      </w:tr>
      <w:tr w:rsidR="00D12C94" w:rsidRPr="00393B88" w14:paraId="149EF283" w14:textId="77777777">
        <w:trPr>
          <w:cantSplit/>
        </w:trPr>
        <w:tc>
          <w:tcPr>
            <w:tcW w:w="2799" w:type="dxa"/>
            <w:tcBorders>
              <w:top w:val="single" w:sz="4" w:space="0" w:color="000000"/>
              <w:left w:val="single" w:sz="4" w:space="0" w:color="000000"/>
              <w:bottom w:val="single" w:sz="4" w:space="0" w:color="000000"/>
              <w:right w:val="single" w:sz="4" w:space="0" w:color="000000"/>
            </w:tcBorders>
          </w:tcPr>
          <w:p w14:paraId="07CDE25A" w14:textId="77777777" w:rsidR="00D12C94" w:rsidRPr="00393B88" w:rsidRDefault="00FE300A">
            <w:pPr>
              <w:spacing w:before="40" w:after="40"/>
            </w:pPr>
            <w:r w:rsidRPr="00393B88">
              <w:rPr>
                <w:b/>
                <w:bCs/>
                <w:sz w:val="21"/>
                <w:szCs w:val="21"/>
              </w:rPr>
              <w:t>Ateliers de concertation</w:t>
            </w:r>
          </w:p>
        </w:tc>
        <w:tc>
          <w:tcPr>
            <w:tcW w:w="6270" w:type="dxa"/>
            <w:tcBorders>
              <w:top w:val="single" w:sz="4" w:space="0" w:color="000000"/>
              <w:left w:val="single" w:sz="4" w:space="0" w:color="000000"/>
              <w:bottom w:val="single" w:sz="4" w:space="0" w:color="000000"/>
              <w:right w:val="single" w:sz="4" w:space="0" w:color="000000"/>
            </w:tcBorders>
          </w:tcPr>
          <w:p w14:paraId="00714634" w14:textId="77777777" w:rsidR="00D12C94" w:rsidRPr="00393B88" w:rsidRDefault="00FE300A">
            <w:pPr>
              <w:spacing w:before="40" w:after="40"/>
            </w:pPr>
            <w:r w:rsidRPr="00393B88">
              <w:rPr>
                <w:sz w:val="21"/>
                <w:szCs w:val="21"/>
              </w:rPr>
              <w:t>Validation des constats et co-construction des recommandations</w:t>
            </w:r>
          </w:p>
        </w:tc>
      </w:tr>
      <w:tr w:rsidR="00D12C94" w:rsidRPr="00393B88" w14:paraId="2F963636" w14:textId="77777777">
        <w:trPr>
          <w:cantSplit/>
        </w:trPr>
        <w:tc>
          <w:tcPr>
            <w:tcW w:w="2799" w:type="dxa"/>
            <w:tcBorders>
              <w:top w:val="single" w:sz="4" w:space="0" w:color="000000"/>
              <w:left w:val="single" w:sz="4" w:space="0" w:color="000000"/>
              <w:bottom w:val="single" w:sz="4" w:space="0" w:color="000000"/>
              <w:right w:val="single" w:sz="4" w:space="0" w:color="000000"/>
            </w:tcBorders>
          </w:tcPr>
          <w:p w14:paraId="30CA5938" w14:textId="77777777" w:rsidR="00D12C94" w:rsidRPr="00393B88" w:rsidRDefault="00FE300A">
            <w:pPr>
              <w:spacing w:before="40" w:after="40"/>
            </w:pPr>
            <w:r w:rsidRPr="00393B88">
              <w:rPr>
                <w:b/>
                <w:bCs/>
                <w:sz w:val="21"/>
                <w:szCs w:val="21"/>
              </w:rPr>
              <w:t>Études de cas</w:t>
            </w:r>
          </w:p>
        </w:tc>
        <w:tc>
          <w:tcPr>
            <w:tcW w:w="6270" w:type="dxa"/>
            <w:tcBorders>
              <w:top w:val="single" w:sz="4" w:space="0" w:color="000000"/>
              <w:left w:val="single" w:sz="4" w:space="0" w:color="000000"/>
              <w:bottom w:val="single" w:sz="4" w:space="0" w:color="000000"/>
              <w:right w:val="single" w:sz="4" w:space="0" w:color="000000"/>
            </w:tcBorders>
          </w:tcPr>
          <w:p w14:paraId="5DCD7F37" w14:textId="77777777" w:rsidR="00D12C94" w:rsidRPr="00393B88" w:rsidRDefault="00FE300A">
            <w:pPr>
              <w:spacing w:before="40" w:after="40"/>
            </w:pPr>
            <w:r w:rsidRPr="00393B88">
              <w:rPr>
                <w:sz w:val="21"/>
                <w:szCs w:val="21"/>
              </w:rPr>
              <w:t>Analyse approfondie de projets structurants, le cas échéant</w:t>
            </w:r>
          </w:p>
        </w:tc>
      </w:tr>
    </w:tbl>
    <w:p w14:paraId="30AA93E1" w14:textId="77777777" w:rsidR="00D12C94" w:rsidRPr="00393B88" w:rsidRDefault="00D12C94">
      <w:pPr>
        <w:spacing w:after="120"/>
      </w:pPr>
    </w:p>
    <w:p w14:paraId="059AECDA" w14:textId="77777777" w:rsidR="00D12C94" w:rsidRPr="00F83DB0" w:rsidRDefault="00FE300A">
      <w:pPr>
        <w:pStyle w:val="Titre1"/>
        <w:rPr>
          <w:sz w:val="28"/>
          <w:szCs w:val="28"/>
        </w:rPr>
      </w:pPr>
      <w:r w:rsidRPr="00F83DB0">
        <w:rPr>
          <w:sz w:val="28"/>
          <w:szCs w:val="28"/>
        </w:rPr>
        <w:t>6. RESULTATS ATTENDUS</w:t>
      </w:r>
    </w:p>
    <w:p w14:paraId="19645DFA" w14:textId="3E5BAC5D" w:rsidR="001B688B" w:rsidRDefault="001B688B">
      <w:pPr>
        <w:pStyle w:val="Titre1"/>
        <w:numPr>
          <w:ilvl w:val="0"/>
          <w:numId w:val="1"/>
        </w:numPr>
        <w:spacing w:before="0" w:after="60"/>
        <w:jc w:val="both"/>
        <w:rPr>
          <w:b w:val="0"/>
          <w:bCs w:val="0"/>
        </w:rPr>
      </w:pPr>
      <w:r w:rsidRPr="001B688B">
        <w:rPr>
          <w:b w:val="0"/>
          <w:bCs w:val="0"/>
        </w:rPr>
        <w:t>Une proposition de vision stratégique sur la période 2028</w:t>
      </w:r>
      <w:r>
        <w:rPr>
          <w:b w:val="0"/>
          <w:bCs w:val="0"/>
        </w:rPr>
        <w:t>/</w:t>
      </w:r>
      <w:r w:rsidRPr="001B688B">
        <w:rPr>
          <w:b w:val="0"/>
          <w:bCs w:val="0"/>
        </w:rPr>
        <w:t>2031</w:t>
      </w:r>
    </w:p>
    <w:p w14:paraId="229B63C9" w14:textId="1ADA0AAC" w:rsidR="00D12C94" w:rsidRPr="00F83DB0" w:rsidRDefault="0080551B">
      <w:pPr>
        <w:pStyle w:val="Titre1"/>
        <w:numPr>
          <w:ilvl w:val="0"/>
          <w:numId w:val="1"/>
        </w:numPr>
        <w:spacing w:before="0" w:after="60"/>
        <w:jc w:val="both"/>
        <w:rPr>
          <w:b w:val="0"/>
          <w:bCs w:val="0"/>
        </w:rPr>
      </w:pPr>
      <w:r>
        <w:rPr>
          <w:b w:val="0"/>
          <w:bCs w:val="0"/>
        </w:rPr>
        <w:t>U</w:t>
      </w:r>
      <w:r w:rsidR="00FE300A" w:rsidRPr="00F83DB0">
        <w:rPr>
          <w:b w:val="0"/>
          <w:bCs w:val="0"/>
        </w:rPr>
        <w:t>n diagnostic clair de l'état d'avancement de la stratégie ;</w:t>
      </w:r>
    </w:p>
    <w:p w14:paraId="3E4FE778" w14:textId="68A182B5" w:rsidR="00D12C94" w:rsidRPr="00393B88" w:rsidRDefault="0080551B">
      <w:pPr>
        <w:pStyle w:val="Paragraphedeliste"/>
        <w:numPr>
          <w:ilvl w:val="0"/>
          <w:numId w:val="1"/>
        </w:numPr>
        <w:spacing w:after="60"/>
        <w:jc w:val="both"/>
      </w:pPr>
      <w:r>
        <w:t>Un</w:t>
      </w:r>
      <w:r w:rsidR="00FE300A" w:rsidRPr="00393B88">
        <w:t>e analyse des écarts entre planification et réalisation ;</w:t>
      </w:r>
    </w:p>
    <w:p w14:paraId="1A6FAB15" w14:textId="75A54B0D" w:rsidR="00D12C94" w:rsidRPr="00896C20" w:rsidRDefault="0080551B">
      <w:pPr>
        <w:pStyle w:val="Paragraphedeliste"/>
        <w:numPr>
          <w:ilvl w:val="0"/>
          <w:numId w:val="1"/>
        </w:numPr>
        <w:spacing w:after="60"/>
        <w:jc w:val="both"/>
      </w:pPr>
      <w:r>
        <w:t>L</w:t>
      </w:r>
      <w:r w:rsidR="00FE300A" w:rsidRPr="00393B88">
        <w:t>'identification des bonnes pratiques et des blocages</w:t>
      </w:r>
      <w:r w:rsidR="001B688B">
        <w:t>,</w:t>
      </w:r>
      <w:r w:rsidR="001B688B" w:rsidRPr="001B688B">
        <w:t xml:space="preserve"> </w:t>
      </w:r>
      <w:r w:rsidR="001B688B" w:rsidRPr="00896C20">
        <w:t>en parti</w:t>
      </w:r>
      <w:r w:rsidR="00440864">
        <w:t xml:space="preserve">culier en ce qui concerne la </w:t>
      </w:r>
      <w:r w:rsidR="001B688B" w:rsidRPr="00896C20">
        <w:t>méthode de gestion</w:t>
      </w:r>
      <w:r w:rsidR="00FE300A" w:rsidRPr="00896C20">
        <w:t xml:space="preserve"> </w:t>
      </w:r>
      <w:r w:rsidR="001B688B" w:rsidRPr="00896C20">
        <w:t xml:space="preserve">des projets tant au niveau ministériel qu’au nveau ministériel ou interministériel ; </w:t>
      </w:r>
    </w:p>
    <w:p w14:paraId="4902F8DB" w14:textId="2FE38F30" w:rsidR="00D12C94" w:rsidRPr="00896C20" w:rsidRDefault="0080551B">
      <w:pPr>
        <w:pStyle w:val="Paragraphedeliste"/>
        <w:numPr>
          <w:ilvl w:val="0"/>
          <w:numId w:val="1"/>
        </w:numPr>
        <w:spacing w:after="60"/>
        <w:jc w:val="both"/>
      </w:pPr>
      <w:r>
        <w:t>D</w:t>
      </w:r>
      <w:r w:rsidR="00FE300A" w:rsidRPr="00896C20">
        <w:t xml:space="preserve">es recommandations opérationnelles, hiérarchisées et réalistes </w:t>
      </w:r>
      <w:r w:rsidR="001B688B" w:rsidRPr="00896C20">
        <w:t xml:space="preserve">d'arbitrage des </w:t>
      </w:r>
      <w:r w:rsidR="00896C20" w:rsidRPr="00896C20">
        <w:t>priorités y</w:t>
      </w:r>
      <w:r w:rsidR="001B688B" w:rsidRPr="00896C20">
        <w:t xml:space="preserve"> compris chiffrés </w:t>
      </w:r>
      <w:r w:rsidR="00FE300A" w:rsidRPr="00896C20">
        <w:t>;</w:t>
      </w:r>
    </w:p>
    <w:p w14:paraId="1211B431" w14:textId="3562249B" w:rsidR="00D12C94" w:rsidRPr="00896C20" w:rsidRDefault="0080551B">
      <w:pPr>
        <w:pStyle w:val="Paragraphedeliste"/>
        <w:numPr>
          <w:ilvl w:val="0"/>
          <w:numId w:val="1"/>
        </w:numPr>
        <w:spacing w:after="60"/>
        <w:jc w:val="both"/>
      </w:pPr>
      <w:r>
        <w:t>U</w:t>
      </w:r>
      <w:r w:rsidR="001B688B" w:rsidRPr="00896C20">
        <w:t>ne proposition d'évolution de la gouvernance et du suivi de la SMA ;</w:t>
      </w:r>
    </w:p>
    <w:p w14:paraId="4C3A6BFB" w14:textId="67715CBF" w:rsidR="00D12C94" w:rsidRPr="00896C20" w:rsidRDefault="0080551B">
      <w:pPr>
        <w:pStyle w:val="Paragraphedeliste"/>
        <w:numPr>
          <w:ilvl w:val="0"/>
          <w:numId w:val="1"/>
        </w:numPr>
        <w:spacing w:after="60"/>
        <w:jc w:val="both"/>
      </w:pPr>
      <w:r>
        <w:lastRenderedPageBreak/>
        <w:t>U</w:t>
      </w:r>
      <w:r w:rsidR="00FE300A" w:rsidRPr="00896C20">
        <w:t>ne feuille de route pour la mise en œuvre de la SMA</w:t>
      </w:r>
      <w:r w:rsidR="001B688B" w:rsidRPr="00896C20">
        <w:t xml:space="preserve"> intégrant le cadre de résultats et le suivi évaluation.</w:t>
      </w:r>
    </w:p>
    <w:p w14:paraId="0B9947B8" w14:textId="77777777" w:rsidR="00DA5AB4" w:rsidRPr="00393B88" w:rsidRDefault="00DA5AB4" w:rsidP="00DA5AB4">
      <w:pPr>
        <w:spacing w:after="60"/>
        <w:jc w:val="both"/>
      </w:pPr>
    </w:p>
    <w:p w14:paraId="48BC236E" w14:textId="4557048E" w:rsidR="00D12C94" w:rsidRPr="0058059D" w:rsidRDefault="00FE300A" w:rsidP="0058059D">
      <w:pPr>
        <w:pStyle w:val="Paragraphedeliste"/>
        <w:numPr>
          <w:ilvl w:val="0"/>
          <w:numId w:val="31"/>
        </w:numPr>
        <w:rPr>
          <w:b/>
          <w:bCs/>
          <w:sz w:val="28"/>
          <w:szCs w:val="28"/>
        </w:rPr>
      </w:pPr>
      <w:r w:rsidRPr="0058059D">
        <w:rPr>
          <w:b/>
          <w:bCs/>
          <w:sz w:val="28"/>
          <w:szCs w:val="28"/>
        </w:rPr>
        <w:t>LIVRABLES ATTENDUS</w:t>
      </w:r>
    </w:p>
    <w:p w14:paraId="5A2CEBF5" w14:textId="77777777" w:rsidR="0058059D" w:rsidRDefault="0058059D">
      <w:pPr>
        <w:pStyle w:val="Titre1"/>
        <w:spacing w:before="0" w:after="120"/>
        <w:jc w:val="both"/>
        <w:rPr>
          <w:b w:val="0"/>
          <w:bCs w:val="0"/>
        </w:rPr>
      </w:pPr>
    </w:p>
    <w:p w14:paraId="25012FBE" w14:textId="77777777" w:rsidR="0058059D" w:rsidRDefault="0058059D">
      <w:pPr>
        <w:pStyle w:val="Titre1"/>
        <w:spacing w:before="0" w:after="120"/>
        <w:jc w:val="both"/>
        <w:rPr>
          <w:b w:val="0"/>
          <w:bCs w:val="0"/>
        </w:rPr>
      </w:pPr>
    </w:p>
    <w:p w14:paraId="7F2207BD" w14:textId="0864FB16" w:rsidR="00D12C94" w:rsidRDefault="00FE300A">
      <w:pPr>
        <w:pStyle w:val="Titre1"/>
        <w:spacing w:before="0" w:after="120"/>
        <w:jc w:val="both"/>
        <w:rPr>
          <w:b w:val="0"/>
          <w:bCs w:val="0"/>
        </w:rPr>
      </w:pPr>
      <w:r w:rsidRPr="00F83DB0">
        <w:rPr>
          <w:b w:val="0"/>
          <w:bCs w:val="0"/>
        </w:rPr>
        <w:t>Le consultant</w:t>
      </w:r>
      <w:r w:rsidR="0058059D">
        <w:rPr>
          <w:b w:val="0"/>
          <w:bCs w:val="0"/>
        </w:rPr>
        <w:t>,</w:t>
      </w:r>
      <w:r w:rsidRPr="00F83DB0">
        <w:rPr>
          <w:b w:val="0"/>
          <w:bCs w:val="0"/>
        </w:rPr>
        <w:t xml:space="preserve"> sous la supervision de la Direction de la Modernisation de l’Administration, </w:t>
      </w:r>
      <w:r w:rsidR="0058059D" w:rsidRPr="0058059D">
        <w:rPr>
          <w:b w:val="0"/>
          <w:bCs w:val="0"/>
          <w:lang w:eastAsia="fr-FR"/>
        </w:rPr>
        <w:t>préparera et consolidera les livrables</w:t>
      </w:r>
      <w:r w:rsidR="0058059D" w:rsidRPr="00DC1FD0">
        <w:rPr>
          <w:lang w:eastAsia="fr-FR"/>
        </w:rPr>
        <w:t xml:space="preserve"> </w:t>
      </w:r>
      <w:r w:rsidRPr="00F83DB0">
        <w:rPr>
          <w:b w:val="0"/>
          <w:bCs w:val="0"/>
        </w:rPr>
        <w:t>suivants :</w:t>
      </w:r>
    </w:p>
    <w:p w14:paraId="35026F2A" w14:textId="229FB4F2" w:rsidR="0058059D" w:rsidRPr="0058059D" w:rsidRDefault="0058059D" w:rsidP="0058059D"/>
    <w:tbl>
      <w:tblPr>
        <w:tblW w:w="9070" w:type="dxa"/>
        <w:tblLayout w:type="fixed"/>
        <w:tblCellMar>
          <w:top w:w="60" w:type="dxa"/>
          <w:left w:w="100" w:type="dxa"/>
          <w:bottom w:w="60" w:type="dxa"/>
          <w:right w:w="100" w:type="dxa"/>
        </w:tblCellMar>
        <w:tblLook w:val="04A0" w:firstRow="1" w:lastRow="0" w:firstColumn="1" w:lastColumn="0" w:noHBand="0" w:noVBand="1"/>
      </w:tblPr>
      <w:tblGrid>
        <w:gridCol w:w="600"/>
        <w:gridCol w:w="2500"/>
        <w:gridCol w:w="5970"/>
      </w:tblGrid>
      <w:tr w:rsidR="00D12C94" w:rsidRPr="00393B88" w14:paraId="67E627AC" w14:textId="77777777">
        <w:trPr>
          <w:cantSplit/>
          <w:tblHeader/>
        </w:trPr>
        <w:tc>
          <w:tcPr>
            <w:tcW w:w="6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78FDFA9" w14:textId="77777777" w:rsidR="00D12C94" w:rsidRPr="00393B88" w:rsidRDefault="00FE300A">
            <w:pPr>
              <w:spacing w:before="40" w:after="40"/>
              <w:jc w:val="center"/>
            </w:pPr>
            <w:r w:rsidRPr="00393B88">
              <w:rPr>
                <w:b/>
                <w:bCs/>
                <w:sz w:val="21"/>
                <w:szCs w:val="21"/>
              </w:rPr>
              <w:t>N°</w:t>
            </w:r>
          </w:p>
        </w:tc>
        <w:tc>
          <w:tcPr>
            <w:tcW w:w="25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58435EE" w14:textId="77777777" w:rsidR="00D12C94" w:rsidRPr="00393B88" w:rsidRDefault="00FE300A">
            <w:pPr>
              <w:spacing w:before="40" w:after="40"/>
              <w:jc w:val="center"/>
            </w:pPr>
            <w:r w:rsidRPr="00393B88">
              <w:rPr>
                <w:b/>
                <w:bCs/>
                <w:sz w:val="21"/>
                <w:szCs w:val="21"/>
              </w:rPr>
              <w:t>Livrable</w:t>
            </w:r>
          </w:p>
        </w:tc>
        <w:tc>
          <w:tcPr>
            <w:tcW w:w="597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C15B5A3" w14:textId="77777777" w:rsidR="00D12C94" w:rsidRPr="00393B88" w:rsidRDefault="00FE300A">
            <w:pPr>
              <w:spacing w:before="40" w:after="40"/>
              <w:jc w:val="center"/>
            </w:pPr>
            <w:r w:rsidRPr="00393B88">
              <w:rPr>
                <w:b/>
                <w:bCs/>
                <w:sz w:val="21"/>
                <w:szCs w:val="21"/>
              </w:rPr>
              <w:t>Contenu attendu</w:t>
            </w:r>
          </w:p>
        </w:tc>
      </w:tr>
      <w:tr w:rsidR="00D12C94" w:rsidRPr="00393B88" w14:paraId="498DDA0C" w14:textId="77777777">
        <w:trPr>
          <w:cantSplit/>
        </w:trPr>
        <w:tc>
          <w:tcPr>
            <w:tcW w:w="600" w:type="dxa"/>
            <w:tcBorders>
              <w:top w:val="single" w:sz="4" w:space="0" w:color="000000"/>
              <w:left w:val="single" w:sz="4" w:space="0" w:color="000000"/>
              <w:bottom w:val="single" w:sz="4" w:space="0" w:color="000000"/>
              <w:right w:val="single" w:sz="4" w:space="0" w:color="000000"/>
            </w:tcBorders>
          </w:tcPr>
          <w:p w14:paraId="038CDC43" w14:textId="77777777" w:rsidR="00D12C94" w:rsidRPr="00393B88" w:rsidRDefault="00FE300A">
            <w:pPr>
              <w:spacing w:before="40" w:after="40"/>
              <w:jc w:val="center"/>
            </w:pPr>
            <w:r w:rsidRPr="00393B88">
              <w:rPr>
                <w:sz w:val="21"/>
                <w:szCs w:val="21"/>
              </w:rPr>
              <w:t>1</w:t>
            </w:r>
          </w:p>
        </w:tc>
        <w:tc>
          <w:tcPr>
            <w:tcW w:w="2500" w:type="dxa"/>
            <w:tcBorders>
              <w:top w:val="single" w:sz="4" w:space="0" w:color="000000"/>
              <w:left w:val="single" w:sz="4" w:space="0" w:color="000000"/>
              <w:bottom w:val="single" w:sz="4" w:space="0" w:color="000000"/>
              <w:right w:val="single" w:sz="4" w:space="0" w:color="000000"/>
            </w:tcBorders>
          </w:tcPr>
          <w:p w14:paraId="4DEAA399" w14:textId="77777777" w:rsidR="00D12C94" w:rsidRPr="00393B88" w:rsidRDefault="00FE300A">
            <w:pPr>
              <w:spacing w:before="40" w:after="40"/>
            </w:pPr>
            <w:r w:rsidRPr="00393B88">
              <w:rPr>
                <w:b/>
                <w:bCs/>
                <w:sz w:val="21"/>
                <w:szCs w:val="21"/>
              </w:rPr>
              <w:t>Note de cadrage et calendrier détaillé</w:t>
            </w:r>
          </w:p>
        </w:tc>
        <w:tc>
          <w:tcPr>
            <w:tcW w:w="5970" w:type="dxa"/>
            <w:tcBorders>
              <w:top w:val="single" w:sz="4" w:space="0" w:color="000000"/>
              <w:left w:val="single" w:sz="4" w:space="0" w:color="000000"/>
              <w:bottom w:val="single" w:sz="4" w:space="0" w:color="000000"/>
              <w:right w:val="single" w:sz="4" w:space="0" w:color="000000"/>
            </w:tcBorders>
          </w:tcPr>
          <w:p w14:paraId="3D92F355" w14:textId="77777777" w:rsidR="00D12C94" w:rsidRPr="00393B88" w:rsidRDefault="00FE300A">
            <w:pPr>
              <w:spacing w:before="40" w:after="40"/>
            </w:pPr>
            <w:r w:rsidRPr="00393B88">
              <w:rPr>
                <w:sz w:val="21"/>
                <w:szCs w:val="21"/>
              </w:rPr>
              <w:t>Compréhension de la mission, méthodologie, périmètre du diagnostic, documentation à exploiter, acteurs à consulter, modalités de concertation, répartition des responsabilités entre consultants et calendrier de production et de validation.</w:t>
            </w:r>
          </w:p>
        </w:tc>
      </w:tr>
      <w:tr w:rsidR="00D12C94" w:rsidRPr="00393B88" w14:paraId="4F9220D6" w14:textId="77777777">
        <w:trPr>
          <w:cantSplit/>
        </w:trPr>
        <w:tc>
          <w:tcPr>
            <w:tcW w:w="600" w:type="dxa"/>
            <w:tcBorders>
              <w:top w:val="single" w:sz="4" w:space="0" w:color="000000"/>
              <w:left w:val="single" w:sz="4" w:space="0" w:color="000000"/>
              <w:bottom w:val="single" w:sz="4" w:space="0" w:color="000000"/>
              <w:right w:val="single" w:sz="4" w:space="0" w:color="000000"/>
            </w:tcBorders>
          </w:tcPr>
          <w:p w14:paraId="61F2D3DA" w14:textId="77777777" w:rsidR="00D12C94" w:rsidRPr="00393B88" w:rsidRDefault="00FE300A">
            <w:pPr>
              <w:spacing w:before="40" w:after="40"/>
              <w:jc w:val="center"/>
            </w:pPr>
            <w:r w:rsidRPr="00393B88">
              <w:rPr>
                <w:sz w:val="21"/>
                <w:szCs w:val="21"/>
              </w:rPr>
              <w:t>2</w:t>
            </w:r>
          </w:p>
        </w:tc>
        <w:tc>
          <w:tcPr>
            <w:tcW w:w="2500" w:type="dxa"/>
            <w:tcBorders>
              <w:top w:val="single" w:sz="4" w:space="0" w:color="000000"/>
              <w:left w:val="single" w:sz="4" w:space="0" w:color="000000"/>
              <w:bottom w:val="single" w:sz="4" w:space="0" w:color="000000"/>
              <w:right w:val="single" w:sz="4" w:space="0" w:color="000000"/>
            </w:tcBorders>
          </w:tcPr>
          <w:p w14:paraId="3BB635B3" w14:textId="77777777" w:rsidR="00D12C94" w:rsidRPr="00393B88" w:rsidRDefault="00FE300A">
            <w:pPr>
              <w:spacing w:before="40" w:after="40"/>
            </w:pPr>
            <w:r w:rsidRPr="00393B88">
              <w:rPr>
                <w:b/>
                <w:bCs/>
                <w:sz w:val="21"/>
                <w:szCs w:val="21"/>
              </w:rPr>
              <w:t>Rapport de diagnostic et de capitalisation</w:t>
            </w:r>
          </w:p>
        </w:tc>
        <w:tc>
          <w:tcPr>
            <w:tcW w:w="5970" w:type="dxa"/>
            <w:tcBorders>
              <w:top w:val="single" w:sz="4" w:space="0" w:color="000000"/>
              <w:left w:val="single" w:sz="4" w:space="0" w:color="000000"/>
              <w:bottom w:val="single" w:sz="4" w:space="0" w:color="000000"/>
              <w:right w:val="single" w:sz="4" w:space="0" w:color="000000"/>
            </w:tcBorders>
          </w:tcPr>
          <w:p w14:paraId="5836F642" w14:textId="77777777" w:rsidR="00D12C94" w:rsidRPr="00393B88" w:rsidRDefault="00FE300A">
            <w:pPr>
              <w:spacing w:before="40" w:after="40"/>
            </w:pPr>
            <w:r w:rsidRPr="00393B88">
              <w:rPr>
                <w:sz w:val="21"/>
                <w:szCs w:val="21"/>
              </w:rPr>
              <w:t>Synthèse des acquis et des difficultés de la SMA 2024–2027 ; exploitation des conclusions disponibles de l’évaluation à mi-parcours ; diagnostic actualisé des capacités et des besoins des administrations ; analyse des attentes des usagers ; identification des enjeux prioritaires et des actions à poursuivre, à réorienter ou à intégrer dans la nouvelle stratégie. Les constats seront documentés et les lacunes d’information signalées.</w:t>
            </w:r>
          </w:p>
        </w:tc>
      </w:tr>
      <w:tr w:rsidR="00D12C94" w:rsidRPr="00393B88" w14:paraId="1686790D" w14:textId="77777777">
        <w:trPr>
          <w:cantSplit/>
        </w:trPr>
        <w:tc>
          <w:tcPr>
            <w:tcW w:w="600" w:type="dxa"/>
            <w:tcBorders>
              <w:top w:val="single" w:sz="4" w:space="0" w:color="000000"/>
              <w:left w:val="single" w:sz="4" w:space="0" w:color="000000"/>
              <w:bottom w:val="single" w:sz="4" w:space="0" w:color="000000"/>
              <w:right w:val="single" w:sz="4" w:space="0" w:color="000000"/>
            </w:tcBorders>
          </w:tcPr>
          <w:p w14:paraId="340289EF" w14:textId="77777777" w:rsidR="00D12C94" w:rsidRPr="00393B88" w:rsidRDefault="00FE300A">
            <w:pPr>
              <w:spacing w:before="40" w:after="40"/>
              <w:jc w:val="center"/>
            </w:pPr>
            <w:r w:rsidRPr="00393B88">
              <w:rPr>
                <w:sz w:val="21"/>
                <w:szCs w:val="21"/>
              </w:rPr>
              <w:t>3</w:t>
            </w:r>
          </w:p>
        </w:tc>
        <w:tc>
          <w:tcPr>
            <w:tcW w:w="2500" w:type="dxa"/>
            <w:tcBorders>
              <w:top w:val="single" w:sz="4" w:space="0" w:color="000000"/>
              <w:left w:val="single" w:sz="4" w:space="0" w:color="000000"/>
              <w:bottom w:val="single" w:sz="4" w:space="0" w:color="000000"/>
              <w:right w:val="single" w:sz="4" w:space="0" w:color="000000"/>
            </w:tcBorders>
          </w:tcPr>
          <w:p w14:paraId="607267A5" w14:textId="77777777" w:rsidR="00D12C94" w:rsidRPr="00393B88" w:rsidRDefault="00FE300A">
            <w:pPr>
              <w:spacing w:before="40" w:after="40"/>
            </w:pPr>
            <w:r w:rsidRPr="00393B88">
              <w:rPr>
                <w:b/>
                <w:bCs/>
                <w:sz w:val="21"/>
                <w:szCs w:val="21"/>
              </w:rPr>
              <w:t>Document d’orientations stratégiques soumis à concertation</w:t>
            </w:r>
          </w:p>
        </w:tc>
        <w:tc>
          <w:tcPr>
            <w:tcW w:w="5970" w:type="dxa"/>
            <w:tcBorders>
              <w:top w:val="single" w:sz="4" w:space="0" w:color="000000"/>
              <w:left w:val="single" w:sz="4" w:space="0" w:color="000000"/>
              <w:bottom w:val="single" w:sz="4" w:space="0" w:color="000000"/>
              <w:right w:val="single" w:sz="4" w:space="0" w:color="000000"/>
            </w:tcBorders>
          </w:tcPr>
          <w:p w14:paraId="1FFF0C45" w14:textId="77777777" w:rsidR="00D12C94" w:rsidRPr="00393B88" w:rsidRDefault="00FE300A">
            <w:pPr>
              <w:spacing w:before="40" w:after="40"/>
            </w:pPr>
            <w:r w:rsidRPr="00393B88">
              <w:rPr>
                <w:sz w:val="21"/>
                <w:szCs w:val="21"/>
              </w:rPr>
              <w:t>Proposition de vision, de résultats attendus et d’axes stratégiques ; justification des priorités ; critères de sélection des actions ; options et arbitrages à soumettre aux autorités. Ce document servira de base à la concertation avant la rédaction complète de la stratégie.</w:t>
            </w:r>
          </w:p>
        </w:tc>
      </w:tr>
      <w:tr w:rsidR="00D12C94" w:rsidRPr="00393B88" w14:paraId="1B5FBF53" w14:textId="77777777">
        <w:trPr>
          <w:cantSplit/>
        </w:trPr>
        <w:tc>
          <w:tcPr>
            <w:tcW w:w="600" w:type="dxa"/>
            <w:tcBorders>
              <w:top w:val="single" w:sz="4" w:space="0" w:color="000000"/>
              <w:left w:val="single" w:sz="4" w:space="0" w:color="000000"/>
              <w:bottom w:val="single" w:sz="4" w:space="0" w:color="000000"/>
              <w:right w:val="single" w:sz="4" w:space="0" w:color="000000"/>
            </w:tcBorders>
          </w:tcPr>
          <w:p w14:paraId="3FDEB43A" w14:textId="77777777" w:rsidR="00D12C94" w:rsidRPr="00393B88" w:rsidRDefault="00FE300A">
            <w:pPr>
              <w:spacing w:before="40" w:after="40"/>
              <w:jc w:val="center"/>
            </w:pPr>
            <w:r w:rsidRPr="00393B88">
              <w:rPr>
                <w:sz w:val="21"/>
                <w:szCs w:val="21"/>
              </w:rPr>
              <w:t>4</w:t>
            </w:r>
          </w:p>
        </w:tc>
        <w:tc>
          <w:tcPr>
            <w:tcW w:w="2500" w:type="dxa"/>
            <w:tcBorders>
              <w:top w:val="single" w:sz="4" w:space="0" w:color="000000"/>
              <w:left w:val="single" w:sz="4" w:space="0" w:color="000000"/>
              <w:bottom w:val="single" w:sz="4" w:space="0" w:color="000000"/>
              <w:right w:val="single" w:sz="4" w:space="0" w:color="000000"/>
            </w:tcBorders>
          </w:tcPr>
          <w:p w14:paraId="5DB4DA01" w14:textId="35FBFAA6" w:rsidR="00D12C94" w:rsidRPr="00393B88" w:rsidRDefault="00FE300A">
            <w:pPr>
              <w:spacing w:before="40" w:after="40"/>
            </w:pPr>
            <w:r w:rsidRPr="00393B88">
              <w:rPr>
                <w:b/>
                <w:bCs/>
                <w:sz w:val="21"/>
                <w:szCs w:val="21"/>
              </w:rPr>
              <w:t>Projet de Stratégie de modern</w:t>
            </w:r>
            <w:r w:rsidR="00440864">
              <w:rPr>
                <w:b/>
                <w:bCs/>
                <w:sz w:val="21"/>
                <w:szCs w:val="21"/>
              </w:rPr>
              <w:t>isation de l’administration 2028</w:t>
            </w:r>
            <w:r w:rsidRPr="00393B88">
              <w:rPr>
                <w:b/>
                <w:bCs/>
                <w:sz w:val="21"/>
                <w:szCs w:val="21"/>
              </w:rPr>
              <w:t>–2031</w:t>
            </w:r>
          </w:p>
        </w:tc>
        <w:tc>
          <w:tcPr>
            <w:tcW w:w="5970" w:type="dxa"/>
            <w:tcBorders>
              <w:top w:val="single" w:sz="4" w:space="0" w:color="000000"/>
              <w:left w:val="single" w:sz="4" w:space="0" w:color="000000"/>
              <w:bottom w:val="single" w:sz="4" w:space="0" w:color="000000"/>
              <w:right w:val="single" w:sz="4" w:space="0" w:color="000000"/>
            </w:tcBorders>
          </w:tcPr>
          <w:p w14:paraId="7E1C3665" w14:textId="77777777" w:rsidR="00D12C94" w:rsidRPr="00393B88" w:rsidRDefault="00FE300A">
            <w:pPr>
              <w:spacing w:before="40" w:after="40"/>
            </w:pPr>
            <w:r w:rsidRPr="00393B88">
              <w:rPr>
                <w:sz w:val="21"/>
                <w:szCs w:val="21"/>
              </w:rPr>
              <w:t>Cadre stratégique complet comprenant le diagnostic synthétique, la vision, les objectifs, les axes d’intervention et les résultats attendus ; articulation avec les politiques nationales et sectorielles ; modalités de gouvernance, de coordination et de conduite du changement ; gestion des risques et transition avec la stratégie en cours.</w:t>
            </w:r>
          </w:p>
        </w:tc>
      </w:tr>
      <w:tr w:rsidR="00D12C94" w:rsidRPr="00393B88" w14:paraId="02A3E251" w14:textId="77777777">
        <w:trPr>
          <w:cantSplit/>
        </w:trPr>
        <w:tc>
          <w:tcPr>
            <w:tcW w:w="600" w:type="dxa"/>
            <w:tcBorders>
              <w:top w:val="single" w:sz="4" w:space="0" w:color="000000"/>
              <w:left w:val="single" w:sz="4" w:space="0" w:color="000000"/>
              <w:bottom w:val="single" w:sz="4" w:space="0" w:color="000000"/>
              <w:right w:val="single" w:sz="4" w:space="0" w:color="000000"/>
            </w:tcBorders>
          </w:tcPr>
          <w:p w14:paraId="433B85BB" w14:textId="77777777" w:rsidR="00D12C94" w:rsidRPr="00393B88" w:rsidRDefault="00FE300A">
            <w:pPr>
              <w:spacing w:before="40" w:after="40"/>
              <w:jc w:val="center"/>
            </w:pPr>
            <w:r w:rsidRPr="00393B88">
              <w:rPr>
                <w:sz w:val="21"/>
                <w:szCs w:val="21"/>
              </w:rPr>
              <w:t>5</w:t>
            </w:r>
          </w:p>
        </w:tc>
        <w:tc>
          <w:tcPr>
            <w:tcW w:w="2500" w:type="dxa"/>
            <w:tcBorders>
              <w:top w:val="single" w:sz="4" w:space="0" w:color="000000"/>
              <w:left w:val="single" w:sz="4" w:space="0" w:color="000000"/>
              <w:bottom w:val="single" w:sz="4" w:space="0" w:color="000000"/>
              <w:right w:val="single" w:sz="4" w:space="0" w:color="000000"/>
            </w:tcBorders>
          </w:tcPr>
          <w:p w14:paraId="5D8621B6" w14:textId="77777777" w:rsidR="00D12C94" w:rsidRPr="00393B88" w:rsidRDefault="00FE300A">
            <w:pPr>
              <w:spacing w:before="40" w:after="40"/>
            </w:pPr>
            <w:r w:rsidRPr="00393B88">
              <w:rPr>
                <w:b/>
                <w:bCs/>
                <w:sz w:val="21"/>
                <w:szCs w:val="21"/>
              </w:rPr>
              <w:t>Plan d’action chiffré et séquencé</w:t>
            </w:r>
          </w:p>
        </w:tc>
        <w:tc>
          <w:tcPr>
            <w:tcW w:w="5970" w:type="dxa"/>
            <w:tcBorders>
              <w:top w:val="single" w:sz="4" w:space="0" w:color="000000"/>
              <w:left w:val="single" w:sz="4" w:space="0" w:color="000000"/>
              <w:bottom w:val="single" w:sz="4" w:space="0" w:color="000000"/>
              <w:right w:val="single" w:sz="4" w:space="0" w:color="000000"/>
            </w:tcBorders>
          </w:tcPr>
          <w:p w14:paraId="7DC82798" w14:textId="784C79D5" w:rsidR="00D12C94" w:rsidRPr="00393B88" w:rsidRDefault="00FE300A">
            <w:pPr>
              <w:spacing w:before="40" w:after="40"/>
            </w:pPr>
            <w:r w:rsidRPr="00393B88">
              <w:rPr>
                <w:sz w:val="21"/>
                <w:szCs w:val="21"/>
              </w:rPr>
              <w:t xml:space="preserve">Programmation opérationnelle initiale pour </w:t>
            </w:r>
            <w:r w:rsidRPr="00896C20">
              <w:rPr>
                <w:sz w:val="21"/>
                <w:szCs w:val="21"/>
              </w:rPr>
              <w:t>2028–20</w:t>
            </w:r>
            <w:r w:rsidR="00DD521B" w:rsidRPr="00896C20">
              <w:rPr>
                <w:sz w:val="21"/>
                <w:szCs w:val="21"/>
              </w:rPr>
              <w:t>31</w:t>
            </w:r>
            <w:r w:rsidRPr="00393B88">
              <w:rPr>
                <w:sz w:val="21"/>
                <w:szCs w:val="21"/>
              </w:rPr>
              <w:t>, précisant, pour chaque action, les résultats attendus, le responsable, les partenaires, les échéances, les dépendances, les coûts estimatifs et les sources de financement. Le document distinguera les financements confirmés, envisagés et restant à mobiliser, et explicitera les hypothèses de chiffrage.</w:t>
            </w:r>
          </w:p>
        </w:tc>
      </w:tr>
      <w:tr w:rsidR="00D12C94" w:rsidRPr="00393B88" w14:paraId="549444D5" w14:textId="77777777">
        <w:trPr>
          <w:cantSplit/>
        </w:trPr>
        <w:tc>
          <w:tcPr>
            <w:tcW w:w="600" w:type="dxa"/>
            <w:tcBorders>
              <w:top w:val="single" w:sz="4" w:space="0" w:color="000000"/>
              <w:left w:val="single" w:sz="4" w:space="0" w:color="000000"/>
              <w:bottom w:val="single" w:sz="4" w:space="0" w:color="000000"/>
              <w:right w:val="single" w:sz="4" w:space="0" w:color="000000"/>
            </w:tcBorders>
          </w:tcPr>
          <w:p w14:paraId="642DE6B6" w14:textId="77777777" w:rsidR="00D12C94" w:rsidRPr="00393B88" w:rsidRDefault="00FE300A">
            <w:pPr>
              <w:spacing w:before="40" w:after="40"/>
              <w:jc w:val="center"/>
            </w:pPr>
            <w:r w:rsidRPr="00393B88">
              <w:rPr>
                <w:sz w:val="21"/>
                <w:szCs w:val="21"/>
              </w:rPr>
              <w:t>6</w:t>
            </w:r>
          </w:p>
        </w:tc>
        <w:tc>
          <w:tcPr>
            <w:tcW w:w="2500" w:type="dxa"/>
            <w:tcBorders>
              <w:top w:val="single" w:sz="4" w:space="0" w:color="000000"/>
              <w:left w:val="single" w:sz="4" w:space="0" w:color="000000"/>
              <w:bottom w:val="single" w:sz="4" w:space="0" w:color="000000"/>
              <w:right w:val="single" w:sz="4" w:space="0" w:color="000000"/>
            </w:tcBorders>
          </w:tcPr>
          <w:p w14:paraId="4FF8B12E" w14:textId="77777777" w:rsidR="00D12C94" w:rsidRPr="00393B88" w:rsidRDefault="00FE300A">
            <w:pPr>
              <w:spacing w:before="40" w:after="40"/>
            </w:pPr>
            <w:r w:rsidRPr="00393B88">
              <w:rPr>
                <w:b/>
                <w:bCs/>
                <w:sz w:val="21"/>
                <w:szCs w:val="21"/>
              </w:rPr>
              <w:t>Cadre de résultats et dispositif de suivi-évaluation</w:t>
            </w:r>
          </w:p>
        </w:tc>
        <w:tc>
          <w:tcPr>
            <w:tcW w:w="5970" w:type="dxa"/>
            <w:tcBorders>
              <w:top w:val="single" w:sz="4" w:space="0" w:color="000000"/>
              <w:left w:val="single" w:sz="4" w:space="0" w:color="000000"/>
              <w:bottom w:val="single" w:sz="4" w:space="0" w:color="000000"/>
              <w:right w:val="single" w:sz="4" w:space="0" w:color="000000"/>
            </w:tcBorders>
          </w:tcPr>
          <w:p w14:paraId="12B2131F" w14:textId="77777777" w:rsidR="00D12C94" w:rsidRPr="00393B88" w:rsidRDefault="00FE300A">
            <w:pPr>
              <w:spacing w:before="40" w:after="40"/>
            </w:pPr>
            <w:r w:rsidRPr="00393B88">
              <w:rPr>
                <w:sz w:val="21"/>
                <w:szCs w:val="21"/>
              </w:rPr>
              <w:t>Indicateurs, valeurs de référence disponibles ou à établir, cibles, sources de vérification, fréquence de collecte et responsabilités ; modalités de consolidation des données et de revue des progrès ; modèle de tableau de bord et fiches de suivi des actions.</w:t>
            </w:r>
          </w:p>
        </w:tc>
      </w:tr>
      <w:tr w:rsidR="00D12C94" w:rsidRPr="00393B88" w14:paraId="23DA9818" w14:textId="77777777">
        <w:trPr>
          <w:cantSplit/>
        </w:trPr>
        <w:tc>
          <w:tcPr>
            <w:tcW w:w="600" w:type="dxa"/>
            <w:tcBorders>
              <w:top w:val="single" w:sz="4" w:space="0" w:color="000000"/>
              <w:left w:val="single" w:sz="4" w:space="0" w:color="000000"/>
              <w:bottom w:val="single" w:sz="4" w:space="0" w:color="000000"/>
              <w:right w:val="single" w:sz="4" w:space="0" w:color="000000"/>
            </w:tcBorders>
          </w:tcPr>
          <w:p w14:paraId="57217E89" w14:textId="77777777" w:rsidR="00D12C94" w:rsidRPr="00393B88" w:rsidRDefault="00FE300A">
            <w:pPr>
              <w:spacing w:before="40" w:after="40"/>
              <w:jc w:val="center"/>
            </w:pPr>
            <w:r w:rsidRPr="00393B88">
              <w:rPr>
                <w:sz w:val="21"/>
                <w:szCs w:val="21"/>
              </w:rPr>
              <w:lastRenderedPageBreak/>
              <w:t>7</w:t>
            </w:r>
          </w:p>
        </w:tc>
        <w:tc>
          <w:tcPr>
            <w:tcW w:w="2500" w:type="dxa"/>
            <w:tcBorders>
              <w:top w:val="single" w:sz="4" w:space="0" w:color="000000"/>
              <w:left w:val="single" w:sz="4" w:space="0" w:color="000000"/>
              <w:bottom w:val="single" w:sz="4" w:space="0" w:color="000000"/>
              <w:right w:val="single" w:sz="4" w:space="0" w:color="000000"/>
            </w:tcBorders>
          </w:tcPr>
          <w:p w14:paraId="3B0041D6" w14:textId="77777777" w:rsidR="00D12C94" w:rsidRPr="00393B88" w:rsidRDefault="00FE300A">
            <w:pPr>
              <w:spacing w:before="40" w:after="40"/>
            </w:pPr>
            <w:r w:rsidRPr="00393B88">
              <w:rPr>
                <w:b/>
                <w:bCs/>
                <w:sz w:val="21"/>
                <w:szCs w:val="21"/>
              </w:rPr>
              <w:t>Dossier final consolidé et rapport de fin de mission</w:t>
            </w:r>
          </w:p>
        </w:tc>
        <w:tc>
          <w:tcPr>
            <w:tcW w:w="5970" w:type="dxa"/>
            <w:tcBorders>
              <w:top w:val="single" w:sz="4" w:space="0" w:color="000000"/>
              <w:left w:val="single" w:sz="4" w:space="0" w:color="000000"/>
              <w:bottom w:val="single" w:sz="4" w:space="0" w:color="000000"/>
              <w:right w:val="single" w:sz="4" w:space="0" w:color="000000"/>
            </w:tcBorders>
          </w:tcPr>
          <w:p w14:paraId="13EA7015" w14:textId="2263B0F9" w:rsidR="00D12C94" w:rsidRPr="00393B88" w:rsidRDefault="00FE300A">
            <w:pPr>
              <w:spacing w:before="40" w:after="40"/>
            </w:pPr>
            <w:r w:rsidRPr="00393B88">
              <w:rPr>
                <w:sz w:val="21"/>
                <w:szCs w:val="21"/>
              </w:rPr>
              <w:t>Versions finales de la stratégie, du plan d’action</w:t>
            </w:r>
            <w:r w:rsidR="00AC6B5D">
              <w:rPr>
                <w:sz w:val="21"/>
                <w:szCs w:val="21"/>
              </w:rPr>
              <w:t>s</w:t>
            </w:r>
            <w:r w:rsidRPr="00393B88">
              <w:rPr>
                <w:sz w:val="21"/>
                <w:szCs w:val="21"/>
              </w:rPr>
              <w:t xml:space="preserve"> et du cadre de résultats intégrant les observations retenues ; synthèse exécutive ; support de présentation aux décideurs ; comptes rendus des ateliers et matrice de traitement des observations ; rapport succinct présentant les travaux réalisés, les points restant à arbitrer et les prochaines étapes du processus d’adoption.</w:t>
            </w:r>
          </w:p>
        </w:tc>
      </w:tr>
    </w:tbl>
    <w:p w14:paraId="4CCADC35" w14:textId="77777777" w:rsidR="00D12C94" w:rsidRPr="00393B88" w:rsidRDefault="00FE300A">
      <w:pPr>
        <w:pStyle w:val="Corpsdetexte"/>
        <w:spacing w:before="120" w:after="120"/>
        <w:jc w:val="both"/>
      </w:pPr>
      <w:r w:rsidRPr="00393B88">
        <w:t xml:space="preserve">Les livrables devront être fournis en formats </w:t>
      </w:r>
      <w:r w:rsidRPr="00393B88">
        <w:rPr>
          <w:b/>
          <w:bCs/>
        </w:rPr>
        <w:t xml:space="preserve">Word et PDF, Excel et PowerPoint </w:t>
      </w:r>
      <w:r w:rsidRPr="00393B88">
        <w:t>pour les supports de présentation.</w:t>
      </w:r>
    </w:p>
    <w:p w14:paraId="1D6EA9AF" w14:textId="4A6300D8" w:rsidR="00D12C94" w:rsidRPr="00F83DB0" w:rsidRDefault="00DA5AB4">
      <w:pPr>
        <w:pStyle w:val="Titre1"/>
        <w:rPr>
          <w:sz w:val="28"/>
          <w:szCs w:val="28"/>
        </w:rPr>
      </w:pPr>
      <w:r>
        <w:rPr>
          <w:sz w:val="28"/>
          <w:szCs w:val="28"/>
        </w:rPr>
        <w:t>8</w:t>
      </w:r>
      <w:r w:rsidR="00FE300A" w:rsidRPr="00F83DB0">
        <w:rPr>
          <w:sz w:val="28"/>
          <w:szCs w:val="28"/>
        </w:rPr>
        <w:t>. DURÉE DE LA MISSION</w:t>
      </w:r>
    </w:p>
    <w:p w14:paraId="39705C8A" w14:textId="77777777" w:rsidR="00D12C94" w:rsidRPr="00393B88" w:rsidRDefault="00FE300A">
      <w:pPr>
        <w:spacing w:after="120"/>
        <w:jc w:val="both"/>
      </w:pPr>
      <w:r w:rsidRPr="00393B88">
        <w:t>La mission représente une charge prévisionnelle de 40 jours de travail effectif, répartis entre novembre 2026 et février 2027. Le calendrier détaillé précisera les périodes d’intervention, les échéances de remise des livrables, les ateliers et les délais de retour des instances de validation.</w:t>
      </w:r>
    </w:p>
    <w:p w14:paraId="269AFC4A" w14:textId="2E8E4C03" w:rsidR="00D12C94" w:rsidRPr="00AB4BD3" w:rsidRDefault="00DA5AB4">
      <w:pPr>
        <w:pStyle w:val="Titre1"/>
        <w:rPr>
          <w:sz w:val="28"/>
          <w:szCs w:val="28"/>
        </w:rPr>
      </w:pPr>
      <w:r>
        <w:rPr>
          <w:sz w:val="28"/>
          <w:szCs w:val="28"/>
        </w:rPr>
        <w:t>9</w:t>
      </w:r>
      <w:r w:rsidR="00FE300A" w:rsidRPr="00AB4BD3">
        <w:rPr>
          <w:sz w:val="28"/>
          <w:szCs w:val="28"/>
        </w:rPr>
        <w:t>. SUPERVISION ET GOUVERNANCE DE LA MISSION</w:t>
      </w:r>
    </w:p>
    <w:p w14:paraId="22CD7AC7" w14:textId="77777777" w:rsidR="00D12C94" w:rsidRDefault="00FE300A">
      <w:pPr>
        <w:spacing w:after="120"/>
        <w:jc w:val="both"/>
      </w:pPr>
      <w:r w:rsidRPr="00393B88">
        <w:t>La mission sera placée sous la supervision de la Direction de la Modernisation de l’Administration, qui en assurera la maîtrise d’ouvrage en lien avec l’Expert du PAGFAM en charge des Ressources Humaines et de la Fonction Publique.</w:t>
      </w:r>
    </w:p>
    <w:p w14:paraId="2D452E8E" w14:textId="1777422B" w:rsidR="00AB4BD3" w:rsidRPr="00896C20" w:rsidRDefault="00AB4BD3">
      <w:pPr>
        <w:spacing w:after="120"/>
        <w:jc w:val="both"/>
      </w:pPr>
      <w:r w:rsidRPr="00896C20">
        <w:t>Sur proposition de la DMA, un comité technique associant des hauts fonctionnaires représentants des ministères pilotes de la réforme administrative et des experts sera créé afin de piloter l'avancement de la mission</w:t>
      </w:r>
      <w:r w:rsidR="0080551B">
        <w:t>.</w:t>
      </w:r>
    </w:p>
    <w:p w14:paraId="3FEBDA3E" w14:textId="7FA07631" w:rsidR="00D12C94" w:rsidRPr="00896C20" w:rsidRDefault="00AB4BD3">
      <w:pPr>
        <w:keepNext/>
        <w:spacing w:after="120"/>
        <w:jc w:val="both"/>
      </w:pPr>
      <w:r w:rsidRPr="00896C20">
        <w:t xml:space="preserve">Le comité technique </w:t>
      </w:r>
      <w:r w:rsidR="00FE300A" w:rsidRPr="00896C20">
        <w:t>assurera notamment :</w:t>
      </w:r>
    </w:p>
    <w:p w14:paraId="56204DF8" w14:textId="77777777" w:rsidR="00D12C94" w:rsidRPr="00393B88" w:rsidRDefault="00FE300A">
      <w:pPr>
        <w:pStyle w:val="Paragraphedeliste"/>
        <w:numPr>
          <w:ilvl w:val="0"/>
          <w:numId w:val="1"/>
        </w:numPr>
        <w:spacing w:after="60"/>
        <w:jc w:val="both"/>
      </w:pPr>
      <w:r w:rsidRPr="00393B88">
        <w:t>L’orientation et le suivi général de la mission ;</w:t>
      </w:r>
    </w:p>
    <w:p w14:paraId="305C0DF1" w14:textId="77777777" w:rsidR="00D12C94" w:rsidRPr="00393B88" w:rsidRDefault="00FE300A">
      <w:pPr>
        <w:pStyle w:val="Paragraphedeliste"/>
        <w:numPr>
          <w:ilvl w:val="0"/>
          <w:numId w:val="1"/>
        </w:numPr>
        <w:spacing w:after="60"/>
        <w:jc w:val="both"/>
      </w:pPr>
      <w:r w:rsidRPr="00393B88">
        <w:t>La coordination avec les administrations concernées ;</w:t>
      </w:r>
    </w:p>
    <w:p w14:paraId="568FB123" w14:textId="77777777" w:rsidR="00D12C94" w:rsidRPr="00393B88" w:rsidRDefault="00FE300A">
      <w:pPr>
        <w:pStyle w:val="Paragraphedeliste"/>
        <w:numPr>
          <w:ilvl w:val="0"/>
          <w:numId w:val="1"/>
        </w:numPr>
        <w:spacing w:after="60"/>
        <w:jc w:val="both"/>
      </w:pPr>
      <w:r w:rsidRPr="00393B88">
        <w:t>La mobilisation des parties prenantes ;</w:t>
      </w:r>
    </w:p>
    <w:p w14:paraId="618B7CB4" w14:textId="77777777" w:rsidR="00D12C94" w:rsidRPr="00393B88" w:rsidRDefault="00FE300A">
      <w:pPr>
        <w:pStyle w:val="Paragraphedeliste"/>
        <w:numPr>
          <w:ilvl w:val="0"/>
          <w:numId w:val="1"/>
        </w:numPr>
        <w:spacing w:after="60"/>
        <w:jc w:val="both"/>
      </w:pPr>
      <w:r w:rsidRPr="00393B88">
        <w:t>La facilitation de l’accès aux informations nécessaires ;</w:t>
      </w:r>
    </w:p>
    <w:p w14:paraId="3F3C024C" w14:textId="77777777" w:rsidR="00D12C94" w:rsidRPr="00393B88" w:rsidRDefault="00FE300A">
      <w:pPr>
        <w:pStyle w:val="Paragraphedeliste"/>
        <w:numPr>
          <w:ilvl w:val="0"/>
          <w:numId w:val="1"/>
        </w:numPr>
        <w:spacing w:after="60"/>
        <w:jc w:val="both"/>
      </w:pPr>
      <w:r w:rsidRPr="00393B88">
        <w:t>L’organisation et la coordination des ateliers ;</w:t>
      </w:r>
    </w:p>
    <w:p w14:paraId="7C30EF94" w14:textId="7A5A3949" w:rsidR="00D12C94" w:rsidRDefault="00FE300A">
      <w:pPr>
        <w:pStyle w:val="Paragraphedeliste"/>
        <w:numPr>
          <w:ilvl w:val="0"/>
          <w:numId w:val="1"/>
        </w:numPr>
        <w:spacing w:after="60"/>
        <w:jc w:val="both"/>
      </w:pPr>
      <w:r w:rsidRPr="00393B88">
        <w:t xml:space="preserve">L’examen et la validation </w:t>
      </w:r>
      <w:r w:rsidR="009B740F" w:rsidRPr="00896C20">
        <w:t xml:space="preserve">technique </w:t>
      </w:r>
      <w:r w:rsidRPr="00393B88">
        <w:t>des livrables.</w:t>
      </w:r>
    </w:p>
    <w:p w14:paraId="7C63F606" w14:textId="586258FC" w:rsidR="00D12C94" w:rsidRPr="00AB4BD3" w:rsidRDefault="00DA5AB4">
      <w:pPr>
        <w:pStyle w:val="Titre1"/>
        <w:rPr>
          <w:sz w:val="28"/>
          <w:szCs w:val="28"/>
        </w:rPr>
      </w:pPr>
      <w:r>
        <w:rPr>
          <w:sz w:val="28"/>
          <w:szCs w:val="28"/>
        </w:rPr>
        <w:t>10</w:t>
      </w:r>
      <w:r w:rsidR="00FE300A" w:rsidRPr="00AB4BD3">
        <w:rPr>
          <w:sz w:val="28"/>
          <w:szCs w:val="28"/>
        </w:rPr>
        <w:t>. PROPRIÉTÉ DES LIVRABLES</w:t>
      </w:r>
    </w:p>
    <w:p w14:paraId="21E24EB9" w14:textId="77777777" w:rsidR="00D12C94" w:rsidRPr="00393B88" w:rsidRDefault="00FE300A">
      <w:pPr>
        <w:spacing w:after="120"/>
        <w:jc w:val="both"/>
      </w:pPr>
      <w:r w:rsidRPr="00393B88">
        <w:t>L’ensemble des documents, référentiels, modèles, outils, supports et autres productions réalisés dans le cadre de la mission sera la propriété de l’administration mauritanienne.</w:t>
      </w:r>
    </w:p>
    <w:p w14:paraId="01F2E381" w14:textId="77777777" w:rsidR="00D12C94" w:rsidRPr="00393B88" w:rsidRDefault="00FE300A">
      <w:pPr>
        <w:spacing w:after="120"/>
        <w:jc w:val="both"/>
      </w:pPr>
      <w:r w:rsidRPr="00393B88">
        <w:t>Le prestataire ne pourra les reproduire, publier ou utiliser à d’autres fins sans l’autorisation préalable de l’autorité contractante.</w:t>
      </w:r>
    </w:p>
    <w:p w14:paraId="5E0E8C9A" w14:textId="27DC2A10" w:rsidR="00D12C94" w:rsidRPr="00AB4BD3" w:rsidRDefault="00FE300A">
      <w:pPr>
        <w:pStyle w:val="Titre1"/>
        <w:rPr>
          <w:sz w:val="28"/>
          <w:szCs w:val="28"/>
        </w:rPr>
      </w:pPr>
      <w:r w:rsidRPr="00AB4BD3">
        <w:rPr>
          <w:sz w:val="28"/>
          <w:szCs w:val="28"/>
        </w:rPr>
        <w:lastRenderedPageBreak/>
        <w:t>1</w:t>
      </w:r>
      <w:r w:rsidR="00DA5AB4">
        <w:rPr>
          <w:sz w:val="28"/>
          <w:szCs w:val="28"/>
        </w:rPr>
        <w:t>1</w:t>
      </w:r>
      <w:r w:rsidRPr="00AB4BD3">
        <w:rPr>
          <w:sz w:val="28"/>
          <w:szCs w:val="28"/>
        </w:rPr>
        <w:t>. DOSSIER DE SOUMISSION</w:t>
      </w:r>
    </w:p>
    <w:p w14:paraId="6F34C763" w14:textId="77777777" w:rsidR="00D12C94" w:rsidRPr="00393B88" w:rsidRDefault="00FE300A">
      <w:pPr>
        <w:keepNext/>
        <w:spacing w:after="120"/>
        <w:jc w:val="both"/>
      </w:pPr>
      <w:r w:rsidRPr="00393B88">
        <w:t>Le consultant intéressé devra présenter :</w:t>
      </w:r>
    </w:p>
    <w:p w14:paraId="56D210D5" w14:textId="77777777" w:rsidR="00D12C94" w:rsidRPr="00393B88" w:rsidRDefault="00FE300A">
      <w:pPr>
        <w:pStyle w:val="Titre3"/>
      </w:pPr>
      <w:r w:rsidRPr="00393B88">
        <w:t>A. Une proposition technique comprenant :</w:t>
      </w:r>
    </w:p>
    <w:p w14:paraId="53DC9C8F" w14:textId="77777777" w:rsidR="00D12C94" w:rsidRPr="00393B88" w:rsidRDefault="00FE300A">
      <w:pPr>
        <w:pStyle w:val="Paragraphedeliste"/>
        <w:numPr>
          <w:ilvl w:val="0"/>
          <w:numId w:val="1"/>
        </w:numPr>
        <w:spacing w:after="60"/>
        <w:jc w:val="both"/>
      </w:pPr>
      <w:r w:rsidRPr="00393B88">
        <w:t>La compréhension de la mission ;</w:t>
      </w:r>
    </w:p>
    <w:p w14:paraId="516F0A57" w14:textId="77777777" w:rsidR="00D12C94" w:rsidRPr="00393B88" w:rsidRDefault="00FE300A">
      <w:pPr>
        <w:pStyle w:val="Paragraphedeliste"/>
        <w:numPr>
          <w:ilvl w:val="0"/>
          <w:numId w:val="1"/>
        </w:numPr>
        <w:spacing w:after="60"/>
        <w:jc w:val="both"/>
      </w:pPr>
      <w:r w:rsidRPr="00393B88">
        <w:t>L’approche méthodologique proposée ;</w:t>
      </w:r>
    </w:p>
    <w:p w14:paraId="2BEC9721" w14:textId="77777777" w:rsidR="00D12C94" w:rsidRPr="00393B88" w:rsidRDefault="00FE300A">
      <w:pPr>
        <w:pStyle w:val="Paragraphedeliste"/>
        <w:numPr>
          <w:ilvl w:val="0"/>
          <w:numId w:val="1"/>
        </w:numPr>
        <w:spacing w:after="60"/>
        <w:jc w:val="both"/>
      </w:pPr>
      <w:r w:rsidRPr="00393B88">
        <w:t>Le calendrier de réalisation ;</w:t>
      </w:r>
    </w:p>
    <w:p w14:paraId="2E6E9991" w14:textId="651A8E7D" w:rsidR="00D12C94" w:rsidRPr="00393B88" w:rsidRDefault="00FE300A">
      <w:pPr>
        <w:pStyle w:val="Paragraphedeliste"/>
        <w:numPr>
          <w:ilvl w:val="0"/>
          <w:numId w:val="1"/>
        </w:numPr>
        <w:spacing w:after="60"/>
        <w:jc w:val="both"/>
      </w:pPr>
      <w:r w:rsidRPr="00393B88">
        <w:t>Les références pertinentes ;</w:t>
      </w:r>
    </w:p>
    <w:p w14:paraId="64061B94" w14:textId="77777777" w:rsidR="00D12C94" w:rsidRPr="00393B88" w:rsidRDefault="00FE300A">
      <w:pPr>
        <w:pStyle w:val="Paragraphedeliste"/>
        <w:numPr>
          <w:ilvl w:val="0"/>
          <w:numId w:val="1"/>
        </w:numPr>
        <w:spacing w:after="60"/>
        <w:jc w:val="both"/>
      </w:pPr>
      <w:r w:rsidRPr="00393B88">
        <w:t>L’organisation de l’équipe le cas échéant ;</w:t>
      </w:r>
    </w:p>
    <w:p w14:paraId="595CD6AE" w14:textId="77777777" w:rsidR="00D12C94" w:rsidRPr="00393B88" w:rsidRDefault="00FE300A">
      <w:pPr>
        <w:pStyle w:val="Paragraphedeliste"/>
        <w:numPr>
          <w:ilvl w:val="0"/>
          <w:numId w:val="1"/>
        </w:numPr>
        <w:spacing w:after="60"/>
        <w:jc w:val="both"/>
      </w:pPr>
      <w:r w:rsidRPr="00393B88">
        <w:t>Les CV du ou des experts proposés.</w:t>
      </w:r>
    </w:p>
    <w:p w14:paraId="59A4A9DA" w14:textId="77777777" w:rsidR="00D12C94" w:rsidRPr="00393B88" w:rsidRDefault="00FE300A">
      <w:pPr>
        <w:pStyle w:val="Titre3"/>
      </w:pPr>
      <w:r w:rsidRPr="00393B88">
        <w:t>B. Une proposition financière</w:t>
      </w:r>
    </w:p>
    <w:p w14:paraId="1D14E577" w14:textId="46D9434D" w:rsidR="00D12C94" w:rsidRPr="00393B88" w:rsidRDefault="00FE300A">
      <w:pPr>
        <w:spacing w:after="120"/>
        <w:jc w:val="both"/>
      </w:pPr>
      <w:r w:rsidRPr="00393B88">
        <w:t>La proposition financière devra présenter de manière détaillée les coûts liés à la réalisation de la mission, les honoraires et les frais liés à la production des livrables.</w:t>
      </w:r>
    </w:p>
    <w:p w14:paraId="1EF8B79D" w14:textId="77777777" w:rsidR="00D12C94" w:rsidRPr="00393B88" w:rsidRDefault="00FE300A">
      <w:pPr>
        <w:pStyle w:val="Corpsdetexte"/>
      </w:pPr>
      <w:r w:rsidRPr="00393B88">
        <w:t>12. CRITÈRES INDICATIFS D’ÉVALUATION DES OFFRES</w:t>
      </w:r>
    </w:p>
    <w:p w14:paraId="46A8B968" w14:textId="77777777" w:rsidR="00D12C94" w:rsidRPr="00393B88" w:rsidRDefault="00FE300A">
      <w:pPr>
        <w:keepNext/>
        <w:spacing w:after="120"/>
        <w:jc w:val="both"/>
      </w:pPr>
      <w:r w:rsidRPr="00393B88">
        <w:t>Les offres pourront être évaluées selon les critères suivants :</w:t>
      </w:r>
    </w:p>
    <w:tbl>
      <w:tblPr>
        <w:tblW w:w="9070" w:type="dxa"/>
        <w:tblLayout w:type="fixed"/>
        <w:tblCellMar>
          <w:top w:w="60" w:type="dxa"/>
          <w:left w:w="100" w:type="dxa"/>
          <w:bottom w:w="60" w:type="dxa"/>
          <w:right w:w="100" w:type="dxa"/>
        </w:tblCellMar>
        <w:tblLook w:val="04A0" w:firstRow="1" w:lastRow="0" w:firstColumn="1" w:lastColumn="0" w:noHBand="0" w:noVBand="1"/>
      </w:tblPr>
      <w:tblGrid>
        <w:gridCol w:w="6870"/>
        <w:gridCol w:w="2200"/>
      </w:tblGrid>
      <w:tr w:rsidR="00D12C94" w:rsidRPr="00393B88" w14:paraId="6FC069B3" w14:textId="77777777">
        <w:trPr>
          <w:cantSplit/>
          <w:tblHeader/>
        </w:trPr>
        <w:tc>
          <w:tcPr>
            <w:tcW w:w="686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1DDAD89" w14:textId="77777777" w:rsidR="00D12C94" w:rsidRPr="00393B88" w:rsidRDefault="00FE300A">
            <w:pPr>
              <w:spacing w:before="40" w:after="40"/>
              <w:jc w:val="center"/>
            </w:pPr>
            <w:r w:rsidRPr="00393B88">
              <w:rPr>
                <w:b/>
                <w:bCs/>
                <w:sz w:val="21"/>
                <w:szCs w:val="21"/>
              </w:rPr>
              <w:t>Critère</w:t>
            </w:r>
          </w:p>
        </w:tc>
        <w:tc>
          <w:tcPr>
            <w:tcW w:w="22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0574A0B" w14:textId="77777777" w:rsidR="00D12C94" w:rsidRPr="00393B88" w:rsidRDefault="00FE300A">
            <w:pPr>
              <w:spacing w:before="40" w:after="40"/>
              <w:jc w:val="center"/>
            </w:pPr>
            <w:r w:rsidRPr="00393B88">
              <w:rPr>
                <w:b/>
                <w:bCs/>
                <w:sz w:val="21"/>
                <w:szCs w:val="21"/>
              </w:rPr>
              <w:t>Pondération indicative</w:t>
            </w:r>
          </w:p>
        </w:tc>
      </w:tr>
      <w:tr w:rsidR="00D12C94" w:rsidRPr="00393B88" w14:paraId="571019F1" w14:textId="77777777">
        <w:trPr>
          <w:cantSplit/>
        </w:trPr>
        <w:tc>
          <w:tcPr>
            <w:tcW w:w="6869" w:type="dxa"/>
            <w:tcBorders>
              <w:top w:val="single" w:sz="4" w:space="0" w:color="000000"/>
              <w:left w:val="single" w:sz="4" w:space="0" w:color="000000"/>
              <w:bottom w:val="single" w:sz="4" w:space="0" w:color="000000"/>
              <w:right w:val="single" w:sz="4" w:space="0" w:color="000000"/>
            </w:tcBorders>
          </w:tcPr>
          <w:p w14:paraId="43A3F2D6" w14:textId="77777777" w:rsidR="00D12C94" w:rsidRPr="00393B88" w:rsidRDefault="00FE300A">
            <w:pPr>
              <w:spacing w:before="40" w:after="40"/>
            </w:pPr>
            <w:r w:rsidRPr="00393B88">
              <w:rPr>
                <w:sz w:val="21"/>
                <w:szCs w:val="21"/>
              </w:rPr>
              <w:t>Compréhension de la mission</w:t>
            </w:r>
          </w:p>
        </w:tc>
        <w:tc>
          <w:tcPr>
            <w:tcW w:w="2200" w:type="dxa"/>
            <w:tcBorders>
              <w:top w:val="single" w:sz="4" w:space="0" w:color="000000"/>
              <w:left w:val="single" w:sz="4" w:space="0" w:color="000000"/>
              <w:bottom w:val="single" w:sz="4" w:space="0" w:color="000000"/>
              <w:right w:val="single" w:sz="4" w:space="0" w:color="000000"/>
            </w:tcBorders>
          </w:tcPr>
          <w:p w14:paraId="03A7CA7F" w14:textId="17074CFD" w:rsidR="00D12C94" w:rsidRPr="00393B88" w:rsidRDefault="00440864">
            <w:pPr>
              <w:spacing w:before="40" w:after="40"/>
              <w:jc w:val="center"/>
            </w:pPr>
            <w:r>
              <w:rPr>
                <w:sz w:val="21"/>
                <w:szCs w:val="21"/>
              </w:rPr>
              <w:t>5</w:t>
            </w:r>
            <w:r w:rsidR="00FE300A" w:rsidRPr="00393B88">
              <w:rPr>
                <w:sz w:val="21"/>
                <w:szCs w:val="21"/>
              </w:rPr>
              <w:t xml:space="preserve"> %</w:t>
            </w:r>
          </w:p>
        </w:tc>
      </w:tr>
      <w:tr w:rsidR="00D12C94" w:rsidRPr="00393B88" w14:paraId="436C1DBB" w14:textId="77777777">
        <w:trPr>
          <w:cantSplit/>
        </w:trPr>
        <w:tc>
          <w:tcPr>
            <w:tcW w:w="6869" w:type="dxa"/>
            <w:tcBorders>
              <w:top w:val="single" w:sz="4" w:space="0" w:color="000000"/>
              <w:left w:val="single" w:sz="4" w:space="0" w:color="000000"/>
              <w:bottom w:val="single" w:sz="4" w:space="0" w:color="000000"/>
              <w:right w:val="single" w:sz="4" w:space="0" w:color="000000"/>
            </w:tcBorders>
          </w:tcPr>
          <w:p w14:paraId="1FC0080C" w14:textId="77777777" w:rsidR="00D12C94" w:rsidRPr="00393B88" w:rsidRDefault="00FE300A">
            <w:pPr>
              <w:spacing w:before="40" w:after="40"/>
            </w:pPr>
            <w:r w:rsidRPr="00393B88">
              <w:rPr>
                <w:sz w:val="21"/>
                <w:szCs w:val="21"/>
              </w:rPr>
              <w:t>Connaissance du contexte local (acteurs et gouvernance)</w:t>
            </w:r>
          </w:p>
        </w:tc>
        <w:tc>
          <w:tcPr>
            <w:tcW w:w="2200" w:type="dxa"/>
            <w:tcBorders>
              <w:top w:val="single" w:sz="4" w:space="0" w:color="000000"/>
              <w:left w:val="single" w:sz="4" w:space="0" w:color="000000"/>
              <w:bottom w:val="single" w:sz="4" w:space="0" w:color="000000"/>
              <w:right w:val="single" w:sz="4" w:space="0" w:color="000000"/>
            </w:tcBorders>
          </w:tcPr>
          <w:p w14:paraId="25017181" w14:textId="675D51F9" w:rsidR="00D12C94" w:rsidRPr="00393B88" w:rsidRDefault="00440864">
            <w:pPr>
              <w:spacing w:before="40" w:after="40"/>
              <w:jc w:val="center"/>
            </w:pPr>
            <w:r>
              <w:rPr>
                <w:sz w:val="21"/>
                <w:szCs w:val="21"/>
              </w:rPr>
              <w:t>20</w:t>
            </w:r>
            <w:r w:rsidR="00FE300A" w:rsidRPr="00393B88">
              <w:rPr>
                <w:sz w:val="21"/>
                <w:szCs w:val="21"/>
              </w:rPr>
              <w:t xml:space="preserve"> %</w:t>
            </w:r>
          </w:p>
        </w:tc>
      </w:tr>
      <w:tr w:rsidR="00D12C94" w:rsidRPr="00393B88" w14:paraId="340DB503" w14:textId="77777777">
        <w:trPr>
          <w:cantSplit/>
        </w:trPr>
        <w:tc>
          <w:tcPr>
            <w:tcW w:w="6869" w:type="dxa"/>
            <w:tcBorders>
              <w:top w:val="single" w:sz="4" w:space="0" w:color="000000"/>
              <w:left w:val="single" w:sz="4" w:space="0" w:color="000000"/>
              <w:bottom w:val="single" w:sz="4" w:space="0" w:color="000000"/>
              <w:right w:val="single" w:sz="4" w:space="0" w:color="000000"/>
            </w:tcBorders>
          </w:tcPr>
          <w:p w14:paraId="25BD6DCB" w14:textId="77777777" w:rsidR="00D12C94" w:rsidRPr="00393B88" w:rsidRDefault="00FE300A">
            <w:pPr>
              <w:spacing w:before="40" w:after="40"/>
            </w:pPr>
            <w:r w:rsidRPr="00393B88">
              <w:rPr>
                <w:sz w:val="21"/>
                <w:szCs w:val="21"/>
              </w:rPr>
              <w:t>Qualité de la méthodologie proposée</w:t>
            </w:r>
          </w:p>
        </w:tc>
        <w:tc>
          <w:tcPr>
            <w:tcW w:w="2200" w:type="dxa"/>
            <w:tcBorders>
              <w:top w:val="single" w:sz="4" w:space="0" w:color="000000"/>
              <w:left w:val="single" w:sz="4" w:space="0" w:color="000000"/>
              <w:bottom w:val="single" w:sz="4" w:space="0" w:color="000000"/>
              <w:right w:val="single" w:sz="4" w:space="0" w:color="000000"/>
            </w:tcBorders>
          </w:tcPr>
          <w:p w14:paraId="6F29DCEF" w14:textId="77777777" w:rsidR="00D12C94" w:rsidRPr="00393B88" w:rsidRDefault="00FE300A">
            <w:pPr>
              <w:spacing w:before="40" w:after="40"/>
              <w:jc w:val="center"/>
            </w:pPr>
            <w:r w:rsidRPr="00393B88">
              <w:rPr>
                <w:sz w:val="21"/>
                <w:szCs w:val="21"/>
              </w:rPr>
              <w:t>25 %</w:t>
            </w:r>
          </w:p>
        </w:tc>
      </w:tr>
      <w:tr w:rsidR="00D12C94" w:rsidRPr="00393B88" w14:paraId="55FEDF0A" w14:textId="77777777">
        <w:trPr>
          <w:cantSplit/>
        </w:trPr>
        <w:tc>
          <w:tcPr>
            <w:tcW w:w="6869" w:type="dxa"/>
            <w:tcBorders>
              <w:top w:val="single" w:sz="4" w:space="0" w:color="000000"/>
              <w:left w:val="single" w:sz="4" w:space="0" w:color="000000"/>
              <w:bottom w:val="single" w:sz="4" w:space="0" w:color="000000"/>
              <w:right w:val="single" w:sz="4" w:space="0" w:color="000000"/>
            </w:tcBorders>
          </w:tcPr>
          <w:p w14:paraId="0CE5F50E" w14:textId="77777777" w:rsidR="00D12C94" w:rsidRPr="00393B88" w:rsidRDefault="00FE300A">
            <w:pPr>
              <w:spacing w:before="40" w:after="40"/>
            </w:pPr>
            <w:r w:rsidRPr="00393B88">
              <w:rPr>
                <w:sz w:val="21"/>
                <w:szCs w:val="21"/>
              </w:rPr>
              <w:t>Expérience du consultant</w:t>
            </w:r>
          </w:p>
        </w:tc>
        <w:tc>
          <w:tcPr>
            <w:tcW w:w="2200" w:type="dxa"/>
            <w:tcBorders>
              <w:top w:val="single" w:sz="4" w:space="0" w:color="000000"/>
              <w:left w:val="single" w:sz="4" w:space="0" w:color="000000"/>
              <w:bottom w:val="single" w:sz="4" w:space="0" w:color="000000"/>
              <w:right w:val="single" w:sz="4" w:space="0" w:color="000000"/>
            </w:tcBorders>
          </w:tcPr>
          <w:p w14:paraId="6CF6E011" w14:textId="77777777" w:rsidR="00D12C94" w:rsidRPr="00393B88" w:rsidRDefault="00FE300A">
            <w:pPr>
              <w:spacing w:before="40" w:after="40"/>
              <w:jc w:val="center"/>
            </w:pPr>
            <w:r w:rsidRPr="00393B88">
              <w:rPr>
                <w:sz w:val="21"/>
                <w:szCs w:val="21"/>
              </w:rPr>
              <w:t>10 %</w:t>
            </w:r>
          </w:p>
        </w:tc>
      </w:tr>
      <w:tr w:rsidR="00D12C94" w:rsidRPr="00393B88" w14:paraId="2FFD474B" w14:textId="77777777">
        <w:trPr>
          <w:cantSplit/>
        </w:trPr>
        <w:tc>
          <w:tcPr>
            <w:tcW w:w="6869" w:type="dxa"/>
            <w:tcBorders>
              <w:top w:val="single" w:sz="4" w:space="0" w:color="000000"/>
              <w:left w:val="single" w:sz="4" w:space="0" w:color="000000"/>
              <w:bottom w:val="single" w:sz="4" w:space="0" w:color="000000"/>
              <w:right w:val="single" w:sz="4" w:space="0" w:color="000000"/>
            </w:tcBorders>
          </w:tcPr>
          <w:p w14:paraId="2DBF6E02" w14:textId="77777777" w:rsidR="00D12C94" w:rsidRPr="00393B88" w:rsidRDefault="00FE300A">
            <w:pPr>
              <w:spacing w:before="40" w:after="40"/>
            </w:pPr>
            <w:r w:rsidRPr="00393B88">
              <w:rPr>
                <w:sz w:val="21"/>
                <w:szCs w:val="21"/>
              </w:rPr>
              <w:t>Pertinence du calendrier et organisation de la mission</w:t>
            </w:r>
          </w:p>
        </w:tc>
        <w:tc>
          <w:tcPr>
            <w:tcW w:w="2200" w:type="dxa"/>
            <w:tcBorders>
              <w:top w:val="single" w:sz="4" w:space="0" w:color="000000"/>
              <w:left w:val="single" w:sz="4" w:space="0" w:color="000000"/>
              <w:bottom w:val="single" w:sz="4" w:space="0" w:color="000000"/>
              <w:right w:val="single" w:sz="4" w:space="0" w:color="000000"/>
            </w:tcBorders>
          </w:tcPr>
          <w:p w14:paraId="23EC015E" w14:textId="77777777" w:rsidR="00D12C94" w:rsidRPr="00393B88" w:rsidRDefault="00FE300A">
            <w:pPr>
              <w:spacing w:before="40" w:after="40"/>
              <w:jc w:val="center"/>
            </w:pPr>
            <w:r w:rsidRPr="00393B88">
              <w:rPr>
                <w:sz w:val="21"/>
                <w:szCs w:val="21"/>
              </w:rPr>
              <w:t>10 %</w:t>
            </w:r>
          </w:p>
        </w:tc>
      </w:tr>
      <w:tr w:rsidR="00D12C94" w:rsidRPr="00393B88" w14:paraId="00249523" w14:textId="77777777">
        <w:trPr>
          <w:cantSplit/>
        </w:trPr>
        <w:tc>
          <w:tcPr>
            <w:tcW w:w="6869" w:type="dxa"/>
            <w:tcBorders>
              <w:top w:val="single" w:sz="4" w:space="0" w:color="000000"/>
              <w:left w:val="single" w:sz="4" w:space="0" w:color="000000"/>
              <w:bottom w:val="single" w:sz="4" w:space="0" w:color="000000"/>
              <w:right w:val="single" w:sz="4" w:space="0" w:color="000000"/>
            </w:tcBorders>
          </w:tcPr>
          <w:p w14:paraId="22A4E16A" w14:textId="77777777" w:rsidR="00D12C94" w:rsidRPr="00393B88" w:rsidRDefault="00FE300A">
            <w:pPr>
              <w:spacing w:before="40" w:after="40"/>
            </w:pPr>
            <w:r w:rsidRPr="00393B88">
              <w:rPr>
                <w:sz w:val="21"/>
                <w:szCs w:val="21"/>
              </w:rPr>
              <w:t>Proposition financière</w:t>
            </w:r>
          </w:p>
        </w:tc>
        <w:tc>
          <w:tcPr>
            <w:tcW w:w="2200" w:type="dxa"/>
            <w:tcBorders>
              <w:top w:val="single" w:sz="4" w:space="0" w:color="000000"/>
              <w:left w:val="single" w:sz="4" w:space="0" w:color="000000"/>
              <w:bottom w:val="single" w:sz="4" w:space="0" w:color="000000"/>
              <w:right w:val="single" w:sz="4" w:space="0" w:color="000000"/>
            </w:tcBorders>
          </w:tcPr>
          <w:p w14:paraId="2A6858D4" w14:textId="0DB1B59C" w:rsidR="00D12C94" w:rsidRPr="00393B88" w:rsidRDefault="00440864">
            <w:pPr>
              <w:spacing w:before="40" w:after="40"/>
              <w:jc w:val="center"/>
            </w:pPr>
            <w:r>
              <w:rPr>
                <w:sz w:val="21"/>
                <w:szCs w:val="21"/>
              </w:rPr>
              <w:t>30</w:t>
            </w:r>
            <w:r w:rsidR="00FE300A" w:rsidRPr="00393B88">
              <w:rPr>
                <w:sz w:val="21"/>
                <w:szCs w:val="21"/>
              </w:rPr>
              <w:t>%</w:t>
            </w:r>
          </w:p>
        </w:tc>
      </w:tr>
      <w:tr w:rsidR="00D12C94" w:rsidRPr="00393B88" w14:paraId="3B651F95" w14:textId="77777777">
        <w:trPr>
          <w:cantSplit/>
        </w:trPr>
        <w:tc>
          <w:tcPr>
            <w:tcW w:w="6869" w:type="dxa"/>
            <w:tcBorders>
              <w:top w:val="single" w:sz="4" w:space="0" w:color="000000"/>
              <w:left w:val="single" w:sz="4" w:space="0" w:color="000000"/>
              <w:bottom w:val="single" w:sz="4" w:space="0" w:color="000000"/>
              <w:right w:val="single" w:sz="4" w:space="0" w:color="000000"/>
            </w:tcBorders>
          </w:tcPr>
          <w:p w14:paraId="167A0435" w14:textId="77777777" w:rsidR="00D12C94" w:rsidRPr="00393B88" w:rsidRDefault="00FE300A">
            <w:pPr>
              <w:spacing w:before="40" w:after="40"/>
            </w:pPr>
            <w:r w:rsidRPr="00393B88">
              <w:rPr>
                <w:b/>
                <w:bCs/>
                <w:sz w:val="21"/>
                <w:szCs w:val="21"/>
              </w:rPr>
              <w:t>Total</w:t>
            </w:r>
          </w:p>
        </w:tc>
        <w:tc>
          <w:tcPr>
            <w:tcW w:w="2200" w:type="dxa"/>
            <w:tcBorders>
              <w:top w:val="single" w:sz="4" w:space="0" w:color="000000"/>
              <w:left w:val="single" w:sz="4" w:space="0" w:color="000000"/>
              <w:bottom w:val="single" w:sz="4" w:space="0" w:color="000000"/>
              <w:right w:val="single" w:sz="4" w:space="0" w:color="000000"/>
            </w:tcBorders>
          </w:tcPr>
          <w:p w14:paraId="62002A56" w14:textId="77777777" w:rsidR="00D12C94" w:rsidRPr="00393B88" w:rsidRDefault="00FE300A">
            <w:pPr>
              <w:spacing w:before="40" w:after="40"/>
              <w:jc w:val="center"/>
            </w:pPr>
            <w:r w:rsidRPr="00393B88">
              <w:rPr>
                <w:b/>
                <w:bCs/>
                <w:sz w:val="21"/>
                <w:szCs w:val="21"/>
              </w:rPr>
              <w:t>100 %</w:t>
            </w:r>
          </w:p>
        </w:tc>
      </w:tr>
    </w:tbl>
    <w:p w14:paraId="31796A3A" w14:textId="77777777" w:rsidR="00D12C94" w:rsidRPr="00393B88" w:rsidRDefault="00D12C94">
      <w:pPr>
        <w:spacing w:after="120"/>
      </w:pPr>
    </w:p>
    <w:p w14:paraId="676199F4" w14:textId="77777777" w:rsidR="00D12C94" w:rsidRPr="00393B88" w:rsidRDefault="00D12C94">
      <w:pPr>
        <w:sectPr w:rsidR="00D12C94" w:rsidRPr="00393B88">
          <w:footerReference w:type="default" r:id="rId9"/>
          <w:footerReference w:type="first" r:id="rId10"/>
          <w:pgSz w:w="11906" w:h="16838"/>
          <w:pgMar w:top="1418" w:right="1418" w:bottom="1418" w:left="1418" w:header="0" w:footer="709" w:gutter="0"/>
          <w:cols w:space="720"/>
          <w:formProt w:val="0"/>
          <w:docGrid w:linePitch="360"/>
        </w:sectPr>
      </w:pPr>
    </w:p>
    <w:p w14:paraId="0AF62F8D" w14:textId="5B230C4D" w:rsidR="00D12C94" w:rsidRPr="00AB4BD3" w:rsidRDefault="00FE300A">
      <w:pPr>
        <w:pStyle w:val="Titre1"/>
        <w:rPr>
          <w:sz w:val="28"/>
          <w:szCs w:val="28"/>
        </w:rPr>
      </w:pPr>
      <w:r w:rsidRPr="00AB4BD3">
        <w:rPr>
          <w:sz w:val="28"/>
          <w:szCs w:val="28"/>
        </w:rPr>
        <w:lastRenderedPageBreak/>
        <w:t>1</w:t>
      </w:r>
      <w:r w:rsidR="00DA5AB4">
        <w:rPr>
          <w:sz w:val="28"/>
          <w:szCs w:val="28"/>
        </w:rPr>
        <w:t>2</w:t>
      </w:r>
      <w:r w:rsidRPr="00AB4BD3">
        <w:rPr>
          <w:sz w:val="28"/>
          <w:szCs w:val="28"/>
        </w:rPr>
        <w:t>. OBJECTIFS ET ORGANISATION DE LA MISSION</w:t>
      </w:r>
    </w:p>
    <w:p w14:paraId="6AEFD84A" w14:textId="6F169873" w:rsidR="00D12C94" w:rsidRPr="00393B88" w:rsidRDefault="00FE300A">
      <w:pPr>
        <w:pStyle w:val="Corpsdetexte"/>
        <w:spacing w:after="120"/>
        <w:jc w:val="both"/>
      </w:pPr>
      <w:r w:rsidRPr="00393B88">
        <w:t>Afin d’atteindre les objectifs de la mission, le consultant interviendra</w:t>
      </w:r>
      <w:r w:rsidR="00440864">
        <w:t xml:space="preserve"> sous la supervision de</w:t>
      </w:r>
      <w:r w:rsidRPr="00393B88">
        <w:t xml:space="preserve"> l’expert du PAGFAM responsable </w:t>
      </w:r>
      <w:r w:rsidR="00440864">
        <w:t>du dossier</w:t>
      </w:r>
      <w:r w:rsidRPr="00393B88">
        <w:t>.</w:t>
      </w:r>
    </w:p>
    <w:p w14:paraId="0E497DA1" w14:textId="143A32AB" w:rsidR="00D12C94" w:rsidRPr="00393B88" w:rsidRDefault="00FE300A">
      <w:pPr>
        <w:keepNext/>
        <w:spacing w:after="120"/>
        <w:jc w:val="both"/>
      </w:pPr>
      <w:r w:rsidRPr="00393B88">
        <w:t>Tous les documents relatifs à cette mission seront rédigés en français</w:t>
      </w:r>
      <w:r w:rsidR="00440864" w:rsidRPr="00440864">
        <w:t xml:space="preserve"> </w:t>
      </w:r>
      <w:r w:rsidR="00440864">
        <w:t>et en arabe</w:t>
      </w:r>
      <w:r w:rsidRPr="00393B88">
        <w:t>.</w:t>
      </w:r>
    </w:p>
    <w:tbl>
      <w:tblPr>
        <w:tblW w:w="9070" w:type="dxa"/>
        <w:tblLayout w:type="fixed"/>
        <w:tblCellMar>
          <w:top w:w="60" w:type="dxa"/>
          <w:left w:w="100" w:type="dxa"/>
          <w:bottom w:w="60" w:type="dxa"/>
          <w:right w:w="100" w:type="dxa"/>
        </w:tblCellMar>
        <w:tblLook w:val="04A0" w:firstRow="1" w:lastRow="0" w:firstColumn="1" w:lastColumn="0" w:noHBand="0" w:noVBand="1"/>
      </w:tblPr>
      <w:tblGrid>
        <w:gridCol w:w="2300"/>
        <w:gridCol w:w="6770"/>
      </w:tblGrid>
      <w:tr w:rsidR="00D12C94" w:rsidRPr="00393B88" w14:paraId="68A00B90" w14:textId="77777777">
        <w:tc>
          <w:tcPr>
            <w:tcW w:w="2300" w:type="dxa"/>
            <w:tcBorders>
              <w:top w:val="single" w:sz="4" w:space="0" w:color="000000"/>
              <w:left w:val="single" w:sz="4" w:space="0" w:color="000000"/>
              <w:bottom w:val="single" w:sz="4" w:space="0" w:color="000000"/>
              <w:right w:val="single" w:sz="4" w:space="0" w:color="000000"/>
            </w:tcBorders>
          </w:tcPr>
          <w:p w14:paraId="34654EF3" w14:textId="66782FEF" w:rsidR="00D12C94" w:rsidRPr="0080551B" w:rsidRDefault="0080551B">
            <w:pPr>
              <w:rPr>
                <w:b/>
                <w:sz w:val="22"/>
                <w:szCs w:val="22"/>
              </w:rPr>
            </w:pPr>
            <w:r w:rsidRPr="0080551B">
              <w:rPr>
                <w:b/>
                <w:sz w:val="22"/>
                <w:szCs w:val="22"/>
              </w:rPr>
              <w:t>Objectif général</w:t>
            </w:r>
          </w:p>
        </w:tc>
        <w:tc>
          <w:tcPr>
            <w:tcW w:w="6769" w:type="dxa"/>
            <w:tcBorders>
              <w:top w:val="single" w:sz="4" w:space="0" w:color="000000"/>
              <w:left w:val="single" w:sz="4" w:space="0" w:color="000000"/>
              <w:bottom w:val="single" w:sz="4" w:space="0" w:color="000000"/>
              <w:right w:val="single" w:sz="4" w:space="0" w:color="000000"/>
            </w:tcBorders>
          </w:tcPr>
          <w:p w14:paraId="2D92825E" w14:textId="6965BDB9" w:rsidR="00D12C94" w:rsidRPr="00393B88" w:rsidRDefault="0080551B">
            <w:pPr>
              <w:spacing w:before="40" w:after="40"/>
              <w:jc w:val="both"/>
            </w:pPr>
            <w:r>
              <w:rPr>
                <w:sz w:val="21"/>
                <w:szCs w:val="21"/>
              </w:rPr>
              <w:t>P</w:t>
            </w:r>
            <w:r w:rsidR="00FE300A" w:rsidRPr="00393B88">
              <w:rPr>
                <w:sz w:val="21"/>
                <w:szCs w:val="21"/>
              </w:rPr>
              <w:t>réparer l’élaboration de la future stratégie de modernisation de l’Administration 2028/2031</w:t>
            </w:r>
          </w:p>
        </w:tc>
      </w:tr>
      <w:tr w:rsidR="00D12C94" w:rsidRPr="00393B88" w14:paraId="1F49C432" w14:textId="77777777">
        <w:tc>
          <w:tcPr>
            <w:tcW w:w="2300" w:type="dxa"/>
            <w:tcBorders>
              <w:top w:val="single" w:sz="4" w:space="0" w:color="000000"/>
              <w:left w:val="single" w:sz="4" w:space="0" w:color="000000"/>
              <w:bottom w:val="single" w:sz="4" w:space="0" w:color="000000"/>
              <w:right w:val="single" w:sz="4" w:space="0" w:color="000000"/>
            </w:tcBorders>
          </w:tcPr>
          <w:p w14:paraId="5EE89516" w14:textId="77777777" w:rsidR="00D12C94" w:rsidRPr="00393B88" w:rsidRDefault="00FE300A">
            <w:pPr>
              <w:spacing w:before="40" w:after="40"/>
            </w:pPr>
            <w:r w:rsidRPr="00393B88">
              <w:rPr>
                <w:b/>
                <w:bCs/>
                <w:sz w:val="21"/>
                <w:szCs w:val="21"/>
              </w:rPr>
              <w:t>Objectifs spécifique de la mission</w:t>
            </w:r>
          </w:p>
        </w:tc>
        <w:tc>
          <w:tcPr>
            <w:tcW w:w="6769" w:type="dxa"/>
            <w:tcBorders>
              <w:top w:val="single" w:sz="4" w:space="0" w:color="000000"/>
              <w:left w:val="single" w:sz="4" w:space="0" w:color="000000"/>
              <w:bottom w:val="single" w:sz="4" w:space="0" w:color="000000"/>
              <w:right w:val="single" w:sz="4" w:space="0" w:color="000000"/>
            </w:tcBorders>
          </w:tcPr>
          <w:p w14:paraId="3E9B8338" w14:textId="37907C52" w:rsidR="00D12C94" w:rsidRPr="00393B88" w:rsidRDefault="00440864" w:rsidP="00440864">
            <w:pPr>
              <w:pStyle w:val="Paragraphedeliste"/>
              <w:numPr>
                <w:ilvl w:val="0"/>
                <w:numId w:val="34"/>
              </w:numPr>
              <w:spacing w:before="20" w:after="40"/>
              <w:jc w:val="both"/>
            </w:pPr>
            <w:r>
              <w:rPr>
                <w:sz w:val="21"/>
                <w:szCs w:val="21"/>
              </w:rPr>
              <w:t>D</w:t>
            </w:r>
            <w:r w:rsidR="00FE300A" w:rsidRPr="00393B88">
              <w:rPr>
                <w:sz w:val="21"/>
                <w:szCs w:val="21"/>
              </w:rPr>
              <w:t>resser le bilan de la SMA 2024–2027 et établir un diagnostic actualisé des capacités et des besoins des administrations, en exploitant les conclusions disponibles de l’évaluation à mi-parcours ;</w:t>
            </w:r>
          </w:p>
          <w:p w14:paraId="6F05D16F" w14:textId="5F9C43AE" w:rsidR="00D12C94" w:rsidRPr="00393B88" w:rsidRDefault="00440864" w:rsidP="00440864">
            <w:pPr>
              <w:pStyle w:val="Paragraphedeliste"/>
              <w:numPr>
                <w:ilvl w:val="0"/>
                <w:numId w:val="34"/>
              </w:numPr>
              <w:spacing w:before="20" w:after="40"/>
              <w:jc w:val="both"/>
            </w:pPr>
            <w:r>
              <w:rPr>
                <w:sz w:val="21"/>
                <w:szCs w:val="21"/>
              </w:rPr>
              <w:t>D</w:t>
            </w:r>
            <w:r w:rsidR="00FE300A" w:rsidRPr="00393B88">
              <w:rPr>
                <w:sz w:val="21"/>
                <w:szCs w:val="21"/>
              </w:rPr>
              <w:t>éfinir, en concertation avec les administrations concernées et les représentants des usagers, la vision, les résultats attendus et les axes stratégiques de la SMA 2028–2031 ;</w:t>
            </w:r>
          </w:p>
          <w:p w14:paraId="4D408436" w14:textId="0F2F0A18" w:rsidR="00D12C94" w:rsidRPr="00393B88" w:rsidRDefault="00440864" w:rsidP="00440864">
            <w:pPr>
              <w:pStyle w:val="Paragraphedeliste"/>
              <w:numPr>
                <w:ilvl w:val="0"/>
                <w:numId w:val="34"/>
              </w:numPr>
              <w:spacing w:before="20" w:after="40"/>
              <w:jc w:val="both"/>
            </w:pPr>
            <w:r>
              <w:rPr>
                <w:sz w:val="21"/>
                <w:szCs w:val="21"/>
              </w:rPr>
              <w:t>T</w:t>
            </w:r>
            <w:r w:rsidR="00FE300A" w:rsidRPr="00393B88">
              <w:rPr>
                <w:sz w:val="21"/>
                <w:szCs w:val="21"/>
              </w:rPr>
              <w:t>raduire ces orientations en un plan d’action priorisé, chiffré et séquencé, précisant les responsabilités, les échéances et les sources de financement ;</w:t>
            </w:r>
          </w:p>
          <w:p w14:paraId="3F1CF33E" w14:textId="7434186A" w:rsidR="00D12C94" w:rsidRPr="00393B88" w:rsidRDefault="00440864" w:rsidP="00440864">
            <w:pPr>
              <w:pStyle w:val="Paragraphedeliste"/>
              <w:numPr>
                <w:ilvl w:val="0"/>
                <w:numId w:val="34"/>
              </w:numPr>
              <w:spacing w:before="20" w:after="40"/>
              <w:jc w:val="both"/>
            </w:pPr>
            <w:r>
              <w:rPr>
                <w:sz w:val="21"/>
                <w:szCs w:val="21"/>
              </w:rPr>
              <w:t>P</w:t>
            </w:r>
            <w:r w:rsidR="00FE300A" w:rsidRPr="00393B88">
              <w:rPr>
                <w:sz w:val="21"/>
                <w:szCs w:val="21"/>
              </w:rPr>
              <w:t>roposer le dispositif de gouvernance, de coordination interministérielle et de conduite du changement nécessaire à la mise en œuvre de la stratégie, y compris pour le pilotage des projets numériques ;</w:t>
            </w:r>
          </w:p>
          <w:p w14:paraId="54AC7361" w14:textId="1CAD2611" w:rsidR="00D12C94" w:rsidRPr="00393B88" w:rsidRDefault="00440864" w:rsidP="00440864">
            <w:pPr>
              <w:pStyle w:val="Paragraphedeliste"/>
              <w:numPr>
                <w:ilvl w:val="0"/>
                <w:numId w:val="34"/>
              </w:numPr>
              <w:spacing w:before="20" w:after="40"/>
              <w:jc w:val="both"/>
            </w:pPr>
            <w:r>
              <w:rPr>
                <w:sz w:val="21"/>
                <w:szCs w:val="21"/>
              </w:rPr>
              <w:t>El</w:t>
            </w:r>
            <w:r w:rsidR="00FE300A" w:rsidRPr="00393B88">
              <w:rPr>
                <w:sz w:val="21"/>
                <w:szCs w:val="21"/>
              </w:rPr>
              <w:t>aborer le cadre de résultats et le dispositif de suivi-évaluation (indicateurs, valeurs de référence, cibles, sources de données et responsabilités) ;</w:t>
            </w:r>
          </w:p>
          <w:p w14:paraId="76D3329E" w14:textId="4C2037BE" w:rsidR="00D12C94" w:rsidRPr="00393B88" w:rsidRDefault="00440864" w:rsidP="00440864">
            <w:pPr>
              <w:pStyle w:val="Paragraphedeliste"/>
              <w:numPr>
                <w:ilvl w:val="0"/>
                <w:numId w:val="34"/>
              </w:numPr>
              <w:spacing w:before="20" w:after="40"/>
              <w:jc w:val="both"/>
            </w:pPr>
            <w:r>
              <w:rPr>
                <w:sz w:val="21"/>
                <w:szCs w:val="21"/>
              </w:rPr>
              <w:t>O</w:t>
            </w:r>
            <w:r w:rsidR="00FE300A" w:rsidRPr="00393B88">
              <w:rPr>
                <w:sz w:val="21"/>
                <w:szCs w:val="21"/>
              </w:rPr>
              <w:t>rganiser la transition avec la stratégie en cours, en identifiant les actions à poursuivre, à réorienter ou à intégrer dans le nouveau cadre.</w:t>
            </w:r>
          </w:p>
        </w:tc>
      </w:tr>
      <w:tr w:rsidR="00D12C94" w:rsidRPr="00393B88" w14:paraId="3E769E4C" w14:textId="77777777">
        <w:tc>
          <w:tcPr>
            <w:tcW w:w="2300" w:type="dxa"/>
            <w:tcBorders>
              <w:top w:val="single" w:sz="4" w:space="0" w:color="000000"/>
              <w:left w:val="single" w:sz="4" w:space="0" w:color="000000"/>
              <w:bottom w:val="single" w:sz="4" w:space="0" w:color="000000"/>
              <w:right w:val="single" w:sz="4" w:space="0" w:color="000000"/>
            </w:tcBorders>
          </w:tcPr>
          <w:p w14:paraId="6BF8821C" w14:textId="77777777" w:rsidR="00D12C94" w:rsidRPr="00393B88" w:rsidRDefault="00FE300A">
            <w:pPr>
              <w:spacing w:before="40" w:after="40"/>
            </w:pPr>
            <w:r w:rsidRPr="00393B88">
              <w:rPr>
                <w:b/>
                <w:bCs/>
                <w:sz w:val="21"/>
                <w:szCs w:val="21"/>
              </w:rPr>
              <w:t>Activités</w:t>
            </w:r>
          </w:p>
        </w:tc>
        <w:tc>
          <w:tcPr>
            <w:tcW w:w="6769" w:type="dxa"/>
            <w:tcBorders>
              <w:top w:val="single" w:sz="4" w:space="0" w:color="000000"/>
              <w:left w:val="single" w:sz="4" w:space="0" w:color="000000"/>
              <w:bottom w:val="single" w:sz="4" w:space="0" w:color="000000"/>
              <w:right w:val="single" w:sz="4" w:space="0" w:color="000000"/>
            </w:tcBorders>
          </w:tcPr>
          <w:p w14:paraId="38C79D3E" w14:textId="311879F6" w:rsidR="00D12C94" w:rsidRPr="00393B88" w:rsidRDefault="00FE300A" w:rsidP="00440864">
            <w:pPr>
              <w:pStyle w:val="Paragraphedeliste"/>
              <w:numPr>
                <w:ilvl w:val="0"/>
                <w:numId w:val="33"/>
              </w:numPr>
              <w:spacing w:before="20" w:after="40"/>
              <w:jc w:val="both"/>
            </w:pPr>
            <w:r w:rsidRPr="00440864">
              <w:rPr>
                <w:sz w:val="21"/>
                <w:szCs w:val="21"/>
              </w:rPr>
              <w:t>Réaliser des entretiens avec l’ensemble des services et des interlocuteurs qui seront désignés par la DMA du MTNMA ;</w:t>
            </w:r>
          </w:p>
          <w:p w14:paraId="0E38D698" w14:textId="77777777" w:rsidR="00440864" w:rsidRPr="00440864" w:rsidRDefault="00FE300A" w:rsidP="00440864">
            <w:pPr>
              <w:pStyle w:val="Paragraphedeliste"/>
              <w:numPr>
                <w:ilvl w:val="0"/>
                <w:numId w:val="33"/>
              </w:numPr>
              <w:spacing w:before="20" w:after="40"/>
              <w:jc w:val="both"/>
            </w:pPr>
            <w:r w:rsidRPr="00440864">
              <w:rPr>
                <w:sz w:val="21"/>
                <w:szCs w:val="21"/>
              </w:rPr>
              <w:t>Recueillir l’ensemble de la documentation écrite (rapports nationaux et internationaux, analyses, statistique, banques de données, nécessaire à la réalisation de la mission) ;</w:t>
            </w:r>
          </w:p>
          <w:p w14:paraId="6ECCC2A6" w14:textId="77777777" w:rsidR="00440864" w:rsidRPr="00440864" w:rsidRDefault="00FE300A" w:rsidP="00440864">
            <w:pPr>
              <w:pStyle w:val="Paragraphedeliste"/>
              <w:numPr>
                <w:ilvl w:val="0"/>
                <w:numId w:val="33"/>
              </w:numPr>
              <w:spacing w:before="20" w:after="40"/>
              <w:jc w:val="both"/>
            </w:pPr>
            <w:r w:rsidRPr="00440864">
              <w:rPr>
                <w:sz w:val="21"/>
                <w:szCs w:val="21"/>
              </w:rPr>
              <w:t>Rédiger les projets de livrables qui détailleront le diagnostic, les orientations stratégiques, le chiffrage du programme opérationnel et la méthode proposée en termes de suivi-évaluation ;</w:t>
            </w:r>
          </w:p>
          <w:p w14:paraId="3FC38AB1" w14:textId="77777777" w:rsidR="00440864" w:rsidRPr="00440864" w:rsidRDefault="00FE300A" w:rsidP="00440864">
            <w:pPr>
              <w:pStyle w:val="Paragraphedeliste"/>
              <w:numPr>
                <w:ilvl w:val="0"/>
                <w:numId w:val="33"/>
              </w:numPr>
              <w:spacing w:before="20" w:after="40"/>
              <w:jc w:val="both"/>
            </w:pPr>
            <w:r w:rsidRPr="00440864">
              <w:rPr>
                <w:sz w:val="21"/>
                <w:szCs w:val="21"/>
              </w:rPr>
              <w:t>Elaborer le diaporama de l’atelier de restitution ;</w:t>
            </w:r>
          </w:p>
          <w:p w14:paraId="394271FA" w14:textId="77777777" w:rsidR="00440864" w:rsidRPr="00440864" w:rsidRDefault="00FE300A" w:rsidP="00440864">
            <w:pPr>
              <w:pStyle w:val="Paragraphedeliste"/>
              <w:numPr>
                <w:ilvl w:val="0"/>
                <w:numId w:val="33"/>
              </w:numPr>
              <w:spacing w:before="20" w:after="40"/>
              <w:jc w:val="both"/>
            </w:pPr>
            <w:r w:rsidRPr="00440864">
              <w:rPr>
                <w:sz w:val="21"/>
                <w:szCs w:val="21"/>
              </w:rPr>
              <w:t>Assurer la préparation technique, l’animation et le compte rendu de l’atelier dédié à l’examen du projet de stratégie, du plan d’action et du cadre de résultats. ;</w:t>
            </w:r>
          </w:p>
          <w:p w14:paraId="49679C7D" w14:textId="77777777" w:rsidR="00440864" w:rsidRPr="00440864" w:rsidRDefault="00FE300A" w:rsidP="00440864">
            <w:pPr>
              <w:pStyle w:val="Paragraphedeliste"/>
              <w:numPr>
                <w:ilvl w:val="0"/>
                <w:numId w:val="33"/>
              </w:numPr>
              <w:spacing w:before="20" w:after="40"/>
              <w:jc w:val="both"/>
            </w:pPr>
            <w:r w:rsidRPr="00440864">
              <w:rPr>
                <w:sz w:val="21"/>
                <w:szCs w:val="21"/>
              </w:rPr>
              <w:t>En lien avec la DMA en charge de la logistique et la convocation.</w:t>
            </w:r>
          </w:p>
          <w:p w14:paraId="3D1A8BEB" w14:textId="3B9E77D3" w:rsidR="00D12C94" w:rsidRPr="00393B88" w:rsidRDefault="00FE300A" w:rsidP="00440864">
            <w:pPr>
              <w:pStyle w:val="Paragraphedeliste"/>
              <w:numPr>
                <w:ilvl w:val="0"/>
                <w:numId w:val="33"/>
              </w:numPr>
              <w:spacing w:before="20" w:after="40"/>
              <w:jc w:val="both"/>
            </w:pPr>
            <w:r w:rsidRPr="00440864">
              <w:rPr>
                <w:sz w:val="21"/>
                <w:szCs w:val="21"/>
              </w:rPr>
              <w:t>Préparer et organiser, au cours de l’atelier. la consultation de représentants des usagers, des entreprises, des collectivités et des publics rencontrant des difficultés d’accès aux services.</w:t>
            </w:r>
          </w:p>
        </w:tc>
      </w:tr>
      <w:tr w:rsidR="00D12C94" w:rsidRPr="00393B88" w14:paraId="6EA2874E" w14:textId="77777777">
        <w:tc>
          <w:tcPr>
            <w:tcW w:w="2300" w:type="dxa"/>
            <w:tcBorders>
              <w:top w:val="single" w:sz="4" w:space="0" w:color="000000"/>
              <w:left w:val="single" w:sz="4" w:space="0" w:color="000000"/>
              <w:bottom w:val="single" w:sz="4" w:space="0" w:color="000000"/>
              <w:right w:val="single" w:sz="4" w:space="0" w:color="000000"/>
            </w:tcBorders>
          </w:tcPr>
          <w:p w14:paraId="67A3A0F9" w14:textId="77777777" w:rsidR="00D12C94" w:rsidRPr="00393B88" w:rsidRDefault="00FE300A">
            <w:pPr>
              <w:spacing w:before="40" w:after="40"/>
            </w:pPr>
            <w:r w:rsidRPr="00393B88">
              <w:rPr>
                <w:b/>
                <w:bCs/>
                <w:sz w:val="21"/>
                <w:szCs w:val="21"/>
              </w:rPr>
              <w:t>Livrables</w:t>
            </w:r>
          </w:p>
        </w:tc>
        <w:tc>
          <w:tcPr>
            <w:tcW w:w="6769" w:type="dxa"/>
            <w:tcBorders>
              <w:top w:val="single" w:sz="4" w:space="0" w:color="000000"/>
              <w:left w:val="single" w:sz="4" w:space="0" w:color="000000"/>
              <w:bottom w:val="single" w:sz="4" w:space="0" w:color="000000"/>
              <w:right w:val="single" w:sz="4" w:space="0" w:color="000000"/>
            </w:tcBorders>
          </w:tcPr>
          <w:p w14:paraId="0B6368B8" w14:textId="77777777" w:rsidR="00D12C94" w:rsidRPr="00393B88" w:rsidRDefault="00FE300A">
            <w:pPr>
              <w:keepNext/>
              <w:spacing w:before="40" w:after="40"/>
              <w:jc w:val="both"/>
            </w:pPr>
            <w:r w:rsidRPr="00393B88">
              <w:rPr>
                <w:b/>
                <w:bCs/>
                <w:sz w:val="21"/>
                <w:szCs w:val="21"/>
              </w:rPr>
              <w:t>Livrable 1 : Note de cadrage et calendrier détaillé</w:t>
            </w:r>
          </w:p>
          <w:p w14:paraId="7FB522C5" w14:textId="77777777" w:rsidR="00D12C94" w:rsidRPr="00393B88" w:rsidRDefault="00FE300A">
            <w:pPr>
              <w:spacing w:before="40" w:after="40"/>
              <w:jc w:val="both"/>
            </w:pPr>
            <w:r w:rsidRPr="00393B88">
              <w:rPr>
                <w:sz w:val="21"/>
                <w:szCs w:val="21"/>
              </w:rPr>
              <w:t>La note proposera une méthodologie, le périmètre du diagnostic, la documentation à exploiter, les acteurs à consulter, les modalités de concertation, la répartition des responsabilités et le calendrier de production et de validation.</w:t>
            </w:r>
          </w:p>
          <w:p w14:paraId="6303EE27" w14:textId="77777777" w:rsidR="00D12C94" w:rsidRPr="00393B88" w:rsidRDefault="00FE300A">
            <w:pPr>
              <w:keepNext/>
              <w:spacing w:before="120" w:after="40"/>
              <w:jc w:val="both"/>
            </w:pPr>
            <w:r w:rsidRPr="00393B88">
              <w:rPr>
                <w:b/>
                <w:bCs/>
                <w:sz w:val="21"/>
                <w:szCs w:val="21"/>
              </w:rPr>
              <w:t>Livrable 2 : Rapport de diagnostic et de capitalisation</w:t>
            </w:r>
          </w:p>
          <w:p w14:paraId="28D4417C" w14:textId="77777777" w:rsidR="00D12C94" w:rsidRPr="00393B88" w:rsidRDefault="00FE300A">
            <w:pPr>
              <w:spacing w:before="40" w:after="40"/>
              <w:jc w:val="both"/>
            </w:pPr>
            <w:r w:rsidRPr="00393B88">
              <w:rPr>
                <w:sz w:val="21"/>
                <w:szCs w:val="21"/>
              </w:rPr>
              <w:t xml:space="preserve">Le rapport synthétisera les acquis et des difficultés de la SMA 2024/ 2027 Il exploitera les conclusions disponibles des évaluations déjà réalisées et réalisera un diagnostic actualisé des capacités et des besoins des administrations ; il prendra en compte les attentes des usagers, l’identification des enjeux </w:t>
            </w:r>
            <w:r w:rsidRPr="00393B88">
              <w:rPr>
                <w:sz w:val="21"/>
                <w:szCs w:val="21"/>
              </w:rPr>
              <w:lastRenderedPageBreak/>
              <w:t>prioritaires et des actions à poursuivre, à réorienter ou à intégrer dans la nouvelle stratégie. Les constats seront documentés et les lacunes d’information signalées.</w:t>
            </w:r>
          </w:p>
          <w:p w14:paraId="71E0FA6D" w14:textId="77777777" w:rsidR="00D12C94" w:rsidRPr="00393B88" w:rsidRDefault="00FE300A">
            <w:pPr>
              <w:keepNext/>
              <w:spacing w:before="120" w:after="40"/>
              <w:jc w:val="both"/>
            </w:pPr>
            <w:r w:rsidRPr="00393B88">
              <w:rPr>
                <w:b/>
                <w:bCs/>
                <w:sz w:val="21"/>
                <w:szCs w:val="21"/>
              </w:rPr>
              <w:t>Livrable 3 :Document d’orientations stratégiques soumis à concertation</w:t>
            </w:r>
          </w:p>
          <w:p w14:paraId="5EF41345" w14:textId="77777777" w:rsidR="00D12C94" w:rsidRPr="00393B88" w:rsidRDefault="00FE300A">
            <w:pPr>
              <w:spacing w:before="40" w:after="40"/>
              <w:jc w:val="both"/>
            </w:pPr>
            <w:r w:rsidRPr="00393B88">
              <w:rPr>
                <w:sz w:val="21"/>
                <w:szCs w:val="21"/>
              </w:rPr>
              <w:t>Le document proposera une vision, une liste de résultats attendus et d’axes stratégiques ; Il justifiera les priorités suggérées, les critères de sélection des actions, les options et arbitrages à soumettre aux autorités. Ce document servira de base à la concertation avant la rédaction complète de la stratégie.</w:t>
            </w:r>
          </w:p>
          <w:p w14:paraId="549418A7" w14:textId="77777777" w:rsidR="00D12C94" w:rsidRPr="00393B88" w:rsidRDefault="00FE300A">
            <w:pPr>
              <w:keepNext/>
              <w:spacing w:before="120" w:after="40"/>
              <w:jc w:val="both"/>
            </w:pPr>
            <w:r w:rsidRPr="00393B88">
              <w:rPr>
                <w:b/>
                <w:bCs/>
                <w:sz w:val="21"/>
                <w:szCs w:val="21"/>
              </w:rPr>
              <w:t>Livrable 4 : Projet de Stratégie de modernisation de l’administration 2028–2031</w:t>
            </w:r>
          </w:p>
          <w:p w14:paraId="5082AFA9" w14:textId="77777777" w:rsidR="00D12C94" w:rsidRPr="00393B88" w:rsidRDefault="00FE300A">
            <w:pPr>
              <w:spacing w:before="40" w:after="40"/>
              <w:jc w:val="both"/>
            </w:pPr>
            <w:r w:rsidRPr="00393B88">
              <w:rPr>
                <w:sz w:val="21"/>
                <w:szCs w:val="21"/>
              </w:rPr>
              <w:t>Le projet de stratégie développera le cadre stratégique complet comprenant le diagnostic synthétique, la vision, les objectifs, les axes d’intervention et les résultats attendus ; l’articulation avec les politiques nationales et sectorielles ; les modalités de gouvernance, de coordination et de conduite du changement,  ; la gestion des risques et la transition avec la stratégie en cours.</w:t>
            </w:r>
          </w:p>
          <w:p w14:paraId="4099BCF0" w14:textId="77777777" w:rsidR="00D12C94" w:rsidRPr="00393B88" w:rsidRDefault="00FE300A">
            <w:pPr>
              <w:keepNext/>
              <w:spacing w:before="120" w:after="40"/>
              <w:jc w:val="both"/>
            </w:pPr>
            <w:r w:rsidRPr="00393B88">
              <w:rPr>
                <w:b/>
                <w:bCs/>
                <w:sz w:val="21"/>
                <w:szCs w:val="21"/>
              </w:rPr>
              <w:t>Livrable 5 : Plan d’action chiffré et séquencé</w:t>
            </w:r>
          </w:p>
          <w:p w14:paraId="64F21528" w14:textId="77777777" w:rsidR="00D12C94" w:rsidRPr="00393B88" w:rsidRDefault="00FE300A">
            <w:pPr>
              <w:spacing w:before="40" w:after="40"/>
              <w:jc w:val="both"/>
            </w:pPr>
            <w:r w:rsidRPr="00393B88">
              <w:rPr>
                <w:sz w:val="21"/>
                <w:szCs w:val="21"/>
              </w:rPr>
              <w:t>Le plan d’action précisera la programmation opérationnelle initiale pour 2028–2031 précisant, pour chaque action, les résultats attendus, le responsable, les partenaires, les échéances, les coûts estimatifs et les sources de financement. Le plan explicitera les hypothèses de chiffrage.</w:t>
            </w:r>
          </w:p>
          <w:p w14:paraId="362294CC" w14:textId="77777777" w:rsidR="00D12C94" w:rsidRPr="00393B88" w:rsidRDefault="00FE300A">
            <w:pPr>
              <w:keepNext/>
              <w:spacing w:before="120" w:after="40"/>
              <w:jc w:val="both"/>
            </w:pPr>
            <w:r w:rsidRPr="00393B88">
              <w:rPr>
                <w:b/>
                <w:bCs/>
                <w:sz w:val="21"/>
                <w:szCs w:val="21"/>
              </w:rPr>
              <w:t>Livrable 6 : Cadre de résultats et dispositif de suivi-évaluation</w:t>
            </w:r>
          </w:p>
          <w:p w14:paraId="67B313D9" w14:textId="77777777" w:rsidR="00D12C94" w:rsidRPr="00393B88" w:rsidRDefault="00FE300A">
            <w:pPr>
              <w:spacing w:before="40" w:after="40"/>
              <w:jc w:val="both"/>
            </w:pPr>
            <w:r w:rsidRPr="00393B88">
              <w:rPr>
                <w:sz w:val="21"/>
                <w:szCs w:val="21"/>
              </w:rPr>
              <w:t>Le document détaillera les indicateurs, les valeurs de référence disponibles ou à établir, les cibles, les sources de vérification, la fréquence de collecte et responsabilités ; les modalités de consolidation des données et de revue des progrès ; le modèle de tableau de bord et de fiches de suivi des actions.</w:t>
            </w:r>
          </w:p>
          <w:p w14:paraId="5C0D5F72" w14:textId="77777777" w:rsidR="00D12C94" w:rsidRPr="00393B88" w:rsidRDefault="00FE300A">
            <w:pPr>
              <w:keepNext/>
              <w:spacing w:before="120" w:after="40"/>
              <w:jc w:val="both"/>
            </w:pPr>
            <w:r w:rsidRPr="00393B88">
              <w:rPr>
                <w:b/>
                <w:bCs/>
                <w:sz w:val="21"/>
                <w:szCs w:val="21"/>
              </w:rPr>
              <w:t>Livrable 7 : Dossier final consolidé et rapport de fin de mission</w:t>
            </w:r>
          </w:p>
          <w:p w14:paraId="08137CAC" w14:textId="77777777" w:rsidR="00D12C94" w:rsidRPr="00393B88" w:rsidRDefault="00FE300A">
            <w:pPr>
              <w:spacing w:before="40" w:after="40"/>
              <w:jc w:val="both"/>
            </w:pPr>
            <w:r w:rsidRPr="00393B88">
              <w:rPr>
                <w:sz w:val="21"/>
                <w:szCs w:val="21"/>
              </w:rPr>
              <w:t>La version finale de la stratégie, du plan d’action et du cadre de résultats intégrera les observations retenues et rédigera la synthèse exécutive ; les supports de présentation aux décideurs ; le comptes rendu de l’atelier et prochaines étapes du processus d’adoption.</w:t>
            </w:r>
          </w:p>
        </w:tc>
      </w:tr>
      <w:tr w:rsidR="00D12C94" w:rsidRPr="00393B88" w14:paraId="7330ADD7" w14:textId="77777777">
        <w:tc>
          <w:tcPr>
            <w:tcW w:w="2300" w:type="dxa"/>
            <w:tcBorders>
              <w:top w:val="single" w:sz="4" w:space="0" w:color="000000"/>
              <w:left w:val="single" w:sz="4" w:space="0" w:color="000000"/>
              <w:bottom w:val="single" w:sz="4" w:space="0" w:color="000000"/>
              <w:right w:val="single" w:sz="4" w:space="0" w:color="000000"/>
            </w:tcBorders>
          </w:tcPr>
          <w:p w14:paraId="6C2DBDB5" w14:textId="77777777" w:rsidR="00D12C94" w:rsidRPr="00393B88" w:rsidRDefault="00FE300A">
            <w:pPr>
              <w:spacing w:before="40" w:after="40"/>
            </w:pPr>
            <w:r w:rsidRPr="00393B88">
              <w:rPr>
                <w:b/>
                <w:bCs/>
                <w:sz w:val="21"/>
                <w:szCs w:val="21"/>
              </w:rPr>
              <w:lastRenderedPageBreak/>
              <w:t>Nombre de jours/homme 40 jours et calendrier prévisionnel de la mission</w:t>
            </w:r>
          </w:p>
        </w:tc>
        <w:tc>
          <w:tcPr>
            <w:tcW w:w="6769" w:type="dxa"/>
            <w:tcBorders>
              <w:top w:val="single" w:sz="4" w:space="0" w:color="000000"/>
              <w:left w:val="single" w:sz="4" w:space="0" w:color="000000"/>
              <w:bottom w:val="single" w:sz="4" w:space="0" w:color="000000"/>
              <w:right w:val="single" w:sz="4" w:space="0" w:color="000000"/>
            </w:tcBorders>
          </w:tcPr>
          <w:p w14:paraId="31D3CB0E" w14:textId="0F7CE312" w:rsidR="00D12C94" w:rsidRPr="00896C20" w:rsidRDefault="00FE300A">
            <w:pPr>
              <w:pStyle w:val="Paragraphedeliste"/>
              <w:numPr>
                <w:ilvl w:val="0"/>
                <w:numId w:val="22"/>
              </w:numPr>
              <w:spacing w:before="20" w:after="40"/>
              <w:jc w:val="both"/>
            </w:pPr>
            <w:r w:rsidRPr="00896C20">
              <w:rPr>
                <w:sz w:val="21"/>
                <w:szCs w:val="21"/>
              </w:rPr>
              <w:t xml:space="preserve">La mission est prévue du </w:t>
            </w:r>
            <w:r w:rsidR="00F877DA" w:rsidRPr="00896C20">
              <w:rPr>
                <w:sz w:val="21"/>
                <w:szCs w:val="21"/>
              </w:rPr>
              <w:t>9 n</w:t>
            </w:r>
            <w:r w:rsidRPr="00896C20">
              <w:rPr>
                <w:sz w:val="21"/>
                <w:szCs w:val="21"/>
              </w:rPr>
              <w:t>ovembre 2026 jusqu’au 28 février 2027 et se déroulera exclusivement à Nouakchott ;</w:t>
            </w:r>
          </w:p>
          <w:p w14:paraId="2521AD22" w14:textId="5C9071EC" w:rsidR="00D12C94" w:rsidRPr="00896C20" w:rsidRDefault="00FE300A">
            <w:pPr>
              <w:pStyle w:val="Paragraphedeliste"/>
              <w:numPr>
                <w:ilvl w:val="0"/>
                <w:numId w:val="23"/>
              </w:numPr>
              <w:spacing w:before="20" w:after="40"/>
              <w:jc w:val="both"/>
            </w:pPr>
            <w:r w:rsidRPr="00896C20">
              <w:rPr>
                <w:sz w:val="21"/>
                <w:szCs w:val="21"/>
              </w:rPr>
              <w:t xml:space="preserve">Le livrable 1 note de cadrage sera produit le </w:t>
            </w:r>
            <w:r w:rsidR="00546345" w:rsidRPr="00896C20">
              <w:rPr>
                <w:sz w:val="21"/>
                <w:szCs w:val="21"/>
              </w:rPr>
              <w:t>20 novembre</w:t>
            </w:r>
            <w:r w:rsidRPr="00896C20">
              <w:rPr>
                <w:sz w:val="21"/>
                <w:szCs w:val="21"/>
              </w:rPr>
              <w:t xml:space="preserve"> 2027 ;</w:t>
            </w:r>
          </w:p>
          <w:p w14:paraId="17FBAB0D" w14:textId="60595A4E" w:rsidR="00D12C94" w:rsidRPr="00896C20" w:rsidRDefault="00FE300A">
            <w:pPr>
              <w:pStyle w:val="Paragraphedeliste"/>
              <w:numPr>
                <w:ilvl w:val="0"/>
                <w:numId w:val="24"/>
              </w:numPr>
              <w:spacing w:before="20" w:after="40"/>
              <w:jc w:val="both"/>
            </w:pPr>
            <w:r w:rsidRPr="00896C20">
              <w:rPr>
                <w:sz w:val="21"/>
                <w:szCs w:val="21"/>
              </w:rPr>
              <w:t xml:space="preserve">Le livrable 2 rapport de diagnostic et de capitalisation sera produit le </w:t>
            </w:r>
            <w:r w:rsidR="00546345" w:rsidRPr="00896C20">
              <w:rPr>
                <w:sz w:val="21"/>
                <w:szCs w:val="21"/>
              </w:rPr>
              <w:t xml:space="preserve">4 décembre </w:t>
            </w:r>
            <w:r w:rsidRPr="00896C20">
              <w:rPr>
                <w:sz w:val="21"/>
                <w:szCs w:val="21"/>
              </w:rPr>
              <w:t>2026 ;</w:t>
            </w:r>
          </w:p>
          <w:p w14:paraId="2CDDBFF4" w14:textId="594D077E" w:rsidR="00D12C94" w:rsidRPr="00896C20" w:rsidRDefault="00FE300A">
            <w:pPr>
              <w:pStyle w:val="Paragraphedeliste"/>
              <w:numPr>
                <w:ilvl w:val="0"/>
                <w:numId w:val="25"/>
              </w:numPr>
              <w:spacing w:before="20" w:after="40"/>
              <w:jc w:val="both"/>
            </w:pPr>
            <w:r w:rsidRPr="00896C20">
              <w:rPr>
                <w:sz w:val="21"/>
                <w:szCs w:val="21"/>
              </w:rPr>
              <w:t xml:space="preserve">Le livrable 3 document d’orientations stratégiques sera produit le </w:t>
            </w:r>
            <w:r w:rsidR="00546345" w:rsidRPr="00896C20">
              <w:rPr>
                <w:sz w:val="21"/>
                <w:szCs w:val="21"/>
              </w:rPr>
              <w:t xml:space="preserve">18 décembre </w:t>
            </w:r>
            <w:r w:rsidRPr="00896C20">
              <w:rPr>
                <w:sz w:val="21"/>
                <w:szCs w:val="21"/>
              </w:rPr>
              <w:t>2026 ;</w:t>
            </w:r>
          </w:p>
          <w:p w14:paraId="5219D040" w14:textId="5A1E9E2E" w:rsidR="00D12C94" w:rsidRPr="00896C20" w:rsidRDefault="00FE300A">
            <w:pPr>
              <w:pStyle w:val="Paragraphedeliste"/>
              <w:numPr>
                <w:ilvl w:val="0"/>
                <w:numId w:val="26"/>
              </w:numPr>
              <w:spacing w:before="20" w:after="40"/>
              <w:jc w:val="both"/>
            </w:pPr>
            <w:r w:rsidRPr="00896C20">
              <w:rPr>
                <w:sz w:val="21"/>
                <w:szCs w:val="21"/>
              </w:rPr>
              <w:t xml:space="preserve">Le livrable 4 stratégie de modernisation de l’administration sera produit le </w:t>
            </w:r>
            <w:r w:rsidR="00546345" w:rsidRPr="00896C20">
              <w:rPr>
                <w:sz w:val="21"/>
                <w:szCs w:val="21"/>
              </w:rPr>
              <w:t xml:space="preserve">8 janvier </w:t>
            </w:r>
            <w:r w:rsidRPr="00896C20">
              <w:rPr>
                <w:sz w:val="21"/>
                <w:szCs w:val="21"/>
              </w:rPr>
              <w:t>202</w:t>
            </w:r>
            <w:r w:rsidR="00546345" w:rsidRPr="00896C20">
              <w:rPr>
                <w:sz w:val="21"/>
                <w:szCs w:val="21"/>
              </w:rPr>
              <w:t>7</w:t>
            </w:r>
            <w:r w:rsidRPr="00896C20">
              <w:rPr>
                <w:sz w:val="21"/>
                <w:szCs w:val="21"/>
              </w:rPr>
              <w:t xml:space="preserve"> ;</w:t>
            </w:r>
          </w:p>
          <w:p w14:paraId="43571492" w14:textId="7A9EC267" w:rsidR="00D12C94" w:rsidRPr="00896C20" w:rsidRDefault="00FE300A">
            <w:pPr>
              <w:pStyle w:val="Paragraphedeliste"/>
              <w:numPr>
                <w:ilvl w:val="0"/>
                <w:numId w:val="27"/>
              </w:numPr>
              <w:spacing w:before="20" w:after="40"/>
              <w:jc w:val="both"/>
            </w:pPr>
            <w:r w:rsidRPr="00896C20">
              <w:rPr>
                <w:sz w:val="21"/>
                <w:szCs w:val="21"/>
              </w:rPr>
              <w:t>Le livrable 5 plan d’act</w:t>
            </w:r>
            <w:r w:rsidR="00546345" w:rsidRPr="00896C20">
              <w:rPr>
                <w:sz w:val="21"/>
                <w:szCs w:val="21"/>
              </w:rPr>
              <w:t>i</w:t>
            </w:r>
            <w:r w:rsidRPr="00896C20">
              <w:rPr>
                <w:sz w:val="21"/>
                <w:szCs w:val="21"/>
              </w:rPr>
              <w:t xml:space="preserve">ons chiffré et séquence le </w:t>
            </w:r>
            <w:r w:rsidR="00546345" w:rsidRPr="00896C20">
              <w:rPr>
                <w:sz w:val="21"/>
                <w:szCs w:val="21"/>
              </w:rPr>
              <w:t>22 janvier</w:t>
            </w:r>
            <w:r w:rsidRPr="00896C20">
              <w:rPr>
                <w:sz w:val="21"/>
                <w:szCs w:val="21"/>
              </w:rPr>
              <w:t xml:space="preserve"> 2027 ;</w:t>
            </w:r>
          </w:p>
          <w:p w14:paraId="7EBCFF66" w14:textId="0EDB502E" w:rsidR="00D12C94" w:rsidRPr="00805F07" w:rsidRDefault="00FE300A">
            <w:pPr>
              <w:pStyle w:val="Paragraphedeliste"/>
              <w:numPr>
                <w:ilvl w:val="0"/>
                <w:numId w:val="28"/>
              </w:numPr>
              <w:spacing w:before="20" w:after="40"/>
              <w:jc w:val="both"/>
              <w:rPr>
                <w:color w:val="EE0000"/>
              </w:rPr>
            </w:pPr>
            <w:r w:rsidRPr="00896C20">
              <w:rPr>
                <w:sz w:val="21"/>
                <w:szCs w:val="21"/>
              </w:rPr>
              <w:t>Le livrable 6 cadre de résultats et le dispositif de suivi évaluation le 2</w:t>
            </w:r>
            <w:r w:rsidR="00546345" w:rsidRPr="00896C20">
              <w:rPr>
                <w:sz w:val="21"/>
                <w:szCs w:val="21"/>
              </w:rPr>
              <w:t>9</w:t>
            </w:r>
            <w:r w:rsidRPr="00896C20">
              <w:rPr>
                <w:sz w:val="21"/>
                <w:szCs w:val="21"/>
              </w:rPr>
              <w:t xml:space="preserve"> janvier 2027 </w:t>
            </w:r>
            <w:r w:rsidRPr="00805F07">
              <w:rPr>
                <w:color w:val="EE0000"/>
                <w:sz w:val="21"/>
                <w:szCs w:val="21"/>
              </w:rPr>
              <w:t>;</w:t>
            </w:r>
          </w:p>
          <w:p w14:paraId="339EEE82" w14:textId="668197A0" w:rsidR="00D12C94" w:rsidRPr="00393B88" w:rsidRDefault="00FE300A">
            <w:pPr>
              <w:pStyle w:val="Paragraphedeliste"/>
              <w:numPr>
                <w:ilvl w:val="0"/>
                <w:numId w:val="29"/>
              </w:numPr>
              <w:spacing w:before="20" w:after="40"/>
              <w:jc w:val="both"/>
            </w:pPr>
            <w:r w:rsidRPr="00896C20">
              <w:rPr>
                <w:sz w:val="21"/>
                <w:szCs w:val="21"/>
              </w:rPr>
              <w:t xml:space="preserve">Le livrable 7 le dosser final consolidé et le rapport final de mission seront produits le vendredi </w:t>
            </w:r>
            <w:r w:rsidR="00546345" w:rsidRPr="00896C20">
              <w:rPr>
                <w:sz w:val="21"/>
                <w:szCs w:val="21"/>
              </w:rPr>
              <w:t>12</w:t>
            </w:r>
            <w:r w:rsidRPr="00896C20">
              <w:rPr>
                <w:sz w:val="21"/>
                <w:szCs w:val="21"/>
              </w:rPr>
              <w:t xml:space="preserve"> février 2027.</w:t>
            </w:r>
          </w:p>
        </w:tc>
      </w:tr>
      <w:tr w:rsidR="00D12C94" w:rsidRPr="00393B88" w14:paraId="3675D4AB" w14:textId="77777777">
        <w:tc>
          <w:tcPr>
            <w:tcW w:w="2300" w:type="dxa"/>
            <w:tcBorders>
              <w:top w:val="single" w:sz="4" w:space="0" w:color="000000"/>
              <w:left w:val="single" w:sz="4" w:space="0" w:color="000000"/>
              <w:bottom w:val="single" w:sz="4" w:space="0" w:color="000000"/>
              <w:right w:val="single" w:sz="4" w:space="0" w:color="000000"/>
            </w:tcBorders>
          </w:tcPr>
          <w:p w14:paraId="2D8A0F49" w14:textId="77777777" w:rsidR="00D12C94" w:rsidRPr="00393B88" w:rsidRDefault="00FE300A">
            <w:pPr>
              <w:spacing w:before="40" w:after="40"/>
            </w:pPr>
            <w:r w:rsidRPr="00393B88">
              <w:rPr>
                <w:b/>
                <w:bCs/>
                <w:sz w:val="21"/>
                <w:szCs w:val="21"/>
              </w:rPr>
              <w:t>Validation</w:t>
            </w:r>
          </w:p>
        </w:tc>
        <w:tc>
          <w:tcPr>
            <w:tcW w:w="6769" w:type="dxa"/>
            <w:tcBorders>
              <w:top w:val="single" w:sz="4" w:space="0" w:color="000000"/>
              <w:left w:val="single" w:sz="4" w:space="0" w:color="000000"/>
              <w:bottom w:val="single" w:sz="4" w:space="0" w:color="000000"/>
              <w:right w:val="single" w:sz="4" w:space="0" w:color="000000"/>
            </w:tcBorders>
          </w:tcPr>
          <w:p w14:paraId="247938DD" w14:textId="77777777" w:rsidR="00D12C94" w:rsidRPr="00393B88" w:rsidRDefault="00FE300A">
            <w:pPr>
              <w:spacing w:before="40" w:after="40"/>
            </w:pPr>
            <w:r w:rsidRPr="00393B88">
              <w:rPr>
                <w:sz w:val="21"/>
                <w:szCs w:val="21"/>
              </w:rPr>
              <w:t>Direction du PAGFAM</w:t>
            </w:r>
          </w:p>
          <w:p w14:paraId="59874BDA" w14:textId="77777777" w:rsidR="00D12C94" w:rsidRPr="00393B88" w:rsidRDefault="00FE300A">
            <w:pPr>
              <w:spacing w:before="40" w:after="40"/>
            </w:pPr>
            <w:r w:rsidRPr="00393B88">
              <w:rPr>
                <w:sz w:val="21"/>
                <w:szCs w:val="21"/>
              </w:rPr>
              <w:t>DMA MTNMA</w:t>
            </w:r>
          </w:p>
        </w:tc>
      </w:tr>
    </w:tbl>
    <w:p w14:paraId="26128513" w14:textId="77777777" w:rsidR="00D12C94" w:rsidRPr="00393B88" w:rsidRDefault="00D12C94">
      <w:pPr>
        <w:pStyle w:val="Corpsdetexte"/>
        <w:spacing w:after="120"/>
      </w:pPr>
    </w:p>
    <w:p w14:paraId="477D2168" w14:textId="77CC15AF" w:rsidR="00D12C94" w:rsidRPr="00393B88" w:rsidRDefault="00FE300A">
      <w:pPr>
        <w:pStyle w:val="Titre1"/>
      </w:pPr>
      <w:r w:rsidRPr="00393B88">
        <w:lastRenderedPageBreak/>
        <w:t>1</w:t>
      </w:r>
      <w:r w:rsidR="00DA5AB4">
        <w:t>3</w:t>
      </w:r>
      <w:r w:rsidRPr="00393B88">
        <w:t>. PROFIL ET QUALIFICATIONS DU CONSULTANT</w:t>
      </w:r>
    </w:p>
    <w:p w14:paraId="26775F23" w14:textId="77777777" w:rsidR="00D12C94" w:rsidRPr="00393B88" w:rsidRDefault="00FE300A">
      <w:pPr>
        <w:spacing w:after="120"/>
        <w:jc w:val="both"/>
      </w:pPr>
      <w:r w:rsidRPr="00AB4BD3">
        <w:t>La mission sera confiée à un consultant senior spécialisé dans la modernisation de l’administration</w:t>
      </w:r>
      <w:r w:rsidRPr="00393B88">
        <w:t xml:space="preserve"> publique, disposant d’une expérience confirmée en diagnostic institutionnel, en élaboration de stratégies et en programmation opérationnelle des réformes.</w:t>
      </w:r>
    </w:p>
    <w:p w14:paraId="4C8978B6" w14:textId="77777777" w:rsidR="00D12C94" w:rsidRPr="00393B88" w:rsidRDefault="00FE300A">
      <w:pPr>
        <w:pStyle w:val="Titre3"/>
      </w:pPr>
      <w:r w:rsidRPr="00393B88">
        <w:t>Formation</w:t>
      </w:r>
    </w:p>
    <w:p w14:paraId="50E8C465" w14:textId="77777777" w:rsidR="00D12C94" w:rsidRPr="00393B88" w:rsidRDefault="00FE300A">
      <w:pPr>
        <w:spacing w:after="120"/>
        <w:jc w:val="both"/>
      </w:pPr>
      <w:r w:rsidRPr="00393B88">
        <w:t>Le consultant devra être titulaire d’un diplôme universitaire de niveau master ou équivalent en administration publique, politiques publiques, droit public, sciences politiques, économie, gestion ou dans un domaine pertinent pour la mission.</w:t>
      </w:r>
    </w:p>
    <w:p w14:paraId="0CC32E36" w14:textId="77777777" w:rsidR="00D12C94" w:rsidRPr="00393B88" w:rsidRDefault="00FE300A">
      <w:pPr>
        <w:pStyle w:val="Titre3"/>
      </w:pPr>
      <w:r w:rsidRPr="00393B88">
        <w:t>Expérience professionnelle</w:t>
      </w:r>
    </w:p>
    <w:p w14:paraId="36D08717" w14:textId="77777777" w:rsidR="00D12C94" w:rsidRPr="00393B88" w:rsidRDefault="00FE300A">
      <w:pPr>
        <w:keepNext/>
        <w:spacing w:after="120"/>
        <w:jc w:val="both"/>
      </w:pPr>
      <w:r w:rsidRPr="00393B88">
        <w:t>Le consultant devra justifier :</w:t>
      </w:r>
    </w:p>
    <w:p w14:paraId="78DB3D0B" w14:textId="77777777" w:rsidR="00D12C94" w:rsidRPr="00393B88" w:rsidRDefault="00FE300A">
      <w:pPr>
        <w:pStyle w:val="Paragraphedeliste"/>
        <w:numPr>
          <w:ilvl w:val="0"/>
          <w:numId w:val="1"/>
        </w:numPr>
        <w:spacing w:after="60"/>
        <w:jc w:val="both"/>
      </w:pPr>
      <w:r w:rsidRPr="00393B88">
        <w:t>d’au moins dix années d’expérience professionnelle pertinente dans la réforme et la modernisation de l’administration publiq</w:t>
      </w:r>
      <w:bookmarkStart w:id="0" w:name="_GoBack"/>
      <w:bookmarkEnd w:id="0"/>
      <w:r w:rsidRPr="00393B88">
        <w:t>ue ;</w:t>
      </w:r>
    </w:p>
    <w:p w14:paraId="0DC1B7F9" w14:textId="77777777" w:rsidR="00D12C94" w:rsidRPr="00393B88" w:rsidRDefault="00FE300A">
      <w:pPr>
        <w:pStyle w:val="Paragraphedeliste"/>
        <w:numPr>
          <w:ilvl w:val="0"/>
          <w:numId w:val="1"/>
        </w:numPr>
        <w:spacing w:after="60"/>
        <w:jc w:val="both"/>
      </w:pPr>
      <w:r w:rsidRPr="00393B88">
        <w:t>d’au moins deux missions comparables portant sur l’élaboration ou la révision de stratégies de réforme administrative ou de modernisation du secteur public, dont au moins une réalisée en qualité de chef de mission ou d’expert principal ;</w:t>
      </w:r>
    </w:p>
    <w:p w14:paraId="5BBB915D" w14:textId="77777777" w:rsidR="00D12C94" w:rsidRPr="00393B88" w:rsidRDefault="00FE300A">
      <w:pPr>
        <w:pStyle w:val="Paragraphedeliste"/>
        <w:numPr>
          <w:ilvl w:val="0"/>
          <w:numId w:val="1"/>
        </w:numPr>
        <w:spacing w:after="60"/>
        <w:jc w:val="both"/>
      </w:pPr>
      <w:r w:rsidRPr="00393B88">
        <w:t>d’une expérience avérée dans la préparation de plans d’action chiffrés, la définition de dispositifs de gouvernance et la construction de cadres de résultats et de suivi-évaluation ;</w:t>
      </w:r>
    </w:p>
    <w:p w14:paraId="45C488AF" w14:textId="77777777" w:rsidR="00D12C94" w:rsidRPr="00393B88" w:rsidRDefault="00FE300A">
      <w:pPr>
        <w:pStyle w:val="Paragraphedeliste"/>
        <w:numPr>
          <w:ilvl w:val="0"/>
          <w:numId w:val="1"/>
        </w:numPr>
        <w:spacing w:after="60"/>
        <w:jc w:val="both"/>
      </w:pPr>
      <w:r w:rsidRPr="00393B88">
        <w:t>d’une expérience de conduite de consultations et d’animation d’ateliers associant plusieurs administrations et catégories d’acteurs.</w:t>
      </w:r>
    </w:p>
    <w:p w14:paraId="1FBC6AA2" w14:textId="77777777" w:rsidR="00D12C94" w:rsidRPr="00393B88" w:rsidRDefault="00FE300A">
      <w:pPr>
        <w:spacing w:before="60" w:after="120"/>
        <w:jc w:val="both"/>
      </w:pPr>
      <w:r w:rsidRPr="00393B88">
        <w:t>Une expérience en Mauritanie ou dans des contextes administratifs comparables, notamment en Afrique, constituera un atout.</w:t>
      </w:r>
    </w:p>
    <w:p w14:paraId="1A538027" w14:textId="77777777" w:rsidR="00D12C94" w:rsidRPr="00393B88" w:rsidRDefault="00FE300A">
      <w:pPr>
        <w:pStyle w:val="Titre3"/>
      </w:pPr>
      <w:r w:rsidRPr="00393B88">
        <w:t>Compétences techniques</w:t>
      </w:r>
    </w:p>
    <w:p w14:paraId="10680D98" w14:textId="77777777" w:rsidR="00D12C94" w:rsidRPr="00393B88" w:rsidRDefault="00FE300A">
      <w:pPr>
        <w:keepNext/>
        <w:spacing w:after="120"/>
        <w:jc w:val="both"/>
      </w:pPr>
      <w:r w:rsidRPr="00393B88">
        <w:t>Le consultant devra démontrer sa capacité à :</w:t>
      </w:r>
    </w:p>
    <w:p w14:paraId="02DE4741" w14:textId="77777777" w:rsidR="00D12C94" w:rsidRPr="00393B88" w:rsidRDefault="00FE300A">
      <w:pPr>
        <w:pStyle w:val="Paragraphedeliste"/>
        <w:numPr>
          <w:ilvl w:val="0"/>
          <w:numId w:val="1"/>
        </w:numPr>
        <w:spacing w:after="60"/>
        <w:jc w:val="both"/>
      </w:pPr>
      <w:r w:rsidRPr="00393B88">
        <w:t>analyser les institutions, les organisations administratives et les processus de délivrance des services publics ;</w:t>
      </w:r>
    </w:p>
    <w:p w14:paraId="24604395" w14:textId="77777777" w:rsidR="00D12C94" w:rsidRPr="00393B88" w:rsidRDefault="00FE300A">
      <w:pPr>
        <w:pStyle w:val="Paragraphedeliste"/>
        <w:numPr>
          <w:ilvl w:val="0"/>
          <w:numId w:val="1"/>
        </w:numPr>
        <w:spacing w:after="60"/>
        <w:jc w:val="both"/>
      </w:pPr>
      <w:r w:rsidRPr="00393B88">
        <w:t>exploiter les résultats d’une évaluation pour construire un nouveau cadre stratégique, en assurant la continuité entre les périodes de programmation ;</w:t>
      </w:r>
    </w:p>
    <w:p w14:paraId="1C0D8319" w14:textId="77777777" w:rsidR="00D12C94" w:rsidRPr="00393B88" w:rsidRDefault="00FE300A">
      <w:pPr>
        <w:pStyle w:val="Paragraphedeliste"/>
        <w:numPr>
          <w:ilvl w:val="0"/>
          <w:numId w:val="1"/>
        </w:numPr>
        <w:spacing w:after="60"/>
        <w:jc w:val="both"/>
      </w:pPr>
      <w:r w:rsidRPr="00393B88">
        <w:t>articuler les réformes institutionnelles, la gestion des ressources humaines, la simplification des procédures, la transformation numérique et les contraintes budgétaires ;</w:t>
      </w:r>
    </w:p>
    <w:p w14:paraId="4D6B2A00" w14:textId="77777777" w:rsidR="00D12C94" w:rsidRPr="00393B88" w:rsidRDefault="00FE300A">
      <w:pPr>
        <w:pStyle w:val="Paragraphedeliste"/>
        <w:numPr>
          <w:ilvl w:val="0"/>
          <w:numId w:val="1"/>
        </w:numPr>
        <w:spacing w:after="60"/>
        <w:jc w:val="both"/>
      </w:pPr>
      <w:r w:rsidRPr="00393B88">
        <w:t>traduire les orientations stratégiques en actions réalistes, priorisées, chiffrées et séquencées ;</w:t>
      </w:r>
    </w:p>
    <w:p w14:paraId="23372CA0" w14:textId="77777777" w:rsidR="00D12C94" w:rsidRPr="00393B88" w:rsidRDefault="00FE300A">
      <w:pPr>
        <w:pStyle w:val="Paragraphedeliste"/>
        <w:numPr>
          <w:ilvl w:val="0"/>
          <w:numId w:val="1"/>
        </w:numPr>
        <w:spacing w:after="60"/>
        <w:jc w:val="both"/>
      </w:pPr>
      <w:r w:rsidRPr="00393B88">
        <w:t>définir les responsabilités de mise en œuvre, les mécanismes de coordination et les modalités de conduite du changement ;</w:t>
      </w:r>
    </w:p>
    <w:p w14:paraId="16B7BBD0" w14:textId="77777777" w:rsidR="00D12C94" w:rsidRPr="00393B88" w:rsidRDefault="00FE300A">
      <w:pPr>
        <w:pStyle w:val="Paragraphedeliste"/>
        <w:numPr>
          <w:ilvl w:val="0"/>
          <w:numId w:val="1"/>
        </w:numPr>
        <w:spacing w:after="60"/>
        <w:jc w:val="both"/>
      </w:pPr>
      <w:r w:rsidRPr="00393B88">
        <w:t>élaborer des indicateurs mesurables et des dispositifs de collecte et de fiabilisation des données ;</w:t>
      </w:r>
    </w:p>
    <w:p w14:paraId="21ACCB31" w14:textId="77777777" w:rsidR="00D12C94" w:rsidRPr="00393B88" w:rsidRDefault="00FE300A">
      <w:pPr>
        <w:pStyle w:val="Paragraphedeliste"/>
        <w:numPr>
          <w:ilvl w:val="0"/>
          <w:numId w:val="1"/>
        </w:numPr>
        <w:spacing w:after="60"/>
        <w:jc w:val="both"/>
      </w:pPr>
      <w:r w:rsidRPr="00393B88">
        <w:t>intégrer les besoins des usagers et les exigences d’accessibilité et d’inclusion dans la conception des services publics.</w:t>
      </w:r>
    </w:p>
    <w:p w14:paraId="7CFBEC37" w14:textId="77777777" w:rsidR="00D12C94" w:rsidRPr="00393B88" w:rsidRDefault="00FE300A">
      <w:pPr>
        <w:pStyle w:val="Titre3"/>
      </w:pPr>
      <w:r w:rsidRPr="00393B88">
        <w:t>Aptitudes et compétences linguistiques</w:t>
      </w:r>
    </w:p>
    <w:p w14:paraId="67A1FCE1" w14:textId="77777777" w:rsidR="00D12C94" w:rsidRPr="00393B88" w:rsidRDefault="00FE300A">
      <w:pPr>
        <w:spacing w:after="120"/>
        <w:jc w:val="both"/>
      </w:pPr>
      <w:r w:rsidRPr="00393B88">
        <w:t>Le consultant devra disposer d’excellentes capacités d’analyse, de synthèse, de rédaction et de facilitation. Il devra être capable de dialoguer avec les responsables des administrations, de conduire une concertation et de présenter des propositions opérationnelles susceptibles d’éclairer les arbitrages publics.</w:t>
      </w:r>
    </w:p>
    <w:p w14:paraId="4C6F2A2A" w14:textId="77777777" w:rsidR="00D12C94" w:rsidRPr="00393B88" w:rsidRDefault="00FE300A">
      <w:pPr>
        <w:spacing w:after="120"/>
        <w:jc w:val="both"/>
      </w:pPr>
      <w:r w:rsidRPr="00393B88">
        <w:lastRenderedPageBreak/>
        <w:t>La maîtrise du français, à l’oral et à l’écrit, est requise. La maîtrise de l’arabe constitue un atout majeur.</w:t>
      </w:r>
    </w:p>
    <w:p w14:paraId="5FB172B6" w14:textId="77777777" w:rsidR="00D12C94" w:rsidRPr="00393B88" w:rsidRDefault="00FE300A">
      <w:pPr>
        <w:pStyle w:val="Titre3"/>
      </w:pPr>
      <w:r w:rsidRPr="00393B88">
        <w:t>Pièces justificatives</w:t>
      </w:r>
    </w:p>
    <w:p w14:paraId="1E85118F" w14:textId="16508908" w:rsidR="00D12C94" w:rsidRDefault="00FE300A">
      <w:pPr>
        <w:spacing w:after="120"/>
        <w:jc w:val="both"/>
      </w:pPr>
      <w:r w:rsidRPr="00393B88">
        <w:t>Les candidatures comprendront un curriculum vitae détaillé, les références des missions comparables précisant le rôle effectivement exercé et, lorsque leur communication est autorisée, des exemples de productions pertinentes.</w:t>
      </w:r>
    </w:p>
    <w:sectPr w:rsidR="00D12C94">
      <w:headerReference w:type="default" r:id="rId11"/>
      <w:footerReference w:type="default" r:id="rId12"/>
      <w:footerReference w:type="first" r:id="rId13"/>
      <w:pgSz w:w="11906" w:h="16838"/>
      <w:pgMar w:top="1360" w:right="1275" w:bottom="280" w:left="992" w:header="751"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9D2683" w14:textId="77777777" w:rsidR="000C0678" w:rsidRPr="00393B88" w:rsidRDefault="000C0678">
      <w:pPr>
        <w:spacing w:line="240" w:lineRule="auto"/>
      </w:pPr>
      <w:r w:rsidRPr="00393B88">
        <w:separator/>
      </w:r>
    </w:p>
  </w:endnote>
  <w:endnote w:type="continuationSeparator" w:id="0">
    <w:p w14:paraId="546C775C" w14:textId="77777777" w:rsidR="000C0678" w:rsidRPr="00393B88" w:rsidRDefault="000C0678">
      <w:pPr>
        <w:spacing w:line="240" w:lineRule="auto"/>
      </w:pPr>
      <w:r w:rsidRPr="00393B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1"/>
    <w:family w:val="swiss"/>
    <w:pitch w:val="variable"/>
  </w:font>
  <w:font w:name="Noto Sans CJK SC">
    <w:panose1 w:val="00000000000000000000"/>
    <w:charset w:val="00"/>
    <w:family w:val="roman"/>
    <w:notTrueType/>
    <w:pitch w:val="default"/>
  </w:font>
  <w:font w:name="FreeSan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869397" w14:textId="1B08DAFD" w:rsidR="00D12C94" w:rsidRPr="00393B88" w:rsidRDefault="00FE300A">
    <w:pPr>
      <w:jc w:val="center"/>
    </w:pPr>
    <w:r w:rsidRPr="00393B88">
      <w:rPr>
        <w:sz w:val="18"/>
        <w:szCs w:val="18"/>
      </w:rPr>
      <w:fldChar w:fldCharType="begin"/>
    </w:r>
    <w:r w:rsidRPr="00393B88">
      <w:rPr>
        <w:sz w:val="18"/>
        <w:szCs w:val="18"/>
      </w:rPr>
      <w:instrText xml:space="preserve"> PAGE </w:instrText>
    </w:r>
    <w:r w:rsidRPr="00393B88">
      <w:rPr>
        <w:sz w:val="18"/>
        <w:szCs w:val="18"/>
      </w:rPr>
      <w:fldChar w:fldCharType="separate"/>
    </w:r>
    <w:r w:rsidR="00326F48">
      <w:rPr>
        <w:noProof/>
        <w:sz w:val="18"/>
        <w:szCs w:val="18"/>
      </w:rPr>
      <w:t>7</w:t>
    </w:r>
    <w:r w:rsidRPr="00393B88">
      <w:rPr>
        <w:sz w:val="18"/>
        <w:szCs w:val="18"/>
      </w:rPr>
      <w:fldChar w:fldCharType="end"/>
    </w:r>
    <w:r w:rsidRPr="00393B88">
      <w:rPr>
        <w:sz w:val="18"/>
        <w:szCs w:val="18"/>
      </w:rPr>
      <w:t xml:space="preserve"> / </w:t>
    </w:r>
    <w:r w:rsidRPr="00393B88">
      <w:rPr>
        <w:sz w:val="18"/>
        <w:szCs w:val="18"/>
      </w:rPr>
      <w:fldChar w:fldCharType="begin"/>
    </w:r>
    <w:r w:rsidRPr="00393B88">
      <w:rPr>
        <w:sz w:val="18"/>
        <w:szCs w:val="18"/>
      </w:rPr>
      <w:instrText xml:space="preserve"> NUMPAGES </w:instrText>
    </w:r>
    <w:r w:rsidRPr="00393B88">
      <w:rPr>
        <w:sz w:val="18"/>
        <w:szCs w:val="18"/>
      </w:rPr>
      <w:fldChar w:fldCharType="separate"/>
    </w:r>
    <w:r w:rsidR="00326F48">
      <w:rPr>
        <w:noProof/>
        <w:sz w:val="18"/>
        <w:szCs w:val="18"/>
      </w:rPr>
      <w:t>13</w:t>
    </w:r>
    <w:r w:rsidRPr="00393B88">
      <w:rPr>
        <w:sz w:val="18"/>
        <w:szCs w:val="18"/>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C5957" w14:textId="4C36A646" w:rsidR="00D12C94" w:rsidRPr="00393B88" w:rsidRDefault="00FE300A">
    <w:pPr>
      <w:jc w:val="center"/>
    </w:pPr>
    <w:r w:rsidRPr="00393B88">
      <w:rPr>
        <w:sz w:val="18"/>
        <w:szCs w:val="18"/>
      </w:rPr>
      <w:fldChar w:fldCharType="begin"/>
    </w:r>
    <w:r w:rsidRPr="00393B88">
      <w:rPr>
        <w:sz w:val="18"/>
        <w:szCs w:val="18"/>
      </w:rPr>
      <w:instrText xml:space="preserve"> PAGE </w:instrText>
    </w:r>
    <w:r w:rsidRPr="00393B88">
      <w:rPr>
        <w:sz w:val="18"/>
        <w:szCs w:val="18"/>
      </w:rPr>
      <w:fldChar w:fldCharType="separate"/>
    </w:r>
    <w:r w:rsidRPr="00393B88">
      <w:rPr>
        <w:sz w:val="18"/>
        <w:szCs w:val="18"/>
      </w:rPr>
      <w:t>10</w:t>
    </w:r>
    <w:r w:rsidRPr="00393B88">
      <w:rPr>
        <w:sz w:val="18"/>
        <w:szCs w:val="18"/>
      </w:rPr>
      <w:fldChar w:fldCharType="end"/>
    </w:r>
    <w:r w:rsidRPr="00393B88">
      <w:rPr>
        <w:sz w:val="18"/>
        <w:szCs w:val="18"/>
      </w:rPr>
      <w:t xml:space="preserve"> / </w:t>
    </w:r>
    <w:r w:rsidRPr="00393B88">
      <w:rPr>
        <w:sz w:val="18"/>
        <w:szCs w:val="18"/>
      </w:rPr>
      <w:fldChar w:fldCharType="begin"/>
    </w:r>
    <w:r w:rsidRPr="00393B88">
      <w:rPr>
        <w:sz w:val="18"/>
        <w:szCs w:val="18"/>
      </w:rPr>
      <w:instrText xml:space="preserve"> NUMPAGES </w:instrText>
    </w:r>
    <w:r w:rsidRPr="00393B88">
      <w:rPr>
        <w:sz w:val="18"/>
        <w:szCs w:val="18"/>
      </w:rPr>
      <w:fldChar w:fldCharType="separate"/>
    </w:r>
    <w:r w:rsidR="0080551B">
      <w:rPr>
        <w:noProof/>
        <w:sz w:val="18"/>
        <w:szCs w:val="18"/>
      </w:rPr>
      <w:t>13</w:t>
    </w:r>
    <w:r w:rsidRPr="00393B88">
      <w:rPr>
        <w:sz w:val="18"/>
        <w:szCs w:val="18"/>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2FC80" w14:textId="77777777" w:rsidR="00D12C94" w:rsidRPr="00393B88" w:rsidRDefault="00D12C94"/>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BE8D9" w14:textId="77777777" w:rsidR="00D12C94" w:rsidRPr="00393B88" w:rsidRDefault="00D12C94"/>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F7FA9D" w14:textId="77777777" w:rsidR="000C0678" w:rsidRPr="00393B88" w:rsidRDefault="000C0678">
      <w:pPr>
        <w:spacing w:line="240" w:lineRule="auto"/>
      </w:pPr>
      <w:r w:rsidRPr="00393B88">
        <w:separator/>
      </w:r>
    </w:p>
  </w:footnote>
  <w:footnote w:type="continuationSeparator" w:id="0">
    <w:p w14:paraId="50D69976" w14:textId="77777777" w:rsidR="000C0678" w:rsidRPr="00393B88" w:rsidRDefault="000C0678">
      <w:pPr>
        <w:spacing w:line="240" w:lineRule="auto"/>
      </w:pPr>
      <w:r w:rsidRPr="00393B88">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4A0509" w14:textId="77777777" w:rsidR="00D12C94" w:rsidRPr="00393B88" w:rsidRDefault="00FE300A">
    <w:pPr>
      <w:pStyle w:val="Corpsdetexte"/>
      <w:spacing w:line="12" w:lineRule="auto"/>
      <w:rPr>
        <w:sz w:val="20"/>
      </w:rPr>
    </w:pPr>
    <w:r w:rsidRPr="00393B88">
      <w:rPr>
        <w:noProof/>
        <w:sz w:val="20"/>
        <w:lang w:eastAsia="fr-FR"/>
      </w:rPr>
      <mc:AlternateContent>
        <mc:Choice Requires="wps">
          <w:drawing>
            <wp:anchor distT="0" distB="0" distL="0" distR="0" simplePos="0" relativeHeight="14" behindDoc="1" locked="0" layoutInCell="0" allowOverlap="1" wp14:anchorId="2D1F14DA" wp14:editId="0FFB296C">
              <wp:simplePos x="0" y="0"/>
              <wp:positionH relativeFrom="page">
                <wp:posOffset>861695</wp:posOffset>
              </wp:positionH>
              <wp:positionV relativeFrom="page">
                <wp:posOffset>464185</wp:posOffset>
              </wp:positionV>
              <wp:extent cx="160020" cy="165735"/>
              <wp:effectExtent l="0" t="0" r="0" b="0"/>
              <wp:wrapNone/>
              <wp:docPr id="2" name="Textbox 1"/>
              <wp:cNvGraphicFramePr/>
              <a:graphic xmlns:a="http://schemas.openxmlformats.org/drawingml/2006/main">
                <a:graphicData uri="http://schemas.microsoft.com/office/word/2010/wordprocessingShape">
                  <wps:wsp>
                    <wps:cNvSpPr/>
                    <wps:spPr>
                      <a:xfrm>
                        <a:off x="0" y="0"/>
                        <a:ext cx="160200" cy="165600"/>
                      </a:xfrm>
                      <a:prstGeom prst="rect">
                        <a:avLst/>
                      </a:prstGeom>
                      <a:noFill/>
                      <a:ln w="0">
                        <a:noFill/>
                      </a:ln>
                    </wps:spPr>
                    <wps:style>
                      <a:lnRef idx="0">
                        <a:scrgbClr r="0" g="0" b="0"/>
                      </a:lnRef>
                      <a:fillRef idx="0">
                        <a:scrgbClr r="0" g="0" b="0"/>
                      </a:fillRef>
                      <a:effectRef idx="0">
                        <a:scrgbClr r="0" g="0" b="0"/>
                      </a:effectRef>
                      <a:fontRef idx="minor"/>
                    </wps:style>
                    <wps:txbx>
                      <w:txbxContent>
                        <w:p w14:paraId="55CC353B" w14:textId="729BBC4A" w:rsidR="00D12C94" w:rsidRPr="00393B88" w:rsidRDefault="00D12C94">
                          <w:pPr>
                            <w:pStyle w:val="FrameContents"/>
                            <w:spacing w:line="245" w:lineRule="exact"/>
                            <w:ind w:left="60"/>
                          </w:pPr>
                        </w:p>
                      </w:txbxContent>
                    </wps:txbx>
                    <wps:bodyPr lIns="0" tIns="0" rIns="0" bIns="0" anchor="t">
                      <a:noAutofit/>
                    </wps:bodyPr>
                  </wps:wsp>
                </a:graphicData>
              </a:graphic>
            </wp:anchor>
          </w:drawing>
        </mc:Choice>
        <mc:Fallback>
          <w:pict>
            <v:rect w14:anchorId="2D1F14DA" id="Textbox 1" o:spid="_x0000_s1026" style="position:absolute;margin-left:67.85pt;margin-top:36.55pt;width:12.6pt;height:13.05pt;z-index:-50331646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" o:allowincell="f" filled="f" stroked="f" strokeweight="0">
              <v:textbox inset="0,0,0,0">
                <w:txbxContent>
                  <w:p w14:paraId="55CC353B" w14:textId="729BBC4A" w:rsidR="00D12C94" w:rsidRPr="00393B88" w:rsidRDefault="00D12C94">
                    <w:pPr>
                      <w:pStyle w:val="FrameContents"/>
                      <w:spacing w:line="245" w:lineRule="exact"/>
                      <w:ind w:left="60"/>
                    </w:pP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0784F"/>
    <w:multiLevelType w:val="hybridMultilevel"/>
    <w:tmpl w:val="4D8C4FC4"/>
    <w:lvl w:ilvl="0" w:tplc="A68A7EFE">
      <w:start w:val="7"/>
      <w:numFmt w:val="decimal"/>
      <w:lvlText w:val="%1."/>
      <w:lvlJc w:val="left"/>
      <w:pPr>
        <w:ind w:left="587" w:hanging="360"/>
      </w:pPr>
      <w:rPr>
        <w:rFonts w:hint="default"/>
      </w:rPr>
    </w:lvl>
    <w:lvl w:ilvl="1" w:tplc="040C0019" w:tentative="1">
      <w:start w:val="1"/>
      <w:numFmt w:val="lowerLetter"/>
      <w:lvlText w:val="%2."/>
      <w:lvlJc w:val="left"/>
      <w:pPr>
        <w:ind w:left="1307" w:hanging="360"/>
      </w:pPr>
    </w:lvl>
    <w:lvl w:ilvl="2" w:tplc="040C001B" w:tentative="1">
      <w:start w:val="1"/>
      <w:numFmt w:val="lowerRoman"/>
      <w:lvlText w:val="%3."/>
      <w:lvlJc w:val="right"/>
      <w:pPr>
        <w:ind w:left="2027" w:hanging="180"/>
      </w:pPr>
    </w:lvl>
    <w:lvl w:ilvl="3" w:tplc="040C000F" w:tentative="1">
      <w:start w:val="1"/>
      <w:numFmt w:val="decimal"/>
      <w:lvlText w:val="%4."/>
      <w:lvlJc w:val="left"/>
      <w:pPr>
        <w:ind w:left="2747" w:hanging="360"/>
      </w:pPr>
    </w:lvl>
    <w:lvl w:ilvl="4" w:tplc="040C0019" w:tentative="1">
      <w:start w:val="1"/>
      <w:numFmt w:val="lowerLetter"/>
      <w:lvlText w:val="%5."/>
      <w:lvlJc w:val="left"/>
      <w:pPr>
        <w:ind w:left="3467" w:hanging="360"/>
      </w:pPr>
    </w:lvl>
    <w:lvl w:ilvl="5" w:tplc="040C001B" w:tentative="1">
      <w:start w:val="1"/>
      <w:numFmt w:val="lowerRoman"/>
      <w:lvlText w:val="%6."/>
      <w:lvlJc w:val="right"/>
      <w:pPr>
        <w:ind w:left="4187" w:hanging="180"/>
      </w:pPr>
    </w:lvl>
    <w:lvl w:ilvl="6" w:tplc="040C000F" w:tentative="1">
      <w:start w:val="1"/>
      <w:numFmt w:val="decimal"/>
      <w:lvlText w:val="%7."/>
      <w:lvlJc w:val="left"/>
      <w:pPr>
        <w:ind w:left="4907" w:hanging="360"/>
      </w:pPr>
    </w:lvl>
    <w:lvl w:ilvl="7" w:tplc="040C0019" w:tentative="1">
      <w:start w:val="1"/>
      <w:numFmt w:val="lowerLetter"/>
      <w:lvlText w:val="%8."/>
      <w:lvlJc w:val="left"/>
      <w:pPr>
        <w:ind w:left="5627" w:hanging="360"/>
      </w:pPr>
    </w:lvl>
    <w:lvl w:ilvl="8" w:tplc="040C001B" w:tentative="1">
      <w:start w:val="1"/>
      <w:numFmt w:val="lowerRoman"/>
      <w:lvlText w:val="%9."/>
      <w:lvlJc w:val="right"/>
      <w:pPr>
        <w:ind w:left="6347" w:hanging="180"/>
      </w:pPr>
    </w:lvl>
  </w:abstractNum>
  <w:abstractNum w:abstractNumId="1" w15:restartNumberingAfterBreak="0">
    <w:nsid w:val="077C5D5D"/>
    <w:multiLevelType w:val="multilevel"/>
    <w:tmpl w:val="162AB4C6"/>
    <w:lvl w:ilvl="0">
      <w:start w:val="1"/>
      <w:numFmt w:val="decimal"/>
      <w:lvlText w:val="%1."/>
      <w:lvlJc w:val="left"/>
      <w:pPr>
        <w:tabs>
          <w:tab w:val="num" w:pos="0"/>
        </w:tabs>
        <w:ind w:left="835" w:hanging="360"/>
      </w:pPr>
      <w:rPr>
        <w:rFonts w:ascii="Calibri" w:eastAsia="Calibri" w:hAnsi="Calibri" w:cs="Calibri"/>
        <w:b w:val="0"/>
        <w:bCs w:val="0"/>
        <w:i w:val="0"/>
        <w:iCs w:val="0"/>
        <w:spacing w:val="0"/>
        <w:w w:val="100"/>
        <w:sz w:val="24"/>
        <w:szCs w:val="24"/>
        <w:lang w:val="fr-FR" w:eastAsia="en-US" w:bidi="ar-SA"/>
      </w:rPr>
    </w:lvl>
    <w:lvl w:ilvl="1">
      <w:numFmt w:val="bullet"/>
      <w:lvlText w:val=""/>
      <w:lvlJc w:val="left"/>
      <w:pPr>
        <w:tabs>
          <w:tab w:val="num" w:pos="0"/>
        </w:tabs>
        <w:ind w:left="1477" w:hanging="360"/>
      </w:pPr>
      <w:rPr>
        <w:rFonts w:ascii="Symbol" w:hAnsi="Symbol" w:cs="Symbol" w:hint="default"/>
        <w:lang w:val="fr-FR" w:eastAsia="en-US" w:bidi="ar-SA"/>
      </w:rPr>
    </w:lvl>
    <w:lvl w:ilvl="2">
      <w:numFmt w:val="bullet"/>
      <w:lvlText w:val=""/>
      <w:lvlJc w:val="left"/>
      <w:pPr>
        <w:tabs>
          <w:tab w:val="num" w:pos="0"/>
        </w:tabs>
        <w:ind w:left="2114" w:hanging="360"/>
      </w:pPr>
      <w:rPr>
        <w:rFonts w:ascii="Symbol" w:hAnsi="Symbol" w:cs="Symbol" w:hint="default"/>
        <w:lang w:val="fr-FR" w:eastAsia="en-US" w:bidi="ar-SA"/>
      </w:rPr>
    </w:lvl>
    <w:lvl w:ilvl="3">
      <w:numFmt w:val="bullet"/>
      <w:lvlText w:val=""/>
      <w:lvlJc w:val="left"/>
      <w:pPr>
        <w:tabs>
          <w:tab w:val="num" w:pos="0"/>
        </w:tabs>
        <w:ind w:left="2751" w:hanging="360"/>
      </w:pPr>
      <w:rPr>
        <w:rFonts w:ascii="Symbol" w:hAnsi="Symbol" w:cs="Symbol" w:hint="default"/>
        <w:lang w:val="fr-FR" w:eastAsia="en-US" w:bidi="ar-SA"/>
      </w:rPr>
    </w:lvl>
    <w:lvl w:ilvl="4">
      <w:numFmt w:val="bullet"/>
      <w:lvlText w:val=""/>
      <w:lvlJc w:val="left"/>
      <w:pPr>
        <w:tabs>
          <w:tab w:val="num" w:pos="0"/>
        </w:tabs>
        <w:ind w:left="3389" w:hanging="360"/>
      </w:pPr>
      <w:rPr>
        <w:rFonts w:ascii="Symbol" w:hAnsi="Symbol" w:cs="Symbol" w:hint="default"/>
        <w:lang w:val="fr-FR" w:eastAsia="en-US" w:bidi="ar-SA"/>
      </w:rPr>
    </w:lvl>
    <w:lvl w:ilvl="5">
      <w:numFmt w:val="bullet"/>
      <w:lvlText w:val=""/>
      <w:lvlJc w:val="left"/>
      <w:pPr>
        <w:tabs>
          <w:tab w:val="num" w:pos="0"/>
        </w:tabs>
        <w:ind w:left="4026" w:hanging="360"/>
      </w:pPr>
      <w:rPr>
        <w:rFonts w:ascii="Symbol" w:hAnsi="Symbol" w:cs="Symbol" w:hint="default"/>
        <w:lang w:val="fr-FR" w:eastAsia="en-US" w:bidi="ar-SA"/>
      </w:rPr>
    </w:lvl>
    <w:lvl w:ilvl="6">
      <w:numFmt w:val="bullet"/>
      <w:lvlText w:val=""/>
      <w:lvlJc w:val="left"/>
      <w:pPr>
        <w:tabs>
          <w:tab w:val="num" w:pos="0"/>
        </w:tabs>
        <w:ind w:left="4663" w:hanging="360"/>
      </w:pPr>
      <w:rPr>
        <w:rFonts w:ascii="Symbol" w:hAnsi="Symbol" w:cs="Symbol" w:hint="default"/>
        <w:lang w:val="fr-FR" w:eastAsia="en-US" w:bidi="ar-SA"/>
      </w:rPr>
    </w:lvl>
    <w:lvl w:ilvl="7">
      <w:numFmt w:val="bullet"/>
      <w:lvlText w:val=""/>
      <w:lvlJc w:val="left"/>
      <w:pPr>
        <w:tabs>
          <w:tab w:val="num" w:pos="0"/>
        </w:tabs>
        <w:ind w:left="5301" w:hanging="360"/>
      </w:pPr>
      <w:rPr>
        <w:rFonts w:ascii="Symbol" w:hAnsi="Symbol" w:cs="Symbol" w:hint="default"/>
        <w:lang w:val="fr-FR" w:eastAsia="en-US" w:bidi="ar-SA"/>
      </w:rPr>
    </w:lvl>
    <w:lvl w:ilvl="8">
      <w:numFmt w:val="bullet"/>
      <w:lvlText w:val=""/>
      <w:lvlJc w:val="left"/>
      <w:pPr>
        <w:tabs>
          <w:tab w:val="num" w:pos="0"/>
        </w:tabs>
        <w:ind w:left="5938" w:hanging="360"/>
      </w:pPr>
      <w:rPr>
        <w:rFonts w:ascii="Symbol" w:hAnsi="Symbol" w:cs="Symbol" w:hint="default"/>
        <w:lang w:val="fr-FR" w:eastAsia="en-US" w:bidi="ar-SA"/>
      </w:rPr>
    </w:lvl>
  </w:abstractNum>
  <w:abstractNum w:abstractNumId="2" w15:restartNumberingAfterBreak="0">
    <w:nsid w:val="0B736EDE"/>
    <w:multiLevelType w:val="multilevel"/>
    <w:tmpl w:val="174ABF70"/>
    <w:lvl w:ilvl="0">
      <w:start w:val="1"/>
      <w:numFmt w:val="decimal"/>
      <w:lvlText w:val="%1."/>
      <w:lvlJc w:val="left"/>
      <w:pPr>
        <w:tabs>
          <w:tab w:val="num" w:pos="0"/>
        </w:tabs>
        <w:ind w:left="240" w:hanging="240"/>
      </w:pPr>
      <w:rPr>
        <w:rFonts w:ascii="Times New Roman" w:eastAsia="Times New Roman" w:hAnsi="Times New Roman" w:cs="Times New Roman"/>
        <w:b/>
        <w:bCs/>
        <w:i w:val="0"/>
        <w:iCs w:val="0"/>
        <w:spacing w:val="0"/>
        <w:w w:val="100"/>
        <w:sz w:val="24"/>
        <w:szCs w:val="24"/>
        <w:lang w:val="fr-FR" w:eastAsia="en-US" w:bidi="ar-SA"/>
      </w:rPr>
    </w:lvl>
    <w:lvl w:ilvl="1">
      <w:start w:val="1"/>
      <w:numFmt w:val="decimal"/>
      <w:lvlText w:val="%1.%2."/>
      <w:lvlJc w:val="left"/>
      <w:pPr>
        <w:tabs>
          <w:tab w:val="num" w:pos="0"/>
        </w:tabs>
        <w:ind w:left="420" w:hanging="420"/>
      </w:pPr>
      <w:rPr>
        <w:rFonts w:ascii="Times New Roman" w:eastAsia="Times New Roman" w:hAnsi="Times New Roman" w:cs="Times New Roman"/>
        <w:b/>
        <w:bCs/>
        <w:i w:val="0"/>
        <w:iCs w:val="0"/>
        <w:spacing w:val="0"/>
        <w:w w:val="100"/>
        <w:sz w:val="24"/>
        <w:szCs w:val="24"/>
        <w:lang w:val="fr-FR" w:eastAsia="en-US" w:bidi="ar-SA"/>
      </w:rPr>
    </w:lvl>
    <w:lvl w:ilvl="2">
      <w:numFmt w:val="bullet"/>
      <w:lvlText w:val=""/>
      <w:lvlJc w:val="left"/>
      <w:pPr>
        <w:tabs>
          <w:tab w:val="num" w:pos="0"/>
        </w:tabs>
        <w:ind w:left="520" w:hanging="420"/>
      </w:pPr>
      <w:rPr>
        <w:rFonts w:ascii="Symbol" w:hAnsi="Symbol" w:cs="Symbol" w:hint="default"/>
        <w:lang w:val="fr-FR" w:eastAsia="en-US" w:bidi="ar-SA"/>
      </w:rPr>
    </w:lvl>
    <w:lvl w:ilvl="3">
      <w:numFmt w:val="bullet"/>
      <w:lvlText w:val=""/>
      <w:lvlJc w:val="left"/>
      <w:pPr>
        <w:tabs>
          <w:tab w:val="num" w:pos="0"/>
        </w:tabs>
        <w:ind w:left="1670" w:hanging="420"/>
      </w:pPr>
      <w:rPr>
        <w:rFonts w:ascii="Symbol" w:hAnsi="Symbol" w:cs="Symbol" w:hint="default"/>
        <w:lang w:val="fr-FR" w:eastAsia="en-US" w:bidi="ar-SA"/>
      </w:rPr>
    </w:lvl>
    <w:lvl w:ilvl="4">
      <w:numFmt w:val="bullet"/>
      <w:lvlText w:val=""/>
      <w:lvlJc w:val="left"/>
      <w:pPr>
        <w:tabs>
          <w:tab w:val="num" w:pos="0"/>
        </w:tabs>
        <w:ind w:left="2820" w:hanging="420"/>
      </w:pPr>
      <w:rPr>
        <w:rFonts w:ascii="Symbol" w:hAnsi="Symbol" w:cs="Symbol" w:hint="default"/>
        <w:lang w:val="fr-FR" w:eastAsia="en-US" w:bidi="ar-SA"/>
      </w:rPr>
    </w:lvl>
    <w:lvl w:ilvl="5">
      <w:numFmt w:val="bullet"/>
      <w:lvlText w:val=""/>
      <w:lvlJc w:val="left"/>
      <w:pPr>
        <w:tabs>
          <w:tab w:val="num" w:pos="0"/>
        </w:tabs>
        <w:ind w:left="3970" w:hanging="420"/>
      </w:pPr>
      <w:rPr>
        <w:rFonts w:ascii="Symbol" w:hAnsi="Symbol" w:cs="Symbol" w:hint="default"/>
        <w:lang w:val="fr-FR" w:eastAsia="en-US" w:bidi="ar-SA"/>
      </w:rPr>
    </w:lvl>
    <w:lvl w:ilvl="6">
      <w:numFmt w:val="bullet"/>
      <w:lvlText w:val=""/>
      <w:lvlJc w:val="left"/>
      <w:pPr>
        <w:tabs>
          <w:tab w:val="num" w:pos="0"/>
        </w:tabs>
        <w:ind w:left="5120" w:hanging="420"/>
      </w:pPr>
      <w:rPr>
        <w:rFonts w:ascii="Symbol" w:hAnsi="Symbol" w:cs="Symbol" w:hint="default"/>
        <w:lang w:val="fr-FR" w:eastAsia="en-US" w:bidi="ar-SA"/>
      </w:rPr>
    </w:lvl>
    <w:lvl w:ilvl="7">
      <w:numFmt w:val="bullet"/>
      <w:lvlText w:val=""/>
      <w:lvlJc w:val="left"/>
      <w:pPr>
        <w:tabs>
          <w:tab w:val="num" w:pos="0"/>
        </w:tabs>
        <w:ind w:left="6270" w:hanging="420"/>
      </w:pPr>
      <w:rPr>
        <w:rFonts w:ascii="Symbol" w:hAnsi="Symbol" w:cs="Symbol" w:hint="default"/>
        <w:lang w:val="fr-FR" w:eastAsia="en-US" w:bidi="ar-SA"/>
      </w:rPr>
    </w:lvl>
    <w:lvl w:ilvl="8">
      <w:numFmt w:val="bullet"/>
      <w:lvlText w:val=""/>
      <w:lvlJc w:val="left"/>
      <w:pPr>
        <w:tabs>
          <w:tab w:val="num" w:pos="0"/>
        </w:tabs>
        <w:ind w:left="7420" w:hanging="420"/>
      </w:pPr>
      <w:rPr>
        <w:rFonts w:ascii="Symbol" w:hAnsi="Symbol" w:cs="Symbol" w:hint="default"/>
        <w:lang w:val="fr-FR" w:eastAsia="en-US" w:bidi="ar-SA"/>
      </w:rPr>
    </w:lvl>
  </w:abstractNum>
  <w:abstractNum w:abstractNumId="3" w15:restartNumberingAfterBreak="0">
    <w:nsid w:val="130B3D3F"/>
    <w:multiLevelType w:val="hybridMultilevel"/>
    <w:tmpl w:val="3062A568"/>
    <w:lvl w:ilvl="0" w:tplc="B5563DBE">
      <w:start w:val="1"/>
      <w:numFmt w:val="bullet"/>
      <w:lvlText w:val="-"/>
      <w:lvlJc w:val="left"/>
      <w:pPr>
        <w:ind w:left="360" w:hanging="360"/>
      </w:pPr>
      <w:rPr>
        <w:rFonts w:ascii="Times New Roman" w:eastAsia="Times New Roman" w:hAnsi="Times New Roman" w:cs="Times New Roman" w:hint="default"/>
        <w:sz w:val="21"/>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13171495"/>
    <w:multiLevelType w:val="multilevel"/>
    <w:tmpl w:val="A874080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132235F9"/>
    <w:multiLevelType w:val="multilevel"/>
    <w:tmpl w:val="A5BA74EC"/>
    <w:lvl w:ilvl="0">
      <w:start w:val="1"/>
      <w:numFmt w:val="decimal"/>
      <w:lvlText w:val="%1."/>
      <w:lvlJc w:val="left"/>
      <w:pPr>
        <w:tabs>
          <w:tab w:val="num" w:pos="0"/>
        </w:tabs>
        <w:ind w:left="567" w:hanging="34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6" w15:restartNumberingAfterBreak="0">
    <w:nsid w:val="23E37FF0"/>
    <w:multiLevelType w:val="multilevel"/>
    <w:tmpl w:val="015A3744"/>
    <w:lvl w:ilvl="0">
      <w:start w:val="1"/>
      <w:numFmt w:val="decimal"/>
      <w:lvlText w:val="%1."/>
      <w:lvlJc w:val="left"/>
      <w:pPr>
        <w:tabs>
          <w:tab w:val="num" w:pos="0"/>
        </w:tabs>
        <w:ind w:left="567" w:hanging="34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8E05FEE"/>
    <w:multiLevelType w:val="multilevel"/>
    <w:tmpl w:val="F238F8C8"/>
    <w:lvl w:ilvl="0">
      <w:start w:val="1"/>
      <w:numFmt w:val="decimal"/>
      <w:lvlText w:val="%1."/>
      <w:lvlJc w:val="left"/>
      <w:pPr>
        <w:tabs>
          <w:tab w:val="num" w:pos="0"/>
        </w:tabs>
        <w:ind w:left="835" w:hanging="360"/>
      </w:pPr>
      <w:rPr>
        <w:rFonts w:ascii="Calibri" w:eastAsia="Calibri" w:hAnsi="Calibri" w:cs="Calibri"/>
        <w:b w:val="0"/>
        <w:bCs w:val="0"/>
        <w:i w:val="0"/>
        <w:iCs w:val="0"/>
        <w:spacing w:val="0"/>
        <w:w w:val="100"/>
        <w:sz w:val="24"/>
        <w:szCs w:val="24"/>
        <w:lang w:val="fr-FR" w:eastAsia="en-US" w:bidi="ar-SA"/>
      </w:rPr>
    </w:lvl>
    <w:lvl w:ilvl="1">
      <w:numFmt w:val="bullet"/>
      <w:lvlText w:val=""/>
      <w:lvlJc w:val="left"/>
      <w:pPr>
        <w:tabs>
          <w:tab w:val="num" w:pos="0"/>
        </w:tabs>
        <w:ind w:left="1477" w:hanging="360"/>
      </w:pPr>
      <w:rPr>
        <w:rFonts w:ascii="Symbol" w:hAnsi="Symbol" w:cs="Symbol" w:hint="default"/>
        <w:lang w:val="fr-FR" w:eastAsia="en-US" w:bidi="ar-SA"/>
      </w:rPr>
    </w:lvl>
    <w:lvl w:ilvl="2">
      <w:numFmt w:val="bullet"/>
      <w:lvlText w:val=""/>
      <w:lvlJc w:val="left"/>
      <w:pPr>
        <w:tabs>
          <w:tab w:val="num" w:pos="0"/>
        </w:tabs>
        <w:ind w:left="2114" w:hanging="360"/>
      </w:pPr>
      <w:rPr>
        <w:rFonts w:ascii="Symbol" w:hAnsi="Symbol" w:cs="Symbol" w:hint="default"/>
        <w:lang w:val="fr-FR" w:eastAsia="en-US" w:bidi="ar-SA"/>
      </w:rPr>
    </w:lvl>
    <w:lvl w:ilvl="3">
      <w:numFmt w:val="bullet"/>
      <w:lvlText w:val=""/>
      <w:lvlJc w:val="left"/>
      <w:pPr>
        <w:tabs>
          <w:tab w:val="num" w:pos="0"/>
        </w:tabs>
        <w:ind w:left="2751" w:hanging="360"/>
      </w:pPr>
      <w:rPr>
        <w:rFonts w:ascii="Symbol" w:hAnsi="Symbol" w:cs="Symbol" w:hint="default"/>
        <w:lang w:val="fr-FR" w:eastAsia="en-US" w:bidi="ar-SA"/>
      </w:rPr>
    </w:lvl>
    <w:lvl w:ilvl="4">
      <w:numFmt w:val="bullet"/>
      <w:lvlText w:val=""/>
      <w:lvlJc w:val="left"/>
      <w:pPr>
        <w:tabs>
          <w:tab w:val="num" w:pos="0"/>
        </w:tabs>
        <w:ind w:left="3389" w:hanging="360"/>
      </w:pPr>
      <w:rPr>
        <w:rFonts w:ascii="Symbol" w:hAnsi="Symbol" w:cs="Symbol" w:hint="default"/>
        <w:lang w:val="fr-FR" w:eastAsia="en-US" w:bidi="ar-SA"/>
      </w:rPr>
    </w:lvl>
    <w:lvl w:ilvl="5">
      <w:numFmt w:val="bullet"/>
      <w:lvlText w:val=""/>
      <w:lvlJc w:val="left"/>
      <w:pPr>
        <w:tabs>
          <w:tab w:val="num" w:pos="0"/>
        </w:tabs>
        <w:ind w:left="4026" w:hanging="360"/>
      </w:pPr>
      <w:rPr>
        <w:rFonts w:ascii="Symbol" w:hAnsi="Symbol" w:cs="Symbol" w:hint="default"/>
        <w:lang w:val="fr-FR" w:eastAsia="en-US" w:bidi="ar-SA"/>
      </w:rPr>
    </w:lvl>
    <w:lvl w:ilvl="6">
      <w:numFmt w:val="bullet"/>
      <w:lvlText w:val=""/>
      <w:lvlJc w:val="left"/>
      <w:pPr>
        <w:tabs>
          <w:tab w:val="num" w:pos="0"/>
        </w:tabs>
        <w:ind w:left="4663" w:hanging="360"/>
      </w:pPr>
      <w:rPr>
        <w:rFonts w:ascii="Symbol" w:hAnsi="Symbol" w:cs="Symbol" w:hint="default"/>
        <w:lang w:val="fr-FR" w:eastAsia="en-US" w:bidi="ar-SA"/>
      </w:rPr>
    </w:lvl>
    <w:lvl w:ilvl="7">
      <w:numFmt w:val="bullet"/>
      <w:lvlText w:val=""/>
      <w:lvlJc w:val="left"/>
      <w:pPr>
        <w:tabs>
          <w:tab w:val="num" w:pos="0"/>
        </w:tabs>
        <w:ind w:left="5301" w:hanging="360"/>
      </w:pPr>
      <w:rPr>
        <w:rFonts w:ascii="Symbol" w:hAnsi="Symbol" w:cs="Symbol" w:hint="default"/>
        <w:lang w:val="fr-FR" w:eastAsia="en-US" w:bidi="ar-SA"/>
      </w:rPr>
    </w:lvl>
    <w:lvl w:ilvl="8">
      <w:numFmt w:val="bullet"/>
      <w:lvlText w:val=""/>
      <w:lvlJc w:val="left"/>
      <w:pPr>
        <w:tabs>
          <w:tab w:val="num" w:pos="0"/>
        </w:tabs>
        <w:ind w:left="5938" w:hanging="360"/>
      </w:pPr>
      <w:rPr>
        <w:rFonts w:ascii="Symbol" w:hAnsi="Symbol" w:cs="Symbol" w:hint="default"/>
        <w:lang w:val="fr-FR" w:eastAsia="en-US" w:bidi="ar-SA"/>
      </w:rPr>
    </w:lvl>
  </w:abstractNum>
  <w:abstractNum w:abstractNumId="8" w15:restartNumberingAfterBreak="0">
    <w:nsid w:val="2A217F70"/>
    <w:multiLevelType w:val="multilevel"/>
    <w:tmpl w:val="6FC66A52"/>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w:hAnsi="Wingdings" w:cs="Wingdings"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2FFB6239"/>
    <w:multiLevelType w:val="multilevel"/>
    <w:tmpl w:val="C17AF360"/>
    <w:lvl w:ilvl="0">
      <w:start w:val="1"/>
      <w:numFmt w:val="decimal"/>
      <w:lvlText w:val="%1."/>
      <w:lvlJc w:val="left"/>
      <w:pPr>
        <w:tabs>
          <w:tab w:val="num" w:pos="0"/>
        </w:tabs>
        <w:ind w:left="567" w:hanging="34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0" w15:restartNumberingAfterBreak="0">
    <w:nsid w:val="32EE7F07"/>
    <w:multiLevelType w:val="multilevel"/>
    <w:tmpl w:val="11F43900"/>
    <w:lvl w:ilvl="0">
      <w:start w:val="1"/>
      <w:numFmt w:val="bullet"/>
      <w:lvlText w:val="-"/>
      <w:lvlJc w:val="left"/>
      <w:pPr>
        <w:tabs>
          <w:tab w:val="num" w:pos="-284"/>
        </w:tabs>
        <w:ind w:left="283" w:hanging="283"/>
      </w:pPr>
      <w:rPr>
        <w:rFonts w:ascii="Times New Roman" w:eastAsia="Times New Roman" w:hAnsi="Times New Roman" w:cs="Times New Roman" w:hint="default"/>
        <w:sz w:val="21"/>
      </w:rPr>
    </w:lvl>
    <w:lvl w:ilvl="1">
      <w:numFmt w:val="decimal"/>
      <w:lvlText w:val=""/>
      <w:lvlJc w:val="left"/>
      <w:pPr>
        <w:tabs>
          <w:tab w:val="num" w:pos="-284"/>
        </w:tabs>
        <w:ind w:left="-284" w:firstLine="0"/>
      </w:pPr>
    </w:lvl>
    <w:lvl w:ilvl="2">
      <w:numFmt w:val="decimal"/>
      <w:lvlText w:val=""/>
      <w:lvlJc w:val="left"/>
      <w:pPr>
        <w:tabs>
          <w:tab w:val="num" w:pos="-284"/>
        </w:tabs>
        <w:ind w:left="-284" w:firstLine="0"/>
      </w:pPr>
    </w:lvl>
    <w:lvl w:ilvl="3">
      <w:numFmt w:val="decimal"/>
      <w:lvlText w:val=""/>
      <w:lvlJc w:val="left"/>
      <w:pPr>
        <w:tabs>
          <w:tab w:val="num" w:pos="-284"/>
        </w:tabs>
        <w:ind w:left="-284" w:firstLine="0"/>
      </w:pPr>
    </w:lvl>
    <w:lvl w:ilvl="4">
      <w:numFmt w:val="decimal"/>
      <w:lvlText w:val=""/>
      <w:lvlJc w:val="left"/>
      <w:pPr>
        <w:tabs>
          <w:tab w:val="num" w:pos="-284"/>
        </w:tabs>
        <w:ind w:left="-284" w:firstLine="0"/>
      </w:pPr>
    </w:lvl>
    <w:lvl w:ilvl="5">
      <w:numFmt w:val="decimal"/>
      <w:lvlText w:val=""/>
      <w:lvlJc w:val="left"/>
      <w:pPr>
        <w:tabs>
          <w:tab w:val="num" w:pos="-284"/>
        </w:tabs>
        <w:ind w:left="-284" w:firstLine="0"/>
      </w:pPr>
    </w:lvl>
    <w:lvl w:ilvl="6">
      <w:numFmt w:val="decimal"/>
      <w:lvlText w:val=""/>
      <w:lvlJc w:val="left"/>
      <w:pPr>
        <w:tabs>
          <w:tab w:val="num" w:pos="-284"/>
        </w:tabs>
        <w:ind w:left="-284" w:firstLine="0"/>
      </w:pPr>
    </w:lvl>
    <w:lvl w:ilvl="7">
      <w:numFmt w:val="decimal"/>
      <w:lvlText w:val=""/>
      <w:lvlJc w:val="left"/>
      <w:pPr>
        <w:tabs>
          <w:tab w:val="num" w:pos="-284"/>
        </w:tabs>
        <w:ind w:left="-284" w:firstLine="0"/>
      </w:pPr>
    </w:lvl>
    <w:lvl w:ilvl="8">
      <w:numFmt w:val="decimal"/>
      <w:lvlText w:val=""/>
      <w:lvlJc w:val="left"/>
      <w:pPr>
        <w:tabs>
          <w:tab w:val="num" w:pos="-284"/>
        </w:tabs>
        <w:ind w:left="-284" w:firstLine="0"/>
      </w:pPr>
    </w:lvl>
  </w:abstractNum>
  <w:abstractNum w:abstractNumId="11" w15:restartNumberingAfterBreak="0">
    <w:nsid w:val="36800A49"/>
    <w:multiLevelType w:val="multilevel"/>
    <w:tmpl w:val="6FA0B160"/>
    <w:lvl w:ilvl="0">
      <w:start w:val="6"/>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4D0E646A"/>
    <w:multiLevelType w:val="multilevel"/>
    <w:tmpl w:val="086C625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683457C6"/>
    <w:multiLevelType w:val="multilevel"/>
    <w:tmpl w:val="0232AA06"/>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73513DA6"/>
    <w:multiLevelType w:val="multilevel"/>
    <w:tmpl w:val="944E1B90"/>
    <w:lvl w:ilvl="0">
      <w:start w:val="1"/>
      <w:numFmt w:val="bullet"/>
      <w:lvlText w:val="–"/>
      <w:lvlJc w:val="left"/>
      <w:pPr>
        <w:tabs>
          <w:tab w:val="num" w:pos="0"/>
        </w:tabs>
        <w:ind w:left="567" w:hanging="283"/>
      </w:pPr>
      <w:rPr>
        <w:rFonts w:ascii="Times New Roman" w:hAnsi="Times New Roman" w:cs="Times New Roman"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5" w15:restartNumberingAfterBreak="0">
    <w:nsid w:val="772F0677"/>
    <w:multiLevelType w:val="hybridMultilevel"/>
    <w:tmpl w:val="2E6EB3F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7A4B5260"/>
    <w:multiLevelType w:val="hybridMultilevel"/>
    <w:tmpl w:val="F3105FF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4"/>
  </w:num>
  <w:num w:numId="2">
    <w:abstractNumId w:val="5"/>
  </w:num>
  <w:num w:numId="3">
    <w:abstractNumId w:val="6"/>
  </w:num>
  <w:num w:numId="4">
    <w:abstractNumId w:val="9"/>
  </w:num>
  <w:num w:numId="5">
    <w:abstractNumId w:val="2"/>
  </w:num>
  <w:num w:numId="6">
    <w:abstractNumId w:val="11"/>
  </w:num>
  <w:num w:numId="7">
    <w:abstractNumId w:val="13"/>
  </w:num>
  <w:num w:numId="8">
    <w:abstractNumId w:val="8"/>
  </w:num>
  <w:num w:numId="9">
    <w:abstractNumId w:val="7"/>
  </w:num>
  <w:num w:numId="10">
    <w:abstractNumId w:val="1"/>
  </w:num>
  <w:num w:numId="11">
    <w:abstractNumId w:val="4"/>
  </w:num>
  <w:num w:numId="12">
    <w:abstractNumId w:val="12"/>
  </w:num>
  <w:num w:numId="13">
    <w:abstractNumId w:val="14"/>
    <w:lvlOverride w:ilvl="0">
      <w:startOverride w:val="1"/>
    </w:lvlOverride>
  </w:num>
  <w:num w:numId="14">
    <w:abstractNumId w:val="5"/>
    <w:lvlOverride w:ilvl="0">
      <w:startOverride w:val="1"/>
    </w:lvlOverride>
  </w:num>
  <w:num w:numId="15">
    <w:abstractNumId w:val="5"/>
    <w:lvlOverride w:ilvl="0">
      <w:startOverride w:val="1"/>
    </w:lvlOverride>
  </w:num>
  <w:num w:numId="16">
    <w:abstractNumId w:val="5"/>
  </w:num>
  <w:num w:numId="17">
    <w:abstractNumId w:val="5"/>
  </w:num>
  <w:num w:numId="18">
    <w:abstractNumId w:val="5"/>
  </w:num>
  <w:num w:numId="19">
    <w:abstractNumId w:val="5"/>
  </w:num>
  <w:num w:numId="20">
    <w:abstractNumId w:val="5"/>
  </w:num>
  <w:num w:numId="21">
    <w:abstractNumId w:val="5"/>
  </w:num>
  <w:num w:numId="22">
    <w:abstractNumId w:val="5"/>
    <w:lvlOverride w:ilvl="0">
      <w:startOverride w:val="1"/>
    </w:lvlOverride>
  </w:num>
  <w:num w:numId="23">
    <w:abstractNumId w:val="5"/>
  </w:num>
  <w:num w:numId="24">
    <w:abstractNumId w:val="5"/>
  </w:num>
  <w:num w:numId="25">
    <w:abstractNumId w:val="5"/>
  </w:num>
  <w:num w:numId="26">
    <w:abstractNumId w:val="5"/>
  </w:num>
  <w:num w:numId="27">
    <w:abstractNumId w:val="5"/>
  </w:num>
  <w:num w:numId="28">
    <w:abstractNumId w:val="5"/>
  </w:num>
  <w:num w:numId="29">
    <w:abstractNumId w:val="5"/>
  </w:num>
  <w:num w:numId="30">
    <w:abstractNumId w:val="16"/>
  </w:num>
  <w:num w:numId="31">
    <w:abstractNumId w:val="0"/>
  </w:num>
  <w:num w:numId="32">
    <w:abstractNumId w:val="15"/>
  </w:num>
  <w:num w:numId="33">
    <w:abstractNumId w:val="3"/>
  </w:num>
  <w:num w:numId="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C94"/>
    <w:rsid w:val="000C0678"/>
    <w:rsid w:val="001B688B"/>
    <w:rsid w:val="001E2C59"/>
    <w:rsid w:val="002B603E"/>
    <w:rsid w:val="00326F48"/>
    <w:rsid w:val="00393B88"/>
    <w:rsid w:val="00440864"/>
    <w:rsid w:val="004A12EB"/>
    <w:rsid w:val="00546345"/>
    <w:rsid w:val="0058059D"/>
    <w:rsid w:val="005A0140"/>
    <w:rsid w:val="005C26A4"/>
    <w:rsid w:val="005C3E1E"/>
    <w:rsid w:val="005E36D1"/>
    <w:rsid w:val="0080551B"/>
    <w:rsid w:val="00805F07"/>
    <w:rsid w:val="00842291"/>
    <w:rsid w:val="00896C20"/>
    <w:rsid w:val="0092770A"/>
    <w:rsid w:val="009A5522"/>
    <w:rsid w:val="009B740F"/>
    <w:rsid w:val="00A938A8"/>
    <w:rsid w:val="00AB4BD3"/>
    <w:rsid w:val="00AC6B5D"/>
    <w:rsid w:val="00B07BC9"/>
    <w:rsid w:val="00B33F7A"/>
    <w:rsid w:val="00B6764A"/>
    <w:rsid w:val="00C00436"/>
    <w:rsid w:val="00CB2436"/>
    <w:rsid w:val="00D12C94"/>
    <w:rsid w:val="00D23E53"/>
    <w:rsid w:val="00DA5077"/>
    <w:rsid w:val="00DA5AB4"/>
    <w:rsid w:val="00DC5F4C"/>
    <w:rsid w:val="00DD521B"/>
    <w:rsid w:val="00F83DB0"/>
    <w:rsid w:val="00F877DA"/>
    <w:rsid w:val="00FE300A"/>
    <w:rsid w:val="00FF0CA7"/>
  </w:rsids>
  <m:mathPr>
    <m:mathFont m:val="Cambria Math"/>
    <m:brkBin m:val="before"/>
    <m:brkBinSub m:val="--"/>
    <m:smallFrac m:val="0"/>
    <m:dispDef/>
    <m:lMargin m:val="0"/>
    <m:rMargin m:val="0"/>
    <m:defJc m:val="centerGroup"/>
    <m:wrapIndent m:val="1440"/>
    <m:intLim m:val="subSup"/>
    <m:naryLim m:val="undOvr"/>
  </m:mathPr>
  <w:themeFontLang w:val="en-US" w:eastAsia=""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A04773"/>
  <w15:docId w15:val="{A7E23554-EDAC-4322-84DA-B28116F7D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64" w:lineRule="auto"/>
    </w:pPr>
    <w:rPr>
      <w:lang w:val="fr-FR"/>
    </w:rPr>
  </w:style>
  <w:style w:type="paragraph" w:styleId="Titre1">
    <w:name w:val="heading 1"/>
    <w:basedOn w:val="Normal"/>
    <w:next w:val="Normal"/>
    <w:uiPriority w:val="9"/>
    <w:qFormat/>
    <w:pPr>
      <w:keepNext/>
      <w:spacing w:before="360" w:after="160"/>
      <w:outlineLvl w:val="0"/>
    </w:pPr>
    <w:rPr>
      <w:b/>
      <w:bCs/>
      <w:color w:val="000000"/>
    </w:rPr>
  </w:style>
  <w:style w:type="paragraph" w:styleId="Titre2">
    <w:name w:val="heading 2"/>
    <w:basedOn w:val="Normal"/>
    <w:next w:val="Normal"/>
    <w:uiPriority w:val="9"/>
    <w:unhideWhenUsed/>
    <w:qFormat/>
    <w:pPr>
      <w:keepNext/>
      <w:spacing w:before="240" w:after="120"/>
      <w:outlineLvl w:val="1"/>
    </w:pPr>
    <w:rPr>
      <w:b/>
      <w:bCs/>
      <w:color w:val="000000"/>
    </w:rPr>
  </w:style>
  <w:style w:type="paragraph" w:styleId="Titre3">
    <w:name w:val="heading 3"/>
    <w:basedOn w:val="Normal"/>
    <w:next w:val="Normal"/>
    <w:uiPriority w:val="9"/>
    <w:unhideWhenUsed/>
    <w:qFormat/>
    <w:pPr>
      <w:keepNext/>
      <w:spacing w:before="180" w:after="80"/>
      <w:outlineLvl w:val="2"/>
    </w:pPr>
    <w:rPr>
      <w:b/>
      <w:bCs/>
      <w:color w:val="000000"/>
    </w:rPr>
  </w:style>
  <w:style w:type="paragraph" w:styleId="Titre4">
    <w:name w:val="heading 4"/>
    <w:basedOn w:val="Normal"/>
    <w:next w:val="Normal"/>
    <w:uiPriority w:val="9"/>
    <w:semiHidden/>
    <w:unhideWhenUsed/>
    <w:qFormat/>
    <w:pPr>
      <w:outlineLvl w:val="3"/>
    </w:pPr>
    <w:rPr>
      <w:i/>
      <w:iCs/>
      <w:color w:val="2E74B5"/>
    </w:rPr>
  </w:style>
  <w:style w:type="paragraph" w:styleId="Titre5">
    <w:name w:val="heading 5"/>
    <w:basedOn w:val="Normal"/>
    <w:next w:val="Normal"/>
    <w:uiPriority w:val="9"/>
    <w:semiHidden/>
    <w:unhideWhenUsed/>
    <w:qFormat/>
    <w:pPr>
      <w:outlineLvl w:val="4"/>
    </w:pPr>
    <w:rPr>
      <w:color w:val="2E74B5"/>
    </w:rPr>
  </w:style>
  <w:style w:type="paragraph" w:styleId="Titre6">
    <w:name w:val="heading 6"/>
    <w:basedOn w:val="Normal"/>
    <w:next w:val="Normal"/>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iPriority w:val="99"/>
    <w:unhideWhenUsed/>
    <w:rPr>
      <w:color w:val="0563C1"/>
      <w:u w:val="single"/>
    </w:rPr>
  </w:style>
  <w:style w:type="character" w:customStyle="1" w:styleId="FootnoteCharacters">
    <w:name w:val="Footnote Characters"/>
    <w:uiPriority w:val="99"/>
    <w:semiHidden/>
    <w:unhideWhenUsed/>
    <w:qFormat/>
    <w:rPr>
      <w:vertAlign w:val="superscript"/>
    </w:rPr>
  </w:style>
  <w:style w:type="character" w:styleId="Appelnotedebasdep">
    <w:name w:val="footnote reference"/>
    <w:rPr>
      <w:vertAlign w:val="superscript"/>
    </w:rPr>
  </w:style>
  <w:style w:type="character" w:customStyle="1" w:styleId="NotedebasdepageCar">
    <w:name w:val="Note de bas de page Car"/>
    <w:link w:val="Notedebasdepage"/>
    <w:uiPriority w:val="99"/>
    <w:semiHidden/>
    <w:unhideWhenUsed/>
    <w:qFormat/>
    <w:rPr>
      <w:sz w:val="20"/>
      <w:szCs w:val="20"/>
    </w:rPr>
  </w:style>
  <w:style w:type="character" w:customStyle="1" w:styleId="EndnoteCharacters">
    <w:name w:val="Endnote Characters"/>
    <w:uiPriority w:val="99"/>
    <w:semiHidden/>
    <w:unhideWhenUsed/>
    <w:qFormat/>
    <w:rPr>
      <w:vertAlign w:val="superscript"/>
    </w:rPr>
  </w:style>
  <w:style w:type="character" w:styleId="Appeldenotedefin">
    <w:name w:val="endnote reference"/>
    <w:rPr>
      <w:vertAlign w:val="superscript"/>
    </w:rPr>
  </w:style>
  <w:style w:type="character" w:customStyle="1" w:styleId="NotedefinCar">
    <w:name w:val="Note de fin Car"/>
    <w:link w:val="Notedefin"/>
    <w:uiPriority w:val="99"/>
    <w:semiHidden/>
    <w:unhideWhenUsed/>
    <w:qFormat/>
    <w:rPr>
      <w:sz w:val="20"/>
      <w:szCs w:val="20"/>
    </w:rPr>
  </w:style>
  <w:style w:type="paragraph" w:customStyle="1" w:styleId="Heading">
    <w:name w:val="Heading"/>
    <w:basedOn w:val="Normal"/>
    <w:next w:val="Corpsdetexte"/>
    <w:qFormat/>
    <w:pPr>
      <w:keepNext/>
      <w:spacing w:before="240" w:after="120"/>
    </w:pPr>
    <w:rPr>
      <w:rFonts w:ascii="Liberation Sans" w:eastAsia="Noto Sans CJK SC" w:hAnsi="Liberation Sans" w:cs="FreeSans"/>
      <w:sz w:val="28"/>
      <w:szCs w:val="28"/>
    </w:rPr>
  </w:style>
  <w:style w:type="paragraph" w:styleId="Corpsdetexte">
    <w:name w:val="Body Text"/>
    <w:basedOn w:val="Normal"/>
    <w:pPr>
      <w:spacing w:after="140" w:line="276" w:lineRule="auto"/>
    </w:pPr>
  </w:style>
  <w:style w:type="paragraph" w:styleId="Liste">
    <w:name w:val="List"/>
    <w:basedOn w:val="Corpsdetexte"/>
    <w:rPr>
      <w:rFonts w:cs="FreeSans"/>
    </w:rPr>
  </w:style>
  <w:style w:type="paragraph" w:styleId="Lgende">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styleId="Titr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Paragraphedeliste">
    <w:name w:val="List Paragraph"/>
    <w:basedOn w:val="Normal"/>
    <w:qFormat/>
  </w:style>
  <w:style w:type="paragraph" w:styleId="Notedebasdepage">
    <w:name w:val="footnote text"/>
    <w:basedOn w:val="Normal"/>
    <w:link w:val="NotedebasdepageCar"/>
    <w:uiPriority w:val="99"/>
    <w:semiHidden/>
    <w:unhideWhenUsed/>
    <w:pPr>
      <w:spacing w:line="240" w:lineRule="auto"/>
    </w:pPr>
    <w:rPr>
      <w:sz w:val="20"/>
      <w:szCs w:val="20"/>
    </w:rPr>
  </w:style>
  <w:style w:type="paragraph" w:styleId="Notedefin">
    <w:name w:val="endnote text"/>
    <w:basedOn w:val="Normal"/>
    <w:link w:val="NotedefinCar"/>
    <w:uiPriority w:val="99"/>
    <w:semiHidden/>
    <w:unhideWhenUsed/>
    <w:pPr>
      <w:spacing w:line="240" w:lineRule="auto"/>
    </w:pPr>
    <w:rPr>
      <w:sz w:val="20"/>
      <w:szCs w:val="20"/>
    </w:rPr>
  </w:style>
  <w:style w:type="paragraph" w:customStyle="1" w:styleId="HeaderandFooter">
    <w:name w:val="Header and Footer"/>
    <w:basedOn w:val="Normal"/>
    <w:qFormat/>
  </w:style>
  <w:style w:type="paragraph" w:styleId="Pieddepage">
    <w:name w:val="footer"/>
    <w:basedOn w:val="HeaderandFooter"/>
  </w:style>
  <w:style w:type="paragraph" w:styleId="NormalWeb">
    <w:name w:val="Normal (Web)"/>
    <w:basedOn w:val="Normal"/>
    <w:qFormat/>
    <w:pPr>
      <w:spacing w:beforeAutospacing="1" w:afterAutospacing="1"/>
    </w:pPr>
    <w:rPr>
      <w:lang w:eastAsia="fr-FR"/>
    </w:rPr>
  </w:style>
  <w:style w:type="paragraph" w:customStyle="1" w:styleId="TableParagraph">
    <w:name w:val="Table Paragraph"/>
    <w:basedOn w:val="Normal"/>
    <w:qFormat/>
    <w:pPr>
      <w:spacing w:line="275" w:lineRule="exact"/>
      <w:ind w:left="107"/>
    </w:pPr>
  </w:style>
  <w:style w:type="paragraph" w:customStyle="1" w:styleId="FrameContents">
    <w:name w:val="Frame Contents"/>
    <w:basedOn w:val="Normal"/>
    <w:qFormat/>
  </w:style>
  <w:style w:type="paragraph" w:styleId="En-tte">
    <w:name w:val="header"/>
    <w:basedOn w:val="Normal"/>
    <w:link w:val="En-tteCar"/>
    <w:uiPriority w:val="99"/>
    <w:unhideWhenUsed/>
    <w:rsid w:val="00440864"/>
    <w:pPr>
      <w:tabs>
        <w:tab w:val="center" w:pos="4536"/>
        <w:tab w:val="right" w:pos="9072"/>
      </w:tabs>
      <w:spacing w:line="240" w:lineRule="auto"/>
    </w:pPr>
  </w:style>
  <w:style w:type="character" w:customStyle="1" w:styleId="En-tteCar">
    <w:name w:val="En-tête Car"/>
    <w:basedOn w:val="Policepardfaut"/>
    <w:link w:val="En-tte"/>
    <w:uiPriority w:val="99"/>
    <w:rsid w:val="00440864"/>
    <w:rPr>
      <w:lang w:val="fr-FR"/>
    </w:rPr>
  </w:style>
  <w:style w:type="paragraph" w:styleId="Textedebulles">
    <w:name w:val="Balloon Text"/>
    <w:basedOn w:val="Normal"/>
    <w:link w:val="TextedebullesCar"/>
    <w:uiPriority w:val="99"/>
    <w:semiHidden/>
    <w:unhideWhenUsed/>
    <w:rsid w:val="0080551B"/>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80551B"/>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1E2AF4-C3A0-4780-B981-1D805BB7D2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4657</Words>
  <Characters>25618</Characters>
  <Application>Microsoft Office Word</Application>
  <DocSecurity>0</DocSecurity>
  <Lines>213</Lines>
  <Paragraphs>60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dc:description/>
  <cp:lastModifiedBy>Christel LAVERGNE</cp:lastModifiedBy>
  <cp:revision>2</cp:revision>
  <cp:lastPrinted>2026-10-28T09:23:00Z</cp:lastPrinted>
  <dcterms:created xsi:type="dcterms:W3CDTF">2026-10-28T09:31:00Z</dcterms:created>
  <dcterms:modified xsi:type="dcterms:W3CDTF">2026-10-28T09:31:00Z</dcterms:modified>
  <dc:language>en-US</dc:language>
</cp:coreProperties>
</file>