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A20F" w14:textId="0CF95BAD" w:rsidR="00B02233" w:rsidRPr="00320F8D" w:rsidRDefault="00B02233" w:rsidP="00B02233">
      <w:pPr>
        <w:spacing w:after="0"/>
        <w:jc w:val="center"/>
        <w:rPr>
          <w:b/>
          <w:color w:val="EC7016" w:themeColor="accent4"/>
          <w:sz w:val="48"/>
        </w:rPr>
      </w:pPr>
      <w:r w:rsidRPr="00320F8D">
        <w:rPr>
          <w:b/>
          <w:color w:val="EC7016" w:themeColor="accent4"/>
          <w:sz w:val="48"/>
        </w:rPr>
        <w:t>Termes de référence</w:t>
      </w:r>
    </w:p>
    <w:p w14:paraId="055244DF" w14:textId="77777777" w:rsidR="00EA3AE0" w:rsidRPr="009637D8" w:rsidRDefault="00B02233" w:rsidP="00B02233">
      <w:pPr>
        <w:spacing w:after="0"/>
        <w:jc w:val="center"/>
        <w:rPr>
          <w:b/>
          <w:color w:val="0070C0"/>
          <w:sz w:val="32"/>
        </w:rPr>
      </w:pPr>
      <w:r w:rsidRPr="00086047">
        <w:rPr>
          <w:b/>
          <w:color w:val="C49A00" w:themeColor="accent1" w:themeShade="BF"/>
          <w:sz w:val="32"/>
        </w:rPr>
        <w:t xml:space="preserve"> </w:t>
      </w:r>
      <w:r w:rsidR="00C328A0" w:rsidRPr="009637D8">
        <w:rPr>
          <w:b/>
          <w:color w:val="0070C0"/>
          <w:sz w:val="32"/>
        </w:rPr>
        <w:t xml:space="preserve">Expert.e Suivi-Evaluation-Apprentissage </w:t>
      </w:r>
    </w:p>
    <w:p w14:paraId="49D7FE03" w14:textId="602CFB28" w:rsidR="00B02233" w:rsidRPr="009637D8" w:rsidRDefault="00C328A0" w:rsidP="00B02233">
      <w:pPr>
        <w:spacing w:after="0"/>
        <w:jc w:val="center"/>
        <w:rPr>
          <w:b/>
          <w:color w:val="0070C0"/>
          <w:sz w:val="32"/>
        </w:rPr>
      </w:pPr>
      <w:r w:rsidRPr="009637D8">
        <w:rPr>
          <w:b/>
          <w:color w:val="0070C0"/>
          <w:sz w:val="32"/>
        </w:rPr>
        <w:t>(</w:t>
      </w:r>
      <w:r w:rsidR="00D425EE" w:rsidRPr="009637D8">
        <w:rPr>
          <w:b/>
          <w:color w:val="0070C0"/>
          <w:sz w:val="32"/>
        </w:rPr>
        <w:t>Mission</w:t>
      </w:r>
      <w:r w:rsidRPr="009637D8">
        <w:rPr>
          <w:b/>
          <w:color w:val="0070C0"/>
          <w:sz w:val="32"/>
        </w:rPr>
        <w:t xml:space="preserve"> court term</w:t>
      </w:r>
      <w:r w:rsidR="00EA3AE0" w:rsidRPr="009637D8">
        <w:rPr>
          <w:b/>
          <w:color w:val="0070C0"/>
          <w:sz w:val="32"/>
        </w:rPr>
        <w:t>e</w:t>
      </w:r>
      <w:r w:rsidRPr="009637D8">
        <w:rPr>
          <w:b/>
          <w:color w:val="0070C0"/>
          <w:sz w:val="32"/>
        </w:rPr>
        <w:t>)</w:t>
      </w:r>
    </w:p>
    <w:p w14:paraId="6D98EE51" w14:textId="177BAD5B" w:rsidR="00B02233" w:rsidRPr="00086047" w:rsidRDefault="0087425B" w:rsidP="00B02233">
      <w:pPr>
        <w:spacing w:after="0" w:line="360" w:lineRule="auto"/>
        <w:ind w:right="1332"/>
        <w:jc w:val="both"/>
        <w:rPr>
          <w:rFonts w:ascii="Times New Roman" w:hAnsi="Times New Roman" w:cs="Times New Roman"/>
          <w:b/>
          <w:bCs/>
          <w:sz w:val="24"/>
          <w:szCs w:val="24"/>
        </w:rPr>
      </w:pPr>
      <w:r>
        <w:rPr>
          <w:rFonts w:ascii="Times New Roman" w:hAnsi="Times New Roman" w:cs="Times New Roman"/>
          <w:b/>
          <w:bCs/>
          <w:noProof/>
          <w:sz w:val="24"/>
          <w:szCs w:val="24"/>
          <w:lang w:eastAsia="fr-FR"/>
        </w:rPr>
        <mc:AlternateContent>
          <mc:Choice Requires="wps">
            <w:drawing>
              <wp:anchor distT="0" distB="0" distL="114300" distR="114300" simplePos="0" relativeHeight="251659264" behindDoc="1" locked="0" layoutInCell="1" allowOverlap="1" wp14:anchorId="7EB64230" wp14:editId="70F8A910">
                <wp:simplePos x="0" y="0"/>
                <wp:positionH relativeFrom="column">
                  <wp:posOffset>-130175</wp:posOffset>
                </wp:positionH>
                <wp:positionV relativeFrom="paragraph">
                  <wp:posOffset>197485</wp:posOffset>
                </wp:positionV>
                <wp:extent cx="6324600" cy="2491740"/>
                <wp:effectExtent l="0" t="0" r="0" b="3810"/>
                <wp:wrapNone/>
                <wp:docPr id="2" name="Rectangle 2"/>
                <wp:cNvGraphicFramePr/>
                <a:graphic xmlns:a="http://schemas.openxmlformats.org/drawingml/2006/main">
                  <a:graphicData uri="http://schemas.microsoft.com/office/word/2010/wordprocessingShape">
                    <wps:wsp>
                      <wps:cNvSpPr/>
                      <wps:spPr>
                        <a:xfrm>
                          <a:off x="0" y="0"/>
                          <a:ext cx="6324600" cy="2491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6A60BD" id="Rectangle 2" o:spid="_x0000_s1026" style="position:absolute;margin-left:-10.25pt;margin-top:15.55pt;width:498pt;height:19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" fillcolor="#e5dedb [3214]" stroked="f" strokeweight="1pt"/>
            </w:pict>
          </mc:Fallback>
        </mc:AlternateContent>
      </w:r>
    </w:p>
    <w:p w14:paraId="6BEF4167" w14:textId="77777777" w:rsidR="0099171F" w:rsidRPr="00D425EE" w:rsidRDefault="0099171F" w:rsidP="0099171F">
      <w:pPr>
        <w:spacing w:after="0" w:line="360" w:lineRule="auto"/>
        <w:jc w:val="both"/>
        <w:rPr>
          <w:rFonts w:ascii="Tw Cen MT" w:hAnsi="Tw Cen MT" w:cs="Times New Roman"/>
          <w:i/>
          <w:iCs/>
          <w:sz w:val="24"/>
          <w:szCs w:val="24"/>
          <w:lang w:eastAsia="zh-CN"/>
        </w:rPr>
      </w:pPr>
      <w:r w:rsidRPr="00086047">
        <w:rPr>
          <w:rFonts w:ascii="Tw Cen MT" w:hAnsi="Tw Cen MT" w:cs="Times New Roman"/>
          <w:b/>
          <w:bCs/>
          <w:sz w:val="24"/>
          <w:szCs w:val="24"/>
        </w:rPr>
        <w:t>Nom du projet</w:t>
      </w:r>
      <w:r w:rsidRPr="00086047">
        <w:rPr>
          <w:rFonts w:ascii="Tw Cen MT" w:hAnsi="Tw Cen MT" w:cs="Times New Roman"/>
          <w:sz w:val="24"/>
          <w:szCs w:val="24"/>
        </w:rPr>
        <w:t xml:space="preserve"> :</w:t>
      </w:r>
      <w:r w:rsidRPr="00086047">
        <w:rPr>
          <w:rFonts w:ascii="Tw Cen MT" w:hAnsi="Tw Cen MT" w:cs="Times New Roman"/>
          <w:sz w:val="24"/>
          <w:szCs w:val="24"/>
          <w:lang w:eastAsia="zh-CN"/>
        </w:rPr>
        <w:t xml:space="preserve"> </w:t>
      </w:r>
      <w:r w:rsidRPr="00D425EE">
        <w:rPr>
          <w:rFonts w:ascii="Tw Cen MT" w:hAnsi="Tw Cen MT" w:cs="Times New Roman"/>
          <w:i/>
          <w:iCs/>
          <w:sz w:val="24"/>
          <w:szCs w:val="24"/>
          <w:lang w:eastAsia="zh-CN"/>
        </w:rPr>
        <w:t>Mission d’assistance technique en appui à la création de l’institut à gestion déléguée « Institut de Formation aux Métiers des Industries Pharmaceutiques</w:t>
      </w:r>
      <w:r>
        <w:rPr>
          <w:rFonts w:ascii="Tw Cen MT" w:hAnsi="Tw Cen MT" w:cs="Times New Roman"/>
          <w:i/>
          <w:iCs/>
          <w:sz w:val="24"/>
          <w:szCs w:val="24"/>
          <w:lang w:eastAsia="zh-CN"/>
        </w:rPr>
        <w:t>/IFMIP</w:t>
      </w:r>
      <w:r w:rsidRPr="00D425EE">
        <w:rPr>
          <w:rFonts w:ascii="Tw Cen MT" w:hAnsi="Tw Cen MT" w:cs="Times New Roman"/>
          <w:i/>
          <w:iCs/>
          <w:sz w:val="24"/>
          <w:szCs w:val="24"/>
          <w:lang w:eastAsia="zh-CN"/>
        </w:rPr>
        <w:t> » au Maroc</w:t>
      </w:r>
    </w:p>
    <w:p w14:paraId="54ACED73" w14:textId="77777777" w:rsidR="0099171F" w:rsidRDefault="0099171F" w:rsidP="0099171F">
      <w:pPr>
        <w:spacing w:after="0" w:line="360" w:lineRule="auto"/>
        <w:rPr>
          <w:rFonts w:ascii="Tw Cen MT" w:hAnsi="Tw Cen MT" w:cs="Times New Roman"/>
          <w:sz w:val="24"/>
          <w:szCs w:val="24"/>
        </w:rPr>
      </w:pPr>
      <w:r w:rsidRPr="00086047">
        <w:rPr>
          <w:rFonts w:ascii="Tw Cen MT" w:hAnsi="Tw Cen MT" w:cs="Times New Roman"/>
          <w:b/>
          <w:bCs/>
          <w:sz w:val="24"/>
          <w:szCs w:val="24"/>
        </w:rPr>
        <w:t>Intitulé de la mission</w:t>
      </w:r>
      <w:r w:rsidRPr="00086047">
        <w:rPr>
          <w:rFonts w:ascii="Tw Cen MT" w:hAnsi="Tw Cen MT" w:cs="Times New Roman"/>
          <w:sz w:val="24"/>
          <w:szCs w:val="24"/>
        </w:rPr>
        <w:t xml:space="preserve"> :</w:t>
      </w:r>
      <w:r>
        <w:rPr>
          <w:rFonts w:ascii="Tw Cen MT" w:hAnsi="Tw Cen MT" w:cs="Times New Roman"/>
          <w:sz w:val="24"/>
          <w:szCs w:val="24"/>
        </w:rPr>
        <w:t xml:space="preserve"> Elaboration et appui à la mise en œuvre du dispositif</w:t>
      </w:r>
      <w:r w:rsidRPr="00086047">
        <w:rPr>
          <w:rFonts w:ascii="Tw Cen MT" w:hAnsi="Tw Cen MT" w:cs="Times New Roman"/>
          <w:sz w:val="24"/>
          <w:szCs w:val="24"/>
        </w:rPr>
        <w:t xml:space="preserve"> SE</w:t>
      </w:r>
      <w:r>
        <w:rPr>
          <w:rFonts w:ascii="Tw Cen MT" w:hAnsi="Tw Cen MT" w:cs="Times New Roman"/>
          <w:sz w:val="24"/>
          <w:szCs w:val="24"/>
        </w:rPr>
        <w:t>RA du projet « IFMIP »</w:t>
      </w:r>
    </w:p>
    <w:p w14:paraId="091E3750" w14:textId="77777777" w:rsidR="0099171F" w:rsidRPr="00086047" w:rsidRDefault="0099171F" w:rsidP="0099171F">
      <w:pPr>
        <w:spacing w:after="0" w:line="360" w:lineRule="auto"/>
        <w:jc w:val="both"/>
        <w:rPr>
          <w:rFonts w:ascii="Tw Cen MT" w:hAnsi="Tw Cen MT" w:cs="Times New Roman"/>
          <w:sz w:val="24"/>
          <w:szCs w:val="24"/>
          <w:lang w:eastAsia="fr-FR"/>
        </w:rPr>
      </w:pPr>
      <w:r w:rsidRPr="005549F0">
        <w:rPr>
          <w:rFonts w:ascii="Tw Cen MT" w:hAnsi="Tw Cen MT" w:cs="Times New Roman"/>
          <w:b/>
          <w:bCs/>
          <w:sz w:val="24"/>
          <w:szCs w:val="24"/>
        </w:rPr>
        <w:t>Bénéficiaires</w:t>
      </w:r>
      <w:r>
        <w:rPr>
          <w:rFonts w:ascii="Tw Cen MT" w:hAnsi="Tw Cen MT" w:cs="Times New Roman"/>
          <w:sz w:val="24"/>
          <w:szCs w:val="24"/>
        </w:rPr>
        <w:t> : DFP/IFMIP/FMIIP</w:t>
      </w:r>
    </w:p>
    <w:p w14:paraId="673CA611" w14:textId="77777777" w:rsidR="0099171F" w:rsidRPr="00086047" w:rsidRDefault="0099171F" w:rsidP="0099171F">
      <w:pPr>
        <w:spacing w:after="0" w:line="360" w:lineRule="auto"/>
        <w:ind w:right="1332"/>
        <w:jc w:val="both"/>
        <w:rPr>
          <w:rFonts w:ascii="Tw Cen MT" w:hAnsi="Tw Cen MT" w:cs="Times New Roman"/>
          <w:sz w:val="24"/>
          <w:szCs w:val="24"/>
          <w:lang w:eastAsia="fr-FR"/>
        </w:rPr>
      </w:pPr>
      <w:r w:rsidRPr="00086047">
        <w:rPr>
          <w:rFonts w:ascii="Tw Cen MT" w:hAnsi="Tw Cen MT" w:cs="Times New Roman"/>
          <w:b/>
          <w:bCs/>
          <w:sz w:val="24"/>
          <w:szCs w:val="24"/>
        </w:rPr>
        <w:t>Pays / zone géographique :</w:t>
      </w:r>
      <w:r w:rsidRPr="00086047">
        <w:rPr>
          <w:rFonts w:ascii="Tw Cen MT" w:hAnsi="Tw Cen MT" w:cs="Times New Roman"/>
          <w:sz w:val="24"/>
          <w:szCs w:val="24"/>
        </w:rPr>
        <w:t xml:space="preserve"> </w:t>
      </w:r>
      <w:r>
        <w:rPr>
          <w:rFonts w:ascii="Tw Cen MT" w:hAnsi="Tw Cen MT" w:cs="Times New Roman"/>
          <w:sz w:val="24"/>
          <w:szCs w:val="24"/>
          <w:lang w:eastAsia="zh-CN"/>
        </w:rPr>
        <w:t>Maroc – Rabat et Casablanca</w:t>
      </w:r>
    </w:p>
    <w:p w14:paraId="1CBBC83F" w14:textId="32E77515" w:rsidR="0099171F" w:rsidRPr="00086047" w:rsidRDefault="0099171F" w:rsidP="0099171F">
      <w:pPr>
        <w:spacing w:after="0" w:line="240" w:lineRule="auto"/>
        <w:rPr>
          <w:rFonts w:ascii="Tw Cen MT" w:hAnsi="Tw Cen MT" w:cs="Times New Roman"/>
          <w:sz w:val="24"/>
          <w:szCs w:val="24"/>
        </w:rPr>
      </w:pPr>
      <w:r w:rsidRPr="00086047">
        <w:rPr>
          <w:rFonts w:ascii="Tw Cen MT" w:hAnsi="Tw Cen MT" w:cs="Times New Roman"/>
          <w:b/>
          <w:bCs/>
          <w:sz w:val="24"/>
          <w:szCs w:val="24"/>
        </w:rPr>
        <w:t>Durée de la mission</w:t>
      </w:r>
      <w:r>
        <w:rPr>
          <w:rFonts w:ascii="Tw Cen MT" w:hAnsi="Tw Cen MT" w:cs="Times New Roman"/>
          <w:b/>
          <w:bCs/>
          <w:sz w:val="24"/>
          <w:szCs w:val="24"/>
        </w:rPr>
        <w:t xml:space="preserve"> perlée</w:t>
      </w:r>
      <w:r w:rsidRPr="00086047">
        <w:rPr>
          <w:rFonts w:ascii="Tw Cen MT" w:hAnsi="Tw Cen MT" w:cs="Times New Roman"/>
          <w:b/>
          <w:bCs/>
          <w:sz w:val="24"/>
          <w:szCs w:val="24"/>
        </w:rPr>
        <w:t xml:space="preserve"> :</w:t>
      </w:r>
      <w:r w:rsidRPr="00086047">
        <w:rPr>
          <w:rFonts w:ascii="Tw Cen MT" w:hAnsi="Tw Cen MT" w:cs="Times New Roman"/>
          <w:sz w:val="24"/>
          <w:szCs w:val="24"/>
        </w:rPr>
        <w:t xml:space="preserve"> </w:t>
      </w:r>
      <w:r w:rsidR="002B56B0">
        <w:rPr>
          <w:rFonts w:ascii="Tw Cen MT" w:hAnsi="Tw Cen MT" w:cs="Times New Roman"/>
          <w:sz w:val="24"/>
          <w:szCs w:val="24"/>
        </w:rPr>
        <w:t>60</w:t>
      </w:r>
      <w:r w:rsidRPr="00086047">
        <w:rPr>
          <w:rFonts w:ascii="Tw Cen MT" w:hAnsi="Tw Cen MT" w:cs="Times New Roman"/>
          <w:sz w:val="24"/>
          <w:szCs w:val="24"/>
        </w:rPr>
        <w:t xml:space="preserve"> j</w:t>
      </w:r>
      <w:r w:rsidR="002B56B0">
        <w:rPr>
          <w:rFonts w:ascii="Tw Cen MT" w:hAnsi="Tw Cen MT" w:cs="Times New Roman"/>
          <w:sz w:val="24"/>
          <w:szCs w:val="24"/>
        </w:rPr>
        <w:t xml:space="preserve">ours couvrant la période du projet, conformément aux présents </w:t>
      </w:r>
      <w:r w:rsidR="00320F8D">
        <w:rPr>
          <w:rFonts w:ascii="Tw Cen MT" w:hAnsi="Tw Cen MT" w:cs="Times New Roman"/>
          <w:sz w:val="24"/>
          <w:szCs w:val="24"/>
        </w:rPr>
        <w:t>Tdrs</w:t>
      </w:r>
    </w:p>
    <w:p w14:paraId="6AFDEC34" w14:textId="77777777" w:rsidR="0099171F" w:rsidRPr="00086047" w:rsidRDefault="0099171F" w:rsidP="0099171F">
      <w:pPr>
        <w:spacing w:after="0" w:line="240" w:lineRule="auto"/>
        <w:rPr>
          <w:rFonts w:ascii="Tw Cen MT" w:hAnsi="Tw Cen MT" w:cs="Times New Roman"/>
          <w:sz w:val="14"/>
          <w:szCs w:val="14"/>
        </w:rPr>
      </w:pPr>
    </w:p>
    <w:p w14:paraId="2A5B867F" w14:textId="77777777" w:rsidR="0099171F" w:rsidRPr="00086047" w:rsidRDefault="0099171F" w:rsidP="0099171F">
      <w:pPr>
        <w:spacing w:after="0" w:line="360" w:lineRule="auto"/>
        <w:rPr>
          <w:rFonts w:ascii="Tw Cen MT" w:hAnsi="Tw Cen MT" w:cs="Times New Roman"/>
          <w:sz w:val="24"/>
          <w:szCs w:val="24"/>
        </w:rPr>
      </w:pPr>
      <w:r w:rsidRPr="00086047">
        <w:rPr>
          <w:rFonts w:ascii="Tw Cen MT" w:hAnsi="Tw Cen MT" w:cs="Times New Roman"/>
          <w:b/>
          <w:bCs/>
          <w:sz w:val="24"/>
          <w:szCs w:val="24"/>
        </w:rPr>
        <w:t>Type de contrat</w:t>
      </w:r>
      <w:r>
        <w:rPr>
          <w:rFonts w:ascii="Tw Cen MT" w:hAnsi="Tw Cen MT" w:cs="Times New Roman"/>
          <w:b/>
          <w:bCs/>
          <w:sz w:val="24"/>
          <w:szCs w:val="24"/>
        </w:rPr>
        <w:t xml:space="preserve"> </w:t>
      </w:r>
      <w:r w:rsidRPr="00086047">
        <w:rPr>
          <w:rFonts w:ascii="Tw Cen MT" w:hAnsi="Tw Cen MT" w:cs="Times New Roman"/>
          <w:b/>
          <w:bCs/>
          <w:sz w:val="24"/>
          <w:szCs w:val="24"/>
        </w:rPr>
        <w:t>:</w:t>
      </w:r>
      <w:r w:rsidRPr="00086047">
        <w:rPr>
          <w:rFonts w:ascii="Tw Cen MT" w:hAnsi="Tw Cen MT" w:cs="Times New Roman"/>
          <w:sz w:val="24"/>
          <w:szCs w:val="24"/>
        </w:rPr>
        <w:t xml:space="preserve"> Contrat de Prestation de Service (CPS)</w:t>
      </w:r>
    </w:p>
    <w:p w14:paraId="149A7293" w14:textId="3FBA2B8A" w:rsidR="00B02233" w:rsidRPr="0099171F" w:rsidRDefault="00B02233" w:rsidP="0099171F">
      <w:pPr>
        <w:spacing w:after="0" w:line="360" w:lineRule="auto"/>
        <w:jc w:val="both"/>
        <w:rPr>
          <w:rFonts w:ascii="Tw Cen MT" w:hAnsi="Tw Cen MT" w:cs="Times New Roman"/>
          <w:i/>
          <w:iCs/>
          <w:sz w:val="24"/>
          <w:szCs w:val="24"/>
          <w:lang w:eastAsia="zh-CN"/>
        </w:rPr>
      </w:pPr>
    </w:p>
    <w:p w14:paraId="63F76DD1" w14:textId="5C7A976A" w:rsidR="00B02233" w:rsidRPr="00086047" w:rsidRDefault="00B02233" w:rsidP="00B02233">
      <w:pPr>
        <w:spacing w:after="0" w:line="360" w:lineRule="auto"/>
        <w:ind w:right="1332"/>
        <w:jc w:val="both"/>
        <w:rPr>
          <w:rFonts w:ascii="Tw Cen MT" w:hAnsi="Tw Cen MT" w:cs="Times New Roman"/>
          <w:sz w:val="24"/>
          <w:szCs w:val="24"/>
          <w:lang w:eastAsia="fr-FR"/>
        </w:rPr>
      </w:pPr>
    </w:p>
    <w:p w14:paraId="2358A8FB" w14:textId="77777777" w:rsidR="005B7563" w:rsidRPr="00073CAC" w:rsidRDefault="005B7563" w:rsidP="002F46C7">
      <w:pPr>
        <w:ind w:right="1332"/>
        <w:jc w:val="both"/>
        <w:rPr>
          <w:rFonts w:ascii="Tw Cen MT" w:eastAsia="Arial" w:hAnsi="Tw Cen MT"/>
          <w:b/>
          <w:bCs/>
          <w:sz w:val="24"/>
          <w:szCs w:val="24"/>
        </w:rPr>
      </w:pPr>
    </w:p>
    <w:p w14:paraId="7F870A30" w14:textId="62919E5E" w:rsidR="002F46C7" w:rsidRPr="00D707E0" w:rsidRDefault="005549F0" w:rsidP="00990463">
      <w:pPr>
        <w:shd w:val="clear" w:color="auto" w:fill="F0917B" w:themeFill="accent5" w:themeFillTint="99"/>
        <w:jc w:val="both"/>
        <w:rPr>
          <w:rFonts w:ascii="Tw Cen MT" w:eastAsia="Arial" w:hAnsi="Tw Cen MT"/>
          <w:b/>
          <w:bCs/>
          <w:color w:val="FFFFFF" w:themeColor="background1"/>
          <w:sz w:val="28"/>
          <w:szCs w:val="28"/>
        </w:rPr>
      </w:pPr>
      <w:r w:rsidRPr="00D707E0">
        <w:rPr>
          <w:rFonts w:ascii="Tw Cen MT" w:eastAsia="Arial" w:hAnsi="Tw Cen MT"/>
          <w:b/>
          <w:bCs/>
          <w:color w:val="FFFFFF" w:themeColor="background1"/>
          <w:sz w:val="28"/>
          <w:szCs w:val="28"/>
        </w:rPr>
        <w:t>Contexte général et d</w:t>
      </w:r>
      <w:r w:rsidR="002F46C7" w:rsidRPr="00D707E0">
        <w:rPr>
          <w:rFonts w:ascii="Tw Cen MT" w:eastAsia="Arial" w:hAnsi="Tw Cen MT"/>
          <w:b/>
          <w:bCs/>
          <w:color w:val="FFFFFF" w:themeColor="background1"/>
          <w:sz w:val="28"/>
          <w:szCs w:val="28"/>
        </w:rPr>
        <w:t>escription du projet </w:t>
      </w:r>
    </w:p>
    <w:p w14:paraId="766CB056" w14:textId="765E2712" w:rsidR="001F1163" w:rsidRDefault="001F1163" w:rsidP="001F1163">
      <w:pPr>
        <w:pStyle w:val="Default"/>
        <w:rPr>
          <w:rFonts w:ascii="Tw Cen MT" w:eastAsia="Times New Roman" w:hAnsi="Tw Cen MT" w:cs="Times New Roman"/>
          <w:i/>
          <w:iCs/>
          <w:lang w:eastAsia="fr-FR"/>
        </w:rPr>
      </w:pPr>
      <w:r w:rsidRPr="001F1163">
        <w:rPr>
          <w:rFonts w:ascii="Tw Cen MT" w:eastAsia="Times New Roman" w:hAnsi="Tw Cen MT" w:cs="Times New Roman"/>
          <w:i/>
          <w:iCs/>
          <w:lang w:eastAsia="fr-FR"/>
        </w:rPr>
        <w:t>Le Maroc a engagé une dynamique de développement du capital humain et de modernisation de la formation professionnelle, notamment dans des secteurs stratégiques tels que l’industrie pharmaceutique.</w:t>
      </w:r>
    </w:p>
    <w:p w14:paraId="150DD0A2" w14:textId="77777777" w:rsidR="001F1163" w:rsidRDefault="001F1163" w:rsidP="001F1163">
      <w:pPr>
        <w:pStyle w:val="Default"/>
        <w:rPr>
          <w:rFonts w:ascii="Tw Cen MT" w:eastAsia="Times New Roman" w:hAnsi="Tw Cen MT" w:cs="Times New Roman"/>
          <w:i/>
          <w:iCs/>
          <w:lang w:eastAsia="fr-FR"/>
        </w:rPr>
      </w:pPr>
    </w:p>
    <w:p w14:paraId="6B30E603" w14:textId="21BF1470" w:rsidR="001F1163" w:rsidRDefault="001F1163" w:rsidP="001F1163">
      <w:pPr>
        <w:pStyle w:val="Default"/>
        <w:rPr>
          <w:rFonts w:ascii="Tw Cen MT" w:eastAsia="Times New Roman" w:hAnsi="Tw Cen MT" w:cs="Times New Roman"/>
          <w:i/>
          <w:iCs/>
          <w:lang w:eastAsia="fr-FR"/>
        </w:rPr>
      </w:pPr>
      <w:r w:rsidRPr="001F1163">
        <w:rPr>
          <w:rFonts w:ascii="Tw Cen MT" w:eastAsia="Times New Roman" w:hAnsi="Tw Cen MT" w:cs="Times New Roman"/>
          <w:i/>
          <w:iCs/>
          <w:lang w:eastAsia="fr-FR"/>
        </w:rPr>
        <w:t xml:space="preserve"> Le projet IFMIP s’inscrit dans cette dynamique en visant l’accompagnement du développement des ressources humaines du pays pour soutenir la souveraineté san</w:t>
      </w:r>
      <w:r>
        <w:rPr>
          <w:rFonts w:ascii="Tw Cen MT" w:eastAsia="Times New Roman" w:hAnsi="Tw Cen MT" w:cs="Times New Roman"/>
          <w:i/>
          <w:iCs/>
          <w:lang w:eastAsia="fr-FR"/>
        </w:rPr>
        <w:t>itaire de ce dernier grâce au</w:t>
      </w:r>
      <w:r w:rsidRPr="001F1163">
        <w:rPr>
          <w:rFonts w:ascii="Tw Cen MT" w:eastAsia="Times New Roman" w:hAnsi="Tw Cen MT" w:cs="Times New Roman"/>
          <w:i/>
          <w:iCs/>
          <w:lang w:eastAsia="fr-FR"/>
        </w:rPr>
        <w:t xml:space="preserve"> secteur de l’industrie pharmaceutique.</w:t>
      </w:r>
    </w:p>
    <w:p w14:paraId="3A7FD90A" w14:textId="55B631FE" w:rsidR="0056706A" w:rsidRDefault="0056706A" w:rsidP="001F1163">
      <w:pPr>
        <w:pStyle w:val="Default"/>
        <w:rPr>
          <w:rFonts w:ascii="Tw Cen MT" w:eastAsia="Times New Roman" w:hAnsi="Tw Cen MT" w:cs="Times New Roman"/>
          <w:i/>
          <w:iCs/>
          <w:lang w:eastAsia="fr-FR"/>
        </w:rPr>
      </w:pPr>
    </w:p>
    <w:p w14:paraId="49A8C38D" w14:textId="0B31BAB0" w:rsidR="0056706A" w:rsidRDefault="0056706A" w:rsidP="001F1163">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Le projet de création de l’IFMIP est mis en œuvre par le Département de la Formation Professionnelle (DFP) du Ministère de l’Inclusion Économique, de la Petite Entreprise, de l’Emploi et des Compétences (MIEPEEC), en partenariat avec la Fédération Marocaine de l’Industrie et de l’Innovation Pharmaceutiques (FMIIP), dans le cadre d’une Convention de Gestion Déléguée (CGD).</w:t>
      </w:r>
    </w:p>
    <w:p w14:paraId="0DD3B381" w14:textId="0D9A0CDF" w:rsidR="0056706A" w:rsidRDefault="0056706A" w:rsidP="001F1163">
      <w:pPr>
        <w:pStyle w:val="Default"/>
        <w:rPr>
          <w:rFonts w:ascii="Tw Cen MT" w:eastAsia="Times New Roman" w:hAnsi="Tw Cen MT" w:cs="Times New Roman"/>
          <w:i/>
          <w:iCs/>
          <w:lang w:eastAsia="fr-FR"/>
        </w:rPr>
      </w:pPr>
    </w:p>
    <w:p w14:paraId="69EC728B" w14:textId="2813E1EF" w:rsidR="0056706A" w:rsidRDefault="0056706A" w:rsidP="001F1163">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Le projet est financé par le gouvernement marocain à travers une Convention de Crédit conclue avec l’Agence Française de Développement (AFD), pour un montant global de 23 millions d’euros</w:t>
      </w:r>
      <w:r>
        <w:rPr>
          <w:rFonts w:ascii="Tw Cen MT" w:eastAsia="Times New Roman" w:hAnsi="Tw Cen MT" w:cs="Times New Roman"/>
          <w:i/>
          <w:iCs/>
          <w:lang w:eastAsia="fr-FR"/>
        </w:rPr>
        <w:t>.</w:t>
      </w:r>
    </w:p>
    <w:p w14:paraId="1DCF4DF7" w14:textId="34EEC2CA" w:rsidR="0056706A" w:rsidRDefault="0056706A" w:rsidP="001F1163">
      <w:pPr>
        <w:pStyle w:val="Default"/>
        <w:rPr>
          <w:rFonts w:ascii="Tw Cen MT" w:eastAsia="Times New Roman" w:hAnsi="Tw Cen MT" w:cs="Times New Roman"/>
          <w:i/>
          <w:iCs/>
          <w:lang w:eastAsia="fr-FR"/>
        </w:rPr>
      </w:pPr>
    </w:p>
    <w:p w14:paraId="46B392DA" w14:textId="1A65C1EC" w:rsidR="0056706A" w:rsidRDefault="0056706A" w:rsidP="001F1163">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Le DFP, en sa qualité de Maître d’Ouvrage, est appuyé par une assistance technique portée par Expertise France (EF)</w:t>
      </w:r>
      <w:r>
        <w:rPr>
          <w:rFonts w:ascii="Tw Cen MT" w:eastAsia="Times New Roman" w:hAnsi="Tw Cen MT" w:cs="Times New Roman"/>
          <w:i/>
          <w:iCs/>
          <w:lang w:eastAsia="fr-FR"/>
        </w:rPr>
        <w:t>.</w:t>
      </w:r>
    </w:p>
    <w:p w14:paraId="4CCD497C" w14:textId="7A88F036" w:rsidR="0056706A" w:rsidRDefault="0056706A" w:rsidP="001F1163">
      <w:pPr>
        <w:pStyle w:val="Default"/>
        <w:rPr>
          <w:rFonts w:ascii="Tw Cen MT" w:eastAsia="Times New Roman" w:hAnsi="Tw Cen MT" w:cs="Times New Roman"/>
          <w:i/>
          <w:iCs/>
          <w:lang w:eastAsia="fr-FR"/>
        </w:rPr>
      </w:pPr>
    </w:p>
    <w:p w14:paraId="546653FE" w14:textId="77777777" w:rsidR="0056706A" w:rsidRPr="0056706A" w:rsidRDefault="0056706A" w:rsidP="0056706A">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Le projet s’étend sur la période 2023–2028 et comporte un double objectif :</w:t>
      </w:r>
    </w:p>
    <w:p w14:paraId="74B1184D" w14:textId="7AEBE636" w:rsidR="0056706A" w:rsidRPr="0056706A" w:rsidRDefault="0056706A" w:rsidP="00DD6486">
      <w:pPr>
        <w:pStyle w:val="Default"/>
        <w:numPr>
          <w:ilvl w:val="0"/>
          <w:numId w:val="2"/>
        </w:numPr>
        <w:rPr>
          <w:rFonts w:ascii="Tw Cen MT" w:eastAsia="Times New Roman" w:hAnsi="Tw Cen MT" w:cs="Times New Roman"/>
          <w:i/>
          <w:iCs/>
          <w:lang w:eastAsia="fr-FR"/>
        </w:rPr>
      </w:pPr>
      <w:r w:rsidRPr="0056706A">
        <w:rPr>
          <w:rFonts w:ascii="Tw Cen MT" w:eastAsia="Times New Roman" w:hAnsi="Tw Cen MT" w:cs="Times New Roman"/>
          <w:i/>
          <w:iCs/>
          <w:lang w:eastAsia="fr-FR"/>
        </w:rPr>
        <w:t xml:space="preserve">La création et l’opérationnalisation de l’IFMIP ; </w:t>
      </w:r>
    </w:p>
    <w:p w14:paraId="48FE4ACB" w14:textId="14B7E2CA" w:rsidR="0056706A" w:rsidRDefault="0056706A" w:rsidP="00DD6486">
      <w:pPr>
        <w:pStyle w:val="Default"/>
        <w:numPr>
          <w:ilvl w:val="0"/>
          <w:numId w:val="2"/>
        </w:numPr>
        <w:rPr>
          <w:rFonts w:ascii="Tw Cen MT" w:eastAsia="Times New Roman" w:hAnsi="Tw Cen MT" w:cs="Times New Roman"/>
          <w:i/>
          <w:iCs/>
          <w:lang w:eastAsia="fr-FR"/>
        </w:rPr>
      </w:pPr>
      <w:r w:rsidRPr="0056706A">
        <w:rPr>
          <w:rFonts w:ascii="Tw Cen MT" w:eastAsia="Times New Roman" w:hAnsi="Tw Cen MT" w:cs="Times New Roman"/>
          <w:i/>
          <w:iCs/>
          <w:lang w:eastAsia="fr-FR"/>
        </w:rPr>
        <w:t>Le renforcement du modèle des Instituts à Gestion Déléguée (IGD)</w:t>
      </w:r>
      <w:r>
        <w:rPr>
          <w:rFonts w:ascii="Tw Cen MT" w:eastAsia="Times New Roman" w:hAnsi="Tw Cen MT" w:cs="Times New Roman"/>
          <w:i/>
          <w:iCs/>
          <w:lang w:eastAsia="fr-FR"/>
        </w:rPr>
        <w:t>.</w:t>
      </w:r>
    </w:p>
    <w:p w14:paraId="6D8424D7" w14:textId="0186348F" w:rsidR="0056706A" w:rsidRDefault="0056706A" w:rsidP="0056706A">
      <w:pPr>
        <w:pStyle w:val="Default"/>
        <w:rPr>
          <w:rFonts w:ascii="Tw Cen MT" w:eastAsia="Times New Roman" w:hAnsi="Tw Cen MT" w:cs="Times New Roman"/>
          <w:i/>
          <w:iCs/>
          <w:lang w:eastAsia="fr-FR"/>
        </w:rPr>
      </w:pPr>
    </w:p>
    <w:p w14:paraId="7809B85D" w14:textId="77777777" w:rsidR="00DF0A9E" w:rsidRDefault="0056706A" w:rsidP="0056706A">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 xml:space="preserve">Concernant le cadre logique et le dispositif de suivi actuels, le projet dispose d’un cadre logique contractuel (référence AFD) et d’un cadre logique opérationnel intégré au Plan de Travail Budgétisé </w:t>
      </w:r>
    </w:p>
    <w:p w14:paraId="28568201" w14:textId="77777777" w:rsidR="00DF0A9E" w:rsidRDefault="00DF0A9E" w:rsidP="0056706A">
      <w:pPr>
        <w:pStyle w:val="Default"/>
        <w:rPr>
          <w:rFonts w:ascii="Tw Cen MT" w:eastAsia="Times New Roman" w:hAnsi="Tw Cen MT" w:cs="Times New Roman"/>
          <w:i/>
          <w:iCs/>
          <w:lang w:eastAsia="fr-FR"/>
        </w:rPr>
      </w:pPr>
    </w:p>
    <w:p w14:paraId="149B0D85" w14:textId="27F2CAB0" w:rsidR="0056706A" w:rsidRDefault="0056706A" w:rsidP="0056706A">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(PTB).</w:t>
      </w:r>
      <w:r w:rsidRPr="0056706A">
        <w:rPr>
          <w:rFonts w:ascii="Tw Cen MT" w:eastAsia="Times New Roman" w:hAnsi="Tw Cen MT" w:cs="Times New Roman"/>
          <w:i/>
          <w:iCs/>
          <w:lang w:eastAsia="fr-FR"/>
        </w:rPr>
        <w:br/>
        <w:t>En pratique, le pilotage repose majoritairement sur ce dernier, qui présente certaines limites méthodologiques, notamment en termes de structuration de la chaîne de résultats et de définition des indicateurs.</w:t>
      </w:r>
    </w:p>
    <w:p w14:paraId="1DA9790A" w14:textId="09952DCF" w:rsidR="0056706A" w:rsidRDefault="0056706A" w:rsidP="0056706A">
      <w:pPr>
        <w:pStyle w:val="Default"/>
        <w:rPr>
          <w:rFonts w:ascii="Tw Cen MT" w:eastAsia="Times New Roman" w:hAnsi="Tw Cen MT" w:cs="Times New Roman"/>
          <w:i/>
          <w:iCs/>
          <w:lang w:eastAsia="fr-FR"/>
        </w:rPr>
      </w:pPr>
    </w:p>
    <w:p w14:paraId="3B0B0204" w14:textId="6363E2FB" w:rsidR="0056706A" w:rsidRPr="0056706A" w:rsidRDefault="0056706A" w:rsidP="0056706A">
      <w:pPr>
        <w:pStyle w:val="Default"/>
        <w:rPr>
          <w:rFonts w:ascii="Tw Cen MT" w:eastAsia="Times New Roman" w:hAnsi="Tw Cen MT" w:cs="Times New Roman"/>
          <w:i/>
          <w:iCs/>
          <w:lang w:eastAsia="fr-FR"/>
        </w:rPr>
      </w:pPr>
      <w:r w:rsidRPr="0056706A">
        <w:rPr>
          <w:rFonts w:ascii="Tw Cen MT" w:eastAsia="Times New Roman" w:hAnsi="Tw Cen MT" w:cs="Times New Roman"/>
          <w:i/>
          <w:iCs/>
          <w:lang w:eastAsia="fr-FR"/>
        </w:rPr>
        <w:t>Dans ce contexte, la mise en place d’un dispositif SERA robuste, cohérent et opérationnel constitue un enjeu central pour le pilotage, la redevabilité et l’apprentissage du projet</w:t>
      </w:r>
      <w:r>
        <w:rPr>
          <w:rFonts w:ascii="Tw Cen MT" w:eastAsia="Times New Roman" w:hAnsi="Tw Cen MT" w:cs="Times New Roman"/>
          <w:i/>
          <w:iCs/>
          <w:lang w:eastAsia="fr-FR"/>
        </w:rPr>
        <w:t>.</w:t>
      </w:r>
    </w:p>
    <w:p w14:paraId="444E1893" w14:textId="538AB33A" w:rsidR="001C1CC5" w:rsidRPr="00BB006A" w:rsidRDefault="001C1CC5" w:rsidP="00BB006A">
      <w:pPr>
        <w:pStyle w:val="Default"/>
        <w:rPr>
          <w:rFonts w:ascii="Tw Cen MT" w:eastAsia="Times New Roman" w:hAnsi="Tw Cen MT" w:cs="Times New Roman"/>
          <w:i/>
          <w:iCs/>
          <w:lang w:eastAsia="fr-FR"/>
        </w:rPr>
      </w:pPr>
    </w:p>
    <w:p w14:paraId="37690A2E" w14:textId="53B84B1F" w:rsidR="0042399A" w:rsidRDefault="0042399A" w:rsidP="002F46C7">
      <w:pPr>
        <w:pStyle w:val="Default"/>
        <w:jc w:val="both"/>
        <w:rPr>
          <w:rFonts w:ascii="Tw Cen MT" w:eastAsia="Times New Roman" w:hAnsi="Tw Cen MT" w:cs="Times New Roman"/>
          <w:iCs/>
          <w:color w:val="auto"/>
          <w:lang w:eastAsia="fr-FR"/>
        </w:rPr>
      </w:pPr>
    </w:p>
    <w:p w14:paraId="0A434BEA" w14:textId="77777777" w:rsidR="0042399A" w:rsidRPr="00D707E0" w:rsidRDefault="0042399A" w:rsidP="0042399A">
      <w:pPr>
        <w:shd w:val="clear" w:color="auto" w:fill="F0917B" w:themeFill="accent5" w:themeFillTint="99"/>
        <w:jc w:val="both"/>
        <w:rPr>
          <w:rFonts w:ascii="Tw Cen MT" w:eastAsia="Arial" w:hAnsi="Tw Cen MT"/>
          <w:b/>
          <w:bCs/>
          <w:color w:val="FFFFFF" w:themeColor="background1"/>
          <w:sz w:val="28"/>
          <w:szCs w:val="28"/>
        </w:rPr>
      </w:pPr>
      <w:r w:rsidRPr="00D707E0">
        <w:rPr>
          <w:rFonts w:ascii="Tw Cen MT" w:eastAsia="Arial" w:hAnsi="Tw Cen MT"/>
          <w:b/>
          <w:bCs/>
          <w:color w:val="FFFFFF" w:themeColor="background1"/>
          <w:sz w:val="28"/>
          <w:szCs w:val="28"/>
        </w:rPr>
        <w:t>Description de la mission</w:t>
      </w:r>
    </w:p>
    <w:p w14:paraId="20AC0344" w14:textId="60B17CBB" w:rsidR="004279F8" w:rsidRDefault="0056706A" w:rsidP="0056706A">
      <w:p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 xml:space="preserve">L’expert.e en Suivi-Évaluation-Apprentissage (SERA) sera </w:t>
      </w:r>
      <w:r w:rsidR="0099393F">
        <w:rPr>
          <w:rFonts w:ascii="Tw Cen MT" w:eastAsia="Times New Roman" w:hAnsi="Tw Cen MT" w:cs="Times New Roman"/>
          <w:i/>
          <w:iCs/>
          <w:color w:val="000000"/>
          <w:sz w:val="24"/>
          <w:szCs w:val="24"/>
          <w:lang w:eastAsia="fr-FR"/>
        </w:rPr>
        <w:t>chargé.</w:t>
      </w:r>
      <w:r w:rsidR="0099393F" w:rsidRPr="0056706A">
        <w:rPr>
          <w:rFonts w:ascii="Tw Cen MT" w:eastAsia="Times New Roman" w:hAnsi="Tw Cen MT" w:cs="Times New Roman"/>
          <w:i/>
          <w:iCs/>
          <w:color w:val="000000"/>
          <w:sz w:val="24"/>
          <w:szCs w:val="24"/>
          <w:lang w:eastAsia="fr-FR"/>
        </w:rPr>
        <w:t xml:space="preserve"> </w:t>
      </w:r>
      <w:proofErr w:type="gramStart"/>
      <w:r w:rsidR="0099393F" w:rsidRPr="0056706A">
        <w:rPr>
          <w:rFonts w:ascii="Tw Cen MT" w:eastAsia="Times New Roman" w:hAnsi="Tw Cen MT" w:cs="Times New Roman"/>
          <w:i/>
          <w:iCs/>
          <w:color w:val="000000"/>
          <w:sz w:val="24"/>
          <w:szCs w:val="24"/>
          <w:lang w:eastAsia="fr-FR"/>
        </w:rPr>
        <w:t>e</w:t>
      </w:r>
      <w:proofErr w:type="gramEnd"/>
      <w:r w:rsidRPr="0056706A">
        <w:rPr>
          <w:rFonts w:ascii="Tw Cen MT" w:eastAsia="Times New Roman" w:hAnsi="Tw Cen MT" w:cs="Times New Roman"/>
          <w:i/>
          <w:iCs/>
          <w:color w:val="000000"/>
          <w:sz w:val="24"/>
          <w:szCs w:val="24"/>
          <w:lang w:eastAsia="fr-FR"/>
        </w:rPr>
        <w:t xml:space="preserve"> d’élaborer, structurer et accompagner la mise en œuvre du dispositif SERA du projet IFMIP, sur l’ensemble de son cycle de vie.</w:t>
      </w:r>
    </w:p>
    <w:p w14:paraId="485DE4BE" w14:textId="77777777" w:rsidR="0056706A" w:rsidRPr="0056706A" w:rsidRDefault="0056706A" w:rsidP="0056706A">
      <w:p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Son intervention visera à :</w:t>
      </w:r>
    </w:p>
    <w:p w14:paraId="3C818E5D" w14:textId="77777777" w:rsidR="004279F8" w:rsidRDefault="0056706A" w:rsidP="00DD6486">
      <w:pPr>
        <w:numPr>
          <w:ilvl w:val="0"/>
          <w:numId w:val="3"/>
        </w:num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Concevoir un dispositif SERA robuste, aligné sur les exigences de l’AFD et d’Expertise France ;</w:t>
      </w:r>
    </w:p>
    <w:p w14:paraId="551D187A" w14:textId="04BFE098" w:rsidR="0056706A" w:rsidRDefault="004279F8" w:rsidP="00DD6486">
      <w:pPr>
        <w:numPr>
          <w:ilvl w:val="0"/>
          <w:numId w:val="3"/>
        </w:numPr>
        <w:rPr>
          <w:rFonts w:ascii="Tw Cen MT" w:eastAsia="Times New Roman" w:hAnsi="Tw Cen MT" w:cs="Times New Roman"/>
          <w:i/>
          <w:iCs/>
          <w:color w:val="000000"/>
          <w:sz w:val="24"/>
          <w:szCs w:val="24"/>
          <w:lang w:eastAsia="fr-FR"/>
        </w:rPr>
      </w:pPr>
      <w:r w:rsidRPr="00DF0A9E">
        <w:rPr>
          <w:rFonts w:ascii="Tw Cen MT" w:eastAsia="Times New Roman" w:hAnsi="Tw Cen MT" w:cs="Times New Roman"/>
          <w:i/>
          <w:iCs/>
          <w:color w:val="000000"/>
          <w:sz w:val="24"/>
          <w:szCs w:val="24"/>
          <w:lang w:eastAsia="fr-FR"/>
        </w:rPr>
        <w:t xml:space="preserve">Assurer la phase de collecte des données, la mise à jour des indicateurs, l’interprétation des données et la production des </w:t>
      </w:r>
      <w:proofErr w:type="spellStart"/>
      <w:r w:rsidRPr="00DF0A9E">
        <w:rPr>
          <w:rFonts w:ascii="Tw Cen MT" w:eastAsia="Times New Roman" w:hAnsi="Tw Cen MT" w:cs="Times New Roman"/>
          <w:i/>
          <w:iCs/>
          <w:color w:val="000000"/>
          <w:sz w:val="24"/>
          <w:szCs w:val="24"/>
          <w:lang w:eastAsia="fr-FR"/>
        </w:rPr>
        <w:t>reportings</w:t>
      </w:r>
      <w:proofErr w:type="spellEnd"/>
      <w:r w:rsidRPr="00DF0A9E">
        <w:rPr>
          <w:rFonts w:ascii="Tw Cen MT" w:eastAsia="Times New Roman" w:hAnsi="Tw Cen MT" w:cs="Times New Roman"/>
          <w:i/>
          <w:iCs/>
          <w:color w:val="000000"/>
          <w:sz w:val="24"/>
          <w:szCs w:val="24"/>
          <w:lang w:eastAsia="fr-FR"/>
        </w:rPr>
        <w:t>, afin de tester et stabiliser le dispositif </w:t>
      </w:r>
      <w:r>
        <w:rPr>
          <w:rFonts w:ascii="Tw Cen MT" w:eastAsia="Times New Roman" w:hAnsi="Tw Cen MT" w:cs="Times New Roman"/>
          <w:i/>
          <w:iCs/>
          <w:color w:val="000000"/>
          <w:sz w:val="24"/>
          <w:szCs w:val="24"/>
          <w:lang w:eastAsia="fr-FR"/>
        </w:rPr>
        <w:t>;</w:t>
      </w:r>
      <w:r w:rsidR="0056706A" w:rsidRPr="0056706A">
        <w:rPr>
          <w:rFonts w:ascii="Tw Cen MT" w:eastAsia="Times New Roman" w:hAnsi="Tw Cen MT" w:cs="Times New Roman"/>
          <w:i/>
          <w:iCs/>
          <w:color w:val="000000"/>
          <w:sz w:val="24"/>
          <w:szCs w:val="24"/>
          <w:lang w:eastAsia="fr-FR"/>
        </w:rPr>
        <w:t xml:space="preserve"> </w:t>
      </w:r>
    </w:p>
    <w:p w14:paraId="5017CDCE" w14:textId="4473E253" w:rsidR="004279F8" w:rsidRPr="00DF0A9E" w:rsidRDefault="004279F8" w:rsidP="00DD6486">
      <w:pPr>
        <w:numPr>
          <w:ilvl w:val="0"/>
          <w:numId w:val="3"/>
        </w:numPr>
        <w:rPr>
          <w:rFonts w:ascii="Tw Cen MT" w:eastAsia="Times New Roman" w:hAnsi="Tw Cen MT" w:cs="Times New Roman"/>
          <w:i/>
          <w:iCs/>
          <w:color w:val="000000"/>
          <w:sz w:val="24"/>
          <w:szCs w:val="24"/>
          <w:lang w:eastAsia="fr-FR"/>
        </w:rPr>
      </w:pPr>
      <w:r w:rsidRPr="00DF0A9E">
        <w:rPr>
          <w:rFonts w:ascii="Tw Cen MT" w:eastAsia="Times New Roman" w:hAnsi="Tw Cen MT" w:cs="Times New Roman"/>
          <w:i/>
          <w:iCs/>
          <w:color w:val="000000"/>
          <w:sz w:val="24"/>
          <w:szCs w:val="24"/>
          <w:lang w:eastAsia="fr-FR"/>
        </w:rPr>
        <w:t>Assurer la réalisation de l’ensemble des phases et la production des livrables, en impliquant le chef de projet et en assurant un transfert de compétences en situation réelle au profit des représentants du DFP, notamment la DEC ;</w:t>
      </w:r>
    </w:p>
    <w:p w14:paraId="4A7CCE63" w14:textId="1E1949C3" w:rsidR="0056706A" w:rsidRPr="00F21097" w:rsidRDefault="0056706A" w:rsidP="004279F8">
      <w:pPr>
        <w:numPr>
          <w:ilvl w:val="0"/>
          <w:numId w:val="3"/>
        </w:num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Structurer la fonction évaluation du projet, incluant la définition des différentes phases d’évaluation (</w:t>
      </w:r>
      <w:proofErr w:type="spellStart"/>
      <w:r w:rsidRPr="0056706A">
        <w:rPr>
          <w:rFonts w:ascii="Tw Cen MT" w:eastAsia="Times New Roman" w:hAnsi="Tw Cen MT" w:cs="Times New Roman"/>
          <w:i/>
          <w:iCs/>
          <w:color w:val="000000"/>
          <w:sz w:val="24"/>
          <w:szCs w:val="24"/>
          <w:lang w:eastAsia="fr-FR"/>
        </w:rPr>
        <w:t>baseline</w:t>
      </w:r>
      <w:proofErr w:type="spellEnd"/>
      <w:r w:rsidRPr="0056706A">
        <w:rPr>
          <w:rFonts w:ascii="Tw Cen MT" w:eastAsia="Times New Roman" w:hAnsi="Tw Cen MT" w:cs="Times New Roman"/>
          <w:i/>
          <w:iCs/>
          <w:color w:val="000000"/>
          <w:sz w:val="24"/>
          <w:szCs w:val="24"/>
          <w:lang w:eastAsia="fr-FR"/>
        </w:rPr>
        <w:t xml:space="preserve">, évaluation à mi-parcours, évaluation finale) ; </w:t>
      </w:r>
    </w:p>
    <w:p w14:paraId="61426D46" w14:textId="0F497C41" w:rsidR="0056706A" w:rsidRPr="00F21097" w:rsidRDefault="0056706A" w:rsidP="00F21097">
      <w:pPr>
        <w:numPr>
          <w:ilvl w:val="0"/>
          <w:numId w:val="3"/>
        </w:num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Accompagner la mise en œuvre et l’améli</w:t>
      </w:r>
      <w:r w:rsidR="004279F8">
        <w:rPr>
          <w:rFonts w:ascii="Tw Cen MT" w:eastAsia="Times New Roman" w:hAnsi="Tw Cen MT" w:cs="Times New Roman"/>
          <w:i/>
          <w:iCs/>
          <w:color w:val="000000"/>
          <w:sz w:val="24"/>
          <w:szCs w:val="24"/>
          <w:lang w:eastAsia="fr-FR"/>
        </w:rPr>
        <w:t>oration continue du dispositif.</w:t>
      </w:r>
      <w:r w:rsidRPr="0056706A">
        <w:rPr>
          <w:rFonts w:ascii="Tw Cen MT" w:eastAsia="Times New Roman" w:hAnsi="Tw Cen MT" w:cs="Times New Roman"/>
          <w:i/>
          <w:iCs/>
          <w:color w:val="000000"/>
          <w:sz w:val="24"/>
          <w:szCs w:val="24"/>
          <w:lang w:eastAsia="fr-FR"/>
        </w:rPr>
        <w:t xml:space="preserve"> </w:t>
      </w:r>
    </w:p>
    <w:p w14:paraId="728F5479" w14:textId="1200A448" w:rsidR="00057C7B" w:rsidRPr="00DF0A9E" w:rsidRDefault="00057C7B" w:rsidP="0099393F">
      <w:pPr>
        <w:rPr>
          <w:rFonts w:ascii="Tw Cen MT" w:eastAsia="Times New Roman" w:hAnsi="Tw Cen MT" w:cs="Times New Roman"/>
          <w:i/>
          <w:iCs/>
          <w:color w:val="000000"/>
          <w:sz w:val="24"/>
          <w:szCs w:val="24"/>
          <w:lang w:eastAsia="fr-FR"/>
        </w:rPr>
      </w:pPr>
      <w:r w:rsidRPr="00DF0A9E">
        <w:rPr>
          <w:rFonts w:ascii="Tw Cen MT" w:eastAsia="Times New Roman" w:hAnsi="Tw Cen MT" w:cs="Times New Roman"/>
          <w:i/>
          <w:iCs/>
          <w:color w:val="000000"/>
          <w:sz w:val="24"/>
          <w:szCs w:val="24"/>
          <w:lang w:eastAsia="fr-FR"/>
        </w:rPr>
        <w:t>L’expert.e ne réalisera pas directement les évaluations, mais en définira les modalités, les o</w:t>
      </w:r>
      <w:r w:rsidR="0099393F" w:rsidRPr="00DF0A9E">
        <w:rPr>
          <w:rFonts w:ascii="Tw Cen MT" w:eastAsia="Times New Roman" w:hAnsi="Tw Cen MT" w:cs="Times New Roman"/>
          <w:i/>
          <w:iCs/>
          <w:color w:val="000000"/>
          <w:sz w:val="24"/>
          <w:szCs w:val="24"/>
          <w:lang w:eastAsia="fr-FR"/>
        </w:rPr>
        <w:t>utils et procédera à l’élaboration, avec le chef de projet, en coordination avec la DEC, des termes de références pour la mobilisation par Expertise France d’une expertise externe pour la réalisation de l’évaluation à mi-parcours et l’évaluation finale du projet et en appuyer la sélection et la supervision.</w:t>
      </w:r>
      <w:r w:rsidR="00F21097" w:rsidRPr="00DF0A9E">
        <w:rPr>
          <w:rFonts w:ascii="Tw Cen MT" w:eastAsia="Times New Roman" w:hAnsi="Tw Cen MT" w:cs="Times New Roman"/>
          <w:i/>
          <w:iCs/>
          <w:color w:val="000000"/>
          <w:sz w:val="24"/>
          <w:szCs w:val="24"/>
          <w:lang w:eastAsia="fr-FR"/>
        </w:rPr>
        <w:t xml:space="preserve"> </w:t>
      </w:r>
    </w:p>
    <w:p w14:paraId="172AC939" w14:textId="77777777" w:rsidR="0056706A" w:rsidRPr="0056706A" w:rsidRDefault="0056706A" w:rsidP="0056706A">
      <w:pPr>
        <w:rPr>
          <w:rFonts w:ascii="Tw Cen MT" w:eastAsia="Times New Roman" w:hAnsi="Tw Cen MT" w:cs="Times New Roman"/>
          <w:i/>
          <w:iCs/>
          <w:color w:val="000000"/>
          <w:sz w:val="24"/>
          <w:szCs w:val="24"/>
          <w:lang w:eastAsia="fr-FR"/>
        </w:rPr>
      </w:pPr>
      <w:r w:rsidRPr="0056706A">
        <w:rPr>
          <w:rFonts w:ascii="Tw Cen MT" w:eastAsia="Times New Roman" w:hAnsi="Tw Cen MT" w:cs="Times New Roman"/>
          <w:i/>
          <w:iCs/>
          <w:color w:val="000000"/>
          <w:sz w:val="24"/>
          <w:szCs w:val="24"/>
          <w:lang w:eastAsia="fr-FR"/>
        </w:rPr>
        <w:t>L’expert.e interviendra dans une logique d’appui structurant et d’accompagnement.</w:t>
      </w:r>
    </w:p>
    <w:p w14:paraId="1A8B35F3" w14:textId="77777777" w:rsidR="008E25D2" w:rsidRPr="008E25D2" w:rsidRDefault="008E25D2" w:rsidP="008E25D2">
      <w:pPr>
        <w:rPr>
          <w:rFonts w:ascii="Tw Cen MT" w:eastAsia="Times New Roman" w:hAnsi="Tw Cen MT" w:cs="Times New Roman"/>
          <w:i/>
          <w:iCs/>
          <w:color w:val="000000"/>
          <w:sz w:val="24"/>
          <w:szCs w:val="24"/>
          <w:lang w:eastAsia="fr-FR"/>
        </w:rPr>
      </w:pPr>
      <w:r w:rsidRPr="008E25D2">
        <w:rPr>
          <w:rFonts w:ascii="Tw Cen MT" w:eastAsia="Times New Roman" w:hAnsi="Tw Cen MT" w:cs="Times New Roman"/>
          <w:i/>
          <w:iCs/>
          <w:color w:val="000000"/>
          <w:sz w:val="24"/>
          <w:szCs w:val="24"/>
          <w:lang w:eastAsia="fr-FR"/>
        </w:rPr>
        <w:t>La mise en œuvre du dispositif SERA reposera sur une approche progressive visant à assurer à la fois son opérationnalisation effective et son appropriation par les équipes du DFP, notamment la DEC.</w:t>
      </w:r>
    </w:p>
    <w:p w14:paraId="69A15F93" w14:textId="202A22B0" w:rsidR="008E25D2" w:rsidRPr="008E25D2" w:rsidRDefault="008E25D2" w:rsidP="008E25D2">
      <w:pPr>
        <w:rPr>
          <w:rFonts w:ascii="Tw Cen MT" w:eastAsia="Times New Roman" w:hAnsi="Tw Cen MT" w:cs="Times New Roman"/>
          <w:i/>
          <w:iCs/>
          <w:color w:val="000000"/>
          <w:sz w:val="24"/>
          <w:szCs w:val="24"/>
          <w:lang w:eastAsia="fr-FR"/>
        </w:rPr>
      </w:pPr>
      <w:r w:rsidRPr="008E25D2">
        <w:rPr>
          <w:rFonts w:ascii="Tw Cen MT" w:eastAsia="Times New Roman" w:hAnsi="Tw Cen MT" w:cs="Times New Roman"/>
          <w:i/>
          <w:iCs/>
          <w:color w:val="000000"/>
          <w:sz w:val="24"/>
          <w:szCs w:val="24"/>
          <w:lang w:eastAsia="fr-FR"/>
        </w:rPr>
        <w:t xml:space="preserve">À ce titre, </w:t>
      </w:r>
      <w:r w:rsidR="00F21097" w:rsidRPr="008E25D2">
        <w:rPr>
          <w:rFonts w:ascii="Tw Cen MT" w:eastAsia="Times New Roman" w:hAnsi="Tw Cen MT" w:cs="Times New Roman"/>
          <w:i/>
          <w:iCs/>
          <w:color w:val="000000"/>
          <w:sz w:val="24"/>
          <w:szCs w:val="24"/>
          <w:lang w:eastAsia="fr-FR"/>
        </w:rPr>
        <w:t xml:space="preserve">l’expert. </w:t>
      </w:r>
      <w:proofErr w:type="gramStart"/>
      <w:r w:rsidR="00F21097" w:rsidRPr="008E25D2">
        <w:rPr>
          <w:rFonts w:ascii="Tw Cen MT" w:eastAsia="Times New Roman" w:hAnsi="Tw Cen MT" w:cs="Times New Roman"/>
          <w:i/>
          <w:iCs/>
          <w:color w:val="000000"/>
          <w:sz w:val="24"/>
          <w:szCs w:val="24"/>
          <w:lang w:eastAsia="fr-FR"/>
        </w:rPr>
        <w:t>e</w:t>
      </w:r>
      <w:proofErr w:type="gramEnd"/>
      <w:r w:rsidRPr="008E25D2">
        <w:rPr>
          <w:rFonts w:ascii="Tw Cen MT" w:eastAsia="Times New Roman" w:hAnsi="Tw Cen MT" w:cs="Times New Roman"/>
          <w:i/>
          <w:iCs/>
          <w:color w:val="000000"/>
          <w:sz w:val="24"/>
          <w:szCs w:val="24"/>
          <w:lang w:eastAsia="fr-FR"/>
        </w:rPr>
        <w:t xml:space="preserve"> interviendra selon une logique en </w:t>
      </w:r>
      <w:r w:rsidR="00EC60F3">
        <w:rPr>
          <w:rFonts w:ascii="Tw Cen MT" w:eastAsia="Times New Roman" w:hAnsi="Tw Cen MT" w:cs="Times New Roman"/>
          <w:i/>
          <w:iCs/>
          <w:color w:val="000000"/>
          <w:sz w:val="24"/>
          <w:szCs w:val="24"/>
          <w:lang w:eastAsia="fr-FR"/>
        </w:rPr>
        <w:t>quatre</w:t>
      </w:r>
      <w:r w:rsidR="00EC60F3" w:rsidRPr="008E25D2">
        <w:rPr>
          <w:rFonts w:ascii="Tw Cen MT" w:eastAsia="Times New Roman" w:hAnsi="Tw Cen MT" w:cs="Times New Roman"/>
          <w:i/>
          <w:iCs/>
          <w:color w:val="000000"/>
          <w:sz w:val="24"/>
          <w:szCs w:val="24"/>
          <w:lang w:eastAsia="fr-FR"/>
        </w:rPr>
        <w:t xml:space="preserve"> </w:t>
      </w:r>
      <w:r w:rsidRPr="008E25D2">
        <w:rPr>
          <w:rFonts w:ascii="Tw Cen MT" w:eastAsia="Times New Roman" w:hAnsi="Tw Cen MT" w:cs="Times New Roman"/>
          <w:i/>
          <w:iCs/>
          <w:color w:val="000000"/>
          <w:sz w:val="24"/>
          <w:szCs w:val="24"/>
          <w:lang w:eastAsia="fr-FR"/>
        </w:rPr>
        <w:t>étapes :</w:t>
      </w:r>
    </w:p>
    <w:p w14:paraId="1E51FB71" w14:textId="5B073A14" w:rsidR="00EC60F3" w:rsidRDefault="008E25D2" w:rsidP="00DD6486">
      <w:pPr>
        <w:numPr>
          <w:ilvl w:val="0"/>
          <w:numId w:val="4"/>
        </w:numPr>
        <w:rPr>
          <w:rFonts w:ascii="Tw Cen MT" w:eastAsia="Times New Roman" w:hAnsi="Tw Cen MT" w:cs="Times New Roman"/>
          <w:i/>
          <w:iCs/>
          <w:color w:val="000000"/>
          <w:sz w:val="24"/>
          <w:szCs w:val="24"/>
          <w:lang w:eastAsia="fr-FR"/>
        </w:rPr>
      </w:pPr>
      <w:r w:rsidRPr="008E25D2">
        <w:rPr>
          <w:rFonts w:ascii="Tw Cen MT" w:eastAsia="Times New Roman" w:hAnsi="Tw Cen MT" w:cs="Times New Roman"/>
          <w:i/>
          <w:iCs/>
          <w:color w:val="000000"/>
          <w:sz w:val="24"/>
          <w:szCs w:val="24"/>
          <w:lang w:eastAsia="fr-FR"/>
        </w:rPr>
        <w:t xml:space="preserve">Une phase initiale durant laquelle il/elle </w:t>
      </w:r>
      <w:r w:rsidR="00EC60F3">
        <w:rPr>
          <w:rFonts w:ascii="Tw Cen MT" w:eastAsia="Times New Roman" w:hAnsi="Tw Cen MT" w:cs="Times New Roman"/>
          <w:i/>
          <w:iCs/>
          <w:color w:val="000000"/>
          <w:sz w:val="24"/>
          <w:szCs w:val="24"/>
          <w:lang w:eastAsia="fr-FR"/>
        </w:rPr>
        <w:t>proposera la démarche de travail sur la base d’une revue documentaire complète ;</w:t>
      </w:r>
    </w:p>
    <w:p w14:paraId="6EDC825C" w14:textId="271EA78D" w:rsidR="008E25D2" w:rsidRPr="008E25D2" w:rsidRDefault="00EC60F3" w:rsidP="00DD6486">
      <w:pPr>
        <w:numPr>
          <w:ilvl w:val="0"/>
          <w:numId w:val="4"/>
        </w:num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 xml:space="preserve">Une phase durant laquelle il/elle </w:t>
      </w:r>
      <w:r w:rsidR="008E25D2" w:rsidRPr="008E25D2">
        <w:rPr>
          <w:rFonts w:ascii="Tw Cen MT" w:eastAsia="Times New Roman" w:hAnsi="Tw Cen MT" w:cs="Times New Roman"/>
          <w:i/>
          <w:iCs/>
          <w:color w:val="000000"/>
          <w:sz w:val="24"/>
          <w:szCs w:val="24"/>
          <w:lang w:eastAsia="fr-FR"/>
        </w:rPr>
        <w:t>appuiera directement la collecte des données, la mise à jour des indicateurs</w:t>
      </w:r>
      <w:r>
        <w:rPr>
          <w:rFonts w:ascii="Tw Cen MT" w:eastAsia="Times New Roman" w:hAnsi="Tw Cen MT" w:cs="Times New Roman"/>
          <w:i/>
          <w:iCs/>
          <w:color w:val="000000"/>
          <w:sz w:val="24"/>
          <w:szCs w:val="24"/>
          <w:lang w:eastAsia="fr-FR"/>
        </w:rPr>
        <w:t>, l’interprétation des données</w:t>
      </w:r>
      <w:r w:rsidR="008E25D2" w:rsidRPr="008E25D2">
        <w:rPr>
          <w:rFonts w:ascii="Tw Cen MT" w:eastAsia="Times New Roman" w:hAnsi="Tw Cen MT" w:cs="Times New Roman"/>
          <w:i/>
          <w:iCs/>
          <w:color w:val="000000"/>
          <w:sz w:val="24"/>
          <w:szCs w:val="24"/>
          <w:lang w:eastAsia="fr-FR"/>
        </w:rPr>
        <w:t xml:space="preserve"> et la production des </w:t>
      </w:r>
      <w:proofErr w:type="spellStart"/>
      <w:r w:rsidR="008E25D2" w:rsidRPr="008E25D2">
        <w:rPr>
          <w:rFonts w:ascii="Tw Cen MT" w:eastAsia="Times New Roman" w:hAnsi="Tw Cen MT" w:cs="Times New Roman"/>
          <w:i/>
          <w:iCs/>
          <w:color w:val="000000"/>
          <w:sz w:val="24"/>
          <w:szCs w:val="24"/>
          <w:lang w:eastAsia="fr-FR"/>
        </w:rPr>
        <w:t>reportings</w:t>
      </w:r>
      <w:proofErr w:type="spellEnd"/>
      <w:r w:rsidR="008E25D2" w:rsidRPr="008E25D2">
        <w:rPr>
          <w:rFonts w:ascii="Tw Cen MT" w:eastAsia="Times New Roman" w:hAnsi="Tw Cen MT" w:cs="Times New Roman"/>
          <w:i/>
          <w:iCs/>
          <w:color w:val="000000"/>
          <w:sz w:val="24"/>
          <w:szCs w:val="24"/>
          <w:lang w:eastAsia="fr-FR"/>
        </w:rPr>
        <w:t xml:space="preserve">, afin de tester et stabiliser le dispositif ; </w:t>
      </w:r>
    </w:p>
    <w:p w14:paraId="1C81FC35" w14:textId="76DEADD5" w:rsidR="008E25D2" w:rsidRPr="008E25D2" w:rsidRDefault="008E25D2" w:rsidP="00DD6486">
      <w:pPr>
        <w:numPr>
          <w:ilvl w:val="0"/>
          <w:numId w:val="4"/>
        </w:numPr>
        <w:rPr>
          <w:rFonts w:ascii="Tw Cen MT" w:eastAsia="Times New Roman" w:hAnsi="Tw Cen MT" w:cs="Times New Roman"/>
          <w:i/>
          <w:iCs/>
          <w:color w:val="000000"/>
          <w:sz w:val="24"/>
          <w:szCs w:val="24"/>
          <w:lang w:eastAsia="fr-FR"/>
        </w:rPr>
      </w:pPr>
      <w:r w:rsidRPr="008E25D2">
        <w:rPr>
          <w:rFonts w:ascii="Tw Cen MT" w:eastAsia="Times New Roman" w:hAnsi="Tw Cen MT" w:cs="Times New Roman"/>
          <w:i/>
          <w:iCs/>
          <w:color w:val="000000"/>
          <w:sz w:val="24"/>
          <w:szCs w:val="24"/>
          <w:lang w:eastAsia="fr-FR"/>
        </w:rPr>
        <w:t xml:space="preserve">Une phase de co-production, associant étroitement les équipes du DFP (notamment la DEC) et le chef de projet, permettant un transfert de compétences en situation réelle ; </w:t>
      </w:r>
    </w:p>
    <w:p w14:paraId="41B54F9A" w14:textId="53542375" w:rsidR="008E25D2" w:rsidRPr="008E25D2" w:rsidRDefault="00A374FE" w:rsidP="00DD6486">
      <w:pPr>
        <w:numPr>
          <w:ilvl w:val="0"/>
          <w:numId w:val="4"/>
        </w:numPr>
        <w:rPr>
          <w:rFonts w:ascii="Tw Cen MT" w:eastAsia="Times New Roman" w:hAnsi="Tw Cen MT" w:cs="Times New Roman"/>
          <w:i/>
          <w:iCs/>
          <w:color w:val="000000"/>
          <w:sz w:val="24"/>
          <w:szCs w:val="24"/>
          <w:lang w:eastAsia="fr-FR"/>
        </w:rPr>
      </w:pPr>
      <w:r w:rsidRPr="00A374FE">
        <w:rPr>
          <w:rFonts w:ascii="Tw Cen MT" w:eastAsia="Times New Roman" w:hAnsi="Tw Cen MT" w:cs="Times New Roman"/>
          <w:i/>
          <w:iCs/>
          <w:color w:val="000000"/>
          <w:sz w:val="24"/>
          <w:szCs w:val="24"/>
          <w:lang w:eastAsia="fr-FR"/>
        </w:rPr>
        <w:lastRenderedPageBreak/>
        <w:t xml:space="preserve">Une phase de transfert méthodologique et de renforcement des capacités, permettant aux équipes du DFP, notamment la DEC, de comprendre les principes, outils et modalités de mise en œuvre d’un dispositif SERA, en perspective de leur mobilisation éventuelle dans de futurs </w:t>
      </w:r>
      <w:r w:rsidR="00387EAC" w:rsidRPr="00A374FE">
        <w:rPr>
          <w:rFonts w:ascii="Tw Cen MT" w:eastAsia="Times New Roman" w:hAnsi="Tw Cen MT" w:cs="Times New Roman"/>
          <w:i/>
          <w:iCs/>
          <w:color w:val="000000"/>
          <w:sz w:val="24"/>
          <w:szCs w:val="24"/>
          <w:lang w:eastAsia="fr-FR"/>
        </w:rPr>
        <w:t>projets.</w:t>
      </w:r>
      <w:r w:rsidR="008E25D2" w:rsidRPr="008E25D2">
        <w:rPr>
          <w:rFonts w:ascii="Tw Cen MT" w:eastAsia="Times New Roman" w:hAnsi="Tw Cen MT" w:cs="Times New Roman"/>
          <w:i/>
          <w:iCs/>
          <w:color w:val="000000"/>
          <w:sz w:val="24"/>
          <w:szCs w:val="24"/>
          <w:lang w:eastAsia="fr-FR"/>
        </w:rPr>
        <w:t xml:space="preserve"> </w:t>
      </w:r>
    </w:p>
    <w:p w14:paraId="63BB9252" w14:textId="5B5AE834" w:rsidR="008E25D2" w:rsidRDefault="008E25D2" w:rsidP="008E25D2">
      <w:pPr>
        <w:rPr>
          <w:rFonts w:ascii="Tw Cen MT" w:eastAsia="Times New Roman" w:hAnsi="Tw Cen MT" w:cs="Times New Roman"/>
          <w:i/>
          <w:iCs/>
          <w:color w:val="000000"/>
          <w:sz w:val="24"/>
          <w:szCs w:val="24"/>
          <w:lang w:eastAsia="fr-FR"/>
        </w:rPr>
      </w:pPr>
      <w:r w:rsidRPr="008E25D2">
        <w:rPr>
          <w:rFonts w:ascii="Tw Cen MT" w:eastAsia="Times New Roman" w:hAnsi="Tw Cen MT" w:cs="Times New Roman"/>
          <w:i/>
          <w:iCs/>
          <w:color w:val="000000"/>
          <w:sz w:val="24"/>
          <w:szCs w:val="24"/>
          <w:lang w:eastAsia="fr-FR"/>
        </w:rPr>
        <w:t>Cette approche vise à garantir la faisabilité opérationnelle du dispositif, tout en assurant sa durabilité et son appropriation institutionnelle.</w:t>
      </w:r>
    </w:p>
    <w:p w14:paraId="498AFBB7" w14:textId="73E779BD" w:rsidR="00057C7B" w:rsidRDefault="00057C7B" w:rsidP="008E25D2">
      <w:pPr>
        <w:rPr>
          <w:rFonts w:ascii="Tw Cen MT" w:eastAsia="Times New Roman" w:hAnsi="Tw Cen MT" w:cs="Times New Roman"/>
          <w:i/>
          <w:iCs/>
          <w:color w:val="000000"/>
          <w:sz w:val="24"/>
          <w:szCs w:val="24"/>
          <w:lang w:eastAsia="fr-FR"/>
        </w:rPr>
      </w:pPr>
    </w:p>
    <w:p w14:paraId="5917214E" w14:textId="654D2F16" w:rsidR="00057C7B" w:rsidRPr="00057C7B" w:rsidRDefault="00057C7B" w:rsidP="00057C7B">
      <w:pPr>
        <w:shd w:val="clear" w:color="auto" w:fill="F0917B" w:themeFill="accent5" w:themeFillTint="99"/>
        <w:jc w:val="both"/>
        <w:rPr>
          <w:rFonts w:ascii="Tw Cen MT" w:eastAsia="Arial" w:hAnsi="Tw Cen MT"/>
          <w:b/>
          <w:bCs/>
          <w:color w:val="FFFFFF" w:themeColor="background1"/>
          <w:sz w:val="28"/>
          <w:szCs w:val="28"/>
        </w:rPr>
      </w:pPr>
      <w:r>
        <w:rPr>
          <w:rFonts w:ascii="Tw Cen MT" w:eastAsia="Arial" w:hAnsi="Tw Cen MT"/>
          <w:b/>
          <w:bCs/>
          <w:color w:val="FFFFFF" w:themeColor="background1"/>
          <w:sz w:val="28"/>
          <w:szCs w:val="28"/>
        </w:rPr>
        <w:t>Organisation et collaboration</w:t>
      </w:r>
    </w:p>
    <w:p w14:paraId="7372F59F" w14:textId="77777777" w:rsidR="00057C7B" w:rsidRPr="00057C7B" w:rsidRDefault="00057C7B" w:rsidP="00057C7B">
      <w:pPr>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L’expert.e travaillera sous la supervision du chef de projet IFMIP et en étroite collaboration avec :</w:t>
      </w:r>
    </w:p>
    <w:p w14:paraId="1C45C78E" w14:textId="5FCFB46A" w:rsidR="00057C7B" w:rsidRPr="00057C7B" w:rsidRDefault="00057C7B" w:rsidP="00DD6486">
      <w:pPr>
        <w:numPr>
          <w:ilvl w:val="0"/>
          <w:numId w:val="5"/>
        </w:numPr>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 xml:space="preserve">L’équipe d’Expertise France ; </w:t>
      </w:r>
    </w:p>
    <w:p w14:paraId="3C05508D" w14:textId="17705C3D" w:rsidR="00057C7B" w:rsidRPr="00057C7B" w:rsidRDefault="00057C7B" w:rsidP="00DD6486">
      <w:pPr>
        <w:numPr>
          <w:ilvl w:val="0"/>
          <w:numId w:val="5"/>
        </w:numPr>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 xml:space="preserve">La Division Évaluation et Communication (DEC) du DFP ; </w:t>
      </w:r>
    </w:p>
    <w:p w14:paraId="32F01361" w14:textId="305BE7CB" w:rsidR="00057C7B" w:rsidRPr="00057C7B" w:rsidRDefault="00057C7B" w:rsidP="00DD6486">
      <w:pPr>
        <w:numPr>
          <w:ilvl w:val="0"/>
          <w:numId w:val="5"/>
        </w:numPr>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 xml:space="preserve">Les partenaires du projet. </w:t>
      </w:r>
    </w:p>
    <w:p w14:paraId="16AEACD7" w14:textId="7F48AEB2" w:rsidR="00A374FE" w:rsidRDefault="00A374FE" w:rsidP="00A374FE">
      <w:pPr>
        <w:rPr>
          <w:rFonts w:ascii="Tw Cen MT" w:eastAsia="Times New Roman" w:hAnsi="Tw Cen MT" w:cs="Times New Roman"/>
          <w:i/>
          <w:iCs/>
          <w:color w:val="000000"/>
          <w:sz w:val="24"/>
          <w:szCs w:val="24"/>
          <w:lang w:eastAsia="fr-FR"/>
        </w:rPr>
      </w:pPr>
      <w:r w:rsidRPr="00A374FE">
        <w:rPr>
          <w:rFonts w:ascii="Tw Cen MT" w:eastAsia="Times New Roman" w:hAnsi="Tw Cen MT" w:cs="Times New Roman"/>
          <w:i/>
          <w:iCs/>
          <w:color w:val="000000"/>
          <w:sz w:val="24"/>
          <w:szCs w:val="24"/>
          <w:lang w:eastAsia="fr-FR"/>
        </w:rPr>
        <w:t>Durant la mise en œuvre du projet IFMI</w:t>
      </w:r>
      <w:r>
        <w:rPr>
          <w:rFonts w:ascii="Tw Cen MT" w:eastAsia="Times New Roman" w:hAnsi="Tw Cen MT" w:cs="Times New Roman"/>
          <w:i/>
          <w:iCs/>
          <w:color w:val="000000"/>
          <w:sz w:val="24"/>
          <w:szCs w:val="24"/>
          <w:lang w:eastAsia="fr-FR"/>
        </w:rPr>
        <w:t>P</w:t>
      </w:r>
      <w:r w:rsidRPr="00A374FE">
        <w:rPr>
          <w:rFonts w:ascii="Tw Cen MT" w:eastAsia="Times New Roman" w:hAnsi="Tw Cen MT" w:cs="Times New Roman"/>
          <w:i/>
          <w:iCs/>
          <w:color w:val="000000"/>
          <w:sz w:val="24"/>
          <w:szCs w:val="24"/>
          <w:lang w:eastAsia="fr-FR"/>
        </w:rPr>
        <w:t xml:space="preserve">, le dispositif SERA </w:t>
      </w:r>
      <w:proofErr w:type="spellStart"/>
      <w:proofErr w:type="gramStart"/>
      <w:r w:rsidRPr="00A374FE">
        <w:rPr>
          <w:rFonts w:ascii="Tw Cen MT" w:eastAsia="Times New Roman" w:hAnsi="Tw Cen MT" w:cs="Times New Roman"/>
          <w:i/>
          <w:iCs/>
          <w:color w:val="000000"/>
          <w:sz w:val="24"/>
          <w:szCs w:val="24"/>
          <w:lang w:eastAsia="fr-FR"/>
        </w:rPr>
        <w:t>sera</w:t>
      </w:r>
      <w:proofErr w:type="spellEnd"/>
      <w:proofErr w:type="gramEnd"/>
      <w:r w:rsidRPr="00A374FE">
        <w:rPr>
          <w:rFonts w:ascii="Tw Cen MT" w:eastAsia="Times New Roman" w:hAnsi="Tw Cen MT" w:cs="Times New Roman"/>
          <w:i/>
          <w:iCs/>
          <w:color w:val="000000"/>
          <w:sz w:val="24"/>
          <w:szCs w:val="24"/>
          <w:lang w:eastAsia="fr-FR"/>
        </w:rPr>
        <w:t xml:space="preserve"> principalement opéré par l’assistance technique portée par Expertise France, qui assurera la coordination de la collecte des données auprès des structures concernées, la consolidation des informations, le renseignement des indicateurs et la production des </w:t>
      </w:r>
      <w:proofErr w:type="spellStart"/>
      <w:r w:rsidRPr="00A374FE">
        <w:rPr>
          <w:rFonts w:ascii="Tw Cen MT" w:eastAsia="Times New Roman" w:hAnsi="Tw Cen MT" w:cs="Times New Roman"/>
          <w:i/>
          <w:iCs/>
          <w:color w:val="000000"/>
          <w:sz w:val="24"/>
          <w:szCs w:val="24"/>
          <w:lang w:eastAsia="fr-FR"/>
        </w:rPr>
        <w:t>reportings</w:t>
      </w:r>
      <w:proofErr w:type="spellEnd"/>
      <w:r w:rsidRPr="00A374FE">
        <w:rPr>
          <w:rFonts w:ascii="Tw Cen MT" w:eastAsia="Times New Roman" w:hAnsi="Tw Cen MT" w:cs="Times New Roman"/>
          <w:i/>
          <w:iCs/>
          <w:color w:val="000000"/>
          <w:sz w:val="24"/>
          <w:szCs w:val="24"/>
          <w:lang w:eastAsia="fr-FR"/>
        </w:rPr>
        <w:t>.</w:t>
      </w:r>
    </w:p>
    <w:p w14:paraId="215F2214" w14:textId="41E65990" w:rsidR="00387EAC" w:rsidRDefault="00387EAC" w:rsidP="00387EAC">
      <w:pPr>
        <w:rPr>
          <w:rFonts w:ascii="Tw Cen MT" w:eastAsia="Times New Roman" w:hAnsi="Tw Cen MT" w:cs="Times New Roman"/>
          <w:i/>
          <w:iCs/>
          <w:color w:val="000000"/>
          <w:sz w:val="24"/>
          <w:szCs w:val="24"/>
          <w:lang w:eastAsia="fr-FR"/>
        </w:rPr>
      </w:pPr>
      <w:r w:rsidRPr="00387EAC">
        <w:rPr>
          <w:rFonts w:ascii="Tw Cen MT" w:eastAsia="Times New Roman" w:hAnsi="Tw Cen MT" w:cs="Times New Roman"/>
          <w:i/>
          <w:iCs/>
          <w:color w:val="000000"/>
          <w:sz w:val="24"/>
          <w:szCs w:val="24"/>
          <w:lang w:eastAsia="fr-FR"/>
        </w:rPr>
        <w:t>La DEC sera associée à ces travaux dans une logique d’apprentissage pratique et de transfert méthodologique, afin de renforcer ses capacités pour de futurs projets similaires. »</w:t>
      </w:r>
    </w:p>
    <w:p w14:paraId="39BCA765" w14:textId="0B322B37" w:rsidR="00057C7B" w:rsidRPr="00057C7B" w:rsidRDefault="00057C7B" w:rsidP="00057C7B">
      <w:pPr>
        <w:shd w:val="clear" w:color="auto" w:fill="F0917B" w:themeFill="accent5" w:themeFillTint="99"/>
        <w:jc w:val="both"/>
        <w:rPr>
          <w:rFonts w:ascii="Tw Cen MT" w:eastAsia="Arial" w:hAnsi="Tw Cen MT"/>
          <w:b/>
          <w:bCs/>
          <w:color w:val="FFFFFF" w:themeColor="background1"/>
          <w:sz w:val="28"/>
          <w:szCs w:val="28"/>
        </w:rPr>
      </w:pPr>
      <w:r>
        <w:rPr>
          <w:rFonts w:ascii="Tw Cen MT" w:eastAsia="Arial" w:hAnsi="Tw Cen MT"/>
          <w:b/>
          <w:bCs/>
          <w:color w:val="FFFFFF" w:themeColor="background1"/>
          <w:sz w:val="28"/>
          <w:szCs w:val="28"/>
        </w:rPr>
        <w:t>Phasage de la mission</w:t>
      </w:r>
    </w:p>
    <w:p w14:paraId="35748C97" w14:textId="1736F4C8" w:rsidR="00057C7B" w:rsidRPr="00AC5AD3" w:rsidRDefault="00057C7B" w:rsidP="00DD6486">
      <w:pPr>
        <w:pStyle w:val="Paragraphedeliste"/>
        <w:numPr>
          <w:ilvl w:val="0"/>
          <w:numId w:val="8"/>
        </w:numPr>
        <w:spacing w:before="100" w:beforeAutospacing="1" w:after="100" w:afterAutospacing="1" w:line="240" w:lineRule="auto"/>
        <w:outlineLvl w:val="1"/>
        <w:rPr>
          <w:rFonts w:ascii="Tw Cen MT" w:eastAsia="Times New Roman" w:hAnsi="Tw Cen MT" w:cs="Times New Roman"/>
          <w:i/>
          <w:iCs/>
          <w:color w:val="002060"/>
          <w:sz w:val="32"/>
          <w:szCs w:val="32"/>
          <w:lang w:eastAsia="fr-FR"/>
        </w:rPr>
      </w:pPr>
      <w:r w:rsidRPr="00AC5AD3">
        <w:rPr>
          <w:rFonts w:ascii="Tw Cen MT" w:eastAsia="Times New Roman" w:hAnsi="Tw Cen MT" w:cs="Times New Roman"/>
          <w:i/>
          <w:iCs/>
          <w:color w:val="002060"/>
          <w:sz w:val="28"/>
          <w:szCs w:val="28"/>
          <w:lang w:eastAsia="fr-FR"/>
        </w:rPr>
        <w:t>Phase 1 : Diagnostic et cadrage (6 H/J</w:t>
      </w:r>
      <w:r w:rsidRPr="00AC5AD3">
        <w:rPr>
          <w:rFonts w:ascii="Tw Cen MT" w:eastAsia="Times New Roman" w:hAnsi="Tw Cen MT" w:cs="Times New Roman"/>
          <w:i/>
          <w:iCs/>
          <w:color w:val="002060"/>
          <w:sz w:val="32"/>
          <w:szCs w:val="32"/>
          <w:lang w:eastAsia="fr-FR"/>
        </w:rPr>
        <w:t>)</w:t>
      </w:r>
    </w:p>
    <w:p w14:paraId="5342532C" w14:textId="77777777" w:rsidR="00057C7B" w:rsidRPr="00057C7B" w:rsidRDefault="00057C7B" w:rsidP="00057C7B">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b/>
          <w:i/>
          <w:iCs/>
          <w:color w:val="002060"/>
          <w:sz w:val="24"/>
          <w:szCs w:val="24"/>
          <w:lang w:eastAsia="fr-FR"/>
        </w:rPr>
        <w:t>Objectif</w:t>
      </w:r>
      <w:r w:rsidRPr="00057C7B">
        <w:rPr>
          <w:rFonts w:ascii="Tw Cen MT" w:eastAsia="Times New Roman" w:hAnsi="Tw Cen MT" w:cs="Times New Roman"/>
          <w:i/>
          <w:iCs/>
          <w:color w:val="000000"/>
          <w:sz w:val="24"/>
          <w:szCs w:val="24"/>
          <w:lang w:eastAsia="fr-FR"/>
        </w:rPr>
        <w:t xml:space="preserve"> : analyser le cadre existant et définir les bases du dispositif SERA.</w:t>
      </w:r>
    </w:p>
    <w:p w14:paraId="327DA26A" w14:textId="77777777" w:rsidR="00057C7B" w:rsidRPr="00057C7B" w:rsidRDefault="00057C7B" w:rsidP="00057C7B">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b/>
          <w:i/>
          <w:iCs/>
          <w:color w:val="002060"/>
          <w:sz w:val="24"/>
          <w:szCs w:val="24"/>
          <w:lang w:eastAsia="fr-FR"/>
        </w:rPr>
        <w:t>Activités</w:t>
      </w:r>
      <w:r w:rsidRPr="00057C7B">
        <w:rPr>
          <w:rFonts w:ascii="Tw Cen MT" w:eastAsia="Times New Roman" w:hAnsi="Tw Cen MT" w:cs="Times New Roman"/>
          <w:i/>
          <w:iCs/>
          <w:color w:val="000000"/>
          <w:sz w:val="24"/>
          <w:szCs w:val="24"/>
          <w:lang w:eastAsia="fr-FR"/>
        </w:rPr>
        <w:t xml:space="preserve"> :</w:t>
      </w:r>
    </w:p>
    <w:p w14:paraId="18CC97C6" w14:textId="512BBCD0" w:rsidR="00057C7B" w:rsidRP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Revue</w:t>
      </w:r>
      <w:r w:rsidR="00057C7B" w:rsidRPr="00057C7B">
        <w:rPr>
          <w:rFonts w:ascii="Tw Cen MT" w:eastAsia="Times New Roman" w:hAnsi="Tw Cen MT" w:cs="Times New Roman"/>
          <w:i/>
          <w:iCs/>
          <w:color w:val="000000"/>
          <w:sz w:val="24"/>
          <w:szCs w:val="24"/>
          <w:lang w:eastAsia="fr-FR"/>
        </w:rPr>
        <w:t xml:space="preserve"> documentaire approfondie ; </w:t>
      </w:r>
    </w:p>
    <w:p w14:paraId="7BE7438B" w14:textId="4EA10F91" w:rsidR="00057C7B" w:rsidRP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Analyse</w:t>
      </w:r>
      <w:r w:rsidR="00057C7B" w:rsidRPr="00057C7B">
        <w:rPr>
          <w:rFonts w:ascii="Tw Cen MT" w:eastAsia="Times New Roman" w:hAnsi="Tw Cen MT" w:cs="Times New Roman"/>
          <w:i/>
          <w:iCs/>
          <w:color w:val="000000"/>
          <w:sz w:val="24"/>
          <w:szCs w:val="24"/>
          <w:lang w:eastAsia="fr-FR"/>
        </w:rPr>
        <w:t xml:space="preserve"> du cadre logique et du PTB ; </w:t>
      </w:r>
    </w:p>
    <w:p w14:paraId="721729AC" w14:textId="71D93A76" w:rsidR="00057C7B" w:rsidRP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Identification</w:t>
      </w:r>
      <w:r w:rsidR="00057C7B" w:rsidRPr="00057C7B">
        <w:rPr>
          <w:rFonts w:ascii="Tw Cen MT" w:eastAsia="Times New Roman" w:hAnsi="Tw Cen MT" w:cs="Times New Roman"/>
          <w:i/>
          <w:iCs/>
          <w:color w:val="000000"/>
          <w:sz w:val="24"/>
          <w:szCs w:val="24"/>
          <w:lang w:eastAsia="fr-FR"/>
        </w:rPr>
        <w:t xml:space="preserve"> des acteurs et des responsabilités ; </w:t>
      </w:r>
    </w:p>
    <w:p w14:paraId="7DA6A730" w14:textId="0C61A35C" w:rsidR="00057C7B" w:rsidRP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Organisation</w:t>
      </w:r>
      <w:r w:rsidR="00057C7B" w:rsidRPr="00057C7B">
        <w:rPr>
          <w:rFonts w:ascii="Tw Cen MT" w:eastAsia="Times New Roman" w:hAnsi="Tw Cen MT" w:cs="Times New Roman"/>
          <w:i/>
          <w:iCs/>
          <w:color w:val="000000"/>
          <w:sz w:val="24"/>
          <w:szCs w:val="24"/>
          <w:lang w:eastAsia="fr-FR"/>
        </w:rPr>
        <w:t xml:space="preserve"> d’un atelier de cadrage ; </w:t>
      </w:r>
    </w:p>
    <w:p w14:paraId="7D68D871" w14:textId="65D451F1" w:rsid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Évaluation</w:t>
      </w:r>
      <w:r w:rsidR="00057C7B" w:rsidRPr="00057C7B">
        <w:rPr>
          <w:rFonts w:ascii="Tw Cen MT" w:eastAsia="Times New Roman" w:hAnsi="Tw Cen MT" w:cs="Times New Roman"/>
          <w:i/>
          <w:iCs/>
          <w:color w:val="000000"/>
          <w:sz w:val="24"/>
          <w:szCs w:val="24"/>
          <w:lang w:eastAsia="fr-FR"/>
        </w:rPr>
        <w:t xml:space="preserve"> des capacités SERA</w:t>
      </w:r>
      <w:r w:rsidR="00EC60F3">
        <w:rPr>
          <w:rFonts w:ascii="Tw Cen MT" w:eastAsia="Times New Roman" w:hAnsi="Tw Cen MT" w:cs="Times New Roman"/>
          <w:i/>
          <w:iCs/>
          <w:color w:val="000000"/>
          <w:sz w:val="24"/>
          <w:szCs w:val="24"/>
          <w:lang w:eastAsia="fr-FR"/>
        </w:rPr>
        <w:t xml:space="preserve"> des différents </w:t>
      </w:r>
      <w:r w:rsidR="00387EAC">
        <w:rPr>
          <w:rFonts w:ascii="Tw Cen MT" w:eastAsia="Times New Roman" w:hAnsi="Tw Cen MT" w:cs="Times New Roman"/>
          <w:i/>
          <w:iCs/>
          <w:color w:val="000000"/>
          <w:sz w:val="24"/>
          <w:szCs w:val="24"/>
          <w:lang w:eastAsia="fr-FR"/>
        </w:rPr>
        <w:t>intervenants</w:t>
      </w:r>
      <w:r w:rsidR="00387EAC" w:rsidRPr="00057C7B">
        <w:rPr>
          <w:rFonts w:ascii="Tw Cen MT" w:eastAsia="Times New Roman" w:hAnsi="Tw Cen MT" w:cs="Times New Roman"/>
          <w:i/>
          <w:iCs/>
          <w:color w:val="000000"/>
          <w:sz w:val="24"/>
          <w:szCs w:val="24"/>
          <w:lang w:eastAsia="fr-FR"/>
        </w:rPr>
        <w:t xml:space="preserve"> ;</w:t>
      </w:r>
      <w:r w:rsidR="00057C7B" w:rsidRPr="00057C7B">
        <w:rPr>
          <w:rFonts w:ascii="Tw Cen MT" w:eastAsia="Times New Roman" w:hAnsi="Tw Cen MT" w:cs="Times New Roman"/>
          <w:i/>
          <w:iCs/>
          <w:color w:val="000000"/>
          <w:sz w:val="24"/>
          <w:szCs w:val="24"/>
          <w:lang w:eastAsia="fr-FR"/>
        </w:rPr>
        <w:t xml:space="preserve"> </w:t>
      </w:r>
    </w:p>
    <w:p w14:paraId="048ED6D5" w14:textId="570BA984" w:rsidR="00EC60F3" w:rsidRPr="00057C7B" w:rsidRDefault="00EC60F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Proposition d’un plan de renforcement de capacité sur la base de l’évaluation des capacités SERA ;</w:t>
      </w:r>
    </w:p>
    <w:p w14:paraId="3A445891" w14:textId="51249389" w:rsidR="00057C7B" w:rsidRPr="00057C7B" w:rsidRDefault="00AC5AD3" w:rsidP="00DD6486">
      <w:pPr>
        <w:numPr>
          <w:ilvl w:val="0"/>
          <w:numId w:val="6"/>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Définition</w:t>
      </w:r>
      <w:r w:rsidR="00057C7B" w:rsidRPr="00057C7B">
        <w:rPr>
          <w:rFonts w:ascii="Tw Cen MT" w:eastAsia="Times New Roman" w:hAnsi="Tw Cen MT" w:cs="Times New Roman"/>
          <w:i/>
          <w:iCs/>
          <w:color w:val="000000"/>
          <w:sz w:val="24"/>
          <w:szCs w:val="24"/>
          <w:lang w:eastAsia="fr-FR"/>
        </w:rPr>
        <w:t xml:space="preserve"> des modalités du dispositif SERA et d’évaluation. </w:t>
      </w:r>
    </w:p>
    <w:p w14:paraId="6B0693B5" w14:textId="77777777" w:rsidR="00057C7B" w:rsidRPr="00057C7B" w:rsidRDefault="00057C7B" w:rsidP="00057C7B">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b/>
          <w:i/>
          <w:iCs/>
          <w:color w:val="002060"/>
          <w:sz w:val="24"/>
          <w:szCs w:val="24"/>
          <w:lang w:eastAsia="fr-FR"/>
        </w:rPr>
        <w:t>Livrables</w:t>
      </w:r>
      <w:r w:rsidRPr="00057C7B">
        <w:rPr>
          <w:rFonts w:ascii="Tw Cen MT" w:eastAsia="Times New Roman" w:hAnsi="Tw Cen MT" w:cs="Times New Roman"/>
          <w:i/>
          <w:iCs/>
          <w:color w:val="000000"/>
          <w:sz w:val="24"/>
          <w:szCs w:val="24"/>
          <w:lang w:eastAsia="fr-FR"/>
        </w:rPr>
        <w:t xml:space="preserve"> :</w:t>
      </w:r>
    </w:p>
    <w:p w14:paraId="765D6935" w14:textId="4D228344" w:rsidR="00057C7B" w:rsidRPr="00057C7B" w:rsidRDefault="00AC5AD3" w:rsidP="00DD6486">
      <w:pPr>
        <w:numPr>
          <w:ilvl w:val="0"/>
          <w:numId w:val="7"/>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Rapport</w:t>
      </w:r>
      <w:r w:rsidR="00057C7B" w:rsidRPr="00057C7B">
        <w:rPr>
          <w:rFonts w:ascii="Tw Cen MT" w:eastAsia="Times New Roman" w:hAnsi="Tw Cen MT" w:cs="Times New Roman"/>
          <w:i/>
          <w:iCs/>
          <w:color w:val="000000"/>
          <w:sz w:val="24"/>
          <w:szCs w:val="24"/>
          <w:lang w:eastAsia="fr-FR"/>
        </w:rPr>
        <w:t xml:space="preserve"> de diagnostic ; </w:t>
      </w:r>
    </w:p>
    <w:p w14:paraId="789A0A2A" w14:textId="28197FA9" w:rsidR="00057C7B" w:rsidRPr="00057C7B" w:rsidRDefault="00AC5AD3" w:rsidP="00DD6486">
      <w:pPr>
        <w:numPr>
          <w:ilvl w:val="0"/>
          <w:numId w:val="7"/>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Note</w:t>
      </w:r>
      <w:r w:rsidR="00057C7B" w:rsidRPr="00057C7B">
        <w:rPr>
          <w:rFonts w:ascii="Tw Cen MT" w:eastAsia="Times New Roman" w:hAnsi="Tw Cen MT" w:cs="Times New Roman"/>
          <w:i/>
          <w:iCs/>
          <w:color w:val="000000"/>
          <w:sz w:val="24"/>
          <w:szCs w:val="24"/>
          <w:lang w:eastAsia="fr-FR"/>
        </w:rPr>
        <w:t xml:space="preserve"> de cadrage ; </w:t>
      </w:r>
    </w:p>
    <w:p w14:paraId="4884ED76" w14:textId="30DD3151" w:rsidR="00057C7B" w:rsidRPr="00057C7B" w:rsidRDefault="00AC5AD3" w:rsidP="00DD6486">
      <w:pPr>
        <w:numPr>
          <w:ilvl w:val="0"/>
          <w:numId w:val="7"/>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Cartographie</w:t>
      </w:r>
      <w:r w:rsidR="00057C7B" w:rsidRPr="00057C7B">
        <w:rPr>
          <w:rFonts w:ascii="Tw Cen MT" w:eastAsia="Times New Roman" w:hAnsi="Tw Cen MT" w:cs="Times New Roman"/>
          <w:i/>
          <w:iCs/>
          <w:color w:val="000000"/>
          <w:sz w:val="24"/>
          <w:szCs w:val="24"/>
          <w:lang w:eastAsia="fr-FR"/>
        </w:rPr>
        <w:t xml:space="preserve"> des acteurs ; </w:t>
      </w:r>
    </w:p>
    <w:p w14:paraId="2E96999E" w14:textId="1D586EF5" w:rsidR="00057C7B" w:rsidRDefault="00AC5AD3" w:rsidP="00DD6486">
      <w:pPr>
        <w:numPr>
          <w:ilvl w:val="0"/>
          <w:numId w:val="7"/>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057C7B">
        <w:rPr>
          <w:rFonts w:ascii="Tw Cen MT" w:eastAsia="Times New Roman" w:hAnsi="Tw Cen MT" w:cs="Times New Roman"/>
          <w:i/>
          <w:iCs/>
          <w:color w:val="000000"/>
          <w:sz w:val="24"/>
          <w:szCs w:val="24"/>
          <w:lang w:eastAsia="fr-FR"/>
        </w:rPr>
        <w:t>Plan</w:t>
      </w:r>
      <w:r w:rsidR="00057C7B" w:rsidRPr="00057C7B">
        <w:rPr>
          <w:rFonts w:ascii="Tw Cen MT" w:eastAsia="Times New Roman" w:hAnsi="Tw Cen MT" w:cs="Times New Roman"/>
          <w:i/>
          <w:iCs/>
          <w:color w:val="000000"/>
          <w:sz w:val="24"/>
          <w:szCs w:val="24"/>
          <w:lang w:eastAsia="fr-FR"/>
        </w:rPr>
        <w:t xml:space="preserve"> de renforcement des capacités. </w:t>
      </w:r>
    </w:p>
    <w:p w14:paraId="64A56FC3" w14:textId="39BD85F9" w:rsidR="00387EAC" w:rsidRDefault="00387EAC" w:rsidP="00387EAC">
      <w:pPr>
        <w:spacing w:before="100" w:beforeAutospacing="1" w:after="100" w:afterAutospacing="1" w:line="240" w:lineRule="auto"/>
        <w:ind w:left="720"/>
        <w:rPr>
          <w:rFonts w:ascii="Tw Cen MT" w:eastAsia="Times New Roman" w:hAnsi="Tw Cen MT" w:cs="Times New Roman"/>
          <w:i/>
          <w:iCs/>
          <w:color w:val="000000"/>
          <w:sz w:val="24"/>
          <w:szCs w:val="24"/>
          <w:lang w:eastAsia="fr-FR"/>
        </w:rPr>
      </w:pPr>
    </w:p>
    <w:p w14:paraId="36C97E25" w14:textId="77777777" w:rsidR="00387EAC" w:rsidRDefault="00387EAC" w:rsidP="00387EAC">
      <w:pPr>
        <w:spacing w:before="100" w:beforeAutospacing="1" w:after="100" w:afterAutospacing="1" w:line="240" w:lineRule="auto"/>
        <w:ind w:left="720"/>
        <w:rPr>
          <w:rFonts w:ascii="Tw Cen MT" w:eastAsia="Times New Roman" w:hAnsi="Tw Cen MT" w:cs="Times New Roman"/>
          <w:i/>
          <w:iCs/>
          <w:color w:val="000000"/>
          <w:sz w:val="24"/>
          <w:szCs w:val="24"/>
          <w:lang w:eastAsia="fr-FR"/>
        </w:rPr>
      </w:pPr>
    </w:p>
    <w:p w14:paraId="0611D1CF" w14:textId="316C5B3F" w:rsidR="00AC5AD3" w:rsidRPr="00AC5AD3" w:rsidRDefault="00AC5AD3" w:rsidP="00DD6486">
      <w:pPr>
        <w:pStyle w:val="Paragraphedeliste"/>
        <w:numPr>
          <w:ilvl w:val="0"/>
          <w:numId w:val="8"/>
        </w:numPr>
        <w:spacing w:before="100" w:beforeAutospacing="1" w:after="100" w:afterAutospacing="1" w:line="240" w:lineRule="auto"/>
        <w:rPr>
          <w:rFonts w:ascii="Tw Cen MT" w:eastAsia="Times New Roman" w:hAnsi="Tw Cen MT" w:cs="Times New Roman"/>
          <w:b/>
          <w:bCs/>
          <w:i/>
          <w:iCs/>
          <w:color w:val="002060"/>
          <w:sz w:val="24"/>
          <w:szCs w:val="24"/>
          <w:lang w:eastAsia="fr-FR"/>
        </w:rPr>
      </w:pPr>
      <w:r w:rsidRPr="00AC5AD3">
        <w:rPr>
          <w:rFonts w:ascii="Tw Cen MT" w:eastAsia="Times New Roman" w:hAnsi="Tw Cen MT" w:cs="Times New Roman"/>
          <w:i/>
          <w:iCs/>
          <w:color w:val="002060"/>
          <w:sz w:val="28"/>
          <w:szCs w:val="28"/>
          <w:lang w:eastAsia="fr-FR"/>
        </w:rPr>
        <w:t>Phase 2 : Cadre logique et théorie du changement (9 H/J</w:t>
      </w:r>
      <w:r w:rsidRPr="00AC5AD3">
        <w:rPr>
          <w:rFonts w:ascii="Tw Cen MT" w:eastAsia="Times New Roman" w:hAnsi="Tw Cen MT" w:cs="Times New Roman"/>
          <w:b/>
          <w:bCs/>
          <w:i/>
          <w:iCs/>
          <w:color w:val="002060"/>
          <w:sz w:val="24"/>
          <w:szCs w:val="24"/>
          <w:lang w:eastAsia="fr-FR"/>
        </w:rPr>
        <w:t>)</w:t>
      </w:r>
    </w:p>
    <w:p w14:paraId="74AA9C62" w14:textId="77777777" w:rsidR="00AC5AD3" w:rsidRPr="00AC5AD3" w:rsidRDefault="00AC5AD3" w:rsidP="00AC5AD3">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b/>
          <w:i/>
          <w:iCs/>
          <w:color w:val="002060"/>
          <w:sz w:val="24"/>
          <w:szCs w:val="24"/>
          <w:lang w:eastAsia="fr-FR"/>
        </w:rPr>
        <w:t>Objectif</w:t>
      </w:r>
      <w:r w:rsidRPr="00AC5AD3">
        <w:rPr>
          <w:rFonts w:ascii="Tw Cen MT" w:eastAsia="Times New Roman" w:hAnsi="Tw Cen MT" w:cs="Times New Roman"/>
          <w:b/>
          <w:bCs/>
          <w:i/>
          <w:iCs/>
          <w:color w:val="000000"/>
          <w:sz w:val="24"/>
          <w:szCs w:val="24"/>
          <w:lang w:eastAsia="fr-FR"/>
        </w:rPr>
        <w:t xml:space="preserve"> :</w:t>
      </w:r>
      <w:r w:rsidRPr="00AC5AD3">
        <w:rPr>
          <w:rFonts w:ascii="Tw Cen MT" w:eastAsia="Times New Roman" w:hAnsi="Tw Cen MT" w:cs="Times New Roman"/>
          <w:i/>
          <w:iCs/>
          <w:color w:val="000000"/>
          <w:sz w:val="24"/>
          <w:szCs w:val="24"/>
          <w:lang w:eastAsia="fr-FR"/>
        </w:rPr>
        <w:t xml:space="preserve"> structurer la logique d’intervention du projet.</w:t>
      </w:r>
    </w:p>
    <w:p w14:paraId="503E3F8E" w14:textId="77777777" w:rsidR="00AC5AD3" w:rsidRPr="00AC5AD3" w:rsidRDefault="00AC5AD3" w:rsidP="00AC5AD3">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b/>
          <w:bCs/>
          <w:i/>
          <w:iCs/>
          <w:color w:val="002060"/>
          <w:sz w:val="24"/>
          <w:szCs w:val="24"/>
          <w:lang w:eastAsia="fr-FR"/>
        </w:rPr>
        <w:t>Activité</w:t>
      </w:r>
      <w:r w:rsidRPr="00AC5AD3">
        <w:rPr>
          <w:rFonts w:ascii="Tw Cen MT" w:eastAsia="Times New Roman" w:hAnsi="Tw Cen MT" w:cs="Times New Roman"/>
          <w:b/>
          <w:bCs/>
          <w:i/>
          <w:iCs/>
          <w:color w:val="000000"/>
          <w:sz w:val="24"/>
          <w:szCs w:val="24"/>
          <w:lang w:eastAsia="fr-FR"/>
        </w:rPr>
        <w:t>s :</w:t>
      </w:r>
    </w:p>
    <w:p w14:paraId="7F191069" w14:textId="1030E492" w:rsidR="00AC5AD3" w:rsidRPr="00AC5AD3" w:rsidRDefault="00AC5AD3" w:rsidP="00DD6486">
      <w:pPr>
        <w:numPr>
          <w:ilvl w:val="0"/>
          <w:numId w:val="9"/>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 xml:space="preserve">Élaboration et validation de la théorie du changement ; </w:t>
      </w:r>
    </w:p>
    <w:p w14:paraId="7F978693" w14:textId="026B0C9F" w:rsidR="00AC5AD3" w:rsidRPr="00AC5AD3" w:rsidRDefault="00AC5AD3" w:rsidP="00DD6486">
      <w:pPr>
        <w:numPr>
          <w:ilvl w:val="0"/>
          <w:numId w:val="9"/>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 xml:space="preserve">Structuration de la chaîne de résultats ; </w:t>
      </w:r>
    </w:p>
    <w:p w14:paraId="7312AE1C" w14:textId="45FCC4F2" w:rsidR="00AC5AD3" w:rsidRPr="00AC5AD3" w:rsidRDefault="00AC5AD3" w:rsidP="00DD6486">
      <w:pPr>
        <w:numPr>
          <w:ilvl w:val="0"/>
          <w:numId w:val="9"/>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 xml:space="preserve">Définition des indicateurs et méthodes de calcul ; </w:t>
      </w:r>
    </w:p>
    <w:p w14:paraId="2EAE59FD" w14:textId="12ACE876" w:rsidR="00AC5AD3" w:rsidRPr="00AC5AD3" w:rsidRDefault="00AC5AD3" w:rsidP="00DD6486">
      <w:pPr>
        <w:numPr>
          <w:ilvl w:val="0"/>
          <w:numId w:val="9"/>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 xml:space="preserve">Identification des sources de vérification. </w:t>
      </w:r>
    </w:p>
    <w:p w14:paraId="71BF1573" w14:textId="77777777" w:rsidR="00AC5AD3" w:rsidRPr="00AC5AD3" w:rsidRDefault="00AC5AD3" w:rsidP="00AC5AD3">
      <w:p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b/>
          <w:i/>
          <w:iCs/>
          <w:color w:val="002060"/>
          <w:sz w:val="24"/>
          <w:szCs w:val="24"/>
          <w:lang w:eastAsia="fr-FR"/>
        </w:rPr>
        <w:t>Livrable</w:t>
      </w:r>
      <w:r w:rsidRPr="00AC5AD3">
        <w:rPr>
          <w:rFonts w:ascii="Tw Cen MT" w:eastAsia="Times New Roman" w:hAnsi="Tw Cen MT" w:cs="Times New Roman"/>
          <w:b/>
          <w:bCs/>
          <w:i/>
          <w:iCs/>
          <w:color w:val="000000"/>
          <w:sz w:val="24"/>
          <w:szCs w:val="24"/>
          <w:lang w:eastAsia="fr-FR"/>
        </w:rPr>
        <w:t>s :</w:t>
      </w:r>
    </w:p>
    <w:p w14:paraId="4AA6D51D" w14:textId="610A4005" w:rsidR="00AC5AD3" w:rsidRPr="00AC5AD3" w:rsidRDefault="00AC5AD3" w:rsidP="00DD6486">
      <w:pPr>
        <w:numPr>
          <w:ilvl w:val="0"/>
          <w:numId w:val="10"/>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 xml:space="preserve">Théorie du changement validée ; </w:t>
      </w:r>
    </w:p>
    <w:p w14:paraId="7D4A8895" w14:textId="75FC14FE" w:rsidR="00AC5AD3" w:rsidRPr="00AC5AD3" w:rsidRDefault="00AC5AD3" w:rsidP="00DD6486">
      <w:pPr>
        <w:numPr>
          <w:ilvl w:val="0"/>
          <w:numId w:val="10"/>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Cadre logique révisé.</w:t>
      </w:r>
    </w:p>
    <w:p w14:paraId="2AFD7677" w14:textId="77777777" w:rsidR="00AC5AD3" w:rsidRPr="00057C7B" w:rsidRDefault="00AC5AD3" w:rsidP="00AC5AD3">
      <w:pPr>
        <w:spacing w:before="100" w:beforeAutospacing="1" w:after="100" w:afterAutospacing="1" w:line="240" w:lineRule="auto"/>
        <w:rPr>
          <w:rFonts w:ascii="Tw Cen MT" w:eastAsia="Times New Roman" w:hAnsi="Tw Cen MT" w:cs="Times New Roman"/>
          <w:i/>
          <w:iCs/>
          <w:color w:val="000000"/>
          <w:sz w:val="24"/>
          <w:szCs w:val="24"/>
          <w:lang w:eastAsia="fr-FR"/>
        </w:rPr>
      </w:pPr>
    </w:p>
    <w:p w14:paraId="231E780F" w14:textId="701742DE" w:rsidR="00AC5AD3" w:rsidRPr="00AC5AD3" w:rsidRDefault="00AC5AD3" w:rsidP="00DD6486">
      <w:pPr>
        <w:pStyle w:val="Paragraphedeliste"/>
        <w:numPr>
          <w:ilvl w:val="0"/>
          <w:numId w:val="8"/>
        </w:numPr>
        <w:spacing w:before="100" w:beforeAutospacing="1" w:after="100" w:afterAutospacing="1" w:line="240" w:lineRule="auto"/>
        <w:rPr>
          <w:rFonts w:ascii="Tw Cen MT" w:eastAsia="Times New Roman" w:hAnsi="Tw Cen MT" w:cs="Times New Roman"/>
          <w:i/>
          <w:iCs/>
          <w:color w:val="002060"/>
          <w:sz w:val="28"/>
          <w:szCs w:val="28"/>
          <w:lang w:eastAsia="fr-FR"/>
        </w:rPr>
      </w:pPr>
      <w:r w:rsidRPr="00AC5AD3">
        <w:rPr>
          <w:rFonts w:ascii="Tw Cen MT" w:eastAsia="Times New Roman" w:hAnsi="Tw Cen MT" w:cs="Times New Roman"/>
          <w:i/>
          <w:iCs/>
          <w:color w:val="002060"/>
          <w:sz w:val="28"/>
          <w:szCs w:val="28"/>
          <w:lang w:eastAsia="fr-FR"/>
        </w:rPr>
        <w:t>Phase 3 : Développement du dispositif SERA (7 H/J)</w:t>
      </w:r>
    </w:p>
    <w:p w14:paraId="62F09B42" w14:textId="77777777" w:rsidR="00AC5AD3" w:rsidRPr="00AC5AD3" w:rsidRDefault="00AC5AD3" w:rsidP="00AC5AD3">
      <w:p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b/>
          <w:i/>
          <w:iCs/>
          <w:color w:val="002060"/>
          <w:sz w:val="24"/>
          <w:szCs w:val="24"/>
          <w:lang w:eastAsia="fr-FR"/>
        </w:rPr>
        <w:t>Objectif</w:t>
      </w:r>
      <w:r w:rsidRPr="00AC5AD3">
        <w:rPr>
          <w:rFonts w:ascii="Tw Cen MT" w:eastAsia="Times New Roman" w:hAnsi="Tw Cen MT" w:cs="Times New Roman"/>
          <w:b/>
          <w:bCs/>
          <w:i/>
          <w:iCs/>
          <w:color w:val="000000"/>
          <w:sz w:val="24"/>
          <w:szCs w:val="24"/>
          <w:lang w:eastAsia="fr-FR"/>
        </w:rPr>
        <w:t xml:space="preserve"> :</w:t>
      </w:r>
      <w:r w:rsidRPr="00AC5AD3">
        <w:rPr>
          <w:rFonts w:ascii="Tw Cen MT" w:eastAsia="Times New Roman" w:hAnsi="Tw Cen MT" w:cs="Times New Roman"/>
          <w:i/>
          <w:iCs/>
          <w:color w:val="000000"/>
          <w:sz w:val="24"/>
          <w:szCs w:val="24"/>
          <w:lang w:eastAsia="fr-FR"/>
        </w:rPr>
        <w:t xml:space="preserve"> concevoir un dispositif SERA complet et cohérent.</w:t>
      </w:r>
    </w:p>
    <w:p w14:paraId="43811B94" w14:textId="77777777" w:rsidR="00AC5AD3" w:rsidRPr="00AC5AD3" w:rsidRDefault="00AC5AD3" w:rsidP="00AC5AD3">
      <w:p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b/>
          <w:bCs/>
          <w:i/>
          <w:iCs/>
          <w:color w:val="002060"/>
          <w:sz w:val="24"/>
          <w:szCs w:val="24"/>
          <w:lang w:eastAsia="fr-FR"/>
        </w:rPr>
        <w:t>Activités</w:t>
      </w:r>
      <w:r w:rsidRPr="00AC5AD3">
        <w:rPr>
          <w:rFonts w:ascii="Tw Cen MT" w:eastAsia="Times New Roman" w:hAnsi="Tw Cen MT" w:cs="Times New Roman"/>
          <w:b/>
          <w:bCs/>
          <w:i/>
          <w:iCs/>
          <w:color w:val="000000"/>
          <w:sz w:val="24"/>
          <w:szCs w:val="24"/>
          <w:lang w:eastAsia="fr-FR"/>
        </w:rPr>
        <w:t xml:space="preserve"> :</w:t>
      </w:r>
    </w:p>
    <w:p w14:paraId="4B0BC61F" w14:textId="3FA6ABCF" w:rsidR="00AC5AD3" w:rsidRPr="00AC5AD3"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Élaboration</w:t>
      </w:r>
      <w:r w:rsidR="00AC5AD3" w:rsidRPr="00AC5AD3">
        <w:rPr>
          <w:rFonts w:ascii="Tw Cen MT" w:eastAsia="Times New Roman" w:hAnsi="Tw Cen MT" w:cs="Times New Roman"/>
          <w:i/>
          <w:iCs/>
          <w:color w:val="000000"/>
          <w:sz w:val="24"/>
          <w:szCs w:val="24"/>
          <w:lang w:eastAsia="fr-FR"/>
        </w:rPr>
        <w:t xml:space="preserve"> du plan SERA ; </w:t>
      </w:r>
    </w:p>
    <w:p w14:paraId="1DBC666F" w14:textId="19CEA4D0" w:rsidR="00AC5AD3" w:rsidRPr="00AC5AD3"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Définition</w:t>
      </w:r>
      <w:r w:rsidR="00AC5AD3" w:rsidRPr="00AC5AD3">
        <w:rPr>
          <w:rFonts w:ascii="Tw Cen MT" w:eastAsia="Times New Roman" w:hAnsi="Tw Cen MT" w:cs="Times New Roman"/>
          <w:i/>
          <w:iCs/>
          <w:color w:val="000000"/>
          <w:sz w:val="24"/>
          <w:szCs w:val="24"/>
          <w:lang w:eastAsia="fr-FR"/>
        </w:rPr>
        <w:t xml:space="preserve"> du système d’indicateurs ; </w:t>
      </w:r>
    </w:p>
    <w:p w14:paraId="5FB27BA0" w14:textId="2F08AEAA" w:rsidR="00AC5AD3" w:rsidRPr="00AC5AD3"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Structuration</w:t>
      </w:r>
      <w:r w:rsidR="00AC5AD3" w:rsidRPr="00AC5AD3">
        <w:rPr>
          <w:rFonts w:ascii="Tw Cen MT" w:eastAsia="Times New Roman" w:hAnsi="Tw Cen MT" w:cs="Times New Roman"/>
          <w:i/>
          <w:iCs/>
          <w:color w:val="000000"/>
          <w:sz w:val="24"/>
          <w:szCs w:val="24"/>
          <w:lang w:eastAsia="fr-FR"/>
        </w:rPr>
        <w:t xml:space="preserve"> du système de gestion des données ; </w:t>
      </w:r>
    </w:p>
    <w:p w14:paraId="5D3D9804" w14:textId="4D332C16" w:rsidR="00AC5AD3" w:rsidRPr="00AC5AD3"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Élaboration</w:t>
      </w:r>
      <w:r w:rsidR="00AC5AD3" w:rsidRPr="00AC5AD3">
        <w:rPr>
          <w:rFonts w:ascii="Tw Cen MT" w:eastAsia="Times New Roman" w:hAnsi="Tw Cen MT" w:cs="Times New Roman"/>
          <w:i/>
          <w:iCs/>
          <w:color w:val="000000"/>
          <w:sz w:val="24"/>
          <w:szCs w:val="24"/>
          <w:lang w:eastAsia="fr-FR"/>
        </w:rPr>
        <w:t xml:space="preserve"> du plan d’évaluation ; </w:t>
      </w:r>
    </w:p>
    <w:p w14:paraId="1EFDCB10" w14:textId="0EA4B4E2" w:rsidR="00AC5AD3" w:rsidRPr="00AC5AD3"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AC5AD3">
        <w:rPr>
          <w:rFonts w:ascii="Tw Cen MT" w:eastAsia="Times New Roman" w:hAnsi="Tw Cen MT" w:cs="Times New Roman"/>
          <w:i/>
          <w:iCs/>
          <w:color w:val="000000"/>
          <w:sz w:val="24"/>
          <w:szCs w:val="24"/>
          <w:lang w:eastAsia="fr-FR"/>
        </w:rPr>
        <w:t>Structuration</w:t>
      </w:r>
      <w:r w:rsidR="00AC5AD3" w:rsidRPr="00AC5AD3">
        <w:rPr>
          <w:rFonts w:ascii="Tw Cen MT" w:eastAsia="Times New Roman" w:hAnsi="Tw Cen MT" w:cs="Times New Roman"/>
          <w:i/>
          <w:iCs/>
          <w:color w:val="000000"/>
          <w:sz w:val="24"/>
          <w:szCs w:val="24"/>
          <w:lang w:eastAsia="fr-FR"/>
        </w:rPr>
        <w:t xml:space="preserve"> du dispositif d’apprentissage.</w:t>
      </w:r>
    </w:p>
    <w:p w14:paraId="20AE824E" w14:textId="72E4C76B" w:rsidR="008009FD" w:rsidRPr="008009FD" w:rsidRDefault="008009FD" w:rsidP="008009FD">
      <w:p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b/>
          <w:bCs/>
          <w:i/>
          <w:iCs/>
          <w:color w:val="002060"/>
          <w:sz w:val="24"/>
          <w:szCs w:val="24"/>
          <w:lang w:eastAsia="fr-FR"/>
        </w:rPr>
        <w:t>Livrables</w:t>
      </w:r>
      <w:r>
        <w:rPr>
          <w:rFonts w:ascii="Tw Cen MT" w:eastAsia="Times New Roman" w:hAnsi="Tw Cen MT" w:cs="Times New Roman"/>
          <w:i/>
          <w:iCs/>
          <w:color w:val="000000"/>
          <w:sz w:val="24"/>
          <w:szCs w:val="24"/>
          <w:lang w:eastAsia="fr-FR"/>
        </w:rPr>
        <w:t xml:space="preserve"> :</w:t>
      </w:r>
    </w:p>
    <w:p w14:paraId="61C9B3EA" w14:textId="127A7AA1" w:rsidR="008009FD" w:rsidRPr="008009FD"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Plan SERA ;</w:t>
      </w:r>
    </w:p>
    <w:p w14:paraId="12080016" w14:textId="65596CCB" w:rsidR="008009FD" w:rsidRPr="008009FD"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Matrice des indicateurs ;</w:t>
      </w:r>
    </w:p>
    <w:p w14:paraId="57F80AEE" w14:textId="162CF993" w:rsidR="008009FD" w:rsidRPr="008009FD"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Plan d’évaluation ;</w:t>
      </w:r>
    </w:p>
    <w:p w14:paraId="123634D5" w14:textId="759F15C3" w:rsidR="00057C7B" w:rsidRDefault="008009FD"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Plan d’apprentissage</w:t>
      </w:r>
    </w:p>
    <w:p w14:paraId="7312E07C" w14:textId="77777777" w:rsidR="008009FD" w:rsidRPr="008009FD" w:rsidRDefault="008009FD" w:rsidP="008009FD">
      <w:pPr>
        <w:pStyle w:val="Paragraphedeliste"/>
        <w:rPr>
          <w:rFonts w:ascii="Tw Cen MT" w:eastAsia="Times New Roman" w:hAnsi="Tw Cen MT" w:cs="Times New Roman"/>
          <w:i/>
          <w:iCs/>
          <w:color w:val="000000"/>
          <w:sz w:val="24"/>
          <w:szCs w:val="24"/>
          <w:lang w:eastAsia="fr-FR"/>
        </w:rPr>
      </w:pPr>
    </w:p>
    <w:p w14:paraId="6A409CFB" w14:textId="52B3DC92" w:rsidR="008009FD" w:rsidRPr="008009FD" w:rsidRDefault="008009FD" w:rsidP="00DD6486">
      <w:pPr>
        <w:pStyle w:val="Paragraphedeliste"/>
        <w:numPr>
          <w:ilvl w:val="0"/>
          <w:numId w:val="8"/>
        </w:numPr>
        <w:spacing w:before="100" w:beforeAutospacing="1" w:after="100" w:afterAutospacing="1" w:line="240" w:lineRule="auto"/>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2060"/>
          <w:sz w:val="28"/>
          <w:szCs w:val="28"/>
          <w:lang w:eastAsia="fr-FR"/>
        </w:rPr>
        <w:t>Phase 4 : Opérationnalisation du dispositif (5 H/J</w:t>
      </w:r>
      <w:r w:rsidRPr="008009FD">
        <w:rPr>
          <w:rFonts w:ascii="Tw Cen MT" w:eastAsia="Times New Roman" w:hAnsi="Tw Cen MT" w:cs="Times New Roman"/>
          <w:i/>
          <w:iCs/>
          <w:color w:val="000000"/>
          <w:sz w:val="24"/>
          <w:szCs w:val="24"/>
          <w:lang w:eastAsia="fr-FR"/>
        </w:rPr>
        <w:t>)</w:t>
      </w:r>
    </w:p>
    <w:p w14:paraId="4BD330A9" w14:textId="77777777" w:rsidR="008009FD" w:rsidRPr="008009FD" w:rsidRDefault="008009FD" w:rsidP="008009FD">
      <w:p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b/>
          <w:i/>
          <w:iCs/>
          <w:color w:val="002060"/>
          <w:sz w:val="24"/>
          <w:szCs w:val="24"/>
          <w:lang w:eastAsia="fr-FR"/>
        </w:rPr>
        <w:t>Objecti</w:t>
      </w:r>
      <w:r w:rsidRPr="008009FD">
        <w:rPr>
          <w:rFonts w:ascii="Tw Cen MT" w:eastAsia="Times New Roman" w:hAnsi="Tw Cen MT" w:cs="Times New Roman"/>
          <w:b/>
          <w:bCs/>
          <w:i/>
          <w:iCs/>
          <w:color w:val="000000"/>
          <w:sz w:val="24"/>
          <w:szCs w:val="24"/>
          <w:lang w:eastAsia="fr-FR"/>
        </w:rPr>
        <w:t>f :</w:t>
      </w:r>
      <w:r w:rsidRPr="008009FD">
        <w:rPr>
          <w:rFonts w:ascii="Tw Cen MT" w:eastAsia="Times New Roman" w:hAnsi="Tw Cen MT" w:cs="Times New Roman"/>
          <w:i/>
          <w:iCs/>
          <w:color w:val="000000"/>
          <w:sz w:val="24"/>
          <w:szCs w:val="24"/>
          <w:lang w:eastAsia="fr-FR"/>
        </w:rPr>
        <w:t xml:space="preserve"> rendre le dispositif opérationnel.</w:t>
      </w:r>
    </w:p>
    <w:p w14:paraId="7FFE9750" w14:textId="77777777" w:rsidR="008009FD" w:rsidRPr="008009FD" w:rsidRDefault="008009FD" w:rsidP="008009FD">
      <w:p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b/>
          <w:i/>
          <w:iCs/>
          <w:color w:val="002060"/>
          <w:sz w:val="24"/>
          <w:szCs w:val="24"/>
          <w:lang w:eastAsia="fr-FR"/>
        </w:rPr>
        <w:t>Activités</w:t>
      </w:r>
      <w:r w:rsidRPr="008009FD">
        <w:rPr>
          <w:rFonts w:ascii="Tw Cen MT" w:eastAsia="Times New Roman" w:hAnsi="Tw Cen MT" w:cs="Times New Roman"/>
          <w:i/>
          <w:iCs/>
          <w:color w:val="000000"/>
          <w:sz w:val="24"/>
          <w:szCs w:val="24"/>
          <w:lang w:eastAsia="fr-FR"/>
        </w:rPr>
        <w:t xml:space="preserve"> :</w:t>
      </w:r>
    </w:p>
    <w:p w14:paraId="64FFC2AF" w14:textId="13A2EAD7"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Développement</w:t>
      </w:r>
      <w:r w:rsidR="008009FD" w:rsidRPr="008009FD">
        <w:rPr>
          <w:rFonts w:ascii="Tw Cen MT" w:eastAsia="Times New Roman" w:hAnsi="Tw Cen MT" w:cs="Times New Roman"/>
          <w:i/>
          <w:iCs/>
          <w:color w:val="000000"/>
          <w:sz w:val="24"/>
          <w:szCs w:val="24"/>
          <w:lang w:eastAsia="fr-FR"/>
        </w:rPr>
        <w:t xml:space="preserve"> des outils de collecte ; </w:t>
      </w:r>
    </w:p>
    <w:p w14:paraId="42DC9FB2" w14:textId="6DAEB70A"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Mise</w:t>
      </w:r>
      <w:r w:rsidR="008009FD" w:rsidRPr="008009FD">
        <w:rPr>
          <w:rFonts w:ascii="Tw Cen MT" w:eastAsia="Times New Roman" w:hAnsi="Tw Cen MT" w:cs="Times New Roman"/>
          <w:i/>
          <w:iCs/>
          <w:color w:val="000000"/>
          <w:sz w:val="24"/>
          <w:szCs w:val="24"/>
          <w:lang w:eastAsia="fr-FR"/>
        </w:rPr>
        <w:t xml:space="preserve"> en place de la base de données ; </w:t>
      </w:r>
    </w:p>
    <w:p w14:paraId="24E74DA0" w14:textId="37F8D37E"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lastRenderedPageBreak/>
        <w:t>Conception</w:t>
      </w:r>
      <w:r w:rsidR="008009FD" w:rsidRPr="008009FD">
        <w:rPr>
          <w:rFonts w:ascii="Tw Cen MT" w:eastAsia="Times New Roman" w:hAnsi="Tw Cen MT" w:cs="Times New Roman"/>
          <w:i/>
          <w:iCs/>
          <w:color w:val="000000"/>
          <w:sz w:val="24"/>
          <w:szCs w:val="24"/>
          <w:lang w:eastAsia="fr-FR"/>
        </w:rPr>
        <w:t xml:space="preserve"> du tableau de bord ; </w:t>
      </w:r>
    </w:p>
    <w:p w14:paraId="5899C46C" w14:textId="3F190CA1"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Formalisation</w:t>
      </w:r>
      <w:r w:rsidR="008009FD" w:rsidRPr="008009FD">
        <w:rPr>
          <w:rFonts w:ascii="Tw Cen MT" w:eastAsia="Times New Roman" w:hAnsi="Tw Cen MT" w:cs="Times New Roman"/>
          <w:i/>
          <w:iCs/>
          <w:color w:val="000000"/>
          <w:sz w:val="24"/>
          <w:szCs w:val="24"/>
          <w:lang w:eastAsia="fr-FR"/>
        </w:rPr>
        <w:t xml:space="preserve"> des procédures. </w:t>
      </w:r>
    </w:p>
    <w:p w14:paraId="1E114026" w14:textId="140AF8BD" w:rsidR="008009FD" w:rsidRPr="008009FD" w:rsidRDefault="008009FD" w:rsidP="008009FD">
      <w:p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b/>
          <w:i/>
          <w:iCs/>
          <w:color w:val="002060"/>
          <w:sz w:val="24"/>
          <w:szCs w:val="24"/>
          <w:lang w:eastAsia="fr-FR"/>
        </w:rPr>
        <w:t>Livrable</w:t>
      </w:r>
      <w:r w:rsidRPr="008009FD">
        <w:rPr>
          <w:rFonts w:ascii="Tw Cen MT" w:eastAsia="Times New Roman" w:hAnsi="Tw Cen MT" w:cs="Times New Roman"/>
          <w:b/>
          <w:bCs/>
          <w:i/>
          <w:iCs/>
          <w:color w:val="000000"/>
          <w:sz w:val="24"/>
          <w:szCs w:val="24"/>
          <w:lang w:eastAsia="fr-FR"/>
        </w:rPr>
        <w:t>s :</w:t>
      </w:r>
    </w:p>
    <w:p w14:paraId="16D6AE46" w14:textId="0C1200A6"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Système</w:t>
      </w:r>
      <w:r w:rsidR="008009FD" w:rsidRPr="008009FD">
        <w:rPr>
          <w:rFonts w:ascii="Tw Cen MT" w:eastAsia="Times New Roman" w:hAnsi="Tw Cen MT" w:cs="Times New Roman"/>
          <w:i/>
          <w:iCs/>
          <w:color w:val="000000"/>
          <w:sz w:val="24"/>
          <w:szCs w:val="24"/>
          <w:lang w:eastAsia="fr-FR"/>
        </w:rPr>
        <w:t xml:space="preserve"> de gestion des données ; </w:t>
      </w:r>
    </w:p>
    <w:p w14:paraId="44E87D4F" w14:textId="4F2CD82F" w:rsidR="008009FD" w:rsidRP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Tableau</w:t>
      </w:r>
      <w:r w:rsidR="008009FD" w:rsidRPr="008009FD">
        <w:rPr>
          <w:rFonts w:ascii="Tw Cen MT" w:eastAsia="Times New Roman" w:hAnsi="Tw Cen MT" w:cs="Times New Roman"/>
          <w:i/>
          <w:iCs/>
          <w:color w:val="000000"/>
          <w:sz w:val="24"/>
          <w:szCs w:val="24"/>
          <w:lang w:eastAsia="fr-FR"/>
        </w:rPr>
        <w:t xml:space="preserve"> de bord ; </w:t>
      </w:r>
    </w:p>
    <w:p w14:paraId="261C1D49" w14:textId="4D1788A3" w:rsidR="008009FD"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009FD">
        <w:rPr>
          <w:rFonts w:ascii="Tw Cen MT" w:eastAsia="Times New Roman" w:hAnsi="Tw Cen MT" w:cs="Times New Roman"/>
          <w:i/>
          <w:iCs/>
          <w:color w:val="000000"/>
          <w:sz w:val="24"/>
          <w:szCs w:val="24"/>
          <w:lang w:eastAsia="fr-FR"/>
        </w:rPr>
        <w:t>Manuel</w:t>
      </w:r>
      <w:r w:rsidR="008009FD" w:rsidRPr="008009FD">
        <w:rPr>
          <w:rFonts w:ascii="Tw Cen MT" w:eastAsia="Times New Roman" w:hAnsi="Tw Cen MT" w:cs="Times New Roman"/>
          <w:i/>
          <w:iCs/>
          <w:color w:val="000000"/>
          <w:sz w:val="24"/>
          <w:szCs w:val="24"/>
          <w:lang w:eastAsia="fr-FR"/>
        </w:rPr>
        <w:t xml:space="preserve"> de procédures SERA.</w:t>
      </w:r>
    </w:p>
    <w:p w14:paraId="1AE1BE91" w14:textId="77777777" w:rsidR="008D0B50" w:rsidRPr="008009FD" w:rsidRDefault="008D0B50" w:rsidP="008D0B50">
      <w:pPr>
        <w:pStyle w:val="Paragraphedeliste"/>
        <w:rPr>
          <w:rFonts w:ascii="Tw Cen MT" w:eastAsia="Times New Roman" w:hAnsi="Tw Cen MT" w:cs="Times New Roman"/>
          <w:i/>
          <w:iCs/>
          <w:color w:val="000000"/>
          <w:sz w:val="24"/>
          <w:szCs w:val="24"/>
          <w:lang w:eastAsia="fr-FR"/>
        </w:rPr>
      </w:pPr>
    </w:p>
    <w:p w14:paraId="76146FD4" w14:textId="16D063B7" w:rsidR="008E25D2" w:rsidRPr="00387EAC" w:rsidRDefault="008D0B50" w:rsidP="00DD6486">
      <w:pPr>
        <w:pStyle w:val="Paragraphedeliste"/>
        <w:numPr>
          <w:ilvl w:val="0"/>
          <w:numId w:val="8"/>
        </w:numPr>
        <w:rPr>
          <w:rFonts w:ascii="Tw Cen MT" w:eastAsia="Times New Roman" w:hAnsi="Tw Cen MT" w:cs="Times New Roman"/>
          <w:i/>
          <w:iCs/>
          <w:color w:val="000000"/>
          <w:sz w:val="24"/>
          <w:szCs w:val="24"/>
          <w:lang w:val="en-US" w:eastAsia="fr-FR"/>
        </w:rPr>
      </w:pPr>
      <w:r w:rsidRPr="00387EAC">
        <w:rPr>
          <w:rFonts w:ascii="Tw Cen MT" w:eastAsia="Times New Roman" w:hAnsi="Tw Cen MT" w:cs="Times New Roman"/>
          <w:i/>
          <w:iCs/>
          <w:color w:val="002060"/>
          <w:sz w:val="28"/>
          <w:szCs w:val="28"/>
          <w:lang w:val="en-US" w:eastAsia="fr-FR"/>
        </w:rPr>
        <w:t xml:space="preserve">Phase </w:t>
      </w:r>
      <w:r w:rsidR="00387EAC" w:rsidRPr="00387EAC">
        <w:rPr>
          <w:rFonts w:ascii="Tw Cen MT" w:eastAsia="Times New Roman" w:hAnsi="Tw Cen MT" w:cs="Times New Roman"/>
          <w:i/>
          <w:iCs/>
          <w:color w:val="002060"/>
          <w:sz w:val="28"/>
          <w:szCs w:val="28"/>
          <w:lang w:val="en-US" w:eastAsia="fr-FR"/>
        </w:rPr>
        <w:t>5:</w:t>
      </w:r>
      <w:r w:rsidRPr="00387EAC">
        <w:rPr>
          <w:rFonts w:ascii="Tw Cen MT" w:eastAsia="Times New Roman" w:hAnsi="Tw Cen MT" w:cs="Times New Roman"/>
          <w:i/>
          <w:iCs/>
          <w:color w:val="002060"/>
          <w:sz w:val="28"/>
          <w:szCs w:val="28"/>
          <w:lang w:val="en-US" w:eastAsia="fr-FR"/>
        </w:rPr>
        <w:t xml:space="preserve"> Phase </w:t>
      </w:r>
      <w:proofErr w:type="spellStart"/>
      <w:r w:rsidRPr="00387EAC">
        <w:rPr>
          <w:rFonts w:ascii="Tw Cen MT" w:eastAsia="Times New Roman" w:hAnsi="Tw Cen MT" w:cs="Times New Roman"/>
          <w:i/>
          <w:iCs/>
          <w:color w:val="002060"/>
          <w:sz w:val="28"/>
          <w:szCs w:val="28"/>
          <w:lang w:val="en-US" w:eastAsia="fr-FR"/>
        </w:rPr>
        <w:t>pilote</w:t>
      </w:r>
      <w:proofErr w:type="spellEnd"/>
      <w:r w:rsidRPr="00387EAC">
        <w:rPr>
          <w:rFonts w:ascii="Tw Cen MT" w:eastAsia="Times New Roman" w:hAnsi="Tw Cen MT" w:cs="Times New Roman"/>
          <w:i/>
          <w:iCs/>
          <w:color w:val="002060"/>
          <w:sz w:val="28"/>
          <w:szCs w:val="28"/>
          <w:lang w:val="en-US" w:eastAsia="fr-FR"/>
        </w:rPr>
        <w:t xml:space="preserve"> – Baseline (5 H/J</w:t>
      </w:r>
      <w:r w:rsidRPr="00387EAC">
        <w:rPr>
          <w:rFonts w:ascii="Tw Cen MT" w:eastAsia="Times New Roman" w:hAnsi="Tw Cen MT" w:cs="Times New Roman"/>
          <w:i/>
          <w:iCs/>
          <w:color w:val="000000"/>
          <w:sz w:val="24"/>
          <w:szCs w:val="24"/>
          <w:lang w:val="en-US" w:eastAsia="fr-FR"/>
        </w:rPr>
        <w:t>)</w:t>
      </w:r>
    </w:p>
    <w:p w14:paraId="6102BE7B" w14:textId="65328BB8" w:rsidR="008D0B50" w:rsidRPr="008D0B50" w:rsidRDefault="008D0B50" w:rsidP="008D0B50">
      <w:p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b/>
          <w:i/>
          <w:iCs/>
          <w:color w:val="002060"/>
          <w:sz w:val="24"/>
          <w:szCs w:val="24"/>
          <w:lang w:eastAsia="fr-FR"/>
        </w:rPr>
        <w:t>Objectif</w:t>
      </w:r>
      <w:r w:rsidRPr="008D0B50">
        <w:rPr>
          <w:rFonts w:ascii="Tw Cen MT" w:eastAsia="Times New Roman" w:hAnsi="Tw Cen MT" w:cs="Times New Roman"/>
          <w:b/>
          <w:bCs/>
          <w:i/>
          <w:iCs/>
          <w:color w:val="000000"/>
          <w:sz w:val="24"/>
          <w:szCs w:val="24"/>
          <w:lang w:eastAsia="fr-FR"/>
        </w:rPr>
        <w:t xml:space="preserve"> :</w:t>
      </w:r>
      <w:r w:rsidRPr="008D0B50">
        <w:rPr>
          <w:rFonts w:ascii="Tw Cen MT" w:eastAsia="Times New Roman" w:hAnsi="Tw Cen MT" w:cs="Times New Roman"/>
          <w:i/>
          <w:iCs/>
          <w:color w:val="000000"/>
          <w:sz w:val="24"/>
          <w:szCs w:val="24"/>
          <w:lang w:eastAsia="fr-FR"/>
        </w:rPr>
        <w:t xml:space="preserve"> tester</w:t>
      </w:r>
      <w:r w:rsidR="00EC60F3">
        <w:rPr>
          <w:rFonts w:ascii="Tw Cen MT" w:eastAsia="Times New Roman" w:hAnsi="Tw Cen MT" w:cs="Times New Roman"/>
          <w:i/>
          <w:iCs/>
          <w:color w:val="000000"/>
          <w:sz w:val="24"/>
          <w:szCs w:val="24"/>
          <w:lang w:eastAsia="fr-FR"/>
        </w:rPr>
        <w:t>,</w:t>
      </w:r>
      <w:r w:rsidRPr="008D0B50">
        <w:rPr>
          <w:rFonts w:ascii="Tw Cen MT" w:eastAsia="Times New Roman" w:hAnsi="Tw Cen MT" w:cs="Times New Roman"/>
          <w:i/>
          <w:iCs/>
          <w:color w:val="000000"/>
          <w:sz w:val="24"/>
          <w:szCs w:val="24"/>
          <w:lang w:eastAsia="fr-FR"/>
        </w:rPr>
        <w:t xml:space="preserve"> valider le dispositif</w:t>
      </w:r>
      <w:r w:rsidR="00EC60F3">
        <w:rPr>
          <w:rFonts w:ascii="Tw Cen MT" w:eastAsia="Times New Roman" w:hAnsi="Tw Cen MT" w:cs="Times New Roman"/>
          <w:i/>
          <w:iCs/>
          <w:color w:val="000000"/>
          <w:sz w:val="24"/>
          <w:szCs w:val="24"/>
          <w:lang w:eastAsia="fr-FR"/>
        </w:rPr>
        <w:t xml:space="preserve"> et réaliser l’évaluation initiale (</w:t>
      </w:r>
      <w:proofErr w:type="spellStart"/>
      <w:r w:rsidR="00EC60F3">
        <w:rPr>
          <w:rFonts w:ascii="Tw Cen MT" w:eastAsia="Times New Roman" w:hAnsi="Tw Cen MT" w:cs="Times New Roman"/>
          <w:i/>
          <w:iCs/>
          <w:color w:val="000000"/>
          <w:sz w:val="24"/>
          <w:szCs w:val="24"/>
          <w:lang w:eastAsia="fr-FR"/>
        </w:rPr>
        <w:t>baseline</w:t>
      </w:r>
      <w:proofErr w:type="spellEnd"/>
      <w:r w:rsidR="00EC60F3">
        <w:rPr>
          <w:rFonts w:ascii="Tw Cen MT" w:eastAsia="Times New Roman" w:hAnsi="Tw Cen MT" w:cs="Times New Roman"/>
          <w:i/>
          <w:iCs/>
          <w:color w:val="000000"/>
          <w:sz w:val="24"/>
          <w:szCs w:val="24"/>
          <w:lang w:eastAsia="fr-FR"/>
        </w:rPr>
        <w:t>)</w:t>
      </w:r>
      <w:r w:rsidRPr="008D0B50">
        <w:rPr>
          <w:rFonts w:ascii="Tw Cen MT" w:eastAsia="Times New Roman" w:hAnsi="Tw Cen MT" w:cs="Times New Roman"/>
          <w:i/>
          <w:iCs/>
          <w:color w:val="000000"/>
          <w:sz w:val="24"/>
          <w:szCs w:val="24"/>
          <w:lang w:eastAsia="fr-FR"/>
        </w:rPr>
        <w:t>.</w:t>
      </w:r>
    </w:p>
    <w:p w14:paraId="415262E7" w14:textId="77777777" w:rsidR="008D0B50" w:rsidRPr="008D0B50" w:rsidRDefault="008D0B50" w:rsidP="008D0B50">
      <w:p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b/>
          <w:i/>
          <w:iCs/>
          <w:color w:val="002060"/>
          <w:sz w:val="24"/>
          <w:szCs w:val="24"/>
          <w:lang w:eastAsia="fr-FR"/>
        </w:rPr>
        <w:t>Activité</w:t>
      </w:r>
      <w:r w:rsidRPr="008D0B50">
        <w:rPr>
          <w:rFonts w:ascii="Tw Cen MT" w:eastAsia="Times New Roman" w:hAnsi="Tw Cen MT" w:cs="Times New Roman"/>
          <w:b/>
          <w:bCs/>
          <w:i/>
          <w:iCs/>
          <w:color w:val="000000"/>
          <w:sz w:val="24"/>
          <w:szCs w:val="24"/>
          <w:lang w:eastAsia="fr-FR"/>
        </w:rPr>
        <w:t>s :</w:t>
      </w:r>
    </w:p>
    <w:p w14:paraId="10A9192E" w14:textId="0601DB32"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 xml:space="preserve">Mise en œuvre de la </w:t>
      </w:r>
      <w:proofErr w:type="spellStart"/>
      <w:r w:rsidRPr="008D0B50">
        <w:rPr>
          <w:rFonts w:ascii="Tw Cen MT" w:eastAsia="Times New Roman" w:hAnsi="Tw Cen MT" w:cs="Times New Roman"/>
          <w:i/>
          <w:iCs/>
          <w:color w:val="000000"/>
          <w:sz w:val="24"/>
          <w:szCs w:val="24"/>
          <w:lang w:eastAsia="fr-FR"/>
        </w:rPr>
        <w:t>baseline</w:t>
      </w:r>
      <w:proofErr w:type="spellEnd"/>
      <w:r w:rsidRPr="008D0B50">
        <w:rPr>
          <w:rFonts w:ascii="Tw Cen MT" w:eastAsia="Times New Roman" w:hAnsi="Tw Cen MT" w:cs="Times New Roman"/>
          <w:i/>
          <w:iCs/>
          <w:color w:val="000000"/>
          <w:sz w:val="24"/>
          <w:szCs w:val="24"/>
          <w:lang w:eastAsia="fr-FR"/>
        </w:rPr>
        <w:t xml:space="preserve"> ; </w:t>
      </w:r>
    </w:p>
    <w:p w14:paraId="4237A458" w14:textId="6E0FEC4A"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 xml:space="preserve">Collecte des données initiales ; </w:t>
      </w:r>
    </w:p>
    <w:p w14:paraId="6BA8AB5E" w14:textId="41AF9616"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 xml:space="preserve">Test des outils et indicateurs ; </w:t>
      </w:r>
    </w:p>
    <w:p w14:paraId="7BBE6688" w14:textId="77777777" w:rsidR="00EC60F3"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Ajustement du dispositif</w:t>
      </w:r>
      <w:r w:rsidR="00EC60F3">
        <w:rPr>
          <w:rFonts w:ascii="Tw Cen MT" w:eastAsia="Times New Roman" w:hAnsi="Tw Cen MT" w:cs="Times New Roman"/>
          <w:i/>
          <w:iCs/>
          <w:color w:val="000000"/>
          <w:sz w:val="24"/>
          <w:szCs w:val="24"/>
          <w:lang w:eastAsia="fr-FR"/>
        </w:rPr>
        <w:t> ;</w:t>
      </w:r>
    </w:p>
    <w:p w14:paraId="063BF40A" w14:textId="337BCA8C" w:rsidR="008D0B50" w:rsidRPr="00DF0A9E" w:rsidRDefault="00EC60F3" w:rsidP="008D0B50">
      <w:pPr>
        <w:pStyle w:val="Paragraphedeliste"/>
        <w:numPr>
          <w:ilvl w:val="0"/>
          <w:numId w:val="11"/>
        </w:num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 xml:space="preserve">Elaboration </w:t>
      </w:r>
      <w:r w:rsidR="00092878">
        <w:rPr>
          <w:rFonts w:ascii="Tw Cen MT" w:eastAsia="Times New Roman" w:hAnsi="Tw Cen MT" w:cs="Times New Roman"/>
          <w:i/>
          <w:iCs/>
          <w:color w:val="000000"/>
          <w:sz w:val="24"/>
          <w:szCs w:val="24"/>
          <w:lang w:eastAsia="fr-FR"/>
        </w:rPr>
        <w:t>du rapport</w:t>
      </w:r>
      <w:r>
        <w:rPr>
          <w:rFonts w:ascii="Tw Cen MT" w:eastAsia="Times New Roman" w:hAnsi="Tw Cen MT" w:cs="Times New Roman"/>
          <w:i/>
          <w:iCs/>
          <w:color w:val="000000"/>
          <w:sz w:val="24"/>
          <w:szCs w:val="24"/>
          <w:lang w:eastAsia="fr-FR"/>
        </w:rPr>
        <w:t xml:space="preserve"> de la 1</w:t>
      </w:r>
      <w:r w:rsidRPr="00387EAC">
        <w:rPr>
          <w:rFonts w:ascii="Tw Cen MT" w:eastAsia="Times New Roman" w:hAnsi="Tw Cen MT" w:cs="Times New Roman"/>
          <w:i/>
          <w:iCs/>
          <w:color w:val="000000"/>
          <w:sz w:val="24"/>
          <w:szCs w:val="24"/>
          <w:vertAlign w:val="superscript"/>
          <w:lang w:eastAsia="fr-FR"/>
        </w:rPr>
        <w:t>ère</w:t>
      </w:r>
      <w:r>
        <w:rPr>
          <w:rFonts w:ascii="Tw Cen MT" w:eastAsia="Times New Roman" w:hAnsi="Tw Cen MT" w:cs="Times New Roman"/>
          <w:i/>
          <w:iCs/>
          <w:color w:val="000000"/>
          <w:sz w:val="24"/>
          <w:szCs w:val="24"/>
          <w:lang w:eastAsia="fr-FR"/>
        </w:rPr>
        <w:t xml:space="preserve"> évaluation </w:t>
      </w:r>
    </w:p>
    <w:p w14:paraId="19F425B0" w14:textId="0395005F" w:rsidR="008D0B50" w:rsidRPr="008D0B50" w:rsidRDefault="008D0B50" w:rsidP="008D0B50">
      <w:p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b/>
          <w:i/>
          <w:iCs/>
          <w:color w:val="002060"/>
          <w:sz w:val="24"/>
          <w:szCs w:val="24"/>
          <w:lang w:eastAsia="fr-FR"/>
        </w:rPr>
        <w:t>Livrables</w:t>
      </w:r>
      <w:r w:rsidRPr="008D0B50">
        <w:rPr>
          <w:rFonts w:ascii="Tw Cen MT" w:eastAsia="Times New Roman" w:hAnsi="Tw Cen MT" w:cs="Times New Roman"/>
          <w:b/>
          <w:bCs/>
          <w:i/>
          <w:iCs/>
          <w:color w:val="000000"/>
          <w:sz w:val="24"/>
          <w:szCs w:val="24"/>
          <w:lang w:eastAsia="fr-FR"/>
        </w:rPr>
        <w:t xml:space="preserve"> :</w:t>
      </w:r>
    </w:p>
    <w:p w14:paraId="46569D37" w14:textId="2307D799"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 xml:space="preserve">Rapport de </w:t>
      </w:r>
      <w:proofErr w:type="spellStart"/>
      <w:r w:rsidRPr="008D0B50">
        <w:rPr>
          <w:rFonts w:ascii="Tw Cen MT" w:eastAsia="Times New Roman" w:hAnsi="Tw Cen MT" w:cs="Times New Roman"/>
          <w:i/>
          <w:iCs/>
          <w:color w:val="000000"/>
          <w:sz w:val="24"/>
          <w:szCs w:val="24"/>
          <w:lang w:eastAsia="fr-FR"/>
        </w:rPr>
        <w:t>baseline</w:t>
      </w:r>
      <w:proofErr w:type="spellEnd"/>
      <w:r w:rsidRPr="008D0B50">
        <w:rPr>
          <w:rFonts w:ascii="Tw Cen MT" w:eastAsia="Times New Roman" w:hAnsi="Tw Cen MT" w:cs="Times New Roman"/>
          <w:i/>
          <w:iCs/>
          <w:color w:val="000000"/>
          <w:sz w:val="24"/>
          <w:szCs w:val="24"/>
          <w:lang w:eastAsia="fr-FR"/>
        </w:rPr>
        <w:t xml:space="preserve"> ; </w:t>
      </w:r>
    </w:p>
    <w:p w14:paraId="03DA1D60" w14:textId="7852D461"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 xml:space="preserve">Base de données initiale ; </w:t>
      </w:r>
    </w:p>
    <w:p w14:paraId="61A5AFE8" w14:textId="56E12FB6" w:rsidR="008D0B50" w:rsidRPr="008D0B50" w:rsidRDefault="008D0B50" w:rsidP="00DD6486">
      <w:pPr>
        <w:pStyle w:val="Paragraphedeliste"/>
        <w:numPr>
          <w:ilvl w:val="0"/>
          <w:numId w:val="11"/>
        </w:numPr>
        <w:rPr>
          <w:rFonts w:ascii="Tw Cen MT" w:eastAsia="Times New Roman" w:hAnsi="Tw Cen MT" w:cs="Times New Roman"/>
          <w:i/>
          <w:iCs/>
          <w:color w:val="000000"/>
          <w:sz w:val="24"/>
          <w:szCs w:val="24"/>
          <w:lang w:eastAsia="fr-FR"/>
        </w:rPr>
      </w:pPr>
      <w:r w:rsidRPr="008D0B50">
        <w:rPr>
          <w:rFonts w:ascii="Tw Cen MT" w:eastAsia="Times New Roman" w:hAnsi="Tw Cen MT" w:cs="Times New Roman"/>
          <w:i/>
          <w:iCs/>
          <w:color w:val="000000"/>
          <w:sz w:val="24"/>
          <w:szCs w:val="24"/>
          <w:lang w:eastAsia="fr-FR"/>
        </w:rPr>
        <w:t>Note d’ajustement.</w:t>
      </w:r>
    </w:p>
    <w:p w14:paraId="33C32938" w14:textId="77777777" w:rsidR="00922882" w:rsidRPr="00922882" w:rsidRDefault="00922882" w:rsidP="00922882">
      <w:pPr>
        <w:pStyle w:val="Paragraphedeliste"/>
        <w:ind w:left="792"/>
        <w:rPr>
          <w:rFonts w:ascii="Tw Cen MT" w:eastAsia="Times New Roman" w:hAnsi="Tw Cen MT" w:cs="Times New Roman"/>
          <w:i/>
          <w:iCs/>
          <w:color w:val="000000"/>
          <w:sz w:val="24"/>
          <w:szCs w:val="24"/>
          <w:lang w:eastAsia="fr-FR"/>
        </w:rPr>
      </w:pPr>
    </w:p>
    <w:p w14:paraId="7E99E739" w14:textId="77777777" w:rsidR="00387EAC" w:rsidRPr="00387EAC" w:rsidRDefault="008D0B50" w:rsidP="00DD6486">
      <w:pPr>
        <w:pStyle w:val="Paragraphedeliste"/>
        <w:numPr>
          <w:ilvl w:val="0"/>
          <w:numId w:val="8"/>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2060"/>
          <w:sz w:val="28"/>
          <w:szCs w:val="28"/>
          <w:lang w:eastAsia="fr-FR"/>
        </w:rPr>
        <w:t xml:space="preserve">Phase 6 : </w:t>
      </w:r>
      <w:r w:rsidR="00A374FE" w:rsidRPr="00A374FE">
        <w:rPr>
          <w:rFonts w:ascii="Tw Cen MT" w:eastAsia="Times New Roman" w:hAnsi="Tw Cen MT" w:cs="Times New Roman"/>
          <w:i/>
          <w:iCs/>
          <w:color w:val="002060"/>
          <w:sz w:val="28"/>
          <w:szCs w:val="28"/>
          <w:lang w:eastAsia="fr-FR"/>
        </w:rPr>
        <w:t xml:space="preserve">Renforcement des capacités et accompagnement </w:t>
      </w:r>
      <w:r w:rsidR="00387EAC" w:rsidRPr="00A374FE">
        <w:rPr>
          <w:rFonts w:ascii="Tw Cen MT" w:eastAsia="Times New Roman" w:hAnsi="Tw Cen MT" w:cs="Times New Roman"/>
          <w:i/>
          <w:iCs/>
          <w:color w:val="002060"/>
          <w:sz w:val="28"/>
          <w:szCs w:val="28"/>
          <w:lang w:eastAsia="fr-FR"/>
        </w:rPr>
        <w:t>méthodologique</w:t>
      </w:r>
    </w:p>
    <w:p w14:paraId="56C51812" w14:textId="5DB4DD47" w:rsidR="0056706A" w:rsidRPr="00922882" w:rsidRDefault="00387EAC" w:rsidP="00387EAC">
      <w:pPr>
        <w:pStyle w:val="Paragraphedeliste"/>
        <w:ind w:left="792"/>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2060"/>
          <w:sz w:val="28"/>
          <w:szCs w:val="28"/>
          <w:lang w:eastAsia="fr-FR"/>
        </w:rPr>
        <w:t xml:space="preserve"> (</w:t>
      </w:r>
      <w:r w:rsidR="008D0B50" w:rsidRPr="00922882">
        <w:rPr>
          <w:rFonts w:ascii="Tw Cen MT" w:eastAsia="Times New Roman" w:hAnsi="Tw Cen MT" w:cs="Times New Roman"/>
          <w:i/>
          <w:iCs/>
          <w:color w:val="002060"/>
          <w:sz w:val="28"/>
          <w:szCs w:val="28"/>
          <w:lang w:eastAsia="fr-FR"/>
        </w:rPr>
        <w:t>3 H/J</w:t>
      </w:r>
      <w:r w:rsidR="008D0B50" w:rsidRPr="00922882">
        <w:rPr>
          <w:rFonts w:ascii="Tw Cen MT" w:eastAsia="Times New Roman" w:hAnsi="Tw Cen MT" w:cs="Times New Roman"/>
          <w:i/>
          <w:iCs/>
          <w:color w:val="000000"/>
          <w:sz w:val="24"/>
          <w:szCs w:val="24"/>
          <w:lang w:eastAsia="fr-FR"/>
        </w:rPr>
        <w:t>)</w:t>
      </w:r>
    </w:p>
    <w:p w14:paraId="6389ACC9" w14:textId="77777777" w:rsidR="00922882" w:rsidRPr="00922882" w:rsidRDefault="00922882" w:rsidP="00922882">
      <w:p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b/>
          <w:i/>
          <w:iCs/>
          <w:color w:val="002060"/>
          <w:sz w:val="24"/>
          <w:szCs w:val="24"/>
          <w:lang w:eastAsia="fr-FR"/>
        </w:rPr>
        <w:t>Objectif</w:t>
      </w:r>
      <w:r w:rsidRPr="00922882">
        <w:rPr>
          <w:rFonts w:ascii="Tw Cen MT" w:eastAsia="Times New Roman" w:hAnsi="Tw Cen MT" w:cs="Times New Roman"/>
          <w:b/>
          <w:bCs/>
          <w:i/>
          <w:iCs/>
          <w:color w:val="000000"/>
          <w:sz w:val="24"/>
          <w:szCs w:val="24"/>
          <w:lang w:eastAsia="fr-FR"/>
        </w:rPr>
        <w:t xml:space="preserve"> :</w:t>
      </w:r>
      <w:r w:rsidRPr="00922882">
        <w:rPr>
          <w:rFonts w:ascii="Tw Cen MT" w:eastAsia="Times New Roman" w:hAnsi="Tw Cen MT" w:cs="Times New Roman"/>
          <w:i/>
          <w:iCs/>
          <w:color w:val="000000"/>
          <w:sz w:val="24"/>
          <w:szCs w:val="24"/>
          <w:lang w:eastAsia="fr-FR"/>
        </w:rPr>
        <w:t xml:space="preserve"> assurer l’appropriation du dispositif.</w:t>
      </w:r>
    </w:p>
    <w:p w14:paraId="33B67768" w14:textId="77777777" w:rsidR="00922882" w:rsidRPr="00922882" w:rsidRDefault="00922882" w:rsidP="00922882">
      <w:p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b/>
          <w:i/>
          <w:iCs/>
          <w:color w:val="002060"/>
          <w:sz w:val="24"/>
          <w:szCs w:val="24"/>
          <w:lang w:eastAsia="fr-FR"/>
        </w:rPr>
        <w:t>Activités</w:t>
      </w:r>
      <w:r w:rsidRPr="00922882">
        <w:rPr>
          <w:rFonts w:ascii="Tw Cen MT" w:eastAsia="Times New Roman" w:hAnsi="Tw Cen MT" w:cs="Times New Roman"/>
          <w:b/>
          <w:bCs/>
          <w:i/>
          <w:iCs/>
          <w:color w:val="000000"/>
          <w:sz w:val="24"/>
          <w:szCs w:val="24"/>
          <w:lang w:eastAsia="fr-FR"/>
        </w:rPr>
        <w:t xml:space="preserve"> :</w:t>
      </w:r>
    </w:p>
    <w:p w14:paraId="7A0FA932" w14:textId="2F3F5D78"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Formation opérationnelle des équipes ; </w:t>
      </w:r>
    </w:p>
    <w:p w14:paraId="45DAC9E4" w14:textId="4AF36A08"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Accompagnement à la prise en main des outils ; </w:t>
      </w:r>
    </w:p>
    <w:p w14:paraId="75800ADD" w14:textId="2B3232A0"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Co-production des premiers </w:t>
      </w:r>
      <w:proofErr w:type="spellStart"/>
      <w:r w:rsidRPr="00922882">
        <w:rPr>
          <w:rFonts w:ascii="Tw Cen MT" w:eastAsia="Times New Roman" w:hAnsi="Tw Cen MT" w:cs="Times New Roman"/>
          <w:i/>
          <w:iCs/>
          <w:color w:val="000000"/>
          <w:sz w:val="24"/>
          <w:szCs w:val="24"/>
          <w:lang w:eastAsia="fr-FR"/>
        </w:rPr>
        <w:t>reportings</w:t>
      </w:r>
      <w:proofErr w:type="spellEnd"/>
      <w:r w:rsidRPr="00922882">
        <w:rPr>
          <w:rFonts w:ascii="Tw Cen MT" w:eastAsia="Times New Roman" w:hAnsi="Tw Cen MT" w:cs="Times New Roman"/>
          <w:i/>
          <w:iCs/>
          <w:color w:val="000000"/>
          <w:sz w:val="24"/>
          <w:szCs w:val="24"/>
          <w:lang w:eastAsia="fr-FR"/>
        </w:rPr>
        <w:t xml:space="preserve"> ; </w:t>
      </w:r>
    </w:p>
    <w:p w14:paraId="02BB0A96" w14:textId="77777777" w:rsidR="00387EAC" w:rsidRDefault="00A374FE" w:rsidP="00922882">
      <w:pPr>
        <w:rPr>
          <w:rFonts w:ascii="Tw Cen MT" w:eastAsia="Times New Roman" w:hAnsi="Tw Cen MT" w:cs="Times New Roman"/>
          <w:i/>
          <w:iCs/>
          <w:color w:val="000000"/>
          <w:sz w:val="24"/>
          <w:szCs w:val="24"/>
          <w:lang w:eastAsia="fr-FR"/>
        </w:rPr>
      </w:pPr>
      <w:r w:rsidRPr="00A374FE">
        <w:rPr>
          <w:rFonts w:ascii="Tw Cen MT" w:eastAsia="Times New Roman" w:hAnsi="Tw Cen MT" w:cs="Times New Roman"/>
          <w:i/>
          <w:iCs/>
          <w:color w:val="000000"/>
          <w:sz w:val="24"/>
          <w:szCs w:val="24"/>
          <w:lang w:eastAsia="fr-FR"/>
        </w:rPr>
        <w:t>Familiarisation progressive aux outils et méthodes SERA</w:t>
      </w:r>
    </w:p>
    <w:p w14:paraId="107B018A" w14:textId="71486E44" w:rsidR="00922882" w:rsidRPr="00922882" w:rsidRDefault="00A374FE" w:rsidP="00922882">
      <w:p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 xml:space="preserve"> </w:t>
      </w:r>
      <w:r w:rsidR="00922882" w:rsidRPr="00922882">
        <w:rPr>
          <w:rFonts w:ascii="Tw Cen MT" w:eastAsia="Times New Roman" w:hAnsi="Tw Cen MT" w:cs="Times New Roman"/>
          <w:b/>
          <w:i/>
          <w:iCs/>
          <w:color w:val="002060"/>
          <w:sz w:val="24"/>
          <w:szCs w:val="24"/>
          <w:lang w:eastAsia="fr-FR"/>
        </w:rPr>
        <w:t>Livrable</w:t>
      </w:r>
      <w:r w:rsidR="00922882" w:rsidRPr="00922882">
        <w:rPr>
          <w:rFonts w:ascii="Tw Cen MT" w:eastAsia="Times New Roman" w:hAnsi="Tw Cen MT" w:cs="Times New Roman"/>
          <w:b/>
          <w:bCs/>
          <w:i/>
          <w:iCs/>
          <w:color w:val="000000"/>
          <w:sz w:val="24"/>
          <w:szCs w:val="24"/>
          <w:lang w:eastAsia="fr-FR"/>
        </w:rPr>
        <w:t>s :</w:t>
      </w:r>
    </w:p>
    <w:p w14:paraId="59F6C6ED" w14:textId="3C8EAB0C"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Supports de formation ; </w:t>
      </w:r>
    </w:p>
    <w:p w14:paraId="6B3A49FC" w14:textId="10B88DED"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Guides utilisateurs ; </w:t>
      </w:r>
    </w:p>
    <w:p w14:paraId="35939B28" w14:textId="63A75F82" w:rsidR="00922882" w:rsidRDefault="00A374FE" w:rsidP="00DD6486">
      <w:pPr>
        <w:pStyle w:val="Paragraphedeliste"/>
        <w:numPr>
          <w:ilvl w:val="0"/>
          <w:numId w:val="11"/>
        </w:numPr>
        <w:rPr>
          <w:rFonts w:ascii="Tw Cen MT" w:eastAsia="Times New Roman" w:hAnsi="Tw Cen MT" w:cs="Times New Roman"/>
          <w:i/>
          <w:iCs/>
          <w:color w:val="000000"/>
          <w:sz w:val="24"/>
          <w:szCs w:val="24"/>
          <w:lang w:eastAsia="fr-FR"/>
        </w:rPr>
      </w:pPr>
      <w:r w:rsidRPr="00A374FE">
        <w:rPr>
          <w:rFonts w:ascii="Tw Cen MT" w:eastAsia="Times New Roman" w:hAnsi="Tw Cen MT" w:cs="Times New Roman"/>
          <w:i/>
          <w:iCs/>
          <w:color w:val="000000"/>
          <w:sz w:val="24"/>
          <w:szCs w:val="24"/>
          <w:lang w:eastAsia="fr-FR"/>
        </w:rPr>
        <w:t>Rapports élaborés par l’assistance technique avec participation de la DEC dans une logique de transfert méthodologique</w:t>
      </w:r>
      <w:r>
        <w:rPr>
          <w:rFonts w:ascii="Tw Cen MT" w:eastAsia="Times New Roman" w:hAnsi="Tw Cen MT" w:cs="Times New Roman"/>
          <w:i/>
          <w:iCs/>
          <w:color w:val="000000"/>
          <w:sz w:val="24"/>
          <w:szCs w:val="24"/>
          <w:lang w:eastAsia="fr-FR"/>
        </w:rPr>
        <w:t xml:space="preserve">. </w:t>
      </w:r>
      <w:r w:rsidR="00922882" w:rsidRPr="00922882">
        <w:rPr>
          <w:rFonts w:ascii="Tw Cen MT" w:eastAsia="Times New Roman" w:hAnsi="Tw Cen MT" w:cs="Times New Roman"/>
          <w:i/>
          <w:iCs/>
          <w:color w:val="000000"/>
          <w:sz w:val="24"/>
          <w:szCs w:val="24"/>
          <w:lang w:eastAsia="fr-FR"/>
        </w:rPr>
        <w:t>Note d’appropriation.</w:t>
      </w:r>
    </w:p>
    <w:p w14:paraId="7D0FD1F6" w14:textId="1C153D24" w:rsidR="00922882" w:rsidRDefault="00922882" w:rsidP="00922882">
      <w:pPr>
        <w:pStyle w:val="Paragraphedeliste"/>
        <w:rPr>
          <w:rFonts w:ascii="Tw Cen MT" w:eastAsia="Times New Roman" w:hAnsi="Tw Cen MT" w:cs="Times New Roman"/>
          <w:i/>
          <w:iCs/>
          <w:color w:val="000000"/>
          <w:sz w:val="24"/>
          <w:szCs w:val="24"/>
          <w:lang w:eastAsia="fr-FR"/>
        </w:rPr>
      </w:pPr>
    </w:p>
    <w:p w14:paraId="75D746CC" w14:textId="77777777" w:rsidR="005D3ADE" w:rsidRPr="00922882" w:rsidRDefault="005D3ADE" w:rsidP="00922882">
      <w:pPr>
        <w:pStyle w:val="Paragraphedeliste"/>
        <w:rPr>
          <w:rFonts w:ascii="Tw Cen MT" w:eastAsia="Times New Roman" w:hAnsi="Tw Cen MT" w:cs="Times New Roman"/>
          <w:i/>
          <w:iCs/>
          <w:color w:val="000000"/>
          <w:sz w:val="24"/>
          <w:szCs w:val="24"/>
          <w:lang w:eastAsia="fr-FR"/>
        </w:rPr>
      </w:pPr>
    </w:p>
    <w:p w14:paraId="3E728246" w14:textId="2B31E83B" w:rsidR="00922882" w:rsidRPr="00922882" w:rsidRDefault="00922882" w:rsidP="00DD6486">
      <w:pPr>
        <w:pStyle w:val="Paragraphedeliste"/>
        <w:numPr>
          <w:ilvl w:val="0"/>
          <w:numId w:val="8"/>
        </w:numPr>
        <w:rPr>
          <w:rFonts w:ascii="Tw Cen MT" w:eastAsia="Times New Roman" w:hAnsi="Tw Cen MT" w:cs="Times New Roman"/>
          <w:b/>
          <w:bCs/>
          <w:i/>
          <w:iCs/>
          <w:color w:val="000000"/>
          <w:sz w:val="24"/>
          <w:szCs w:val="24"/>
          <w:lang w:eastAsia="fr-FR"/>
        </w:rPr>
      </w:pPr>
      <w:r w:rsidRPr="00922882">
        <w:rPr>
          <w:rFonts w:ascii="Tw Cen MT" w:eastAsia="Times New Roman" w:hAnsi="Tw Cen MT" w:cs="Times New Roman"/>
          <w:i/>
          <w:iCs/>
          <w:color w:val="002060"/>
          <w:sz w:val="28"/>
          <w:szCs w:val="28"/>
          <w:lang w:eastAsia="fr-FR"/>
        </w:rPr>
        <w:lastRenderedPageBreak/>
        <w:t>Phase 7 : Appui continu et structuration de l’évaluation (25 H/J)</w:t>
      </w:r>
    </w:p>
    <w:p w14:paraId="49FC880D" w14:textId="77777777" w:rsidR="00922882" w:rsidRPr="00922882" w:rsidRDefault="00922882" w:rsidP="00922882">
      <w:p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b/>
          <w:i/>
          <w:iCs/>
          <w:color w:val="002060"/>
          <w:sz w:val="24"/>
          <w:szCs w:val="24"/>
          <w:lang w:eastAsia="fr-FR"/>
        </w:rPr>
        <w:t>Objecti</w:t>
      </w:r>
      <w:r w:rsidRPr="00922882">
        <w:rPr>
          <w:rFonts w:ascii="Tw Cen MT" w:eastAsia="Times New Roman" w:hAnsi="Tw Cen MT" w:cs="Times New Roman"/>
          <w:b/>
          <w:bCs/>
          <w:i/>
          <w:iCs/>
          <w:color w:val="000000"/>
          <w:sz w:val="24"/>
          <w:szCs w:val="24"/>
          <w:lang w:eastAsia="fr-FR"/>
        </w:rPr>
        <w:t>f :</w:t>
      </w:r>
      <w:r w:rsidRPr="00922882">
        <w:rPr>
          <w:rFonts w:ascii="Tw Cen MT" w:eastAsia="Times New Roman" w:hAnsi="Tw Cen MT" w:cs="Times New Roman"/>
          <w:i/>
          <w:iCs/>
          <w:color w:val="000000"/>
          <w:sz w:val="24"/>
          <w:szCs w:val="24"/>
          <w:lang w:eastAsia="fr-FR"/>
        </w:rPr>
        <w:t xml:space="preserve"> accompagner la mise en œuvre et structurer la fonction évaluation.</w:t>
      </w:r>
    </w:p>
    <w:p w14:paraId="77FC45A4" w14:textId="77777777" w:rsidR="00922882" w:rsidRPr="00922882" w:rsidRDefault="00922882" w:rsidP="00922882">
      <w:p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b/>
          <w:i/>
          <w:iCs/>
          <w:color w:val="002060"/>
          <w:sz w:val="24"/>
          <w:szCs w:val="24"/>
          <w:lang w:eastAsia="fr-FR"/>
        </w:rPr>
        <w:t>Activité</w:t>
      </w:r>
      <w:r w:rsidRPr="00922882">
        <w:rPr>
          <w:rFonts w:ascii="Tw Cen MT" w:eastAsia="Times New Roman" w:hAnsi="Tw Cen MT" w:cs="Times New Roman"/>
          <w:b/>
          <w:bCs/>
          <w:i/>
          <w:iCs/>
          <w:color w:val="000000"/>
          <w:sz w:val="24"/>
          <w:szCs w:val="24"/>
          <w:lang w:eastAsia="fr-FR"/>
        </w:rPr>
        <w:t>s :</w:t>
      </w:r>
    </w:p>
    <w:p w14:paraId="2408AC80" w14:textId="136AE286"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Appui à la production des </w:t>
      </w:r>
      <w:proofErr w:type="spellStart"/>
      <w:r w:rsidRPr="00922882">
        <w:rPr>
          <w:rFonts w:ascii="Tw Cen MT" w:eastAsia="Times New Roman" w:hAnsi="Tw Cen MT" w:cs="Times New Roman"/>
          <w:i/>
          <w:iCs/>
          <w:color w:val="000000"/>
          <w:sz w:val="24"/>
          <w:szCs w:val="24"/>
          <w:lang w:eastAsia="fr-FR"/>
        </w:rPr>
        <w:t>reportings</w:t>
      </w:r>
      <w:proofErr w:type="spellEnd"/>
      <w:r w:rsidRPr="00922882">
        <w:rPr>
          <w:rFonts w:ascii="Tw Cen MT" w:eastAsia="Times New Roman" w:hAnsi="Tw Cen MT" w:cs="Times New Roman"/>
          <w:i/>
          <w:iCs/>
          <w:color w:val="000000"/>
          <w:sz w:val="24"/>
          <w:szCs w:val="24"/>
          <w:lang w:eastAsia="fr-FR"/>
        </w:rPr>
        <w:t xml:space="preserve"> ; </w:t>
      </w:r>
    </w:p>
    <w:p w14:paraId="39D7F063" w14:textId="724238EA" w:rsidR="00922882" w:rsidRPr="00922882" w:rsidRDefault="00092878" w:rsidP="00DD6486">
      <w:pPr>
        <w:pStyle w:val="Paragraphedeliste"/>
        <w:numPr>
          <w:ilvl w:val="0"/>
          <w:numId w:val="11"/>
        </w:num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 xml:space="preserve"> </w:t>
      </w:r>
      <w:r w:rsidR="005D3ADE">
        <w:rPr>
          <w:rFonts w:ascii="Tw Cen MT" w:eastAsia="Times New Roman" w:hAnsi="Tw Cen MT" w:cs="Times New Roman"/>
          <w:i/>
          <w:iCs/>
          <w:color w:val="000000"/>
          <w:sz w:val="24"/>
          <w:szCs w:val="24"/>
          <w:lang w:eastAsia="fr-FR"/>
        </w:rPr>
        <w:t xml:space="preserve">Implication </w:t>
      </w:r>
      <w:r w:rsidR="005D3ADE" w:rsidRPr="00A374FE">
        <w:rPr>
          <w:rFonts w:ascii="Tw Cen MT" w:eastAsia="Times New Roman" w:hAnsi="Tw Cen MT" w:cs="Times New Roman"/>
          <w:i/>
          <w:iCs/>
          <w:color w:val="000000"/>
          <w:sz w:val="24"/>
          <w:szCs w:val="24"/>
          <w:lang w:eastAsia="fr-FR"/>
        </w:rPr>
        <w:t>de</w:t>
      </w:r>
      <w:r w:rsidR="00A374FE" w:rsidRPr="00A374FE">
        <w:rPr>
          <w:rFonts w:ascii="Tw Cen MT" w:eastAsia="Times New Roman" w:hAnsi="Tw Cen MT" w:cs="Times New Roman"/>
          <w:i/>
          <w:iCs/>
          <w:color w:val="000000"/>
          <w:sz w:val="24"/>
          <w:szCs w:val="24"/>
          <w:lang w:eastAsia="fr-FR"/>
        </w:rPr>
        <w:t xml:space="preserve"> la DEC aux exercices de collecte, consolidation et reporting afin de favoriser l’apprentissage par la pratique »</w:t>
      </w:r>
      <w:r w:rsidR="00A374FE">
        <w:rPr>
          <w:rFonts w:ascii="Tw Cen MT" w:eastAsia="Times New Roman" w:hAnsi="Tw Cen MT" w:cs="Times New Roman"/>
          <w:i/>
          <w:iCs/>
          <w:color w:val="000000"/>
          <w:sz w:val="24"/>
          <w:szCs w:val="24"/>
          <w:lang w:eastAsia="fr-FR"/>
        </w:rPr>
        <w:t xml:space="preserve"> </w:t>
      </w:r>
      <w:r w:rsidR="00922882" w:rsidRPr="00922882">
        <w:rPr>
          <w:rFonts w:ascii="Tw Cen MT" w:eastAsia="Times New Roman" w:hAnsi="Tw Cen MT" w:cs="Times New Roman"/>
          <w:i/>
          <w:iCs/>
          <w:color w:val="000000"/>
          <w:sz w:val="24"/>
          <w:szCs w:val="24"/>
          <w:lang w:eastAsia="fr-FR"/>
        </w:rPr>
        <w:t xml:space="preserve">Supervision de la qualité des données ; </w:t>
      </w:r>
    </w:p>
    <w:p w14:paraId="2C2DCC53" w14:textId="566A4BA3"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Participation aux revues du projet ; </w:t>
      </w:r>
    </w:p>
    <w:p w14:paraId="4DAC8964" w14:textId="1D16E87A" w:rsidR="00092878"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Élaboration des TDR des évaluations</w:t>
      </w:r>
      <w:r w:rsidR="005D3ADE">
        <w:rPr>
          <w:rFonts w:ascii="Tw Cen MT" w:eastAsia="Times New Roman" w:hAnsi="Tw Cen MT" w:cs="Times New Roman"/>
          <w:i/>
          <w:iCs/>
          <w:color w:val="000000"/>
          <w:sz w:val="24"/>
          <w:szCs w:val="24"/>
          <w:lang w:eastAsia="fr-FR"/>
        </w:rPr>
        <w:t xml:space="preserve"> ; </w:t>
      </w:r>
    </w:p>
    <w:p w14:paraId="74045521" w14:textId="7490F992" w:rsidR="00922882" w:rsidRPr="00922882" w:rsidRDefault="00092878" w:rsidP="00DD6486">
      <w:pPr>
        <w:pStyle w:val="Paragraphedeliste"/>
        <w:numPr>
          <w:ilvl w:val="0"/>
          <w:numId w:val="11"/>
        </w:num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 xml:space="preserve">Organisation d’un atelier de clôture et de présentation des recommandations et des résultats </w:t>
      </w:r>
      <w:r w:rsidR="00922882" w:rsidRPr="00922882">
        <w:rPr>
          <w:rFonts w:ascii="Tw Cen MT" w:eastAsia="Times New Roman" w:hAnsi="Tw Cen MT" w:cs="Times New Roman"/>
          <w:i/>
          <w:iCs/>
          <w:color w:val="000000"/>
          <w:sz w:val="24"/>
          <w:szCs w:val="24"/>
          <w:lang w:eastAsia="fr-FR"/>
        </w:rPr>
        <w:t xml:space="preserve"> </w:t>
      </w:r>
    </w:p>
    <w:p w14:paraId="6542D00B" w14:textId="77777777" w:rsidR="00922882" w:rsidRPr="00922882" w:rsidRDefault="00922882" w:rsidP="00922882">
      <w:p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b/>
          <w:i/>
          <w:iCs/>
          <w:color w:val="002060"/>
          <w:sz w:val="24"/>
          <w:szCs w:val="24"/>
          <w:lang w:eastAsia="fr-FR"/>
        </w:rPr>
        <w:t>Livrables</w:t>
      </w:r>
      <w:r w:rsidRPr="00922882">
        <w:rPr>
          <w:rFonts w:ascii="Tw Cen MT" w:eastAsia="Times New Roman" w:hAnsi="Tw Cen MT" w:cs="Times New Roman"/>
          <w:b/>
          <w:bCs/>
          <w:i/>
          <w:iCs/>
          <w:color w:val="000000"/>
          <w:sz w:val="24"/>
          <w:szCs w:val="24"/>
          <w:lang w:eastAsia="fr-FR"/>
        </w:rPr>
        <w:t xml:space="preserve"> :</w:t>
      </w:r>
    </w:p>
    <w:p w14:paraId="4F3415FB" w14:textId="77777777"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TDR des évaluations ; </w:t>
      </w:r>
    </w:p>
    <w:p w14:paraId="1C3C0BD0" w14:textId="02684224"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Notes d’appui SERA ; </w:t>
      </w:r>
    </w:p>
    <w:p w14:paraId="469DE4EE" w14:textId="39CC6F6B" w:rsidR="00922882" w:rsidRPr="00922882"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 xml:space="preserve">Contributions aux revues ; </w:t>
      </w:r>
    </w:p>
    <w:p w14:paraId="28A57E01" w14:textId="77777777" w:rsidR="00092878" w:rsidRDefault="00922882" w:rsidP="00DD6486">
      <w:pPr>
        <w:pStyle w:val="Paragraphedeliste"/>
        <w:numPr>
          <w:ilvl w:val="0"/>
          <w:numId w:val="11"/>
        </w:numPr>
        <w:rPr>
          <w:rFonts w:ascii="Tw Cen MT" w:eastAsia="Times New Roman" w:hAnsi="Tw Cen MT" w:cs="Times New Roman"/>
          <w:i/>
          <w:iCs/>
          <w:color w:val="000000"/>
          <w:sz w:val="24"/>
          <w:szCs w:val="24"/>
          <w:lang w:eastAsia="fr-FR"/>
        </w:rPr>
      </w:pPr>
      <w:r w:rsidRPr="00922882">
        <w:rPr>
          <w:rFonts w:ascii="Tw Cen MT" w:eastAsia="Times New Roman" w:hAnsi="Tw Cen MT" w:cs="Times New Roman"/>
          <w:i/>
          <w:iCs/>
          <w:color w:val="000000"/>
          <w:sz w:val="24"/>
          <w:szCs w:val="24"/>
          <w:lang w:eastAsia="fr-FR"/>
        </w:rPr>
        <w:t>Ajustements du dispositif</w:t>
      </w:r>
      <w:r w:rsidR="00092878">
        <w:rPr>
          <w:rFonts w:ascii="Tw Cen MT" w:eastAsia="Times New Roman" w:hAnsi="Tw Cen MT" w:cs="Times New Roman"/>
          <w:i/>
          <w:iCs/>
          <w:color w:val="000000"/>
          <w:sz w:val="24"/>
          <w:szCs w:val="24"/>
          <w:lang w:eastAsia="fr-FR"/>
        </w:rPr>
        <w:t> ;</w:t>
      </w:r>
    </w:p>
    <w:p w14:paraId="32646B68" w14:textId="78C35304" w:rsidR="00922882" w:rsidRDefault="00092878" w:rsidP="00DD6486">
      <w:pPr>
        <w:pStyle w:val="Paragraphedeliste"/>
        <w:numPr>
          <w:ilvl w:val="0"/>
          <w:numId w:val="11"/>
        </w:numPr>
        <w:rPr>
          <w:rFonts w:ascii="Tw Cen MT" w:eastAsia="Times New Roman" w:hAnsi="Tw Cen MT" w:cs="Times New Roman"/>
          <w:i/>
          <w:iCs/>
          <w:color w:val="000000"/>
          <w:sz w:val="24"/>
          <w:szCs w:val="24"/>
          <w:lang w:eastAsia="fr-FR"/>
        </w:rPr>
      </w:pPr>
      <w:r>
        <w:rPr>
          <w:rFonts w:ascii="Tw Cen MT" w:eastAsia="Times New Roman" w:hAnsi="Tw Cen MT" w:cs="Times New Roman"/>
          <w:i/>
          <w:iCs/>
          <w:color w:val="000000"/>
          <w:sz w:val="24"/>
          <w:szCs w:val="24"/>
          <w:lang w:eastAsia="fr-FR"/>
        </w:rPr>
        <w:t>Atelier de partage.</w:t>
      </w:r>
    </w:p>
    <w:p w14:paraId="2A2222F9" w14:textId="7AA46173" w:rsidR="00F431F6" w:rsidRDefault="00F431F6" w:rsidP="00F431F6">
      <w:pPr>
        <w:pStyle w:val="Paragraphedeliste"/>
        <w:rPr>
          <w:rFonts w:ascii="Tw Cen MT" w:eastAsia="Times New Roman" w:hAnsi="Tw Cen MT" w:cs="Times New Roman"/>
          <w:i/>
          <w:iCs/>
          <w:color w:val="000000"/>
          <w:sz w:val="24"/>
          <w:szCs w:val="24"/>
          <w:lang w:eastAsia="fr-FR"/>
        </w:rPr>
      </w:pPr>
    </w:p>
    <w:p w14:paraId="0F3B856C" w14:textId="797A3176" w:rsidR="00F431F6" w:rsidRDefault="00F431F6" w:rsidP="00F431F6">
      <w:pPr>
        <w:pStyle w:val="Paragraphedeliste"/>
        <w:rPr>
          <w:rFonts w:ascii="Tw Cen MT" w:eastAsia="Times New Roman" w:hAnsi="Tw Cen MT" w:cs="Times New Roman"/>
          <w:i/>
          <w:iCs/>
          <w:color w:val="000000"/>
          <w:sz w:val="24"/>
          <w:szCs w:val="24"/>
          <w:lang w:eastAsia="fr-FR"/>
        </w:rPr>
      </w:pPr>
    </w:p>
    <w:p w14:paraId="5FC862AB" w14:textId="77777777" w:rsidR="00F431F6" w:rsidRPr="00922882" w:rsidRDefault="00F431F6" w:rsidP="00F431F6">
      <w:pPr>
        <w:pStyle w:val="Paragraphedeliste"/>
        <w:rPr>
          <w:rFonts w:ascii="Tw Cen MT" w:eastAsia="Times New Roman" w:hAnsi="Tw Cen MT" w:cs="Times New Roman"/>
          <w:i/>
          <w:iCs/>
          <w:color w:val="000000"/>
          <w:sz w:val="24"/>
          <w:szCs w:val="24"/>
          <w:lang w:eastAsia="fr-FR"/>
        </w:rPr>
      </w:pPr>
    </w:p>
    <w:p w14:paraId="47A3D37D" w14:textId="79558830" w:rsidR="00867DAC" w:rsidRPr="004B4AB1" w:rsidRDefault="00F431F6" w:rsidP="00DD6486">
      <w:pPr>
        <w:pStyle w:val="Paragraphedeliste"/>
        <w:numPr>
          <w:ilvl w:val="0"/>
          <w:numId w:val="8"/>
        </w:numPr>
        <w:rPr>
          <w:rFonts w:ascii="Tw Cen MT" w:eastAsia="Times New Roman" w:hAnsi="Tw Cen MT" w:cs="Times New Roman"/>
          <w:b/>
          <w:bCs/>
          <w:i/>
          <w:iCs/>
          <w:color w:val="000000"/>
          <w:sz w:val="24"/>
          <w:szCs w:val="24"/>
          <w:lang w:eastAsia="fr-FR"/>
        </w:rPr>
      </w:pPr>
      <w:r>
        <w:rPr>
          <w:rFonts w:ascii="Tw Cen MT" w:eastAsia="Times New Roman" w:hAnsi="Tw Cen MT" w:cs="Times New Roman"/>
          <w:i/>
          <w:iCs/>
          <w:color w:val="002060"/>
          <w:sz w:val="28"/>
          <w:szCs w:val="28"/>
          <w:lang w:eastAsia="fr-FR"/>
        </w:rPr>
        <w:t>Répartition indicative du volume d’intervention</w:t>
      </w:r>
    </w:p>
    <w:tbl>
      <w:tblPr>
        <w:tblStyle w:val="Listeclaire"/>
        <w:tblpPr w:leftFromText="141" w:rightFromText="141" w:vertAnchor="text" w:tblpY="1"/>
        <w:tblOverlap w:val="never"/>
        <w:tblW w:w="5000" w:type="pct"/>
        <w:tblBorders>
          <w:insideH w:val="single" w:sz="12" w:space="0" w:color="00B0F0"/>
          <w:insideV w:val="single" w:sz="12" w:space="0" w:color="00B0F0"/>
        </w:tblBorders>
        <w:tblLook w:val="0620" w:firstRow="1" w:lastRow="0" w:firstColumn="0" w:lastColumn="0" w:noHBand="1" w:noVBand="1"/>
      </w:tblPr>
      <w:tblGrid>
        <w:gridCol w:w="1379"/>
        <w:gridCol w:w="3250"/>
        <w:gridCol w:w="2095"/>
        <w:gridCol w:w="1187"/>
        <w:gridCol w:w="1565"/>
      </w:tblGrid>
      <w:tr w:rsidR="00EB3844" w14:paraId="766D7566" w14:textId="77777777" w:rsidTr="00D53033">
        <w:trPr>
          <w:cnfStyle w:val="100000000000" w:firstRow="1" w:lastRow="0" w:firstColumn="0" w:lastColumn="0" w:oddVBand="0" w:evenVBand="0" w:oddHBand="0" w:evenHBand="0" w:firstRowFirstColumn="0" w:firstRowLastColumn="0" w:lastRowFirstColumn="0" w:lastRowLastColumn="0"/>
        </w:trPr>
        <w:tc>
          <w:tcPr>
            <w:tcW w:w="374" w:type="pct"/>
          </w:tcPr>
          <w:p w14:paraId="72F52ADD" w14:textId="471288F8" w:rsidR="004B4AB1" w:rsidRPr="00F12BD3" w:rsidRDefault="004B4AB1" w:rsidP="00D53033">
            <w:pPr>
              <w:jc w:val="center"/>
              <w:rPr>
                <w:sz w:val="24"/>
                <w:szCs w:val="24"/>
              </w:rPr>
            </w:pPr>
            <w:r w:rsidRPr="00F12BD3">
              <w:rPr>
                <w:sz w:val="24"/>
                <w:szCs w:val="24"/>
              </w:rPr>
              <w:t>Phase</w:t>
            </w:r>
          </w:p>
        </w:tc>
        <w:tc>
          <w:tcPr>
            <w:tcW w:w="1833" w:type="pct"/>
          </w:tcPr>
          <w:p w14:paraId="427A52ED" w14:textId="4C05FA96" w:rsidR="004B4AB1" w:rsidRPr="00F12BD3" w:rsidRDefault="004B4AB1" w:rsidP="00D53033">
            <w:pPr>
              <w:jc w:val="center"/>
              <w:rPr>
                <w:sz w:val="24"/>
                <w:szCs w:val="24"/>
              </w:rPr>
            </w:pPr>
            <w:r w:rsidRPr="00F12BD3">
              <w:rPr>
                <w:sz w:val="24"/>
                <w:szCs w:val="24"/>
              </w:rPr>
              <w:t>Intitulé</w:t>
            </w:r>
          </w:p>
        </w:tc>
        <w:tc>
          <w:tcPr>
            <w:tcW w:w="1195" w:type="pct"/>
          </w:tcPr>
          <w:p w14:paraId="69CC24A3" w14:textId="1F1832D1" w:rsidR="004B4AB1" w:rsidRPr="00F12BD3" w:rsidRDefault="004B4AB1" w:rsidP="00D53033">
            <w:pPr>
              <w:jc w:val="center"/>
              <w:rPr>
                <w:sz w:val="24"/>
                <w:szCs w:val="24"/>
              </w:rPr>
            </w:pPr>
            <w:r w:rsidRPr="00F12BD3">
              <w:rPr>
                <w:sz w:val="24"/>
                <w:szCs w:val="24"/>
              </w:rPr>
              <w:t>Objectif</w:t>
            </w:r>
          </w:p>
        </w:tc>
        <w:tc>
          <w:tcPr>
            <w:tcW w:w="626" w:type="pct"/>
          </w:tcPr>
          <w:p w14:paraId="57A6798C" w14:textId="13B32E4F" w:rsidR="004B4AB1" w:rsidRPr="00F12BD3" w:rsidRDefault="004B4AB1" w:rsidP="00D53033">
            <w:pPr>
              <w:jc w:val="center"/>
              <w:rPr>
                <w:sz w:val="24"/>
                <w:szCs w:val="24"/>
              </w:rPr>
            </w:pPr>
            <w:r w:rsidRPr="00F12BD3">
              <w:rPr>
                <w:sz w:val="24"/>
                <w:szCs w:val="24"/>
              </w:rPr>
              <w:t>Période indicative</w:t>
            </w:r>
          </w:p>
        </w:tc>
        <w:tc>
          <w:tcPr>
            <w:tcW w:w="972" w:type="pct"/>
          </w:tcPr>
          <w:p w14:paraId="2891E520" w14:textId="74B33EC9" w:rsidR="004B4AB1" w:rsidRPr="00F12BD3" w:rsidRDefault="00F12BD3" w:rsidP="00D53033">
            <w:pPr>
              <w:jc w:val="center"/>
              <w:rPr>
                <w:sz w:val="24"/>
                <w:szCs w:val="24"/>
              </w:rPr>
            </w:pPr>
            <w:r w:rsidRPr="00F12BD3">
              <w:rPr>
                <w:sz w:val="24"/>
                <w:szCs w:val="24"/>
              </w:rPr>
              <w:t>Volume (H/J)</w:t>
            </w:r>
          </w:p>
        </w:tc>
      </w:tr>
      <w:tr w:rsidR="00EB3844" w14:paraId="26BF85DE" w14:textId="77777777" w:rsidTr="00D53033">
        <w:tc>
          <w:tcPr>
            <w:tcW w:w="374" w:type="pct"/>
          </w:tcPr>
          <w:p w14:paraId="603DAE4F" w14:textId="138965F4"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1</w:t>
            </w:r>
          </w:p>
        </w:tc>
        <w:tc>
          <w:tcPr>
            <w:tcW w:w="1833" w:type="pct"/>
          </w:tcPr>
          <w:p w14:paraId="3954F5AD" w14:textId="281EB50C" w:rsidR="004B4AB1" w:rsidRPr="00FC1FB6" w:rsidRDefault="00F12BD3"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Diagnostic</m:t>
                </m:r>
              </m:oMath>
            </m:oMathPara>
          </w:p>
        </w:tc>
        <w:tc>
          <w:tcPr>
            <w:tcW w:w="1195" w:type="pct"/>
          </w:tcPr>
          <w:p w14:paraId="0B61B3AF" w14:textId="4CAA4F99" w:rsidR="004B4AB1" w:rsidRPr="00FC1FB6" w:rsidRDefault="00F12BD3" w:rsidP="00D53033">
            <w:pPr>
              <w:rPr>
                <w:rFonts w:ascii="Tw Cen MT" w:eastAsia="Times New Roman" w:hAnsi="Tw Cen MT" w:cs="Times New Roman"/>
                <w:i/>
                <w:iCs/>
              </w:rPr>
            </w:pPr>
            <w:r w:rsidRPr="00FC1FB6">
              <w:rPr>
                <w:rFonts w:ascii="Tw Cen MT" w:eastAsia="Times New Roman" w:hAnsi="Tw Cen MT" w:cs="Times New Roman"/>
                <w:i/>
                <w:iCs/>
              </w:rPr>
              <w:t>Cadrage SERA</w:t>
            </w:r>
          </w:p>
        </w:tc>
        <w:tc>
          <w:tcPr>
            <w:tcW w:w="626" w:type="pct"/>
          </w:tcPr>
          <w:p w14:paraId="3E36FF24" w14:textId="31A1CD2D"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1</w:t>
            </w:r>
          </w:p>
        </w:tc>
        <w:tc>
          <w:tcPr>
            <w:tcW w:w="972" w:type="pct"/>
          </w:tcPr>
          <w:p w14:paraId="5EE6D541" w14:textId="50A28ED8" w:rsidR="004B4AB1" w:rsidRPr="00EB3844" w:rsidRDefault="00F12BD3"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6</m:t>
                </m:r>
              </m:oMath>
            </m:oMathPara>
          </w:p>
        </w:tc>
      </w:tr>
      <w:tr w:rsidR="00EB3844" w14:paraId="673D303A" w14:textId="77777777" w:rsidTr="00D53033">
        <w:tc>
          <w:tcPr>
            <w:tcW w:w="374" w:type="pct"/>
          </w:tcPr>
          <w:p w14:paraId="1C7F4AED" w14:textId="0BBA9313" w:rsidR="004B4AB1" w:rsidRPr="00EB3844" w:rsidRDefault="00F12BD3" w:rsidP="00D53033">
            <w:pPr>
              <w:tabs>
                <w:tab w:val="right" w:pos="1891"/>
              </w:tabs>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2</w:t>
            </w:r>
            <w:r w:rsidR="00EB3844" w:rsidRPr="00EB3844">
              <w:rPr>
                <w:rFonts w:ascii="Tw Cen MT" w:eastAsia="Times New Roman" w:hAnsi="Tw Cen MT" w:cs="Times New Roman"/>
                <w:i/>
                <w:iCs/>
                <w:color w:val="000000"/>
                <w:sz w:val="24"/>
                <w:szCs w:val="24"/>
              </w:rPr>
              <w:tab/>
            </w:r>
          </w:p>
        </w:tc>
        <w:tc>
          <w:tcPr>
            <w:tcW w:w="1833" w:type="pct"/>
          </w:tcPr>
          <w:p w14:paraId="5A6A1F31" w14:textId="0AEACD3E" w:rsidR="004B4AB1" w:rsidRPr="00FC1FB6" w:rsidRDefault="00F12BD3"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Cadre logique</m:t>
                </m:r>
              </m:oMath>
            </m:oMathPara>
          </w:p>
        </w:tc>
        <w:tc>
          <w:tcPr>
            <w:tcW w:w="1195" w:type="pct"/>
          </w:tcPr>
          <w:p w14:paraId="343B8460" w14:textId="22C2D295" w:rsidR="004B4AB1" w:rsidRPr="00FC1FB6" w:rsidRDefault="00F12BD3"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Structuration</m:t>
                </m:r>
              </m:oMath>
            </m:oMathPara>
          </w:p>
        </w:tc>
        <w:tc>
          <w:tcPr>
            <w:tcW w:w="626" w:type="pct"/>
          </w:tcPr>
          <w:p w14:paraId="6A522E17" w14:textId="2BEEE477"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2</w:t>
            </w:r>
          </w:p>
        </w:tc>
        <w:tc>
          <w:tcPr>
            <w:tcW w:w="972" w:type="pct"/>
          </w:tcPr>
          <w:p w14:paraId="6DBF12AD" w14:textId="5A6B8C01" w:rsidR="004B4AB1" w:rsidRPr="00EB3844" w:rsidRDefault="00F12BD3"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9</m:t>
                </m:r>
              </m:oMath>
            </m:oMathPara>
          </w:p>
        </w:tc>
      </w:tr>
      <w:tr w:rsidR="00EB3844" w14:paraId="74592999" w14:textId="77777777" w:rsidTr="00D53033">
        <w:tc>
          <w:tcPr>
            <w:tcW w:w="374" w:type="pct"/>
          </w:tcPr>
          <w:p w14:paraId="317002EE" w14:textId="54F1ABF9"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3</w:t>
            </w:r>
          </w:p>
        </w:tc>
        <w:tc>
          <w:tcPr>
            <w:tcW w:w="1833" w:type="pct"/>
          </w:tcPr>
          <w:p w14:paraId="312D207B" w14:textId="410B645D" w:rsidR="004B4AB1" w:rsidRPr="00FC1FB6" w:rsidRDefault="00F12BD3"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Plan SERA</m:t>
                </m:r>
              </m:oMath>
            </m:oMathPara>
          </w:p>
        </w:tc>
        <w:tc>
          <w:tcPr>
            <w:tcW w:w="1195" w:type="pct"/>
          </w:tcPr>
          <w:p w14:paraId="2B43D51E" w14:textId="3D4B915A"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Conception</m:t>
                </m:r>
              </m:oMath>
            </m:oMathPara>
          </w:p>
        </w:tc>
        <w:tc>
          <w:tcPr>
            <w:tcW w:w="626" w:type="pct"/>
          </w:tcPr>
          <w:p w14:paraId="6453AFD8" w14:textId="0BE7AD95"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3</w:t>
            </w:r>
          </w:p>
        </w:tc>
        <w:tc>
          <w:tcPr>
            <w:tcW w:w="972" w:type="pct"/>
          </w:tcPr>
          <w:p w14:paraId="798DEA66" w14:textId="55BC753D"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7</m:t>
                </m:r>
              </m:oMath>
            </m:oMathPara>
          </w:p>
        </w:tc>
      </w:tr>
      <w:tr w:rsidR="00EB3844" w14:paraId="7416A877" w14:textId="77777777" w:rsidTr="00D53033">
        <w:tc>
          <w:tcPr>
            <w:tcW w:w="374" w:type="pct"/>
          </w:tcPr>
          <w:p w14:paraId="1B9DD02A" w14:textId="20EACB59"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4</w:t>
            </w:r>
          </w:p>
        </w:tc>
        <w:tc>
          <w:tcPr>
            <w:tcW w:w="1833" w:type="pct"/>
          </w:tcPr>
          <w:p w14:paraId="10479F39" w14:textId="5DABB924"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Outils</m:t>
                </m:r>
              </m:oMath>
            </m:oMathPara>
          </w:p>
        </w:tc>
        <w:tc>
          <w:tcPr>
            <w:tcW w:w="1195" w:type="pct"/>
          </w:tcPr>
          <w:p w14:paraId="26B3F785" w14:textId="5116A243"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Mise en place</m:t>
                </m:r>
              </m:oMath>
            </m:oMathPara>
          </w:p>
        </w:tc>
        <w:tc>
          <w:tcPr>
            <w:tcW w:w="626" w:type="pct"/>
          </w:tcPr>
          <w:p w14:paraId="612B6A6D" w14:textId="36E3BEBD"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4</w:t>
            </w:r>
          </w:p>
        </w:tc>
        <w:tc>
          <w:tcPr>
            <w:tcW w:w="972" w:type="pct"/>
          </w:tcPr>
          <w:p w14:paraId="599ED1E1" w14:textId="0EC07C20"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5</m:t>
                </m:r>
              </m:oMath>
            </m:oMathPara>
          </w:p>
        </w:tc>
      </w:tr>
      <w:tr w:rsidR="00EB3844" w14:paraId="3CF0951F" w14:textId="77777777" w:rsidTr="00D53033">
        <w:tc>
          <w:tcPr>
            <w:tcW w:w="374" w:type="pct"/>
          </w:tcPr>
          <w:p w14:paraId="2449DA96" w14:textId="60F67D7B"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5</w:t>
            </w:r>
          </w:p>
        </w:tc>
        <w:tc>
          <w:tcPr>
            <w:tcW w:w="1833" w:type="pct"/>
          </w:tcPr>
          <w:p w14:paraId="405381FC" w14:textId="0DF196FB"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Baseline</m:t>
                </m:r>
              </m:oMath>
            </m:oMathPara>
          </w:p>
        </w:tc>
        <w:tc>
          <w:tcPr>
            <w:tcW w:w="1195" w:type="pct"/>
          </w:tcPr>
          <w:p w14:paraId="5EAE840D" w14:textId="3D901611"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Test</m:t>
                </m:r>
              </m:oMath>
            </m:oMathPara>
          </w:p>
        </w:tc>
        <w:tc>
          <w:tcPr>
            <w:tcW w:w="626" w:type="pct"/>
          </w:tcPr>
          <w:p w14:paraId="680CC8F4" w14:textId="64A1494E"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3-4</w:t>
            </w:r>
          </w:p>
        </w:tc>
        <w:tc>
          <w:tcPr>
            <w:tcW w:w="972" w:type="pct"/>
          </w:tcPr>
          <w:p w14:paraId="4D861780" w14:textId="6EAABC3C"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5</m:t>
                </m:r>
              </m:oMath>
            </m:oMathPara>
          </w:p>
        </w:tc>
      </w:tr>
      <w:tr w:rsidR="00EB3844" w14:paraId="1DDFA0D4" w14:textId="77777777" w:rsidTr="00D53033">
        <w:tc>
          <w:tcPr>
            <w:tcW w:w="374" w:type="pct"/>
          </w:tcPr>
          <w:p w14:paraId="7495AD96" w14:textId="6561391C"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6</w:t>
            </w:r>
          </w:p>
        </w:tc>
        <w:tc>
          <w:tcPr>
            <w:tcW w:w="1833" w:type="pct"/>
          </w:tcPr>
          <w:p w14:paraId="2D313FD7" w14:textId="7BCD45CA"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Appropriation</m:t>
                </m:r>
              </m:oMath>
            </m:oMathPara>
          </w:p>
        </w:tc>
        <w:tc>
          <w:tcPr>
            <w:tcW w:w="1195" w:type="pct"/>
          </w:tcPr>
          <w:p w14:paraId="556AE7C2" w14:textId="49905D54"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Formation</m:t>
                </m:r>
              </m:oMath>
            </m:oMathPara>
          </w:p>
        </w:tc>
        <w:tc>
          <w:tcPr>
            <w:tcW w:w="626" w:type="pct"/>
          </w:tcPr>
          <w:p w14:paraId="0149D05A" w14:textId="4AAF72D0"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Mois 5-6</w:t>
            </w:r>
          </w:p>
        </w:tc>
        <w:tc>
          <w:tcPr>
            <w:tcW w:w="972" w:type="pct"/>
          </w:tcPr>
          <w:p w14:paraId="07CABC21" w14:textId="306AD38E"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3</m:t>
                </m:r>
              </m:oMath>
            </m:oMathPara>
          </w:p>
        </w:tc>
      </w:tr>
      <w:tr w:rsidR="00EB3844" w14:paraId="75C88D20" w14:textId="77777777" w:rsidTr="00D53033">
        <w:tc>
          <w:tcPr>
            <w:tcW w:w="374" w:type="pct"/>
          </w:tcPr>
          <w:p w14:paraId="2729ADA9" w14:textId="6302DD3C" w:rsidR="004B4AB1" w:rsidRPr="00EB3844" w:rsidRDefault="00F12BD3"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Phase 7</w:t>
            </w:r>
          </w:p>
        </w:tc>
        <w:tc>
          <w:tcPr>
            <w:tcW w:w="1833" w:type="pct"/>
          </w:tcPr>
          <w:p w14:paraId="04F7F6EA" w14:textId="38233104"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Appui continu</m:t>
                </m:r>
              </m:oMath>
            </m:oMathPara>
          </w:p>
        </w:tc>
        <w:tc>
          <w:tcPr>
            <w:tcW w:w="1195" w:type="pct"/>
          </w:tcPr>
          <w:p w14:paraId="37C827EB" w14:textId="2AD05A0D" w:rsidR="004B4AB1" w:rsidRPr="00FC1FB6" w:rsidRDefault="00EB3844" w:rsidP="00D53033">
            <w:pPr>
              <w:rPr>
                <w:rFonts w:ascii="Tw Cen MT" w:eastAsia="Times New Roman" w:hAnsi="Tw Cen MT" w:cs="Times New Roman"/>
                <w:i/>
                <w:iCs/>
              </w:rPr>
            </w:pPr>
            <m:oMathPara>
              <m:oMathParaPr>
                <m:jc m:val="centerGroup"/>
              </m:oMathParaPr>
              <m:oMath>
                <m:r>
                  <w:rPr>
                    <w:rFonts w:ascii="Cambria Math" w:eastAsia="Times New Roman" w:hAnsi="Cambria Math" w:cs="Times New Roman"/>
                  </w:rPr>
                  <m:t>Suivi et évaluation</m:t>
                </m:r>
              </m:oMath>
            </m:oMathPara>
          </w:p>
        </w:tc>
        <w:tc>
          <w:tcPr>
            <w:tcW w:w="626" w:type="pct"/>
          </w:tcPr>
          <w:p w14:paraId="14B02758" w14:textId="2D14DE32"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2027-2028</w:t>
            </w:r>
          </w:p>
        </w:tc>
        <w:tc>
          <w:tcPr>
            <w:tcW w:w="972" w:type="pct"/>
          </w:tcPr>
          <w:p w14:paraId="44E22958" w14:textId="2DE7521E"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25</m:t>
                </m:r>
              </m:oMath>
            </m:oMathPara>
          </w:p>
        </w:tc>
      </w:tr>
      <w:tr w:rsidR="00EB3844" w14:paraId="5F645DAE" w14:textId="77777777" w:rsidTr="00D53033">
        <w:tc>
          <w:tcPr>
            <w:tcW w:w="374" w:type="pct"/>
          </w:tcPr>
          <w:p w14:paraId="29DB0C9F" w14:textId="47693462" w:rsidR="004B4AB1" w:rsidRPr="00D53033" w:rsidRDefault="00F12BD3" w:rsidP="00D53033">
            <w:pPr>
              <w:rPr>
                <w:rFonts w:ascii="Tw Cen MT" w:eastAsia="Times New Roman" w:hAnsi="Tw Cen MT" w:cs="Times New Roman"/>
                <w:b/>
                <w:i/>
                <w:iCs/>
                <w:color w:val="000000"/>
                <w:sz w:val="28"/>
                <w:szCs w:val="28"/>
              </w:rPr>
            </w:pPr>
            <w:r w:rsidRPr="00D53033">
              <w:rPr>
                <w:rFonts w:ascii="Tw Cen MT" w:eastAsia="Times New Roman" w:hAnsi="Tw Cen MT" w:cs="Times New Roman"/>
                <w:b/>
                <w:i/>
                <w:iCs/>
                <w:color w:val="000000"/>
                <w:sz w:val="28"/>
                <w:szCs w:val="28"/>
              </w:rPr>
              <w:t>Total</w:t>
            </w:r>
          </w:p>
        </w:tc>
        <w:tc>
          <w:tcPr>
            <w:tcW w:w="1833" w:type="pct"/>
          </w:tcPr>
          <w:p w14:paraId="537FFD50" w14:textId="59FBD878" w:rsidR="004B4AB1" w:rsidRPr="00EB3844" w:rsidRDefault="00D53033"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7</m:t>
                </m:r>
              </m:oMath>
            </m:oMathPara>
          </w:p>
        </w:tc>
        <w:tc>
          <w:tcPr>
            <w:tcW w:w="1195" w:type="pct"/>
          </w:tcPr>
          <w:p w14:paraId="7025BFD3" w14:textId="45D6A50E" w:rsidR="004B4AB1" w:rsidRPr="00EB3844" w:rsidRDefault="00EB3844" w:rsidP="00D53033">
            <w:pPr>
              <w:rPr>
                <w:rFonts w:ascii="Tw Cen MT" w:eastAsia="Times New Roman" w:hAnsi="Tw Cen MT" w:cs="Times New Roman"/>
                <w:i/>
                <w:iCs/>
                <w:color w:val="000000"/>
                <w:sz w:val="24"/>
                <w:szCs w:val="24"/>
              </w:rPr>
            </w:pPr>
            <m:oMathPara>
              <m:oMathParaPr>
                <m:jc m:val="centerGroup"/>
              </m:oMathParaPr>
              <m:oMath>
                <m:r>
                  <w:rPr>
                    <w:rFonts w:ascii="Cambria Math" w:eastAsia="Times New Roman" w:hAnsi="Cambria Math" w:cs="Times New Roman"/>
                    <w:color w:val="000000"/>
                    <w:sz w:val="24"/>
                    <w:szCs w:val="24"/>
                  </w:rPr>
                  <m:t>7</m:t>
                </m:r>
              </m:oMath>
            </m:oMathPara>
          </w:p>
        </w:tc>
        <w:tc>
          <w:tcPr>
            <w:tcW w:w="626" w:type="pct"/>
          </w:tcPr>
          <w:p w14:paraId="733CF2B7" w14:textId="7972910F" w:rsidR="004B4AB1" w:rsidRPr="00EB3844" w:rsidRDefault="00EB3844" w:rsidP="00D53033">
            <w:pPr>
              <w:rPr>
                <w:rFonts w:ascii="Tw Cen MT" w:eastAsia="Times New Roman" w:hAnsi="Tw Cen MT" w:cs="Times New Roman"/>
                <w:i/>
                <w:iCs/>
                <w:color w:val="000000"/>
                <w:sz w:val="24"/>
                <w:szCs w:val="24"/>
              </w:rPr>
            </w:pPr>
            <w:r w:rsidRPr="00EB3844">
              <w:rPr>
                <w:rFonts w:ascii="Tw Cen MT" w:eastAsia="Times New Roman" w:hAnsi="Tw Cen MT" w:cs="Times New Roman"/>
                <w:i/>
                <w:iCs/>
                <w:color w:val="000000"/>
                <w:sz w:val="24"/>
                <w:szCs w:val="24"/>
              </w:rPr>
              <w:t>Période projet</w:t>
            </w:r>
          </w:p>
        </w:tc>
        <w:tc>
          <w:tcPr>
            <w:tcW w:w="972" w:type="pct"/>
          </w:tcPr>
          <w:p w14:paraId="04385A6F" w14:textId="24A7A6BF" w:rsidR="004B4AB1" w:rsidRPr="00D53033" w:rsidRDefault="00D53033" w:rsidP="00D53033">
            <w:pPr>
              <w:rPr>
                <w:rFonts w:ascii="Tw Cen MT" w:eastAsia="Times New Roman" w:hAnsi="Tw Cen MT" w:cs="Times New Roman"/>
                <w:b/>
                <w:i/>
                <w:iCs/>
                <w:color w:val="000000"/>
                <w:sz w:val="24"/>
                <w:szCs w:val="24"/>
              </w:rPr>
            </w:pPr>
            <m:oMathPara>
              <m:oMathParaPr>
                <m:jc m:val="centerGroup"/>
              </m:oMathParaPr>
              <m:oMath>
                <m:r>
                  <m:rPr>
                    <m:sty m:val="bi"/>
                  </m:rPr>
                  <w:rPr>
                    <w:rFonts w:ascii="Cambria Math" w:eastAsia="Times New Roman" w:hAnsi="Cambria Math" w:cs="Times New Roman"/>
                    <w:color w:val="000000"/>
                    <w:sz w:val="24"/>
                    <w:szCs w:val="24"/>
                  </w:rPr>
                  <m:t>60</m:t>
                </m:r>
              </m:oMath>
            </m:oMathPara>
          </w:p>
        </w:tc>
      </w:tr>
    </w:tbl>
    <w:p w14:paraId="7232D142" w14:textId="12E1448C" w:rsidR="00E973C9" w:rsidRDefault="00E973C9" w:rsidP="00E973C9">
      <w:pPr>
        <w:rPr>
          <w:rFonts w:ascii="Tw Cen MT" w:eastAsia="Arial" w:hAnsi="Tw Cen MT"/>
          <w:sz w:val="28"/>
          <w:szCs w:val="28"/>
        </w:rPr>
      </w:pPr>
    </w:p>
    <w:p w14:paraId="670F797C" w14:textId="77777777" w:rsidR="005D3ADE" w:rsidRDefault="005D3ADE" w:rsidP="00E973C9">
      <w:pPr>
        <w:rPr>
          <w:rFonts w:ascii="Tw Cen MT" w:eastAsia="Arial" w:hAnsi="Tw Cen MT"/>
          <w:sz w:val="28"/>
          <w:szCs w:val="28"/>
        </w:rPr>
      </w:pPr>
    </w:p>
    <w:p w14:paraId="5332A96A" w14:textId="5BD1B4E9" w:rsidR="00E973C9" w:rsidRPr="00E973C9" w:rsidRDefault="00E973C9" w:rsidP="00E973C9">
      <w:pPr>
        <w:shd w:val="clear" w:color="auto" w:fill="F0917B" w:themeFill="accent5" w:themeFillTint="99"/>
        <w:jc w:val="both"/>
        <w:rPr>
          <w:rFonts w:ascii="Tw Cen MT" w:eastAsia="Arial" w:hAnsi="Tw Cen MT"/>
          <w:b/>
          <w:bCs/>
          <w:color w:val="FFFFFF" w:themeColor="background1"/>
          <w:sz w:val="28"/>
          <w:szCs w:val="28"/>
        </w:rPr>
      </w:pPr>
      <w:r>
        <w:rPr>
          <w:rFonts w:ascii="Tw Cen MT" w:eastAsia="Arial" w:hAnsi="Tw Cen MT"/>
          <w:b/>
          <w:bCs/>
          <w:color w:val="FFFFFF" w:themeColor="background1"/>
          <w:sz w:val="28"/>
          <w:szCs w:val="28"/>
        </w:rPr>
        <w:t>Profil recherché</w:t>
      </w:r>
    </w:p>
    <w:p w14:paraId="153A0F47" w14:textId="77777777" w:rsidR="00E973C9" w:rsidRPr="00073CAC" w:rsidRDefault="00E973C9" w:rsidP="00E973C9">
      <w:pPr>
        <w:spacing w:before="100" w:beforeAutospacing="1" w:after="100" w:afterAutospacing="1" w:line="240" w:lineRule="auto"/>
        <w:jc w:val="both"/>
        <w:rPr>
          <w:rFonts w:ascii="Tw Cen MT" w:eastAsia="Times New Roman" w:hAnsi="Tw Cen MT" w:cs="Times New Roman"/>
          <w:sz w:val="24"/>
          <w:szCs w:val="24"/>
          <w:lang w:eastAsia="fr-FR"/>
        </w:rPr>
      </w:pPr>
      <w:r w:rsidRPr="00073CAC">
        <w:rPr>
          <w:rFonts w:ascii="Tw Cen MT" w:eastAsia="Times New Roman" w:hAnsi="Tw Cen MT" w:cs="Times New Roman"/>
          <w:b/>
          <w:bCs/>
          <w:sz w:val="24"/>
          <w:szCs w:val="24"/>
          <w:lang w:eastAsia="fr-FR"/>
        </w:rPr>
        <w:t>Formation et expériences :</w:t>
      </w:r>
    </w:p>
    <w:p w14:paraId="6F68C253" w14:textId="64EE10D3" w:rsidR="00E973C9" w:rsidRPr="002B3A3D"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2B3A3D">
        <w:rPr>
          <w:rFonts w:ascii="Tw Cen MT" w:eastAsia="Times New Roman" w:hAnsi="Tw Cen MT" w:cs="Times New Roman"/>
          <w:sz w:val="24"/>
          <w:szCs w:val="24"/>
          <w:lang w:eastAsia="fr-FR"/>
        </w:rPr>
        <w:t xml:space="preserve">Diplôme universitaire </w:t>
      </w:r>
      <w:r>
        <w:rPr>
          <w:rFonts w:ascii="Tw Cen MT" w:eastAsia="Times New Roman" w:hAnsi="Tw Cen MT" w:cs="Times New Roman"/>
          <w:sz w:val="24"/>
          <w:szCs w:val="24"/>
          <w:lang w:eastAsia="fr-FR"/>
        </w:rPr>
        <w:t>en</w:t>
      </w:r>
      <w:r w:rsidR="005D3ADE">
        <w:rPr>
          <w:rFonts w:ascii="Tw Cen MT" w:eastAsia="Times New Roman" w:hAnsi="Tw Cen MT" w:cs="Times New Roman"/>
          <w:sz w:val="24"/>
          <w:szCs w:val="24"/>
          <w:lang w:eastAsia="fr-FR"/>
        </w:rPr>
        <w:t xml:space="preserve"> évaluation des politiques publiques,</w:t>
      </w:r>
      <w:r>
        <w:rPr>
          <w:rFonts w:ascii="Tw Cen MT" w:eastAsia="Times New Roman" w:hAnsi="Tw Cen MT" w:cs="Times New Roman"/>
          <w:sz w:val="24"/>
          <w:szCs w:val="24"/>
          <w:lang w:eastAsia="fr-FR"/>
        </w:rPr>
        <w:t xml:space="preserve"> </w:t>
      </w:r>
      <w:r w:rsidRPr="002B3A3D">
        <w:rPr>
          <w:rFonts w:ascii="Tw Cen MT" w:eastAsia="Times New Roman" w:hAnsi="Tw Cen MT" w:cs="Times New Roman"/>
          <w:sz w:val="24"/>
          <w:szCs w:val="24"/>
          <w:lang w:eastAsia="fr-FR"/>
        </w:rPr>
        <w:t>statistiques appliquées</w:t>
      </w:r>
      <w:r>
        <w:rPr>
          <w:rFonts w:ascii="Tw Cen MT" w:eastAsia="Times New Roman" w:hAnsi="Tw Cen MT" w:cs="Times New Roman"/>
          <w:sz w:val="24"/>
          <w:szCs w:val="24"/>
          <w:lang w:eastAsia="fr-FR"/>
        </w:rPr>
        <w:t>,</w:t>
      </w:r>
      <w:r w:rsidRPr="002B3A3D">
        <w:rPr>
          <w:rFonts w:ascii="Tw Cen MT" w:eastAsia="Times New Roman" w:hAnsi="Tw Cen MT" w:cs="Times New Roman"/>
          <w:sz w:val="24"/>
          <w:szCs w:val="24"/>
          <w:lang w:eastAsia="fr-FR"/>
        </w:rPr>
        <w:t xml:space="preserve"> sciences politiques ou sociales, coopération internationale, gestion de projets, ou autre domaine pertinent</w:t>
      </w:r>
      <w:r>
        <w:rPr>
          <w:rFonts w:ascii="Tw Cen MT" w:eastAsia="Times New Roman" w:hAnsi="Tw Cen MT" w:cs="Times New Roman"/>
          <w:sz w:val="24"/>
          <w:szCs w:val="24"/>
          <w:lang w:eastAsia="fr-FR"/>
        </w:rPr>
        <w:t xml:space="preserve"> </w:t>
      </w:r>
      <w:r w:rsidRPr="002B3A3D">
        <w:rPr>
          <w:rFonts w:ascii="Tw Cen MT" w:eastAsia="Times New Roman" w:hAnsi="Tw Cen MT" w:cs="Times New Roman"/>
          <w:sz w:val="24"/>
          <w:szCs w:val="24"/>
          <w:lang w:eastAsia="fr-FR"/>
        </w:rPr>
        <w:t>;</w:t>
      </w:r>
      <w:r w:rsidR="005D3ADE">
        <w:rPr>
          <w:rFonts w:ascii="Tw Cen MT" w:eastAsia="Times New Roman" w:hAnsi="Tw Cen MT" w:cs="Times New Roman"/>
          <w:sz w:val="24"/>
          <w:szCs w:val="24"/>
          <w:lang w:eastAsia="fr-FR"/>
        </w:rPr>
        <w:t xml:space="preserve"> </w:t>
      </w:r>
    </w:p>
    <w:p w14:paraId="20F3D873" w14:textId="77777777" w:rsidR="00E973C9" w:rsidRPr="00D83569"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073CAC">
        <w:rPr>
          <w:rFonts w:ascii="Tw Cen MT" w:hAnsi="Tw Cen MT"/>
          <w:sz w:val="24"/>
          <w:szCs w:val="24"/>
        </w:rPr>
        <w:t xml:space="preserve">Expérience préalable de 5 ans minimum sur les </w:t>
      </w:r>
      <w:r>
        <w:rPr>
          <w:rFonts w:ascii="Tw Cen MT" w:hAnsi="Tw Cen MT"/>
          <w:sz w:val="24"/>
          <w:szCs w:val="24"/>
        </w:rPr>
        <w:t>enjeux</w:t>
      </w:r>
      <w:r w:rsidRPr="00073CAC">
        <w:rPr>
          <w:rFonts w:ascii="Tw Cen MT" w:hAnsi="Tw Cen MT"/>
          <w:sz w:val="24"/>
          <w:szCs w:val="24"/>
        </w:rPr>
        <w:t xml:space="preserve"> de suivi, évaluation, capitalisation et apprentissages</w:t>
      </w:r>
      <w:r>
        <w:rPr>
          <w:rFonts w:ascii="Tw Cen MT" w:hAnsi="Tw Cen MT"/>
          <w:sz w:val="24"/>
          <w:szCs w:val="24"/>
        </w:rPr>
        <w:t xml:space="preserve">, notamment </w:t>
      </w:r>
      <w:r w:rsidRPr="00D83569">
        <w:rPr>
          <w:rFonts w:ascii="Tw Cen MT" w:hAnsi="Tw Cen MT"/>
          <w:sz w:val="24"/>
          <w:szCs w:val="24"/>
        </w:rPr>
        <w:t>dans la conception et la mise en œuvre de dispositifs de SE</w:t>
      </w:r>
      <w:r>
        <w:rPr>
          <w:rFonts w:ascii="Tw Cen MT" w:hAnsi="Tw Cen MT"/>
          <w:sz w:val="24"/>
          <w:szCs w:val="24"/>
        </w:rPr>
        <w:t>R</w:t>
      </w:r>
      <w:r w:rsidRPr="00D83569">
        <w:rPr>
          <w:rFonts w:ascii="Tw Cen MT" w:hAnsi="Tw Cen MT"/>
          <w:sz w:val="24"/>
          <w:szCs w:val="24"/>
        </w:rPr>
        <w:t>A</w:t>
      </w:r>
      <w:r>
        <w:rPr>
          <w:rFonts w:ascii="Tw Cen MT" w:hAnsi="Tw Cen MT"/>
          <w:sz w:val="24"/>
          <w:szCs w:val="24"/>
        </w:rPr>
        <w:t> ;</w:t>
      </w:r>
    </w:p>
    <w:p w14:paraId="45C375A4" w14:textId="77777777" w:rsidR="00E973C9"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2B3A3D">
        <w:rPr>
          <w:rFonts w:ascii="Tw Cen MT" w:hAnsi="Tw Cen MT"/>
          <w:sz w:val="24"/>
          <w:szCs w:val="24"/>
        </w:rPr>
        <w:t>Expérience préalable dans les projets de coopération et d’assistance technique multilatérale et/ou dans une organisation internationale et/ou ONG ;</w:t>
      </w:r>
    </w:p>
    <w:p w14:paraId="7684E174" w14:textId="77777777" w:rsidR="00E973C9" w:rsidRPr="002B3A3D" w:rsidRDefault="00E973C9" w:rsidP="00DD6486">
      <w:pPr>
        <w:pStyle w:val="Paragraphedeliste"/>
        <w:numPr>
          <w:ilvl w:val="0"/>
          <w:numId w:val="1"/>
        </w:numPr>
        <w:spacing w:after="0" w:line="240" w:lineRule="auto"/>
        <w:ind w:left="714" w:hanging="357"/>
        <w:jc w:val="both"/>
        <w:rPr>
          <w:rFonts w:ascii="Tw Cen MT" w:hAnsi="Tw Cen MT"/>
          <w:sz w:val="24"/>
          <w:szCs w:val="24"/>
        </w:rPr>
      </w:pPr>
      <w:r>
        <w:rPr>
          <w:rFonts w:ascii="Tw Cen MT" w:hAnsi="Tw Cen MT"/>
          <w:sz w:val="24"/>
          <w:szCs w:val="24"/>
        </w:rPr>
        <w:t>Bonne connaissance du contexte institutionnel et des politiques publiques de formation professionnelle au Maroc ou dans des contextes similaires ;</w:t>
      </w:r>
    </w:p>
    <w:p w14:paraId="62CA06EA" w14:textId="77777777" w:rsidR="00E973C9" w:rsidRPr="00D83569" w:rsidRDefault="00E973C9" w:rsidP="00DD6486">
      <w:pPr>
        <w:numPr>
          <w:ilvl w:val="0"/>
          <w:numId w:val="1"/>
        </w:numPr>
        <w:spacing w:before="100" w:beforeAutospacing="1" w:after="100" w:afterAutospacing="1" w:line="240" w:lineRule="auto"/>
        <w:jc w:val="both"/>
        <w:rPr>
          <w:rFonts w:eastAsia="Times New Roman" w:cstheme="minorHAnsi"/>
          <w:sz w:val="24"/>
          <w:szCs w:val="24"/>
          <w:lang w:eastAsia="fr-FR"/>
        </w:rPr>
      </w:pPr>
      <w:r w:rsidRPr="00D83569">
        <w:rPr>
          <w:rFonts w:ascii="Tw Cen MT" w:eastAsia="Times New Roman" w:hAnsi="Tw Cen MT" w:cs="Times New Roman"/>
          <w:sz w:val="24"/>
          <w:szCs w:val="24"/>
          <w:lang w:eastAsia="fr-FR"/>
        </w:rPr>
        <w:t xml:space="preserve">Bonne maitrise des </w:t>
      </w:r>
      <w:r>
        <w:rPr>
          <w:rFonts w:ascii="Tw Cen MT" w:eastAsia="Times New Roman" w:hAnsi="Tw Cen MT" w:cs="Times New Roman"/>
          <w:sz w:val="24"/>
          <w:szCs w:val="24"/>
          <w:lang w:eastAsia="fr-FR"/>
        </w:rPr>
        <w:t>outils et pratiques</w:t>
      </w:r>
      <w:r w:rsidRPr="00D83569">
        <w:rPr>
          <w:rFonts w:ascii="Tw Cen MT" w:eastAsia="Times New Roman" w:hAnsi="Tw Cen MT" w:cs="Times New Roman"/>
          <w:sz w:val="24"/>
          <w:szCs w:val="24"/>
          <w:lang w:eastAsia="fr-FR"/>
        </w:rPr>
        <w:t xml:space="preserve"> de gestion de projet (</w:t>
      </w:r>
      <w:r>
        <w:rPr>
          <w:rFonts w:ascii="Tw Cen MT" w:eastAsia="Times New Roman" w:hAnsi="Tw Cen MT" w:cs="Times New Roman"/>
          <w:sz w:val="24"/>
          <w:szCs w:val="24"/>
          <w:lang w:eastAsia="fr-FR"/>
        </w:rPr>
        <w:t xml:space="preserve">théorie du changement, </w:t>
      </w:r>
      <w:r w:rsidRPr="00D83569">
        <w:rPr>
          <w:rFonts w:ascii="Tw Cen MT" w:eastAsia="Times New Roman" w:hAnsi="Tw Cen MT" w:cs="Times New Roman"/>
          <w:sz w:val="24"/>
          <w:szCs w:val="24"/>
          <w:lang w:eastAsia="fr-FR"/>
        </w:rPr>
        <w:t xml:space="preserve">cadre logique, </w:t>
      </w:r>
      <w:r>
        <w:rPr>
          <w:rFonts w:ascii="Tw Cen MT" w:eastAsia="Times New Roman" w:hAnsi="Tw Cen MT" w:cs="Times New Roman"/>
          <w:sz w:val="24"/>
          <w:szCs w:val="24"/>
          <w:lang w:eastAsia="fr-FR"/>
        </w:rPr>
        <w:t>planification,</w:t>
      </w:r>
      <w:r w:rsidRPr="00D83569">
        <w:rPr>
          <w:rFonts w:ascii="Tw Cen MT" w:eastAsia="Times New Roman" w:hAnsi="Tw Cen MT" w:cs="Times New Roman"/>
          <w:sz w:val="24"/>
          <w:szCs w:val="24"/>
          <w:lang w:eastAsia="fr-FR"/>
        </w:rPr>
        <w:t xml:space="preserve"> reporting, etc.) et connaissance des pratiques des bailleurs de fonds, notamment l’</w:t>
      </w:r>
      <w:r>
        <w:rPr>
          <w:rFonts w:ascii="Tw Cen MT" w:eastAsia="Times New Roman" w:hAnsi="Tw Cen MT" w:cs="Times New Roman"/>
          <w:sz w:val="24"/>
          <w:szCs w:val="24"/>
          <w:lang w:eastAsia="fr-FR"/>
        </w:rPr>
        <w:t>AFD ;</w:t>
      </w:r>
    </w:p>
    <w:p w14:paraId="7B782EDF" w14:textId="77777777" w:rsidR="00E973C9" w:rsidRPr="00D83569" w:rsidRDefault="00E973C9" w:rsidP="00DD6486">
      <w:pPr>
        <w:numPr>
          <w:ilvl w:val="0"/>
          <w:numId w:val="1"/>
        </w:numPr>
        <w:spacing w:before="100" w:beforeAutospacing="1" w:after="100" w:afterAutospacing="1" w:line="240" w:lineRule="auto"/>
        <w:jc w:val="both"/>
        <w:rPr>
          <w:rFonts w:eastAsia="Times New Roman" w:cstheme="minorHAnsi"/>
          <w:sz w:val="24"/>
          <w:szCs w:val="24"/>
          <w:lang w:eastAsia="fr-FR"/>
        </w:rPr>
      </w:pPr>
      <w:r w:rsidRPr="00D83569">
        <w:rPr>
          <w:rFonts w:ascii="Tw Cen MT" w:eastAsia="Times New Roman" w:hAnsi="Tw Cen MT" w:cs="Times New Roman"/>
          <w:sz w:val="24"/>
          <w:szCs w:val="24"/>
          <w:lang w:eastAsia="fr-FR"/>
        </w:rPr>
        <w:t>Excellente compréhension de tous les aspects de la qualité des programmes</w:t>
      </w:r>
      <w:r>
        <w:rPr>
          <w:rFonts w:ascii="Tw Cen MT" w:eastAsia="Times New Roman" w:hAnsi="Tw Cen MT" w:cs="Times New Roman"/>
          <w:sz w:val="24"/>
          <w:szCs w:val="24"/>
          <w:lang w:eastAsia="fr-FR"/>
        </w:rPr>
        <w:t> ;</w:t>
      </w:r>
    </w:p>
    <w:p w14:paraId="4CAB287B" w14:textId="77777777" w:rsidR="00E973C9" w:rsidRPr="00073CAC"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Bonnes connaissances des méthodes et outils de suivi-évaluation et apprentissage</w:t>
      </w:r>
      <w:r>
        <w:rPr>
          <w:rFonts w:ascii="Tw Cen MT" w:hAnsi="Tw Cen MT"/>
          <w:sz w:val="24"/>
          <w:szCs w:val="24"/>
        </w:rPr>
        <w:t xml:space="preserve">, </w:t>
      </w:r>
      <w:r w:rsidRPr="00D83569">
        <w:rPr>
          <w:rFonts w:ascii="Tw Cen MT" w:hAnsi="Tw Cen MT"/>
          <w:sz w:val="24"/>
          <w:szCs w:val="24"/>
        </w:rPr>
        <w:t>notamment à travers des méthodes participatives</w:t>
      </w:r>
      <w:r>
        <w:rPr>
          <w:rFonts w:ascii="Tw Cen MT" w:hAnsi="Tw Cen MT"/>
          <w:sz w:val="24"/>
          <w:szCs w:val="24"/>
        </w:rPr>
        <w:t xml:space="preserve"> </w:t>
      </w:r>
      <w:r w:rsidRPr="00073CAC">
        <w:rPr>
          <w:rFonts w:ascii="Tw Cen MT" w:hAnsi="Tw Cen MT"/>
          <w:sz w:val="24"/>
          <w:szCs w:val="24"/>
        </w:rPr>
        <w:t>;</w:t>
      </w:r>
    </w:p>
    <w:p w14:paraId="5D3CE01B" w14:textId="77777777" w:rsidR="00E973C9"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286EAF">
        <w:rPr>
          <w:rFonts w:ascii="Tw Cen MT" w:hAnsi="Tw Cen MT"/>
          <w:sz w:val="24"/>
          <w:szCs w:val="24"/>
        </w:rPr>
        <w:t>Bonne maîtrise d</w:t>
      </w:r>
      <w:r>
        <w:rPr>
          <w:rFonts w:ascii="Tw Cen MT" w:hAnsi="Tw Cen MT"/>
          <w:sz w:val="24"/>
          <w:szCs w:val="24"/>
        </w:rPr>
        <w:t>’Excel, et de</w:t>
      </w:r>
      <w:r w:rsidRPr="00286EAF">
        <w:rPr>
          <w:rFonts w:ascii="Tw Cen MT" w:hAnsi="Tw Cen MT"/>
          <w:sz w:val="24"/>
          <w:szCs w:val="24"/>
        </w:rPr>
        <w:t xml:space="preserve"> logiciels de collecte de données (</w:t>
      </w:r>
      <w:proofErr w:type="spellStart"/>
      <w:r w:rsidRPr="00286EAF">
        <w:rPr>
          <w:rFonts w:ascii="Tw Cen MT" w:hAnsi="Tw Cen MT"/>
          <w:sz w:val="24"/>
          <w:szCs w:val="24"/>
        </w:rPr>
        <w:t>Kobo</w:t>
      </w:r>
      <w:proofErr w:type="spellEnd"/>
      <w:r w:rsidRPr="00286EAF">
        <w:rPr>
          <w:rFonts w:ascii="Tw Cen MT" w:hAnsi="Tw Cen MT"/>
          <w:sz w:val="24"/>
          <w:szCs w:val="24"/>
        </w:rPr>
        <w:t xml:space="preserve"> </w:t>
      </w:r>
      <w:proofErr w:type="spellStart"/>
      <w:r w:rsidRPr="00286EAF">
        <w:rPr>
          <w:rFonts w:ascii="Tw Cen MT" w:hAnsi="Tw Cen MT"/>
          <w:sz w:val="24"/>
          <w:szCs w:val="24"/>
        </w:rPr>
        <w:t>Tool</w:t>
      </w:r>
      <w:proofErr w:type="spellEnd"/>
      <w:r w:rsidRPr="00286EAF">
        <w:rPr>
          <w:rFonts w:ascii="Tw Cen MT" w:hAnsi="Tw Cen MT"/>
          <w:sz w:val="24"/>
          <w:szCs w:val="24"/>
        </w:rPr>
        <w:t xml:space="preserve"> Box, Survey CTO, ODK, etc.), d’analyse de données (R, SPSS, Stata, etc.) et de visualisation de données (</w:t>
      </w:r>
      <w:proofErr w:type="spellStart"/>
      <w:r w:rsidRPr="00286EAF">
        <w:rPr>
          <w:rFonts w:ascii="Tw Cen MT" w:hAnsi="Tw Cen MT"/>
          <w:sz w:val="24"/>
          <w:szCs w:val="24"/>
        </w:rPr>
        <w:t>PowerBI</w:t>
      </w:r>
      <w:proofErr w:type="spellEnd"/>
      <w:r w:rsidRPr="00286EAF">
        <w:rPr>
          <w:rFonts w:ascii="Tw Cen MT" w:hAnsi="Tw Cen MT"/>
          <w:sz w:val="24"/>
          <w:szCs w:val="24"/>
        </w:rPr>
        <w:t xml:space="preserve">) </w:t>
      </w:r>
    </w:p>
    <w:p w14:paraId="036E5B75" w14:textId="77777777" w:rsidR="00E973C9" w:rsidRPr="00286EAF"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286EAF">
        <w:rPr>
          <w:rFonts w:ascii="Tw Cen MT" w:hAnsi="Tw Cen MT"/>
          <w:sz w:val="24"/>
          <w:szCs w:val="24"/>
        </w:rPr>
        <w:t>Bonne capacité en animation de processus et planification participative ;</w:t>
      </w:r>
    </w:p>
    <w:p w14:paraId="3BB73D58" w14:textId="77777777" w:rsidR="00E973C9" w:rsidRDefault="00E973C9" w:rsidP="00DD6486">
      <w:pPr>
        <w:pStyle w:val="Paragraphedeliste"/>
        <w:numPr>
          <w:ilvl w:val="0"/>
          <w:numId w:val="1"/>
        </w:numPr>
        <w:spacing w:after="0" w:line="240" w:lineRule="auto"/>
        <w:ind w:left="714" w:hanging="357"/>
        <w:jc w:val="both"/>
        <w:rPr>
          <w:rFonts w:ascii="Tw Cen MT" w:hAnsi="Tw Cen MT"/>
          <w:sz w:val="24"/>
          <w:szCs w:val="24"/>
        </w:rPr>
      </w:pPr>
      <w:r w:rsidRPr="000909C4">
        <w:rPr>
          <w:rFonts w:ascii="Tw Cen MT" w:hAnsi="Tw Cen MT"/>
          <w:sz w:val="24"/>
          <w:szCs w:val="24"/>
        </w:rPr>
        <w:t>Aptitude à faire adhérer l'équipe aux processus de suivi et aux usages des outils, une expérience en conception, animation et évaluation de formation pour adultes dans le domaine du suivi et évaluation sera considéré comme un atout ;</w:t>
      </w:r>
    </w:p>
    <w:p w14:paraId="7FB92864" w14:textId="77777777" w:rsidR="00E973C9" w:rsidRPr="000909C4" w:rsidRDefault="00E973C9" w:rsidP="00DD6486">
      <w:pPr>
        <w:pStyle w:val="Paragraphedeliste"/>
        <w:numPr>
          <w:ilvl w:val="0"/>
          <w:numId w:val="1"/>
        </w:numPr>
        <w:spacing w:after="0" w:line="240" w:lineRule="auto"/>
        <w:ind w:left="714" w:hanging="357"/>
        <w:jc w:val="both"/>
        <w:rPr>
          <w:rFonts w:ascii="Tw Cen MT" w:hAnsi="Tw Cen MT"/>
          <w:sz w:val="24"/>
          <w:szCs w:val="24"/>
        </w:rPr>
      </w:pPr>
      <w:r>
        <w:rPr>
          <w:rFonts w:ascii="Tw Cen MT" w:hAnsi="Tw Cen MT"/>
          <w:sz w:val="24"/>
          <w:szCs w:val="24"/>
        </w:rPr>
        <w:t>Une expérience dans des projets liés à la formation professionnelle, au développement des compétences ou à des projets sectoriels industriels (secteur pharmaceutique ou similaire) sera considéré comme un atout ;</w:t>
      </w:r>
    </w:p>
    <w:p w14:paraId="7D4F72D8" w14:textId="77777777" w:rsidR="00E973C9" w:rsidRPr="00073CAC"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 xml:space="preserve">Parfaite maitrise du français, comprenant une excellente capacité de rédaction et de reporting ; </w:t>
      </w:r>
    </w:p>
    <w:p w14:paraId="6BF5C5AC" w14:textId="77777777" w:rsidR="00E973C9" w:rsidRPr="00073CAC"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 xml:space="preserve">Capacité d’adaptation, sens de l’organisation et de l’anticipation ; </w:t>
      </w:r>
    </w:p>
    <w:p w14:paraId="4EAD4567" w14:textId="77777777" w:rsidR="00E973C9" w:rsidRPr="00073CAC"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Dynamique et autonome ;</w:t>
      </w:r>
    </w:p>
    <w:p w14:paraId="684C6C3D" w14:textId="77777777" w:rsidR="00E973C9" w:rsidRPr="00073CAC"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 xml:space="preserve">Esprit d’initiative et créativité ; </w:t>
      </w:r>
    </w:p>
    <w:p w14:paraId="32A2FB1C" w14:textId="37B5960A" w:rsidR="00FC1FB6" w:rsidRPr="00E973C9" w:rsidRDefault="00E973C9" w:rsidP="00DD6486">
      <w:pPr>
        <w:numPr>
          <w:ilvl w:val="0"/>
          <w:numId w:val="1"/>
        </w:numPr>
        <w:spacing w:after="0" w:line="240" w:lineRule="auto"/>
        <w:ind w:left="714" w:hanging="357"/>
        <w:contextualSpacing/>
        <w:jc w:val="both"/>
        <w:rPr>
          <w:rFonts w:ascii="Tw Cen MT" w:hAnsi="Tw Cen MT"/>
          <w:sz w:val="24"/>
          <w:szCs w:val="24"/>
        </w:rPr>
      </w:pPr>
      <w:r w:rsidRPr="00073CAC">
        <w:rPr>
          <w:rFonts w:ascii="Tw Cen MT" w:hAnsi="Tw Cen MT"/>
          <w:sz w:val="24"/>
          <w:szCs w:val="24"/>
        </w:rPr>
        <w:t>Très bon relationnel et esprit d’équipe</w:t>
      </w:r>
      <w:r w:rsidRPr="00073CAC">
        <w:rPr>
          <w:rFonts w:ascii="Tw Cen MT" w:eastAsia="Times New Roman" w:hAnsi="Tw Cen MT" w:cs="Times New Roman"/>
          <w:b/>
          <w:bCs/>
          <w:sz w:val="24"/>
          <w:szCs w:val="24"/>
          <w:lang w:eastAsia="fr-FR"/>
        </w:rPr>
        <w:t xml:space="preserve">. </w:t>
      </w:r>
    </w:p>
    <w:p w14:paraId="4C49C2A4" w14:textId="790E21FB" w:rsidR="00E973C9" w:rsidRDefault="00E973C9" w:rsidP="00E973C9">
      <w:pPr>
        <w:spacing w:after="0" w:line="240" w:lineRule="auto"/>
        <w:contextualSpacing/>
        <w:jc w:val="both"/>
        <w:rPr>
          <w:rFonts w:ascii="Tw Cen MT" w:eastAsia="Times New Roman" w:hAnsi="Tw Cen MT" w:cs="Times New Roman"/>
          <w:b/>
          <w:bCs/>
          <w:sz w:val="24"/>
          <w:szCs w:val="24"/>
          <w:lang w:eastAsia="fr-FR"/>
        </w:rPr>
      </w:pPr>
    </w:p>
    <w:p w14:paraId="2E3A9A16" w14:textId="19361A3B" w:rsidR="003D663A" w:rsidRDefault="003D663A" w:rsidP="00E973C9">
      <w:pPr>
        <w:spacing w:after="0" w:line="240" w:lineRule="auto"/>
        <w:contextualSpacing/>
        <w:jc w:val="both"/>
        <w:rPr>
          <w:rFonts w:ascii="Tw Cen MT" w:eastAsia="Times New Roman" w:hAnsi="Tw Cen MT" w:cs="Times New Roman"/>
          <w:b/>
          <w:bCs/>
          <w:sz w:val="24"/>
          <w:szCs w:val="24"/>
          <w:lang w:eastAsia="fr-FR"/>
        </w:rPr>
      </w:pPr>
    </w:p>
    <w:p w14:paraId="4B9913E9" w14:textId="4A9DC09D" w:rsidR="003D663A" w:rsidRDefault="003D663A" w:rsidP="00E973C9">
      <w:pPr>
        <w:spacing w:after="0" w:line="240" w:lineRule="auto"/>
        <w:contextualSpacing/>
        <w:jc w:val="both"/>
        <w:rPr>
          <w:rFonts w:ascii="Tw Cen MT" w:eastAsia="Times New Roman" w:hAnsi="Tw Cen MT" w:cs="Times New Roman"/>
          <w:b/>
          <w:bCs/>
          <w:sz w:val="24"/>
          <w:szCs w:val="24"/>
          <w:lang w:eastAsia="fr-FR"/>
        </w:rPr>
      </w:pPr>
    </w:p>
    <w:p w14:paraId="20F32140" w14:textId="2A4F6267" w:rsidR="003D663A" w:rsidRDefault="003D663A" w:rsidP="00E973C9">
      <w:pPr>
        <w:spacing w:after="0" w:line="240" w:lineRule="auto"/>
        <w:contextualSpacing/>
        <w:jc w:val="both"/>
        <w:rPr>
          <w:rFonts w:ascii="Tw Cen MT" w:eastAsia="Times New Roman" w:hAnsi="Tw Cen MT" w:cs="Times New Roman"/>
          <w:b/>
          <w:bCs/>
          <w:sz w:val="24"/>
          <w:szCs w:val="24"/>
          <w:lang w:eastAsia="fr-FR"/>
        </w:rPr>
      </w:pPr>
    </w:p>
    <w:p w14:paraId="427ECE34" w14:textId="77777777" w:rsidR="003D663A" w:rsidRDefault="003D663A" w:rsidP="00E973C9">
      <w:pPr>
        <w:spacing w:after="0" w:line="240" w:lineRule="auto"/>
        <w:contextualSpacing/>
        <w:jc w:val="both"/>
        <w:rPr>
          <w:rFonts w:ascii="Tw Cen MT" w:eastAsia="Times New Roman" w:hAnsi="Tw Cen MT" w:cs="Times New Roman"/>
          <w:b/>
          <w:bCs/>
          <w:sz w:val="24"/>
          <w:szCs w:val="24"/>
          <w:lang w:eastAsia="fr-FR"/>
        </w:rPr>
      </w:pPr>
    </w:p>
    <w:p w14:paraId="1FB31247" w14:textId="33D0E098" w:rsidR="00E973C9" w:rsidRDefault="00E973C9" w:rsidP="00E973C9">
      <w:pPr>
        <w:spacing w:after="0" w:line="240" w:lineRule="auto"/>
        <w:contextualSpacing/>
        <w:jc w:val="both"/>
        <w:rPr>
          <w:rFonts w:ascii="Tw Cen MT" w:eastAsia="Times New Roman" w:hAnsi="Tw Cen MT" w:cs="Times New Roman"/>
          <w:b/>
          <w:bCs/>
          <w:sz w:val="24"/>
          <w:szCs w:val="24"/>
          <w:lang w:eastAsia="fr-FR"/>
        </w:rPr>
      </w:pPr>
    </w:p>
    <w:p w14:paraId="0179FE88" w14:textId="61E28FD9" w:rsidR="00E973C9" w:rsidRPr="006B34F6" w:rsidRDefault="00E973C9" w:rsidP="00E973C9">
      <w:pPr>
        <w:shd w:val="clear" w:color="auto" w:fill="F0917B" w:themeFill="accent5" w:themeFillTint="99"/>
        <w:jc w:val="both"/>
        <w:rPr>
          <w:rFonts w:ascii="Tw Cen MT" w:eastAsia="Arial" w:hAnsi="Tw Cen MT"/>
          <w:b/>
          <w:bCs/>
          <w:color w:val="FFFFFF" w:themeColor="background1"/>
          <w:sz w:val="28"/>
          <w:szCs w:val="28"/>
        </w:rPr>
      </w:pPr>
      <w:r w:rsidRPr="006B34F6">
        <w:rPr>
          <w:rFonts w:ascii="Tw Cen MT" w:eastAsia="Arial" w:hAnsi="Tw Cen MT"/>
          <w:b/>
          <w:bCs/>
          <w:color w:val="FFFFFF" w:themeColor="background1"/>
          <w:sz w:val="28"/>
          <w:szCs w:val="28"/>
        </w:rPr>
        <w:t> </w:t>
      </w:r>
      <w:r w:rsidR="00FE2247">
        <w:rPr>
          <w:rFonts w:ascii="Tw Cen MT" w:eastAsia="Arial" w:hAnsi="Tw Cen MT"/>
          <w:b/>
          <w:bCs/>
          <w:color w:val="FFFFFF" w:themeColor="background1"/>
          <w:sz w:val="28"/>
          <w:szCs w:val="28"/>
        </w:rPr>
        <w:t>Contenu des offres à soumettre</w:t>
      </w:r>
    </w:p>
    <w:p w14:paraId="6F4506E6" w14:textId="31C03B61" w:rsidR="00FE2247" w:rsidRDefault="00FE2247" w:rsidP="00FE2247">
      <w:pPr>
        <w:spacing w:after="0" w:line="240" w:lineRule="auto"/>
        <w:jc w:val="both"/>
        <w:rPr>
          <w:rFonts w:ascii="Tw Cen MT" w:eastAsia="Times New Roman" w:hAnsi="Tw Cen MT" w:cs="Times New Roman"/>
          <w:sz w:val="24"/>
          <w:szCs w:val="24"/>
          <w:lang w:eastAsia="fr-FR"/>
        </w:rPr>
      </w:pPr>
    </w:p>
    <w:p w14:paraId="745C0350" w14:textId="57863340" w:rsidR="00FE2247" w:rsidRPr="00FE2247" w:rsidRDefault="00FE2247" w:rsidP="00FE2247">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L</w:t>
      </w:r>
      <w:r w:rsidRPr="00FE2247">
        <w:rPr>
          <w:rFonts w:ascii="Tw Cen MT" w:eastAsia="Times New Roman" w:hAnsi="Tw Cen MT" w:cs="Times New Roman"/>
          <w:sz w:val="24"/>
          <w:szCs w:val="24"/>
          <w:lang w:eastAsia="fr-FR"/>
        </w:rPr>
        <w:t>es soumissionnaires devront fournir les éléments suivants :</w:t>
      </w:r>
    </w:p>
    <w:p w14:paraId="08F806C8" w14:textId="77777777" w:rsidR="00FE2247" w:rsidRPr="00FE2247" w:rsidRDefault="006D2003" w:rsidP="00FE2247">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pict w14:anchorId="6546109D">
          <v:rect id="_x0000_i1026" style="width:0;height:1.5pt" o:hralign="center" o:hrstd="t" o:hr="t" fillcolor="#a0a0a0" stroked="f"/>
        </w:pict>
      </w:r>
    </w:p>
    <w:p w14:paraId="2E28DDBB" w14:textId="230584D8" w:rsidR="00FE2247" w:rsidRPr="00FE2247" w:rsidRDefault="00FE2247" w:rsidP="00FE2247">
      <w:pPr>
        <w:rPr>
          <w:rFonts w:ascii="Tw Cen MT" w:eastAsia="Times New Roman" w:hAnsi="Tw Cen MT" w:cs="Times New Roman"/>
          <w:b/>
          <w:bCs/>
          <w:color w:val="002060"/>
          <w:sz w:val="24"/>
          <w:szCs w:val="24"/>
          <w:lang w:eastAsia="fr-FR"/>
        </w:rPr>
      </w:pPr>
      <w:r w:rsidRPr="00FE2247">
        <w:rPr>
          <w:rFonts w:ascii="Tw Cen MT" w:eastAsia="Times New Roman" w:hAnsi="Tw Cen MT" w:cs="Times New Roman"/>
          <w:b/>
          <w:bCs/>
          <w:color w:val="002060"/>
          <w:sz w:val="24"/>
          <w:szCs w:val="24"/>
          <w:lang w:eastAsia="fr-FR"/>
        </w:rPr>
        <w:lastRenderedPageBreak/>
        <w:t>1. Offre technique</w:t>
      </w:r>
    </w:p>
    <w:p w14:paraId="70CF15D0" w14:textId="77777777" w:rsidR="00FE2247" w:rsidRPr="00FE2247" w:rsidRDefault="00FE2247" w:rsidP="00DD6486">
      <w:pPr>
        <w:numPr>
          <w:ilvl w:val="0"/>
          <w:numId w:val="1"/>
        </w:numPr>
        <w:spacing w:after="0" w:line="240" w:lineRule="auto"/>
        <w:ind w:left="714" w:hanging="357"/>
        <w:contextualSpacing/>
        <w:jc w:val="both"/>
        <w:rPr>
          <w:rFonts w:ascii="Tw Cen MT" w:hAnsi="Tw Cen MT"/>
          <w:sz w:val="24"/>
          <w:szCs w:val="24"/>
        </w:rPr>
      </w:pPr>
      <w:r w:rsidRPr="00FE2247">
        <w:rPr>
          <w:rFonts w:ascii="Tw Cen MT" w:hAnsi="Tw Cen MT"/>
          <w:sz w:val="24"/>
          <w:szCs w:val="24"/>
        </w:rPr>
        <w:t>L’offre technique devra comprendre :</w:t>
      </w:r>
    </w:p>
    <w:p w14:paraId="5384C652" w14:textId="53A4D67E"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note de compréhension de la mission et des enjeux du projet IFMIP ; </w:t>
      </w:r>
    </w:p>
    <w:p w14:paraId="27B91813" w14:textId="361633D8"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présentation de l’approche méthodologique proposée pour la mise en place du dispositif SERA ; </w:t>
      </w:r>
    </w:p>
    <w:p w14:paraId="02DD540B" w14:textId="1616ABF7"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description détaillée du phasage de la mission, en cohérence avec les présents TDR ; </w:t>
      </w:r>
    </w:p>
    <w:p w14:paraId="7FEDD3E1" w14:textId="06AFBD0D"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proposition de répartition du volume d’intervention (H/J) par phase ; </w:t>
      </w:r>
    </w:p>
    <w:p w14:paraId="61E64D2F" w14:textId="1C3638B9"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description des outils et méthodes envisagés (collecte de données, analyse, reporting, </w:t>
      </w:r>
      <w:proofErr w:type="spellStart"/>
      <w:r w:rsidRPr="00FE2247">
        <w:rPr>
          <w:rFonts w:ascii="Tw Cen MT" w:hAnsi="Tw Cen MT"/>
          <w:sz w:val="24"/>
          <w:szCs w:val="24"/>
        </w:rPr>
        <w:t>dashboard</w:t>
      </w:r>
      <w:proofErr w:type="spellEnd"/>
      <w:r w:rsidRPr="00FE2247">
        <w:rPr>
          <w:rFonts w:ascii="Tw Cen MT" w:hAnsi="Tw Cen MT"/>
          <w:sz w:val="24"/>
          <w:szCs w:val="24"/>
        </w:rPr>
        <w:t xml:space="preserve">, etc.) ; </w:t>
      </w:r>
    </w:p>
    <w:p w14:paraId="5B2BEAF3" w14:textId="7854BFC1"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Une proposition de dispositif de formation et de transfert de compétences au profit des </w:t>
      </w:r>
      <w:r w:rsidR="00092878">
        <w:rPr>
          <w:rFonts w:ascii="Tw Cen MT" w:hAnsi="Tw Cen MT"/>
          <w:sz w:val="24"/>
          <w:szCs w:val="24"/>
        </w:rPr>
        <w:t>intervenants du projet</w:t>
      </w:r>
      <w:r w:rsidRPr="00FE2247">
        <w:rPr>
          <w:rFonts w:ascii="Tw Cen MT" w:hAnsi="Tw Cen MT"/>
          <w:sz w:val="24"/>
          <w:szCs w:val="24"/>
        </w:rPr>
        <w:t xml:space="preserve">, notamment la DEC ; </w:t>
      </w:r>
    </w:p>
    <w:p w14:paraId="3EE1552D" w14:textId="476D5E85"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 calendrier prévisionnel de mise en œuvre. </w:t>
      </w:r>
    </w:p>
    <w:p w14:paraId="658D8493" w14:textId="77777777" w:rsidR="00FE2247" w:rsidRPr="00FE2247" w:rsidRDefault="006D2003" w:rsidP="00FE2247">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pict w14:anchorId="4BF856DD">
          <v:rect id="_x0000_i1027" style="width:0;height:1.5pt" o:hralign="center" o:hrstd="t" o:hr="t" fillcolor="#a0a0a0" stroked="f"/>
        </w:pict>
      </w:r>
    </w:p>
    <w:p w14:paraId="0123E475" w14:textId="3A7946E6" w:rsidR="00FE2247" w:rsidRPr="00FE2247" w:rsidRDefault="00FE2247" w:rsidP="00FE2247">
      <w:pPr>
        <w:rPr>
          <w:rFonts w:ascii="Tw Cen MT" w:eastAsia="Times New Roman" w:hAnsi="Tw Cen MT" w:cs="Times New Roman"/>
          <w:b/>
          <w:bCs/>
          <w:sz w:val="24"/>
          <w:szCs w:val="24"/>
          <w:lang w:eastAsia="fr-FR"/>
        </w:rPr>
      </w:pPr>
      <w:r w:rsidRPr="00FE2247">
        <w:rPr>
          <w:rFonts w:ascii="Tw Cen MT" w:eastAsia="Times New Roman" w:hAnsi="Tw Cen MT" w:cs="Times New Roman"/>
          <w:b/>
          <w:bCs/>
          <w:sz w:val="24"/>
          <w:szCs w:val="24"/>
          <w:lang w:eastAsia="fr-FR"/>
        </w:rPr>
        <w:t>2</w:t>
      </w:r>
      <w:r w:rsidRPr="00FE2247">
        <w:rPr>
          <w:rFonts w:ascii="Tw Cen MT" w:eastAsia="Times New Roman" w:hAnsi="Tw Cen MT" w:cs="Times New Roman"/>
          <w:b/>
          <w:bCs/>
          <w:color w:val="002060"/>
          <w:sz w:val="24"/>
          <w:szCs w:val="24"/>
          <w:lang w:eastAsia="fr-FR"/>
        </w:rPr>
        <w:t>. Curriculum Vitae (CV)</w:t>
      </w:r>
    </w:p>
    <w:p w14:paraId="590002F1" w14:textId="77777777" w:rsidR="00FE2247" w:rsidRPr="00FE2247" w:rsidRDefault="00FE2247" w:rsidP="00FE2247">
      <w:pPr>
        <w:rPr>
          <w:rFonts w:ascii="Tw Cen MT" w:eastAsia="Times New Roman" w:hAnsi="Tw Cen MT" w:cs="Times New Roman"/>
          <w:sz w:val="24"/>
          <w:szCs w:val="24"/>
          <w:lang w:eastAsia="fr-FR"/>
        </w:rPr>
      </w:pPr>
      <w:r w:rsidRPr="00FE2247">
        <w:rPr>
          <w:rFonts w:ascii="Tw Cen MT" w:eastAsia="Times New Roman" w:hAnsi="Tw Cen MT" w:cs="Times New Roman"/>
          <w:sz w:val="24"/>
          <w:szCs w:val="24"/>
          <w:lang w:eastAsia="fr-FR"/>
        </w:rPr>
        <w:t>Le soumissionnaire devra fournir :</w:t>
      </w:r>
    </w:p>
    <w:p w14:paraId="707DB85B" w14:textId="38E18A2F" w:rsidR="00FE2247" w:rsidRPr="00FE2247" w:rsidRDefault="00FE2247" w:rsidP="00DD6486">
      <w:pPr>
        <w:numPr>
          <w:ilvl w:val="0"/>
          <w:numId w:val="1"/>
        </w:numPr>
        <w:tabs>
          <w:tab w:val="num" w:pos="720"/>
        </w:tabs>
        <w:spacing w:after="0" w:line="240" w:lineRule="auto"/>
        <w:ind w:left="714" w:hanging="357"/>
        <w:contextualSpacing/>
        <w:jc w:val="both"/>
        <w:rPr>
          <w:rFonts w:ascii="Tw Cen MT" w:hAnsi="Tw Cen MT"/>
          <w:sz w:val="24"/>
          <w:szCs w:val="24"/>
        </w:rPr>
      </w:pPr>
      <w:r w:rsidRPr="00FE2247">
        <w:rPr>
          <w:rFonts w:ascii="Tw Cen MT" w:hAnsi="Tw Cen MT"/>
          <w:sz w:val="24"/>
          <w:szCs w:val="24"/>
        </w:rPr>
        <w:t xml:space="preserve">Un CV détaillé mettant en évidence : </w:t>
      </w:r>
    </w:p>
    <w:p w14:paraId="22167A70" w14:textId="2ECAE8DE" w:rsidR="00FE2247" w:rsidRPr="00FE2247" w:rsidRDefault="00FE2247" w:rsidP="00DD6486">
      <w:pPr>
        <w:numPr>
          <w:ilvl w:val="1"/>
          <w:numId w:val="1"/>
        </w:numPr>
        <w:tabs>
          <w:tab w:val="num" w:pos="1440"/>
        </w:tabs>
        <w:spacing w:after="0" w:line="240" w:lineRule="auto"/>
        <w:contextualSpacing/>
        <w:jc w:val="both"/>
        <w:rPr>
          <w:rFonts w:ascii="Tw Cen MT" w:hAnsi="Tw Cen MT"/>
          <w:sz w:val="24"/>
          <w:szCs w:val="24"/>
        </w:rPr>
      </w:pPr>
      <w:r w:rsidRPr="00FE2247">
        <w:rPr>
          <w:rFonts w:ascii="Tw Cen MT" w:hAnsi="Tw Cen MT"/>
          <w:sz w:val="24"/>
          <w:szCs w:val="24"/>
        </w:rPr>
        <w:t xml:space="preserve">Les qualifications académiques ; </w:t>
      </w:r>
    </w:p>
    <w:p w14:paraId="5363EC6F" w14:textId="769073B5" w:rsidR="00FE2247" w:rsidRPr="00FE2247" w:rsidRDefault="00FE2247" w:rsidP="00DD6486">
      <w:pPr>
        <w:numPr>
          <w:ilvl w:val="1"/>
          <w:numId w:val="1"/>
        </w:numPr>
        <w:tabs>
          <w:tab w:val="num" w:pos="1440"/>
        </w:tabs>
        <w:spacing w:after="0" w:line="240" w:lineRule="auto"/>
        <w:contextualSpacing/>
        <w:jc w:val="both"/>
        <w:rPr>
          <w:rFonts w:ascii="Tw Cen MT" w:hAnsi="Tw Cen MT"/>
          <w:sz w:val="24"/>
          <w:szCs w:val="24"/>
        </w:rPr>
      </w:pPr>
      <w:r w:rsidRPr="00FE2247">
        <w:rPr>
          <w:rFonts w:ascii="Tw Cen MT" w:hAnsi="Tw Cen MT"/>
          <w:sz w:val="24"/>
          <w:szCs w:val="24"/>
        </w:rPr>
        <w:t xml:space="preserve">Les expériences professionnelles pertinentes ; </w:t>
      </w:r>
    </w:p>
    <w:p w14:paraId="3B723EAF" w14:textId="75E9BFBF" w:rsidR="00FE2247" w:rsidRPr="00FE2247" w:rsidRDefault="00FE2247" w:rsidP="00DD6486">
      <w:pPr>
        <w:numPr>
          <w:ilvl w:val="1"/>
          <w:numId w:val="1"/>
        </w:numPr>
        <w:tabs>
          <w:tab w:val="num" w:pos="1440"/>
        </w:tabs>
        <w:spacing w:after="0" w:line="240" w:lineRule="auto"/>
        <w:contextualSpacing/>
        <w:jc w:val="both"/>
        <w:rPr>
          <w:rFonts w:ascii="Tw Cen MT" w:hAnsi="Tw Cen MT"/>
          <w:sz w:val="24"/>
          <w:szCs w:val="24"/>
        </w:rPr>
      </w:pPr>
      <w:r w:rsidRPr="00FE2247">
        <w:rPr>
          <w:rFonts w:ascii="Tw Cen MT" w:hAnsi="Tw Cen MT"/>
          <w:sz w:val="24"/>
          <w:szCs w:val="24"/>
        </w:rPr>
        <w:t xml:space="preserve">Les références de missions similaires ; </w:t>
      </w:r>
    </w:p>
    <w:p w14:paraId="28DB89AE" w14:textId="4D0A5C53" w:rsidR="00FE2247" w:rsidRPr="00FE2247" w:rsidRDefault="00FE2247" w:rsidP="00DD6486">
      <w:pPr>
        <w:numPr>
          <w:ilvl w:val="1"/>
          <w:numId w:val="1"/>
        </w:numPr>
        <w:spacing w:after="0" w:line="240" w:lineRule="auto"/>
        <w:contextualSpacing/>
        <w:jc w:val="both"/>
        <w:rPr>
          <w:rFonts w:ascii="Tw Cen MT" w:hAnsi="Tw Cen MT"/>
          <w:sz w:val="24"/>
          <w:szCs w:val="24"/>
        </w:rPr>
      </w:pPr>
      <w:r w:rsidRPr="00FE2247">
        <w:rPr>
          <w:rFonts w:ascii="Tw Cen MT" w:hAnsi="Tw Cen MT"/>
          <w:sz w:val="24"/>
          <w:szCs w:val="24"/>
        </w:rPr>
        <w:t xml:space="preserve">Les coordonnées de références professionnelles, si disponibles. </w:t>
      </w:r>
    </w:p>
    <w:p w14:paraId="093DA457" w14:textId="77777777" w:rsidR="00FE2247" w:rsidRPr="00FE2247" w:rsidRDefault="006D2003" w:rsidP="00FE2247">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pict w14:anchorId="1129317B">
          <v:rect id="_x0000_i1028" style="width:0;height:1.5pt" o:hralign="center" o:hrstd="t" o:hr="t" fillcolor="#a0a0a0" stroked="f"/>
        </w:pict>
      </w:r>
    </w:p>
    <w:p w14:paraId="1CD66610" w14:textId="62A94DDB" w:rsidR="00FE2247" w:rsidRPr="00FE2247" w:rsidRDefault="00FE2247" w:rsidP="00FE2247">
      <w:pPr>
        <w:rPr>
          <w:rFonts w:ascii="Tw Cen MT" w:eastAsia="Times New Roman" w:hAnsi="Tw Cen MT" w:cs="Times New Roman"/>
          <w:b/>
          <w:bCs/>
          <w:sz w:val="24"/>
          <w:szCs w:val="24"/>
          <w:lang w:eastAsia="fr-FR"/>
        </w:rPr>
      </w:pPr>
      <w:r w:rsidRPr="00FE2247">
        <w:rPr>
          <w:rFonts w:ascii="Tw Cen MT" w:eastAsia="Times New Roman" w:hAnsi="Tw Cen MT" w:cs="Times New Roman"/>
          <w:b/>
          <w:bCs/>
          <w:sz w:val="24"/>
          <w:szCs w:val="24"/>
          <w:lang w:eastAsia="fr-FR"/>
        </w:rPr>
        <w:t>3</w:t>
      </w:r>
      <w:r w:rsidRPr="00FE2247">
        <w:rPr>
          <w:rFonts w:ascii="Tw Cen MT" w:eastAsia="Times New Roman" w:hAnsi="Tw Cen MT" w:cs="Times New Roman"/>
          <w:b/>
          <w:bCs/>
          <w:color w:val="002060"/>
          <w:sz w:val="24"/>
          <w:szCs w:val="24"/>
          <w:lang w:eastAsia="fr-FR"/>
        </w:rPr>
        <w:t>. Offre financière</w:t>
      </w:r>
    </w:p>
    <w:p w14:paraId="58FB9269" w14:textId="4962E12A" w:rsidR="00D82FA7" w:rsidRDefault="00FE2247" w:rsidP="003F752F">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 xml:space="preserve">L’offre financière devra </w:t>
      </w:r>
      <w:r w:rsidR="00D82FA7">
        <w:rPr>
          <w:rFonts w:ascii="Tw Cen MT" w:eastAsia="Times New Roman" w:hAnsi="Tw Cen MT" w:cs="Times New Roman"/>
          <w:sz w:val="24"/>
          <w:szCs w:val="24"/>
          <w:lang w:eastAsia="fr-FR"/>
        </w:rPr>
        <w:t>présenter le taux journalier proposé le montant global pour la réalisation de la mission.</w:t>
      </w:r>
    </w:p>
    <w:p w14:paraId="217DA17C" w14:textId="77777777" w:rsidR="003F752F" w:rsidRDefault="00D82FA7" w:rsidP="003F752F">
      <w:pPr>
        <w:rPr>
          <w:rFonts w:ascii="Tw Cen MT" w:eastAsia="Times New Roman" w:hAnsi="Tw Cen MT" w:cs="Times New Roman"/>
          <w:sz w:val="24"/>
          <w:szCs w:val="24"/>
          <w:lang w:eastAsia="fr-FR"/>
        </w:rPr>
      </w:pPr>
      <w:r w:rsidRPr="00D82FA7">
        <w:rPr>
          <w:rFonts w:ascii="Tw Cen MT" w:eastAsia="Times New Roman" w:hAnsi="Tw Cen MT" w:cs="Times New Roman"/>
          <w:sz w:val="24"/>
          <w:szCs w:val="24"/>
          <w:lang w:eastAsia="fr-FR"/>
        </w:rPr>
        <w:t>Veuillez noter qu'Expertise France prendra directement en charge tous les frais de mission sur le terrain (billet d'avion, hébergement…etc).</w:t>
      </w:r>
    </w:p>
    <w:p w14:paraId="6A0EFEE4" w14:textId="37DD6499" w:rsidR="003D663A" w:rsidRPr="00D82FA7" w:rsidRDefault="00D82FA7" w:rsidP="003F752F">
      <w:pPr>
        <w:rPr>
          <w:rFonts w:ascii="Tw Cen MT" w:eastAsia="Times New Roman" w:hAnsi="Tw Cen MT" w:cs="Times New Roman"/>
          <w:sz w:val="24"/>
          <w:szCs w:val="24"/>
          <w:lang w:eastAsia="fr-FR"/>
        </w:rPr>
      </w:pPr>
      <w:r w:rsidRPr="00D82FA7">
        <w:rPr>
          <w:rFonts w:ascii="Tw Cen MT" w:eastAsia="Times New Roman" w:hAnsi="Tw Cen MT" w:cs="Times New Roman"/>
          <w:sz w:val="24"/>
          <w:szCs w:val="24"/>
          <w:lang w:eastAsia="fr-FR"/>
        </w:rPr>
        <w:t>Toute offre incomplète ou ne respectant pas les exigences des présents termes de référence pourra être rejetée</w:t>
      </w:r>
      <w:r>
        <w:rPr>
          <w:rFonts w:ascii="Tw Cen MT" w:eastAsia="Times New Roman" w:hAnsi="Tw Cen MT" w:cs="Times New Roman"/>
          <w:sz w:val="24"/>
          <w:szCs w:val="24"/>
          <w:lang w:eastAsia="fr-FR"/>
        </w:rPr>
        <w:t>.</w:t>
      </w:r>
    </w:p>
    <w:p w14:paraId="2854045E" w14:textId="15F90D44" w:rsidR="00D82FA7" w:rsidRPr="006B34F6" w:rsidRDefault="00D82FA7" w:rsidP="00D82FA7">
      <w:pPr>
        <w:shd w:val="clear" w:color="auto" w:fill="F0917B" w:themeFill="accent5" w:themeFillTint="99"/>
        <w:jc w:val="both"/>
        <w:rPr>
          <w:rFonts w:ascii="Tw Cen MT" w:eastAsia="Arial" w:hAnsi="Tw Cen MT"/>
          <w:b/>
          <w:bCs/>
          <w:color w:val="FFFFFF" w:themeColor="background1"/>
          <w:sz w:val="28"/>
          <w:szCs w:val="28"/>
        </w:rPr>
      </w:pPr>
      <w:r w:rsidRPr="006B34F6">
        <w:rPr>
          <w:rFonts w:ascii="Tw Cen MT" w:eastAsia="Arial" w:hAnsi="Tw Cen MT"/>
          <w:b/>
          <w:bCs/>
          <w:color w:val="FFFFFF" w:themeColor="background1"/>
          <w:sz w:val="28"/>
          <w:szCs w:val="28"/>
        </w:rPr>
        <w:t> </w:t>
      </w:r>
      <w:r w:rsidR="00EE59F9">
        <w:rPr>
          <w:rFonts w:ascii="Tw Cen MT" w:eastAsia="Arial" w:hAnsi="Tw Cen MT"/>
          <w:b/>
          <w:bCs/>
          <w:color w:val="FFFFFF" w:themeColor="background1"/>
          <w:sz w:val="28"/>
          <w:szCs w:val="28"/>
        </w:rPr>
        <w:t>Critères d’évaluation de l’expertise</w:t>
      </w:r>
    </w:p>
    <w:p w14:paraId="4A11FDA2" w14:textId="540FB946" w:rsidR="00D82FA7" w:rsidRDefault="00EE59F9" w:rsidP="00DD6486">
      <w:pPr>
        <w:pStyle w:val="Paragraphedeliste"/>
        <w:numPr>
          <w:ilvl w:val="0"/>
          <w:numId w:val="8"/>
        </w:numPr>
        <w:rPr>
          <w:rFonts w:ascii="Tw Cen MT" w:eastAsia="Times New Roman" w:hAnsi="Tw Cen MT" w:cs="Times New Roman"/>
          <w:b/>
          <w:color w:val="002060"/>
          <w:sz w:val="24"/>
          <w:szCs w:val="24"/>
          <w:lang w:eastAsia="fr-FR"/>
        </w:rPr>
      </w:pPr>
      <w:r w:rsidRPr="00EE59F9">
        <w:rPr>
          <w:rFonts w:ascii="Tw Cen MT" w:eastAsia="Times New Roman" w:hAnsi="Tw Cen MT" w:cs="Times New Roman"/>
          <w:b/>
          <w:color w:val="002060"/>
          <w:sz w:val="24"/>
          <w:szCs w:val="24"/>
          <w:lang w:eastAsia="fr-FR"/>
        </w:rPr>
        <w:t>Pondération</w:t>
      </w:r>
    </w:p>
    <w:p w14:paraId="7A439F5F" w14:textId="1CC00A3F" w:rsidR="00EE59F9" w:rsidRDefault="00EE59F9" w:rsidP="00DD6486">
      <w:pPr>
        <w:pStyle w:val="Paragraphedeliste"/>
        <w:numPr>
          <w:ilvl w:val="1"/>
          <w:numId w:val="8"/>
        </w:numPr>
        <w:rPr>
          <w:rFonts w:ascii="Tw Cen MT" w:eastAsia="Times New Roman" w:hAnsi="Tw Cen MT" w:cs="Times New Roman"/>
          <w:sz w:val="24"/>
          <w:szCs w:val="24"/>
          <w:lang w:eastAsia="fr-FR"/>
        </w:rPr>
      </w:pPr>
      <w:r w:rsidRPr="00EE59F9">
        <w:rPr>
          <w:rFonts w:ascii="Tw Cen MT" w:eastAsia="Times New Roman" w:hAnsi="Tw Cen MT" w:cs="Times New Roman"/>
          <w:sz w:val="24"/>
          <w:szCs w:val="24"/>
          <w:lang w:eastAsia="fr-FR"/>
        </w:rPr>
        <w:t xml:space="preserve">Offre </w:t>
      </w:r>
      <w:r>
        <w:rPr>
          <w:rFonts w:ascii="Tw Cen MT" w:eastAsia="Times New Roman" w:hAnsi="Tw Cen MT" w:cs="Times New Roman"/>
          <w:sz w:val="24"/>
          <w:szCs w:val="24"/>
          <w:lang w:eastAsia="fr-FR"/>
        </w:rPr>
        <w:t>technique : 80 points</w:t>
      </w:r>
    </w:p>
    <w:p w14:paraId="5AD438F9" w14:textId="33B33FAA" w:rsidR="00EE59F9" w:rsidRDefault="00EE59F9" w:rsidP="00DD6486">
      <w:pPr>
        <w:pStyle w:val="Paragraphedeliste"/>
        <w:numPr>
          <w:ilvl w:val="1"/>
          <w:numId w:val="8"/>
        </w:num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Offre financière : 20 points</w:t>
      </w:r>
    </w:p>
    <w:p w14:paraId="03627583" w14:textId="77777777" w:rsidR="00DF0A9E" w:rsidRDefault="00DF0A9E" w:rsidP="00EE59F9">
      <w:pPr>
        <w:rPr>
          <w:rFonts w:ascii="Tw Cen MT" w:eastAsia="Times New Roman" w:hAnsi="Tw Cen MT" w:cs="Times New Roman"/>
          <w:sz w:val="24"/>
          <w:szCs w:val="24"/>
          <w:lang w:eastAsia="fr-FR"/>
        </w:rPr>
      </w:pPr>
    </w:p>
    <w:p w14:paraId="16BFA67F" w14:textId="1FCB0516" w:rsidR="005D3ADE" w:rsidRDefault="00EE59F9" w:rsidP="003F752F">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Toute offre technique ayant une note inférieure à 40/80 sera rejetée.</w:t>
      </w:r>
    </w:p>
    <w:p w14:paraId="4A8EEB24" w14:textId="77777777" w:rsidR="003F752F" w:rsidRDefault="003F752F" w:rsidP="003F752F">
      <w:pPr>
        <w:rPr>
          <w:rFonts w:ascii="Tw Cen MT" w:eastAsia="Times New Roman" w:hAnsi="Tw Cen MT" w:cs="Times New Roman"/>
          <w:sz w:val="24"/>
          <w:szCs w:val="24"/>
          <w:lang w:eastAsia="fr-FR"/>
        </w:rPr>
      </w:pPr>
    </w:p>
    <w:p w14:paraId="1E5809A5" w14:textId="1C701ECB" w:rsidR="00EE59F9" w:rsidRDefault="00EE59F9" w:rsidP="00DD6486">
      <w:pPr>
        <w:pStyle w:val="Paragraphedeliste"/>
        <w:numPr>
          <w:ilvl w:val="0"/>
          <w:numId w:val="8"/>
        </w:num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Critères techniques</w:t>
      </w:r>
      <w:r w:rsidR="003F752F">
        <w:rPr>
          <w:rFonts w:ascii="Tw Cen MT" w:eastAsia="Times New Roman" w:hAnsi="Tw Cen MT" w:cs="Times New Roman"/>
          <w:sz w:val="24"/>
          <w:szCs w:val="24"/>
          <w:lang w:eastAsia="fr-FR"/>
        </w:rPr>
        <w:t> :</w:t>
      </w:r>
    </w:p>
    <w:p w14:paraId="145A1AF4" w14:textId="5FC8C7DF" w:rsidR="003F752F" w:rsidRDefault="003F752F" w:rsidP="003F752F">
      <w:pPr>
        <w:pStyle w:val="Paragraphedeliste"/>
        <w:ind w:left="792"/>
        <w:rPr>
          <w:rFonts w:ascii="Tw Cen MT" w:eastAsia="Times New Roman" w:hAnsi="Tw Cen MT" w:cs="Times New Roman"/>
          <w:sz w:val="24"/>
          <w:szCs w:val="24"/>
          <w:lang w:eastAsia="fr-FR"/>
        </w:rPr>
      </w:pPr>
    </w:p>
    <w:p w14:paraId="34A8AFEC" w14:textId="4671B884" w:rsidR="003F752F" w:rsidRDefault="003F752F" w:rsidP="003F752F">
      <w:pPr>
        <w:pStyle w:val="Paragraphedeliste"/>
        <w:ind w:left="792"/>
        <w:rPr>
          <w:rFonts w:ascii="Tw Cen MT" w:eastAsia="Times New Roman" w:hAnsi="Tw Cen MT" w:cs="Times New Roman"/>
          <w:sz w:val="24"/>
          <w:szCs w:val="24"/>
          <w:lang w:eastAsia="fr-FR"/>
        </w:rPr>
      </w:pPr>
    </w:p>
    <w:p w14:paraId="13C07A3F" w14:textId="77777777" w:rsidR="003F752F" w:rsidRDefault="003F752F" w:rsidP="003F752F">
      <w:pPr>
        <w:pStyle w:val="Paragraphedeliste"/>
        <w:ind w:left="792"/>
        <w:rPr>
          <w:rFonts w:ascii="Tw Cen MT" w:eastAsia="Times New Roman" w:hAnsi="Tw Cen MT" w:cs="Times New Roman"/>
          <w:sz w:val="24"/>
          <w:szCs w:val="24"/>
          <w:lang w:eastAsia="fr-FR"/>
        </w:rPr>
      </w:pPr>
      <w:bookmarkStart w:id="0" w:name="_GoBack"/>
      <w:bookmarkEnd w:id="0"/>
    </w:p>
    <w:tbl>
      <w:tblPr>
        <w:tblStyle w:val="Grilledutableau"/>
        <w:tblW w:w="9635" w:type="dxa"/>
        <w:tblInd w:w="-147" w:type="dxa"/>
        <w:tblLayout w:type="fixed"/>
        <w:tblLook w:val="04A0" w:firstRow="1" w:lastRow="0" w:firstColumn="1" w:lastColumn="0" w:noHBand="0" w:noVBand="1"/>
      </w:tblPr>
      <w:tblGrid>
        <w:gridCol w:w="2519"/>
        <w:gridCol w:w="4286"/>
        <w:gridCol w:w="1701"/>
        <w:gridCol w:w="1129"/>
      </w:tblGrid>
      <w:tr w:rsidR="00EE59F9" w14:paraId="582DA0BB" w14:textId="77777777" w:rsidTr="008D7CC3">
        <w:tc>
          <w:tcPr>
            <w:tcW w:w="2519" w:type="dxa"/>
            <w:shd w:val="clear" w:color="auto" w:fill="00B0F0"/>
          </w:tcPr>
          <w:p w14:paraId="0FB87A15" w14:textId="5A49B44B" w:rsidR="00EE59F9" w:rsidRPr="00EE59F9" w:rsidRDefault="00EE59F9" w:rsidP="00EE59F9">
            <w:pPr>
              <w:jc w:val="center"/>
              <w:rPr>
                <w:rFonts w:ascii="Tw Cen MT" w:eastAsia="Times New Roman" w:hAnsi="Tw Cen MT" w:cs="Times New Roman"/>
                <w:b/>
                <w:sz w:val="24"/>
                <w:szCs w:val="24"/>
                <w:lang w:eastAsia="fr-FR"/>
              </w:rPr>
            </w:pPr>
            <w:r w:rsidRPr="00EE59F9">
              <w:rPr>
                <w:rFonts w:ascii="Tw Cen MT" w:eastAsia="Times New Roman" w:hAnsi="Tw Cen MT" w:cs="Times New Roman"/>
                <w:b/>
                <w:sz w:val="24"/>
                <w:szCs w:val="24"/>
                <w:lang w:eastAsia="fr-FR"/>
              </w:rPr>
              <w:t>Critère</w:t>
            </w:r>
          </w:p>
        </w:tc>
        <w:tc>
          <w:tcPr>
            <w:tcW w:w="4286" w:type="dxa"/>
            <w:shd w:val="clear" w:color="auto" w:fill="00B0F0"/>
          </w:tcPr>
          <w:p w14:paraId="33303171" w14:textId="511E034B" w:rsidR="00EE59F9" w:rsidRPr="00EE59F9" w:rsidRDefault="00EE59F9" w:rsidP="00EE59F9">
            <w:pPr>
              <w:jc w:val="center"/>
              <w:rPr>
                <w:rFonts w:ascii="Tw Cen MT" w:eastAsia="Times New Roman" w:hAnsi="Tw Cen MT" w:cs="Times New Roman"/>
                <w:b/>
                <w:sz w:val="24"/>
                <w:szCs w:val="24"/>
                <w:lang w:eastAsia="fr-FR"/>
              </w:rPr>
            </w:pPr>
            <w:r w:rsidRPr="00EE59F9">
              <w:rPr>
                <w:rFonts w:ascii="Tw Cen MT" w:eastAsia="Times New Roman" w:hAnsi="Tw Cen MT" w:cs="Times New Roman"/>
                <w:b/>
                <w:sz w:val="24"/>
                <w:szCs w:val="24"/>
                <w:lang w:eastAsia="fr-FR"/>
              </w:rPr>
              <w:t>Description</w:t>
            </w:r>
          </w:p>
        </w:tc>
        <w:tc>
          <w:tcPr>
            <w:tcW w:w="1701" w:type="dxa"/>
            <w:shd w:val="clear" w:color="auto" w:fill="00B0F0"/>
          </w:tcPr>
          <w:p w14:paraId="5AE5788E" w14:textId="7F3C40B8" w:rsidR="00EE59F9" w:rsidRPr="00EE59F9" w:rsidRDefault="00EE59F9" w:rsidP="00EE59F9">
            <w:pPr>
              <w:jc w:val="center"/>
              <w:rPr>
                <w:rFonts w:ascii="Tw Cen MT" w:eastAsia="Times New Roman" w:hAnsi="Tw Cen MT" w:cs="Times New Roman"/>
                <w:b/>
                <w:sz w:val="24"/>
                <w:szCs w:val="24"/>
                <w:lang w:eastAsia="fr-FR"/>
              </w:rPr>
            </w:pPr>
            <w:r w:rsidRPr="00EE59F9">
              <w:rPr>
                <w:rFonts w:ascii="Tw Cen MT" w:eastAsia="Times New Roman" w:hAnsi="Tw Cen MT" w:cs="Times New Roman"/>
                <w:b/>
                <w:sz w:val="24"/>
                <w:szCs w:val="24"/>
                <w:lang w:eastAsia="fr-FR"/>
              </w:rPr>
              <w:t>Pondération</w:t>
            </w:r>
          </w:p>
        </w:tc>
        <w:tc>
          <w:tcPr>
            <w:tcW w:w="1129" w:type="dxa"/>
            <w:shd w:val="clear" w:color="auto" w:fill="00B0F0"/>
          </w:tcPr>
          <w:p w14:paraId="304EC022" w14:textId="3C5FBFF9" w:rsidR="00EE59F9" w:rsidRPr="00EE59F9" w:rsidRDefault="00EE59F9" w:rsidP="00EE59F9">
            <w:pPr>
              <w:jc w:val="center"/>
              <w:rPr>
                <w:rFonts w:ascii="Tw Cen MT" w:eastAsia="Times New Roman" w:hAnsi="Tw Cen MT" w:cs="Times New Roman"/>
                <w:b/>
                <w:sz w:val="24"/>
                <w:szCs w:val="24"/>
                <w:lang w:eastAsia="fr-FR"/>
              </w:rPr>
            </w:pPr>
            <w:r w:rsidRPr="00EE59F9">
              <w:rPr>
                <w:rFonts w:ascii="Tw Cen MT" w:eastAsia="Times New Roman" w:hAnsi="Tw Cen MT" w:cs="Times New Roman"/>
                <w:b/>
                <w:sz w:val="24"/>
                <w:szCs w:val="24"/>
                <w:lang w:eastAsia="fr-FR"/>
              </w:rPr>
              <w:t>Note</w:t>
            </w:r>
            <w:r w:rsidR="008D7CC3">
              <w:rPr>
                <w:rFonts w:ascii="Tw Cen MT" w:eastAsia="Times New Roman" w:hAnsi="Tw Cen MT" w:cs="Times New Roman"/>
                <w:b/>
                <w:sz w:val="24"/>
                <w:szCs w:val="24"/>
                <w:lang w:eastAsia="fr-FR"/>
              </w:rPr>
              <w:t xml:space="preserve"> max</w:t>
            </w:r>
          </w:p>
        </w:tc>
      </w:tr>
      <w:tr w:rsidR="00EE59F9" w14:paraId="37C10351" w14:textId="77777777" w:rsidTr="008D7CC3">
        <w:tc>
          <w:tcPr>
            <w:tcW w:w="2519" w:type="dxa"/>
          </w:tcPr>
          <w:p w14:paraId="697C119A" w14:textId="01C8000B"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Compréhension de la mission</w:t>
            </w:r>
          </w:p>
        </w:tc>
        <w:tc>
          <w:tcPr>
            <w:tcW w:w="4286" w:type="dxa"/>
          </w:tcPr>
          <w:p w14:paraId="57BC41D2" w14:textId="47ED9A4E"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Compréhension du projet IFMIP, des enjeux SERA et du contexte institutionnel</w:t>
            </w:r>
          </w:p>
        </w:tc>
        <w:tc>
          <w:tcPr>
            <w:tcW w:w="1701" w:type="dxa"/>
          </w:tcPr>
          <w:p w14:paraId="6C35FF4F" w14:textId="4C435212" w:rsidR="00EE59F9" w:rsidRDefault="00B4001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10%</w:t>
            </w:r>
          </w:p>
        </w:tc>
        <w:tc>
          <w:tcPr>
            <w:tcW w:w="1129" w:type="dxa"/>
          </w:tcPr>
          <w:p w14:paraId="6E907AB9" w14:textId="42A98C45" w:rsidR="00EE59F9"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08</w:t>
            </w:r>
          </w:p>
        </w:tc>
      </w:tr>
      <w:tr w:rsidR="00EE59F9" w14:paraId="28C1B6FC" w14:textId="77777777" w:rsidTr="008D7CC3">
        <w:tc>
          <w:tcPr>
            <w:tcW w:w="2519" w:type="dxa"/>
          </w:tcPr>
          <w:p w14:paraId="02A91ADD" w14:textId="25A74BC8"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Approche méthodologique</w:t>
            </w:r>
          </w:p>
        </w:tc>
        <w:tc>
          <w:tcPr>
            <w:tcW w:w="4286" w:type="dxa"/>
          </w:tcPr>
          <w:p w14:paraId="2C783AFF" w14:textId="0C5E7FD4"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Qualité et pertinence de la démarche proposée pour la mise en place du dispositif SERA</w:t>
            </w:r>
          </w:p>
        </w:tc>
        <w:tc>
          <w:tcPr>
            <w:tcW w:w="1701" w:type="dxa"/>
          </w:tcPr>
          <w:p w14:paraId="1B7C10A6" w14:textId="4FF347A8" w:rsidR="00EE59F9" w:rsidRDefault="008A35AF"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30%</w:t>
            </w:r>
          </w:p>
        </w:tc>
        <w:tc>
          <w:tcPr>
            <w:tcW w:w="1129" w:type="dxa"/>
          </w:tcPr>
          <w:p w14:paraId="019769C7" w14:textId="581AB5C6" w:rsidR="00EE59F9"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24</w:t>
            </w:r>
          </w:p>
        </w:tc>
      </w:tr>
      <w:tr w:rsidR="00EE59F9" w14:paraId="3C55DA32" w14:textId="77777777" w:rsidTr="008D7CC3">
        <w:tc>
          <w:tcPr>
            <w:tcW w:w="2519" w:type="dxa"/>
          </w:tcPr>
          <w:p w14:paraId="2A95A429" w14:textId="10F1D876"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Organisation et phasage</w:t>
            </w:r>
          </w:p>
        </w:tc>
        <w:tc>
          <w:tcPr>
            <w:tcW w:w="4286" w:type="dxa"/>
          </w:tcPr>
          <w:p w14:paraId="49C78A3B" w14:textId="391C3075"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Cohérence du planning, du phasage et de la répartition des H/J</w:t>
            </w:r>
          </w:p>
        </w:tc>
        <w:tc>
          <w:tcPr>
            <w:tcW w:w="1701" w:type="dxa"/>
          </w:tcPr>
          <w:p w14:paraId="070EC6A7" w14:textId="7A4A992A" w:rsidR="00EE59F9" w:rsidRDefault="00B4001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05%</w:t>
            </w:r>
          </w:p>
        </w:tc>
        <w:tc>
          <w:tcPr>
            <w:tcW w:w="1129" w:type="dxa"/>
          </w:tcPr>
          <w:p w14:paraId="5CE79BEE" w14:textId="3D3DD3D6" w:rsidR="00EE59F9"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04</w:t>
            </w:r>
          </w:p>
        </w:tc>
      </w:tr>
      <w:tr w:rsidR="00EE59F9" w14:paraId="70132AAE" w14:textId="77777777" w:rsidTr="008D7CC3">
        <w:tc>
          <w:tcPr>
            <w:tcW w:w="2519" w:type="dxa"/>
          </w:tcPr>
          <w:p w14:paraId="44A076BF" w14:textId="2C00B341"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Outils proposés</w:t>
            </w:r>
          </w:p>
        </w:tc>
        <w:tc>
          <w:tcPr>
            <w:tcW w:w="4286" w:type="dxa"/>
          </w:tcPr>
          <w:p w14:paraId="5AF85B45" w14:textId="59D2B561"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Qualité et pertinence des outils de collecte, analyse et reporting</w:t>
            </w:r>
          </w:p>
        </w:tc>
        <w:tc>
          <w:tcPr>
            <w:tcW w:w="1701" w:type="dxa"/>
          </w:tcPr>
          <w:p w14:paraId="04D256C3" w14:textId="5BDC9FD2" w:rsidR="00EE59F9" w:rsidRDefault="00B4001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15%</w:t>
            </w:r>
          </w:p>
        </w:tc>
        <w:tc>
          <w:tcPr>
            <w:tcW w:w="1129" w:type="dxa"/>
          </w:tcPr>
          <w:p w14:paraId="14573183" w14:textId="4C6332E7" w:rsidR="00EE59F9"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12</w:t>
            </w:r>
          </w:p>
        </w:tc>
      </w:tr>
      <w:tr w:rsidR="00EE59F9" w14:paraId="2DE15930" w14:textId="77777777" w:rsidTr="008D7CC3">
        <w:tc>
          <w:tcPr>
            <w:tcW w:w="2519" w:type="dxa"/>
          </w:tcPr>
          <w:p w14:paraId="2A5948FA" w14:textId="77A239AE"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Dispositif de formation et transfert</w:t>
            </w:r>
          </w:p>
        </w:tc>
        <w:tc>
          <w:tcPr>
            <w:tcW w:w="4286" w:type="dxa"/>
          </w:tcPr>
          <w:p w14:paraId="3E516AB9" w14:textId="6F483D05" w:rsidR="00EE59F9" w:rsidRDefault="008A35AF" w:rsidP="00EE59F9">
            <w:pPr>
              <w:rPr>
                <w:rFonts w:ascii="Tw Cen MT" w:eastAsia="Times New Roman" w:hAnsi="Tw Cen MT" w:cs="Times New Roman"/>
                <w:sz w:val="24"/>
                <w:szCs w:val="24"/>
                <w:lang w:eastAsia="fr-FR"/>
              </w:rPr>
            </w:pPr>
            <w:r w:rsidRPr="008A35AF">
              <w:rPr>
                <w:rFonts w:ascii="Tw Cen MT" w:eastAsia="Times New Roman" w:hAnsi="Tw Cen MT" w:cs="Times New Roman"/>
                <w:sz w:val="24"/>
                <w:szCs w:val="24"/>
                <w:lang w:eastAsia="fr-FR"/>
              </w:rPr>
              <w:t>Qualité de l’approche de renforcement des capacités et d’accompagnement</w:t>
            </w:r>
          </w:p>
        </w:tc>
        <w:tc>
          <w:tcPr>
            <w:tcW w:w="1701" w:type="dxa"/>
          </w:tcPr>
          <w:p w14:paraId="5478151F" w14:textId="1A0FFC21" w:rsidR="00EE59F9" w:rsidRDefault="00B4001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10%</w:t>
            </w:r>
          </w:p>
        </w:tc>
        <w:tc>
          <w:tcPr>
            <w:tcW w:w="1129" w:type="dxa"/>
          </w:tcPr>
          <w:p w14:paraId="1DCF1EE8" w14:textId="0E1FFBA6" w:rsidR="00EE59F9"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08</w:t>
            </w:r>
          </w:p>
        </w:tc>
      </w:tr>
      <w:tr w:rsidR="007E0934" w14:paraId="4038BEA8" w14:textId="77777777" w:rsidTr="008D7CC3">
        <w:tc>
          <w:tcPr>
            <w:tcW w:w="2519" w:type="dxa"/>
          </w:tcPr>
          <w:p w14:paraId="18929FAE" w14:textId="6B61BF01" w:rsidR="007E0934" w:rsidRPr="00B40014" w:rsidRDefault="007E0934" w:rsidP="00EE59F9">
            <w:pPr>
              <w:rPr>
                <w:rFonts w:ascii="Tw Cen MT" w:eastAsia="Times New Roman" w:hAnsi="Tw Cen MT" w:cs="Times New Roman"/>
                <w:b/>
                <w:sz w:val="24"/>
                <w:szCs w:val="24"/>
                <w:lang w:eastAsia="fr-FR"/>
              </w:rPr>
            </w:pPr>
            <w:r w:rsidRPr="007E0934">
              <w:rPr>
                <w:rFonts w:ascii="Tw Cen MT" w:eastAsia="Times New Roman" w:hAnsi="Tw Cen MT" w:cs="Times New Roman"/>
                <w:sz w:val="24"/>
                <w:szCs w:val="24"/>
                <w:lang w:eastAsia="fr-FR"/>
              </w:rPr>
              <w:t>Expérience</w:t>
            </w:r>
            <w:r>
              <w:rPr>
                <w:rFonts w:ascii="Tw Cen MT" w:eastAsia="Times New Roman" w:hAnsi="Tw Cen MT" w:cs="Times New Roman"/>
                <w:sz w:val="24"/>
                <w:szCs w:val="24"/>
                <w:lang w:eastAsia="fr-FR"/>
              </w:rPr>
              <w:t xml:space="preserve"> et références</w:t>
            </w:r>
          </w:p>
        </w:tc>
        <w:tc>
          <w:tcPr>
            <w:tcW w:w="4286" w:type="dxa"/>
          </w:tcPr>
          <w:p w14:paraId="4C0484BE" w14:textId="58B5CED8" w:rsidR="007E0934" w:rsidRDefault="007E093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Expérience de l’expert dans des missions similaires</w:t>
            </w:r>
          </w:p>
        </w:tc>
        <w:tc>
          <w:tcPr>
            <w:tcW w:w="1701" w:type="dxa"/>
          </w:tcPr>
          <w:p w14:paraId="64653F25" w14:textId="3A8D3C6A" w:rsidR="007E0934" w:rsidRDefault="007E093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30%</w:t>
            </w:r>
          </w:p>
        </w:tc>
        <w:tc>
          <w:tcPr>
            <w:tcW w:w="1129" w:type="dxa"/>
          </w:tcPr>
          <w:p w14:paraId="1B344B48" w14:textId="031CCF32" w:rsidR="007E0934" w:rsidRDefault="008D7CC3"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24</w:t>
            </w:r>
          </w:p>
        </w:tc>
      </w:tr>
      <w:tr w:rsidR="00EE59F9" w14:paraId="22A68767" w14:textId="77777777" w:rsidTr="008D7CC3">
        <w:tc>
          <w:tcPr>
            <w:tcW w:w="2519" w:type="dxa"/>
          </w:tcPr>
          <w:p w14:paraId="3CDB06D8" w14:textId="0C822EB7" w:rsidR="00EE59F9" w:rsidRPr="00B40014" w:rsidRDefault="008A35AF" w:rsidP="00EE59F9">
            <w:pPr>
              <w:rPr>
                <w:rFonts w:ascii="Tw Cen MT" w:eastAsia="Times New Roman" w:hAnsi="Tw Cen MT" w:cs="Times New Roman"/>
                <w:b/>
                <w:sz w:val="24"/>
                <w:szCs w:val="24"/>
                <w:lang w:eastAsia="fr-FR"/>
              </w:rPr>
            </w:pPr>
            <w:r w:rsidRPr="00B40014">
              <w:rPr>
                <w:rFonts w:ascii="Tw Cen MT" w:eastAsia="Times New Roman" w:hAnsi="Tw Cen MT" w:cs="Times New Roman"/>
                <w:b/>
                <w:sz w:val="24"/>
                <w:szCs w:val="24"/>
                <w:lang w:eastAsia="fr-FR"/>
              </w:rPr>
              <w:t>Total</w:t>
            </w:r>
          </w:p>
        </w:tc>
        <w:tc>
          <w:tcPr>
            <w:tcW w:w="4286" w:type="dxa"/>
          </w:tcPr>
          <w:p w14:paraId="39A267E2" w14:textId="77777777" w:rsidR="00EE59F9" w:rsidRDefault="00EE59F9" w:rsidP="00EE59F9">
            <w:pPr>
              <w:rPr>
                <w:rFonts w:ascii="Tw Cen MT" w:eastAsia="Times New Roman" w:hAnsi="Tw Cen MT" w:cs="Times New Roman"/>
                <w:sz w:val="24"/>
                <w:szCs w:val="24"/>
                <w:lang w:eastAsia="fr-FR"/>
              </w:rPr>
            </w:pPr>
          </w:p>
        </w:tc>
        <w:tc>
          <w:tcPr>
            <w:tcW w:w="1701" w:type="dxa"/>
          </w:tcPr>
          <w:p w14:paraId="267813A8" w14:textId="064EF6FD" w:rsidR="00EE59F9" w:rsidRDefault="00B40014" w:rsidP="00EE59F9">
            <w:pPr>
              <w:rPr>
                <w:rFonts w:ascii="Tw Cen MT" w:eastAsia="Times New Roman" w:hAnsi="Tw Cen MT" w:cs="Times New Roman"/>
                <w:sz w:val="24"/>
                <w:szCs w:val="24"/>
                <w:lang w:eastAsia="fr-FR"/>
              </w:rPr>
            </w:pPr>
            <w:r>
              <w:rPr>
                <w:rFonts w:ascii="Tw Cen MT" w:eastAsia="Times New Roman" w:hAnsi="Tw Cen MT" w:cs="Times New Roman"/>
                <w:sz w:val="24"/>
                <w:szCs w:val="24"/>
                <w:lang w:eastAsia="fr-FR"/>
              </w:rPr>
              <w:t>100%</w:t>
            </w:r>
          </w:p>
        </w:tc>
        <w:tc>
          <w:tcPr>
            <w:tcW w:w="1129" w:type="dxa"/>
          </w:tcPr>
          <w:p w14:paraId="6796E39A" w14:textId="1849B838" w:rsidR="00EE59F9" w:rsidRPr="008D7CC3" w:rsidRDefault="008D7CC3" w:rsidP="00EE59F9">
            <w:pPr>
              <w:rPr>
                <w:rFonts w:ascii="Tw Cen MT" w:eastAsia="Times New Roman" w:hAnsi="Tw Cen MT" w:cs="Times New Roman"/>
                <w:b/>
                <w:sz w:val="24"/>
                <w:szCs w:val="24"/>
                <w:lang w:eastAsia="fr-FR"/>
              </w:rPr>
            </w:pPr>
            <w:r w:rsidRPr="008D7CC3">
              <w:rPr>
                <w:rFonts w:ascii="Tw Cen MT" w:eastAsia="Times New Roman" w:hAnsi="Tw Cen MT" w:cs="Times New Roman"/>
                <w:b/>
                <w:sz w:val="24"/>
                <w:szCs w:val="24"/>
                <w:lang w:eastAsia="fr-FR"/>
              </w:rPr>
              <w:t>80</w:t>
            </w:r>
          </w:p>
        </w:tc>
      </w:tr>
    </w:tbl>
    <w:p w14:paraId="7A87DE26" w14:textId="6985C91F" w:rsidR="00B40014" w:rsidRPr="00EE59F9" w:rsidRDefault="00B40014" w:rsidP="00EE59F9">
      <w:pPr>
        <w:rPr>
          <w:rFonts w:ascii="Tw Cen MT" w:eastAsia="Times New Roman" w:hAnsi="Tw Cen MT" w:cs="Times New Roman"/>
          <w:sz w:val="24"/>
          <w:szCs w:val="24"/>
          <w:lang w:eastAsia="fr-FR"/>
        </w:rPr>
      </w:pPr>
    </w:p>
    <w:p w14:paraId="4CD4A6DE" w14:textId="77777777" w:rsidR="00B40014" w:rsidRPr="006B34F6" w:rsidRDefault="00B40014" w:rsidP="00B40014">
      <w:pPr>
        <w:shd w:val="clear" w:color="auto" w:fill="F0917B" w:themeFill="accent5" w:themeFillTint="99"/>
        <w:jc w:val="both"/>
        <w:rPr>
          <w:rFonts w:ascii="Tw Cen MT" w:eastAsia="Arial" w:hAnsi="Tw Cen MT"/>
          <w:b/>
          <w:bCs/>
          <w:color w:val="FFFFFF" w:themeColor="background1"/>
          <w:sz w:val="28"/>
          <w:szCs w:val="28"/>
        </w:rPr>
      </w:pPr>
      <w:r w:rsidRPr="006B34F6">
        <w:rPr>
          <w:rFonts w:ascii="Tw Cen MT" w:eastAsia="Arial" w:hAnsi="Tw Cen MT"/>
          <w:b/>
          <w:bCs/>
          <w:color w:val="FFFFFF" w:themeColor="background1"/>
          <w:sz w:val="28"/>
          <w:szCs w:val="28"/>
        </w:rPr>
        <w:t> </w:t>
      </w:r>
      <w:r>
        <w:rPr>
          <w:rFonts w:ascii="Tw Cen MT" w:eastAsia="Arial" w:hAnsi="Tw Cen MT"/>
          <w:b/>
          <w:bCs/>
          <w:color w:val="FFFFFF" w:themeColor="background1"/>
          <w:sz w:val="28"/>
          <w:szCs w:val="28"/>
        </w:rPr>
        <w:t>Annexes</w:t>
      </w:r>
    </w:p>
    <w:p w14:paraId="1512757B" w14:textId="77777777" w:rsidR="00B40014" w:rsidRPr="007659C2" w:rsidRDefault="00B40014" w:rsidP="00B40014">
      <w:pPr>
        <w:jc w:val="both"/>
        <w:rPr>
          <w:rFonts w:ascii="Tw Cen MT" w:eastAsia="Times New Roman" w:hAnsi="Tw Cen MT" w:cs="Times New Roman"/>
          <w:sz w:val="24"/>
          <w:szCs w:val="24"/>
          <w:lang w:eastAsia="fr-FR"/>
        </w:rPr>
      </w:pPr>
      <w:r>
        <w:rPr>
          <w:rFonts w:ascii="Calibri" w:eastAsia="Arial Unicode MS" w:hAnsi="Calibri" w:cs="Arial Unicode MS"/>
          <w:bCs/>
        </w:rPr>
        <w:t xml:space="preserve">- </w:t>
      </w:r>
      <w:r w:rsidRPr="007659C2">
        <w:rPr>
          <w:rFonts w:ascii="Tw Cen MT" w:eastAsia="Times New Roman" w:hAnsi="Tw Cen MT" w:cs="Times New Roman"/>
          <w:sz w:val="24"/>
          <w:szCs w:val="24"/>
          <w:lang w:eastAsia="fr-FR"/>
        </w:rPr>
        <w:t>Présentation du projet IFMIP.</w:t>
      </w:r>
    </w:p>
    <w:p w14:paraId="0D341E40" w14:textId="7A906C4A" w:rsidR="00D70177" w:rsidRDefault="00B40014" w:rsidP="002C6B1E">
      <w:pPr>
        <w:jc w:val="both"/>
        <w:rPr>
          <w:rFonts w:ascii="Tw Cen MT" w:eastAsia="Arial" w:hAnsi="Tw Cen MT"/>
          <w:sz w:val="28"/>
          <w:szCs w:val="28"/>
        </w:rPr>
      </w:pPr>
      <w:r w:rsidRPr="007659C2">
        <w:rPr>
          <w:rFonts w:ascii="Tw Cen MT" w:eastAsia="Times New Roman" w:hAnsi="Tw Cen MT" w:cs="Times New Roman"/>
          <w:sz w:val="24"/>
          <w:szCs w:val="24"/>
          <w:lang w:eastAsia="fr-FR"/>
        </w:rPr>
        <w:t>- Trame de plan SERA, théorie de chang</w:t>
      </w:r>
      <w:r w:rsidR="002C6B1E">
        <w:rPr>
          <w:rFonts w:ascii="Tw Cen MT" w:eastAsia="Times New Roman" w:hAnsi="Tw Cen MT" w:cs="Times New Roman"/>
          <w:sz w:val="24"/>
          <w:szCs w:val="24"/>
          <w:lang w:eastAsia="fr-FR"/>
        </w:rPr>
        <w:t>ement et cadre logique</w:t>
      </w:r>
    </w:p>
    <w:sectPr w:rsidR="00D70177" w:rsidSect="007D09DC">
      <w:headerReference w:type="default" r:id="rId8"/>
      <w:pgSz w:w="11906" w:h="16838"/>
      <w:pgMar w:top="1418" w:right="992"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DFDCB" w16cex:dateUtc="2026-05-18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9EF8B9" w16cid:durableId="7BDDFD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7124" w14:textId="77777777" w:rsidR="006D2003" w:rsidRDefault="006D2003" w:rsidP="0034164F">
      <w:pPr>
        <w:spacing w:after="0" w:line="240" w:lineRule="auto"/>
      </w:pPr>
      <w:r>
        <w:separator/>
      </w:r>
    </w:p>
  </w:endnote>
  <w:endnote w:type="continuationSeparator" w:id="0">
    <w:p w14:paraId="13ED101F" w14:textId="77777777" w:rsidR="006D2003" w:rsidRDefault="006D2003" w:rsidP="0034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C0FF5" w14:textId="77777777" w:rsidR="006D2003" w:rsidRDefault="006D2003" w:rsidP="0034164F">
      <w:pPr>
        <w:spacing w:after="0" w:line="240" w:lineRule="auto"/>
      </w:pPr>
      <w:r>
        <w:separator/>
      </w:r>
    </w:p>
  </w:footnote>
  <w:footnote w:type="continuationSeparator" w:id="0">
    <w:p w14:paraId="6C02843D" w14:textId="77777777" w:rsidR="006D2003" w:rsidRDefault="006D2003" w:rsidP="00341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743B" w14:textId="102053A9" w:rsidR="005F6A79" w:rsidRDefault="005F6A79">
    <w:pPr>
      <w:pStyle w:val="En-tte"/>
    </w:pPr>
    <w:r>
      <w:rPr>
        <w:noProof/>
        <w:lang w:eastAsia="fr-FR"/>
      </w:rPr>
      <w:drawing>
        <wp:anchor distT="0" distB="0" distL="114300" distR="114300" simplePos="0" relativeHeight="251659264" behindDoc="0" locked="0" layoutInCell="1" allowOverlap="1" wp14:anchorId="43362F12" wp14:editId="10B8939E">
          <wp:simplePos x="0" y="0"/>
          <wp:positionH relativeFrom="margin">
            <wp:posOffset>0</wp:posOffset>
          </wp:positionH>
          <wp:positionV relativeFrom="paragraph">
            <wp:posOffset>-635</wp:posOffset>
          </wp:positionV>
          <wp:extent cx="1296173" cy="450850"/>
          <wp:effectExtent l="0" t="0" r="0" b="6350"/>
          <wp:wrapNone/>
          <wp:docPr id="4" name="Image 4" descr="Revenir à la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enir à la page d'accue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922" cy="4514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6C9"/>
      </v:shape>
    </w:pict>
  </w:numPicBullet>
  <w:abstractNum w:abstractNumId="0" w15:restartNumberingAfterBreak="0">
    <w:nsid w:val="074E7322"/>
    <w:multiLevelType w:val="hybridMultilevel"/>
    <w:tmpl w:val="D97E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5B0928"/>
    <w:multiLevelType w:val="multilevel"/>
    <w:tmpl w:val="F5BCE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D58A6"/>
    <w:multiLevelType w:val="multilevel"/>
    <w:tmpl w:val="5D18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44829"/>
    <w:multiLevelType w:val="multilevel"/>
    <w:tmpl w:val="33EC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C7006"/>
    <w:multiLevelType w:val="multilevel"/>
    <w:tmpl w:val="EA8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37BAC"/>
    <w:multiLevelType w:val="hybridMultilevel"/>
    <w:tmpl w:val="958A4D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6A7683"/>
    <w:multiLevelType w:val="hybridMultilevel"/>
    <w:tmpl w:val="3574194E"/>
    <w:lvl w:ilvl="0" w:tplc="040C0007">
      <w:start w:val="1"/>
      <w:numFmt w:val="bullet"/>
      <w:lvlText w:val=""/>
      <w:lvlPicBulletId w:val="0"/>
      <w:lvlJc w:val="left"/>
      <w:pPr>
        <w:ind w:left="792" w:hanging="360"/>
      </w:pPr>
      <w:rPr>
        <w:rFonts w:ascii="Symbol" w:hAnsi="Symbol" w:hint="default"/>
      </w:rPr>
    </w:lvl>
    <w:lvl w:ilvl="1" w:tplc="040C0003">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5C69644A"/>
    <w:multiLevelType w:val="multilevel"/>
    <w:tmpl w:val="729A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57424"/>
    <w:multiLevelType w:val="multilevel"/>
    <w:tmpl w:val="960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4F024C"/>
    <w:multiLevelType w:val="multilevel"/>
    <w:tmpl w:val="95B4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56B9A"/>
    <w:multiLevelType w:val="multilevel"/>
    <w:tmpl w:val="A5A4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4"/>
  </w:num>
  <w:num w:numId="5">
    <w:abstractNumId w:val="7"/>
  </w:num>
  <w:num w:numId="6">
    <w:abstractNumId w:val="3"/>
  </w:num>
  <w:num w:numId="7">
    <w:abstractNumId w:val="8"/>
  </w:num>
  <w:num w:numId="8">
    <w:abstractNumId w:val="6"/>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10"/>
    <w:rsid w:val="000007CE"/>
    <w:rsid w:val="00000EF8"/>
    <w:rsid w:val="0002548F"/>
    <w:rsid w:val="000263DE"/>
    <w:rsid w:val="00037310"/>
    <w:rsid w:val="000563D5"/>
    <w:rsid w:val="00056913"/>
    <w:rsid w:val="000578A9"/>
    <w:rsid w:val="00057C7B"/>
    <w:rsid w:val="000637CD"/>
    <w:rsid w:val="00066C88"/>
    <w:rsid w:val="00073CAC"/>
    <w:rsid w:val="00074865"/>
    <w:rsid w:val="00086047"/>
    <w:rsid w:val="000870DD"/>
    <w:rsid w:val="00092878"/>
    <w:rsid w:val="00093EDD"/>
    <w:rsid w:val="000A41BE"/>
    <w:rsid w:val="000D1B62"/>
    <w:rsid w:val="000E42FF"/>
    <w:rsid w:val="000F10A7"/>
    <w:rsid w:val="00100785"/>
    <w:rsid w:val="00120963"/>
    <w:rsid w:val="00124AA5"/>
    <w:rsid w:val="00126E8F"/>
    <w:rsid w:val="00134743"/>
    <w:rsid w:val="00140FD3"/>
    <w:rsid w:val="00145413"/>
    <w:rsid w:val="00162A20"/>
    <w:rsid w:val="001665E6"/>
    <w:rsid w:val="00167FE4"/>
    <w:rsid w:val="00185A20"/>
    <w:rsid w:val="00186E78"/>
    <w:rsid w:val="00193FB5"/>
    <w:rsid w:val="001A71C1"/>
    <w:rsid w:val="001B2DF7"/>
    <w:rsid w:val="001B353C"/>
    <w:rsid w:val="001B7867"/>
    <w:rsid w:val="001C1CC5"/>
    <w:rsid w:val="001C3E22"/>
    <w:rsid w:val="001C55CF"/>
    <w:rsid w:val="001D2569"/>
    <w:rsid w:val="001E1BA3"/>
    <w:rsid w:val="001E7412"/>
    <w:rsid w:val="001F1163"/>
    <w:rsid w:val="0020477A"/>
    <w:rsid w:val="00225C2A"/>
    <w:rsid w:val="00230C23"/>
    <w:rsid w:val="002321BA"/>
    <w:rsid w:val="00236022"/>
    <w:rsid w:val="00241831"/>
    <w:rsid w:val="00245138"/>
    <w:rsid w:val="002525F0"/>
    <w:rsid w:val="002721A7"/>
    <w:rsid w:val="00273909"/>
    <w:rsid w:val="002842EA"/>
    <w:rsid w:val="002858EB"/>
    <w:rsid w:val="00286EAF"/>
    <w:rsid w:val="00291BB1"/>
    <w:rsid w:val="002B2C4E"/>
    <w:rsid w:val="002B3A3D"/>
    <w:rsid w:val="002B56B0"/>
    <w:rsid w:val="002B6A99"/>
    <w:rsid w:val="002C67B5"/>
    <w:rsid w:val="002C6B1E"/>
    <w:rsid w:val="002D2163"/>
    <w:rsid w:val="002D56E1"/>
    <w:rsid w:val="002E6781"/>
    <w:rsid w:val="002F010C"/>
    <w:rsid w:val="002F46C7"/>
    <w:rsid w:val="002F5871"/>
    <w:rsid w:val="00320B3F"/>
    <w:rsid w:val="00320F8D"/>
    <w:rsid w:val="00323199"/>
    <w:rsid w:val="00331647"/>
    <w:rsid w:val="0034164F"/>
    <w:rsid w:val="00346BF6"/>
    <w:rsid w:val="00377BC2"/>
    <w:rsid w:val="00383E77"/>
    <w:rsid w:val="00387EAC"/>
    <w:rsid w:val="00391E83"/>
    <w:rsid w:val="003A6DD7"/>
    <w:rsid w:val="003B3E05"/>
    <w:rsid w:val="003D663A"/>
    <w:rsid w:val="003E5173"/>
    <w:rsid w:val="003F30A9"/>
    <w:rsid w:val="003F752F"/>
    <w:rsid w:val="00400422"/>
    <w:rsid w:val="00404EA5"/>
    <w:rsid w:val="0041269B"/>
    <w:rsid w:val="0041352B"/>
    <w:rsid w:val="00414937"/>
    <w:rsid w:val="0042399A"/>
    <w:rsid w:val="004279F8"/>
    <w:rsid w:val="004409A7"/>
    <w:rsid w:val="0045073E"/>
    <w:rsid w:val="00450ED8"/>
    <w:rsid w:val="00453572"/>
    <w:rsid w:val="0048201A"/>
    <w:rsid w:val="004B20F2"/>
    <w:rsid w:val="004B2510"/>
    <w:rsid w:val="004B4AB1"/>
    <w:rsid w:val="004C66EE"/>
    <w:rsid w:val="004C7456"/>
    <w:rsid w:val="004F2F95"/>
    <w:rsid w:val="005003F0"/>
    <w:rsid w:val="005248A2"/>
    <w:rsid w:val="00537017"/>
    <w:rsid w:val="005509E9"/>
    <w:rsid w:val="005549F0"/>
    <w:rsid w:val="0055553E"/>
    <w:rsid w:val="005606EE"/>
    <w:rsid w:val="0056706A"/>
    <w:rsid w:val="005749B9"/>
    <w:rsid w:val="00575F31"/>
    <w:rsid w:val="005B7563"/>
    <w:rsid w:val="005D3ADE"/>
    <w:rsid w:val="005F1542"/>
    <w:rsid w:val="005F1E32"/>
    <w:rsid w:val="005F6A79"/>
    <w:rsid w:val="00600D28"/>
    <w:rsid w:val="00600E79"/>
    <w:rsid w:val="00610E93"/>
    <w:rsid w:val="0061222A"/>
    <w:rsid w:val="0061293B"/>
    <w:rsid w:val="00615089"/>
    <w:rsid w:val="00615D0E"/>
    <w:rsid w:val="0062575E"/>
    <w:rsid w:val="00627FE8"/>
    <w:rsid w:val="00642C31"/>
    <w:rsid w:val="006620A8"/>
    <w:rsid w:val="006759AB"/>
    <w:rsid w:val="006968E7"/>
    <w:rsid w:val="006B34F6"/>
    <w:rsid w:val="006C6FEE"/>
    <w:rsid w:val="006D2003"/>
    <w:rsid w:val="006E258E"/>
    <w:rsid w:val="006F1C50"/>
    <w:rsid w:val="00701850"/>
    <w:rsid w:val="00701B4A"/>
    <w:rsid w:val="00703595"/>
    <w:rsid w:val="00707E64"/>
    <w:rsid w:val="00722945"/>
    <w:rsid w:val="007342E3"/>
    <w:rsid w:val="00736CFE"/>
    <w:rsid w:val="00764008"/>
    <w:rsid w:val="00764F16"/>
    <w:rsid w:val="007740A7"/>
    <w:rsid w:val="007967CF"/>
    <w:rsid w:val="007B1807"/>
    <w:rsid w:val="007C0F50"/>
    <w:rsid w:val="007D09DC"/>
    <w:rsid w:val="007D1AAD"/>
    <w:rsid w:val="007D2489"/>
    <w:rsid w:val="007E0934"/>
    <w:rsid w:val="007F3DAF"/>
    <w:rsid w:val="007F77C6"/>
    <w:rsid w:val="008009FD"/>
    <w:rsid w:val="0080243D"/>
    <w:rsid w:val="008353D9"/>
    <w:rsid w:val="00852035"/>
    <w:rsid w:val="00852763"/>
    <w:rsid w:val="00867DAC"/>
    <w:rsid w:val="0087425B"/>
    <w:rsid w:val="00885DAA"/>
    <w:rsid w:val="0089029B"/>
    <w:rsid w:val="008A069A"/>
    <w:rsid w:val="008A35AF"/>
    <w:rsid w:val="008A56CF"/>
    <w:rsid w:val="008D0B50"/>
    <w:rsid w:val="008D79C9"/>
    <w:rsid w:val="008D7CC3"/>
    <w:rsid w:val="008E25D2"/>
    <w:rsid w:val="008F7F48"/>
    <w:rsid w:val="00907165"/>
    <w:rsid w:val="00916DBC"/>
    <w:rsid w:val="00922033"/>
    <w:rsid w:val="00922882"/>
    <w:rsid w:val="0092465E"/>
    <w:rsid w:val="00927809"/>
    <w:rsid w:val="00932D92"/>
    <w:rsid w:val="00952234"/>
    <w:rsid w:val="009637D8"/>
    <w:rsid w:val="0096645F"/>
    <w:rsid w:val="00975E4B"/>
    <w:rsid w:val="009840C8"/>
    <w:rsid w:val="0098708A"/>
    <w:rsid w:val="00990463"/>
    <w:rsid w:val="0099171F"/>
    <w:rsid w:val="009934B8"/>
    <w:rsid w:val="0099393F"/>
    <w:rsid w:val="009A13FC"/>
    <w:rsid w:val="009B060B"/>
    <w:rsid w:val="009C01E0"/>
    <w:rsid w:val="009C337E"/>
    <w:rsid w:val="009C6C9E"/>
    <w:rsid w:val="009D4FC6"/>
    <w:rsid w:val="009F0C5E"/>
    <w:rsid w:val="00A12C5C"/>
    <w:rsid w:val="00A30DF6"/>
    <w:rsid w:val="00A374FE"/>
    <w:rsid w:val="00A44135"/>
    <w:rsid w:val="00A61F7D"/>
    <w:rsid w:val="00A67887"/>
    <w:rsid w:val="00A774EF"/>
    <w:rsid w:val="00A77FA8"/>
    <w:rsid w:val="00A86D0B"/>
    <w:rsid w:val="00A92EDF"/>
    <w:rsid w:val="00A971C1"/>
    <w:rsid w:val="00AA2BCD"/>
    <w:rsid w:val="00AC26EA"/>
    <w:rsid w:val="00AC5AD3"/>
    <w:rsid w:val="00B007A5"/>
    <w:rsid w:val="00B02233"/>
    <w:rsid w:val="00B05805"/>
    <w:rsid w:val="00B10979"/>
    <w:rsid w:val="00B1528F"/>
    <w:rsid w:val="00B24768"/>
    <w:rsid w:val="00B40014"/>
    <w:rsid w:val="00B45042"/>
    <w:rsid w:val="00B47EDC"/>
    <w:rsid w:val="00B508C1"/>
    <w:rsid w:val="00B56E9D"/>
    <w:rsid w:val="00B6258B"/>
    <w:rsid w:val="00B770D5"/>
    <w:rsid w:val="00BA1F07"/>
    <w:rsid w:val="00BB006A"/>
    <w:rsid w:val="00BB67C5"/>
    <w:rsid w:val="00BB7798"/>
    <w:rsid w:val="00BF2350"/>
    <w:rsid w:val="00BF382B"/>
    <w:rsid w:val="00C13E79"/>
    <w:rsid w:val="00C323D5"/>
    <w:rsid w:val="00C328A0"/>
    <w:rsid w:val="00C44246"/>
    <w:rsid w:val="00C56019"/>
    <w:rsid w:val="00C91E89"/>
    <w:rsid w:val="00CA4530"/>
    <w:rsid w:val="00CA47F7"/>
    <w:rsid w:val="00CB1F21"/>
    <w:rsid w:val="00CD11D4"/>
    <w:rsid w:val="00CE38EB"/>
    <w:rsid w:val="00CE6810"/>
    <w:rsid w:val="00CF0CC3"/>
    <w:rsid w:val="00D17B48"/>
    <w:rsid w:val="00D2253A"/>
    <w:rsid w:val="00D425EE"/>
    <w:rsid w:val="00D43663"/>
    <w:rsid w:val="00D45974"/>
    <w:rsid w:val="00D52F6C"/>
    <w:rsid w:val="00D53033"/>
    <w:rsid w:val="00D662AE"/>
    <w:rsid w:val="00D70177"/>
    <w:rsid w:val="00D707E0"/>
    <w:rsid w:val="00D71D02"/>
    <w:rsid w:val="00D82FA7"/>
    <w:rsid w:val="00D83569"/>
    <w:rsid w:val="00D85763"/>
    <w:rsid w:val="00DD3F8D"/>
    <w:rsid w:val="00DD6486"/>
    <w:rsid w:val="00DE2410"/>
    <w:rsid w:val="00DE64DA"/>
    <w:rsid w:val="00DF0A9E"/>
    <w:rsid w:val="00E05DBE"/>
    <w:rsid w:val="00E12DB9"/>
    <w:rsid w:val="00E21ADF"/>
    <w:rsid w:val="00E2435B"/>
    <w:rsid w:val="00E37994"/>
    <w:rsid w:val="00E45678"/>
    <w:rsid w:val="00E62C62"/>
    <w:rsid w:val="00E90707"/>
    <w:rsid w:val="00E92CAF"/>
    <w:rsid w:val="00E933EB"/>
    <w:rsid w:val="00E973C9"/>
    <w:rsid w:val="00EA2F69"/>
    <w:rsid w:val="00EA3AE0"/>
    <w:rsid w:val="00EB3844"/>
    <w:rsid w:val="00EC27F1"/>
    <w:rsid w:val="00EC60F3"/>
    <w:rsid w:val="00ED7655"/>
    <w:rsid w:val="00EE59F9"/>
    <w:rsid w:val="00EE7CDE"/>
    <w:rsid w:val="00EF15F8"/>
    <w:rsid w:val="00F05171"/>
    <w:rsid w:val="00F05C5E"/>
    <w:rsid w:val="00F12BD3"/>
    <w:rsid w:val="00F14EF5"/>
    <w:rsid w:val="00F21097"/>
    <w:rsid w:val="00F22DFA"/>
    <w:rsid w:val="00F32C3C"/>
    <w:rsid w:val="00F431F6"/>
    <w:rsid w:val="00F61055"/>
    <w:rsid w:val="00F629DD"/>
    <w:rsid w:val="00F63E69"/>
    <w:rsid w:val="00F721B3"/>
    <w:rsid w:val="00F76E09"/>
    <w:rsid w:val="00F92DAE"/>
    <w:rsid w:val="00FA5944"/>
    <w:rsid w:val="00FC1FB6"/>
    <w:rsid w:val="00FD5FA9"/>
    <w:rsid w:val="00FD7833"/>
    <w:rsid w:val="00FE2247"/>
    <w:rsid w:val="00FE2F57"/>
    <w:rsid w:val="00FF65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B0FD8"/>
  <w15:chartTrackingRefBased/>
  <w15:docId w15:val="{64793123-8E6E-4139-8292-06F71708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31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34"/>
    <w:qFormat/>
    <w:rsid w:val="00037310"/>
    <w:pPr>
      <w:ind w:left="720"/>
      <w:contextualSpacing/>
    </w:p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link w:val="Paragraphedeliste"/>
    <w:uiPriority w:val="34"/>
    <w:qFormat/>
    <w:locked/>
    <w:rsid w:val="00037310"/>
  </w:style>
  <w:style w:type="character" w:styleId="Marquedecommentaire">
    <w:name w:val="annotation reference"/>
    <w:basedOn w:val="Policepardfaut"/>
    <w:uiPriority w:val="99"/>
    <w:semiHidden/>
    <w:unhideWhenUsed/>
    <w:rsid w:val="00A774EF"/>
    <w:rPr>
      <w:sz w:val="16"/>
      <w:szCs w:val="16"/>
    </w:rPr>
  </w:style>
  <w:style w:type="paragraph" w:styleId="Commentaire">
    <w:name w:val="annotation text"/>
    <w:basedOn w:val="Normal"/>
    <w:link w:val="CommentaireCar"/>
    <w:uiPriority w:val="99"/>
    <w:unhideWhenUsed/>
    <w:rsid w:val="00A774EF"/>
    <w:pPr>
      <w:spacing w:line="240" w:lineRule="auto"/>
    </w:pPr>
    <w:rPr>
      <w:sz w:val="20"/>
      <w:szCs w:val="20"/>
    </w:rPr>
  </w:style>
  <w:style w:type="character" w:customStyle="1" w:styleId="CommentaireCar">
    <w:name w:val="Commentaire Car"/>
    <w:basedOn w:val="Policepardfaut"/>
    <w:link w:val="Commentaire"/>
    <w:uiPriority w:val="99"/>
    <w:rsid w:val="00A774EF"/>
    <w:rPr>
      <w:sz w:val="20"/>
      <w:szCs w:val="20"/>
    </w:rPr>
  </w:style>
  <w:style w:type="paragraph" w:styleId="Objetducommentaire">
    <w:name w:val="annotation subject"/>
    <w:basedOn w:val="Commentaire"/>
    <w:next w:val="Commentaire"/>
    <w:link w:val="ObjetducommentaireCar"/>
    <w:uiPriority w:val="99"/>
    <w:semiHidden/>
    <w:unhideWhenUsed/>
    <w:rsid w:val="00A774EF"/>
    <w:rPr>
      <w:b/>
      <w:bCs/>
    </w:rPr>
  </w:style>
  <w:style w:type="character" w:customStyle="1" w:styleId="ObjetducommentaireCar">
    <w:name w:val="Objet du commentaire Car"/>
    <w:basedOn w:val="CommentaireCar"/>
    <w:link w:val="Objetducommentaire"/>
    <w:uiPriority w:val="99"/>
    <w:semiHidden/>
    <w:rsid w:val="00A774EF"/>
    <w:rPr>
      <w:b/>
      <w:bCs/>
      <w:sz w:val="20"/>
      <w:szCs w:val="20"/>
    </w:rPr>
  </w:style>
  <w:style w:type="paragraph" w:styleId="Textedebulles">
    <w:name w:val="Balloon Text"/>
    <w:basedOn w:val="Normal"/>
    <w:link w:val="TextedebullesCar"/>
    <w:uiPriority w:val="99"/>
    <w:semiHidden/>
    <w:unhideWhenUsed/>
    <w:rsid w:val="00A77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74EF"/>
    <w:rPr>
      <w:rFonts w:ascii="Segoe UI" w:hAnsi="Segoe UI" w:cs="Segoe UI"/>
      <w:sz w:val="18"/>
      <w:szCs w:val="18"/>
    </w:rPr>
  </w:style>
  <w:style w:type="paragraph" w:styleId="En-tte">
    <w:name w:val="header"/>
    <w:basedOn w:val="Normal"/>
    <w:link w:val="En-tteCar"/>
    <w:uiPriority w:val="99"/>
    <w:unhideWhenUsed/>
    <w:rsid w:val="0034164F"/>
    <w:pPr>
      <w:tabs>
        <w:tab w:val="center" w:pos="4536"/>
        <w:tab w:val="right" w:pos="9072"/>
      </w:tabs>
      <w:spacing w:after="0" w:line="240" w:lineRule="auto"/>
    </w:pPr>
  </w:style>
  <w:style w:type="character" w:customStyle="1" w:styleId="En-tteCar">
    <w:name w:val="En-tête Car"/>
    <w:basedOn w:val="Policepardfaut"/>
    <w:link w:val="En-tte"/>
    <w:uiPriority w:val="99"/>
    <w:rsid w:val="0034164F"/>
  </w:style>
  <w:style w:type="paragraph" w:styleId="Pieddepage">
    <w:name w:val="footer"/>
    <w:basedOn w:val="Normal"/>
    <w:link w:val="PieddepageCar"/>
    <w:uiPriority w:val="99"/>
    <w:unhideWhenUsed/>
    <w:rsid w:val="003416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164F"/>
  </w:style>
  <w:style w:type="paragraph" w:customStyle="1" w:styleId="Default">
    <w:name w:val="Default"/>
    <w:rsid w:val="00100785"/>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E9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431F6"/>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FFCA08" w:themeColor="accent1"/>
        <w:left w:val="single" w:sz="8" w:space="0" w:color="FFCA08" w:themeColor="accent1"/>
        <w:bottom w:val="single" w:sz="8" w:space="0" w:color="FFCA08" w:themeColor="accent1"/>
        <w:right w:val="single" w:sz="8" w:space="0" w:color="FFCA08" w:themeColor="accent1"/>
      </w:tblBorders>
    </w:tblPr>
    <w:tblStylePr w:type="firstRow">
      <w:rPr>
        <w:sz w:val="24"/>
        <w:szCs w:val="24"/>
      </w:rPr>
      <w:tblPr/>
      <w:tcPr>
        <w:tcBorders>
          <w:top w:val="nil"/>
          <w:left w:val="nil"/>
          <w:bottom w:val="single" w:sz="24" w:space="0" w:color="FFCA08" w:themeColor="accent1"/>
          <w:right w:val="nil"/>
          <w:insideH w:val="nil"/>
          <w:insideV w:val="nil"/>
        </w:tcBorders>
        <w:shd w:val="clear" w:color="auto" w:fill="FFFFFF" w:themeFill="background1"/>
      </w:tcPr>
    </w:tblStylePr>
    <w:tblStylePr w:type="lastRow">
      <w:tblPr/>
      <w:tcPr>
        <w:tcBorders>
          <w:top w:val="single" w:sz="8" w:space="0" w:color="FFCA0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A08" w:themeColor="accent1"/>
          <w:insideH w:val="nil"/>
          <w:insideV w:val="nil"/>
        </w:tcBorders>
        <w:shd w:val="clear" w:color="auto" w:fill="FFFFFF" w:themeFill="background1"/>
      </w:tcPr>
    </w:tblStylePr>
    <w:tblStylePr w:type="lastCol">
      <w:tblPr/>
      <w:tcPr>
        <w:tcBorders>
          <w:top w:val="nil"/>
          <w:left w:val="single" w:sz="8" w:space="0" w:color="FFCA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1" w:themeFill="accent1" w:themeFillTint="3F"/>
      </w:tcPr>
    </w:tblStylePr>
    <w:tblStylePr w:type="band1Horz">
      <w:tblPr/>
      <w:tcPr>
        <w:tcBorders>
          <w:top w:val="nil"/>
          <w:bottom w:val="nil"/>
          <w:insideH w:val="nil"/>
          <w:insideV w:val="nil"/>
        </w:tcBorders>
        <w:shd w:val="clear" w:color="auto" w:fill="FFF1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
    <w:name w:val="Light List"/>
    <w:basedOn w:val="TableauNormal"/>
    <w:uiPriority w:val="61"/>
    <w:rsid w:val="00867DAC"/>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edelespacerserv">
    <w:name w:val="Placeholder Text"/>
    <w:basedOn w:val="Policepardfaut"/>
    <w:uiPriority w:val="99"/>
    <w:semiHidden/>
    <w:rsid w:val="00F12BD3"/>
    <w:rPr>
      <w:color w:val="808080"/>
    </w:rPr>
  </w:style>
  <w:style w:type="paragraph" w:styleId="Rvision">
    <w:name w:val="Revision"/>
    <w:hidden/>
    <w:uiPriority w:val="99"/>
    <w:semiHidden/>
    <w:rsid w:val="00A37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55098">
      <w:bodyDiv w:val="1"/>
      <w:marLeft w:val="0"/>
      <w:marRight w:val="0"/>
      <w:marTop w:val="0"/>
      <w:marBottom w:val="0"/>
      <w:divBdr>
        <w:top w:val="none" w:sz="0" w:space="0" w:color="auto"/>
        <w:left w:val="none" w:sz="0" w:space="0" w:color="auto"/>
        <w:bottom w:val="none" w:sz="0" w:space="0" w:color="auto"/>
        <w:right w:val="none" w:sz="0" w:space="0" w:color="auto"/>
      </w:divBdr>
    </w:div>
    <w:div w:id="349574707">
      <w:bodyDiv w:val="1"/>
      <w:marLeft w:val="0"/>
      <w:marRight w:val="0"/>
      <w:marTop w:val="0"/>
      <w:marBottom w:val="0"/>
      <w:divBdr>
        <w:top w:val="none" w:sz="0" w:space="0" w:color="auto"/>
        <w:left w:val="none" w:sz="0" w:space="0" w:color="auto"/>
        <w:bottom w:val="none" w:sz="0" w:space="0" w:color="auto"/>
        <w:right w:val="none" w:sz="0" w:space="0" w:color="auto"/>
      </w:divBdr>
    </w:div>
    <w:div w:id="359742836">
      <w:bodyDiv w:val="1"/>
      <w:marLeft w:val="0"/>
      <w:marRight w:val="0"/>
      <w:marTop w:val="0"/>
      <w:marBottom w:val="0"/>
      <w:divBdr>
        <w:top w:val="none" w:sz="0" w:space="0" w:color="auto"/>
        <w:left w:val="none" w:sz="0" w:space="0" w:color="auto"/>
        <w:bottom w:val="none" w:sz="0" w:space="0" w:color="auto"/>
        <w:right w:val="none" w:sz="0" w:space="0" w:color="auto"/>
      </w:divBdr>
    </w:div>
    <w:div w:id="378436686">
      <w:bodyDiv w:val="1"/>
      <w:marLeft w:val="0"/>
      <w:marRight w:val="0"/>
      <w:marTop w:val="0"/>
      <w:marBottom w:val="0"/>
      <w:divBdr>
        <w:top w:val="none" w:sz="0" w:space="0" w:color="auto"/>
        <w:left w:val="none" w:sz="0" w:space="0" w:color="auto"/>
        <w:bottom w:val="none" w:sz="0" w:space="0" w:color="auto"/>
        <w:right w:val="none" w:sz="0" w:space="0" w:color="auto"/>
      </w:divBdr>
    </w:div>
    <w:div w:id="449856091">
      <w:bodyDiv w:val="1"/>
      <w:marLeft w:val="0"/>
      <w:marRight w:val="0"/>
      <w:marTop w:val="0"/>
      <w:marBottom w:val="0"/>
      <w:divBdr>
        <w:top w:val="none" w:sz="0" w:space="0" w:color="auto"/>
        <w:left w:val="none" w:sz="0" w:space="0" w:color="auto"/>
        <w:bottom w:val="none" w:sz="0" w:space="0" w:color="auto"/>
        <w:right w:val="none" w:sz="0" w:space="0" w:color="auto"/>
      </w:divBdr>
    </w:div>
    <w:div w:id="619991421">
      <w:bodyDiv w:val="1"/>
      <w:marLeft w:val="0"/>
      <w:marRight w:val="0"/>
      <w:marTop w:val="0"/>
      <w:marBottom w:val="0"/>
      <w:divBdr>
        <w:top w:val="none" w:sz="0" w:space="0" w:color="auto"/>
        <w:left w:val="none" w:sz="0" w:space="0" w:color="auto"/>
        <w:bottom w:val="none" w:sz="0" w:space="0" w:color="auto"/>
        <w:right w:val="none" w:sz="0" w:space="0" w:color="auto"/>
      </w:divBdr>
    </w:div>
    <w:div w:id="630598590">
      <w:bodyDiv w:val="1"/>
      <w:marLeft w:val="0"/>
      <w:marRight w:val="0"/>
      <w:marTop w:val="0"/>
      <w:marBottom w:val="0"/>
      <w:divBdr>
        <w:top w:val="none" w:sz="0" w:space="0" w:color="auto"/>
        <w:left w:val="none" w:sz="0" w:space="0" w:color="auto"/>
        <w:bottom w:val="none" w:sz="0" w:space="0" w:color="auto"/>
        <w:right w:val="none" w:sz="0" w:space="0" w:color="auto"/>
      </w:divBdr>
    </w:div>
    <w:div w:id="798954788">
      <w:bodyDiv w:val="1"/>
      <w:marLeft w:val="0"/>
      <w:marRight w:val="0"/>
      <w:marTop w:val="0"/>
      <w:marBottom w:val="0"/>
      <w:divBdr>
        <w:top w:val="none" w:sz="0" w:space="0" w:color="auto"/>
        <w:left w:val="none" w:sz="0" w:space="0" w:color="auto"/>
        <w:bottom w:val="none" w:sz="0" w:space="0" w:color="auto"/>
        <w:right w:val="none" w:sz="0" w:space="0" w:color="auto"/>
      </w:divBdr>
    </w:div>
    <w:div w:id="891233945">
      <w:bodyDiv w:val="1"/>
      <w:marLeft w:val="0"/>
      <w:marRight w:val="0"/>
      <w:marTop w:val="0"/>
      <w:marBottom w:val="0"/>
      <w:divBdr>
        <w:top w:val="none" w:sz="0" w:space="0" w:color="auto"/>
        <w:left w:val="none" w:sz="0" w:space="0" w:color="auto"/>
        <w:bottom w:val="none" w:sz="0" w:space="0" w:color="auto"/>
        <w:right w:val="none" w:sz="0" w:space="0" w:color="auto"/>
      </w:divBdr>
    </w:div>
    <w:div w:id="967588425">
      <w:bodyDiv w:val="1"/>
      <w:marLeft w:val="0"/>
      <w:marRight w:val="0"/>
      <w:marTop w:val="0"/>
      <w:marBottom w:val="0"/>
      <w:divBdr>
        <w:top w:val="none" w:sz="0" w:space="0" w:color="auto"/>
        <w:left w:val="none" w:sz="0" w:space="0" w:color="auto"/>
        <w:bottom w:val="none" w:sz="0" w:space="0" w:color="auto"/>
        <w:right w:val="none" w:sz="0" w:space="0" w:color="auto"/>
      </w:divBdr>
    </w:div>
    <w:div w:id="1163007832">
      <w:bodyDiv w:val="1"/>
      <w:marLeft w:val="0"/>
      <w:marRight w:val="0"/>
      <w:marTop w:val="0"/>
      <w:marBottom w:val="0"/>
      <w:divBdr>
        <w:top w:val="none" w:sz="0" w:space="0" w:color="auto"/>
        <w:left w:val="none" w:sz="0" w:space="0" w:color="auto"/>
        <w:bottom w:val="none" w:sz="0" w:space="0" w:color="auto"/>
        <w:right w:val="none" w:sz="0" w:space="0" w:color="auto"/>
      </w:divBdr>
    </w:div>
    <w:div w:id="1262254660">
      <w:bodyDiv w:val="1"/>
      <w:marLeft w:val="0"/>
      <w:marRight w:val="0"/>
      <w:marTop w:val="0"/>
      <w:marBottom w:val="0"/>
      <w:divBdr>
        <w:top w:val="none" w:sz="0" w:space="0" w:color="auto"/>
        <w:left w:val="none" w:sz="0" w:space="0" w:color="auto"/>
        <w:bottom w:val="none" w:sz="0" w:space="0" w:color="auto"/>
        <w:right w:val="none" w:sz="0" w:space="0" w:color="auto"/>
      </w:divBdr>
    </w:div>
    <w:div w:id="1449468401">
      <w:bodyDiv w:val="1"/>
      <w:marLeft w:val="0"/>
      <w:marRight w:val="0"/>
      <w:marTop w:val="0"/>
      <w:marBottom w:val="0"/>
      <w:divBdr>
        <w:top w:val="none" w:sz="0" w:space="0" w:color="auto"/>
        <w:left w:val="none" w:sz="0" w:space="0" w:color="auto"/>
        <w:bottom w:val="none" w:sz="0" w:space="0" w:color="auto"/>
        <w:right w:val="none" w:sz="0" w:space="0" w:color="auto"/>
      </w:divBdr>
    </w:div>
    <w:div w:id="1463383908">
      <w:bodyDiv w:val="1"/>
      <w:marLeft w:val="0"/>
      <w:marRight w:val="0"/>
      <w:marTop w:val="0"/>
      <w:marBottom w:val="0"/>
      <w:divBdr>
        <w:top w:val="none" w:sz="0" w:space="0" w:color="auto"/>
        <w:left w:val="none" w:sz="0" w:space="0" w:color="auto"/>
        <w:bottom w:val="none" w:sz="0" w:space="0" w:color="auto"/>
        <w:right w:val="none" w:sz="0" w:space="0" w:color="auto"/>
      </w:divBdr>
    </w:div>
    <w:div w:id="1663196934">
      <w:bodyDiv w:val="1"/>
      <w:marLeft w:val="0"/>
      <w:marRight w:val="0"/>
      <w:marTop w:val="0"/>
      <w:marBottom w:val="0"/>
      <w:divBdr>
        <w:top w:val="none" w:sz="0" w:space="0" w:color="auto"/>
        <w:left w:val="none" w:sz="0" w:space="0" w:color="auto"/>
        <w:bottom w:val="none" w:sz="0" w:space="0" w:color="auto"/>
        <w:right w:val="none" w:sz="0" w:space="0" w:color="auto"/>
      </w:divBdr>
    </w:div>
    <w:div w:id="2080326434">
      <w:bodyDiv w:val="1"/>
      <w:marLeft w:val="0"/>
      <w:marRight w:val="0"/>
      <w:marTop w:val="0"/>
      <w:marBottom w:val="0"/>
      <w:divBdr>
        <w:top w:val="none" w:sz="0" w:space="0" w:color="auto"/>
        <w:left w:val="none" w:sz="0" w:space="0" w:color="auto"/>
        <w:bottom w:val="none" w:sz="0" w:space="0" w:color="auto"/>
        <w:right w:val="none" w:sz="0" w:space="0" w:color="auto"/>
      </w:divBdr>
    </w:div>
    <w:div w:id="21157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6EBC2-ABF7-4A1F-AAE0-C5BF4D98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2241</Words>
  <Characters>12331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Mouna Lakhiari</cp:lastModifiedBy>
  <cp:revision>3</cp:revision>
  <cp:lastPrinted>2021-02-02T10:40:00Z</cp:lastPrinted>
  <dcterms:created xsi:type="dcterms:W3CDTF">2026-06-13T08:42:00Z</dcterms:created>
  <dcterms:modified xsi:type="dcterms:W3CDTF">2026-06-26T09:59:00Z</dcterms:modified>
</cp:coreProperties>
</file>