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D029" w14:textId="448D4DAA" w:rsidR="00C85939" w:rsidRPr="00EF5E6E" w:rsidRDefault="00EF5E6E" w:rsidP="00EF5E6E">
      <w:pPr>
        <w:pBdr>
          <w:top w:val="single" w:sz="4" w:space="1" w:color="auto"/>
          <w:left w:val="single" w:sz="4" w:space="4" w:color="auto"/>
          <w:bottom w:val="single" w:sz="4" w:space="1" w:color="auto"/>
          <w:right w:val="single" w:sz="4" w:space="4" w:color="auto"/>
        </w:pBdr>
        <w:tabs>
          <w:tab w:val="left" w:pos="1155"/>
          <w:tab w:val="center" w:pos="4536"/>
          <w:tab w:val="left" w:pos="6480"/>
        </w:tabs>
        <w:spacing w:before="120"/>
        <w:jc w:val="center"/>
        <w:outlineLvl w:val="0"/>
      </w:pPr>
      <w:r w:rsidRPr="00EF5E6E">
        <w:t>TERMES DE REFERENCE</w:t>
      </w:r>
    </w:p>
    <w:p w14:paraId="2CCDC61F" w14:textId="4D2E00C2" w:rsidR="00EF5E6E" w:rsidRPr="00EF5E6E" w:rsidRDefault="00EF5E6E" w:rsidP="00EF5E6E">
      <w:pPr>
        <w:pBdr>
          <w:top w:val="single" w:sz="4" w:space="1" w:color="auto"/>
          <w:left w:val="single" w:sz="4" w:space="4" w:color="auto"/>
          <w:bottom w:val="single" w:sz="4" w:space="1" w:color="auto"/>
          <w:right w:val="single" w:sz="4" w:space="4" w:color="auto"/>
        </w:pBdr>
        <w:tabs>
          <w:tab w:val="left" w:pos="1155"/>
          <w:tab w:val="center" w:pos="4536"/>
          <w:tab w:val="left" w:pos="6480"/>
        </w:tabs>
        <w:spacing w:before="120"/>
        <w:jc w:val="center"/>
        <w:outlineLvl w:val="0"/>
      </w:pPr>
      <w:r w:rsidRPr="00EF5E6E">
        <w:t xml:space="preserve">RECRUTEMENT D’UN CABINET D’EXPERTISE EN APPUI TRANSVERSAL </w:t>
      </w:r>
    </w:p>
    <w:p w14:paraId="31715306" w14:textId="7AE7E1C9" w:rsidR="00E34CA7" w:rsidRPr="00EF5E6E" w:rsidRDefault="00EF5E6E" w:rsidP="00EF5E6E">
      <w:pPr>
        <w:pBdr>
          <w:top w:val="single" w:sz="4" w:space="1" w:color="auto"/>
          <w:left w:val="single" w:sz="4" w:space="4" w:color="auto"/>
          <w:bottom w:val="single" w:sz="4" w:space="1" w:color="auto"/>
          <w:right w:val="single" w:sz="4" w:space="4" w:color="auto"/>
        </w:pBdr>
        <w:tabs>
          <w:tab w:val="left" w:pos="1155"/>
          <w:tab w:val="center" w:pos="4536"/>
          <w:tab w:val="left" w:pos="6480"/>
        </w:tabs>
        <w:spacing w:before="120"/>
        <w:jc w:val="center"/>
        <w:outlineLvl w:val="0"/>
        <w:rPr>
          <w:b/>
          <w:bCs/>
          <w:sz w:val="22"/>
          <w:szCs w:val="22"/>
        </w:rPr>
      </w:pPr>
      <w:r w:rsidRPr="00EF5E6E">
        <w:rPr>
          <w:sz w:val="22"/>
          <w:szCs w:val="22"/>
        </w:rPr>
        <w:t xml:space="preserve">pour </w:t>
      </w:r>
      <w:r w:rsidRPr="00EF5E6E">
        <w:rPr>
          <w:sz w:val="22"/>
          <w:szCs w:val="22"/>
        </w:rPr>
        <w:t xml:space="preserve">la consolidation budgétaire, </w:t>
      </w:r>
      <w:r w:rsidRPr="00EF5E6E">
        <w:rPr>
          <w:sz w:val="22"/>
          <w:szCs w:val="22"/>
        </w:rPr>
        <w:t xml:space="preserve">le </w:t>
      </w:r>
      <w:r w:rsidRPr="00EF5E6E">
        <w:rPr>
          <w:sz w:val="22"/>
          <w:szCs w:val="22"/>
        </w:rPr>
        <w:t xml:space="preserve">suivi de la performance et </w:t>
      </w:r>
      <w:r w:rsidRPr="00EF5E6E">
        <w:rPr>
          <w:sz w:val="22"/>
          <w:szCs w:val="22"/>
        </w:rPr>
        <w:t>le</w:t>
      </w:r>
      <w:r w:rsidRPr="00EF5E6E">
        <w:rPr>
          <w:sz w:val="22"/>
          <w:szCs w:val="22"/>
        </w:rPr>
        <w:t xml:space="preserve"> dialogue de politique publique dans le cadre du programme C2D Ressources Humaines en Santé en Côte d’Ivoire.</w:t>
      </w:r>
    </w:p>
    <w:p w14:paraId="466ABD86" w14:textId="77777777" w:rsidR="007F1763" w:rsidRPr="00EF5E6E" w:rsidRDefault="007F1763" w:rsidP="00CE2850">
      <w:pPr>
        <w:spacing w:before="60"/>
        <w:jc w:val="both"/>
        <w:outlineLvl w:val="0"/>
        <w:rPr>
          <w:rFonts w:ascii="Calibri" w:hAnsi="Calibri"/>
          <w:sz w:val="22"/>
          <w:szCs w:val="22"/>
        </w:rPr>
      </w:pPr>
    </w:p>
    <w:p w14:paraId="07F58E75" w14:textId="77777777" w:rsidR="007F1763" w:rsidRPr="00D15F32" w:rsidRDefault="007F1763">
      <w:pPr>
        <w:numPr>
          <w:ilvl w:val="0"/>
          <w:numId w:val="1"/>
        </w:numPr>
        <w:shd w:val="clear" w:color="auto" w:fill="E6E6E6"/>
        <w:tabs>
          <w:tab w:val="clear" w:pos="720"/>
          <w:tab w:val="num" w:pos="180"/>
        </w:tabs>
        <w:ind w:left="180"/>
        <w:rPr>
          <w:rFonts w:ascii="Calibri" w:eastAsia="Arial Unicode MS" w:hAnsi="Calibri" w:cs="Arial Unicode MS"/>
          <w:b/>
          <w:sz w:val="22"/>
          <w:szCs w:val="22"/>
          <w:lang w:eastAsia="en-US"/>
        </w:rPr>
      </w:pPr>
      <w:r>
        <w:rPr>
          <w:rFonts w:ascii="Calibri" w:eastAsia="Arial Unicode MS" w:hAnsi="Calibri" w:cs="Arial Unicode MS"/>
          <w:b/>
          <w:sz w:val="22"/>
          <w:szCs w:val="22"/>
          <w:lang w:eastAsia="en-US"/>
        </w:rPr>
        <w:t>Informations générales</w:t>
      </w:r>
    </w:p>
    <w:p w14:paraId="7266CAA2" w14:textId="77777777" w:rsidR="007F1763" w:rsidRDefault="007F1763" w:rsidP="00CE2850">
      <w:pPr>
        <w:spacing w:before="60"/>
        <w:jc w:val="both"/>
        <w:outlineLvl w:val="0"/>
        <w:rPr>
          <w:rFonts w:ascii="Calibri" w:hAnsi="Calibr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EF5E6E" w:rsidRPr="00B62F66" w14:paraId="5F9D4682" w14:textId="77777777" w:rsidTr="00B62F66">
        <w:trPr>
          <w:trHeight w:val="401"/>
        </w:trPr>
        <w:tc>
          <w:tcPr>
            <w:tcW w:w="2903" w:type="dxa"/>
            <w:tcBorders>
              <w:top w:val="single" w:sz="4" w:space="0" w:color="auto"/>
              <w:bottom w:val="dashSmallGap" w:sz="4" w:space="0" w:color="auto"/>
              <w:right w:val="single" w:sz="2" w:space="0" w:color="000000"/>
            </w:tcBorders>
            <w:shd w:val="clear" w:color="auto" w:fill="E6E6E6"/>
          </w:tcPr>
          <w:p w14:paraId="6C82982D" w14:textId="170757F7" w:rsidR="00EF5E6E" w:rsidRPr="00B62F66" w:rsidRDefault="00EF5E6E" w:rsidP="00EF5E6E">
            <w:pPr>
              <w:spacing w:before="60"/>
              <w:outlineLvl w:val="0"/>
              <w:rPr>
                <w:sz w:val="22"/>
                <w:szCs w:val="22"/>
              </w:rPr>
            </w:pPr>
            <w:r w:rsidRPr="00B62F66">
              <w:rPr>
                <w:sz w:val="22"/>
                <w:szCs w:val="22"/>
              </w:rPr>
              <w:t>Domaine</w:t>
            </w:r>
          </w:p>
        </w:tc>
        <w:tc>
          <w:tcPr>
            <w:tcW w:w="6169" w:type="dxa"/>
            <w:tcBorders>
              <w:top w:val="single" w:sz="4" w:space="0" w:color="auto"/>
              <w:left w:val="single" w:sz="2" w:space="0" w:color="000000"/>
              <w:bottom w:val="dashSmallGap" w:sz="4" w:space="0" w:color="auto"/>
            </w:tcBorders>
          </w:tcPr>
          <w:p w14:paraId="6914D787" w14:textId="0FC655BB" w:rsidR="00EF5E6E" w:rsidRPr="00B62F66" w:rsidRDefault="00EF5E6E" w:rsidP="00EF5E6E">
            <w:pPr>
              <w:spacing w:before="120" w:after="120"/>
              <w:rPr>
                <w:sz w:val="22"/>
                <w:szCs w:val="22"/>
              </w:rPr>
            </w:pPr>
            <w:r w:rsidRPr="00B62F66">
              <w:rPr>
                <w:sz w:val="22"/>
                <w:szCs w:val="22"/>
              </w:rPr>
              <w:t xml:space="preserve">Santé / RHS / Réforme hospitalière </w:t>
            </w:r>
          </w:p>
        </w:tc>
      </w:tr>
      <w:tr w:rsidR="00EC3375" w:rsidRPr="00B62F66" w14:paraId="78E5B9B4" w14:textId="77777777" w:rsidTr="001E5EB8">
        <w:trPr>
          <w:trHeight w:val="652"/>
        </w:trPr>
        <w:tc>
          <w:tcPr>
            <w:tcW w:w="2903" w:type="dxa"/>
            <w:tcBorders>
              <w:top w:val="single" w:sz="4" w:space="0" w:color="auto"/>
              <w:bottom w:val="dashSmallGap" w:sz="4" w:space="0" w:color="auto"/>
              <w:right w:val="single" w:sz="2" w:space="0" w:color="000000"/>
            </w:tcBorders>
            <w:shd w:val="clear" w:color="auto" w:fill="E6E6E6"/>
          </w:tcPr>
          <w:p w14:paraId="6C78A887" w14:textId="7C4388C6" w:rsidR="00EC3375" w:rsidRPr="00B62F66" w:rsidRDefault="00EF5E6E" w:rsidP="001E5EB8">
            <w:pPr>
              <w:spacing w:before="60"/>
              <w:outlineLvl w:val="0"/>
              <w:rPr>
                <w:sz w:val="22"/>
                <w:szCs w:val="22"/>
              </w:rPr>
            </w:pPr>
            <w:r w:rsidRPr="00B62F66">
              <w:rPr>
                <w:sz w:val="22"/>
                <w:szCs w:val="22"/>
              </w:rPr>
              <w:t>Projet</w:t>
            </w:r>
          </w:p>
        </w:tc>
        <w:tc>
          <w:tcPr>
            <w:tcW w:w="6169" w:type="dxa"/>
            <w:tcBorders>
              <w:top w:val="single" w:sz="4" w:space="0" w:color="auto"/>
              <w:left w:val="single" w:sz="2" w:space="0" w:color="000000"/>
              <w:bottom w:val="dashSmallGap" w:sz="4" w:space="0" w:color="auto"/>
            </w:tcBorders>
          </w:tcPr>
          <w:p w14:paraId="6BE630A9" w14:textId="17954072" w:rsidR="00EC3375" w:rsidRPr="00B62F66" w:rsidRDefault="00EF5E6E" w:rsidP="00C9721B">
            <w:pPr>
              <w:spacing w:before="120" w:after="120"/>
              <w:rPr>
                <w:sz w:val="22"/>
                <w:szCs w:val="22"/>
              </w:rPr>
            </w:pPr>
            <w:r w:rsidRPr="00B62F66">
              <w:rPr>
                <w:sz w:val="22"/>
                <w:szCs w:val="22"/>
              </w:rPr>
              <w:t>Dispositif d’assistance technique en appui à la mise en œuvre du financement budgétaire programmatique dans le secteur des Ressources Humaines en Santé</w:t>
            </w:r>
          </w:p>
        </w:tc>
      </w:tr>
      <w:tr w:rsidR="00EC3375" w:rsidRPr="00B62F66" w14:paraId="44A8582A" w14:textId="77777777" w:rsidTr="001E5EB8">
        <w:trPr>
          <w:trHeight w:val="315"/>
        </w:trPr>
        <w:tc>
          <w:tcPr>
            <w:tcW w:w="2903" w:type="dxa"/>
            <w:tcBorders>
              <w:top w:val="dashSmallGap" w:sz="4" w:space="0" w:color="auto"/>
              <w:bottom w:val="dashSmallGap" w:sz="4" w:space="0" w:color="auto"/>
              <w:right w:val="single" w:sz="2" w:space="0" w:color="000000"/>
            </w:tcBorders>
            <w:shd w:val="clear" w:color="auto" w:fill="E6E6E6"/>
          </w:tcPr>
          <w:p w14:paraId="0FA3E994" w14:textId="77777777" w:rsidR="00EC3375" w:rsidRPr="00B62F66" w:rsidRDefault="00EC3375" w:rsidP="001E5EB8">
            <w:pPr>
              <w:spacing w:before="60"/>
              <w:outlineLvl w:val="0"/>
              <w:rPr>
                <w:sz w:val="22"/>
                <w:szCs w:val="22"/>
              </w:rPr>
            </w:pPr>
            <w:r w:rsidRPr="00B62F66">
              <w:rPr>
                <w:sz w:val="22"/>
                <w:szCs w:val="22"/>
              </w:rPr>
              <w:t>Bénéficiaire(s)</w:t>
            </w:r>
          </w:p>
        </w:tc>
        <w:tc>
          <w:tcPr>
            <w:tcW w:w="6169" w:type="dxa"/>
            <w:tcBorders>
              <w:top w:val="dashSmallGap" w:sz="4" w:space="0" w:color="auto"/>
              <w:left w:val="single" w:sz="2" w:space="0" w:color="000000"/>
              <w:bottom w:val="dashSmallGap" w:sz="4" w:space="0" w:color="auto"/>
            </w:tcBorders>
          </w:tcPr>
          <w:p w14:paraId="1E447E27" w14:textId="1E3312C8" w:rsidR="00EC3375" w:rsidRPr="00B62F66" w:rsidRDefault="00F76908" w:rsidP="008C3561">
            <w:pPr>
              <w:spacing w:before="60"/>
              <w:outlineLvl w:val="0"/>
              <w:rPr>
                <w:sz w:val="22"/>
                <w:szCs w:val="22"/>
              </w:rPr>
            </w:pPr>
            <w:r w:rsidRPr="00B62F66">
              <w:rPr>
                <w:sz w:val="22"/>
                <w:szCs w:val="22"/>
              </w:rPr>
              <w:t>République</w:t>
            </w:r>
            <w:r w:rsidR="008C3561" w:rsidRPr="00B62F66">
              <w:rPr>
                <w:sz w:val="22"/>
                <w:szCs w:val="22"/>
              </w:rPr>
              <w:t xml:space="preserve"> de Côte d’Ivoire</w:t>
            </w:r>
          </w:p>
        </w:tc>
      </w:tr>
      <w:tr w:rsidR="00EC3375" w:rsidRPr="00B62F66" w14:paraId="532DFD76" w14:textId="77777777" w:rsidTr="00B62F66">
        <w:trPr>
          <w:trHeight w:val="258"/>
        </w:trPr>
        <w:tc>
          <w:tcPr>
            <w:tcW w:w="2903" w:type="dxa"/>
            <w:tcBorders>
              <w:top w:val="dashSmallGap" w:sz="4" w:space="0" w:color="auto"/>
              <w:bottom w:val="dashSmallGap" w:sz="4" w:space="0" w:color="auto"/>
              <w:right w:val="single" w:sz="2" w:space="0" w:color="000000"/>
            </w:tcBorders>
            <w:shd w:val="clear" w:color="auto" w:fill="E6E6E6"/>
          </w:tcPr>
          <w:p w14:paraId="094B0D5E" w14:textId="77777777" w:rsidR="00EC3375" w:rsidRPr="00B62F66" w:rsidRDefault="00EC3375" w:rsidP="001E5EB8">
            <w:pPr>
              <w:spacing w:before="60"/>
              <w:outlineLvl w:val="0"/>
              <w:rPr>
                <w:sz w:val="22"/>
                <w:szCs w:val="22"/>
              </w:rPr>
            </w:pPr>
            <w:r w:rsidRPr="00B62F66">
              <w:rPr>
                <w:sz w:val="22"/>
                <w:szCs w:val="22"/>
              </w:rPr>
              <w:t>Pays</w:t>
            </w:r>
          </w:p>
        </w:tc>
        <w:tc>
          <w:tcPr>
            <w:tcW w:w="6169" w:type="dxa"/>
            <w:tcBorders>
              <w:top w:val="dashSmallGap" w:sz="4" w:space="0" w:color="auto"/>
              <w:left w:val="single" w:sz="2" w:space="0" w:color="000000"/>
              <w:bottom w:val="dashSmallGap" w:sz="4" w:space="0" w:color="auto"/>
            </w:tcBorders>
            <w:vAlign w:val="bottom"/>
          </w:tcPr>
          <w:p w14:paraId="1F4C74EA" w14:textId="09095DD8" w:rsidR="00EC3375" w:rsidRPr="00B62F66" w:rsidRDefault="008C3561" w:rsidP="008C3561">
            <w:pPr>
              <w:rPr>
                <w:sz w:val="22"/>
                <w:szCs w:val="22"/>
              </w:rPr>
            </w:pPr>
            <w:r w:rsidRPr="00B62F66">
              <w:rPr>
                <w:sz w:val="22"/>
                <w:szCs w:val="22"/>
              </w:rPr>
              <w:t>Cote d’Ivoire</w:t>
            </w:r>
          </w:p>
        </w:tc>
      </w:tr>
      <w:tr w:rsidR="00F76908" w:rsidRPr="00B62F66" w14:paraId="00C6F367" w14:textId="77777777" w:rsidTr="001927C4">
        <w:trPr>
          <w:trHeight w:val="330"/>
        </w:trPr>
        <w:tc>
          <w:tcPr>
            <w:tcW w:w="2903" w:type="dxa"/>
            <w:tcBorders>
              <w:top w:val="dashSmallGap" w:sz="4" w:space="0" w:color="auto"/>
              <w:bottom w:val="dashSmallGap" w:sz="4" w:space="0" w:color="auto"/>
              <w:right w:val="single" w:sz="2" w:space="0" w:color="000000"/>
            </w:tcBorders>
            <w:shd w:val="clear" w:color="auto" w:fill="E6E6E6"/>
          </w:tcPr>
          <w:p w14:paraId="7E08CAB2" w14:textId="2E116D2D" w:rsidR="00F76908" w:rsidRPr="00B62F66" w:rsidRDefault="00F76908" w:rsidP="001E5EB8">
            <w:pPr>
              <w:spacing w:before="60"/>
              <w:outlineLvl w:val="0"/>
              <w:rPr>
                <w:sz w:val="22"/>
                <w:szCs w:val="22"/>
              </w:rPr>
            </w:pPr>
            <w:r w:rsidRPr="00B62F66">
              <w:rPr>
                <w:sz w:val="22"/>
                <w:szCs w:val="22"/>
              </w:rPr>
              <w:t>Période prévisionnelle</w:t>
            </w:r>
          </w:p>
        </w:tc>
        <w:tc>
          <w:tcPr>
            <w:tcW w:w="6169" w:type="dxa"/>
            <w:tcBorders>
              <w:top w:val="dashSmallGap" w:sz="4" w:space="0" w:color="auto"/>
              <w:left w:val="single" w:sz="2" w:space="0" w:color="000000"/>
              <w:bottom w:val="dashSmallGap" w:sz="4" w:space="0" w:color="auto"/>
            </w:tcBorders>
            <w:vAlign w:val="bottom"/>
          </w:tcPr>
          <w:p w14:paraId="3254F850" w14:textId="14984C7B" w:rsidR="00F76908" w:rsidRPr="00B62F66" w:rsidRDefault="00F76908" w:rsidP="008C3561">
            <w:pPr>
              <w:rPr>
                <w:sz w:val="22"/>
                <w:szCs w:val="22"/>
              </w:rPr>
            </w:pPr>
            <w:r w:rsidRPr="00B62F66">
              <w:rPr>
                <w:sz w:val="22"/>
                <w:szCs w:val="22"/>
              </w:rPr>
              <w:t>Fin 2026-mai 2030</w:t>
            </w:r>
          </w:p>
        </w:tc>
      </w:tr>
      <w:tr w:rsidR="000972A8" w:rsidRPr="00B62F66" w14:paraId="5FD02A78" w14:textId="77777777" w:rsidTr="001E5EB8">
        <w:trPr>
          <w:trHeight w:val="330"/>
        </w:trPr>
        <w:tc>
          <w:tcPr>
            <w:tcW w:w="2903" w:type="dxa"/>
            <w:tcBorders>
              <w:top w:val="dashSmallGap" w:sz="4" w:space="0" w:color="auto"/>
              <w:bottom w:val="dashSmallGap" w:sz="4" w:space="0" w:color="auto"/>
              <w:right w:val="single" w:sz="2" w:space="0" w:color="000000"/>
            </w:tcBorders>
            <w:shd w:val="clear" w:color="auto" w:fill="E6E6E6"/>
          </w:tcPr>
          <w:p w14:paraId="247930CE" w14:textId="77777777" w:rsidR="000972A8" w:rsidRPr="00B62F66" w:rsidRDefault="000972A8" w:rsidP="001E5EB8">
            <w:pPr>
              <w:spacing w:before="60"/>
              <w:outlineLvl w:val="0"/>
              <w:rPr>
                <w:sz w:val="22"/>
                <w:szCs w:val="22"/>
              </w:rPr>
            </w:pPr>
            <w:r w:rsidRPr="00B62F66">
              <w:rPr>
                <w:sz w:val="22"/>
                <w:szCs w:val="22"/>
              </w:rPr>
              <w:t>Durée totale des jours prévus</w:t>
            </w:r>
          </w:p>
        </w:tc>
        <w:tc>
          <w:tcPr>
            <w:tcW w:w="6169" w:type="dxa"/>
            <w:tcBorders>
              <w:top w:val="dashSmallGap" w:sz="4" w:space="0" w:color="auto"/>
              <w:left w:val="single" w:sz="2" w:space="0" w:color="000000"/>
              <w:bottom w:val="dashSmallGap" w:sz="4" w:space="0" w:color="auto"/>
            </w:tcBorders>
          </w:tcPr>
          <w:p w14:paraId="585213D8" w14:textId="589AB2EE" w:rsidR="000972A8" w:rsidRPr="00B62F66" w:rsidRDefault="007D4E62" w:rsidP="000942EE">
            <w:pPr>
              <w:spacing w:before="60"/>
              <w:outlineLvl w:val="0"/>
              <w:rPr>
                <w:sz w:val="22"/>
                <w:szCs w:val="22"/>
              </w:rPr>
            </w:pPr>
            <w:r w:rsidRPr="00B62F66">
              <w:rPr>
                <w:sz w:val="22"/>
                <w:szCs w:val="22"/>
              </w:rPr>
              <w:t>46 jours</w:t>
            </w:r>
          </w:p>
        </w:tc>
      </w:tr>
    </w:tbl>
    <w:p w14:paraId="5639991B" w14:textId="77777777" w:rsidR="00671483" w:rsidRDefault="00671483" w:rsidP="00CE2850">
      <w:pPr>
        <w:spacing w:before="60"/>
        <w:jc w:val="both"/>
        <w:outlineLvl w:val="0"/>
        <w:rPr>
          <w:rFonts w:ascii="Calibri" w:hAnsi="Calibri"/>
          <w:sz w:val="22"/>
          <w:szCs w:val="22"/>
        </w:rPr>
      </w:pPr>
    </w:p>
    <w:p w14:paraId="7AB3782C" w14:textId="0A174CD8" w:rsidR="001D27F6" w:rsidRPr="00B62F66" w:rsidRDefault="000942EE">
      <w:pPr>
        <w:numPr>
          <w:ilvl w:val="0"/>
          <w:numId w:val="1"/>
        </w:numPr>
        <w:shd w:val="clear" w:color="auto" w:fill="E6E6E6"/>
        <w:tabs>
          <w:tab w:val="clear" w:pos="720"/>
          <w:tab w:val="num" w:pos="180"/>
        </w:tabs>
        <w:ind w:left="180"/>
        <w:rPr>
          <w:rFonts w:eastAsia="Arial Unicode MS"/>
          <w:b/>
          <w:sz w:val="22"/>
          <w:szCs w:val="22"/>
          <w:lang w:eastAsia="en-US"/>
        </w:rPr>
      </w:pPr>
      <w:r w:rsidRPr="00B62F66">
        <w:rPr>
          <w:rFonts w:eastAsia="Arial Unicode MS"/>
          <w:b/>
          <w:sz w:val="22"/>
          <w:szCs w:val="22"/>
          <w:lang w:eastAsia="en-US"/>
        </w:rPr>
        <w:t>Contexte et j</w:t>
      </w:r>
      <w:r w:rsidR="00965444" w:rsidRPr="00B62F66">
        <w:rPr>
          <w:rFonts w:eastAsia="Arial Unicode MS"/>
          <w:b/>
          <w:sz w:val="22"/>
          <w:szCs w:val="22"/>
          <w:lang w:eastAsia="en-US"/>
        </w:rPr>
        <w:t xml:space="preserve">ustification </w:t>
      </w:r>
      <w:r w:rsidR="00EA4B51" w:rsidRPr="00B62F66">
        <w:rPr>
          <w:rFonts w:eastAsia="Arial Unicode MS"/>
          <w:b/>
          <w:sz w:val="22"/>
          <w:szCs w:val="22"/>
          <w:lang w:eastAsia="en-US"/>
        </w:rPr>
        <w:t>du besoin</w:t>
      </w:r>
    </w:p>
    <w:p w14:paraId="5216283E" w14:textId="77777777" w:rsidR="001441C8" w:rsidRPr="00B62F66" w:rsidRDefault="001441C8" w:rsidP="001D27F6">
      <w:pPr>
        <w:rPr>
          <w:sz w:val="22"/>
          <w:szCs w:val="22"/>
        </w:rPr>
      </w:pPr>
    </w:p>
    <w:p w14:paraId="694828D0" w14:textId="77777777" w:rsidR="00517CA0" w:rsidRPr="00B62F66" w:rsidRDefault="00517CA0" w:rsidP="00517CA0">
      <w:pPr>
        <w:jc w:val="both"/>
        <w:rPr>
          <w:sz w:val="22"/>
          <w:szCs w:val="22"/>
        </w:rPr>
      </w:pPr>
      <w:r w:rsidRPr="00B62F66">
        <w:rPr>
          <w:sz w:val="22"/>
          <w:szCs w:val="22"/>
        </w:rPr>
        <w:t xml:space="preserve">Le troisième Contrat de Désendettement et de Développement (C2D), signé en octobre 2021, vise à soutenir l’Etat de Côte d’Ivoire dans la mise en œuvre de son Plan National de Développement 2021-2025 sous forme d’aide projet et de financements budgétaires. En lien avec l’Agence Française de Développement (AFD), sur financement C2D, un appui budgétaire programmatique pour le renforcement des ressources humaines en santé de 30,5 millions d’euros est prévu pour la Côte d’Ivoire. </w:t>
      </w:r>
    </w:p>
    <w:p w14:paraId="10529951" w14:textId="77777777" w:rsidR="00517CA0" w:rsidRPr="00B62F66" w:rsidRDefault="00517CA0" w:rsidP="00517CA0">
      <w:pPr>
        <w:jc w:val="both"/>
        <w:rPr>
          <w:sz w:val="22"/>
          <w:szCs w:val="22"/>
        </w:rPr>
      </w:pPr>
    </w:p>
    <w:p w14:paraId="4BD08587" w14:textId="77777777" w:rsidR="00517CA0" w:rsidRPr="00B62F66" w:rsidRDefault="00517CA0" w:rsidP="00517CA0">
      <w:pPr>
        <w:jc w:val="both"/>
        <w:rPr>
          <w:sz w:val="22"/>
          <w:szCs w:val="22"/>
        </w:rPr>
      </w:pPr>
      <w:r w:rsidRPr="00B62F66">
        <w:rPr>
          <w:sz w:val="22"/>
          <w:szCs w:val="22"/>
        </w:rPr>
        <w:t>L’objectif général du dispositif d’assistance technique est de contribuer à renforcer quantitativement, qualitativement et territorialement la répartition et la gestion des ressources humaines en santé en RCI pour mieux répondre aux besoins de santé de la population, tout particulièrement en santé maternelle et infantile et sur les territoires pilotes actuellement sous-dotés.</w:t>
      </w:r>
    </w:p>
    <w:p w14:paraId="199F625D" w14:textId="77777777" w:rsidR="00517CA0" w:rsidRPr="00B62F66" w:rsidRDefault="00517CA0" w:rsidP="00517CA0">
      <w:pPr>
        <w:shd w:val="clear" w:color="auto" w:fill="FFFFFF"/>
        <w:spacing w:after="150" w:line="342" w:lineRule="atLeast"/>
        <w:jc w:val="both"/>
        <w:rPr>
          <w:sz w:val="22"/>
          <w:szCs w:val="22"/>
        </w:rPr>
      </w:pPr>
      <w:r w:rsidRPr="00B62F66">
        <w:rPr>
          <w:sz w:val="22"/>
          <w:szCs w:val="22"/>
        </w:rPr>
        <w:t>Le programme d’assistance technique couvre quatre axes structurants d’intervention élaborés avec la partie nationale ivoirienne :</w:t>
      </w:r>
    </w:p>
    <w:p w14:paraId="128D46DB" w14:textId="77777777" w:rsidR="00517CA0" w:rsidRPr="00B62F66" w:rsidRDefault="00517CA0">
      <w:pPr>
        <w:pStyle w:val="Paragraphedeliste"/>
        <w:numPr>
          <w:ilvl w:val="0"/>
          <w:numId w:val="2"/>
        </w:numPr>
        <w:spacing w:after="60"/>
        <w:contextualSpacing w:val="0"/>
        <w:jc w:val="both"/>
        <w:rPr>
          <w:sz w:val="22"/>
          <w:szCs w:val="22"/>
        </w:rPr>
      </w:pPr>
      <w:r w:rsidRPr="00B62F66">
        <w:rPr>
          <w:sz w:val="22"/>
          <w:szCs w:val="22"/>
        </w:rPr>
        <w:t>Axe 1 : Augmentation et régionalisation des capacités de formation initiale et continue des professionnels de santé ;</w:t>
      </w:r>
    </w:p>
    <w:p w14:paraId="50E3F475" w14:textId="4F3210D9" w:rsidR="00517CA0" w:rsidRPr="00B62F66" w:rsidRDefault="00517CA0">
      <w:pPr>
        <w:numPr>
          <w:ilvl w:val="0"/>
          <w:numId w:val="3"/>
        </w:numPr>
        <w:pBdr>
          <w:top w:val="nil"/>
          <w:left w:val="nil"/>
          <w:bottom w:val="nil"/>
          <w:right w:val="nil"/>
          <w:between w:val="nil"/>
        </w:pBdr>
        <w:spacing w:line="276" w:lineRule="auto"/>
        <w:jc w:val="both"/>
        <w:rPr>
          <w:sz w:val="22"/>
          <w:szCs w:val="22"/>
        </w:rPr>
      </w:pPr>
      <w:r w:rsidRPr="00B62F66">
        <w:rPr>
          <w:sz w:val="22"/>
          <w:szCs w:val="22"/>
        </w:rPr>
        <w:t xml:space="preserve">Axe 2 : </w:t>
      </w:r>
      <w:r w:rsidR="005A246A" w:rsidRPr="00B62F66">
        <w:rPr>
          <w:sz w:val="22"/>
          <w:szCs w:val="22"/>
        </w:rPr>
        <w:t>Appui à la réforme hospitalière et à son implémentation autour des pôles régionaux de San Pedro et Bondoukou ;</w:t>
      </w:r>
    </w:p>
    <w:p w14:paraId="54260F7C" w14:textId="77777777" w:rsidR="00517CA0" w:rsidRPr="00B62F66" w:rsidRDefault="00517CA0">
      <w:pPr>
        <w:pStyle w:val="Paragraphedeliste"/>
        <w:numPr>
          <w:ilvl w:val="0"/>
          <w:numId w:val="2"/>
        </w:numPr>
        <w:spacing w:after="60"/>
        <w:contextualSpacing w:val="0"/>
        <w:jc w:val="both"/>
        <w:rPr>
          <w:sz w:val="22"/>
          <w:szCs w:val="22"/>
        </w:rPr>
      </w:pPr>
      <w:r w:rsidRPr="00B62F66">
        <w:rPr>
          <w:sz w:val="22"/>
          <w:szCs w:val="22"/>
        </w:rPr>
        <w:t>Axe 3 : Renforcement de la gouvernance et de la régulation du secteur avec la création d’une autorité ivoirienne de régulation de la santé (AIRS) ;</w:t>
      </w:r>
    </w:p>
    <w:p w14:paraId="05B0C37C" w14:textId="64B14775" w:rsidR="00517CA0" w:rsidRPr="00B62F66" w:rsidRDefault="00517CA0">
      <w:pPr>
        <w:pStyle w:val="Paragraphedeliste"/>
        <w:numPr>
          <w:ilvl w:val="0"/>
          <w:numId w:val="2"/>
        </w:numPr>
        <w:spacing w:after="60"/>
        <w:contextualSpacing w:val="0"/>
        <w:jc w:val="both"/>
        <w:rPr>
          <w:sz w:val="22"/>
          <w:szCs w:val="22"/>
        </w:rPr>
      </w:pPr>
      <w:r w:rsidRPr="00B62F66">
        <w:rPr>
          <w:sz w:val="22"/>
          <w:szCs w:val="22"/>
        </w:rPr>
        <w:t>Axe 4 : Appui à la structuration et au développement du secteur de santé à but non lucratif.</w:t>
      </w:r>
    </w:p>
    <w:p w14:paraId="5F990C6D" w14:textId="546AF9A2" w:rsidR="00517CA0" w:rsidRPr="00B62F66" w:rsidRDefault="00517CA0" w:rsidP="00517CA0">
      <w:pPr>
        <w:pStyle w:val="NormalWeb"/>
        <w:jc w:val="both"/>
        <w:rPr>
          <w:sz w:val="22"/>
          <w:szCs w:val="22"/>
        </w:rPr>
      </w:pPr>
      <w:r w:rsidRPr="00B62F66">
        <w:rPr>
          <w:sz w:val="22"/>
          <w:szCs w:val="22"/>
        </w:rPr>
        <w:t xml:space="preserve">Le financement budgétaire programmatique (FB-PR) est une modalité alignée de l’aide sur les structures et les procédures nationales. Cette modalité de l’aide est un défi pour l’ensemble des parties prenantes : </w:t>
      </w:r>
      <w:r w:rsidR="005A246A" w:rsidRPr="00B62F66">
        <w:rPr>
          <w:sz w:val="22"/>
          <w:szCs w:val="22"/>
        </w:rPr>
        <w:t>le</w:t>
      </w:r>
      <w:r w:rsidRPr="00B62F66">
        <w:rPr>
          <w:sz w:val="22"/>
          <w:szCs w:val="22"/>
        </w:rPr>
        <w:t xml:space="preserve"> Ministère de la santé</w:t>
      </w:r>
      <w:r w:rsidR="005A246A" w:rsidRPr="00B62F66">
        <w:rPr>
          <w:sz w:val="22"/>
          <w:szCs w:val="22"/>
        </w:rPr>
        <w:t xml:space="preserve"> de </w:t>
      </w:r>
      <w:r w:rsidRPr="00B62F66">
        <w:rPr>
          <w:sz w:val="22"/>
          <w:szCs w:val="22"/>
        </w:rPr>
        <w:t>l’hygiène publique, de la couverture m</w:t>
      </w:r>
      <w:r w:rsidR="005A246A" w:rsidRPr="00B62F66">
        <w:rPr>
          <w:sz w:val="22"/>
          <w:szCs w:val="22"/>
        </w:rPr>
        <w:t>aladie</w:t>
      </w:r>
      <w:r w:rsidRPr="00B62F66">
        <w:rPr>
          <w:sz w:val="22"/>
          <w:szCs w:val="22"/>
        </w:rPr>
        <w:t xml:space="preserve"> universelle (MSHPCMU), le Ministère de l’enseignement supérieur et de la recherche scientifique (MESRS), le Ministère de l’économie et des finances (MEF), ainsi que les entités publiques sous leurs tutelles. Elle est porteuse </w:t>
      </w:r>
      <w:r w:rsidRPr="00B62F66">
        <w:rPr>
          <w:sz w:val="22"/>
          <w:szCs w:val="22"/>
        </w:rPr>
        <w:lastRenderedPageBreak/>
        <w:t>de changements importants en termes de planification, d’exécution des ressources, de rapportage technique et financier, de suivi et de coordination.</w:t>
      </w:r>
    </w:p>
    <w:p w14:paraId="456FC61B" w14:textId="475569A0" w:rsidR="00517CA0" w:rsidRPr="00B62F66" w:rsidRDefault="00517CA0" w:rsidP="00973E68">
      <w:pPr>
        <w:jc w:val="both"/>
        <w:rPr>
          <w:rFonts w:eastAsia="Cambria"/>
          <w:sz w:val="22"/>
          <w:szCs w:val="22"/>
        </w:rPr>
      </w:pPr>
      <w:r w:rsidRPr="00B62F66">
        <w:rPr>
          <w:sz w:val="22"/>
          <w:szCs w:val="22"/>
        </w:rPr>
        <w:t xml:space="preserve">En vue de permettre une mise en œuvre harmonieuse et optimale de ce financement budgétaire, </w:t>
      </w:r>
      <w:r w:rsidR="00813DB8" w:rsidRPr="00B62F66">
        <w:rPr>
          <w:sz w:val="22"/>
          <w:szCs w:val="22"/>
        </w:rPr>
        <w:t>u</w:t>
      </w:r>
      <w:r w:rsidRPr="00B62F66">
        <w:rPr>
          <w:sz w:val="22"/>
          <w:szCs w:val="22"/>
        </w:rPr>
        <w:t xml:space="preserve">ne </w:t>
      </w:r>
      <w:r w:rsidR="006D4B2A" w:rsidRPr="00B62F66">
        <w:rPr>
          <w:sz w:val="22"/>
          <w:szCs w:val="22"/>
        </w:rPr>
        <w:t>expert</w:t>
      </w:r>
      <w:r w:rsidRPr="00B62F66">
        <w:rPr>
          <w:sz w:val="22"/>
          <w:szCs w:val="22"/>
        </w:rPr>
        <w:t>ise transversale</w:t>
      </w:r>
      <w:r w:rsidR="00813DB8" w:rsidRPr="00B62F66">
        <w:rPr>
          <w:sz w:val="22"/>
          <w:szCs w:val="22"/>
        </w:rPr>
        <w:t xml:space="preserve"> est</w:t>
      </w:r>
      <w:r w:rsidRPr="00B62F66">
        <w:rPr>
          <w:sz w:val="22"/>
          <w:szCs w:val="22"/>
        </w:rPr>
        <w:t xml:space="preserve"> mobilisée tout au long du dispositif d’assis</w:t>
      </w:r>
      <w:r w:rsidR="00973E68" w:rsidRPr="00B62F66">
        <w:rPr>
          <w:sz w:val="22"/>
          <w:szCs w:val="22"/>
        </w:rPr>
        <w:t>tance technique à travers l’Inspection générale des affaires sociales (</w:t>
      </w:r>
      <w:r w:rsidR="006D4B2A" w:rsidRPr="00B62F66">
        <w:rPr>
          <w:sz w:val="22"/>
          <w:szCs w:val="22"/>
        </w:rPr>
        <w:t>EXPERT</w:t>
      </w:r>
      <w:r w:rsidR="00973E68" w:rsidRPr="00B62F66">
        <w:rPr>
          <w:sz w:val="22"/>
          <w:szCs w:val="22"/>
        </w:rPr>
        <w:t xml:space="preserve">). Cette </w:t>
      </w:r>
      <w:r w:rsidR="006D4B2A" w:rsidRPr="00B62F66">
        <w:rPr>
          <w:sz w:val="22"/>
          <w:szCs w:val="22"/>
        </w:rPr>
        <w:t>expert</w:t>
      </w:r>
      <w:r w:rsidR="00973E68" w:rsidRPr="00B62F66">
        <w:rPr>
          <w:sz w:val="22"/>
          <w:szCs w:val="22"/>
        </w:rPr>
        <w:t>ise permettra d’appuyer le dialogue de politique publique avec la partie ivoirienne ainsi que l’évaluation des indicateurs du programme porté par l’assistance technique.</w:t>
      </w:r>
    </w:p>
    <w:p w14:paraId="2B156372" w14:textId="54E24410" w:rsidR="00CB7DE0" w:rsidRPr="00B62F66" w:rsidRDefault="00CB7DE0" w:rsidP="00813DB8">
      <w:pPr>
        <w:spacing w:line="276" w:lineRule="auto"/>
        <w:contextualSpacing/>
        <w:jc w:val="both"/>
        <w:rPr>
          <w:sz w:val="22"/>
          <w:szCs w:val="22"/>
        </w:rPr>
      </w:pPr>
    </w:p>
    <w:p w14:paraId="6920BE25" w14:textId="546C6426" w:rsidR="00CB7DE0" w:rsidRPr="00B62F66" w:rsidRDefault="00CB7DE0" w:rsidP="00813DB8">
      <w:pPr>
        <w:spacing w:line="276" w:lineRule="auto"/>
        <w:contextualSpacing/>
        <w:jc w:val="both"/>
        <w:rPr>
          <w:sz w:val="22"/>
          <w:szCs w:val="22"/>
        </w:rPr>
      </w:pPr>
      <w:r w:rsidRPr="00B62F66">
        <w:rPr>
          <w:sz w:val="22"/>
          <w:szCs w:val="22"/>
        </w:rPr>
        <w:t>C’est dans ce cadre qu</w:t>
      </w:r>
      <w:r w:rsidR="005A246A" w:rsidRPr="00B62F66">
        <w:rPr>
          <w:sz w:val="22"/>
          <w:szCs w:val="22"/>
        </w:rPr>
        <w:t>e ce</w:t>
      </w:r>
      <w:r w:rsidR="00B62F66">
        <w:rPr>
          <w:sz w:val="22"/>
          <w:szCs w:val="22"/>
        </w:rPr>
        <w:t>s termes de référence sont</w:t>
      </w:r>
      <w:r w:rsidRPr="00B62F66">
        <w:rPr>
          <w:sz w:val="22"/>
          <w:szCs w:val="22"/>
        </w:rPr>
        <w:t xml:space="preserve"> élaboré</w:t>
      </w:r>
      <w:r w:rsidR="00B62F66">
        <w:rPr>
          <w:sz w:val="22"/>
          <w:szCs w:val="22"/>
        </w:rPr>
        <w:t>s</w:t>
      </w:r>
      <w:r w:rsidRPr="00B62F66">
        <w:rPr>
          <w:sz w:val="22"/>
          <w:szCs w:val="22"/>
        </w:rPr>
        <w:t>.</w:t>
      </w:r>
    </w:p>
    <w:p w14:paraId="5BDC986F" w14:textId="77777777" w:rsidR="00CB7AA1" w:rsidRPr="00B62F66" w:rsidRDefault="00CB7AA1" w:rsidP="00CB7AA1">
      <w:pPr>
        <w:jc w:val="both"/>
        <w:rPr>
          <w:sz w:val="22"/>
          <w:szCs w:val="22"/>
        </w:rPr>
      </w:pPr>
    </w:p>
    <w:p w14:paraId="38D0CCF7" w14:textId="77777777" w:rsidR="001D27F6" w:rsidRPr="00B62F66" w:rsidRDefault="00965444">
      <w:pPr>
        <w:numPr>
          <w:ilvl w:val="0"/>
          <w:numId w:val="1"/>
        </w:numPr>
        <w:shd w:val="clear" w:color="auto" w:fill="E6E6E6"/>
        <w:tabs>
          <w:tab w:val="clear" w:pos="720"/>
          <w:tab w:val="num" w:pos="180"/>
        </w:tabs>
        <w:ind w:left="180"/>
        <w:rPr>
          <w:rFonts w:eastAsia="Arial Unicode MS"/>
          <w:b/>
          <w:sz w:val="22"/>
          <w:szCs w:val="22"/>
          <w:lang w:eastAsia="en-US"/>
        </w:rPr>
      </w:pPr>
      <w:r w:rsidRPr="00B62F66">
        <w:rPr>
          <w:rFonts w:eastAsia="Arial Unicode MS"/>
          <w:b/>
          <w:sz w:val="22"/>
          <w:szCs w:val="22"/>
          <w:lang w:eastAsia="en-US"/>
        </w:rPr>
        <w:t>Objectifs et résultats poursuivis</w:t>
      </w:r>
    </w:p>
    <w:p w14:paraId="3D53F620" w14:textId="77777777" w:rsidR="001D27F6" w:rsidRPr="00B62F66" w:rsidRDefault="001D27F6" w:rsidP="00C85939">
      <w:pPr>
        <w:jc w:val="both"/>
        <w:rPr>
          <w:sz w:val="22"/>
          <w:szCs w:val="22"/>
        </w:rPr>
      </w:pPr>
    </w:p>
    <w:p w14:paraId="5915EDA9" w14:textId="3AEBBDC1" w:rsidR="00475709" w:rsidRPr="00B62F66" w:rsidRDefault="001D27F6">
      <w:pPr>
        <w:numPr>
          <w:ilvl w:val="1"/>
          <w:numId w:val="1"/>
        </w:numPr>
        <w:tabs>
          <w:tab w:val="clear" w:pos="1440"/>
          <w:tab w:val="num" w:pos="900"/>
        </w:tabs>
        <w:ind w:left="900"/>
        <w:jc w:val="both"/>
        <w:rPr>
          <w:rFonts w:eastAsia="Arial Unicode MS"/>
          <w:b/>
          <w:sz w:val="22"/>
          <w:szCs w:val="22"/>
          <w:lang w:eastAsia="en-US"/>
        </w:rPr>
      </w:pPr>
      <w:r w:rsidRPr="00B62F66">
        <w:rPr>
          <w:rFonts w:eastAsia="Arial Unicode MS"/>
          <w:b/>
          <w:sz w:val="22"/>
          <w:szCs w:val="22"/>
          <w:lang w:eastAsia="en-US"/>
        </w:rPr>
        <w:t>Objectif général</w:t>
      </w:r>
      <w:r w:rsidR="0076595C" w:rsidRPr="00B62F66">
        <w:rPr>
          <w:rFonts w:eastAsia="Arial Unicode MS"/>
          <w:b/>
          <w:sz w:val="22"/>
          <w:szCs w:val="22"/>
          <w:lang w:eastAsia="en-US"/>
        </w:rPr>
        <w:t xml:space="preserve"> </w:t>
      </w:r>
    </w:p>
    <w:p w14:paraId="394B4389" w14:textId="4109CB7B" w:rsidR="009236DE" w:rsidRPr="00B62F66" w:rsidRDefault="009236DE" w:rsidP="009236DE">
      <w:pPr>
        <w:jc w:val="both"/>
        <w:rPr>
          <w:sz w:val="22"/>
          <w:szCs w:val="22"/>
        </w:rPr>
      </w:pPr>
    </w:p>
    <w:p w14:paraId="5396E01D" w14:textId="5E209DB0" w:rsidR="00F76908" w:rsidRPr="00B62F66" w:rsidRDefault="00F76908" w:rsidP="00C60A1A">
      <w:pPr>
        <w:tabs>
          <w:tab w:val="num" w:pos="900"/>
        </w:tabs>
        <w:jc w:val="both"/>
        <w:rPr>
          <w:sz w:val="22"/>
          <w:szCs w:val="22"/>
        </w:rPr>
      </w:pPr>
      <w:r w:rsidRPr="00B62F66">
        <w:rPr>
          <w:sz w:val="22"/>
          <w:szCs w:val="22"/>
        </w:rPr>
        <w:t>Appuyer de manière indépendante, rigoureuse et transversale le pilotage du programme C2D Ressources Humaines en Santé, à travers la consolidation des dimensions budgétaires, l’analyse et la vérification des indicateurs de performance, ainsi que la contribution au dialogue de politique publique avec la partie ivoirienne.</w:t>
      </w:r>
    </w:p>
    <w:p w14:paraId="6AA0CFBD" w14:textId="77777777" w:rsidR="00F76908" w:rsidRPr="00B62F66" w:rsidRDefault="00F76908" w:rsidP="00C60A1A">
      <w:pPr>
        <w:tabs>
          <w:tab w:val="num" w:pos="900"/>
        </w:tabs>
        <w:jc w:val="both"/>
        <w:rPr>
          <w:sz w:val="22"/>
          <w:szCs w:val="22"/>
        </w:rPr>
      </w:pPr>
    </w:p>
    <w:p w14:paraId="003D337A" w14:textId="77777777" w:rsidR="001D27F6" w:rsidRPr="00B62F66" w:rsidRDefault="001D27F6">
      <w:pPr>
        <w:numPr>
          <w:ilvl w:val="1"/>
          <w:numId w:val="1"/>
        </w:numPr>
        <w:tabs>
          <w:tab w:val="clear" w:pos="1440"/>
          <w:tab w:val="num" w:pos="900"/>
        </w:tabs>
        <w:ind w:left="900"/>
        <w:jc w:val="both"/>
        <w:rPr>
          <w:rFonts w:eastAsia="Arial Unicode MS"/>
          <w:b/>
          <w:sz w:val="22"/>
          <w:szCs w:val="22"/>
          <w:lang w:eastAsia="en-US"/>
        </w:rPr>
      </w:pPr>
      <w:r w:rsidRPr="00B62F66">
        <w:rPr>
          <w:rFonts w:eastAsia="Arial Unicode MS"/>
          <w:b/>
          <w:sz w:val="22"/>
          <w:szCs w:val="22"/>
          <w:lang w:eastAsia="en-US"/>
        </w:rPr>
        <w:t>Objectif</w:t>
      </w:r>
      <w:r w:rsidR="004F0DD7" w:rsidRPr="00B62F66">
        <w:rPr>
          <w:rFonts w:eastAsia="Arial Unicode MS"/>
          <w:b/>
          <w:sz w:val="22"/>
          <w:szCs w:val="22"/>
          <w:lang w:eastAsia="en-US"/>
        </w:rPr>
        <w:t>s</w:t>
      </w:r>
      <w:r w:rsidRPr="00B62F66">
        <w:rPr>
          <w:rFonts w:eastAsia="Arial Unicode MS"/>
          <w:b/>
          <w:sz w:val="22"/>
          <w:szCs w:val="22"/>
          <w:lang w:eastAsia="en-US"/>
        </w:rPr>
        <w:t xml:space="preserve"> spécifique</w:t>
      </w:r>
      <w:r w:rsidR="004F0DD7" w:rsidRPr="00B62F66">
        <w:rPr>
          <w:rFonts w:eastAsia="Arial Unicode MS"/>
          <w:b/>
          <w:sz w:val="22"/>
          <w:szCs w:val="22"/>
          <w:lang w:eastAsia="en-US"/>
        </w:rPr>
        <w:t>s</w:t>
      </w:r>
    </w:p>
    <w:p w14:paraId="70428A63" w14:textId="77777777" w:rsidR="00475709" w:rsidRPr="00B62F66" w:rsidRDefault="00475709" w:rsidP="00C85939">
      <w:pPr>
        <w:jc w:val="both"/>
        <w:rPr>
          <w:sz w:val="22"/>
          <w:szCs w:val="22"/>
        </w:rPr>
      </w:pPr>
    </w:p>
    <w:p w14:paraId="6AE9DEE3" w14:textId="77777777" w:rsidR="00F76908" w:rsidRPr="00B62F66" w:rsidRDefault="00F76908">
      <w:pPr>
        <w:pStyle w:val="Paragraphedeliste"/>
        <w:numPr>
          <w:ilvl w:val="0"/>
          <w:numId w:val="10"/>
        </w:numPr>
        <w:jc w:val="both"/>
        <w:rPr>
          <w:bCs/>
          <w:sz w:val="22"/>
          <w:szCs w:val="22"/>
        </w:rPr>
      </w:pPr>
      <w:r w:rsidRPr="00B62F66">
        <w:rPr>
          <w:bCs/>
          <w:sz w:val="22"/>
          <w:szCs w:val="22"/>
        </w:rPr>
        <w:t>analyser la pertinence, la cohérence et l’opérationnalité des indicateurs de performance du programme au regard de ses objectifs stratégiques et des cadres de référence applicables ;</w:t>
      </w:r>
    </w:p>
    <w:p w14:paraId="29189564" w14:textId="77777777" w:rsidR="00F76908" w:rsidRPr="00B62F66" w:rsidRDefault="00F76908">
      <w:pPr>
        <w:pStyle w:val="Paragraphedeliste"/>
        <w:numPr>
          <w:ilvl w:val="0"/>
          <w:numId w:val="10"/>
        </w:numPr>
        <w:jc w:val="both"/>
        <w:rPr>
          <w:bCs/>
          <w:sz w:val="22"/>
          <w:szCs w:val="22"/>
        </w:rPr>
      </w:pPr>
      <w:r w:rsidRPr="00B62F66">
        <w:rPr>
          <w:bCs/>
          <w:sz w:val="22"/>
          <w:szCs w:val="22"/>
        </w:rPr>
        <w:t>vérifier la disponibilité, la qualité, la fiabilité et la traçabilité des données mobilisées pour le suivi des indicateurs ;</w:t>
      </w:r>
    </w:p>
    <w:p w14:paraId="2F27D899" w14:textId="77777777" w:rsidR="00F76908" w:rsidRPr="00B62F66" w:rsidRDefault="00F76908">
      <w:pPr>
        <w:pStyle w:val="Paragraphedeliste"/>
        <w:numPr>
          <w:ilvl w:val="0"/>
          <w:numId w:val="10"/>
        </w:numPr>
        <w:jc w:val="both"/>
        <w:rPr>
          <w:bCs/>
          <w:sz w:val="22"/>
          <w:szCs w:val="22"/>
        </w:rPr>
      </w:pPr>
      <w:r w:rsidRPr="00B62F66">
        <w:rPr>
          <w:bCs/>
          <w:sz w:val="22"/>
          <w:szCs w:val="22"/>
        </w:rPr>
        <w:t>calculer, consolider et documenter les indicateurs de performance du programme selon des méthodologies explicites, harmonisées et reproductibles ;</w:t>
      </w:r>
    </w:p>
    <w:p w14:paraId="26AD330F" w14:textId="77777777" w:rsidR="00F76908" w:rsidRPr="00B62F66" w:rsidRDefault="00F76908">
      <w:pPr>
        <w:pStyle w:val="Paragraphedeliste"/>
        <w:numPr>
          <w:ilvl w:val="0"/>
          <w:numId w:val="10"/>
        </w:numPr>
        <w:jc w:val="both"/>
        <w:rPr>
          <w:bCs/>
          <w:sz w:val="22"/>
          <w:szCs w:val="22"/>
        </w:rPr>
      </w:pPr>
      <w:r w:rsidRPr="00B62F66">
        <w:rPr>
          <w:bCs/>
          <w:sz w:val="22"/>
          <w:szCs w:val="22"/>
        </w:rPr>
        <w:t>analyser les progrès réalisés, les écarts observés par rapport aux cibles fixées et les facteurs explicatifs de ces écarts ;</w:t>
      </w:r>
    </w:p>
    <w:p w14:paraId="5D8C993E" w14:textId="77777777" w:rsidR="00F76908" w:rsidRPr="00B62F66" w:rsidRDefault="00F76908">
      <w:pPr>
        <w:pStyle w:val="Paragraphedeliste"/>
        <w:numPr>
          <w:ilvl w:val="0"/>
          <w:numId w:val="10"/>
        </w:numPr>
        <w:jc w:val="both"/>
        <w:rPr>
          <w:bCs/>
          <w:sz w:val="22"/>
          <w:szCs w:val="22"/>
        </w:rPr>
      </w:pPr>
      <w:r w:rsidRPr="00B62F66">
        <w:rPr>
          <w:bCs/>
          <w:sz w:val="22"/>
          <w:szCs w:val="22"/>
        </w:rPr>
        <w:t>contribuer à la consolidation et à la coordination des postes budgétaires relatifs aux activités prévues par l’assistance technique, en lien avec les exigences du financement budgétaire programmatique ;</w:t>
      </w:r>
    </w:p>
    <w:p w14:paraId="47046B42" w14:textId="75DFD4B5" w:rsidR="00091ED6" w:rsidRPr="00B62F66" w:rsidRDefault="00F76908">
      <w:pPr>
        <w:pStyle w:val="Paragraphedeliste"/>
        <w:numPr>
          <w:ilvl w:val="0"/>
          <w:numId w:val="10"/>
        </w:numPr>
        <w:jc w:val="both"/>
        <w:rPr>
          <w:sz w:val="22"/>
          <w:szCs w:val="22"/>
        </w:rPr>
      </w:pPr>
      <w:r w:rsidRPr="00B62F66">
        <w:rPr>
          <w:bCs/>
          <w:sz w:val="22"/>
          <w:szCs w:val="22"/>
        </w:rPr>
        <w:t>appuyer le dialogue de politique publique entre les parties prenantes à travers des notes d’analyse, des restitutions et des recommandations stratégiques et opérationnelles.</w:t>
      </w:r>
    </w:p>
    <w:p w14:paraId="24B59B9B" w14:textId="621C0CEA" w:rsidR="00C60A1A" w:rsidRDefault="00C60A1A" w:rsidP="00C85939">
      <w:pPr>
        <w:jc w:val="both"/>
        <w:rPr>
          <w:rFonts w:ascii="Calibri" w:hAnsi="Calibri"/>
          <w:sz w:val="22"/>
          <w:szCs w:val="22"/>
        </w:rPr>
      </w:pPr>
    </w:p>
    <w:p w14:paraId="69284FD6" w14:textId="77777777" w:rsidR="00C60A1A" w:rsidRPr="00B62F66" w:rsidRDefault="00C60A1A" w:rsidP="00C85939">
      <w:pPr>
        <w:jc w:val="both"/>
        <w:rPr>
          <w:sz w:val="22"/>
          <w:szCs w:val="22"/>
        </w:rPr>
      </w:pPr>
    </w:p>
    <w:p w14:paraId="43C3EFA0" w14:textId="52C15497" w:rsidR="00965444" w:rsidRPr="00B62F66" w:rsidRDefault="00965444">
      <w:pPr>
        <w:numPr>
          <w:ilvl w:val="1"/>
          <w:numId w:val="1"/>
        </w:numPr>
        <w:tabs>
          <w:tab w:val="clear" w:pos="1440"/>
          <w:tab w:val="num" w:pos="900"/>
        </w:tabs>
        <w:ind w:left="900"/>
        <w:jc w:val="both"/>
        <w:rPr>
          <w:rFonts w:eastAsia="Arial Unicode MS"/>
          <w:b/>
          <w:sz w:val="22"/>
          <w:szCs w:val="22"/>
          <w:lang w:eastAsia="en-US"/>
        </w:rPr>
      </w:pPr>
      <w:r w:rsidRPr="00B62F66">
        <w:rPr>
          <w:rFonts w:eastAsia="Arial Unicode MS"/>
          <w:b/>
          <w:sz w:val="22"/>
          <w:szCs w:val="22"/>
          <w:lang w:eastAsia="en-US"/>
        </w:rPr>
        <w:t xml:space="preserve">Résultats </w:t>
      </w:r>
      <w:r w:rsidR="00F76908" w:rsidRPr="00B62F66">
        <w:rPr>
          <w:rFonts w:eastAsia="Arial Unicode MS"/>
          <w:b/>
          <w:sz w:val="22"/>
          <w:szCs w:val="22"/>
          <w:lang w:eastAsia="en-US"/>
        </w:rPr>
        <w:t>attendus</w:t>
      </w:r>
    </w:p>
    <w:p w14:paraId="37523756" w14:textId="77777777" w:rsidR="00F76908" w:rsidRPr="00B62F66" w:rsidRDefault="00F76908" w:rsidP="00F76908">
      <w:pPr>
        <w:pStyle w:val="NormalWeb"/>
        <w:rPr>
          <w:sz w:val="22"/>
          <w:szCs w:val="22"/>
        </w:rPr>
      </w:pPr>
      <w:r w:rsidRPr="00B62F66">
        <w:rPr>
          <w:sz w:val="22"/>
          <w:szCs w:val="22"/>
        </w:rPr>
        <w:t>À l’issue des différentes missions, les résultats suivants devront être atteints :</w:t>
      </w:r>
    </w:p>
    <w:p w14:paraId="6821B66E"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t xml:space="preserve">un cadre méthodologique partagé et validé pour le suivi, le calcul et l’analyse des indicateurs du programme ; </w:t>
      </w:r>
    </w:p>
    <w:p w14:paraId="70609225"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t xml:space="preserve">une documentation consolidée et régulièrement actualisée des indicateurs de performance, incluant définition, source, méthode de calcul, périodicité, limites et niveau de fiabilité ; </w:t>
      </w:r>
    </w:p>
    <w:p w14:paraId="43D37CC5"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t xml:space="preserve">une appréciation indépendante de la qualité des données et du niveau de robustesse du dispositif de suivi-évaluation ; </w:t>
      </w:r>
    </w:p>
    <w:p w14:paraId="236657A0"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t xml:space="preserve">une analyse périodique des progrès, des écarts et des mesures correctrices à envisager ; </w:t>
      </w:r>
    </w:p>
    <w:p w14:paraId="283C6899"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t xml:space="preserve">un appui structuré au dialogue de politique publique, nourri par des analyses factuelles, synthétiques et exploitables par les instances de pilotage ; </w:t>
      </w:r>
    </w:p>
    <w:p w14:paraId="30857665" w14:textId="77777777" w:rsidR="00F76908" w:rsidRPr="00B62F66" w:rsidRDefault="00F76908">
      <w:pPr>
        <w:numPr>
          <w:ilvl w:val="0"/>
          <w:numId w:val="4"/>
        </w:numPr>
        <w:spacing w:before="100" w:beforeAutospacing="1" w:after="100" w:afterAutospacing="1"/>
        <w:rPr>
          <w:sz w:val="22"/>
          <w:szCs w:val="22"/>
        </w:rPr>
      </w:pPr>
      <w:r w:rsidRPr="00B62F66">
        <w:rPr>
          <w:sz w:val="22"/>
          <w:szCs w:val="22"/>
        </w:rPr>
        <w:lastRenderedPageBreak/>
        <w:t>une meilleure lisibilité des postes budgétaires liés aux activités appuyées par l’assistance technique et de leur articulation avec les résultats attendus du programme.</w:t>
      </w:r>
    </w:p>
    <w:p w14:paraId="0849C2AA" w14:textId="215A2D59" w:rsidR="00C60A1A" w:rsidRPr="00B62F66" w:rsidRDefault="00C60A1A">
      <w:pPr>
        <w:pStyle w:val="NormalWeb"/>
        <w:numPr>
          <w:ilvl w:val="0"/>
          <w:numId w:val="4"/>
        </w:numPr>
        <w:jc w:val="both"/>
        <w:rPr>
          <w:sz w:val="22"/>
          <w:szCs w:val="22"/>
        </w:rPr>
      </w:pPr>
      <w:r w:rsidRPr="00B62F66">
        <w:rPr>
          <w:sz w:val="22"/>
          <w:szCs w:val="22"/>
        </w:rPr>
        <w:t xml:space="preserve">Un </w:t>
      </w:r>
      <w:r w:rsidRPr="00B62F66">
        <w:rPr>
          <w:bCs/>
          <w:sz w:val="22"/>
          <w:szCs w:val="22"/>
        </w:rPr>
        <w:t>rapport de recommandations opérationnelles et stratégiques</w:t>
      </w:r>
      <w:r w:rsidRPr="00B62F66">
        <w:rPr>
          <w:sz w:val="22"/>
          <w:szCs w:val="22"/>
        </w:rPr>
        <w:t>, proposant des mesures concrètes pour améliorer le suivi-évaluation, fiabiliser les indicateurs et renforcer la durabilité du dispositif.</w:t>
      </w:r>
    </w:p>
    <w:p w14:paraId="7A63E798" w14:textId="77777777" w:rsidR="00C60A1A" w:rsidRPr="001814F8" w:rsidRDefault="00C60A1A" w:rsidP="00C85939">
      <w:pPr>
        <w:jc w:val="both"/>
        <w:rPr>
          <w:rFonts w:asciiTheme="minorHAnsi" w:hAnsiTheme="minorHAnsi" w:cstheme="minorHAnsi"/>
        </w:rPr>
      </w:pPr>
    </w:p>
    <w:p w14:paraId="2F18E5D2" w14:textId="77777777" w:rsidR="00965444" w:rsidRPr="00B62F66" w:rsidRDefault="00965444">
      <w:pPr>
        <w:numPr>
          <w:ilvl w:val="0"/>
          <w:numId w:val="1"/>
        </w:numPr>
        <w:shd w:val="clear" w:color="auto" w:fill="E6E6E6"/>
        <w:tabs>
          <w:tab w:val="clear" w:pos="720"/>
          <w:tab w:val="num" w:pos="180"/>
        </w:tabs>
        <w:ind w:left="180"/>
        <w:rPr>
          <w:rFonts w:eastAsia="Arial Unicode MS"/>
          <w:b/>
          <w:sz w:val="22"/>
          <w:szCs w:val="22"/>
          <w:lang w:eastAsia="en-US"/>
        </w:rPr>
      </w:pPr>
      <w:r w:rsidRPr="00B62F66">
        <w:rPr>
          <w:rFonts w:eastAsia="Arial Unicode MS"/>
          <w:b/>
          <w:sz w:val="22"/>
          <w:szCs w:val="22"/>
          <w:lang w:eastAsia="en-US"/>
        </w:rPr>
        <w:t>Description de la mission</w:t>
      </w:r>
    </w:p>
    <w:p w14:paraId="69356CB9" w14:textId="77777777" w:rsidR="00965444" w:rsidRPr="00B62F66" w:rsidRDefault="00965444" w:rsidP="00C85939">
      <w:pPr>
        <w:jc w:val="both"/>
        <w:rPr>
          <w:sz w:val="22"/>
          <w:szCs w:val="22"/>
        </w:rPr>
      </w:pPr>
    </w:p>
    <w:p w14:paraId="1F0FCAB7" w14:textId="793395E4" w:rsidR="00AA48CD" w:rsidRPr="00B62F66" w:rsidRDefault="00B62F66" w:rsidP="00AA48CD">
      <w:pPr>
        <w:pStyle w:val="NormalWeb"/>
        <w:jc w:val="both"/>
        <w:rPr>
          <w:bCs/>
          <w:sz w:val="22"/>
          <w:szCs w:val="22"/>
        </w:rPr>
      </w:pPr>
      <w:r w:rsidRPr="00B62F66">
        <w:rPr>
          <w:sz w:val="22"/>
          <w:szCs w:val="22"/>
        </w:rPr>
        <w:t>Le cabinet</w:t>
      </w:r>
      <w:r w:rsidR="00AA48CD" w:rsidRPr="00B62F66">
        <w:rPr>
          <w:sz w:val="22"/>
          <w:szCs w:val="22"/>
        </w:rPr>
        <w:t xml:space="preserve"> assurera un appui transversal sur l’ensemble de la période de mise en œuvre, à travers les prestations suivantes :</w:t>
      </w:r>
    </w:p>
    <w:p w14:paraId="7550D45B" w14:textId="78B60399" w:rsidR="005E5F22" w:rsidRPr="00B62F66" w:rsidRDefault="00E113CB" w:rsidP="005E5F22">
      <w:pPr>
        <w:pStyle w:val="NormalWeb"/>
        <w:jc w:val="both"/>
        <w:rPr>
          <w:b/>
          <w:sz w:val="22"/>
          <w:szCs w:val="22"/>
        </w:rPr>
      </w:pPr>
      <w:r w:rsidRPr="00B62F66">
        <w:rPr>
          <w:b/>
          <w:sz w:val="22"/>
          <w:szCs w:val="22"/>
        </w:rPr>
        <w:t>4</w:t>
      </w:r>
      <w:r w:rsidR="005E5F22" w:rsidRPr="00B62F66">
        <w:rPr>
          <w:b/>
          <w:sz w:val="22"/>
          <w:szCs w:val="22"/>
        </w:rPr>
        <w:t>.1. Revue documentaire et cadrage analytique</w:t>
      </w:r>
    </w:p>
    <w:p w14:paraId="38EF94D4" w14:textId="36EB9047" w:rsidR="005E5F22" w:rsidRPr="00B62F66" w:rsidRDefault="005E5F22">
      <w:pPr>
        <w:pStyle w:val="NormalWeb"/>
        <w:numPr>
          <w:ilvl w:val="0"/>
          <w:numId w:val="11"/>
        </w:numPr>
        <w:jc w:val="both"/>
        <w:rPr>
          <w:bCs/>
          <w:sz w:val="22"/>
          <w:szCs w:val="22"/>
        </w:rPr>
      </w:pPr>
      <w:r w:rsidRPr="00B62F66">
        <w:rPr>
          <w:bCs/>
          <w:sz w:val="22"/>
          <w:szCs w:val="22"/>
        </w:rPr>
        <w:t xml:space="preserve">examiner les documents de référence du programme, les cadres de performance, les rapports techniques et financiers, les outils de suivi disponibles et les documents budgétaires pertinents </w:t>
      </w:r>
    </w:p>
    <w:p w14:paraId="5A2D66E6" w14:textId="77777777" w:rsidR="005E5F22" w:rsidRPr="00B62F66" w:rsidRDefault="005E5F22">
      <w:pPr>
        <w:pStyle w:val="NormalWeb"/>
        <w:numPr>
          <w:ilvl w:val="0"/>
          <w:numId w:val="11"/>
        </w:numPr>
        <w:jc w:val="both"/>
        <w:rPr>
          <w:bCs/>
          <w:sz w:val="22"/>
          <w:szCs w:val="22"/>
        </w:rPr>
      </w:pPr>
      <w:r w:rsidRPr="00B62F66">
        <w:rPr>
          <w:bCs/>
          <w:sz w:val="22"/>
          <w:szCs w:val="22"/>
        </w:rPr>
        <w:t xml:space="preserve">analyser la logique d’intervention du programme et l’alignement entre activités, produits, résultats attendus, indicateurs et ressources mobilisées ; </w:t>
      </w:r>
    </w:p>
    <w:p w14:paraId="1AD17640" w14:textId="77777777" w:rsidR="005E5F22" w:rsidRPr="00B62F66" w:rsidRDefault="005E5F22">
      <w:pPr>
        <w:pStyle w:val="NormalWeb"/>
        <w:numPr>
          <w:ilvl w:val="0"/>
          <w:numId w:val="11"/>
        </w:numPr>
        <w:jc w:val="both"/>
        <w:rPr>
          <w:bCs/>
          <w:sz w:val="22"/>
          <w:szCs w:val="22"/>
        </w:rPr>
      </w:pPr>
      <w:r w:rsidRPr="00B62F66">
        <w:rPr>
          <w:bCs/>
          <w:sz w:val="22"/>
          <w:szCs w:val="22"/>
        </w:rPr>
        <w:t>identifier les points de vigilance méthodologiques, institutionnels et opérationnels.</w:t>
      </w:r>
    </w:p>
    <w:p w14:paraId="5754257E" w14:textId="2F7FD076" w:rsidR="00C60A1A" w:rsidRPr="00B62F66" w:rsidRDefault="00E113CB" w:rsidP="005E5F22">
      <w:pPr>
        <w:pStyle w:val="NormalWeb"/>
        <w:jc w:val="both"/>
        <w:rPr>
          <w:b/>
          <w:sz w:val="22"/>
          <w:szCs w:val="22"/>
        </w:rPr>
      </w:pPr>
      <w:r w:rsidRPr="00B62F66">
        <w:rPr>
          <w:b/>
          <w:sz w:val="22"/>
          <w:szCs w:val="22"/>
        </w:rPr>
        <w:t>4</w:t>
      </w:r>
      <w:r w:rsidR="005E5F22" w:rsidRPr="00B62F66">
        <w:rPr>
          <w:b/>
          <w:sz w:val="22"/>
          <w:szCs w:val="22"/>
        </w:rPr>
        <w:t>.2. Analyse et consolidation des</w:t>
      </w:r>
      <w:r w:rsidR="00C60A1A" w:rsidRPr="00B62F66">
        <w:rPr>
          <w:b/>
          <w:sz w:val="22"/>
          <w:szCs w:val="22"/>
        </w:rPr>
        <w:t xml:space="preserve"> indicateurs </w:t>
      </w:r>
    </w:p>
    <w:p w14:paraId="4EA1409D" w14:textId="08C599CE" w:rsidR="005E5F22" w:rsidRPr="00B62F66" w:rsidRDefault="005E5F22">
      <w:pPr>
        <w:pStyle w:val="Paragraphedeliste"/>
        <w:numPr>
          <w:ilvl w:val="0"/>
          <w:numId w:val="12"/>
        </w:numPr>
        <w:rPr>
          <w:sz w:val="22"/>
          <w:szCs w:val="22"/>
        </w:rPr>
      </w:pPr>
      <w:r w:rsidRPr="00B62F66">
        <w:rPr>
          <w:sz w:val="22"/>
          <w:szCs w:val="22"/>
        </w:rPr>
        <w:t xml:space="preserve">examiner les fiches d’indicateurs existantes ou, le cas échéant, proposer leur formalisation </w:t>
      </w:r>
      <w:r w:rsidR="006D1B8F" w:rsidRPr="00B62F66">
        <w:rPr>
          <w:sz w:val="22"/>
          <w:szCs w:val="22"/>
        </w:rPr>
        <w:t>(Exploiter les bases de données disponibles (administratives, budgétaires, sanitaires).</w:t>
      </w:r>
    </w:p>
    <w:p w14:paraId="03C9B77B" w14:textId="77777777" w:rsidR="005E5F22" w:rsidRPr="00B62F66" w:rsidRDefault="005E5F22">
      <w:pPr>
        <w:pStyle w:val="Paragraphedeliste"/>
        <w:numPr>
          <w:ilvl w:val="0"/>
          <w:numId w:val="12"/>
        </w:numPr>
        <w:rPr>
          <w:sz w:val="22"/>
          <w:szCs w:val="22"/>
        </w:rPr>
      </w:pPr>
      <w:r w:rsidRPr="00B62F66">
        <w:rPr>
          <w:sz w:val="22"/>
          <w:szCs w:val="22"/>
        </w:rPr>
        <w:t xml:space="preserve">apprécier la pertinence, la faisabilité et la cohérence des indicateurs ; </w:t>
      </w:r>
    </w:p>
    <w:p w14:paraId="5F1462E6" w14:textId="5F275A8D" w:rsidR="005E5F22" w:rsidRPr="00B62F66" w:rsidRDefault="005E5F22">
      <w:pPr>
        <w:pStyle w:val="Paragraphedeliste"/>
        <w:numPr>
          <w:ilvl w:val="0"/>
          <w:numId w:val="12"/>
        </w:numPr>
        <w:rPr>
          <w:sz w:val="22"/>
          <w:szCs w:val="22"/>
        </w:rPr>
      </w:pPr>
      <w:r w:rsidRPr="00B62F66">
        <w:rPr>
          <w:sz w:val="22"/>
          <w:szCs w:val="22"/>
        </w:rPr>
        <w:t>documenter les méthodes de calcul, les sources de vérification et les responsabilités de production</w:t>
      </w:r>
    </w:p>
    <w:p w14:paraId="22BD16C4" w14:textId="7C1E0458" w:rsidR="00C60A1A" w:rsidRPr="00B62F66" w:rsidRDefault="00C60A1A">
      <w:pPr>
        <w:pStyle w:val="NormalWeb"/>
        <w:numPr>
          <w:ilvl w:val="1"/>
          <w:numId w:val="17"/>
        </w:numPr>
        <w:jc w:val="both"/>
        <w:rPr>
          <w:bCs/>
          <w:sz w:val="22"/>
          <w:szCs w:val="22"/>
        </w:rPr>
      </w:pPr>
      <w:r w:rsidRPr="00B62F66">
        <w:rPr>
          <w:b/>
          <w:sz w:val="22"/>
          <w:szCs w:val="22"/>
        </w:rPr>
        <w:t xml:space="preserve">Vérification </w:t>
      </w:r>
      <w:r w:rsidR="003722CE" w:rsidRPr="00B62F66">
        <w:rPr>
          <w:b/>
          <w:sz w:val="22"/>
          <w:szCs w:val="22"/>
        </w:rPr>
        <w:t>de la qualité</w:t>
      </w:r>
      <w:r w:rsidRPr="00B62F66">
        <w:rPr>
          <w:b/>
          <w:sz w:val="22"/>
          <w:szCs w:val="22"/>
        </w:rPr>
        <w:t xml:space="preserve"> des données</w:t>
      </w:r>
    </w:p>
    <w:p w14:paraId="4FF645E7" w14:textId="231223C8" w:rsidR="00FF0533" w:rsidRPr="00B62F66" w:rsidRDefault="00FF0533">
      <w:pPr>
        <w:pStyle w:val="Paragraphedeliste"/>
        <w:numPr>
          <w:ilvl w:val="0"/>
          <w:numId w:val="13"/>
        </w:numPr>
        <w:rPr>
          <w:sz w:val="22"/>
          <w:szCs w:val="22"/>
        </w:rPr>
      </w:pPr>
      <w:r w:rsidRPr="00B62F66">
        <w:rPr>
          <w:sz w:val="22"/>
          <w:szCs w:val="22"/>
        </w:rPr>
        <w:t xml:space="preserve">apprécier la qualité, la complétude, la cohérence, la traçabilité et la disponibilité des données ; </w:t>
      </w:r>
    </w:p>
    <w:p w14:paraId="5A3E9C76" w14:textId="77777777" w:rsidR="00FF0533" w:rsidRPr="00B62F66" w:rsidRDefault="00FF0533">
      <w:pPr>
        <w:pStyle w:val="Paragraphedeliste"/>
        <w:numPr>
          <w:ilvl w:val="0"/>
          <w:numId w:val="13"/>
        </w:numPr>
        <w:rPr>
          <w:sz w:val="22"/>
          <w:szCs w:val="22"/>
        </w:rPr>
      </w:pPr>
      <w:r w:rsidRPr="00B62F66">
        <w:rPr>
          <w:sz w:val="22"/>
          <w:szCs w:val="22"/>
        </w:rPr>
        <w:t xml:space="preserve">identifier les limites, biais, ruptures de série, risques d’interprétation ou insuffisances de documentation ; </w:t>
      </w:r>
    </w:p>
    <w:p w14:paraId="77A99F91" w14:textId="77777777" w:rsidR="00FF0533" w:rsidRPr="00B62F66" w:rsidRDefault="00FF0533">
      <w:pPr>
        <w:pStyle w:val="Paragraphedeliste"/>
        <w:numPr>
          <w:ilvl w:val="0"/>
          <w:numId w:val="13"/>
        </w:numPr>
        <w:rPr>
          <w:sz w:val="22"/>
          <w:szCs w:val="22"/>
        </w:rPr>
      </w:pPr>
      <w:r w:rsidRPr="00B62F66">
        <w:rPr>
          <w:sz w:val="22"/>
          <w:szCs w:val="22"/>
        </w:rPr>
        <w:t>proposer les mesures correctrices nécessaires pour renforcer la robustesse du dispositif.</w:t>
      </w:r>
    </w:p>
    <w:p w14:paraId="4FC6AC1E" w14:textId="77777777" w:rsidR="00FF0533" w:rsidRPr="00B62F66" w:rsidRDefault="00FF0533" w:rsidP="00FF0533">
      <w:pPr>
        <w:rPr>
          <w:b/>
          <w:sz w:val="22"/>
          <w:szCs w:val="22"/>
        </w:rPr>
      </w:pPr>
    </w:p>
    <w:p w14:paraId="3DECDA8A" w14:textId="6B6A7FAC" w:rsidR="00FF0533" w:rsidRPr="00B62F66" w:rsidRDefault="00FF0533">
      <w:pPr>
        <w:pStyle w:val="Paragraphedeliste"/>
        <w:numPr>
          <w:ilvl w:val="1"/>
          <w:numId w:val="17"/>
        </w:numPr>
        <w:rPr>
          <w:sz w:val="22"/>
          <w:szCs w:val="22"/>
        </w:rPr>
      </w:pPr>
      <w:r w:rsidRPr="00B62F66">
        <w:rPr>
          <w:b/>
          <w:sz w:val="22"/>
          <w:szCs w:val="22"/>
        </w:rPr>
        <w:t>Calcul et analyse de la performance</w:t>
      </w:r>
    </w:p>
    <w:p w14:paraId="7AB6FD27" w14:textId="77777777" w:rsidR="00FF0533" w:rsidRPr="00B62F66" w:rsidRDefault="00FF0533" w:rsidP="00FF0533">
      <w:pPr>
        <w:rPr>
          <w:sz w:val="22"/>
          <w:szCs w:val="22"/>
        </w:rPr>
      </w:pPr>
    </w:p>
    <w:p w14:paraId="66307ACA" w14:textId="17F70591" w:rsidR="00FF0533" w:rsidRPr="00B62F66" w:rsidRDefault="00FF0533">
      <w:pPr>
        <w:pStyle w:val="Paragraphedeliste"/>
        <w:numPr>
          <w:ilvl w:val="0"/>
          <w:numId w:val="14"/>
        </w:numPr>
        <w:rPr>
          <w:sz w:val="22"/>
          <w:szCs w:val="22"/>
        </w:rPr>
      </w:pPr>
      <w:r w:rsidRPr="00B62F66">
        <w:rPr>
          <w:sz w:val="22"/>
          <w:szCs w:val="22"/>
        </w:rPr>
        <w:t xml:space="preserve">calculer ou vérifier les indicateurs à partir des données disponibles ; </w:t>
      </w:r>
    </w:p>
    <w:p w14:paraId="6CE37890" w14:textId="1C0859CF" w:rsidR="00FF0533" w:rsidRPr="00B62F66" w:rsidRDefault="00FF0533">
      <w:pPr>
        <w:pStyle w:val="Paragraphedeliste"/>
        <w:numPr>
          <w:ilvl w:val="0"/>
          <w:numId w:val="14"/>
        </w:numPr>
        <w:rPr>
          <w:sz w:val="22"/>
          <w:szCs w:val="22"/>
        </w:rPr>
      </w:pPr>
      <w:r w:rsidRPr="00B62F66">
        <w:rPr>
          <w:sz w:val="22"/>
          <w:szCs w:val="22"/>
        </w:rPr>
        <w:t xml:space="preserve">comparer les résultats obtenus aux cibles fixées ; </w:t>
      </w:r>
    </w:p>
    <w:p w14:paraId="10B5D149" w14:textId="07DCC723" w:rsidR="00FF0533" w:rsidRPr="00B62F66" w:rsidRDefault="00FF0533">
      <w:pPr>
        <w:pStyle w:val="Paragraphedeliste"/>
        <w:numPr>
          <w:ilvl w:val="0"/>
          <w:numId w:val="14"/>
        </w:numPr>
        <w:rPr>
          <w:sz w:val="22"/>
          <w:szCs w:val="22"/>
        </w:rPr>
      </w:pPr>
      <w:r w:rsidRPr="00B62F66">
        <w:rPr>
          <w:sz w:val="22"/>
          <w:szCs w:val="22"/>
        </w:rPr>
        <w:t>analyser les écarts, tendances, contraintes de mise en œuvre et facteurs explicatifs.</w:t>
      </w:r>
    </w:p>
    <w:p w14:paraId="1111659E" w14:textId="77777777" w:rsidR="00FF0533" w:rsidRPr="00B62F66" w:rsidRDefault="00FF0533" w:rsidP="00FF0533">
      <w:pPr>
        <w:pStyle w:val="Paragraphedeliste"/>
        <w:ind w:left="360"/>
        <w:rPr>
          <w:sz w:val="22"/>
          <w:szCs w:val="22"/>
        </w:rPr>
      </w:pPr>
    </w:p>
    <w:p w14:paraId="445ADEE4" w14:textId="77777777" w:rsidR="00FF0533" w:rsidRPr="00B62F66" w:rsidRDefault="00FF0533">
      <w:pPr>
        <w:pStyle w:val="Paragraphedeliste"/>
        <w:numPr>
          <w:ilvl w:val="1"/>
          <w:numId w:val="17"/>
        </w:numPr>
        <w:rPr>
          <w:b/>
          <w:sz w:val="22"/>
          <w:szCs w:val="22"/>
        </w:rPr>
      </w:pPr>
      <w:r w:rsidRPr="00B62F66">
        <w:rPr>
          <w:b/>
          <w:sz w:val="22"/>
          <w:szCs w:val="22"/>
        </w:rPr>
        <w:t>Appui au pilotage budgétaire transversal</w:t>
      </w:r>
    </w:p>
    <w:p w14:paraId="6D25B23C" w14:textId="77777777" w:rsidR="00FF0533" w:rsidRPr="00B62F66" w:rsidRDefault="00FF0533">
      <w:pPr>
        <w:numPr>
          <w:ilvl w:val="0"/>
          <w:numId w:val="15"/>
        </w:numPr>
        <w:spacing w:before="100" w:beforeAutospacing="1" w:after="100" w:afterAutospacing="1"/>
        <w:rPr>
          <w:sz w:val="22"/>
          <w:szCs w:val="22"/>
        </w:rPr>
      </w:pPr>
      <w:r w:rsidRPr="00B62F66">
        <w:rPr>
          <w:sz w:val="22"/>
          <w:szCs w:val="22"/>
        </w:rPr>
        <w:t xml:space="preserve">contribuer à la lecture consolidée des postes budgétaires liés aux activités de l’assistance technique ; </w:t>
      </w:r>
    </w:p>
    <w:p w14:paraId="5A3386BB" w14:textId="77777777" w:rsidR="00FF0533" w:rsidRPr="00B62F66" w:rsidRDefault="00FF0533">
      <w:pPr>
        <w:numPr>
          <w:ilvl w:val="0"/>
          <w:numId w:val="15"/>
        </w:numPr>
        <w:spacing w:before="100" w:beforeAutospacing="1" w:after="100" w:afterAutospacing="1"/>
        <w:rPr>
          <w:sz w:val="22"/>
          <w:szCs w:val="22"/>
        </w:rPr>
      </w:pPr>
      <w:r w:rsidRPr="00B62F66">
        <w:rPr>
          <w:sz w:val="22"/>
          <w:szCs w:val="22"/>
        </w:rPr>
        <w:t xml:space="preserve">analyser la cohérence entre programmation, exécution, résultats attendus et éléments de justification ; </w:t>
      </w:r>
    </w:p>
    <w:p w14:paraId="05C4932C" w14:textId="77777777" w:rsidR="00FF0533" w:rsidRPr="00B62F66" w:rsidRDefault="00FF0533">
      <w:pPr>
        <w:numPr>
          <w:ilvl w:val="0"/>
          <w:numId w:val="15"/>
        </w:numPr>
        <w:spacing w:before="100" w:beforeAutospacing="1" w:after="100" w:afterAutospacing="1"/>
        <w:rPr>
          <w:sz w:val="22"/>
          <w:szCs w:val="22"/>
        </w:rPr>
      </w:pPr>
      <w:r w:rsidRPr="00B62F66">
        <w:rPr>
          <w:sz w:val="22"/>
          <w:szCs w:val="22"/>
        </w:rPr>
        <w:t>signaler les points de vigilance susceptibles d’affecter la performance, la traçabilité ou le dialogue avec les parties prenantes.</w:t>
      </w:r>
    </w:p>
    <w:p w14:paraId="50141717" w14:textId="35B60293" w:rsidR="00FF0533" w:rsidRPr="00B62F66" w:rsidRDefault="00FF0533">
      <w:pPr>
        <w:pStyle w:val="Paragraphedeliste"/>
        <w:numPr>
          <w:ilvl w:val="1"/>
          <w:numId w:val="17"/>
        </w:numPr>
        <w:rPr>
          <w:b/>
          <w:sz w:val="22"/>
          <w:szCs w:val="22"/>
        </w:rPr>
      </w:pPr>
      <w:r w:rsidRPr="00B62F66">
        <w:rPr>
          <w:b/>
          <w:sz w:val="22"/>
          <w:szCs w:val="22"/>
        </w:rPr>
        <w:lastRenderedPageBreak/>
        <w:t>Appui au dialogue de politique publique</w:t>
      </w:r>
    </w:p>
    <w:p w14:paraId="3E2D8B00" w14:textId="2598112F" w:rsidR="00FF0533" w:rsidRPr="00B62F66" w:rsidRDefault="00FF0533">
      <w:pPr>
        <w:pStyle w:val="NormalWeb"/>
        <w:numPr>
          <w:ilvl w:val="1"/>
          <w:numId w:val="16"/>
        </w:numPr>
        <w:jc w:val="both"/>
        <w:rPr>
          <w:bCs/>
          <w:sz w:val="22"/>
          <w:szCs w:val="22"/>
        </w:rPr>
      </w:pPr>
      <w:r w:rsidRPr="00B62F66">
        <w:rPr>
          <w:sz w:val="22"/>
          <w:szCs w:val="22"/>
        </w:rPr>
        <w:t xml:space="preserve">produire des notes de synthèse, notes d’orientation ou analyses d’aide à la décision et les exposer </w:t>
      </w:r>
      <w:r w:rsidRPr="00B62F66">
        <w:rPr>
          <w:bCs/>
          <w:sz w:val="22"/>
          <w:szCs w:val="22"/>
        </w:rPr>
        <w:t xml:space="preserve">aux parties prenantes (MSHPCMU, AFD, </w:t>
      </w:r>
      <w:r w:rsidR="006D4B2A" w:rsidRPr="00B62F66">
        <w:rPr>
          <w:bCs/>
          <w:sz w:val="22"/>
          <w:szCs w:val="22"/>
        </w:rPr>
        <w:t>Expert</w:t>
      </w:r>
      <w:r w:rsidRPr="00B62F66">
        <w:rPr>
          <w:bCs/>
          <w:sz w:val="22"/>
          <w:szCs w:val="22"/>
        </w:rPr>
        <w:t>ise France, autres acteurs concernés).</w:t>
      </w:r>
    </w:p>
    <w:p w14:paraId="225747E2" w14:textId="77777777" w:rsidR="00FF0533" w:rsidRPr="00B62F66" w:rsidRDefault="00FF0533">
      <w:pPr>
        <w:pStyle w:val="NormalWeb"/>
        <w:numPr>
          <w:ilvl w:val="1"/>
          <w:numId w:val="16"/>
        </w:numPr>
        <w:jc w:val="both"/>
        <w:rPr>
          <w:bCs/>
          <w:sz w:val="22"/>
          <w:szCs w:val="22"/>
        </w:rPr>
      </w:pPr>
      <w:r w:rsidRPr="00B62F66">
        <w:rPr>
          <w:sz w:val="22"/>
          <w:szCs w:val="22"/>
        </w:rPr>
        <w:t xml:space="preserve">présenter les constats et recommandations aux instances techniques et stratégiques ; </w:t>
      </w:r>
    </w:p>
    <w:p w14:paraId="4812041E" w14:textId="3AAD3857" w:rsidR="00FF0533" w:rsidRPr="00B62F66" w:rsidRDefault="00FF0533">
      <w:pPr>
        <w:pStyle w:val="NormalWeb"/>
        <w:numPr>
          <w:ilvl w:val="1"/>
          <w:numId w:val="16"/>
        </w:numPr>
        <w:jc w:val="both"/>
        <w:rPr>
          <w:bCs/>
          <w:sz w:val="22"/>
          <w:szCs w:val="22"/>
        </w:rPr>
      </w:pPr>
      <w:r w:rsidRPr="00B62F66">
        <w:rPr>
          <w:sz w:val="22"/>
          <w:szCs w:val="22"/>
        </w:rPr>
        <w:t xml:space="preserve">contribuer à la formulation de recommandations opérationnelles et institutionnelles. </w:t>
      </w:r>
    </w:p>
    <w:p w14:paraId="5FF2C0E2" w14:textId="77777777" w:rsidR="002056BD" w:rsidRPr="00B62F66" w:rsidRDefault="002056BD" w:rsidP="00BF1DCD">
      <w:pPr>
        <w:pStyle w:val="Paragraphedeliste2"/>
        <w:spacing w:line="276" w:lineRule="auto"/>
        <w:ind w:left="0"/>
        <w:contextualSpacing/>
        <w:jc w:val="both"/>
        <w:rPr>
          <w:sz w:val="22"/>
          <w:szCs w:val="22"/>
        </w:rPr>
      </w:pPr>
    </w:p>
    <w:p w14:paraId="2BE17D43" w14:textId="77777777" w:rsidR="00965444" w:rsidRPr="00B62F66" w:rsidRDefault="00965444">
      <w:pPr>
        <w:numPr>
          <w:ilvl w:val="0"/>
          <w:numId w:val="1"/>
        </w:numPr>
        <w:shd w:val="clear" w:color="auto" w:fill="E6E6E6"/>
        <w:tabs>
          <w:tab w:val="clear" w:pos="720"/>
          <w:tab w:val="num" w:pos="180"/>
          <w:tab w:val="num" w:pos="900"/>
        </w:tabs>
        <w:ind w:left="180"/>
        <w:rPr>
          <w:rFonts w:eastAsia="Arial Unicode MS"/>
          <w:b/>
          <w:sz w:val="22"/>
          <w:szCs w:val="22"/>
          <w:lang w:eastAsia="en-US"/>
        </w:rPr>
      </w:pPr>
      <w:r w:rsidRPr="00B62F66">
        <w:rPr>
          <w:rFonts w:eastAsia="Arial Unicode MS"/>
          <w:b/>
          <w:sz w:val="22"/>
          <w:szCs w:val="22"/>
          <w:lang w:eastAsia="en-US"/>
        </w:rPr>
        <w:t>Livrables</w:t>
      </w:r>
      <w:r w:rsidR="003A7507" w:rsidRPr="00B62F66">
        <w:rPr>
          <w:rFonts w:eastAsia="Arial Unicode MS"/>
          <w:b/>
          <w:sz w:val="22"/>
          <w:szCs w:val="22"/>
          <w:lang w:eastAsia="en-US"/>
        </w:rPr>
        <w:t xml:space="preserve"> attendus</w:t>
      </w:r>
    </w:p>
    <w:p w14:paraId="39930BA6" w14:textId="77777777" w:rsidR="00B62F66" w:rsidRDefault="00B62F66" w:rsidP="006D4B2A">
      <w:pPr>
        <w:spacing w:line="276" w:lineRule="auto"/>
        <w:rPr>
          <w:sz w:val="22"/>
          <w:szCs w:val="22"/>
          <w:lang w:val="fr-CI" w:eastAsia="fr-CI"/>
        </w:rPr>
      </w:pPr>
    </w:p>
    <w:p w14:paraId="4BD0EEF7" w14:textId="05877B54" w:rsidR="00E113CB" w:rsidRDefault="00E113CB" w:rsidP="006D4B2A">
      <w:pPr>
        <w:spacing w:line="276" w:lineRule="auto"/>
        <w:rPr>
          <w:sz w:val="22"/>
          <w:szCs w:val="22"/>
          <w:lang w:val="fr-CI" w:eastAsia="fr-CI"/>
        </w:rPr>
      </w:pPr>
      <w:r w:rsidRPr="00B62F66">
        <w:rPr>
          <w:sz w:val="22"/>
          <w:szCs w:val="22"/>
          <w:lang w:val="fr-CI" w:eastAsia="fr-CI"/>
        </w:rPr>
        <w:t>Les livrables attendus sont les suivants :</w:t>
      </w:r>
    </w:p>
    <w:p w14:paraId="0A0C9115" w14:textId="77777777" w:rsidR="00B62F66" w:rsidRPr="00B62F66" w:rsidRDefault="00B62F66" w:rsidP="006D4B2A">
      <w:pPr>
        <w:spacing w:line="276" w:lineRule="auto"/>
        <w:rPr>
          <w:sz w:val="22"/>
          <w:szCs w:val="22"/>
          <w:lang w:val="fr-CI" w:eastAsia="fr-CI"/>
        </w:rPr>
      </w:pPr>
    </w:p>
    <w:p w14:paraId="296C51D9" w14:textId="3F1DD421"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t>1. Note méthodologique initiale</w:t>
      </w:r>
    </w:p>
    <w:p w14:paraId="3B8CBCB0" w14:textId="77777777" w:rsidR="00E113CB" w:rsidRPr="00B62F66" w:rsidRDefault="00E113CB" w:rsidP="006D4B2A">
      <w:pPr>
        <w:spacing w:line="276" w:lineRule="auto"/>
        <w:rPr>
          <w:sz w:val="22"/>
          <w:szCs w:val="22"/>
          <w:lang w:val="fr-CI" w:eastAsia="fr-CI"/>
        </w:rPr>
      </w:pPr>
      <w:r w:rsidRPr="00B62F66">
        <w:rPr>
          <w:sz w:val="22"/>
          <w:szCs w:val="22"/>
          <w:lang w:val="fr-CI" w:eastAsia="fr-CI"/>
        </w:rPr>
        <w:t>Cette note précisera :</w:t>
      </w:r>
    </w:p>
    <w:p w14:paraId="212F7106"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l’approche d’intervention ; </w:t>
      </w:r>
    </w:p>
    <w:p w14:paraId="340FB8CA"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les questions évaluatives et axes d’analyse ; </w:t>
      </w:r>
    </w:p>
    <w:p w14:paraId="5A30ED68"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les sources documentaires et de données mobilisées ; </w:t>
      </w:r>
    </w:p>
    <w:p w14:paraId="22108853"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la méthodologie de calcul et de vérification des indicateurs ; </w:t>
      </w:r>
    </w:p>
    <w:p w14:paraId="6F4A8DF3"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les modalités de coordination ; </w:t>
      </w:r>
    </w:p>
    <w:p w14:paraId="1A348D27" w14:textId="77777777" w:rsidR="00E113CB" w:rsidRPr="00B62F66" w:rsidRDefault="00E113CB">
      <w:pPr>
        <w:numPr>
          <w:ilvl w:val="0"/>
          <w:numId w:val="18"/>
        </w:numPr>
        <w:spacing w:line="276" w:lineRule="auto"/>
        <w:rPr>
          <w:sz w:val="22"/>
          <w:szCs w:val="22"/>
          <w:lang w:val="fr-CI" w:eastAsia="fr-CI"/>
        </w:rPr>
      </w:pPr>
      <w:r w:rsidRPr="00B62F66">
        <w:rPr>
          <w:sz w:val="22"/>
          <w:szCs w:val="22"/>
          <w:lang w:val="fr-CI" w:eastAsia="fr-CI"/>
        </w:rPr>
        <w:t xml:space="preserve">le calendrier détaillé d’exécution. </w:t>
      </w:r>
    </w:p>
    <w:p w14:paraId="240DB54F" w14:textId="77777777" w:rsidR="006D4B2A" w:rsidRPr="00B62F66" w:rsidRDefault="006D4B2A" w:rsidP="006D4B2A">
      <w:pPr>
        <w:spacing w:line="276" w:lineRule="auto"/>
        <w:outlineLvl w:val="2"/>
        <w:rPr>
          <w:b/>
          <w:bCs/>
          <w:sz w:val="22"/>
          <w:szCs w:val="22"/>
          <w:lang w:val="fr-CI" w:eastAsia="fr-CI"/>
        </w:rPr>
      </w:pPr>
    </w:p>
    <w:p w14:paraId="6D17DDF8" w14:textId="767C9283"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t>2. Tableau consolidé des indicateurs</w:t>
      </w:r>
    </w:p>
    <w:p w14:paraId="47AB53E7" w14:textId="77777777" w:rsidR="00E113CB" w:rsidRPr="00B62F66" w:rsidRDefault="00E113CB" w:rsidP="006D4B2A">
      <w:pPr>
        <w:spacing w:line="276" w:lineRule="auto"/>
        <w:rPr>
          <w:sz w:val="22"/>
          <w:szCs w:val="22"/>
          <w:lang w:val="fr-CI" w:eastAsia="fr-CI"/>
        </w:rPr>
      </w:pPr>
      <w:r w:rsidRPr="00B62F66">
        <w:rPr>
          <w:sz w:val="22"/>
          <w:szCs w:val="22"/>
          <w:lang w:val="fr-CI" w:eastAsia="fr-CI"/>
        </w:rPr>
        <w:t>Ce tableau comprendra, pour chaque indicateur :</w:t>
      </w:r>
    </w:p>
    <w:p w14:paraId="12BE9279"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l’intitulé ; </w:t>
      </w:r>
    </w:p>
    <w:p w14:paraId="3405DF5C"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la définition ; </w:t>
      </w:r>
    </w:p>
    <w:p w14:paraId="60569720"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la justification ; </w:t>
      </w:r>
    </w:p>
    <w:p w14:paraId="74F08422"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la source de données ; </w:t>
      </w:r>
    </w:p>
    <w:p w14:paraId="4A0A0091"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la méthode de calcul ; </w:t>
      </w:r>
    </w:p>
    <w:p w14:paraId="7CC48A05"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la périodicité ; </w:t>
      </w:r>
    </w:p>
    <w:p w14:paraId="1AEFEFBC"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l’entité responsable ; </w:t>
      </w:r>
    </w:p>
    <w:p w14:paraId="01CCB3FA"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les limites éventuelles ; </w:t>
      </w:r>
    </w:p>
    <w:p w14:paraId="25212589" w14:textId="77777777" w:rsidR="00E113CB" w:rsidRPr="00B62F66" w:rsidRDefault="00E113CB">
      <w:pPr>
        <w:numPr>
          <w:ilvl w:val="0"/>
          <w:numId w:val="19"/>
        </w:numPr>
        <w:spacing w:line="276" w:lineRule="auto"/>
        <w:rPr>
          <w:sz w:val="22"/>
          <w:szCs w:val="22"/>
          <w:lang w:val="fr-CI" w:eastAsia="fr-CI"/>
        </w:rPr>
      </w:pPr>
      <w:r w:rsidRPr="00B62F66">
        <w:rPr>
          <w:sz w:val="22"/>
          <w:szCs w:val="22"/>
          <w:lang w:val="fr-CI" w:eastAsia="fr-CI"/>
        </w:rPr>
        <w:t xml:space="preserve">les résultats observés ; </w:t>
      </w:r>
    </w:p>
    <w:p w14:paraId="03A9B697" w14:textId="77777777" w:rsidR="00E113CB" w:rsidRDefault="00E113CB">
      <w:pPr>
        <w:numPr>
          <w:ilvl w:val="0"/>
          <w:numId w:val="19"/>
        </w:numPr>
        <w:spacing w:line="276" w:lineRule="auto"/>
        <w:rPr>
          <w:sz w:val="22"/>
          <w:szCs w:val="22"/>
          <w:lang w:val="fr-CI" w:eastAsia="fr-CI"/>
        </w:rPr>
      </w:pPr>
      <w:r w:rsidRPr="00B62F66">
        <w:rPr>
          <w:sz w:val="22"/>
          <w:szCs w:val="22"/>
          <w:lang w:val="fr-CI" w:eastAsia="fr-CI"/>
        </w:rPr>
        <w:t xml:space="preserve">une appréciation du niveau de fiabilité. </w:t>
      </w:r>
    </w:p>
    <w:p w14:paraId="24B142F2" w14:textId="77777777" w:rsidR="00B62F66" w:rsidRPr="00B62F66" w:rsidRDefault="00B62F66" w:rsidP="00B62F66">
      <w:pPr>
        <w:spacing w:line="276" w:lineRule="auto"/>
        <w:ind w:left="720"/>
        <w:rPr>
          <w:sz w:val="22"/>
          <w:szCs w:val="22"/>
          <w:lang w:val="fr-CI" w:eastAsia="fr-CI"/>
        </w:rPr>
      </w:pPr>
    </w:p>
    <w:p w14:paraId="20CE83B8" w14:textId="73FC176A"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t>3. Rapports intermédiaires de mission</w:t>
      </w:r>
    </w:p>
    <w:p w14:paraId="2D9FDA8C" w14:textId="77777777" w:rsidR="00E113CB" w:rsidRPr="00B62F66" w:rsidRDefault="00E113CB" w:rsidP="006D4B2A">
      <w:pPr>
        <w:spacing w:line="276" w:lineRule="auto"/>
        <w:rPr>
          <w:sz w:val="22"/>
          <w:szCs w:val="22"/>
          <w:lang w:val="fr-CI" w:eastAsia="fr-CI"/>
        </w:rPr>
      </w:pPr>
      <w:r w:rsidRPr="00B62F66">
        <w:rPr>
          <w:sz w:val="22"/>
          <w:szCs w:val="22"/>
          <w:lang w:val="fr-CI" w:eastAsia="fr-CI"/>
        </w:rPr>
        <w:t>Chaque rapport intermédiaire présentera :</w:t>
      </w:r>
    </w:p>
    <w:p w14:paraId="6890093E" w14:textId="77777777" w:rsidR="00E113CB" w:rsidRPr="00B62F66" w:rsidRDefault="00E113CB">
      <w:pPr>
        <w:numPr>
          <w:ilvl w:val="0"/>
          <w:numId w:val="20"/>
        </w:numPr>
        <w:spacing w:line="276" w:lineRule="auto"/>
        <w:rPr>
          <w:sz w:val="22"/>
          <w:szCs w:val="22"/>
          <w:lang w:val="fr-CI" w:eastAsia="fr-CI"/>
        </w:rPr>
      </w:pPr>
      <w:r w:rsidRPr="00B62F66">
        <w:rPr>
          <w:sz w:val="22"/>
          <w:szCs w:val="22"/>
          <w:lang w:val="fr-CI" w:eastAsia="fr-CI"/>
        </w:rPr>
        <w:t xml:space="preserve">les activités réalisées ; </w:t>
      </w:r>
    </w:p>
    <w:p w14:paraId="78BF8E4D" w14:textId="77777777" w:rsidR="00E113CB" w:rsidRPr="00B62F66" w:rsidRDefault="00E113CB">
      <w:pPr>
        <w:numPr>
          <w:ilvl w:val="0"/>
          <w:numId w:val="20"/>
        </w:numPr>
        <w:spacing w:line="276" w:lineRule="auto"/>
        <w:rPr>
          <w:sz w:val="22"/>
          <w:szCs w:val="22"/>
          <w:lang w:val="fr-CI" w:eastAsia="fr-CI"/>
        </w:rPr>
      </w:pPr>
      <w:r w:rsidRPr="00B62F66">
        <w:rPr>
          <w:sz w:val="22"/>
          <w:szCs w:val="22"/>
          <w:lang w:val="fr-CI" w:eastAsia="fr-CI"/>
        </w:rPr>
        <w:t xml:space="preserve">les données analysées ; </w:t>
      </w:r>
    </w:p>
    <w:p w14:paraId="67C306B2" w14:textId="77777777" w:rsidR="00E113CB" w:rsidRPr="00B62F66" w:rsidRDefault="00E113CB">
      <w:pPr>
        <w:numPr>
          <w:ilvl w:val="0"/>
          <w:numId w:val="20"/>
        </w:numPr>
        <w:spacing w:line="276" w:lineRule="auto"/>
        <w:rPr>
          <w:sz w:val="22"/>
          <w:szCs w:val="22"/>
          <w:lang w:val="fr-CI" w:eastAsia="fr-CI"/>
        </w:rPr>
      </w:pPr>
      <w:r w:rsidRPr="00B62F66">
        <w:rPr>
          <w:sz w:val="22"/>
          <w:szCs w:val="22"/>
          <w:lang w:val="fr-CI" w:eastAsia="fr-CI"/>
        </w:rPr>
        <w:t xml:space="preserve">les principaux constats ; </w:t>
      </w:r>
    </w:p>
    <w:p w14:paraId="3FE4DC11" w14:textId="77777777" w:rsidR="00E113CB" w:rsidRPr="00B62F66" w:rsidRDefault="00E113CB">
      <w:pPr>
        <w:numPr>
          <w:ilvl w:val="0"/>
          <w:numId w:val="20"/>
        </w:numPr>
        <w:spacing w:line="276" w:lineRule="auto"/>
        <w:rPr>
          <w:sz w:val="22"/>
          <w:szCs w:val="22"/>
          <w:lang w:val="fr-CI" w:eastAsia="fr-CI"/>
        </w:rPr>
      </w:pPr>
      <w:r w:rsidRPr="00B62F66">
        <w:rPr>
          <w:sz w:val="22"/>
          <w:szCs w:val="22"/>
          <w:lang w:val="fr-CI" w:eastAsia="fr-CI"/>
        </w:rPr>
        <w:t xml:space="preserve">les écarts ou difficultés identifiés ; </w:t>
      </w:r>
    </w:p>
    <w:p w14:paraId="49DB4640" w14:textId="77777777" w:rsidR="00E113CB" w:rsidRPr="00B62F66" w:rsidRDefault="00E113CB">
      <w:pPr>
        <w:numPr>
          <w:ilvl w:val="0"/>
          <w:numId w:val="20"/>
        </w:numPr>
        <w:spacing w:line="276" w:lineRule="auto"/>
        <w:rPr>
          <w:sz w:val="22"/>
          <w:szCs w:val="22"/>
          <w:lang w:val="fr-CI" w:eastAsia="fr-CI"/>
        </w:rPr>
      </w:pPr>
      <w:r w:rsidRPr="00B62F66">
        <w:rPr>
          <w:sz w:val="22"/>
          <w:szCs w:val="22"/>
          <w:lang w:val="fr-CI" w:eastAsia="fr-CI"/>
        </w:rPr>
        <w:t xml:space="preserve">les recommandations correctrices ; </w:t>
      </w:r>
    </w:p>
    <w:p w14:paraId="7C22E96D" w14:textId="77777777" w:rsidR="00E113CB" w:rsidRDefault="00E113CB">
      <w:pPr>
        <w:numPr>
          <w:ilvl w:val="0"/>
          <w:numId w:val="20"/>
        </w:numPr>
        <w:spacing w:line="276" w:lineRule="auto"/>
        <w:rPr>
          <w:sz w:val="22"/>
          <w:szCs w:val="22"/>
          <w:lang w:val="fr-CI" w:eastAsia="fr-CI"/>
        </w:rPr>
      </w:pPr>
      <w:r w:rsidRPr="00B62F66">
        <w:rPr>
          <w:sz w:val="22"/>
          <w:szCs w:val="22"/>
          <w:lang w:val="fr-CI" w:eastAsia="fr-CI"/>
        </w:rPr>
        <w:t xml:space="preserve">les points d’arbitrage à porter au niveau de la gouvernance. </w:t>
      </w:r>
    </w:p>
    <w:p w14:paraId="2C18A1C0" w14:textId="77777777" w:rsidR="00B62F66" w:rsidRPr="00B62F66" w:rsidRDefault="00B62F66" w:rsidP="00B62F66">
      <w:pPr>
        <w:spacing w:line="276" w:lineRule="auto"/>
        <w:ind w:left="720"/>
        <w:rPr>
          <w:sz w:val="22"/>
          <w:szCs w:val="22"/>
          <w:lang w:val="fr-CI" w:eastAsia="fr-CI"/>
        </w:rPr>
      </w:pPr>
    </w:p>
    <w:p w14:paraId="6261F52E" w14:textId="54C4C2F9"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t>4. Notes d’orientation / notes de synthèse</w:t>
      </w:r>
    </w:p>
    <w:p w14:paraId="6307C5D8" w14:textId="77777777" w:rsidR="00E113CB" w:rsidRDefault="00E113CB" w:rsidP="006D4B2A">
      <w:pPr>
        <w:spacing w:line="276" w:lineRule="auto"/>
        <w:rPr>
          <w:sz w:val="22"/>
          <w:szCs w:val="22"/>
          <w:lang w:val="fr-CI" w:eastAsia="fr-CI"/>
        </w:rPr>
      </w:pPr>
      <w:r w:rsidRPr="00B62F66">
        <w:rPr>
          <w:sz w:val="22"/>
          <w:szCs w:val="22"/>
          <w:lang w:val="fr-CI" w:eastAsia="fr-CI"/>
        </w:rPr>
        <w:t>Ces notes, à vocation stratégique, alimenteront le dialogue de politique publique et les instances de pilotage. Elles devront être concises, argumentées et directement exploitables.</w:t>
      </w:r>
    </w:p>
    <w:p w14:paraId="12AB2E91" w14:textId="77777777" w:rsidR="00B62F66" w:rsidRPr="00B62F66" w:rsidRDefault="00B62F66" w:rsidP="006D4B2A">
      <w:pPr>
        <w:spacing w:line="276" w:lineRule="auto"/>
        <w:rPr>
          <w:sz w:val="22"/>
          <w:szCs w:val="22"/>
          <w:lang w:val="fr-CI" w:eastAsia="fr-CI"/>
        </w:rPr>
      </w:pPr>
    </w:p>
    <w:p w14:paraId="3C3DCB08" w14:textId="3F789F52"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lastRenderedPageBreak/>
        <w:t xml:space="preserve"> 5. Rapport final</w:t>
      </w:r>
    </w:p>
    <w:p w14:paraId="29A2CA66" w14:textId="77777777" w:rsidR="00E113CB" w:rsidRPr="00B62F66" w:rsidRDefault="00E113CB" w:rsidP="006D4B2A">
      <w:pPr>
        <w:spacing w:line="276" w:lineRule="auto"/>
        <w:rPr>
          <w:sz w:val="22"/>
          <w:szCs w:val="22"/>
          <w:lang w:val="fr-CI" w:eastAsia="fr-CI"/>
        </w:rPr>
      </w:pPr>
      <w:r w:rsidRPr="00B62F66">
        <w:rPr>
          <w:sz w:val="22"/>
          <w:szCs w:val="22"/>
          <w:lang w:val="fr-CI" w:eastAsia="fr-CI"/>
        </w:rPr>
        <w:t>Le rapport final intégrera :</w:t>
      </w:r>
    </w:p>
    <w:p w14:paraId="653B7262" w14:textId="77777777" w:rsidR="00E113CB" w:rsidRPr="00B62F66" w:rsidRDefault="00E113CB">
      <w:pPr>
        <w:numPr>
          <w:ilvl w:val="0"/>
          <w:numId w:val="21"/>
        </w:numPr>
        <w:spacing w:line="276" w:lineRule="auto"/>
        <w:rPr>
          <w:sz w:val="22"/>
          <w:szCs w:val="22"/>
          <w:lang w:val="fr-CI" w:eastAsia="fr-CI"/>
        </w:rPr>
      </w:pPr>
      <w:r w:rsidRPr="00B62F66">
        <w:rPr>
          <w:sz w:val="22"/>
          <w:szCs w:val="22"/>
          <w:lang w:val="fr-CI" w:eastAsia="fr-CI"/>
        </w:rPr>
        <w:t xml:space="preserve">la consolidation de l’ensemble des analyses réalisées sur la période ; </w:t>
      </w:r>
    </w:p>
    <w:p w14:paraId="34A016CF" w14:textId="77777777" w:rsidR="00E113CB" w:rsidRPr="00B62F66" w:rsidRDefault="00E113CB">
      <w:pPr>
        <w:numPr>
          <w:ilvl w:val="0"/>
          <w:numId w:val="21"/>
        </w:numPr>
        <w:spacing w:line="276" w:lineRule="auto"/>
        <w:rPr>
          <w:sz w:val="22"/>
          <w:szCs w:val="22"/>
          <w:lang w:val="fr-CI" w:eastAsia="fr-CI"/>
        </w:rPr>
      </w:pPr>
      <w:r w:rsidRPr="00B62F66">
        <w:rPr>
          <w:sz w:val="22"/>
          <w:szCs w:val="22"/>
          <w:lang w:val="fr-CI" w:eastAsia="fr-CI"/>
        </w:rPr>
        <w:t xml:space="preserve">le bilan de performance du programme au regard des indicateurs suivis ; </w:t>
      </w:r>
    </w:p>
    <w:p w14:paraId="7C97CAAD" w14:textId="77777777" w:rsidR="00E113CB" w:rsidRPr="00B62F66" w:rsidRDefault="00E113CB">
      <w:pPr>
        <w:numPr>
          <w:ilvl w:val="0"/>
          <w:numId w:val="21"/>
        </w:numPr>
        <w:spacing w:line="276" w:lineRule="auto"/>
        <w:rPr>
          <w:sz w:val="22"/>
          <w:szCs w:val="22"/>
          <w:lang w:val="fr-CI" w:eastAsia="fr-CI"/>
        </w:rPr>
      </w:pPr>
      <w:r w:rsidRPr="00B62F66">
        <w:rPr>
          <w:sz w:val="22"/>
          <w:szCs w:val="22"/>
          <w:lang w:val="fr-CI" w:eastAsia="fr-CI"/>
        </w:rPr>
        <w:t xml:space="preserve">l’appréciation de la qualité et de la robustesse du dispositif de suivi-évaluation ; </w:t>
      </w:r>
    </w:p>
    <w:p w14:paraId="664759FD" w14:textId="77777777" w:rsidR="00E113CB" w:rsidRPr="00B62F66" w:rsidRDefault="00E113CB">
      <w:pPr>
        <w:numPr>
          <w:ilvl w:val="0"/>
          <w:numId w:val="21"/>
        </w:numPr>
        <w:spacing w:line="276" w:lineRule="auto"/>
        <w:rPr>
          <w:sz w:val="22"/>
          <w:szCs w:val="22"/>
          <w:lang w:val="fr-CI" w:eastAsia="fr-CI"/>
        </w:rPr>
      </w:pPr>
      <w:r w:rsidRPr="00B62F66">
        <w:rPr>
          <w:sz w:val="22"/>
          <w:szCs w:val="22"/>
          <w:lang w:val="fr-CI" w:eastAsia="fr-CI"/>
        </w:rPr>
        <w:t xml:space="preserve">l’analyse des principaux écarts et facteurs explicatifs ; </w:t>
      </w:r>
    </w:p>
    <w:p w14:paraId="5A542496" w14:textId="77777777" w:rsidR="00E113CB" w:rsidRDefault="00E113CB">
      <w:pPr>
        <w:numPr>
          <w:ilvl w:val="0"/>
          <w:numId w:val="21"/>
        </w:numPr>
        <w:spacing w:line="276" w:lineRule="auto"/>
        <w:rPr>
          <w:sz w:val="22"/>
          <w:szCs w:val="22"/>
          <w:lang w:val="fr-CI" w:eastAsia="fr-CI"/>
        </w:rPr>
      </w:pPr>
      <w:r w:rsidRPr="00B62F66">
        <w:rPr>
          <w:sz w:val="22"/>
          <w:szCs w:val="22"/>
          <w:lang w:val="fr-CI" w:eastAsia="fr-CI"/>
        </w:rPr>
        <w:t xml:space="preserve">les recommandations stratégiques, institutionnelles et opérationnelles en vue de la pérennisation des acquis. </w:t>
      </w:r>
    </w:p>
    <w:p w14:paraId="700BE967" w14:textId="77777777" w:rsidR="00B62F66" w:rsidRPr="00B62F66" w:rsidRDefault="00B62F66" w:rsidP="00B62F66">
      <w:pPr>
        <w:spacing w:line="276" w:lineRule="auto"/>
        <w:ind w:left="720"/>
        <w:rPr>
          <w:sz w:val="22"/>
          <w:szCs w:val="22"/>
          <w:lang w:val="fr-CI" w:eastAsia="fr-CI"/>
        </w:rPr>
      </w:pPr>
    </w:p>
    <w:p w14:paraId="690C7AFC" w14:textId="1621C61E" w:rsidR="00E113CB" w:rsidRPr="00B62F66" w:rsidRDefault="00E113CB" w:rsidP="006D4B2A">
      <w:pPr>
        <w:spacing w:line="276" w:lineRule="auto"/>
        <w:outlineLvl w:val="2"/>
        <w:rPr>
          <w:b/>
          <w:bCs/>
          <w:sz w:val="22"/>
          <w:szCs w:val="22"/>
          <w:lang w:val="fr-CI" w:eastAsia="fr-CI"/>
        </w:rPr>
      </w:pPr>
      <w:r w:rsidRPr="00B62F66">
        <w:rPr>
          <w:b/>
          <w:bCs/>
          <w:sz w:val="22"/>
          <w:szCs w:val="22"/>
          <w:lang w:val="fr-CI" w:eastAsia="fr-CI"/>
        </w:rPr>
        <w:t>6. Supports de restitution</w:t>
      </w:r>
    </w:p>
    <w:p w14:paraId="325AC8E0" w14:textId="7BAB4FB5" w:rsidR="007566C1" w:rsidRPr="00B62F66" w:rsidRDefault="00E113CB" w:rsidP="00B62F66">
      <w:pPr>
        <w:spacing w:before="100" w:beforeAutospacing="1" w:after="100" w:afterAutospacing="1"/>
        <w:rPr>
          <w:sz w:val="22"/>
          <w:szCs w:val="22"/>
          <w:lang w:val="fr-CI" w:eastAsia="fr-CI"/>
        </w:rPr>
      </w:pPr>
      <w:r w:rsidRPr="00B62F66">
        <w:rPr>
          <w:sz w:val="22"/>
          <w:szCs w:val="22"/>
          <w:lang w:val="fr-CI" w:eastAsia="fr-CI"/>
        </w:rPr>
        <w:t xml:space="preserve">Des présentations PowerPoint seront </w:t>
      </w:r>
      <w:r w:rsidR="006D4B2A" w:rsidRPr="00B62F66">
        <w:rPr>
          <w:sz w:val="22"/>
          <w:szCs w:val="22"/>
          <w:lang w:val="fr-CI" w:eastAsia="fr-CI"/>
        </w:rPr>
        <w:t>produites</w:t>
      </w:r>
      <w:r w:rsidRPr="00B62F66">
        <w:rPr>
          <w:sz w:val="22"/>
          <w:szCs w:val="22"/>
          <w:lang w:val="fr-CI" w:eastAsia="fr-CI"/>
        </w:rPr>
        <w:t xml:space="preserve"> pour les réunions techniques et stratégiques</w:t>
      </w:r>
      <w:r w:rsidR="00B62F66">
        <w:rPr>
          <w:sz w:val="22"/>
          <w:szCs w:val="22"/>
          <w:lang w:val="fr-CI" w:eastAsia="fr-CI"/>
        </w:rPr>
        <w:t>.</w:t>
      </w:r>
    </w:p>
    <w:p w14:paraId="0623509E" w14:textId="41D00928" w:rsidR="007566C1" w:rsidRDefault="007566C1" w:rsidP="00E61983">
      <w:pPr>
        <w:jc w:val="both"/>
        <w:rPr>
          <w:rFonts w:ascii="Calibri" w:eastAsia="Arial Unicode MS" w:hAnsi="Calibri" w:cs="Arial Unicode MS"/>
          <w:b/>
          <w:sz w:val="22"/>
          <w:szCs w:val="22"/>
          <w:lang w:eastAsia="en-US"/>
        </w:rPr>
      </w:pPr>
    </w:p>
    <w:p w14:paraId="397F2D33" w14:textId="77777777" w:rsidR="00965444" w:rsidRPr="00B62F66" w:rsidRDefault="00965444">
      <w:pPr>
        <w:numPr>
          <w:ilvl w:val="0"/>
          <w:numId w:val="1"/>
        </w:numPr>
        <w:shd w:val="clear" w:color="auto" w:fill="E6E6E6"/>
        <w:tabs>
          <w:tab w:val="clear" w:pos="720"/>
          <w:tab w:val="num" w:pos="180"/>
          <w:tab w:val="num" w:pos="900"/>
        </w:tabs>
        <w:ind w:left="180"/>
        <w:rPr>
          <w:rFonts w:eastAsia="Arial Unicode MS"/>
          <w:b/>
          <w:sz w:val="22"/>
          <w:szCs w:val="22"/>
          <w:lang w:eastAsia="en-US"/>
        </w:rPr>
      </w:pPr>
      <w:r w:rsidRPr="00B62F66">
        <w:rPr>
          <w:rFonts w:eastAsia="Arial Unicode MS"/>
          <w:b/>
          <w:sz w:val="22"/>
          <w:szCs w:val="22"/>
          <w:lang w:eastAsia="en-US"/>
        </w:rPr>
        <w:t xml:space="preserve">Coordination </w:t>
      </w:r>
    </w:p>
    <w:p w14:paraId="5EF5CFCC" w14:textId="3C7E8C66" w:rsidR="00965444" w:rsidRPr="00B62F66" w:rsidRDefault="00965444" w:rsidP="009236DE">
      <w:pPr>
        <w:jc w:val="both"/>
        <w:rPr>
          <w:sz w:val="22"/>
          <w:szCs w:val="22"/>
          <w:highlight w:val="cyan"/>
        </w:rPr>
      </w:pPr>
    </w:p>
    <w:p w14:paraId="02000152" w14:textId="5793F079" w:rsidR="007566C1" w:rsidRPr="00B62F66" w:rsidRDefault="007566C1" w:rsidP="007566C1">
      <w:pPr>
        <w:pStyle w:val="NormalWeb"/>
        <w:rPr>
          <w:sz w:val="22"/>
          <w:szCs w:val="22"/>
        </w:rPr>
      </w:pPr>
      <w:r w:rsidRPr="00B62F66">
        <w:rPr>
          <w:sz w:val="22"/>
          <w:szCs w:val="22"/>
        </w:rPr>
        <w:t>La</w:t>
      </w:r>
      <w:r w:rsidR="006D4B2A" w:rsidRPr="00B62F66">
        <w:rPr>
          <w:sz w:val="22"/>
          <w:szCs w:val="22"/>
        </w:rPr>
        <w:t xml:space="preserve"> présente</w:t>
      </w:r>
      <w:r w:rsidRPr="00B62F66">
        <w:rPr>
          <w:sz w:val="22"/>
          <w:szCs w:val="22"/>
        </w:rPr>
        <w:t xml:space="preserve"> mission s’inscrit dans le dispositif global d’assistance technique mis en œuvre par </w:t>
      </w:r>
      <w:r w:rsidR="006D4B2A" w:rsidRPr="00B62F66">
        <w:rPr>
          <w:sz w:val="22"/>
          <w:szCs w:val="22"/>
        </w:rPr>
        <w:t>Expert</w:t>
      </w:r>
      <w:r w:rsidRPr="00B62F66">
        <w:rPr>
          <w:sz w:val="22"/>
          <w:szCs w:val="22"/>
        </w:rPr>
        <w:t>ise France dans le cadre du programme C2D Ressources Humaines en Santé.</w:t>
      </w:r>
    </w:p>
    <w:p w14:paraId="553F45BC" w14:textId="499A3C4E" w:rsidR="007566C1" w:rsidRPr="00B62F66" w:rsidRDefault="007566C1">
      <w:pPr>
        <w:pStyle w:val="NormalWeb"/>
        <w:numPr>
          <w:ilvl w:val="0"/>
          <w:numId w:val="5"/>
        </w:numPr>
        <w:rPr>
          <w:sz w:val="22"/>
          <w:szCs w:val="22"/>
        </w:rPr>
      </w:pPr>
      <w:r w:rsidRPr="00B62F66">
        <w:rPr>
          <w:b/>
          <w:bCs/>
          <w:sz w:val="22"/>
          <w:szCs w:val="22"/>
        </w:rPr>
        <w:t>Supervision générale</w:t>
      </w:r>
      <w:r w:rsidRPr="00B62F66">
        <w:rPr>
          <w:sz w:val="22"/>
          <w:szCs w:val="22"/>
        </w:rPr>
        <w:t xml:space="preserve"> :</w:t>
      </w:r>
      <w:r w:rsidRPr="00B62F66">
        <w:rPr>
          <w:sz w:val="22"/>
          <w:szCs w:val="22"/>
        </w:rPr>
        <w:br/>
      </w:r>
      <w:r w:rsidR="00B62F66" w:rsidRPr="00B62F66">
        <w:rPr>
          <w:sz w:val="22"/>
          <w:szCs w:val="22"/>
        </w:rPr>
        <w:t>Le cabinet</w:t>
      </w:r>
      <w:r w:rsidRPr="00B62F66">
        <w:rPr>
          <w:sz w:val="22"/>
          <w:szCs w:val="22"/>
        </w:rPr>
        <w:t xml:space="preserve"> travaillera sous la supervision conjointe :</w:t>
      </w:r>
    </w:p>
    <w:p w14:paraId="776317CF" w14:textId="7F52D6B0" w:rsidR="007566C1" w:rsidRPr="00B62F66" w:rsidRDefault="007566C1">
      <w:pPr>
        <w:pStyle w:val="NormalWeb"/>
        <w:numPr>
          <w:ilvl w:val="1"/>
          <w:numId w:val="5"/>
        </w:numPr>
        <w:rPr>
          <w:sz w:val="22"/>
          <w:szCs w:val="22"/>
        </w:rPr>
      </w:pPr>
      <w:r w:rsidRPr="00B62F66">
        <w:rPr>
          <w:sz w:val="22"/>
          <w:szCs w:val="22"/>
        </w:rPr>
        <w:t>d’</w:t>
      </w:r>
      <w:r w:rsidR="006D4B2A" w:rsidRPr="00B62F66">
        <w:rPr>
          <w:sz w:val="22"/>
          <w:szCs w:val="22"/>
        </w:rPr>
        <w:t>Expert</w:t>
      </w:r>
      <w:r w:rsidRPr="00B62F66">
        <w:rPr>
          <w:sz w:val="22"/>
          <w:szCs w:val="22"/>
        </w:rPr>
        <w:t>ise France (responsable opérationnel du dispositif d’assistance technique),</w:t>
      </w:r>
    </w:p>
    <w:p w14:paraId="2F95613A" w14:textId="77777777" w:rsidR="007566C1" w:rsidRPr="00B62F66" w:rsidRDefault="007566C1">
      <w:pPr>
        <w:pStyle w:val="NormalWeb"/>
        <w:numPr>
          <w:ilvl w:val="1"/>
          <w:numId w:val="5"/>
        </w:numPr>
        <w:rPr>
          <w:sz w:val="22"/>
          <w:szCs w:val="22"/>
        </w:rPr>
      </w:pPr>
      <w:r w:rsidRPr="00B62F66">
        <w:rPr>
          <w:sz w:val="22"/>
          <w:szCs w:val="22"/>
        </w:rPr>
        <w:t>du Ministère de la Santé, de l’Hygiène Publique et de la Couverture Maladie Universelle (MSHPCMU), en particulier la Direction de la Planification, de l’Information et de l’Évaluation (DPIE),</w:t>
      </w:r>
    </w:p>
    <w:p w14:paraId="10BFBFD2" w14:textId="77777777" w:rsidR="007566C1" w:rsidRPr="00B62F66" w:rsidRDefault="007566C1">
      <w:pPr>
        <w:pStyle w:val="NormalWeb"/>
        <w:numPr>
          <w:ilvl w:val="1"/>
          <w:numId w:val="5"/>
        </w:numPr>
        <w:rPr>
          <w:sz w:val="22"/>
          <w:szCs w:val="22"/>
        </w:rPr>
      </w:pPr>
      <w:r w:rsidRPr="00B62F66">
        <w:rPr>
          <w:sz w:val="22"/>
          <w:szCs w:val="22"/>
        </w:rPr>
        <w:t>et en lien avec l’Agence Française de Développement (AFD), bailleur du programme.</w:t>
      </w:r>
    </w:p>
    <w:p w14:paraId="272E9549" w14:textId="77777777" w:rsidR="007566C1" w:rsidRPr="00B62F66" w:rsidRDefault="007566C1">
      <w:pPr>
        <w:pStyle w:val="NormalWeb"/>
        <w:numPr>
          <w:ilvl w:val="0"/>
          <w:numId w:val="5"/>
        </w:numPr>
        <w:rPr>
          <w:sz w:val="22"/>
          <w:szCs w:val="22"/>
        </w:rPr>
      </w:pPr>
      <w:r w:rsidRPr="00B62F66">
        <w:rPr>
          <w:b/>
          <w:bCs/>
          <w:sz w:val="22"/>
          <w:szCs w:val="22"/>
        </w:rPr>
        <w:t>Modalités de coordination</w:t>
      </w:r>
      <w:r w:rsidRPr="00B62F66">
        <w:rPr>
          <w:sz w:val="22"/>
          <w:szCs w:val="22"/>
        </w:rPr>
        <w:t xml:space="preserve"> :</w:t>
      </w:r>
    </w:p>
    <w:p w14:paraId="4121DBA0" w14:textId="77777777" w:rsidR="007566C1" w:rsidRPr="00B62F66" w:rsidRDefault="007566C1">
      <w:pPr>
        <w:pStyle w:val="NormalWeb"/>
        <w:numPr>
          <w:ilvl w:val="1"/>
          <w:numId w:val="5"/>
        </w:numPr>
        <w:rPr>
          <w:sz w:val="22"/>
          <w:szCs w:val="22"/>
        </w:rPr>
      </w:pPr>
      <w:r w:rsidRPr="00B62F66">
        <w:rPr>
          <w:sz w:val="22"/>
          <w:szCs w:val="22"/>
        </w:rPr>
        <w:t xml:space="preserve">Réunions de </w:t>
      </w:r>
      <w:r w:rsidRPr="00B62F66">
        <w:rPr>
          <w:b/>
          <w:bCs/>
          <w:sz w:val="22"/>
          <w:szCs w:val="22"/>
        </w:rPr>
        <w:t>briefing et de cadrage</w:t>
      </w:r>
      <w:r w:rsidRPr="00B62F66">
        <w:rPr>
          <w:sz w:val="22"/>
          <w:szCs w:val="22"/>
        </w:rPr>
        <w:t xml:space="preserve"> en début de mission pour valider les objectifs, la méthodologie et le calendrier de travail.</w:t>
      </w:r>
    </w:p>
    <w:p w14:paraId="4AF35540" w14:textId="17FEDB8E" w:rsidR="007566C1" w:rsidRPr="00B62F66" w:rsidRDefault="007566C1">
      <w:pPr>
        <w:pStyle w:val="NormalWeb"/>
        <w:numPr>
          <w:ilvl w:val="1"/>
          <w:numId w:val="5"/>
        </w:numPr>
        <w:rPr>
          <w:sz w:val="22"/>
          <w:szCs w:val="22"/>
        </w:rPr>
      </w:pPr>
      <w:r w:rsidRPr="00B62F66">
        <w:rPr>
          <w:sz w:val="22"/>
          <w:szCs w:val="22"/>
        </w:rPr>
        <w:t xml:space="preserve">Réunions </w:t>
      </w:r>
      <w:r w:rsidRPr="00B62F66">
        <w:rPr>
          <w:b/>
          <w:bCs/>
          <w:sz w:val="22"/>
          <w:szCs w:val="22"/>
        </w:rPr>
        <w:t>périodiques de suivi</w:t>
      </w:r>
      <w:r w:rsidRPr="00B62F66">
        <w:rPr>
          <w:sz w:val="22"/>
          <w:szCs w:val="22"/>
        </w:rPr>
        <w:t xml:space="preserve"> associant </w:t>
      </w:r>
      <w:r w:rsidR="006D4B2A" w:rsidRPr="00B62F66">
        <w:rPr>
          <w:sz w:val="22"/>
          <w:szCs w:val="22"/>
        </w:rPr>
        <w:t>Expert</w:t>
      </w:r>
      <w:r w:rsidRPr="00B62F66">
        <w:rPr>
          <w:sz w:val="22"/>
          <w:szCs w:val="22"/>
        </w:rPr>
        <w:t>ise France, le MSHPCMU et l’AFD pour partager l’état d’avancement, discuter des difficultés et valider les livrables intermédiaires.</w:t>
      </w:r>
    </w:p>
    <w:p w14:paraId="741A6711" w14:textId="77777777" w:rsidR="007566C1" w:rsidRPr="00B62F66" w:rsidRDefault="007566C1">
      <w:pPr>
        <w:pStyle w:val="NormalWeb"/>
        <w:numPr>
          <w:ilvl w:val="1"/>
          <w:numId w:val="5"/>
        </w:numPr>
        <w:rPr>
          <w:sz w:val="22"/>
          <w:szCs w:val="22"/>
        </w:rPr>
      </w:pPr>
      <w:r w:rsidRPr="00B62F66">
        <w:rPr>
          <w:sz w:val="22"/>
          <w:szCs w:val="22"/>
        </w:rPr>
        <w:t xml:space="preserve">Réunions de </w:t>
      </w:r>
      <w:r w:rsidRPr="00B62F66">
        <w:rPr>
          <w:b/>
          <w:bCs/>
          <w:sz w:val="22"/>
          <w:szCs w:val="22"/>
        </w:rPr>
        <w:t>restitution et de validation</w:t>
      </w:r>
      <w:r w:rsidRPr="00B62F66">
        <w:rPr>
          <w:sz w:val="22"/>
          <w:szCs w:val="22"/>
        </w:rPr>
        <w:t xml:space="preserve"> des résultats auprès des instances de pilotage du programme (comités techniques, comités de suivi).</w:t>
      </w:r>
    </w:p>
    <w:p w14:paraId="33F0E9D1" w14:textId="0520BF8A" w:rsidR="007566C1" w:rsidRPr="00B62F66" w:rsidRDefault="007566C1">
      <w:pPr>
        <w:pStyle w:val="NormalWeb"/>
        <w:numPr>
          <w:ilvl w:val="0"/>
          <w:numId w:val="5"/>
        </w:numPr>
        <w:rPr>
          <w:sz w:val="22"/>
          <w:szCs w:val="22"/>
        </w:rPr>
      </w:pPr>
      <w:r w:rsidRPr="00B62F66">
        <w:rPr>
          <w:b/>
          <w:bCs/>
          <w:sz w:val="22"/>
          <w:szCs w:val="22"/>
        </w:rPr>
        <w:t>Travail en synergie</w:t>
      </w:r>
      <w:r w:rsidRPr="00B62F66">
        <w:rPr>
          <w:sz w:val="22"/>
          <w:szCs w:val="22"/>
        </w:rPr>
        <w:t xml:space="preserve"> :</w:t>
      </w:r>
      <w:r w:rsidRPr="00B62F66">
        <w:rPr>
          <w:sz w:val="22"/>
          <w:szCs w:val="22"/>
        </w:rPr>
        <w:br/>
      </w:r>
      <w:r w:rsidR="00B62F66" w:rsidRPr="00B62F66">
        <w:rPr>
          <w:sz w:val="22"/>
          <w:szCs w:val="22"/>
        </w:rPr>
        <w:t>LE CABINET</w:t>
      </w:r>
      <w:r w:rsidRPr="00B62F66">
        <w:rPr>
          <w:sz w:val="22"/>
          <w:szCs w:val="22"/>
        </w:rPr>
        <w:t xml:space="preserve"> veillera à travailler en complémentarité avec les autres </w:t>
      </w:r>
      <w:r w:rsidR="006D4B2A" w:rsidRPr="00B62F66">
        <w:rPr>
          <w:sz w:val="22"/>
          <w:szCs w:val="22"/>
        </w:rPr>
        <w:t>expert</w:t>
      </w:r>
      <w:r w:rsidRPr="00B62F66">
        <w:rPr>
          <w:sz w:val="22"/>
          <w:szCs w:val="22"/>
        </w:rPr>
        <w:t>s mobilisés par le projet (</w:t>
      </w:r>
      <w:r w:rsidR="006D4B2A" w:rsidRPr="00B62F66">
        <w:rPr>
          <w:sz w:val="22"/>
          <w:szCs w:val="22"/>
        </w:rPr>
        <w:t>expert</w:t>
      </w:r>
      <w:r w:rsidRPr="00B62F66">
        <w:rPr>
          <w:sz w:val="22"/>
          <w:szCs w:val="22"/>
        </w:rPr>
        <w:t xml:space="preserve">s thématiques, </w:t>
      </w:r>
      <w:r w:rsidR="006D4B2A" w:rsidRPr="00B62F66">
        <w:rPr>
          <w:sz w:val="22"/>
          <w:szCs w:val="22"/>
        </w:rPr>
        <w:t>expert</w:t>
      </w:r>
      <w:r w:rsidRPr="00B62F66">
        <w:rPr>
          <w:sz w:val="22"/>
          <w:szCs w:val="22"/>
        </w:rPr>
        <w:t xml:space="preserve">s juridiques, </w:t>
      </w:r>
      <w:r w:rsidR="006D4B2A" w:rsidRPr="00B62F66">
        <w:rPr>
          <w:sz w:val="22"/>
          <w:szCs w:val="22"/>
        </w:rPr>
        <w:t>expert</w:t>
      </w:r>
      <w:r w:rsidRPr="00B62F66">
        <w:rPr>
          <w:sz w:val="22"/>
          <w:szCs w:val="22"/>
        </w:rPr>
        <w:t>s en régulation, etc.) afin d’assurer une cohérence globale des analyses et recommandations.</w:t>
      </w:r>
    </w:p>
    <w:p w14:paraId="08BFFAB2" w14:textId="487E2D91" w:rsidR="007566C1" w:rsidRPr="00B62F66" w:rsidRDefault="007566C1">
      <w:pPr>
        <w:pStyle w:val="NormalWeb"/>
        <w:numPr>
          <w:ilvl w:val="0"/>
          <w:numId w:val="5"/>
        </w:numPr>
        <w:rPr>
          <w:sz w:val="22"/>
          <w:szCs w:val="22"/>
        </w:rPr>
      </w:pPr>
      <w:r w:rsidRPr="00B62F66">
        <w:rPr>
          <w:b/>
          <w:bCs/>
          <w:sz w:val="22"/>
          <w:szCs w:val="22"/>
        </w:rPr>
        <w:t>Communication des résultats</w:t>
      </w:r>
      <w:r w:rsidRPr="00B62F66">
        <w:rPr>
          <w:sz w:val="22"/>
          <w:szCs w:val="22"/>
        </w:rPr>
        <w:t xml:space="preserve"> :</w:t>
      </w:r>
      <w:r w:rsidRPr="00B62F66">
        <w:rPr>
          <w:sz w:val="22"/>
          <w:szCs w:val="22"/>
        </w:rPr>
        <w:br/>
        <w:t xml:space="preserve">Tous les livrables produits par </w:t>
      </w:r>
      <w:r w:rsidR="00B62F66" w:rsidRPr="00B62F66">
        <w:rPr>
          <w:sz w:val="22"/>
          <w:szCs w:val="22"/>
        </w:rPr>
        <w:t>le cabinet</w:t>
      </w:r>
      <w:r w:rsidRPr="00B62F66">
        <w:rPr>
          <w:sz w:val="22"/>
          <w:szCs w:val="22"/>
        </w:rPr>
        <w:t xml:space="preserve"> seront transmis en premier lieu à </w:t>
      </w:r>
      <w:r w:rsidR="006D4B2A" w:rsidRPr="00B62F66">
        <w:rPr>
          <w:sz w:val="22"/>
          <w:szCs w:val="22"/>
        </w:rPr>
        <w:t>Expert</w:t>
      </w:r>
      <w:r w:rsidRPr="00B62F66">
        <w:rPr>
          <w:sz w:val="22"/>
          <w:szCs w:val="22"/>
        </w:rPr>
        <w:t>ise France pour contrôle qualité (fond et forme), avant validation finale par le MSHPCMU et partage avec l’AFD.</w:t>
      </w:r>
    </w:p>
    <w:p w14:paraId="5DFAFC2C" w14:textId="77777777" w:rsidR="003A7507" w:rsidRPr="00D15F32" w:rsidRDefault="003A7507" w:rsidP="003A7507">
      <w:pPr>
        <w:rPr>
          <w:rFonts w:ascii="Calibri" w:hAnsi="Calibri"/>
          <w:sz w:val="22"/>
          <w:szCs w:val="22"/>
        </w:rPr>
      </w:pPr>
    </w:p>
    <w:p w14:paraId="00A8F97B" w14:textId="77777777" w:rsidR="003A7507" w:rsidRPr="00B62F66" w:rsidRDefault="003A7507">
      <w:pPr>
        <w:numPr>
          <w:ilvl w:val="0"/>
          <w:numId w:val="1"/>
        </w:numPr>
        <w:shd w:val="clear" w:color="auto" w:fill="E6E6E6"/>
        <w:tabs>
          <w:tab w:val="clear" w:pos="720"/>
          <w:tab w:val="num" w:pos="180"/>
        </w:tabs>
        <w:spacing w:line="276" w:lineRule="auto"/>
        <w:ind w:left="180"/>
        <w:rPr>
          <w:rFonts w:eastAsia="Arial Unicode MS"/>
          <w:b/>
          <w:sz w:val="22"/>
          <w:szCs w:val="22"/>
          <w:lang w:eastAsia="en-US"/>
        </w:rPr>
      </w:pPr>
      <w:r w:rsidRPr="00B62F66">
        <w:rPr>
          <w:rFonts w:eastAsia="Arial Unicode MS"/>
          <w:b/>
          <w:sz w:val="22"/>
          <w:szCs w:val="22"/>
          <w:lang w:eastAsia="en-US"/>
        </w:rPr>
        <w:t>Lieu, Durée et Modalités d’exécution</w:t>
      </w:r>
    </w:p>
    <w:p w14:paraId="6D77A0D3" w14:textId="77777777" w:rsidR="003A7507" w:rsidRPr="00B62F66" w:rsidRDefault="003A7507" w:rsidP="00B62F66">
      <w:pPr>
        <w:spacing w:line="276" w:lineRule="auto"/>
        <w:rPr>
          <w:sz w:val="22"/>
          <w:szCs w:val="22"/>
          <w:highlight w:val="cyan"/>
        </w:rPr>
      </w:pPr>
    </w:p>
    <w:p w14:paraId="67C57D3D" w14:textId="76647F19" w:rsidR="00115F5C" w:rsidRPr="00B62F66" w:rsidRDefault="003A7507">
      <w:pPr>
        <w:numPr>
          <w:ilvl w:val="1"/>
          <w:numId w:val="1"/>
        </w:numPr>
        <w:tabs>
          <w:tab w:val="clear" w:pos="1440"/>
          <w:tab w:val="num" w:pos="900"/>
        </w:tabs>
        <w:spacing w:line="276" w:lineRule="auto"/>
        <w:ind w:left="900"/>
        <w:rPr>
          <w:rFonts w:eastAsia="Arial Unicode MS"/>
          <w:b/>
          <w:sz w:val="22"/>
          <w:szCs w:val="22"/>
          <w:lang w:eastAsia="en-US"/>
        </w:rPr>
      </w:pPr>
      <w:r w:rsidRPr="00B62F66">
        <w:rPr>
          <w:rFonts w:eastAsia="Arial Unicode MS"/>
          <w:b/>
          <w:sz w:val="22"/>
          <w:szCs w:val="22"/>
          <w:lang w:eastAsia="en-US"/>
        </w:rPr>
        <w:t xml:space="preserve">Période de mise en œuvre : </w:t>
      </w:r>
      <w:r w:rsidR="000263DB" w:rsidRPr="00B62F66">
        <w:rPr>
          <w:rFonts w:eastAsia="Arial Unicode MS"/>
          <w:sz w:val="22"/>
          <w:szCs w:val="22"/>
          <w:lang w:eastAsia="en-US"/>
        </w:rPr>
        <w:t>Décembre 202</w:t>
      </w:r>
      <w:r w:rsidR="007D4E62" w:rsidRPr="00B62F66">
        <w:rPr>
          <w:rFonts w:eastAsia="Arial Unicode MS"/>
          <w:sz w:val="22"/>
          <w:szCs w:val="22"/>
          <w:lang w:eastAsia="en-US"/>
        </w:rPr>
        <w:t>6</w:t>
      </w:r>
      <w:r w:rsidR="00115F5C" w:rsidRPr="00B62F66">
        <w:rPr>
          <w:rFonts w:eastAsia="Arial Unicode MS"/>
          <w:sz w:val="22"/>
          <w:szCs w:val="22"/>
          <w:lang w:eastAsia="en-US"/>
        </w:rPr>
        <w:t>-mai 2030</w:t>
      </w:r>
    </w:p>
    <w:p w14:paraId="3965E893" w14:textId="77777777" w:rsidR="003A7507" w:rsidRPr="00B62F66" w:rsidRDefault="003A7507" w:rsidP="00B62F66">
      <w:pPr>
        <w:spacing w:line="276" w:lineRule="auto"/>
        <w:ind w:left="1080"/>
        <w:rPr>
          <w:bCs/>
          <w:sz w:val="22"/>
          <w:szCs w:val="22"/>
        </w:rPr>
      </w:pPr>
    </w:p>
    <w:p w14:paraId="0A16D9D4" w14:textId="36C9E190" w:rsidR="00AC0DEF" w:rsidRPr="00B62F66" w:rsidRDefault="003A7507">
      <w:pPr>
        <w:numPr>
          <w:ilvl w:val="1"/>
          <w:numId w:val="1"/>
        </w:numPr>
        <w:tabs>
          <w:tab w:val="clear" w:pos="1440"/>
          <w:tab w:val="num" w:pos="900"/>
        </w:tabs>
        <w:spacing w:line="276" w:lineRule="auto"/>
        <w:ind w:left="900"/>
        <w:jc w:val="both"/>
        <w:rPr>
          <w:sz w:val="22"/>
          <w:szCs w:val="22"/>
        </w:rPr>
      </w:pPr>
      <w:r w:rsidRPr="00B62F66">
        <w:rPr>
          <w:rFonts w:eastAsia="Arial Unicode MS"/>
          <w:b/>
          <w:sz w:val="22"/>
          <w:szCs w:val="22"/>
          <w:lang w:eastAsia="en-US"/>
        </w:rPr>
        <w:t>Date de démarrage :</w:t>
      </w:r>
      <w:r w:rsidR="00060146" w:rsidRPr="00B62F66">
        <w:rPr>
          <w:rFonts w:eastAsia="Arial Unicode MS"/>
          <w:b/>
          <w:sz w:val="22"/>
          <w:szCs w:val="22"/>
          <w:lang w:eastAsia="en-US"/>
        </w:rPr>
        <w:t xml:space="preserve"> </w:t>
      </w:r>
      <w:r w:rsidR="000263DB" w:rsidRPr="00B62F66">
        <w:rPr>
          <w:rFonts w:eastAsia="Arial Unicode MS"/>
          <w:sz w:val="22"/>
          <w:szCs w:val="22"/>
          <w:lang w:eastAsia="en-US"/>
        </w:rPr>
        <w:t>Décembre 202</w:t>
      </w:r>
      <w:r w:rsidR="007D4E62" w:rsidRPr="00B62F66">
        <w:rPr>
          <w:rFonts w:eastAsia="Arial Unicode MS"/>
          <w:sz w:val="22"/>
          <w:szCs w:val="22"/>
          <w:lang w:eastAsia="en-US"/>
        </w:rPr>
        <w:t>6</w:t>
      </w:r>
    </w:p>
    <w:p w14:paraId="68133FA5" w14:textId="4E1F2B7B" w:rsidR="006B5831" w:rsidRPr="00B62F66" w:rsidRDefault="003A7507">
      <w:pPr>
        <w:numPr>
          <w:ilvl w:val="1"/>
          <w:numId w:val="1"/>
        </w:numPr>
        <w:tabs>
          <w:tab w:val="clear" w:pos="1440"/>
          <w:tab w:val="num" w:pos="900"/>
        </w:tabs>
        <w:spacing w:line="276" w:lineRule="auto"/>
        <w:ind w:left="900"/>
        <w:jc w:val="both"/>
        <w:rPr>
          <w:sz w:val="22"/>
          <w:szCs w:val="22"/>
        </w:rPr>
      </w:pPr>
      <w:r w:rsidRPr="00B62F66">
        <w:rPr>
          <w:rFonts w:eastAsia="Arial Unicode MS"/>
          <w:b/>
          <w:sz w:val="22"/>
          <w:szCs w:val="22"/>
          <w:lang w:eastAsia="en-US"/>
        </w:rPr>
        <w:lastRenderedPageBreak/>
        <w:t xml:space="preserve">Date de fin : </w:t>
      </w:r>
      <w:r w:rsidR="00115F5C" w:rsidRPr="00B62F66">
        <w:rPr>
          <w:rFonts w:eastAsia="Arial Unicode MS"/>
          <w:sz w:val="22"/>
          <w:szCs w:val="22"/>
          <w:lang w:eastAsia="en-US"/>
        </w:rPr>
        <w:t>mai 2030</w:t>
      </w:r>
    </w:p>
    <w:p w14:paraId="03111720" w14:textId="77777777" w:rsidR="00B62F66" w:rsidRPr="00B62F66" w:rsidRDefault="00B62F66" w:rsidP="00B62F66">
      <w:pPr>
        <w:tabs>
          <w:tab w:val="num" w:pos="900"/>
        </w:tabs>
        <w:spacing w:line="276" w:lineRule="auto"/>
        <w:ind w:left="900"/>
        <w:jc w:val="both"/>
        <w:rPr>
          <w:sz w:val="22"/>
          <w:szCs w:val="22"/>
        </w:rPr>
      </w:pPr>
    </w:p>
    <w:p w14:paraId="7E6C9111" w14:textId="2A9FC396" w:rsidR="003A7507" w:rsidRPr="00B62F66" w:rsidRDefault="003A7507">
      <w:pPr>
        <w:numPr>
          <w:ilvl w:val="1"/>
          <w:numId w:val="1"/>
        </w:numPr>
        <w:tabs>
          <w:tab w:val="clear" w:pos="1440"/>
          <w:tab w:val="num" w:pos="900"/>
        </w:tabs>
        <w:spacing w:line="276" w:lineRule="auto"/>
        <w:ind w:left="900"/>
        <w:jc w:val="both"/>
        <w:rPr>
          <w:sz w:val="22"/>
          <w:szCs w:val="22"/>
        </w:rPr>
      </w:pPr>
      <w:r w:rsidRPr="00B62F66">
        <w:rPr>
          <w:rFonts w:eastAsia="Arial Unicode MS"/>
          <w:b/>
          <w:sz w:val="22"/>
          <w:szCs w:val="22"/>
          <w:lang w:eastAsia="en-US"/>
        </w:rPr>
        <w:t>Durée effective</w:t>
      </w:r>
      <w:r w:rsidR="00BB0137" w:rsidRPr="00B62F66">
        <w:rPr>
          <w:rFonts w:eastAsia="Arial Unicode MS"/>
          <w:b/>
          <w:sz w:val="22"/>
          <w:szCs w:val="22"/>
          <w:lang w:eastAsia="en-US"/>
        </w:rPr>
        <w:t xml:space="preserve"> </w:t>
      </w:r>
      <w:r w:rsidR="006D4B2A" w:rsidRPr="00B62F66">
        <w:rPr>
          <w:rFonts w:eastAsia="Arial Unicode MS"/>
          <w:b/>
          <w:sz w:val="22"/>
          <w:szCs w:val="22"/>
          <w:lang w:eastAsia="en-US"/>
        </w:rPr>
        <w:t>de la</w:t>
      </w:r>
      <w:r w:rsidR="00BB0137" w:rsidRPr="00B62F66">
        <w:rPr>
          <w:rFonts w:eastAsia="Arial Unicode MS"/>
          <w:b/>
          <w:sz w:val="22"/>
          <w:szCs w:val="22"/>
          <w:lang w:eastAsia="en-US"/>
        </w:rPr>
        <w:t xml:space="preserve"> mission</w:t>
      </w:r>
      <w:r w:rsidRPr="00B62F66">
        <w:rPr>
          <w:rFonts w:eastAsia="Arial Unicode MS"/>
          <w:b/>
          <w:sz w:val="22"/>
          <w:szCs w:val="22"/>
          <w:lang w:eastAsia="en-US"/>
        </w:rPr>
        <w:t> :</w:t>
      </w:r>
      <w:r w:rsidR="00004F42" w:rsidRPr="00B62F66">
        <w:rPr>
          <w:rFonts w:eastAsia="Arial Unicode MS"/>
          <w:b/>
          <w:sz w:val="22"/>
          <w:szCs w:val="22"/>
          <w:lang w:eastAsia="en-US"/>
        </w:rPr>
        <w:t xml:space="preserve"> </w:t>
      </w:r>
      <w:r w:rsidR="007D4E62" w:rsidRPr="00B62F66">
        <w:rPr>
          <w:sz w:val="22"/>
          <w:szCs w:val="22"/>
        </w:rPr>
        <w:t>46</w:t>
      </w:r>
      <w:r w:rsidR="00004F42" w:rsidRPr="00B62F66">
        <w:rPr>
          <w:sz w:val="22"/>
          <w:szCs w:val="22"/>
        </w:rPr>
        <w:t xml:space="preserve"> jours</w:t>
      </w:r>
    </w:p>
    <w:p w14:paraId="35916B1A" w14:textId="77777777" w:rsidR="002056BD" w:rsidRPr="00B62F66" w:rsidRDefault="002056BD" w:rsidP="00B62F66">
      <w:pPr>
        <w:pStyle w:val="Paragraphedeliste"/>
        <w:spacing w:line="276" w:lineRule="auto"/>
        <w:rPr>
          <w:sz w:val="22"/>
          <w:szCs w:val="22"/>
        </w:rPr>
      </w:pPr>
    </w:p>
    <w:p w14:paraId="2606381B" w14:textId="77777777" w:rsidR="003A7507" w:rsidRPr="00B62F66" w:rsidRDefault="003A7507">
      <w:pPr>
        <w:numPr>
          <w:ilvl w:val="1"/>
          <w:numId w:val="1"/>
        </w:numPr>
        <w:tabs>
          <w:tab w:val="clear" w:pos="1440"/>
          <w:tab w:val="num" w:pos="900"/>
        </w:tabs>
        <w:spacing w:line="276" w:lineRule="auto"/>
        <w:ind w:left="900"/>
        <w:jc w:val="both"/>
        <w:rPr>
          <w:rFonts w:eastAsia="Arial Unicode MS"/>
          <w:b/>
          <w:sz w:val="22"/>
          <w:szCs w:val="22"/>
          <w:lang w:eastAsia="en-US"/>
        </w:rPr>
      </w:pPr>
      <w:r w:rsidRPr="00B62F66">
        <w:rPr>
          <w:rFonts w:eastAsia="Arial Unicode MS"/>
          <w:b/>
          <w:sz w:val="22"/>
          <w:szCs w:val="22"/>
          <w:lang w:eastAsia="en-US"/>
        </w:rPr>
        <w:t xml:space="preserve">Planning/calendrier : </w:t>
      </w:r>
    </w:p>
    <w:p w14:paraId="57A33242" w14:textId="77777777" w:rsidR="003A7507" w:rsidRPr="00B62F66" w:rsidRDefault="003A7507" w:rsidP="00B62F66">
      <w:pPr>
        <w:spacing w:line="276" w:lineRule="auto"/>
        <w:jc w:val="both"/>
        <w:rPr>
          <w:sz w:val="22"/>
          <w:szCs w:val="22"/>
        </w:rPr>
      </w:pPr>
    </w:p>
    <w:p w14:paraId="2ACBEEA3" w14:textId="77777777" w:rsidR="003A7507" w:rsidRPr="00B62F66" w:rsidRDefault="003A7507" w:rsidP="00B62F66">
      <w:pPr>
        <w:spacing w:line="276" w:lineRule="auto"/>
        <w:jc w:val="both"/>
        <w:rPr>
          <w:i/>
          <w:sz w:val="22"/>
          <w:szCs w:val="22"/>
        </w:rPr>
      </w:pPr>
      <w:r w:rsidRPr="00B62F66">
        <w:rPr>
          <w:i/>
          <w:sz w:val="22"/>
          <w:szCs w:val="22"/>
        </w:rPr>
        <w:t>Le calendrier prévisionnel d’exécution des missions se présente comme suit :</w:t>
      </w:r>
    </w:p>
    <w:p w14:paraId="50721C0F" w14:textId="77777777" w:rsidR="006D4B2A" w:rsidRDefault="006D4B2A" w:rsidP="003A7507">
      <w:pPr>
        <w:jc w:val="both"/>
        <w:rPr>
          <w:rFonts w:ascii="Calibri" w:hAnsi="Calibri"/>
          <w:i/>
          <w:sz w:val="22"/>
          <w:szCs w:val="22"/>
        </w:rPr>
      </w:pPr>
    </w:p>
    <w:p w14:paraId="4304CA05" w14:textId="77777777" w:rsidR="006D4B2A" w:rsidRPr="00D15F32" w:rsidRDefault="006D4B2A" w:rsidP="003A7507">
      <w:pPr>
        <w:jc w:val="both"/>
        <w:rPr>
          <w:rFonts w:ascii="Calibri" w:hAnsi="Calibri"/>
          <w:i/>
          <w:sz w:val="22"/>
          <w:szCs w:val="22"/>
        </w:rPr>
      </w:pPr>
    </w:p>
    <w:tbl>
      <w:tblPr>
        <w:tblW w:w="0" w:type="auto"/>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1301"/>
        <w:gridCol w:w="6203"/>
        <w:gridCol w:w="854"/>
      </w:tblGrid>
      <w:tr w:rsidR="006D4B2A" w:rsidRPr="00B62F66" w14:paraId="63D51ED9" w14:textId="77777777" w:rsidTr="000C2522">
        <w:trPr>
          <w:trHeight w:val="438"/>
          <w:tblHeader/>
          <w:tblCellSpacing w:w="15" w:type="dxa"/>
        </w:trPr>
        <w:tc>
          <w:tcPr>
            <w:tcW w:w="1090" w:type="dxa"/>
            <w:vAlign w:val="center"/>
            <w:hideMark/>
          </w:tcPr>
          <w:p w14:paraId="24571BB9" w14:textId="77777777" w:rsidR="006D4B2A" w:rsidRPr="00B62F66" w:rsidRDefault="006D4B2A">
            <w:pPr>
              <w:jc w:val="center"/>
              <w:rPr>
                <w:b/>
                <w:bCs/>
                <w:sz w:val="20"/>
                <w:szCs w:val="20"/>
              </w:rPr>
            </w:pPr>
            <w:r w:rsidRPr="00B62F66">
              <w:rPr>
                <w:rStyle w:val="lev"/>
                <w:sz w:val="20"/>
                <w:szCs w:val="20"/>
              </w:rPr>
              <w:t>Mission</w:t>
            </w:r>
          </w:p>
        </w:tc>
        <w:tc>
          <w:tcPr>
            <w:tcW w:w="1271" w:type="dxa"/>
            <w:vAlign w:val="center"/>
            <w:hideMark/>
          </w:tcPr>
          <w:p w14:paraId="3CCF41E7" w14:textId="77777777" w:rsidR="006D4B2A" w:rsidRPr="00B62F66" w:rsidRDefault="006D4B2A">
            <w:pPr>
              <w:jc w:val="center"/>
              <w:rPr>
                <w:b/>
                <w:bCs/>
                <w:sz w:val="20"/>
                <w:szCs w:val="20"/>
              </w:rPr>
            </w:pPr>
            <w:r w:rsidRPr="00B62F66">
              <w:rPr>
                <w:rStyle w:val="lev"/>
                <w:sz w:val="20"/>
                <w:szCs w:val="20"/>
              </w:rPr>
              <w:t>Période</w:t>
            </w:r>
          </w:p>
        </w:tc>
        <w:tc>
          <w:tcPr>
            <w:tcW w:w="0" w:type="auto"/>
            <w:vAlign w:val="center"/>
            <w:hideMark/>
          </w:tcPr>
          <w:p w14:paraId="76200F82" w14:textId="77777777" w:rsidR="006D4B2A" w:rsidRPr="00B62F66" w:rsidRDefault="006D4B2A">
            <w:pPr>
              <w:jc w:val="center"/>
              <w:rPr>
                <w:b/>
                <w:bCs/>
                <w:sz w:val="20"/>
                <w:szCs w:val="20"/>
              </w:rPr>
            </w:pPr>
            <w:r w:rsidRPr="00B62F66">
              <w:rPr>
                <w:rStyle w:val="lev"/>
                <w:sz w:val="20"/>
                <w:szCs w:val="20"/>
              </w:rPr>
              <w:t>Intitulé / Contenu</w:t>
            </w:r>
          </w:p>
        </w:tc>
        <w:tc>
          <w:tcPr>
            <w:tcW w:w="0" w:type="auto"/>
            <w:vAlign w:val="center"/>
            <w:hideMark/>
          </w:tcPr>
          <w:p w14:paraId="46FFF133" w14:textId="77777777" w:rsidR="006D4B2A" w:rsidRPr="00B62F66" w:rsidRDefault="006D4B2A">
            <w:pPr>
              <w:jc w:val="center"/>
              <w:rPr>
                <w:b/>
                <w:bCs/>
                <w:sz w:val="20"/>
                <w:szCs w:val="20"/>
              </w:rPr>
            </w:pPr>
            <w:r w:rsidRPr="00B62F66">
              <w:rPr>
                <w:rStyle w:val="lev"/>
                <w:sz w:val="20"/>
                <w:szCs w:val="20"/>
              </w:rPr>
              <w:t>Durée (jours)</w:t>
            </w:r>
          </w:p>
        </w:tc>
      </w:tr>
      <w:tr w:rsidR="006D4B2A" w:rsidRPr="00B62F66" w14:paraId="6122EEFF" w14:textId="77777777" w:rsidTr="006D4B2A">
        <w:trPr>
          <w:tblCellSpacing w:w="15" w:type="dxa"/>
        </w:trPr>
        <w:tc>
          <w:tcPr>
            <w:tcW w:w="1090" w:type="dxa"/>
            <w:vAlign w:val="center"/>
            <w:hideMark/>
          </w:tcPr>
          <w:p w14:paraId="020D4533" w14:textId="77777777" w:rsidR="006D4B2A" w:rsidRPr="00B62F66" w:rsidRDefault="006D4B2A">
            <w:pPr>
              <w:rPr>
                <w:sz w:val="20"/>
                <w:szCs w:val="20"/>
              </w:rPr>
            </w:pPr>
            <w:r w:rsidRPr="00B62F66">
              <w:rPr>
                <w:rStyle w:val="lev"/>
                <w:sz w:val="20"/>
                <w:szCs w:val="20"/>
              </w:rPr>
              <w:t>Mission 1</w:t>
            </w:r>
          </w:p>
        </w:tc>
        <w:tc>
          <w:tcPr>
            <w:tcW w:w="1271" w:type="dxa"/>
            <w:vAlign w:val="center"/>
            <w:hideMark/>
          </w:tcPr>
          <w:p w14:paraId="52246B40" w14:textId="77777777" w:rsidR="006D4B2A" w:rsidRPr="00B62F66" w:rsidRDefault="006D4B2A">
            <w:pPr>
              <w:rPr>
                <w:sz w:val="20"/>
                <w:szCs w:val="20"/>
              </w:rPr>
            </w:pPr>
            <w:r w:rsidRPr="00B62F66">
              <w:rPr>
                <w:sz w:val="20"/>
                <w:szCs w:val="20"/>
              </w:rPr>
              <w:t>Déc. 2026 – Mars 2027</w:t>
            </w:r>
          </w:p>
        </w:tc>
        <w:tc>
          <w:tcPr>
            <w:tcW w:w="0" w:type="auto"/>
            <w:vAlign w:val="center"/>
            <w:hideMark/>
          </w:tcPr>
          <w:p w14:paraId="5A335928" w14:textId="77777777" w:rsidR="006D4B2A" w:rsidRPr="00B62F66" w:rsidRDefault="006D4B2A">
            <w:pPr>
              <w:rPr>
                <w:sz w:val="20"/>
                <w:szCs w:val="20"/>
              </w:rPr>
            </w:pPr>
            <w:r w:rsidRPr="00B62F66">
              <w:rPr>
                <w:sz w:val="20"/>
                <w:szCs w:val="20"/>
              </w:rPr>
              <w:t>Diagnostic initial et cadrage méthodologique : revue documentaire, analyse du dispositif de suivi, validation des indicateurs, définition de la méthodologie, contribution à une note d’orientation sectorielle</w:t>
            </w:r>
          </w:p>
        </w:tc>
        <w:tc>
          <w:tcPr>
            <w:tcW w:w="0" w:type="auto"/>
            <w:vAlign w:val="center"/>
            <w:hideMark/>
          </w:tcPr>
          <w:p w14:paraId="7EF03B61" w14:textId="77777777" w:rsidR="006D4B2A" w:rsidRPr="00B62F66" w:rsidRDefault="006D4B2A" w:rsidP="006D4B2A">
            <w:pPr>
              <w:jc w:val="center"/>
              <w:rPr>
                <w:sz w:val="20"/>
                <w:szCs w:val="20"/>
              </w:rPr>
            </w:pPr>
            <w:r w:rsidRPr="00B62F66">
              <w:rPr>
                <w:sz w:val="20"/>
                <w:szCs w:val="20"/>
              </w:rPr>
              <w:t>7</w:t>
            </w:r>
          </w:p>
        </w:tc>
      </w:tr>
      <w:tr w:rsidR="006D4B2A" w:rsidRPr="00B62F66" w14:paraId="6B48DAEC" w14:textId="77777777" w:rsidTr="006D4B2A">
        <w:trPr>
          <w:tblCellSpacing w:w="15" w:type="dxa"/>
        </w:trPr>
        <w:tc>
          <w:tcPr>
            <w:tcW w:w="1090" w:type="dxa"/>
            <w:vAlign w:val="center"/>
            <w:hideMark/>
          </w:tcPr>
          <w:p w14:paraId="1437A918" w14:textId="77777777" w:rsidR="006D4B2A" w:rsidRPr="00B62F66" w:rsidRDefault="006D4B2A">
            <w:pPr>
              <w:rPr>
                <w:sz w:val="20"/>
                <w:szCs w:val="20"/>
              </w:rPr>
            </w:pPr>
            <w:r w:rsidRPr="00B62F66">
              <w:rPr>
                <w:rStyle w:val="lev"/>
                <w:sz w:val="20"/>
                <w:szCs w:val="20"/>
              </w:rPr>
              <w:t>Mission 2</w:t>
            </w:r>
          </w:p>
        </w:tc>
        <w:tc>
          <w:tcPr>
            <w:tcW w:w="1271" w:type="dxa"/>
            <w:vAlign w:val="center"/>
            <w:hideMark/>
          </w:tcPr>
          <w:p w14:paraId="365ECC3F" w14:textId="77777777" w:rsidR="006D4B2A" w:rsidRPr="00B62F66" w:rsidRDefault="006D4B2A">
            <w:pPr>
              <w:rPr>
                <w:sz w:val="20"/>
                <w:szCs w:val="20"/>
              </w:rPr>
            </w:pPr>
            <w:r w:rsidRPr="00B62F66">
              <w:rPr>
                <w:sz w:val="20"/>
                <w:szCs w:val="20"/>
              </w:rPr>
              <w:t>Déc. 2027 – Mars 2028</w:t>
            </w:r>
          </w:p>
        </w:tc>
        <w:tc>
          <w:tcPr>
            <w:tcW w:w="0" w:type="auto"/>
            <w:vAlign w:val="center"/>
            <w:hideMark/>
          </w:tcPr>
          <w:p w14:paraId="6DCE4E26" w14:textId="77777777" w:rsidR="006D4B2A" w:rsidRPr="00B62F66" w:rsidRDefault="006D4B2A">
            <w:pPr>
              <w:rPr>
                <w:sz w:val="20"/>
                <w:szCs w:val="20"/>
              </w:rPr>
            </w:pPr>
            <w:r w:rsidRPr="00B62F66">
              <w:rPr>
                <w:sz w:val="20"/>
                <w:szCs w:val="20"/>
              </w:rPr>
              <w:t>Suivi 1 : premier calcul des indicateurs, vérification de la qualité et fiabilité des données, restitution intermédiaire, appui à une note d’orientation sectorielle</w:t>
            </w:r>
          </w:p>
        </w:tc>
        <w:tc>
          <w:tcPr>
            <w:tcW w:w="0" w:type="auto"/>
            <w:vAlign w:val="center"/>
            <w:hideMark/>
          </w:tcPr>
          <w:p w14:paraId="1E98E9AA" w14:textId="77777777" w:rsidR="006D4B2A" w:rsidRPr="00B62F66" w:rsidRDefault="006D4B2A" w:rsidP="006D4B2A">
            <w:pPr>
              <w:jc w:val="center"/>
              <w:rPr>
                <w:sz w:val="20"/>
                <w:szCs w:val="20"/>
              </w:rPr>
            </w:pPr>
            <w:r w:rsidRPr="00B62F66">
              <w:rPr>
                <w:sz w:val="20"/>
                <w:szCs w:val="20"/>
              </w:rPr>
              <w:t>9</w:t>
            </w:r>
          </w:p>
        </w:tc>
      </w:tr>
      <w:tr w:rsidR="006D4B2A" w:rsidRPr="00B62F66" w14:paraId="1FE1981B" w14:textId="77777777" w:rsidTr="006D4B2A">
        <w:trPr>
          <w:tblCellSpacing w:w="15" w:type="dxa"/>
        </w:trPr>
        <w:tc>
          <w:tcPr>
            <w:tcW w:w="1090" w:type="dxa"/>
            <w:vAlign w:val="center"/>
            <w:hideMark/>
          </w:tcPr>
          <w:p w14:paraId="65038A77" w14:textId="77777777" w:rsidR="006D4B2A" w:rsidRPr="00B62F66" w:rsidRDefault="006D4B2A">
            <w:pPr>
              <w:rPr>
                <w:sz w:val="20"/>
                <w:szCs w:val="20"/>
              </w:rPr>
            </w:pPr>
            <w:r w:rsidRPr="00B62F66">
              <w:rPr>
                <w:rStyle w:val="lev"/>
                <w:sz w:val="20"/>
                <w:szCs w:val="20"/>
              </w:rPr>
              <w:t>Mission 3</w:t>
            </w:r>
          </w:p>
        </w:tc>
        <w:tc>
          <w:tcPr>
            <w:tcW w:w="1271" w:type="dxa"/>
            <w:vAlign w:val="center"/>
            <w:hideMark/>
          </w:tcPr>
          <w:p w14:paraId="53E3E573" w14:textId="77777777" w:rsidR="006D4B2A" w:rsidRPr="00B62F66" w:rsidRDefault="006D4B2A">
            <w:pPr>
              <w:rPr>
                <w:sz w:val="20"/>
                <w:szCs w:val="20"/>
              </w:rPr>
            </w:pPr>
            <w:r w:rsidRPr="00B62F66">
              <w:rPr>
                <w:sz w:val="20"/>
                <w:szCs w:val="20"/>
              </w:rPr>
              <w:t>Déc. 2028 – Mars 2029</w:t>
            </w:r>
          </w:p>
        </w:tc>
        <w:tc>
          <w:tcPr>
            <w:tcW w:w="0" w:type="auto"/>
            <w:vAlign w:val="center"/>
            <w:hideMark/>
          </w:tcPr>
          <w:p w14:paraId="68E64E08" w14:textId="77777777" w:rsidR="006D4B2A" w:rsidRPr="00B62F66" w:rsidRDefault="006D4B2A">
            <w:pPr>
              <w:rPr>
                <w:sz w:val="20"/>
                <w:szCs w:val="20"/>
              </w:rPr>
            </w:pPr>
            <w:r w:rsidRPr="00B62F66">
              <w:rPr>
                <w:sz w:val="20"/>
                <w:szCs w:val="20"/>
              </w:rPr>
              <w:t>Suivi 2 : actualisation des indicateurs, analyse des écarts, appréciation des progrès, recommandations correctives, appui à une note d’orientation sectorielle</w:t>
            </w:r>
          </w:p>
        </w:tc>
        <w:tc>
          <w:tcPr>
            <w:tcW w:w="0" w:type="auto"/>
            <w:vAlign w:val="center"/>
            <w:hideMark/>
          </w:tcPr>
          <w:p w14:paraId="664C8044" w14:textId="77777777" w:rsidR="006D4B2A" w:rsidRPr="00B62F66" w:rsidRDefault="006D4B2A" w:rsidP="006D4B2A">
            <w:pPr>
              <w:jc w:val="center"/>
              <w:rPr>
                <w:sz w:val="20"/>
                <w:szCs w:val="20"/>
              </w:rPr>
            </w:pPr>
            <w:r w:rsidRPr="00B62F66">
              <w:rPr>
                <w:sz w:val="20"/>
                <w:szCs w:val="20"/>
              </w:rPr>
              <w:t>10</w:t>
            </w:r>
          </w:p>
        </w:tc>
      </w:tr>
      <w:tr w:rsidR="006D4B2A" w:rsidRPr="00B62F66" w14:paraId="28B179A0" w14:textId="77777777" w:rsidTr="006D4B2A">
        <w:trPr>
          <w:tblCellSpacing w:w="15" w:type="dxa"/>
        </w:trPr>
        <w:tc>
          <w:tcPr>
            <w:tcW w:w="1090" w:type="dxa"/>
            <w:vAlign w:val="center"/>
            <w:hideMark/>
          </w:tcPr>
          <w:p w14:paraId="2C9510C3" w14:textId="77777777" w:rsidR="006D4B2A" w:rsidRPr="00B62F66" w:rsidRDefault="006D4B2A">
            <w:pPr>
              <w:rPr>
                <w:sz w:val="20"/>
                <w:szCs w:val="20"/>
              </w:rPr>
            </w:pPr>
            <w:r w:rsidRPr="00B62F66">
              <w:rPr>
                <w:rStyle w:val="lev"/>
                <w:sz w:val="20"/>
                <w:szCs w:val="20"/>
              </w:rPr>
              <w:t>Mission 4</w:t>
            </w:r>
          </w:p>
        </w:tc>
        <w:tc>
          <w:tcPr>
            <w:tcW w:w="1271" w:type="dxa"/>
            <w:vAlign w:val="center"/>
            <w:hideMark/>
          </w:tcPr>
          <w:p w14:paraId="6DB0D138" w14:textId="77777777" w:rsidR="006D4B2A" w:rsidRPr="00B62F66" w:rsidRDefault="006D4B2A">
            <w:pPr>
              <w:rPr>
                <w:sz w:val="20"/>
                <w:szCs w:val="20"/>
              </w:rPr>
            </w:pPr>
            <w:r w:rsidRPr="00B62F66">
              <w:rPr>
                <w:sz w:val="20"/>
                <w:szCs w:val="20"/>
              </w:rPr>
              <w:t>Déc. 2029 – Mars 2030</w:t>
            </w:r>
          </w:p>
        </w:tc>
        <w:tc>
          <w:tcPr>
            <w:tcW w:w="0" w:type="auto"/>
            <w:vAlign w:val="center"/>
            <w:hideMark/>
          </w:tcPr>
          <w:p w14:paraId="33573D04" w14:textId="77777777" w:rsidR="006D4B2A" w:rsidRPr="00B62F66" w:rsidRDefault="006D4B2A">
            <w:pPr>
              <w:rPr>
                <w:sz w:val="20"/>
                <w:szCs w:val="20"/>
              </w:rPr>
            </w:pPr>
            <w:r w:rsidRPr="00B62F66">
              <w:rPr>
                <w:sz w:val="20"/>
                <w:szCs w:val="20"/>
              </w:rPr>
              <w:t>Suivi 3 : consolidation des résultats, analyse comparative, appréciation intermédiaire de la robustesse du dispositif, appui à une note d’orientation sectorielle</w:t>
            </w:r>
          </w:p>
        </w:tc>
        <w:tc>
          <w:tcPr>
            <w:tcW w:w="0" w:type="auto"/>
            <w:vAlign w:val="center"/>
            <w:hideMark/>
          </w:tcPr>
          <w:p w14:paraId="34CC9D0B" w14:textId="77777777" w:rsidR="006D4B2A" w:rsidRPr="00B62F66" w:rsidRDefault="006D4B2A" w:rsidP="006D4B2A">
            <w:pPr>
              <w:jc w:val="center"/>
              <w:rPr>
                <w:sz w:val="20"/>
                <w:szCs w:val="20"/>
              </w:rPr>
            </w:pPr>
            <w:r w:rsidRPr="00B62F66">
              <w:rPr>
                <w:sz w:val="20"/>
                <w:szCs w:val="20"/>
              </w:rPr>
              <w:t>10</w:t>
            </w:r>
          </w:p>
        </w:tc>
      </w:tr>
      <w:tr w:rsidR="006D4B2A" w:rsidRPr="00B62F66" w14:paraId="5891BD1D" w14:textId="77777777" w:rsidTr="006D4B2A">
        <w:trPr>
          <w:tblCellSpacing w:w="15" w:type="dxa"/>
        </w:trPr>
        <w:tc>
          <w:tcPr>
            <w:tcW w:w="1090" w:type="dxa"/>
            <w:vAlign w:val="center"/>
            <w:hideMark/>
          </w:tcPr>
          <w:p w14:paraId="3B93C5AB" w14:textId="77777777" w:rsidR="006D4B2A" w:rsidRPr="00B62F66" w:rsidRDefault="006D4B2A">
            <w:pPr>
              <w:rPr>
                <w:sz w:val="20"/>
                <w:szCs w:val="20"/>
              </w:rPr>
            </w:pPr>
            <w:r w:rsidRPr="00B62F66">
              <w:rPr>
                <w:rStyle w:val="lev"/>
                <w:sz w:val="20"/>
                <w:szCs w:val="20"/>
              </w:rPr>
              <w:t>Mission 5</w:t>
            </w:r>
          </w:p>
        </w:tc>
        <w:tc>
          <w:tcPr>
            <w:tcW w:w="1271" w:type="dxa"/>
            <w:vAlign w:val="center"/>
            <w:hideMark/>
          </w:tcPr>
          <w:p w14:paraId="2F130318" w14:textId="77777777" w:rsidR="006D4B2A" w:rsidRPr="00B62F66" w:rsidRDefault="006D4B2A">
            <w:pPr>
              <w:rPr>
                <w:sz w:val="20"/>
                <w:szCs w:val="20"/>
              </w:rPr>
            </w:pPr>
            <w:r w:rsidRPr="00B62F66">
              <w:rPr>
                <w:sz w:val="20"/>
                <w:szCs w:val="20"/>
              </w:rPr>
              <w:t>Mars – Mai 2030</w:t>
            </w:r>
          </w:p>
        </w:tc>
        <w:tc>
          <w:tcPr>
            <w:tcW w:w="0" w:type="auto"/>
            <w:vAlign w:val="center"/>
            <w:hideMark/>
          </w:tcPr>
          <w:p w14:paraId="076A7E9F" w14:textId="77777777" w:rsidR="006D4B2A" w:rsidRPr="00B62F66" w:rsidRDefault="006D4B2A">
            <w:pPr>
              <w:rPr>
                <w:sz w:val="20"/>
                <w:szCs w:val="20"/>
              </w:rPr>
            </w:pPr>
            <w:r w:rsidRPr="00B62F66">
              <w:rPr>
                <w:sz w:val="20"/>
                <w:szCs w:val="20"/>
              </w:rPr>
              <w:t>Évaluation finale : consolidation globale, analyse finale des performances, recommandations stratégiques pour la pérennisation du dispositif</w:t>
            </w:r>
          </w:p>
        </w:tc>
        <w:tc>
          <w:tcPr>
            <w:tcW w:w="0" w:type="auto"/>
            <w:vAlign w:val="center"/>
            <w:hideMark/>
          </w:tcPr>
          <w:p w14:paraId="1B885781" w14:textId="77777777" w:rsidR="006D4B2A" w:rsidRPr="00B62F66" w:rsidRDefault="006D4B2A" w:rsidP="006D4B2A">
            <w:pPr>
              <w:jc w:val="center"/>
              <w:rPr>
                <w:sz w:val="20"/>
                <w:szCs w:val="20"/>
              </w:rPr>
            </w:pPr>
            <w:r w:rsidRPr="00B62F66">
              <w:rPr>
                <w:sz w:val="20"/>
                <w:szCs w:val="20"/>
              </w:rPr>
              <w:t>10</w:t>
            </w:r>
          </w:p>
        </w:tc>
      </w:tr>
      <w:tr w:rsidR="006D4B2A" w:rsidRPr="00B62F66" w14:paraId="35AFF870" w14:textId="77777777" w:rsidTr="006D4B2A">
        <w:trPr>
          <w:tblCellSpacing w:w="15" w:type="dxa"/>
        </w:trPr>
        <w:tc>
          <w:tcPr>
            <w:tcW w:w="1090" w:type="dxa"/>
            <w:vAlign w:val="center"/>
            <w:hideMark/>
          </w:tcPr>
          <w:p w14:paraId="6A10E5C9" w14:textId="77777777" w:rsidR="006D4B2A" w:rsidRPr="00B62F66" w:rsidRDefault="006D4B2A">
            <w:pPr>
              <w:rPr>
                <w:sz w:val="20"/>
                <w:szCs w:val="20"/>
              </w:rPr>
            </w:pPr>
            <w:r w:rsidRPr="00B62F66">
              <w:rPr>
                <w:rStyle w:val="lev"/>
                <w:sz w:val="20"/>
                <w:szCs w:val="20"/>
              </w:rPr>
              <w:t>TOTAL</w:t>
            </w:r>
          </w:p>
        </w:tc>
        <w:tc>
          <w:tcPr>
            <w:tcW w:w="1271" w:type="dxa"/>
            <w:vAlign w:val="center"/>
            <w:hideMark/>
          </w:tcPr>
          <w:p w14:paraId="254C5193" w14:textId="77777777" w:rsidR="006D4B2A" w:rsidRPr="00B62F66" w:rsidRDefault="006D4B2A">
            <w:pPr>
              <w:rPr>
                <w:sz w:val="20"/>
                <w:szCs w:val="20"/>
              </w:rPr>
            </w:pPr>
            <w:r w:rsidRPr="00B62F66">
              <w:rPr>
                <w:sz w:val="20"/>
                <w:szCs w:val="20"/>
              </w:rPr>
              <w:t>2026 – 2030</w:t>
            </w:r>
          </w:p>
        </w:tc>
        <w:tc>
          <w:tcPr>
            <w:tcW w:w="0" w:type="auto"/>
            <w:vAlign w:val="center"/>
            <w:hideMark/>
          </w:tcPr>
          <w:p w14:paraId="7BE22A0C" w14:textId="77777777" w:rsidR="006D4B2A" w:rsidRPr="00B62F66" w:rsidRDefault="006D4B2A">
            <w:pPr>
              <w:rPr>
                <w:sz w:val="20"/>
                <w:szCs w:val="20"/>
              </w:rPr>
            </w:pPr>
          </w:p>
        </w:tc>
        <w:tc>
          <w:tcPr>
            <w:tcW w:w="0" w:type="auto"/>
            <w:vAlign w:val="center"/>
            <w:hideMark/>
          </w:tcPr>
          <w:p w14:paraId="2E7410A9" w14:textId="77777777" w:rsidR="006D4B2A" w:rsidRPr="00B62F66" w:rsidRDefault="006D4B2A">
            <w:pPr>
              <w:rPr>
                <w:sz w:val="20"/>
                <w:szCs w:val="20"/>
              </w:rPr>
            </w:pPr>
            <w:r w:rsidRPr="00B62F66">
              <w:rPr>
                <w:rStyle w:val="lev"/>
                <w:sz w:val="20"/>
                <w:szCs w:val="20"/>
              </w:rPr>
              <w:t>46 jours</w:t>
            </w:r>
          </w:p>
        </w:tc>
      </w:tr>
    </w:tbl>
    <w:p w14:paraId="65E77423" w14:textId="19E54E97" w:rsidR="00477FBF" w:rsidRPr="00B62F66" w:rsidRDefault="009236DE" w:rsidP="00B62F66">
      <w:pPr>
        <w:tabs>
          <w:tab w:val="left" w:pos="2145"/>
        </w:tabs>
        <w:rPr>
          <w:rFonts w:ascii="Calibri" w:hAnsi="Calibri"/>
          <w:sz w:val="22"/>
          <w:szCs w:val="22"/>
        </w:rPr>
      </w:pPr>
      <w:r>
        <w:rPr>
          <w:rFonts w:ascii="Calibri" w:hAnsi="Calibri"/>
          <w:sz w:val="22"/>
          <w:szCs w:val="22"/>
        </w:rPr>
        <w:tab/>
      </w:r>
    </w:p>
    <w:p w14:paraId="7337DD23" w14:textId="77777777" w:rsidR="00477FBF" w:rsidRDefault="00477FBF" w:rsidP="003A7507">
      <w:pPr>
        <w:rPr>
          <w:rFonts w:ascii="Calibri" w:hAnsi="Calibri"/>
          <w:b/>
          <w:sz w:val="22"/>
          <w:szCs w:val="22"/>
          <w:u w:val="single"/>
        </w:rPr>
      </w:pPr>
    </w:p>
    <w:p w14:paraId="442C0C83" w14:textId="28883CA9" w:rsidR="00414B6B" w:rsidRPr="00B62F66" w:rsidRDefault="00414B6B" w:rsidP="003A7507">
      <w:pPr>
        <w:rPr>
          <w:b/>
          <w:sz w:val="22"/>
          <w:szCs w:val="22"/>
          <w:u w:val="single"/>
        </w:rPr>
      </w:pPr>
      <w:r w:rsidRPr="00B62F66">
        <w:rPr>
          <w:b/>
          <w:sz w:val="22"/>
          <w:szCs w:val="22"/>
          <w:u w:val="single"/>
        </w:rPr>
        <w:t>Tableau des livrables et délais de production</w:t>
      </w:r>
    </w:p>
    <w:p w14:paraId="41E5994C" w14:textId="77777777" w:rsidR="002C1496" w:rsidRDefault="002C1496" w:rsidP="003A7507">
      <w:pPr>
        <w:rPr>
          <w:rFonts w:ascii="Calibri" w:hAnsi="Calibri"/>
          <w:b/>
          <w:sz w:val="22"/>
          <w:szCs w:val="22"/>
          <w:u w:val="single"/>
        </w:rPr>
      </w:pPr>
    </w:p>
    <w:p w14:paraId="0D8BE921" w14:textId="16D362F1" w:rsidR="00414B6B" w:rsidRDefault="00414B6B" w:rsidP="003A7507">
      <w:pPr>
        <w:rPr>
          <w:rFonts w:ascii="Calibri" w:hAnsi="Calibri"/>
          <w:b/>
          <w:sz w:val="22"/>
          <w:szCs w:val="22"/>
          <w:u w:val="single"/>
        </w:rPr>
      </w:pP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2850"/>
        <w:gridCol w:w="3693"/>
        <w:gridCol w:w="1390"/>
      </w:tblGrid>
      <w:tr w:rsidR="002C1496" w:rsidRPr="00B62F66" w14:paraId="064D28CF" w14:textId="77777777" w:rsidTr="002C1496">
        <w:trPr>
          <w:tblHeader/>
          <w:tblCellSpacing w:w="15" w:type="dxa"/>
        </w:trPr>
        <w:tc>
          <w:tcPr>
            <w:tcW w:w="1656" w:type="dxa"/>
            <w:vAlign w:val="center"/>
            <w:hideMark/>
          </w:tcPr>
          <w:p w14:paraId="6E13DF23" w14:textId="77777777" w:rsidR="002C1496" w:rsidRPr="00B62F66" w:rsidRDefault="002C1496">
            <w:pPr>
              <w:jc w:val="center"/>
              <w:rPr>
                <w:b/>
                <w:bCs/>
                <w:sz w:val="20"/>
                <w:szCs w:val="20"/>
              </w:rPr>
            </w:pPr>
            <w:r w:rsidRPr="00B62F66">
              <w:rPr>
                <w:rStyle w:val="lev"/>
                <w:sz w:val="20"/>
                <w:szCs w:val="20"/>
              </w:rPr>
              <w:t>Mission / Période</w:t>
            </w:r>
          </w:p>
        </w:tc>
        <w:tc>
          <w:tcPr>
            <w:tcW w:w="2820" w:type="dxa"/>
            <w:vAlign w:val="center"/>
            <w:hideMark/>
          </w:tcPr>
          <w:p w14:paraId="0B642D2A" w14:textId="77777777" w:rsidR="002C1496" w:rsidRPr="00B62F66" w:rsidRDefault="002C1496">
            <w:pPr>
              <w:jc w:val="center"/>
              <w:rPr>
                <w:b/>
                <w:bCs/>
                <w:sz w:val="20"/>
                <w:szCs w:val="20"/>
              </w:rPr>
            </w:pPr>
            <w:r w:rsidRPr="00B62F66">
              <w:rPr>
                <w:rStyle w:val="lev"/>
                <w:sz w:val="20"/>
                <w:szCs w:val="20"/>
              </w:rPr>
              <w:t>Livrables attendus</w:t>
            </w:r>
          </w:p>
        </w:tc>
        <w:tc>
          <w:tcPr>
            <w:tcW w:w="0" w:type="auto"/>
            <w:vAlign w:val="center"/>
            <w:hideMark/>
          </w:tcPr>
          <w:p w14:paraId="1D256A05" w14:textId="77777777" w:rsidR="002C1496" w:rsidRPr="00B62F66" w:rsidRDefault="002C1496">
            <w:pPr>
              <w:jc w:val="center"/>
              <w:rPr>
                <w:b/>
                <w:bCs/>
                <w:sz w:val="20"/>
                <w:szCs w:val="20"/>
              </w:rPr>
            </w:pPr>
            <w:r w:rsidRPr="00B62F66">
              <w:rPr>
                <w:rStyle w:val="lev"/>
                <w:sz w:val="20"/>
                <w:szCs w:val="20"/>
              </w:rPr>
              <w:t>Contenu principal</w:t>
            </w:r>
          </w:p>
        </w:tc>
        <w:tc>
          <w:tcPr>
            <w:tcW w:w="0" w:type="auto"/>
            <w:vAlign w:val="center"/>
            <w:hideMark/>
          </w:tcPr>
          <w:p w14:paraId="3F60F96A" w14:textId="77777777" w:rsidR="002C1496" w:rsidRPr="00B62F66" w:rsidRDefault="002C1496">
            <w:pPr>
              <w:jc w:val="center"/>
              <w:rPr>
                <w:b/>
                <w:bCs/>
                <w:sz w:val="20"/>
                <w:szCs w:val="20"/>
              </w:rPr>
            </w:pPr>
            <w:r w:rsidRPr="00B62F66">
              <w:rPr>
                <w:rStyle w:val="lev"/>
                <w:sz w:val="20"/>
                <w:szCs w:val="20"/>
              </w:rPr>
              <w:t>Délai de remise</w:t>
            </w:r>
          </w:p>
        </w:tc>
      </w:tr>
      <w:tr w:rsidR="002C1496" w:rsidRPr="00B62F66" w14:paraId="49043511" w14:textId="77777777" w:rsidTr="002C1496">
        <w:trPr>
          <w:tblCellSpacing w:w="15" w:type="dxa"/>
        </w:trPr>
        <w:tc>
          <w:tcPr>
            <w:tcW w:w="1656" w:type="dxa"/>
            <w:vMerge w:val="restart"/>
            <w:vAlign w:val="center"/>
            <w:hideMark/>
          </w:tcPr>
          <w:p w14:paraId="2ABA82D2" w14:textId="77777777" w:rsidR="002C1496" w:rsidRPr="00B62F66" w:rsidRDefault="002C1496">
            <w:pPr>
              <w:rPr>
                <w:rStyle w:val="lev"/>
                <w:sz w:val="20"/>
                <w:szCs w:val="20"/>
              </w:rPr>
            </w:pPr>
            <w:r w:rsidRPr="00B62F66">
              <w:rPr>
                <w:rStyle w:val="lev"/>
                <w:sz w:val="20"/>
                <w:szCs w:val="20"/>
              </w:rPr>
              <w:t>Mission 1</w:t>
            </w:r>
          </w:p>
          <w:p w14:paraId="592343BF" w14:textId="66ECEFDB" w:rsidR="002C1496" w:rsidRPr="00B62F66" w:rsidRDefault="002C1496">
            <w:pPr>
              <w:rPr>
                <w:sz w:val="20"/>
                <w:szCs w:val="20"/>
              </w:rPr>
            </w:pPr>
            <w:r w:rsidRPr="00B62F66">
              <w:rPr>
                <w:sz w:val="20"/>
                <w:szCs w:val="20"/>
              </w:rPr>
              <w:t>Déc. 2026 – Mars 2027</w:t>
            </w:r>
          </w:p>
        </w:tc>
        <w:tc>
          <w:tcPr>
            <w:tcW w:w="2820" w:type="dxa"/>
            <w:vAlign w:val="center"/>
            <w:hideMark/>
          </w:tcPr>
          <w:p w14:paraId="38EAD938" w14:textId="77777777" w:rsidR="002C1496" w:rsidRPr="00B62F66" w:rsidRDefault="002C1496">
            <w:pPr>
              <w:rPr>
                <w:sz w:val="20"/>
                <w:szCs w:val="20"/>
              </w:rPr>
            </w:pPr>
            <w:r w:rsidRPr="00B62F66">
              <w:rPr>
                <w:rStyle w:val="lev"/>
                <w:sz w:val="20"/>
                <w:szCs w:val="20"/>
              </w:rPr>
              <w:t>Note méthodologique initiale</w:t>
            </w:r>
          </w:p>
        </w:tc>
        <w:tc>
          <w:tcPr>
            <w:tcW w:w="0" w:type="auto"/>
            <w:vAlign w:val="center"/>
            <w:hideMark/>
          </w:tcPr>
          <w:p w14:paraId="249C033A" w14:textId="77777777" w:rsidR="002C1496" w:rsidRPr="00B62F66" w:rsidRDefault="002C1496">
            <w:pPr>
              <w:rPr>
                <w:sz w:val="20"/>
                <w:szCs w:val="20"/>
              </w:rPr>
            </w:pPr>
            <w:r w:rsidRPr="00B62F66">
              <w:rPr>
                <w:sz w:val="20"/>
                <w:szCs w:val="20"/>
              </w:rPr>
              <w:t>Approche, méthodologie de calcul des indicateurs, sources de données, planning détaillé</w:t>
            </w:r>
          </w:p>
        </w:tc>
        <w:tc>
          <w:tcPr>
            <w:tcW w:w="0" w:type="auto"/>
            <w:vAlign w:val="center"/>
            <w:hideMark/>
          </w:tcPr>
          <w:p w14:paraId="10347F4C" w14:textId="77777777" w:rsidR="002C1496" w:rsidRPr="00B62F66" w:rsidRDefault="002C1496">
            <w:pPr>
              <w:rPr>
                <w:sz w:val="20"/>
                <w:szCs w:val="20"/>
              </w:rPr>
            </w:pPr>
            <w:r w:rsidRPr="00B62F66">
              <w:rPr>
                <w:sz w:val="20"/>
                <w:szCs w:val="20"/>
              </w:rPr>
              <w:t>10 jours après mission</w:t>
            </w:r>
          </w:p>
        </w:tc>
      </w:tr>
      <w:tr w:rsidR="002C1496" w:rsidRPr="00B62F66" w14:paraId="2F1E60A4" w14:textId="77777777" w:rsidTr="002C1496">
        <w:trPr>
          <w:tblCellSpacing w:w="15" w:type="dxa"/>
        </w:trPr>
        <w:tc>
          <w:tcPr>
            <w:tcW w:w="1656" w:type="dxa"/>
            <w:vMerge/>
            <w:vAlign w:val="center"/>
            <w:hideMark/>
          </w:tcPr>
          <w:p w14:paraId="41749854" w14:textId="77777777" w:rsidR="002C1496" w:rsidRPr="00B62F66" w:rsidRDefault="002C1496">
            <w:pPr>
              <w:rPr>
                <w:sz w:val="20"/>
                <w:szCs w:val="20"/>
              </w:rPr>
            </w:pPr>
          </w:p>
        </w:tc>
        <w:tc>
          <w:tcPr>
            <w:tcW w:w="2820" w:type="dxa"/>
            <w:vAlign w:val="center"/>
            <w:hideMark/>
          </w:tcPr>
          <w:p w14:paraId="3104AF79" w14:textId="77777777" w:rsidR="002C1496" w:rsidRPr="00B62F66" w:rsidRDefault="002C1496">
            <w:pPr>
              <w:rPr>
                <w:sz w:val="20"/>
                <w:szCs w:val="20"/>
              </w:rPr>
            </w:pPr>
            <w:r w:rsidRPr="00B62F66">
              <w:rPr>
                <w:rStyle w:val="lev"/>
                <w:sz w:val="20"/>
                <w:szCs w:val="20"/>
              </w:rPr>
              <w:t>Note d’orientation sectorielle 1</w:t>
            </w:r>
          </w:p>
        </w:tc>
        <w:tc>
          <w:tcPr>
            <w:tcW w:w="0" w:type="auto"/>
            <w:vAlign w:val="center"/>
            <w:hideMark/>
          </w:tcPr>
          <w:p w14:paraId="1BCC9072" w14:textId="77777777" w:rsidR="002C1496" w:rsidRPr="00B62F66" w:rsidRDefault="002C1496">
            <w:pPr>
              <w:rPr>
                <w:sz w:val="20"/>
                <w:szCs w:val="20"/>
              </w:rPr>
            </w:pPr>
            <w:r w:rsidRPr="00B62F66">
              <w:rPr>
                <w:sz w:val="20"/>
                <w:szCs w:val="20"/>
              </w:rPr>
              <w:t>Analyse stratégique initiale pour le dialogue de politique publique</w:t>
            </w:r>
          </w:p>
        </w:tc>
        <w:tc>
          <w:tcPr>
            <w:tcW w:w="0" w:type="auto"/>
            <w:vAlign w:val="center"/>
            <w:hideMark/>
          </w:tcPr>
          <w:p w14:paraId="11CE36F0" w14:textId="77777777" w:rsidR="002C1496" w:rsidRPr="00B62F66" w:rsidRDefault="002C1496">
            <w:pPr>
              <w:rPr>
                <w:sz w:val="20"/>
                <w:szCs w:val="20"/>
              </w:rPr>
            </w:pPr>
            <w:r w:rsidRPr="00B62F66">
              <w:rPr>
                <w:sz w:val="20"/>
                <w:szCs w:val="20"/>
              </w:rPr>
              <w:t>Fin mission (avril 2027)</w:t>
            </w:r>
          </w:p>
        </w:tc>
      </w:tr>
      <w:tr w:rsidR="002C1496" w:rsidRPr="00B62F66" w14:paraId="4721B473" w14:textId="77777777" w:rsidTr="002C1496">
        <w:trPr>
          <w:tblCellSpacing w:w="15" w:type="dxa"/>
        </w:trPr>
        <w:tc>
          <w:tcPr>
            <w:tcW w:w="1656" w:type="dxa"/>
            <w:vMerge w:val="restart"/>
            <w:vAlign w:val="center"/>
            <w:hideMark/>
          </w:tcPr>
          <w:p w14:paraId="47E78082" w14:textId="77777777" w:rsidR="002C1496" w:rsidRPr="00B62F66" w:rsidRDefault="002C1496">
            <w:pPr>
              <w:rPr>
                <w:rStyle w:val="lev"/>
                <w:sz w:val="20"/>
                <w:szCs w:val="20"/>
              </w:rPr>
            </w:pPr>
            <w:r w:rsidRPr="00B62F66">
              <w:rPr>
                <w:rStyle w:val="lev"/>
                <w:sz w:val="20"/>
                <w:szCs w:val="20"/>
              </w:rPr>
              <w:t>Mission 2</w:t>
            </w:r>
          </w:p>
          <w:p w14:paraId="3B6E4A0C" w14:textId="50397918" w:rsidR="002C1496" w:rsidRPr="00B62F66" w:rsidRDefault="002C1496">
            <w:pPr>
              <w:rPr>
                <w:sz w:val="20"/>
                <w:szCs w:val="20"/>
              </w:rPr>
            </w:pPr>
            <w:r w:rsidRPr="00B62F66">
              <w:rPr>
                <w:sz w:val="20"/>
                <w:szCs w:val="20"/>
              </w:rPr>
              <w:t>Déc. 2027 – Mars 2028</w:t>
            </w:r>
          </w:p>
        </w:tc>
        <w:tc>
          <w:tcPr>
            <w:tcW w:w="2820" w:type="dxa"/>
            <w:vAlign w:val="center"/>
            <w:hideMark/>
          </w:tcPr>
          <w:p w14:paraId="111B795E" w14:textId="77777777" w:rsidR="002C1496" w:rsidRPr="00B62F66" w:rsidRDefault="002C1496">
            <w:pPr>
              <w:rPr>
                <w:sz w:val="20"/>
                <w:szCs w:val="20"/>
              </w:rPr>
            </w:pPr>
            <w:r w:rsidRPr="00B62F66">
              <w:rPr>
                <w:rStyle w:val="lev"/>
                <w:sz w:val="20"/>
                <w:szCs w:val="20"/>
              </w:rPr>
              <w:t>Tableau consolidé des indicateurs (version 1)</w:t>
            </w:r>
          </w:p>
        </w:tc>
        <w:tc>
          <w:tcPr>
            <w:tcW w:w="0" w:type="auto"/>
            <w:vAlign w:val="center"/>
            <w:hideMark/>
          </w:tcPr>
          <w:p w14:paraId="660BB7CE" w14:textId="77777777" w:rsidR="002C1496" w:rsidRPr="00B62F66" w:rsidRDefault="002C1496">
            <w:pPr>
              <w:rPr>
                <w:sz w:val="20"/>
                <w:szCs w:val="20"/>
              </w:rPr>
            </w:pPr>
            <w:r w:rsidRPr="00B62F66">
              <w:rPr>
                <w:sz w:val="20"/>
                <w:szCs w:val="20"/>
              </w:rPr>
              <w:t>Définitions, méthodes, sources, premiers résultats, niveau de fiabilité</w:t>
            </w:r>
          </w:p>
        </w:tc>
        <w:tc>
          <w:tcPr>
            <w:tcW w:w="0" w:type="auto"/>
            <w:vAlign w:val="center"/>
            <w:hideMark/>
          </w:tcPr>
          <w:p w14:paraId="6A973D90" w14:textId="77777777" w:rsidR="002C1496" w:rsidRPr="00B62F66" w:rsidRDefault="002C1496">
            <w:pPr>
              <w:rPr>
                <w:sz w:val="20"/>
                <w:szCs w:val="20"/>
              </w:rPr>
            </w:pPr>
            <w:r w:rsidRPr="00B62F66">
              <w:rPr>
                <w:sz w:val="20"/>
                <w:szCs w:val="20"/>
              </w:rPr>
              <w:t>10 jours après mission</w:t>
            </w:r>
          </w:p>
        </w:tc>
      </w:tr>
      <w:tr w:rsidR="002C1496" w:rsidRPr="00B62F66" w14:paraId="1A2A9867" w14:textId="77777777" w:rsidTr="002C1496">
        <w:trPr>
          <w:tblCellSpacing w:w="15" w:type="dxa"/>
        </w:trPr>
        <w:tc>
          <w:tcPr>
            <w:tcW w:w="1656" w:type="dxa"/>
            <w:vMerge/>
            <w:vAlign w:val="center"/>
            <w:hideMark/>
          </w:tcPr>
          <w:p w14:paraId="73147245" w14:textId="77777777" w:rsidR="002C1496" w:rsidRPr="00B62F66" w:rsidRDefault="002C1496">
            <w:pPr>
              <w:rPr>
                <w:sz w:val="20"/>
                <w:szCs w:val="20"/>
              </w:rPr>
            </w:pPr>
          </w:p>
        </w:tc>
        <w:tc>
          <w:tcPr>
            <w:tcW w:w="2820" w:type="dxa"/>
            <w:vAlign w:val="center"/>
            <w:hideMark/>
          </w:tcPr>
          <w:p w14:paraId="7270C0BE" w14:textId="77777777" w:rsidR="002C1496" w:rsidRPr="00B62F66" w:rsidRDefault="002C1496">
            <w:pPr>
              <w:rPr>
                <w:sz w:val="20"/>
                <w:szCs w:val="20"/>
              </w:rPr>
            </w:pPr>
            <w:r w:rsidRPr="00B62F66">
              <w:rPr>
                <w:rStyle w:val="lev"/>
                <w:sz w:val="20"/>
                <w:szCs w:val="20"/>
              </w:rPr>
              <w:t>Rapport intermédiaire 1</w:t>
            </w:r>
          </w:p>
        </w:tc>
        <w:tc>
          <w:tcPr>
            <w:tcW w:w="0" w:type="auto"/>
            <w:vAlign w:val="center"/>
            <w:hideMark/>
          </w:tcPr>
          <w:p w14:paraId="6A9F26A4" w14:textId="77777777" w:rsidR="002C1496" w:rsidRPr="00B62F66" w:rsidRDefault="002C1496">
            <w:pPr>
              <w:rPr>
                <w:sz w:val="20"/>
                <w:szCs w:val="20"/>
              </w:rPr>
            </w:pPr>
            <w:r w:rsidRPr="00B62F66">
              <w:rPr>
                <w:sz w:val="20"/>
                <w:szCs w:val="20"/>
              </w:rPr>
              <w:t>Analyse des données, qualité, limites, premiers écarts</w:t>
            </w:r>
          </w:p>
        </w:tc>
        <w:tc>
          <w:tcPr>
            <w:tcW w:w="0" w:type="auto"/>
            <w:vAlign w:val="center"/>
            <w:hideMark/>
          </w:tcPr>
          <w:p w14:paraId="769A57E3" w14:textId="77777777" w:rsidR="002C1496" w:rsidRPr="00B62F66" w:rsidRDefault="002C1496">
            <w:pPr>
              <w:rPr>
                <w:sz w:val="20"/>
                <w:szCs w:val="20"/>
              </w:rPr>
            </w:pPr>
            <w:r w:rsidRPr="00B62F66">
              <w:rPr>
                <w:sz w:val="20"/>
                <w:szCs w:val="20"/>
              </w:rPr>
              <w:t>10 jours après mission</w:t>
            </w:r>
          </w:p>
        </w:tc>
      </w:tr>
      <w:tr w:rsidR="002C1496" w:rsidRPr="00B62F66" w14:paraId="505C82E8" w14:textId="77777777" w:rsidTr="002C1496">
        <w:trPr>
          <w:tblCellSpacing w:w="15" w:type="dxa"/>
        </w:trPr>
        <w:tc>
          <w:tcPr>
            <w:tcW w:w="1656" w:type="dxa"/>
            <w:vMerge/>
            <w:vAlign w:val="center"/>
            <w:hideMark/>
          </w:tcPr>
          <w:p w14:paraId="6F25617C" w14:textId="77777777" w:rsidR="002C1496" w:rsidRPr="00B62F66" w:rsidRDefault="002C1496">
            <w:pPr>
              <w:rPr>
                <w:sz w:val="20"/>
                <w:szCs w:val="20"/>
              </w:rPr>
            </w:pPr>
          </w:p>
        </w:tc>
        <w:tc>
          <w:tcPr>
            <w:tcW w:w="2820" w:type="dxa"/>
            <w:vAlign w:val="center"/>
            <w:hideMark/>
          </w:tcPr>
          <w:p w14:paraId="0819C97C" w14:textId="77777777" w:rsidR="002C1496" w:rsidRPr="00B62F66" w:rsidRDefault="002C1496">
            <w:pPr>
              <w:rPr>
                <w:sz w:val="20"/>
                <w:szCs w:val="20"/>
              </w:rPr>
            </w:pPr>
            <w:r w:rsidRPr="00B62F66">
              <w:rPr>
                <w:rStyle w:val="lev"/>
                <w:sz w:val="20"/>
                <w:szCs w:val="20"/>
              </w:rPr>
              <w:t>Note d’orientation sectorielle 2</w:t>
            </w:r>
          </w:p>
        </w:tc>
        <w:tc>
          <w:tcPr>
            <w:tcW w:w="0" w:type="auto"/>
            <w:vAlign w:val="center"/>
            <w:hideMark/>
          </w:tcPr>
          <w:p w14:paraId="60536234" w14:textId="77777777" w:rsidR="002C1496" w:rsidRPr="00B62F66" w:rsidRDefault="002C1496">
            <w:pPr>
              <w:rPr>
                <w:sz w:val="20"/>
                <w:szCs w:val="20"/>
              </w:rPr>
            </w:pPr>
            <w:r w:rsidRPr="00B62F66">
              <w:rPr>
                <w:sz w:val="20"/>
                <w:szCs w:val="20"/>
              </w:rPr>
              <w:t>Appui au dialogue stratégique</w:t>
            </w:r>
          </w:p>
        </w:tc>
        <w:tc>
          <w:tcPr>
            <w:tcW w:w="0" w:type="auto"/>
            <w:vAlign w:val="center"/>
            <w:hideMark/>
          </w:tcPr>
          <w:p w14:paraId="79EB3BA8" w14:textId="77777777" w:rsidR="002C1496" w:rsidRPr="00B62F66" w:rsidRDefault="002C1496">
            <w:pPr>
              <w:rPr>
                <w:sz w:val="20"/>
                <w:szCs w:val="20"/>
              </w:rPr>
            </w:pPr>
            <w:r w:rsidRPr="00B62F66">
              <w:rPr>
                <w:sz w:val="20"/>
                <w:szCs w:val="20"/>
              </w:rPr>
              <w:t>Avril 2028</w:t>
            </w:r>
          </w:p>
        </w:tc>
      </w:tr>
      <w:tr w:rsidR="002C1496" w:rsidRPr="00B62F66" w14:paraId="223C097E" w14:textId="77777777" w:rsidTr="002C1496">
        <w:trPr>
          <w:tblCellSpacing w:w="15" w:type="dxa"/>
        </w:trPr>
        <w:tc>
          <w:tcPr>
            <w:tcW w:w="1656" w:type="dxa"/>
            <w:vMerge w:val="restart"/>
            <w:vAlign w:val="center"/>
            <w:hideMark/>
          </w:tcPr>
          <w:p w14:paraId="22422CBE" w14:textId="77777777" w:rsidR="002C1496" w:rsidRPr="00B62F66" w:rsidRDefault="002C1496">
            <w:pPr>
              <w:rPr>
                <w:rStyle w:val="lev"/>
                <w:sz w:val="20"/>
                <w:szCs w:val="20"/>
              </w:rPr>
            </w:pPr>
            <w:r w:rsidRPr="00B62F66">
              <w:rPr>
                <w:rStyle w:val="lev"/>
                <w:sz w:val="20"/>
                <w:szCs w:val="20"/>
              </w:rPr>
              <w:t>Mission 3</w:t>
            </w:r>
          </w:p>
          <w:p w14:paraId="0816E742" w14:textId="1739DF8F" w:rsidR="002C1496" w:rsidRPr="00B62F66" w:rsidRDefault="002C1496">
            <w:pPr>
              <w:rPr>
                <w:sz w:val="20"/>
                <w:szCs w:val="20"/>
              </w:rPr>
            </w:pPr>
            <w:r w:rsidRPr="00B62F66">
              <w:rPr>
                <w:sz w:val="20"/>
                <w:szCs w:val="20"/>
              </w:rPr>
              <w:t>Déc. 2028 – Mars 2029</w:t>
            </w:r>
          </w:p>
        </w:tc>
        <w:tc>
          <w:tcPr>
            <w:tcW w:w="2820" w:type="dxa"/>
            <w:vAlign w:val="center"/>
            <w:hideMark/>
          </w:tcPr>
          <w:p w14:paraId="71B294CF" w14:textId="77777777" w:rsidR="002C1496" w:rsidRPr="00B62F66" w:rsidRDefault="002C1496">
            <w:pPr>
              <w:rPr>
                <w:sz w:val="20"/>
                <w:szCs w:val="20"/>
              </w:rPr>
            </w:pPr>
            <w:r w:rsidRPr="00B62F66">
              <w:rPr>
                <w:rStyle w:val="lev"/>
                <w:sz w:val="20"/>
                <w:szCs w:val="20"/>
              </w:rPr>
              <w:t>Rapport d’évaluation des progrès</w:t>
            </w:r>
          </w:p>
        </w:tc>
        <w:tc>
          <w:tcPr>
            <w:tcW w:w="0" w:type="auto"/>
            <w:vAlign w:val="center"/>
            <w:hideMark/>
          </w:tcPr>
          <w:p w14:paraId="6B03AE20" w14:textId="77777777" w:rsidR="002C1496" w:rsidRPr="00B62F66" w:rsidRDefault="002C1496">
            <w:pPr>
              <w:rPr>
                <w:sz w:val="20"/>
                <w:szCs w:val="20"/>
              </w:rPr>
            </w:pPr>
            <w:r w:rsidRPr="00B62F66">
              <w:rPr>
                <w:sz w:val="20"/>
                <w:szCs w:val="20"/>
              </w:rPr>
              <w:t>Analyse des résultats vs cibles, identification des écarts</w:t>
            </w:r>
          </w:p>
        </w:tc>
        <w:tc>
          <w:tcPr>
            <w:tcW w:w="0" w:type="auto"/>
            <w:vAlign w:val="center"/>
            <w:hideMark/>
          </w:tcPr>
          <w:p w14:paraId="073BF53E" w14:textId="77777777" w:rsidR="002C1496" w:rsidRPr="00B62F66" w:rsidRDefault="002C1496">
            <w:pPr>
              <w:rPr>
                <w:sz w:val="20"/>
                <w:szCs w:val="20"/>
              </w:rPr>
            </w:pPr>
            <w:r w:rsidRPr="00B62F66">
              <w:rPr>
                <w:sz w:val="20"/>
                <w:szCs w:val="20"/>
              </w:rPr>
              <w:t>10 jours après mission</w:t>
            </w:r>
          </w:p>
        </w:tc>
      </w:tr>
      <w:tr w:rsidR="002C1496" w:rsidRPr="00B62F66" w14:paraId="765E08CB" w14:textId="77777777" w:rsidTr="002C1496">
        <w:trPr>
          <w:tblCellSpacing w:w="15" w:type="dxa"/>
        </w:trPr>
        <w:tc>
          <w:tcPr>
            <w:tcW w:w="1656" w:type="dxa"/>
            <w:vMerge/>
            <w:vAlign w:val="center"/>
            <w:hideMark/>
          </w:tcPr>
          <w:p w14:paraId="7444E290" w14:textId="77777777" w:rsidR="002C1496" w:rsidRPr="00B62F66" w:rsidRDefault="002C1496">
            <w:pPr>
              <w:rPr>
                <w:sz w:val="20"/>
                <w:szCs w:val="20"/>
              </w:rPr>
            </w:pPr>
          </w:p>
        </w:tc>
        <w:tc>
          <w:tcPr>
            <w:tcW w:w="2820" w:type="dxa"/>
            <w:vAlign w:val="center"/>
            <w:hideMark/>
          </w:tcPr>
          <w:p w14:paraId="11B4AC92" w14:textId="77777777" w:rsidR="002C1496" w:rsidRPr="00B62F66" w:rsidRDefault="002C1496">
            <w:pPr>
              <w:rPr>
                <w:sz w:val="20"/>
                <w:szCs w:val="20"/>
              </w:rPr>
            </w:pPr>
            <w:r w:rsidRPr="00B62F66">
              <w:rPr>
                <w:rStyle w:val="lev"/>
                <w:sz w:val="20"/>
                <w:szCs w:val="20"/>
              </w:rPr>
              <w:t>Note de recommandations correctives</w:t>
            </w:r>
          </w:p>
        </w:tc>
        <w:tc>
          <w:tcPr>
            <w:tcW w:w="0" w:type="auto"/>
            <w:vAlign w:val="center"/>
            <w:hideMark/>
          </w:tcPr>
          <w:p w14:paraId="5B4D1310" w14:textId="77777777" w:rsidR="002C1496" w:rsidRPr="00B62F66" w:rsidRDefault="002C1496">
            <w:pPr>
              <w:rPr>
                <w:sz w:val="20"/>
                <w:szCs w:val="20"/>
              </w:rPr>
            </w:pPr>
            <w:r w:rsidRPr="00B62F66">
              <w:rPr>
                <w:sz w:val="20"/>
                <w:szCs w:val="20"/>
              </w:rPr>
              <w:t>Ajustements méthodologiques et opérationnels</w:t>
            </w:r>
          </w:p>
        </w:tc>
        <w:tc>
          <w:tcPr>
            <w:tcW w:w="0" w:type="auto"/>
            <w:vAlign w:val="center"/>
            <w:hideMark/>
          </w:tcPr>
          <w:p w14:paraId="36E1253B" w14:textId="77777777" w:rsidR="002C1496" w:rsidRPr="00B62F66" w:rsidRDefault="002C1496">
            <w:pPr>
              <w:rPr>
                <w:sz w:val="20"/>
                <w:szCs w:val="20"/>
              </w:rPr>
            </w:pPr>
            <w:r w:rsidRPr="00B62F66">
              <w:rPr>
                <w:sz w:val="20"/>
                <w:szCs w:val="20"/>
              </w:rPr>
              <w:t>10 jours après mission</w:t>
            </w:r>
          </w:p>
        </w:tc>
      </w:tr>
      <w:tr w:rsidR="002C1496" w:rsidRPr="00B62F66" w14:paraId="0408DC07" w14:textId="77777777" w:rsidTr="002C1496">
        <w:trPr>
          <w:tblCellSpacing w:w="15" w:type="dxa"/>
        </w:trPr>
        <w:tc>
          <w:tcPr>
            <w:tcW w:w="1656" w:type="dxa"/>
            <w:vMerge/>
            <w:vAlign w:val="center"/>
            <w:hideMark/>
          </w:tcPr>
          <w:p w14:paraId="10845513" w14:textId="77777777" w:rsidR="002C1496" w:rsidRPr="00B62F66" w:rsidRDefault="002C1496">
            <w:pPr>
              <w:rPr>
                <w:sz w:val="20"/>
                <w:szCs w:val="20"/>
              </w:rPr>
            </w:pPr>
          </w:p>
        </w:tc>
        <w:tc>
          <w:tcPr>
            <w:tcW w:w="2820" w:type="dxa"/>
            <w:vAlign w:val="center"/>
            <w:hideMark/>
          </w:tcPr>
          <w:p w14:paraId="3FC08129" w14:textId="77777777" w:rsidR="002C1496" w:rsidRPr="00B62F66" w:rsidRDefault="002C1496">
            <w:pPr>
              <w:rPr>
                <w:sz w:val="20"/>
                <w:szCs w:val="20"/>
              </w:rPr>
            </w:pPr>
            <w:r w:rsidRPr="00B62F66">
              <w:rPr>
                <w:rStyle w:val="lev"/>
                <w:sz w:val="20"/>
                <w:szCs w:val="20"/>
              </w:rPr>
              <w:t>Note d’orientation sectorielle 3</w:t>
            </w:r>
          </w:p>
        </w:tc>
        <w:tc>
          <w:tcPr>
            <w:tcW w:w="0" w:type="auto"/>
            <w:vAlign w:val="center"/>
            <w:hideMark/>
          </w:tcPr>
          <w:p w14:paraId="5727D1C4" w14:textId="77777777" w:rsidR="002C1496" w:rsidRPr="00B62F66" w:rsidRDefault="002C1496">
            <w:pPr>
              <w:rPr>
                <w:sz w:val="20"/>
                <w:szCs w:val="20"/>
              </w:rPr>
            </w:pPr>
            <w:r w:rsidRPr="00B62F66">
              <w:rPr>
                <w:sz w:val="20"/>
                <w:szCs w:val="20"/>
              </w:rPr>
              <w:t>Appui au pilotage stratégique</w:t>
            </w:r>
          </w:p>
        </w:tc>
        <w:tc>
          <w:tcPr>
            <w:tcW w:w="0" w:type="auto"/>
            <w:vAlign w:val="center"/>
            <w:hideMark/>
          </w:tcPr>
          <w:p w14:paraId="2DA73E2C" w14:textId="77777777" w:rsidR="002C1496" w:rsidRPr="00B62F66" w:rsidRDefault="002C1496">
            <w:pPr>
              <w:rPr>
                <w:sz w:val="20"/>
                <w:szCs w:val="20"/>
              </w:rPr>
            </w:pPr>
            <w:r w:rsidRPr="00B62F66">
              <w:rPr>
                <w:sz w:val="20"/>
                <w:szCs w:val="20"/>
              </w:rPr>
              <w:t>Avril 2029</w:t>
            </w:r>
          </w:p>
        </w:tc>
      </w:tr>
      <w:tr w:rsidR="002C1496" w:rsidRPr="00B62F66" w14:paraId="47DF610E" w14:textId="77777777" w:rsidTr="002C1496">
        <w:trPr>
          <w:tblCellSpacing w:w="15" w:type="dxa"/>
        </w:trPr>
        <w:tc>
          <w:tcPr>
            <w:tcW w:w="1656" w:type="dxa"/>
            <w:vMerge w:val="restart"/>
            <w:vAlign w:val="center"/>
            <w:hideMark/>
          </w:tcPr>
          <w:p w14:paraId="2F828952" w14:textId="77777777" w:rsidR="002C1496" w:rsidRPr="00B62F66" w:rsidRDefault="002C1496">
            <w:pPr>
              <w:rPr>
                <w:rStyle w:val="lev"/>
                <w:sz w:val="20"/>
                <w:szCs w:val="20"/>
              </w:rPr>
            </w:pPr>
            <w:r w:rsidRPr="00B62F66">
              <w:rPr>
                <w:rStyle w:val="lev"/>
                <w:sz w:val="20"/>
                <w:szCs w:val="20"/>
              </w:rPr>
              <w:lastRenderedPageBreak/>
              <w:t>Mission 4</w:t>
            </w:r>
          </w:p>
          <w:p w14:paraId="62EDBB4D" w14:textId="5FBB4CEA" w:rsidR="002C1496" w:rsidRPr="00B62F66" w:rsidRDefault="002C1496">
            <w:pPr>
              <w:rPr>
                <w:sz w:val="20"/>
                <w:szCs w:val="20"/>
              </w:rPr>
            </w:pPr>
            <w:r w:rsidRPr="00B62F66">
              <w:rPr>
                <w:sz w:val="20"/>
                <w:szCs w:val="20"/>
              </w:rPr>
              <w:t>Déc. 2029 – Mars 2030</w:t>
            </w:r>
          </w:p>
        </w:tc>
        <w:tc>
          <w:tcPr>
            <w:tcW w:w="2820" w:type="dxa"/>
            <w:vAlign w:val="center"/>
            <w:hideMark/>
          </w:tcPr>
          <w:p w14:paraId="5537731B" w14:textId="77777777" w:rsidR="002C1496" w:rsidRPr="00B62F66" w:rsidRDefault="002C1496">
            <w:pPr>
              <w:rPr>
                <w:sz w:val="20"/>
                <w:szCs w:val="20"/>
              </w:rPr>
            </w:pPr>
            <w:r w:rsidRPr="00B62F66">
              <w:rPr>
                <w:rStyle w:val="lev"/>
                <w:sz w:val="20"/>
                <w:szCs w:val="20"/>
              </w:rPr>
              <w:t>Rapport de suivi consolidé</w:t>
            </w:r>
          </w:p>
        </w:tc>
        <w:tc>
          <w:tcPr>
            <w:tcW w:w="0" w:type="auto"/>
            <w:vAlign w:val="center"/>
            <w:hideMark/>
          </w:tcPr>
          <w:p w14:paraId="4B47AF7F" w14:textId="77777777" w:rsidR="002C1496" w:rsidRPr="00B62F66" w:rsidRDefault="002C1496">
            <w:pPr>
              <w:rPr>
                <w:sz w:val="20"/>
                <w:szCs w:val="20"/>
              </w:rPr>
            </w:pPr>
            <w:r w:rsidRPr="00B62F66">
              <w:rPr>
                <w:sz w:val="20"/>
                <w:szCs w:val="20"/>
              </w:rPr>
              <w:t>Actualisation des indicateurs, analyse comparative</w:t>
            </w:r>
          </w:p>
        </w:tc>
        <w:tc>
          <w:tcPr>
            <w:tcW w:w="0" w:type="auto"/>
            <w:vAlign w:val="center"/>
            <w:hideMark/>
          </w:tcPr>
          <w:p w14:paraId="18246911" w14:textId="77777777" w:rsidR="002C1496" w:rsidRPr="00B62F66" w:rsidRDefault="002C1496">
            <w:pPr>
              <w:rPr>
                <w:sz w:val="20"/>
                <w:szCs w:val="20"/>
              </w:rPr>
            </w:pPr>
            <w:r w:rsidRPr="00B62F66">
              <w:rPr>
                <w:sz w:val="20"/>
                <w:szCs w:val="20"/>
              </w:rPr>
              <w:t>10 jours après mission</w:t>
            </w:r>
          </w:p>
        </w:tc>
      </w:tr>
      <w:tr w:rsidR="002C1496" w:rsidRPr="00B62F66" w14:paraId="326C3C2D" w14:textId="77777777" w:rsidTr="002C1496">
        <w:trPr>
          <w:tblCellSpacing w:w="15" w:type="dxa"/>
        </w:trPr>
        <w:tc>
          <w:tcPr>
            <w:tcW w:w="1656" w:type="dxa"/>
            <w:vMerge/>
            <w:vAlign w:val="center"/>
            <w:hideMark/>
          </w:tcPr>
          <w:p w14:paraId="5F9B328C" w14:textId="77777777" w:rsidR="002C1496" w:rsidRPr="00B62F66" w:rsidRDefault="002C1496">
            <w:pPr>
              <w:rPr>
                <w:sz w:val="20"/>
                <w:szCs w:val="20"/>
              </w:rPr>
            </w:pPr>
          </w:p>
        </w:tc>
        <w:tc>
          <w:tcPr>
            <w:tcW w:w="2820" w:type="dxa"/>
            <w:vAlign w:val="center"/>
            <w:hideMark/>
          </w:tcPr>
          <w:p w14:paraId="5FEF043E" w14:textId="77777777" w:rsidR="002C1496" w:rsidRPr="00B62F66" w:rsidRDefault="002C1496">
            <w:pPr>
              <w:rPr>
                <w:sz w:val="20"/>
                <w:szCs w:val="20"/>
              </w:rPr>
            </w:pPr>
            <w:r w:rsidRPr="00B62F66">
              <w:rPr>
                <w:rStyle w:val="lev"/>
                <w:sz w:val="20"/>
                <w:szCs w:val="20"/>
              </w:rPr>
              <w:t>Note stratégique intermédiaire</w:t>
            </w:r>
          </w:p>
        </w:tc>
        <w:tc>
          <w:tcPr>
            <w:tcW w:w="0" w:type="auto"/>
            <w:vAlign w:val="center"/>
            <w:hideMark/>
          </w:tcPr>
          <w:p w14:paraId="6F82A120" w14:textId="77777777" w:rsidR="002C1496" w:rsidRPr="00B62F66" w:rsidRDefault="002C1496">
            <w:pPr>
              <w:rPr>
                <w:sz w:val="20"/>
                <w:szCs w:val="20"/>
              </w:rPr>
            </w:pPr>
            <w:r w:rsidRPr="00B62F66">
              <w:rPr>
                <w:sz w:val="20"/>
                <w:szCs w:val="20"/>
              </w:rPr>
              <w:t>Robustesse du dispositif et recommandations</w:t>
            </w:r>
          </w:p>
        </w:tc>
        <w:tc>
          <w:tcPr>
            <w:tcW w:w="0" w:type="auto"/>
            <w:vAlign w:val="center"/>
            <w:hideMark/>
          </w:tcPr>
          <w:p w14:paraId="016C4A54" w14:textId="77777777" w:rsidR="002C1496" w:rsidRPr="00B62F66" w:rsidRDefault="002C1496">
            <w:pPr>
              <w:rPr>
                <w:sz w:val="20"/>
                <w:szCs w:val="20"/>
              </w:rPr>
            </w:pPr>
            <w:r w:rsidRPr="00B62F66">
              <w:rPr>
                <w:sz w:val="20"/>
                <w:szCs w:val="20"/>
              </w:rPr>
              <w:t>10 jours après mission</w:t>
            </w:r>
          </w:p>
        </w:tc>
      </w:tr>
      <w:tr w:rsidR="002C1496" w:rsidRPr="00B62F66" w14:paraId="566760E7" w14:textId="77777777" w:rsidTr="002C1496">
        <w:trPr>
          <w:tblCellSpacing w:w="15" w:type="dxa"/>
        </w:trPr>
        <w:tc>
          <w:tcPr>
            <w:tcW w:w="1656" w:type="dxa"/>
            <w:vMerge/>
            <w:vAlign w:val="center"/>
            <w:hideMark/>
          </w:tcPr>
          <w:p w14:paraId="7D4D6502" w14:textId="77777777" w:rsidR="002C1496" w:rsidRPr="00B62F66" w:rsidRDefault="002C1496">
            <w:pPr>
              <w:rPr>
                <w:sz w:val="20"/>
                <w:szCs w:val="20"/>
              </w:rPr>
            </w:pPr>
          </w:p>
        </w:tc>
        <w:tc>
          <w:tcPr>
            <w:tcW w:w="2820" w:type="dxa"/>
            <w:vAlign w:val="center"/>
            <w:hideMark/>
          </w:tcPr>
          <w:p w14:paraId="1D290131" w14:textId="77777777" w:rsidR="002C1496" w:rsidRPr="00B62F66" w:rsidRDefault="002C1496">
            <w:pPr>
              <w:rPr>
                <w:sz w:val="20"/>
                <w:szCs w:val="20"/>
              </w:rPr>
            </w:pPr>
            <w:r w:rsidRPr="00B62F66">
              <w:rPr>
                <w:rStyle w:val="lev"/>
                <w:sz w:val="20"/>
                <w:szCs w:val="20"/>
              </w:rPr>
              <w:t>Note d’orientation sectorielle 4</w:t>
            </w:r>
          </w:p>
        </w:tc>
        <w:tc>
          <w:tcPr>
            <w:tcW w:w="0" w:type="auto"/>
            <w:vAlign w:val="center"/>
            <w:hideMark/>
          </w:tcPr>
          <w:p w14:paraId="491F6F9F" w14:textId="77777777" w:rsidR="002C1496" w:rsidRPr="00B62F66" w:rsidRDefault="002C1496">
            <w:pPr>
              <w:rPr>
                <w:sz w:val="20"/>
                <w:szCs w:val="20"/>
              </w:rPr>
            </w:pPr>
            <w:r w:rsidRPr="00B62F66">
              <w:rPr>
                <w:sz w:val="20"/>
                <w:szCs w:val="20"/>
              </w:rPr>
              <w:t>Appui décisionnel</w:t>
            </w:r>
          </w:p>
        </w:tc>
        <w:tc>
          <w:tcPr>
            <w:tcW w:w="0" w:type="auto"/>
            <w:vAlign w:val="center"/>
            <w:hideMark/>
          </w:tcPr>
          <w:p w14:paraId="5609F0CA" w14:textId="77777777" w:rsidR="002C1496" w:rsidRPr="00B62F66" w:rsidRDefault="002C1496">
            <w:pPr>
              <w:rPr>
                <w:sz w:val="20"/>
                <w:szCs w:val="20"/>
              </w:rPr>
            </w:pPr>
            <w:r w:rsidRPr="00B62F66">
              <w:rPr>
                <w:sz w:val="20"/>
                <w:szCs w:val="20"/>
              </w:rPr>
              <w:t>Avril 2030</w:t>
            </w:r>
          </w:p>
        </w:tc>
      </w:tr>
      <w:tr w:rsidR="002C1496" w:rsidRPr="00B62F66" w14:paraId="4931D6B2" w14:textId="77777777" w:rsidTr="002C1496">
        <w:trPr>
          <w:tblCellSpacing w:w="15" w:type="dxa"/>
        </w:trPr>
        <w:tc>
          <w:tcPr>
            <w:tcW w:w="1656" w:type="dxa"/>
            <w:vMerge w:val="restart"/>
            <w:vAlign w:val="center"/>
            <w:hideMark/>
          </w:tcPr>
          <w:p w14:paraId="10D948A6" w14:textId="77777777" w:rsidR="002C1496" w:rsidRPr="00B62F66" w:rsidRDefault="002C1496">
            <w:pPr>
              <w:rPr>
                <w:rStyle w:val="lev"/>
                <w:sz w:val="20"/>
                <w:szCs w:val="20"/>
              </w:rPr>
            </w:pPr>
            <w:r w:rsidRPr="00B62F66">
              <w:rPr>
                <w:rStyle w:val="lev"/>
                <w:sz w:val="20"/>
                <w:szCs w:val="20"/>
              </w:rPr>
              <w:t>Mission 5</w:t>
            </w:r>
          </w:p>
          <w:p w14:paraId="56FD70DB" w14:textId="3DDAE03D" w:rsidR="002C1496" w:rsidRPr="00B62F66" w:rsidRDefault="002C1496">
            <w:pPr>
              <w:rPr>
                <w:sz w:val="20"/>
                <w:szCs w:val="20"/>
              </w:rPr>
            </w:pPr>
            <w:r w:rsidRPr="00B62F66">
              <w:rPr>
                <w:sz w:val="20"/>
                <w:szCs w:val="20"/>
              </w:rPr>
              <w:t>Mars – Mai 2030</w:t>
            </w:r>
          </w:p>
        </w:tc>
        <w:tc>
          <w:tcPr>
            <w:tcW w:w="2820" w:type="dxa"/>
            <w:vAlign w:val="center"/>
            <w:hideMark/>
          </w:tcPr>
          <w:p w14:paraId="53DF73D3" w14:textId="77777777" w:rsidR="002C1496" w:rsidRPr="00B62F66" w:rsidRDefault="002C1496">
            <w:pPr>
              <w:rPr>
                <w:sz w:val="20"/>
                <w:szCs w:val="20"/>
              </w:rPr>
            </w:pPr>
            <w:r w:rsidRPr="00B62F66">
              <w:rPr>
                <w:rStyle w:val="lev"/>
                <w:sz w:val="20"/>
                <w:szCs w:val="20"/>
              </w:rPr>
              <w:t>Rapport final de mission</w:t>
            </w:r>
          </w:p>
        </w:tc>
        <w:tc>
          <w:tcPr>
            <w:tcW w:w="0" w:type="auto"/>
            <w:vAlign w:val="center"/>
            <w:hideMark/>
          </w:tcPr>
          <w:p w14:paraId="3E6B3F91" w14:textId="77777777" w:rsidR="002C1496" w:rsidRPr="00B62F66" w:rsidRDefault="002C1496">
            <w:pPr>
              <w:rPr>
                <w:sz w:val="20"/>
                <w:szCs w:val="20"/>
              </w:rPr>
            </w:pPr>
            <w:r w:rsidRPr="00B62F66">
              <w:rPr>
                <w:sz w:val="20"/>
                <w:szCs w:val="20"/>
              </w:rPr>
              <w:t>Consolidation 2026–2030, analyse globale, recommandations stratégiques</w:t>
            </w:r>
          </w:p>
        </w:tc>
        <w:tc>
          <w:tcPr>
            <w:tcW w:w="0" w:type="auto"/>
            <w:vAlign w:val="center"/>
            <w:hideMark/>
          </w:tcPr>
          <w:p w14:paraId="33727651" w14:textId="77777777" w:rsidR="002C1496" w:rsidRPr="00B62F66" w:rsidRDefault="002C1496">
            <w:pPr>
              <w:rPr>
                <w:sz w:val="20"/>
                <w:szCs w:val="20"/>
              </w:rPr>
            </w:pPr>
            <w:r w:rsidRPr="00B62F66">
              <w:rPr>
                <w:sz w:val="20"/>
                <w:szCs w:val="20"/>
              </w:rPr>
              <w:t>15 jours après mission</w:t>
            </w:r>
          </w:p>
        </w:tc>
      </w:tr>
      <w:tr w:rsidR="002C1496" w:rsidRPr="00B62F66" w14:paraId="4963F1AA" w14:textId="77777777" w:rsidTr="002C1496">
        <w:trPr>
          <w:tblCellSpacing w:w="15" w:type="dxa"/>
        </w:trPr>
        <w:tc>
          <w:tcPr>
            <w:tcW w:w="1656" w:type="dxa"/>
            <w:vMerge/>
            <w:vAlign w:val="center"/>
            <w:hideMark/>
          </w:tcPr>
          <w:p w14:paraId="18063944" w14:textId="77777777" w:rsidR="002C1496" w:rsidRPr="00B62F66" w:rsidRDefault="002C1496">
            <w:pPr>
              <w:rPr>
                <w:sz w:val="20"/>
                <w:szCs w:val="20"/>
              </w:rPr>
            </w:pPr>
          </w:p>
        </w:tc>
        <w:tc>
          <w:tcPr>
            <w:tcW w:w="2820" w:type="dxa"/>
            <w:vAlign w:val="center"/>
            <w:hideMark/>
          </w:tcPr>
          <w:p w14:paraId="41CFADEF" w14:textId="77777777" w:rsidR="002C1496" w:rsidRPr="00B62F66" w:rsidRDefault="002C1496">
            <w:pPr>
              <w:rPr>
                <w:sz w:val="20"/>
                <w:szCs w:val="20"/>
              </w:rPr>
            </w:pPr>
            <w:r w:rsidRPr="00B62F66">
              <w:rPr>
                <w:rStyle w:val="lev"/>
                <w:sz w:val="20"/>
                <w:szCs w:val="20"/>
              </w:rPr>
              <w:t>Note de synthèse stratégique</w:t>
            </w:r>
          </w:p>
        </w:tc>
        <w:tc>
          <w:tcPr>
            <w:tcW w:w="0" w:type="auto"/>
            <w:vAlign w:val="center"/>
            <w:hideMark/>
          </w:tcPr>
          <w:p w14:paraId="5750878F" w14:textId="77777777" w:rsidR="002C1496" w:rsidRPr="00B62F66" w:rsidRDefault="002C1496">
            <w:pPr>
              <w:rPr>
                <w:sz w:val="20"/>
                <w:szCs w:val="20"/>
              </w:rPr>
            </w:pPr>
            <w:r w:rsidRPr="00B62F66">
              <w:rPr>
                <w:sz w:val="20"/>
                <w:szCs w:val="20"/>
              </w:rPr>
              <w:t>Message clé pour décideurs et dialogue de politique publique</w:t>
            </w:r>
          </w:p>
        </w:tc>
        <w:tc>
          <w:tcPr>
            <w:tcW w:w="0" w:type="auto"/>
            <w:vAlign w:val="center"/>
            <w:hideMark/>
          </w:tcPr>
          <w:p w14:paraId="476D5BB4" w14:textId="77777777" w:rsidR="002C1496" w:rsidRPr="00B62F66" w:rsidRDefault="002C1496">
            <w:pPr>
              <w:rPr>
                <w:sz w:val="20"/>
                <w:szCs w:val="20"/>
              </w:rPr>
            </w:pPr>
            <w:r w:rsidRPr="00B62F66">
              <w:rPr>
                <w:sz w:val="20"/>
                <w:szCs w:val="20"/>
              </w:rPr>
              <w:t>Juin 2030</w:t>
            </w:r>
          </w:p>
        </w:tc>
      </w:tr>
      <w:tr w:rsidR="002C1496" w:rsidRPr="00B62F66" w14:paraId="2A5B905B" w14:textId="77777777" w:rsidTr="002C1496">
        <w:trPr>
          <w:tblCellSpacing w:w="15" w:type="dxa"/>
        </w:trPr>
        <w:tc>
          <w:tcPr>
            <w:tcW w:w="1656" w:type="dxa"/>
            <w:vMerge/>
            <w:vAlign w:val="center"/>
            <w:hideMark/>
          </w:tcPr>
          <w:p w14:paraId="1A3AE878" w14:textId="77777777" w:rsidR="002C1496" w:rsidRPr="00B62F66" w:rsidRDefault="002C1496">
            <w:pPr>
              <w:rPr>
                <w:sz w:val="20"/>
                <w:szCs w:val="20"/>
              </w:rPr>
            </w:pPr>
          </w:p>
        </w:tc>
        <w:tc>
          <w:tcPr>
            <w:tcW w:w="2820" w:type="dxa"/>
            <w:vAlign w:val="center"/>
            <w:hideMark/>
          </w:tcPr>
          <w:p w14:paraId="60F4F1AC" w14:textId="77777777" w:rsidR="002C1496" w:rsidRPr="00B62F66" w:rsidRDefault="002C1496">
            <w:pPr>
              <w:rPr>
                <w:sz w:val="20"/>
                <w:szCs w:val="20"/>
              </w:rPr>
            </w:pPr>
            <w:r w:rsidRPr="00B62F66">
              <w:rPr>
                <w:rStyle w:val="lev"/>
                <w:sz w:val="20"/>
                <w:szCs w:val="20"/>
              </w:rPr>
              <w:t>Supports de restitution</w:t>
            </w:r>
          </w:p>
        </w:tc>
        <w:tc>
          <w:tcPr>
            <w:tcW w:w="0" w:type="auto"/>
            <w:vAlign w:val="center"/>
            <w:hideMark/>
          </w:tcPr>
          <w:p w14:paraId="2FE84886" w14:textId="77777777" w:rsidR="002C1496" w:rsidRPr="00B62F66" w:rsidRDefault="002C1496">
            <w:pPr>
              <w:rPr>
                <w:sz w:val="20"/>
                <w:szCs w:val="20"/>
              </w:rPr>
            </w:pPr>
            <w:r w:rsidRPr="00B62F66">
              <w:rPr>
                <w:sz w:val="20"/>
                <w:szCs w:val="20"/>
              </w:rPr>
              <w:t>Présentations pour comités techniques et stratégiques</w:t>
            </w:r>
          </w:p>
        </w:tc>
        <w:tc>
          <w:tcPr>
            <w:tcW w:w="0" w:type="auto"/>
            <w:vAlign w:val="center"/>
            <w:hideMark/>
          </w:tcPr>
          <w:p w14:paraId="7D330BE0" w14:textId="77777777" w:rsidR="002C1496" w:rsidRPr="00B62F66" w:rsidRDefault="002C1496">
            <w:pPr>
              <w:rPr>
                <w:sz w:val="20"/>
                <w:szCs w:val="20"/>
              </w:rPr>
            </w:pPr>
            <w:r w:rsidRPr="00B62F66">
              <w:rPr>
                <w:sz w:val="20"/>
                <w:szCs w:val="20"/>
              </w:rPr>
              <w:t>Avant restitutions</w:t>
            </w:r>
          </w:p>
        </w:tc>
      </w:tr>
    </w:tbl>
    <w:p w14:paraId="63536D0A" w14:textId="77777777" w:rsidR="00414B6B" w:rsidRDefault="00414B6B" w:rsidP="003A7507">
      <w:pPr>
        <w:rPr>
          <w:rFonts w:ascii="Calibri" w:hAnsi="Calibri"/>
          <w:b/>
          <w:sz w:val="22"/>
          <w:szCs w:val="22"/>
          <w:u w:val="single"/>
        </w:rPr>
      </w:pPr>
    </w:p>
    <w:p w14:paraId="149B0105" w14:textId="77777777" w:rsidR="003A0700" w:rsidRPr="00D15F32" w:rsidRDefault="003A0700" w:rsidP="001D27F6">
      <w:pPr>
        <w:rPr>
          <w:rFonts w:ascii="Calibri" w:hAnsi="Calibri"/>
          <w:sz w:val="22"/>
          <w:szCs w:val="22"/>
        </w:rPr>
      </w:pPr>
    </w:p>
    <w:p w14:paraId="1982EB1F" w14:textId="56F1A57F" w:rsidR="001D27F6" w:rsidRPr="00B62F66" w:rsidRDefault="006D4B2A">
      <w:pPr>
        <w:numPr>
          <w:ilvl w:val="0"/>
          <w:numId w:val="1"/>
        </w:numPr>
        <w:shd w:val="clear" w:color="auto" w:fill="E6E6E6"/>
        <w:tabs>
          <w:tab w:val="clear" w:pos="720"/>
          <w:tab w:val="num" w:pos="180"/>
        </w:tabs>
        <w:ind w:left="180"/>
        <w:rPr>
          <w:rFonts w:eastAsia="Arial Unicode MS"/>
          <w:b/>
          <w:sz w:val="22"/>
          <w:szCs w:val="22"/>
          <w:lang w:eastAsia="en-US"/>
        </w:rPr>
      </w:pPr>
      <w:r w:rsidRPr="00B62F66">
        <w:rPr>
          <w:rFonts w:eastAsia="Arial Unicode MS"/>
          <w:b/>
          <w:sz w:val="22"/>
          <w:szCs w:val="22"/>
          <w:lang w:eastAsia="en-US"/>
        </w:rPr>
        <w:t>Expert</w:t>
      </w:r>
      <w:r w:rsidR="0047117E" w:rsidRPr="00B62F66">
        <w:rPr>
          <w:rFonts w:eastAsia="Arial Unicode MS"/>
          <w:b/>
          <w:sz w:val="22"/>
          <w:szCs w:val="22"/>
          <w:lang w:eastAsia="en-US"/>
        </w:rPr>
        <w:t xml:space="preserve">ise </w:t>
      </w:r>
      <w:r w:rsidR="002C6EDB" w:rsidRPr="00B62F66">
        <w:rPr>
          <w:rFonts w:eastAsia="Arial Unicode MS"/>
          <w:b/>
          <w:sz w:val="22"/>
          <w:szCs w:val="22"/>
          <w:lang w:eastAsia="en-US"/>
        </w:rPr>
        <w:t>et profil</w:t>
      </w:r>
      <w:r w:rsidR="001D27F6" w:rsidRPr="00B62F66">
        <w:rPr>
          <w:rFonts w:eastAsia="Arial Unicode MS"/>
          <w:b/>
          <w:sz w:val="22"/>
          <w:szCs w:val="22"/>
          <w:lang w:eastAsia="en-US"/>
        </w:rPr>
        <w:t xml:space="preserve"> demandé</w:t>
      </w:r>
      <w:r w:rsidR="002C6EDB" w:rsidRPr="00B62F66">
        <w:rPr>
          <w:rFonts w:eastAsia="Arial Unicode MS"/>
          <w:b/>
          <w:sz w:val="22"/>
          <w:szCs w:val="22"/>
          <w:lang w:eastAsia="en-US"/>
        </w:rPr>
        <w:t>s</w:t>
      </w:r>
    </w:p>
    <w:p w14:paraId="4E82B09E" w14:textId="77777777" w:rsidR="001441C8" w:rsidRPr="00B62F66" w:rsidRDefault="001441C8" w:rsidP="00C85939">
      <w:pPr>
        <w:ind w:left="540"/>
        <w:jc w:val="both"/>
        <w:rPr>
          <w:rFonts w:eastAsia="Arial Unicode MS"/>
          <w:b/>
          <w:sz w:val="22"/>
          <w:szCs w:val="22"/>
          <w:lang w:eastAsia="en-US"/>
        </w:rPr>
      </w:pPr>
    </w:p>
    <w:p w14:paraId="56FF0DA7" w14:textId="7570E13B" w:rsidR="003A7185" w:rsidRPr="00B62F66" w:rsidRDefault="00B66BE6">
      <w:pPr>
        <w:numPr>
          <w:ilvl w:val="1"/>
          <w:numId w:val="1"/>
        </w:numPr>
        <w:tabs>
          <w:tab w:val="clear" w:pos="1440"/>
          <w:tab w:val="num" w:pos="900"/>
        </w:tabs>
        <w:ind w:left="900"/>
        <w:jc w:val="both"/>
        <w:rPr>
          <w:rFonts w:eastAsia="Arial Unicode MS"/>
          <w:b/>
          <w:sz w:val="22"/>
          <w:szCs w:val="22"/>
          <w:lang w:eastAsia="en-US"/>
        </w:rPr>
      </w:pPr>
      <w:r w:rsidRPr="00B62F66">
        <w:rPr>
          <w:rFonts w:eastAsia="Arial Unicode MS"/>
          <w:b/>
          <w:sz w:val="22"/>
          <w:szCs w:val="22"/>
          <w:lang w:eastAsia="en-US"/>
        </w:rPr>
        <w:t>Nombre d’</w:t>
      </w:r>
      <w:r w:rsidR="006D4B2A" w:rsidRPr="00B62F66">
        <w:rPr>
          <w:rFonts w:eastAsia="Arial Unicode MS"/>
          <w:b/>
          <w:sz w:val="22"/>
          <w:szCs w:val="22"/>
          <w:lang w:eastAsia="en-US"/>
        </w:rPr>
        <w:t>expert</w:t>
      </w:r>
      <w:r w:rsidRPr="00B62F66">
        <w:rPr>
          <w:rFonts w:eastAsia="Arial Unicode MS"/>
          <w:b/>
          <w:sz w:val="22"/>
          <w:szCs w:val="22"/>
          <w:lang w:eastAsia="en-US"/>
        </w:rPr>
        <w:t>s</w:t>
      </w:r>
      <w:r w:rsidR="00BB0137" w:rsidRPr="00B62F66">
        <w:rPr>
          <w:rFonts w:eastAsia="Arial Unicode MS"/>
          <w:b/>
          <w:sz w:val="22"/>
          <w:szCs w:val="22"/>
          <w:lang w:eastAsia="en-US"/>
        </w:rPr>
        <w:t xml:space="preserve"> par mission</w:t>
      </w:r>
      <w:r w:rsidRPr="00B62F66">
        <w:rPr>
          <w:rFonts w:eastAsia="Arial Unicode MS"/>
          <w:b/>
          <w:sz w:val="22"/>
          <w:szCs w:val="22"/>
          <w:lang w:eastAsia="en-US"/>
        </w:rPr>
        <w:t> :</w:t>
      </w:r>
      <w:r w:rsidR="00EC3375" w:rsidRPr="00B62F66">
        <w:rPr>
          <w:rFonts w:eastAsia="Arial Unicode MS"/>
          <w:sz w:val="22"/>
          <w:szCs w:val="22"/>
          <w:lang w:eastAsia="en-US"/>
        </w:rPr>
        <w:t xml:space="preserve"> </w:t>
      </w:r>
      <w:r w:rsidR="00414B6B" w:rsidRPr="00B62F66">
        <w:rPr>
          <w:rFonts w:eastAsia="Arial Unicode MS"/>
          <w:sz w:val="22"/>
          <w:szCs w:val="22"/>
          <w:lang w:eastAsia="en-US"/>
        </w:rPr>
        <w:t>01</w:t>
      </w:r>
    </w:p>
    <w:p w14:paraId="11BBB708" w14:textId="6BA9B94D" w:rsidR="003A7185" w:rsidRPr="00B62F66" w:rsidRDefault="00B66BE6">
      <w:pPr>
        <w:numPr>
          <w:ilvl w:val="1"/>
          <w:numId w:val="1"/>
        </w:numPr>
        <w:tabs>
          <w:tab w:val="clear" w:pos="1440"/>
          <w:tab w:val="num" w:pos="900"/>
        </w:tabs>
        <w:ind w:left="900"/>
        <w:jc w:val="both"/>
        <w:rPr>
          <w:rFonts w:eastAsia="Arial Unicode MS"/>
          <w:b/>
          <w:sz w:val="22"/>
          <w:szCs w:val="22"/>
          <w:lang w:eastAsia="en-US"/>
        </w:rPr>
      </w:pPr>
      <w:r w:rsidRPr="00B62F66">
        <w:rPr>
          <w:rFonts w:eastAsia="Arial Unicode MS"/>
          <w:b/>
          <w:sz w:val="22"/>
          <w:szCs w:val="22"/>
          <w:lang w:eastAsia="en-US"/>
        </w:rPr>
        <w:t>Profil d</w:t>
      </w:r>
      <w:r w:rsidR="00577B77">
        <w:rPr>
          <w:rFonts w:eastAsia="Arial Unicode MS"/>
          <w:b/>
          <w:sz w:val="22"/>
          <w:szCs w:val="22"/>
          <w:lang w:eastAsia="en-US"/>
        </w:rPr>
        <w:t>u</w:t>
      </w:r>
      <w:r w:rsidR="00B62F66" w:rsidRPr="00B62F66">
        <w:rPr>
          <w:rFonts w:eastAsia="Arial Unicode MS"/>
          <w:b/>
          <w:sz w:val="22"/>
          <w:szCs w:val="22"/>
          <w:lang w:eastAsia="en-US"/>
        </w:rPr>
        <w:t xml:space="preserve"> cabinet</w:t>
      </w:r>
      <w:r w:rsidR="00C90734" w:rsidRPr="00B62F66">
        <w:rPr>
          <w:rFonts w:eastAsia="Arial Unicode MS"/>
          <w:b/>
          <w:sz w:val="22"/>
          <w:szCs w:val="22"/>
          <w:lang w:eastAsia="en-US"/>
        </w:rPr>
        <w:t xml:space="preserve"> </w:t>
      </w:r>
      <w:r w:rsidR="00577B77">
        <w:rPr>
          <w:rFonts w:eastAsia="Arial Unicode MS"/>
          <w:b/>
          <w:sz w:val="22"/>
          <w:szCs w:val="22"/>
          <w:lang w:eastAsia="en-US"/>
        </w:rPr>
        <w:t xml:space="preserve">et </w:t>
      </w:r>
      <w:r w:rsidR="00C90734" w:rsidRPr="00B62F66">
        <w:rPr>
          <w:rFonts w:eastAsia="Arial Unicode MS"/>
          <w:b/>
          <w:sz w:val="22"/>
          <w:szCs w:val="22"/>
          <w:lang w:eastAsia="en-US"/>
        </w:rPr>
        <w:t xml:space="preserve">des </w:t>
      </w:r>
      <w:r w:rsidR="006D4B2A" w:rsidRPr="00B62F66">
        <w:rPr>
          <w:rFonts w:eastAsia="Arial Unicode MS"/>
          <w:b/>
          <w:sz w:val="22"/>
          <w:szCs w:val="22"/>
          <w:lang w:eastAsia="en-US"/>
        </w:rPr>
        <w:t>expert</w:t>
      </w:r>
      <w:r w:rsidR="00C90734" w:rsidRPr="00B62F66">
        <w:rPr>
          <w:rFonts w:eastAsia="Arial Unicode MS"/>
          <w:b/>
          <w:sz w:val="22"/>
          <w:szCs w:val="22"/>
          <w:lang w:eastAsia="en-US"/>
        </w:rPr>
        <w:t>s désignés en charge de l’exécution du contrat</w:t>
      </w:r>
    </w:p>
    <w:p w14:paraId="69696EF1" w14:textId="77777777" w:rsidR="003A7185" w:rsidRPr="00B62F66" w:rsidRDefault="003A7185" w:rsidP="00C85939">
      <w:pPr>
        <w:jc w:val="both"/>
        <w:rPr>
          <w:sz w:val="22"/>
          <w:szCs w:val="22"/>
          <w:u w:val="single"/>
        </w:rPr>
      </w:pPr>
    </w:p>
    <w:p w14:paraId="419228A1" w14:textId="77777777" w:rsidR="005859A2" w:rsidRPr="00B62F66" w:rsidRDefault="005859A2" w:rsidP="00414B6B">
      <w:pPr>
        <w:pStyle w:val="Titre4"/>
        <w:jc w:val="both"/>
        <w:rPr>
          <w:rFonts w:ascii="Times New Roman" w:hAnsi="Times New Roman" w:cs="Times New Roman"/>
          <w:b w:val="0"/>
          <w:bCs w:val="0"/>
          <w:i w:val="0"/>
          <w:iCs w:val="0"/>
          <w:szCs w:val="22"/>
        </w:rPr>
      </w:pPr>
      <w:r w:rsidRPr="00B62F66">
        <w:rPr>
          <w:rFonts w:ascii="Times New Roman" w:hAnsi="Times New Roman" w:cs="Times New Roman"/>
          <w:i w:val="0"/>
          <w:iCs w:val="0"/>
          <w:szCs w:val="22"/>
        </w:rPr>
        <w:t>Qualifications académiques</w:t>
      </w:r>
    </w:p>
    <w:p w14:paraId="1F2D816F" w14:textId="77777777" w:rsidR="005859A2" w:rsidRPr="00B62F66" w:rsidRDefault="005859A2">
      <w:pPr>
        <w:pStyle w:val="NormalWeb"/>
        <w:numPr>
          <w:ilvl w:val="0"/>
          <w:numId w:val="6"/>
        </w:numPr>
        <w:jc w:val="both"/>
        <w:rPr>
          <w:sz w:val="22"/>
          <w:szCs w:val="22"/>
        </w:rPr>
      </w:pPr>
      <w:r w:rsidRPr="00B62F66">
        <w:rPr>
          <w:sz w:val="22"/>
          <w:szCs w:val="22"/>
        </w:rPr>
        <w:t>Diplôme universitaire de niveau Master ou Doctorat en droit public, économie de la santé, sciences sociales, politiques publiques, santé publique ou tout autre domaine pertinent pour l’évaluation des politiques de santé et sociales.</w:t>
      </w:r>
    </w:p>
    <w:p w14:paraId="2FCB3ABE" w14:textId="77777777" w:rsidR="005859A2" w:rsidRPr="00B62F66" w:rsidRDefault="005859A2">
      <w:pPr>
        <w:pStyle w:val="NormalWeb"/>
        <w:numPr>
          <w:ilvl w:val="0"/>
          <w:numId w:val="6"/>
        </w:numPr>
        <w:jc w:val="both"/>
        <w:rPr>
          <w:sz w:val="22"/>
          <w:szCs w:val="22"/>
        </w:rPr>
      </w:pPr>
      <w:r w:rsidRPr="00B62F66">
        <w:rPr>
          <w:sz w:val="22"/>
          <w:szCs w:val="22"/>
        </w:rPr>
        <w:t>Formation complémentaire en suivi-évaluation, statistiques, gestion des systèmes de santé ou en finances publiques constitue un atout.</w:t>
      </w:r>
    </w:p>
    <w:p w14:paraId="22996670" w14:textId="77777777" w:rsidR="005859A2" w:rsidRPr="00B62F66" w:rsidRDefault="005859A2" w:rsidP="00414B6B">
      <w:pPr>
        <w:pStyle w:val="Titre4"/>
        <w:jc w:val="both"/>
        <w:rPr>
          <w:rFonts w:ascii="Times New Roman" w:hAnsi="Times New Roman" w:cs="Times New Roman"/>
          <w:bCs w:val="0"/>
          <w:i w:val="0"/>
          <w:iCs w:val="0"/>
          <w:szCs w:val="22"/>
        </w:rPr>
      </w:pPr>
      <w:r w:rsidRPr="00B62F66">
        <w:rPr>
          <w:rFonts w:ascii="Times New Roman" w:hAnsi="Times New Roman" w:cs="Times New Roman"/>
          <w:bCs w:val="0"/>
          <w:i w:val="0"/>
          <w:iCs w:val="0"/>
          <w:szCs w:val="22"/>
        </w:rPr>
        <w:t>Expérience professionnelle</w:t>
      </w:r>
    </w:p>
    <w:p w14:paraId="71FBA13D" w14:textId="0749CA08" w:rsidR="005859A2" w:rsidRPr="00B62F66" w:rsidRDefault="005859A2">
      <w:pPr>
        <w:pStyle w:val="NormalWeb"/>
        <w:numPr>
          <w:ilvl w:val="0"/>
          <w:numId w:val="7"/>
        </w:numPr>
        <w:jc w:val="both"/>
        <w:rPr>
          <w:sz w:val="22"/>
          <w:szCs w:val="22"/>
        </w:rPr>
      </w:pPr>
      <w:r w:rsidRPr="00B62F66">
        <w:rPr>
          <w:sz w:val="22"/>
          <w:szCs w:val="22"/>
        </w:rPr>
        <w:t xml:space="preserve">Expérience confirmée (au moins 10 ans) dans l’évaluation des politiques publiques dans le domaine de la santé ou du social, de préférence au sein d’organismes d’inspection ou de contrôle (ex. </w:t>
      </w:r>
      <w:r w:rsidR="006334BD" w:rsidRPr="00B62F66">
        <w:rPr>
          <w:sz w:val="22"/>
          <w:szCs w:val="22"/>
        </w:rPr>
        <w:t>IGAS</w:t>
      </w:r>
      <w:r w:rsidRPr="00B62F66">
        <w:rPr>
          <w:sz w:val="22"/>
          <w:szCs w:val="22"/>
        </w:rPr>
        <w:t>, Cour des comptes, inspection générale d’un ministère).</w:t>
      </w:r>
    </w:p>
    <w:p w14:paraId="5D659719" w14:textId="77777777" w:rsidR="005859A2" w:rsidRPr="00B62F66" w:rsidRDefault="005859A2">
      <w:pPr>
        <w:pStyle w:val="NormalWeb"/>
        <w:numPr>
          <w:ilvl w:val="0"/>
          <w:numId w:val="7"/>
        </w:numPr>
        <w:jc w:val="both"/>
        <w:rPr>
          <w:sz w:val="22"/>
          <w:szCs w:val="22"/>
        </w:rPr>
      </w:pPr>
      <w:r w:rsidRPr="00B62F66">
        <w:rPr>
          <w:sz w:val="22"/>
          <w:szCs w:val="22"/>
        </w:rPr>
        <w:t>Références solides en matière de conception, calcul et analyse d’indicateurs de performance dans des programmes nationaux ou internationaux.</w:t>
      </w:r>
    </w:p>
    <w:p w14:paraId="1D627054" w14:textId="77777777" w:rsidR="005859A2" w:rsidRPr="00B62F66" w:rsidRDefault="005859A2">
      <w:pPr>
        <w:pStyle w:val="NormalWeb"/>
        <w:numPr>
          <w:ilvl w:val="0"/>
          <w:numId w:val="7"/>
        </w:numPr>
        <w:jc w:val="both"/>
        <w:rPr>
          <w:sz w:val="22"/>
          <w:szCs w:val="22"/>
        </w:rPr>
      </w:pPr>
      <w:r w:rsidRPr="00B62F66">
        <w:rPr>
          <w:sz w:val="22"/>
          <w:szCs w:val="22"/>
        </w:rPr>
        <w:t>Participation avérée à des missions d’évaluation indépendante en lien avec des partenaires techniques et financiers (AFD, UE, Banque mondiale, OMS, etc.).</w:t>
      </w:r>
    </w:p>
    <w:p w14:paraId="647BFC9D" w14:textId="77777777" w:rsidR="005859A2" w:rsidRPr="00B62F66" w:rsidRDefault="005859A2">
      <w:pPr>
        <w:pStyle w:val="NormalWeb"/>
        <w:numPr>
          <w:ilvl w:val="0"/>
          <w:numId w:val="7"/>
        </w:numPr>
        <w:jc w:val="both"/>
        <w:rPr>
          <w:sz w:val="22"/>
          <w:szCs w:val="22"/>
        </w:rPr>
      </w:pPr>
      <w:r w:rsidRPr="00B62F66">
        <w:rPr>
          <w:sz w:val="22"/>
          <w:szCs w:val="22"/>
        </w:rPr>
        <w:t>Expérience dans des projets de coopération internationale, idéalement en Afrique subsaharienne ou dans des contextes comparables.</w:t>
      </w:r>
    </w:p>
    <w:p w14:paraId="0396F26C" w14:textId="77777777" w:rsidR="005859A2" w:rsidRPr="00B62F66" w:rsidRDefault="005859A2">
      <w:pPr>
        <w:pStyle w:val="NormalWeb"/>
        <w:numPr>
          <w:ilvl w:val="0"/>
          <w:numId w:val="7"/>
        </w:numPr>
        <w:jc w:val="both"/>
        <w:rPr>
          <w:sz w:val="22"/>
          <w:szCs w:val="22"/>
        </w:rPr>
      </w:pPr>
      <w:r w:rsidRPr="00B62F66">
        <w:rPr>
          <w:sz w:val="22"/>
          <w:szCs w:val="22"/>
        </w:rPr>
        <w:t>Connaissance du fonctionnement des financements budgétaires programmatiques et des mécanismes de suivi associés.</w:t>
      </w:r>
    </w:p>
    <w:p w14:paraId="50DED57A" w14:textId="77777777" w:rsidR="005859A2" w:rsidRPr="00B62F66" w:rsidRDefault="005859A2" w:rsidP="00414B6B">
      <w:pPr>
        <w:pStyle w:val="Titre4"/>
        <w:jc w:val="both"/>
        <w:rPr>
          <w:rFonts w:ascii="Times New Roman" w:hAnsi="Times New Roman" w:cs="Times New Roman"/>
          <w:bCs w:val="0"/>
          <w:i w:val="0"/>
          <w:iCs w:val="0"/>
          <w:szCs w:val="22"/>
        </w:rPr>
      </w:pPr>
      <w:r w:rsidRPr="00B62F66">
        <w:rPr>
          <w:rFonts w:ascii="Times New Roman" w:hAnsi="Times New Roman" w:cs="Times New Roman"/>
          <w:bCs w:val="0"/>
          <w:i w:val="0"/>
          <w:iCs w:val="0"/>
          <w:szCs w:val="22"/>
        </w:rPr>
        <w:t>Compétences techniques</w:t>
      </w:r>
    </w:p>
    <w:p w14:paraId="0FB084A9" w14:textId="77777777" w:rsidR="005859A2" w:rsidRPr="00B62F66" w:rsidRDefault="005859A2">
      <w:pPr>
        <w:pStyle w:val="NormalWeb"/>
        <w:numPr>
          <w:ilvl w:val="0"/>
          <w:numId w:val="8"/>
        </w:numPr>
        <w:jc w:val="both"/>
        <w:rPr>
          <w:sz w:val="22"/>
          <w:szCs w:val="22"/>
        </w:rPr>
      </w:pPr>
      <w:r w:rsidRPr="00B62F66">
        <w:rPr>
          <w:sz w:val="22"/>
          <w:szCs w:val="22"/>
        </w:rPr>
        <w:t>Maîtrise des outils et méthodes de suivi-évaluation (cadres logiques, indicateurs SMART, collecte et analyse de données quantitatives et qualitatives).</w:t>
      </w:r>
    </w:p>
    <w:p w14:paraId="01DE0AFC" w14:textId="3D55CAFB" w:rsidR="005859A2" w:rsidRPr="00B62F66" w:rsidRDefault="006D4B2A">
      <w:pPr>
        <w:pStyle w:val="NormalWeb"/>
        <w:numPr>
          <w:ilvl w:val="0"/>
          <w:numId w:val="8"/>
        </w:numPr>
        <w:jc w:val="both"/>
        <w:rPr>
          <w:sz w:val="22"/>
          <w:szCs w:val="22"/>
        </w:rPr>
      </w:pPr>
      <w:r w:rsidRPr="00B62F66">
        <w:rPr>
          <w:sz w:val="22"/>
          <w:szCs w:val="22"/>
        </w:rPr>
        <w:t>Expert</w:t>
      </w:r>
      <w:r w:rsidR="005859A2" w:rsidRPr="00B62F66">
        <w:rPr>
          <w:sz w:val="22"/>
          <w:szCs w:val="22"/>
        </w:rPr>
        <w:t>ise en analyse institutionnelle et réglementaire des systèmes de santé.</w:t>
      </w:r>
    </w:p>
    <w:p w14:paraId="3E5812E1" w14:textId="77777777" w:rsidR="005859A2" w:rsidRPr="00B62F66" w:rsidRDefault="005859A2">
      <w:pPr>
        <w:pStyle w:val="NormalWeb"/>
        <w:numPr>
          <w:ilvl w:val="0"/>
          <w:numId w:val="8"/>
        </w:numPr>
        <w:jc w:val="both"/>
        <w:rPr>
          <w:sz w:val="22"/>
          <w:szCs w:val="22"/>
        </w:rPr>
      </w:pPr>
      <w:r w:rsidRPr="00B62F66">
        <w:rPr>
          <w:sz w:val="22"/>
          <w:szCs w:val="22"/>
        </w:rPr>
        <w:t>Solides compétences en statistiques appliquées et en analyse de données pour le calcul et la validation des indicateurs.</w:t>
      </w:r>
    </w:p>
    <w:p w14:paraId="53D91775" w14:textId="77777777" w:rsidR="005859A2" w:rsidRPr="00B62F66" w:rsidRDefault="005859A2">
      <w:pPr>
        <w:pStyle w:val="NormalWeb"/>
        <w:numPr>
          <w:ilvl w:val="0"/>
          <w:numId w:val="8"/>
        </w:numPr>
        <w:jc w:val="both"/>
        <w:rPr>
          <w:sz w:val="22"/>
          <w:szCs w:val="22"/>
        </w:rPr>
      </w:pPr>
      <w:r w:rsidRPr="00B62F66">
        <w:rPr>
          <w:sz w:val="22"/>
          <w:szCs w:val="22"/>
        </w:rPr>
        <w:t>Capacité à produire des rapports clairs, argumentés et opérationnels, adaptés au dialogue de politique publique.</w:t>
      </w:r>
    </w:p>
    <w:p w14:paraId="4A65CC8E" w14:textId="77777777" w:rsidR="005859A2" w:rsidRPr="00B62F66" w:rsidRDefault="005859A2" w:rsidP="00414B6B">
      <w:pPr>
        <w:pStyle w:val="Titre4"/>
        <w:jc w:val="both"/>
        <w:rPr>
          <w:rFonts w:ascii="Times New Roman" w:hAnsi="Times New Roman" w:cs="Times New Roman"/>
          <w:bCs w:val="0"/>
          <w:i w:val="0"/>
          <w:iCs w:val="0"/>
          <w:szCs w:val="22"/>
        </w:rPr>
      </w:pPr>
      <w:r w:rsidRPr="00B62F66">
        <w:rPr>
          <w:rFonts w:ascii="Times New Roman" w:hAnsi="Times New Roman" w:cs="Times New Roman"/>
          <w:bCs w:val="0"/>
          <w:i w:val="0"/>
          <w:iCs w:val="0"/>
          <w:szCs w:val="22"/>
        </w:rPr>
        <w:lastRenderedPageBreak/>
        <w:t>Compétences personnelles</w:t>
      </w:r>
    </w:p>
    <w:p w14:paraId="3E653063" w14:textId="77777777" w:rsidR="005859A2" w:rsidRPr="00B62F66" w:rsidRDefault="005859A2">
      <w:pPr>
        <w:pStyle w:val="NormalWeb"/>
        <w:numPr>
          <w:ilvl w:val="0"/>
          <w:numId w:val="9"/>
        </w:numPr>
        <w:jc w:val="both"/>
        <w:rPr>
          <w:sz w:val="22"/>
          <w:szCs w:val="22"/>
        </w:rPr>
      </w:pPr>
      <w:r w:rsidRPr="00B62F66">
        <w:rPr>
          <w:sz w:val="22"/>
          <w:szCs w:val="22"/>
        </w:rPr>
        <w:t>Excellentes capacités d’analyse, de synthèse et de rédaction.</w:t>
      </w:r>
    </w:p>
    <w:p w14:paraId="4AFE26C6" w14:textId="77777777" w:rsidR="005859A2" w:rsidRPr="00B62F66" w:rsidRDefault="005859A2">
      <w:pPr>
        <w:pStyle w:val="NormalWeb"/>
        <w:numPr>
          <w:ilvl w:val="0"/>
          <w:numId w:val="9"/>
        </w:numPr>
        <w:jc w:val="both"/>
        <w:rPr>
          <w:sz w:val="22"/>
          <w:szCs w:val="22"/>
        </w:rPr>
      </w:pPr>
      <w:r w:rsidRPr="00B62F66">
        <w:rPr>
          <w:sz w:val="22"/>
          <w:szCs w:val="22"/>
        </w:rPr>
        <w:t>Grande rigueur, sens de l’organisation et autonomie dans la conduite de missions complexes.</w:t>
      </w:r>
    </w:p>
    <w:p w14:paraId="1322477C" w14:textId="30031BE9" w:rsidR="005859A2" w:rsidRPr="00B62F66" w:rsidRDefault="005859A2">
      <w:pPr>
        <w:pStyle w:val="NormalWeb"/>
        <w:numPr>
          <w:ilvl w:val="0"/>
          <w:numId w:val="9"/>
        </w:numPr>
        <w:jc w:val="both"/>
        <w:rPr>
          <w:sz w:val="22"/>
          <w:szCs w:val="22"/>
        </w:rPr>
      </w:pPr>
      <w:r w:rsidRPr="00B62F66">
        <w:rPr>
          <w:sz w:val="22"/>
          <w:szCs w:val="22"/>
        </w:rPr>
        <w:t xml:space="preserve">Aisance relationnelle et diplomatie pour travailler avec une diversité d’acteurs (administrations, bailleurs, </w:t>
      </w:r>
      <w:r w:rsidR="006D4B2A" w:rsidRPr="00B62F66">
        <w:rPr>
          <w:sz w:val="22"/>
          <w:szCs w:val="22"/>
        </w:rPr>
        <w:t>expert</w:t>
      </w:r>
      <w:r w:rsidRPr="00B62F66">
        <w:rPr>
          <w:sz w:val="22"/>
          <w:szCs w:val="22"/>
        </w:rPr>
        <w:t>s internationaux et nationaux).</w:t>
      </w:r>
    </w:p>
    <w:p w14:paraId="251D1373" w14:textId="77777777" w:rsidR="005859A2" w:rsidRPr="00B62F66" w:rsidRDefault="005859A2">
      <w:pPr>
        <w:pStyle w:val="NormalWeb"/>
        <w:numPr>
          <w:ilvl w:val="0"/>
          <w:numId w:val="9"/>
        </w:numPr>
        <w:jc w:val="both"/>
        <w:rPr>
          <w:sz w:val="22"/>
          <w:szCs w:val="22"/>
        </w:rPr>
      </w:pPr>
      <w:r w:rsidRPr="00B62F66">
        <w:rPr>
          <w:sz w:val="22"/>
          <w:szCs w:val="22"/>
        </w:rPr>
        <w:t>Capacité à animer des réunions de restitution et à vulgariser des résultats techniques auprès de décideurs politiques.</w:t>
      </w:r>
    </w:p>
    <w:p w14:paraId="37A75035" w14:textId="6CF02549" w:rsidR="005859A2" w:rsidRPr="00B62F66" w:rsidRDefault="005859A2">
      <w:pPr>
        <w:pStyle w:val="NormalWeb"/>
        <w:numPr>
          <w:ilvl w:val="0"/>
          <w:numId w:val="9"/>
        </w:numPr>
        <w:jc w:val="both"/>
        <w:rPr>
          <w:sz w:val="22"/>
          <w:szCs w:val="22"/>
        </w:rPr>
      </w:pPr>
      <w:r w:rsidRPr="00B62F66">
        <w:rPr>
          <w:sz w:val="22"/>
          <w:szCs w:val="22"/>
        </w:rPr>
        <w:t>Maîtrise du français (oral et écrit) ; la pratique de l’anglais constitue un atout.</w:t>
      </w:r>
    </w:p>
    <w:p w14:paraId="0CDDF696" w14:textId="77777777" w:rsidR="00934199" w:rsidRPr="00B62F66" w:rsidRDefault="00934199" w:rsidP="00E167A2">
      <w:pPr>
        <w:rPr>
          <w:sz w:val="22"/>
          <w:szCs w:val="22"/>
        </w:rPr>
      </w:pPr>
    </w:p>
    <w:p w14:paraId="3A498321" w14:textId="3AD92B5F" w:rsidR="00E167A2" w:rsidRPr="00B62F66" w:rsidRDefault="006334BD">
      <w:pPr>
        <w:numPr>
          <w:ilvl w:val="0"/>
          <w:numId w:val="1"/>
        </w:numPr>
        <w:shd w:val="clear" w:color="auto" w:fill="E6E6E6"/>
        <w:tabs>
          <w:tab w:val="clear" w:pos="720"/>
          <w:tab w:val="num" w:pos="180"/>
        </w:tabs>
        <w:ind w:left="180"/>
        <w:rPr>
          <w:rFonts w:eastAsia="Arial Unicode MS"/>
          <w:b/>
          <w:sz w:val="22"/>
          <w:szCs w:val="22"/>
          <w:lang w:eastAsia="en-US"/>
        </w:rPr>
      </w:pPr>
      <w:r w:rsidRPr="00B62F66">
        <w:rPr>
          <w:rFonts w:eastAsia="Arial Unicode MS"/>
          <w:b/>
          <w:sz w:val="22"/>
          <w:szCs w:val="22"/>
          <w:lang w:eastAsia="en-US"/>
        </w:rPr>
        <w:t>Modalités de rapportage</w:t>
      </w:r>
    </w:p>
    <w:p w14:paraId="7140B8A5" w14:textId="1092C97D" w:rsidR="006334BD" w:rsidRPr="00B62F66" w:rsidRDefault="006334BD" w:rsidP="006334BD">
      <w:pPr>
        <w:pStyle w:val="Paragraphedeliste"/>
        <w:shd w:val="clear" w:color="auto" w:fill="FFFFFF"/>
        <w:ind w:left="180"/>
        <w:jc w:val="both"/>
        <w:rPr>
          <w:sz w:val="22"/>
          <w:szCs w:val="22"/>
        </w:rPr>
      </w:pPr>
      <w:r w:rsidRPr="00B62F66">
        <w:rPr>
          <w:sz w:val="22"/>
          <w:szCs w:val="22"/>
        </w:rPr>
        <w:t xml:space="preserve">À l’issue de chaque mission, </w:t>
      </w:r>
      <w:r w:rsidR="00B62F66" w:rsidRPr="00B62F66">
        <w:rPr>
          <w:sz w:val="22"/>
          <w:szCs w:val="22"/>
        </w:rPr>
        <w:t>le cabinet</w:t>
      </w:r>
      <w:r w:rsidRPr="00B62F66">
        <w:rPr>
          <w:sz w:val="22"/>
          <w:szCs w:val="22"/>
        </w:rPr>
        <w:t xml:space="preserve"> produira :</w:t>
      </w:r>
    </w:p>
    <w:p w14:paraId="5AF898A9" w14:textId="77777777" w:rsidR="006334BD" w:rsidRPr="00B62F66" w:rsidRDefault="006334BD" w:rsidP="006334BD">
      <w:pPr>
        <w:pStyle w:val="Paragraphedeliste"/>
        <w:shd w:val="clear" w:color="auto" w:fill="FFFFFF"/>
        <w:ind w:left="180"/>
        <w:jc w:val="both"/>
        <w:rPr>
          <w:sz w:val="22"/>
          <w:szCs w:val="22"/>
        </w:rPr>
      </w:pPr>
    </w:p>
    <w:p w14:paraId="0E057C04" w14:textId="77777777" w:rsidR="006334BD" w:rsidRPr="00B62F66" w:rsidRDefault="006334BD">
      <w:pPr>
        <w:pStyle w:val="Paragraphedeliste"/>
        <w:numPr>
          <w:ilvl w:val="1"/>
          <w:numId w:val="22"/>
        </w:numPr>
        <w:shd w:val="clear" w:color="auto" w:fill="FFFFFF"/>
        <w:jc w:val="both"/>
        <w:rPr>
          <w:sz w:val="22"/>
          <w:szCs w:val="22"/>
        </w:rPr>
      </w:pPr>
      <w:r w:rsidRPr="00B62F66">
        <w:rPr>
          <w:sz w:val="22"/>
          <w:szCs w:val="22"/>
        </w:rPr>
        <w:t>un rapport de mission au format Word ;</w:t>
      </w:r>
    </w:p>
    <w:p w14:paraId="03735928" w14:textId="77777777" w:rsidR="006334BD" w:rsidRPr="00B62F66" w:rsidRDefault="006334BD">
      <w:pPr>
        <w:pStyle w:val="Paragraphedeliste"/>
        <w:numPr>
          <w:ilvl w:val="1"/>
          <w:numId w:val="22"/>
        </w:numPr>
        <w:shd w:val="clear" w:color="auto" w:fill="FFFFFF"/>
        <w:jc w:val="both"/>
        <w:rPr>
          <w:sz w:val="22"/>
          <w:szCs w:val="22"/>
        </w:rPr>
      </w:pPr>
      <w:r w:rsidRPr="00B62F66">
        <w:rPr>
          <w:sz w:val="22"/>
          <w:szCs w:val="22"/>
        </w:rPr>
        <w:t>un support de présentation pour restitution ;</w:t>
      </w:r>
    </w:p>
    <w:p w14:paraId="7B3013BE" w14:textId="77777777" w:rsidR="006334BD" w:rsidRPr="00B62F66" w:rsidRDefault="006334BD">
      <w:pPr>
        <w:pStyle w:val="Paragraphedeliste"/>
        <w:numPr>
          <w:ilvl w:val="1"/>
          <w:numId w:val="22"/>
        </w:numPr>
        <w:shd w:val="clear" w:color="auto" w:fill="FFFFFF"/>
        <w:jc w:val="both"/>
        <w:rPr>
          <w:sz w:val="22"/>
          <w:szCs w:val="22"/>
        </w:rPr>
      </w:pPr>
      <w:r w:rsidRPr="00B62F66">
        <w:rPr>
          <w:sz w:val="22"/>
          <w:szCs w:val="22"/>
        </w:rPr>
        <w:t>le cas échéant, une note courte à destination du cabinet ou des instances de pilotage.</w:t>
      </w:r>
    </w:p>
    <w:p w14:paraId="7E725369" w14:textId="77777777" w:rsidR="006334BD" w:rsidRPr="00B62F66" w:rsidRDefault="006334BD" w:rsidP="006334BD">
      <w:pPr>
        <w:pStyle w:val="Paragraphedeliste"/>
        <w:shd w:val="clear" w:color="auto" w:fill="FFFFFF"/>
        <w:ind w:left="180"/>
        <w:jc w:val="both"/>
        <w:rPr>
          <w:sz w:val="22"/>
          <w:szCs w:val="22"/>
        </w:rPr>
      </w:pPr>
    </w:p>
    <w:p w14:paraId="076F3203" w14:textId="24EFEC35" w:rsidR="00675133" w:rsidRPr="00B62F66" w:rsidRDefault="006334BD" w:rsidP="006334BD">
      <w:pPr>
        <w:pStyle w:val="Paragraphedeliste"/>
        <w:shd w:val="clear" w:color="auto" w:fill="FFFFFF"/>
        <w:ind w:left="180"/>
        <w:jc w:val="both"/>
        <w:rPr>
          <w:sz w:val="22"/>
          <w:szCs w:val="22"/>
        </w:rPr>
      </w:pPr>
      <w:r w:rsidRPr="00B62F66">
        <w:rPr>
          <w:sz w:val="22"/>
          <w:szCs w:val="22"/>
        </w:rPr>
        <w:t>Les livrables seront transmis à Expertise France pour back stopping avant validation finale et partage aux parties prenantes concernées.</w:t>
      </w:r>
      <w:r w:rsidR="00675133" w:rsidRPr="00B62F66">
        <w:rPr>
          <w:sz w:val="22"/>
          <w:szCs w:val="22"/>
        </w:rPr>
        <w:t> </w:t>
      </w:r>
    </w:p>
    <w:p w14:paraId="7C5DC987" w14:textId="77777777" w:rsidR="00675133" w:rsidRPr="00B62F66" w:rsidRDefault="00675133" w:rsidP="003A7507">
      <w:pPr>
        <w:jc w:val="both"/>
        <w:rPr>
          <w:rFonts w:eastAsia="Arial Unicode MS"/>
          <w:b/>
          <w:sz w:val="22"/>
          <w:szCs w:val="22"/>
          <w:lang w:eastAsia="en-US"/>
        </w:rPr>
      </w:pPr>
    </w:p>
    <w:p w14:paraId="7A8D169F" w14:textId="77777777" w:rsidR="003A7507" w:rsidRPr="00577B77" w:rsidRDefault="003A7507">
      <w:pPr>
        <w:numPr>
          <w:ilvl w:val="0"/>
          <w:numId w:val="1"/>
        </w:numPr>
        <w:shd w:val="clear" w:color="auto" w:fill="E6E6E6"/>
        <w:tabs>
          <w:tab w:val="clear" w:pos="720"/>
          <w:tab w:val="num" w:pos="180"/>
        </w:tabs>
        <w:ind w:left="180"/>
        <w:rPr>
          <w:rFonts w:eastAsia="Arial Unicode MS"/>
          <w:b/>
          <w:sz w:val="22"/>
          <w:szCs w:val="22"/>
          <w:lang w:eastAsia="en-US"/>
        </w:rPr>
      </w:pPr>
      <w:r w:rsidRPr="00577B77">
        <w:rPr>
          <w:rFonts w:eastAsia="Arial Unicode MS"/>
          <w:b/>
          <w:sz w:val="22"/>
          <w:szCs w:val="22"/>
          <w:lang w:eastAsia="en-US"/>
        </w:rPr>
        <w:t xml:space="preserve">Suivi-évaluation </w:t>
      </w:r>
    </w:p>
    <w:p w14:paraId="3B02A13D" w14:textId="2E862BA1" w:rsidR="003A7507" w:rsidRPr="00577B77" w:rsidRDefault="003A7507" w:rsidP="003A7507">
      <w:pPr>
        <w:jc w:val="both"/>
        <w:rPr>
          <w:rFonts w:eastAsia="Arial Unicode MS"/>
          <w:b/>
          <w:sz w:val="22"/>
          <w:szCs w:val="22"/>
          <w:lang w:eastAsia="en-US"/>
        </w:rPr>
      </w:pPr>
    </w:p>
    <w:p w14:paraId="2F6E30AE" w14:textId="439CB364" w:rsidR="004439B8" w:rsidRPr="00577B77" w:rsidRDefault="003A7507" w:rsidP="00861094">
      <w:pPr>
        <w:jc w:val="both"/>
        <w:rPr>
          <w:sz w:val="22"/>
          <w:szCs w:val="22"/>
        </w:rPr>
      </w:pPr>
      <w:r w:rsidRPr="00577B77">
        <w:rPr>
          <w:rFonts w:eastAsia="Arial Unicode MS"/>
          <w:b/>
          <w:sz w:val="22"/>
          <w:szCs w:val="22"/>
          <w:lang w:eastAsia="en-US"/>
        </w:rPr>
        <w:t>Indicateurs de performance</w:t>
      </w:r>
    </w:p>
    <w:p w14:paraId="1043C9AF" w14:textId="2E952FAA" w:rsidR="004439B8" w:rsidRPr="00577B77" w:rsidRDefault="004439B8" w:rsidP="00861094">
      <w:pPr>
        <w:jc w:val="both"/>
        <w:rPr>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
        <w:gridCol w:w="1530"/>
        <w:gridCol w:w="2286"/>
        <w:gridCol w:w="1559"/>
        <w:gridCol w:w="1276"/>
        <w:gridCol w:w="851"/>
        <w:gridCol w:w="1270"/>
      </w:tblGrid>
      <w:tr w:rsidR="00C416B4" w:rsidRPr="00577B77" w14:paraId="171166FB" w14:textId="77777777" w:rsidTr="00C416B4">
        <w:trPr>
          <w:tblHeader/>
          <w:tblCellSpacing w:w="15" w:type="dxa"/>
        </w:trPr>
        <w:tc>
          <w:tcPr>
            <w:tcW w:w="245" w:type="dxa"/>
            <w:vAlign w:val="center"/>
            <w:hideMark/>
          </w:tcPr>
          <w:p w14:paraId="49ED82C5" w14:textId="77777777" w:rsidR="00C416B4" w:rsidRPr="00577B77" w:rsidRDefault="00C416B4">
            <w:pPr>
              <w:jc w:val="center"/>
              <w:rPr>
                <w:b/>
                <w:bCs/>
                <w:sz w:val="20"/>
                <w:szCs w:val="20"/>
              </w:rPr>
            </w:pPr>
            <w:r w:rsidRPr="00577B77">
              <w:rPr>
                <w:rStyle w:val="lev"/>
                <w:sz w:val="20"/>
                <w:szCs w:val="20"/>
              </w:rPr>
              <w:t>N°</w:t>
            </w:r>
          </w:p>
        </w:tc>
        <w:tc>
          <w:tcPr>
            <w:tcW w:w="1500" w:type="dxa"/>
            <w:vAlign w:val="center"/>
            <w:hideMark/>
          </w:tcPr>
          <w:p w14:paraId="37BE9B34" w14:textId="77777777" w:rsidR="00C416B4" w:rsidRPr="00577B77" w:rsidRDefault="00C416B4">
            <w:pPr>
              <w:jc w:val="center"/>
              <w:rPr>
                <w:b/>
                <w:bCs/>
                <w:sz w:val="20"/>
                <w:szCs w:val="20"/>
              </w:rPr>
            </w:pPr>
            <w:r w:rsidRPr="00577B77">
              <w:rPr>
                <w:rStyle w:val="lev"/>
                <w:sz w:val="20"/>
                <w:szCs w:val="20"/>
              </w:rPr>
              <w:t>Indicateur</w:t>
            </w:r>
          </w:p>
        </w:tc>
        <w:tc>
          <w:tcPr>
            <w:tcW w:w="2256" w:type="dxa"/>
            <w:vAlign w:val="center"/>
            <w:hideMark/>
          </w:tcPr>
          <w:p w14:paraId="2654F95A" w14:textId="77777777" w:rsidR="00C416B4" w:rsidRPr="00577B77" w:rsidRDefault="00C416B4">
            <w:pPr>
              <w:jc w:val="center"/>
              <w:rPr>
                <w:b/>
                <w:bCs/>
                <w:sz w:val="20"/>
                <w:szCs w:val="20"/>
              </w:rPr>
            </w:pPr>
            <w:r w:rsidRPr="00577B77">
              <w:rPr>
                <w:rStyle w:val="lev"/>
                <w:sz w:val="20"/>
                <w:szCs w:val="20"/>
              </w:rPr>
              <w:t>Définition / Objet mesuré</w:t>
            </w:r>
          </w:p>
        </w:tc>
        <w:tc>
          <w:tcPr>
            <w:tcW w:w="1529" w:type="dxa"/>
            <w:vAlign w:val="center"/>
            <w:hideMark/>
          </w:tcPr>
          <w:p w14:paraId="24EEB4E8" w14:textId="77777777" w:rsidR="00C416B4" w:rsidRPr="00577B77" w:rsidRDefault="00C416B4">
            <w:pPr>
              <w:jc w:val="center"/>
              <w:rPr>
                <w:b/>
                <w:bCs/>
                <w:sz w:val="20"/>
                <w:szCs w:val="20"/>
              </w:rPr>
            </w:pPr>
            <w:r w:rsidRPr="00577B77">
              <w:rPr>
                <w:rStyle w:val="lev"/>
                <w:sz w:val="20"/>
                <w:szCs w:val="20"/>
              </w:rPr>
              <w:t>Méthode de calcul</w:t>
            </w:r>
          </w:p>
        </w:tc>
        <w:tc>
          <w:tcPr>
            <w:tcW w:w="1246" w:type="dxa"/>
            <w:vAlign w:val="center"/>
            <w:hideMark/>
          </w:tcPr>
          <w:p w14:paraId="749EFF7F" w14:textId="77777777" w:rsidR="00C416B4" w:rsidRPr="00577B77" w:rsidRDefault="00C416B4">
            <w:pPr>
              <w:jc w:val="center"/>
              <w:rPr>
                <w:b/>
                <w:bCs/>
                <w:sz w:val="20"/>
                <w:szCs w:val="20"/>
              </w:rPr>
            </w:pPr>
            <w:r w:rsidRPr="00577B77">
              <w:rPr>
                <w:rStyle w:val="lev"/>
                <w:sz w:val="20"/>
                <w:szCs w:val="20"/>
              </w:rPr>
              <w:t>Source de vérification</w:t>
            </w:r>
          </w:p>
        </w:tc>
        <w:tc>
          <w:tcPr>
            <w:tcW w:w="821" w:type="dxa"/>
            <w:vAlign w:val="center"/>
            <w:hideMark/>
          </w:tcPr>
          <w:p w14:paraId="12BC9577" w14:textId="77777777" w:rsidR="00C416B4" w:rsidRPr="00577B77" w:rsidRDefault="00C416B4">
            <w:pPr>
              <w:jc w:val="center"/>
              <w:rPr>
                <w:b/>
                <w:bCs/>
                <w:sz w:val="20"/>
                <w:szCs w:val="20"/>
              </w:rPr>
            </w:pPr>
            <w:r w:rsidRPr="00577B77">
              <w:rPr>
                <w:rStyle w:val="lev"/>
                <w:sz w:val="20"/>
                <w:szCs w:val="20"/>
              </w:rPr>
              <w:t>Cible</w:t>
            </w:r>
          </w:p>
        </w:tc>
        <w:tc>
          <w:tcPr>
            <w:tcW w:w="1225" w:type="dxa"/>
            <w:vAlign w:val="center"/>
            <w:hideMark/>
          </w:tcPr>
          <w:p w14:paraId="67BEA01D" w14:textId="77777777" w:rsidR="00C416B4" w:rsidRPr="00577B77" w:rsidRDefault="00C416B4">
            <w:pPr>
              <w:jc w:val="center"/>
              <w:rPr>
                <w:b/>
                <w:bCs/>
                <w:sz w:val="20"/>
                <w:szCs w:val="20"/>
              </w:rPr>
            </w:pPr>
            <w:r w:rsidRPr="00577B77">
              <w:rPr>
                <w:rStyle w:val="lev"/>
                <w:sz w:val="20"/>
                <w:szCs w:val="20"/>
              </w:rPr>
              <w:t>Lien avec livrables</w:t>
            </w:r>
          </w:p>
        </w:tc>
      </w:tr>
      <w:tr w:rsidR="00C416B4" w:rsidRPr="00577B77" w14:paraId="7C9B6D33" w14:textId="77777777" w:rsidTr="00C416B4">
        <w:trPr>
          <w:tblCellSpacing w:w="15" w:type="dxa"/>
        </w:trPr>
        <w:tc>
          <w:tcPr>
            <w:tcW w:w="245" w:type="dxa"/>
            <w:vAlign w:val="center"/>
            <w:hideMark/>
          </w:tcPr>
          <w:p w14:paraId="11A87AFC" w14:textId="77777777" w:rsidR="00C416B4" w:rsidRPr="00577B77" w:rsidRDefault="00C416B4">
            <w:pPr>
              <w:rPr>
                <w:sz w:val="20"/>
                <w:szCs w:val="20"/>
              </w:rPr>
            </w:pPr>
            <w:r w:rsidRPr="00577B77">
              <w:rPr>
                <w:sz w:val="20"/>
                <w:szCs w:val="20"/>
              </w:rPr>
              <w:t>1</w:t>
            </w:r>
          </w:p>
        </w:tc>
        <w:tc>
          <w:tcPr>
            <w:tcW w:w="1500" w:type="dxa"/>
            <w:vAlign w:val="center"/>
            <w:hideMark/>
          </w:tcPr>
          <w:p w14:paraId="0782DA2F" w14:textId="77777777" w:rsidR="00C416B4" w:rsidRPr="00577B77" w:rsidRDefault="00C416B4">
            <w:pPr>
              <w:rPr>
                <w:sz w:val="20"/>
                <w:szCs w:val="20"/>
              </w:rPr>
            </w:pPr>
            <w:r w:rsidRPr="00577B77">
              <w:rPr>
                <w:rStyle w:val="lev"/>
                <w:sz w:val="20"/>
                <w:szCs w:val="20"/>
              </w:rPr>
              <w:t>Taux de couverture des indicateurs analysés</w:t>
            </w:r>
          </w:p>
        </w:tc>
        <w:tc>
          <w:tcPr>
            <w:tcW w:w="2256" w:type="dxa"/>
            <w:vAlign w:val="center"/>
            <w:hideMark/>
          </w:tcPr>
          <w:p w14:paraId="41F8FF3C" w14:textId="77777777" w:rsidR="00C416B4" w:rsidRPr="00577B77" w:rsidRDefault="00C416B4">
            <w:pPr>
              <w:rPr>
                <w:sz w:val="20"/>
                <w:szCs w:val="20"/>
              </w:rPr>
            </w:pPr>
            <w:r w:rsidRPr="00577B77">
              <w:rPr>
                <w:sz w:val="20"/>
                <w:szCs w:val="20"/>
              </w:rPr>
              <w:t>Part des indicateurs du programme C2D RHS ayant fait l’objet d’une analyse complète (définition, calcul, fiabilité)</w:t>
            </w:r>
          </w:p>
        </w:tc>
        <w:tc>
          <w:tcPr>
            <w:tcW w:w="1529" w:type="dxa"/>
            <w:vAlign w:val="center"/>
            <w:hideMark/>
          </w:tcPr>
          <w:p w14:paraId="0864898D" w14:textId="77777777" w:rsidR="00C416B4" w:rsidRPr="00577B77" w:rsidRDefault="00C416B4">
            <w:pPr>
              <w:rPr>
                <w:sz w:val="20"/>
                <w:szCs w:val="20"/>
              </w:rPr>
            </w:pPr>
            <w:r w:rsidRPr="00577B77">
              <w:rPr>
                <w:sz w:val="20"/>
                <w:szCs w:val="20"/>
              </w:rPr>
              <w:t>(Nb indicateurs analysés / Nb total indicateurs) × 100</w:t>
            </w:r>
          </w:p>
        </w:tc>
        <w:tc>
          <w:tcPr>
            <w:tcW w:w="1246" w:type="dxa"/>
            <w:vAlign w:val="center"/>
            <w:hideMark/>
          </w:tcPr>
          <w:p w14:paraId="13FD9727" w14:textId="08B37740" w:rsidR="00C416B4" w:rsidRPr="00577B77" w:rsidRDefault="00C416B4">
            <w:pPr>
              <w:rPr>
                <w:sz w:val="20"/>
                <w:szCs w:val="20"/>
              </w:rPr>
            </w:pPr>
            <w:r w:rsidRPr="00577B77">
              <w:rPr>
                <w:sz w:val="20"/>
                <w:szCs w:val="20"/>
              </w:rPr>
              <w:t xml:space="preserve">Tableau consolidé </w:t>
            </w:r>
          </w:p>
        </w:tc>
        <w:tc>
          <w:tcPr>
            <w:tcW w:w="821" w:type="dxa"/>
            <w:vAlign w:val="center"/>
            <w:hideMark/>
          </w:tcPr>
          <w:p w14:paraId="029C7E1A" w14:textId="77777777" w:rsidR="00C416B4" w:rsidRPr="00577B77" w:rsidRDefault="00C416B4">
            <w:pPr>
              <w:rPr>
                <w:sz w:val="20"/>
                <w:szCs w:val="20"/>
              </w:rPr>
            </w:pPr>
            <w:r w:rsidRPr="00577B77">
              <w:rPr>
                <w:sz w:val="20"/>
                <w:szCs w:val="20"/>
              </w:rPr>
              <w:t>100 %</w:t>
            </w:r>
          </w:p>
        </w:tc>
        <w:tc>
          <w:tcPr>
            <w:tcW w:w="1225" w:type="dxa"/>
            <w:vAlign w:val="center"/>
            <w:hideMark/>
          </w:tcPr>
          <w:p w14:paraId="489E5122" w14:textId="77777777" w:rsidR="00C416B4" w:rsidRPr="00577B77" w:rsidRDefault="00C416B4">
            <w:pPr>
              <w:rPr>
                <w:sz w:val="20"/>
                <w:szCs w:val="20"/>
              </w:rPr>
            </w:pPr>
            <w:r w:rsidRPr="00577B77">
              <w:rPr>
                <w:sz w:val="20"/>
                <w:szCs w:val="20"/>
              </w:rPr>
              <w:t>Tableau des indicateurs</w:t>
            </w:r>
          </w:p>
        </w:tc>
      </w:tr>
      <w:tr w:rsidR="00C416B4" w:rsidRPr="00577B77" w14:paraId="09CB501B" w14:textId="77777777" w:rsidTr="00C416B4">
        <w:trPr>
          <w:tblCellSpacing w:w="15" w:type="dxa"/>
        </w:trPr>
        <w:tc>
          <w:tcPr>
            <w:tcW w:w="245" w:type="dxa"/>
            <w:vAlign w:val="center"/>
            <w:hideMark/>
          </w:tcPr>
          <w:p w14:paraId="71B94B4A" w14:textId="77777777" w:rsidR="00C416B4" w:rsidRPr="00577B77" w:rsidRDefault="00C416B4">
            <w:pPr>
              <w:rPr>
                <w:sz w:val="20"/>
                <w:szCs w:val="20"/>
              </w:rPr>
            </w:pPr>
            <w:r w:rsidRPr="00577B77">
              <w:rPr>
                <w:sz w:val="20"/>
                <w:szCs w:val="20"/>
              </w:rPr>
              <w:t>2</w:t>
            </w:r>
          </w:p>
        </w:tc>
        <w:tc>
          <w:tcPr>
            <w:tcW w:w="1500" w:type="dxa"/>
            <w:vAlign w:val="center"/>
            <w:hideMark/>
          </w:tcPr>
          <w:p w14:paraId="6C8A4932" w14:textId="77777777" w:rsidR="00C416B4" w:rsidRPr="00577B77" w:rsidRDefault="00C416B4">
            <w:pPr>
              <w:rPr>
                <w:sz w:val="20"/>
                <w:szCs w:val="20"/>
              </w:rPr>
            </w:pPr>
            <w:r w:rsidRPr="00577B77">
              <w:rPr>
                <w:rStyle w:val="lev"/>
                <w:sz w:val="20"/>
                <w:szCs w:val="20"/>
              </w:rPr>
              <w:t>Taux d’indicateurs documentés selon standard</w:t>
            </w:r>
          </w:p>
        </w:tc>
        <w:tc>
          <w:tcPr>
            <w:tcW w:w="2256" w:type="dxa"/>
            <w:vAlign w:val="center"/>
            <w:hideMark/>
          </w:tcPr>
          <w:p w14:paraId="1026F1FC" w14:textId="77777777" w:rsidR="00C416B4" w:rsidRPr="00577B77" w:rsidRDefault="00C416B4">
            <w:pPr>
              <w:rPr>
                <w:sz w:val="20"/>
                <w:szCs w:val="20"/>
              </w:rPr>
            </w:pPr>
            <w:r w:rsidRPr="00577B77">
              <w:rPr>
                <w:sz w:val="20"/>
                <w:szCs w:val="20"/>
              </w:rPr>
              <w:t>Part des indicateurs disposant d’une fiche complète (définition, source, méthode, limite)</w:t>
            </w:r>
          </w:p>
        </w:tc>
        <w:tc>
          <w:tcPr>
            <w:tcW w:w="1529" w:type="dxa"/>
            <w:vAlign w:val="center"/>
            <w:hideMark/>
          </w:tcPr>
          <w:p w14:paraId="411E1CE6" w14:textId="77777777" w:rsidR="00C416B4" w:rsidRPr="00577B77" w:rsidRDefault="00C416B4">
            <w:pPr>
              <w:rPr>
                <w:sz w:val="20"/>
                <w:szCs w:val="20"/>
              </w:rPr>
            </w:pPr>
            <w:r w:rsidRPr="00577B77">
              <w:rPr>
                <w:sz w:val="20"/>
                <w:szCs w:val="20"/>
              </w:rPr>
              <w:t>(Nb indicateurs documentés / total) × 100</w:t>
            </w:r>
          </w:p>
        </w:tc>
        <w:tc>
          <w:tcPr>
            <w:tcW w:w="1246" w:type="dxa"/>
            <w:vAlign w:val="center"/>
            <w:hideMark/>
          </w:tcPr>
          <w:p w14:paraId="3B4780EA" w14:textId="77777777" w:rsidR="00C416B4" w:rsidRPr="00577B77" w:rsidRDefault="00C416B4">
            <w:pPr>
              <w:rPr>
                <w:sz w:val="20"/>
                <w:szCs w:val="20"/>
              </w:rPr>
            </w:pPr>
            <w:r w:rsidRPr="00577B77">
              <w:rPr>
                <w:sz w:val="20"/>
                <w:szCs w:val="20"/>
              </w:rPr>
              <w:t>Tableau consolidé + note méthodologique</w:t>
            </w:r>
          </w:p>
        </w:tc>
        <w:tc>
          <w:tcPr>
            <w:tcW w:w="821" w:type="dxa"/>
            <w:vAlign w:val="center"/>
            <w:hideMark/>
          </w:tcPr>
          <w:p w14:paraId="41297749" w14:textId="77777777" w:rsidR="00C416B4" w:rsidRPr="00577B77" w:rsidRDefault="00C416B4">
            <w:pPr>
              <w:rPr>
                <w:sz w:val="20"/>
                <w:szCs w:val="20"/>
              </w:rPr>
            </w:pPr>
            <w:r w:rsidRPr="00577B77">
              <w:rPr>
                <w:sz w:val="20"/>
                <w:szCs w:val="20"/>
              </w:rPr>
              <w:t>≥ 95 %</w:t>
            </w:r>
          </w:p>
        </w:tc>
        <w:tc>
          <w:tcPr>
            <w:tcW w:w="1225" w:type="dxa"/>
            <w:vAlign w:val="center"/>
            <w:hideMark/>
          </w:tcPr>
          <w:p w14:paraId="6ED20309" w14:textId="77777777" w:rsidR="00C416B4" w:rsidRPr="00577B77" w:rsidRDefault="00C416B4">
            <w:pPr>
              <w:rPr>
                <w:sz w:val="20"/>
                <w:szCs w:val="20"/>
              </w:rPr>
            </w:pPr>
            <w:r w:rsidRPr="00577B77">
              <w:rPr>
                <w:sz w:val="20"/>
                <w:szCs w:val="20"/>
              </w:rPr>
              <w:t>Note méthodologique + tableau</w:t>
            </w:r>
          </w:p>
        </w:tc>
      </w:tr>
      <w:tr w:rsidR="00C416B4" w:rsidRPr="00577B77" w14:paraId="1B85E6AD" w14:textId="77777777" w:rsidTr="00C416B4">
        <w:trPr>
          <w:tblCellSpacing w:w="15" w:type="dxa"/>
        </w:trPr>
        <w:tc>
          <w:tcPr>
            <w:tcW w:w="245" w:type="dxa"/>
            <w:vAlign w:val="center"/>
            <w:hideMark/>
          </w:tcPr>
          <w:p w14:paraId="57CCDB92" w14:textId="77777777" w:rsidR="00C416B4" w:rsidRPr="00577B77" w:rsidRDefault="00C416B4">
            <w:pPr>
              <w:rPr>
                <w:sz w:val="20"/>
                <w:szCs w:val="20"/>
              </w:rPr>
            </w:pPr>
            <w:r w:rsidRPr="00577B77">
              <w:rPr>
                <w:sz w:val="20"/>
                <w:szCs w:val="20"/>
              </w:rPr>
              <w:t>3</w:t>
            </w:r>
          </w:p>
        </w:tc>
        <w:tc>
          <w:tcPr>
            <w:tcW w:w="1500" w:type="dxa"/>
            <w:vAlign w:val="center"/>
            <w:hideMark/>
          </w:tcPr>
          <w:p w14:paraId="69105FFB" w14:textId="77777777" w:rsidR="00C416B4" w:rsidRPr="00577B77" w:rsidRDefault="00C416B4">
            <w:pPr>
              <w:rPr>
                <w:sz w:val="20"/>
                <w:szCs w:val="20"/>
              </w:rPr>
            </w:pPr>
            <w:r w:rsidRPr="00577B77">
              <w:rPr>
                <w:rStyle w:val="lev"/>
                <w:sz w:val="20"/>
                <w:szCs w:val="20"/>
              </w:rPr>
              <w:t>Taux d’indicateurs calculés ou vérifiés</w:t>
            </w:r>
          </w:p>
        </w:tc>
        <w:tc>
          <w:tcPr>
            <w:tcW w:w="2256" w:type="dxa"/>
            <w:vAlign w:val="center"/>
            <w:hideMark/>
          </w:tcPr>
          <w:p w14:paraId="343F0843" w14:textId="77777777" w:rsidR="00C416B4" w:rsidRPr="00577B77" w:rsidRDefault="00C416B4">
            <w:pPr>
              <w:rPr>
                <w:sz w:val="20"/>
                <w:szCs w:val="20"/>
              </w:rPr>
            </w:pPr>
            <w:r w:rsidRPr="00577B77">
              <w:rPr>
                <w:sz w:val="20"/>
                <w:szCs w:val="20"/>
              </w:rPr>
              <w:t>Proportion d’indicateurs effectivement calculés ou audités par l’IGAS</w:t>
            </w:r>
          </w:p>
        </w:tc>
        <w:tc>
          <w:tcPr>
            <w:tcW w:w="1529" w:type="dxa"/>
            <w:vAlign w:val="center"/>
            <w:hideMark/>
          </w:tcPr>
          <w:p w14:paraId="712CB147" w14:textId="77777777" w:rsidR="00C416B4" w:rsidRPr="00577B77" w:rsidRDefault="00C416B4">
            <w:pPr>
              <w:rPr>
                <w:sz w:val="20"/>
                <w:szCs w:val="20"/>
              </w:rPr>
            </w:pPr>
            <w:r w:rsidRPr="00577B77">
              <w:rPr>
                <w:sz w:val="20"/>
                <w:szCs w:val="20"/>
              </w:rPr>
              <w:t>(Nb indicateurs calculés/vérifiés / total) × 100</w:t>
            </w:r>
          </w:p>
        </w:tc>
        <w:tc>
          <w:tcPr>
            <w:tcW w:w="1246" w:type="dxa"/>
            <w:vAlign w:val="center"/>
            <w:hideMark/>
          </w:tcPr>
          <w:p w14:paraId="5A99E0CF" w14:textId="78A1083E" w:rsidR="00C416B4" w:rsidRPr="00577B77" w:rsidRDefault="00C416B4">
            <w:pPr>
              <w:rPr>
                <w:sz w:val="20"/>
                <w:szCs w:val="20"/>
              </w:rPr>
            </w:pPr>
            <w:r w:rsidRPr="00577B77">
              <w:rPr>
                <w:sz w:val="20"/>
                <w:szCs w:val="20"/>
              </w:rPr>
              <w:t>Rapports expert</w:t>
            </w:r>
          </w:p>
        </w:tc>
        <w:tc>
          <w:tcPr>
            <w:tcW w:w="821" w:type="dxa"/>
            <w:vAlign w:val="center"/>
            <w:hideMark/>
          </w:tcPr>
          <w:p w14:paraId="5C525451" w14:textId="77777777" w:rsidR="00C416B4" w:rsidRPr="00577B77" w:rsidRDefault="00C416B4">
            <w:pPr>
              <w:rPr>
                <w:sz w:val="20"/>
                <w:szCs w:val="20"/>
              </w:rPr>
            </w:pPr>
            <w:r w:rsidRPr="00577B77">
              <w:rPr>
                <w:sz w:val="20"/>
                <w:szCs w:val="20"/>
              </w:rPr>
              <w:t>≥ 90 %</w:t>
            </w:r>
          </w:p>
        </w:tc>
        <w:tc>
          <w:tcPr>
            <w:tcW w:w="1225" w:type="dxa"/>
            <w:vAlign w:val="center"/>
            <w:hideMark/>
          </w:tcPr>
          <w:p w14:paraId="5D798F93" w14:textId="77777777" w:rsidR="00C416B4" w:rsidRPr="00577B77" w:rsidRDefault="00C416B4">
            <w:pPr>
              <w:rPr>
                <w:sz w:val="20"/>
                <w:szCs w:val="20"/>
              </w:rPr>
            </w:pPr>
            <w:r w:rsidRPr="00577B77">
              <w:rPr>
                <w:sz w:val="20"/>
                <w:szCs w:val="20"/>
              </w:rPr>
              <w:t>Rapports intermédiaires</w:t>
            </w:r>
          </w:p>
        </w:tc>
      </w:tr>
      <w:tr w:rsidR="00C416B4" w:rsidRPr="00577B77" w14:paraId="2C1B44FF" w14:textId="77777777" w:rsidTr="00C416B4">
        <w:trPr>
          <w:tblCellSpacing w:w="15" w:type="dxa"/>
        </w:trPr>
        <w:tc>
          <w:tcPr>
            <w:tcW w:w="245" w:type="dxa"/>
            <w:vAlign w:val="center"/>
            <w:hideMark/>
          </w:tcPr>
          <w:p w14:paraId="7AEF4061" w14:textId="77777777" w:rsidR="00C416B4" w:rsidRPr="00577B77" w:rsidRDefault="00C416B4">
            <w:pPr>
              <w:rPr>
                <w:sz w:val="20"/>
                <w:szCs w:val="20"/>
              </w:rPr>
            </w:pPr>
            <w:r w:rsidRPr="00577B77">
              <w:rPr>
                <w:sz w:val="20"/>
                <w:szCs w:val="20"/>
              </w:rPr>
              <w:t>4</w:t>
            </w:r>
          </w:p>
        </w:tc>
        <w:tc>
          <w:tcPr>
            <w:tcW w:w="1500" w:type="dxa"/>
            <w:vAlign w:val="center"/>
            <w:hideMark/>
          </w:tcPr>
          <w:p w14:paraId="4785B8A8" w14:textId="77777777" w:rsidR="00C416B4" w:rsidRPr="00577B77" w:rsidRDefault="00C416B4">
            <w:pPr>
              <w:rPr>
                <w:sz w:val="20"/>
                <w:szCs w:val="20"/>
              </w:rPr>
            </w:pPr>
            <w:r w:rsidRPr="00577B77">
              <w:rPr>
                <w:rStyle w:val="lev"/>
                <w:sz w:val="20"/>
                <w:szCs w:val="20"/>
              </w:rPr>
              <w:t>Taux de fiabilité des données</w:t>
            </w:r>
          </w:p>
        </w:tc>
        <w:tc>
          <w:tcPr>
            <w:tcW w:w="2256" w:type="dxa"/>
            <w:vAlign w:val="center"/>
            <w:hideMark/>
          </w:tcPr>
          <w:p w14:paraId="7009E2C4" w14:textId="77777777" w:rsidR="00C416B4" w:rsidRPr="00577B77" w:rsidRDefault="00C416B4">
            <w:pPr>
              <w:rPr>
                <w:sz w:val="20"/>
                <w:szCs w:val="20"/>
              </w:rPr>
            </w:pPr>
            <w:r w:rsidRPr="00577B77">
              <w:rPr>
                <w:sz w:val="20"/>
                <w:szCs w:val="20"/>
              </w:rPr>
              <w:t>Part des données jugées fiables après vérification (cohérence, traçabilité, complétude)</w:t>
            </w:r>
          </w:p>
        </w:tc>
        <w:tc>
          <w:tcPr>
            <w:tcW w:w="1529" w:type="dxa"/>
            <w:vAlign w:val="center"/>
            <w:hideMark/>
          </w:tcPr>
          <w:p w14:paraId="464D5BF5" w14:textId="77777777" w:rsidR="00C416B4" w:rsidRPr="00577B77" w:rsidRDefault="00C416B4">
            <w:pPr>
              <w:rPr>
                <w:sz w:val="20"/>
                <w:szCs w:val="20"/>
              </w:rPr>
            </w:pPr>
            <w:r w:rsidRPr="00577B77">
              <w:rPr>
                <w:sz w:val="20"/>
                <w:szCs w:val="20"/>
              </w:rPr>
              <w:t>(Nb données fiables / total données analysées) × 100</w:t>
            </w:r>
          </w:p>
        </w:tc>
        <w:tc>
          <w:tcPr>
            <w:tcW w:w="1246" w:type="dxa"/>
            <w:vAlign w:val="center"/>
            <w:hideMark/>
          </w:tcPr>
          <w:p w14:paraId="20CDAF6E" w14:textId="77777777" w:rsidR="00C416B4" w:rsidRPr="00577B77" w:rsidRDefault="00C416B4">
            <w:pPr>
              <w:rPr>
                <w:sz w:val="20"/>
                <w:szCs w:val="20"/>
              </w:rPr>
            </w:pPr>
            <w:r w:rsidRPr="00577B77">
              <w:rPr>
                <w:sz w:val="20"/>
                <w:szCs w:val="20"/>
              </w:rPr>
              <w:t>Rapport de vérification des données</w:t>
            </w:r>
          </w:p>
        </w:tc>
        <w:tc>
          <w:tcPr>
            <w:tcW w:w="821" w:type="dxa"/>
            <w:vAlign w:val="center"/>
            <w:hideMark/>
          </w:tcPr>
          <w:p w14:paraId="0DCFD83F" w14:textId="77777777" w:rsidR="00C416B4" w:rsidRPr="00577B77" w:rsidRDefault="00C416B4">
            <w:pPr>
              <w:rPr>
                <w:sz w:val="20"/>
                <w:szCs w:val="20"/>
              </w:rPr>
            </w:pPr>
            <w:r w:rsidRPr="00577B77">
              <w:rPr>
                <w:sz w:val="20"/>
                <w:szCs w:val="20"/>
              </w:rPr>
              <w:t>≥ 95 %</w:t>
            </w:r>
          </w:p>
        </w:tc>
        <w:tc>
          <w:tcPr>
            <w:tcW w:w="1225" w:type="dxa"/>
            <w:vAlign w:val="center"/>
            <w:hideMark/>
          </w:tcPr>
          <w:p w14:paraId="79A78EB9" w14:textId="77777777" w:rsidR="00C416B4" w:rsidRPr="00577B77" w:rsidRDefault="00C416B4">
            <w:pPr>
              <w:rPr>
                <w:sz w:val="20"/>
                <w:szCs w:val="20"/>
              </w:rPr>
            </w:pPr>
            <w:r w:rsidRPr="00577B77">
              <w:rPr>
                <w:sz w:val="20"/>
                <w:szCs w:val="20"/>
              </w:rPr>
              <w:t>Rapports intermédiaires</w:t>
            </w:r>
          </w:p>
        </w:tc>
      </w:tr>
      <w:tr w:rsidR="00C416B4" w:rsidRPr="00577B77" w14:paraId="3C8EF174" w14:textId="77777777" w:rsidTr="00C416B4">
        <w:trPr>
          <w:tblCellSpacing w:w="15" w:type="dxa"/>
        </w:trPr>
        <w:tc>
          <w:tcPr>
            <w:tcW w:w="245" w:type="dxa"/>
            <w:vAlign w:val="center"/>
            <w:hideMark/>
          </w:tcPr>
          <w:p w14:paraId="2D32B2CB" w14:textId="77777777" w:rsidR="00C416B4" w:rsidRPr="00577B77" w:rsidRDefault="00C416B4">
            <w:pPr>
              <w:rPr>
                <w:sz w:val="20"/>
                <w:szCs w:val="20"/>
              </w:rPr>
            </w:pPr>
            <w:r w:rsidRPr="00577B77">
              <w:rPr>
                <w:sz w:val="20"/>
                <w:szCs w:val="20"/>
              </w:rPr>
              <w:t>5</w:t>
            </w:r>
          </w:p>
        </w:tc>
        <w:tc>
          <w:tcPr>
            <w:tcW w:w="1500" w:type="dxa"/>
            <w:vAlign w:val="center"/>
            <w:hideMark/>
          </w:tcPr>
          <w:p w14:paraId="0D01EC84" w14:textId="77777777" w:rsidR="00C416B4" w:rsidRPr="00577B77" w:rsidRDefault="00C416B4">
            <w:pPr>
              <w:rPr>
                <w:sz w:val="20"/>
                <w:szCs w:val="20"/>
              </w:rPr>
            </w:pPr>
            <w:r w:rsidRPr="00577B77">
              <w:rPr>
                <w:rStyle w:val="lev"/>
                <w:sz w:val="20"/>
                <w:szCs w:val="20"/>
              </w:rPr>
              <w:t>Taux d’écarts analysés</w:t>
            </w:r>
          </w:p>
        </w:tc>
        <w:tc>
          <w:tcPr>
            <w:tcW w:w="2256" w:type="dxa"/>
            <w:vAlign w:val="center"/>
            <w:hideMark/>
          </w:tcPr>
          <w:p w14:paraId="1DDB4478" w14:textId="77777777" w:rsidR="00C416B4" w:rsidRPr="00577B77" w:rsidRDefault="00C416B4">
            <w:pPr>
              <w:rPr>
                <w:sz w:val="20"/>
                <w:szCs w:val="20"/>
              </w:rPr>
            </w:pPr>
            <w:r w:rsidRPr="00577B77">
              <w:rPr>
                <w:sz w:val="20"/>
                <w:szCs w:val="20"/>
              </w:rPr>
              <w:t>Part des écarts entre résultats et cibles ayant fait l’objet d’une analyse explicative</w:t>
            </w:r>
          </w:p>
        </w:tc>
        <w:tc>
          <w:tcPr>
            <w:tcW w:w="1529" w:type="dxa"/>
            <w:vAlign w:val="center"/>
            <w:hideMark/>
          </w:tcPr>
          <w:p w14:paraId="7FDE7220" w14:textId="77777777" w:rsidR="00C416B4" w:rsidRPr="00577B77" w:rsidRDefault="00C416B4">
            <w:pPr>
              <w:rPr>
                <w:sz w:val="20"/>
                <w:szCs w:val="20"/>
              </w:rPr>
            </w:pPr>
            <w:r w:rsidRPr="00577B77">
              <w:rPr>
                <w:sz w:val="20"/>
                <w:szCs w:val="20"/>
              </w:rPr>
              <w:t>(Nb écarts analysés / Nb écarts identifiés) × 100</w:t>
            </w:r>
          </w:p>
        </w:tc>
        <w:tc>
          <w:tcPr>
            <w:tcW w:w="1246" w:type="dxa"/>
            <w:vAlign w:val="center"/>
            <w:hideMark/>
          </w:tcPr>
          <w:p w14:paraId="13CD4138" w14:textId="77777777" w:rsidR="00C416B4" w:rsidRPr="00577B77" w:rsidRDefault="00C416B4">
            <w:pPr>
              <w:rPr>
                <w:sz w:val="20"/>
                <w:szCs w:val="20"/>
              </w:rPr>
            </w:pPr>
            <w:r w:rsidRPr="00577B77">
              <w:rPr>
                <w:sz w:val="20"/>
                <w:szCs w:val="20"/>
              </w:rPr>
              <w:t>Rapport d’évaluation des progrès</w:t>
            </w:r>
          </w:p>
        </w:tc>
        <w:tc>
          <w:tcPr>
            <w:tcW w:w="821" w:type="dxa"/>
            <w:vAlign w:val="center"/>
            <w:hideMark/>
          </w:tcPr>
          <w:p w14:paraId="444BC41B" w14:textId="77777777" w:rsidR="00C416B4" w:rsidRPr="00577B77" w:rsidRDefault="00C416B4">
            <w:pPr>
              <w:rPr>
                <w:sz w:val="20"/>
                <w:szCs w:val="20"/>
              </w:rPr>
            </w:pPr>
            <w:r w:rsidRPr="00577B77">
              <w:rPr>
                <w:sz w:val="20"/>
                <w:szCs w:val="20"/>
              </w:rPr>
              <w:t>100 %</w:t>
            </w:r>
          </w:p>
        </w:tc>
        <w:tc>
          <w:tcPr>
            <w:tcW w:w="1225" w:type="dxa"/>
            <w:vAlign w:val="center"/>
            <w:hideMark/>
          </w:tcPr>
          <w:p w14:paraId="29AF1395" w14:textId="77777777" w:rsidR="00C416B4" w:rsidRPr="00577B77" w:rsidRDefault="00C416B4">
            <w:pPr>
              <w:rPr>
                <w:sz w:val="20"/>
                <w:szCs w:val="20"/>
              </w:rPr>
            </w:pPr>
            <w:r w:rsidRPr="00577B77">
              <w:rPr>
                <w:sz w:val="20"/>
                <w:szCs w:val="20"/>
              </w:rPr>
              <w:t>Rapport d’évaluation</w:t>
            </w:r>
          </w:p>
        </w:tc>
      </w:tr>
      <w:tr w:rsidR="00C416B4" w:rsidRPr="00577B77" w14:paraId="73EEB85F" w14:textId="77777777" w:rsidTr="00C416B4">
        <w:trPr>
          <w:tblCellSpacing w:w="15" w:type="dxa"/>
        </w:trPr>
        <w:tc>
          <w:tcPr>
            <w:tcW w:w="245" w:type="dxa"/>
            <w:vAlign w:val="center"/>
            <w:hideMark/>
          </w:tcPr>
          <w:p w14:paraId="52D1BD11" w14:textId="77777777" w:rsidR="00C416B4" w:rsidRPr="00577B77" w:rsidRDefault="00C416B4">
            <w:pPr>
              <w:rPr>
                <w:sz w:val="20"/>
                <w:szCs w:val="20"/>
              </w:rPr>
            </w:pPr>
            <w:r w:rsidRPr="00577B77">
              <w:rPr>
                <w:sz w:val="20"/>
                <w:szCs w:val="20"/>
              </w:rPr>
              <w:lastRenderedPageBreak/>
              <w:t>6</w:t>
            </w:r>
          </w:p>
        </w:tc>
        <w:tc>
          <w:tcPr>
            <w:tcW w:w="1500" w:type="dxa"/>
            <w:vAlign w:val="center"/>
            <w:hideMark/>
          </w:tcPr>
          <w:p w14:paraId="534F0B6B" w14:textId="77777777" w:rsidR="00C416B4" w:rsidRPr="00577B77" w:rsidRDefault="00C416B4">
            <w:pPr>
              <w:rPr>
                <w:sz w:val="20"/>
                <w:szCs w:val="20"/>
              </w:rPr>
            </w:pPr>
            <w:r w:rsidRPr="00577B77">
              <w:rPr>
                <w:rStyle w:val="lev"/>
                <w:sz w:val="20"/>
                <w:szCs w:val="20"/>
              </w:rPr>
              <w:t>Taux de recommandations opérationnelles formulées</w:t>
            </w:r>
          </w:p>
        </w:tc>
        <w:tc>
          <w:tcPr>
            <w:tcW w:w="2256" w:type="dxa"/>
            <w:vAlign w:val="center"/>
            <w:hideMark/>
          </w:tcPr>
          <w:p w14:paraId="1A75E456" w14:textId="77777777" w:rsidR="00C416B4" w:rsidRPr="00577B77" w:rsidRDefault="00C416B4">
            <w:pPr>
              <w:rPr>
                <w:sz w:val="20"/>
                <w:szCs w:val="20"/>
              </w:rPr>
            </w:pPr>
            <w:r w:rsidRPr="00577B77">
              <w:rPr>
                <w:sz w:val="20"/>
                <w:szCs w:val="20"/>
              </w:rPr>
              <w:t>Nombre de recommandations concrètes formulées par rapport aux constats identifiés</w:t>
            </w:r>
          </w:p>
        </w:tc>
        <w:tc>
          <w:tcPr>
            <w:tcW w:w="1529" w:type="dxa"/>
            <w:vAlign w:val="center"/>
            <w:hideMark/>
          </w:tcPr>
          <w:p w14:paraId="37C57043" w14:textId="77777777" w:rsidR="00C416B4" w:rsidRPr="00577B77" w:rsidRDefault="00C416B4">
            <w:pPr>
              <w:rPr>
                <w:sz w:val="20"/>
                <w:szCs w:val="20"/>
              </w:rPr>
            </w:pPr>
            <w:r w:rsidRPr="00577B77">
              <w:rPr>
                <w:sz w:val="20"/>
                <w:szCs w:val="20"/>
              </w:rPr>
              <w:t>Nb recommandations / Nb constats clés</w:t>
            </w:r>
          </w:p>
        </w:tc>
        <w:tc>
          <w:tcPr>
            <w:tcW w:w="1246" w:type="dxa"/>
            <w:vAlign w:val="center"/>
            <w:hideMark/>
          </w:tcPr>
          <w:p w14:paraId="2C709CF2" w14:textId="71ADB27F" w:rsidR="00C416B4" w:rsidRPr="00577B77" w:rsidRDefault="00C416B4">
            <w:pPr>
              <w:rPr>
                <w:sz w:val="20"/>
                <w:szCs w:val="20"/>
              </w:rPr>
            </w:pPr>
            <w:r w:rsidRPr="00577B77">
              <w:rPr>
                <w:sz w:val="20"/>
                <w:szCs w:val="20"/>
              </w:rPr>
              <w:t>Rapports expert</w:t>
            </w:r>
          </w:p>
        </w:tc>
        <w:tc>
          <w:tcPr>
            <w:tcW w:w="821" w:type="dxa"/>
            <w:vAlign w:val="center"/>
            <w:hideMark/>
          </w:tcPr>
          <w:p w14:paraId="7741CB40" w14:textId="77777777" w:rsidR="00C416B4" w:rsidRPr="00577B77" w:rsidRDefault="00C416B4">
            <w:pPr>
              <w:rPr>
                <w:sz w:val="20"/>
                <w:szCs w:val="20"/>
              </w:rPr>
            </w:pPr>
            <w:r w:rsidRPr="00577B77">
              <w:rPr>
                <w:sz w:val="20"/>
                <w:szCs w:val="20"/>
              </w:rPr>
              <w:t>≥ 1 recommandation par constat majeur</w:t>
            </w:r>
          </w:p>
        </w:tc>
        <w:tc>
          <w:tcPr>
            <w:tcW w:w="1225" w:type="dxa"/>
            <w:vAlign w:val="center"/>
            <w:hideMark/>
          </w:tcPr>
          <w:p w14:paraId="321F4033" w14:textId="77777777" w:rsidR="00C416B4" w:rsidRPr="00577B77" w:rsidRDefault="00C416B4">
            <w:pPr>
              <w:rPr>
                <w:sz w:val="20"/>
                <w:szCs w:val="20"/>
              </w:rPr>
            </w:pPr>
            <w:r w:rsidRPr="00577B77">
              <w:rPr>
                <w:sz w:val="20"/>
                <w:szCs w:val="20"/>
              </w:rPr>
              <w:t>Tous rapports</w:t>
            </w:r>
          </w:p>
        </w:tc>
      </w:tr>
      <w:tr w:rsidR="00C416B4" w:rsidRPr="00577B77" w14:paraId="319F7E06" w14:textId="77777777" w:rsidTr="00C416B4">
        <w:trPr>
          <w:tblCellSpacing w:w="15" w:type="dxa"/>
        </w:trPr>
        <w:tc>
          <w:tcPr>
            <w:tcW w:w="245" w:type="dxa"/>
            <w:vAlign w:val="center"/>
            <w:hideMark/>
          </w:tcPr>
          <w:p w14:paraId="2823F82B" w14:textId="77777777" w:rsidR="00C416B4" w:rsidRPr="00577B77" w:rsidRDefault="00C416B4">
            <w:pPr>
              <w:rPr>
                <w:sz w:val="20"/>
                <w:szCs w:val="20"/>
              </w:rPr>
            </w:pPr>
            <w:r w:rsidRPr="00577B77">
              <w:rPr>
                <w:sz w:val="20"/>
                <w:szCs w:val="20"/>
              </w:rPr>
              <w:t>7</w:t>
            </w:r>
          </w:p>
        </w:tc>
        <w:tc>
          <w:tcPr>
            <w:tcW w:w="1500" w:type="dxa"/>
            <w:vAlign w:val="center"/>
            <w:hideMark/>
          </w:tcPr>
          <w:p w14:paraId="06F45394" w14:textId="77777777" w:rsidR="00C416B4" w:rsidRPr="00577B77" w:rsidRDefault="00C416B4">
            <w:pPr>
              <w:rPr>
                <w:sz w:val="20"/>
                <w:szCs w:val="20"/>
              </w:rPr>
            </w:pPr>
            <w:r w:rsidRPr="00577B77">
              <w:rPr>
                <w:rStyle w:val="lev"/>
                <w:sz w:val="20"/>
                <w:szCs w:val="20"/>
              </w:rPr>
              <w:t>Taux de recommandations reprises</w:t>
            </w:r>
          </w:p>
        </w:tc>
        <w:tc>
          <w:tcPr>
            <w:tcW w:w="2256" w:type="dxa"/>
            <w:vAlign w:val="center"/>
            <w:hideMark/>
          </w:tcPr>
          <w:p w14:paraId="663712F4" w14:textId="77777777" w:rsidR="00C416B4" w:rsidRPr="00577B77" w:rsidRDefault="00C416B4">
            <w:pPr>
              <w:rPr>
                <w:sz w:val="20"/>
                <w:szCs w:val="20"/>
              </w:rPr>
            </w:pPr>
            <w:r w:rsidRPr="00577B77">
              <w:rPr>
                <w:sz w:val="20"/>
                <w:szCs w:val="20"/>
              </w:rPr>
              <w:t>Part des recommandations IGAS intégrées dans les décisions ou plans d’action</w:t>
            </w:r>
          </w:p>
        </w:tc>
        <w:tc>
          <w:tcPr>
            <w:tcW w:w="1529" w:type="dxa"/>
            <w:vAlign w:val="center"/>
            <w:hideMark/>
          </w:tcPr>
          <w:p w14:paraId="69DF11B3" w14:textId="77777777" w:rsidR="00C416B4" w:rsidRPr="00577B77" w:rsidRDefault="00C416B4">
            <w:pPr>
              <w:rPr>
                <w:sz w:val="20"/>
                <w:szCs w:val="20"/>
              </w:rPr>
            </w:pPr>
            <w:r w:rsidRPr="00577B77">
              <w:rPr>
                <w:sz w:val="20"/>
                <w:szCs w:val="20"/>
              </w:rPr>
              <w:t>(Nb recommandations reprises / total recommandations) × 100</w:t>
            </w:r>
          </w:p>
        </w:tc>
        <w:tc>
          <w:tcPr>
            <w:tcW w:w="1246" w:type="dxa"/>
            <w:vAlign w:val="center"/>
            <w:hideMark/>
          </w:tcPr>
          <w:p w14:paraId="2DB6F1EB" w14:textId="77777777" w:rsidR="00C416B4" w:rsidRPr="00577B77" w:rsidRDefault="00C416B4">
            <w:pPr>
              <w:rPr>
                <w:sz w:val="20"/>
                <w:szCs w:val="20"/>
              </w:rPr>
            </w:pPr>
            <w:r w:rsidRPr="00577B77">
              <w:rPr>
                <w:sz w:val="20"/>
                <w:szCs w:val="20"/>
              </w:rPr>
              <w:t>CR comités, plans d’action</w:t>
            </w:r>
          </w:p>
        </w:tc>
        <w:tc>
          <w:tcPr>
            <w:tcW w:w="821" w:type="dxa"/>
            <w:vAlign w:val="center"/>
            <w:hideMark/>
          </w:tcPr>
          <w:p w14:paraId="5E6BA1CE" w14:textId="77777777" w:rsidR="00C416B4" w:rsidRPr="00577B77" w:rsidRDefault="00C416B4">
            <w:pPr>
              <w:rPr>
                <w:sz w:val="20"/>
                <w:szCs w:val="20"/>
              </w:rPr>
            </w:pPr>
            <w:r w:rsidRPr="00577B77">
              <w:rPr>
                <w:sz w:val="20"/>
                <w:szCs w:val="20"/>
              </w:rPr>
              <w:t>≥ 70 %</w:t>
            </w:r>
          </w:p>
        </w:tc>
        <w:tc>
          <w:tcPr>
            <w:tcW w:w="1225" w:type="dxa"/>
            <w:vAlign w:val="center"/>
            <w:hideMark/>
          </w:tcPr>
          <w:p w14:paraId="622B4914" w14:textId="77777777" w:rsidR="00C416B4" w:rsidRPr="00577B77" w:rsidRDefault="00C416B4">
            <w:pPr>
              <w:rPr>
                <w:sz w:val="20"/>
                <w:szCs w:val="20"/>
              </w:rPr>
            </w:pPr>
            <w:r w:rsidRPr="00577B77">
              <w:rPr>
                <w:sz w:val="20"/>
                <w:szCs w:val="20"/>
              </w:rPr>
              <w:t>Notes + rapport final</w:t>
            </w:r>
          </w:p>
        </w:tc>
      </w:tr>
      <w:tr w:rsidR="00C416B4" w:rsidRPr="00577B77" w14:paraId="21A52148" w14:textId="77777777" w:rsidTr="00C416B4">
        <w:trPr>
          <w:tblCellSpacing w:w="15" w:type="dxa"/>
        </w:trPr>
        <w:tc>
          <w:tcPr>
            <w:tcW w:w="245" w:type="dxa"/>
            <w:vAlign w:val="center"/>
            <w:hideMark/>
          </w:tcPr>
          <w:p w14:paraId="4EB28C63" w14:textId="77777777" w:rsidR="00C416B4" w:rsidRPr="00577B77" w:rsidRDefault="00C416B4">
            <w:pPr>
              <w:rPr>
                <w:sz w:val="20"/>
                <w:szCs w:val="20"/>
              </w:rPr>
            </w:pPr>
            <w:r w:rsidRPr="00577B77">
              <w:rPr>
                <w:sz w:val="20"/>
                <w:szCs w:val="20"/>
              </w:rPr>
              <w:t>8</w:t>
            </w:r>
          </w:p>
        </w:tc>
        <w:tc>
          <w:tcPr>
            <w:tcW w:w="1500" w:type="dxa"/>
            <w:vAlign w:val="center"/>
            <w:hideMark/>
          </w:tcPr>
          <w:p w14:paraId="32C0947F" w14:textId="77777777" w:rsidR="00C416B4" w:rsidRPr="00577B77" w:rsidRDefault="00C416B4">
            <w:pPr>
              <w:rPr>
                <w:sz w:val="20"/>
                <w:szCs w:val="20"/>
              </w:rPr>
            </w:pPr>
            <w:r w:rsidRPr="00577B77">
              <w:rPr>
                <w:rStyle w:val="lev"/>
                <w:sz w:val="20"/>
                <w:szCs w:val="20"/>
              </w:rPr>
              <w:t>Nombre de notes d’orientation produites</w:t>
            </w:r>
          </w:p>
        </w:tc>
        <w:tc>
          <w:tcPr>
            <w:tcW w:w="2256" w:type="dxa"/>
            <w:vAlign w:val="center"/>
            <w:hideMark/>
          </w:tcPr>
          <w:p w14:paraId="210DA082" w14:textId="77777777" w:rsidR="00C416B4" w:rsidRPr="00577B77" w:rsidRDefault="00C416B4">
            <w:pPr>
              <w:rPr>
                <w:sz w:val="20"/>
                <w:szCs w:val="20"/>
              </w:rPr>
            </w:pPr>
            <w:r w:rsidRPr="00577B77">
              <w:rPr>
                <w:sz w:val="20"/>
                <w:szCs w:val="20"/>
              </w:rPr>
              <w:t>Nombre de notes stratégiques produites pour le dialogue de politique publique</w:t>
            </w:r>
          </w:p>
        </w:tc>
        <w:tc>
          <w:tcPr>
            <w:tcW w:w="1529" w:type="dxa"/>
            <w:vAlign w:val="center"/>
            <w:hideMark/>
          </w:tcPr>
          <w:p w14:paraId="22D362EF" w14:textId="77777777" w:rsidR="00C416B4" w:rsidRPr="00577B77" w:rsidRDefault="00C416B4">
            <w:pPr>
              <w:rPr>
                <w:sz w:val="20"/>
                <w:szCs w:val="20"/>
              </w:rPr>
            </w:pPr>
            <w:r w:rsidRPr="00577B77">
              <w:rPr>
                <w:sz w:val="20"/>
                <w:szCs w:val="20"/>
              </w:rPr>
              <w:t>Comptage simple</w:t>
            </w:r>
          </w:p>
        </w:tc>
        <w:tc>
          <w:tcPr>
            <w:tcW w:w="1246" w:type="dxa"/>
            <w:vAlign w:val="center"/>
            <w:hideMark/>
          </w:tcPr>
          <w:p w14:paraId="22873E26" w14:textId="77777777" w:rsidR="00C416B4" w:rsidRPr="00577B77" w:rsidRDefault="00C416B4">
            <w:pPr>
              <w:rPr>
                <w:sz w:val="20"/>
                <w:szCs w:val="20"/>
              </w:rPr>
            </w:pPr>
            <w:r w:rsidRPr="00577B77">
              <w:rPr>
                <w:sz w:val="20"/>
                <w:szCs w:val="20"/>
              </w:rPr>
              <w:t>Notes validées</w:t>
            </w:r>
          </w:p>
        </w:tc>
        <w:tc>
          <w:tcPr>
            <w:tcW w:w="821" w:type="dxa"/>
            <w:vAlign w:val="center"/>
            <w:hideMark/>
          </w:tcPr>
          <w:p w14:paraId="3967EAAF" w14:textId="77777777" w:rsidR="00C416B4" w:rsidRPr="00577B77" w:rsidRDefault="00C416B4">
            <w:pPr>
              <w:rPr>
                <w:sz w:val="20"/>
                <w:szCs w:val="20"/>
              </w:rPr>
            </w:pPr>
            <w:r w:rsidRPr="00577B77">
              <w:rPr>
                <w:sz w:val="20"/>
                <w:szCs w:val="20"/>
              </w:rPr>
              <w:t>≥ 5</w:t>
            </w:r>
          </w:p>
        </w:tc>
        <w:tc>
          <w:tcPr>
            <w:tcW w:w="1225" w:type="dxa"/>
            <w:vAlign w:val="center"/>
            <w:hideMark/>
          </w:tcPr>
          <w:p w14:paraId="62A2FBDC" w14:textId="77777777" w:rsidR="00C416B4" w:rsidRPr="00577B77" w:rsidRDefault="00C416B4">
            <w:pPr>
              <w:rPr>
                <w:sz w:val="20"/>
                <w:szCs w:val="20"/>
              </w:rPr>
            </w:pPr>
            <w:r w:rsidRPr="00577B77">
              <w:rPr>
                <w:sz w:val="20"/>
                <w:szCs w:val="20"/>
              </w:rPr>
              <w:t>Notes d’orientation</w:t>
            </w:r>
          </w:p>
        </w:tc>
      </w:tr>
      <w:tr w:rsidR="00C416B4" w:rsidRPr="00577B77" w14:paraId="7DC03B43" w14:textId="77777777" w:rsidTr="00C416B4">
        <w:trPr>
          <w:tblCellSpacing w:w="15" w:type="dxa"/>
        </w:trPr>
        <w:tc>
          <w:tcPr>
            <w:tcW w:w="245" w:type="dxa"/>
            <w:vAlign w:val="center"/>
            <w:hideMark/>
          </w:tcPr>
          <w:p w14:paraId="56FA9262" w14:textId="77777777" w:rsidR="00C416B4" w:rsidRPr="00577B77" w:rsidRDefault="00C416B4">
            <w:pPr>
              <w:rPr>
                <w:sz w:val="20"/>
                <w:szCs w:val="20"/>
              </w:rPr>
            </w:pPr>
            <w:r w:rsidRPr="00577B77">
              <w:rPr>
                <w:sz w:val="20"/>
                <w:szCs w:val="20"/>
              </w:rPr>
              <w:t>9</w:t>
            </w:r>
          </w:p>
        </w:tc>
        <w:tc>
          <w:tcPr>
            <w:tcW w:w="1500" w:type="dxa"/>
            <w:vAlign w:val="center"/>
            <w:hideMark/>
          </w:tcPr>
          <w:p w14:paraId="65CEA186" w14:textId="77777777" w:rsidR="00C416B4" w:rsidRPr="00577B77" w:rsidRDefault="00C416B4">
            <w:pPr>
              <w:rPr>
                <w:sz w:val="20"/>
                <w:szCs w:val="20"/>
              </w:rPr>
            </w:pPr>
            <w:r w:rsidRPr="00577B77">
              <w:rPr>
                <w:rStyle w:val="lev"/>
                <w:sz w:val="20"/>
                <w:szCs w:val="20"/>
              </w:rPr>
              <w:t>Taux d’utilisation des analyses IGAS</w:t>
            </w:r>
          </w:p>
        </w:tc>
        <w:tc>
          <w:tcPr>
            <w:tcW w:w="2256" w:type="dxa"/>
            <w:vAlign w:val="center"/>
            <w:hideMark/>
          </w:tcPr>
          <w:p w14:paraId="43178F69" w14:textId="77777777" w:rsidR="00C416B4" w:rsidRPr="00577B77" w:rsidRDefault="00C416B4">
            <w:pPr>
              <w:rPr>
                <w:sz w:val="20"/>
                <w:szCs w:val="20"/>
              </w:rPr>
            </w:pPr>
            <w:r w:rsidRPr="00577B77">
              <w:rPr>
                <w:sz w:val="20"/>
                <w:szCs w:val="20"/>
              </w:rPr>
              <w:t>Part des décisions stratégiques ayant mobilisé les analyses IGAS</w:t>
            </w:r>
          </w:p>
        </w:tc>
        <w:tc>
          <w:tcPr>
            <w:tcW w:w="1529" w:type="dxa"/>
            <w:vAlign w:val="center"/>
            <w:hideMark/>
          </w:tcPr>
          <w:p w14:paraId="79E5810A" w14:textId="77777777" w:rsidR="00C416B4" w:rsidRPr="00577B77" w:rsidRDefault="00C416B4">
            <w:pPr>
              <w:rPr>
                <w:sz w:val="20"/>
                <w:szCs w:val="20"/>
              </w:rPr>
            </w:pPr>
            <w:r w:rsidRPr="00577B77">
              <w:rPr>
                <w:sz w:val="20"/>
                <w:szCs w:val="20"/>
              </w:rPr>
              <w:t>(Nb décisions appuyées / Nb décisions majeures) × 100</w:t>
            </w:r>
          </w:p>
        </w:tc>
        <w:tc>
          <w:tcPr>
            <w:tcW w:w="1246" w:type="dxa"/>
            <w:vAlign w:val="center"/>
            <w:hideMark/>
          </w:tcPr>
          <w:p w14:paraId="74944AED" w14:textId="77777777" w:rsidR="00C416B4" w:rsidRPr="00577B77" w:rsidRDefault="00C416B4">
            <w:pPr>
              <w:rPr>
                <w:sz w:val="20"/>
                <w:szCs w:val="20"/>
              </w:rPr>
            </w:pPr>
            <w:r w:rsidRPr="00577B77">
              <w:rPr>
                <w:sz w:val="20"/>
                <w:szCs w:val="20"/>
              </w:rPr>
              <w:t>CR comités, AFD/MSHPCMU</w:t>
            </w:r>
          </w:p>
        </w:tc>
        <w:tc>
          <w:tcPr>
            <w:tcW w:w="821" w:type="dxa"/>
            <w:vAlign w:val="center"/>
            <w:hideMark/>
          </w:tcPr>
          <w:p w14:paraId="780B4E52" w14:textId="77777777" w:rsidR="00C416B4" w:rsidRPr="00577B77" w:rsidRDefault="00C416B4">
            <w:pPr>
              <w:rPr>
                <w:sz w:val="20"/>
                <w:szCs w:val="20"/>
              </w:rPr>
            </w:pPr>
            <w:r w:rsidRPr="00577B77">
              <w:rPr>
                <w:sz w:val="20"/>
                <w:szCs w:val="20"/>
              </w:rPr>
              <w:t>≥ 60 %</w:t>
            </w:r>
          </w:p>
        </w:tc>
        <w:tc>
          <w:tcPr>
            <w:tcW w:w="1225" w:type="dxa"/>
            <w:vAlign w:val="center"/>
            <w:hideMark/>
          </w:tcPr>
          <w:p w14:paraId="64C8931A" w14:textId="77777777" w:rsidR="00C416B4" w:rsidRPr="00577B77" w:rsidRDefault="00C416B4">
            <w:pPr>
              <w:rPr>
                <w:sz w:val="20"/>
                <w:szCs w:val="20"/>
              </w:rPr>
            </w:pPr>
            <w:r w:rsidRPr="00577B77">
              <w:rPr>
                <w:sz w:val="20"/>
                <w:szCs w:val="20"/>
              </w:rPr>
              <w:t>Notes + restitutions</w:t>
            </w:r>
          </w:p>
        </w:tc>
      </w:tr>
      <w:tr w:rsidR="00C416B4" w:rsidRPr="00577B77" w14:paraId="57E90221" w14:textId="77777777" w:rsidTr="00C416B4">
        <w:trPr>
          <w:tblCellSpacing w:w="15" w:type="dxa"/>
        </w:trPr>
        <w:tc>
          <w:tcPr>
            <w:tcW w:w="245" w:type="dxa"/>
            <w:vAlign w:val="center"/>
            <w:hideMark/>
          </w:tcPr>
          <w:p w14:paraId="52AE6BFB" w14:textId="77777777" w:rsidR="00C416B4" w:rsidRPr="00577B77" w:rsidRDefault="00C416B4">
            <w:pPr>
              <w:rPr>
                <w:sz w:val="20"/>
                <w:szCs w:val="20"/>
              </w:rPr>
            </w:pPr>
            <w:r w:rsidRPr="00577B77">
              <w:rPr>
                <w:sz w:val="20"/>
                <w:szCs w:val="20"/>
              </w:rPr>
              <w:t>10</w:t>
            </w:r>
          </w:p>
        </w:tc>
        <w:tc>
          <w:tcPr>
            <w:tcW w:w="1500" w:type="dxa"/>
            <w:vAlign w:val="center"/>
            <w:hideMark/>
          </w:tcPr>
          <w:p w14:paraId="087152BB" w14:textId="77777777" w:rsidR="00C416B4" w:rsidRPr="00577B77" w:rsidRDefault="00C416B4">
            <w:pPr>
              <w:rPr>
                <w:sz w:val="20"/>
                <w:szCs w:val="20"/>
              </w:rPr>
            </w:pPr>
            <w:r w:rsidRPr="00577B77">
              <w:rPr>
                <w:rStyle w:val="lev"/>
                <w:sz w:val="20"/>
                <w:szCs w:val="20"/>
              </w:rPr>
              <w:t>Taux de respect des délais</w:t>
            </w:r>
          </w:p>
        </w:tc>
        <w:tc>
          <w:tcPr>
            <w:tcW w:w="2256" w:type="dxa"/>
            <w:vAlign w:val="center"/>
            <w:hideMark/>
          </w:tcPr>
          <w:p w14:paraId="7E7F7B8A" w14:textId="77777777" w:rsidR="00C416B4" w:rsidRPr="00577B77" w:rsidRDefault="00C416B4">
            <w:pPr>
              <w:rPr>
                <w:sz w:val="20"/>
                <w:szCs w:val="20"/>
              </w:rPr>
            </w:pPr>
            <w:r w:rsidRPr="00577B77">
              <w:rPr>
                <w:sz w:val="20"/>
                <w:szCs w:val="20"/>
              </w:rPr>
              <w:t>Proportion des livrables remis dans les délais contractuels</w:t>
            </w:r>
          </w:p>
        </w:tc>
        <w:tc>
          <w:tcPr>
            <w:tcW w:w="1529" w:type="dxa"/>
            <w:vAlign w:val="center"/>
            <w:hideMark/>
          </w:tcPr>
          <w:p w14:paraId="7BB35264" w14:textId="77777777" w:rsidR="00C416B4" w:rsidRPr="00577B77" w:rsidRDefault="00C416B4">
            <w:pPr>
              <w:rPr>
                <w:sz w:val="20"/>
                <w:szCs w:val="20"/>
              </w:rPr>
            </w:pPr>
            <w:r w:rsidRPr="00577B77">
              <w:rPr>
                <w:sz w:val="20"/>
                <w:szCs w:val="20"/>
              </w:rPr>
              <w:t>(Nb livrables à l’heure / total) × 100</w:t>
            </w:r>
          </w:p>
        </w:tc>
        <w:tc>
          <w:tcPr>
            <w:tcW w:w="1246" w:type="dxa"/>
            <w:vAlign w:val="center"/>
            <w:hideMark/>
          </w:tcPr>
          <w:p w14:paraId="296CD0DF" w14:textId="77777777" w:rsidR="00C416B4" w:rsidRPr="00577B77" w:rsidRDefault="00C416B4">
            <w:pPr>
              <w:rPr>
                <w:sz w:val="20"/>
                <w:szCs w:val="20"/>
              </w:rPr>
            </w:pPr>
            <w:r w:rsidRPr="00577B77">
              <w:rPr>
                <w:sz w:val="20"/>
                <w:szCs w:val="20"/>
              </w:rPr>
              <w:t>Planning + validation EF</w:t>
            </w:r>
          </w:p>
        </w:tc>
        <w:tc>
          <w:tcPr>
            <w:tcW w:w="821" w:type="dxa"/>
            <w:vAlign w:val="center"/>
            <w:hideMark/>
          </w:tcPr>
          <w:p w14:paraId="4E95CF4E" w14:textId="77777777" w:rsidR="00C416B4" w:rsidRPr="00577B77" w:rsidRDefault="00C416B4">
            <w:pPr>
              <w:rPr>
                <w:sz w:val="20"/>
                <w:szCs w:val="20"/>
              </w:rPr>
            </w:pPr>
            <w:r w:rsidRPr="00577B77">
              <w:rPr>
                <w:sz w:val="20"/>
                <w:szCs w:val="20"/>
              </w:rPr>
              <w:t>100 %</w:t>
            </w:r>
          </w:p>
        </w:tc>
        <w:tc>
          <w:tcPr>
            <w:tcW w:w="1225" w:type="dxa"/>
            <w:vAlign w:val="center"/>
            <w:hideMark/>
          </w:tcPr>
          <w:p w14:paraId="643ECA6F" w14:textId="77777777" w:rsidR="00C416B4" w:rsidRPr="00577B77" w:rsidRDefault="00C416B4">
            <w:pPr>
              <w:rPr>
                <w:sz w:val="20"/>
                <w:szCs w:val="20"/>
              </w:rPr>
            </w:pPr>
            <w:r w:rsidRPr="00577B77">
              <w:rPr>
                <w:sz w:val="20"/>
                <w:szCs w:val="20"/>
              </w:rPr>
              <w:t>Tous livrables</w:t>
            </w:r>
          </w:p>
        </w:tc>
      </w:tr>
      <w:tr w:rsidR="00C416B4" w:rsidRPr="00577B77" w14:paraId="33BACBCC" w14:textId="77777777" w:rsidTr="00C416B4">
        <w:trPr>
          <w:tblCellSpacing w:w="15" w:type="dxa"/>
        </w:trPr>
        <w:tc>
          <w:tcPr>
            <w:tcW w:w="245" w:type="dxa"/>
            <w:vAlign w:val="center"/>
            <w:hideMark/>
          </w:tcPr>
          <w:p w14:paraId="210384DB" w14:textId="77777777" w:rsidR="00C416B4" w:rsidRPr="00577B77" w:rsidRDefault="00C416B4">
            <w:pPr>
              <w:rPr>
                <w:sz w:val="20"/>
                <w:szCs w:val="20"/>
              </w:rPr>
            </w:pPr>
            <w:r w:rsidRPr="00577B77">
              <w:rPr>
                <w:sz w:val="20"/>
                <w:szCs w:val="20"/>
              </w:rPr>
              <w:t>11</w:t>
            </w:r>
          </w:p>
        </w:tc>
        <w:tc>
          <w:tcPr>
            <w:tcW w:w="1500" w:type="dxa"/>
            <w:vAlign w:val="center"/>
            <w:hideMark/>
          </w:tcPr>
          <w:p w14:paraId="1F0C895F" w14:textId="77777777" w:rsidR="00C416B4" w:rsidRPr="00577B77" w:rsidRDefault="00C416B4">
            <w:pPr>
              <w:rPr>
                <w:sz w:val="20"/>
                <w:szCs w:val="20"/>
              </w:rPr>
            </w:pPr>
            <w:r w:rsidRPr="00577B77">
              <w:rPr>
                <w:rStyle w:val="lev"/>
                <w:sz w:val="20"/>
                <w:szCs w:val="20"/>
              </w:rPr>
              <w:t>Taux de satisfaction des parties prenantes</w:t>
            </w:r>
          </w:p>
        </w:tc>
        <w:tc>
          <w:tcPr>
            <w:tcW w:w="2256" w:type="dxa"/>
            <w:vAlign w:val="center"/>
            <w:hideMark/>
          </w:tcPr>
          <w:p w14:paraId="3EFEC3C0" w14:textId="77777777" w:rsidR="00C416B4" w:rsidRPr="00577B77" w:rsidRDefault="00C416B4">
            <w:pPr>
              <w:rPr>
                <w:sz w:val="20"/>
                <w:szCs w:val="20"/>
              </w:rPr>
            </w:pPr>
            <w:r w:rsidRPr="00577B77">
              <w:rPr>
                <w:sz w:val="20"/>
                <w:szCs w:val="20"/>
              </w:rPr>
              <w:t>Appréciation qualitative des analyses produites (MSHPCMU, AFD, EF)</w:t>
            </w:r>
          </w:p>
        </w:tc>
        <w:tc>
          <w:tcPr>
            <w:tcW w:w="1529" w:type="dxa"/>
            <w:vAlign w:val="center"/>
            <w:hideMark/>
          </w:tcPr>
          <w:p w14:paraId="4EA8661B" w14:textId="77777777" w:rsidR="00C416B4" w:rsidRPr="00577B77" w:rsidRDefault="00C416B4">
            <w:pPr>
              <w:rPr>
                <w:sz w:val="20"/>
                <w:szCs w:val="20"/>
              </w:rPr>
            </w:pPr>
            <w:r w:rsidRPr="00577B77">
              <w:rPr>
                <w:sz w:val="20"/>
                <w:szCs w:val="20"/>
              </w:rPr>
              <w:t>Score moyen enquête ou feedback</w:t>
            </w:r>
          </w:p>
        </w:tc>
        <w:tc>
          <w:tcPr>
            <w:tcW w:w="1246" w:type="dxa"/>
            <w:vAlign w:val="center"/>
            <w:hideMark/>
          </w:tcPr>
          <w:p w14:paraId="2D61ECFB" w14:textId="77777777" w:rsidR="00C416B4" w:rsidRPr="00577B77" w:rsidRDefault="00C416B4">
            <w:pPr>
              <w:rPr>
                <w:sz w:val="20"/>
                <w:szCs w:val="20"/>
              </w:rPr>
            </w:pPr>
            <w:r w:rsidRPr="00577B77">
              <w:rPr>
                <w:sz w:val="20"/>
                <w:szCs w:val="20"/>
              </w:rPr>
              <w:t>CR ateliers / feedback formalisé</w:t>
            </w:r>
          </w:p>
        </w:tc>
        <w:tc>
          <w:tcPr>
            <w:tcW w:w="821" w:type="dxa"/>
            <w:vAlign w:val="center"/>
            <w:hideMark/>
          </w:tcPr>
          <w:p w14:paraId="20CD247D" w14:textId="77777777" w:rsidR="00C416B4" w:rsidRPr="00577B77" w:rsidRDefault="00C416B4">
            <w:pPr>
              <w:rPr>
                <w:sz w:val="20"/>
                <w:szCs w:val="20"/>
              </w:rPr>
            </w:pPr>
            <w:r w:rsidRPr="00577B77">
              <w:rPr>
                <w:sz w:val="20"/>
                <w:szCs w:val="20"/>
              </w:rPr>
              <w:t>≥ 80 %</w:t>
            </w:r>
          </w:p>
        </w:tc>
        <w:tc>
          <w:tcPr>
            <w:tcW w:w="1225" w:type="dxa"/>
            <w:vAlign w:val="center"/>
            <w:hideMark/>
          </w:tcPr>
          <w:p w14:paraId="78FD97F0" w14:textId="77777777" w:rsidR="00C416B4" w:rsidRPr="00577B77" w:rsidRDefault="00C416B4">
            <w:pPr>
              <w:rPr>
                <w:sz w:val="20"/>
                <w:szCs w:val="20"/>
              </w:rPr>
            </w:pPr>
            <w:r w:rsidRPr="00577B77">
              <w:rPr>
                <w:sz w:val="20"/>
                <w:szCs w:val="20"/>
              </w:rPr>
              <w:t>Restitutions</w:t>
            </w:r>
          </w:p>
        </w:tc>
      </w:tr>
      <w:tr w:rsidR="00C416B4" w:rsidRPr="00577B77" w14:paraId="43F7E3D8" w14:textId="77777777" w:rsidTr="00C416B4">
        <w:trPr>
          <w:tblCellSpacing w:w="15" w:type="dxa"/>
        </w:trPr>
        <w:tc>
          <w:tcPr>
            <w:tcW w:w="245" w:type="dxa"/>
            <w:vAlign w:val="center"/>
            <w:hideMark/>
          </w:tcPr>
          <w:p w14:paraId="20292375" w14:textId="77777777" w:rsidR="00C416B4" w:rsidRPr="00577B77" w:rsidRDefault="00C416B4">
            <w:pPr>
              <w:rPr>
                <w:sz w:val="20"/>
                <w:szCs w:val="20"/>
              </w:rPr>
            </w:pPr>
            <w:r w:rsidRPr="00577B77">
              <w:rPr>
                <w:sz w:val="20"/>
                <w:szCs w:val="20"/>
              </w:rPr>
              <w:t>12</w:t>
            </w:r>
          </w:p>
        </w:tc>
        <w:tc>
          <w:tcPr>
            <w:tcW w:w="1500" w:type="dxa"/>
            <w:vAlign w:val="center"/>
            <w:hideMark/>
          </w:tcPr>
          <w:p w14:paraId="65420AE1" w14:textId="77777777" w:rsidR="00C416B4" w:rsidRPr="00577B77" w:rsidRDefault="00C416B4">
            <w:pPr>
              <w:rPr>
                <w:sz w:val="20"/>
                <w:szCs w:val="20"/>
              </w:rPr>
            </w:pPr>
            <w:r w:rsidRPr="00577B77">
              <w:rPr>
                <w:rStyle w:val="lev"/>
                <w:sz w:val="20"/>
                <w:szCs w:val="20"/>
              </w:rPr>
              <w:t>Nombre de restitutions réalisées</w:t>
            </w:r>
          </w:p>
        </w:tc>
        <w:tc>
          <w:tcPr>
            <w:tcW w:w="2256" w:type="dxa"/>
            <w:vAlign w:val="center"/>
            <w:hideMark/>
          </w:tcPr>
          <w:p w14:paraId="31A84F9A" w14:textId="77777777" w:rsidR="00C416B4" w:rsidRPr="00577B77" w:rsidRDefault="00C416B4">
            <w:pPr>
              <w:rPr>
                <w:sz w:val="20"/>
                <w:szCs w:val="20"/>
              </w:rPr>
            </w:pPr>
            <w:r w:rsidRPr="00577B77">
              <w:rPr>
                <w:sz w:val="20"/>
                <w:szCs w:val="20"/>
              </w:rPr>
              <w:t>Nombre de présentations aux instances techniques et stratégiques</w:t>
            </w:r>
          </w:p>
        </w:tc>
        <w:tc>
          <w:tcPr>
            <w:tcW w:w="1529" w:type="dxa"/>
            <w:vAlign w:val="center"/>
            <w:hideMark/>
          </w:tcPr>
          <w:p w14:paraId="21029612" w14:textId="77777777" w:rsidR="00C416B4" w:rsidRPr="00577B77" w:rsidRDefault="00C416B4">
            <w:pPr>
              <w:rPr>
                <w:sz w:val="20"/>
                <w:szCs w:val="20"/>
              </w:rPr>
            </w:pPr>
            <w:r w:rsidRPr="00577B77">
              <w:rPr>
                <w:sz w:val="20"/>
                <w:szCs w:val="20"/>
              </w:rPr>
              <w:t>Comptage</w:t>
            </w:r>
          </w:p>
        </w:tc>
        <w:tc>
          <w:tcPr>
            <w:tcW w:w="1246" w:type="dxa"/>
            <w:vAlign w:val="center"/>
            <w:hideMark/>
          </w:tcPr>
          <w:p w14:paraId="7B44032F" w14:textId="77777777" w:rsidR="00C416B4" w:rsidRPr="00577B77" w:rsidRDefault="00C416B4">
            <w:pPr>
              <w:rPr>
                <w:sz w:val="20"/>
                <w:szCs w:val="20"/>
              </w:rPr>
            </w:pPr>
            <w:r w:rsidRPr="00577B77">
              <w:rPr>
                <w:sz w:val="20"/>
                <w:szCs w:val="20"/>
              </w:rPr>
              <w:t>CR réunions</w:t>
            </w:r>
          </w:p>
        </w:tc>
        <w:tc>
          <w:tcPr>
            <w:tcW w:w="821" w:type="dxa"/>
            <w:vAlign w:val="center"/>
            <w:hideMark/>
          </w:tcPr>
          <w:p w14:paraId="7B3B0952" w14:textId="77777777" w:rsidR="00C416B4" w:rsidRPr="00577B77" w:rsidRDefault="00C416B4">
            <w:pPr>
              <w:rPr>
                <w:sz w:val="20"/>
                <w:szCs w:val="20"/>
              </w:rPr>
            </w:pPr>
            <w:r w:rsidRPr="00577B77">
              <w:rPr>
                <w:sz w:val="20"/>
                <w:szCs w:val="20"/>
              </w:rPr>
              <w:t>≥ 2 par mission clé</w:t>
            </w:r>
          </w:p>
        </w:tc>
        <w:tc>
          <w:tcPr>
            <w:tcW w:w="1225" w:type="dxa"/>
            <w:vAlign w:val="center"/>
            <w:hideMark/>
          </w:tcPr>
          <w:p w14:paraId="22E19AAF" w14:textId="77777777" w:rsidR="00C416B4" w:rsidRPr="00577B77" w:rsidRDefault="00C416B4">
            <w:pPr>
              <w:rPr>
                <w:sz w:val="20"/>
                <w:szCs w:val="20"/>
              </w:rPr>
            </w:pPr>
            <w:r w:rsidRPr="00577B77">
              <w:rPr>
                <w:sz w:val="20"/>
                <w:szCs w:val="20"/>
              </w:rPr>
              <w:t>Supports de restitution</w:t>
            </w:r>
          </w:p>
        </w:tc>
      </w:tr>
      <w:tr w:rsidR="00C416B4" w:rsidRPr="00577B77" w14:paraId="06DF76AA" w14:textId="77777777" w:rsidTr="00C416B4">
        <w:trPr>
          <w:tblCellSpacing w:w="15" w:type="dxa"/>
        </w:trPr>
        <w:tc>
          <w:tcPr>
            <w:tcW w:w="245" w:type="dxa"/>
            <w:vAlign w:val="center"/>
            <w:hideMark/>
          </w:tcPr>
          <w:p w14:paraId="17ECBF1F" w14:textId="77777777" w:rsidR="00C416B4" w:rsidRPr="00577B77" w:rsidRDefault="00C416B4">
            <w:pPr>
              <w:rPr>
                <w:sz w:val="20"/>
                <w:szCs w:val="20"/>
              </w:rPr>
            </w:pPr>
            <w:r w:rsidRPr="00577B77">
              <w:rPr>
                <w:sz w:val="20"/>
                <w:szCs w:val="20"/>
              </w:rPr>
              <w:t>13</w:t>
            </w:r>
          </w:p>
        </w:tc>
        <w:tc>
          <w:tcPr>
            <w:tcW w:w="1500" w:type="dxa"/>
            <w:vAlign w:val="center"/>
            <w:hideMark/>
          </w:tcPr>
          <w:p w14:paraId="706CC015" w14:textId="77777777" w:rsidR="00C416B4" w:rsidRPr="00577B77" w:rsidRDefault="00C416B4">
            <w:pPr>
              <w:rPr>
                <w:sz w:val="20"/>
                <w:szCs w:val="20"/>
              </w:rPr>
            </w:pPr>
            <w:r w:rsidRPr="00577B77">
              <w:rPr>
                <w:rStyle w:val="lev"/>
                <w:sz w:val="20"/>
                <w:szCs w:val="20"/>
              </w:rPr>
              <w:t>Existence d’un tableau consolidé validé</w:t>
            </w:r>
          </w:p>
        </w:tc>
        <w:tc>
          <w:tcPr>
            <w:tcW w:w="2256" w:type="dxa"/>
            <w:vAlign w:val="center"/>
            <w:hideMark/>
          </w:tcPr>
          <w:p w14:paraId="1711CBD5" w14:textId="77777777" w:rsidR="00C416B4" w:rsidRPr="00577B77" w:rsidRDefault="00C416B4">
            <w:pPr>
              <w:rPr>
                <w:sz w:val="20"/>
                <w:szCs w:val="20"/>
              </w:rPr>
            </w:pPr>
            <w:r w:rsidRPr="00577B77">
              <w:rPr>
                <w:sz w:val="20"/>
                <w:szCs w:val="20"/>
              </w:rPr>
              <w:t>Production et validation d’un tableau complet des indicateurs</w:t>
            </w:r>
          </w:p>
        </w:tc>
        <w:tc>
          <w:tcPr>
            <w:tcW w:w="1529" w:type="dxa"/>
            <w:vAlign w:val="center"/>
            <w:hideMark/>
          </w:tcPr>
          <w:p w14:paraId="20C57AEE" w14:textId="77777777" w:rsidR="00C416B4" w:rsidRPr="00577B77" w:rsidRDefault="00C416B4">
            <w:pPr>
              <w:rPr>
                <w:sz w:val="20"/>
                <w:szCs w:val="20"/>
              </w:rPr>
            </w:pPr>
            <w:r w:rsidRPr="00577B77">
              <w:rPr>
                <w:sz w:val="20"/>
                <w:szCs w:val="20"/>
              </w:rPr>
              <w:t>Oui / Non</w:t>
            </w:r>
          </w:p>
        </w:tc>
        <w:tc>
          <w:tcPr>
            <w:tcW w:w="1246" w:type="dxa"/>
            <w:vAlign w:val="center"/>
            <w:hideMark/>
          </w:tcPr>
          <w:p w14:paraId="5309BA0D" w14:textId="77777777" w:rsidR="00C416B4" w:rsidRPr="00577B77" w:rsidRDefault="00C416B4">
            <w:pPr>
              <w:rPr>
                <w:sz w:val="20"/>
                <w:szCs w:val="20"/>
              </w:rPr>
            </w:pPr>
            <w:r w:rsidRPr="00577B77">
              <w:rPr>
                <w:sz w:val="20"/>
                <w:szCs w:val="20"/>
              </w:rPr>
              <w:t>Validation EF + MSHPCMU</w:t>
            </w:r>
          </w:p>
        </w:tc>
        <w:tc>
          <w:tcPr>
            <w:tcW w:w="821" w:type="dxa"/>
            <w:vAlign w:val="center"/>
            <w:hideMark/>
          </w:tcPr>
          <w:p w14:paraId="37336A67" w14:textId="77777777" w:rsidR="00C416B4" w:rsidRPr="00577B77" w:rsidRDefault="00C416B4">
            <w:pPr>
              <w:rPr>
                <w:sz w:val="20"/>
                <w:szCs w:val="20"/>
              </w:rPr>
            </w:pPr>
            <w:r w:rsidRPr="00577B77">
              <w:rPr>
                <w:sz w:val="20"/>
                <w:szCs w:val="20"/>
              </w:rPr>
              <w:t>Oui</w:t>
            </w:r>
          </w:p>
        </w:tc>
        <w:tc>
          <w:tcPr>
            <w:tcW w:w="1225" w:type="dxa"/>
            <w:vAlign w:val="center"/>
            <w:hideMark/>
          </w:tcPr>
          <w:p w14:paraId="4A85B78D" w14:textId="77777777" w:rsidR="00C416B4" w:rsidRPr="00577B77" w:rsidRDefault="00C416B4">
            <w:pPr>
              <w:rPr>
                <w:sz w:val="20"/>
                <w:szCs w:val="20"/>
              </w:rPr>
            </w:pPr>
            <w:r w:rsidRPr="00577B77">
              <w:rPr>
                <w:sz w:val="20"/>
                <w:szCs w:val="20"/>
              </w:rPr>
              <w:t>Tableau consolidé</w:t>
            </w:r>
          </w:p>
        </w:tc>
      </w:tr>
      <w:tr w:rsidR="00C416B4" w:rsidRPr="00577B77" w14:paraId="0AA8B2DF" w14:textId="77777777" w:rsidTr="00C416B4">
        <w:trPr>
          <w:tblCellSpacing w:w="15" w:type="dxa"/>
        </w:trPr>
        <w:tc>
          <w:tcPr>
            <w:tcW w:w="245" w:type="dxa"/>
            <w:vAlign w:val="center"/>
            <w:hideMark/>
          </w:tcPr>
          <w:p w14:paraId="45D81473" w14:textId="77777777" w:rsidR="00C416B4" w:rsidRPr="00577B77" w:rsidRDefault="00C416B4">
            <w:pPr>
              <w:rPr>
                <w:sz w:val="20"/>
                <w:szCs w:val="20"/>
              </w:rPr>
            </w:pPr>
            <w:r w:rsidRPr="00577B77">
              <w:rPr>
                <w:sz w:val="20"/>
                <w:szCs w:val="20"/>
              </w:rPr>
              <w:t>14</w:t>
            </w:r>
          </w:p>
        </w:tc>
        <w:tc>
          <w:tcPr>
            <w:tcW w:w="1500" w:type="dxa"/>
            <w:vAlign w:val="center"/>
            <w:hideMark/>
          </w:tcPr>
          <w:p w14:paraId="0D955E91" w14:textId="77777777" w:rsidR="00C416B4" w:rsidRPr="00577B77" w:rsidRDefault="00C416B4">
            <w:pPr>
              <w:rPr>
                <w:sz w:val="20"/>
                <w:szCs w:val="20"/>
              </w:rPr>
            </w:pPr>
            <w:r w:rsidRPr="00577B77">
              <w:rPr>
                <w:rStyle w:val="lev"/>
                <w:sz w:val="20"/>
                <w:szCs w:val="20"/>
              </w:rPr>
              <w:t>Cohérence méthodologique</w:t>
            </w:r>
          </w:p>
        </w:tc>
        <w:tc>
          <w:tcPr>
            <w:tcW w:w="2256" w:type="dxa"/>
            <w:vAlign w:val="center"/>
            <w:hideMark/>
          </w:tcPr>
          <w:p w14:paraId="36598B89" w14:textId="77777777" w:rsidR="00C416B4" w:rsidRPr="00577B77" w:rsidRDefault="00C416B4">
            <w:pPr>
              <w:rPr>
                <w:sz w:val="20"/>
                <w:szCs w:val="20"/>
              </w:rPr>
            </w:pPr>
            <w:r w:rsidRPr="00577B77">
              <w:rPr>
                <w:sz w:val="20"/>
                <w:szCs w:val="20"/>
              </w:rPr>
              <w:t>Conformité des méthodes utilisées aux standards définis</w:t>
            </w:r>
          </w:p>
        </w:tc>
        <w:tc>
          <w:tcPr>
            <w:tcW w:w="1529" w:type="dxa"/>
            <w:vAlign w:val="center"/>
            <w:hideMark/>
          </w:tcPr>
          <w:p w14:paraId="244ADCB7" w14:textId="77777777" w:rsidR="00C416B4" w:rsidRPr="00577B77" w:rsidRDefault="00C416B4">
            <w:pPr>
              <w:rPr>
                <w:sz w:val="20"/>
                <w:szCs w:val="20"/>
              </w:rPr>
            </w:pPr>
            <w:r w:rsidRPr="00577B77">
              <w:rPr>
                <w:sz w:val="20"/>
                <w:szCs w:val="20"/>
              </w:rPr>
              <w:t>% conformité (audit interne)</w:t>
            </w:r>
          </w:p>
        </w:tc>
        <w:tc>
          <w:tcPr>
            <w:tcW w:w="1246" w:type="dxa"/>
            <w:vAlign w:val="center"/>
            <w:hideMark/>
          </w:tcPr>
          <w:p w14:paraId="67021911" w14:textId="77777777" w:rsidR="00C416B4" w:rsidRPr="00577B77" w:rsidRDefault="00C416B4">
            <w:pPr>
              <w:rPr>
                <w:sz w:val="20"/>
                <w:szCs w:val="20"/>
              </w:rPr>
            </w:pPr>
            <w:r w:rsidRPr="00577B77">
              <w:rPr>
                <w:sz w:val="20"/>
                <w:szCs w:val="20"/>
              </w:rPr>
              <w:t>Note méthodologique + rapport final</w:t>
            </w:r>
          </w:p>
        </w:tc>
        <w:tc>
          <w:tcPr>
            <w:tcW w:w="821" w:type="dxa"/>
            <w:vAlign w:val="center"/>
            <w:hideMark/>
          </w:tcPr>
          <w:p w14:paraId="5688910B" w14:textId="77777777" w:rsidR="00C416B4" w:rsidRPr="00577B77" w:rsidRDefault="00C416B4">
            <w:pPr>
              <w:rPr>
                <w:sz w:val="20"/>
                <w:szCs w:val="20"/>
              </w:rPr>
            </w:pPr>
            <w:r w:rsidRPr="00577B77">
              <w:rPr>
                <w:sz w:val="20"/>
                <w:szCs w:val="20"/>
              </w:rPr>
              <w:t>≥ 90 %</w:t>
            </w:r>
          </w:p>
        </w:tc>
        <w:tc>
          <w:tcPr>
            <w:tcW w:w="1225" w:type="dxa"/>
            <w:vAlign w:val="center"/>
            <w:hideMark/>
          </w:tcPr>
          <w:p w14:paraId="5031341A" w14:textId="77777777" w:rsidR="00C416B4" w:rsidRPr="00577B77" w:rsidRDefault="00C416B4">
            <w:pPr>
              <w:rPr>
                <w:sz w:val="20"/>
                <w:szCs w:val="20"/>
              </w:rPr>
            </w:pPr>
            <w:r w:rsidRPr="00577B77">
              <w:rPr>
                <w:sz w:val="20"/>
                <w:szCs w:val="20"/>
              </w:rPr>
              <w:t>Note méthodo</w:t>
            </w:r>
          </w:p>
        </w:tc>
      </w:tr>
    </w:tbl>
    <w:p w14:paraId="626FE04E" w14:textId="3D5D0FD0" w:rsidR="004439B8" w:rsidRPr="00577B77" w:rsidRDefault="004439B8" w:rsidP="00861094">
      <w:pPr>
        <w:jc w:val="both"/>
        <w:rPr>
          <w:sz w:val="22"/>
          <w:szCs w:val="22"/>
        </w:rPr>
      </w:pPr>
    </w:p>
    <w:p w14:paraId="7F090305" w14:textId="77777777" w:rsidR="004439B8" w:rsidRPr="00577B77" w:rsidRDefault="004439B8" w:rsidP="00861094">
      <w:pPr>
        <w:jc w:val="both"/>
        <w:rPr>
          <w:sz w:val="22"/>
          <w:szCs w:val="22"/>
        </w:rPr>
      </w:pPr>
    </w:p>
    <w:p w14:paraId="133D749C" w14:textId="77777777" w:rsidR="001D27F6" w:rsidRPr="00577B77" w:rsidRDefault="001D27F6" w:rsidP="001D27F6">
      <w:pPr>
        <w:rPr>
          <w:sz w:val="22"/>
          <w:szCs w:val="22"/>
        </w:rPr>
      </w:pPr>
    </w:p>
    <w:p w14:paraId="37AF4BA1" w14:textId="77777777" w:rsidR="001D27F6" w:rsidRPr="00577B77" w:rsidRDefault="001D27F6">
      <w:pPr>
        <w:numPr>
          <w:ilvl w:val="0"/>
          <w:numId w:val="1"/>
        </w:numPr>
        <w:shd w:val="clear" w:color="auto" w:fill="E6E6E6"/>
        <w:tabs>
          <w:tab w:val="clear" w:pos="720"/>
          <w:tab w:val="num" w:pos="180"/>
        </w:tabs>
        <w:ind w:left="180"/>
        <w:rPr>
          <w:rFonts w:eastAsia="Arial Unicode MS"/>
          <w:b/>
          <w:sz w:val="22"/>
          <w:szCs w:val="22"/>
          <w:lang w:eastAsia="en-US"/>
        </w:rPr>
      </w:pPr>
      <w:r w:rsidRPr="00577B77">
        <w:rPr>
          <w:rFonts w:eastAsia="Arial Unicode MS"/>
          <w:b/>
          <w:sz w:val="22"/>
          <w:szCs w:val="22"/>
          <w:lang w:eastAsia="en-US"/>
        </w:rPr>
        <w:t>Informations pratiques</w:t>
      </w:r>
    </w:p>
    <w:p w14:paraId="79132BA8" w14:textId="77777777" w:rsidR="00A549E0" w:rsidRPr="00577B77" w:rsidRDefault="00A549E0" w:rsidP="00C85939">
      <w:pPr>
        <w:jc w:val="both"/>
        <w:rPr>
          <w:sz w:val="22"/>
          <w:szCs w:val="22"/>
        </w:rPr>
      </w:pPr>
    </w:p>
    <w:p w14:paraId="282CF8B6" w14:textId="2D0F240E" w:rsidR="00C90734" w:rsidRPr="00577B77" w:rsidRDefault="002056BD" w:rsidP="00C85939">
      <w:pPr>
        <w:jc w:val="both"/>
        <w:rPr>
          <w:sz w:val="22"/>
          <w:szCs w:val="22"/>
        </w:rPr>
      </w:pPr>
      <w:r w:rsidRPr="00577B77">
        <w:rPr>
          <w:sz w:val="22"/>
          <w:szCs w:val="22"/>
        </w:rPr>
        <w:t>NA</w:t>
      </w:r>
    </w:p>
    <w:p w14:paraId="604E2E37" w14:textId="77777777" w:rsidR="00C90734" w:rsidRPr="00577B77" w:rsidRDefault="00C90734" w:rsidP="00C85939">
      <w:pPr>
        <w:jc w:val="both"/>
        <w:rPr>
          <w:sz w:val="22"/>
          <w:szCs w:val="22"/>
        </w:rPr>
      </w:pPr>
    </w:p>
    <w:sectPr w:rsidR="00C90734" w:rsidRPr="00577B77" w:rsidSect="00932E04">
      <w:headerReference w:type="even" r:id="rId8"/>
      <w:headerReference w:type="default" r:id="rId9"/>
      <w:footerReference w:type="even" r:id="rId10"/>
      <w:footerReference w:type="default" r:id="rId11"/>
      <w:headerReference w:type="first" r:id="rId12"/>
      <w:footerReference w:type="first" r:id="rId13"/>
      <w:pgSz w:w="11906" w:h="16838"/>
      <w:pgMar w:top="1977" w:right="1417" w:bottom="1417" w:left="1417" w:header="708"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93BA" w14:textId="77777777" w:rsidR="003731D7" w:rsidRDefault="003731D7">
      <w:r>
        <w:separator/>
      </w:r>
    </w:p>
  </w:endnote>
  <w:endnote w:type="continuationSeparator" w:id="0">
    <w:p w14:paraId="41744188" w14:textId="77777777" w:rsidR="003731D7" w:rsidRDefault="0037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7A3" w14:textId="77777777" w:rsidR="007B7543" w:rsidRDefault="007B7543" w:rsidP="00261E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BDE012" w14:textId="77777777" w:rsidR="007B7543" w:rsidRDefault="007B7543" w:rsidP="0056140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AA1C" w14:textId="4463BC11" w:rsidR="007B7543" w:rsidRPr="00F37989" w:rsidRDefault="007B7543" w:rsidP="00261EB0">
    <w:pPr>
      <w:pStyle w:val="Pieddepage"/>
      <w:framePr w:wrap="around" w:vAnchor="text" w:hAnchor="margin" w:xAlign="right" w:y="1"/>
      <w:rPr>
        <w:rStyle w:val="Numrodepage"/>
        <w:rFonts w:ascii="Calibri" w:hAnsi="Calibri"/>
        <w:sz w:val="20"/>
        <w:szCs w:val="20"/>
      </w:rPr>
    </w:pPr>
    <w:r w:rsidRPr="00F37989">
      <w:rPr>
        <w:rStyle w:val="Numrodepage"/>
        <w:rFonts w:ascii="Calibri" w:hAnsi="Calibri"/>
        <w:sz w:val="20"/>
        <w:szCs w:val="20"/>
      </w:rPr>
      <w:fldChar w:fldCharType="begin"/>
    </w:r>
    <w:r w:rsidRPr="00F37989">
      <w:rPr>
        <w:rStyle w:val="Numrodepage"/>
        <w:rFonts w:ascii="Calibri" w:hAnsi="Calibri"/>
        <w:sz w:val="20"/>
        <w:szCs w:val="20"/>
      </w:rPr>
      <w:instrText xml:space="preserve">PAGE  </w:instrText>
    </w:r>
    <w:r w:rsidRPr="00F37989">
      <w:rPr>
        <w:rStyle w:val="Numrodepage"/>
        <w:rFonts w:ascii="Calibri" w:hAnsi="Calibri"/>
        <w:sz w:val="20"/>
        <w:szCs w:val="20"/>
      </w:rPr>
      <w:fldChar w:fldCharType="separate"/>
    </w:r>
    <w:r w:rsidR="000263DB">
      <w:rPr>
        <w:rStyle w:val="Numrodepage"/>
        <w:rFonts w:ascii="Calibri" w:hAnsi="Calibri"/>
        <w:noProof/>
        <w:sz w:val="20"/>
        <w:szCs w:val="20"/>
      </w:rPr>
      <w:t>7</w:t>
    </w:r>
    <w:r w:rsidRPr="00F37989">
      <w:rPr>
        <w:rStyle w:val="Numrodepage"/>
        <w:rFonts w:ascii="Calibri" w:hAnsi="Calibri"/>
        <w:sz w:val="20"/>
        <w:szCs w:val="20"/>
      </w:rPr>
      <w:fldChar w:fldCharType="end"/>
    </w:r>
  </w:p>
  <w:p w14:paraId="47A7F565" w14:textId="6A777282" w:rsidR="00870B8F" w:rsidRPr="001C1FC5" w:rsidRDefault="006D4B2A" w:rsidP="00870B8F">
    <w:pPr>
      <w:pStyle w:val="a"/>
      <w:widowControl w:val="0"/>
      <w:jc w:val="left"/>
      <w:rPr>
        <w:rFonts w:asciiTheme="minorHAnsi" w:hAnsiTheme="minorHAnsi" w:cs="Arial"/>
        <w:sz w:val="16"/>
        <w:szCs w:val="16"/>
      </w:rPr>
    </w:pPr>
    <w:r>
      <w:rPr>
        <w:rFonts w:asciiTheme="minorHAnsi" w:hAnsiTheme="minorHAnsi"/>
        <w:sz w:val="16"/>
        <w:szCs w:val="16"/>
      </w:rPr>
      <w:t>Expert</w:t>
    </w:r>
    <w:r w:rsidR="00870B8F">
      <w:rPr>
        <w:rFonts w:asciiTheme="minorHAnsi" w:hAnsiTheme="minorHAnsi"/>
        <w:sz w:val="16"/>
        <w:szCs w:val="16"/>
      </w:rPr>
      <w:t xml:space="preserve">ise France </w:t>
    </w:r>
    <w:r w:rsidR="00870B8F" w:rsidRPr="00E85978">
      <w:rPr>
        <w:rFonts w:asciiTheme="minorHAnsi" w:hAnsiTheme="minorHAnsi"/>
        <w:sz w:val="16"/>
        <w:szCs w:val="16"/>
      </w:rPr>
      <w:br/>
    </w:r>
    <w:r w:rsidR="00F20B71">
      <w:rPr>
        <w:rFonts w:asciiTheme="minorHAnsi" w:hAnsiTheme="minorHAnsi" w:cs="Arial"/>
        <w:sz w:val="16"/>
        <w:szCs w:val="16"/>
      </w:rPr>
      <w:t>SIRET : 808 734 792</w:t>
    </w:r>
    <w:r w:rsidR="00870B8F" w:rsidRPr="00E85978">
      <w:rPr>
        <w:rFonts w:asciiTheme="minorHAnsi" w:hAnsiTheme="minorHAnsi" w:cs="Arial"/>
        <w:sz w:val="16"/>
        <w:szCs w:val="16"/>
      </w:rPr>
      <w:t xml:space="preserve"> </w:t>
    </w:r>
    <w:r w:rsidR="00F20B71">
      <w:rPr>
        <w:rFonts w:asciiTheme="minorHAnsi" w:hAnsiTheme="minorHAnsi" w:cs="Arial"/>
        <w:sz w:val="16"/>
        <w:szCs w:val="16"/>
      </w:rPr>
      <w:t>– 40 Boulevar</w:t>
    </w:r>
    <w:r w:rsidR="00870B8F" w:rsidRPr="001C1FC5">
      <w:rPr>
        <w:rFonts w:asciiTheme="minorHAnsi" w:hAnsiTheme="minorHAnsi" w:cs="Arial"/>
        <w:sz w:val="16"/>
        <w:szCs w:val="16"/>
      </w:rPr>
      <w:t xml:space="preserve">d </w:t>
    </w:r>
    <w:r w:rsidR="00F20B71">
      <w:rPr>
        <w:rFonts w:asciiTheme="minorHAnsi" w:hAnsiTheme="minorHAnsi" w:cs="Arial"/>
        <w:sz w:val="16"/>
        <w:szCs w:val="16"/>
      </w:rPr>
      <w:t>de Port-Royal, 75</w:t>
    </w:r>
    <w:r w:rsidR="00870B8F" w:rsidRPr="001C1FC5">
      <w:rPr>
        <w:rFonts w:asciiTheme="minorHAnsi" w:hAnsiTheme="minorHAnsi" w:cs="Arial"/>
        <w:sz w:val="16"/>
        <w:szCs w:val="16"/>
      </w:rPr>
      <w:t>005 PARIS– France</w:t>
    </w:r>
  </w:p>
  <w:p w14:paraId="3FC0A592" w14:textId="77777777" w:rsidR="007B7543" w:rsidRDefault="007B7543" w:rsidP="00932E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AF23" w14:textId="3D20E556" w:rsidR="00870B8F" w:rsidRDefault="00283E74" w:rsidP="00870B8F">
    <w:pPr>
      <w:pStyle w:val="Pieddepage"/>
      <w:tabs>
        <w:tab w:val="clear" w:pos="4536"/>
      </w:tabs>
      <w:rPr>
        <w:rFonts w:asciiTheme="minorHAnsi" w:hAnsiTheme="minorHAnsi"/>
        <w:sz w:val="22"/>
      </w:rPr>
    </w:pPr>
    <w:r w:rsidRPr="00283E74">
      <w:rPr>
        <w:rFonts w:asciiTheme="minorHAnsi" w:hAnsiTheme="minorHAnsi"/>
        <w:sz w:val="22"/>
      </w:rPr>
      <w:t>R</w:t>
    </w:r>
    <w:r w:rsidR="00870B8F">
      <w:rPr>
        <w:rFonts w:asciiTheme="minorHAnsi" w:hAnsiTheme="minorHAnsi"/>
        <w:sz w:val="22"/>
      </w:rPr>
      <w:t xml:space="preserve">ef : </w:t>
    </w:r>
    <w:r w:rsidR="00870B8F" w:rsidRPr="00F20B71">
      <w:rPr>
        <w:rFonts w:asciiTheme="minorHAnsi" w:hAnsiTheme="minorHAnsi"/>
        <w:sz w:val="20"/>
        <w:szCs w:val="20"/>
      </w:rPr>
      <w:t>DAJ_M003_v02</w:t>
    </w:r>
    <w:r w:rsidR="00F20B71" w:rsidRPr="00F20B71">
      <w:rPr>
        <w:rFonts w:asciiTheme="minorHAnsi" w:hAnsiTheme="minorHAnsi"/>
        <w:sz w:val="20"/>
        <w:szCs w:val="20"/>
      </w:rPr>
      <w:t xml:space="preserve">, Juin </w:t>
    </w:r>
    <w:r w:rsidR="00DE6B38" w:rsidRPr="00F20B71">
      <w:rPr>
        <w:rFonts w:asciiTheme="minorHAnsi" w:hAnsiTheme="minorHAnsi"/>
        <w:sz w:val="20"/>
        <w:szCs w:val="20"/>
      </w:rPr>
      <w:t>2021</w:t>
    </w:r>
  </w:p>
  <w:p w14:paraId="2B45E8B1" w14:textId="1B837121" w:rsidR="00870B8F" w:rsidRPr="001C1FC5" w:rsidRDefault="006D4B2A" w:rsidP="00870B8F">
    <w:pPr>
      <w:pStyle w:val="a"/>
      <w:widowControl w:val="0"/>
      <w:jc w:val="left"/>
      <w:rPr>
        <w:rFonts w:asciiTheme="minorHAnsi" w:hAnsiTheme="minorHAnsi" w:cs="Arial"/>
        <w:sz w:val="16"/>
        <w:szCs w:val="16"/>
      </w:rPr>
    </w:pPr>
    <w:r>
      <w:rPr>
        <w:rFonts w:asciiTheme="minorHAnsi" w:hAnsiTheme="minorHAnsi"/>
        <w:sz w:val="16"/>
        <w:szCs w:val="16"/>
      </w:rPr>
      <w:t>Expert</w:t>
    </w:r>
    <w:r w:rsidR="00870B8F">
      <w:rPr>
        <w:rFonts w:asciiTheme="minorHAnsi" w:hAnsiTheme="minorHAnsi"/>
        <w:sz w:val="16"/>
        <w:szCs w:val="16"/>
      </w:rPr>
      <w:t xml:space="preserve">ise France </w:t>
    </w:r>
    <w:r w:rsidR="00870B8F" w:rsidRPr="00E85978">
      <w:rPr>
        <w:rFonts w:asciiTheme="minorHAnsi" w:hAnsiTheme="minorHAnsi"/>
        <w:sz w:val="16"/>
        <w:szCs w:val="16"/>
      </w:rPr>
      <w:br/>
    </w:r>
    <w:r w:rsidR="00F20B71">
      <w:rPr>
        <w:rFonts w:asciiTheme="minorHAnsi" w:hAnsiTheme="minorHAnsi" w:cs="Arial"/>
        <w:sz w:val="16"/>
        <w:szCs w:val="16"/>
      </w:rPr>
      <w:t>SIRET : 808 734 792</w:t>
    </w:r>
    <w:r w:rsidR="00870B8F" w:rsidRPr="00E85978">
      <w:rPr>
        <w:rFonts w:asciiTheme="minorHAnsi" w:hAnsiTheme="minorHAnsi" w:cs="Arial"/>
        <w:sz w:val="16"/>
        <w:szCs w:val="16"/>
      </w:rPr>
      <w:t xml:space="preserve"> </w:t>
    </w:r>
    <w:r w:rsidR="00F20B71">
      <w:rPr>
        <w:rFonts w:asciiTheme="minorHAnsi" w:hAnsiTheme="minorHAnsi" w:cs="Arial"/>
        <w:sz w:val="16"/>
        <w:szCs w:val="16"/>
      </w:rPr>
      <w:t>– 40 Boulevar</w:t>
    </w:r>
    <w:r w:rsidR="00870B8F" w:rsidRPr="001C1FC5">
      <w:rPr>
        <w:rFonts w:asciiTheme="minorHAnsi" w:hAnsiTheme="minorHAnsi" w:cs="Arial"/>
        <w:sz w:val="16"/>
        <w:szCs w:val="16"/>
      </w:rPr>
      <w:t>d</w:t>
    </w:r>
    <w:r w:rsidR="00F20B71">
      <w:rPr>
        <w:rFonts w:asciiTheme="minorHAnsi" w:hAnsiTheme="minorHAnsi" w:cs="Arial"/>
        <w:sz w:val="16"/>
        <w:szCs w:val="16"/>
      </w:rPr>
      <w:t xml:space="preserve"> de</w:t>
    </w:r>
    <w:r w:rsidR="00870B8F" w:rsidRPr="001C1FC5">
      <w:rPr>
        <w:rFonts w:asciiTheme="minorHAnsi" w:hAnsiTheme="minorHAnsi" w:cs="Arial"/>
        <w:sz w:val="16"/>
        <w:szCs w:val="16"/>
      </w:rPr>
      <w:t xml:space="preserve"> Port</w:t>
    </w:r>
    <w:r w:rsidR="00F20B71">
      <w:rPr>
        <w:rFonts w:asciiTheme="minorHAnsi" w:hAnsiTheme="minorHAnsi" w:cs="Arial"/>
        <w:sz w:val="16"/>
        <w:szCs w:val="16"/>
      </w:rPr>
      <w:t>-Royal, 75</w:t>
    </w:r>
    <w:r w:rsidR="00870B8F" w:rsidRPr="001C1FC5">
      <w:rPr>
        <w:rFonts w:asciiTheme="minorHAnsi" w:hAnsiTheme="minorHAnsi" w:cs="Arial"/>
        <w:sz w:val="16"/>
        <w:szCs w:val="16"/>
      </w:rPr>
      <w:t>005 PARIS– France</w:t>
    </w:r>
  </w:p>
  <w:p w14:paraId="32EF77A7" w14:textId="04800D04" w:rsidR="00283E74" w:rsidRPr="00283E74" w:rsidRDefault="00283E74" w:rsidP="00870B8F">
    <w:pPr>
      <w:pStyle w:val="Pieddepage"/>
      <w:tabs>
        <w:tab w:val="clear" w:pos="4536"/>
      </w:tabs>
      <w:rPr>
        <w:rFonts w:asciiTheme="minorHAnsi" w:hAnsiTheme="minorHAnsi"/>
        <w:sz w:val="22"/>
      </w:rPr>
    </w:pPr>
    <w:r w:rsidRPr="00283E74">
      <w:rPr>
        <w:rFonts w:asciiTheme="minorHAnsi" w:hAnsiTheme="minorHAnsi"/>
        <w:sz w:val="22"/>
      </w:rPr>
      <w:tab/>
    </w:r>
    <w:r w:rsidR="00870B8F">
      <w:rPr>
        <w:rFonts w:asciiTheme="minorHAnsi" w:hAnsiTheme="minorHAnsi"/>
        <w:sz w:val="22"/>
      </w:rPr>
      <w:t xml:space="preserve"> </w:t>
    </w:r>
    <w:r w:rsidRPr="00283E74">
      <w:rPr>
        <w:rFonts w:asciiTheme="minorHAnsi" w:hAnsiTheme="minorHAnsi"/>
        <w:sz w:val="22"/>
      </w:rPr>
      <w:t xml:space="preserve"> </w:t>
    </w:r>
    <w:sdt>
      <w:sdtPr>
        <w:rPr>
          <w:rFonts w:asciiTheme="minorHAnsi" w:hAnsiTheme="minorHAnsi"/>
          <w:sz w:val="22"/>
        </w:rPr>
        <w:id w:val="1539232924"/>
        <w:docPartObj>
          <w:docPartGallery w:val="Page Numbers (Bottom of Page)"/>
          <w:docPartUnique/>
        </w:docPartObj>
      </w:sdtPr>
      <w:sdtContent>
        <w:sdt>
          <w:sdtPr>
            <w:rPr>
              <w:rFonts w:asciiTheme="minorHAnsi" w:hAnsiTheme="minorHAnsi"/>
              <w:sz w:val="22"/>
            </w:rPr>
            <w:id w:val="-1769616900"/>
            <w:docPartObj>
              <w:docPartGallery w:val="Page Numbers (Top of Page)"/>
              <w:docPartUnique/>
            </w:docPartObj>
          </w:sdtPr>
          <w:sdtContent>
            <w:r w:rsidRPr="00283E74">
              <w:rPr>
                <w:rFonts w:asciiTheme="minorHAnsi" w:hAnsiTheme="minorHAnsi"/>
                <w:sz w:val="22"/>
              </w:rPr>
              <w:t xml:space="preserve">Page </w:t>
            </w:r>
            <w:r w:rsidRPr="00283E74">
              <w:rPr>
                <w:rFonts w:asciiTheme="minorHAnsi" w:hAnsiTheme="minorHAnsi"/>
                <w:b/>
                <w:bCs/>
                <w:sz w:val="22"/>
              </w:rPr>
              <w:fldChar w:fldCharType="begin"/>
            </w:r>
            <w:r w:rsidRPr="00283E74">
              <w:rPr>
                <w:rFonts w:asciiTheme="minorHAnsi" w:hAnsiTheme="minorHAnsi"/>
                <w:b/>
                <w:bCs/>
                <w:sz w:val="22"/>
              </w:rPr>
              <w:instrText>PAGE</w:instrText>
            </w:r>
            <w:r w:rsidRPr="00283E74">
              <w:rPr>
                <w:rFonts w:asciiTheme="minorHAnsi" w:hAnsiTheme="minorHAnsi"/>
                <w:b/>
                <w:bCs/>
                <w:sz w:val="22"/>
              </w:rPr>
              <w:fldChar w:fldCharType="separate"/>
            </w:r>
            <w:r w:rsidR="000263DB">
              <w:rPr>
                <w:rFonts w:asciiTheme="minorHAnsi" w:hAnsiTheme="minorHAnsi"/>
                <w:b/>
                <w:bCs/>
                <w:noProof/>
                <w:sz w:val="22"/>
              </w:rPr>
              <w:t>1</w:t>
            </w:r>
            <w:r w:rsidRPr="00283E74">
              <w:rPr>
                <w:rFonts w:asciiTheme="minorHAnsi" w:hAnsiTheme="minorHAnsi"/>
                <w:b/>
                <w:bCs/>
                <w:sz w:val="22"/>
              </w:rPr>
              <w:fldChar w:fldCharType="end"/>
            </w:r>
            <w:r w:rsidRPr="00283E74">
              <w:rPr>
                <w:rFonts w:asciiTheme="minorHAnsi" w:hAnsiTheme="minorHAnsi"/>
                <w:sz w:val="22"/>
              </w:rPr>
              <w:t xml:space="preserve"> sur </w:t>
            </w:r>
            <w:r w:rsidRPr="00283E74">
              <w:rPr>
                <w:rFonts w:asciiTheme="minorHAnsi" w:hAnsiTheme="minorHAnsi"/>
                <w:b/>
                <w:bCs/>
                <w:sz w:val="22"/>
              </w:rPr>
              <w:fldChar w:fldCharType="begin"/>
            </w:r>
            <w:r w:rsidRPr="00283E74">
              <w:rPr>
                <w:rFonts w:asciiTheme="minorHAnsi" w:hAnsiTheme="minorHAnsi"/>
                <w:b/>
                <w:bCs/>
                <w:sz w:val="22"/>
              </w:rPr>
              <w:instrText>NUMPAGES</w:instrText>
            </w:r>
            <w:r w:rsidRPr="00283E74">
              <w:rPr>
                <w:rFonts w:asciiTheme="minorHAnsi" w:hAnsiTheme="minorHAnsi"/>
                <w:b/>
                <w:bCs/>
                <w:sz w:val="22"/>
              </w:rPr>
              <w:fldChar w:fldCharType="separate"/>
            </w:r>
            <w:r w:rsidR="000263DB">
              <w:rPr>
                <w:rFonts w:asciiTheme="minorHAnsi" w:hAnsiTheme="minorHAnsi"/>
                <w:b/>
                <w:bCs/>
                <w:noProof/>
                <w:sz w:val="22"/>
              </w:rPr>
              <w:t>10</w:t>
            </w:r>
            <w:r w:rsidRPr="00283E74">
              <w:rPr>
                <w:rFonts w:asciiTheme="minorHAnsi" w:hAnsiTheme="minorHAnsi"/>
                <w:b/>
                <w:bCs/>
                <w:sz w:val="22"/>
              </w:rPr>
              <w:fldChar w:fldCharType="end"/>
            </w:r>
          </w:sdtContent>
        </w:sdt>
      </w:sdtContent>
    </w:sdt>
  </w:p>
  <w:p w14:paraId="7E9E8931" w14:textId="182A89A7" w:rsidR="00283E74" w:rsidRPr="00283E74" w:rsidRDefault="00283E74" w:rsidP="00283E74">
    <w:pPr>
      <w:pStyle w:val="Pieddepage"/>
      <w:tabs>
        <w:tab w:val="clear" w:pos="453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3DBD" w14:textId="77777777" w:rsidR="003731D7" w:rsidRDefault="003731D7">
      <w:r>
        <w:separator/>
      </w:r>
    </w:p>
  </w:footnote>
  <w:footnote w:type="continuationSeparator" w:id="0">
    <w:p w14:paraId="7D975A80" w14:textId="77777777" w:rsidR="003731D7" w:rsidRDefault="0037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9D88" w14:textId="77777777" w:rsidR="007B7543" w:rsidRDefault="007B7543">
    <w:pPr>
      <w:pStyle w:val="En-tte"/>
    </w:pPr>
    <w:r>
      <w:rPr>
        <w:noProof/>
      </w:rPr>
      <w:drawing>
        <wp:anchor distT="0" distB="0" distL="114300" distR="114300" simplePos="0" relativeHeight="251656192" behindDoc="1" locked="0" layoutInCell="0" allowOverlap="1" wp14:anchorId="4843DAA7" wp14:editId="6E2817E6">
          <wp:simplePos x="0" y="0"/>
          <wp:positionH relativeFrom="margin">
            <wp:align>center</wp:align>
          </wp:positionH>
          <wp:positionV relativeFrom="margin">
            <wp:align>center</wp:align>
          </wp:positionV>
          <wp:extent cx="10706100" cy="10693400"/>
          <wp:effectExtent l="19050" t="0" r="0" b="0"/>
          <wp:wrapNone/>
          <wp:docPr id="1" name="Image 1"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 FEI"/>
                  <pic:cNvPicPr>
                    <a:picLocks noChangeAspect="1" noChangeArrowheads="1"/>
                  </pic:cNvPicPr>
                </pic:nvPicPr>
                <pic:blipFill>
                  <a:blip r:embed="rId1">
                    <a:lum bright="70000" contrast="-70000"/>
                  </a:blip>
                  <a:srcRect/>
                  <a:stretch>
                    <a:fillRect/>
                  </a:stretch>
                </pic:blipFill>
                <pic:spPr bwMode="auto">
                  <a:xfrm>
                    <a:off x="0" y="0"/>
                    <a:ext cx="10706100" cy="10693400"/>
                  </a:xfrm>
                  <a:prstGeom prst="rect">
                    <a:avLst/>
                  </a:prstGeom>
                  <a:noFill/>
                </pic:spPr>
              </pic:pic>
            </a:graphicData>
          </a:graphic>
        </wp:anchor>
      </w:drawing>
    </w:r>
    <w:r w:rsidR="00000000">
      <w:rPr>
        <w:noProof/>
      </w:rPr>
      <w:pict w14:anchorId="1329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843pt;height:842pt;z-index:-251657216;mso-position-horizontal:center;mso-position-horizontal-relative:margin;mso-position-vertical:center;mso-position-vertical-relative:margin" o:allowincell="f">
          <v:imagedata r:id="rId2" o:title="Fond FE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4378" w14:textId="247ED109" w:rsidR="00932E04" w:rsidRPr="00707B69" w:rsidRDefault="00870B8F" w:rsidP="00932E04">
    <w:pPr>
      <w:pStyle w:val="En-tte"/>
      <w:rPr>
        <w:rFonts w:ascii="Calibri" w:hAnsi="Calibri" w:cs="Arial"/>
      </w:rPr>
    </w:pPr>
    <w:r w:rsidRPr="001C1FC5">
      <w:rPr>
        <w:rFonts w:cs="Arial"/>
        <w:noProof/>
        <w:sz w:val="16"/>
        <w:szCs w:val="16"/>
      </w:rPr>
      <w:drawing>
        <wp:anchor distT="0" distB="0" distL="114300" distR="114300" simplePos="0" relativeHeight="251658240" behindDoc="0" locked="0" layoutInCell="1" allowOverlap="1" wp14:anchorId="30260F2D" wp14:editId="78BB70E7">
          <wp:simplePos x="0" y="0"/>
          <wp:positionH relativeFrom="column">
            <wp:posOffset>-114300</wp:posOffset>
          </wp:positionH>
          <wp:positionV relativeFrom="paragraph">
            <wp:posOffset>-295910</wp:posOffset>
          </wp:positionV>
          <wp:extent cx="1259840" cy="4191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27781" r="11040" b="29804"/>
                  <a:stretch/>
                </pic:blipFill>
                <pic:spPr bwMode="auto">
                  <a:xfrm>
                    <a:off x="0" y="0"/>
                    <a:ext cx="12598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72FA7" w14:textId="5C8EACBA" w:rsidR="00932E04" w:rsidRPr="00972A8E" w:rsidRDefault="00577B77" w:rsidP="00932E04">
    <w:pPr>
      <w:pStyle w:val="En-tte"/>
      <w:tabs>
        <w:tab w:val="clear" w:pos="4536"/>
        <w:tab w:val="clear" w:pos="9072"/>
        <w:tab w:val="right" w:pos="9781"/>
      </w:tabs>
      <w:rPr>
        <w:rFonts w:ascii="Calibri" w:hAnsi="Calibri" w:cs="Arial"/>
        <w:sz w:val="18"/>
        <w:u w:val="single"/>
        <w:lang w:val="en-US"/>
      </w:rPr>
    </w:pPr>
    <w:r>
      <w:rPr>
        <w:rFonts w:ascii="Calibri" w:hAnsi="Calibri" w:cs="Arial"/>
        <w:b/>
        <w:smallCaps/>
        <w:lang w:val="en-US"/>
      </w:rPr>
      <w:t>termes de référence</w:t>
    </w:r>
  </w:p>
  <w:p w14:paraId="3E6C0A6F" w14:textId="0FC1B7B2" w:rsidR="00932E04" w:rsidRPr="00972A8E" w:rsidRDefault="00932E04" w:rsidP="00932E04">
    <w:pPr>
      <w:pStyle w:val="En-tte"/>
      <w:tabs>
        <w:tab w:val="clear" w:pos="4536"/>
        <w:tab w:val="clear" w:pos="9072"/>
        <w:tab w:val="right" w:pos="9781"/>
      </w:tabs>
      <w:rPr>
        <w:rFonts w:ascii="Calibri" w:hAnsi="Calibri" w:cs="Arial"/>
        <w:sz w:val="18"/>
        <w:u w:val="single"/>
        <w:lang w:val="en-US"/>
      </w:rPr>
    </w:pPr>
    <w:r w:rsidRPr="00972A8E">
      <w:rPr>
        <w:rFonts w:ascii="Calibri" w:hAnsi="Calibri" w:cs="Arial"/>
        <w:sz w:val="18"/>
        <w:u w:val="single"/>
        <w:lang w:val="en-US"/>
      </w:rPr>
      <w:tab/>
    </w:r>
  </w:p>
  <w:p w14:paraId="51D92C66" w14:textId="77777777" w:rsidR="00932E04" w:rsidRPr="00972A8E" w:rsidRDefault="00932E04" w:rsidP="00932E04">
    <w:pPr>
      <w:pStyle w:val="En-tte"/>
      <w:tabs>
        <w:tab w:val="clear" w:pos="4536"/>
        <w:tab w:val="clear" w:pos="9072"/>
        <w:tab w:val="right" w:pos="9781"/>
      </w:tabs>
      <w:rPr>
        <w:rFonts w:ascii="Calibri" w:hAnsi="Calibri" w:cs="Arial"/>
        <w:sz w:val="18"/>
        <w:u w:val="single"/>
        <w:lang w:val="en-US"/>
      </w:rPr>
    </w:pPr>
  </w:p>
  <w:p w14:paraId="76B902E6" w14:textId="77777777" w:rsidR="00B27244" w:rsidRPr="00932E04" w:rsidRDefault="00B27244">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C669" w14:textId="50DCDAB7" w:rsidR="007B7543" w:rsidRDefault="00870B8F">
    <w:pPr>
      <w:pStyle w:val="En-tte"/>
    </w:pPr>
    <w:r w:rsidRPr="001C1FC5">
      <w:rPr>
        <w:rFonts w:cs="Arial"/>
        <w:noProof/>
        <w:sz w:val="16"/>
        <w:szCs w:val="16"/>
      </w:rPr>
      <w:drawing>
        <wp:anchor distT="0" distB="0" distL="114300" distR="114300" simplePos="0" relativeHeight="251657216" behindDoc="0" locked="0" layoutInCell="1" allowOverlap="1" wp14:anchorId="43BF8DC0" wp14:editId="08106420">
          <wp:simplePos x="0" y="0"/>
          <wp:positionH relativeFrom="column">
            <wp:posOffset>-180975</wp:posOffset>
          </wp:positionH>
          <wp:positionV relativeFrom="paragraph">
            <wp:posOffset>-76835</wp:posOffset>
          </wp:positionV>
          <wp:extent cx="1259840" cy="4191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27781" r="11040" b="29804"/>
                  <a:stretch/>
                </pic:blipFill>
                <pic:spPr bwMode="auto">
                  <a:xfrm>
                    <a:off x="0" y="0"/>
                    <a:ext cx="12598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56F"/>
    <w:multiLevelType w:val="multilevel"/>
    <w:tmpl w:val="E89EB34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7C10BF"/>
    <w:multiLevelType w:val="multilevel"/>
    <w:tmpl w:val="448A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324EB"/>
    <w:multiLevelType w:val="multilevel"/>
    <w:tmpl w:val="15A2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12342"/>
    <w:multiLevelType w:val="hybridMultilevel"/>
    <w:tmpl w:val="9C82B4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E1F7D36"/>
    <w:multiLevelType w:val="hybridMultilevel"/>
    <w:tmpl w:val="93AE02B8"/>
    <w:lvl w:ilvl="0" w:tplc="300C0005">
      <w:start w:val="1"/>
      <w:numFmt w:val="bullet"/>
      <w:lvlText w:val=""/>
      <w:lvlJc w:val="left"/>
      <w:pPr>
        <w:ind w:left="720" w:hanging="360"/>
      </w:pPr>
      <w:rPr>
        <w:rFonts w:ascii="Wingdings" w:hAnsi="Wingdings"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EAE410D"/>
    <w:multiLevelType w:val="multilevel"/>
    <w:tmpl w:val="9888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D6985"/>
    <w:multiLevelType w:val="hybridMultilevel"/>
    <w:tmpl w:val="E39C81F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5BE1084"/>
    <w:multiLevelType w:val="multilevel"/>
    <w:tmpl w:val="8368B9A6"/>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AEE3178"/>
    <w:multiLevelType w:val="multilevel"/>
    <w:tmpl w:val="0EE8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D4060"/>
    <w:multiLevelType w:val="multilevel"/>
    <w:tmpl w:val="A3B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173EF"/>
    <w:multiLevelType w:val="hybridMultilevel"/>
    <w:tmpl w:val="DC9CFC9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2" w15:restartNumberingAfterBreak="0">
    <w:nsid w:val="45494617"/>
    <w:multiLevelType w:val="multilevel"/>
    <w:tmpl w:val="9E744E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F4304"/>
    <w:multiLevelType w:val="multilevel"/>
    <w:tmpl w:val="18DE69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B57FA"/>
    <w:multiLevelType w:val="multilevel"/>
    <w:tmpl w:val="C56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90D26"/>
    <w:multiLevelType w:val="hybridMultilevel"/>
    <w:tmpl w:val="3C60B370"/>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6" w15:restartNumberingAfterBreak="0">
    <w:nsid w:val="6B317C1F"/>
    <w:multiLevelType w:val="multilevel"/>
    <w:tmpl w:val="2352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20974"/>
    <w:multiLevelType w:val="hybridMultilevel"/>
    <w:tmpl w:val="B900A840"/>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15:restartNumberingAfterBreak="0">
    <w:nsid w:val="6F317C06"/>
    <w:multiLevelType w:val="multilevel"/>
    <w:tmpl w:val="99A60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225270"/>
    <w:multiLevelType w:val="multilevel"/>
    <w:tmpl w:val="8368B9A6"/>
    <w:lvl w:ilvl="0">
      <w:start w:val="1"/>
      <w:numFmt w:val="decimal"/>
      <w:lvlText w:val="%1."/>
      <w:lvlJc w:val="left"/>
      <w:pPr>
        <w:tabs>
          <w:tab w:val="num" w:pos="360"/>
        </w:tabs>
        <w:ind w:left="360" w:hanging="360"/>
      </w:pPr>
    </w:lvl>
    <w:lvl w:ilvl="1">
      <w:start w:val="1"/>
      <w:numFmt w:val="bullet"/>
      <w:lvlText w:val=""/>
      <w:lvlJc w:val="left"/>
      <w:pPr>
        <w:ind w:left="72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47B61E4"/>
    <w:multiLevelType w:val="multilevel"/>
    <w:tmpl w:val="7CF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E255B"/>
    <w:multiLevelType w:val="multilevel"/>
    <w:tmpl w:val="A38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963956">
    <w:abstractNumId w:val="4"/>
  </w:num>
  <w:num w:numId="2" w16cid:durableId="1911694498">
    <w:abstractNumId w:val="3"/>
  </w:num>
  <w:num w:numId="3" w16cid:durableId="1688215063">
    <w:abstractNumId w:val="18"/>
  </w:num>
  <w:num w:numId="4" w16cid:durableId="1089693652">
    <w:abstractNumId w:val="7"/>
  </w:num>
  <w:num w:numId="5" w16cid:durableId="185219987">
    <w:abstractNumId w:val="6"/>
  </w:num>
  <w:num w:numId="6" w16cid:durableId="1413772110">
    <w:abstractNumId w:val="20"/>
  </w:num>
  <w:num w:numId="7" w16cid:durableId="470489218">
    <w:abstractNumId w:val="2"/>
  </w:num>
  <w:num w:numId="8" w16cid:durableId="746616252">
    <w:abstractNumId w:val="14"/>
  </w:num>
  <w:num w:numId="9" w16cid:durableId="1340235046">
    <w:abstractNumId w:val="9"/>
  </w:num>
  <w:num w:numId="10" w16cid:durableId="1418863759">
    <w:abstractNumId w:val="11"/>
  </w:num>
  <w:num w:numId="11" w16cid:durableId="681050447">
    <w:abstractNumId w:val="12"/>
  </w:num>
  <w:num w:numId="12" w16cid:durableId="1275945516">
    <w:abstractNumId w:val="5"/>
  </w:num>
  <w:num w:numId="13" w16cid:durableId="911934850">
    <w:abstractNumId w:val="17"/>
  </w:num>
  <w:num w:numId="14" w16cid:durableId="906067832">
    <w:abstractNumId w:val="15"/>
  </w:num>
  <w:num w:numId="15" w16cid:durableId="1167789526">
    <w:abstractNumId w:val="13"/>
  </w:num>
  <w:num w:numId="16" w16cid:durableId="1711800834">
    <w:abstractNumId w:val="19"/>
  </w:num>
  <w:num w:numId="17" w16cid:durableId="606234559">
    <w:abstractNumId w:val="0"/>
  </w:num>
  <w:num w:numId="18" w16cid:durableId="2112318214">
    <w:abstractNumId w:val="10"/>
  </w:num>
  <w:num w:numId="19" w16cid:durableId="5596105">
    <w:abstractNumId w:val="1"/>
  </w:num>
  <w:num w:numId="20" w16cid:durableId="2002611787">
    <w:abstractNumId w:val="16"/>
  </w:num>
  <w:num w:numId="21" w16cid:durableId="123548960">
    <w:abstractNumId w:val="21"/>
  </w:num>
  <w:num w:numId="22" w16cid:durableId="11025085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50"/>
    <w:rsid w:val="00001473"/>
    <w:rsid w:val="00004F42"/>
    <w:rsid w:val="00016D5B"/>
    <w:rsid w:val="00023D47"/>
    <w:rsid w:val="000263DB"/>
    <w:rsid w:val="00030FE2"/>
    <w:rsid w:val="00043041"/>
    <w:rsid w:val="0005150B"/>
    <w:rsid w:val="00055547"/>
    <w:rsid w:val="00060146"/>
    <w:rsid w:val="000630CD"/>
    <w:rsid w:val="00067734"/>
    <w:rsid w:val="0007063D"/>
    <w:rsid w:val="000729F8"/>
    <w:rsid w:val="00074E17"/>
    <w:rsid w:val="00091ED6"/>
    <w:rsid w:val="000942EE"/>
    <w:rsid w:val="0009628C"/>
    <w:rsid w:val="000972A8"/>
    <w:rsid w:val="000A3EB1"/>
    <w:rsid w:val="000B23F1"/>
    <w:rsid w:val="000B5012"/>
    <w:rsid w:val="000B7D24"/>
    <w:rsid w:val="000C2522"/>
    <w:rsid w:val="000C38CD"/>
    <w:rsid w:val="000C4797"/>
    <w:rsid w:val="000D0C1B"/>
    <w:rsid w:val="000E75D7"/>
    <w:rsid w:val="000F55A9"/>
    <w:rsid w:val="001020BB"/>
    <w:rsid w:val="0010576D"/>
    <w:rsid w:val="0010646A"/>
    <w:rsid w:val="001133D5"/>
    <w:rsid w:val="00115F5C"/>
    <w:rsid w:val="001343FC"/>
    <w:rsid w:val="00135AF5"/>
    <w:rsid w:val="001441C8"/>
    <w:rsid w:val="00161C54"/>
    <w:rsid w:val="0016429A"/>
    <w:rsid w:val="0017140E"/>
    <w:rsid w:val="001814F8"/>
    <w:rsid w:val="00181B27"/>
    <w:rsid w:val="00182325"/>
    <w:rsid w:val="001861DC"/>
    <w:rsid w:val="00187AD4"/>
    <w:rsid w:val="001927C4"/>
    <w:rsid w:val="0019451A"/>
    <w:rsid w:val="001A29FD"/>
    <w:rsid w:val="001B7333"/>
    <w:rsid w:val="001C534A"/>
    <w:rsid w:val="001C6D6C"/>
    <w:rsid w:val="001D27F6"/>
    <w:rsid w:val="001D6119"/>
    <w:rsid w:val="001E5EB8"/>
    <w:rsid w:val="001E6E76"/>
    <w:rsid w:val="00200266"/>
    <w:rsid w:val="0020249E"/>
    <w:rsid w:val="002056BD"/>
    <w:rsid w:val="00225A55"/>
    <w:rsid w:val="00257A40"/>
    <w:rsid w:val="00257AA9"/>
    <w:rsid w:val="00261EB0"/>
    <w:rsid w:val="00281B2F"/>
    <w:rsid w:val="00283E74"/>
    <w:rsid w:val="00292DA8"/>
    <w:rsid w:val="002A361E"/>
    <w:rsid w:val="002B55DC"/>
    <w:rsid w:val="002B6697"/>
    <w:rsid w:val="002C1496"/>
    <w:rsid w:val="002C2D52"/>
    <w:rsid w:val="002C6EDB"/>
    <w:rsid w:val="002D64BE"/>
    <w:rsid w:val="002E2558"/>
    <w:rsid w:val="002F4775"/>
    <w:rsid w:val="002F56B7"/>
    <w:rsid w:val="00304DFC"/>
    <w:rsid w:val="00304F47"/>
    <w:rsid w:val="00310F15"/>
    <w:rsid w:val="00320ED4"/>
    <w:rsid w:val="00342D93"/>
    <w:rsid w:val="0035719D"/>
    <w:rsid w:val="00361C7F"/>
    <w:rsid w:val="00361E2D"/>
    <w:rsid w:val="0036493B"/>
    <w:rsid w:val="003722CE"/>
    <w:rsid w:val="00372FD9"/>
    <w:rsid w:val="003731D7"/>
    <w:rsid w:val="00373D7B"/>
    <w:rsid w:val="00390C30"/>
    <w:rsid w:val="0039263E"/>
    <w:rsid w:val="003A0700"/>
    <w:rsid w:val="003A7185"/>
    <w:rsid w:val="003A7507"/>
    <w:rsid w:val="003B00F9"/>
    <w:rsid w:val="003B79B7"/>
    <w:rsid w:val="003C308C"/>
    <w:rsid w:val="00414B6B"/>
    <w:rsid w:val="0041571A"/>
    <w:rsid w:val="004252AC"/>
    <w:rsid w:val="004439B8"/>
    <w:rsid w:val="00466A83"/>
    <w:rsid w:val="0047117E"/>
    <w:rsid w:val="00475709"/>
    <w:rsid w:val="00477FBF"/>
    <w:rsid w:val="00483E58"/>
    <w:rsid w:val="00484FFE"/>
    <w:rsid w:val="004A01DA"/>
    <w:rsid w:val="004A529D"/>
    <w:rsid w:val="004B27A3"/>
    <w:rsid w:val="004B4F74"/>
    <w:rsid w:val="004B73C3"/>
    <w:rsid w:val="004B7D32"/>
    <w:rsid w:val="004C1D0E"/>
    <w:rsid w:val="004D28C2"/>
    <w:rsid w:val="004D4894"/>
    <w:rsid w:val="004F0DD7"/>
    <w:rsid w:val="00504682"/>
    <w:rsid w:val="0051484F"/>
    <w:rsid w:val="005175A5"/>
    <w:rsid w:val="00517CA0"/>
    <w:rsid w:val="005245DD"/>
    <w:rsid w:val="00527F33"/>
    <w:rsid w:val="005433DB"/>
    <w:rsid w:val="00544DBE"/>
    <w:rsid w:val="005543AC"/>
    <w:rsid w:val="005568BE"/>
    <w:rsid w:val="00561408"/>
    <w:rsid w:val="005640DD"/>
    <w:rsid w:val="00566B92"/>
    <w:rsid w:val="00570273"/>
    <w:rsid w:val="005705AC"/>
    <w:rsid w:val="00571EAE"/>
    <w:rsid w:val="00572A2F"/>
    <w:rsid w:val="00573F0A"/>
    <w:rsid w:val="00573F5D"/>
    <w:rsid w:val="00577B77"/>
    <w:rsid w:val="00582DF4"/>
    <w:rsid w:val="005859A2"/>
    <w:rsid w:val="005A0EBB"/>
    <w:rsid w:val="005A246A"/>
    <w:rsid w:val="005B6413"/>
    <w:rsid w:val="005C0011"/>
    <w:rsid w:val="005C0BC2"/>
    <w:rsid w:val="005C1113"/>
    <w:rsid w:val="005C647F"/>
    <w:rsid w:val="005D3C1A"/>
    <w:rsid w:val="005E242C"/>
    <w:rsid w:val="005E5F22"/>
    <w:rsid w:val="00600B22"/>
    <w:rsid w:val="00606D3A"/>
    <w:rsid w:val="00612D61"/>
    <w:rsid w:val="006259FA"/>
    <w:rsid w:val="00631124"/>
    <w:rsid w:val="006334BD"/>
    <w:rsid w:val="00671483"/>
    <w:rsid w:val="00675133"/>
    <w:rsid w:val="006915E8"/>
    <w:rsid w:val="006B4815"/>
    <w:rsid w:val="006B565D"/>
    <w:rsid w:val="006B5831"/>
    <w:rsid w:val="006C0601"/>
    <w:rsid w:val="006C53A4"/>
    <w:rsid w:val="006D0316"/>
    <w:rsid w:val="006D0357"/>
    <w:rsid w:val="006D1B8F"/>
    <w:rsid w:val="006D438C"/>
    <w:rsid w:val="006D4B2A"/>
    <w:rsid w:val="006D53E3"/>
    <w:rsid w:val="006D5989"/>
    <w:rsid w:val="006D71C7"/>
    <w:rsid w:val="006F4E71"/>
    <w:rsid w:val="007221B0"/>
    <w:rsid w:val="00724D6B"/>
    <w:rsid w:val="00725A3A"/>
    <w:rsid w:val="0074075A"/>
    <w:rsid w:val="007541A7"/>
    <w:rsid w:val="007566C1"/>
    <w:rsid w:val="0076221F"/>
    <w:rsid w:val="007648E0"/>
    <w:rsid w:val="0076595C"/>
    <w:rsid w:val="00777EC5"/>
    <w:rsid w:val="0078035C"/>
    <w:rsid w:val="00781C92"/>
    <w:rsid w:val="0078270B"/>
    <w:rsid w:val="00797CEA"/>
    <w:rsid w:val="007A6627"/>
    <w:rsid w:val="007A68E0"/>
    <w:rsid w:val="007A6963"/>
    <w:rsid w:val="007A78AB"/>
    <w:rsid w:val="007B7543"/>
    <w:rsid w:val="007C5930"/>
    <w:rsid w:val="007C5E84"/>
    <w:rsid w:val="007D4E62"/>
    <w:rsid w:val="007E2C68"/>
    <w:rsid w:val="007E3BA6"/>
    <w:rsid w:val="007F1763"/>
    <w:rsid w:val="007F3B58"/>
    <w:rsid w:val="00802FB2"/>
    <w:rsid w:val="00807BE1"/>
    <w:rsid w:val="00811A93"/>
    <w:rsid w:val="00813DB8"/>
    <w:rsid w:val="00816671"/>
    <w:rsid w:val="00826321"/>
    <w:rsid w:val="00827998"/>
    <w:rsid w:val="00851ADF"/>
    <w:rsid w:val="00853D24"/>
    <w:rsid w:val="0085681B"/>
    <w:rsid w:val="008570BD"/>
    <w:rsid w:val="00861094"/>
    <w:rsid w:val="00862471"/>
    <w:rsid w:val="008656A8"/>
    <w:rsid w:val="00870B8F"/>
    <w:rsid w:val="008904E9"/>
    <w:rsid w:val="00894FD8"/>
    <w:rsid w:val="008A1BC0"/>
    <w:rsid w:val="008A3A79"/>
    <w:rsid w:val="008A59C4"/>
    <w:rsid w:val="008B3831"/>
    <w:rsid w:val="008B4C74"/>
    <w:rsid w:val="008B5A29"/>
    <w:rsid w:val="008C0578"/>
    <w:rsid w:val="008C3561"/>
    <w:rsid w:val="008D5785"/>
    <w:rsid w:val="008E2E66"/>
    <w:rsid w:val="008E7E3F"/>
    <w:rsid w:val="008F436C"/>
    <w:rsid w:val="008F5EE2"/>
    <w:rsid w:val="0090098F"/>
    <w:rsid w:val="0090138E"/>
    <w:rsid w:val="00906B81"/>
    <w:rsid w:val="00911946"/>
    <w:rsid w:val="0091201F"/>
    <w:rsid w:val="009236DE"/>
    <w:rsid w:val="00925D18"/>
    <w:rsid w:val="009323A8"/>
    <w:rsid w:val="00932C58"/>
    <w:rsid w:val="00932E04"/>
    <w:rsid w:val="00934199"/>
    <w:rsid w:val="0094211D"/>
    <w:rsid w:val="00957D80"/>
    <w:rsid w:val="0096079E"/>
    <w:rsid w:val="009649DE"/>
    <w:rsid w:val="00965444"/>
    <w:rsid w:val="009724D1"/>
    <w:rsid w:val="00972757"/>
    <w:rsid w:val="00973E68"/>
    <w:rsid w:val="009758EA"/>
    <w:rsid w:val="00982D83"/>
    <w:rsid w:val="00983FF0"/>
    <w:rsid w:val="00990AD2"/>
    <w:rsid w:val="009A0825"/>
    <w:rsid w:val="009A38B1"/>
    <w:rsid w:val="009D6EC9"/>
    <w:rsid w:val="009F29F4"/>
    <w:rsid w:val="00A07668"/>
    <w:rsid w:val="00A10213"/>
    <w:rsid w:val="00A14686"/>
    <w:rsid w:val="00A211B9"/>
    <w:rsid w:val="00A21B0C"/>
    <w:rsid w:val="00A25884"/>
    <w:rsid w:val="00A25CED"/>
    <w:rsid w:val="00A40DDD"/>
    <w:rsid w:val="00A549E0"/>
    <w:rsid w:val="00A60925"/>
    <w:rsid w:val="00A62141"/>
    <w:rsid w:val="00A671D9"/>
    <w:rsid w:val="00A67B64"/>
    <w:rsid w:val="00A84C5B"/>
    <w:rsid w:val="00AA274D"/>
    <w:rsid w:val="00AA48CD"/>
    <w:rsid w:val="00AC0DEF"/>
    <w:rsid w:val="00AC26E5"/>
    <w:rsid w:val="00AC47A6"/>
    <w:rsid w:val="00AD6F93"/>
    <w:rsid w:val="00AD7027"/>
    <w:rsid w:val="00AE410D"/>
    <w:rsid w:val="00AF24A3"/>
    <w:rsid w:val="00AF63C1"/>
    <w:rsid w:val="00AF703C"/>
    <w:rsid w:val="00B02F58"/>
    <w:rsid w:val="00B171B0"/>
    <w:rsid w:val="00B24880"/>
    <w:rsid w:val="00B27244"/>
    <w:rsid w:val="00B273CE"/>
    <w:rsid w:val="00B30230"/>
    <w:rsid w:val="00B32E29"/>
    <w:rsid w:val="00B37501"/>
    <w:rsid w:val="00B40E67"/>
    <w:rsid w:val="00B42C0A"/>
    <w:rsid w:val="00B4707E"/>
    <w:rsid w:val="00B509A4"/>
    <w:rsid w:val="00B57214"/>
    <w:rsid w:val="00B57243"/>
    <w:rsid w:val="00B62F66"/>
    <w:rsid w:val="00B63A59"/>
    <w:rsid w:val="00B63DCD"/>
    <w:rsid w:val="00B64DF6"/>
    <w:rsid w:val="00B64E1D"/>
    <w:rsid w:val="00B66BE6"/>
    <w:rsid w:val="00BB0137"/>
    <w:rsid w:val="00BB29B0"/>
    <w:rsid w:val="00BB6BBD"/>
    <w:rsid w:val="00BC7397"/>
    <w:rsid w:val="00BD7CF0"/>
    <w:rsid w:val="00BE065F"/>
    <w:rsid w:val="00BE73A8"/>
    <w:rsid w:val="00BF1DCD"/>
    <w:rsid w:val="00C04448"/>
    <w:rsid w:val="00C2325C"/>
    <w:rsid w:val="00C37578"/>
    <w:rsid w:val="00C416B4"/>
    <w:rsid w:val="00C41B22"/>
    <w:rsid w:val="00C47B21"/>
    <w:rsid w:val="00C558B8"/>
    <w:rsid w:val="00C56AB3"/>
    <w:rsid w:val="00C60A1A"/>
    <w:rsid w:val="00C74FA7"/>
    <w:rsid w:val="00C7752A"/>
    <w:rsid w:val="00C823E2"/>
    <w:rsid w:val="00C858E7"/>
    <w:rsid w:val="00C85939"/>
    <w:rsid w:val="00C90734"/>
    <w:rsid w:val="00C96EB6"/>
    <w:rsid w:val="00C9721B"/>
    <w:rsid w:val="00CA3272"/>
    <w:rsid w:val="00CA7B5D"/>
    <w:rsid w:val="00CB6554"/>
    <w:rsid w:val="00CB7AA1"/>
    <w:rsid w:val="00CB7DE0"/>
    <w:rsid w:val="00CC6FDD"/>
    <w:rsid w:val="00CD74FC"/>
    <w:rsid w:val="00CD7D48"/>
    <w:rsid w:val="00CE209F"/>
    <w:rsid w:val="00CE2850"/>
    <w:rsid w:val="00CF092C"/>
    <w:rsid w:val="00D004C1"/>
    <w:rsid w:val="00D15F32"/>
    <w:rsid w:val="00D162B7"/>
    <w:rsid w:val="00D216E0"/>
    <w:rsid w:val="00D31392"/>
    <w:rsid w:val="00D4352B"/>
    <w:rsid w:val="00D53D65"/>
    <w:rsid w:val="00D714C6"/>
    <w:rsid w:val="00D8743B"/>
    <w:rsid w:val="00D95E08"/>
    <w:rsid w:val="00DA3034"/>
    <w:rsid w:val="00DA539A"/>
    <w:rsid w:val="00DA7803"/>
    <w:rsid w:val="00DC5E4B"/>
    <w:rsid w:val="00DC7B58"/>
    <w:rsid w:val="00DD197B"/>
    <w:rsid w:val="00DD7DDE"/>
    <w:rsid w:val="00DE4EEB"/>
    <w:rsid w:val="00DE6B38"/>
    <w:rsid w:val="00DE7E0A"/>
    <w:rsid w:val="00DF55BA"/>
    <w:rsid w:val="00E02FAD"/>
    <w:rsid w:val="00E113CB"/>
    <w:rsid w:val="00E11EE8"/>
    <w:rsid w:val="00E167A2"/>
    <w:rsid w:val="00E232E1"/>
    <w:rsid w:val="00E274DF"/>
    <w:rsid w:val="00E34CA7"/>
    <w:rsid w:val="00E45A7A"/>
    <w:rsid w:val="00E469CA"/>
    <w:rsid w:val="00E54F04"/>
    <w:rsid w:val="00E554EE"/>
    <w:rsid w:val="00E55911"/>
    <w:rsid w:val="00E56034"/>
    <w:rsid w:val="00E61983"/>
    <w:rsid w:val="00E61D25"/>
    <w:rsid w:val="00E67FC4"/>
    <w:rsid w:val="00E83327"/>
    <w:rsid w:val="00E86382"/>
    <w:rsid w:val="00E9411A"/>
    <w:rsid w:val="00EA4B51"/>
    <w:rsid w:val="00EC3375"/>
    <w:rsid w:val="00EC5FEA"/>
    <w:rsid w:val="00ED49BB"/>
    <w:rsid w:val="00ED4F54"/>
    <w:rsid w:val="00EF2003"/>
    <w:rsid w:val="00EF5E6E"/>
    <w:rsid w:val="00EF6139"/>
    <w:rsid w:val="00F0399F"/>
    <w:rsid w:val="00F03AE9"/>
    <w:rsid w:val="00F05694"/>
    <w:rsid w:val="00F112B8"/>
    <w:rsid w:val="00F135FB"/>
    <w:rsid w:val="00F17A78"/>
    <w:rsid w:val="00F20B71"/>
    <w:rsid w:val="00F34369"/>
    <w:rsid w:val="00F37989"/>
    <w:rsid w:val="00F41E1F"/>
    <w:rsid w:val="00F60786"/>
    <w:rsid w:val="00F67012"/>
    <w:rsid w:val="00F71F65"/>
    <w:rsid w:val="00F76908"/>
    <w:rsid w:val="00F7782D"/>
    <w:rsid w:val="00F82B31"/>
    <w:rsid w:val="00F84E72"/>
    <w:rsid w:val="00FA0D71"/>
    <w:rsid w:val="00FB3002"/>
    <w:rsid w:val="00FC6E01"/>
    <w:rsid w:val="00FC73CB"/>
    <w:rsid w:val="00FE0176"/>
    <w:rsid w:val="00FF05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B611C"/>
  <w15:docId w15:val="{8F903BBE-B838-4FAD-8AC5-E8C5325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D80"/>
    <w:rPr>
      <w:sz w:val="24"/>
      <w:szCs w:val="24"/>
    </w:rPr>
  </w:style>
  <w:style w:type="paragraph" w:styleId="Titre1">
    <w:name w:val="heading 1"/>
    <w:basedOn w:val="Normal"/>
    <w:next w:val="Normal"/>
    <w:link w:val="Titre1Car"/>
    <w:qFormat/>
    <w:rsid w:val="009009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semiHidden/>
    <w:unhideWhenUsed/>
    <w:qFormat/>
    <w:rsid w:val="00E45A7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E11EE8"/>
    <w:pPr>
      <w:keepNext/>
      <w:outlineLvl w:val="3"/>
    </w:pPr>
    <w:rPr>
      <w:rFonts w:ascii="Arial" w:hAnsi="Arial" w:cs="Arial"/>
      <w:b/>
      <w:bCs/>
      <w:i/>
      <w:i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E2558"/>
    <w:p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uppressAutoHyphens/>
      <w:jc w:val="both"/>
    </w:pPr>
    <w:rPr>
      <w:spacing w:val="-2"/>
      <w:sz w:val="22"/>
    </w:rPr>
  </w:style>
  <w:style w:type="table" w:styleId="Grilledutableau">
    <w:name w:val="Table Grid"/>
    <w:basedOn w:val="TableauNormal"/>
    <w:uiPriority w:val="59"/>
    <w:rsid w:val="00B6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441C8"/>
    <w:pPr>
      <w:tabs>
        <w:tab w:val="center" w:pos="4536"/>
        <w:tab w:val="right" w:pos="9072"/>
      </w:tabs>
    </w:pPr>
  </w:style>
  <w:style w:type="paragraph" w:styleId="Pieddepage">
    <w:name w:val="footer"/>
    <w:basedOn w:val="Normal"/>
    <w:link w:val="PieddepageCar"/>
    <w:uiPriority w:val="99"/>
    <w:rsid w:val="001441C8"/>
    <w:pPr>
      <w:tabs>
        <w:tab w:val="center" w:pos="4536"/>
        <w:tab w:val="right" w:pos="9072"/>
      </w:tabs>
    </w:pPr>
  </w:style>
  <w:style w:type="character" w:customStyle="1" w:styleId="En-tteCar">
    <w:name w:val="En-tête Car"/>
    <w:basedOn w:val="Policepardfaut"/>
    <w:link w:val="En-tte"/>
    <w:uiPriority w:val="99"/>
    <w:rsid w:val="008A1BC0"/>
    <w:rPr>
      <w:sz w:val="24"/>
      <w:szCs w:val="24"/>
      <w:lang w:val="fr-FR" w:eastAsia="fr-FR" w:bidi="ar-SA"/>
    </w:rPr>
  </w:style>
  <w:style w:type="character" w:styleId="Numrodepage">
    <w:name w:val="page number"/>
    <w:basedOn w:val="Policepardfaut"/>
    <w:rsid w:val="00DD197B"/>
  </w:style>
  <w:style w:type="paragraph" w:customStyle="1" w:styleId="Paragraphedeliste1">
    <w:name w:val="Paragraphe de liste1"/>
    <w:basedOn w:val="Normal"/>
    <w:rsid w:val="00CB7AA1"/>
    <w:pPr>
      <w:spacing w:after="200" w:line="276" w:lineRule="auto"/>
      <w:ind w:left="720"/>
      <w:contextualSpacing/>
    </w:pPr>
    <w:rPr>
      <w:rFonts w:ascii="Calibri" w:eastAsia="Calibri" w:hAnsi="Calibri"/>
      <w:sz w:val="22"/>
      <w:szCs w:val="22"/>
      <w:lang w:eastAsia="en-US"/>
    </w:rPr>
  </w:style>
  <w:style w:type="paragraph" w:customStyle="1" w:styleId="Paragraphedeliste11">
    <w:name w:val="Paragraphe de liste11"/>
    <w:basedOn w:val="Normal"/>
    <w:rsid w:val="00CB7AA1"/>
    <w:pPr>
      <w:widowControl w:val="0"/>
      <w:ind w:left="720"/>
      <w:contextualSpacing/>
    </w:pPr>
    <w:rPr>
      <w:rFonts w:ascii="Courier New" w:eastAsia="SimSun" w:hAnsi="Courier New"/>
      <w:szCs w:val="20"/>
      <w:lang w:val="en-US" w:eastAsia="en-US"/>
    </w:rPr>
  </w:style>
  <w:style w:type="character" w:customStyle="1" w:styleId="CarCar2">
    <w:name w:val="Car Car2"/>
    <w:basedOn w:val="Policepardfaut"/>
    <w:rsid w:val="00F03AE9"/>
    <w:rPr>
      <w:sz w:val="24"/>
      <w:szCs w:val="24"/>
      <w:lang w:val="fr-FR" w:eastAsia="fr-FR" w:bidi="ar-SA"/>
    </w:rPr>
  </w:style>
  <w:style w:type="paragraph" w:styleId="Notedebasdepage">
    <w:name w:val="footnote text"/>
    <w:basedOn w:val="Normal"/>
    <w:semiHidden/>
    <w:rsid w:val="00074E17"/>
    <w:rPr>
      <w:sz w:val="20"/>
      <w:szCs w:val="20"/>
    </w:rPr>
  </w:style>
  <w:style w:type="character" w:styleId="Appelnotedebasdep">
    <w:name w:val="footnote reference"/>
    <w:basedOn w:val="Policepardfaut"/>
    <w:semiHidden/>
    <w:rsid w:val="00074E17"/>
    <w:rPr>
      <w:vertAlign w:val="superscript"/>
    </w:rPr>
  </w:style>
  <w:style w:type="character" w:styleId="Marquedecommentaire">
    <w:name w:val="annotation reference"/>
    <w:basedOn w:val="Policepardfaut"/>
    <w:semiHidden/>
    <w:rsid w:val="0005150B"/>
    <w:rPr>
      <w:sz w:val="16"/>
      <w:szCs w:val="16"/>
    </w:rPr>
  </w:style>
  <w:style w:type="paragraph" w:styleId="Commentaire">
    <w:name w:val="annotation text"/>
    <w:basedOn w:val="Normal"/>
    <w:semiHidden/>
    <w:rsid w:val="0005150B"/>
    <w:rPr>
      <w:sz w:val="20"/>
      <w:szCs w:val="20"/>
    </w:rPr>
  </w:style>
  <w:style w:type="paragraph" w:styleId="Objetducommentaire">
    <w:name w:val="annotation subject"/>
    <w:basedOn w:val="Commentaire"/>
    <w:next w:val="Commentaire"/>
    <w:semiHidden/>
    <w:rsid w:val="0005150B"/>
    <w:rPr>
      <w:b/>
      <w:bCs/>
    </w:rPr>
  </w:style>
  <w:style w:type="paragraph" w:styleId="Textedebulles">
    <w:name w:val="Balloon Text"/>
    <w:basedOn w:val="Normal"/>
    <w:semiHidden/>
    <w:rsid w:val="0005150B"/>
    <w:rPr>
      <w:rFonts w:ascii="Tahoma" w:hAnsi="Tahoma" w:cs="Tahoma"/>
      <w:sz w:val="16"/>
      <w:szCs w:val="16"/>
    </w:rPr>
  </w:style>
  <w:style w:type="character" w:styleId="Textedelespacerserv">
    <w:name w:val="Placeholder Text"/>
    <w:basedOn w:val="Policepardfaut"/>
    <w:uiPriority w:val="99"/>
    <w:semiHidden/>
    <w:rsid w:val="00F7782D"/>
    <w:rPr>
      <w:color w:val="808080"/>
    </w:rPr>
  </w:style>
  <w:style w:type="character" w:styleId="Lienhypertexte">
    <w:name w:val="Hyperlink"/>
    <w:basedOn w:val="Policepardfaut"/>
    <w:rsid w:val="00EC3375"/>
    <w:rPr>
      <w:color w:val="0000FF"/>
      <w:u w:val="single"/>
    </w:rPr>
  </w:style>
  <w:style w:type="paragraph" w:styleId="Paragraphedeliste">
    <w:name w:val="List Paragraph"/>
    <w:aliases w:val="EC,Colorful List Accent 1,Bioforce zListePuce,References,MCHIP_list paragraph,List Paragraph1,Recommendation,Bullet List,FooterText,List numbered,Yellow Bullet,Normal bullet 2,Paragraph,Citation List,Resume Title"/>
    <w:basedOn w:val="Normal"/>
    <w:link w:val="ParagraphedelisteCar"/>
    <w:uiPriority w:val="34"/>
    <w:qFormat/>
    <w:rsid w:val="009236DE"/>
    <w:pPr>
      <w:ind w:left="720"/>
      <w:contextualSpacing/>
    </w:pPr>
  </w:style>
  <w:style w:type="paragraph" w:customStyle="1" w:styleId="Paragraphedeliste2">
    <w:name w:val="Paragraphe de liste2"/>
    <w:basedOn w:val="Normal"/>
    <w:uiPriority w:val="34"/>
    <w:qFormat/>
    <w:rsid w:val="009236DE"/>
    <w:pPr>
      <w:ind w:left="708"/>
    </w:pPr>
  </w:style>
  <w:style w:type="table" w:customStyle="1" w:styleId="Grilledutableau1">
    <w:name w:val="Grille du tableau1"/>
    <w:basedOn w:val="TableauNormal"/>
    <w:next w:val="Grilledutableau"/>
    <w:uiPriority w:val="39"/>
    <w:rsid w:val="00AC0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C58"/>
    <w:pPr>
      <w:autoSpaceDE w:val="0"/>
      <w:autoSpaceDN w:val="0"/>
      <w:adjustRightInd w:val="0"/>
    </w:pPr>
    <w:rPr>
      <w:rFonts w:ascii="Georgia" w:hAnsi="Georgia" w:cs="Georgia"/>
      <w:color w:val="000000"/>
      <w:sz w:val="24"/>
      <w:szCs w:val="24"/>
    </w:rPr>
  </w:style>
  <w:style w:type="character" w:customStyle="1" w:styleId="PieddepageCar">
    <w:name w:val="Pied de page Car"/>
    <w:basedOn w:val="Policepardfaut"/>
    <w:link w:val="Pieddepage"/>
    <w:uiPriority w:val="99"/>
    <w:rsid w:val="00283E74"/>
    <w:rPr>
      <w:sz w:val="24"/>
      <w:szCs w:val="24"/>
    </w:rPr>
  </w:style>
  <w:style w:type="paragraph" w:customStyle="1" w:styleId="a">
    <w:name w:val="a"/>
    <w:basedOn w:val="Normal"/>
    <w:rsid w:val="00870B8F"/>
    <w:pPr>
      <w:overflowPunct w:val="0"/>
      <w:autoSpaceDE w:val="0"/>
      <w:autoSpaceDN w:val="0"/>
      <w:adjustRightInd w:val="0"/>
      <w:jc w:val="both"/>
      <w:textAlignment w:val="baseline"/>
    </w:pPr>
    <w:rPr>
      <w:rFonts w:ascii="Arial" w:hAnsi="Arial"/>
      <w:sz w:val="22"/>
      <w:szCs w:val="20"/>
    </w:rPr>
  </w:style>
  <w:style w:type="character" w:customStyle="1" w:styleId="ParagraphedelisteCar">
    <w:name w:val="Paragraphe de liste Car"/>
    <w:aliases w:val="EC Car,Colorful List Accent 1 Car,Bioforce zListePuce Car,References Car,MCHIP_list paragraph Car,List Paragraph1 Car,Recommendation Car,Bullet List Car,FooterText Car,List numbered Car,Yellow Bullet Car,Normal bullet 2 Car"/>
    <w:basedOn w:val="Policepardfaut"/>
    <w:link w:val="Paragraphedeliste"/>
    <w:uiPriority w:val="34"/>
    <w:qFormat/>
    <w:locked/>
    <w:rsid w:val="00517CA0"/>
    <w:rPr>
      <w:sz w:val="24"/>
      <w:szCs w:val="24"/>
    </w:rPr>
  </w:style>
  <w:style w:type="paragraph" w:styleId="NormalWeb">
    <w:name w:val="Normal (Web)"/>
    <w:basedOn w:val="Normal"/>
    <w:link w:val="NormalWebCar"/>
    <w:uiPriority w:val="99"/>
    <w:unhideWhenUsed/>
    <w:rsid w:val="00517CA0"/>
    <w:pPr>
      <w:spacing w:before="100" w:beforeAutospacing="1" w:after="100" w:afterAutospacing="1"/>
    </w:pPr>
  </w:style>
  <w:style w:type="character" w:customStyle="1" w:styleId="NormalWebCar">
    <w:name w:val="Normal (Web) Car"/>
    <w:link w:val="NormalWeb"/>
    <w:uiPriority w:val="99"/>
    <w:rsid w:val="00517CA0"/>
    <w:rPr>
      <w:sz w:val="24"/>
      <w:szCs w:val="24"/>
    </w:rPr>
  </w:style>
  <w:style w:type="character" w:customStyle="1" w:styleId="Titre1Car">
    <w:name w:val="Titre 1 Car"/>
    <w:basedOn w:val="Policepardfaut"/>
    <w:link w:val="Titre1"/>
    <w:rsid w:val="0090098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semiHidden/>
    <w:rsid w:val="00E45A7A"/>
    <w:rPr>
      <w:rFonts w:asciiTheme="majorHAnsi" w:eastAsiaTheme="majorEastAsia" w:hAnsiTheme="majorHAnsi" w:cstheme="majorBidi"/>
      <w:color w:val="243F60" w:themeColor="accent1" w:themeShade="7F"/>
      <w:sz w:val="24"/>
      <w:szCs w:val="24"/>
    </w:rPr>
  </w:style>
  <w:style w:type="character" w:styleId="lev">
    <w:name w:val="Strong"/>
    <w:basedOn w:val="Policepardfaut"/>
    <w:uiPriority w:val="22"/>
    <w:qFormat/>
    <w:rsid w:val="003C3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615">
      <w:bodyDiv w:val="1"/>
      <w:marLeft w:val="0"/>
      <w:marRight w:val="0"/>
      <w:marTop w:val="0"/>
      <w:marBottom w:val="0"/>
      <w:divBdr>
        <w:top w:val="none" w:sz="0" w:space="0" w:color="auto"/>
        <w:left w:val="none" w:sz="0" w:space="0" w:color="auto"/>
        <w:bottom w:val="none" w:sz="0" w:space="0" w:color="auto"/>
        <w:right w:val="none" w:sz="0" w:space="0" w:color="auto"/>
      </w:divBdr>
    </w:div>
    <w:div w:id="32585795">
      <w:bodyDiv w:val="1"/>
      <w:marLeft w:val="0"/>
      <w:marRight w:val="0"/>
      <w:marTop w:val="0"/>
      <w:marBottom w:val="0"/>
      <w:divBdr>
        <w:top w:val="none" w:sz="0" w:space="0" w:color="auto"/>
        <w:left w:val="none" w:sz="0" w:space="0" w:color="auto"/>
        <w:bottom w:val="none" w:sz="0" w:space="0" w:color="auto"/>
        <w:right w:val="none" w:sz="0" w:space="0" w:color="auto"/>
      </w:divBdr>
    </w:div>
    <w:div w:id="95754286">
      <w:bodyDiv w:val="1"/>
      <w:marLeft w:val="0"/>
      <w:marRight w:val="0"/>
      <w:marTop w:val="0"/>
      <w:marBottom w:val="0"/>
      <w:divBdr>
        <w:top w:val="none" w:sz="0" w:space="0" w:color="auto"/>
        <w:left w:val="none" w:sz="0" w:space="0" w:color="auto"/>
        <w:bottom w:val="none" w:sz="0" w:space="0" w:color="auto"/>
        <w:right w:val="none" w:sz="0" w:space="0" w:color="auto"/>
      </w:divBdr>
    </w:div>
    <w:div w:id="190918898">
      <w:bodyDiv w:val="1"/>
      <w:marLeft w:val="0"/>
      <w:marRight w:val="0"/>
      <w:marTop w:val="0"/>
      <w:marBottom w:val="0"/>
      <w:divBdr>
        <w:top w:val="none" w:sz="0" w:space="0" w:color="auto"/>
        <w:left w:val="none" w:sz="0" w:space="0" w:color="auto"/>
        <w:bottom w:val="none" w:sz="0" w:space="0" w:color="auto"/>
        <w:right w:val="none" w:sz="0" w:space="0" w:color="auto"/>
      </w:divBdr>
    </w:div>
    <w:div w:id="204027119">
      <w:bodyDiv w:val="1"/>
      <w:marLeft w:val="0"/>
      <w:marRight w:val="0"/>
      <w:marTop w:val="0"/>
      <w:marBottom w:val="0"/>
      <w:divBdr>
        <w:top w:val="none" w:sz="0" w:space="0" w:color="auto"/>
        <w:left w:val="none" w:sz="0" w:space="0" w:color="auto"/>
        <w:bottom w:val="none" w:sz="0" w:space="0" w:color="auto"/>
        <w:right w:val="none" w:sz="0" w:space="0" w:color="auto"/>
      </w:divBdr>
    </w:div>
    <w:div w:id="554435263">
      <w:bodyDiv w:val="1"/>
      <w:marLeft w:val="0"/>
      <w:marRight w:val="0"/>
      <w:marTop w:val="0"/>
      <w:marBottom w:val="0"/>
      <w:divBdr>
        <w:top w:val="none" w:sz="0" w:space="0" w:color="auto"/>
        <w:left w:val="none" w:sz="0" w:space="0" w:color="auto"/>
        <w:bottom w:val="none" w:sz="0" w:space="0" w:color="auto"/>
        <w:right w:val="none" w:sz="0" w:space="0" w:color="auto"/>
      </w:divBdr>
    </w:div>
    <w:div w:id="682245087">
      <w:bodyDiv w:val="1"/>
      <w:marLeft w:val="0"/>
      <w:marRight w:val="0"/>
      <w:marTop w:val="0"/>
      <w:marBottom w:val="0"/>
      <w:divBdr>
        <w:top w:val="none" w:sz="0" w:space="0" w:color="auto"/>
        <w:left w:val="none" w:sz="0" w:space="0" w:color="auto"/>
        <w:bottom w:val="none" w:sz="0" w:space="0" w:color="auto"/>
        <w:right w:val="none" w:sz="0" w:space="0" w:color="auto"/>
      </w:divBdr>
    </w:div>
    <w:div w:id="894780503">
      <w:bodyDiv w:val="1"/>
      <w:marLeft w:val="0"/>
      <w:marRight w:val="0"/>
      <w:marTop w:val="0"/>
      <w:marBottom w:val="0"/>
      <w:divBdr>
        <w:top w:val="none" w:sz="0" w:space="0" w:color="auto"/>
        <w:left w:val="none" w:sz="0" w:space="0" w:color="auto"/>
        <w:bottom w:val="none" w:sz="0" w:space="0" w:color="auto"/>
        <w:right w:val="none" w:sz="0" w:space="0" w:color="auto"/>
      </w:divBdr>
    </w:div>
    <w:div w:id="990325150">
      <w:bodyDiv w:val="1"/>
      <w:marLeft w:val="0"/>
      <w:marRight w:val="0"/>
      <w:marTop w:val="0"/>
      <w:marBottom w:val="0"/>
      <w:divBdr>
        <w:top w:val="none" w:sz="0" w:space="0" w:color="auto"/>
        <w:left w:val="none" w:sz="0" w:space="0" w:color="auto"/>
        <w:bottom w:val="none" w:sz="0" w:space="0" w:color="auto"/>
        <w:right w:val="none" w:sz="0" w:space="0" w:color="auto"/>
      </w:divBdr>
    </w:div>
    <w:div w:id="991370087">
      <w:bodyDiv w:val="1"/>
      <w:marLeft w:val="0"/>
      <w:marRight w:val="0"/>
      <w:marTop w:val="0"/>
      <w:marBottom w:val="0"/>
      <w:divBdr>
        <w:top w:val="none" w:sz="0" w:space="0" w:color="auto"/>
        <w:left w:val="none" w:sz="0" w:space="0" w:color="auto"/>
        <w:bottom w:val="none" w:sz="0" w:space="0" w:color="auto"/>
        <w:right w:val="none" w:sz="0" w:space="0" w:color="auto"/>
      </w:divBdr>
    </w:div>
    <w:div w:id="1000159818">
      <w:bodyDiv w:val="1"/>
      <w:marLeft w:val="0"/>
      <w:marRight w:val="0"/>
      <w:marTop w:val="0"/>
      <w:marBottom w:val="0"/>
      <w:divBdr>
        <w:top w:val="none" w:sz="0" w:space="0" w:color="auto"/>
        <w:left w:val="none" w:sz="0" w:space="0" w:color="auto"/>
        <w:bottom w:val="none" w:sz="0" w:space="0" w:color="auto"/>
        <w:right w:val="none" w:sz="0" w:space="0" w:color="auto"/>
      </w:divBdr>
    </w:div>
    <w:div w:id="1242716009">
      <w:bodyDiv w:val="1"/>
      <w:marLeft w:val="0"/>
      <w:marRight w:val="0"/>
      <w:marTop w:val="0"/>
      <w:marBottom w:val="0"/>
      <w:divBdr>
        <w:top w:val="none" w:sz="0" w:space="0" w:color="auto"/>
        <w:left w:val="none" w:sz="0" w:space="0" w:color="auto"/>
        <w:bottom w:val="none" w:sz="0" w:space="0" w:color="auto"/>
        <w:right w:val="none" w:sz="0" w:space="0" w:color="auto"/>
      </w:divBdr>
    </w:div>
    <w:div w:id="1261765575">
      <w:bodyDiv w:val="1"/>
      <w:marLeft w:val="0"/>
      <w:marRight w:val="0"/>
      <w:marTop w:val="0"/>
      <w:marBottom w:val="0"/>
      <w:divBdr>
        <w:top w:val="none" w:sz="0" w:space="0" w:color="auto"/>
        <w:left w:val="none" w:sz="0" w:space="0" w:color="auto"/>
        <w:bottom w:val="none" w:sz="0" w:space="0" w:color="auto"/>
        <w:right w:val="none" w:sz="0" w:space="0" w:color="auto"/>
      </w:divBdr>
    </w:div>
    <w:div w:id="1804930889">
      <w:bodyDiv w:val="1"/>
      <w:marLeft w:val="0"/>
      <w:marRight w:val="0"/>
      <w:marTop w:val="0"/>
      <w:marBottom w:val="0"/>
      <w:divBdr>
        <w:top w:val="none" w:sz="0" w:space="0" w:color="auto"/>
        <w:left w:val="none" w:sz="0" w:space="0" w:color="auto"/>
        <w:bottom w:val="none" w:sz="0" w:space="0" w:color="auto"/>
        <w:right w:val="none" w:sz="0" w:space="0" w:color="auto"/>
      </w:divBdr>
    </w:div>
    <w:div w:id="18943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2CE9-0248-4614-A45D-806E82A0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3165</Words>
  <Characters>17412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Termes de Références Missions</vt:lpstr>
    </vt:vector>
  </TitlesOfParts>
  <Company>MAE</Company>
  <LinksUpToDate>false</LinksUpToDate>
  <CharactersWithSpaces>20536</CharactersWithSpaces>
  <SharedDoc>false</SharedDoc>
  <HLinks>
    <vt:vector size="6" baseType="variant">
      <vt:variant>
        <vt:i4>1114217</vt:i4>
      </vt:variant>
      <vt:variant>
        <vt:i4>0</vt:i4>
      </vt:variant>
      <vt:variant>
        <vt:i4>0</vt:i4>
      </vt:variant>
      <vt:variant>
        <vt:i4>5</vt:i4>
      </vt:variant>
      <vt:variant>
        <vt:lpwstr>mailto:Anne-gaelle.rolland@diplomatie.gouv.fr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Références Missions</dc:title>
  <dc:subject/>
  <dc:creator>kroukd</dc:creator>
  <cp:keywords/>
  <dc:description/>
  <cp:lastModifiedBy>Valerie Vallin</cp:lastModifiedBy>
  <cp:revision>3</cp:revision>
  <cp:lastPrinted>2013-05-24T14:05:00Z</cp:lastPrinted>
  <dcterms:created xsi:type="dcterms:W3CDTF">2026-05-18T15:16:00Z</dcterms:created>
  <dcterms:modified xsi:type="dcterms:W3CDTF">2026-05-18T15:23:00Z</dcterms:modified>
</cp:coreProperties>
</file>