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931" w:type="dxa"/>
        <w:tblInd w:w="-5" w:type="dxa"/>
        <w:tblLayout w:type="fixed"/>
        <w:tblCellMar>
          <w:left w:w="70" w:type="dxa"/>
          <w:right w:w="70" w:type="dxa"/>
        </w:tblCellMar>
        <w:tblLook w:val="04A0" w:firstRow="1" w:lastRow="0" w:firstColumn="1" w:lastColumn="0" w:noHBand="0" w:noVBand="1"/>
      </w:tblPr>
      <w:tblGrid>
        <w:gridCol w:w="8931"/>
      </w:tblGrid>
      <w:tr w:rsidR="00E97725" w:rsidRPr="006705CB" w14:paraId="490B4712" w14:textId="77777777" w:rsidTr="00723DFB">
        <w:trPr>
          <w:trHeight w:val="468"/>
        </w:trPr>
        <w:tc>
          <w:tcPr>
            <w:tcW w:w="8931" w:type="dxa"/>
            <w:tcBorders>
              <w:top w:val="single" w:sz="4" w:space="0" w:color="000000"/>
              <w:left w:val="single" w:sz="4" w:space="0" w:color="000000"/>
              <w:bottom w:val="single" w:sz="4" w:space="0" w:color="000000"/>
              <w:right w:val="single" w:sz="4" w:space="0" w:color="000000"/>
            </w:tcBorders>
            <w:vAlign w:val="center"/>
          </w:tcPr>
          <w:p w14:paraId="7904D278" w14:textId="77777777" w:rsidR="00E97725" w:rsidRPr="006705CB" w:rsidRDefault="00E97725" w:rsidP="007C6064">
            <w:pPr>
              <w:spacing w:after="0" w:line="276" w:lineRule="auto"/>
              <w:jc w:val="center"/>
              <w:rPr>
                <w:rFonts w:asciiTheme="majorHAnsi" w:eastAsia="Times New Roman" w:hAnsiTheme="majorHAnsi" w:cstheme="majorHAnsi"/>
                <w:b/>
                <w:bCs/>
                <w:color w:val="002060"/>
                <w:lang w:eastAsia="fr-FR"/>
              </w:rPr>
            </w:pPr>
            <w:bookmarkStart w:id="0" w:name="RANGE!C3"/>
            <w:r w:rsidRPr="006705CB">
              <w:rPr>
                <w:rFonts w:asciiTheme="majorHAnsi" w:eastAsia="Times New Roman" w:hAnsiTheme="majorHAnsi" w:cstheme="majorHAnsi"/>
                <w:b/>
                <w:bCs/>
                <w:color w:val="002060"/>
                <w:lang w:eastAsia="fr-FR"/>
              </w:rPr>
              <w:t>Termes de référenc</w:t>
            </w:r>
            <w:bookmarkEnd w:id="0"/>
            <w:r w:rsidRPr="006705CB">
              <w:rPr>
                <w:rFonts w:asciiTheme="majorHAnsi" w:eastAsia="Times New Roman" w:hAnsiTheme="majorHAnsi" w:cstheme="majorHAnsi"/>
                <w:b/>
                <w:bCs/>
                <w:color w:val="002060"/>
                <w:lang w:eastAsia="fr-FR"/>
              </w:rPr>
              <w:t>e</w:t>
            </w:r>
            <w:bookmarkStart w:id="1" w:name="_Hlk515876153"/>
            <w:bookmarkEnd w:id="1"/>
          </w:p>
        </w:tc>
      </w:tr>
    </w:tbl>
    <w:p w14:paraId="50B25295" w14:textId="77777777" w:rsidR="00E97725" w:rsidRPr="007C6064" w:rsidRDefault="00E97725" w:rsidP="007C6064">
      <w:pPr>
        <w:pStyle w:val="UrbayitiTITRE2"/>
        <w:pBdr>
          <w:bottom w:val="dashed" w:sz="4" w:space="1" w:color="9CC2E5" w:themeColor="accent1" w:themeTint="99"/>
        </w:pBdr>
        <w:spacing w:before="120" w:after="120" w:line="276" w:lineRule="auto"/>
        <w:jc w:val="both"/>
        <w:rPr>
          <w:rFonts w:asciiTheme="majorHAnsi" w:hAnsiTheme="majorHAnsi" w:cstheme="majorHAnsi"/>
          <w:i w:val="0"/>
          <w:iCs w:val="0"/>
          <w:color w:val="002060"/>
          <w:sz w:val="22"/>
          <w:szCs w:val="22"/>
        </w:rPr>
      </w:pPr>
      <w:r w:rsidRPr="007C6064">
        <w:rPr>
          <w:rFonts w:asciiTheme="majorHAnsi" w:hAnsiTheme="majorHAnsi" w:cstheme="majorHAnsi"/>
          <w:i w:val="0"/>
          <w:iCs w:val="0"/>
          <w:color w:val="002060"/>
          <w:sz w:val="22"/>
          <w:szCs w:val="22"/>
        </w:rPr>
        <w:t>Informations générales</w:t>
      </w:r>
    </w:p>
    <w:tbl>
      <w:tblPr>
        <w:tblStyle w:val="TableauGrille6Couleur-Accentuation5"/>
        <w:tblW w:w="9493" w:type="dxa"/>
        <w:tblLayout w:type="fixed"/>
        <w:tblLook w:val="04A0" w:firstRow="1" w:lastRow="0" w:firstColumn="1" w:lastColumn="0" w:noHBand="0" w:noVBand="1"/>
      </w:tblPr>
      <w:tblGrid>
        <w:gridCol w:w="2827"/>
        <w:gridCol w:w="6666"/>
      </w:tblGrid>
      <w:tr w:rsidR="00E97725" w:rsidRPr="007C6064" w14:paraId="4F7FD446" w14:textId="77777777" w:rsidTr="00BA766B">
        <w:trPr>
          <w:cnfStyle w:val="100000000000" w:firstRow="1" w:lastRow="0" w:firstColumn="0" w:lastColumn="0" w:oddVBand="0" w:evenVBand="0" w:oddHBand="0" w:evenHBand="0" w:firstRowFirstColumn="0" w:firstRowLastColumn="0" w:lastRowFirstColumn="0" w:lastRowLastColumn="0"/>
          <w:trHeight w:val="763"/>
        </w:trPr>
        <w:tc>
          <w:tcPr>
            <w:cnfStyle w:val="001000000000" w:firstRow="0" w:lastRow="0" w:firstColumn="1" w:lastColumn="0" w:oddVBand="0" w:evenVBand="0" w:oddHBand="0" w:evenHBand="0" w:firstRowFirstColumn="0" w:firstRowLastColumn="0" w:lastRowFirstColumn="0" w:lastRowLastColumn="0"/>
            <w:tcW w:w="2827" w:type="dxa"/>
            <w:tcBorders>
              <w:top w:val="single" w:sz="4" w:space="0" w:color="1F3864"/>
              <w:left w:val="single" w:sz="4" w:space="0" w:color="1F3864"/>
              <w:bottom w:val="single" w:sz="4" w:space="0" w:color="1F3864"/>
              <w:right w:val="single" w:sz="4" w:space="0" w:color="1F3864"/>
            </w:tcBorders>
          </w:tcPr>
          <w:p w14:paraId="6416FE2F" w14:textId="77777777" w:rsidR="00E97725" w:rsidRPr="007C6064" w:rsidRDefault="00E97725" w:rsidP="007C6064">
            <w:pPr>
              <w:spacing w:before="120" w:after="120" w:line="276" w:lineRule="auto"/>
              <w:jc w:val="both"/>
              <w:rPr>
                <w:rFonts w:asciiTheme="majorHAnsi" w:hAnsiTheme="majorHAnsi" w:cstheme="majorHAnsi"/>
              </w:rPr>
            </w:pPr>
            <w:r w:rsidRPr="007C6064">
              <w:rPr>
                <w:rFonts w:asciiTheme="majorHAnsi" w:eastAsia="Calibri" w:hAnsiTheme="majorHAnsi" w:cstheme="majorHAnsi"/>
              </w:rPr>
              <w:t>Intitulé du projet</w:t>
            </w:r>
          </w:p>
        </w:tc>
        <w:tc>
          <w:tcPr>
            <w:tcW w:w="6666" w:type="dxa"/>
            <w:tcBorders>
              <w:top w:val="single" w:sz="4" w:space="0" w:color="1F3864"/>
              <w:left w:val="single" w:sz="4" w:space="0" w:color="1F3864"/>
              <w:bottom w:val="single" w:sz="4" w:space="0" w:color="1F3864"/>
              <w:right w:val="single" w:sz="4" w:space="0" w:color="1F3864"/>
            </w:tcBorders>
          </w:tcPr>
          <w:p w14:paraId="61224C08" w14:textId="77777777" w:rsidR="00E97725" w:rsidRPr="007C6064" w:rsidRDefault="00E97725" w:rsidP="007C6064">
            <w:pPr>
              <w:spacing w:before="120" w:after="120" w:line="276" w:lineRule="auto"/>
              <w:jc w:val="both"/>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color w:val="1F4E79" w:themeColor="accent1" w:themeShade="80"/>
              </w:rPr>
            </w:pPr>
            <w:r w:rsidRPr="007C6064">
              <w:rPr>
                <w:rFonts w:asciiTheme="majorHAnsi" w:eastAsia="Calibri" w:hAnsiTheme="majorHAnsi" w:cstheme="majorHAnsi"/>
                <w:color w:val="1F4E79" w:themeColor="accent1" w:themeShade="80"/>
              </w:rPr>
              <w:t>Programme d’Appui à la Gouvernance Économique au Burundi financé par l’Union européenne</w:t>
            </w:r>
          </w:p>
          <w:p w14:paraId="7BCBAB84" w14:textId="77777777" w:rsidR="00E97725" w:rsidRPr="007C6064" w:rsidRDefault="00E97725" w:rsidP="007C6064">
            <w:pPr>
              <w:spacing w:before="120" w:after="120" w:line="276" w:lineRule="auto"/>
              <w:jc w:val="both"/>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color w:val="1F4E79" w:themeColor="accent1" w:themeShade="80"/>
              </w:rPr>
            </w:pPr>
            <w:r w:rsidRPr="007C6064">
              <w:rPr>
                <w:rFonts w:asciiTheme="majorHAnsi" w:eastAsia="Calibri" w:hAnsiTheme="majorHAnsi" w:cstheme="majorHAnsi"/>
                <w:color w:val="1F4E79" w:themeColor="accent1" w:themeShade="80"/>
              </w:rPr>
              <w:t xml:space="preserve">Projet « </w:t>
            </w:r>
            <w:proofErr w:type="spellStart"/>
            <w:r w:rsidRPr="007C6064">
              <w:rPr>
                <w:rFonts w:asciiTheme="majorHAnsi" w:eastAsia="Calibri" w:hAnsiTheme="majorHAnsi" w:cstheme="majorHAnsi"/>
                <w:color w:val="1F4E79" w:themeColor="accent1" w:themeShade="80"/>
              </w:rPr>
              <w:t>Kubazwa</w:t>
            </w:r>
            <w:proofErr w:type="spellEnd"/>
            <w:r w:rsidRPr="007C6064">
              <w:rPr>
                <w:rFonts w:asciiTheme="majorHAnsi" w:eastAsia="Calibri" w:hAnsiTheme="majorHAnsi" w:cstheme="majorHAnsi"/>
                <w:color w:val="1F4E79" w:themeColor="accent1" w:themeShade="80"/>
              </w:rPr>
              <w:t xml:space="preserve"> </w:t>
            </w:r>
            <w:proofErr w:type="spellStart"/>
            <w:r w:rsidRPr="007C6064">
              <w:rPr>
                <w:rFonts w:asciiTheme="majorHAnsi" w:eastAsia="Calibri" w:hAnsiTheme="majorHAnsi" w:cstheme="majorHAnsi"/>
                <w:color w:val="1F4E79" w:themeColor="accent1" w:themeShade="80"/>
              </w:rPr>
              <w:t>ivyo</w:t>
            </w:r>
            <w:proofErr w:type="spellEnd"/>
            <w:r w:rsidRPr="007C6064">
              <w:rPr>
                <w:rFonts w:asciiTheme="majorHAnsi" w:eastAsia="Calibri" w:hAnsiTheme="majorHAnsi" w:cstheme="majorHAnsi"/>
                <w:color w:val="1F4E79" w:themeColor="accent1" w:themeShade="80"/>
              </w:rPr>
              <w:t xml:space="preserve"> </w:t>
            </w:r>
            <w:proofErr w:type="spellStart"/>
            <w:r w:rsidRPr="007C6064">
              <w:rPr>
                <w:rFonts w:asciiTheme="majorHAnsi" w:eastAsia="Calibri" w:hAnsiTheme="majorHAnsi" w:cstheme="majorHAnsi"/>
                <w:color w:val="1F4E79" w:themeColor="accent1" w:themeShade="80"/>
              </w:rPr>
              <w:t>waranguye</w:t>
            </w:r>
            <w:proofErr w:type="spellEnd"/>
            <w:r w:rsidRPr="007C6064">
              <w:rPr>
                <w:rFonts w:asciiTheme="majorHAnsi" w:eastAsia="Calibri" w:hAnsiTheme="majorHAnsi" w:cstheme="majorHAnsi"/>
                <w:color w:val="1F4E79" w:themeColor="accent1" w:themeShade="80"/>
              </w:rPr>
              <w:t xml:space="preserve"> » (KIWa) mis en œuvre par Expertise France</w:t>
            </w:r>
          </w:p>
        </w:tc>
      </w:tr>
      <w:tr w:rsidR="00E97725" w:rsidRPr="007C6064" w14:paraId="65637653" w14:textId="77777777" w:rsidTr="00BA76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27" w:type="dxa"/>
            <w:tcBorders>
              <w:top w:val="single" w:sz="4" w:space="0" w:color="1F3864"/>
              <w:left w:val="single" w:sz="4" w:space="0" w:color="1F3864"/>
              <w:bottom w:val="single" w:sz="4" w:space="0" w:color="1F3864"/>
              <w:right w:val="single" w:sz="4" w:space="0" w:color="1F3864"/>
            </w:tcBorders>
          </w:tcPr>
          <w:p w14:paraId="75FF5BDD" w14:textId="77777777" w:rsidR="00E97725" w:rsidRPr="007C6064" w:rsidRDefault="00E97725" w:rsidP="007C6064">
            <w:pPr>
              <w:spacing w:before="120" w:after="120" w:line="276" w:lineRule="auto"/>
              <w:jc w:val="both"/>
              <w:rPr>
                <w:rFonts w:asciiTheme="majorHAnsi" w:hAnsiTheme="majorHAnsi" w:cstheme="majorHAnsi"/>
              </w:rPr>
            </w:pPr>
            <w:r w:rsidRPr="007C6064">
              <w:rPr>
                <w:rFonts w:asciiTheme="majorHAnsi" w:eastAsia="Calibri" w:hAnsiTheme="majorHAnsi" w:cstheme="majorHAnsi"/>
              </w:rPr>
              <w:t>Ville, Pays de la mission</w:t>
            </w:r>
          </w:p>
        </w:tc>
        <w:tc>
          <w:tcPr>
            <w:tcW w:w="6666" w:type="dxa"/>
            <w:tcBorders>
              <w:top w:val="single" w:sz="4" w:space="0" w:color="1F3864"/>
              <w:left w:val="single" w:sz="4" w:space="0" w:color="1F3864"/>
              <w:bottom w:val="single" w:sz="4" w:space="0" w:color="1F3864"/>
              <w:right w:val="single" w:sz="4" w:space="0" w:color="1F3864"/>
            </w:tcBorders>
          </w:tcPr>
          <w:p w14:paraId="607436B4" w14:textId="77777777" w:rsidR="00E97725" w:rsidRPr="007C6064" w:rsidRDefault="00E97725" w:rsidP="007C6064">
            <w:pPr>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F4E79" w:themeColor="accent1" w:themeShade="80"/>
              </w:rPr>
            </w:pPr>
            <w:r w:rsidRPr="007C6064">
              <w:rPr>
                <w:rFonts w:asciiTheme="majorHAnsi" w:eastAsia="Calibri" w:hAnsiTheme="majorHAnsi" w:cstheme="majorHAnsi"/>
                <w:color w:val="1F4E79" w:themeColor="accent1" w:themeShade="80"/>
              </w:rPr>
              <w:t>Bujumbura, Burundi</w:t>
            </w:r>
          </w:p>
        </w:tc>
      </w:tr>
      <w:tr w:rsidR="00E97725" w:rsidRPr="007C6064" w14:paraId="797AD78A" w14:textId="77777777" w:rsidTr="00BA766B">
        <w:tc>
          <w:tcPr>
            <w:cnfStyle w:val="001000000000" w:firstRow="0" w:lastRow="0" w:firstColumn="1" w:lastColumn="0" w:oddVBand="0" w:evenVBand="0" w:oddHBand="0" w:evenHBand="0" w:firstRowFirstColumn="0" w:firstRowLastColumn="0" w:lastRowFirstColumn="0" w:lastRowLastColumn="0"/>
            <w:tcW w:w="2827" w:type="dxa"/>
            <w:tcBorders>
              <w:top w:val="single" w:sz="4" w:space="0" w:color="1F3864"/>
              <w:left w:val="single" w:sz="4" w:space="0" w:color="1F3864"/>
              <w:bottom w:val="single" w:sz="4" w:space="0" w:color="1F3864"/>
              <w:right w:val="single" w:sz="4" w:space="0" w:color="1F3864"/>
            </w:tcBorders>
          </w:tcPr>
          <w:p w14:paraId="33BF2D50" w14:textId="77777777" w:rsidR="00E97725" w:rsidRPr="007C6064" w:rsidRDefault="00E97725" w:rsidP="007C6064">
            <w:pPr>
              <w:spacing w:before="120" w:after="120" w:line="276" w:lineRule="auto"/>
              <w:jc w:val="both"/>
              <w:rPr>
                <w:rFonts w:asciiTheme="majorHAnsi" w:hAnsiTheme="majorHAnsi" w:cstheme="majorHAnsi"/>
              </w:rPr>
            </w:pPr>
            <w:r w:rsidRPr="007C6064">
              <w:rPr>
                <w:rFonts w:asciiTheme="majorHAnsi" w:eastAsia="Calibri" w:hAnsiTheme="majorHAnsi" w:cstheme="majorHAnsi"/>
              </w:rPr>
              <w:t xml:space="preserve">Objet </w:t>
            </w:r>
          </w:p>
        </w:tc>
        <w:tc>
          <w:tcPr>
            <w:tcW w:w="6666" w:type="dxa"/>
            <w:tcBorders>
              <w:top w:val="single" w:sz="4" w:space="0" w:color="1F3864"/>
              <w:left w:val="single" w:sz="4" w:space="0" w:color="1F3864"/>
              <w:bottom w:val="single" w:sz="4" w:space="0" w:color="1F3864"/>
              <w:right w:val="single" w:sz="4" w:space="0" w:color="1F3864"/>
            </w:tcBorders>
          </w:tcPr>
          <w:p w14:paraId="483A23C3" w14:textId="05BD1445" w:rsidR="00E97725" w:rsidRPr="007C6064" w:rsidRDefault="00EA50C1" w:rsidP="007C6064">
            <w:pPr>
              <w:spacing w:before="120" w:after="120"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F4E79" w:themeColor="accent1" w:themeShade="80"/>
              </w:rPr>
            </w:pPr>
            <w:r>
              <w:rPr>
                <w:rFonts w:asciiTheme="majorHAnsi" w:eastAsia="Calibri" w:hAnsiTheme="majorHAnsi" w:cstheme="majorHAnsi"/>
                <w:color w:val="1F4E79" w:themeColor="accent1" w:themeShade="80"/>
              </w:rPr>
              <w:t xml:space="preserve"> </w:t>
            </w:r>
            <w:r w:rsidR="00CC6AD4" w:rsidRPr="007C6064">
              <w:rPr>
                <w:rFonts w:asciiTheme="majorHAnsi" w:eastAsia="Calibri" w:hAnsiTheme="majorHAnsi" w:cstheme="majorHAnsi"/>
                <w:color w:val="1F4E79" w:themeColor="accent1" w:themeShade="80"/>
              </w:rPr>
              <w:t xml:space="preserve"> </w:t>
            </w:r>
            <w:r w:rsidR="00276225">
              <w:rPr>
                <w:rFonts w:asciiTheme="majorHAnsi" w:eastAsia="Calibri" w:hAnsiTheme="majorHAnsi" w:cstheme="majorHAnsi"/>
                <w:color w:val="1F4E79" w:themeColor="accent1" w:themeShade="80"/>
              </w:rPr>
              <w:t>Elaboration d’un module de formation sur la commande publique pour l’autorité de régulation des marchés publics</w:t>
            </w:r>
          </w:p>
        </w:tc>
      </w:tr>
      <w:tr w:rsidR="00E97725" w:rsidRPr="007C6064" w14:paraId="67B5F174" w14:textId="77777777" w:rsidTr="00BA766B">
        <w:trPr>
          <w:cnfStyle w:val="000000100000" w:firstRow="0" w:lastRow="0" w:firstColumn="0" w:lastColumn="0" w:oddVBand="0" w:evenVBand="0" w:oddHBand="1" w:evenHBand="0" w:firstRowFirstColumn="0" w:firstRowLastColumn="0" w:lastRowFirstColumn="0" w:lastRowLastColumn="0"/>
          <w:trHeight w:val="698"/>
        </w:trPr>
        <w:tc>
          <w:tcPr>
            <w:cnfStyle w:val="001000000000" w:firstRow="0" w:lastRow="0" w:firstColumn="1" w:lastColumn="0" w:oddVBand="0" w:evenVBand="0" w:oddHBand="0" w:evenHBand="0" w:firstRowFirstColumn="0" w:firstRowLastColumn="0" w:lastRowFirstColumn="0" w:lastRowLastColumn="0"/>
            <w:tcW w:w="2827" w:type="dxa"/>
            <w:tcBorders>
              <w:top w:val="single" w:sz="4" w:space="0" w:color="1F3864"/>
              <w:left w:val="single" w:sz="4" w:space="0" w:color="1F3864"/>
              <w:bottom w:val="single" w:sz="4" w:space="0" w:color="1F3864"/>
              <w:right w:val="single" w:sz="4" w:space="0" w:color="1F3864"/>
            </w:tcBorders>
          </w:tcPr>
          <w:p w14:paraId="78ABB1F4" w14:textId="77777777" w:rsidR="00E97725" w:rsidRPr="007C6064" w:rsidRDefault="00E97725" w:rsidP="007C6064">
            <w:pPr>
              <w:spacing w:before="120" w:after="120" w:line="276" w:lineRule="auto"/>
              <w:jc w:val="both"/>
              <w:rPr>
                <w:rFonts w:asciiTheme="majorHAnsi" w:hAnsiTheme="majorHAnsi" w:cstheme="majorHAnsi"/>
              </w:rPr>
            </w:pPr>
            <w:r w:rsidRPr="007C6064">
              <w:rPr>
                <w:rFonts w:asciiTheme="majorHAnsi" w:eastAsia="Calibri" w:hAnsiTheme="majorHAnsi" w:cstheme="majorHAnsi"/>
              </w:rPr>
              <w:t>Dates de mission</w:t>
            </w:r>
          </w:p>
        </w:tc>
        <w:tc>
          <w:tcPr>
            <w:tcW w:w="6666" w:type="dxa"/>
            <w:tcBorders>
              <w:top w:val="single" w:sz="4" w:space="0" w:color="1F3864"/>
              <w:left w:val="single" w:sz="4" w:space="0" w:color="1F3864"/>
              <w:right w:val="single" w:sz="4" w:space="0" w:color="1F3864"/>
            </w:tcBorders>
            <w:shd w:val="clear" w:color="auto" w:fill="auto"/>
          </w:tcPr>
          <w:p w14:paraId="6DD6E256" w14:textId="241FED9E" w:rsidR="00E97725" w:rsidRPr="007C6064" w:rsidRDefault="00276225" w:rsidP="007C6064">
            <w:pPr>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F4E79" w:themeColor="accent1" w:themeShade="80"/>
              </w:rPr>
            </w:pPr>
            <w:r>
              <w:rPr>
                <w:rFonts w:asciiTheme="majorHAnsi" w:eastAsia="Calibri" w:hAnsiTheme="majorHAnsi" w:cstheme="majorHAnsi"/>
                <w:color w:val="1F4E79" w:themeColor="accent1" w:themeShade="80"/>
              </w:rPr>
              <w:t>Mai à octobre 2026</w:t>
            </w:r>
          </w:p>
        </w:tc>
      </w:tr>
    </w:tbl>
    <w:p w14:paraId="49FCE4DA" w14:textId="77777777" w:rsidR="00E97725" w:rsidRPr="007C6064" w:rsidRDefault="00E97725" w:rsidP="007C6064">
      <w:pPr>
        <w:pBdr>
          <w:left w:val="single" w:sz="24" w:space="15" w:color="1981CF"/>
        </w:pBdr>
        <w:shd w:val="clear" w:color="auto" w:fill="FFFFFF"/>
        <w:spacing w:before="120" w:after="120" w:line="276" w:lineRule="auto"/>
        <w:outlineLvl w:val="1"/>
        <w:rPr>
          <w:rFonts w:asciiTheme="majorHAnsi" w:eastAsia="Times New Roman" w:hAnsiTheme="majorHAnsi" w:cstheme="majorHAnsi"/>
          <w:b/>
          <w:color w:val="333333"/>
          <w:lang w:eastAsia="fr-FR"/>
        </w:rPr>
      </w:pPr>
      <w:r w:rsidRPr="007C6064">
        <w:rPr>
          <w:rFonts w:asciiTheme="majorHAnsi" w:eastAsia="Times New Roman" w:hAnsiTheme="majorHAnsi" w:cstheme="majorHAnsi"/>
          <w:b/>
          <w:color w:val="333333"/>
          <w:lang w:eastAsia="fr-FR"/>
        </w:rPr>
        <w:t>Le projet</w:t>
      </w:r>
    </w:p>
    <w:p w14:paraId="05E466C0" w14:textId="77777777" w:rsidR="00E97725" w:rsidRPr="007C6064" w:rsidRDefault="00E97725" w:rsidP="007C6064">
      <w:pPr>
        <w:spacing w:before="120" w:after="120" w:line="276" w:lineRule="auto"/>
        <w:jc w:val="both"/>
        <w:rPr>
          <w:rFonts w:asciiTheme="majorHAnsi" w:hAnsiTheme="majorHAnsi" w:cstheme="majorHAnsi"/>
          <w:bCs/>
        </w:rPr>
      </w:pPr>
      <w:r w:rsidRPr="007C6064">
        <w:rPr>
          <w:rFonts w:asciiTheme="majorHAnsi" w:hAnsiTheme="majorHAnsi" w:cstheme="majorHAnsi"/>
          <w:bCs/>
        </w:rPr>
        <w:t xml:space="preserve">Le Programme d’Appui à la Gouvernance </w:t>
      </w:r>
      <w:r w:rsidRPr="007C6064">
        <w:rPr>
          <w:rFonts w:asciiTheme="majorHAnsi" w:eastAsia="Calibri" w:hAnsiTheme="majorHAnsi" w:cstheme="majorHAnsi"/>
          <w:bCs/>
        </w:rPr>
        <w:t>Économique</w:t>
      </w:r>
      <w:r w:rsidRPr="007C6064">
        <w:rPr>
          <w:rFonts w:asciiTheme="majorHAnsi" w:hAnsiTheme="majorHAnsi" w:cstheme="majorHAnsi"/>
          <w:bCs/>
        </w:rPr>
        <w:t xml:space="preserve"> au Burundi est financé par la Délégation de l’Union européenne. L’objectif général du programme est de doter le Burundi d’un système de Gestion de Finances Publiques transparent, performant, conforme aux standards internationaux, respectueux de la répartition constitutionnelle des prérogatives entre les institutions, qui mettra les finances publiques au service du développement du pays et par conséquent du bien-être de sa citoyenneté. </w:t>
      </w:r>
    </w:p>
    <w:p w14:paraId="26468847" w14:textId="77777777" w:rsidR="00E97725" w:rsidRPr="007C6064" w:rsidRDefault="00E97725" w:rsidP="007C6064">
      <w:pPr>
        <w:spacing w:before="120" w:after="120" w:line="276" w:lineRule="auto"/>
        <w:jc w:val="both"/>
        <w:rPr>
          <w:rFonts w:asciiTheme="majorHAnsi" w:hAnsiTheme="majorHAnsi" w:cstheme="majorHAnsi"/>
          <w:bCs/>
        </w:rPr>
      </w:pPr>
      <w:r w:rsidRPr="007C6064">
        <w:rPr>
          <w:rFonts w:asciiTheme="majorHAnsi" w:hAnsiTheme="majorHAnsi" w:cstheme="majorHAnsi"/>
          <w:bCs/>
        </w:rPr>
        <w:t>La mise en œuvre du Programme d’Appui à la Gouvernance Economique au Burundi est assurée par deux entités :</w:t>
      </w:r>
    </w:p>
    <w:p w14:paraId="7AE6CBEE" w14:textId="77777777" w:rsidR="00E97725" w:rsidRPr="007C6064" w:rsidRDefault="00E97725" w:rsidP="007C6064">
      <w:pPr>
        <w:pStyle w:val="Paragraphedeliste"/>
        <w:numPr>
          <w:ilvl w:val="0"/>
          <w:numId w:val="3"/>
        </w:numPr>
        <w:spacing w:before="120" w:after="120" w:line="276" w:lineRule="auto"/>
        <w:jc w:val="both"/>
        <w:rPr>
          <w:rFonts w:asciiTheme="majorHAnsi" w:hAnsiTheme="majorHAnsi" w:cstheme="majorHAnsi"/>
          <w:bCs/>
        </w:rPr>
      </w:pPr>
      <w:r w:rsidRPr="007C6064">
        <w:rPr>
          <w:rFonts w:asciiTheme="majorHAnsi" w:hAnsiTheme="majorHAnsi" w:cstheme="majorHAnsi"/>
          <w:bCs/>
        </w:rPr>
        <w:t>Le FMI assure la mise en œuvre de l’Objectif spécifique 1.1 qui concerne l’amélioration de la gestion des finances publiques.</w:t>
      </w:r>
    </w:p>
    <w:p w14:paraId="032A55E3" w14:textId="77777777" w:rsidR="00E97725" w:rsidRPr="007C6064" w:rsidRDefault="00E97725" w:rsidP="007C6064">
      <w:pPr>
        <w:pStyle w:val="Paragraphedeliste"/>
        <w:numPr>
          <w:ilvl w:val="0"/>
          <w:numId w:val="3"/>
        </w:numPr>
        <w:spacing w:before="120" w:after="120" w:line="276" w:lineRule="auto"/>
        <w:jc w:val="both"/>
        <w:rPr>
          <w:rFonts w:asciiTheme="majorHAnsi" w:hAnsiTheme="majorHAnsi" w:cstheme="majorHAnsi"/>
          <w:bCs/>
        </w:rPr>
      </w:pPr>
      <w:r w:rsidRPr="007C6064">
        <w:rPr>
          <w:rFonts w:asciiTheme="majorHAnsi" w:hAnsiTheme="majorHAnsi" w:cstheme="majorHAnsi"/>
          <w:bCs/>
        </w:rPr>
        <w:t xml:space="preserve">Expertise France, via le </w:t>
      </w:r>
      <w:r w:rsidRPr="007C6064">
        <w:rPr>
          <w:rFonts w:asciiTheme="majorHAnsi" w:hAnsiTheme="majorHAnsi" w:cstheme="majorHAnsi"/>
          <w:b/>
          <w:bCs/>
        </w:rPr>
        <w:t xml:space="preserve">Projet « </w:t>
      </w:r>
      <w:proofErr w:type="spellStart"/>
      <w:r w:rsidRPr="007C6064">
        <w:rPr>
          <w:rFonts w:asciiTheme="majorHAnsi" w:hAnsiTheme="majorHAnsi" w:cstheme="majorHAnsi"/>
          <w:b/>
          <w:bCs/>
        </w:rPr>
        <w:t>Kubazwa</w:t>
      </w:r>
      <w:proofErr w:type="spellEnd"/>
      <w:r w:rsidRPr="007C6064">
        <w:rPr>
          <w:rFonts w:asciiTheme="majorHAnsi" w:hAnsiTheme="majorHAnsi" w:cstheme="majorHAnsi"/>
          <w:b/>
          <w:bCs/>
        </w:rPr>
        <w:t xml:space="preserve"> </w:t>
      </w:r>
      <w:proofErr w:type="spellStart"/>
      <w:r w:rsidRPr="007C6064">
        <w:rPr>
          <w:rFonts w:asciiTheme="majorHAnsi" w:hAnsiTheme="majorHAnsi" w:cstheme="majorHAnsi"/>
          <w:b/>
          <w:bCs/>
        </w:rPr>
        <w:t>ivyo</w:t>
      </w:r>
      <w:proofErr w:type="spellEnd"/>
      <w:r w:rsidRPr="007C6064">
        <w:rPr>
          <w:rFonts w:asciiTheme="majorHAnsi" w:hAnsiTheme="majorHAnsi" w:cstheme="majorHAnsi"/>
          <w:b/>
          <w:bCs/>
        </w:rPr>
        <w:t xml:space="preserve"> </w:t>
      </w:r>
      <w:proofErr w:type="spellStart"/>
      <w:r w:rsidRPr="007C6064">
        <w:rPr>
          <w:rFonts w:asciiTheme="majorHAnsi" w:hAnsiTheme="majorHAnsi" w:cstheme="majorHAnsi"/>
          <w:b/>
          <w:bCs/>
        </w:rPr>
        <w:t>waranguye</w:t>
      </w:r>
      <w:proofErr w:type="spellEnd"/>
      <w:r w:rsidRPr="007C6064">
        <w:rPr>
          <w:rFonts w:asciiTheme="majorHAnsi" w:hAnsiTheme="majorHAnsi" w:cstheme="majorHAnsi"/>
          <w:b/>
          <w:bCs/>
        </w:rPr>
        <w:t xml:space="preserve"> » - KIWa</w:t>
      </w:r>
      <w:r w:rsidRPr="007C6064">
        <w:rPr>
          <w:rStyle w:val="Appelnotedebasdep"/>
          <w:rFonts w:asciiTheme="majorHAnsi" w:hAnsiTheme="majorHAnsi" w:cstheme="majorHAnsi"/>
          <w:b/>
          <w:bCs/>
        </w:rPr>
        <w:footnoteReference w:id="1"/>
      </w:r>
      <w:r w:rsidRPr="007C6064">
        <w:rPr>
          <w:rFonts w:asciiTheme="majorHAnsi" w:hAnsiTheme="majorHAnsi" w:cstheme="majorHAnsi"/>
          <w:b/>
          <w:bCs/>
        </w:rPr>
        <w:t>,</w:t>
      </w:r>
      <w:r w:rsidRPr="007C6064">
        <w:rPr>
          <w:rFonts w:asciiTheme="majorHAnsi" w:hAnsiTheme="majorHAnsi" w:cstheme="majorHAnsi"/>
          <w:bCs/>
        </w:rPr>
        <w:t xml:space="preserve"> est responsable des objectifs spécifiques 2 sur le contrôle et transparence dans la GFP et </w:t>
      </w:r>
      <w:proofErr w:type="gramStart"/>
      <w:r w:rsidRPr="007C6064">
        <w:rPr>
          <w:rFonts w:asciiTheme="majorHAnsi" w:hAnsiTheme="majorHAnsi" w:cstheme="majorHAnsi"/>
          <w:bCs/>
        </w:rPr>
        <w:t>3  sur</w:t>
      </w:r>
      <w:proofErr w:type="gramEnd"/>
      <w:r w:rsidRPr="007C6064">
        <w:rPr>
          <w:rFonts w:asciiTheme="majorHAnsi" w:hAnsiTheme="majorHAnsi" w:cstheme="majorHAnsi"/>
          <w:bCs/>
        </w:rPr>
        <w:t xml:space="preserve"> le renforcement des capacités des principaux acteurs de l’État. </w:t>
      </w:r>
    </w:p>
    <w:p w14:paraId="0A2D92A6" w14:textId="77777777" w:rsidR="0027659A" w:rsidRPr="007C6064" w:rsidRDefault="00BA766B" w:rsidP="007C6064">
      <w:pPr>
        <w:spacing w:before="120" w:after="120" w:line="276" w:lineRule="auto"/>
        <w:jc w:val="both"/>
        <w:rPr>
          <w:rFonts w:asciiTheme="majorHAnsi" w:hAnsiTheme="majorHAnsi" w:cstheme="majorHAnsi"/>
        </w:rPr>
      </w:pPr>
      <w:r w:rsidRPr="007C6064">
        <w:rPr>
          <w:rFonts w:asciiTheme="majorHAnsi" w:hAnsiTheme="majorHAnsi" w:cstheme="majorHAnsi"/>
        </w:rPr>
        <w:t xml:space="preserve">La durée de mise en œuvre prévue du Projet « </w:t>
      </w:r>
      <w:proofErr w:type="spellStart"/>
      <w:r w:rsidRPr="007C6064">
        <w:rPr>
          <w:rFonts w:asciiTheme="majorHAnsi" w:hAnsiTheme="majorHAnsi" w:cstheme="majorHAnsi"/>
        </w:rPr>
        <w:t>Kubazwa</w:t>
      </w:r>
      <w:proofErr w:type="spellEnd"/>
      <w:r w:rsidRPr="007C6064">
        <w:rPr>
          <w:rFonts w:asciiTheme="majorHAnsi" w:hAnsiTheme="majorHAnsi" w:cstheme="majorHAnsi"/>
        </w:rPr>
        <w:t xml:space="preserve"> </w:t>
      </w:r>
      <w:proofErr w:type="spellStart"/>
      <w:r w:rsidRPr="007C6064">
        <w:rPr>
          <w:rFonts w:asciiTheme="majorHAnsi" w:hAnsiTheme="majorHAnsi" w:cstheme="majorHAnsi"/>
        </w:rPr>
        <w:t>ivyo</w:t>
      </w:r>
      <w:proofErr w:type="spellEnd"/>
      <w:r w:rsidRPr="007C6064">
        <w:rPr>
          <w:rFonts w:asciiTheme="majorHAnsi" w:hAnsiTheme="majorHAnsi" w:cstheme="majorHAnsi"/>
        </w:rPr>
        <w:t xml:space="preserve"> </w:t>
      </w:r>
      <w:proofErr w:type="spellStart"/>
      <w:r w:rsidRPr="007C6064">
        <w:rPr>
          <w:rFonts w:asciiTheme="majorHAnsi" w:hAnsiTheme="majorHAnsi" w:cstheme="majorHAnsi"/>
        </w:rPr>
        <w:t>waranguye</w:t>
      </w:r>
      <w:proofErr w:type="spellEnd"/>
      <w:r w:rsidRPr="007C6064">
        <w:rPr>
          <w:rFonts w:asciiTheme="majorHAnsi" w:hAnsiTheme="majorHAnsi" w:cstheme="majorHAnsi"/>
        </w:rPr>
        <w:t xml:space="preserve"> » - KIWa est de 42 mois, jusqu’à fin 2027 et le </w:t>
      </w:r>
      <w:r w:rsidR="00E97725" w:rsidRPr="007C6064">
        <w:rPr>
          <w:rFonts w:asciiTheme="majorHAnsi" w:hAnsiTheme="majorHAnsi" w:cstheme="majorHAnsi"/>
        </w:rPr>
        <w:t>cadre logique spécifique à l’interven</w:t>
      </w:r>
      <w:r w:rsidRPr="007C6064">
        <w:rPr>
          <w:rFonts w:asciiTheme="majorHAnsi" w:hAnsiTheme="majorHAnsi" w:cstheme="majorHAnsi"/>
        </w:rPr>
        <w:t xml:space="preserve">tion d’Expertise France </w:t>
      </w:r>
      <w:r w:rsidR="00E97725" w:rsidRPr="007C6064">
        <w:rPr>
          <w:rFonts w:asciiTheme="majorHAnsi" w:hAnsiTheme="majorHAnsi" w:cstheme="majorHAnsi"/>
        </w:rPr>
        <w:t xml:space="preserve">s’articule autour d’un objectif général et de deux objectifs spécifiques (OS) déclinés dans les résultats suivants : </w:t>
      </w:r>
    </w:p>
    <w:p w14:paraId="115FB217" w14:textId="77777777" w:rsidR="00E97725" w:rsidRPr="007C6064" w:rsidRDefault="00E97725" w:rsidP="007C6064">
      <w:pPr>
        <w:suppressAutoHyphens w:val="0"/>
        <w:spacing w:before="120" w:after="120" w:line="276" w:lineRule="auto"/>
        <w:rPr>
          <w:rFonts w:asciiTheme="majorHAnsi" w:hAnsiTheme="majorHAnsi" w:cstheme="majorHAnsi"/>
        </w:rPr>
      </w:pPr>
      <w:r w:rsidRPr="007C6064">
        <w:rPr>
          <w:rFonts w:asciiTheme="majorHAnsi" w:hAnsiTheme="majorHAnsi" w:cstheme="majorHAnsi"/>
          <w:b/>
          <w:bCs/>
        </w:rPr>
        <w:t xml:space="preserve">Objectif général : Améliorer la performance de la gestion des finances publiques au Burundi. </w:t>
      </w:r>
    </w:p>
    <w:p w14:paraId="1F3FE747" w14:textId="77777777" w:rsidR="00E97725" w:rsidRPr="007C6064" w:rsidRDefault="00E97725" w:rsidP="007C6064">
      <w:pPr>
        <w:spacing w:before="120" w:after="120" w:line="276" w:lineRule="auto"/>
        <w:ind w:left="708"/>
        <w:jc w:val="both"/>
        <w:rPr>
          <w:rFonts w:asciiTheme="majorHAnsi" w:hAnsiTheme="majorHAnsi" w:cstheme="majorHAnsi"/>
          <w:b/>
          <w:bCs/>
        </w:rPr>
      </w:pPr>
      <w:r w:rsidRPr="007C6064">
        <w:rPr>
          <w:rFonts w:asciiTheme="majorHAnsi" w:hAnsiTheme="majorHAnsi" w:cstheme="majorHAnsi"/>
          <w:b/>
          <w:bCs/>
        </w:rPr>
        <w:t>OS 1 :  Renforcer le contrôle externe et la transparence.</w:t>
      </w:r>
    </w:p>
    <w:p w14:paraId="71984B98" w14:textId="77777777" w:rsidR="00E97725" w:rsidRPr="007C6064" w:rsidRDefault="00E97725" w:rsidP="007C6064">
      <w:pPr>
        <w:spacing w:before="120" w:after="120" w:line="276" w:lineRule="auto"/>
        <w:ind w:left="1416"/>
        <w:jc w:val="both"/>
        <w:rPr>
          <w:rFonts w:asciiTheme="majorHAnsi" w:hAnsiTheme="majorHAnsi" w:cstheme="majorHAnsi"/>
          <w:color w:val="000000" w:themeColor="text1"/>
        </w:rPr>
      </w:pPr>
      <w:r w:rsidRPr="007C6064">
        <w:rPr>
          <w:rFonts w:asciiTheme="majorHAnsi" w:hAnsiTheme="majorHAnsi" w:cstheme="majorHAnsi"/>
          <w:color w:val="000000" w:themeColor="text1"/>
        </w:rPr>
        <w:t>R1.1 – L'autonomie fonctionnelle de la Cour des comptes est renforcée ;</w:t>
      </w:r>
    </w:p>
    <w:p w14:paraId="7A9902A2" w14:textId="77777777" w:rsidR="00E97725" w:rsidRPr="007C6064" w:rsidRDefault="00E97725" w:rsidP="007C6064">
      <w:pPr>
        <w:spacing w:before="120" w:after="120" w:line="276" w:lineRule="auto"/>
        <w:ind w:left="1416"/>
        <w:jc w:val="both"/>
        <w:rPr>
          <w:rFonts w:asciiTheme="majorHAnsi" w:hAnsiTheme="majorHAnsi" w:cstheme="majorHAnsi"/>
          <w:color w:val="000000" w:themeColor="text1"/>
        </w:rPr>
      </w:pPr>
      <w:r w:rsidRPr="007C6064">
        <w:rPr>
          <w:rFonts w:asciiTheme="majorHAnsi" w:hAnsiTheme="majorHAnsi" w:cstheme="majorHAnsi"/>
          <w:color w:val="000000" w:themeColor="text1"/>
        </w:rPr>
        <w:t>R1.2 – La qualité des contrôles de la Cour est améliorée ;</w:t>
      </w:r>
    </w:p>
    <w:p w14:paraId="5B07058C" w14:textId="77777777" w:rsidR="00E97725" w:rsidRPr="007C6064" w:rsidRDefault="00E97725" w:rsidP="007C6064">
      <w:pPr>
        <w:spacing w:before="120" w:after="120" w:line="276" w:lineRule="auto"/>
        <w:ind w:left="1416"/>
        <w:jc w:val="both"/>
        <w:rPr>
          <w:rFonts w:asciiTheme="majorHAnsi" w:hAnsiTheme="majorHAnsi" w:cstheme="majorHAnsi"/>
          <w:color w:val="000000" w:themeColor="text1"/>
        </w:rPr>
      </w:pPr>
      <w:r w:rsidRPr="007C6064">
        <w:rPr>
          <w:rFonts w:asciiTheme="majorHAnsi" w:hAnsiTheme="majorHAnsi" w:cstheme="majorHAnsi"/>
          <w:color w:val="000000" w:themeColor="text1"/>
        </w:rPr>
        <w:lastRenderedPageBreak/>
        <w:t>R1.3 – La visibilité et la notoriété de la Cour des comptes sont augmentées.</w:t>
      </w:r>
    </w:p>
    <w:p w14:paraId="376CC013" w14:textId="77777777" w:rsidR="00E97725" w:rsidRPr="007C6064" w:rsidRDefault="00E97725" w:rsidP="007C6064">
      <w:pPr>
        <w:spacing w:before="120" w:after="120" w:line="276" w:lineRule="auto"/>
        <w:ind w:left="708"/>
        <w:jc w:val="both"/>
        <w:rPr>
          <w:rFonts w:asciiTheme="majorHAnsi" w:hAnsiTheme="majorHAnsi" w:cstheme="majorHAnsi"/>
          <w:b/>
          <w:bCs/>
        </w:rPr>
      </w:pPr>
      <w:r w:rsidRPr="007C6064">
        <w:rPr>
          <w:rFonts w:asciiTheme="majorHAnsi" w:hAnsiTheme="majorHAnsi" w:cstheme="majorHAnsi"/>
          <w:b/>
          <w:bCs/>
        </w:rPr>
        <w:t xml:space="preserve">OS 2 : Mettre en place la formation continue au sein du </w:t>
      </w:r>
      <w:r w:rsidR="00DE1E41" w:rsidRPr="007C6064">
        <w:rPr>
          <w:rFonts w:asciiTheme="majorHAnsi" w:hAnsiTheme="majorHAnsi" w:cstheme="majorHAnsi"/>
          <w:b/>
          <w:bCs/>
        </w:rPr>
        <w:t>Ministère des Finances, du Budget et de la planification économique (</w:t>
      </w:r>
      <w:r w:rsidRPr="007C6064">
        <w:rPr>
          <w:rFonts w:asciiTheme="majorHAnsi" w:hAnsiTheme="majorHAnsi" w:cstheme="majorHAnsi"/>
          <w:b/>
          <w:bCs/>
        </w:rPr>
        <w:t>MFBPE</w:t>
      </w:r>
      <w:r w:rsidR="00DE1E41" w:rsidRPr="007C6064">
        <w:rPr>
          <w:rFonts w:asciiTheme="majorHAnsi" w:hAnsiTheme="majorHAnsi" w:cstheme="majorHAnsi"/>
          <w:b/>
          <w:bCs/>
        </w:rPr>
        <w:t>)</w:t>
      </w:r>
    </w:p>
    <w:p w14:paraId="6211682D" w14:textId="77777777" w:rsidR="00E97725" w:rsidRPr="007C6064" w:rsidRDefault="00E97725" w:rsidP="007C6064">
      <w:pPr>
        <w:spacing w:before="120" w:after="120" w:line="276" w:lineRule="auto"/>
        <w:ind w:left="1416"/>
        <w:jc w:val="both"/>
        <w:rPr>
          <w:rFonts w:asciiTheme="majorHAnsi" w:hAnsiTheme="majorHAnsi" w:cstheme="majorHAnsi"/>
        </w:rPr>
      </w:pPr>
      <w:r w:rsidRPr="007C6064">
        <w:rPr>
          <w:rFonts w:asciiTheme="majorHAnsi" w:hAnsiTheme="majorHAnsi" w:cstheme="majorHAnsi"/>
        </w:rPr>
        <w:t>R2.1. – Une filière de formation continue du MFBPE est institutionnalisée ;</w:t>
      </w:r>
    </w:p>
    <w:p w14:paraId="50D666EE" w14:textId="77777777" w:rsidR="00E97725" w:rsidRPr="007C6064" w:rsidRDefault="00E97725" w:rsidP="007C6064">
      <w:pPr>
        <w:spacing w:before="120" w:after="120" w:line="276" w:lineRule="auto"/>
        <w:ind w:left="1416"/>
        <w:jc w:val="both"/>
        <w:rPr>
          <w:rFonts w:asciiTheme="majorHAnsi" w:hAnsiTheme="majorHAnsi" w:cstheme="majorHAnsi"/>
        </w:rPr>
      </w:pPr>
      <w:r w:rsidRPr="007C6064">
        <w:rPr>
          <w:rFonts w:asciiTheme="majorHAnsi" w:hAnsiTheme="majorHAnsi" w:cstheme="majorHAnsi"/>
        </w:rPr>
        <w:t>R2.2. – L'administration centrale est formée sur la réforme ;</w:t>
      </w:r>
    </w:p>
    <w:p w14:paraId="4C379778" w14:textId="77777777" w:rsidR="00BA766B" w:rsidRPr="007C6064" w:rsidRDefault="00E97725" w:rsidP="007C6064">
      <w:pPr>
        <w:spacing w:before="120" w:after="120" w:line="276" w:lineRule="auto"/>
        <w:ind w:left="1416"/>
        <w:jc w:val="both"/>
        <w:rPr>
          <w:rFonts w:asciiTheme="majorHAnsi" w:hAnsiTheme="majorHAnsi" w:cstheme="majorHAnsi"/>
        </w:rPr>
      </w:pPr>
      <w:r w:rsidRPr="007C6064">
        <w:rPr>
          <w:rFonts w:asciiTheme="majorHAnsi" w:hAnsiTheme="majorHAnsi" w:cstheme="majorHAnsi"/>
        </w:rPr>
        <w:t>R2.3. – Le MFBPE est sensibilisée sur la budgétisation sensible au genre et les enjeux environnementaux dans la GFP.</w:t>
      </w:r>
    </w:p>
    <w:p w14:paraId="0BBABCB9" w14:textId="77777777" w:rsidR="00BA766B" w:rsidRDefault="00BA766B" w:rsidP="007C6064">
      <w:pPr>
        <w:spacing w:before="120" w:after="120" w:line="276" w:lineRule="auto"/>
        <w:jc w:val="both"/>
        <w:rPr>
          <w:rFonts w:asciiTheme="majorHAnsi" w:hAnsiTheme="majorHAnsi" w:cstheme="majorHAnsi"/>
        </w:rPr>
      </w:pPr>
      <w:r w:rsidRPr="007C6064">
        <w:rPr>
          <w:rFonts w:asciiTheme="majorHAnsi" w:hAnsiTheme="majorHAnsi" w:cstheme="majorHAnsi"/>
        </w:rPr>
        <w:t>La durée de mise en œuvre prévue</w:t>
      </w:r>
      <w:r w:rsidR="00397668">
        <w:rPr>
          <w:rFonts w:asciiTheme="majorHAnsi" w:hAnsiTheme="majorHAnsi" w:cstheme="majorHAnsi"/>
        </w:rPr>
        <w:t xml:space="preserve"> est de 42 mois (3 ans et demi)</w:t>
      </w:r>
      <w:r w:rsidRPr="007C6064">
        <w:rPr>
          <w:rFonts w:asciiTheme="majorHAnsi" w:hAnsiTheme="majorHAnsi" w:cstheme="majorHAnsi"/>
        </w:rPr>
        <w:t>.</w:t>
      </w:r>
    </w:p>
    <w:p w14:paraId="10AC9C76" w14:textId="77777777" w:rsidR="00B70A69" w:rsidRPr="007C6064" w:rsidRDefault="00B70A69" w:rsidP="007C6064">
      <w:pPr>
        <w:spacing w:before="120" w:after="120" w:line="276" w:lineRule="auto"/>
        <w:jc w:val="both"/>
        <w:rPr>
          <w:rFonts w:asciiTheme="majorHAnsi" w:hAnsiTheme="majorHAnsi" w:cstheme="majorHAnsi"/>
        </w:rPr>
      </w:pPr>
    </w:p>
    <w:p w14:paraId="15E6CECA" w14:textId="4B9B4E5A" w:rsidR="00BA766B" w:rsidRPr="00594B0C" w:rsidRDefault="0014568F" w:rsidP="00594B0C">
      <w:pPr>
        <w:pStyle w:val="Paragraphedeliste"/>
        <w:numPr>
          <w:ilvl w:val="0"/>
          <w:numId w:val="42"/>
        </w:numPr>
        <w:pBdr>
          <w:left w:val="single" w:sz="24" w:space="15" w:color="1981CF"/>
        </w:pBdr>
        <w:shd w:val="clear" w:color="auto" w:fill="FFFFFF"/>
        <w:spacing w:before="240" w:after="240" w:line="360" w:lineRule="auto"/>
        <w:outlineLvl w:val="1"/>
        <w:rPr>
          <w:rFonts w:asciiTheme="majorHAnsi" w:eastAsia="Times New Roman" w:hAnsiTheme="majorHAnsi" w:cstheme="majorHAnsi"/>
          <w:b/>
          <w:color w:val="0066CC"/>
          <w:sz w:val="24"/>
          <w:szCs w:val="24"/>
          <w:lang w:eastAsia="fr-FR"/>
        </w:rPr>
      </w:pPr>
      <w:r w:rsidRPr="00594B0C">
        <w:rPr>
          <w:rFonts w:asciiTheme="majorHAnsi" w:eastAsia="Times New Roman" w:hAnsiTheme="majorHAnsi" w:cstheme="majorHAnsi"/>
          <w:b/>
          <w:color w:val="0066CC"/>
          <w:sz w:val="24"/>
          <w:szCs w:val="24"/>
          <w:lang w:eastAsia="fr-FR"/>
        </w:rPr>
        <w:t>Le contexte</w:t>
      </w:r>
    </w:p>
    <w:p w14:paraId="2522CD1D" w14:textId="5A2C1A88" w:rsidR="00F91DDA" w:rsidRPr="00F91DDA" w:rsidRDefault="00F91DDA" w:rsidP="007C6064">
      <w:pPr>
        <w:spacing w:before="120" w:after="120" w:line="276" w:lineRule="auto"/>
        <w:jc w:val="both"/>
        <w:rPr>
          <w:rFonts w:asciiTheme="majorHAnsi" w:eastAsiaTheme="minorEastAsia" w:hAnsiTheme="majorHAnsi" w:cstheme="majorHAnsi"/>
          <w:b/>
          <w:bCs/>
          <w:i/>
          <w:iCs/>
        </w:rPr>
      </w:pPr>
      <w:r w:rsidRPr="00F91DDA">
        <w:rPr>
          <w:rFonts w:asciiTheme="majorHAnsi" w:eastAsiaTheme="minorEastAsia" w:hAnsiTheme="majorHAnsi" w:cstheme="majorHAnsi"/>
          <w:b/>
          <w:bCs/>
          <w:i/>
          <w:iCs/>
        </w:rPr>
        <w:t xml:space="preserve">La </w:t>
      </w:r>
      <w:r w:rsidR="00594B0C" w:rsidRPr="00F91DDA">
        <w:rPr>
          <w:rFonts w:asciiTheme="majorHAnsi" w:eastAsiaTheme="minorEastAsia" w:hAnsiTheme="majorHAnsi" w:cstheme="majorHAnsi"/>
          <w:b/>
          <w:bCs/>
          <w:i/>
          <w:iCs/>
        </w:rPr>
        <w:t>réforme</w:t>
      </w:r>
      <w:r w:rsidRPr="00F91DDA">
        <w:rPr>
          <w:rFonts w:asciiTheme="majorHAnsi" w:eastAsiaTheme="minorEastAsia" w:hAnsiTheme="majorHAnsi" w:cstheme="majorHAnsi"/>
          <w:b/>
          <w:bCs/>
          <w:i/>
          <w:iCs/>
        </w:rPr>
        <w:t xml:space="preserve"> de </w:t>
      </w:r>
      <w:r w:rsidR="00594B0C">
        <w:rPr>
          <w:rFonts w:asciiTheme="majorHAnsi" w:eastAsiaTheme="minorEastAsia" w:hAnsiTheme="majorHAnsi" w:cstheme="majorHAnsi"/>
          <w:b/>
          <w:bCs/>
          <w:i/>
          <w:iCs/>
        </w:rPr>
        <w:t>l</w:t>
      </w:r>
      <w:r w:rsidRPr="00F91DDA">
        <w:rPr>
          <w:rFonts w:asciiTheme="majorHAnsi" w:eastAsiaTheme="minorEastAsia" w:hAnsiTheme="majorHAnsi" w:cstheme="majorHAnsi"/>
          <w:b/>
          <w:bCs/>
          <w:i/>
          <w:iCs/>
        </w:rPr>
        <w:t xml:space="preserve">a </w:t>
      </w:r>
      <w:r w:rsidR="00594B0C" w:rsidRPr="00F91DDA">
        <w:rPr>
          <w:rFonts w:asciiTheme="majorHAnsi" w:eastAsiaTheme="minorEastAsia" w:hAnsiTheme="majorHAnsi" w:cstheme="majorHAnsi"/>
          <w:b/>
          <w:bCs/>
          <w:i/>
          <w:iCs/>
        </w:rPr>
        <w:t>gestion</w:t>
      </w:r>
      <w:r w:rsidR="00594B0C">
        <w:rPr>
          <w:rFonts w:asciiTheme="majorHAnsi" w:eastAsiaTheme="minorEastAsia" w:hAnsiTheme="majorHAnsi" w:cstheme="majorHAnsi"/>
          <w:b/>
          <w:bCs/>
          <w:i/>
          <w:iCs/>
        </w:rPr>
        <w:t xml:space="preserve"> </w:t>
      </w:r>
      <w:r w:rsidRPr="00F91DDA">
        <w:rPr>
          <w:rFonts w:asciiTheme="majorHAnsi" w:eastAsiaTheme="minorEastAsia" w:hAnsiTheme="majorHAnsi" w:cstheme="majorHAnsi"/>
          <w:b/>
          <w:bCs/>
          <w:i/>
          <w:iCs/>
        </w:rPr>
        <w:t>des finances</w:t>
      </w:r>
      <w:r w:rsidR="00594B0C">
        <w:rPr>
          <w:rFonts w:asciiTheme="majorHAnsi" w:eastAsiaTheme="minorEastAsia" w:hAnsiTheme="majorHAnsi" w:cstheme="majorHAnsi"/>
          <w:b/>
          <w:bCs/>
          <w:i/>
          <w:iCs/>
        </w:rPr>
        <w:t xml:space="preserve"> </w:t>
      </w:r>
      <w:r w:rsidRPr="00F91DDA">
        <w:rPr>
          <w:rFonts w:asciiTheme="majorHAnsi" w:eastAsiaTheme="minorEastAsia" w:hAnsiTheme="majorHAnsi" w:cstheme="majorHAnsi"/>
          <w:b/>
          <w:bCs/>
          <w:i/>
          <w:iCs/>
        </w:rPr>
        <w:t xml:space="preserve">publiques </w:t>
      </w:r>
    </w:p>
    <w:p w14:paraId="5297DD18" w14:textId="0792C882" w:rsidR="00F93EE1" w:rsidRDefault="00F93EE1" w:rsidP="00594B0C">
      <w:pPr>
        <w:spacing w:before="120" w:after="120" w:line="276" w:lineRule="auto"/>
        <w:jc w:val="both"/>
        <w:rPr>
          <w:rFonts w:asciiTheme="majorHAnsi" w:eastAsiaTheme="minorEastAsia" w:hAnsiTheme="majorHAnsi" w:cstheme="majorHAnsi"/>
        </w:rPr>
      </w:pPr>
      <w:r>
        <w:rPr>
          <w:rFonts w:asciiTheme="majorHAnsi" w:eastAsiaTheme="minorEastAsia" w:hAnsiTheme="majorHAnsi" w:cstheme="majorHAnsi"/>
        </w:rPr>
        <w:t>L</w:t>
      </w:r>
      <w:r w:rsidRPr="00F93EE1">
        <w:rPr>
          <w:rFonts w:asciiTheme="majorHAnsi" w:eastAsiaTheme="minorEastAsia" w:hAnsiTheme="majorHAnsi" w:cstheme="majorHAnsi"/>
        </w:rPr>
        <w:t>e gouvernement burundais s’est engagé dans un processus de réforme de la gestion des finances publiques, qui s’est notamment concrétisé à travers la révision de la Loi organique relative aux finances publiques en juin 2022</w:t>
      </w:r>
      <w:r w:rsidR="00E05A9F">
        <w:rPr>
          <w:rFonts w:asciiTheme="majorHAnsi" w:eastAsiaTheme="minorEastAsia" w:hAnsiTheme="majorHAnsi" w:cstheme="majorHAnsi"/>
        </w:rPr>
        <w:t xml:space="preserve">. </w:t>
      </w:r>
    </w:p>
    <w:p w14:paraId="2709C706" w14:textId="739080CF" w:rsidR="00C64F6A" w:rsidRPr="007C6064" w:rsidRDefault="006448ED" w:rsidP="00594B0C">
      <w:pPr>
        <w:spacing w:before="120" w:after="120" w:line="276" w:lineRule="auto"/>
        <w:jc w:val="both"/>
        <w:rPr>
          <w:rFonts w:asciiTheme="majorHAnsi" w:eastAsiaTheme="minorEastAsia" w:hAnsiTheme="majorHAnsi" w:cstheme="majorHAnsi"/>
        </w:rPr>
      </w:pPr>
      <w:r>
        <w:rPr>
          <w:rFonts w:asciiTheme="majorHAnsi" w:eastAsiaTheme="minorEastAsia" w:hAnsiTheme="majorHAnsi" w:cstheme="majorHAnsi"/>
        </w:rPr>
        <w:t>Le</w:t>
      </w:r>
      <w:r w:rsidR="00F93EE1" w:rsidRPr="00F93EE1">
        <w:rPr>
          <w:rFonts w:asciiTheme="majorHAnsi" w:eastAsiaTheme="minorEastAsia" w:hAnsiTheme="majorHAnsi" w:cstheme="majorHAnsi"/>
        </w:rPr>
        <w:t xml:space="preserve"> Ministère des Finances, du Budget et de la planification économique (MFBPE) </w:t>
      </w:r>
      <w:r w:rsidR="00C64F6A" w:rsidRPr="007C6064">
        <w:rPr>
          <w:rFonts w:asciiTheme="majorHAnsi" w:eastAsiaTheme="minorEastAsia" w:hAnsiTheme="majorHAnsi" w:cstheme="majorHAnsi"/>
        </w:rPr>
        <w:t xml:space="preserve">a </w:t>
      </w:r>
      <w:r w:rsidR="00F93EE1">
        <w:rPr>
          <w:rFonts w:asciiTheme="majorHAnsi" w:eastAsiaTheme="minorEastAsia" w:hAnsiTheme="majorHAnsi" w:cstheme="majorHAnsi"/>
        </w:rPr>
        <w:t xml:space="preserve">initié </w:t>
      </w:r>
      <w:r w:rsidR="00C64F6A" w:rsidRPr="007C6064">
        <w:rPr>
          <w:rFonts w:asciiTheme="majorHAnsi" w:eastAsiaTheme="minorEastAsia" w:hAnsiTheme="majorHAnsi" w:cstheme="majorHAnsi"/>
        </w:rPr>
        <w:t>un projet de stratégie de réforme de la gestion des Finances Publiques (SRGF</w:t>
      </w:r>
      <w:r w:rsidR="008056EB">
        <w:rPr>
          <w:rFonts w:asciiTheme="majorHAnsi" w:eastAsiaTheme="minorEastAsia" w:hAnsiTheme="majorHAnsi" w:cstheme="majorHAnsi"/>
        </w:rPr>
        <w:t>P 2025 –</w:t>
      </w:r>
      <w:r w:rsidR="00C64F6A" w:rsidRPr="007C6064">
        <w:rPr>
          <w:rFonts w:asciiTheme="majorHAnsi" w:eastAsiaTheme="minorEastAsia" w:hAnsiTheme="majorHAnsi" w:cstheme="majorHAnsi"/>
        </w:rPr>
        <w:t xml:space="preserve">2031) qui englobe les réformes budgétaire, fiscale, gestion de la dépense publique, comptabilité publique et </w:t>
      </w:r>
      <w:proofErr w:type="spellStart"/>
      <w:r w:rsidR="00C64F6A" w:rsidRPr="007C6064">
        <w:rPr>
          <w:rFonts w:asciiTheme="majorHAnsi" w:eastAsiaTheme="minorEastAsia" w:hAnsiTheme="majorHAnsi" w:cstheme="majorHAnsi"/>
        </w:rPr>
        <w:t>reporting</w:t>
      </w:r>
      <w:proofErr w:type="spellEnd"/>
      <w:r w:rsidR="00C64F6A" w:rsidRPr="007C6064">
        <w:rPr>
          <w:rFonts w:asciiTheme="majorHAnsi" w:eastAsiaTheme="minorEastAsia" w:hAnsiTheme="majorHAnsi" w:cstheme="majorHAnsi"/>
        </w:rPr>
        <w:t xml:space="preserve">, audit interne et externe ainsi que la transformation numérique (SIGFP). </w:t>
      </w:r>
    </w:p>
    <w:p w14:paraId="4EB7AC6C" w14:textId="011343B5" w:rsidR="00C64F6A" w:rsidRPr="007C6064" w:rsidRDefault="0047769F" w:rsidP="00594B0C">
      <w:pPr>
        <w:spacing w:before="120" w:after="120" w:line="276" w:lineRule="auto"/>
        <w:jc w:val="both"/>
        <w:rPr>
          <w:rFonts w:asciiTheme="majorHAnsi" w:eastAsiaTheme="minorEastAsia" w:hAnsiTheme="majorHAnsi" w:cstheme="majorHAnsi"/>
        </w:rPr>
      </w:pPr>
      <w:r>
        <w:rPr>
          <w:rFonts w:asciiTheme="majorHAnsi" w:eastAsiaTheme="minorEastAsia" w:hAnsiTheme="majorHAnsi" w:cstheme="majorHAnsi"/>
        </w:rPr>
        <w:t xml:space="preserve">Pour accompagner la mise en </w:t>
      </w:r>
      <w:r w:rsidR="00B72724">
        <w:rPr>
          <w:rFonts w:asciiTheme="majorHAnsi" w:eastAsiaTheme="minorEastAsia" w:hAnsiTheme="majorHAnsi" w:cstheme="majorHAnsi"/>
        </w:rPr>
        <w:t>œuvre</w:t>
      </w:r>
      <w:r>
        <w:rPr>
          <w:rFonts w:asciiTheme="majorHAnsi" w:eastAsiaTheme="minorEastAsia" w:hAnsiTheme="majorHAnsi" w:cstheme="majorHAnsi"/>
        </w:rPr>
        <w:t xml:space="preserve"> de cette stratégie, l</w:t>
      </w:r>
      <w:r w:rsidR="00CB77B3" w:rsidRPr="007C6064">
        <w:rPr>
          <w:rFonts w:asciiTheme="majorHAnsi" w:eastAsiaTheme="minorEastAsia" w:hAnsiTheme="majorHAnsi" w:cstheme="majorHAnsi"/>
        </w:rPr>
        <w:t xml:space="preserve">e MFBPE a </w:t>
      </w:r>
      <w:r w:rsidR="00C64F6A" w:rsidRPr="007C6064">
        <w:rPr>
          <w:rFonts w:asciiTheme="majorHAnsi" w:hAnsiTheme="majorHAnsi" w:cstheme="majorHAnsi"/>
          <w:bCs/>
        </w:rPr>
        <w:t>élaboré un « Programme de formation en finances pub</w:t>
      </w:r>
      <w:r>
        <w:rPr>
          <w:rFonts w:asciiTheme="majorHAnsi" w:hAnsiTheme="majorHAnsi" w:cstheme="majorHAnsi"/>
          <w:bCs/>
        </w:rPr>
        <w:t xml:space="preserve">liques » pour la période 20204-2026. </w:t>
      </w:r>
      <w:r w:rsidR="00F93EE1">
        <w:rPr>
          <w:rFonts w:asciiTheme="majorHAnsi" w:eastAsiaTheme="minorEastAsia" w:hAnsiTheme="majorHAnsi" w:cstheme="majorHAnsi"/>
        </w:rPr>
        <w:t xml:space="preserve">Ce programme de formation </w:t>
      </w:r>
      <w:r w:rsidR="00BD153C">
        <w:rPr>
          <w:rFonts w:asciiTheme="majorHAnsi" w:eastAsiaTheme="minorEastAsia" w:hAnsiTheme="majorHAnsi" w:cstheme="majorHAnsi"/>
        </w:rPr>
        <w:t>est en cou</w:t>
      </w:r>
      <w:r>
        <w:rPr>
          <w:rFonts w:asciiTheme="majorHAnsi" w:eastAsiaTheme="minorEastAsia" w:hAnsiTheme="majorHAnsi" w:cstheme="majorHAnsi"/>
        </w:rPr>
        <w:t>r</w:t>
      </w:r>
      <w:r w:rsidR="00BD153C">
        <w:rPr>
          <w:rFonts w:asciiTheme="majorHAnsi" w:eastAsiaTheme="minorEastAsia" w:hAnsiTheme="majorHAnsi" w:cstheme="majorHAnsi"/>
        </w:rPr>
        <w:t>s d’actualisation pour la période 2026 et 2027</w:t>
      </w:r>
      <w:r>
        <w:rPr>
          <w:rFonts w:asciiTheme="majorHAnsi" w:eastAsiaTheme="minorEastAsia" w:hAnsiTheme="majorHAnsi" w:cstheme="majorHAnsi"/>
        </w:rPr>
        <w:t xml:space="preserve">, suite à la restructuration du ministère déployée durant le second semestre de 2025. </w:t>
      </w:r>
    </w:p>
    <w:p w14:paraId="6C14ADF9" w14:textId="25BE7305" w:rsidR="00F91DDA" w:rsidRPr="00F91DDA" w:rsidRDefault="00F91DDA" w:rsidP="007C6064">
      <w:pPr>
        <w:spacing w:before="120" w:after="120" w:line="276" w:lineRule="auto"/>
        <w:jc w:val="both"/>
        <w:rPr>
          <w:rFonts w:asciiTheme="majorHAnsi" w:eastAsiaTheme="minorEastAsia" w:hAnsiTheme="majorHAnsi" w:cstheme="majorHAnsi"/>
          <w:b/>
          <w:bCs/>
          <w:i/>
          <w:iCs/>
        </w:rPr>
      </w:pPr>
      <w:r w:rsidRPr="00F91DDA">
        <w:rPr>
          <w:rFonts w:asciiTheme="majorHAnsi" w:eastAsiaTheme="minorEastAsia" w:hAnsiTheme="majorHAnsi" w:cstheme="majorHAnsi"/>
          <w:b/>
          <w:bCs/>
          <w:i/>
          <w:iCs/>
        </w:rPr>
        <w:t xml:space="preserve">La filière de formation </w:t>
      </w:r>
      <w:r w:rsidR="00594B0C" w:rsidRPr="00F91DDA">
        <w:rPr>
          <w:rFonts w:asciiTheme="majorHAnsi" w:eastAsiaTheme="minorEastAsia" w:hAnsiTheme="majorHAnsi" w:cstheme="majorHAnsi"/>
          <w:b/>
          <w:bCs/>
          <w:i/>
          <w:iCs/>
        </w:rPr>
        <w:t>continue</w:t>
      </w:r>
      <w:r w:rsidRPr="00F91DDA">
        <w:rPr>
          <w:rFonts w:asciiTheme="majorHAnsi" w:eastAsiaTheme="minorEastAsia" w:hAnsiTheme="majorHAnsi" w:cstheme="majorHAnsi"/>
          <w:b/>
          <w:bCs/>
          <w:i/>
          <w:iCs/>
        </w:rPr>
        <w:t xml:space="preserve"> sur la réforme des</w:t>
      </w:r>
      <w:r w:rsidR="00594B0C">
        <w:rPr>
          <w:rFonts w:asciiTheme="majorHAnsi" w:eastAsiaTheme="minorEastAsia" w:hAnsiTheme="majorHAnsi" w:cstheme="majorHAnsi"/>
          <w:b/>
          <w:bCs/>
          <w:i/>
          <w:iCs/>
        </w:rPr>
        <w:t xml:space="preserve"> </w:t>
      </w:r>
      <w:r w:rsidRPr="00F91DDA">
        <w:rPr>
          <w:rFonts w:asciiTheme="majorHAnsi" w:eastAsiaTheme="minorEastAsia" w:hAnsiTheme="majorHAnsi" w:cstheme="majorHAnsi"/>
          <w:b/>
          <w:bCs/>
          <w:i/>
          <w:iCs/>
        </w:rPr>
        <w:t>finances</w:t>
      </w:r>
      <w:r w:rsidR="00594B0C">
        <w:rPr>
          <w:rFonts w:asciiTheme="majorHAnsi" w:eastAsiaTheme="minorEastAsia" w:hAnsiTheme="majorHAnsi" w:cstheme="majorHAnsi"/>
          <w:b/>
          <w:bCs/>
          <w:i/>
          <w:iCs/>
        </w:rPr>
        <w:t xml:space="preserve"> </w:t>
      </w:r>
      <w:r w:rsidR="004C3822" w:rsidRPr="00F91DDA">
        <w:rPr>
          <w:rFonts w:asciiTheme="majorHAnsi" w:eastAsiaTheme="minorEastAsia" w:hAnsiTheme="majorHAnsi" w:cstheme="majorHAnsi"/>
          <w:b/>
          <w:bCs/>
          <w:i/>
          <w:iCs/>
        </w:rPr>
        <w:t>publiques</w:t>
      </w:r>
    </w:p>
    <w:p w14:paraId="397E23BB" w14:textId="06F47AB9" w:rsidR="005E0AE1" w:rsidRDefault="005E0AE1" w:rsidP="007C6064">
      <w:pPr>
        <w:spacing w:before="120" w:after="120" w:line="276" w:lineRule="auto"/>
        <w:jc w:val="both"/>
        <w:rPr>
          <w:rFonts w:asciiTheme="majorHAnsi" w:eastAsiaTheme="minorEastAsia" w:hAnsiTheme="majorHAnsi" w:cstheme="majorHAnsi"/>
        </w:rPr>
      </w:pPr>
      <w:r>
        <w:rPr>
          <w:rFonts w:asciiTheme="majorHAnsi" w:eastAsiaTheme="minorEastAsia" w:hAnsiTheme="majorHAnsi" w:cstheme="majorHAnsi"/>
        </w:rPr>
        <w:t xml:space="preserve">La mise en place de la filière de formation doit permettre de déployer ce programme de formations en direction de tous les agents et </w:t>
      </w:r>
      <w:r w:rsidR="00F91DDA">
        <w:rPr>
          <w:rFonts w:asciiTheme="majorHAnsi" w:eastAsiaTheme="minorEastAsia" w:hAnsiTheme="majorHAnsi" w:cstheme="majorHAnsi"/>
        </w:rPr>
        <w:t>services</w:t>
      </w:r>
      <w:r>
        <w:rPr>
          <w:rFonts w:asciiTheme="majorHAnsi" w:eastAsiaTheme="minorEastAsia" w:hAnsiTheme="majorHAnsi" w:cstheme="majorHAnsi"/>
        </w:rPr>
        <w:t xml:space="preserve"> </w:t>
      </w:r>
      <w:r w:rsidR="00F91DDA">
        <w:rPr>
          <w:rFonts w:asciiTheme="majorHAnsi" w:eastAsiaTheme="minorEastAsia" w:hAnsiTheme="majorHAnsi" w:cstheme="majorHAnsi"/>
        </w:rPr>
        <w:t>concernés</w:t>
      </w:r>
      <w:r>
        <w:rPr>
          <w:rFonts w:asciiTheme="majorHAnsi" w:eastAsiaTheme="minorEastAsia" w:hAnsiTheme="majorHAnsi" w:cstheme="majorHAnsi"/>
        </w:rPr>
        <w:t xml:space="preserve"> par la </w:t>
      </w:r>
      <w:r w:rsidR="00F91DDA">
        <w:rPr>
          <w:rFonts w:asciiTheme="majorHAnsi" w:eastAsiaTheme="minorEastAsia" w:hAnsiTheme="majorHAnsi" w:cstheme="majorHAnsi"/>
        </w:rPr>
        <w:t xml:space="preserve">gestion </w:t>
      </w:r>
      <w:r>
        <w:rPr>
          <w:rFonts w:asciiTheme="majorHAnsi" w:eastAsiaTheme="minorEastAsia" w:hAnsiTheme="majorHAnsi" w:cstheme="majorHAnsi"/>
        </w:rPr>
        <w:t>des finances</w:t>
      </w:r>
      <w:r w:rsidR="00F91DDA">
        <w:rPr>
          <w:rFonts w:asciiTheme="majorHAnsi" w:eastAsiaTheme="minorEastAsia" w:hAnsiTheme="majorHAnsi" w:cstheme="majorHAnsi"/>
        </w:rPr>
        <w:t xml:space="preserve"> </w:t>
      </w:r>
      <w:r>
        <w:rPr>
          <w:rFonts w:asciiTheme="majorHAnsi" w:eastAsiaTheme="minorEastAsia" w:hAnsiTheme="majorHAnsi" w:cstheme="majorHAnsi"/>
        </w:rPr>
        <w:t>publiques. L’</w:t>
      </w:r>
      <w:r w:rsidR="00F91DDA">
        <w:rPr>
          <w:rFonts w:asciiTheme="majorHAnsi" w:eastAsiaTheme="minorEastAsia" w:hAnsiTheme="majorHAnsi" w:cstheme="majorHAnsi"/>
        </w:rPr>
        <w:t>intervention</w:t>
      </w:r>
      <w:r>
        <w:rPr>
          <w:rFonts w:asciiTheme="majorHAnsi" w:eastAsiaTheme="minorEastAsia" w:hAnsiTheme="majorHAnsi" w:cstheme="majorHAnsi"/>
        </w:rPr>
        <w:t xml:space="preserve"> du projet KIWa se déploie à plusieurs niveaux dans cette perspective :</w:t>
      </w:r>
    </w:p>
    <w:p w14:paraId="009534C2" w14:textId="165DCFE0" w:rsidR="00F91DDA" w:rsidRPr="00F91DDA" w:rsidRDefault="00F91DDA" w:rsidP="007C6064">
      <w:pPr>
        <w:spacing w:before="120" w:after="120" w:line="276" w:lineRule="auto"/>
        <w:jc w:val="both"/>
        <w:rPr>
          <w:rFonts w:asciiTheme="majorHAnsi" w:eastAsiaTheme="minorEastAsia" w:hAnsiTheme="majorHAnsi" w:cstheme="majorHAnsi"/>
          <w:i/>
          <w:iCs/>
        </w:rPr>
      </w:pPr>
      <w:r w:rsidRPr="00F91DDA">
        <w:rPr>
          <w:rFonts w:asciiTheme="majorHAnsi" w:eastAsiaTheme="minorEastAsia" w:hAnsiTheme="majorHAnsi" w:cstheme="majorHAnsi"/>
          <w:i/>
          <w:iCs/>
        </w:rPr>
        <w:t>La conception de modules de formation :</w:t>
      </w:r>
    </w:p>
    <w:p w14:paraId="59CD1ED8" w14:textId="78FF98C8" w:rsidR="00167711" w:rsidRDefault="00937926" w:rsidP="00594B0C">
      <w:pPr>
        <w:spacing w:before="120" w:after="120" w:line="276" w:lineRule="auto"/>
        <w:ind w:left="708"/>
        <w:jc w:val="both"/>
        <w:rPr>
          <w:rFonts w:asciiTheme="majorHAnsi" w:hAnsiTheme="majorHAnsi" w:cstheme="majorHAnsi"/>
          <w:color w:val="000000"/>
        </w:rPr>
      </w:pPr>
      <w:r>
        <w:rPr>
          <w:rFonts w:asciiTheme="majorHAnsi" w:eastAsiaTheme="minorEastAsia" w:hAnsiTheme="majorHAnsi" w:cstheme="majorHAnsi"/>
        </w:rPr>
        <w:t xml:space="preserve">En relation avec </w:t>
      </w:r>
      <w:r w:rsidR="0047769F" w:rsidRPr="007D2D86">
        <w:rPr>
          <w:rFonts w:asciiTheme="majorHAnsi" w:eastAsiaTheme="minorEastAsia" w:hAnsiTheme="majorHAnsi" w:cstheme="majorHAnsi"/>
        </w:rPr>
        <w:t>Le</w:t>
      </w:r>
      <w:r w:rsidR="00CB77B3" w:rsidRPr="007D2D86">
        <w:rPr>
          <w:rFonts w:asciiTheme="majorHAnsi" w:eastAsiaTheme="minorEastAsia" w:hAnsiTheme="majorHAnsi" w:cstheme="majorHAnsi"/>
        </w:rPr>
        <w:t xml:space="preserve"> </w:t>
      </w:r>
      <w:r w:rsidR="00966077" w:rsidRPr="007D2D86">
        <w:rPr>
          <w:rFonts w:asciiTheme="majorHAnsi" w:eastAsiaTheme="minorEastAsia" w:hAnsiTheme="majorHAnsi" w:cstheme="majorHAnsi"/>
        </w:rPr>
        <w:t xml:space="preserve">programme « gouvernance économique et financière au Burundi » permet d’articuler une étroite collaboration entre l’assistance technique du FMI et le </w:t>
      </w:r>
      <w:r w:rsidR="00CB77B3" w:rsidRPr="007D2D86">
        <w:rPr>
          <w:rFonts w:asciiTheme="majorHAnsi" w:hAnsiTheme="majorHAnsi" w:cstheme="majorHAnsi"/>
        </w:rPr>
        <w:t>projet KIWa</w:t>
      </w:r>
      <w:r w:rsidR="0047769F" w:rsidRPr="007D2D86">
        <w:rPr>
          <w:rFonts w:asciiTheme="majorHAnsi" w:hAnsiTheme="majorHAnsi" w:cstheme="majorHAnsi"/>
        </w:rPr>
        <w:t xml:space="preserve"> </w:t>
      </w:r>
      <w:r w:rsidR="00966077" w:rsidRPr="007D2D86">
        <w:rPr>
          <w:rFonts w:asciiTheme="majorHAnsi" w:hAnsiTheme="majorHAnsi" w:cstheme="majorHAnsi"/>
        </w:rPr>
        <w:t>ainsi que les cadres du ministère pour le développement de contenus de formations accompagnant les réformes dans les finances publiques</w:t>
      </w:r>
      <w:r w:rsidR="006705CB" w:rsidRPr="007D2D86">
        <w:rPr>
          <w:rFonts w:asciiTheme="majorHAnsi" w:hAnsiTheme="majorHAnsi" w:cstheme="majorHAnsi"/>
          <w:color w:val="000000"/>
        </w:rPr>
        <w:t xml:space="preserve">. </w:t>
      </w:r>
      <w:r w:rsidR="00966077" w:rsidRPr="007D2D86">
        <w:rPr>
          <w:rFonts w:asciiTheme="majorHAnsi" w:hAnsiTheme="majorHAnsi" w:cstheme="majorHAnsi"/>
          <w:color w:val="000000"/>
        </w:rPr>
        <w:t xml:space="preserve"> Les contenus techniques sont élaborés par le FMI, ou parfois dans une collaboration tripartite FMI, MFBEN et experts techniques recrutés par le projet KIWa. Ils sont ensuite déployés sous forme de modules de formation, </w:t>
      </w:r>
      <w:r w:rsidR="00C53E53" w:rsidRPr="007D2D86">
        <w:rPr>
          <w:rFonts w:asciiTheme="majorHAnsi" w:hAnsiTheme="majorHAnsi" w:cstheme="majorHAnsi"/>
          <w:color w:val="000000"/>
        </w:rPr>
        <w:t>conçus</w:t>
      </w:r>
      <w:r w:rsidR="00966077" w:rsidRPr="007D2D86">
        <w:rPr>
          <w:rFonts w:asciiTheme="majorHAnsi" w:hAnsiTheme="majorHAnsi" w:cstheme="majorHAnsi"/>
          <w:color w:val="000000"/>
        </w:rPr>
        <w:t xml:space="preserve"> selon les approches actuelles de l’ingénierie de formation</w:t>
      </w:r>
      <w:r w:rsidR="00167711">
        <w:rPr>
          <w:rFonts w:asciiTheme="majorHAnsi" w:hAnsiTheme="majorHAnsi" w:cstheme="majorHAnsi"/>
          <w:color w:val="000000"/>
        </w:rPr>
        <w:t xml:space="preserve">. La démarche de conception implique fortement les cadres du ministère afin de contextualiser les contenus. </w:t>
      </w:r>
    </w:p>
    <w:p w14:paraId="0B0655F4" w14:textId="1342DDDA" w:rsidR="00C53E53" w:rsidRPr="007D2D86" w:rsidRDefault="00C53E53" w:rsidP="00594B0C">
      <w:pPr>
        <w:spacing w:before="120" w:after="120" w:line="276" w:lineRule="auto"/>
        <w:ind w:left="708"/>
        <w:jc w:val="both"/>
        <w:rPr>
          <w:rFonts w:asciiTheme="majorHAnsi" w:hAnsiTheme="majorHAnsi" w:cstheme="majorHAnsi"/>
          <w:color w:val="000000"/>
        </w:rPr>
      </w:pPr>
      <w:r w:rsidRPr="007D2D86">
        <w:rPr>
          <w:rFonts w:asciiTheme="majorHAnsi" w:hAnsiTheme="majorHAnsi" w:cstheme="majorHAnsi"/>
          <w:color w:val="000000"/>
        </w:rPr>
        <w:t>Deux modules ont été développés </w:t>
      </w:r>
      <w:r w:rsidR="00384F10" w:rsidRPr="007D2D86">
        <w:rPr>
          <w:rFonts w:asciiTheme="majorHAnsi" w:hAnsiTheme="majorHAnsi" w:cstheme="majorHAnsi"/>
          <w:color w:val="000000"/>
        </w:rPr>
        <w:t xml:space="preserve">en 2025 et début 2026 </w:t>
      </w:r>
      <w:r w:rsidRPr="007D2D86">
        <w:rPr>
          <w:rFonts w:asciiTheme="majorHAnsi" w:hAnsiTheme="majorHAnsi" w:cstheme="majorHAnsi"/>
          <w:color w:val="000000"/>
        </w:rPr>
        <w:t>:</w:t>
      </w:r>
    </w:p>
    <w:p w14:paraId="30B1E524" w14:textId="7D0C5DD7" w:rsidR="00C53E53" w:rsidRPr="007D2D86" w:rsidRDefault="00C53E53" w:rsidP="00594B0C">
      <w:pPr>
        <w:pStyle w:val="Paragraphedeliste"/>
        <w:numPr>
          <w:ilvl w:val="0"/>
          <w:numId w:val="41"/>
        </w:numPr>
        <w:spacing w:before="120" w:after="120" w:line="276" w:lineRule="auto"/>
        <w:ind w:left="1428"/>
        <w:jc w:val="both"/>
        <w:rPr>
          <w:rFonts w:asciiTheme="majorHAnsi" w:hAnsiTheme="majorHAnsi" w:cstheme="majorHAnsi"/>
          <w:color w:val="000000"/>
        </w:rPr>
      </w:pPr>
      <w:r w:rsidRPr="007D2D86">
        <w:rPr>
          <w:rFonts w:asciiTheme="majorHAnsi" w:hAnsiTheme="majorHAnsi" w:cstheme="majorHAnsi"/>
          <w:color w:val="000000"/>
        </w:rPr>
        <w:t>Les fondamentaux de la réforme du budget-programme</w:t>
      </w:r>
    </w:p>
    <w:p w14:paraId="073A5F3E" w14:textId="30D1A280" w:rsidR="00384F10" w:rsidRPr="007D2D86" w:rsidRDefault="00384F10" w:rsidP="00594B0C">
      <w:pPr>
        <w:pStyle w:val="Paragraphedeliste"/>
        <w:numPr>
          <w:ilvl w:val="0"/>
          <w:numId w:val="41"/>
        </w:numPr>
        <w:spacing w:before="120" w:after="120" w:line="276" w:lineRule="auto"/>
        <w:ind w:left="1428"/>
        <w:jc w:val="both"/>
        <w:rPr>
          <w:rFonts w:asciiTheme="majorHAnsi" w:hAnsiTheme="majorHAnsi" w:cstheme="majorHAnsi"/>
          <w:color w:val="000000"/>
        </w:rPr>
      </w:pPr>
      <w:r w:rsidRPr="007D2D86">
        <w:rPr>
          <w:rFonts w:asciiTheme="majorHAnsi" w:hAnsiTheme="majorHAnsi" w:cstheme="majorHAnsi"/>
          <w:color w:val="000000"/>
        </w:rPr>
        <w:t xml:space="preserve">La comptabilité de l’Etat </w:t>
      </w:r>
    </w:p>
    <w:p w14:paraId="2CE88EBF" w14:textId="7DE4EC09" w:rsidR="00384F10" w:rsidRDefault="00167711" w:rsidP="00594B0C">
      <w:pPr>
        <w:spacing w:before="120" w:after="120" w:line="276" w:lineRule="auto"/>
        <w:ind w:left="708"/>
        <w:jc w:val="both"/>
        <w:rPr>
          <w:rFonts w:asciiTheme="majorHAnsi" w:hAnsiTheme="majorHAnsi" w:cstheme="majorHAnsi"/>
          <w:color w:val="000000"/>
        </w:rPr>
      </w:pPr>
      <w:r>
        <w:rPr>
          <w:rFonts w:asciiTheme="majorHAnsi" w:hAnsiTheme="majorHAnsi" w:cstheme="majorHAnsi"/>
          <w:color w:val="000000"/>
        </w:rPr>
        <w:lastRenderedPageBreak/>
        <w:t>D’</w:t>
      </w:r>
      <w:r w:rsidR="00384F10" w:rsidRPr="007D2D86">
        <w:rPr>
          <w:rFonts w:asciiTheme="majorHAnsi" w:hAnsiTheme="majorHAnsi" w:cstheme="majorHAnsi"/>
          <w:color w:val="000000"/>
        </w:rPr>
        <w:t xml:space="preserve">autres thématiques ont été identifiées </w:t>
      </w:r>
      <w:r>
        <w:rPr>
          <w:rFonts w:asciiTheme="majorHAnsi" w:hAnsiTheme="majorHAnsi" w:cstheme="majorHAnsi"/>
          <w:color w:val="000000"/>
        </w:rPr>
        <w:t>comme prioritaires</w:t>
      </w:r>
      <w:r w:rsidR="00937926">
        <w:rPr>
          <w:rFonts w:asciiTheme="majorHAnsi" w:hAnsiTheme="majorHAnsi" w:cstheme="majorHAnsi"/>
          <w:color w:val="000000"/>
        </w:rPr>
        <w:t xml:space="preserve"> pour le développement de nouveaux modules, parmi lesquelles celle de la commande publique.</w:t>
      </w:r>
    </w:p>
    <w:p w14:paraId="1AA5E258" w14:textId="4A36B05F" w:rsidR="00F91DDA" w:rsidRPr="00594B0C" w:rsidRDefault="00F91DDA" w:rsidP="007C6064">
      <w:pPr>
        <w:spacing w:before="120" w:after="120" w:line="276" w:lineRule="auto"/>
        <w:jc w:val="both"/>
        <w:rPr>
          <w:rFonts w:asciiTheme="majorHAnsi" w:hAnsiTheme="majorHAnsi" w:cstheme="majorHAnsi"/>
          <w:i/>
          <w:iCs/>
          <w:color w:val="000000"/>
        </w:rPr>
      </w:pPr>
      <w:r w:rsidRPr="00594B0C">
        <w:rPr>
          <w:rFonts w:asciiTheme="majorHAnsi" w:hAnsiTheme="majorHAnsi" w:cstheme="majorHAnsi"/>
          <w:i/>
          <w:iCs/>
          <w:color w:val="000000"/>
        </w:rPr>
        <w:t>L’installation de la filière de formation continue au sein du ministère :</w:t>
      </w:r>
    </w:p>
    <w:p w14:paraId="6E1B3C1B" w14:textId="5CAB4D12" w:rsidR="00F91DDA" w:rsidRDefault="00F91DDA" w:rsidP="00594B0C">
      <w:pPr>
        <w:spacing w:before="120" w:after="120" w:line="276" w:lineRule="auto"/>
        <w:ind w:left="708"/>
        <w:jc w:val="both"/>
        <w:rPr>
          <w:rFonts w:asciiTheme="majorHAnsi" w:hAnsiTheme="majorHAnsi" w:cstheme="majorHAnsi"/>
          <w:color w:val="000000"/>
        </w:rPr>
      </w:pPr>
      <w:r>
        <w:rPr>
          <w:rFonts w:asciiTheme="majorHAnsi" w:hAnsiTheme="majorHAnsi" w:cstheme="majorHAnsi"/>
          <w:color w:val="000000"/>
        </w:rPr>
        <w:t xml:space="preserve">Le projet KIWa appuie le </w:t>
      </w:r>
      <w:r w:rsidR="00844923">
        <w:rPr>
          <w:rFonts w:asciiTheme="majorHAnsi" w:hAnsiTheme="majorHAnsi" w:cstheme="majorHAnsi"/>
          <w:color w:val="000000"/>
        </w:rPr>
        <w:t>ministère</w:t>
      </w:r>
      <w:r>
        <w:rPr>
          <w:rFonts w:asciiTheme="majorHAnsi" w:hAnsiTheme="majorHAnsi" w:cstheme="majorHAnsi"/>
          <w:color w:val="000000"/>
        </w:rPr>
        <w:t xml:space="preserve"> dans la </w:t>
      </w:r>
      <w:r w:rsidR="00844923">
        <w:rPr>
          <w:rFonts w:asciiTheme="majorHAnsi" w:hAnsiTheme="majorHAnsi" w:cstheme="majorHAnsi"/>
          <w:color w:val="000000"/>
        </w:rPr>
        <w:t>constitution</w:t>
      </w:r>
      <w:r>
        <w:rPr>
          <w:rFonts w:asciiTheme="majorHAnsi" w:hAnsiTheme="majorHAnsi" w:cstheme="majorHAnsi"/>
          <w:color w:val="000000"/>
        </w:rPr>
        <w:t xml:space="preserve"> d’un vivier de formateurs sur chacune des grands thématiques de la réforme des</w:t>
      </w:r>
      <w:r w:rsidR="00844923">
        <w:rPr>
          <w:rFonts w:asciiTheme="majorHAnsi" w:hAnsiTheme="majorHAnsi" w:cstheme="majorHAnsi"/>
          <w:color w:val="000000"/>
        </w:rPr>
        <w:t xml:space="preserve"> </w:t>
      </w:r>
      <w:r>
        <w:rPr>
          <w:rFonts w:asciiTheme="majorHAnsi" w:hAnsiTheme="majorHAnsi" w:cstheme="majorHAnsi"/>
          <w:color w:val="000000"/>
        </w:rPr>
        <w:t>finances</w:t>
      </w:r>
      <w:r w:rsidR="00844923">
        <w:rPr>
          <w:rFonts w:asciiTheme="majorHAnsi" w:hAnsiTheme="majorHAnsi" w:cstheme="majorHAnsi"/>
          <w:color w:val="000000"/>
        </w:rPr>
        <w:t xml:space="preserve"> </w:t>
      </w:r>
      <w:r>
        <w:rPr>
          <w:rFonts w:asciiTheme="majorHAnsi" w:hAnsiTheme="majorHAnsi" w:cstheme="majorHAnsi"/>
          <w:color w:val="000000"/>
        </w:rPr>
        <w:t xml:space="preserve">publiques. Ces formateurs, impliqués dès la </w:t>
      </w:r>
      <w:r w:rsidR="00844923">
        <w:rPr>
          <w:rFonts w:asciiTheme="majorHAnsi" w:hAnsiTheme="majorHAnsi" w:cstheme="majorHAnsi"/>
          <w:color w:val="000000"/>
        </w:rPr>
        <w:t>phase</w:t>
      </w:r>
      <w:r>
        <w:rPr>
          <w:rFonts w:asciiTheme="majorHAnsi" w:hAnsiTheme="majorHAnsi" w:cstheme="majorHAnsi"/>
          <w:color w:val="000000"/>
        </w:rPr>
        <w:t xml:space="preserve"> de </w:t>
      </w:r>
      <w:r w:rsidR="00844923">
        <w:rPr>
          <w:rFonts w:asciiTheme="majorHAnsi" w:hAnsiTheme="majorHAnsi" w:cstheme="majorHAnsi"/>
          <w:color w:val="000000"/>
        </w:rPr>
        <w:t>conception</w:t>
      </w:r>
      <w:r>
        <w:rPr>
          <w:rFonts w:asciiTheme="majorHAnsi" w:hAnsiTheme="majorHAnsi" w:cstheme="majorHAnsi"/>
          <w:color w:val="000000"/>
        </w:rPr>
        <w:t xml:space="preserve"> des</w:t>
      </w:r>
      <w:r w:rsidR="00844923">
        <w:rPr>
          <w:rFonts w:asciiTheme="majorHAnsi" w:hAnsiTheme="majorHAnsi" w:cstheme="majorHAnsi"/>
          <w:color w:val="000000"/>
        </w:rPr>
        <w:t xml:space="preserve"> </w:t>
      </w:r>
      <w:r>
        <w:rPr>
          <w:rFonts w:asciiTheme="majorHAnsi" w:hAnsiTheme="majorHAnsi" w:cstheme="majorHAnsi"/>
          <w:color w:val="000000"/>
        </w:rPr>
        <w:t xml:space="preserve">modules suivent une formation spécifique sur le module, ainsi qu’une </w:t>
      </w:r>
      <w:r w:rsidR="00844923">
        <w:rPr>
          <w:rFonts w:asciiTheme="majorHAnsi" w:hAnsiTheme="majorHAnsi" w:cstheme="majorHAnsi"/>
          <w:color w:val="000000"/>
        </w:rPr>
        <w:t>formation</w:t>
      </w:r>
      <w:r>
        <w:rPr>
          <w:rFonts w:asciiTheme="majorHAnsi" w:hAnsiTheme="majorHAnsi" w:cstheme="majorHAnsi"/>
          <w:color w:val="000000"/>
        </w:rPr>
        <w:t xml:space="preserve"> en andragogie. Ils sont ensuite mobilisés par les </w:t>
      </w:r>
      <w:r w:rsidR="00844923">
        <w:rPr>
          <w:rFonts w:asciiTheme="majorHAnsi" w:hAnsiTheme="majorHAnsi" w:cstheme="majorHAnsi"/>
          <w:color w:val="000000"/>
        </w:rPr>
        <w:t>institutions</w:t>
      </w:r>
      <w:r>
        <w:rPr>
          <w:rFonts w:asciiTheme="majorHAnsi" w:hAnsiTheme="majorHAnsi" w:cstheme="majorHAnsi"/>
          <w:color w:val="000000"/>
        </w:rPr>
        <w:t xml:space="preserve"> publiques</w:t>
      </w:r>
      <w:r w:rsidR="00844923">
        <w:rPr>
          <w:rFonts w:asciiTheme="majorHAnsi" w:hAnsiTheme="majorHAnsi" w:cstheme="majorHAnsi"/>
          <w:color w:val="000000"/>
        </w:rPr>
        <w:t xml:space="preserve"> </w:t>
      </w:r>
      <w:r>
        <w:rPr>
          <w:rFonts w:asciiTheme="majorHAnsi" w:hAnsiTheme="majorHAnsi" w:cstheme="majorHAnsi"/>
          <w:color w:val="000000"/>
        </w:rPr>
        <w:t xml:space="preserve">en charge de la formation comme l’institut </w:t>
      </w:r>
      <w:r w:rsidR="00844923">
        <w:rPr>
          <w:rFonts w:asciiTheme="majorHAnsi" w:hAnsiTheme="majorHAnsi" w:cstheme="majorHAnsi"/>
          <w:color w:val="000000"/>
        </w:rPr>
        <w:t>supérieur</w:t>
      </w:r>
      <w:r>
        <w:rPr>
          <w:rFonts w:asciiTheme="majorHAnsi" w:hAnsiTheme="majorHAnsi" w:cstheme="majorHAnsi"/>
          <w:color w:val="000000"/>
        </w:rPr>
        <w:t xml:space="preserve"> de gestion (sous la </w:t>
      </w:r>
      <w:r w:rsidR="00844923">
        <w:rPr>
          <w:rFonts w:asciiTheme="majorHAnsi" w:hAnsiTheme="majorHAnsi" w:cstheme="majorHAnsi"/>
          <w:color w:val="000000"/>
        </w:rPr>
        <w:t>tutelle</w:t>
      </w:r>
      <w:r>
        <w:rPr>
          <w:rFonts w:asciiTheme="majorHAnsi" w:hAnsiTheme="majorHAnsi" w:cstheme="majorHAnsi"/>
          <w:color w:val="000000"/>
        </w:rPr>
        <w:t xml:space="preserve"> du </w:t>
      </w:r>
      <w:r w:rsidR="00844923">
        <w:rPr>
          <w:rFonts w:asciiTheme="majorHAnsi" w:hAnsiTheme="majorHAnsi" w:cstheme="majorHAnsi"/>
          <w:color w:val="000000"/>
        </w:rPr>
        <w:t>ministère</w:t>
      </w:r>
      <w:r>
        <w:rPr>
          <w:rFonts w:asciiTheme="majorHAnsi" w:hAnsiTheme="majorHAnsi" w:cstheme="majorHAnsi"/>
          <w:color w:val="000000"/>
        </w:rPr>
        <w:t xml:space="preserve">) ou l’école </w:t>
      </w:r>
      <w:r w:rsidR="00844923">
        <w:rPr>
          <w:rFonts w:asciiTheme="majorHAnsi" w:hAnsiTheme="majorHAnsi" w:cstheme="majorHAnsi"/>
          <w:color w:val="000000"/>
        </w:rPr>
        <w:t>nationale</w:t>
      </w:r>
      <w:r>
        <w:rPr>
          <w:rFonts w:asciiTheme="majorHAnsi" w:hAnsiTheme="majorHAnsi" w:cstheme="majorHAnsi"/>
          <w:color w:val="000000"/>
        </w:rPr>
        <w:t xml:space="preserve"> d’</w:t>
      </w:r>
      <w:r w:rsidR="00844923">
        <w:rPr>
          <w:rFonts w:asciiTheme="majorHAnsi" w:hAnsiTheme="majorHAnsi" w:cstheme="majorHAnsi"/>
          <w:color w:val="000000"/>
        </w:rPr>
        <w:t>administration afin d’assurer les formations auprès des publics cible. L</w:t>
      </w:r>
      <w:r>
        <w:rPr>
          <w:rFonts w:asciiTheme="majorHAnsi" w:hAnsiTheme="majorHAnsi" w:cstheme="majorHAnsi"/>
          <w:color w:val="000000"/>
        </w:rPr>
        <w:t xml:space="preserve">e projet KIWa appuie également le </w:t>
      </w:r>
      <w:r w:rsidR="00844923">
        <w:rPr>
          <w:rFonts w:asciiTheme="majorHAnsi" w:hAnsiTheme="majorHAnsi" w:cstheme="majorHAnsi"/>
          <w:color w:val="000000"/>
        </w:rPr>
        <w:t>ministère</w:t>
      </w:r>
      <w:r>
        <w:rPr>
          <w:rFonts w:asciiTheme="majorHAnsi" w:hAnsiTheme="majorHAnsi" w:cstheme="majorHAnsi"/>
          <w:color w:val="000000"/>
        </w:rPr>
        <w:t xml:space="preserve"> dans la mise en </w:t>
      </w:r>
      <w:r w:rsidR="00844923">
        <w:rPr>
          <w:rFonts w:asciiTheme="majorHAnsi" w:hAnsiTheme="majorHAnsi" w:cstheme="majorHAnsi"/>
          <w:color w:val="000000"/>
        </w:rPr>
        <w:t>place</w:t>
      </w:r>
      <w:r>
        <w:rPr>
          <w:rFonts w:asciiTheme="majorHAnsi" w:hAnsiTheme="majorHAnsi" w:cstheme="majorHAnsi"/>
          <w:color w:val="000000"/>
        </w:rPr>
        <w:t xml:space="preserve"> </w:t>
      </w:r>
      <w:r w:rsidR="00844923">
        <w:rPr>
          <w:rFonts w:asciiTheme="majorHAnsi" w:hAnsiTheme="majorHAnsi" w:cstheme="majorHAnsi"/>
          <w:color w:val="000000"/>
        </w:rPr>
        <w:t>de méthodes et d’outils pour gérer</w:t>
      </w:r>
      <w:r>
        <w:rPr>
          <w:rFonts w:asciiTheme="majorHAnsi" w:hAnsiTheme="majorHAnsi" w:cstheme="majorHAnsi"/>
          <w:color w:val="000000"/>
        </w:rPr>
        <w:t xml:space="preserve"> la partie </w:t>
      </w:r>
      <w:r w:rsidR="00844923">
        <w:rPr>
          <w:rFonts w:asciiTheme="majorHAnsi" w:hAnsiTheme="majorHAnsi" w:cstheme="majorHAnsi"/>
          <w:color w:val="000000"/>
        </w:rPr>
        <w:t>logistique</w:t>
      </w:r>
      <w:r>
        <w:rPr>
          <w:rFonts w:asciiTheme="majorHAnsi" w:hAnsiTheme="majorHAnsi" w:cstheme="majorHAnsi"/>
          <w:color w:val="000000"/>
        </w:rPr>
        <w:t xml:space="preserve"> de</w:t>
      </w:r>
      <w:r w:rsidR="00844923">
        <w:rPr>
          <w:rFonts w:asciiTheme="majorHAnsi" w:hAnsiTheme="majorHAnsi" w:cstheme="majorHAnsi"/>
          <w:color w:val="000000"/>
        </w:rPr>
        <w:t xml:space="preserve"> </w:t>
      </w:r>
      <w:r>
        <w:rPr>
          <w:rFonts w:asciiTheme="majorHAnsi" w:hAnsiTheme="majorHAnsi" w:cstheme="majorHAnsi"/>
          <w:color w:val="000000"/>
        </w:rPr>
        <w:t>l’</w:t>
      </w:r>
      <w:r w:rsidR="00844923">
        <w:rPr>
          <w:rFonts w:asciiTheme="majorHAnsi" w:hAnsiTheme="majorHAnsi" w:cstheme="majorHAnsi"/>
          <w:color w:val="000000"/>
        </w:rPr>
        <w:t>ingénierie</w:t>
      </w:r>
      <w:r>
        <w:rPr>
          <w:rFonts w:asciiTheme="majorHAnsi" w:hAnsiTheme="majorHAnsi" w:cstheme="majorHAnsi"/>
          <w:color w:val="000000"/>
        </w:rPr>
        <w:t xml:space="preserve"> de formation.</w:t>
      </w:r>
    </w:p>
    <w:p w14:paraId="382090E7" w14:textId="77777777" w:rsidR="00F91DDA" w:rsidRDefault="00F91DDA" w:rsidP="007C6064">
      <w:pPr>
        <w:spacing w:before="120" w:after="120" w:line="276" w:lineRule="auto"/>
        <w:jc w:val="both"/>
        <w:rPr>
          <w:rFonts w:asciiTheme="majorHAnsi" w:hAnsiTheme="majorHAnsi" w:cstheme="majorHAnsi"/>
          <w:color w:val="000000"/>
        </w:rPr>
      </w:pPr>
    </w:p>
    <w:p w14:paraId="424662F6" w14:textId="34EE07F4" w:rsidR="00F91DDA" w:rsidRPr="00F91DDA" w:rsidRDefault="00F91DDA" w:rsidP="007C6064">
      <w:pPr>
        <w:spacing w:before="120" w:after="120" w:line="276" w:lineRule="auto"/>
        <w:jc w:val="both"/>
        <w:rPr>
          <w:rFonts w:asciiTheme="majorHAnsi" w:hAnsiTheme="majorHAnsi" w:cstheme="majorHAnsi"/>
          <w:b/>
          <w:bCs/>
          <w:i/>
          <w:iCs/>
          <w:color w:val="000000"/>
        </w:rPr>
      </w:pPr>
      <w:r w:rsidRPr="00F91DDA">
        <w:rPr>
          <w:rFonts w:asciiTheme="majorHAnsi" w:hAnsiTheme="majorHAnsi" w:cstheme="majorHAnsi"/>
          <w:b/>
          <w:bCs/>
          <w:i/>
          <w:iCs/>
          <w:color w:val="000000"/>
        </w:rPr>
        <w:t>La thématique de la commande publique</w:t>
      </w:r>
    </w:p>
    <w:p w14:paraId="1F060C29" w14:textId="6C6805FD" w:rsidR="00937926" w:rsidRPr="00844923" w:rsidRDefault="00937926" w:rsidP="007C6064">
      <w:pPr>
        <w:spacing w:before="120" w:after="120" w:line="276" w:lineRule="auto"/>
        <w:jc w:val="both"/>
      </w:pPr>
      <w:r>
        <w:rPr>
          <w:rFonts w:asciiTheme="majorHAnsi" w:hAnsiTheme="majorHAnsi" w:cstheme="majorHAnsi"/>
          <w:color w:val="000000"/>
        </w:rPr>
        <w:t xml:space="preserve">Cette thématique relève de la responsabilité de l’Autorité de Régulation des Marchés Publics </w:t>
      </w:r>
      <w:r w:rsidR="00844923">
        <w:rPr>
          <w:rFonts w:asciiTheme="majorHAnsi" w:hAnsiTheme="majorHAnsi" w:cstheme="majorHAnsi"/>
          <w:color w:val="000000"/>
        </w:rPr>
        <w:t xml:space="preserve">qui est une autorité administrative indépendante </w:t>
      </w:r>
      <w:r w:rsidR="00844923" w:rsidRPr="00844923">
        <w:rPr>
          <w:rFonts w:asciiTheme="majorHAnsi" w:hAnsiTheme="majorHAnsi" w:cstheme="majorHAnsi"/>
          <w:color w:val="000000"/>
        </w:rPr>
        <w:t>dotée de la personnalité juridique et de l’autonomie administrative et financière</w:t>
      </w:r>
      <w:r w:rsidR="00844923">
        <w:rPr>
          <w:rFonts w:asciiTheme="majorHAnsi" w:hAnsiTheme="majorHAnsi" w:cstheme="majorHAnsi"/>
          <w:color w:val="000000"/>
        </w:rPr>
        <w:t xml:space="preserve"> ayant pour mission </w:t>
      </w:r>
      <w:r w:rsidR="00844923" w:rsidRPr="00844923">
        <w:rPr>
          <w:rFonts w:asciiTheme="majorHAnsi" w:hAnsiTheme="majorHAnsi" w:cstheme="majorHAnsi"/>
          <w:color w:val="000000"/>
        </w:rPr>
        <w:t xml:space="preserve">d’assurer la régulation du système de passation des marchés publics et des conventions de délégation de services publics. </w:t>
      </w:r>
      <w:r w:rsidR="00844923">
        <w:rPr>
          <w:rFonts w:asciiTheme="majorHAnsi" w:hAnsiTheme="majorHAnsi" w:cstheme="majorHAnsi"/>
          <w:color w:val="000000"/>
        </w:rPr>
        <w:t>A ce titre, l’ARMP c</w:t>
      </w:r>
      <w:r w:rsidR="00844923" w:rsidRPr="00844923">
        <w:rPr>
          <w:rFonts w:asciiTheme="majorHAnsi" w:hAnsiTheme="majorHAnsi" w:cstheme="majorHAnsi"/>
          <w:color w:val="000000"/>
        </w:rPr>
        <w:t>ontribue à l’information</w:t>
      </w:r>
      <w:r w:rsidR="00844923">
        <w:rPr>
          <w:rFonts w:asciiTheme="majorHAnsi" w:hAnsiTheme="majorHAnsi" w:cstheme="majorHAnsi"/>
          <w:color w:val="000000"/>
        </w:rPr>
        <w:t xml:space="preserve"> et</w:t>
      </w:r>
      <w:r w:rsidR="00844923" w:rsidRPr="00844923">
        <w:rPr>
          <w:rFonts w:asciiTheme="majorHAnsi" w:hAnsiTheme="majorHAnsi" w:cstheme="majorHAnsi"/>
          <w:color w:val="000000"/>
        </w:rPr>
        <w:t xml:space="preserve"> à la formation de l’ensemble des acteurs de la commande publique</w:t>
      </w:r>
      <w:r w:rsidR="00844923">
        <w:rPr>
          <w:rFonts w:asciiTheme="majorHAnsi" w:hAnsiTheme="majorHAnsi" w:cstheme="majorHAnsi"/>
          <w:color w:val="000000"/>
        </w:rPr>
        <w:t xml:space="preserve">. </w:t>
      </w:r>
      <w:r w:rsidR="00844923" w:rsidRPr="00844923">
        <w:rPr>
          <w:rFonts w:asciiTheme="majorHAnsi" w:hAnsiTheme="majorHAnsi" w:cstheme="majorHAnsi"/>
          <w:color w:val="000000"/>
        </w:rPr>
        <w:t xml:space="preserve"> </w:t>
      </w:r>
      <w:r w:rsidR="00844923">
        <w:rPr>
          <w:rFonts w:asciiTheme="majorHAnsi" w:hAnsiTheme="majorHAnsi" w:cstheme="majorHAnsi"/>
          <w:color w:val="000000"/>
        </w:rPr>
        <w:t xml:space="preserve"> </w:t>
      </w:r>
    </w:p>
    <w:p w14:paraId="4AA47852" w14:textId="6F114F1E" w:rsidR="00594B0C" w:rsidRDefault="00844923" w:rsidP="007C6064">
      <w:pPr>
        <w:spacing w:before="120" w:after="120" w:line="276" w:lineRule="auto"/>
        <w:jc w:val="both"/>
        <w:rPr>
          <w:rFonts w:asciiTheme="majorHAnsi" w:hAnsiTheme="majorHAnsi" w:cstheme="majorHAnsi"/>
          <w:color w:val="000000"/>
        </w:rPr>
      </w:pPr>
      <w:r>
        <w:rPr>
          <w:rFonts w:asciiTheme="majorHAnsi" w:hAnsiTheme="majorHAnsi" w:cstheme="majorHAnsi"/>
          <w:color w:val="000000"/>
        </w:rPr>
        <w:t xml:space="preserve">L’ARMP dispose d’une direction en charge de la formation qui dispense des </w:t>
      </w:r>
      <w:r w:rsidR="00594B0C">
        <w:rPr>
          <w:rFonts w:asciiTheme="majorHAnsi" w:hAnsiTheme="majorHAnsi" w:cstheme="majorHAnsi"/>
          <w:color w:val="000000"/>
        </w:rPr>
        <w:t>formations</w:t>
      </w:r>
      <w:r>
        <w:rPr>
          <w:rFonts w:asciiTheme="majorHAnsi" w:hAnsiTheme="majorHAnsi" w:cstheme="majorHAnsi"/>
          <w:color w:val="000000"/>
        </w:rPr>
        <w:t xml:space="preserve"> tant vers les </w:t>
      </w:r>
      <w:r w:rsidR="00594B0C">
        <w:rPr>
          <w:rFonts w:asciiTheme="majorHAnsi" w:hAnsiTheme="majorHAnsi" w:cstheme="majorHAnsi"/>
          <w:color w:val="000000"/>
        </w:rPr>
        <w:t>services</w:t>
      </w:r>
      <w:r>
        <w:rPr>
          <w:rFonts w:asciiTheme="majorHAnsi" w:hAnsiTheme="majorHAnsi" w:cstheme="majorHAnsi"/>
          <w:color w:val="000000"/>
        </w:rPr>
        <w:t xml:space="preserve"> </w:t>
      </w:r>
      <w:r w:rsidR="00594B0C">
        <w:rPr>
          <w:rFonts w:asciiTheme="majorHAnsi" w:hAnsiTheme="majorHAnsi" w:cstheme="majorHAnsi"/>
          <w:color w:val="000000"/>
        </w:rPr>
        <w:t>publics</w:t>
      </w:r>
      <w:r>
        <w:rPr>
          <w:rFonts w:asciiTheme="majorHAnsi" w:hAnsiTheme="majorHAnsi" w:cstheme="majorHAnsi"/>
          <w:color w:val="000000"/>
        </w:rPr>
        <w:t xml:space="preserve"> que les </w:t>
      </w:r>
      <w:r w:rsidR="00594B0C">
        <w:rPr>
          <w:rFonts w:asciiTheme="majorHAnsi" w:hAnsiTheme="majorHAnsi" w:cstheme="majorHAnsi"/>
          <w:color w:val="000000"/>
        </w:rPr>
        <w:t xml:space="preserve">soumissionnaires. Le module de formation actuel est conçu sous un format traditionnel d’exposé et pourrait être actualisé par niveaux dans un parcours d’acquisition de compétences, intégrant également toutes les nouvelles approches de l’ingénierie de formation pour les adultes. </w:t>
      </w:r>
    </w:p>
    <w:p w14:paraId="65BAB119" w14:textId="7B747DB2" w:rsidR="00B70A69" w:rsidRPr="00C70689" w:rsidRDefault="00594B0C" w:rsidP="007C6064">
      <w:pPr>
        <w:spacing w:before="120" w:after="120" w:line="276" w:lineRule="auto"/>
        <w:jc w:val="both"/>
        <w:rPr>
          <w:rFonts w:asciiTheme="majorHAnsi" w:hAnsiTheme="majorHAnsi" w:cstheme="majorHAnsi"/>
          <w:color w:val="000000"/>
        </w:rPr>
      </w:pPr>
      <w:r>
        <w:rPr>
          <w:rFonts w:asciiTheme="majorHAnsi" w:hAnsiTheme="majorHAnsi" w:cstheme="majorHAnsi"/>
          <w:color w:val="000000"/>
        </w:rPr>
        <w:t xml:space="preserve">Un partenariat est prévu entre l’ARMP et le projet KIWa afin de développer ce nouveau module et accompagner la mise en place d’une équipe de formateurs pour le déployer sur le terrain. </w:t>
      </w:r>
    </w:p>
    <w:p w14:paraId="485E84A3" w14:textId="40E7F441" w:rsidR="0014568F" w:rsidRPr="00594B0C" w:rsidRDefault="00B70A69" w:rsidP="00594B0C">
      <w:pPr>
        <w:pStyle w:val="Paragraphedeliste"/>
        <w:numPr>
          <w:ilvl w:val="0"/>
          <w:numId w:val="42"/>
        </w:numPr>
        <w:pBdr>
          <w:left w:val="single" w:sz="24" w:space="15" w:color="1981CF"/>
        </w:pBdr>
        <w:shd w:val="clear" w:color="auto" w:fill="FFFFFF"/>
        <w:spacing w:before="240" w:after="240" w:line="360" w:lineRule="auto"/>
        <w:outlineLvl w:val="1"/>
        <w:rPr>
          <w:rFonts w:asciiTheme="majorHAnsi" w:eastAsia="Times New Roman" w:hAnsiTheme="majorHAnsi" w:cstheme="majorHAnsi"/>
          <w:b/>
          <w:color w:val="004E9A"/>
          <w:sz w:val="24"/>
          <w:szCs w:val="24"/>
          <w:lang w:eastAsia="fr-FR"/>
        </w:rPr>
      </w:pPr>
      <w:r w:rsidRPr="00594B0C">
        <w:rPr>
          <w:rFonts w:asciiTheme="majorHAnsi" w:eastAsia="Times New Roman" w:hAnsiTheme="majorHAnsi" w:cstheme="majorHAnsi"/>
          <w:b/>
          <w:color w:val="004E9A"/>
          <w:sz w:val="24"/>
          <w:szCs w:val="24"/>
          <w:lang w:eastAsia="fr-FR"/>
        </w:rPr>
        <w:t>La d</w:t>
      </w:r>
      <w:r w:rsidR="0014568F" w:rsidRPr="00594B0C">
        <w:rPr>
          <w:rFonts w:asciiTheme="majorHAnsi" w:eastAsia="Times New Roman" w:hAnsiTheme="majorHAnsi" w:cstheme="majorHAnsi"/>
          <w:b/>
          <w:color w:val="004E9A"/>
          <w:sz w:val="24"/>
          <w:szCs w:val="24"/>
          <w:lang w:eastAsia="fr-FR"/>
        </w:rPr>
        <w:t>escription de la mission</w:t>
      </w:r>
    </w:p>
    <w:p w14:paraId="259E763D" w14:textId="625E85D5" w:rsidR="00BD153C" w:rsidRPr="00C70689" w:rsidRDefault="00EF0FF7" w:rsidP="00C70689">
      <w:pPr>
        <w:spacing w:before="120" w:after="120" w:line="276" w:lineRule="auto"/>
        <w:jc w:val="both"/>
        <w:rPr>
          <w:rFonts w:asciiTheme="majorHAnsi" w:hAnsiTheme="majorHAnsi" w:cstheme="majorHAnsi"/>
        </w:rPr>
      </w:pPr>
      <w:r w:rsidRPr="007D2D86">
        <w:rPr>
          <w:rFonts w:asciiTheme="majorHAnsi" w:hAnsiTheme="majorHAnsi" w:cstheme="majorHAnsi"/>
        </w:rPr>
        <w:t xml:space="preserve">La mission </w:t>
      </w:r>
      <w:r w:rsidR="00384F10" w:rsidRPr="007D2D86">
        <w:rPr>
          <w:rFonts w:asciiTheme="majorHAnsi" w:hAnsiTheme="majorHAnsi" w:cstheme="majorHAnsi"/>
        </w:rPr>
        <w:t xml:space="preserve">consiste à </w:t>
      </w:r>
      <w:r w:rsidR="007D2D86" w:rsidRPr="007D2D86">
        <w:rPr>
          <w:rFonts w:asciiTheme="majorHAnsi" w:hAnsiTheme="majorHAnsi" w:cstheme="majorHAnsi"/>
        </w:rPr>
        <w:t xml:space="preserve">produire </w:t>
      </w:r>
      <w:r w:rsidR="00594B0C">
        <w:rPr>
          <w:rFonts w:asciiTheme="majorHAnsi" w:hAnsiTheme="majorHAnsi" w:cstheme="majorHAnsi"/>
        </w:rPr>
        <w:t>un nouveau module de formation sur la commande publique</w:t>
      </w:r>
      <w:r w:rsidR="007D2D86" w:rsidRPr="007D2D86">
        <w:rPr>
          <w:rFonts w:asciiTheme="majorHAnsi" w:hAnsiTheme="majorHAnsi" w:cstheme="majorHAnsi"/>
        </w:rPr>
        <w:t xml:space="preserve">. </w:t>
      </w:r>
      <w:r w:rsidR="00384F10" w:rsidRPr="007D2D86">
        <w:rPr>
          <w:rFonts w:asciiTheme="majorHAnsi" w:hAnsiTheme="majorHAnsi" w:cstheme="majorHAnsi"/>
        </w:rPr>
        <w:t xml:space="preserve"> </w:t>
      </w:r>
      <w:r w:rsidR="007D2D86">
        <w:rPr>
          <w:rFonts w:asciiTheme="majorHAnsi" w:hAnsiTheme="majorHAnsi" w:cstheme="majorHAnsi"/>
        </w:rPr>
        <w:t xml:space="preserve"> </w:t>
      </w:r>
    </w:p>
    <w:p w14:paraId="18DE1674" w14:textId="12C834CE" w:rsidR="00533032" w:rsidRPr="00533032" w:rsidRDefault="00533032" w:rsidP="00533032">
      <w:pPr>
        <w:suppressAutoHyphens w:val="0"/>
        <w:spacing w:after="120" w:line="240" w:lineRule="auto"/>
        <w:jc w:val="both"/>
        <w:rPr>
          <w:rFonts w:asciiTheme="majorHAnsi" w:hAnsiTheme="majorHAnsi" w:cstheme="majorHAnsi"/>
          <w:b/>
        </w:rPr>
      </w:pPr>
      <w:r w:rsidRPr="00533032">
        <w:rPr>
          <w:rFonts w:asciiTheme="majorHAnsi" w:hAnsiTheme="majorHAnsi" w:cstheme="majorHAnsi"/>
          <w:b/>
        </w:rPr>
        <w:t>Les objectifs spécifiques de la mission court-terme sont de :</w:t>
      </w:r>
    </w:p>
    <w:p w14:paraId="569EBA19" w14:textId="10EC0BF9" w:rsidR="00533032" w:rsidRPr="007D2D86" w:rsidRDefault="00594B0C" w:rsidP="00533032">
      <w:pPr>
        <w:pStyle w:val="Paragraphedeliste"/>
        <w:numPr>
          <w:ilvl w:val="0"/>
          <w:numId w:val="14"/>
        </w:numPr>
        <w:spacing w:before="120" w:after="120" w:line="276" w:lineRule="auto"/>
        <w:jc w:val="both"/>
        <w:rPr>
          <w:rFonts w:asciiTheme="majorHAnsi" w:hAnsiTheme="majorHAnsi" w:cstheme="majorHAnsi"/>
          <w:color w:val="000000"/>
        </w:rPr>
      </w:pPr>
      <w:r>
        <w:rPr>
          <w:rFonts w:asciiTheme="majorHAnsi" w:hAnsiTheme="majorHAnsi" w:cstheme="majorHAnsi"/>
          <w:color w:val="000000"/>
        </w:rPr>
        <w:t>Définir avec l’ARM</w:t>
      </w:r>
      <w:r w:rsidR="00C70689">
        <w:rPr>
          <w:rFonts w:asciiTheme="majorHAnsi" w:hAnsiTheme="majorHAnsi" w:cstheme="majorHAnsi"/>
          <w:color w:val="000000"/>
        </w:rPr>
        <w:t>P</w:t>
      </w:r>
      <w:r>
        <w:rPr>
          <w:rFonts w:asciiTheme="majorHAnsi" w:hAnsiTheme="majorHAnsi" w:cstheme="majorHAnsi"/>
          <w:color w:val="000000"/>
        </w:rPr>
        <w:t xml:space="preserve"> un parcours d’acquisition de compétences</w:t>
      </w:r>
      <w:r w:rsidR="00791BAA" w:rsidRPr="007D2D86">
        <w:rPr>
          <w:rFonts w:asciiTheme="majorHAnsi" w:hAnsiTheme="majorHAnsi" w:cstheme="majorHAnsi"/>
          <w:color w:val="000000"/>
        </w:rPr>
        <w:t xml:space="preserve"> ;  </w:t>
      </w:r>
    </w:p>
    <w:p w14:paraId="0091A299" w14:textId="49C9D844" w:rsidR="007D2D86" w:rsidRPr="007D2D86" w:rsidRDefault="00594B0C" w:rsidP="005A7519">
      <w:pPr>
        <w:pStyle w:val="Paragraphedeliste"/>
        <w:numPr>
          <w:ilvl w:val="0"/>
          <w:numId w:val="14"/>
        </w:numPr>
        <w:spacing w:before="120" w:after="120" w:line="276" w:lineRule="auto"/>
        <w:jc w:val="both"/>
        <w:rPr>
          <w:rFonts w:asciiTheme="majorHAnsi" w:hAnsiTheme="majorHAnsi" w:cstheme="majorHAnsi"/>
          <w:color w:val="000000"/>
        </w:rPr>
      </w:pPr>
      <w:r>
        <w:rPr>
          <w:rFonts w:asciiTheme="majorHAnsi" w:hAnsiTheme="majorHAnsi" w:cstheme="majorHAnsi"/>
          <w:color w:val="000000"/>
        </w:rPr>
        <w:t>Développer le module de formations niveau 1 comprenant le scenario pédagogique, les cas pratiques et exercices, les QCM et test d’évaluation</w:t>
      </w:r>
    </w:p>
    <w:p w14:paraId="12AA4E70" w14:textId="790C27C4" w:rsidR="00791BAA" w:rsidRPr="00C70689" w:rsidRDefault="007D2D86" w:rsidP="00C70689">
      <w:pPr>
        <w:pStyle w:val="Paragraphedeliste"/>
        <w:numPr>
          <w:ilvl w:val="0"/>
          <w:numId w:val="14"/>
        </w:numPr>
        <w:spacing w:before="120" w:after="120" w:line="276" w:lineRule="auto"/>
        <w:jc w:val="both"/>
        <w:rPr>
          <w:rFonts w:asciiTheme="majorHAnsi" w:hAnsiTheme="majorHAnsi" w:cstheme="majorHAnsi"/>
          <w:color w:val="000000"/>
        </w:rPr>
      </w:pPr>
      <w:r w:rsidRPr="007D2D86">
        <w:rPr>
          <w:rFonts w:asciiTheme="majorHAnsi" w:hAnsiTheme="majorHAnsi" w:cstheme="majorHAnsi"/>
          <w:color w:val="000000"/>
        </w:rPr>
        <w:t xml:space="preserve">Participer </w:t>
      </w:r>
      <w:r w:rsidR="00C70689">
        <w:rPr>
          <w:rFonts w:asciiTheme="majorHAnsi" w:hAnsiTheme="majorHAnsi" w:cstheme="majorHAnsi"/>
          <w:color w:val="000000"/>
        </w:rPr>
        <w:t>à une session</w:t>
      </w:r>
      <w:r w:rsidRPr="007D2D86">
        <w:rPr>
          <w:rFonts w:asciiTheme="majorHAnsi" w:hAnsiTheme="majorHAnsi" w:cstheme="majorHAnsi"/>
          <w:color w:val="000000"/>
        </w:rPr>
        <w:t xml:space="preserve"> de formation technique des formateurs </w:t>
      </w:r>
      <w:r w:rsidR="00C70689">
        <w:rPr>
          <w:rFonts w:asciiTheme="majorHAnsi" w:hAnsiTheme="majorHAnsi" w:cstheme="majorHAnsi"/>
          <w:color w:val="000000"/>
        </w:rPr>
        <w:t>de l’ARMP</w:t>
      </w:r>
      <w:r w:rsidRPr="007D2D86">
        <w:rPr>
          <w:rFonts w:asciiTheme="majorHAnsi" w:hAnsiTheme="majorHAnsi" w:cstheme="majorHAnsi"/>
          <w:color w:val="000000"/>
        </w:rPr>
        <w:t xml:space="preserve">. </w:t>
      </w:r>
    </w:p>
    <w:p w14:paraId="616592A0" w14:textId="77777777" w:rsidR="00533032" w:rsidRPr="005A7519" w:rsidRDefault="00533032" w:rsidP="00533032">
      <w:pPr>
        <w:suppressAutoHyphens w:val="0"/>
        <w:spacing w:after="120" w:line="240" w:lineRule="auto"/>
        <w:jc w:val="both"/>
        <w:rPr>
          <w:rFonts w:asciiTheme="majorHAnsi" w:hAnsiTheme="majorHAnsi" w:cstheme="majorHAnsi"/>
          <w:b/>
        </w:rPr>
      </w:pPr>
      <w:r w:rsidRPr="005A7519">
        <w:rPr>
          <w:rFonts w:asciiTheme="majorHAnsi" w:hAnsiTheme="majorHAnsi" w:cstheme="majorHAnsi"/>
          <w:b/>
        </w:rPr>
        <w:t>Les résultats attendus à l’issue de cette mission sont :</w:t>
      </w:r>
    </w:p>
    <w:p w14:paraId="10B6EE27" w14:textId="708C274C" w:rsidR="00533032" w:rsidRPr="009906E4" w:rsidRDefault="00C70689" w:rsidP="005A7519">
      <w:pPr>
        <w:pStyle w:val="Paragraphedeliste"/>
        <w:numPr>
          <w:ilvl w:val="0"/>
          <w:numId w:val="14"/>
        </w:numPr>
        <w:spacing w:before="120" w:after="120" w:line="276" w:lineRule="auto"/>
        <w:jc w:val="both"/>
        <w:rPr>
          <w:rFonts w:asciiTheme="majorHAnsi" w:hAnsiTheme="majorHAnsi" w:cstheme="majorHAnsi"/>
          <w:color w:val="000000"/>
        </w:rPr>
      </w:pPr>
      <w:r>
        <w:rPr>
          <w:rFonts w:asciiTheme="majorHAnsi" w:hAnsiTheme="majorHAnsi" w:cstheme="majorHAnsi"/>
          <w:color w:val="000000"/>
        </w:rPr>
        <w:t>Un parcours de formation défini</w:t>
      </w:r>
      <w:r w:rsidR="00791BAA" w:rsidRPr="009906E4">
        <w:rPr>
          <w:rFonts w:asciiTheme="majorHAnsi" w:hAnsiTheme="majorHAnsi" w:cstheme="majorHAnsi"/>
          <w:color w:val="000000"/>
        </w:rPr>
        <w:t> ;</w:t>
      </w:r>
    </w:p>
    <w:p w14:paraId="738D17DD" w14:textId="62266390" w:rsidR="00791BAA" w:rsidRPr="009906E4" w:rsidRDefault="00C70689" w:rsidP="005A7519">
      <w:pPr>
        <w:pStyle w:val="Paragraphedeliste"/>
        <w:numPr>
          <w:ilvl w:val="0"/>
          <w:numId w:val="14"/>
        </w:numPr>
        <w:spacing w:before="120" w:after="120" w:line="276" w:lineRule="auto"/>
        <w:jc w:val="both"/>
        <w:rPr>
          <w:rFonts w:asciiTheme="majorHAnsi" w:hAnsiTheme="majorHAnsi" w:cstheme="majorHAnsi"/>
          <w:color w:val="000000"/>
        </w:rPr>
      </w:pPr>
      <w:r>
        <w:rPr>
          <w:rFonts w:asciiTheme="majorHAnsi" w:hAnsiTheme="majorHAnsi" w:cstheme="majorHAnsi"/>
          <w:color w:val="000000"/>
        </w:rPr>
        <w:t>Un module de formation développé pour le niveau 1</w:t>
      </w:r>
    </w:p>
    <w:p w14:paraId="473090A3" w14:textId="58820B10" w:rsidR="009906E4" w:rsidRDefault="00C70689" w:rsidP="00101683">
      <w:pPr>
        <w:pStyle w:val="Paragraphedeliste"/>
        <w:numPr>
          <w:ilvl w:val="0"/>
          <w:numId w:val="14"/>
        </w:numPr>
        <w:spacing w:before="120" w:after="120" w:line="276" w:lineRule="auto"/>
        <w:jc w:val="both"/>
        <w:rPr>
          <w:rFonts w:asciiTheme="majorHAnsi" w:hAnsiTheme="majorHAnsi" w:cstheme="majorHAnsi"/>
          <w:color w:val="000000"/>
        </w:rPr>
      </w:pPr>
      <w:r>
        <w:rPr>
          <w:rFonts w:asciiTheme="majorHAnsi" w:hAnsiTheme="majorHAnsi" w:cstheme="majorHAnsi"/>
          <w:color w:val="000000"/>
        </w:rPr>
        <w:t>Un groupe de 10 à 15 formateurs formés sur le module</w:t>
      </w:r>
    </w:p>
    <w:p w14:paraId="4E428DD9" w14:textId="77777777" w:rsidR="00101683" w:rsidRPr="00101683" w:rsidRDefault="00101683" w:rsidP="00101683">
      <w:pPr>
        <w:pStyle w:val="Paragraphedeliste"/>
        <w:spacing w:before="120" w:after="120" w:line="276" w:lineRule="auto"/>
        <w:jc w:val="both"/>
        <w:rPr>
          <w:rFonts w:asciiTheme="majorHAnsi" w:hAnsiTheme="majorHAnsi" w:cstheme="majorHAnsi"/>
          <w:color w:val="000000"/>
        </w:rPr>
      </w:pPr>
    </w:p>
    <w:p w14:paraId="70FA8730" w14:textId="63156780" w:rsidR="00E97725" w:rsidRPr="00C70689" w:rsidRDefault="00B70A69" w:rsidP="00C70689">
      <w:pPr>
        <w:pStyle w:val="Paragraphedeliste"/>
        <w:numPr>
          <w:ilvl w:val="0"/>
          <w:numId w:val="42"/>
        </w:numPr>
        <w:pBdr>
          <w:left w:val="single" w:sz="24" w:space="15" w:color="1981CF"/>
        </w:pBdr>
        <w:shd w:val="clear" w:color="auto" w:fill="FFFFFF"/>
        <w:spacing w:before="240" w:after="240" w:line="360" w:lineRule="auto"/>
        <w:outlineLvl w:val="1"/>
        <w:rPr>
          <w:rFonts w:asciiTheme="majorHAnsi" w:eastAsia="Times New Roman" w:hAnsiTheme="majorHAnsi" w:cstheme="majorHAnsi"/>
          <w:b/>
          <w:color w:val="004E9A"/>
          <w:sz w:val="24"/>
          <w:szCs w:val="24"/>
          <w:lang w:eastAsia="fr-FR"/>
        </w:rPr>
      </w:pPr>
      <w:r w:rsidRPr="00C70689">
        <w:rPr>
          <w:rFonts w:asciiTheme="majorHAnsi" w:eastAsia="Times New Roman" w:hAnsiTheme="majorHAnsi" w:cstheme="majorHAnsi"/>
          <w:b/>
          <w:color w:val="004E9A"/>
          <w:sz w:val="24"/>
          <w:szCs w:val="24"/>
          <w:lang w:eastAsia="fr-FR"/>
        </w:rPr>
        <w:t>La m</w:t>
      </w:r>
      <w:r w:rsidR="0098123B" w:rsidRPr="00C70689">
        <w:rPr>
          <w:rFonts w:asciiTheme="majorHAnsi" w:eastAsia="Times New Roman" w:hAnsiTheme="majorHAnsi" w:cstheme="majorHAnsi"/>
          <w:b/>
          <w:color w:val="004E9A"/>
          <w:sz w:val="24"/>
          <w:szCs w:val="24"/>
          <w:lang w:eastAsia="fr-FR"/>
        </w:rPr>
        <w:t>ise en œuvre – organisation – mode opératoire</w:t>
      </w:r>
    </w:p>
    <w:p w14:paraId="56213539" w14:textId="77777777" w:rsidR="00DF26C2" w:rsidRPr="00DF26C2" w:rsidRDefault="00DF26C2" w:rsidP="00DF26C2">
      <w:pPr>
        <w:suppressAutoHyphens w:val="0"/>
        <w:jc w:val="both"/>
        <w:rPr>
          <w:rFonts w:asciiTheme="majorHAnsi" w:hAnsiTheme="majorHAnsi" w:cstheme="majorHAnsi"/>
          <w:u w:val="single"/>
        </w:rPr>
      </w:pPr>
      <w:r w:rsidRPr="00DF26C2">
        <w:rPr>
          <w:rFonts w:asciiTheme="majorHAnsi" w:hAnsiTheme="majorHAnsi" w:cstheme="majorHAnsi"/>
          <w:u w:val="single"/>
        </w:rPr>
        <w:t xml:space="preserve">La méthodologie : </w:t>
      </w:r>
    </w:p>
    <w:p w14:paraId="7C8B5844" w14:textId="38A075F1" w:rsidR="009906E4" w:rsidRDefault="00791BAA" w:rsidP="00DF26C2">
      <w:pPr>
        <w:suppressAutoHyphens w:val="0"/>
        <w:jc w:val="both"/>
        <w:rPr>
          <w:rFonts w:asciiTheme="majorHAnsi" w:hAnsiTheme="majorHAnsi" w:cstheme="majorHAnsi"/>
        </w:rPr>
      </w:pPr>
      <w:r>
        <w:rPr>
          <w:rFonts w:asciiTheme="majorHAnsi" w:hAnsiTheme="majorHAnsi" w:cstheme="majorHAnsi"/>
        </w:rPr>
        <w:lastRenderedPageBreak/>
        <w:t>L’enjeu de cette mission</w:t>
      </w:r>
      <w:r w:rsidR="00DF26C2" w:rsidRPr="00DA0BED">
        <w:rPr>
          <w:rFonts w:asciiTheme="majorHAnsi" w:hAnsiTheme="majorHAnsi" w:cstheme="majorHAnsi"/>
        </w:rPr>
        <w:t xml:space="preserve"> est d’a</w:t>
      </w:r>
      <w:r w:rsidR="009906E4">
        <w:rPr>
          <w:rFonts w:asciiTheme="majorHAnsi" w:hAnsiTheme="majorHAnsi" w:cstheme="majorHAnsi"/>
        </w:rPr>
        <w:t>ppuyer l’équipe du projet KIWa et le FMI dans le développement de modules de formation pour aboutir à des produits conçus selon les meilleurs principes andragogiques.</w:t>
      </w:r>
      <w:r w:rsidR="005F78FF" w:rsidRPr="005F78FF">
        <w:rPr>
          <w:rFonts w:asciiTheme="majorHAnsi" w:hAnsiTheme="majorHAnsi" w:cstheme="majorHAnsi"/>
        </w:rPr>
        <w:t xml:space="preserve"> </w:t>
      </w:r>
      <w:r w:rsidR="005F78FF" w:rsidRPr="00DA0BED">
        <w:rPr>
          <w:rFonts w:asciiTheme="majorHAnsi" w:hAnsiTheme="majorHAnsi" w:cstheme="majorHAnsi"/>
        </w:rPr>
        <w:t>Il s‘agit de sortir d’une approche traditionnelle d’enseignement vers une approche de formation axée sur les compétences et en appliquant les méthodes actives et les cas pratiques inspirées du quotidien professionnel au sein du MFBPE</w:t>
      </w:r>
    </w:p>
    <w:p w14:paraId="6A2ABE2E" w14:textId="77777777" w:rsidR="005F78FF" w:rsidRDefault="009906E4" w:rsidP="00DF26C2">
      <w:pPr>
        <w:suppressAutoHyphens w:val="0"/>
        <w:jc w:val="both"/>
        <w:rPr>
          <w:rFonts w:asciiTheme="majorHAnsi" w:hAnsiTheme="majorHAnsi" w:cstheme="majorHAnsi"/>
        </w:rPr>
      </w:pPr>
      <w:r>
        <w:rPr>
          <w:rFonts w:asciiTheme="majorHAnsi" w:hAnsiTheme="majorHAnsi" w:cstheme="majorHAnsi"/>
        </w:rPr>
        <w:t xml:space="preserve">La mission va </w:t>
      </w:r>
      <w:r w:rsidR="005F78FF">
        <w:rPr>
          <w:rFonts w:asciiTheme="majorHAnsi" w:hAnsiTheme="majorHAnsi" w:cstheme="majorHAnsi"/>
        </w:rPr>
        <w:t>adopter</w:t>
      </w:r>
      <w:r>
        <w:rPr>
          <w:rFonts w:asciiTheme="majorHAnsi" w:hAnsiTheme="majorHAnsi" w:cstheme="majorHAnsi"/>
        </w:rPr>
        <w:t xml:space="preserve"> </w:t>
      </w:r>
      <w:r w:rsidR="00DF26C2" w:rsidRPr="00DA0BED">
        <w:rPr>
          <w:rFonts w:asciiTheme="majorHAnsi" w:hAnsiTheme="majorHAnsi" w:cstheme="majorHAnsi"/>
        </w:rPr>
        <w:t xml:space="preserve">une méthodologie </w:t>
      </w:r>
      <w:r>
        <w:rPr>
          <w:rFonts w:asciiTheme="majorHAnsi" w:hAnsiTheme="majorHAnsi" w:cstheme="majorHAnsi"/>
        </w:rPr>
        <w:t xml:space="preserve">très interactive comportant une phase d’analyse et de </w:t>
      </w:r>
      <w:r w:rsidR="005F78FF">
        <w:rPr>
          <w:rFonts w:asciiTheme="majorHAnsi" w:hAnsiTheme="majorHAnsi" w:cstheme="majorHAnsi"/>
        </w:rPr>
        <w:t>préparation qui peut être effectuée à distance et une phase de co-construction</w:t>
      </w:r>
      <w:r>
        <w:rPr>
          <w:rFonts w:asciiTheme="majorHAnsi" w:hAnsiTheme="majorHAnsi" w:cstheme="majorHAnsi"/>
        </w:rPr>
        <w:t xml:space="preserve"> </w:t>
      </w:r>
      <w:r w:rsidR="005F78FF">
        <w:rPr>
          <w:rFonts w:asciiTheme="majorHAnsi" w:hAnsiTheme="majorHAnsi" w:cstheme="majorHAnsi"/>
        </w:rPr>
        <w:t>conduite sur place avec les futurs formateurs.</w:t>
      </w:r>
    </w:p>
    <w:p w14:paraId="53039E0D" w14:textId="7AD64E3E" w:rsidR="00DF26C2" w:rsidRPr="00DA0BED" w:rsidRDefault="005F78FF" w:rsidP="00DF26C2">
      <w:pPr>
        <w:suppressAutoHyphens w:val="0"/>
        <w:jc w:val="both"/>
        <w:rPr>
          <w:rFonts w:asciiTheme="majorHAnsi" w:hAnsiTheme="majorHAnsi" w:cstheme="majorHAnsi"/>
        </w:rPr>
      </w:pPr>
      <w:r>
        <w:rPr>
          <w:rFonts w:asciiTheme="majorHAnsi" w:hAnsiTheme="majorHAnsi" w:cstheme="majorHAnsi"/>
        </w:rPr>
        <w:t xml:space="preserve"> Ceci permettra de bien ancrer les modules dans le contexte burundais, et par l’approche de co-construction, contribuer à un transfert de compétences vers les cadres et futurs formateurs du ministère. </w:t>
      </w:r>
    </w:p>
    <w:p w14:paraId="4CD34A77" w14:textId="147257C0" w:rsidR="00DF26C2" w:rsidRDefault="005F78FF" w:rsidP="00727E8A">
      <w:pPr>
        <w:suppressAutoHyphens w:val="0"/>
        <w:jc w:val="both"/>
        <w:rPr>
          <w:rFonts w:asciiTheme="majorHAnsi" w:hAnsiTheme="majorHAnsi" w:cstheme="majorHAnsi"/>
        </w:rPr>
      </w:pPr>
      <w:r>
        <w:rPr>
          <w:rFonts w:asciiTheme="majorHAnsi" w:hAnsiTheme="majorHAnsi" w:cstheme="majorHAnsi"/>
        </w:rPr>
        <w:t>Dans un premier temps, l</w:t>
      </w:r>
      <w:r w:rsidR="00791BAA">
        <w:rPr>
          <w:rFonts w:asciiTheme="majorHAnsi" w:hAnsiTheme="majorHAnsi" w:cstheme="majorHAnsi"/>
        </w:rPr>
        <w:t xml:space="preserve">es </w:t>
      </w:r>
      <w:r>
        <w:rPr>
          <w:rFonts w:asciiTheme="majorHAnsi" w:hAnsiTheme="majorHAnsi" w:cstheme="majorHAnsi"/>
        </w:rPr>
        <w:t>modules identifiés pour ce travail portent sur les thématiques suivantes</w:t>
      </w:r>
      <w:r w:rsidR="00791BAA">
        <w:rPr>
          <w:rFonts w:asciiTheme="majorHAnsi" w:hAnsiTheme="majorHAnsi" w:cstheme="majorHAnsi"/>
        </w:rPr>
        <w:t> :</w:t>
      </w:r>
    </w:p>
    <w:p w14:paraId="0135BF38" w14:textId="60D0B6FA" w:rsidR="00DF3075" w:rsidRPr="00DF3075" w:rsidRDefault="005F78FF" w:rsidP="00DF3075">
      <w:pPr>
        <w:pStyle w:val="Paragraphedeliste"/>
        <w:numPr>
          <w:ilvl w:val="0"/>
          <w:numId w:val="38"/>
        </w:numPr>
        <w:suppressAutoHyphens w:val="0"/>
        <w:jc w:val="both"/>
        <w:rPr>
          <w:rFonts w:asciiTheme="majorHAnsi" w:hAnsiTheme="majorHAnsi" w:cstheme="majorHAnsi"/>
        </w:rPr>
      </w:pPr>
      <w:r>
        <w:rPr>
          <w:rFonts w:asciiTheme="majorHAnsi" w:hAnsiTheme="majorHAnsi" w:cstheme="majorHAnsi"/>
        </w:rPr>
        <w:t>Le compte unique du trésor</w:t>
      </w:r>
    </w:p>
    <w:p w14:paraId="6F355774" w14:textId="0F554010" w:rsidR="00DF3075" w:rsidRPr="00DF3075" w:rsidRDefault="005F78FF" w:rsidP="00DF3075">
      <w:pPr>
        <w:pStyle w:val="Paragraphedeliste"/>
        <w:numPr>
          <w:ilvl w:val="0"/>
          <w:numId w:val="38"/>
        </w:numPr>
        <w:suppressAutoHyphens w:val="0"/>
        <w:jc w:val="both"/>
        <w:rPr>
          <w:rFonts w:asciiTheme="majorHAnsi" w:hAnsiTheme="majorHAnsi" w:cstheme="majorHAnsi"/>
        </w:rPr>
      </w:pPr>
      <w:r>
        <w:rPr>
          <w:rFonts w:asciiTheme="majorHAnsi" w:hAnsiTheme="majorHAnsi" w:cstheme="majorHAnsi"/>
        </w:rPr>
        <w:t>L’élaboration du budget</w:t>
      </w:r>
    </w:p>
    <w:p w14:paraId="48734EB4" w14:textId="3C3B129B" w:rsidR="00DF3075" w:rsidRDefault="005F78FF" w:rsidP="00DF3075">
      <w:pPr>
        <w:pStyle w:val="Paragraphedeliste"/>
        <w:numPr>
          <w:ilvl w:val="0"/>
          <w:numId w:val="38"/>
        </w:numPr>
        <w:suppressAutoHyphens w:val="0"/>
        <w:jc w:val="both"/>
        <w:rPr>
          <w:rFonts w:asciiTheme="majorHAnsi" w:hAnsiTheme="majorHAnsi" w:cstheme="majorHAnsi"/>
        </w:rPr>
      </w:pPr>
      <w:r>
        <w:rPr>
          <w:rFonts w:asciiTheme="majorHAnsi" w:hAnsiTheme="majorHAnsi" w:cstheme="majorHAnsi"/>
        </w:rPr>
        <w:t>Les risques budgétaires</w:t>
      </w:r>
    </w:p>
    <w:p w14:paraId="25CE351E" w14:textId="75FB790C" w:rsidR="005F78FF" w:rsidRPr="00DF3075" w:rsidRDefault="005F78FF" w:rsidP="00DF3075">
      <w:pPr>
        <w:pStyle w:val="Paragraphedeliste"/>
        <w:numPr>
          <w:ilvl w:val="0"/>
          <w:numId w:val="38"/>
        </w:numPr>
        <w:suppressAutoHyphens w:val="0"/>
        <w:jc w:val="both"/>
        <w:rPr>
          <w:rFonts w:asciiTheme="majorHAnsi" w:hAnsiTheme="majorHAnsi" w:cstheme="majorHAnsi"/>
        </w:rPr>
      </w:pPr>
      <w:r>
        <w:rPr>
          <w:rFonts w:asciiTheme="majorHAnsi" w:hAnsiTheme="majorHAnsi" w:cstheme="majorHAnsi"/>
        </w:rPr>
        <w:t>Le contrôle interne comptable</w:t>
      </w:r>
    </w:p>
    <w:p w14:paraId="4EAF1D13" w14:textId="68D0276E" w:rsidR="00DF3075" w:rsidRDefault="005F78FF" w:rsidP="00DA0BED">
      <w:pPr>
        <w:spacing w:before="120" w:after="120" w:line="276" w:lineRule="auto"/>
        <w:jc w:val="both"/>
        <w:rPr>
          <w:rFonts w:asciiTheme="majorHAnsi" w:hAnsiTheme="majorHAnsi" w:cstheme="majorHAnsi"/>
        </w:rPr>
      </w:pPr>
      <w:r>
        <w:rPr>
          <w:rFonts w:asciiTheme="majorHAnsi" w:hAnsiTheme="majorHAnsi" w:cstheme="majorHAnsi"/>
        </w:rPr>
        <w:t>Le contenu technique est produit et/ou disponibilisé par l’assistance technique</w:t>
      </w:r>
      <w:r w:rsidR="00DF3075">
        <w:rPr>
          <w:rFonts w:asciiTheme="majorHAnsi" w:hAnsiTheme="majorHAnsi" w:cstheme="majorHAnsi"/>
        </w:rPr>
        <w:t> </w:t>
      </w:r>
      <w:r>
        <w:rPr>
          <w:rFonts w:asciiTheme="majorHAnsi" w:hAnsiTheme="majorHAnsi" w:cstheme="majorHAnsi"/>
        </w:rPr>
        <w:t xml:space="preserve">du FMI auprès du ministère ou par AFRITAC lors de ses missions récurrentes.  </w:t>
      </w:r>
    </w:p>
    <w:p w14:paraId="6B8E7C76" w14:textId="049B812C" w:rsidR="00B70A69" w:rsidRPr="005F78FF" w:rsidRDefault="005F78FF" w:rsidP="00727E8A">
      <w:pPr>
        <w:suppressAutoHyphens w:val="0"/>
        <w:jc w:val="both"/>
        <w:rPr>
          <w:rFonts w:asciiTheme="majorHAnsi" w:hAnsiTheme="majorHAnsi" w:cstheme="majorHAnsi"/>
        </w:rPr>
      </w:pPr>
      <w:r w:rsidRPr="005F78FF">
        <w:rPr>
          <w:rFonts w:asciiTheme="majorHAnsi" w:hAnsiTheme="majorHAnsi" w:cstheme="majorHAnsi"/>
        </w:rPr>
        <w:t xml:space="preserve"> D’autres modules seront identifiés ultérieurement. </w:t>
      </w:r>
    </w:p>
    <w:p w14:paraId="5E95A918" w14:textId="415EC3E8" w:rsidR="00727E8A" w:rsidRPr="00DA0BED" w:rsidRDefault="00727E8A" w:rsidP="00727E8A">
      <w:pPr>
        <w:suppressAutoHyphens w:val="0"/>
        <w:jc w:val="both"/>
        <w:rPr>
          <w:rFonts w:asciiTheme="majorHAnsi" w:hAnsiTheme="majorHAnsi" w:cstheme="majorHAnsi"/>
          <w:u w:val="single"/>
        </w:rPr>
      </w:pPr>
      <w:r w:rsidRPr="00DA0BED">
        <w:rPr>
          <w:rFonts w:asciiTheme="majorHAnsi" w:hAnsiTheme="majorHAnsi" w:cstheme="majorHAnsi"/>
          <w:u w:val="single"/>
        </w:rPr>
        <w:t>Les a</w:t>
      </w:r>
      <w:r w:rsidR="00CF0081">
        <w:rPr>
          <w:rFonts w:asciiTheme="majorHAnsi" w:hAnsiTheme="majorHAnsi" w:cstheme="majorHAnsi"/>
          <w:u w:val="single"/>
        </w:rPr>
        <w:t>ctivités à conduire sont donc</w:t>
      </w:r>
      <w:r w:rsidRPr="00DA0BED">
        <w:rPr>
          <w:rFonts w:asciiTheme="majorHAnsi" w:hAnsiTheme="majorHAnsi" w:cstheme="majorHAnsi"/>
          <w:u w:val="single"/>
        </w:rPr>
        <w:t> :</w:t>
      </w:r>
    </w:p>
    <w:p w14:paraId="6CF6B116" w14:textId="77777777" w:rsidR="009906E4" w:rsidRPr="007D2D86" w:rsidRDefault="009906E4" w:rsidP="009906E4">
      <w:pPr>
        <w:pStyle w:val="Paragraphedeliste"/>
        <w:numPr>
          <w:ilvl w:val="0"/>
          <w:numId w:val="14"/>
        </w:numPr>
        <w:spacing w:before="120" w:after="120" w:line="276" w:lineRule="auto"/>
        <w:jc w:val="both"/>
        <w:rPr>
          <w:rFonts w:asciiTheme="majorHAnsi" w:hAnsiTheme="majorHAnsi" w:cstheme="majorHAnsi"/>
          <w:color w:val="000000"/>
        </w:rPr>
      </w:pPr>
      <w:r w:rsidRPr="007D2D86">
        <w:rPr>
          <w:rFonts w:asciiTheme="majorHAnsi" w:hAnsiTheme="majorHAnsi" w:cstheme="majorHAnsi"/>
          <w:color w:val="000000"/>
        </w:rPr>
        <w:t xml:space="preserve">Revoir le contenu des modules existants et proposer les scenarios pédagogiques en se basant sur les principes de la formation des adultes ;  </w:t>
      </w:r>
    </w:p>
    <w:p w14:paraId="4EF49C0B" w14:textId="4C776A84" w:rsidR="009906E4" w:rsidRPr="007D2D86" w:rsidRDefault="009906E4" w:rsidP="009906E4">
      <w:pPr>
        <w:pStyle w:val="Paragraphedeliste"/>
        <w:numPr>
          <w:ilvl w:val="0"/>
          <w:numId w:val="14"/>
        </w:numPr>
        <w:spacing w:before="120" w:after="120" w:line="276" w:lineRule="auto"/>
        <w:jc w:val="both"/>
        <w:rPr>
          <w:rFonts w:asciiTheme="majorHAnsi" w:hAnsiTheme="majorHAnsi" w:cstheme="majorHAnsi"/>
          <w:color w:val="000000"/>
        </w:rPr>
      </w:pPr>
      <w:r w:rsidRPr="007D2D86">
        <w:rPr>
          <w:rFonts w:asciiTheme="majorHAnsi" w:hAnsiTheme="majorHAnsi" w:cstheme="majorHAnsi"/>
          <w:color w:val="000000"/>
        </w:rPr>
        <w:t>Développer les exercices, les cas pratiques, les quizz et les QCM</w:t>
      </w:r>
      <w:r>
        <w:rPr>
          <w:rFonts w:asciiTheme="majorHAnsi" w:hAnsiTheme="majorHAnsi" w:cstheme="majorHAnsi"/>
          <w:color w:val="000000"/>
        </w:rPr>
        <w:t> ;</w:t>
      </w:r>
    </w:p>
    <w:p w14:paraId="19132000" w14:textId="16299D58" w:rsidR="009906E4" w:rsidRDefault="009906E4" w:rsidP="009906E4">
      <w:pPr>
        <w:pStyle w:val="Paragraphedeliste"/>
        <w:numPr>
          <w:ilvl w:val="0"/>
          <w:numId w:val="14"/>
        </w:numPr>
        <w:spacing w:before="120" w:after="120" w:line="276" w:lineRule="auto"/>
        <w:jc w:val="both"/>
        <w:rPr>
          <w:rFonts w:asciiTheme="majorHAnsi" w:hAnsiTheme="majorHAnsi" w:cstheme="majorHAnsi"/>
          <w:color w:val="000000"/>
        </w:rPr>
      </w:pPr>
      <w:r w:rsidRPr="007D2D86">
        <w:rPr>
          <w:rFonts w:asciiTheme="majorHAnsi" w:hAnsiTheme="majorHAnsi" w:cstheme="majorHAnsi"/>
          <w:color w:val="000000"/>
        </w:rPr>
        <w:t>Classer les ressources et bibliographies</w:t>
      </w:r>
      <w:r>
        <w:rPr>
          <w:rFonts w:asciiTheme="majorHAnsi" w:hAnsiTheme="majorHAnsi" w:cstheme="majorHAnsi"/>
          <w:color w:val="000000"/>
        </w:rPr>
        <w:t> ;</w:t>
      </w:r>
    </w:p>
    <w:p w14:paraId="74705A6E" w14:textId="035B7406" w:rsidR="005F78FF" w:rsidRPr="007D2D86" w:rsidRDefault="005F78FF" w:rsidP="009906E4">
      <w:pPr>
        <w:pStyle w:val="Paragraphedeliste"/>
        <w:numPr>
          <w:ilvl w:val="0"/>
          <w:numId w:val="14"/>
        </w:numPr>
        <w:spacing w:before="120" w:after="120" w:line="276" w:lineRule="auto"/>
        <w:jc w:val="both"/>
        <w:rPr>
          <w:rFonts w:asciiTheme="majorHAnsi" w:hAnsiTheme="majorHAnsi" w:cstheme="majorHAnsi"/>
          <w:color w:val="000000"/>
        </w:rPr>
      </w:pPr>
      <w:r>
        <w:rPr>
          <w:rFonts w:asciiTheme="majorHAnsi" w:hAnsiTheme="majorHAnsi" w:cstheme="majorHAnsi"/>
          <w:color w:val="000000"/>
        </w:rPr>
        <w:t>Finaliser les modules lors de séances de co-construction sur place</w:t>
      </w:r>
    </w:p>
    <w:p w14:paraId="0DBF56DA" w14:textId="77777777" w:rsidR="009906E4" w:rsidRPr="007D2D86" w:rsidRDefault="009906E4" w:rsidP="009906E4">
      <w:pPr>
        <w:pStyle w:val="Paragraphedeliste"/>
        <w:numPr>
          <w:ilvl w:val="0"/>
          <w:numId w:val="14"/>
        </w:numPr>
        <w:spacing w:before="120" w:after="120" w:line="276" w:lineRule="auto"/>
        <w:jc w:val="both"/>
        <w:rPr>
          <w:rFonts w:asciiTheme="majorHAnsi" w:hAnsiTheme="majorHAnsi" w:cstheme="majorHAnsi"/>
          <w:color w:val="000000"/>
        </w:rPr>
      </w:pPr>
      <w:r w:rsidRPr="007D2D86">
        <w:rPr>
          <w:rFonts w:asciiTheme="majorHAnsi" w:hAnsiTheme="majorHAnsi" w:cstheme="majorHAnsi"/>
          <w:color w:val="000000"/>
        </w:rPr>
        <w:t xml:space="preserve"> Rédiger des scripts de vidéos pédagogiques</w:t>
      </w:r>
    </w:p>
    <w:p w14:paraId="00739B2D" w14:textId="77777777" w:rsidR="009906E4" w:rsidRPr="007D2D86" w:rsidRDefault="009906E4" w:rsidP="009906E4">
      <w:pPr>
        <w:pStyle w:val="Paragraphedeliste"/>
        <w:numPr>
          <w:ilvl w:val="0"/>
          <w:numId w:val="14"/>
        </w:numPr>
        <w:spacing w:before="120" w:after="120" w:line="276" w:lineRule="auto"/>
        <w:jc w:val="both"/>
        <w:rPr>
          <w:rFonts w:asciiTheme="majorHAnsi" w:hAnsiTheme="majorHAnsi" w:cstheme="majorHAnsi"/>
          <w:color w:val="000000"/>
        </w:rPr>
      </w:pPr>
      <w:r w:rsidRPr="007D2D86">
        <w:rPr>
          <w:rFonts w:asciiTheme="majorHAnsi" w:hAnsiTheme="majorHAnsi" w:cstheme="majorHAnsi"/>
          <w:color w:val="000000"/>
        </w:rPr>
        <w:t>Fournir un kit formateur permettant aux futurs formateurs de mettre en place les sessions</w:t>
      </w:r>
    </w:p>
    <w:p w14:paraId="6E14C6BE" w14:textId="77777777" w:rsidR="009906E4" w:rsidRPr="007D2D86" w:rsidRDefault="009906E4" w:rsidP="009906E4">
      <w:pPr>
        <w:pStyle w:val="Paragraphedeliste"/>
        <w:numPr>
          <w:ilvl w:val="0"/>
          <w:numId w:val="14"/>
        </w:numPr>
        <w:spacing w:before="120" w:after="120" w:line="276" w:lineRule="auto"/>
        <w:jc w:val="both"/>
        <w:rPr>
          <w:rFonts w:asciiTheme="majorHAnsi" w:hAnsiTheme="majorHAnsi" w:cstheme="majorHAnsi"/>
          <w:color w:val="000000"/>
        </w:rPr>
      </w:pPr>
      <w:r w:rsidRPr="007D2D86">
        <w:rPr>
          <w:rFonts w:asciiTheme="majorHAnsi" w:hAnsiTheme="majorHAnsi" w:cstheme="majorHAnsi"/>
          <w:color w:val="000000"/>
        </w:rPr>
        <w:t xml:space="preserve">Participer aux sessions de formation technique des futurs formateurs du vivier du ministère. </w:t>
      </w:r>
    </w:p>
    <w:p w14:paraId="197C0D55" w14:textId="77777777" w:rsidR="00727E8A" w:rsidRPr="00CF0081" w:rsidRDefault="00727E8A" w:rsidP="006855D0"/>
    <w:p w14:paraId="471839C4" w14:textId="77777777" w:rsidR="00FB42F4" w:rsidRPr="007C6064" w:rsidRDefault="00FB42F4" w:rsidP="007C6064">
      <w:pPr>
        <w:pBdr>
          <w:left w:val="single" w:sz="24" w:space="15" w:color="1981CF"/>
        </w:pBdr>
        <w:shd w:val="clear" w:color="auto" w:fill="FFFFFF"/>
        <w:spacing w:before="120" w:after="120" w:line="276" w:lineRule="auto"/>
        <w:outlineLvl w:val="1"/>
        <w:rPr>
          <w:rFonts w:asciiTheme="majorHAnsi" w:eastAsia="Times New Roman" w:hAnsiTheme="majorHAnsi" w:cstheme="majorHAnsi"/>
          <w:b/>
          <w:color w:val="333333"/>
          <w:lang w:eastAsia="fr-FR"/>
        </w:rPr>
      </w:pPr>
      <w:r w:rsidRPr="007C6064">
        <w:rPr>
          <w:rFonts w:asciiTheme="majorHAnsi" w:eastAsia="Times New Roman" w:hAnsiTheme="majorHAnsi" w:cstheme="majorHAnsi"/>
          <w:b/>
          <w:color w:val="333333"/>
          <w:lang w:eastAsia="fr-FR"/>
        </w:rPr>
        <w:t>Livrables</w:t>
      </w:r>
    </w:p>
    <w:p w14:paraId="7676CA60" w14:textId="645EBB1D" w:rsidR="00727E8A" w:rsidRDefault="00727E8A" w:rsidP="00727E8A">
      <w:pPr>
        <w:pStyle w:val="Paragraphedeliste"/>
        <w:numPr>
          <w:ilvl w:val="0"/>
          <w:numId w:val="12"/>
        </w:numPr>
        <w:spacing w:before="120" w:after="120" w:line="276" w:lineRule="auto"/>
        <w:rPr>
          <w:rFonts w:asciiTheme="majorHAnsi" w:hAnsiTheme="majorHAnsi" w:cstheme="majorHAnsi"/>
        </w:rPr>
      </w:pPr>
      <w:r>
        <w:rPr>
          <w:rFonts w:asciiTheme="majorHAnsi" w:hAnsiTheme="majorHAnsi" w:cstheme="majorHAnsi"/>
        </w:rPr>
        <w:t>Le</w:t>
      </w:r>
      <w:r w:rsidR="005F78FF">
        <w:rPr>
          <w:rFonts w:asciiTheme="majorHAnsi" w:hAnsiTheme="majorHAnsi" w:cstheme="majorHAnsi"/>
        </w:rPr>
        <w:t>s</w:t>
      </w:r>
      <w:r>
        <w:rPr>
          <w:rFonts w:asciiTheme="majorHAnsi" w:hAnsiTheme="majorHAnsi" w:cstheme="majorHAnsi"/>
        </w:rPr>
        <w:t xml:space="preserve"> m</w:t>
      </w:r>
      <w:r w:rsidR="0027659A" w:rsidRPr="00727E8A">
        <w:rPr>
          <w:rFonts w:asciiTheme="majorHAnsi" w:hAnsiTheme="majorHAnsi" w:cstheme="majorHAnsi"/>
        </w:rPr>
        <w:t>odules</w:t>
      </w:r>
      <w:r w:rsidR="005F78FF">
        <w:rPr>
          <w:rFonts w:asciiTheme="majorHAnsi" w:hAnsiTheme="majorHAnsi" w:cstheme="majorHAnsi"/>
        </w:rPr>
        <w:t xml:space="preserve"> </w:t>
      </w:r>
      <w:r w:rsidR="0007200A">
        <w:rPr>
          <w:rFonts w:asciiTheme="majorHAnsi" w:hAnsiTheme="majorHAnsi" w:cstheme="majorHAnsi"/>
        </w:rPr>
        <w:t xml:space="preserve">de la formation </w:t>
      </w:r>
      <w:r w:rsidR="005F78FF">
        <w:rPr>
          <w:rFonts w:asciiTheme="majorHAnsi" w:hAnsiTheme="majorHAnsi" w:cstheme="majorHAnsi"/>
        </w:rPr>
        <w:t>comprenant les scénarios, les exercices, les QCM et tests</w:t>
      </w:r>
    </w:p>
    <w:p w14:paraId="190F4DC5" w14:textId="500AA7E6" w:rsidR="00DF3075" w:rsidRPr="00727E8A" w:rsidRDefault="005F78FF" w:rsidP="00727E8A">
      <w:pPr>
        <w:pStyle w:val="Paragraphedeliste"/>
        <w:numPr>
          <w:ilvl w:val="0"/>
          <w:numId w:val="12"/>
        </w:numPr>
        <w:spacing w:before="120" w:after="120" w:line="276" w:lineRule="auto"/>
        <w:rPr>
          <w:rFonts w:asciiTheme="majorHAnsi" w:hAnsiTheme="majorHAnsi" w:cstheme="majorHAnsi"/>
        </w:rPr>
      </w:pPr>
      <w:r>
        <w:rPr>
          <w:rFonts w:asciiTheme="majorHAnsi" w:hAnsiTheme="majorHAnsi" w:cstheme="majorHAnsi"/>
        </w:rPr>
        <w:t xml:space="preserve">Les scripts des </w:t>
      </w:r>
      <w:r w:rsidR="00583710">
        <w:rPr>
          <w:rFonts w:asciiTheme="majorHAnsi" w:hAnsiTheme="majorHAnsi" w:cstheme="majorHAnsi"/>
        </w:rPr>
        <w:t>vidéos</w:t>
      </w:r>
      <w:r>
        <w:rPr>
          <w:rFonts w:asciiTheme="majorHAnsi" w:hAnsiTheme="majorHAnsi" w:cstheme="majorHAnsi"/>
        </w:rPr>
        <w:t xml:space="preserve"> </w:t>
      </w:r>
      <w:r w:rsidR="00583710">
        <w:rPr>
          <w:rFonts w:asciiTheme="majorHAnsi" w:hAnsiTheme="majorHAnsi" w:cstheme="majorHAnsi"/>
        </w:rPr>
        <w:t>pédagogiques</w:t>
      </w:r>
    </w:p>
    <w:p w14:paraId="463EBEC9" w14:textId="4EE68CC7" w:rsidR="00727E8A" w:rsidRDefault="005F78FF" w:rsidP="00727E8A">
      <w:pPr>
        <w:pStyle w:val="Paragraphedeliste"/>
        <w:numPr>
          <w:ilvl w:val="0"/>
          <w:numId w:val="12"/>
        </w:numPr>
        <w:spacing w:before="120" w:after="120" w:line="276" w:lineRule="auto"/>
        <w:rPr>
          <w:rFonts w:asciiTheme="majorHAnsi" w:hAnsiTheme="majorHAnsi" w:cstheme="majorHAnsi"/>
        </w:rPr>
      </w:pPr>
      <w:r>
        <w:rPr>
          <w:rFonts w:asciiTheme="majorHAnsi" w:hAnsiTheme="majorHAnsi" w:cstheme="majorHAnsi"/>
        </w:rPr>
        <w:t xml:space="preserve"> Les rapports de</w:t>
      </w:r>
      <w:r w:rsidR="00583710">
        <w:rPr>
          <w:rFonts w:asciiTheme="majorHAnsi" w:hAnsiTheme="majorHAnsi" w:cstheme="majorHAnsi"/>
        </w:rPr>
        <w:t xml:space="preserve"> </w:t>
      </w:r>
      <w:r>
        <w:rPr>
          <w:rFonts w:asciiTheme="majorHAnsi" w:hAnsiTheme="majorHAnsi" w:cstheme="majorHAnsi"/>
        </w:rPr>
        <w:t xml:space="preserve">mission </w:t>
      </w:r>
      <w:r w:rsidR="00583710">
        <w:rPr>
          <w:rFonts w:asciiTheme="majorHAnsi" w:hAnsiTheme="majorHAnsi" w:cstheme="majorHAnsi"/>
        </w:rPr>
        <w:t>intermédiaires</w:t>
      </w:r>
    </w:p>
    <w:p w14:paraId="13712EA3" w14:textId="6D34FE1B" w:rsidR="00FB42F4" w:rsidRDefault="005F78FF" w:rsidP="007C6064">
      <w:pPr>
        <w:pStyle w:val="Paragraphedeliste"/>
        <w:numPr>
          <w:ilvl w:val="0"/>
          <w:numId w:val="12"/>
        </w:numPr>
        <w:spacing w:before="120" w:after="120" w:line="276" w:lineRule="auto"/>
        <w:jc w:val="both"/>
        <w:rPr>
          <w:rFonts w:asciiTheme="majorHAnsi" w:hAnsiTheme="majorHAnsi" w:cstheme="majorHAnsi"/>
        </w:rPr>
      </w:pPr>
      <w:r>
        <w:rPr>
          <w:rFonts w:asciiTheme="majorHAnsi" w:hAnsiTheme="majorHAnsi" w:cstheme="majorHAnsi"/>
        </w:rPr>
        <w:t>Le r</w:t>
      </w:r>
      <w:r w:rsidR="0027659A" w:rsidRPr="007C6064">
        <w:rPr>
          <w:rFonts w:asciiTheme="majorHAnsi" w:hAnsiTheme="majorHAnsi" w:cstheme="majorHAnsi"/>
        </w:rPr>
        <w:t>apport de mission</w:t>
      </w:r>
      <w:r>
        <w:rPr>
          <w:rFonts w:asciiTheme="majorHAnsi" w:hAnsiTheme="majorHAnsi" w:cstheme="majorHAnsi"/>
        </w:rPr>
        <w:t xml:space="preserve"> </w:t>
      </w:r>
      <w:r w:rsidR="00583710">
        <w:rPr>
          <w:rFonts w:asciiTheme="majorHAnsi" w:hAnsiTheme="majorHAnsi" w:cstheme="majorHAnsi"/>
        </w:rPr>
        <w:t>final</w:t>
      </w:r>
    </w:p>
    <w:p w14:paraId="7816CDFF" w14:textId="77777777" w:rsidR="00900958" w:rsidRPr="002478FB" w:rsidRDefault="00900958" w:rsidP="00821288">
      <w:pPr>
        <w:suppressAutoHyphens w:val="0"/>
        <w:spacing w:after="0" w:line="240" w:lineRule="auto"/>
        <w:jc w:val="both"/>
        <w:rPr>
          <w:rFonts w:eastAsiaTheme="minorEastAsia" w:cs="Calibri"/>
          <w:lang w:eastAsia="fr-FR"/>
        </w:rPr>
      </w:pPr>
    </w:p>
    <w:p w14:paraId="1DE9A4FA" w14:textId="7EAA1E27" w:rsidR="00900958" w:rsidRPr="00C70689" w:rsidRDefault="00900958" w:rsidP="00C70689">
      <w:pPr>
        <w:pStyle w:val="Paragraphedeliste"/>
        <w:numPr>
          <w:ilvl w:val="0"/>
          <w:numId w:val="42"/>
        </w:numPr>
        <w:pBdr>
          <w:left w:val="single" w:sz="24" w:space="15" w:color="1981CF"/>
        </w:pBdr>
        <w:shd w:val="clear" w:color="auto" w:fill="FFFFFF"/>
        <w:spacing w:before="240" w:after="240" w:line="360" w:lineRule="auto"/>
        <w:outlineLvl w:val="1"/>
        <w:rPr>
          <w:rFonts w:asciiTheme="majorHAnsi" w:eastAsia="Times New Roman" w:hAnsiTheme="majorHAnsi" w:cstheme="majorHAnsi"/>
          <w:b/>
          <w:color w:val="004E9A"/>
          <w:sz w:val="24"/>
          <w:szCs w:val="24"/>
          <w:lang w:eastAsia="fr-FR"/>
        </w:rPr>
      </w:pPr>
      <w:r w:rsidRPr="00C70689">
        <w:rPr>
          <w:rFonts w:asciiTheme="majorHAnsi" w:eastAsia="Times New Roman" w:hAnsiTheme="majorHAnsi" w:cstheme="majorHAnsi"/>
          <w:b/>
          <w:color w:val="004E9A"/>
          <w:sz w:val="24"/>
          <w:szCs w:val="24"/>
          <w:lang w:eastAsia="fr-FR"/>
        </w:rPr>
        <w:t>L</w:t>
      </w:r>
      <w:r w:rsidR="00C70689">
        <w:rPr>
          <w:rFonts w:asciiTheme="majorHAnsi" w:eastAsia="Times New Roman" w:hAnsiTheme="majorHAnsi" w:cstheme="majorHAnsi"/>
          <w:b/>
          <w:color w:val="004E9A"/>
          <w:sz w:val="24"/>
          <w:szCs w:val="24"/>
          <w:lang w:eastAsia="fr-FR"/>
        </w:rPr>
        <w:t xml:space="preserve">ieux, dates, nombre de jours de travail et durée de la mission  </w:t>
      </w:r>
    </w:p>
    <w:p w14:paraId="276ACFAE" w14:textId="77777777" w:rsidR="00482505" w:rsidRDefault="00482505" w:rsidP="00900958">
      <w:pPr>
        <w:suppressAutoHyphens w:val="0"/>
        <w:spacing w:after="0" w:line="240" w:lineRule="auto"/>
        <w:jc w:val="both"/>
        <w:rPr>
          <w:rFonts w:eastAsiaTheme="minorEastAsia" w:cs="Calibri"/>
          <w:b/>
          <w:bCs/>
          <w:lang w:eastAsia="fr-FR"/>
        </w:rPr>
      </w:pPr>
    </w:p>
    <w:p w14:paraId="7DA6092D" w14:textId="6AC4F50A" w:rsidR="00900958" w:rsidRPr="0043592F" w:rsidRDefault="00900958" w:rsidP="00583710">
      <w:pPr>
        <w:suppressAutoHyphens w:val="0"/>
        <w:spacing w:after="0" w:line="240" w:lineRule="auto"/>
        <w:jc w:val="both"/>
        <w:rPr>
          <w:rFonts w:asciiTheme="majorHAnsi" w:eastAsiaTheme="minorEastAsia" w:hAnsiTheme="majorHAnsi" w:cs="Calibri"/>
          <w:bCs/>
          <w:lang w:eastAsia="fr-FR"/>
        </w:rPr>
      </w:pPr>
      <w:r w:rsidRPr="0043592F">
        <w:rPr>
          <w:rFonts w:asciiTheme="majorHAnsi" w:eastAsiaTheme="minorEastAsia" w:hAnsiTheme="majorHAnsi" w:cs="Calibri"/>
          <w:b/>
          <w:bCs/>
          <w:lang w:eastAsia="fr-FR"/>
        </w:rPr>
        <w:t>Lieux :</w:t>
      </w:r>
      <w:r w:rsidRPr="0043592F">
        <w:rPr>
          <w:rFonts w:asciiTheme="majorHAnsi" w:eastAsiaTheme="minorEastAsia" w:hAnsiTheme="majorHAnsi" w:cs="Calibri"/>
          <w:bCs/>
          <w:lang w:eastAsia="fr-FR"/>
        </w:rPr>
        <w:t xml:space="preserve"> La prestation sera effectuée </w:t>
      </w:r>
      <w:r w:rsidR="00583710">
        <w:rPr>
          <w:rFonts w:asciiTheme="majorHAnsi" w:eastAsiaTheme="minorEastAsia" w:hAnsiTheme="majorHAnsi" w:cs="Calibri"/>
          <w:bCs/>
          <w:lang w:eastAsia="fr-FR"/>
        </w:rPr>
        <w:t>à distance et</w:t>
      </w:r>
      <w:r w:rsidR="0043592F" w:rsidRPr="0043592F">
        <w:rPr>
          <w:rFonts w:asciiTheme="majorHAnsi" w:eastAsiaTheme="minorEastAsia" w:hAnsiTheme="majorHAnsi" w:cs="Calibri"/>
          <w:bCs/>
          <w:lang w:eastAsia="fr-FR"/>
        </w:rPr>
        <w:t xml:space="preserve"> </w:t>
      </w:r>
      <w:r w:rsidRPr="0043592F">
        <w:rPr>
          <w:rFonts w:asciiTheme="majorHAnsi" w:eastAsiaTheme="minorEastAsia" w:hAnsiTheme="majorHAnsi" w:cs="Calibri"/>
          <w:bCs/>
          <w:lang w:eastAsia="fr-FR"/>
        </w:rPr>
        <w:t xml:space="preserve">à </w:t>
      </w:r>
      <w:r w:rsidR="00482505" w:rsidRPr="0043592F">
        <w:rPr>
          <w:rFonts w:asciiTheme="majorHAnsi" w:eastAsiaTheme="minorEastAsia" w:hAnsiTheme="majorHAnsi" w:cs="Calibri"/>
          <w:bCs/>
          <w:lang w:eastAsia="fr-FR"/>
        </w:rPr>
        <w:t>Bujumbura/Burundi</w:t>
      </w:r>
      <w:r w:rsidRPr="0043592F">
        <w:rPr>
          <w:rFonts w:asciiTheme="majorHAnsi" w:eastAsiaTheme="minorEastAsia" w:hAnsiTheme="majorHAnsi" w:cs="Calibri"/>
          <w:bCs/>
          <w:lang w:eastAsia="fr-FR"/>
        </w:rPr>
        <w:t>. Les activités d</w:t>
      </w:r>
      <w:r w:rsidR="00583710">
        <w:rPr>
          <w:rFonts w:asciiTheme="majorHAnsi" w:eastAsiaTheme="minorEastAsia" w:hAnsiTheme="majorHAnsi" w:cs="Calibri"/>
          <w:bCs/>
          <w:lang w:eastAsia="fr-FR"/>
        </w:rPr>
        <w:t>’analyse, de préconception et de rédaction des scripts</w:t>
      </w:r>
      <w:r w:rsidRPr="0043592F">
        <w:rPr>
          <w:rFonts w:asciiTheme="majorHAnsi" w:eastAsiaTheme="minorEastAsia" w:hAnsiTheme="majorHAnsi" w:cs="Calibri"/>
          <w:bCs/>
          <w:lang w:eastAsia="fr-FR"/>
        </w:rPr>
        <w:t xml:space="preserve"> </w:t>
      </w:r>
      <w:r w:rsidR="00583710">
        <w:rPr>
          <w:rFonts w:asciiTheme="majorHAnsi" w:eastAsiaTheme="minorEastAsia" w:hAnsiTheme="majorHAnsi" w:cs="Calibri"/>
          <w:bCs/>
          <w:lang w:eastAsia="fr-FR"/>
        </w:rPr>
        <w:t xml:space="preserve"> </w:t>
      </w:r>
      <w:r w:rsidRPr="0043592F">
        <w:rPr>
          <w:rFonts w:asciiTheme="majorHAnsi" w:eastAsiaTheme="minorEastAsia" w:hAnsiTheme="majorHAnsi" w:cs="Calibri"/>
          <w:bCs/>
          <w:lang w:eastAsia="fr-FR"/>
        </w:rPr>
        <w:t xml:space="preserve"> peuvent être effectuées à distance. </w:t>
      </w:r>
      <w:r w:rsidR="00583710">
        <w:rPr>
          <w:rFonts w:asciiTheme="majorHAnsi" w:eastAsiaTheme="minorEastAsia" w:hAnsiTheme="majorHAnsi" w:cs="Calibri"/>
          <w:bCs/>
          <w:lang w:eastAsia="fr-FR"/>
        </w:rPr>
        <w:t xml:space="preserve">¨Pour des raisons d’efficience, plusieurs thermiques seront regroupées dans le temps pour les phases de co-construction des modules à Bujumbura, et la formation des formateurs.  </w:t>
      </w:r>
    </w:p>
    <w:p w14:paraId="1BC286AB" w14:textId="77777777" w:rsidR="00583710" w:rsidRDefault="00583710" w:rsidP="00900958">
      <w:pPr>
        <w:suppressAutoHyphens w:val="0"/>
        <w:spacing w:after="0" w:line="240" w:lineRule="auto"/>
        <w:rPr>
          <w:rFonts w:asciiTheme="majorHAnsi" w:eastAsiaTheme="minorEastAsia" w:hAnsiTheme="majorHAnsi" w:cs="Calibri"/>
          <w:b/>
          <w:bCs/>
          <w:lang w:eastAsia="fr-FR"/>
        </w:rPr>
      </w:pPr>
    </w:p>
    <w:p w14:paraId="65BB0220" w14:textId="20F96C75" w:rsidR="00900958" w:rsidRPr="0043592F" w:rsidRDefault="00900958" w:rsidP="00900958">
      <w:pPr>
        <w:suppressAutoHyphens w:val="0"/>
        <w:spacing w:after="0" w:line="240" w:lineRule="auto"/>
        <w:rPr>
          <w:rFonts w:asciiTheme="majorHAnsi" w:eastAsiaTheme="minorEastAsia" w:hAnsiTheme="majorHAnsi" w:cs="Calibri"/>
          <w:bCs/>
          <w:lang w:eastAsia="fr-FR"/>
        </w:rPr>
      </w:pPr>
      <w:r w:rsidRPr="0043592F">
        <w:rPr>
          <w:rFonts w:asciiTheme="majorHAnsi" w:eastAsiaTheme="minorEastAsia" w:hAnsiTheme="majorHAnsi" w:cs="Calibri"/>
          <w:b/>
          <w:bCs/>
          <w:lang w:eastAsia="fr-FR"/>
        </w:rPr>
        <w:t>Durée et dates indicatives</w:t>
      </w:r>
      <w:r w:rsidRPr="0043592F">
        <w:rPr>
          <w:rFonts w:asciiTheme="majorHAnsi" w:eastAsiaTheme="minorEastAsia" w:hAnsiTheme="majorHAnsi" w:cs="Calibri"/>
          <w:bCs/>
          <w:lang w:eastAsia="fr-FR"/>
        </w:rPr>
        <w:t xml:space="preserve"> : </w:t>
      </w:r>
    </w:p>
    <w:p w14:paraId="524D6C5A" w14:textId="77777777" w:rsidR="00900958" w:rsidRPr="0043592F" w:rsidRDefault="00900958" w:rsidP="00482505">
      <w:pPr>
        <w:tabs>
          <w:tab w:val="left" w:pos="8051"/>
        </w:tabs>
        <w:suppressAutoHyphens w:val="0"/>
        <w:spacing w:after="0" w:line="240" w:lineRule="auto"/>
        <w:rPr>
          <w:rFonts w:asciiTheme="majorHAnsi" w:eastAsiaTheme="minorEastAsia" w:hAnsiTheme="majorHAnsi" w:cs="Calibri"/>
          <w:bCs/>
          <w:sz w:val="20"/>
          <w:szCs w:val="20"/>
          <w:lang w:eastAsia="fr-FR"/>
        </w:rPr>
      </w:pPr>
      <w:r w:rsidRPr="0043592F">
        <w:rPr>
          <w:rFonts w:asciiTheme="majorHAnsi" w:eastAsiaTheme="minorEastAsia" w:hAnsiTheme="majorHAnsi" w:cs="Calibri"/>
          <w:bCs/>
          <w:lang w:eastAsia="fr-FR"/>
        </w:rPr>
        <w:lastRenderedPageBreak/>
        <w:tab/>
      </w:r>
    </w:p>
    <w:p w14:paraId="7F4293A8" w14:textId="3E5EFE95" w:rsidR="00900958" w:rsidRPr="00553AD0" w:rsidRDefault="00900958" w:rsidP="00553AD0">
      <w:pPr>
        <w:suppressAutoHyphens w:val="0"/>
        <w:spacing w:after="120" w:line="240" w:lineRule="auto"/>
        <w:jc w:val="both"/>
        <w:rPr>
          <w:rFonts w:asciiTheme="majorHAnsi" w:eastAsiaTheme="minorEastAsia" w:hAnsiTheme="majorHAnsi" w:cs="Calibri"/>
          <w:bCs/>
          <w:lang w:eastAsia="fr-FR"/>
        </w:rPr>
      </w:pPr>
      <w:r w:rsidRPr="0043592F">
        <w:rPr>
          <w:rFonts w:asciiTheme="majorHAnsi" w:eastAsiaTheme="minorEastAsia" w:hAnsiTheme="majorHAnsi" w:cs="Calibri"/>
          <w:bCs/>
          <w:lang w:eastAsia="fr-FR"/>
        </w:rPr>
        <w:t>L</w:t>
      </w:r>
      <w:r w:rsidR="00482505" w:rsidRPr="0043592F">
        <w:rPr>
          <w:rFonts w:asciiTheme="majorHAnsi" w:eastAsiaTheme="minorEastAsia" w:hAnsiTheme="majorHAnsi" w:cs="Calibri"/>
          <w:bCs/>
          <w:lang w:eastAsia="fr-FR"/>
        </w:rPr>
        <w:t xml:space="preserve">a mission est prévue </w:t>
      </w:r>
      <w:r w:rsidR="00077ED1" w:rsidRPr="0043592F">
        <w:rPr>
          <w:rFonts w:asciiTheme="majorHAnsi" w:eastAsiaTheme="minorEastAsia" w:hAnsiTheme="majorHAnsi" w:cs="Calibri"/>
          <w:bCs/>
          <w:lang w:eastAsia="fr-FR"/>
        </w:rPr>
        <w:t xml:space="preserve">pour </w:t>
      </w:r>
      <w:r w:rsidR="00583710">
        <w:rPr>
          <w:rFonts w:asciiTheme="majorHAnsi" w:eastAsiaTheme="minorEastAsia" w:hAnsiTheme="majorHAnsi" w:cs="Calibri"/>
          <w:bCs/>
          <w:lang w:eastAsia="fr-FR"/>
        </w:rPr>
        <w:t xml:space="preserve">une durée de 18 mois. Des bons de commande successifs préciseront le contenu des activités durant cette période. </w:t>
      </w:r>
      <w:r w:rsidR="00821288" w:rsidRPr="0043592F">
        <w:rPr>
          <w:rFonts w:asciiTheme="majorHAnsi" w:eastAsiaTheme="minorEastAsia" w:hAnsiTheme="majorHAnsi" w:cs="Calibri"/>
          <w:bCs/>
          <w:lang w:eastAsia="fr-FR"/>
        </w:rPr>
        <w:t xml:space="preserve"> </w:t>
      </w:r>
      <w:r w:rsidR="00DF3075">
        <w:rPr>
          <w:rFonts w:asciiTheme="majorHAnsi" w:eastAsiaTheme="minorEastAsia" w:hAnsiTheme="majorHAnsi" w:cs="Calibri"/>
          <w:bCs/>
          <w:lang w:eastAsia="fr-FR"/>
        </w:rPr>
        <w:t>Le</w:t>
      </w:r>
      <w:r w:rsidR="00482505" w:rsidRPr="0043592F">
        <w:rPr>
          <w:rFonts w:asciiTheme="majorHAnsi" w:eastAsiaTheme="minorEastAsia" w:hAnsiTheme="majorHAnsi" w:cs="Calibri"/>
          <w:bCs/>
          <w:lang w:eastAsia="fr-FR"/>
        </w:rPr>
        <w:t xml:space="preserve"> début de la mission est prévu pour </w:t>
      </w:r>
      <w:r w:rsidR="00583710">
        <w:rPr>
          <w:rFonts w:asciiTheme="majorHAnsi" w:eastAsiaTheme="minorEastAsia" w:hAnsiTheme="majorHAnsi" w:cs="Calibri"/>
          <w:bCs/>
          <w:lang w:eastAsia="fr-FR"/>
        </w:rPr>
        <w:t xml:space="preserve">avril </w:t>
      </w:r>
      <w:r w:rsidR="0007200A">
        <w:rPr>
          <w:rFonts w:asciiTheme="majorHAnsi" w:eastAsiaTheme="minorEastAsia" w:hAnsiTheme="majorHAnsi" w:cs="Calibri"/>
          <w:bCs/>
          <w:lang w:eastAsia="fr-FR"/>
        </w:rPr>
        <w:t>2026</w:t>
      </w:r>
      <w:r w:rsidR="00583710">
        <w:rPr>
          <w:rFonts w:asciiTheme="majorHAnsi" w:eastAsiaTheme="minorEastAsia" w:hAnsiTheme="majorHAnsi" w:cs="Calibri"/>
          <w:bCs/>
          <w:lang w:eastAsia="fr-FR"/>
        </w:rPr>
        <w:t>. La programmation des activités devra tenir</w:t>
      </w:r>
      <w:r w:rsidR="00482505" w:rsidRPr="0043592F">
        <w:rPr>
          <w:rFonts w:asciiTheme="majorHAnsi" w:eastAsiaTheme="minorEastAsia" w:hAnsiTheme="majorHAnsi" w:cs="Calibri"/>
          <w:bCs/>
          <w:lang w:eastAsia="fr-FR"/>
        </w:rPr>
        <w:t xml:space="preserve"> compte</w:t>
      </w:r>
      <w:r w:rsidRPr="0043592F">
        <w:rPr>
          <w:rFonts w:asciiTheme="majorHAnsi" w:eastAsiaTheme="minorEastAsia" w:hAnsiTheme="majorHAnsi" w:cs="Calibri"/>
          <w:bCs/>
          <w:lang w:eastAsia="fr-FR"/>
        </w:rPr>
        <w:t xml:space="preserve"> des ajustements dans </w:t>
      </w:r>
      <w:r w:rsidR="00553AD0" w:rsidRPr="0043592F">
        <w:rPr>
          <w:rFonts w:asciiTheme="majorHAnsi" w:eastAsiaTheme="minorEastAsia" w:hAnsiTheme="majorHAnsi" w:cs="Calibri"/>
          <w:bCs/>
          <w:lang w:eastAsia="fr-FR"/>
        </w:rPr>
        <w:t>le calendrier lié</w:t>
      </w:r>
      <w:r w:rsidRPr="0043592F">
        <w:rPr>
          <w:rFonts w:asciiTheme="majorHAnsi" w:eastAsiaTheme="minorEastAsia" w:hAnsiTheme="majorHAnsi" w:cs="Calibri"/>
          <w:bCs/>
          <w:lang w:eastAsia="fr-FR"/>
        </w:rPr>
        <w:t xml:space="preserve"> au rythme du travail </w:t>
      </w:r>
      <w:r w:rsidR="00482505" w:rsidRPr="0043592F">
        <w:rPr>
          <w:rFonts w:asciiTheme="majorHAnsi" w:eastAsiaTheme="minorEastAsia" w:hAnsiTheme="majorHAnsi" w:cs="Calibri"/>
          <w:bCs/>
          <w:lang w:eastAsia="fr-FR"/>
        </w:rPr>
        <w:t xml:space="preserve">du Ministère </w:t>
      </w:r>
      <w:r w:rsidRPr="0043592F">
        <w:rPr>
          <w:rFonts w:asciiTheme="majorHAnsi" w:eastAsiaTheme="minorEastAsia" w:hAnsiTheme="majorHAnsi" w:cs="Calibri"/>
          <w:bCs/>
          <w:lang w:eastAsia="fr-FR"/>
        </w:rPr>
        <w:t>pour la programmation des</w:t>
      </w:r>
      <w:r w:rsidRPr="00553AD0">
        <w:rPr>
          <w:rFonts w:asciiTheme="majorHAnsi" w:eastAsiaTheme="minorEastAsia" w:hAnsiTheme="majorHAnsi" w:cs="Calibri"/>
          <w:bCs/>
          <w:lang w:eastAsia="fr-FR"/>
        </w:rPr>
        <w:t xml:space="preserve"> formations.</w:t>
      </w:r>
      <w:r w:rsidR="00DF3075">
        <w:rPr>
          <w:rFonts w:asciiTheme="majorHAnsi" w:eastAsiaTheme="minorEastAsia" w:hAnsiTheme="majorHAnsi" w:cs="Calibri"/>
          <w:bCs/>
          <w:lang w:eastAsia="fr-FR"/>
        </w:rPr>
        <w:t xml:space="preserve"> </w:t>
      </w:r>
    </w:p>
    <w:p w14:paraId="2F850538" w14:textId="0D840488" w:rsidR="00583710" w:rsidRDefault="00583710" w:rsidP="00077ED1">
      <w:pPr>
        <w:suppressAutoHyphens w:val="0"/>
        <w:spacing w:after="0" w:line="240" w:lineRule="auto"/>
        <w:rPr>
          <w:rFonts w:asciiTheme="majorHAnsi" w:eastAsiaTheme="minorEastAsia" w:hAnsiTheme="majorHAnsi" w:cs="Calibri"/>
          <w:bCs/>
          <w:lang w:eastAsia="fr-FR"/>
        </w:rPr>
      </w:pPr>
      <w:r>
        <w:rPr>
          <w:rFonts w:asciiTheme="majorHAnsi" w:eastAsiaTheme="minorEastAsia" w:hAnsiTheme="majorHAnsi" w:cs="Calibri"/>
          <w:bCs/>
          <w:lang w:eastAsia="fr-FR"/>
        </w:rPr>
        <w:t>Le déroulement type d’une intervention</w:t>
      </w:r>
      <w:r>
        <w:rPr>
          <w:rStyle w:val="Appelnotedebasdep"/>
          <w:rFonts w:asciiTheme="majorHAnsi" w:eastAsiaTheme="minorEastAsia" w:hAnsiTheme="majorHAnsi" w:cs="Calibri"/>
          <w:bCs/>
          <w:lang w:eastAsia="fr-FR"/>
        </w:rPr>
        <w:footnoteReference w:id="2"/>
      </w:r>
      <w:r>
        <w:rPr>
          <w:rFonts w:asciiTheme="majorHAnsi" w:eastAsiaTheme="minorEastAsia" w:hAnsiTheme="majorHAnsi" w:cs="Calibri"/>
          <w:bCs/>
          <w:lang w:eastAsia="fr-FR"/>
        </w:rPr>
        <w:t xml:space="preserve"> pour un module de formation est le suivant</w:t>
      </w:r>
      <w:r w:rsidR="00482505" w:rsidRPr="00553AD0">
        <w:rPr>
          <w:rFonts w:asciiTheme="majorHAnsi" w:eastAsiaTheme="minorEastAsia" w:hAnsiTheme="majorHAnsi" w:cs="Calibri"/>
          <w:bCs/>
          <w:lang w:eastAsia="fr-FR"/>
        </w:rPr>
        <w:t xml:space="preserve"> : </w:t>
      </w:r>
    </w:p>
    <w:tbl>
      <w:tblPr>
        <w:tblpPr w:leftFromText="141" w:rightFromText="141" w:vertAnchor="text" w:horzAnchor="margin" w:tblpXSpec="center" w:tblpY="191"/>
        <w:tblW w:w="41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5"/>
        <w:gridCol w:w="900"/>
        <w:gridCol w:w="1260"/>
      </w:tblGrid>
      <w:tr w:rsidR="00583710" w:rsidRPr="002478FB" w14:paraId="1DD303B7" w14:textId="77777777" w:rsidTr="00E62EE3">
        <w:trPr>
          <w:trHeight w:val="293"/>
          <w:tblHeader/>
        </w:trPr>
        <w:tc>
          <w:tcPr>
            <w:tcW w:w="3651" w:type="pct"/>
            <w:shd w:val="clear" w:color="auto" w:fill="9CC2E5" w:themeFill="accent1" w:themeFillTint="99"/>
            <w:tcMar>
              <w:top w:w="57" w:type="dxa"/>
              <w:left w:w="85" w:type="dxa"/>
              <w:bottom w:w="57" w:type="dxa"/>
              <w:right w:w="85" w:type="dxa"/>
            </w:tcMar>
            <w:hideMark/>
          </w:tcPr>
          <w:p w14:paraId="70AC3CB1" w14:textId="77777777" w:rsidR="00583710" w:rsidRPr="00553AD0" w:rsidRDefault="00583710" w:rsidP="00E62EE3">
            <w:pPr>
              <w:suppressAutoHyphens w:val="0"/>
              <w:spacing w:after="0" w:line="240" w:lineRule="auto"/>
              <w:jc w:val="both"/>
              <w:rPr>
                <w:rFonts w:asciiTheme="majorHAnsi" w:eastAsiaTheme="minorEastAsia" w:hAnsiTheme="majorHAnsi" w:cstheme="majorHAnsi"/>
                <w:b/>
                <w:bCs/>
                <w:lang w:eastAsia="fr-FR"/>
              </w:rPr>
            </w:pPr>
            <w:r w:rsidRPr="00553AD0">
              <w:rPr>
                <w:rFonts w:asciiTheme="majorHAnsi" w:eastAsiaTheme="minorEastAsia" w:hAnsiTheme="majorHAnsi" w:cstheme="majorHAnsi"/>
                <w:b/>
                <w:bCs/>
                <w:lang w:eastAsia="fr-FR"/>
              </w:rPr>
              <w:t>Activité</w:t>
            </w:r>
          </w:p>
        </w:tc>
        <w:tc>
          <w:tcPr>
            <w:tcW w:w="562" w:type="pct"/>
            <w:shd w:val="clear" w:color="auto" w:fill="9CC2E5" w:themeFill="accent1" w:themeFillTint="99"/>
            <w:hideMark/>
          </w:tcPr>
          <w:p w14:paraId="1AA14219" w14:textId="77777777" w:rsidR="00583710" w:rsidRDefault="00583710" w:rsidP="00E62EE3">
            <w:pPr>
              <w:suppressAutoHyphens w:val="0"/>
              <w:spacing w:after="0" w:line="240" w:lineRule="auto"/>
              <w:jc w:val="both"/>
              <w:rPr>
                <w:rFonts w:asciiTheme="majorHAnsi" w:eastAsiaTheme="minorEastAsia" w:hAnsiTheme="majorHAnsi" w:cstheme="majorHAnsi"/>
                <w:b/>
                <w:bCs/>
                <w:lang w:eastAsia="fr-FR"/>
              </w:rPr>
            </w:pPr>
            <w:r>
              <w:rPr>
                <w:rFonts w:asciiTheme="majorHAnsi" w:eastAsiaTheme="minorEastAsia" w:hAnsiTheme="majorHAnsi" w:cstheme="majorHAnsi"/>
                <w:b/>
                <w:bCs/>
                <w:lang w:eastAsia="fr-FR"/>
              </w:rPr>
              <w:t>Jours</w:t>
            </w:r>
          </w:p>
          <w:p w14:paraId="37716CDC" w14:textId="77777777" w:rsidR="00583710" w:rsidRPr="00553AD0" w:rsidRDefault="00583710" w:rsidP="00E62EE3">
            <w:pPr>
              <w:suppressAutoHyphens w:val="0"/>
              <w:spacing w:after="0" w:line="240" w:lineRule="auto"/>
              <w:jc w:val="both"/>
              <w:rPr>
                <w:rFonts w:asciiTheme="majorHAnsi" w:eastAsiaTheme="minorEastAsia" w:hAnsiTheme="majorHAnsi" w:cstheme="majorHAnsi"/>
                <w:b/>
                <w:bCs/>
                <w:lang w:eastAsia="fr-FR"/>
              </w:rPr>
            </w:pPr>
            <w:r>
              <w:rPr>
                <w:rFonts w:asciiTheme="majorHAnsi" w:eastAsiaTheme="minorEastAsia" w:hAnsiTheme="majorHAnsi" w:cstheme="majorHAnsi"/>
                <w:b/>
                <w:bCs/>
                <w:lang w:eastAsia="fr-FR"/>
              </w:rPr>
              <w:t>(22)</w:t>
            </w:r>
          </w:p>
        </w:tc>
        <w:tc>
          <w:tcPr>
            <w:tcW w:w="787" w:type="pct"/>
            <w:shd w:val="clear" w:color="auto" w:fill="9CC2E5" w:themeFill="accent1" w:themeFillTint="99"/>
          </w:tcPr>
          <w:p w14:paraId="1569FB1B" w14:textId="77777777" w:rsidR="00583710" w:rsidRPr="00553AD0" w:rsidRDefault="00583710" w:rsidP="00E62EE3">
            <w:pPr>
              <w:suppressAutoHyphens w:val="0"/>
              <w:spacing w:after="0" w:line="240" w:lineRule="auto"/>
              <w:jc w:val="both"/>
              <w:rPr>
                <w:rFonts w:asciiTheme="majorHAnsi" w:eastAsiaTheme="minorEastAsia" w:hAnsiTheme="majorHAnsi" w:cstheme="majorHAnsi"/>
                <w:b/>
                <w:bCs/>
                <w:lang w:eastAsia="fr-FR"/>
              </w:rPr>
            </w:pPr>
            <w:r w:rsidRPr="00553AD0">
              <w:rPr>
                <w:rFonts w:asciiTheme="majorHAnsi" w:eastAsiaTheme="minorEastAsia" w:hAnsiTheme="majorHAnsi" w:cstheme="majorHAnsi"/>
                <w:b/>
                <w:bCs/>
                <w:lang w:eastAsia="fr-FR"/>
              </w:rPr>
              <w:t xml:space="preserve">Lieu </w:t>
            </w:r>
          </w:p>
        </w:tc>
      </w:tr>
      <w:tr w:rsidR="00583710" w:rsidRPr="00077ED1" w14:paraId="7023498C" w14:textId="77777777" w:rsidTr="00E62EE3">
        <w:trPr>
          <w:trHeight w:val="198"/>
        </w:trPr>
        <w:tc>
          <w:tcPr>
            <w:tcW w:w="3651" w:type="pct"/>
            <w:tcMar>
              <w:top w:w="57" w:type="dxa"/>
              <w:left w:w="85" w:type="dxa"/>
              <w:bottom w:w="57" w:type="dxa"/>
              <w:right w:w="85" w:type="dxa"/>
            </w:tcMar>
            <w:vAlign w:val="center"/>
          </w:tcPr>
          <w:p w14:paraId="43425334" w14:textId="77777777" w:rsidR="00583710" w:rsidRPr="00077ED1" w:rsidRDefault="00583710" w:rsidP="00E62EE3">
            <w:pPr>
              <w:suppressAutoHyphens w:val="0"/>
              <w:spacing w:after="0" w:line="240" w:lineRule="auto"/>
              <w:contextualSpacing/>
              <w:rPr>
                <w:rFonts w:asciiTheme="majorHAnsi" w:eastAsiaTheme="minorEastAsia" w:hAnsiTheme="majorHAnsi" w:cs="Calibri"/>
                <w:lang w:eastAsia="fr-FR"/>
              </w:rPr>
            </w:pPr>
            <w:r w:rsidRPr="00077ED1">
              <w:rPr>
                <w:rFonts w:asciiTheme="majorHAnsi" w:eastAsiaTheme="minorEastAsia" w:hAnsiTheme="majorHAnsi" w:cs="Calibri"/>
                <w:lang w:eastAsia="fr-FR"/>
              </w:rPr>
              <w:t xml:space="preserve">Réunion de cadrage méthodologique, </w:t>
            </w:r>
            <w:r>
              <w:rPr>
                <w:rFonts w:asciiTheme="majorHAnsi" w:eastAsiaTheme="minorEastAsia" w:hAnsiTheme="majorHAnsi" w:cs="Calibri"/>
                <w:lang w:eastAsia="fr-FR"/>
              </w:rPr>
              <w:t>analyse de la documentation</w:t>
            </w:r>
            <w:r w:rsidRPr="00077ED1">
              <w:rPr>
                <w:rFonts w:asciiTheme="majorHAnsi" w:eastAsiaTheme="minorEastAsia" w:hAnsiTheme="majorHAnsi" w:cs="Calibri"/>
                <w:lang w:eastAsia="fr-FR"/>
              </w:rPr>
              <w:t xml:space="preserve"> </w:t>
            </w:r>
            <w:r>
              <w:rPr>
                <w:rFonts w:asciiTheme="majorHAnsi" w:eastAsiaTheme="minorEastAsia" w:hAnsiTheme="majorHAnsi" w:cs="Calibri"/>
                <w:lang w:eastAsia="fr-FR"/>
              </w:rPr>
              <w:t xml:space="preserve"> </w:t>
            </w:r>
          </w:p>
        </w:tc>
        <w:tc>
          <w:tcPr>
            <w:tcW w:w="562" w:type="pct"/>
            <w:vAlign w:val="center"/>
          </w:tcPr>
          <w:p w14:paraId="627ED5EB" w14:textId="77777777" w:rsidR="00583710" w:rsidRDefault="00583710" w:rsidP="00E62EE3">
            <w:pPr>
              <w:suppressAutoHyphens w:val="0"/>
              <w:spacing w:after="0" w:line="240" w:lineRule="auto"/>
              <w:jc w:val="center"/>
              <w:rPr>
                <w:rFonts w:asciiTheme="majorHAnsi" w:eastAsiaTheme="minorEastAsia" w:hAnsiTheme="majorHAnsi" w:cs="Calibri"/>
                <w:lang w:eastAsia="fr-FR"/>
              </w:rPr>
            </w:pPr>
          </w:p>
          <w:p w14:paraId="36E18505" w14:textId="77777777" w:rsidR="00583710" w:rsidRPr="00077ED1" w:rsidRDefault="00583710" w:rsidP="00E62EE3">
            <w:pPr>
              <w:suppressAutoHyphens w:val="0"/>
              <w:spacing w:after="0" w:line="240" w:lineRule="auto"/>
              <w:jc w:val="center"/>
              <w:rPr>
                <w:rFonts w:asciiTheme="majorHAnsi" w:eastAsiaTheme="minorEastAsia" w:hAnsiTheme="majorHAnsi" w:cs="Calibri"/>
                <w:lang w:eastAsia="fr-FR"/>
              </w:rPr>
            </w:pPr>
            <w:r>
              <w:rPr>
                <w:rFonts w:asciiTheme="majorHAnsi" w:eastAsiaTheme="minorEastAsia" w:hAnsiTheme="majorHAnsi" w:cs="Calibri"/>
                <w:lang w:eastAsia="fr-FR"/>
              </w:rPr>
              <w:t>2</w:t>
            </w:r>
            <w:r w:rsidRPr="00077ED1">
              <w:rPr>
                <w:rFonts w:asciiTheme="majorHAnsi" w:eastAsiaTheme="minorEastAsia" w:hAnsiTheme="majorHAnsi" w:cs="Calibri"/>
                <w:lang w:eastAsia="fr-FR"/>
              </w:rPr>
              <w:t xml:space="preserve"> </w:t>
            </w:r>
          </w:p>
          <w:p w14:paraId="04B8D2D5" w14:textId="77777777" w:rsidR="00583710" w:rsidRPr="00077ED1" w:rsidRDefault="00583710" w:rsidP="00E62EE3">
            <w:pPr>
              <w:suppressAutoHyphens w:val="0"/>
              <w:spacing w:after="0" w:line="240" w:lineRule="auto"/>
              <w:jc w:val="center"/>
              <w:rPr>
                <w:rFonts w:asciiTheme="majorHAnsi" w:eastAsiaTheme="minorEastAsia" w:hAnsiTheme="majorHAnsi" w:cs="Calibri"/>
                <w:lang w:eastAsia="fr-FR"/>
              </w:rPr>
            </w:pPr>
            <w:r w:rsidRPr="00077ED1">
              <w:rPr>
                <w:rFonts w:asciiTheme="majorHAnsi" w:eastAsiaTheme="minorEastAsia" w:hAnsiTheme="majorHAnsi" w:cs="Calibri"/>
                <w:lang w:eastAsia="fr-FR"/>
              </w:rPr>
              <w:t xml:space="preserve"> </w:t>
            </w:r>
          </w:p>
        </w:tc>
        <w:tc>
          <w:tcPr>
            <w:tcW w:w="787" w:type="pct"/>
            <w:vAlign w:val="center"/>
          </w:tcPr>
          <w:p w14:paraId="417CE9D4" w14:textId="77777777" w:rsidR="00583710" w:rsidRPr="00077ED1" w:rsidRDefault="00583710" w:rsidP="00E62EE3">
            <w:pPr>
              <w:suppressAutoHyphens w:val="0"/>
              <w:spacing w:after="0" w:line="240" w:lineRule="auto"/>
              <w:rPr>
                <w:rFonts w:asciiTheme="majorHAnsi" w:eastAsiaTheme="minorEastAsia" w:hAnsiTheme="majorHAnsi" w:cs="Calibri"/>
                <w:lang w:eastAsia="fr-FR"/>
              </w:rPr>
            </w:pPr>
            <w:r w:rsidRPr="00077ED1">
              <w:rPr>
                <w:rFonts w:asciiTheme="majorHAnsi" w:eastAsiaTheme="minorEastAsia" w:hAnsiTheme="majorHAnsi" w:cs="Calibri"/>
                <w:lang w:eastAsia="fr-FR"/>
              </w:rPr>
              <w:t>A distance</w:t>
            </w:r>
          </w:p>
        </w:tc>
      </w:tr>
      <w:tr w:rsidR="00583710" w:rsidRPr="00077ED1" w14:paraId="22989551" w14:textId="77777777" w:rsidTr="00E62EE3">
        <w:trPr>
          <w:trHeight w:val="331"/>
        </w:trPr>
        <w:tc>
          <w:tcPr>
            <w:tcW w:w="3651" w:type="pct"/>
            <w:tcMar>
              <w:top w:w="57" w:type="dxa"/>
              <w:left w:w="85" w:type="dxa"/>
              <w:bottom w:w="57" w:type="dxa"/>
              <w:right w:w="85" w:type="dxa"/>
            </w:tcMar>
            <w:vAlign w:val="center"/>
          </w:tcPr>
          <w:p w14:paraId="14C97068" w14:textId="77777777" w:rsidR="00583710" w:rsidRPr="00077ED1" w:rsidRDefault="00583710" w:rsidP="00E62EE3">
            <w:pPr>
              <w:suppressAutoHyphens w:val="0"/>
              <w:spacing w:after="0" w:line="240" w:lineRule="auto"/>
              <w:contextualSpacing/>
              <w:rPr>
                <w:rFonts w:asciiTheme="majorHAnsi" w:eastAsiaTheme="minorEastAsia" w:hAnsiTheme="majorHAnsi" w:cs="Calibri"/>
                <w:lang w:eastAsia="fr-FR"/>
              </w:rPr>
            </w:pPr>
            <w:proofErr w:type="spellStart"/>
            <w:r>
              <w:rPr>
                <w:rFonts w:asciiTheme="majorHAnsi" w:eastAsiaTheme="minorEastAsia" w:hAnsiTheme="majorHAnsi" w:cs="Calibri"/>
                <w:lang w:eastAsia="fr-FR"/>
              </w:rPr>
              <w:t>Pré-conception</w:t>
            </w:r>
            <w:proofErr w:type="spellEnd"/>
            <w:r>
              <w:rPr>
                <w:rFonts w:asciiTheme="majorHAnsi" w:eastAsiaTheme="minorEastAsia" w:hAnsiTheme="majorHAnsi" w:cs="Calibri"/>
                <w:lang w:eastAsia="fr-FR"/>
              </w:rPr>
              <w:t xml:space="preserve"> du module de formation</w:t>
            </w:r>
            <w:r w:rsidRPr="00077ED1">
              <w:rPr>
                <w:rFonts w:asciiTheme="majorHAnsi" w:eastAsiaTheme="minorEastAsia" w:hAnsiTheme="majorHAnsi" w:cs="Calibri"/>
                <w:lang w:eastAsia="fr-FR"/>
              </w:rPr>
              <w:t xml:space="preserve"> </w:t>
            </w:r>
          </w:p>
        </w:tc>
        <w:tc>
          <w:tcPr>
            <w:tcW w:w="562" w:type="pct"/>
            <w:vAlign w:val="center"/>
          </w:tcPr>
          <w:p w14:paraId="0EE9F2AB" w14:textId="77777777" w:rsidR="00583710" w:rsidRPr="00077ED1" w:rsidRDefault="00583710" w:rsidP="00E62EE3">
            <w:pPr>
              <w:suppressAutoHyphens w:val="0"/>
              <w:spacing w:after="0" w:line="240" w:lineRule="auto"/>
              <w:jc w:val="center"/>
              <w:rPr>
                <w:rFonts w:asciiTheme="majorHAnsi" w:eastAsiaTheme="minorEastAsia" w:hAnsiTheme="majorHAnsi" w:cs="Calibri"/>
                <w:lang w:eastAsia="fr-FR"/>
              </w:rPr>
            </w:pPr>
            <w:r w:rsidRPr="00077ED1">
              <w:rPr>
                <w:rFonts w:asciiTheme="majorHAnsi" w:eastAsiaTheme="minorEastAsia" w:hAnsiTheme="majorHAnsi" w:cs="Calibri"/>
                <w:lang w:eastAsia="fr-FR"/>
              </w:rPr>
              <w:t>5</w:t>
            </w:r>
          </w:p>
        </w:tc>
        <w:tc>
          <w:tcPr>
            <w:tcW w:w="787" w:type="pct"/>
            <w:vAlign w:val="center"/>
          </w:tcPr>
          <w:p w14:paraId="400F3608" w14:textId="77777777" w:rsidR="00583710" w:rsidRPr="00077ED1" w:rsidRDefault="00583710" w:rsidP="00E62EE3">
            <w:pPr>
              <w:suppressAutoHyphens w:val="0"/>
              <w:spacing w:after="0" w:line="240" w:lineRule="auto"/>
              <w:rPr>
                <w:rFonts w:asciiTheme="majorHAnsi" w:eastAsiaTheme="minorEastAsia" w:hAnsiTheme="majorHAnsi" w:cs="Calibri"/>
                <w:lang w:eastAsia="fr-FR"/>
              </w:rPr>
            </w:pPr>
            <w:r>
              <w:rPr>
                <w:rFonts w:asciiTheme="majorHAnsi" w:eastAsiaTheme="minorEastAsia" w:hAnsiTheme="majorHAnsi" w:cs="Calibri"/>
                <w:lang w:eastAsia="fr-FR"/>
              </w:rPr>
              <w:t>A distance</w:t>
            </w:r>
            <w:r w:rsidRPr="00077ED1">
              <w:rPr>
                <w:rFonts w:asciiTheme="majorHAnsi" w:eastAsiaTheme="minorEastAsia" w:hAnsiTheme="majorHAnsi" w:cs="Calibri"/>
                <w:lang w:eastAsia="fr-FR"/>
              </w:rPr>
              <w:t xml:space="preserve"> </w:t>
            </w:r>
          </w:p>
        </w:tc>
      </w:tr>
      <w:tr w:rsidR="00583710" w:rsidRPr="00077ED1" w14:paraId="0359F21A" w14:textId="77777777" w:rsidTr="00E62EE3">
        <w:trPr>
          <w:trHeight w:val="354"/>
        </w:trPr>
        <w:tc>
          <w:tcPr>
            <w:tcW w:w="3651" w:type="pct"/>
            <w:tcMar>
              <w:top w:w="57" w:type="dxa"/>
              <w:left w:w="85" w:type="dxa"/>
              <w:bottom w:w="57" w:type="dxa"/>
              <w:right w:w="85" w:type="dxa"/>
            </w:tcMar>
            <w:vAlign w:val="center"/>
          </w:tcPr>
          <w:p w14:paraId="52A5180C" w14:textId="77777777" w:rsidR="00583710" w:rsidRPr="00077ED1" w:rsidRDefault="00583710" w:rsidP="00E62EE3">
            <w:pPr>
              <w:suppressAutoHyphens w:val="0"/>
              <w:spacing w:after="0" w:line="240" w:lineRule="auto"/>
              <w:contextualSpacing/>
              <w:rPr>
                <w:rFonts w:asciiTheme="majorHAnsi" w:eastAsiaTheme="minorEastAsia" w:hAnsiTheme="majorHAnsi" w:cs="Calibri"/>
                <w:lang w:eastAsia="fr-FR"/>
              </w:rPr>
            </w:pPr>
            <w:r>
              <w:rPr>
                <w:rFonts w:asciiTheme="majorHAnsi" w:eastAsiaTheme="minorEastAsia" w:hAnsiTheme="majorHAnsi" w:cs="Calibri"/>
                <w:lang w:eastAsia="fr-FR"/>
              </w:rPr>
              <w:t>Séance de co-construction et finalisation du module</w:t>
            </w:r>
            <w:r w:rsidRPr="00077ED1">
              <w:rPr>
                <w:rFonts w:asciiTheme="majorHAnsi" w:eastAsiaTheme="minorEastAsia" w:hAnsiTheme="majorHAnsi" w:cs="Calibri"/>
                <w:lang w:eastAsia="fr-FR"/>
              </w:rPr>
              <w:t xml:space="preserve"> </w:t>
            </w:r>
          </w:p>
        </w:tc>
        <w:tc>
          <w:tcPr>
            <w:tcW w:w="562" w:type="pct"/>
            <w:vAlign w:val="center"/>
          </w:tcPr>
          <w:p w14:paraId="2298531C" w14:textId="77777777" w:rsidR="00583710" w:rsidRPr="00077ED1" w:rsidRDefault="00583710" w:rsidP="00E62EE3">
            <w:pPr>
              <w:suppressAutoHyphens w:val="0"/>
              <w:spacing w:after="0" w:line="240" w:lineRule="auto"/>
              <w:jc w:val="center"/>
              <w:rPr>
                <w:rFonts w:asciiTheme="majorHAnsi" w:eastAsiaTheme="minorEastAsia" w:hAnsiTheme="majorHAnsi" w:cs="Calibri"/>
                <w:lang w:eastAsia="fr-FR"/>
              </w:rPr>
            </w:pPr>
            <w:r>
              <w:rPr>
                <w:rFonts w:asciiTheme="majorHAnsi" w:eastAsiaTheme="minorEastAsia" w:hAnsiTheme="majorHAnsi" w:cs="Calibri"/>
                <w:lang w:eastAsia="fr-FR"/>
              </w:rPr>
              <w:t>2</w:t>
            </w:r>
          </w:p>
        </w:tc>
        <w:tc>
          <w:tcPr>
            <w:tcW w:w="787" w:type="pct"/>
            <w:vAlign w:val="center"/>
          </w:tcPr>
          <w:p w14:paraId="48B92F57" w14:textId="77777777" w:rsidR="00583710" w:rsidRPr="00077ED1" w:rsidRDefault="00583710" w:rsidP="00E62EE3">
            <w:pPr>
              <w:suppressAutoHyphens w:val="0"/>
              <w:spacing w:after="0" w:line="240" w:lineRule="auto"/>
              <w:rPr>
                <w:rFonts w:asciiTheme="majorHAnsi" w:eastAsiaTheme="minorEastAsia" w:hAnsiTheme="majorHAnsi" w:cs="Calibri"/>
                <w:lang w:eastAsia="fr-FR"/>
              </w:rPr>
            </w:pPr>
            <w:r>
              <w:rPr>
                <w:rFonts w:asciiTheme="majorHAnsi" w:eastAsiaTheme="minorEastAsia" w:hAnsiTheme="majorHAnsi" w:cs="Calibri"/>
                <w:lang w:eastAsia="fr-FR"/>
              </w:rPr>
              <w:t>Bujumbura</w:t>
            </w:r>
          </w:p>
        </w:tc>
      </w:tr>
      <w:tr w:rsidR="00583710" w:rsidRPr="00077ED1" w14:paraId="45BD9484" w14:textId="77777777" w:rsidTr="00E62EE3">
        <w:trPr>
          <w:trHeight w:val="354"/>
        </w:trPr>
        <w:tc>
          <w:tcPr>
            <w:tcW w:w="3651" w:type="pct"/>
            <w:tcMar>
              <w:top w:w="57" w:type="dxa"/>
              <w:left w:w="85" w:type="dxa"/>
              <w:bottom w:w="57" w:type="dxa"/>
              <w:right w:w="85" w:type="dxa"/>
            </w:tcMar>
            <w:vAlign w:val="center"/>
          </w:tcPr>
          <w:p w14:paraId="2CA98C97" w14:textId="77777777" w:rsidR="00583710" w:rsidRPr="00077ED1" w:rsidRDefault="00583710" w:rsidP="00E62EE3">
            <w:pPr>
              <w:suppressAutoHyphens w:val="0"/>
              <w:spacing w:after="0" w:line="240" w:lineRule="auto"/>
              <w:contextualSpacing/>
              <w:rPr>
                <w:rFonts w:asciiTheme="majorHAnsi" w:eastAsiaTheme="minorEastAsia" w:hAnsiTheme="majorHAnsi" w:cs="Calibri"/>
                <w:lang w:eastAsia="fr-FR"/>
              </w:rPr>
            </w:pPr>
            <w:r>
              <w:rPr>
                <w:rFonts w:asciiTheme="majorHAnsi" w:eastAsiaTheme="minorEastAsia" w:hAnsiTheme="majorHAnsi" w:cs="Calibri"/>
                <w:lang w:eastAsia="fr-FR"/>
              </w:rPr>
              <w:t>Formation des formateurs sur le module</w:t>
            </w:r>
          </w:p>
        </w:tc>
        <w:tc>
          <w:tcPr>
            <w:tcW w:w="562" w:type="pct"/>
            <w:vAlign w:val="center"/>
          </w:tcPr>
          <w:p w14:paraId="7F8338B8" w14:textId="77777777" w:rsidR="00583710" w:rsidRPr="00077ED1" w:rsidRDefault="00583710" w:rsidP="00E62EE3">
            <w:pPr>
              <w:suppressAutoHyphens w:val="0"/>
              <w:spacing w:after="0" w:line="240" w:lineRule="auto"/>
              <w:jc w:val="center"/>
              <w:rPr>
                <w:rFonts w:asciiTheme="majorHAnsi" w:eastAsiaTheme="minorEastAsia" w:hAnsiTheme="majorHAnsi" w:cs="Calibri"/>
                <w:lang w:eastAsia="fr-FR"/>
              </w:rPr>
            </w:pPr>
            <w:r>
              <w:rPr>
                <w:rFonts w:asciiTheme="majorHAnsi" w:eastAsiaTheme="minorEastAsia" w:hAnsiTheme="majorHAnsi" w:cs="Calibri"/>
                <w:lang w:eastAsia="fr-FR"/>
              </w:rPr>
              <w:t>2</w:t>
            </w:r>
          </w:p>
        </w:tc>
        <w:tc>
          <w:tcPr>
            <w:tcW w:w="787" w:type="pct"/>
            <w:vAlign w:val="center"/>
          </w:tcPr>
          <w:p w14:paraId="6823F010" w14:textId="77777777" w:rsidR="00583710" w:rsidRPr="00077ED1" w:rsidRDefault="00583710" w:rsidP="00E62EE3">
            <w:pPr>
              <w:suppressAutoHyphens w:val="0"/>
              <w:spacing w:after="0" w:line="240" w:lineRule="auto"/>
              <w:rPr>
                <w:rFonts w:asciiTheme="majorHAnsi" w:eastAsiaTheme="minorEastAsia" w:hAnsiTheme="majorHAnsi" w:cs="Calibri"/>
                <w:lang w:eastAsia="fr-FR"/>
              </w:rPr>
            </w:pPr>
            <w:r>
              <w:rPr>
                <w:rFonts w:asciiTheme="majorHAnsi" w:eastAsiaTheme="minorEastAsia" w:hAnsiTheme="majorHAnsi" w:cs="Calibri"/>
                <w:lang w:eastAsia="fr-FR"/>
              </w:rPr>
              <w:t>Bujumbura</w:t>
            </w:r>
          </w:p>
        </w:tc>
      </w:tr>
      <w:tr w:rsidR="00583710" w:rsidRPr="00077ED1" w14:paraId="75669095" w14:textId="77777777" w:rsidTr="00E62EE3">
        <w:trPr>
          <w:trHeight w:val="354"/>
        </w:trPr>
        <w:tc>
          <w:tcPr>
            <w:tcW w:w="3651" w:type="pct"/>
            <w:tcMar>
              <w:top w:w="57" w:type="dxa"/>
              <w:left w:w="85" w:type="dxa"/>
              <w:bottom w:w="57" w:type="dxa"/>
              <w:right w:w="85" w:type="dxa"/>
            </w:tcMar>
            <w:vAlign w:val="center"/>
          </w:tcPr>
          <w:p w14:paraId="14F76BB7" w14:textId="77777777" w:rsidR="00583710" w:rsidRPr="00077ED1" w:rsidRDefault="00583710" w:rsidP="00E62EE3">
            <w:pPr>
              <w:suppressAutoHyphens w:val="0"/>
              <w:spacing w:after="0" w:line="240" w:lineRule="auto"/>
              <w:contextualSpacing/>
              <w:rPr>
                <w:rFonts w:asciiTheme="majorHAnsi" w:eastAsiaTheme="minorEastAsia" w:hAnsiTheme="majorHAnsi" w:cs="Calibri"/>
                <w:lang w:eastAsia="fr-FR"/>
              </w:rPr>
            </w:pPr>
            <w:r>
              <w:rPr>
                <w:rFonts w:asciiTheme="majorHAnsi" w:eastAsiaTheme="minorEastAsia" w:hAnsiTheme="majorHAnsi" w:cs="Calibri"/>
                <w:lang w:eastAsia="fr-FR"/>
              </w:rPr>
              <w:t>Finalisation du module et rédaction du rapport de mission intermédiaire</w:t>
            </w:r>
          </w:p>
        </w:tc>
        <w:tc>
          <w:tcPr>
            <w:tcW w:w="562" w:type="pct"/>
            <w:vAlign w:val="center"/>
          </w:tcPr>
          <w:p w14:paraId="72EC0433" w14:textId="77777777" w:rsidR="00583710" w:rsidRDefault="00583710" w:rsidP="00E62EE3">
            <w:pPr>
              <w:suppressAutoHyphens w:val="0"/>
              <w:spacing w:after="0" w:line="240" w:lineRule="auto"/>
              <w:jc w:val="center"/>
              <w:rPr>
                <w:rFonts w:asciiTheme="majorHAnsi" w:eastAsiaTheme="minorEastAsia" w:hAnsiTheme="majorHAnsi" w:cs="Calibri"/>
                <w:lang w:eastAsia="fr-FR"/>
              </w:rPr>
            </w:pPr>
            <w:r>
              <w:rPr>
                <w:rFonts w:asciiTheme="majorHAnsi" w:eastAsiaTheme="minorEastAsia" w:hAnsiTheme="majorHAnsi" w:cs="Calibri"/>
                <w:lang w:eastAsia="fr-FR"/>
              </w:rPr>
              <w:t xml:space="preserve">2 </w:t>
            </w:r>
          </w:p>
        </w:tc>
        <w:tc>
          <w:tcPr>
            <w:tcW w:w="787" w:type="pct"/>
            <w:vAlign w:val="center"/>
          </w:tcPr>
          <w:p w14:paraId="636A059F" w14:textId="77777777" w:rsidR="00583710" w:rsidRDefault="00583710" w:rsidP="00E62EE3">
            <w:pPr>
              <w:suppressAutoHyphens w:val="0"/>
              <w:spacing w:after="0" w:line="240" w:lineRule="auto"/>
              <w:rPr>
                <w:rFonts w:asciiTheme="majorHAnsi" w:eastAsiaTheme="minorEastAsia" w:hAnsiTheme="majorHAnsi" w:cs="Calibri"/>
                <w:lang w:eastAsia="fr-FR"/>
              </w:rPr>
            </w:pPr>
            <w:r>
              <w:rPr>
                <w:rFonts w:asciiTheme="majorHAnsi" w:eastAsiaTheme="minorEastAsia" w:hAnsiTheme="majorHAnsi" w:cs="Calibri"/>
                <w:lang w:eastAsia="fr-FR"/>
              </w:rPr>
              <w:t>A distance</w:t>
            </w:r>
          </w:p>
        </w:tc>
      </w:tr>
    </w:tbl>
    <w:p w14:paraId="562486A3" w14:textId="77777777" w:rsidR="00583710" w:rsidRDefault="00583710" w:rsidP="00077ED1">
      <w:pPr>
        <w:suppressAutoHyphens w:val="0"/>
        <w:spacing w:after="0" w:line="240" w:lineRule="auto"/>
        <w:rPr>
          <w:rFonts w:asciiTheme="majorHAnsi" w:eastAsiaTheme="minorEastAsia" w:hAnsiTheme="majorHAnsi" w:cs="Calibri"/>
          <w:bCs/>
          <w:lang w:eastAsia="fr-FR"/>
        </w:rPr>
      </w:pPr>
    </w:p>
    <w:p w14:paraId="07AEEBB3" w14:textId="77777777" w:rsidR="00583710" w:rsidRDefault="00583710" w:rsidP="00077ED1">
      <w:pPr>
        <w:suppressAutoHyphens w:val="0"/>
        <w:spacing w:after="0" w:line="240" w:lineRule="auto"/>
        <w:rPr>
          <w:rFonts w:asciiTheme="majorHAnsi" w:eastAsiaTheme="minorEastAsia" w:hAnsiTheme="majorHAnsi" w:cs="Calibri"/>
          <w:bCs/>
          <w:lang w:eastAsia="fr-FR"/>
        </w:rPr>
      </w:pPr>
    </w:p>
    <w:p w14:paraId="598B3CA2" w14:textId="77777777" w:rsidR="00583710" w:rsidRDefault="00583710" w:rsidP="00077ED1">
      <w:pPr>
        <w:suppressAutoHyphens w:val="0"/>
        <w:spacing w:after="0" w:line="240" w:lineRule="auto"/>
        <w:rPr>
          <w:rFonts w:asciiTheme="majorHAnsi" w:eastAsiaTheme="minorEastAsia" w:hAnsiTheme="majorHAnsi" w:cs="Calibri"/>
          <w:bCs/>
          <w:lang w:eastAsia="fr-FR"/>
        </w:rPr>
      </w:pPr>
    </w:p>
    <w:p w14:paraId="5BB6A94B" w14:textId="77777777" w:rsidR="00583710" w:rsidRDefault="00583710" w:rsidP="00077ED1">
      <w:pPr>
        <w:suppressAutoHyphens w:val="0"/>
        <w:spacing w:after="0" w:line="240" w:lineRule="auto"/>
        <w:rPr>
          <w:rFonts w:asciiTheme="majorHAnsi" w:eastAsiaTheme="minorEastAsia" w:hAnsiTheme="majorHAnsi" w:cs="Calibri"/>
          <w:bCs/>
          <w:lang w:eastAsia="fr-FR"/>
        </w:rPr>
      </w:pPr>
    </w:p>
    <w:p w14:paraId="7D8385F7" w14:textId="77777777" w:rsidR="00583710" w:rsidRDefault="00583710" w:rsidP="00077ED1">
      <w:pPr>
        <w:suppressAutoHyphens w:val="0"/>
        <w:spacing w:after="0" w:line="240" w:lineRule="auto"/>
        <w:rPr>
          <w:rFonts w:asciiTheme="majorHAnsi" w:eastAsiaTheme="minorEastAsia" w:hAnsiTheme="majorHAnsi" w:cs="Calibri"/>
          <w:bCs/>
          <w:lang w:eastAsia="fr-FR"/>
        </w:rPr>
      </w:pPr>
    </w:p>
    <w:p w14:paraId="4B365011" w14:textId="77777777" w:rsidR="00583710" w:rsidRDefault="00583710" w:rsidP="00077ED1">
      <w:pPr>
        <w:suppressAutoHyphens w:val="0"/>
        <w:spacing w:after="0" w:line="240" w:lineRule="auto"/>
        <w:rPr>
          <w:rFonts w:asciiTheme="majorHAnsi" w:eastAsiaTheme="minorEastAsia" w:hAnsiTheme="majorHAnsi" w:cs="Calibri"/>
          <w:bCs/>
          <w:lang w:eastAsia="fr-FR"/>
        </w:rPr>
      </w:pPr>
    </w:p>
    <w:p w14:paraId="123E8971" w14:textId="77777777" w:rsidR="00583710" w:rsidRDefault="00583710" w:rsidP="00077ED1">
      <w:pPr>
        <w:suppressAutoHyphens w:val="0"/>
        <w:spacing w:after="0" w:line="240" w:lineRule="auto"/>
        <w:rPr>
          <w:rFonts w:asciiTheme="majorHAnsi" w:eastAsiaTheme="minorEastAsia" w:hAnsiTheme="majorHAnsi" w:cs="Calibri"/>
          <w:bCs/>
          <w:lang w:eastAsia="fr-FR"/>
        </w:rPr>
      </w:pPr>
    </w:p>
    <w:p w14:paraId="140C4B3B" w14:textId="77777777" w:rsidR="00583710" w:rsidRDefault="00583710" w:rsidP="00077ED1">
      <w:pPr>
        <w:suppressAutoHyphens w:val="0"/>
        <w:spacing w:after="0" w:line="240" w:lineRule="auto"/>
        <w:rPr>
          <w:rFonts w:asciiTheme="majorHAnsi" w:eastAsiaTheme="minorEastAsia" w:hAnsiTheme="majorHAnsi" w:cs="Calibri"/>
          <w:bCs/>
          <w:lang w:eastAsia="fr-FR"/>
        </w:rPr>
      </w:pPr>
    </w:p>
    <w:p w14:paraId="6AB87EFC" w14:textId="77777777" w:rsidR="00583710" w:rsidRDefault="00583710" w:rsidP="00077ED1">
      <w:pPr>
        <w:suppressAutoHyphens w:val="0"/>
        <w:spacing w:after="0" w:line="240" w:lineRule="auto"/>
        <w:rPr>
          <w:rFonts w:asciiTheme="majorHAnsi" w:eastAsiaTheme="minorEastAsia" w:hAnsiTheme="majorHAnsi" w:cs="Calibri"/>
          <w:bCs/>
          <w:lang w:eastAsia="fr-FR"/>
        </w:rPr>
      </w:pPr>
    </w:p>
    <w:p w14:paraId="07BDD8CE" w14:textId="77777777" w:rsidR="00583710" w:rsidRDefault="00583710" w:rsidP="00077ED1">
      <w:pPr>
        <w:suppressAutoHyphens w:val="0"/>
        <w:spacing w:after="0" w:line="240" w:lineRule="auto"/>
        <w:rPr>
          <w:rFonts w:asciiTheme="majorHAnsi" w:eastAsiaTheme="minorEastAsia" w:hAnsiTheme="majorHAnsi" w:cs="Calibri"/>
          <w:bCs/>
          <w:lang w:eastAsia="fr-FR"/>
        </w:rPr>
      </w:pPr>
    </w:p>
    <w:p w14:paraId="5602B207" w14:textId="77777777" w:rsidR="00583710" w:rsidRDefault="00583710" w:rsidP="00077ED1">
      <w:pPr>
        <w:suppressAutoHyphens w:val="0"/>
        <w:spacing w:after="0" w:line="240" w:lineRule="auto"/>
        <w:rPr>
          <w:rFonts w:asciiTheme="majorHAnsi" w:eastAsiaTheme="minorEastAsia" w:hAnsiTheme="majorHAnsi" w:cs="Calibri"/>
          <w:bCs/>
          <w:lang w:eastAsia="fr-FR"/>
        </w:rPr>
      </w:pPr>
    </w:p>
    <w:p w14:paraId="532FCD22" w14:textId="77777777" w:rsidR="00583710" w:rsidRDefault="00583710" w:rsidP="00077ED1">
      <w:pPr>
        <w:suppressAutoHyphens w:val="0"/>
        <w:spacing w:after="0" w:line="240" w:lineRule="auto"/>
        <w:rPr>
          <w:rFonts w:asciiTheme="majorHAnsi" w:eastAsiaTheme="minorEastAsia" w:hAnsiTheme="majorHAnsi" w:cs="Calibri"/>
          <w:bCs/>
          <w:lang w:eastAsia="fr-FR"/>
        </w:rPr>
      </w:pPr>
    </w:p>
    <w:p w14:paraId="2B90A401" w14:textId="77777777" w:rsidR="00583710" w:rsidRDefault="00583710" w:rsidP="00077ED1">
      <w:pPr>
        <w:suppressAutoHyphens w:val="0"/>
        <w:spacing w:after="0" w:line="240" w:lineRule="auto"/>
        <w:rPr>
          <w:rFonts w:asciiTheme="majorHAnsi" w:eastAsiaTheme="minorEastAsia" w:hAnsiTheme="majorHAnsi" w:cs="Calibri"/>
          <w:bCs/>
          <w:lang w:eastAsia="fr-FR"/>
        </w:rPr>
      </w:pPr>
    </w:p>
    <w:p w14:paraId="34B1F4BD" w14:textId="77777777" w:rsidR="00583710" w:rsidRDefault="00583710" w:rsidP="00077ED1">
      <w:pPr>
        <w:suppressAutoHyphens w:val="0"/>
        <w:spacing w:after="0" w:line="240" w:lineRule="auto"/>
        <w:rPr>
          <w:rFonts w:asciiTheme="majorHAnsi" w:eastAsiaTheme="minorEastAsia" w:hAnsiTheme="majorHAnsi" w:cs="Calibri"/>
          <w:bCs/>
          <w:lang w:eastAsia="fr-FR"/>
        </w:rPr>
      </w:pPr>
    </w:p>
    <w:p w14:paraId="6103E0FC" w14:textId="77777777" w:rsidR="00583710" w:rsidRDefault="00583710" w:rsidP="00077ED1">
      <w:pPr>
        <w:suppressAutoHyphens w:val="0"/>
        <w:spacing w:after="0" w:line="240" w:lineRule="auto"/>
        <w:rPr>
          <w:rFonts w:asciiTheme="majorHAnsi" w:eastAsiaTheme="minorEastAsia" w:hAnsiTheme="majorHAnsi" w:cs="Calibri"/>
          <w:bCs/>
          <w:lang w:eastAsia="fr-FR"/>
        </w:rPr>
      </w:pPr>
    </w:p>
    <w:p w14:paraId="27F293BE" w14:textId="77777777" w:rsidR="00583710" w:rsidRDefault="00583710" w:rsidP="00077ED1">
      <w:pPr>
        <w:suppressAutoHyphens w:val="0"/>
        <w:spacing w:after="0" w:line="240" w:lineRule="auto"/>
        <w:rPr>
          <w:rFonts w:asciiTheme="majorHAnsi" w:eastAsiaTheme="minorEastAsia" w:hAnsiTheme="majorHAnsi" w:cs="Calibri"/>
          <w:bCs/>
          <w:lang w:eastAsia="fr-FR"/>
        </w:rPr>
      </w:pPr>
    </w:p>
    <w:p w14:paraId="13C1CBA2" w14:textId="77777777" w:rsidR="00583710" w:rsidRDefault="00583710" w:rsidP="00077ED1">
      <w:pPr>
        <w:suppressAutoHyphens w:val="0"/>
        <w:spacing w:after="0" w:line="240" w:lineRule="auto"/>
        <w:rPr>
          <w:rFonts w:asciiTheme="majorHAnsi" w:eastAsiaTheme="minorEastAsia" w:hAnsiTheme="majorHAnsi" w:cs="Calibri"/>
          <w:bCs/>
          <w:lang w:eastAsia="fr-FR"/>
        </w:rPr>
      </w:pPr>
    </w:p>
    <w:p w14:paraId="12BB63FB" w14:textId="384F4934" w:rsidR="00DF4AD9" w:rsidRPr="003447DF" w:rsidRDefault="003447DF" w:rsidP="003447DF">
      <w:pPr>
        <w:pStyle w:val="Paragraphedeliste"/>
        <w:numPr>
          <w:ilvl w:val="0"/>
          <w:numId w:val="42"/>
        </w:numPr>
        <w:pBdr>
          <w:left w:val="single" w:sz="24" w:space="15" w:color="1981CF"/>
        </w:pBdr>
        <w:shd w:val="clear" w:color="auto" w:fill="FFFFFF"/>
        <w:spacing w:before="240" w:after="240" w:line="360" w:lineRule="auto"/>
        <w:outlineLvl w:val="1"/>
        <w:rPr>
          <w:rFonts w:asciiTheme="majorHAnsi" w:eastAsia="Times New Roman" w:hAnsiTheme="majorHAnsi" w:cstheme="majorHAnsi"/>
          <w:b/>
          <w:color w:val="004E9A"/>
          <w:sz w:val="24"/>
          <w:szCs w:val="24"/>
          <w:lang w:eastAsia="fr-FR"/>
        </w:rPr>
      </w:pPr>
      <w:r w:rsidRPr="003447DF">
        <w:rPr>
          <w:rFonts w:asciiTheme="majorHAnsi" w:eastAsia="Times New Roman" w:hAnsiTheme="majorHAnsi" w:cstheme="majorHAnsi"/>
          <w:b/>
          <w:color w:val="004E9A"/>
          <w:sz w:val="24"/>
          <w:szCs w:val="24"/>
          <w:lang w:eastAsia="fr-FR"/>
        </w:rPr>
        <w:t>Profil recherché</w:t>
      </w:r>
    </w:p>
    <w:sectPr w:rsidR="00DF4AD9" w:rsidRPr="003447DF">
      <w:headerReference w:type="default" r:id="rId8"/>
      <w:footerReference w:type="default" r:id="rId9"/>
      <w:headerReference w:type="first" r:id="rId10"/>
      <w:footerReference w:type="first" r:id="rId11"/>
      <w:pgSz w:w="11906" w:h="16838"/>
      <w:pgMar w:top="1135" w:right="1080" w:bottom="1440" w:left="1080" w:header="0" w:footer="0"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B8FFE" w14:textId="77777777" w:rsidR="00C90077" w:rsidRDefault="00C90077" w:rsidP="00E97725">
      <w:pPr>
        <w:spacing w:after="0" w:line="240" w:lineRule="auto"/>
      </w:pPr>
      <w:r>
        <w:separator/>
      </w:r>
    </w:p>
  </w:endnote>
  <w:endnote w:type="continuationSeparator" w:id="0">
    <w:p w14:paraId="467CAD50" w14:textId="77777777" w:rsidR="00C90077" w:rsidRDefault="00C90077" w:rsidP="00E97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2979448"/>
      <w:docPartObj>
        <w:docPartGallery w:val="Page Numbers (Bottom of Page)"/>
        <w:docPartUnique/>
      </w:docPartObj>
    </w:sdtPr>
    <w:sdtContent>
      <w:p w14:paraId="118B3771" w14:textId="72F93566" w:rsidR="00B70A69" w:rsidRDefault="00B70A69">
        <w:pPr>
          <w:pStyle w:val="Pieddepage"/>
          <w:jc w:val="right"/>
        </w:pPr>
        <w:r>
          <w:fldChar w:fldCharType="begin"/>
        </w:r>
        <w:r>
          <w:instrText>PAGE   \* MERGEFORMAT</w:instrText>
        </w:r>
        <w:r>
          <w:fldChar w:fldCharType="separate"/>
        </w:r>
        <w:r>
          <w:t>2</w:t>
        </w:r>
        <w:r>
          <w:fldChar w:fldCharType="end"/>
        </w:r>
      </w:p>
    </w:sdtContent>
  </w:sdt>
  <w:p w14:paraId="3773DC61" w14:textId="58E4A6F6" w:rsidR="0043592F" w:rsidRDefault="00B70A69">
    <w:pPr>
      <w:tabs>
        <w:tab w:val="left" w:pos="3840"/>
        <w:tab w:val="center" w:pos="4550"/>
        <w:tab w:val="left" w:pos="5818"/>
        <w:tab w:val="right" w:pos="9663"/>
      </w:tabs>
      <w:ind w:right="260"/>
      <w:rPr>
        <w:sz w:val="14"/>
      </w:rPr>
    </w:pPr>
    <w:r>
      <w:rPr>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74C08" w14:textId="77777777" w:rsidR="0043592F" w:rsidRDefault="0043592F">
    <w:pPr>
      <w:pBdr>
        <w:top w:val="single" w:sz="4" w:space="1" w:color="000000"/>
      </w:pBdr>
      <w:tabs>
        <w:tab w:val="center" w:pos="4550"/>
        <w:tab w:val="left" w:pos="8505"/>
      </w:tabs>
      <w:ind w:right="-2"/>
      <w:jc w:val="center"/>
      <w:rPr>
        <w:rFonts w:cs="Times New Roman"/>
        <w:color w:val="323E4F" w:themeColor="text2" w:themeShade="BF"/>
        <w:sz w:val="16"/>
        <w:szCs w:val="20"/>
      </w:rPr>
    </w:pPr>
  </w:p>
  <w:p w14:paraId="35DC8CDF" w14:textId="77777777" w:rsidR="0043592F" w:rsidRDefault="0043592F">
    <w:pPr>
      <w:pBdr>
        <w:top w:val="single" w:sz="4" w:space="1" w:color="000000"/>
      </w:pBdr>
      <w:tabs>
        <w:tab w:val="center" w:pos="4550"/>
        <w:tab w:val="left" w:pos="8505"/>
      </w:tabs>
      <w:ind w:right="-2"/>
      <w:jc w:val="center"/>
      <w:rPr>
        <w:rFonts w:cs="Times New Roman"/>
        <w:color w:val="323E4F" w:themeColor="text2" w:themeShade="BF"/>
        <w:sz w:val="16"/>
        <w:szCs w:val="20"/>
      </w:rPr>
    </w:pPr>
    <w:r>
      <w:rPr>
        <w:rFonts w:cs="Times New Roman"/>
        <w:color w:val="323E4F" w:themeColor="text2" w:themeShade="BF"/>
        <w:sz w:val="16"/>
        <w:szCs w:val="20"/>
      </w:rPr>
      <w:t>Mis en œuvre par :</w:t>
    </w:r>
  </w:p>
  <w:p w14:paraId="6915292A" w14:textId="77777777" w:rsidR="0043592F" w:rsidRDefault="0043592F">
    <w:pPr>
      <w:pBdr>
        <w:top w:val="single" w:sz="4" w:space="1" w:color="000000"/>
      </w:pBdr>
      <w:tabs>
        <w:tab w:val="center" w:pos="4550"/>
        <w:tab w:val="left" w:pos="8505"/>
      </w:tabs>
      <w:ind w:right="-2"/>
      <w:jc w:val="center"/>
      <w:rPr>
        <w:rFonts w:cs="Times New Roman"/>
        <w:sz w:val="16"/>
        <w:szCs w:val="20"/>
      </w:rPr>
    </w:pPr>
    <w:r>
      <w:rPr>
        <w:noProof/>
        <w:lang w:val="en-US"/>
      </w:rPr>
      <w:drawing>
        <wp:inline distT="0" distB="0" distL="0" distR="0" wp14:anchorId="609B1FC0" wp14:editId="3A1E0116">
          <wp:extent cx="1162050" cy="632460"/>
          <wp:effectExtent l="0" t="0" r="0" b="0"/>
          <wp:docPr id="4" name="Image 25" descr="D:\logos 2022\Logo Expertise France - Fond blan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25" descr="D:\logos 2022\Logo Expertise France - Fond blanc.jpg"/>
                  <pic:cNvPicPr>
                    <a:picLocks noChangeAspect="1" noChangeArrowheads="1"/>
                  </pic:cNvPicPr>
                </pic:nvPicPr>
                <pic:blipFill>
                  <a:blip r:embed="rId1"/>
                  <a:stretch>
                    <a:fillRect/>
                  </a:stretch>
                </pic:blipFill>
                <pic:spPr bwMode="auto">
                  <a:xfrm>
                    <a:off x="0" y="0"/>
                    <a:ext cx="1162050" cy="63246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A7275" w14:textId="77777777" w:rsidR="00C90077" w:rsidRDefault="00C90077" w:rsidP="00E97725">
      <w:pPr>
        <w:spacing w:after="0" w:line="240" w:lineRule="auto"/>
      </w:pPr>
      <w:r>
        <w:separator/>
      </w:r>
    </w:p>
  </w:footnote>
  <w:footnote w:type="continuationSeparator" w:id="0">
    <w:p w14:paraId="2D63B018" w14:textId="77777777" w:rsidR="00C90077" w:rsidRDefault="00C90077" w:rsidP="00E97725">
      <w:pPr>
        <w:spacing w:after="0" w:line="240" w:lineRule="auto"/>
      </w:pPr>
      <w:r>
        <w:continuationSeparator/>
      </w:r>
    </w:p>
  </w:footnote>
  <w:footnote w:id="1">
    <w:p w14:paraId="2C1C77E5" w14:textId="77777777" w:rsidR="0043592F" w:rsidRDefault="0043592F" w:rsidP="00E97725">
      <w:pPr>
        <w:pStyle w:val="Notedebasdepage"/>
      </w:pPr>
      <w:r>
        <w:rPr>
          <w:rStyle w:val="Caractresdenotedebasdepage"/>
        </w:rPr>
        <w:footnoteRef/>
      </w:r>
      <w:r>
        <w:t xml:space="preserve"> Traduction en kirundi de « recevabilité ». La traduction littérale est « </w:t>
      </w:r>
      <w:proofErr w:type="gramStart"/>
      <w:r>
        <w:t>répondre</w:t>
      </w:r>
      <w:proofErr w:type="gramEnd"/>
      <w:r>
        <w:t xml:space="preserve"> de ce qu’on a réalisé ».</w:t>
      </w:r>
    </w:p>
  </w:footnote>
  <w:footnote w:id="2">
    <w:p w14:paraId="77F0D40A" w14:textId="0ABBF310" w:rsidR="00583710" w:rsidRDefault="00583710">
      <w:pPr>
        <w:pStyle w:val="Notedebasdepage"/>
      </w:pPr>
      <w:r>
        <w:rPr>
          <w:rStyle w:val="Appelnotedebasdep"/>
        </w:rPr>
        <w:footnoteRef/>
      </w:r>
      <w:r>
        <w:t xml:space="preserve"> A titre indicatif. Le nombre de jours varie selon l’ampleur du sujet à traiter et par conséquence de la durée de formation requis pour un module.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97EB3" w14:textId="77777777" w:rsidR="0043592F" w:rsidRDefault="0043592F">
    <w:pPr>
      <w:pStyle w:val="Paragraphedeliste"/>
      <w:ind w:left="0"/>
      <w:rPr>
        <w:b/>
      </w:rPr>
    </w:pPr>
    <w:r>
      <w:rPr>
        <w:b/>
      </w:rPr>
      <w:t xml:space="preserve"> </w:t>
    </w:r>
  </w:p>
  <w:p w14:paraId="0BEE4D55" w14:textId="77777777" w:rsidR="0043592F" w:rsidRDefault="0043592F">
    <w:pPr>
      <w:pStyle w:val="Paragraphedeliste"/>
      <w:spacing w:before="360"/>
      <w:ind w:left="0"/>
      <w:rPr>
        <w:rFonts w:ascii="Arial" w:hAnsi="Arial" w:cs="Arial"/>
        <w:b/>
        <w:color w:val="002060"/>
        <w:sz w:val="20"/>
        <w:szCs w:val="20"/>
      </w:rPr>
    </w:pPr>
  </w:p>
  <w:p w14:paraId="5019611D" w14:textId="10A72D2C" w:rsidR="0043592F" w:rsidRDefault="0043592F">
    <w:pPr>
      <w:pStyle w:val="Paragraphedeliste"/>
      <w:spacing w:before="360"/>
      <w:ind w:left="0"/>
      <w:rPr>
        <w:rFonts w:ascii="Arial" w:hAnsi="Arial" w:cs="Arial"/>
        <w:b/>
        <w:color w:val="002060"/>
        <w:sz w:val="20"/>
        <w:szCs w:val="20"/>
      </w:rPr>
    </w:pPr>
    <w:r>
      <w:rPr>
        <w:rFonts w:ascii="Arial" w:hAnsi="Arial" w:cs="Arial"/>
        <w:b/>
        <w:color w:val="002060"/>
        <w:sz w:val="20"/>
        <w:szCs w:val="20"/>
      </w:rPr>
      <w:t xml:space="preserve">Termes de référence – </w:t>
    </w:r>
    <w:r w:rsidR="00101683">
      <w:rPr>
        <w:rFonts w:ascii="Arial" w:hAnsi="Arial" w:cs="Arial"/>
        <w:b/>
        <w:color w:val="002060"/>
        <w:sz w:val="20"/>
        <w:szCs w:val="20"/>
      </w:rPr>
      <w:t>dynamisation des modules de formation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02ACB" w14:textId="77777777" w:rsidR="0043592F" w:rsidRDefault="0043592F">
    <w:pPr>
      <w:rPr>
        <w:b/>
      </w:rPr>
    </w:pPr>
    <w:bookmarkStart w:id="2" w:name="_Hlk514410809"/>
    <w:bookmarkStart w:id="3" w:name="_Hlk515876610"/>
    <w:bookmarkStart w:id="4" w:name="_Hlk515876611"/>
    <w:r>
      <w:rPr>
        <w:b/>
      </w:rPr>
      <w:t xml:space="preserve">       </w:t>
    </w:r>
    <w:bookmarkEnd w:id="2"/>
    <w:bookmarkEnd w:id="3"/>
    <w:bookmarkEnd w:id="4"/>
  </w:p>
  <w:tbl>
    <w:tblPr>
      <w:tblStyle w:val="Grilledutableau"/>
      <w:tblW w:w="10348" w:type="dxa"/>
      <w:tblInd w:w="-572" w:type="dxa"/>
      <w:tblLayout w:type="fixed"/>
      <w:tblLook w:val="04A0" w:firstRow="1" w:lastRow="0" w:firstColumn="1" w:lastColumn="0" w:noHBand="0" w:noVBand="1"/>
    </w:tblPr>
    <w:tblGrid>
      <w:gridCol w:w="4531"/>
      <w:gridCol w:w="5817"/>
    </w:tblGrid>
    <w:tr w:rsidR="0043592F" w14:paraId="15D9BD5D" w14:textId="77777777">
      <w:tc>
        <w:tcPr>
          <w:tcW w:w="4531" w:type="dxa"/>
          <w:tcBorders>
            <w:top w:val="nil"/>
            <w:left w:val="nil"/>
            <w:bottom w:val="nil"/>
            <w:right w:val="nil"/>
          </w:tcBorders>
        </w:tcPr>
        <w:p w14:paraId="3EF67B72" w14:textId="77777777" w:rsidR="0043592F" w:rsidRDefault="0043592F">
          <w:pPr>
            <w:pStyle w:val="En-tte"/>
            <w:rPr>
              <w:rFonts w:ascii="Calibri" w:eastAsia="Calibri" w:hAnsi="Calibri"/>
            </w:rPr>
          </w:pPr>
          <w:r>
            <w:rPr>
              <w:noProof/>
              <w:lang w:val="en-US"/>
            </w:rPr>
            <w:drawing>
              <wp:inline distT="0" distB="0" distL="0" distR="0" wp14:anchorId="1F05F65E" wp14:editId="42C938A2">
                <wp:extent cx="868045" cy="880110"/>
                <wp:effectExtent l="0" t="0" r="0" b="0"/>
                <wp:docPr id="1" name="Image 23" descr="C:\Users\tatiana.edgard\Pictures\logo 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3" descr="C:\Users\tatiana.edgard\Pictures\logo UE.png"/>
                        <pic:cNvPicPr>
                          <a:picLocks noChangeAspect="1" noChangeArrowheads="1"/>
                        </pic:cNvPicPr>
                      </pic:nvPicPr>
                      <pic:blipFill>
                        <a:blip r:embed="rId1"/>
                        <a:stretch>
                          <a:fillRect/>
                        </a:stretch>
                      </pic:blipFill>
                      <pic:spPr bwMode="auto">
                        <a:xfrm>
                          <a:off x="0" y="0"/>
                          <a:ext cx="868045" cy="880110"/>
                        </a:xfrm>
                        <a:prstGeom prst="rect">
                          <a:avLst/>
                        </a:prstGeom>
                        <a:noFill/>
                      </pic:spPr>
                    </pic:pic>
                  </a:graphicData>
                </a:graphic>
              </wp:inline>
            </w:drawing>
          </w:r>
        </w:p>
      </w:tc>
      <w:tc>
        <w:tcPr>
          <w:tcW w:w="5816" w:type="dxa"/>
          <w:tcBorders>
            <w:top w:val="nil"/>
            <w:left w:val="nil"/>
            <w:bottom w:val="nil"/>
            <w:right w:val="nil"/>
          </w:tcBorders>
        </w:tcPr>
        <w:p w14:paraId="10EAAC1E" w14:textId="77777777" w:rsidR="0043592F" w:rsidRDefault="0043592F">
          <w:pPr>
            <w:pStyle w:val="En-tte"/>
            <w:jc w:val="right"/>
            <w:rPr>
              <w:rFonts w:ascii="Calibri" w:eastAsia="Calibri" w:hAnsi="Calibri"/>
            </w:rPr>
          </w:pPr>
          <w:r>
            <w:rPr>
              <w:noProof/>
              <w:lang w:val="en-US"/>
            </w:rPr>
            <w:drawing>
              <wp:inline distT="0" distB="0" distL="0" distR="0" wp14:anchorId="3C8E7971" wp14:editId="40D5AEAE">
                <wp:extent cx="971550" cy="506730"/>
                <wp:effectExtent l="0" t="0" r="0" b="7620"/>
                <wp:docPr id="2" name="Image 2" descr="C:\Users\tatiana.edgard\Pictures\Flag_of_Burundi.svg.png"/>
                <wp:cNvGraphicFramePr/>
                <a:graphic xmlns:a="http://schemas.openxmlformats.org/drawingml/2006/main">
                  <a:graphicData uri="http://schemas.openxmlformats.org/drawingml/2006/picture">
                    <pic:pic xmlns:pic="http://schemas.openxmlformats.org/drawingml/2006/picture">
                      <pic:nvPicPr>
                        <pic:cNvPr id="3" name="Image 2" descr="C:\Users\tatiana.edgard\Pictures\Flag_of_Burundi.svg.png"/>
                        <pic:cNvPicPr/>
                      </pic:nvPicPr>
                      <pic:blipFill>
                        <a:blip r:embed="rId2"/>
                        <a:stretch/>
                      </pic:blipFill>
                      <pic:spPr>
                        <a:xfrm rot="10800000" flipH="1">
                          <a:off x="0" y="0"/>
                          <a:ext cx="971640" cy="506880"/>
                        </a:xfrm>
                        <a:prstGeom prst="rect">
                          <a:avLst/>
                        </a:prstGeom>
                        <a:ln w="0">
                          <a:noFill/>
                        </a:ln>
                      </pic:spPr>
                    </pic:pic>
                  </a:graphicData>
                </a:graphic>
              </wp:inline>
            </w:drawing>
          </w:r>
        </w:p>
      </w:tc>
    </w:tr>
  </w:tbl>
  <w:p w14:paraId="5D4250AE" w14:textId="77777777" w:rsidR="0043592F" w:rsidRDefault="0043592F">
    <w:pPr>
      <w:pStyle w:val="En-tte"/>
      <w:rPr>
        <w:rFonts w:ascii="Calibri" w:hAnsi="Calibri" w:cs="Calibri"/>
        <w:b/>
        <w:bCs/>
        <w:color w:val="00206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47F6"/>
    <w:multiLevelType w:val="hybridMultilevel"/>
    <w:tmpl w:val="7BA03E2C"/>
    <w:lvl w:ilvl="0" w:tplc="0809000F">
      <w:start w:val="1"/>
      <w:numFmt w:val="decimal"/>
      <w:lvlText w:val="%1."/>
      <w:lvlJc w:val="left"/>
      <w:pPr>
        <w:ind w:left="284" w:hanging="360"/>
      </w:pPr>
      <w:rPr>
        <w:rFonts w:cs="Times New Roman"/>
      </w:rPr>
    </w:lvl>
    <w:lvl w:ilvl="1" w:tplc="08090019">
      <w:start w:val="1"/>
      <w:numFmt w:val="lowerLetter"/>
      <w:lvlText w:val="%2."/>
      <w:lvlJc w:val="left"/>
      <w:pPr>
        <w:ind w:left="1004" w:hanging="360"/>
      </w:pPr>
      <w:rPr>
        <w:rFonts w:cs="Times New Roman"/>
      </w:rPr>
    </w:lvl>
    <w:lvl w:ilvl="2" w:tplc="0809001B">
      <w:start w:val="1"/>
      <w:numFmt w:val="lowerRoman"/>
      <w:lvlText w:val="%3."/>
      <w:lvlJc w:val="right"/>
      <w:pPr>
        <w:ind w:left="1724" w:hanging="180"/>
      </w:pPr>
      <w:rPr>
        <w:rFonts w:cs="Times New Roman"/>
      </w:rPr>
    </w:lvl>
    <w:lvl w:ilvl="3" w:tplc="0809000F">
      <w:start w:val="1"/>
      <w:numFmt w:val="decimal"/>
      <w:lvlText w:val="%4."/>
      <w:lvlJc w:val="left"/>
      <w:pPr>
        <w:ind w:left="2444" w:hanging="360"/>
      </w:pPr>
      <w:rPr>
        <w:rFonts w:cs="Times New Roman"/>
      </w:rPr>
    </w:lvl>
    <w:lvl w:ilvl="4" w:tplc="08090019">
      <w:start w:val="1"/>
      <w:numFmt w:val="lowerLetter"/>
      <w:lvlText w:val="%5."/>
      <w:lvlJc w:val="left"/>
      <w:pPr>
        <w:ind w:left="3164" w:hanging="360"/>
      </w:pPr>
      <w:rPr>
        <w:rFonts w:cs="Times New Roman"/>
      </w:rPr>
    </w:lvl>
    <w:lvl w:ilvl="5" w:tplc="0809001B">
      <w:start w:val="1"/>
      <w:numFmt w:val="lowerRoman"/>
      <w:lvlText w:val="%6."/>
      <w:lvlJc w:val="right"/>
      <w:pPr>
        <w:ind w:left="3884" w:hanging="180"/>
      </w:pPr>
      <w:rPr>
        <w:rFonts w:cs="Times New Roman"/>
      </w:rPr>
    </w:lvl>
    <w:lvl w:ilvl="6" w:tplc="0809000F">
      <w:start w:val="1"/>
      <w:numFmt w:val="decimal"/>
      <w:lvlText w:val="%7."/>
      <w:lvlJc w:val="left"/>
      <w:pPr>
        <w:ind w:left="4604" w:hanging="360"/>
      </w:pPr>
      <w:rPr>
        <w:rFonts w:cs="Times New Roman"/>
      </w:rPr>
    </w:lvl>
    <w:lvl w:ilvl="7" w:tplc="08090019">
      <w:start w:val="1"/>
      <w:numFmt w:val="lowerLetter"/>
      <w:lvlText w:val="%8."/>
      <w:lvlJc w:val="left"/>
      <w:pPr>
        <w:ind w:left="5324" w:hanging="360"/>
      </w:pPr>
      <w:rPr>
        <w:rFonts w:cs="Times New Roman"/>
      </w:rPr>
    </w:lvl>
    <w:lvl w:ilvl="8" w:tplc="0809001B">
      <w:start w:val="1"/>
      <w:numFmt w:val="lowerRoman"/>
      <w:lvlText w:val="%9."/>
      <w:lvlJc w:val="right"/>
      <w:pPr>
        <w:ind w:left="6044" w:hanging="180"/>
      </w:pPr>
      <w:rPr>
        <w:rFonts w:cs="Times New Roman"/>
      </w:rPr>
    </w:lvl>
  </w:abstractNum>
  <w:abstractNum w:abstractNumId="1" w15:restartNumberingAfterBreak="0">
    <w:nsid w:val="02202587"/>
    <w:multiLevelType w:val="hybridMultilevel"/>
    <w:tmpl w:val="AEB00FC8"/>
    <w:lvl w:ilvl="0" w:tplc="F6C6AF80">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454C7F"/>
    <w:multiLevelType w:val="multilevel"/>
    <w:tmpl w:val="C11E2554"/>
    <w:lvl w:ilvl="0">
      <w:start w:val="1"/>
      <w:numFmt w:val="lowerRoman"/>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567603A"/>
    <w:multiLevelType w:val="hybridMultilevel"/>
    <w:tmpl w:val="C9E602BA"/>
    <w:lvl w:ilvl="0" w:tplc="20000005">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4" w15:restartNumberingAfterBreak="0">
    <w:nsid w:val="07ED30A6"/>
    <w:multiLevelType w:val="hybridMultilevel"/>
    <w:tmpl w:val="2BBE891A"/>
    <w:lvl w:ilvl="0" w:tplc="10000005">
      <w:start w:val="1"/>
      <w:numFmt w:val="bullet"/>
      <w:lvlText w:val=""/>
      <w:lvlJc w:val="left"/>
      <w:pPr>
        <w:ind w:left="1080" w:hanging="360"/>
      </w:pPr>
      <w:rPr>
        <w:rFonts w:ascii="Wingdings" w:hAnsi="Wingdings" w:hint="default"/>
      </w:rPr>
    </w:lvl>
    <w:lvl w:ilvl="1" w:tplc="10000003" w:tentative="1">
      <w:start w:val="1"/>
      <w:numFmt w:val="bullet"/>
      <w:lvlText w:val="o"/>
      <w:lvlJc w:val="left"/>
      <w:pPr>
        <w:ind w:left="1800" w:hanging="360"/>
      </w:pPr>
      <w:rPr>
        <w:rFonts w:ascii="Courier New" w:hAnsi="Courier New" w:hint="default"/>
      </w:rPr>
    </w:lvl>
    <w:lvl w:ilvl="2" w:tplc="10000005" w:tentative="1">
      <w:start w:val="1"/>
      <w:numFmt w:val="bullet"/>
      <w:lvlText w:val=""/>
      <w:lvlJc w:val="left"/>
      <w:pPr>
        <w:ind w:left="2520" w:hanging="360"/>
      </w:pPr>
      <w:rPr>
        <w:rFonts w:ascii="Wingdings" w:hAnsi="Wingdings" w:hint="default"/>
      </w:rPr>
    </w:lvl>
    <w:lvl w:ilvl="3" w:tplc="10000001" w:tentative="1">
      <w:start w:val="1"/>
      <w:numFmt w:val="bullet"/>
      <w:lvlText w:val=""/>
      <w:lvlJc w:val="left"/>
      <w:pPr>
        <w:ind w:left="3240" w:hanging="360"/>
      </w:pPr>
      <w:rPr>
        <w:rFonts w:ascii="Symbol" w:hAnsi="Symbol" w:hint="default"/>
      </w:rPr>
    </w:lvl>
    <w:lvl w:ilvl="4" w:tplc="10000003" w:tentative="1">
      <w:start w:val="1"/>
      <w:numFmt w:val="bullet"/>
      <w:lvlText w:val="o"/>
      <w:lvlJc w:val="left"/>
      <w:pPr>
        <w:ind w:left="3960" w:hanging="360"/>
      </w:pPr>
      <w:rPr>
        <w:rFonts w:ascii="Courier New" w:hAnsi="Courier New" w:hint="default"/>
      </w:rPr>
    </w:lvl>
    <w:lvl w:ilvl="5" w:tplc="10000005" w:tentative="1">
      <w:start w:val="1"/>
      <w:numFmt w:val="bullet"/>
      <w:lvlText w:val=""/>
      <w:lvlJc w:val="left"/>
      <w:pPr>
        <w:ind w:left="4680" w:hanging="360"/>
      </w:pPr>
      <w:rPr>
        <w:rFonts w:ascii="Wingdings" w:hAnsi="Wingdings" w:hint="default"/>
      </w:rPr>
    </w:lvl>
    <w:lvl w:ilvl="6" w:tplc="10000001" w:tentative="1">
      <w:start w:val="1"/>
      <w:numFmt w:val="bullet"/>
      <w:lvlText w:val=""/>
      <w:lvlJc w:val="left"/>
      <w:pPr>
        <w:ind w:left="5400" w:hanging="360"/>
      </w:pPr>
      <w:rPr>
        <w:rFonts w:ascii="Symbol" w:hAnsi="Symbol" w:hint="default"/>
      </w:rPr>
    </w:lvl>
    <w:lvl w:ilvl="7" w:tplc="10000003" w:tentative="1">
      <w:start w:val="1"/>
      <w:numFmt w:val="bullet"/>
      <w:lvlText w:val="o"/>
      <w:lvlJc w:val="left"/>
      <w:pPr>
        <w:ind w:left="6120" w:hanging="360"/>
      </w:pPr>
      <w:rPr>
        <w:rFonts w:ascii="Courier New" w:hAnsi="Courier New" w:hint="default"/>
      </w:rPr>
    </w:lvl>
    <w:lvl w:ilvl="8" w:tplc="10000005" w:tentative="1">
      <w:start w:val="1"/>
      <w:numFmt w:val="bullet"/>
      <w:lvlText w:val=""/>
      <w:lvlJc w:val="left"/>
      <w:pPr>
        <w:ind w:left="6840" w:hanging="360"/>
      </w:pPr>
      <w:rPr>
        <w:rFonts w:ascii="Wingdings" w:hAnsi="Wingdings" w:hint="default"/>
      </w:rPr>
    </w:lvl>
  </w:abstractNum>
  <w:abstractNum w:abstractNumId="5" w15:restartNumberingAfterBreak="0">
    <w:nsid w:val="084D199D"/>
    <w:multiLevelType w:val="hybridMultilevel"/>
    <w:tmpl w:val="9E7C88D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9052655"/>
    <w:multiLevelType w:val="hybridMultilevel"/>
    <w:tmpl w:val="9F02B69A"/>
    <w:lvl w:ilvl="0" w:tplc="1000000F">
      <w:start w:val="1"/>
      <w:numFmt w:val="decimal"/>
      <w:lvlText w:val="%1."/>
      <w:lvlJc w:val="left"/>
      <w:pPr>
        <w:ind w:left="720" w:hanging="360"/>
      </w:pPr>
      <w:rPr>
        <w:rFonts w:cs="Times New Roman"/>
      </w:rPr>
    </w:lvl>
    <w:lvl w:ilvl="1" w:tplc="10000019" w:tentative="1">
      <w:start w:val="1"/>
      <w:numFmt w:val="lowerLetter"/>
      <w:lvlText w:val="%2."/>
      <w:lvlJc w:val="left"/>
      <w:pPr>
        <w:ind w:left="1440" w:hanging="360"/>
      </w:pPr>
      <w:rPr>
        <w:rFonts w:cs="Times New Roman"/>
      </w:rPr>
    </w:lvl>
    <w:lvl w:ilvl="2" w:tplc="1000001B" w:tentative="1">
      <w:start w:val="1"/>
      <w:numFmt w:val="lowerRoman"/>
      <w:lvlText w:val="%3."/>
      <w:lvlJc w:val="right"/>
      <w:pPr>
        <w:ind w:left="2160" w:hanging="180"/>
      </w:pPr>
      <w:rPr>
        <w:rFonts w:cs="Times New Roman"/>
      </w:rPr>
    </w:lvl>
    <w:lvl w:ilvl="3" w:tplc="1000000F" w:tentative="1">
      <w:start w:val="1"/>
      <w:numFmt w:val="decimal"/>
      <w:lvlText w:val="%4."/>
      <w:lvlJc w:val="left"/>
      <w:pPr>
        <w:ind w:left="2880" w:hanging="360"/>
      </w:pPr>
      <w:rPr>
        <w:rFonts w:cs="Times New Roman"/>
      </w:rPr>
    </w:lvl>
    <w:lvl w:ilvl="4" w:tplc="10000019" w:tentative="1">
      <w:start w:val="1"/>
      <w:numFmt w:val="lowerLetter"/>
      <w:lvlText w:val="%5."/>
      <w:lvlJc w:val="left"/>
      <w:pPr>
        <w:ind w:left="3600" w:hanging="360"/>
      </w:pPr>
      <w:rPr>
        <w:rFonts w:cs="Times New Roman"/>
      </w:rPr>
    </w:lvl>
    <w:lvl w:ilvl="5" w:tplc="1000001B" w:tentative="1">
      <w:start w:val="1"/>
      <w:numFmt w:val="lowerRoman"/>
      <w:lvlText w:val="%6."/>
      <w:lvlJc w:val="right"/>
      <w:pPr>
        <w:ind w:left="4320" w:hanging="180"/>
      </w:pPr>
      <w:rPr>
        <w:rFonts w:cs="Times New Roman"/>
      </w:rPr>
    </w:lvl>
    <w:lvl w:ilvl="6" w:tplc="1000000F" w:tentative="1">
      <w:start w:val="1"/>
      <w:numFmt w:val="decimal"/>
      <w:lvlText w:val="%7."/>
      <w:lvlJc w:val="left"/>
      <w:pPr>
        <w:ind w:left="5040" w:hanging="360"/>
      </w:pPr>
      <w:rPr>
        <w:rFonts w:cs="Times New Roman"/>
      </w:rPr>
    </w:lvl>
    <w:lvl w:ilvl="7" w:tplc="10000019" w:tentative="1">
      <w:start w:val="1"/>
      <w:numFmt w:val="lowerLetter"/>
      <w:lvlText w:val="%8."/>
      <w:lvlJc w:val="left"/>
      <w:pPr>
        <w:ind w:left="5760" w:hanging="360"/>
      </w:pPr>
      <w:rPr>
        <w:rFonts w:cs="Times New Roman"/>
      </w:rPr>
    </w:lvl>
    <w:lvl w:ilvl="8" w:tplc="1000001B" w:tentative="1">
      <w:start w:val="1"/>
      <w:numFmt w:val="lowerRoman"/>
      <w:lvlText w:val="%9."/>
      <w:lvlJc w:val="right"/>
      <w:pPr>
        <w:ind w:left="6480" w:hanging="180"/>
      </w:pPr>
      <w:rPr>
        <w:rFonts w:cs="Times New Roman"/>
      </w:rPr>
    </w:lvl>
  </w:abstractNum>
  <w:abstractNum w:abstractNumId="7" w15:restartNumberingAfterBreak="0">
    <w:nsid w:val="09066680"/>
    <w:multiLevelType w:val="hybridMultilevel"/>
    <w:tmpl w:val="F334BB7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0E697BA4"/>
    <w:multiLevelType w:val="hybridMultilevel"/>
    <w:tmpl w:val="08FE4234"/>
    <w:lvl w:ilvl="0" w:tplc="040C0005">
      <w:start w:val="1"/>
      <w:numFmt w:val="bullet"/>
      <w:lvlText w:val=""/>
      <w:lvlJc w:val="left"/>
      <w:pPr>
        <w:ind w:left="1980" w:hanging="360"/>
      </w:pPr>
      <w:rPr>
        <w:rFonts w:ascii="Wingdings" w:hAnsi="Wingdings" w:hint="default"/>
      </w:rPr>
    </w:lvl>
    <w:lvl w:ilvl="1" w:tplc="040C0003" w:tentative="1">
      <w:start w:val="1"/>
      <w:numFmt w:val="bullet"/>
      <w:lvlText w:val="o"/>
      <w:lvlJc w:val="left"/>
      <w:pPr>
        <w:ind w:left="2700" w:hanging="360"/>
      </w:pPr>
      <w:rPr>
        <w:rFonts w:ascii="Courier New" w:hAnsi="Courier New" w:cs="Courier New" w:hint="default"/>
      </w:rPr>
    </w:lvl>
    <w:lvl w:ilvl="2" w:tplc="040C0005" w:tentative="1">
      <w:start w:val="1"/>
      <w:numFmt w:val="bullet"/>
      <w:lvlText w:val=""/>
      <w:lvlJc w:val="left"/>
      <w:pPr>
        <w:ind w:left="3420" w:hanging="360"/>
      </w:pPr>
      <w:rPr>
        <w:rFonts w:ascii="Wingdings" w:hAnsi="Wingdings" w:hint="default"/>
      </w:rPr>
    </w:lvl>
    <w:lvl w:ilvl="3" w:tplc="040C0001" w:tentative="1">
      <w:start w:val="1"/>
      <w:numFmt w:val="bullet"/>
      <w:lvlText w:val=""/>
      <w:lvlJc w:val="left"/>
      <w:pPr>
        <w:ind w:left="4140" w:hanging="360"/>
      </w:pPr>
      <w:rPr>
        <w:rFonts w:ascii="Symbol" w:hAnsi="Symbol" w:hint="default"/>
      </w:rPr>
    </w:lvl>
    <w:lvl w:ilvl="4" w:tplc="040C0003" w:tentative="1">
      <w:start w:val="1"/>
      <w:numFmt w:val="bullet"/>
      <w:lvlText w:val="o"/>
      <w:lvlJc w:val="left"/>
      <w:pPr>
        <w:ind w:left="4860" w:hanging="360"/>
      </w:pPr>
      <w:rPr>
        <w:rFonts w:ascii="Courier New" w:hAnsi="Courier New" w:cs="Courier New" w:hint="default"/>
      </w:rPr>
    </w:lvl>
    <w:lvl w:ilvl="5" w:tplc="040C0005" w:tentative="1">
      <w:start w:val="1"/>
      <w:numFmt w:val="bullet"/>
      <w:lvlText w:val=""/>
      <w:lvlJc w:val="left"/>
      <w:pPr>
        <w:ind w:left="5580" w:hanging="360"/>
      </w:pPr>
      <w:rPr>
        <w:rFonts w:ascii="Wingdings" w:hAnsi="Wingdings" w:hint="default"/>
      </w:rPr>
    </w:lvl>
    <w:lvl w:ilvl="6" w:tplc="040C0001" w:tentative="1">
      <w:start w:val="1"/>
      <w:numFmt w:val="bullet"/>
      <w:lvlText w:val=""/>
      <w:lvlJc w:val="left"/>
      <w:pPr>
        <w:ind w:left="6300" w:hanging="360"/>
      </w:pPr>
      <w:rPr>
        <w:rFonts w:ascii="Symbol" w:hAnsi="Symbol" w:hint="default"/>
      </w:rPr>
    </w:lvl>
    <w:lvl w:ilvl="7" w:tplc="040C0003" w:tentative="1">
      <w:start w:val="1"/>
      <w:numFmt w:val="bullet"/>
      <w:lvlText w:val="o"/>
      <w:lvlJc w:val="left"/>
      <w:pPr>
        <w:ind w:left="7020" w:hanging="360"/>
      </w:pPr>
      <w:rPr>
        <w:rFonts w:ascii="Courier New" w:hAnsi="Courier New" w:cs="Courier New" w:hint="default"/>
      </w:rPr>
    </w:lvl>
    <w:lvl w:ilvl="8" w:tplc="040C0005" w:tentative="1">
      <w:start w:val="1"/>
      <w:numFmt w:val="bullet"/>
      <w:lvlText w:val=""/>
      <w:lvlJc w:val="left"/>
      <w:pPr>
        <w:ind w:left="7740" w:hanging="360"/>
      </w:pPr>
      <w:rPr>
        <w:rFonts w:ascii="Wingdings" w:hAnsi="Wingdings" w:hint="default"/>
      </w:rPr>
    </w:lvl>
  </w:abstractNum>
  <w:abstractNum w:abstractNumId="9" w15:restartNumberingAfterBreak="0">
    <w:nsid w:val="0EEE6EC0"/>
    <w:multiLevelType w:val="hybridMultilevel"/>
    <w:tmpl w:val="098E0726"/>
    <w:lvl w:ilvl="0" w:tplc="10000005">
      <w:start w:val="1"/>
      <w:numFmt w:val="bullet"/>
      <w:lvlText w:val=""/>
      <w:lvlJc w:val="left"/>
      <w:pPr>
        <w:ind w:left="1080" w:hanging="360"/>
      </w:pPr>
      <w:rPr>
        <w:rFonts w:ascii="Wingdings" w:hAnsi="Wingdings" w:hint="default"/>
      </w:rPr>
    </w:lvl>
    <w:lvl w:ilvl="1" w:tplc="10000003" w:tentative="1">
      <w:start w:val="1"/>
      <w:numFmt w:val="bullet"/>
      <w:lvlText w:val="o"/>
      <w:lvlJc w:val="left"/>
      <w:pPr>
        <w:ind w:left="1800" w:hanging="360"/>
      </w:pPr>
      <w:rPr>
        <w:rFonts w:ascii="Courier New" w:hAnsi="Courier New" w:hint="default"/>
      </w:rPr>
    </w:lvl>
    <w:lvl w:ilvl="2" w:tplc="10000005" w:tentative="1">
      <w:start w:val="1"/>
      <w:numFmt w:val="bullet"/>
      <w:lvlText w:val=""/>
      <w:lvlJc w:val="left"/>
      <w:pPr>
        <w:ind w:left="2520" w:hanging="360"/>
      </w:pPr>
      <w:rPr>
        <w:rFonts w:ascii="Wingdings" w:hAnsi="Wingdings" w:hint="default"/>
      </w:rPr>
    </w:lvl>
    <w:lvl w:ilvl="3" w:tplc="10000001" w:tentative="1">
      <w:start w:val="1"/>
      <w:numFmt w:val="bullet"/>
      <w:lvlText w:val=""/>
      <w:lvlJc w:val="left"/>
      <w:pPr>
        <w:ind w:left="3240" w:hanging="360"/>
      </w:pPr>
      <w:rPr>
        <w:rFonts w:ascii="Symbol" w:hAnsi="Symbol" w:hint="default"/>
      </w:rPr>
    </w:lvl>
    <w:lvl w:ilvl="4" w:tplc="10000003" w:tentative="1">
      <w:start w:val="1"/>
      <w:numFmt w:val="bullet"/>
      <w:lvlText w:val="o"/>
      <w:lvlJc w:val="left"/>
      <w:pPr>
        <w:ind w:left="3960" w:hanging="360"/>
      </w:pPr>
      <w:rPr>
        <w:rFonts w:ascii="Courier New" w:hAnsi="Courier New" w:hint="default"/>
      </w:rPr>
    </w:lvl>
    <w:lvl w:ilvl="5" w:tplc="10000005" w:tentative="1">
      <w:start w:val="1"/>
      <w:numFmt w:val="bullet"/>
      <w:lvlText w:val=""/>
      <w:lvlJc w:val="left"/>
      <w:pPr>
        <w:ind w:left="4680" w:hanging="360"/>
      </w:pPr>
      <w:rPr>
        <w:rFonts w:ascii="Wingdings" w:hAnsi="Wingdings" w:hint="default"/>
      </w:rPr>
    </w:lvl>
    <w:lvl w:ilvl="6" w:tplc="10000001" w:tentative="1">
      <w:start w:val="1"/>
      <w:numFmt w:val="bullet"/>
      <w:lvlText w:val=""/>
      <w:lvlJc w:val="left"/>
      <w:pPr>
        <w:ind w:left="5400" w:hanging="360"/>
      </w:pPr>
      <w:rPr>
        <w:rFonts w:ascii="Symbol" w:hAnsi="Symbol" w:hint="default"/>
      </w:rPr>
    </w:lvl>
    <w:lvl w:ilvl="7" w:tplc="10000003" w:tentative="1">
      <w:start w:val="1"/>
      <w:numFmt w:val="bullet"/>
      <w:lvlText w:val="o"/>
      <w:lvlJc w:val="left"/>
      <w:pPr>
        <w:ind w:left="6120" w:hanging="360"/>
      </w:pPr>
      <w:rPr>
        <w:rFonts w:ascii="Courier New" w:hAnsi="Courier New" w:hint="default"/>
      </w:rPr>
    </w:lvl>
    <w:lvl w:ilvl="8" w:tplc="10000005" w:tentative="1">
      <w:start w:val="1"/>
      <w:numFmt w:val="bullet"/>
      <w:lvlText w:val=""/>
      <w:lvlJc w:val="left"/>
      <w:pPr>
        <w:ind w:left="6840" w:hanging="360"/>
      </w:pPr>
      <w:rPr>
        <w:rFonts w:ascii="Wingdings" w:hAnsi="Wingdings" w:hint="default"/>
      </w:rPr>
    </w:lvl>
  </w:abstractNum>
  <w:abstractNum w:abstractNumId="10" w15:restartNumberingAfterBreak="0">
    <w:nsid w:val="12794E59"/>
    <w:multiLevelType w:val="multilevel"/>
    <w:tmpl w:val="901A99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5"/>
      <w:numFmt w:val="bullet"/>
      <w:lvlText w:val="-"/>
      <w:lvlJc w:val="left"/>
      <w:pPr>
        <w:ind w:left="2880" w:hanging="360"/>
      </w:pPr>
      <w:rPr>
        <w:rFonts w:ascii="Calibri Light" w:eastAsiaTheme="minorHAnsi" w:hAnsi="Calibri Light" w:cs="Calibri Light" w:hint="default"/>
      </w:rPr>
    </w:lvl>
    <w:lvl w:ilvl="4">
      <w:start w:val="1"/>
      <w:numFmt w:val="decimal"/>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A9188F"/>
    <w:multiLevelType w:val="hybridMultilevel"/>
    <w:tmpl w:val="AB44F4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63362F3"/>
    <w:multiLevelType w:val="hybridMultilevel"/>
    <w:tmpl w:val="C06EC62A"/>
    <w:lvl w:ilvl="0" w:tplc="10000005">
      <w:start w:val="1"/>
      <w:numFmt w:val="bullet"/>
      <w:lvlText w:val=""/>
      <w:lvlJc w:val="left"/>
      <w:pPr>
        <w:ind w:left="1080" w:hanging="360"/>
      </w:pPr>
      <w:rPr>
        <w:rFonts w:ascii="Wingdings" w:hAnsi="Wingdings" w:hint="default"/>
      </w:rPr>
    </w:lvl>
    <w:lvl w:ilvl="1" w:tplc="10000003" w:tentative="1">
      <w:start w:val="1"/>
      <w:numFmt w:val="bullet"/>
      <w:lvlText w:val="o"/>
      <w:lvlJc w:val="left"/>
      <w:pPr>
        <w:ind w:left="1800" w:hanging="360"/>
      </w:pPr>
      <w:rPr>
        <w:rFonts w:ascii="Courier New" w:hAnsi="Courier New" w:hint="default"/>
      </w:rPr>
    </w:lvl>
    <w:lvl w:ilvl="2" w:tplc="10000005" w:tentative="1">
      <w:start w:val="1"/>
      <w:numFmt w:val="bullet"/>
      <w:lvlText w:val=""/>
      <w:lvlJc w:val="left"/>
      <w:pPr>
        <w:ind w:left="2520" w:hanging="360"/>
      </w:pPr>
      <w:rPr>
        <w:rFonts w:ascii="Wingdings" w:hAnsi="Wingdings" w:hint="default"/>
      </w:rPr>
    </w:lvl>
    <w:lvl w:ilvl="3" w:tplc="10000001" w:tentative="1">
      <w:start w:val="1"/>
      <w:numFmt w:val="bullet"/>
      <w:lvlText w:val=""/>
      <w:lvlJc w:val="left"/>
      <w:pPr>
        <w:ind w:left="3240" w:hanging="360"/>
      </w:pPr>
      <w:rPr>
        <w:rFonts w:ascii="Symbol" w:hAnsi="Symbol" w:hint="default"/>
      </w:rPr>
    </w:lvl>
    <w:lvl w:ilvl="4" w:tplc="10000003" w:tentative="1">
      <w:start w:val="1"/>
      <w:numFmt w:val="bullet"/>
      <w:lvlText w:val="o"/>
      <w:lvlJc w:val="left"/>
      <w:pPr>
        <w:ind w:left="3960" w:hanging="360"/>
      </w:pPr>
      <w:rPr>
        <w:rFonts w:ascii="Courier New" w:hAnsi="Courier New" w:hint="default"/>
      </w:rPr>
    </w:lvl>
    <w:lvl w:ilvl="5" w:tplc="10000005" w:tentative="1">
      <w:start w:val="1"/>
      <w:numFmt w:val="bullet"/>
      <w:lvlText w:val=""/>
      <w:lvlJc w:val="left"/>
      <w:pPr>
        <w:ind w:left="4680" w:hanging="360"/>
      </w:pPr>
      <w:rPr>
        <w:rFonts w:ascii="Wingdings" w:hAnsi="Wingdings" w:hint="default"/>
      </w:rPr>
    </w:lvl>
    <w:lvl w:ilvl="6" w:tplc="10000001" w:tentative="1">
      <w:start w:val="1"/>
      <w:numFmt w:val="bullet"/>
      <w:lvlText w:val=""/>
      <w:lvlJc w:val="left"/>
      <w:pPr>
        <w:ind w:left="5400" w:hanging="360"/>
      </w:pPr>
      <w:rPr>
        <w:rFonts w:ascii="Symbol" w:hAnsi="Symbol" w:hint="default"/>
      </w:rPr>
    </w:lvl>
    <w:lvl w:ilvl="7" w:tplc="10000003" w:tentative="1">
      <w:start w:val="1"/>
      <w:numFmt w:val="bullet"/>
      <w:lvlText w:val="o"/>
      <w:lvlJc w:val="left"/>
      <w:pPr>
        <w:ind w:left="6120" w:hanging="360"/>
      </w:pPr>
      <w:rPr>
        <w:rFonts w:ascii="Courier New" w:hAnsi="Courier New" w:hint="default"/>
      </w:rPr>
    </w:lvl>
    <w:lvl w:ilvl="8" w:tplc="10000005" w:tentative="1">
      <w:start w:val="1"/>
      <w:numFmt w:val="bullet"/>
      <w:lvlText w:val=""/>
      <w:lvlJc w:val="left"/>
      <w:pPr>
        <w:ind w:left="6840" w:hanging="360"/>
      </w:pPr>
      <w:rPr>
        <w:rFonts w:ascii="Wingdings" w:hAnsi="Wingdings" w:hint="default"/>
      </w:rPr>
    </w:lvl>
  </w:abstractNum>
  <w:abstractNum w:abstractNumId="13" w15:restartNumberingAfterBreak="0">
    <w:nsid w:val="1724673F"/>
    <w:multiLevelType w:val="multilevel"/>
    <w:tmpl w:val="467EC5B0"/>
    <w:lvl w:ilvl="0">
      <w:start w:val="2"/>
      <w:numFmt w:val="bullet"/>
      <w:lvlText w:val=""/>
      <w:lvlJc w:val="left"/>
      <w:pPr>
        <w:tabs>
          <w:tab w:val="num" w:pos="0"/>
        </w:tabs>
        <w:ind w:left="1004" w:hanging="360"/>
      </w:pPr>
      <w:rPr>
        <w:rFonts w:ascii="Wingdings" w:hAnsi="Wingdings" w:cstheme="majorHAnsi"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14" w15:restartNumberingAfterBreak="0">
    <w:nsid w:val="18715B6D"/>
    <w:multiLevelType w:val="hybridMultilevel"/>
    <w:tmpl w:val="527CD76A"/>
    <w:lvl w:ilvl="0" w:tplc="20000005">
      <w:start w:val="1"/>
      <w:numFmt w:val="bullet"/>
      <w:lvlText w:val=""/>
      <w:lvlJc w:val="left"/>
      <w:pPr>
        <w:ind w:left="360" w:hanging="360"/>
      </w:pPr>
      <w:rPr>
        <w:rFonts w:ascii="Wingdings" w:hAnsi="Wingdings" w:hint="default"/>
      </w:rPr>
    </w:lvl>
    <w:lvl w:ilvl="1" w:tplc="20000019" w:tentative="1">
      <w:start w:val="1"/>
      <w:numFmt w:val="lowerLetter"/>
      <w:lvlText w:val="%2."/>
      <w:lvlJc w:val="left"/>
      <w:pPr>
        <w:ind w:left="1080" w:hanging="360"/>
      </w:pPr>
      <w:rPr>
        <w:rFonts w:cs="Times New Roman"/>
      </w:rPr>
    </w:lvl>
    <w:lvl w:ilvl="2" w:tplc="2000001B" w:tentative="1">
      <w:start w:val="1"/>
      <w:numFmt w:val="lowerRoman"/>
      <w:lvlText w:val="%3."/>
      <w:lvlJc w:val="right"/>
      <w:pPr>
        <w:ind w:left="1800" w:hanging="180"/>
      </w:pPr>
      <w:rPr>
        <w:rFonts w:cs="Times New Roman"/>
      </w:rPr>
    </w:lvl>
    <w:lvl w:ilvl="3" w:tplc="2000000F" w:tentative="1">
      <w:start w:val="1"/>
      <w:numFmt w:val="decimal"/>
      <w:lvlText w:val="%4."/>
      <w:lvlJc w:val="left"/>
      <w:pPr>
        <w:ind w:left="2520" w:hanging="360"/>
      </w:pPr>
      <w:rPr>
        <w:rFonts w:cs="Times New Roman"/>
      </w:rPr>
    </w:lvl>
    <w:lvl w:ilvl="4" w:tplc="20000019" w:tentative="1">
      <w:start w:val="1"/>
      <w:numFmt w:val="lowerLetter"/>
      <w:lvlText w:val="%5."/>
      <w:lvlJc w:val="left"/>
      <w:pPr>
        <w:ind w:left="3240" w:hanging="360"/>
      </w:pPr>
      <w:rPr>
        <w:rFonts w:cs="Times New Roman"/>
      </w:rPr>
    </w:lvl>
    <w:lvl w:ilvl="5" w:tplc="2000001B" w:tentative="1">
      <w:start w:val="1"/>
      <w:numFmt w:val="lowerRoman"/>
      <w:lvlText w:val="%6."/>
      <w:lvlJc w:val="right"/>
      <w:pPr>
        <w:ind w:left="3960" w:hanging="180"/>
      </w:pPr>
      <w:rPr>
        <w:rFonts w:cs="Times New Roman"/>
      </w:rPr>
    </w:lvl>
    <w:lvl w:ilvl="6" w:tplc="2000000F" w:tentative="1">
      <w:start w:val="1"/>
      <w:numFmt w:val="decimal"/>
      <w:lvlText w:val="%7."/>
      <w:lvlJc w:val="left"/>
      <w:pPr>
        <w:ind w:left="4680" w:hanging="360"/>
      </w:pPr>
      <w:rPr>
        <w:rFonts w:cs="Times New Roman"/>
      </w:rPr>
    </w:lvl>
    <w:lvl w:ilvl="7" w:tplc="20000019" w:tentative="1">
      <w:start w:val="1"/>
      <w:numFmt w:val="lowerLetter"/>
      <w:lvlText w:val="%8."/>
      <w:lvlJc w:val="left"/>
      <w:pPr>
        <w:ind w:left="5400" w:hanging="360"/>
      </w:pPr>
      <w:rPr>
        <w:rFonts w:cs="Times New Roman"/>
      </w:rPr>
    </w:lvl>
    <w:lvl w:ilvl="8" w:tplc="2000001B" w:tentative="1">
      <w:start w:val="1"/>
      <w:numFmt w:val="lowerRoman"/>
      <w:lvlText w:val="%9."/>
      <w:lvlJc w:val="right"/>
      <w:pPr>
        <w:ind w:left="6120" w:hanging="180"/>
      </w:pPr>
      <w:rPr>
        <w:rFonts w:cs="Times New Roman"/>
      </w:rPr>
    </w:lvl>
  </w:abstractNum>
  <w:abstractNum w:abstractNumId="15" w15:restartNumberingAfterBreak="0">
    <w:nsid w:val="1A8649B0"/>
    <w:multiLevelType w:val="hybridMultilevel"/>
    <w:tmpl w:val="433476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B221943"/>
    <w:multiLevelType w:val="hybridMultilevel"/>
    <w:tmpl w:val="8AA2F3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1D4E71D4"/>
    <w:multiLevelType w:val="multilevel"/>
    <w:tmpl w:val="1794C97A"/>
    <w:lvl w:ilvl="0">
      <w:start w:val="1"/>
      <w:numFmt w:val="bullet"/>
      <w:pStyle w:val="Tablebullets"/>
      <w:lvlText w:val="&gt;"/>
      <w:lvlJc w:val="left"/>
      <w:pPr>
        <w:tabs>
          <w:tab w:val="num" w:pos="170"/>
        </w:tabs>
        <w:ind w:left="170" w:hanging="170"/>
      </w:pPr>
      <w:rPr>
        <w:rFonts w:ascii="Arial" w:hAnsi="Aria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E706D6A"/>
    <w:multiLevelType w:val="multilevel"/>
    <w:tmpl w:val="AAD09844"/>
    <w:lvl w:ilvl="0">
      <w:start w:val="1"/>
      <w:numFmt w:val="bullet"/>
      <w:lvlText w:val="-"/>
      <w:lvlJc w:val="left"/>
      <w:pPr>
        <w:tabs>
          <w:tab w:val="num" w:pos="0"/>
        </w:tabs>
        <w:ind w:left="720" w:hanging="360"/>
      </w:pPr>
      <w:rPr>
        <w:rFonts w:ascii="Calibri" w:eastAsiaTheme="minorHAnsi" w:hAnsi="Calibri" w:cs="Calibri" w:hint="default"/>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1E985D69"/>
    <w:multiLevelType w:val="hybridMultilevel"/>
    <w:tmpl w:val="5DCA7F3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7A349BB"/>
    <w:multiLevelType w:val="hybridMultilevel"/>
    <w:tmpl w:val="F246F968"/>
    <w:lvl w:ilvl="0" w:tplc="B032F044">
      <w:start w:val="2"/>
      <w:numFmt w:val="decimal"/>
      <w:lvlText w:val="%1."/>
      <w:lvlJc w:val="left"/>
      <w:pPr>
        <w:ind w:left="360" w:hanging="360"/>
      </w:pPr>
      <w:rPr>
        <w:rFonts w:cs="Times New Roman" w:hint="default"/>
      </w:rPr>
    </w:lvl>
    <w:lvl w:ilvl="1" w:tplc="040C0019" w:tentative="1">
      <w:start w:val="1"/>
      <w:numFmt w:val="lowerLetter"/>
      <w:lvlText w:val="%2."/>
      <w:lvlJc w:val="left"/>
      <w:pPr>
        <w:ind w:left="1080" w:hanging="360"/>
      </w:pPr>
      <w:rPr>
        <w:rFonts w:cs="Times New Roman"/>
      </w:rPr>
    </w:lvl>
    <w:lvl w:ilvl="2" w:tplc="040C001B" w:tentative="1">
      <w:start w:val="1"/>
      <w:numFmt w:val="lowerRoman"/>
      <w:lvlText w:val="%3."/>
      <w:lvlJc w:val="right"/>
      <w:pPr>
        <w:ind w:left="1800" w:hanging="180"/>
      </w:pPr>
      <w:rPr>
        <w:rFonts w:cs="Times New Roman"/>
      </w:rPr>
    </w:lvl>
    <w:lvl w:ilvl="3" w:tplc="040C000F" w:tentative="1">
      <w:start w:val="1"/>
      <w:numFmt w:val="decimal"/>
      <w:lvlText w:val="%4."/>
      <w:lvlJc w:val="left"/>
      <w:pPr>
        <w:ind w:left="2520" w:hanging="360"/>
      </w:pPr>
      <w:rPr>
        <w:rFonts w:cs="Times New Roman"/>
      </w:rPr>
    </w:lvl>
    <w:lvl w:ilvl="4" w:tplc="040C0019" w:tentative="1">
      <w:start w:val="1"/>
      <w:numFmt w:val="lowerLetter"/>
      <w:lvlText w:val="%5."/>
      <w:lvlJc w:val="left"/>
      <w:pPr>
        <w:ind w:left="3240" w:hanging="360"/>
      </w:pPr>
      <w:rPr>
        <w:rFonts w:cs="Times New Roman"/>
      </w:rPr>
    </w:lvl>
    <w:lvl w:ilvl="5" w:tplc="040C001B" w:tentative="1">
      <w:start w:val="1"/>
      <w:numFmt w:val="lowerRoman"/>
      <w:lvlText w:val="%6."/>
      <w:lvlJc w:val="right"/>
      <w:pPr>
        <w:ind w:left="3960" w:hanging="180"/>
      </w:pPr>
      <w:rPr>
        <w:rFonts w:cs="Times New Roman"/>
      </w:rPr>
    </w:lvl>
    <w:lvl w:ilvl="6" w:tplc="040C000F" w:tentative="1">
      <w:start w:val="1"/>
      <w:numFmt w:val="decimal"/>
      <w:lvlText w:val="%7."/>
      <w:lvlJc w:val="left"/>
      <w:pPr>
        <w:ind w:left="4680" w:hanging="360"/>
      </w:pPr>
      <w:rPr>
        <w:rFonts w:cs="Times New Roman"/>
      </w:rPr>
    </w:lvl>
    <w:lvl w:ilvl="7" w:tplc="040C0019" w:tentative="1">
      <w:start w:val="1"/>
      <w:numFmt w:val="lowerLetter"/>
      <w:lvlText w:val="%8."/>
      <w:lvlJc w:val="left"/>
      <w:pPr>
        <w:ind w:left="5400" w:hanging="360"/>
      </w:pPr>
      <w:rPr>
        <w:rFonts w:cs="Times New Roman"/>
      </w:rPr>
    </w:lvl>
    <w:lvl w:ilvl="8" w:tplc="040C001B" w:tentative="1">
      <w:start w:val="1"/>
      <w:numFmt w:val="lowerRoman"/>
      <w:lvlText w:val="%9."/>
      <w:lvlJc w:val="right"/>
      <w:pPr>
        <w:ind w:left="6120" w:hanging="180"/>
      </w:pPr>
      <w:rPr>
        <w:rFonts w:cs="Times New Roman"/>
      </w:rPr>
    </w:lvl>
  </w:abstractNum>
  <w:abstractNum w:abstractNumId="21" w15:restartNumberingAfterBreak="0">
    <w:nsid w:val="284105A4"/>
    <w:multiLevelType w:val="hybridMultilevel"/>
    <w:tmpl w:val="0A2A3DE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2" w15:restartNumberingAfterBreak="0">
    <w:nsid w:val="286C7077"/>
    <w:multiLevelType w:val="hybridMultilevel"/>
    <w:tmpl w:val="AD181B64"/>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2BD419C8"/>
    <w:multiLevelType w:val="hybridMultilevel"/>
    <w:tmpl w:val="A28A1AB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2C9E663E"/>
    <w:multiLevelType w:val="hybridMultilevel"/>
    <w:tmpl w:val="5C0EF672"/>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15:restartNumberingAfterBreak="0">
    <w:nsid w:val="2CA43D77"/>
    <w:multiLevelType w:val="hybridMultilevel"/>
    <w:tmpl w:val="88FCC4F0"/>
    <w:lvl w:ilvl="0" w:tplc="51C8C862">
      <w:start w:val="1"/>
      <w:numFmt w:val="bullet"/>
      <w:lvlText w:val=""/>
      <w:lvlJc w:val="left"/>
      <w:pPr>
        <w:ind w:left="720" w:hanging="360"/>
      </w:pPr>
      <w:rPr>
        <w:rFonts w:ascii="Symbol" w:hAnsi="Symbol" w:hint="default"/>
        <w:color w:val="993366"/>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3AF21613"/>
    <w:multiLevelType w:val="hybridMultilevel"/>
    <w:tmpl w:val="1174E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0F7BEC"/>
    <w:multiLevelType w:val="multilevel"/>
    <w:tmpl w:val="C5B67440"/>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462134AD"/>
    <w:multiLevelType w:val="multilevel"/>
    <w:tmpl w:val="4342BE8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474565A8"/>
    <w:multiLevelType w:val="multilevel"/>
    <w:tmpl w:val="68C258BC"/>
    <w:lvl w:ilvl="0">
      <w:start w:val="1"/>
      <w:numFmt w:val="bullet"/>
      <w:lvlText w:val=""/>
      <w:lvlJc w:val="left"/>
      <w:pPr>
        <w:tabs>
          <w:tab w:val="num" w:pos="0"/>
        </w:tabs>
        <w:ind w:left="720" w:hanging="360"/>
      </w:pPr>
      <w:rPr>
        <w:rFonts w:ascii="Symbol" w:hAnsi="Symbol" w:cs="Symbol"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4BB06571"/>
    <w:multiLevelType w:val="hybridMultilevel"/>
    <w:tmpl w:val="EFC2A43E"/>
    <w:lvl w:ilvl="0" w:tplc="23666914">
      <w:numFmt w:val="bullet"/>
      <w:lvlText w:val="-"/>
      <w:lvlJc w:val="left"/>
      <w:pPr>
        <w:ind w:left="720" w:hanging="360"/>
      </w:pPr>
      <w:rPr>
        <w:rFonts w:ascii="Calibri" w:eastAsia="Calibr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E2220FF"/>
    <w:multiLevelType w:val="hybridMultilevel"/>
    <w:tmpl w:val="FE861FE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4EFB31B9"/>
    <w:multiLevelType w:val="multilevel"/>
    <w:tmpl w:val="84624066"/>
    <w:lvl w:ilvl="0">
      <w:start w:val="1"/>
      <w:numFmt w:val="bullet"/>
      <w:lvlText w:val="-"/>
      <w:lvlJc w:val="left"/>
      <w:pPr>
        <w:tabs>
          <w:tab w:val="num" w:pos="0"/>
        </w:tabs>
        <w:ind w:left="720" w:hanging="360"/>
      </w:pPr>
      <w:rPr>
        <w:rFonts w:ascii="Calibri" w:eastAsiaTheme="minorHAns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15:restartNumberingAfterBreak="0">
    <w:nsid w:val="501F0E0B"/>
    <w:multiLevelType w:val="hybridMultilevel"/>
    <w:tmpl w:val="E5A0DC1C"/>
    <w:lvl w:ilvl="0" w:tplc="B054FC9E">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800C57"/>
    <w:multiLevelType w:val="hybridMultilevel"/>
    <w:tmpl w:val="01B26E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9D2176E"/>
    <w:multiLevelType w:val="multilevel"/>
    <w:tmpl w:val="322E7350"/>
    <w:lvl w:ilvl="0">
      <w:start w:val="2"/>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36" w15:restartNumberingAfterBreak="0">
    <w:nsid w:val="59D453AF"/>
    <w:multiLevelType w:val="hybridMultilevel"/>
    <w:tmpl w:val="F334BB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63F4947"/>
    <w:multiLevelType w:val="hybridMultilevel"/>
    <w:tmpl w:val="D9A63C7A"/>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15:restartNumberingAfterBreak="0">
    <w:nsid w:val="6A4A5D0E"/>
    <w:multiLevelType w:val="hybridMultilevel"/>
    <w:tmpl w:val="4B602D2E"/>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6D116F15"/>
    <w:multiLevelType w:val="hybridMultilevel"/>
    <w:tmpl w:val="938A8DA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04E2C5D"/>
    <w:multiLevelType w:val="multilevel"/>
    <w:tmpl w:val="2FFE8E0A"/>
    <w:lvl w:ilvl="0">
      <w:start w:val="1"/>
      <w:numFmt w:val="bullet"/>
      <w:lvlText w:val="-"/>
      <w:lvlJc w:val="left"/>
      <w:pPr>
        <w:tabs>
          <w:tab w:val="num" w:pos="0"/>
        </w:tabs>
        <w:ind w:left="720" w:hanging="360"/>
      </w:pPr>
      <w:rPr>
        <w:rFonts w:ascii="Calibri" w:eastAsiaTheme="minorHAns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1" w15:restartNumberingAfterBreak="0">
    <w:nsid w:val="71DD6FE0"/>
    <w:multiLevelType w:val="hybridMultilevel"/>
    <w:tmpl w:val="AD484C80"/>
    <w:lvl w:ilvl="0" w:tplc="36945788">
      <w:start w:val="1"/>
      <w:numFmt w:val="decimal"/>
      <w:lvlText w:val="%1."/>
      <w:lvlJc w:val="left"/>
      <w:pPr>
        <w:ind w:left="360" w:hanging="360"/>
      </w:pPr>
      <w:rPr>
        <w:rFonts w:cs="Times New Roman"/>
        <w:sz w:val="20"/>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42" w15:restartNumberingAfterBreak="0">
    <w:nsid w:val="72B7346D"/>
    <w:multiLevelType w:val="hybridMultilevel"/>
    <w:tmpl w:val="94367D50"/>
    <w:lvl w:ilvl="0" w:tplc="CFF6B992">
      <w:start w:val="2"/>
      <w:numFmt w:val="decimal"/>
      <w:lvlText w:val="%1."/>
      <w:lvlJc w:val="left"/>
      <w:pPr>
        <w:ind w:left="284" w:hanging="360"/>
      </w:pPr>
      <w:rPr>
        <w:rFonts w:cs="Times New Roman" w:hint="default"/>
      </w:rPr>
    </w:lvl>
    <w:lvl w:ilvl="1" w:tplc="10000019" w:tentative="1">
      <w:start w:val="1"/>
      <w:numFmt w:val="lowerLetter"/>
      <w:lvlText w:val="%2."/>
      <w:lvlJc w:val="left"/>
      <w:pPr>
        <w:ind w:left="1004" w:hanging="360"/>
      </w:pPr>
      <w:rPr>
        <w:rFonts w:cs="Times New Roman"/>
      </w:rPr>
    </w:lvl>
    <w:lvl w:ilvl="2" w:tplc="1000001B" w:tentative="1">
      <w:start w:val="1"/>
      <w:numFmt w:val="lowerRoman"/>
      <w:lvlText w:val="%3."/>
      <w:lvlJc w:val="right"/>
      <w:pPr>
        <w:ind w:left="1724" w:hanging="180"/>
      </w:pPr>
      <w:rPr>
        <w:rFonts w:cs="Times New Roman"/>
      </w:rPr>
    </w:lvl>
    <w:lvl w:ilvl="3" w:tplc="1000000F" w:tentative="1">
      <w:start w:val="1"/>
      <w:numFmt w:val="decimal"/>
      <w:lvlText w:val="%4."/>
      <w:lvlJc w:val="left"/>
      <w:pPr>
        <w:ind w:left="2444" w:hanging="360"/>
      </w:pPr>
      <w:rPr>
        <w:rFonts w:cs="Times New Roman"/>
      </w:rPr>
    </w:lvl>
    <w:lvl w:ilvl="4" w:tplc="10000019" w:tentative="1">
      <w:start w:val="1"/>
      <w:numFmt w:val="lowerLetter"/>
      <w:lvlText w:val="%5."/>
      <w:lvlJc w:val="left"/>
      <w:pPr>
        <w:ind w:left="3164" w:hanging="360"/>
      </w:pPr>
      <w:rPr>
        <w:rFonts w:cs="Times New Roman"/>
      </w:rPr>
    </w:lvl>
    <w:lvl w:ilvl="5" w:tplc="1000001B" w:tentative="1">
      <w:start w:val="1"/>
      <w:numFmt w:val="lowerRoman"/>
      <w:lvlText w:val="%6."/>
      <w:lvlJc w:val="right"/>
      <w:pPr>
        <w:ind w:left="3884" w:hanging="180"/>
      </w:pPr>
      <w:rPr>
        <w:rFonts w:cs="Times New Roman"/>
      </w:rPr>
    </w:lvl>
    <w:lvl w:ilvl="6" w:tplc="1000000F" w:tentative="1">
      <w:start w:val="1"/>
      <w:numFmt w:val="decimal"/>
      <w:lvlText w:val="%7."/>
      <w:lvlJc w:val="left"/>
      <w:pPr>
        <w:ind w:left="4604" w:hanging="360"/>
      </w:pPr>
      <w:rPr>
        <w:rFonts w:cs="Times New Roman"/>
      </w:rPr>
    </w:lvl>
    <w:lvl w:ilvl="7" w:tplc="10000019" w:tentative="1">
      <w:start w:val="1"/>
      <w:numFmt w:val="lowerLetter"/>
      <w:lvlText w:val="%8."/>
      <w:lvlJc w:val="left"/>
      <w:pPr>
        <w:ind w:left="5324" w:hanging="360"/>
      </w:pPr>
      <w:rPr>
        <w:rFonts w:cs="Times New Roman"/>
      </w:rPr>
    </w:lvl>
    <w:lvl w:ilvl="8" w:tplc="1000001B" w:tentative="1">
      <w:start w:val="1"/>
      <w:numFmt w:val="lowerRoman"/>
      <w:lvlText w:val="%9."/>
      <w:lvlJc w:val="right"/>
      <w:pPr>
        <w:ind w:left="6044" w:hanging="180"/>
      </w:pPr>
      <w:rPr>
        <w:rFonts w:cs="Times New Roman"/>
      </w:rPr>
    </w:lvl>
  </w:abstractNum>
  <w:num w:numId="1" w16cid:durableId="305091768">
    <w:abstractNumId w:val="18"/>
  </w:num>
  <w:num w:numId="2" w16cid:durableId="761994659">
    <w:abstractNumId w:val="2"/>
  </w:num>
  <w:num w:numId="3" w16cid:durableId="2001731729">
    <w:abstractNumId w:val="28"/>
  </w:num>
  <w:num w:numId="4" w16cid:durableId="1747267294">
    <w:abstractNumId w:val="29"/>
  </w:num>
  <w:num w:numId="5" w16cid:durableId="716780389">
    <w:abstractNumId w:val="32"/>
  </w:num>
  <w:num w:numId="6" w16cid:durableId="2092847852">
    <w:abstractNumId w:val="40"/>
  </w:num>
  <w:num w:numId="7" w16cid:durableId="1407649654">
    <w:abstractNumId w:val="27"/>
  </w:num>
  <w:num w:numId="8" w16cid:durableId="1525436436">
    <w:abstractNumId w:val="13"/>
  </w:num>
  <w:num w:numId="9" w16cid:durableId="1632665211">
    <w:abstractNumId w:val="10"/>
  </w:num>
  <w:num w:numId="10" w16cid:durableId="1807359852">
    <w:abstractNumId w:val="15"/>
  </w:num>
  <w:num w:numId="11" w16cid:durableId="1960409808">
    <w:abstractNumId w:val="8"/>
  </w:num>
  <w:num w:numId="12" w16cid:durableId="950238199">
    <w:abstractNumId w:val="5"/>
  </w:num>
  <w:num w:numId="13" w16cid:durableId="273367959">
    <w:abstractNumId w:val="30"/>
  </w:num>
  <w:num w:numId="14" w16cid:durableId="1712991661">
    <w:abstractNumId w:val="33"/>
  </w:num>
  <w:num w:numId="15" w16cid:durableId="63378360">
    <w:abstractNumId w:val="17"/>
  </w:num>
  <w:num w:numId="16" w16cid:durableId="3529235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85674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54378272">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98971103">
    <w:abstractNumId w:val="11"/>
  </w:num>
  <w:num w:numId="20" w16cid:durableId="908734795">
    <w:abstractNumId w:val="23"/>
  </w:num>
  <w:num w:numId="21" w16cid:durableId="412312977">
    <w:abstractNumId w:val="39"/>
  </w:num>
  <w:num w:numId="22" w16cid:durableId="591745100">
    <w:abstractNumId w:val="19"/>
  </w:num>
  <w:num w:numId="23" w16cid:durableId="737020394">
    <w:abstractNumId w:val="25"/>
  </w:num>
  <w:num w:numId="24" w16cid:durableId="444544966">
    <w:abstractNumId w:val="3"/>
  </w:num>
  <w:num w:numId="25" w16cid:durableId="1703557687">
    <w:abstractNumId w:val="14"/>
  </w:num>
  <w:num w:numId="26" w16cid:durableId="1466122614">
    <w:abstractNumId w:val="24"/>
  </w:num>
  <w:num w:numId="27" w16cid:durableId="1361010392">
    <w:abstractNumId w:val="37"/>
  </w:num>
  <w:num w:numId="28" w16cid:durableId="517277967">
    <w:abstractNumId w:val="21"/>
  </w:num>
  <w:num w:numId="29" w16cid:durableId="242109993">
    <w:abstractNumId w:val="12"/>
  </w:num>
  <w:num w:numId="30" w16cid:durableId="137311234">
    <w:abstractNumId w:val="9"/>
  </w:num>
  <w:num w:numId="31" w16cid:durableId="1528131880">
    <w:abstractNumId w:val="4"/>
  </w:num>
  <w:num w:numId="32" w16cid:durableId="1037124366">
    <w:abstractNumId w:val="6"/>
  </w:num>
  <w:num w:numId="33" w16cid:durableId="63722084">
    <w:abstractNumId w:val="42"/>
  </w:num>
  <w:num w:numId="34" w16cid:durableId="798839315">
    <w:abstractNumId w:val="20"/>
  </w:num>
  <w:num w:numId="35" w16cid:durableId="883953032">
    <w:abstractNumId w:val="34"/>
  </w:num>
  <w:num w:numId="36" w16cid:durableId="1848717334">
    <w:abstractNumId w:val="26"/>
  </w:num>
  <w:num w:numId="37" w16cid:durableId="1044479041">
    <w:abstractNumId w:val="1"/>
  </w:num>
  <w:num w:numId="38" w16cid:durableId="1541287139">
    <w:abstractNumId w:val="31"/>
  </w:num>
  <w:num w:numId="39" w16cid:durableId="1554541552">
    <w:abstractNumId w:val="16"/>
  </w:num>
  <w:num w:numId="40" w16cid:durableId="909265101">
    <w:abstractNumId w:val="22"/>
  </w:num>
  <w:num w:numId="41" w16cid:durableId="820121950">
    <w:abstractNumId w:val="38"/>
  </w:num>
  <w:num w:numId="42" w16cid:durableId="2052343975">
    <w:abstractNumId w:val="7"/>
  </w:num>
  <w:num w:numId="43" w16cid:durableId="51773801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725"/>
    <w:rsid w:val="00014294"/>
    <w:rsid w:val="0007200A"/>
    <w:rsid w:val="00077ED1"/>
    <w:rsid w:val="00080C32"/>
    <w:rsid w:val="000C58CC"/>
    <w:rsid w:val="00101683"/>
    <w:rsid w:val="001221FD"/>
    <w:rsid w:val="00123E0D"/>
    <w:rsid w:val="0014568F"/>
    <w:rsid w:val="00167711"/>
    <w:rsid w:val="00190D8D"/>
    <w:rsid w:val="001E58BD"/>
    <w:rsid w:val="002151EF"/>
    <w:rsid w:val="00230F44"/>
    <w:rsid w:val="002478FB"/>
    <w:rsid w:val="00276225"/>
    <w:rsid w:val="0027659A"/>
    <w:rsid w:val="002B0645"/>
    <w:rsid w:val="002B67BC"/>
    <w:rsid w:val="003351E6"/>
    <w:rsid w:val="00342E49"/>
    <w:rsid w:val="003447DF"/>
    <w:rsid w:val="0036642D"/>
    <w:rsid w:val="003771A6"/>
    <w:rsid w:val="00384F10"/>
    <w:rsid w:val="003969FE"/>
    <w:rsid w:val="00397668"/>
    <w:rsid w:val="003B2B8B"/>
    <w:rsid w:val="003D25A9"/>
    <w:rsid w:val="003E1F21"/>
    <w:rsid w:val="003F1C84"/>
    <w:rsid w:val="0043592F"/>
    <w:rsid w:val="0047769F"/>
    <w:rsid w:val="00482505"/>
    <w:rsid w:val="00493EB2"/>
    <w:rsid w:val="00494503"/>
    <w:rsid w:val="004C3822"/>
    <w:rsid w:val="00533032"/>
    <w:rsid w:val="00553AD0"/>
    <w:rsid w:val="00563308"/>
    <w:rsid w:val="00583710"/>
    <w:rsid w:val="005933AE"/>
    <w:rsid w:val="00594B0C"/>
    <w:rsid w:val="005A1640"/>
    <w:rsid w:val="005A6BFE"/>
    <w:rsid w:val="005A7519"/>
    <w:rsid w:val="005E0AE1"/>
    <w:rsid w:val="005E6DA3"/>
    <w:rsid w:val="005F78FF"/>
    <w:rsid w:val="006448ED"/>
    <w:rsid w:val="00644CBE"/>
    <w:rsid w:val="006705CB"/>
    <w:rsid w:val="00680EA0"/>
    <w:rsid w:val="006855D0"/>
    <w:rsid w:val="0069434A"/>
    <w:rsid w:val="00723DFB"/>
    <w:rsid w:val="00727E8A"/>
    <w:rsid w:val="00762F0C"/>
    <w:rsid w:val="0078136E"/>
    <w:rsid w:val="00785170"/>
    <w:rsid w:val="00791BAA"/>
    <w:rsid w:val="007A5F58"/>
    <w:rsid w:val="007C6064"/>
    <w:rsid w:val="007D2D86"/>
    <w:rsid w:val="007E2816"/>
    <w:rsid w:val="00804CB7"/>
    <w:rsid w:val="008056EB"/>
    <w:rsid w:val="00821288"/>
    <w:rsid w:val="00844923"/>
    <w:rsid w:val="00900958"/>
    <w:rsid w:val="00935612"/>
    <w:rsid w:val="00937926"/>
    <w:rsid w:val="00966077"/>
    <w:rsid w:val="0098123B"/>
    <w:rsid w:val="009906E4"/>
    <w:rsid w:val="00A365F0"/>
    <w:rsid w:val="00AB308D"/>
    <w:rsid w:val="00AB52C9"/>
    <w:rsid w:val="00AD6053"/>
    <w:rsid w:val="00B06385"/>
    <w:rsid w:val="00B11F0A"/>
    <w:rsid w:val="00B70A69"/>
    <w:rsid w:val="00B72724"/>
    <w:rsid w:val="00BA766B"/>
    <w:rsid w:val="00BB1152"/>
    <w:rsid w:val="00BD153C"/>
    <w:rsid w:val="00BD23C3"/>
    <w:rsid w:val="00BD3EBD"/>
    <w:rsid w:val="00C53E53"/>
    <w:rsid w:val="00C64F6A"/>
    <w:rsid w:val="00C70689"/>
    <w:rsid w:val="00C90077"/>
    <w:rsid w:val="00C9373A"/>
    <w:rsid w:val="00CB77B3"/>
    <w:rsid w:val="00CC6AD4"/>
    <w:rsid w:val="00CC72C5"/>
    <w:rsid w:val="00CF0081"/>
    <w:rsid w:val="00D70953"/>
    <w:rsid w:val="00D8336A"/>
    <w:rsid w:val="00DA0615"/>
    <w:rsid w:val="00DA0BED"/>
    <w:rsid w:val="00DE1E41"/>
    <w:rsid w:val="00DE5908"/>
    <w:rsid w:val="00DF26C2"/>
    <w:rsid w:val="00DF3075"/>
    <w:rsid w:val="00DF4AD9"/>
    <w:rsid w:val="00E05A9F"/>
    <w:rsid w:val="00E4411D"/>
    <w:rsid w:val="00E7780D"/>
    <w:rsid w:val="00E81B31"/>
    <w:rsid w:val="00E97725"/>
    <w:rsid w:val="00EA50C1"/>
    <w:rsid w:val="00EC37B5"/>
    <w:rsid w:val="00EC7D86"/>
    <w:rsid w:val="00EF0FF7"/>
    <w:rsid w:val="00F1418E"/>
    <w:rsid w:val="00F72E55"/>
    <w:rsid w:val="00F91DDA"/>
    <w:rsid w:val="00F93EE1"/>
    <w:rsid w:val="00FB42F4"/>
    <w:rsid w:val="00FE7A4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B7427"/>
  <w15:chartTrackingRefBased/>
  <w15:docId w15:val="{EF226F68-1E3F-4C15-800A-F8F3AA375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725"/>
    <w:pPr>
      <w:suppressAutoHyphens/>
    </w:pPr>
  </w:style>
  <w:style w:type="paragraph" w:styleId="Titre2">
    <w:name w:val="heading 2"/>
    <w:basedOn w:val="Normal"/>
    <w:next w:val="Normal"/>
    <w:link w:val="Titre2Car"/>
    <w:uiPriority w:val="99"/>
    <w:semiHidden/>
    <w:unhideWhenUsed/>
    <w:qFormat/>
    <w:rsid w:val="002478FB"/>
    <w:pPr>
      <w:keepNext/>
      <w:suppressAutoHyphens w:val="0"/>
      <w:spacing w:before="240" w:after="60" w:line="240" w:lineRule="auto"/>
      <w:outlineLvl w:val="1"/>
    </w:pPr>
    <w:rPr>
      <w:rFonts w:ascii="Arial" w:eastAsia="Times New Roman" w:hAnsi="Arial" w:cs="Times New Roman"/>
      <w:b/>
      <w:bCs/>
      <w:iCs/>
      <w:sz w:val="24"/>
      <w:szCs w:val="28"/>
      <w:lang w:val="en-GB"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basedOn w:val="Policepardfaut"/>
    <w:link w:val="En-tte"/>
    <w:uiPriority w:val="99"/>
    <w:qFormat/>
    <w:rsid w:val="00E97725"/>
  </w:style>
  <w:style w:type="character" w:customStyle="1" w:styleId="ParagraphedelisteCar">
    <w:name w:val="Paragraphe de liste Car"/>
    <w:aliases w:val="Numbered Paragraph Car,Main numbered paragraph Car,References Car,Numbered List Paragraph Car,123 List Paragraph Car,Bullets Car,List Paragraph (numbered (a)) Car,List Paragraph nowy Car,Liste 1 Car,List_Paragraph Car,EC Car"/>
    <w:link w:val="Paragraphedeliste"/>
    <w:uiPriority w:val="34"/>
    <w:qFormat/>
    <w:locked/>
    <w:rsid w:val="00E97725"/>
  </w:style>
  <w:style w:type="character" w:customStyle="1" w:styleId="NotedebasdepageCar">
    <w:name w:val="Note de bas de page Car"/>
    <w:basedOn w:val="Policepardfaut"/>
    <w:link w:val="Notedebasdepage"/>
    <w:uiPriority w:val="99"/>
    <w:semiHidden/>
    <w:qFormat/>
    <w:rsid w:val="00E97725"/>
    <w:rPr>
      <w:rFonts w:eastAsiaTheme="minorEastAsia"/>
      <w:sz w:val="20"/>
      <w:szCs w:val="20"/>
      <w:lang w:eastAsia="zh-CN"/>
    </w:rPr>
  </w:style>
  <w:style w:type="character" w:customStyle="1" w:styleId="Caractresdenotedebasdepage">
    <w:name w:val="Caractères de note de bas de page"/>
    <w:uiPriority w:val="99"/>
    <w:semiHidden/>
    <w:unhideWhenUsed/>
    <w:qFormat/>
    <w:rsid w:val="00E97725"/>
    <w:rPr>
      <w:vertAlign w:val="superscript"/>
    </w:rPr>
  </w:style>
  <w:style w:type="character" w:styleId="Appelnotedebasdep">
    <w:name w:val="footnote reference"/>
    <w:rsid w:val="00E97725"/>
    <w:rPr>
      <w:vertAlign w:val="superscript"/>
    </w:rPr>
  </w:style>
  <w:style w:type="character" w:customStyle="1" w:styleId="PieddepageCar">
    <w:name w:val="Pied de page Car"/>
    <w:basedOn w:val="Policepardfaut"/>
    <w:link w:val="Pieddepage"/>
    <w:uiPriority w:val="99"/>
    <w:qFormat/>
    <w:rsid w:val="00E97725"/>
  </w:style>
  <w:style w:type="paragraph" w:styleId="Paragraphedeliste">
    <w:name w:val="List Paragraph"/>
    <w:aliases w:val="Numbered Paragraph,Main numbered paragraph,References,Numbered List Paragraph,123 List Paragraph,Bullets,List Paragraph (numbered (a)),List Paragraph nowy,Liste 1,List_Paragraph,Multilevel para_II,List Paragraph1,Bullet paras,EC"/>
    <w:basedOn w:val="Normal"/>
    <w:link w:val="ParagraphedelisteCar"/>
    <w:uiPriority w:val="34"/>
    <w:qFormat/>
    <w:rsid w:val="00E97725"/>
    <w:pPr>
      <w:ind w:left="720"/>
      <w:contextualSpacing/>
    </w:pPr>
  </w:style>
  <w:style w:type="paragraph" w:styleId="En-tte">
    <w:name w:val="header"/>
    <w:basedOn w:val="Normal"/>
    <w:link w:val="En-tteCar"/>
    <w:uiPriority w:val="99"/>
    <w:unhideWhenUsed/>
    <w:rsid w:val="00E97725"/>
    <w:pPr>
      <w:tabs>
        <w:tab w:val="center" w:pos="4536"/>
        <w:tab w:val="right" w:pos="9072"/>
      </w:tabs>
      <w:spacing w:after="0" w:line="240" w:lineRule="auto"/>
    </w:pPr>
  </w:style>
  <w:style w:type="character" w:customStyle="1" w:styleId="En-tteCar1">
    <w:name w:val="En-tête Car1"/>
    <w:basedOn w:val="Policepardfaut"/>
    <w:uiPriority w:val="99"/>
    <w:semiHidden/>
    <w:rsid w:val="00E97725"/>
  </w:style>
  <w:style w:type="paragraph" w:customStyle="1" w:styleId="UrbayitiTITRE2">
    <w:name w:val="Urbayiti TITRE 2"/>
    <w:basedOn w:val="Normal"/>
    <w:qFormat/>
    <w:rsid w:val="00E97725"/>
    <w:pPr>
      <w:keepNext/>
      <w:spacing w:after="0" w:line="240" w:lineRule="auto"/>
    </w:pPr>
    <w:rPr>
      <w:rFonts w:ascii="Liberation Sans" w:hAnsi="Liberation Sans" w:cs="Times New Roman"/>
      <w:b/>
      <w:bCs/>
      <w:i/>
      <w:iCs/>
      <w:color w:val="1F3864"/>
      <w:sz w:val="28"/>
      <w:szCs w:val="28"/>
      <w:lang w:eastAsia="zh-CN"/>
    </w:rPr>
  </w:style>
  <w:style w:type="paragraph" w:styleId="Notedebasdepage">
    <w:name w:val="footnote text"/>
    <w:basedOn w:val="Normal"/>
    <w:link w:val="NotedebasdepageCar"/>
    <w:uiPriority w:val="99"/>
    <w:semiHidden/>
    <w:unhideWhenUsed/>
    <w:rsid w:val="00E97725"/>
    <w:pPr>
      <w:spacing w:after="0" w:line="240" w:lineRule="auto"/>
    </w:pPr>
    <w:rPr>
      <w:rFonts w:eastAsiaTheme="minorEastAsia"/>
      <w:sz w:val="20"/>
      <w:szCs w:val="20"/>
      <w:lang w:eastAsia="zh-CN"/>
    </w:rPr>
  </w:style>
  <w:style w:type="character" w:customStyle="1" w:styleId="NotedebasdepageCar1">
    <w:name w:val="Note de bas de page Car1"/>
    <w:basedOn w:val="Policepardfaut"/>
    <w:uiPriority w:val="99"/>
    <w:semiHidden/>
    <w:rsid w:val="00E97725"/>
    <w:rPr>
      <w:sz w:val="20"/>
      <w:szCs w:val="20"/>
    </w:rPr>
  </w:style>
  <w:style w:type="paragraph" w:styleId="Pieddepage">
    <w:name w:val="footer"/>
    <w:basedOn w:val="Normal"/>
    <w:link w:val="PieddepageCar"/>
    <w:uiPriority w:val="99"/>
    <w:unhideWhenUsed/>
    <w:rsid w:val="00E97725"/>
    <w:pPr>
      <w:tabs>
        <w:tab w:val="center" w:pos="4536"/>
        <w:tab w:val="right" w:pos="9072"/>
      </w:tabs>
      <w:spacing w:after="0" w:line="240" w:lineRule="auto"/>
    </w:pPr>
  </w:style>
  <w:style w:type="character" w:customStyle="1" w:styleId="PieddepageCar1">
    <w:name w:val="Pied de page Car1"/>
    <w:basedOn w:val="Policepardfaut"/>
    <w:uiPriority w:val="99"/>
    <w:semiHidden/>
    <w:rsid w:val="00E97725"/>
  </w:style>
  <w:style w:type="paragraph" w:customStyle="1" w:styleId="Default">
    <w:name w:val="Default"/>
    <w:qFormat/>
    <w:rsid w:val="00E97725"/>
    <w:pPr>
      <w:suppressAutoHyphens/>
      <w:spacing w:after="0" w:line="240" w:lineRule="auto"/>
    </w:pPr>
    <w:rPr>
      <w:rFonts w:ascii="Times New Roman" w:eastAsia="Calibri" w:hAnsi="Times New Roman" w:cs="Times New Roman"/>
      <w:color w:val="000000"/>
      <w:sz w:val="24"/>
      <w:szCs w:val="24"/>
    </w:rPr>
  </w:style>
  <w:style w:type="table" w:styleId="TableauGrille6Couleur-Accentuation5">
    <w:name w:val="Grid Table 6 Colorful Accent 5"/>
    <w:basedOn w:val="TableauNormal"/>
    <w:uiPriority w:val="51"/>
    <w:rsid w:val="00E97725"/>
    <w:pPr>
      <w:suppressAutoHyphens/>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lledutableau">
    <w:name w:val="Table Grid"/>
    <w:aliases w:val="TabelEcorys"/>
    <w:basedOn w:val="TableauNormal"/>
    <w:uiPriority w:val="59"/>
    <w:rsid w:val="00E97725"/>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DE1E41"/>
    <w:pPr>
      <w:spacing w:after="0" w:line="240" w:lineRule="auto"/>
    </w:pPr>
  </w:style>
  <w:style w:type="paragraph" w:styleId="Textedebulles">
    <w:name w:val="Balloon Text"/>
    <w:basedOn w:val="Normal"/>
    <w:link w:val="TextedebullesCar"/>
    <w:uiPriority w:val="99"/>
    <w:semiHidden/>
    <w:unhideWhenUsed/>
    <w:rsid w:val="00DE1E4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E1E41"/>
    <w:rPr>
      <w:rFonts w:ascii="Segoe UI" w:hAnsi="Segoe UI" w:cs="Segoe UI"/>
      <w:sz w:val="18"/>
      <w:szCs w:val="18"/>
    </w:rPr>
  </w:style>
  <w:style w:type="character" w:customStyle="1" w:styleId="Titre2Car">
    <w:name w:val="Titre 2 Car"/>
    <w:basedOn w:val="Policepardfaut"/>
    <w:link w:val="Titre2"/>
    <w:uiPriority w:val="99"/>
    <w:semiHidden/>
    <w:rsid w:val="002478FB"/>
    <w:rPr>
      <w:rFonts w:ascii="Arial" w:eastAsia="Times New Roman" w:hAnsi="Arial" w:cs="Times New Roman"/>
      <w:b/>
      <w:bCs/>
      <w:iCs/>
      <w:sz w:val="24"/>
      <w:szCs w:val="28"/>
      <w:lang w:val="en-GB" w:eastAsia="en-GB"/>
    </w:rPr>
  </w:style>
  <w:style w:type="paragraph" w:styleId="NormalWeb">
    <w:name w:val="Normal (Web)"/>
    <w:basedOn w:val="Normal"/>
    <w:uiPriority w:val="99"/>
    <w:unhideWhenUsed/>
    <w:rsid w:val="002478FB"/>
    <w:pPr>
      <w:suppressAutoHyphens w:val="0"/>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ablebulletsChar">
    <w:name w:val="Table bullets Char"/>
    <w:link w:val="Tablebullets"/>
    <w:locked/>
    <w:rsid w:val="002478FB"/>
    <w:rPr>
      <w:rFonts w:ascii="Arial Narrow" w:hAnsi="Arial Narrow"/>
      <w:color w:val="1F497D"/>
      <w:spacing w:val="4"/>
      <w:sz w:val="18"/>
      <w:lang w:val="x-none" w:eastAsia="fr-BE"/>
    </w:rPr>
  </w:style>
  <w:style w:type="paragraph" w:customStyle="1" w:styleId="Tablebullets">
    <w:name w:val="Table bullets"/>
    <w:basedOn w:val="Normal"/>
    <w:link w:val="TablebulletsChar"/>
    <w:qFormat/>
    <w:rsid w:val="002478FB"/>
    <w:pPr>
      <w:numPr>
        <w:numId w:val="15"/>
      </w:numPr>
      <w:suppressAutoHyphens w:val="0"/>
      <w:spacing w:before="40" w:after="0" w:line="288" w:lineRule="auto"/>
    </w:pPr>
    <w:rPr>
      <w:rFonts w:ascii="Arial Narrow" w:hAnsi="Arial Narrow"/>
      <w:color w:val="1F497D"/>
      <w:spacing w:val="4"/>
      <w:sz w:val="18"/>
      <w:lang w:val="x-none" w:eastAsia="fr-BE"/>
    </w:rPr>
  </w:style>
  <w:style w:type="character" w:customStyle="1" w:styleId="markedcontent">
    <w:name w:val="markedcontent"/>
    <w:basedOn w:val="Policepardfaut"/>
    <w:rsid w:val="002478F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D9002-AA61-4D1E-B144-07BC0118F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1618</Words>
  <Characters>9224</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Expertise France</Company>
  <LinksUpToDate>false</LinksUpToDate>
  <CharactersWithSpaces>10821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EDGARD</dc:creator>
  <cp:keywords/>
  <dc:description/>
  <cp:lastModifiedBy>Hp</cp:lastModifiedBy>
  <cp:revision>6</cp:revision>
  <dcterms:created xsi:type="dcterms:W3CDTF">2026-04-03T09:45:00Z</dcterms:created>
  <dcterms:modified xsi:type="dcterms:W3CDTF">2026-04-08T10:38:00Z</dcterms:modified>
</cp:coreProperties>
</file>