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528345" w:displacedByCustomXml="next"/>
    <w:sdt>
      <w:sdtPr>
        <w:rPr>
          <w:b/>
          <w:color w:val="76923C"/>
          <w:sz w:val="28"/>
          <w:szCs w:val="28"/>
        </w:rPr>
        <w:id w:val="-1414697168"/>
        <w:docPartObj>
          <w:docPartGallery w:val="Cover Pages"/>
          <w:docPartUnique/>
        </w:docPartObj>
      </w:sdtPr>
      <w:sdtContent>
        <w:p w14:paraId="14965D68" w14:textId="7223B8D7" w:rsidR="00555714" w:rsidRPr="00971F91" w:rsidRDefault="00555714" w:rsidP="00AC0F68">
          <w:pPr>
            <w:spacing w:before="2000" w:after="200" w:line="276" w:lineRule="auto"/>
            <w:jc w:val="center"/>
            <w:rPr>
              <w:b/>
              <w:bCs/>
              <w:i/>
              <w:iCs/>
              <w:sz w:val="36"/>
              <w:szCs w:val="36"/>
            </w:rPr>
          </w:pPr>
          <w:r w:rsidRPr="00971F91">
            <w:rPr>
              <w:b/>
              <w:bCs/>
              <w:sz w:val="24"/>
              <w:szCs w:val="24"/>
            </w:rPr>
            <w:t>TERMES DE REFERENCE (TdR)</w:t>
          </w:r>
        </w:p>
        <w:p w14:paraId="0F105E99" w14:textId="3154C5E1" w:rsidR="0028621C" w:rsidRDefault="00971F91" w:rsidP="00AC0F68">
          <w:pPr>
            <w:autoSpaceDE w:val="0"/>
            <w:autoSpaceDN w:val="0"/>
            <w:adjustRightInd w:val="0"/>
            <w:spacing w:before="2000" w:after="200" w:line="276" w:lineRule="auto"/>
            <w:jc w:val="center"/>
            <w:rPr>
              <w:b/>
              <w:bCs/>
              <w:i/>
              <w:iCs/>
              <w:sz w:val="36"/>
              <w:szCs w:val="36"/>
            </w:rPr>
          </w:pPr>
          <w:r>
            <w:rPr>
              <w:b/>
              <w:bCs/>
              <w:i/>
              <w:iCs/>
              <w:sz w:val="36"/>
              <w:szCs w:val="36"/>
            </w:rPr>
            <w:t>«</w:t>
          </w:r>
          <w:r w:rsidR="00CB53F1">
            <w:rPr>
              <w:b/>
              <w:bCs/>
              <w:i/>
              <w:iCs/>
              <w:sz w:val="36"/>
              <w:szCs w:val="36"/>
            </w:rPr>
            <w:t xml:space="preserve"> </w:t>
          </w:r>
          <w:r w:rsidR="00CB53F1" w:rsidRPr="00CB53F1">
            <w:rPr>
              <w:b/>
              <w:bCs/>
              <w:i/>
              <w:iCs/>
              <w:sz w:val="36"/>
              <w:szCs w:val="36"/>
            </w:rPr>
            <w:t>Renforcement des capacités en ingénierie aquacole</w:t>
          </w:r>
          <w:r>
            <w:rPr>
              <w:b/>
              <w:bCs/>
              <w:i/>
              <w:iCs/>
              <w:sz w:val="36"/>
              <w:szCs w:val="36"/>
            </w:rPr>
            <w:t> </w:t>
          </w:r>
          <w:r w:rsidR="00CB53F1">
            <w:rPr>
              <w:b/>
              <w:bCs/>
              <w:i/>
              <w:iCs/>
              <w:sz w:val="36"/>
              <w:szCs w:val="36"/>
            </w:rPr>
            <w:t>et appui à l’é</w:t>
          </w:r>
          <w:r w:rsidR="0022107D" w:rsidRPr="0022107D">
            <w:rPr>
              <w:b/>
              <w:bCs/>
              <w:i/>
              <w:iCs/>
              <w:sz w:val="36"/>
              <w:szCs w:val="36"/>
            </w:rPr>
            <w:t>laboration de manuels de référence pour les modalités d'aquaculture en Algérie</w:t>
          </w:r>
          <w:r w:rsidR="0022107D">
            <w:rPr>
              <w:b/>
              <w:bCs/>
              <w:i/>
              <w:iCs/>
              <w:sz w:val="36"/>
              <w:szCs w:val="36"/>
            </w:rPr>
            <w:t> »</w:t>
          </w:r>
        </w:p>
        <w:p w14:paraId="0209CA82" w14:textId="72DC6BDB" w:rsidR="0028621C" w:rsidRPr="00A45DC5" w:rsidRDefault="00071A9C" w:rsidP="00E466F5">
          <w:pPr>
            <w:spacing w:before="200" w:after="200" w:line="276" w:lineRule="auto"/>
            <w:rPr>
              <w:b/>
              <w:bCs/>
              <w:color w:val="003366"/>
              <w:sz w:val="28"/>
              <w:szCs w:val="24"/>
              <w:lang w:eastAsia="en-US"/>
            </w:rPr>
          </w:pPr>
          <w:r>
            <w:rPr>
              <w:b/>
              <w:noProof/>
              <w:color w:val="FFFFFF"/>
              <w:lang w:eastAsia="en-US"/>
            </w:rPr>
            <mc:AlternateContent>
              <mc:Choice Requires="wps">
                <w:drawing>
                  <wp:anchor distT="0" distB="0" distL="114300" distR="114300" simplePos="0" relativeHeight="251678720" behindDoc="0" locked="0" layoutInCell="1" allowOverlap="1" wp14:anchorId="5ED68408" wp14:editId="5BF220AD">
                    <wp:simplePos x="0" y="0"/>
                    <wp:positionH relativeFrom="column">
                      <wp:posOffset>3055620</wp:posOffset>
                    </wp:positionH>
                    <wp:positionV relativeFrom="paragraph">
                      <wp:posOffset>8037830</wp:posOffset>
                    </wp:positionV>
                    <wp:extent cx="2941320" cy="297180"/>
                    <wp:effectExtent l="0" t="0" r="0" b="0"/>
                    <wp:wrapNone/>
                    <wp:docPr id="36090093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97180"/>
                            </a:xfrm>
                            <a:prstGeom prst="rect">
                              <a:avLst/>
                            </a:prstGeom>
                            <a:noFill/>
                            <a:ln w="6350">
                              <a:noFill/>
                            </a:ln>
                          </wps:spPr>
                          <wps:txbx>
                            <w:txbxContent>
                              <w:p w14:paraId="23010615" w14:textId="77777777" w:rsidR="003F58B5" w:rsidRPr="00A45DC5" w:rsidRDefault="003F58B5" w:rsidP="00842CA0">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14:paraId="795321F7" w14:textId="77777777" w:rsidR="003F58B5" w:rsidRDefault="003F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D68408" id="_x0000_t202" coordsize="21600,21600" o:spt="202" path="m,l,21600r21600,l21600,xe">
                    <v:stroke joinstyle="miter"/>
                    <v:path gradientshapeok="t" o:connecttype="rect"/>
                  </v:shapetype>
                  <v:shape id="Zone de texte 1" o:spid="_x0000_s1026" type="#_x0000_t202" style="position:absolute;left:0;text-align:left;margin-left:240.6pt;margin-top:632.9pt;width:231.6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" filled="f" stroked="f" strokeweight=".5pt">
                    <v:textbox>
                      <w:txbxContent>
                        <w:p w14:paraId="23010615" w14:textId="77777777" w:rsidR="003F58B5" w:rsidRPr="00A45DC5" w:rsidRDefault="003F58B5" w:rsidP="00842CA0">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14:paraId="795321F7" w14:textId="77777777" w:rsidR="003F58B5" w:rsidRDefault="003F58B5"/>
                      </w:txbxContent>
                    </v:textbox>
                  </v:shape>
                </w:pict>
              </mc:Fallback>
            </mc:AlternateContent>
          </w:r>
          <w:r w:rsidR="0028621C">
            <w:rPr>
              <w:sz w:val="24"/>
              <w:szCs w:val="24"/>
            </w:rPr>
            <w:br w:type="page"/>
          </w:r>
        </w:p>
        <w:p w14:paraId="4CAA962C" w14:textId="77777777" w:rsidR="00C9452B" w:rsidRPr="00C9452B" w:rsidRDefault="00C9452B" w:rsidP="00E466F5">
          <w:pPr>
            <w:pStyle w:val="Titre1"/>
            <w:widowControl/>
            <w:numPr>
              <w:ilvl w:val="0"/>
              <w:numId w:val="7"/>
            </w:numPr>
            <w:pBdr>
              <w:bottom w:val="single" w:sz="8" w:space="1" w:color="244061" w:themeColor="accent1" w:themeShade="80"/>
            </w:pBdr>
            <w:spacing w:before="200" w:after="200" w:line="276" w:lineRule="auto"/>
            <w:rPr>
              <w:rFonts w:eastAsiaTheme="minorHAnsi"/>
              <w:caps/>
              <w:color w:val="0E408A"/>
              <w:szCs w:val="24"/>
              <w:lang w:eastAsia="en-US"/>
            </w:rPr>
          </w:pPr>
          <w:bookmarkStart w:id="1" w:name="_Toc122782235"/>
          <w:bookmarkStart w:id="2" w:name="_Hlk479611454"/>
          <w:r w:rsidRPr="00C9452B">
            <w:rPr>
              <w:rFonts w:eastAsiaTheme="minorHAnsi"/>
              <w:caps/>
              <w:color w:val="0E408A"/>
              <w:szCs w:val="24"/>
              <w:lang w:eastAsia="en-US"/>
            </w:rPr>
            <w:lastRenderedPageBreak/>
            <w:t>Contexte</w:t>
          </w:r>
          <w:bookmarkEnd w:id="1"/>
          <w:r w:rsidRPr="00C9452B">
            <w:rPr>
              <w:rFonts w:eastAsiaTheme="minorHAnsi"/>
              <w:caps/>
              <w:color w:val="0E408A"/>
              <w:szCs w:val="24"/>
              <w:lang w:eastAsia="en-US"/>
            </w:rPr>
            <w:t xml:space="preserve">  </w:t>
          </w:r>
        </w:p>
        <w:p w14:paraId="474FF1A0" w14:textId="77777777" w:rsidR="00C9452B" w:rsidRPr="00C9452B" w:rsidRDefault="00C9452B" w:rsidP="00E466F5">
          <w:pPr>
            <w:pStyle w:val="Titre1"/>
            <w:widowControl/>
            <w:numPr>
              <w:ilvl w:val="1"/>
              <w:numId w:val="7"/>
            </w:numPr>
            <w:pBdr>
              <w:bottom w:val="single" w:sz="8" w:space="1" w:color="244061" w:themeColor="accent1" w:themeShade="80"/>
            </w:pBdr>
            <w:spacing w:before="200" w:after="200" w:line="276" w:lineRule="auto"/>
            <w:jc w:val="both"/>
            <w:rPr>
              <w:rFonts w:eastAsiaTheme="minorHAnsi"/>
              <w:b w:val="0"/>
              <w:bCs/>
              <w:caps/>
              <w:color w:val="0E408A"/>
              <w:szCs w:val="24"/>
              <w:lang w:eastAsia="en-US"/>
            </w:rPr>
          </w:pPr>
          <w:bookmarkStart w:id="3" w:name="_Toc122782236"/>
          <w:bookmarkStart w:id="4" w:name="_Hlk117503286"/>
          <w:r w:rsidRPr="00C9452B">
            <w:rPr>
              <w:rFonts w:eastAsiaTheme="minorHAnsi"/>
              <w:b w:val="0"/>
              <w:bCs/>
              <w:color w:val="0E408A"/>
              <w:szCs w:val="24"/>
              <w:lang w:eastAsia="en-US"/>
            </w:rPr>
            <w:t>Présentation du programme</w:t>
          </w:r>
          <w:bookmarkEnd w:id="3"/>
        </w:p>
        <w:bookmarkEnd w:id="4"/>
        <w:p w14:paraId="60F55739" w14:textId="77777777" w:rsidR="00550E5D" w:rsidRDefault="00550E5D" w:rsidP="00E466F5">
          <w:pPr>
            <w:pStyle w:val="Corpsdetexte"/>
            <w:spacing w:before="200" w:after="200" w:line="276" w:lineRule="auto"/>
            <w:ind w:right="108"/>
          </w:pPr>
          <w:r w:rsidRPr="00550E5D">
            <w:t>L’objectif général du projet « Economie Bleue, Pêche et Aquaculture » est de contribuer au développement économique de l’Algérie en développant durablement l’Economie Bleue (EB) notamment dans le secteur de la pêche et de l’aquaculture en cohérence avec les actions que le Gouvernement algérien sera amené à lancer au titre de la mise en œuvre de la Stratégie Nationale pour l’Economie Bleue (SNEB).</w:t>
          </w:r>
        </w:p>
        <w:p w14:paraId="3F200637" w14:textId="7B68E130" w:rsidR="00181D83" w:rsidRPr="00181D83" w:rsidRDefault="00181D83" w:rsidP="00E466F5">
          <w:pPr>
            <w:pStyle w:val="Corpsdetexte"/>
            <w:spacing w:before="200" w:after="200" w:line="276" w:lineRule="auto"/>
            <w:ind w:right="108"/>
          </w:pPr>
          <w:r w:rsidRPr="00181D83">
            <w:t>La logique d’intervention du projet s’articule autour des actions phares prévues par la SNEB avec une attention particulière portée au développement des activités de pêche et d’aquaculture. Il s’agit d’un secteur clé réparti sur l’ensemble de la bande côtière du pays (</w:t>
          </w:r>
          <w:r w:rsidR="00E2108D">
            <w:t>plus de 2000</w:t>
          </w:r>
          <w:r w:rsidR="00E2108D" w:rsidRPr="00181D83">
            <w:t xml:space="preserve"> </w:t>
          </w:r>
          <w:r w:rsidRPr="00181D83">
            <w:t>km) et capable de fédérer l'ensemble des intervenants sectoriels de l’EB. Le présent programme a pour but d’accompagner le développement des opportunités économiques du secteur au profit des communautés côtières, d’une utilisation rationnelle des ressources et de la sauvegarde de l'environnement.</w:t>
          </w:r>
        </w:p>
        <w:p w14:paraId="4A9B4405" w14:textId="38CC0CB1" w:rsidR="00181D83" w:rsidRPr="008F6BBC" w:rsidRDefault="00181D83" w:rsidP="00E466F5">
          <w:pPr>
            <w:pStyle w:val="Corpsdetexte"/>
            <w:spacing w:before="200" w:after="200" w:line="276" w:lineRule="auto"/>
            <w:ind w:right="108"/>
          </w:pPr>
          <w:r w:rsidRPr="004E21F3">
            <w:t>Le projet « Economie Bleue – Pêche et Aquaculture » vient ainsi appuyer l’opérationnalisation de la SNEB-2030</w:t>
          </w:r>
          <w:r>
            <w:t xml:space="preserve"> autour de </w:t>
          </w:r>
          <w:r w:rsidRPr="00181D83">
            <w:t>t</w:t>
          </w:r>
          <w:r w:rsidRPr="008F6BBC">
            <w:t>rois objectifs spécifiques (OS)</w:t>
          </w:r>
          <w:r>
            <w:t> </w:t>
          </w:r>
          <w:r w:rsidR="005554C4">
            <w:t xml:space="preserve">et </w:t>
          </w:r>
          <w:r w:rsidR="006E5179">
            <w:t>dix résultats</w:t>
          </w:r>
          <w:r w:rsidR="00821653">
            <w:t> ;</w:t>
          </w:r>
        </w:p>
        <w:p w14:paraId="418D5E11" w14:textId="598E86AE" w:rsidR="00181D83" w:rsidRDefault="00181D83" w:rsidP="00E466F5">
          <w:pPr>
            <w:pStyle w:val="Paragraphedeliste"/>
            <w:widowControl w:val="0"/>
            <w:numPr>
              <w:ilvl w:val="0"/>
              <w:numId w:val="3"/>
            </w:numPr>
            <w:autoSpaceDE w:val="0"/>
            <w:autoSpaceDN w:val="0"/>
            <w:adjustRightInd w:val="0"/>
            <w:spacing w:before="200" w:after="200" w:line="276" w:lineRule="auto"/>
            <w:contextualSpacing w:val="0"/>
            <w:rPr>
              <w:sz w:val="22"/>
              <w:szCs w:val="22"/>
            </w:rPr>
          </w:pPr>
          <w:r w:rsidRPr="00181D83">
            <w:rPr>
              <w:b/>
              <w:sz w:val="22"/>
              <w:szCs w:val="22"/>
            </w:rPr>
            <w:t xml:space="preserve">OS1 – L’économie bleue soutient la création d'emplois, de valeur et de nouvelles opportunités d'investissement </w:t>
          </w:r>
          <w:r w:rsidRPr="00181D83">
            <w:rPr>
              <w:sz w:val="22"/>
              <w:szCs w:val="22"/>
            </w:rPr>
            <w:t>au profit des communautés côtières par la diversification des services, l’innovation, la mise en place de la Planification des Espaces Maritimes (PEM) et la promotion de l’aquaculture marine et continentale</w:t>
          </w:r>
          <w:r w:rsidR="00821653">
            <w:rPr>
              <w:sz w:val="22"/>
              <w:szCs w:val="22"/>
            </w:rPr>
            <w:t> ;</w:t>
          </w:r>
        </w:p>
        <w:p w14:paraId="2EB023D6" w14:textId="55A1D27F" w:rsidR="00181D83" w:rsidRDefault="00181D83" w:rsidP="00E466F5">
          <w:pPr>
            <w:pStyle w:val="Paragraphedeliste"/>
            <w:widowControl w:val="0"/>
            <w:numPr>
              <w:ilvl w:val="0"/>
              <w:numId w:val="3"/>
            </w:numPr>
            <w:autoSpaceDE w:val="0"/>
            <w:autoSpaceDN w:val="0"/>
            <w:adjustRightInd w:val="0"/>
            <w:spacing w:before="200" w:after="200" w:line="276" w:lineRule="auto"/>
            <w:contextualSpacing w:val="0"/>
            <w:rPr>
              <w:sz w:val="22"/>
              <w:szCs w:val="22"/>
            </w:rPr>
          </w:pPr>
          <w:r w:rsidRPr="00181D83">
            <w:rPr>
              <w:b/>
              <w:sz w:val="22"/>
              <w:szCs w:val="22"/>
            </w:rPr>
            <w:t>OS2 – Les revenus et les conditions de travail</w:t>
          </w:r>
          <w:r w:rsidRPr="00181D83">
            <w:rPr>
              <w:sz w:val="22"/>
              <w:szCs w:val="22"/>
            </w:rPr>
            <w:t xml:space="preserve"> des pêcheurs artisans sont améliorés</w:t>
          </w:r>
          <w:r w:rsidR="00821653">
            <w:rPr>
              <w:sz w:val="22"/>
              <w:szCs w:val="22"/>
            </w:rPr>
            <w:t> ;</w:t>
          </w:r>
        </w:p>
        <w:p w14:paraId="73878AA9" w14:textId="7C55432F" w:rsidR="00181D83" w:rsidRDefault="00181D83" w:rsidP="00E466F5">
          <w:pPr>
            <w:pStyle w:val="Paragraphedeliste"/>
            <w:widowControl w:val="0"/>
            <w:numPr>
              <w:ilvl w:val="0"/>
              <w:numId w:val="3"/>
            </w:numPr>
            <w:autoSpaceDE w:val="0"/>
            <w:autoSpaceDN w:val="0"/>
            <w:adjustRightInd w:val="0"/>
            <w:spacing w:before="200" w:after="200" w:line="276" w:lineRule="auto"/>
            <w:contextualSpacing w:val="0"/>
            <w:rPr>
              <w:sz w:val="22"/>
              <w:szCs w:val="22"/>
            </w:rPr>
          </w:pPr>
          <w:r w:rsidRPr="00181D83">
            <w:rPr>
              <w:b/>
              <w:sz w:val="22"/>
              <w:szCs w:val="22"/>
            </w:rPr>
            <w:t>OS3 – L’Algérie dispose des capacités opérationnelles pour assurer le suivi, le contrôle et la gestion de la pêche</w:t>
          </w:r>
          <w:r w:rsidRPr="00181D83">
            <w:rPr>
              <w:sz w:val="22"/>
              <w:szCs w:val="22"/>
            </w:rPr>
            <w:t xml:space="preserve"> sur l’ensemble de son territoire en répondant aux définitions et exigences d’encadrement et de rapportage auprès des instances régionales de régulation (CGPM, CICTA)</w:t>
          </w:r>
          <w:r w:rsidR="00821653">
            <w:rPr>
              <w:sz w:val="22"/>
              <w:szCs w:val="22"/>
            </w:rPr>
            <w:t>.</w:t>
          </w:r>
        </w:p>
        <w:p w14:paraId="64C07F8D" w14:textId="1F632932" w:rsidR="007C0B0C" w:rsidRDefault="00971F91" w:rsidP="00E466F5">
          <w:pPr>
            <w:spacing w:before="200" w:after="200" w:line="276" w:lineRule="auto"/>
            <w:rPr>
              <w:rFonts w:eastAsia="Calibri"/>
              <w:sz w:val="22"/>
              <w:szCs w:val="22"/>
              <w:lang w:eastAsia="en-US"/>
            </w:rPr>
          </w:pPr>
          <w:r>
            <w:rPr>
              <w:rFonts w:eastAsia="Calibri"/>
              <w:sz w:val="22"/>
              <w:szCs w:val="22"/>
              <w:lang w:eastAsia="en-US"/>
            </w:rPr>
            <w:t xml:space="preserve">La présente mission est liée de manière étroite </w:t>
          </w:r>
          <w:r w:rsidR="00AD16A0">
            <w:rPr>
              <w:rFonts w:eastAsia="Calibri"/>
              <w:sz w:val="22"/>
              <w:szCs w:val="22"/>
              <w:lang w:eastAsia="en-US"/>
            </w:rPr>
            <w:t>aux objectifs spécifiques OS1 et OS2</w:t>
          </w:r>
          <w:r>
            <w:rPr>
              <w:rFonts w:eastAsia="Calibri"/>
              <w:sz w:val="22"/>
              <w:szCs w:val="22"/>
              <w:lang w:eastAsia="en-US"/>
            </w:rPr>
            <w:t xml:space="preserve">, </w:t>
          </w:r>
          <w:r w:rsidR="00AD16A0">
            <w:rPr>
              <w:rFonts w:eastAsia="Calibri"/>
              <w:sz w:val="22"/>
              <w:szCs w:val="22"/>
              <w:lang w:eastAsia="en-US"/>
            </w:rPr>
            <w:t>avec une attention particulière</w:t>
          </w:r>
          <w:r>
            <w:rPr>
              <w:rFonts w:eastAsia="Calibri"/>
              <w:sz w:val="22"/>
              <w:szCs w:val="22"/>
              <w:lang w:eastAsia="en-US"/>
            </w:rPr>
            <w:t xml:space="preserve"> en ce qui concerne la promotion d’une aquaculture </w:t>
          </w:r>
          <w:r w:rsidR="00AD16A0">
            <w:rPr>
              <w:rFonts w:eastAsia="Calibri"/>
              <w:sz w:val="22"/>
              <w:szCs w:val="22"/>
              <w:lang w:eastAsia="en-US"/>
            </w:rPr>
            <w:t xml:space="preserve">et d’une </w:t>
          </w:r>
          <w:r>
            <w:rPr>
              <w:rFonts w:eastAsia="Calibri"/>
              <w:sz w:val="22"/>
              <w:szCs w:val="22"/>
              <w:lang w:eastAsia="en-US"/>
            </w:rPr>
            <w:t>durable, compétitive, diversifiée et sûre vis-à-vis de la santé du consommateur.</w:t>
          </w:r>
        </w:p>
        <w:p w14:paraId="47EA3238" w14:textId="77777777" w:rsidR="00F472C8" w:rsidRPr="00C9452B" w:rsidRDefault="00C9452B" w:rsidP="00E466F5">
          <w:pPr>
            <w:pStyle w:val="Titre1"/>
            <w:widowControl/>
            <w:numPr>
              <w:ilvl w:val="1"/>
              <w:numId w:val="7"/>
            </w:numPr>
            <w:pBdr>
              <w:bottom w:val="single" w:sz="8" w:space="1" w:color="244061" w:themeColor="accent1" w:themeShade="80"/>
            </w:pBdr>
            <w:spacing w:before="200" w:after="200" w:line="276" w:lineRule="auto"/>
            <w:rPr>
              <w:rFonts w:eastAsiaTheme="minorHAnsi"/>
              <w:b w:val="0"/>
              <w:bCs/>
              <w:color w:val="0E408A"/>
              <w:szCs w:val="24"/>
              <w:lang w:eastAsia="en-US"/>
            </w:rPr>
          </w:pPr>
          <w:bookmarkStart w:id="5" w:name="_Toc354930035"/>
          <w:bookmarkStart w:id="6" w:name="_Toc434511382"/>
          <w:bookmarkEnd w:id="2"/>
          <w:r w:rsidRPr="00C9452B">
            <w:rPr>
              <w:rFonts w:eastAsiaTheme="minorHAnsi"/>
              <w:b w:val="0"/>
              <w:bCs/>
              <w:color w:val="0E408A"/>
              <w:szCs w:val="24"/>
              <w:lang w:eastAsia="en-US"/>
            </w:rPr>
            <w:t>Contexte de la mission</w:t>
          </w:r>
          <w:bookmarkEnd w:id="5"/>
          <w:bookmarkEnd w:id="6"/>
        </w:p>
        <w:p w14:paraId="744F68E3" w14:textId="77777777" w:rsidR="00310195" w:rsidRPr="00310195" w:rsidRDefault="00310195" w:rsidP="00E466F5">
          <w:pPr>
            <w:spacing w:before="200" w:after="200" w:line="276" w:lineRule="auto"/>
            <w:rPr>
              <w:sz w:val="22"/>
              <w:szCs w:val="22"/>
            </w:rPr>
          </w:pPr>
          <w:r w:rsidRPr="00310195">
            <w:rPr>
              <w:sz w:val="22"/>
              <w:szCs w:val="22"/>
            </w:rPr>
            <w:t xml:space="preserve">L'aquaculture en Algérie connaît un développement croissant en raison de l'importance de ce secteur pour la sécurité alimentaire, la création d'emplois et le développement économique local. Toutefois, malgré cette expansion, le secteur fait face à plusieurs défis techniques mais aussi réglementaires car les textes qui régissent les différentes modalités d'aquaculture manquent de précisions techniques. Cette situation crée une confusion et des lacunes en matière de pratiques, ce qui nuit à l'efficacité des projets aquacoles. Ces contraintes sont particulièrement applicables aux filières de l'aquaculture continentale, de l'aquaculture intégrée à l'agriculture et de la conchyliculture, pour lesquelles les normes techniques restent encore imprécises. En </w:t>
          </w:r>
          <w:r w:rsidRPr="00310195">
            <w:rPr>
              <w:sz w:val="22"/>
              <w:szCs w:val="22"/>
            </w:rPr>
            <w:lastRenderedPageBreak/>
            <w:t xml:space="preserve">conséquence, les projets sont souvent mal conçus, sous-optimisés et n’intègrent pas suffisamment les critères écologiques et durables nécessaires à une gestion responsable des ressources. </w:t>
          </w:r>
        </w:p>
        <w:p w14:paraId="2577C357" w14:textId="77777777" w:rsidR="00310195" w:rsidRPr="00310195" w:rsidRDefault="00310195" w:rsidP="00E466F5">
          <w:pPr>
            <w:spacing w:before="200" w:after="200" w:line="276" w:lineRule="auto"/>
            <w:rPr>
              <w:sz w:val="22"/>
              <w:szCs w:val="22"/>
            </w:rPr>
          </w:pPr>
          <w:r w:rsidRPr="00310195">
            <w:rPr>
              <w:sz w:val="22"/>
              <w:szCs w:val="22"/>
            </w:rPr>
            <w:t>L'absence d'un cadre de référence technique spécifique à chacune des modalités de l'aquaculture entraîne donc des erreurs dans la conception et la mise en œuvre des projets. Par ailleurs, une carence dans la formation des formateurs et des acteurs concernés rend difficile l’adaptation des projets aux réalités locales et aux défis environnementaux et socioéconomiques que l'Algérie doit affronter. Par conséquent, les projets aquacoles ne sont pas toujours conçus ou n’intègrent pas toujours les bonnes pratiques techniques, faute de formations adaptées et approfondies.</w:t>
          </w:r>
        </w:p>
        <w:p w14:paraId="7E8DAE01" w14:textId="6301BC83" w:rsidR="00310195" w:rsidRPr="00310195" w:rsidRDefault="00310195" w:rsidP="00E466F5">
          <w:pPr>
            <w:spacing w:before="200" w:after="200" w:line="276" w:lineRule="auto"/>
            <w:rPr>
              <w:sz w:val="22"/>
              <w:szCs w:val="22"/>
            </w:rPr>
          </w:pPr>
          <w:r w:rsidRPr="00310195">
            <w:rPr>
              <w:sz w:val="22"/>
              <w:szCs w:val="22"/>
            </w:rPr>
            <w:t>La nécessité d'un cadre de référence technique spécifique pour chaque modalité d’aquaculture devient donc un enjeu fondamental pour garantir la pérennité et la compétitivité du secteur. L'absence de normes techniques claires pour chaque type d'aquaculture entraîne des lacunes dans la gestion des projets, ce qui peut compromettre leur efficacité. Il est donc impératif de mettre à jour/enrichir les contenus de formation en intégrant ces normes techniques et de former ensuite les formateurs. Ces derniers seront mieux armés pour former les acteurs du secteur à la conception technique des projets aquacoles, en mettant l'accent sur la gestion des infrastructures et la durabilité des ressources naturelles dans la planification et la mise en œuvre des projets.</w:t>
          </w:r>
        </w:p>
        <w:p w14:paraId="6FEBF4D2" w14:textId="1CD2F3A0" w:rsidR="00310195" w:rsidRDefault="00310195" w:rsidP="00E466F5">
          <w:pPr>
            <w:spacing w:before="200" w:after="200" w:line="276" w:lineRule="auto"/>
            <w:rPr>
              <w:sz w:val="22"/>
              <w:szCs w:val="22"/>
            </w:rPr>
          </w:pPr>
          <w:r w:rsidRPr="00310195">
            <w:rPr>
              <w:sz w:val="22"/>
              <w:szCs w:val="22"/>
            </w:rPr>
            <w:t>Une formation ciblée, bien structurée et adaptée aux besoins des différents acteurs permettra donc, non seulement d'améliorer la qualité des projets, mais aussi de renforcer les capacités locales à répondre aux exigences des marchés internationaux, notamment en matière de traçabilité des produits. Ces compétences accrues permettront également aux acteurs de mieux gérer les ressources et d'optimiser l'utilisation de celles-ci.</w:t>
          </w:r>
        </w:p>
        <w:p w14:paraId="63D905FB" w14:textId="67537DAD" w:rsidR="00310195" w:rsidRDefault="00EC6094" w:rsidP="00E466F5">
          <w:pPr>
            <w:pStyle w:val="Titre1"/>
            <w:widowControl/>
            <w:numPr>
              <w:ilvl w:val="1"/>
              <w:numId w:val="7"/>
            </w:numPr>
            <w:pBdr>
              <w:bottom w:val="single" w:sz="8" w:space="1" w:color="244061" w:themeColor="accent1" w:themeShade="80"/>
            </w:pBdr>
            <w:spacing w:before="200" w:after="200" w:line="276" w:lineRule="auto"/>
            <w:jc w:val="both"/>
            <w:rPr>
              <w:rFonts w:eastAsiaTheme="minorHAnsi"/>
              <w:b w:val="0"/>
              <w:bCs/>
              <w:color w:val="0E408A"/>
              <w:szCs w:val="24"/>
              <w:lang w:eastAsia="en-US"/>
            </w:rPr>
          </w:pPr>
          <w:r w:rsidRPr="00EC6094">
            <w:rPr>
              <w:rFonts w:eastAsiaTheme="minorHAnsi"/>
              <w:b w:val="0"/>
              <w:bCs/>
              <w:color w:val="0E408A"/>
              <w:szCs w:val="24"/>
              <w:lang w:eastAsia="en-US"/>
            </w:rPr>
            <w:t xml:space="preserve">Bénéficiaires et cadre </w:t>
          </w:r>
          <w:r>
            <w:rPr>
              <w:rFonts w:eastAsiaTheme="minorHAnsi"/>
              <w:b w:val="0"/>
              <w:bCs/>
              <w:color w:val="0E408A"/>
              <w:szCs w:val="24"/>
              <w:lang w:eastAsia="en-US"/>
            </w:rPr>
            <w:t>institutionnel</w:t>
          </w:r>
          <w:r w:rsidRPr="00EC6094">
            <w:rPr>
              <w:rFonts w:eastAsiaTheme="minorHAnsi"/>
              <w:b w:val="0"/>
              <w:bCs/>
              <w:color w:val="0E408A"/>
              <w:szCs w:val="24"/>
              <w:lang w:eastAsia="en-US"/>
            </w:rPr>
            <w:t xml:space="preserve"> de mise en œuvre </w:t>
          </w:r>
        </w:p>
        <w:p w14:paraId="007C80DD" w14:textId="77777777" w:rsidR="00EC6094" w:rsidRPr="0022107D" w:rsidRDefault="00EC6094" w:rsidP="00E466F5">
          <w:pPr>
            <w:pStyle w:val="Titre1"/>
            <w:widowControl/>
            <w:pBdr>
              <w:bottom w:val="single" w:sz="8" w:space="1" w:color="244061" w:themeColor="accent1" w:themeShade="80"/>
            </w:pBdr>
            <w:spacing w:before="200" w:after="200" w:line="276" w:lineRule="auto"/>
            <w:ind w:left="792" w:firstLine="0"/>
            <w:jc w:val="both"/>
            <w:rPr>
              <w:rFonts w:eastAsiaTheme="minorHAnsi"/>
              <w:b w:val="0"/>
              <w:bCs/>
              <w:color w:val="0E408A"/>
              <w:szCs w:val="24"/>
              <w:lang w:eastAsia="en-US"/>
            </w:rPr>
          </w:pPr>
          <w:r w:rsidRPr="0022107D">
            <w:rPr>
              <w:rFonts w:eastAsiaTheme="minorHAnsi"/>
              <w:b w:val="0"/>
              <w:bCs/>
              <w:color w:val="0E408A"/>
              <w:szCs w:val="24"/>
              <w:lang w:eastAsia="en-US"/>
            </w:rPr>
            <w:t>Bénéficiaires :</w:t>
          </w:r>
        </w:p>
        <w:p w14:paraId="43684506" w14:textId="75CCC017" w:rsidR="00EC6094" w:rsidRPr="00EC6094" w:rsidRDefault="00EC6094" w:rsidP="00E466F5">
          <w:pPr>
            <w:pStyle w:val="Paragraphedeliste"/>
            <w:numPr>
              <w:ilvl w:val="0"/>
              <w:numId w:val="21"/>
            </w:numPr>
            <w:spacing w:before="200" w:after="200" w:line="276" w:lineRule="auto"/>
            <w:rPr>
              <w:sz w:val="22"/>
              <w:szCs w:val="22"/>
            </w:rPr>
          </w:pPr>
          <w:r w:rsidRPr="00EC6094">
            <w:rPr>
              <w:sz w:val="22"/>
              <w:szCs w:val="22"/>
            </w:rPr>
            <w:t>Formateurs spécialisés en aquaculture</w:t>
          </w:r>
          <w:r w:rsidR="0022107D">
            <w:rPr>
              <w:sz w:val="22"/>
              <w:szCs w:val="22"/>
            </w:rPr>
            <w:t> ;</w:t>
          </w:r>
        </w:p>
        <w:p w14:paraId="122CD900" w14:textId="4753F7AA" w:rsidR="00EC6094" w:rsidRPr="00EC6094" w:rsidRDefault="00EC6094" w:rsidP="00E466F5">
          <w:pPr>
            <w:pStyle w:val="Paragraphedeliste"/>
            <w:numPr>
              <w:ilvl w:val="0"/>
              <w:numId w:val="21"/>
            </w:numPr>
            <w:spacing w:before="200" w:after="200" w:line="276" w:lineRule="auto"/>
            <w:rPr>
              <w:sz w:val="22"/>
              <w:szCs w:val="22"/>
            </w:rPr>
          </w:pPr>
          <w:r w:rsidRPr="00EC6094">
            <w:rPr>
              <w:sz w:val="22"/>
              <w:szCs w:val="22"/>
            </w:rPr>
            <w:t>Acteurs du secteur privé</w:t>
          </w:r>
          <w:r w:rsidR="0022107D">
            <w:rPr>
              <w:sz w:val="22"/>
              <w:szCs w:val="22"/>
            </w:rPr>
            <w:t> ;</w:t>
          </w:r>
        </w:p>
        <w:p w14:paraId="5D8D89BF" w14:textId="7B5105D4" w:rsidR="00EC6094" w:rsidRPr="00EC6094" w:rsidRDefault="00EC6094" w:rsidP="00E466F5">
          <w:pPr>
            <w:pStyle w:val="Paragraphedeliste"/>
            <w:numPr>
              <w:ilvl w:val="0"/>
              <w:numId w:val="21"/>
            </w:numPr>
            <w:spacing w:before="200" w:after="200" w:line="276" w:lineRule="auto"/>
            <w:rPr>
              <w:sz w:val="22"/>
              <w:szCs w:val="22"/>
            </w:rPr>
          </w:pPr>
          <w:r w:rsidRPr="00EC6094">
            <w:rPr>
              <w:sz w:val="22"/>
              <w:szCs w:val="22"/>
            </w:rPr>
            <w:t>Responsables des autorités de régulation</w:t>
          </w:r>
          <w:r w:rsidR="0022107D">
            <w:rPr>
              <w:sz w:val="22"/>
              <w:szCs w:val="22"/>
            </w:rPr>
            <w:t>.</w:t>
          </w:r>
        </w:p>
        <w:p w14:paraId="19EA5FCC" w14:textId="77777777" w:rsidR="00EC6094" w:rsidRPr="0022107D" w:rsidRDefault="00EC6094" w:rsidP="00E466F5">
          <w:pPr>
            <w:pStyle w:val="Titre1"/>
            <w:widowControl/>
            <w:pBdr>
              <w:bottom w:val="single" w:sz="8" w:space="1" w:color="244061" w:themeColor="accent1" w:themeShade="80"/>
            </w:pBdr>
            <w:spacing w:before="200" w:after="200" w:line="276" w:lineRule="auto"/>
            <w:ind w:left="792" w:firstLine="0"/>
            <w:jc w:val="both"/>
            <w:rPr>
              <w:rFonts w:eastAsiaTheme="minorHAnsi"/>
              <w:b w:val="0"/>
              <w:bCs/>
              <w:color w:val="0E408A"/>
              <w:szCs w:val="24"/>
              <w:lang w:eastAsia="en-US"/>
            </w:rPr>
          </w:pPr>
          <w:r w:rsidRPr="0022107D">
            <w:rPr>
              <w:rFonts w:eastAsiaTheme="minorHAnsi"/>
              <w:b w:val="0"/>
              <w:bCs/>
              <w:color w:val="0E408A"/>
              <w:szCs w:val="24"/>
              <w:lang w:eastAsia="en-US"/>
            </w:rPr>
            <w:t>Cadre institutionnel et de mise en œuvre :</w:t>
          </w:r>
        </w:p>
        <w:p w14:paraId="4F69CECE" w14:textId="77777777" w:rsidR="00EC6094" w:rsidRDefault="00EC6094" w:rsidP="00E466F5">
          <w:pPr>
            <w:spacing w:before="200" w:after="200" w:line="276" w:lineRule="auto"/>
            <w:rPr>
              <w:sz w:val="22"/>
              <w:szCs w:val="22"/>
            </w:rPr>
          </w:pPr>
          <w:r w:rsidRPr="00EC6094">
            <w:rPr>
              <w:sz w:val="22"/>
              <w:szCs w:val="22"/>
            </w:rPr>
            <w:t>L'activité sera mise en œuvre par le projet EB en collaboration avec la Direction Générale de la Pêche et de l’Aquaculture (DGPA)/MADRP, avec une forte implication des établissements du secteur de la pêche et de l’aquaculture (INSPA, ITPA et EFTPA), et d'autres partenaires locaux impliqués dans la gestion et la régulation du secteur aquacole.</w:t>
          </w:r>
        </w:p>
        <w:p w14:paraId="3E09DCBC" w14:textId="77777777" w:rsidR="00CB53F1" w:rsidRDefault="00CB53F1" w:rsidP="00E466F5">
          <w:pPr>
            <w:spacing w:before="200" w:after="200" w:line="276" w:lineRule="auto"/>
            <w:rPr>
              <w:sz w:val="22"/>
              <w:szCs w:val="22"/>
            </w:rPr>
          </w:pPr>
        </w:p>
        <w:p w14:paraId="22950F0D" w14:textId="77777777" w:rsidR="00CB53F1" w:rsidRDefault="00CB53F1" w:rsidP="00E466F5">
          <w:pPr>
            <w:spacing w:before="200" w:after="200" w:line="276" w:lineRule="auto"/>
            <w:rPr>
              <w:sz w:val="22"/>
              <w:szCs w:val="22"/>
            </w:rPr>
          </w:pPr>
        </w:p>
        <w:p w14:paraId="018AFB2B" w14:textId="77777777" w:rsidR="00CB53F1" w:rsidRPr="00EC6094" w:rsidRDefault="00CB53F1" w:rsidP="00E466F5">
          <w:pPr>
            <w:spacing w:before="200" w:after="200" w:line="276" w:lineRule="auto"/>
            <w:rPr>
              <w:sz w:val="22"/>
              <w:szCs w:val="22"/>
            </w:rPr>
          </w:pPr>
        </w:p>
        <w:p w14:paraId="45A07C60" w14:textId="77777777" w:rsidR="00F472C8" w:rsidRDefault="00E9013F" w:rsidP="00E466F5">
          <w:pPr>
            <w:pStyle w:val="Titre1"/>
            <w:widowControl/>
            <w:numPr>
              <w:ilvl w:val="0"/>
              <w:numId w:val="7"/>
            </w:numPr>
            <w:pBdr>
              <w:bottom w:val="single" w:sz="8" w:space="1" w:color="244061" w:themeColor="accent1" w:themeShade="80"/>
            </w:pBdr>
            <w:spacing w:before="200" w:after="200" w:line="276" w:lineRule="auto"/>
            <w:rPr>
              <w:rFonts w:eastAsiaTheme="minorHAnsi"/>
              <w:caps/>
              <w:color w:val="0E408A"/>
              <w:szCs w:val="24"/>
              <w:lang w:eastAsia="en-US"/>
            </w:rPr>
          </w:pPr>
          <w:bookmarkStart w:id="7" w:name="_Toc349668868"/>
          <w:bookmarkStart w:id="8" w:name="_Toc352565374"/>
          <w:bookmarkStart w:id="9" w:name="_Toc354930038"/>
          <w:bookmarkStart w:id="10" w:name="_Toc434511384"/>
          <w:r w:rsidRPr="007E54F2">
            <w:rPr>
              <w:rFonts w:eastAsiaTheme="minorHAnsi"/>
              <w:caps/>
              <w:color w:val="0E408A"/>
              <w:szCs w:val="24"/>
              <w:lang w:eastAsia="en-US"/>
            </w:rPr>
            <w:lastRenderedPageBreak/>
            <w:t xml:space="preserve">OBJECTIF </w:t>
          </w:r>
          <w:r w:rsidR="002C0130">
            <w:rPr>
              <w:rFonts w:eastAsiaTheme="minorHAnsi"/>
              <w:caps/>
              <w:color w:val="0E408A"/>
              <w:szCs w:val="24"/>
              <w:lang w:eastAsia="en-US"/>
            </w:rPr>
            <w:t xml:space="preserve">et résultats attendus </w:t>
          </w:r>
          <w:bookmarkEnd w:id="7"/>
          <w:bookmarkEnd w:id="8"/>
          <w:bookmarkEnd w:id="9"/>
          <w:bookmarkEnd w:id="10"/>
        </w:p>
        <w:p w14:paraId="38D04305" w14:textId="5975E021" w:rsidR="002C0130" w:rsidRPr="00C9452B" w:rsidRDefault="002C0130" w:rsidP="00E466F5">
          <w:pPr>
            <w:pStyle w:val="Titre1"/>
            <w:widowControl/>
            <w:numPr>
              <w:ilvl w:val="1"/>
              <w:numId w:val="7"/>
            </w:numPr>
            <w:pBdr>
              <w:bottom w:val="single" w:sz="8" w:space="1" w:color="244061" w:themeColor="accent1" w:themeShade="80"/>
            </w:pBdr>
            <w:spacing w:before="200" w:after="200" w:line="276" w:lineRule="auto"/>
            <w:jc w:val="both"/>
            <w:rPr>
              <w:rFonts w:eastAsiaTheme="minorHAnsi"/>
              <w:b w:val="0"/>
              <w:bCs/>
              <w:caps/>
              <w:color w:val="0E408A"/>
              <w:szCs w:val="24"/>
              <w:lang w:eastAsia="en-US"/>
            </w:rPr>
          </w:pPr>
          <w:r>
            <w:rPr>
              <w:rFonts w:eastAsiaTheme="minorHAnsi"/>
              <w:b w:val="0"/>
              <w:bCs/>
              <w:color w:val="0E408A"/>
              <w:szCs w:val="24"/>
              <w:lang w:eastAsia="en-US"/>
            </w:rPr>
            <w:t>Objectif</w:t>
          </w:r>
          <w:r w:rsidR="00CC00CA">
            <w:rPr>
              <w:rFonts w:eastAsiaTheme="minorHAnsi"/>
              <w:b w:val="0"/>
              <w:bCs/>
              <w:color w:val="0E408A"/>
              <w:szCs w:val="24"/>
              <w:lang w:eastAsia="en-US"/>
            </w:rPr>
            <w:t>s</w:t>
          </w:r>
          <w:r>
            <w:rPr>
              <w:rFonts w:eastAsiaTheme="minorHAnsi"/>
              <w:b w:val="0"/>
              <w:bCs/>
              <w:color w:val="0E408A"/>
              <w:szCs w:val="24"/>
              <w:lang w:eastAsia="en-US"/>
            </w:rPr>
            <w:t xml:space="preserve"> de la </w:t>
          </w:r>
          <w:r w:rsidR="00CC00CA">
            <w:rPr>
              <w:rFonts w:eastAsiaTheme="minorHAnsi"/>
              <w:b w:val="0"/>
              <w:bCs/>
              <w:color w:val="0E408A"/>
              <w:szCs w:val="24"/>
              <w:lang w:eastAsia="en-US"/>
            </w:rPr>
            <w:t>spécifiques de la mission</w:t>
          </w:r>
        </w:p>
        <w:p w14:paraId="1935EA0A" w14:textId="58CFA746" w:rsidR="00310195" w:rsidRDefault="00310195" w:rsidP="00E466F5">
          <w:pPr>
            <w:spacing w:before="200" w:after="200" w:line="276" w:lineRule="auto"/>
            <w:rPr>
              <w:sz w:val="22"/>
              <w:szCs w:val="22"/>
            </w:rPr>
          </w:pPr>
          <w:r w:rsidRPr="00310195">
            <w:rPr>
              <w:sz w:val="22"/>
              <w:szCs w:val="22"/>
            </w:rPr>
            <w:t>Cette activité vise à combler le vide existant en développant des programmes de formation adaptés, qui fourniront un cadre technique détaillé pour chaque modalité d’aquaculture. En formant les acteurs à la conception technique des projets aquacoles</w:t>
          </w:r>
          <w:r w:rsidR="00CB53F1">
            <w:rPr>
              <w:sz w:val="22"/>
              <w:szCs w:val="22"/>
            </w:rPr>
            <w:t>.</w:t>
          </w:r>
        </w:p>
        <w:p w14:paraId="63EED523" w14:textId="77777777" w:rsidR="00310195" w:rsidRPr="00310195" w:rsidRDefault="00310195" w:rsidP="00E466F5">
          <w:pPr>
            <w:pStyle w:val="Paragraphedeliste"/>
            <w:numPr>
              <w:ilvl w:val="2"/>
              <w:numId w:val="7"/>
            </w:numPr>
            <w:spacing w:before="200" w:after="200" w:line="276" w:lineRule="auto"/>
            <w:ind w:hanging="657"/>
            <w:rPr>
              <w:sz w:val="22"/>
              <w:szCs w:val="22"/>
            </w:rPr>
          </w:pPr>
          <w:r w:rsidRPr="00310195">
            <w:rPr>
              <w:sz w:val="22"/>
              <w:szCs w:val="22"/>
            </w:rPr>
            <w:t xml:space="preserve">Enrichir les programmes de formation et renforcer les compétences des formateurs en matière de conception technique des projets aquacole (génie aquacole). </w:t>
          </w:r>
        </w:p>
        <w:p w14:paraId="5C737E59" w14:textId="77777777" w:rsidR="00310195" w:rsidRPr="00310195" w:rsidRDefault="00310195" w:rsidP="00E466F5">
          <w:pPr>
            <w:pStyle w:val="Paragraphedeliste"/>
            <w:numPr>
              <w:ilvl w:val="2"/>
              <w:numId w:val="7"/>
            </w:numPr>
            <w:spacing w:before="200" w:after="200" w:line="276" w:lineRule="auto"/>
            <w:ind w:hanging="657"/>
            <w:rPr>
              <w:sz w:val="22"/>
              <w:szCs w:val="22"/>
            </w:rPr>
          </w:pPr>
          <w:r w:rsidRPr="00310195">
            <w:rPr>
              <w:sz w:val="22"/>
              <w:szCs w:val="22"/>
            </w:rPr>
            <w:t>Élaborer les manuels de référence pour l’aquaculture : développer des manuels détaillés pour chaque modalité d’aquaculture, incluant l’aquaculture continentale, l’aquaculture intégrée et la conchyliculture, et en tenant compte des spécificités techniques de chaque type de pratique ;</w:t>
          </w:r>
        </w:p>
        <w:p w14:paraId="55C305FB" w14:textId="77777777" w:rsidR="00310195" w:rsidRPr="00310195" w:rsidRDefault="00310195" w:rsidP="00E466F5">
          <w:pPr>
            <w:pStyle w:val="Paragraphedeliste"/>
            <w:numPr>
              <w:ilvl w:val="2"/>
              <w:numId w:val="7"/>
            </w:numPr>
            <w:spacing w:before="200" w:after="200" w:line="276" w:lineRule="auto"/>
            <w:ind w:hanging="657"/>
            <w:rPr>
              <w:sz w:val="22"/>
              <w:szCs w:val="22"/>
            </w:rPr>
          </w:pPr>
          <w:r w:rsidRPr="00310195">
            <w:rPr>
              <w:sz w:val="22"/>
              <w:szCs w:val="22"/>
            </w:rPr>
            <w:t>Fournir un cadre de réglementation adapté : Fournir une base solide pour la création d’une réglementation spécifique à chaque modalité d’aquaculture, en assurant que les critères techniques sont alignés avec les besoins locaux et les exigences des marchés internationaux ;</w:t>
          </w:r>
        </w:p>
        <w:p w14:paraId="35C94C5F" w14:textId="77777777" w:rsidR="00310195" w:rsidRPr="00310195" w:rsidRDefault="00310195" w:rsidP="00E466F5">
          <w:pPr>
            <w:pStyle w:val="Paragraphedeliste"/>
            <w:numPr>
              <w:ilvl w:val="2"/>
              <w:numId w:val="7"/>
            </w:numPr>
            <w:spacing w:before="200" w:after="200" w:line="276" w:lineRule="auto"/>
            <w:ind w:hanging="657"/>
            <w:rPr>
              <w:sz w:val="22"/>
              <w:szCs w:val="22"/>
            </w:rPr>
          </w:pPr>
          <w:r w:rsidRPr="00310195">
            <w:rPr>
              <w:sz w:val="22"/>
              <w:szCs w:val="22"/>
            </w:rPr>
            <w:t>Définir les normes et caractéristiques techniques : Établir des normes précises pour chaque type d’aquaculture, en mettant l’accent sur la gestion des infrastructures, la durabilité des ressources et la gestion efficace des projets aquacoles ;</w:t>
          </w:r>
        </w:p>
        <w:p w14:paraId="0683985B" w14:textId="77777777" w:rsidR="00310195" w:rsidRPr="00310195" w:rsidRDefault="00310195" w:rsidP="00E466F5">
          <w:pPr>
            <w:pStyle w:val="Paragraphedeliste"/>
            <w:numPr>
              <w:ilvl w:val="2"/>
              <w:numId w:val="7"/>
            </w:numPr>
            <w:spacing w:before="200" w:after="200" w:line="276" w:lineRule="auto"/>
            <w:ind w:hanging="657"/>
            <w:rPr>
              <w:sz w:val="22"/>
              <w:szCs w:val="22"/>
            </w:rPr>
          </w:pPr>
          <w:r w:rsidRPr="00310195">
            <w:rPr>
              <w:sz w:val="22"/>
              <w:szCs w:val="22"/>
            </w:rPr>
            <w:t>Renforcement des capacités réglementaires et techniques : Renforcer les capacités des autorités et des opérateurs à comprendre et à appliquer les principes techniques dans la conception et la gestion des projets aquacoles, en fournissant des lignes directrices pratiques et adaptées aux défis locaux.</w:t>
          </w:r>
        </w:p>
        <w:p w14:paraId="4AC315A6" w14:textId="1F89A065" w:rsidR="00F472C8" w:rsidRPr="002C0130" w:rsidRDefault="002C0130" w:rsidP="00E466F5">
          <w:pPr>
            <w:pStyle w:val="Titre1"/>
            <w:widowControl/>
            <w:numPr>
              <w:ilvl w:val="1"/>
              <w:numId w:val="7"/>
            </w:numPr>
            <w:pBdr>
              <w:bottom w:val="single" w:sz="8" w:space="1" w:color="244061" w:themeColor="accent1" w:themeShade="80"/>
            </w:pBdr>
            <w:spacing w:before="200" w:after="200" w:line="276" w:lineRule="auto"/>
            <w:jc w:val="both"/>
            <w:rPr>
              <w:rFonts w:eastAsiaTheme="minorHAnsi"/>
              <w:b w:val="0"/>
              <w:bCs/>
              <w:color w:val="0E408A"/>
              <w:szCs w:val="24"/>
              <w:lang w:eastAsia="en-US"/>
            </w:rPr>
          </w:pPr>
          <w:r w:rsidRPr="002C0130">
            <w:rPr>
              <w:rFonts w:eastAsiaTheme="minorHAnsi"/>
              <w:b w:val="0"/>
              <w:bCs/>
              <w:color w:val="0E408A"/>
              <w:szCs w:val="24"/>
              <w:lang w:eastAsia="en-US"/>
            </w:rPr>
            <w:t>Résultats attendus</w:t>
          </w:r>
          <w:r>
            <w:rPr>
              <w:rFonts w:eastAsiaTheme="minorHAnsi"/>
              <w:b w:val="0"/>
              <w:bCs/>
              <w:color w:val="0E408A"/>
              <w:szCs w:val="24"/>
              <w:lang w:eastAsia="en-US"/>
            </w:rPr>
            <w:t xml:space="preserve"> de la mission</w:t>
          </w:r>
          <w:r w:rsidRPr="002C0130">
            <w:rPr>
              <w:rFonts w:eastAsiaTheme="minorHAnsi"/>
              <w:b w:val="0"/>
              <w:bCs/>
              <w:color w:val="0E408A"/>
              <w:szCs w:val="24"/>
              <w:lang w:eastAsia="en-US"/>
            </w:rPr>
            <w:t xml:space="preserve"> </w:t>
          </w:r>
        </w:p>
        <w:p w14:paraId="0400D7E2" w14:textId="08336F6D" w:rsidR="00D32A3E" w:rsidRDefault="00F472C8" w:rsidP="00E466F5">
          <w:pPr>
            <w:spacing w:before="200" w:after="200" w:line="276" w:lineRule="auto"/>
            <w:rPr>
              <w:rFonts w:eastAsia="Calibri"/>
              <w:sz w:val="22"/>
              <w:szCs w:val="22"/>
              <w:lang w:eastAsia="en-US"/>
            </w:rPr>
          </w:pPr>
          <w:r w:rsidRPr="00CC00CA">
            <w:rPr>
              <w:sz w:val="22"/>
              <w:szCs w:val="22"/>
            </w:rPr>
            <w:t>Les résultats</w:t>
          </w:r>
          <w:r w:rsidRPr="00CA7F22">
            <w:rPr>
              <w:rFonts w:eastAsia="Calibri"/>
              <w:sz w:val="22"/>
              <w:szCs w:val="22"/>
              <w:lang w:eastAsia="en-US"/>
            </w:rPr>
            <w:t xml:space="preserve"> attendus de la mission sont les suivants</w:t>
          </w:r>
          <w:r w:rsidR="00821653">
            <w:rPr>
              <w:rFonts w:eastAsia="Calibri"/>
              <w:sz w:val="22"/>
              <w:szCs w:val="22"/>
              <w:lang w:eastAsia="en-US"/>
            </w:rPr>
            <w:t> :</w:t>
          </w:r>
        </w:p>
        <w:p w14:paraId="5420C0E6" w14:textId="2D4C5507" w:rsidR="00BA1605" w:rsidRDefault="00BA1605" w:rsidP="00E466F5">
          <w:pPr>
            <w:pStyle w:val="Paragraphedeliste"/>
            <w:numPr>
              <w:ilvl w:val="2"/>
              <w:numId w:val="7"/>
            </w:numPr>
            <w:spacing w:before="200" w:after="200" w:line="276" w:lineRule="auto"/>
            <w:ind w:hanging="657"/>
            <w:rPr>
              <w:sz w:val="22"/>
              <w:szCs w:val="22"/>
            </w:rPr>
          </w:pPr>
          <w:r>
            <w:rPr>
              <w:sz w:val="22"/>
              <w:szCs w:val="22"/>
            </w:rPr>
            <w:t>Mise à niveau des contenus de formation</w:t>
          </w:r>
        </w:p>
        <w:p w14:paraId="05E7173A" w14:textId="3198F5F7" w:rsidR="00310195" w:rsidRPr="00310195" w:rsidRDefault="00310195" w:rsidP="00E466F5">
          <w:pPr>
            <w:pStyle w:val="Paragraphedeliste"/>
            <w:numPr>
              <w:ilvl w:val="2"/>
              <w:numId w:val="7"/>
            </w:numPr>
            <w:spacing w:before="200" w:after="200" w:line="276" w:lineRule="auto"/>
            <w:ind w:hanging="657"/>
            <w:rPr>
              <w:sz w:val="22"/>
              <w:szCs w:val="22"/>
            </w:rPr>
          </w:pPr>
          <w:r w:rsidRPr="00310195">
            <w:rPr>
              <w:sz w:val="22"/>
              <w:szCs w:val="22"/>
            </w:rPr>
            <w:t>Renforcement des capacités techniques des acteurs : Les formateurs, producteurs et responsables institutionnels auront acquis une meilleure compréhension des principes techniques spécifiques à chaque modalité d’aquaculture, ce qui leur permettra de concevoir des projets plus efficaces et durables ;</w:t>
          </w:r>
        </w:p>
        <w:p w14:paraId="0D72AF37" w14:textId="58D03E79" w:rsidR="00310195" w:rsidRPr="00310195" w:rsidRDefault="00310195" w:rsidP="00E466F5">
          <w:pPr>
            <w:pStyle w:val="Paragraphedeliste"/>
            <w:numPr>
              <w:ilvl w:val="2"/>
              <w:numId w:val="7"/>
            </w:numPr>
            <w:spacing w:before="200" w:after="200" w:line="276" w:lineRule="auto"/>
            <w:ind w:hanging="657"/>
            <w:rPr>
              <w:sz w:val="22"/>
              <w:szCs w:val="22"/>
            </w:rPr>
          </w:pPr>
          <w:r w:rsidRPr="00310195">
            <w:rPr>
              <w:sz w:val="22"/>
              <w:szCs w:val="22"/>
            </w:rPr>
            <w:t>Amélioration de la qualité des projets aquacoles : La mise en œuvre du cadre de référence technique permettra d'améliorer la conception des projets aquacoles, en tenant compte des bonnes pratiques écologiques, sanitaires et économiques ;</w:t>
          </w:r>
        </w:p>
        <w:p w14:paraId="03B88BBA" w14:textId="1202EF24" w:rsidR="00310195" w:rsidRPr="00310195" w:rsidRDefault="00310195" w:rsidP="00E466F5">
          <w:pPr>
            <w:pStyle w:val="Paragraphedeliste"/>
            <w:numPr>
              <w:ilvl w:val="2"/>
              <w:numId w:val="7"/>
            </w:numPr>
            <w:spacing w:before="200" w:after="200" w:line="276" w:lineRule="auto"/>
            <w:ind w:hanging="657"/>
            <w:rPr>
              <w:sz w:val="22"/>
              <w:szCs w:val="22"/>
            </w:rPr>
          </w:pPr>
          <w:r w:rsidRPr="00310195">
            <w:rPr>
              <w:sz w:val="22"/>
              <w:szCs w:val="22"/>
            </w:rPr>
            <w:t>Création d'un modèle reproductible de formation technique : Un modèle de formation adapté à chaque modalité d’aquaculture pourra être utilisé pour d’autres régions ou pays ayant des contextes similaires, permettant ainsi de répliquer les bonnes pratiques ;</w:t>
          </w:r>
        </w:p>
        <w:p w14:paraId="38466092" w14:textId="6B5451CC" w:rsidR="00310195" w:rsidRPr="00B7030A" w:rsidRDefault="00310195" w:rsidP="00E466F5">
          <w:pPr>
            <w:pStyle w:val="Paragraphedeliste"/>
            <w:numPr>
              <w:ilvl w:val="2"/>
              <w:numId w:val="7"/>
            </w:numPr>
            <w:spacing w:before="200" w:after="200" w:line="276" w:lineRule="auto"/>
            <w:ind w:hanging="657"/>
            <w:rPr>
              <w:rFonts w:eastAsia="Calibri"/>
              <w:sz w:val="22"/>
              <w:szCs w:val="22"/>
              <w:lang w:eastAsia="en-US"/>
            </w:rPr>
          </w:pPr>
          <w:r w:rsidRPr="00310195">
            <w:rPr>
              <w:sz w:val="22"/>
              <w:szCs w:val="22"/>
            </w:rPr>
            <w:t>Développement de la réglementation : les bases pour un éventuel développement du cadre réglementaire existant auront été posées</w:t>
          </w:r>
          <w:r w:rsidRPr="00310195">
            <w:rPr>
              <w:rFonts w:eastAsia="Calibri"/>
              <w:sz w:val="22"/>
              <w:szCs w:val="22"/>
              <w:lang w:eastAsia="en-US"/>
            </w:rPr>
            <w:t xml:space="preserve"> grâce aux référentiels techniques élaborés.</w:t>
          </w:r>
        </w:p>
        <w:p w14:paraId="7CCDFA9B" w14:textId="7CF799E9" w:rsidR="00A575AD" w:rsidRPr="00553D05" w:rsidRDefault="00A575AD" w:rsidP="00E466F5">
          <w:pPr>
            <w:pStyle w:val="Titre1"/>
            <w:widowControl/>
            <w:numPr>
              <w:ilvl w:val="0"/>
              <w:numId w:val="7"/>
            </w:numPr>
            <w:pBdr>
              <w:bottom w:val="single" w:sz="8" w:space="1" w:color="244061" w:themeColor="accent1" w:themeShade="80"/>
            </w:pBdr>
            <w:spacing w:before="200" w:after="200" w:line="276" w:lineRule="auto"/>
            <w:rPr>
              <w:rFonts w:eastAsiaTheme="minorHAnsi"/>
              <w:caps/>
              <w:color w:val="0E408A"/>
              <w:szCs w:val="24"/>
              <w:lang w:eastAsia="en-US"/>
            </w:rPr>
          </w:pPr>
          <w:r>
            <w:rPr>
              <w:rFonts w:eastAsiaTheme="minorHAnsi"/>
              <w:caps/>
              <w:color w:val="0E408A"/>
              <w:szCs w:val="24"/>
              <w:lang w:eastAsia="en-US"/>
            </w:rPr>
            <w:lastRenderedPageBreak/>
            <w:t>Activités prevues dans le cadre de la mission</w:t>
          </w:r>
        </w:p>
        <w:p w14:paraId="7DA12487" w14:textId="77777777" w:rsidR="00310195" w:rsidRDefault="00A575AD" w:rsidP="00E466F5">
          <w:pPr>
            <w:spacing w:before="200" w:after="200" w:line="276" w:lineRule="auto"/>
            <w:rPr>
              <w:sz w:val="22"/>
              <w:szCs w:val="22"/>
            </w:rPr>
          </w:pPr>
          <w:r>
            <w:rPr>
              <w:sz w:val="22"/>
              <w:szCs w:val="22"/>
            </w:rPr>
            <w:t>Pour l’atteinte des résultats ci-avant détaillés, les activités suivantes sont prévues dans le cadre de la mis</w:t>
          </w:r>
          <w:r w:rsidR="00310195">
            <w:rPr>
              <w:sz w:val="22"/>
              <w:szCs w:val="22"/>
            </w:rPr>
            <w:t>sion :</w:t>
          </w:r>
        </w:p>
        <w:p w14:paraId="04BA13CA" w14:textId="2407F2A2" w:rsidR="00310195" w:rsidRDefault="00310195" w:rsidP="00E466F5">
          <w:pPr>
            <w:pStyle w:val="Paragraphedeliste"/>
            <w:numPr>
              <w:ilvl w:val="1"/>
              <w:numId w:val="7"/>
            </w:numPr>
            <w:spacing w:before="200" w:after="200" w:line="276" w:lineRule="auto"/>
            <w:ind w:left="788" w:hanging="431"/>
            <w:rPr>
              <w:sz w:val="22"/>
              <w:szCs w:val="22"/>
            </w:rPr>
          </w:pPr>
          <w:r w:rsidRPr="00310195">
            <w:rPr>
              <w:sz w:val="22"/>
              <w:szCs w:val="22"/>
            </w:rPr>
            <w:t>Identification des besoins de formation : Une analyse approfondie sera réalisée afin d’évaluer le</w:t>
          </w:r>
          <w:r w:rsidR="00BA1605">
            <w:rPr>
              <w:sz w:val="22"/>
              <w:szCs w:val="22"/>
            </w:rPr>
            <w:t xml:space="preserve"> niveau des programmes de formation ainsi que les lacunes </w:t>
          </w:r>
          <w:r w:rsidRPr="00310195">
            <w:rPr>
              <w:sz w:val="22"/>
              <w:szCs w:val="22"/>
            </w:rPr>
            <w:t>dans les compétences des formateurs et des acteurs du secteur concernant la conception technique des projets aquacole (génie aquacole). Cette analyse permettra de mieux comprendre les besoins spécifiques pour chaque modalité, et d’enrichir/compléter</w:t>
          </w:r>
          <w:r w:rsidR="00BA1605">
            <w:rPr>
              <w:sz w:val="22"/>
              <w:szCs w:val="22"/>
            </w:rPr>
            <w:t xml:space="preserve"> et/ou mettre à jour</w:t>
          </w:r>
          <w:r w:rsidRPr="00310195">
            <w:rPr>
              <w:sz w:val="22"/>
              <w:szCs w:val="22"/>
            </w:rPr>
            <w:t xml:space="preserve"> les modules de formation (en lien activité Soloviev).</w:t>
          </w:r>
        </w:p>
        <w:p w14:paraId="503CEAB1" w14:textId="1F73B042" w:rsidR="00BA1605" w:rsidRPr="00310195" w:rsidRDefault="00BA1605" w:rsidP="00E466F5">
          <w:pPr>
            <w:pStyle w:val="Paragraphedeliste"/>
            <w:numPr>
              <w:ilvl w:val="1"/>
              <w:numId w:val="7"/>
            </w:numPr>
            <w:spacing w:before="200" w:after="200" w:line="276" w:lineRule="auto"/>
            <w:ind w:left="788" w:hanging="431"/>
            <w:rPr>
              <w:sz w:val="22"/>
              <w:szCs w:val="22"/>
            </w:rPr>
          </w:pPr>
          <w:r>
            <w:rPr>
              <w:sz w:val="22"/>
              <w:szCs w:val="22"/>
            </w:rPr>
            <w:t>Enrichissement/mise à niveau des modules de formation</w:t>
          </w:r>
        </w:p>
        <w:p w14:paraId="7195D37E" w14:textId="624044E4" w:rsidR="00310195" w:rsidRPr="00310195" w:rsidRDefault="00310195" w:rsidP="00E466F5">
          <w:pPr>
            <w:pStyle w:val="Paragraphedeliste"/>
            <w:numPr>
              <w:ilvl w:val="1"/>
              <w:numId w:val="7"/>
            </w:numPr>
            <w:spacing w:before="200" w:after="200" w:line="276" w:lineRule="auto"/>
            <w:ind w:left="788" w:hanging="431"/>
            <w:rPr>
              <w:sz w:val="22"/>
              <w:szCs w:val="22"/>
            </w:rPr>
          </w:pPr>
          <w:r w:rsidRPr="00310195">
            <w:rPr>
              <w:sz w:val="22"/>
              <w:szCs w:val="22"/>
            </w:rPr>
            <w:t xml:space="preserve">Formation des formateurs: </w:t>
          </w:r>
          <w:r w:rsidR="00240288">
            <w:rPr>
              <w:sz w:val="22"/>
              <w:szCs w:val="22"/>
            </w:rPr>
            <w:t xml:space="preserve">un </w:t>
          </w:r>
          <w:r w:rsidRPr="00310195">
            <w:rPr>
              <w:sz w:val="22"/>
              <w:szCs w:val="22"/>
            </w:rPr>
            <w:t xml:space="preserve">atelier </w:t>
          </w:r>
          <w:r w:rsidR="00240288">
            <w:rPr>
              <w:sz w:val="22"/>
              <w:szCs w:val="22"/>
            </w:rPr>
            <w:t xml:space="preserve">de formation </w:t>
          </w:r>
          <w:r w:rsidR="00EF0F3F">
            <w:rPr>
              <w:sz w:val="22"/>
              <w:szCs w:val="22"/>
            </w:rPr>
            <w:t xml:space="preserve">technique </w:t>
          </w:r>
          <w:r w:rsidRPr="00310195">
            <w:rPr>
              <w:sz w:val="22"/>
              <w:szCs w:val="22"/>
            </w:rPr>
            <w:t>ser</w:t>
          </w:r>
          <w:r w:rsidR="00240288">
            <w:rPr>
              <w:sz w:val="22"/>
              <w:szCs w:val="22"/>
            </w:rPr>
            <w:t>a</w:t>
          </w:r>
          <w:r w:rsidRPr="00310195">
            <w:rPr>
              <w:sz w:val="22"/>
              <w:szCs w:val="22"/>
            </w:rPr>
            <w:t xml:space="preserve"> organisé pour les formateurs </w:t>
          </w:r>
          <w:r w:rsidR="00240288">
            <w:rPr>
              <w:sz w:val="22"/>
              <w:szCs w:val="22"/>
            </w:rPr>
            <w:t xml:space="preserve">afin qu’ils puissent </w:t>
          </w:r>
          <w:r w:rsidRPr="00310195">
            <w:rPr>
              <w:sz w:val="22"/>
              <w:szCs w:val="22"/>
            </w:rPr>
            <w:t xml:space="preserve">acquérir les compétences nécessaires </w:t>
          </w:r>
          <w:r w:rsidR="00EF0F3F">
            <w:rPr>
              <w:sz w:val="22"/>
              <w:szCs w:val="22"/>
            </w:rPr>
            <w:t xml:space="preserve">en matière de </w:t>
          </w:r>
          <w:r w:rsidRPr="00310195">
            <w:rPr>
              <w:sz w:val="22"/>
              <w:szCs w:val="22"/>
            </w:rPr>
            <w:t>conception technique des projets aquacoles en intégrant les éléments clés du cadre de référence.</w:t>
          </w:r>
          <w:r w:rsidR="00EF0F3F">
            <w:rPr>
              <w:sz w:val="22"/>
              <w:szCs w:val="22"/>
            </w:rPr>
            <w:t xml:space="preserve"> Cette formation leur permettra d’enseigner à leur tour le génie aquacole, aux apprenants ainsi qu’aux opérateurs économiques</w:t>
          </w:r>
        </w:p>
        <w:p w14:paraId="1BDF81EF" w14:textId="1E1241B6" w:rsidR="00310195" w:rsidRPr="00310195" w:rsidRDefault="00310195" w:rsidP="00E466F5">
          <w:pPr>
            <w:pStyle w:val="Paragraphedeliste"/>
            <w:numPr>
              <w:ilvl w:val="1"/>
              <w:numId w:val="7"/>
            </w:numPr>
            <w:spacing w:before="200" w:after="200" w:line="276" w:lineRule="auto"/>
            <w:ind w:left="788" w:hanging="431"/>
            <w:rPr>
              <w:sz w:val="22"/>
              <w:szCs w:val="22"/>
            </w:rPr>
          </w:pPr>
          <w:r w:rsidRPr="00310195">
            <w:rPr>
              <w:sz w:val="22"/>
              <w:szCs w:val="22"/>
            </w:rPr>
            <w:t>Développement d’un cadre de référence technique : Des manuels de référence détaillés pour la conception technique des projets aquacoles seront élaborés par filière ou modalité aquacole. Ces manuels couvriront notamment les aspects suivants :</w:t>
          </w:r>
        </w:p>
        <w:p w14:paraId="68887CB9" w14:textId="33C013D8" w:rsidR="00310195" w:rsidRPr="00310195" w:rsidRDefault="00310195" w:rsidP="00E466F5">
          <w:pPr>
            <w:pStyle w:val="Paragraphedeliste"/>
            <w:numPr>
              <w:ilvl w:val="0"/>
              <w:numId w:val="3"/>
            </w:numPr>
            <w:spacing w:before="200" w:after="200" w:line="276" w:lineRule="auto"/>
            <w:ind w:left="1134"/>
            <w:rPr>
              <w:sz w:val="22"/>
              <w:szCs w:val="22"/>
            </w:rPr>
          </w:pPr>
          <w:r w:rsidRPr="00310195">
            <w:rPr>
              <w:sz w:val="22"/>
              <w:szCs w:val="22"/>
            </w:rPr>
            <w:t>La typologie de projets aquacoles et les indicateurs de référence pour leur classification, validation et suivi ;</w:t>
          </w:r>
        </w:p>
        <w:p w14:paraId="5725A94F" w14:textId="1657DBC5" w:rsidR="00310195" w:rsidRPr="00310195" w:rsidRDefault="00310195" w:rsidP="00E466F5">
          <w:pPr>
            <w:pStyle w:val="Paragraphedeliste"/>
            <w:numPr>
              <w:ilvl w:val="0"/>
              <w:numId w:val="3"/>
            </w:numPr>
            <w:spacing w:before="200" w:after="200" w:line="276" w:lineRule="auto"/>
            <w:ind w:left="1134"/>
            <w:rPr>
              <w:sz w:val="22"/>
              <w:szCs w:val="22"/>
            </w:rPr>
          </w:pPr>
          <w:r w:rsidRPr="00310195">
            <w:rPr>
              <w:sz w:val="22"/>
              <w:szCs w:val="22"/>
            </w:rPr>
            <w:t>L’aménagement des infrastructures aquacoles (types, matériaux, éléments technologiques, etc.) ;</w:t>
          </w:r>
        </w:p>
        <w:p w14:paraId="5ADD2F50" w14:textId="2392977F" w:rsidR="00310195" w:rsidRDefault="00310195" w:rsidP="00E466F5">
          <w:pPr>
            <w:pStyle w:val="Paragraphedeliste"/>
            <w:numPr>
              <w:ilvl w:val="0"/>
              <w:numId w:val="3"/>
            </w:numPr>
            <w:spacing w:before="200" w:after="200" w:line="276" w:lineRule="auto"/>
            <w:ind w:left="1134"/>
            <w:rPr>
              <w:sz w:val="22"/>
              <w:szCs w:val="22"/>
            </w:rPr>
          </w:pPr>
          <w:r w:rsidRPr="00310195">
            <w:rPr>
              <w:sz w:val="22"/>
              <w:szCs w:val="22"/>
            </w:rPr>
            <w:t>Le dimensionnement des infrastructures et l’optimisation des rendements économiques des projets aquacoles.</w:t>
          </w:r>
        </w:p>
        <w:p w14:paraId="49B05377" w14:textId="428DB14A" w:rsidR="00240288" w:rsidRPr="00EF0F3F" w:rsidRDefault="00EF0F3F" w:rsidP="00EF0F3F">
          <w:pPr>
            <w:pStyle w:val="Paragraphedeliste"/>
            <w:numPr>
              <w:ilvl w:val="1"/>
              <w:numId w:val="7"/>
            </w:numPr>
            <w:spacing w:before="200" w:after="200" w:line="276" w:lineRule="auto"/>
            <w:ind w:left="788" w:hanging="431"/>
            <w:rPr>
              <w:sz w:val="22"/>
              <w:szCs w:val="22"/>
            </w:rPr>
          </w:pPr>
          <w:r>
            <w:rPr>
              <w:sz w:val="22"/>
              <w:szCs w:val="22"/>
            </w:rPr>
            <w:t xml:space="preserve">Mise en situation des </w:t>
          </w:r>
          <w:r w:rsidR="00240288" w:rsidRPr="00310195">
            <w:rPr>
              <w:sz w:val="22"/>
              <w:szCs w:val="22"/>
            </w:rPr>
            <w:t xml:space="preserve">formateurs </w:t>
          </w:r>
          <w:r>
            <w:rPr>
              <w:sz w:val="22"/>
              <w:szCs w:val="22"/>
            </w:rPr>
            <w:t>par la formation</w:t>
          </w:r>
          <w:r w:rsidR="00240288" w:rsidRPr="00310195">
            <w:rPr>
              <w:sz w:val="22"/>
              <w:szCs w:val="22"/>
            </w:rPr>
            <w:t xml:space="preserve"> des acteurs clés </w:t>
          </w:r>
          <w:r>
            <w:rPr>
              <w:sz w:val="22"/>
              <w:szCs w:val="22"/>
            </w:rPr>
            <w:t>(opérateurs économiques)</w:t>
          </w:r>
          <w:r w:rsidR="00240288" w:rsidRPr="00310195">
            <w:rPr>
              <w:sz w:val="22"/>
              <w:szCs w:val="22"/>
            </w:rPr>
            <w:t xml:space="preserve">: </w:t>
          </w:r>
          <w:r>
            <w:rPr>
              <w:sz w:val="22"/>
              <w:szCs w:val="22"/>
            </w:rPr>
            <w:t>d</w:t>
          </w:r>
          <w:r w:rsidR="00240288" w:rsidRPr="00310195">
            <w:rPr>
              <w:sz w:val="22"/>
              <w:szCs w:val="22"/>
            </w:rPr>
            <w:t xml:space="preserve">es sessions de formation (ateliers par région) pratiques et théoriques seront organisées pour les producteurs aquacoles. Ces formations </w:t>
          </w:r>
          <w:r>
            <w:rPr>
              <w:sz w:val="22"/>
              <w:szCs w:val="22"/>
            </w:rPr>
            <w:t xml:space="preserve">leur </w:t>
          </w:r>
          <w:r w:rsidR="00240288" w:rsidRPr="00310195">
            <w:rPr>
              <w:sz w:val="22"/>
              <w:szCs w:val="22"/>
            </w:rPr>
            <w:t>permettront d’acquérir les compétences nécessaires à la conception technique de</w:t>
          </w:r>
          <w:r>
            <w:rPr>
              <w:sz w:val="22"/>
              <w:szCs w:val="22"/>
            </w:rPr>
            <w:t xml:space="preserve"> leur </w:t>
          </w:r>
          <w:r w:rsidR="00240288" w:rsidRPr="00310195">
            <w:rPr>
              <w:sz w:val="22"/>
              <w:szCs w:val="22"/>
            </w:rPr>
            <w:t>projets aquacoles.</w:t>
          </w:r>
        </w:p>
        <w:p w14:paraId="294ABAF7" w14:textId="5A917E78" w:rsidR="00A575AD" w:rsidRDefault="00EF0F3F" w:rsidP="00E466F5">
          <w:pPr>
            <w:pStyle w:val="Paragraphedeliste"/>
            <w:numPr>
              <w:ilvl w:val="1"/>
              <w:numId w:val="7"/>
            </w:numPr>
            <w:spacing w:before="200" w:after="200" w:line="276" w:lineRule="auto"/>
            <w:ind w:left="788" w:hanging="431"/>
            <w:rPr>
              <w:sz w:val="22"/>
              <w:szCs w:val="22"/>
            </w:rPr>
          </w:pPr>
          <w:r>
            <w:rPr>
              <w:sz w:val="22"/>
              <w:szCs w:val="22"/>
            </w:rPr>
            <w:t>Organisation d’un atelier de restitution des résultats</w:t>
          </w:r>
        </w:p>
        <w:p w14:paraId="0FC74AA7" w14:textId="77777777" w:rsidR="00CB53F1" w:rsidRDefault="00CB53F1" w:rsidP="00CB53F1">
          <w:pPr>
            <w:pStyle w:val="Paragraphedeliste"/>
            <w:spacing w:before="200" w:after="200" w:line="276" w:lineRule="auto"/>
            <w:ind w:left="788"/>
            <w:rPr>
              <w:sz w:val="22"/>
              <w:szCs w:val="22"/>
            </w:rPr>
          </w:pPr>
        </w:p>
        <w:p w14:paraId="7BB17A57" w14:textId="65A89147" w:rsidR="00F472C8" w:rsidRPr="00553D05" w:rsidRDefault="00F472C8" w:rsidP="00E466F5">
          <w:pPr>
            <w:pStyle w:val="Titre1"/>
            <w:widowControl/>
            <w:numPr>
              <w:ilvl w:val="0"/>
              <w:numId w:val="7"/>
            </w:numPr>
            <w:pBdr>
              <w:bottom w:val="single" w:sz="8" w:space="1" w:color="244061" w:themeColor="accent1" w:themeShade="80"/>
            </w:pBdr>
            <w:spacing w:before="200" w:after="200" w:line="276" w:lineRule="auto"/>
            <w:rPr>
              <w:rFonts w:eastAsiaTheme="minorHAnsi"/>
              <w:caps/>
              <w:color w:val="0E408A"/>
              <w:szCs w:val="24"/>
              <w:lang w:eastAsia="en-US"/>
            </w:rPr>
          </w:pPr>
          <w:r w:rsidRPr="00553D05">
            <w:rPr>
              <w:rFonts w:eastAsiaTheme="minorHAnsi"/>
              <w:caps/>
              <w:color w:val="0E408A"/>
              <w:szCs w:val="24"/>
              <w:lang w:eastAsia="en-US"/>
            </w:rPr>
            <w:t xml:space="preserve">Indicateurs de </w:t>
          </w:r>
          <w:r w:rsidR="003F6C15">
            <w:rPr>
              <w:rFonts w:eastAsiaTheme="minorHAnsi"/>
              <w:caps/>
              <w:color w:val="0E408A"/>
              <w:szCs w:val="24"/>
              <w:lang w:eastAsia="en-US"/>
            </w:rPr>
            <w:t>resultat</w:t>
          </w:r>
          <w:r w:rsidRPr="00553D05">
            <w:rPr>
              <w:rFonts w:eastAsiaTheme="minorHAnsi"/>
              <w:caps/>
              <w:color w:val="0E408A"/>
              <w:szCs w:val="24"/>
              <w:lang w:eastAsia="en-US"/>
            </w:rPr>
            <w:t xml:space="preserve"> direct de la mission </w:t>
          </w:r>
        </w:p>
        <w:p w14:paraId="7B621187" w14:textId="51086D9E" w:rsidR="00F472C8" w:rsidRDefault="00F472C8" w:rsidP="00E466F5">
          <w:pPr>
            <w:autoSpaceDE w:val="0"/>
            <w:autoSpaceDN w:val="0"/>
            <w:adjustRightInd w:val="0"/>
            <w:spacing w:before="200" w:after="200" w:line="276" w:lineRule="auto"/>
            <w:jc w:val="left"/>
            <w:rPr>
              <w:rFonts w:eastAsiaTheme="minorHAnsi"/>
              <w:sz w:val="22"/>
              <w:szCs w:val="22"/>
            </w:rPr>
          </w:pPr>
          <w:r w:rsidRPr="000A1F89">
            <w:rPr>
              <w:rFonts w:eastAsiaTheme="minorHAnsi"/>
              <w:sz w:val="22"/>
              <w:szCs w:val="22"/>
            </w:rPr>
            <w:t xml:space="preserve">Les indicateurs suivants devront être renseignés dans le rapport de mission : </w:t>
          </w:r>
        </w:p>
        <w:p w14:paraId="2F53C519" w14:textId="73E6A5D2" w:rsidR="00BA1605" w:rsidRDefault="00BA1605" w:rsidP="00E466F5">
          <w:pPr>
            <w:pStyle w:val="Paragraphedeliste"/>
            <w:numPr>
              <w:ilvl w:val="1"/>
              <w:numId w:val="7"/>
            </w:numPr>
            <w:spacing w:before="200" w:after="200" w:line="276" w:lineRule="auto"/>
            <w:ind w:left="788" w:hanging="431"/>
            <w:rPr>
              <w:sz w:val="22"/>
              <w:szCs w:val="22"/>
            </w:rPr>
          </w:pPr>
          <w:r w:rsidRPr="00310195">
            <w:rPr>
              <w:sz w:val="22"/>
              <w:szCs w:val="22"/>
            </w:rPr>
            <w:t xml:space="preserve">Nombre de </w:t>
          </w:r>
          <w:r>
            <w:rPr>
              <w:sz w:val="22"/>
              <w:szCs w:val="22"/>
            </w:rPr>
            <w:t>contenus enrichis/complétés</w:t>
          </w:r>
        </w:p>
        <w:p w14:paraId="44307507" w14:textId="5FF4043F" w:rsidR="00310195" w:rsidRPr="00310195" w:rsidRDefault="00310195" w:rsidP="00E466F5">
          <w:pPr>
            <w:pStyle w:val="Paragraphedeliste"/>
            <w:numPr>
              <w:ilvl w:val="1"/>
              <w:numId w:val="7"/>
            </w:numPr>
            <w:spacing w:before="200" w:after="200" w:line="276" w:lineRule="auto"/>
            <w:ind w:left="788" w:hanging="431"/>
            <w:rPr>
              <w:sz w:val="22"/>
              <w:szCs w:val="22"/>
            </w:rPr>
          </w:pPr>
          <w:r w:rsidRPr="00310195">
            <w:rPr>
              <w:sz w:val="22"/>
              <w:szCs w:val="22"/>
            </w:rPr>
            <w:t>Nombre de manuels élaborés ;</w:t>
          </w:r>
        </w:p>
        <w:p w14:paraId="12067566" w14:textId="2DF9B823" w:rsidR="00310195" w:rsidRPr="00310195" w:rsidRDefault="00310195" w:rsidP="00E466F5">
          <w:pPr>
            <w:pStyle w:val="Paragraphedeliste"/>
            <w:numPr>
              <w:ilvl w:val="1"/>
              <w:numId w:val="7"/>
            </w:numPr>
            <w:spacing w:before="200" w:after="200" w:line="276" w:lineRule="auto"/>
            <w:ind w:left="788" w:hanging="431"/>
            <w:rPr>
              <w:sz w:val="22"/>
              <w:szCs w:val="22"/>
            </w:rPr>
          </w:pPr>
          <w:r w:rsidRPr="00310195">
            <w:rPr>
              <w:sz w:val="22"/>
              <w:szCs w:val="22"/>
            </w:rPr>
            <w:t>Nombre de participants aux sessions de formation ;</w:t>
          </w:r>
        </w:p>
        <w:p w14:paraId="4B6234EB" w14:textId="4ED919B7" w:rsidR="00310195" w:rsidRDefault="00310195" w:rsidP="00E466F5">
          <w:pPr>
            <w:pStyle w:val="Paragraphedeliste"/>
            <w:numPr>
              <w:ilvl w:val="1"/>
              <w:numId w:val="7"/>
            </w:numPr>
            <w:spacing w:before="200" w:after="200" w:line="276" w:lineRule="auto"/>
            <w:ind w:left="788" w:hanging="431"/>
            <w:rPr>
              <w:rFonts w:eastAsiaTheme="minorHAnsi"/>
              <w:sz w:val="22"/>
              <w:szCs w:val="22"/>
            </w:rPr>
          </w:pPr>
          <w:r w:rsidRPr="00310195">
            <w:rPr>
              <w:sz w:val="22"/>
              <w:szCs w:val="22"/>
            </w:rPr>
            <w:t>Recommandations</w:t>
          </w:r>
          <w:r w:rsidRPr="00310195">
            <w:rPr>
              <w:rFonts w:eastAsiaTheme="minorHAnsi"/>
              <w:sz w:val="22"/>
              <w:szCs w:val="22"/>
            </w:rPr>
            <w:t xml:space="preserve"> en matière de développement du cadre réglementaire.</w:t>
          </w:r>
        </w:p>
        <w:p w14:paraId="4CCA4FD1" w14:textId="77777777" w:rsidR="00CB53F1" w:rsidRDefault="00CB53F1" w:rsidP="00CB53F1">
          <w:pPr>
            <w:spacing w:before="200" w:after="200" w:line="276" w:lineRule="auto"/>
            <w:rPr>
              <w:rFonts w:eastAsiaTheme="minorHAnsi"/>
              <w:sz w:val="22"/>
              <w:szCs w:val="22"/>
            </w:rPr>
          </w:pPr>
        </w:p>
        <w:p w14:paraId="262589FB" w14:textId="77777777" w:rsidR="00CB53F1" w:rsidRPr="00CB53F1" w:rsidRDefault="00CB53F1" w:rsidP="00CB53F1">
          <w:pPr>
            <w:spacing w:before="200" w:after="200" w:line="276" w:lineRule="auto"/>
            <w:rPr>
              <w:rFonts w:eastAsiaTheme="minorHAnsi"/>
              <w:sz w:val="22"/>
              <w:szCs w:val="22"/>
            </w:rPr>
          </w:pPr>
        </w:p>
        <w:p w14:paraId="0856B327" w14:textId="77777777" w:rsidR="00F472C8" w:rsidRPr="00553D05" w:rsidRDefault="00F472C8" w:rsidP="00E466F5">
          <w:pPr>
            <w:pStyle w:val="Titre1"/>
            <w:widowControl/>
            <w:numPr>
              <w:ilvl w:val="0"/>
              <w:numId w:val="7"/>
            </w:numPr>
            <w:pBdr>
              <w:bottom w:val="single" w:sz="8" w:space="1" w:color="244061" w:themeColor="accent1" w:themeShade="80"/>
            </w:pBdr>
            <w:spacing w:before="200" w:after="200" w:line="276" w:lineRule="auto"/>
            <w:rPr>
              <w:rFonts w:eastAsiaTheme="minorHAnsi"/>
              <w:caps/>
              <w:color w:val="0E408A"/>
              <w:szCs w:val="24"/>
              <w:lang w:eastAsia="en-US"/>
            </w:rPr>
          </w:pPr>
          <w:bookmarkStart w:id="11" w:name="_Toc348609128"/>
          <w:bookmarkStart w:id="12" w:name="_Toc349668876"/>
          <w:bookmarkStart w:id="13" w:name="_Toc352565387"/>
          <w:bookmarkStart w:id="14" w:name="_Toc354930045"/>
          <w:bookmarkStart w:id="15" w:name="_Toc434511390"/>
          <w:r w:rsidRPr="00553D05">
            <w:rPr>
              <w:rFonts w:eastAsiaTheme="minorHAnsi"/>
              <w:caps/>
              <w:color w:val="0E408A"/>
              <w:szCs w:val="24"/>
              <w:lang w:eastAsia="en-US"/>
            </w:rPr>
            <w:lastRenderedPageBreak/>
            <w:t>Déroulement et calendrier de la mission</w:t>
          </w:r>
          <w:bookmarkEnd w:id="11"/>
          <w:bookmarkEnd w:id="12"/>
          <w:bookmarkEnd w:id="13"/>
          <w:bookmarkEnd w:id="14"/>
          <w:bookmarkEnd w:id="15"/>
        </w:p>
        <w:p w14:paraId="012394AC" w14:textId="50465AC0" w:rsidR="00F472C8" w:rsidRDefault="003A55BB" w:rsidP="00E466F5">
          <w:pPr>
            <w:spacing w:before="200" w:after="200" w:line="276" w:lineRule="auto"/>
            <w:rPr>
              <w:rFonts w:eastAsia="Calibri"/>
              <w:sz w:val="22"/>
              <w:szCs w:val="22"/>
              <w:lang w:eastAsia="de-DE"/>
            </w:rPr>
          </w:pPr>
          <w:r>
            <w:rPr>
              <w:rFonts w:eastAsia="Calibri"/>
              <w:sz w:val="22"/>
              <w:szCs w:val="22"/>
              <w:lang w:eastAsia="de-DE"/>
            </w:rPr>
            <w:t xml:space="preserve">Sous la supervision de </w:t>
          </w:r>
          <w:r w:rsidR="00473EBA">
            <w:rPr>
              <w:rFonts w:eastAsia="Calibri"/>
              <w:sz w:val="22"/>
              <w:szCs w:val="22"/>
              <w:lang w:eastAsia="de-DE"/>
            </w:rPr>
            <w:t>l’Expert référent pour la pêche et l’aquaculture, et avec l’appui de l’Expert International en Aquaculture</w:t>
          </w:r>
          <w:r>
            <w:rPr>
              <w:rFonts w:eastAsia="Calibri"/>
              <w:sz w:val="22"/>
              <w:szCs w:val="22"/>
              <w:lang w:eastAsia="de-DE"/>
            </w:rPr>
            <w:t>, l</w:t>
          </w:r>
          <w:r w:rsidR="00F472C8" w:rsidRPr="000A1F89">
            <w:rPr>
              <w:rFonts w:eastAsia="Calibri"/>
              <w:sz w:val="22"/>
              <w:szCs w:val="22"/>
              <w:lang w:eastAsia="de-DE"/>
            </w:rPr>
            <w:t xml:space="preserve">a mission sera réalisée par </w:t>
          </w:r>
          <w:r w:rsidR="00BA1605">
            <w:rPr>
              <w:rFonts w:eastAsia="Calibri"/>
              <w:sz w:val="22"/>
              <w:szCs w:val="22"/>
              <w:lang w:eastAsia="de-DE"/>
            </w:rPr>
            <w:t>un</w:t>
          </w:r>
          <w:r w:rsidR="000B4D75">
            <w:rPr>
              <w:rFonts w:eastAsia="Calibri"/>
              <w:sz w:val="22"/>
              <w:szCs w:val="22"/>
              <w:lang w:eastAsia="de-DE"/>
            </w:rPr>
            <w:t xml:space="preserve"> Expert international</w:t>
          </w:r>
          <w:r w:rsidR="00BA1605">
            <w:rPr>
              <w:rFonts w:eastAsia="Calibri"/>
              <w:sz w:val="22"/>
              <w:szCs w:val="22"/>
              <w:lang w:eastAsia="de-DE"/>
            </w:rPr>
            <w:t>, u</w:t>
          </w:r>
          <w:r w:rsidR="00F472C8" w:rsidRPr="000A1F89">
            <w:rPr>
              <w:rFonts w:eastAsia="Calibri"/>
              <w:sz w:val="22"/>
              <w:szCs w:val="22"/>
              <w:lang w:eastAsia="de-DE"/>
            </w:rPr>
            <w:t xml:space="preserve">n budget de </w:t>
          </w:r>
          <w:r w:rsidR="00223FAA">
            <w:rPr>
              <w:rFonts w:eastAsia="Calibri"/>
              <w:sz w:val="22"/>
              <w:szCs w:val="22"/>
              <w:lang w:eastAsia="de-DE"/>
            </w:rPr>
            <w:t>4</w:t>
          </w:r>
          <w:r w:rsidR="00AC0F68">
            <w:rPr>
              <w:rFonts w:eastAsia="Calibri"/>
              <w:sz w:val="22"/>
              <w:szCs w:val="22"/>
              <w:lang w:eastAsia="de-DE"/>
            </w:rPr>
            <w:t>0</w:t>
          </w:r>
          <w:r w:rsidR="00825F3D">
            <w:rPr>
              <w:rFonts w:eastAsia="Calibri"/>
              <w:sz w:val="22"/>
              <w:szCs w:val="22"/>
              <w:lang w:eastAsia="de-DE"/>
            </w:rPr>
            <w:t xml:space="preserve"> </w:t>
          </w:r>
          <w:r w:rsidR="00A00D69">
            <w:rPr>
              <w:rFonts w:eastAsia="Calibri"/>
              <w:sz w:val="22"/>
              <w:szCs w:val="22"/>
              <w:lang w:eastAsia="de-DE"/>
            </w:rPr>
            <w:t>H/J</w:t>
          </w:r>
          <w:r w:rsidR="00F472C8" w:rsidRPr="000A1F89">
            <w:rPr>
              <w:rFonts w:eastAsia="Calibri"/>
              <w:sz w:val="22"/>
              <w:szCs w:val="22"/>
              <w:lang w:eastAsia="de-DE"/>
            </w:rPr>
            <w:t xml:space="preserve"> est provisionné, incluant le temps nécessaire aux déplacements et à la rédaction des rapports de mission</w:t>
          </w:r>
          <w:r w:rsidR="005B02BE">
            <w:rPr>
              <w:rFonts w:eastAsia="Calibri"/>
              <w:sz w:val="22"/>
              <w:szCs w:val="22"/>
              <w:lang w:eastAsia="de-DE"/>
            </w:rPr>
            <w:t>.</w:t>
          </w:r>
          <w:r w:rsidR="00B456AF">
            <w:rPr>
              <w:rFonts w:eastAsia="Calibri"/>
              <w:sz w:val="22"/>
              <w:szCs w:val="22"/>
              <w:lang w:eastAsia="de-DE"/>
            </w:rPr>
            <w:t xml:space="preserve"> </w:t>
          </w:r>
          <w:r w:rsidR="000B4D75">
            <w:rPr>
              <w:rFonts w:eastAsia="Calibri"/>
              <w:sz w:val="22"/>
              <w:szCs w:val="22"/>
              <w:lang w:eastAsia="de-DE"/>
            </w:rPr>
            <w:t>Les travaux seront réalisés</w:t>
          </w:r>
          <w:r w:rsidR="000B4D75" w:rsidRPr="000A1F89">
            <w:rPr>
              <w:rFonts w:eastAsia="Calibri"/>
              <w:sz w:val="22"/>
              <w:szCs w:val="22"/>
              <w:lang w:eastAsia="de-DE"/>
            </w:rPr>
            <w:t xml:space="preserve"> au cours de la période </w:t>
          </w:r>
          <w:r w:rsidR="000B4D75">
            <w:rPr>
              <w:rFonts w:eastAsia="Calibri"/>
              <w:sz w:val="22"/>
              <w:szCs w:val="22"/>
              <w:lang w:eastAsia="de-DE"/>
            </w:rPr>
            <w:t xml:space="preserve">comprise entre mars et </w:t>
          </w:r>
          <w:r w:rsidR="00EF0F3F">
            <w:rPr>
              <w:rFonts w:eastAsia="Calibri"/>
              <w:sz w:val="22"/>
              <w:szCs w:val="22"/>
              <w:lang w:eastAsia="de-DE"/>
            </w:rPr>
            <w:t>Juin</w:t>
          </w:r>
          <w:r w:rsidR="000B4D75">
            <w:rPr>
              <w:rFonts w:eastAsia="Calibri"/>
              <w:sz w:val="22"/>
              <w:szCs w:val="22"/>
              <w:lang w:eastAsia="de-DE"/>
            </w:rPr>
            <w:t xml:space="preserve"> 2025</w:t>
          </w:r>
          <w:r w:rsidR="00AC0F68">
            <w:rPr>
              <w:rFonts w:eastAsia="Calibri"/>
              <w:sz w:val="22"/>
              <w:szCs w:val="22"/>
              <w:lang w:eastAsia="de-DE"/>
            </w:rPr>
            <w:t>.</w:t>
          </w:r>
        </w:p>
        <w:p w14:paraId="54879706" w14:textId="77777777" w:rsidR="001F402B" w:rsidRDefault="001F402B" w:rsidP="001F402B">
          <w:pPr>
            <w:spacing w:before="200" w:after="200" w:line="264" w:lineRule="auto"/>
            <w:rPr>
              <w:rFonts w:eastAsia="Calibri"/>
              <w:sz w:val="22"/>
              <w:szCs w:val="22"/>
              <w:lang w:eastAsia="de-DE"/>
            </w:rPr>
          </w:pPr>
          <w:r w:rsidRPr="003502CB">
            <w:rPr>
              <w:rFonts w:eastAsia="Calibri"/>
              <w:sz w:val="22"/>
              <w:szCs w:val="22"/>
              <w:lang w:eastAsia="de-DE"/>
            </w:rPr>
            <w:t>Le calendrier indicatif de la mission et la répartition des h/j sont donnés dans le tableau ci-dessous :</w:t>
          </w:r>
        </w:p>
        <w:p w14:paraId="70B9B52B" w14:textId="77777777" w:rsidR="001F402B" w:rsidRPr="003502CB" w:rsidRDefault="001F402B" w:rsidP="001F402B">
          <w:pPr>
            <w:spacing w:before="200" w:after="200" w:line="264" w:lineRule="auto"/>
            <w:rPr>
              <w:rFonts w:eastAsia="Calibri"/>
              <w:sz w:val="22"/>
              <w:szCs w:val="22"/>
              <w:lang w:eastAsia="de-DE"/>
            </w:rPr>
          </w:pPr>
        </w:p>
        <w:tbl>
          <w:tblPr>
            <w:tblW w:w="5613" w:type="dxa"/>
            <w:jc w:val="center"/>
            <w:tblLayout w:type="fixed"/>
            <w:tblCellMar>
              <w:left w:w="70" w:type="dxa"/>
              <w:right w:w="70" w:type="dxa"/>
            </w:tblCellMar>
            <w:tblLook w:val="04A0" w:firstRow="1" w:lastRow="0" w:firstColumn="1" w:lastColumn="0" w:noHBand="0" w:noVBand="1"/>
          </w:tblPr>
          <w:tblGrid>
            <w:gridCol w:w="1871"/>
            <w:gridCol w:w="1871"/>
            <w:gridCol w:w="1871"/>
          </w:tblGrid>
          <w:tr w:rsidR="001F402B" w:rsidRPr="003502CB" w14:paraId="27E6E69A" w14:textId="77777777" w:rsidTr="00E27AC6">
            <w:trPr>
              <w:trHeight w:val="300"/>
              <w:jc w:val="center"/>
            </w:trPr>
            <w:tc>
              <w:tcPr>
                <w:tcW w:w="187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F68135B" w14:textId="77777777" w:rsidR="001F402B" w:rsidRPr="003502CB" w:rsidRDefault="001F402B" w:rsidP="00E27AC6">
                <w:pPr>
                  <w:spacing w:before="60" w:after="60" w:line="264" w:lineRule="auto"/>
                  <w:jc w:val="center"/>
                  <w:rPr>
                    <w:rFonts w:eastAsia="Times New Roman"/>
                    <w:sz w:val="22"/>
                    <w:szCs w:val="22"/>
                  </w:rPr>
                </w:pPr>
                <w:r w:rsidRPr="003502CB">
                  <w:rPr>
                    <w:sz w:val="22"/>
                    <w:szCs w:val="22"/>
                  </w:rPr>
                  <w:t>Activités</w:t>
                </w:r>
              </w:p>
            </w:tc>
            <w:tc>
              <w:tcPr>
                <w:tcW w:w="1871" w:type="dxa"/>
                <w:tcBorders>
                  <w:top w:val="single" w:sz="4" w:space="0" w:color="auto"/>
                  <w:left w:val="nil"/>
                  <w:bottom w:val="single" w:sz="4" w:space="0" w:color="auto"/>
                  <w:right w:val="single" w:sz="4" w:space="0" w:color="auto"/>
                </w:tcBorders>
                <w:shd w:val="clear" w:color="auto" w:fill="DAEEF3"/>
                <w:vAlign w:val="center"/>
                <w:hideMark/>
              </w:tcPr>
              <w:p w14:paraId="76BB50B7" w14:textId="77777777" w:rsidR="001F402B" w:rsidRPr="003502CB" w:rsidRDefault="001F402B" w:rsidP="00E27AC6">
                <w:pPr>
                  <w:spacing w:before="60" w:after="60" w:line="264" w:lineRule="auto"/>
                  <w:jc w:val="center"/>
                  <w:rPr>
                    <w:sz w:val="22"/>
                    <w:szCs w:val="22"/>
                  </w:rPr>
                </w:pPr>
                <w:r w:rsidRPr="003502CB">
                  <w:rPr>
                    <w:sz w:val="22"/>
                    <w:szCs w:val="22"/>
                  </w:rPr>
                  <w:t>Période</w:t>
                </w:r>
              </w:p>
            </w:tc>
            <w:tc>
              <w:tcPr>
                <w:tcW w:w="187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B146156" w14:textId="77777777" w:rsidR="001F402B" w:rsidRPr="003502CB" w:rsidRDefault="001F402B" w:rsidP="00E27AC6">
                <w:pPr>
                  <w:spacing w:before="60" w:after="60" w:line="264" w:lineRule="auto"/>
                  <w:jc w:val="center"/>
                  <w:rPr>
                    <w:sz w:val="22"/>
                    <w:szCs w:val="22"/>
                  </w:rPr>
                </w:pPr>
                <w:r>
                  <w:rPr>
                    <w:sz w:val="22"/>
                    <w:szCs w:val="22"/>
                  </w:rPr>
                  <w:t>H/J ENP 1</w:t>
                </w:r>
              </w:p>
            </w:tc>
          </w:tr>
          <w:tr w:rsidR="00EF0F3F" w:rsidRPr="003502CB" w14:paraId="2C4A30E8" w14:textId="77777777" w:rsidTr="00C65D82">
            <w:trPr>
              <w:trHeight w:val="300"/>
              <w:jc w:val="center"/>
            </w:trPr>
            <w:tc>
              <w:tcPr>
                <w:tcW w:w="1871" w:type="dxa"/>
                <w:tcBorders>
                  <w:top w:val="nil"/>
                  <w:left w:val="single" w:sz="4" w:space="0" w:color="auto"/>
                  <w:bottom w:val="single" w:sz="4" w:space="0" w:color="auto"/>
                  <w:right w:val="single" w:sz="4" w:space="0" w:color="auto"/>
                </w:tcBorders>
                <w:vAlign w:val="center"/>
                <w:hideMark/>
              </w:tcPr>
              <w:p w14:paraId="60296AED" w14:textId="77777777" w:rsidR="00EF0F3F" w:rsidRPr="003502CB" w:rsidRDefault="00EF0F3F" w:rsidP="00E27AC6">
                <w:pPr>
                  <w:spacing w:before="60" w:after="60" w:line="264" w:lineRule="auto"/>
                  <w:ind w:left="67"/>
                  <w:jc w:val="center"/>
                  <w:rPr>
                    <w:sz w:val="22"/>
                    <w:szCs w:val="22"/>
                  </w:rPr>
                </w:pPr>
                <w:r w:rsidRPr="003502CB">
                  <w:rPr>
                    <w:sz w:val="22"/>
                    <w:szCs w:val="22"/>
                  </w:rPr>
                  <w:t>3.1</w:t>
                </w:r>
              </w:p>
            </w:tc>
            <w:tc>
              <w:tcPr>
                <w:tcW w:w="1871" w:type="dxa"/>
                <w:vMerge w:val="restart"/>
                <w:tcBorders>
                  <w:top w:val="single" w:sz="4" w:space="0" w:color="auto"/>
                  <w:left w:val="nil"/>
                  <w:right w:val="single" w:sz="4" w:space="0" w:color="auto"/>
                </w:tcBorders>
                <w:vAlign w:val="center"/>
                <w:hideMark/>
              </w:tcPr>
              <w:p w14:paraId="2FF7DCCA" w14:textId="77777777" w:rsidR="00EF0F3F" w:rsidRPr="003502CB" w:rsidRDefault="00EF0F3F" w:rsidP="00E27AC6">
                <w:pPr>
                  <w:spacing w:before="60" w:after="60" w:line="264" w:lineRule="auto"/>
                  <w:jc w:val="center"/>
                  <w:rPr>
                    <w:sz w:val="22"/>
                    <w:szCs w:val="22"/>
                  </w:rPr>
                </w:pPr>
                <w:r>
                  <w:rPr>
                    <w:rFonts w:eastAsia="Calibri"/>
                    <w:sz w:val="22"/>
                    <w:szCs w:val="22"/>
                    <w:lang w:eastAsia="de-DE"/>
                  </w:rPr>
                  <w:t>Mars 2025</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2DE114A" w14:textId="68666202" w:rsidR="00EF0F3F" w:rsidRPr="003502CB" w:rsidRDefault="00223FAA" w:rsidP="00E27AC6">
                <w:pPr>
                  <w:spacing w:before="60" w:after="60" w:line="264" w:lineRule="auto"/>
                  <w:jc w:val="center"/>
                  <w:rPr>
                    <w:sz w:val="22"/>
                    <w:szCs w:val="22"/>
                  </w:rPr>
                </w:pPr>
                <w:r>
                  <w:rPr>
                    <w:sz w:val="22"/>
                    <w:szCs w:val="22"/>
                  </w:rPr>
                  <w:t>05</w:t>
                </w:r>
              </w:p>
            </w:tc>
          </w:tr>
          <w:tr w:rsidR="00EF0F3F" w:rsidRPr="003502CB" w14:paraId="27436033" w14:textId="77777777" w:rsidTr="00C65D82">
            <w:trPr>
              <w:trHeight w:val="300"/>
              <w:jc w:val="center"/>
            </w:trPr>
            <w:tc>
              <w:tcPr>
                <w:tcW w:w="1871" w:type="dxa"/>
                <w:tcBorders>
                  <w:top w:val="nil"/>
                  <w:left w:val="single" w:sz="4" w:space="0" w:color="auto"/>
                  <w:bottom w:val="single" w:sz="4" w:space="0" w:color="auto"/>
                  <w:right w:val="single" w:sz="4" w:space="0" w:color="auto"/>
                </w:tcBorders>
                <w:vAlign w:val="center"/>
                <w:hideMark/>
              </w:tcPr>
              <w:p w14:paraId="3542F2C6" w14:textId="77777777" w:rsidR="00EF0F3F" w:rsidRPr="003502CB" w:rsidRDefault="00EF0F3F" w:rsidP="00E27AC6">
                <w:pPr>
                  <w:spacing w:before="60" w:after="60" w:line="264" w:lineRule="auto"/>
                  <w:ind w:left="67"/>
                  <w:jc w:val="center"/>
                  <w:rPr>
                    <w:sz w:val="22"/>
                    <w:szCs w:val="22"/>
                  </w:rPr>
                </w:pPr>
                <w:r>
                  <w:rPr>
                    <w:sz w:val="22"/>
                    <w:szCs w:val="22"/>
                  </w:rPr>
                  <w:t>3.2</w:t>
                </w:r>
              </w:p>
            </w:tc>
            <w:tc>
              <w:tcPr>
                <w:tcW w:w="1871" w:type="dxa"/>
                <w:vMerge/>
                <w:tcBorders>
                  <w:left w:val="nil"/>
                  <w:bottom w:val="single" w:sz="4" w:space="0" w:color="auto"/>
                  <w:right w:val="single" w:sz="4" w:space="0" w:color="auto"/>
                </w:tcBorders>
                <w:vAlign w:val="center"/>
              </w:tcPr>
              <w:p w14:paraId="64685C23" w14:textId="50D73B40" w:rsidR="00EF0F3F" w:rsidRPr="003502CB" w:rsidRDefault="00EF0F3F" w:rsidP="00E27AC6">
                <w:pPr>
                  <w:spacing w:before="60" w:after="60" w:line="264" w:lineRule="auto"/>
                  <w:jc w:val="center"/>
                  <w:rPr>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hideMark/>
              </w:tcPr>
              <w:p w14:paraId="12A38C20" w14:textId="0E95495B" w:rsidR="00EF0F3F" w:rsidRPr="003502CB" w:rsidRDefault="00223FAA" w:rsidP="00E27AC6">
                <w:pPr>
                  <w:spacing w:before="60" w:after="60" w:line="264" w:lineRule="auto"/>
                  <w:jc w:val="center"/>
                  <w:rPr>
                    <w:sz w:val="22"/>
                    <w:szCs w:val="22"/>
                  </w:rPr>
                </w:pPr>
                <w:r>
                  <w:rPr>
                    <w:sz w:val="22"/>
                    <w:szCs w:val="22"/>
                  </w:rPr>
                  <w:t>05</w:t>
                </w:r>
              </w:p>
            </w:tc>
          </w:tr>
          <w:tr w:rsidR="00EF0F3F" w:rsidRPr="003502CB" w14:paraId="6AF25A04" w14:textId="77777777" w:rsidTr="00C426A9">
            <w:trPr>
              <w:trHeight w:val="300"/>
              <w:jc w:val="center"/>
            </w:trPr>
            <w:tc>
              <w:tcPr>
                <w:tcW w:w="1871" w:type="dxa"/>
                <w:tcBorders>
                  <w:top w:val="nil"/>
                  <w:left w:val="single" w:sz="4" w:space="0" w:color="auto"/>
                  <w:bottom w:val="single" w:sz="4" w:space="0" w:color="auto"/>
                  <w:right w:val="single" w:sz="4" w:space="0" w:color="auto"/>
                </w:tcBorders>
                <w:vAlign w:val="center"/>
                <w:hideMark/>
              </w:tcPr>
              <w:p w14:paraId="5ECE3D52" w14:textId="77777777" w:rsidR="00EF0F3F" w:rsidRPr="003502CB" w:rsidRDefault="00EF0F3F" w:rsidP="00E27AC6">
                <w:pPr>
                  <w:spacing w:before="60" w:after="60" w:line="264" w:lineRule="auto"/>
                  <w:ind w:left="67"/>
                  <w:jc w:val="center"/>
                  <w:rPr>
                    <w:sz w:val="22"/>
                    <w:szCs w:val="22"/>
                  </w:rPr>
                </w:pPr>
                <w:r>
                  <w:rPr>
                    <w:sz w:val="22"/>
                    <w:szCs w:val="22"/>
                  </w:rPr>
                  <w:t>3.3</w:t>
                </w:r>
              </w:p>
            </w:tc>
            <w:tc>
              <w:tcPr>
                <w:tcW w:w="1871" w:type="dxa"/>
                <w:vMerge w:val="restart"/>
                <w:tcBorders>
                  <w:top w:val="single" w:sz="4" w:space="0" w:color="auto"/>
                  <w:left w:val="nil"/>
                  <w:right w:val="single" w:sz="4" w:space="0" w:color="auto"/>
                </w:tcBorders>
                <w:vAlign w:val="center"/>
              </w:tcPr>
              <w:p w14:paraId="291366DB" w14:textId="167859F0" w:rsidR="00EF0F3F" w:rsidRPr="003502CB" w:rsidRDefault="00EF0F3F" w:rsidP="00E27AC6">
                <w:pPr>
                  <w:spacing w:before="60" w:after="60" w:line="264" w:lineRule="auto"/>
                  <w:jc w:val="center"/>
                  <w:rPr>
                    <w:sz w:val="22"/>
                    <w:szCs w:val="22"/>
                  </w:rPr>
                </w:pPr>
                <w:r>
                  <w:rPr>
                    <w:rFonts w:eastAsia="Calibri"/>
                    <w:sz w:val="22"/>
                    <w:szCs w:val="22"/>
                    <w:lang w:eastAsia="de-DE"/>
                  </w:rPr>
                  <w:t>Avril 2025</w:t>
                </w:r>
              </w:p>
            </w:tc>
            <w:tc>
              <w:tcPr>
                <w:tcW w:w="1871" w:type="dxa"/>
                <w:vMerge w:val="restart"/>
                <w:tcBorders>
                  <w:top w:val="single" w:sz="4" w:space="0" w:color="auto"/>
                  <w:left w:val="single" w:sz="4" w:space="0" w:color="auto"/>
                  <w:right w:val="single" w:sz="4" w:space="0" w:color="auto"/>
                </w:tcBorders>
                <w:vAlign w:val="center"/>
                <w:hideMark/>
              </w:tcPr>
              <w:p w14:paraId="685DA0E5" w14:textId="67249F86" w:rsidR="00EF0F3F" w:rsidRPr="003502CB" w:rsidRDefault="00223FAA" w:rsidP="00E27AC6">
                <w:pPr>
                  <w:spacing w:before="60" w:after="60" w:line="264" w:lineRule="auto"/>
                  <w:jc w:val="center"/>
                  <w:rPr>
                    <w:sz w:val="22"/>
                    <w:szCs w:val="22"/>
                  </w:rPr>
                </w:pPr>
                <w:r>
                  <w:rPr>
                    <w:sz w:val="22"/>
                    <w:szCs w:val="22"/>
                  </w:rPr>
                  <w:t>10</w:t>
                </w:r>
              </w:p>
            </w:tc>
          </w:tr>
          <w:tr w:rsidR="00EF0F3F" w:rsidRPr="003502CB" w14:paraId="1B8BBDC2" w14:textId="77777777" w:rsidTr="00C426A9">
            <w:trPr>
              <w:trHeight w:val="300"/>
              <w:jc w:val="center"/>
            </w:trPr>
            <w:tc>
              <w:tcPr>
                <w:tcW w:w="1871" w:type="dxa"/>
                <w:tcBorders>
                  <w:top w:val="nil"/>
                  <w:left w:val="single" w:sz="4" w:space="0" w:color="auto"/>
                  <w:bottom w:val="single" w:sz="4" w:space="0" w:color="auto"/>
                  <w:right w:val="single" w:sz="4" w:space="0" w:color="auto"/>
                </w:tcBorders>
                <w:vAlign w:val="center"/>
                <w:hideMark/>
              </w:tcPr>
              <w:p w14:paraId="6E7429B6" w14:textId="77777777" w:rsidR="00EF0F3F" w:rsidRPr="003502CB" w:rsidRDefault="00EF0F3F" w:rsidP="00E27AC6">
                <w:pPr>
                  <w:spacing w:before="60" w:after="60" w:line="264" w:lineRule="auto"/>
                  <w:ind w:left="67"/>
                  <w:jc w:val="center"/>
                  <w:rPr>
                    <w:sz w:val="22"/>
                    <w:szCs w:val="22"/>
                  </w:rPr>
                </w:pPr>
                <w:r>
                  <w:rPr>
                    <w:sz w:val="22"/>
                    <w:szCs w:val="22"/>
                  </w:rPr>
                  <w:t>3.4</w:t>
                </w:r>
              </w:p>
            </w:tc>
            <w:tc>
              <w:tcPr>
                <w:tcW w:w="1871" w:type="dxa"/>
                <w:vMerge/>
                <w:tcBorders>
                  <w:left w:val="nil"/>
                  <w:bottom w:val="single" w:sz="4" w:space="0" w:color="auto"/>
                  <w:right w:val="single" w:sz="4" w:space="0" w:color="auto"/>
                </w:tcBorders>
                <w:vAlign w:val="center"/>
              </w:tcPr>
              <w:p w14:paraId="7971186F" w14:textId="33386B47" w:rsidR="00EF0F3F" w:rsidRPr="003502CB" w:rsidRDefault="00EF0F3F" w:rsidP="00E27AC6">
                <w:pPr>
                  <w:spacing w:before="60" w:after="60" w:line="264" w:lineRule="auto"/>
                  <w:jc w:val="center"/>
                  <w:rPr>
                    <w:sz w:val="22"/>
                    <w:szCs w:val="22"/>
                  </w:rPr>
                </w:pPr>
              </w:p>
            </w:tc>
            <w:tc>
              <w:tcPr>
                <w:tcW w:w="1871" w:type="dxa"/>
                <w:vMerge/>
                <w:tcBorders>
                  <w:left w:val="single" w:sz="4" w:space="0" w:color="auto"/>
                  <w:bottom w:val="single" w:sz="4" w:space="0" w:color="auto"/>
                  <w:right w:val="single" w:sz="4" w:space="0" w:color="auto"/>
                </w:tcBorders>
                <w:vAlign w:val="center"/>
                <w:hideMark/>
              </w:tcPr>
              <w:p w14:paraId="02C35B21" w14:textId="570B8CB0" w:rsidR="00EF0F3F" w:rsidRPr="003502CB" w:rsidRDefault="00EF0F3F" w:rsidP="00E27AC6">
                <w:pPr>
                  <w:spacing w:before="60" w:after="60" w:line="264" w:lineRule="auto"/>
                  <w:jc w:val="center"/>
                  <w:rPr>
                    <w:sz w:val="22"/>
                    <w:szCs w:val="22"/>
                  </w:rPr>
                </w:pPr>
              </w:p>
            </w:tc>
          </w:tr>
          <w:tr w:rsidR="001F402B" w:rsidRPr="003502CB" w14:paraId="39B7D31D" w14:textId="77777777" w:rsidTr="00E27AC6">
            <w:trPr>
              <w:trHeight w:val="300"/>
              <w:jc w:val="center"/>
            </w:trPr>
            <w:tc>
              <w:tcPr>
                <w:tcW w:w="1871" w:type="dxa"/>
                <w:tcBorders>
                  <w:top w:val="nil"/>
                  <w:left w:val="single" w:sz="4" w:space="0" w:color="auto"/>
                  <w:bottom w:val="single" w:sz="4" w:space="0" w:color="auto"/>
                  <w:right w:val="single" w:sz="4" w:space="0" w:color="auto"/>
                </w:tcBorders>
                <w:vAlign w:val="center"/>
                <w:hideMark/>
              </w:tcPr>
              <w:p w14:paraId="5AFB7ADE" w14:textId="77777777" w:rsidR="001F402B" w:rsidRPr="003502CB" w:rsidRDefault="001F402B" w:rsidP="00E27AC6">
                <w:pPr>
                  <w:spacing w:before="60" w:after="60" w:line="264" w:lineRule="auto"/>
                  <w:ind w:left="67"/>
                  <w:jc w:val="center"/>
                  <w:rPr>
                    <w:sz w:val="22"/>
                    <w:szCs w:val="22"/>
                  </w:rPr>
                </w:pPr>
                <w:r>
                  <w:rPr>
                    <w:sz w:val="22"/>
                    <w:szCs w:val="22"/>
                  </w:rPr>
                  <w:t>3.5</w:t>
                </w:r>
              </w:p>
            </w:tc>
            <w:tc>
              <w:tcPr>
                <w:tcW w:w="1871" w:type="dxa"/>
                <w:tcBorders>
                  <w:top w:val="single" w:sz="4" w:space="0" w:color="auto"/>
                  <w:left w:val="nil"/>
                  <w:bottom w:val="single" w:sz="4" w:space="0" w:color="auto"/>
                  <w:right w:val="single" w:sz="4" w:space="0" w:color="auto"/>
                </w:tcBorders>
                <w:vAlign w:val="center"/>
              </w:tcPr>
              <w:p w14:paraId="7CA57AC0" w14:textId="3D429E5F" w:rsidR="001F402B" w:rsidRPr="003502CB" w:rsidRDefault="001F402B" w:rsidP="00E27AC6">
                <w:pPr>
                  <w:spacing w:before="60" w:after="60" w:line="264" w:lineRule="auto"/>
                  <w:jc w:val="center"/>
                  <w:rPr>
                    <w:sz w:val="22"/>
                    <w:szCs w:val="22"/>
                  </w:rPr>
                </w:pPr>
                <w:r>
                  <w:rPr>
                    <w:rFonts w:eastAsia="Calibri"/>
                    <w:sz w:val="22"/>
                    <w:szCs w:val="22"/>
                    <w:lang w:eastAsia="de-DE"/>
                  </w:rPr>
                  <w:t>Mai 2025</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3630B5D" w14:textId="3E8F696A" w:rsidR="001F402B" w:rsidRPr="003502CB" w:rsidRDefault="00EF0F3F" w:rsidP="00E27AC6">
                <w:pPr>
                  <w:spacing w:before="60" w:after="60" w:line="264" w:lineRule="auto"/>
                  <w:jc w:val="center"/>
                  <w:rPr>
                    <w:sz w:val="22"/>
                    <w:szCs w:val="22"/>
                  </w:rPr>
                </w:pPr>
                <w:r>
                  <w:rPr>
                    <w:sz w:val="22"/>
                    <w:szCs w:val="22"/>
                  </w:rPr>
                  <w:t>15</w:t>
                </w:r>
              </w:p>
            </w:tc>
          </w:tr>
          <w:tr w:rsidR="00EF0F3F" w:rsidRPr="003502CB" w14:paraId="3DA3500C" w14:textId="77777777" w:rsidTr="00E27AC6">
            <w:trPr>
              <w:trHeight w:val="300"/>
              <w:jc w:val="center"/>
            </w:trPr>
            <w:tc>
              <w:tcPr>
                <w:tcW w:w="1871" w:type="dxa"/>
                <w:tcBorders>
                  <w:top w:val="nil"/>
                  <w:left w:val="single" w:sz="4" w:space="0" w:color="auto"/>
                  <w:bottom w:val="single" w:sz="4" w:space="0" w:color="auto"/>
                  <w:right w:val="single" w:sz="4" w:space="0" w:color="auto"/>
                </w:tcBorders>
                <w:vAlign w:val="center"/>
              </w:tcPr>
              <w:p w14:paraId="773AF451" w14:textId="672E0BFE" w:rsidR="00EF0F3F" w:rsidRDefault="00EF0F3F" w:rsidP="00E27AC6">
                <w:pPr>
                  <w:spacing w:before="60" w:after="60" w:line="264" w:lineRule="auto"/>
                  <w:ind w:left="67"/>
                  <w:jc w:val="center"/>
                  <w:rPr>
                    <w:sz w:val="22"/>
                    <w:szCs w:val="22"/>
                  </w:rPr>
                </w:pPr>
                <w:r>
                  <w:rPr>
                    <w:sz w:val="22"/>
                    <w:szCs w:val="22"/>
                  </w:rPr>
                  <w:t>3.</w:t>
                </w:r>
                <w:r>
                  <w:rPr>
                    <w:sz w:val="22"/>
                    <w:szCs w:val="22"/>
                  </w:rPr>
                  <w:t>6</w:t>
                </w:r>
              </w:p>
            </w:tc>
            <w:tc>
              <w:tcPr>
                <w:tcW w:w="1871" w:type="dxa"/>
                <w:tcBorders>
                  <w:top w:val="single" w:sz="4" w:space="0" w:color="auto"/>
                  <w:left w:val="nil"/>
                  <w:bottom w:val="single" w:sz="4" w:space="0" w:color="auto"/>
                  <w:right w:val="single" w:sz="4" w:space="0" w:color="auto"/>
                </w:tcBorders>
                <w:vAlign w:val="center"/>
              </w:tcPr>
              <w:p w14:paraId="2BBBBD84" w14:textId="55E47BEF" w:rsidR="00EF0F3F" w:rsidRDefault="00EF0F3F" w:rsidP="00E27AC6">
                <w:pPr>
                  <w:spacing w:before="60" w:after="60" w:line="264" w:lineRule="auto"/>
                  <w:jc w:val="center"/>
                  <w:rPr>
                    <w:rFonts w:eastAsia="Calibri"/>
                    <w:sz w:val="22"/>
                    <w:szCs w:val="22"/>
                    <w:lang w:eastAsia="de-DE"/>
                  </w:rPr>
                </w:pPr>
                <w:r>
                  <w:rPr>
                    <w:rFonts w:eastAsia="Calibri"/>
                    <w:sz w:val="22"/>
                    <w:szCs w:val="22"/>
                    <w:lang w:eastAsia="de-DE"/>
                  </w:rPr>
                  <w:t>Juin 2025</w:t>
                </w:r>
              </w:p>
            </w:tc>
            <w:tc>
              <w:tcPr>
                <w:tcW w:w="1871" w:type="dxa"/>
                <w:tcBorders>
                  <w:top w:val="single" w:sz="4" w:space="0" w:color="auto"/>
                  <w:left w:val="single" w:sz="4" w:space="0" w:color="auto"/>
                  <w:bottom w:val="single" w:sz="4" w:space="0" w:color="auto"/>
                  <w:right w:val="single" w:sz="4" w:space="0" w:color="auto"/>
                </w:tcBorders>
                <w:vAlign w:val="center"/>
              </w:tcPr>
              <w:p w14:paraId="5C622E9E" w14:textId="758F2B2F" w:rsidR="00EF0F3F" w:rsidRDefault="00223FAA" w:rsidP="00E27AC6">
                <w:pPr>
                  <w:spacing w:before="60" w:after="60" w:line="264" w:lineRule="auto"/>
                  <w:jc w:val="center"/>
                  <w:rPr>
                    <w:sz w:val="22"/>
                    <w:szCs w:val="22"/>
                  </w:rPr>
                </w:pPr>
                <w:r>
                  <w:rPr>
                    <w:sz w:val="22"/>
                    <w:szCs w:val="22"/>
                  </w:rPr>
                  <w:t>05</w:t>
                </w:r>
              </w:p>
            </w:tc>
          </w:tr>
          <w:tr w:rsidR="001F402B" w:rsidRPr="003502CB" w14:paraId="1005210A" w14:textId="77777777" w:rsidTr="00E27AC6">
            <w:trPr>
              <w:trHeight w:val="300"/>
              <w:jc w:val="center"/>
            </w:trPr>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267F45" w14:textId="77777777" w:rsidR="001F402B" w:rsidRPr="003502CB" w:rsidRDefault="001F402B" w:rsidP="00E27AC6">
                <w:pPr>
                  <w:spacing w:before="60" w:after="60" w:line="264" w:lineRule="auto"/>
                  <w:jc w:val="center"/>
                  <w:rPr>
                    <w:sz w:val="22"/>
                    <w:szCs w:val="22"/>
                  </w:rPr>
                </w:pPr>
                <w:r w:rsidRPr="003502CB">
                  <w:rPr>
                    <w:sz w:val="22"/>
                    <w:szCs w:val="22"/>
                  </w:rPr>
                  <w:t>Total H/J</w:t>
                </w:r>
              </w:p>
            </w:tc>
            <w:tc>
              <w:tcPr>
                <w:tcW w:w="1871" w:type="dxa"/>
                <w:tcBorders>
                  <w:top w:val="single" w:sz="4" w:space="0" w:color="auto"/>
                  <w:left w:val="nil"/>
                  <w:bottom w:val="single" w:sz="4" w:space="0" w:color="auto"/>
                  <w:right w:val="single" w:sz="4" w:space="0" w:color="auto"/>
                </w:tcBorders>
                <w:shd w:val="clear" w:color="auto" w:fill="D9D9D9"/>
                <w:vAlign w:val="center"/>
              </w:tcPr>
              <w:p w14:paraId="62ED624A" w14:textId="77777777" w:rsidR="001F402B" w:rsidRPr="003502CB" w:rsidRDefault="001F402B" w:rsidP="00E27AC6">
                <w:pPr>
                  <w:spacing w:before="60" w:after="60" w:line="264" w:lineRule="auto"/>
                  <w:jc w:val="center"/>
                  <w:rPr>
                    <w:sz w:val="22"/>
                    <w:szCs w:val="22"/>
                  </w:rPr>
                </w:pPr>
              </w:p>
            </w:tc>
            <w:tc>
              <w:tcPr>
                <w:tcW w:w="18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E0A41F" w14:textId="01CDF321" w:rsidR="001F402B" w:rsidRPr="003502CB" w:rsidRDefault="00223FAA" w:rsidP="00E27AC6">
                <w:pPr>
                  <w:spacing w:before="60" w:after="60" w:line="264" w:lineRule="auto"/>
                  <w:jc w:val="center"/>
                  <w:rPr>
                    <w:sz w:val="22"/>
                    <w:szCs w:val="22"/>
                  </w:rPr>
                </w:pPr>
                <w:r>
                  <w:rPr>
                    <w:sz w:val="22"/>
                    <w:szCs w:val="22"/>
                  </w:rPr>
                  <w:t>4</w:t>
                </w:r>
                <w:r w:rsidR="001F402B">
                  <w:rPr>
                    <w:sz w:val="22"/>
                    <w:szCs w:val="22"/>
                  </w:rPr>
                  <w:t>0</w:t>
                </w:r>
              </w:p>
            </w:tc>
          </w:tr>
        </w:tbl>
        <w:p w14:paraId="2FD14610" w14:textId="297435BC" w:rsidR="001F402B" w:rsidRPr="005B02BE" w:rsidRDefault="001F402B" w:rsidP="001F402B">
          <w:pPr>
            <w:spacing w:before="200" w:after="200" w:line="264" w:lineRule="auto"/>
            <w:rPr>
              <w:sz w:val="22"/>
              <w:szCs w:val="22"/>
            </w:rPr>
          </w:pPr>
          <w:r w:rsidRPr="005B02BE">
            <w:rPr>
              <w:sz w:val="22"/>
              <w:szCs w:val="22"/>
            </w:rPr>
            <w:t xml:space="preserve">La date de démarrage de la mission est prévue </w:t>
          </w:r>
          <w:r>
            <w:rPr>
              <w:sz w:val="22"/>
              <w:szCs w:val="22"/>
            </w:rPr>
            <w:t xml:space="preserve">début Mars 2025 ; </w:t>
          </w:r>
          <w:r w:rsidRPr="005B02BE">
            <w:rPr>
              <w:sz w:val="22"/>
              <w:szCs w:val="22"/>
            </w:rPr>
            <w:t>Le lieu de travail de</w:t>
          </w:r>
          <w:r>
            <w:rPr>
              <w:sz w:val="22"/>
              <w:szCs w:val="22"/>
            </w:rPr>
            <w:t xml:space="preserve"> l’</w:t>
          </w:r>
          <w:r w:rsidRPr="005B02BE">
            <w:rPr>
              <w:sz w:val="22"/>
              <w:szCs w:val="22"/>
            </w:rPr>
            <w:t>expert est Alger</w:t>
          </w:r>
          <w:r>
            <w:rPr>
              <w:sz w:val="22"/>
              <w:szCs w:val="22"/>
            </w:rPr>
            <w:t xml:space="preserve"> avec des déplacements sur les régions côtières en fonction de besoins</w:t>
          </w:r>
          <w:r w:rsidRPr="005B02BE">
            <w:rPr>
              <w:sz w:val="22"/>
              <w:szCs w:val="22"/>
            </w:rPr>
            <w:t>.</w:t>
          </w:r>
        </w:p>
        <w:p w14:paraId="6420AC87" w14:textId="77777777" w:rsidR="001F402B" w:rsidRDefault="001F402B" w:rsidP="00E466F5">
          <w:pPr>
            <w:spacing w:before="200" w:after="200" w:line="276" w:lineRule="auto"/>
            <w:rPr>
              <w:rFonts w:eastAsia="Calibri"/>
              <w:sz w:val="22"/>
              <w:szCs w:val="22"/>
              <w:lang w:eastAsia="de-DE"/>
            </w:rPr>
          </w:pPr>
        </w:p>
        <w:p w14:paraId="322DED95" w14:textId="77777777" w:rsidR="00F472C8" w:rsidRPr="00553D05" w:rsidRDefault="00F472C8" w:rsidP="00E466F5">
          <w:pPr>
            <w:pStyle w:val="Titre1"/>
            <w:widowControl/>
            <w:numPr>
              <w:ilvl w:val="0"/>
              <w:numId w:val="7"/>
            </w:numPr>
            <w:pBdr>
              <w:bottom w:val="single" w:sz="8" w:space="1" w:color="244061" w:themeColor="accent1" w:themeShade="80"/>
            </w:pBdr>
            <w:spacing w:before="200" w:after="200" w:line="276" w:lineRule="auto"/>
            <w:rPr>
              <w:rFonts w:eastAsiaTheme="minorHAnsi"/>
              <w:caps/>
              <w:color w:val="0E408A"/>
              <w:szCs w:val="24"/>
              <w:lang w:eastAsia="en-US"/>
            </w:rPr>
          </w:pPr>
          <w:r w:rsidRPr="00553D05">
            <w:rPr>
              <w:rFonts w:eastAsiaTheme="minorHAnsi"/>
              <w:caps/>
              <w:color w:val="0E408A"/>
              <w:szCs w:val="24"/>
              <w:lang w:eastAsia="en-US"/>
            </w:rPr>
            <w:t>PROFIL DE</w:t>
          </w:r>
          <w:r w:rsidR="005B02BE" w:rsidRPr="00553D05">
            <w:rPr>
              <w:rFonts w:eastAsiaTheme="minorHAnsi"/>
              <w:caps/>
              <w:color w:val="0E408A"/>
              <w:szCs w:val="24"/>
              <w:lang w:eastAsia="en-US"/>
            </w:rPr>
            <w:t xml:space="preserve"> L’</w:t>
          </w:r>
          <w:r w:rsidRPr="00553D05">
            <w:rPr>
              <w:rFonts w:eastAsiaTheme="minorHAnsi"/>
              <w:caps/>
              <w:color w:val="0E408A"/>
              <w:szCs w:val="24"/>
              <w:lang w:eastAsia="en-US"/>
            </w:rPr>
            <w:t>EXPERT</w:t>
          </w:r>
        </w:p>
        <w:p w14:paraId="2FC35FB7" w14:textId="72C21334" w:rsidR="00E466F5" w:rsidRPr="00E466F5" w:rsidRDefault="00E466F5" w:rsidP="00E466F5">
          <w:pPr>
            <w:pStyle w:val="Titre3"/>
            <w:spacing w:before="200" w:after="200" w:line="276" w:lineRule="auto"/>
            <w:contextualSpacing/>
            <w:rPr>
              <w:color w:val="auto"/>
              <w:sz w:val="22"/>
              <w:szCs w:val="22"/>
            </w:rPr>
          </w:pPr>
          <w:r>
            <w:rPr>
              <w:color w:val="auto"/>
              <w:sz w:val="22"/>
              <w:szCs w:val="22"/>
            </w:rPr>
            <w:t>« </w:t>
          </w:r>
          <w:r w:rsidRPr="00E466F5">
            <w:rPr>
              <w:color w:val="auto"/>
              <w:sz w:val="22"/>
              <w:szCs w:val="22"/>
            </w:rPr>
            <w:t>Expert International en Génie Aquacole</w:t>
          </w:r>
          <w:r>
            <w:rPr>
              <w:color w:val="auto"/>
              <w:sz w:val="22"/>
              <w:szCs w:val="22"/>
            </w:rPr>
            <w:t> »</w:t>
          </w:r>
        </w:p>
        <w:p w14:paraId="753BAE91" w14:textId="5DF33FD4" w:rsidR="00E466F5" w:rsidRPr="00E466F5" w:rsidRDefault="00E466F5" w:rsidP="00E466F5">
          <w:pPr>
            <w:pStyle w:val="NormalWeb"/>
            <w:spacing w:before="200" w:beforeAutospacing="0" w:after="200" w:afterAutospacing="0" w:line="276" w:lineRule="auto"/>
            <w:rPr>
              <w:rFonts w:ascii="Arial" w:hAnsi="Arial" w:cs="Arial"/>
              <w:sz w:val="22"/>
              <w:szCs w:val="22"/>
            </w:rPr>
          </w:pPr>
          <w:r w:rsidRPr="00E466F5">
            <w:rPr>
              <w:rStyle w:val="lev"/>
              <w:rFonts w:ascii="Arial" w:hAnsi="Arial" w:cs="Arial"/>
              <w:b w:val="0"/>
              <w:bCs w:val="0"/>
              <w:sz w:val="22"/>
              <w:szCs w:val="22"/>
              <w:u w:val="single"/>
            </w:rPr>
            <w:t>Catégorie de l’expert</w:t>
          </w:r>
          <w:r>
            <w:rPr>
              <w:rStyle w:val="lev"/>
              <w:rFonts w:ascii="Arial" w:hAnsi="Arial" w:cs="Arial"/>
              <w:sz w:val="22"/>
              <w:szCs w:val="22"/>
            </w:rPr>
            <w:t> :</w:t>
          </w:r>
          <w:r w:rsidRPr="00E466F5">
            <w:rPr>
              <w:rFonts w:ascii="Arial" w:hAnsi="Arial" w:cs="Arial"/>
              <w:sz w:val="22"/>
              <w:szCs w:val="22"/>
            </w:rPr>
            <w:t xml:space="preserve"> Expert senior (&gt; 10 ans d’expérience)</w:t>
          </w:r>
        </w:p>
        <w:p w14:paraId="0DA4EEA2" w14:textId="1770B247" w:rsidR="00E466F5" w:rsidRPr="00E466F5" w:rsidRDefault="00E466F5" w:rsidP="00E466F5">
          <w:pPr>
            <w:pStyle w:val="NormalWeb"/>
            <w:spacing w:before="200" w:beforeAutospacing="0" w:after="200" w:afterAutospacing="0" w:line="276" w:lineRule="auto"/>
            <w:rPr>
              <w:rFonts w:ascii="Arial" w:hAnsi="Arial" w:cs="Arial"/>
              <w:sz w:val="22"/>
              <w:szCs w:val="22"/>
              <w:u w:val="single"/>
            </w:rPr>
          </w:pPr>
          <w:r w:rsidRPr="00E466F5">
            <w:rPr>
              <w:rStyle w:val="lev"/>
              <w:rFonts w:ascii="Arial" w:hAnsi="Arial" w:cs="Arial"/>
              <w:b w:val="0"/>
              <w:bCs w:val="0"/>
              <w:sz w:val="22"/>
              <w:szCs w:val="22"/>
              <w:u w:val="single"/>
            </w:rPr>
            <w:t>Qualifications et Compétences :</w:t>
          </w:r>
        </w:p>
        <w:p w14:paraId="0B637D5E" w14:textId="77777777" w:rsidR="00E466F5" w:rsidRPr="00E466F5" w:rsidRDefault="00E466F5" w:rsidP="00E466F5">
          <w:pPr>
            <w:pStyle w:val="NormalWeb"/>
            <w:numPr>
              <w:ilvl w:val="0"/>
              <w:numId w:val="22"/>
            </w:numPr>
            <w:spacing w:before="200" w:beforeAutospacing="0" w:after="200" w:afterAutospacing="0" w:line="276" w:lineRule="auto"/>
            <w:contextualSpacing/>
            <w:jc w:val="both"/>
            <w:rPr>
              <w:rFonts w:ascii="Arial" w:hAnsi="Arial" w:cs="Arial"/>
              <w:sz w:val="22"/>
              <w:szCs w:val="22"/>
            </w:rPr>
          </w:pPr>
          <w:r w:rsidRPr="00E466F5">
            <w:rPr>
              <w:rStyle w:val="lev"/>
              <w:rFonts w:ascii="Arial" w:hAnsi="Arial" w:cs="Arial"/>
              <w:b w:val="0"/>
              <w:bCs w:val="0"/>
              <w:sz w:val="22"/>
              <w:szCs w:val="22"/>
            </w:rPr>
            <w:t>Diplôme Avancé :</w:t>
          </w:r>
          <w:r w:rsidRPr="00E466F5">
            <w:rPr>
              <w:rFonts w:ascii="Arial" w:hAnsi="Arial" w:cs="Arial"/>
              <w:sz w:val="22"/>
              <w:szCs w:val="22"/>
            </w:rPr>
            <w:t xml:space="preserve"> Master ou Doctorat en Aquaculture, Génie Aquacole, Biologie Marine ou un domaine connexe.</w:t>
          </w:r>
        </w:p>
        <w:p w14:paraId="02CD41B0" w14:textId="77777777" w:rsidR="00E466F5" w:rsidRPr="00E466F5" w:rsidRDefault="00E466F5" w:rsidP="00E466F5">
          <w:pPr>
            <w:pStyle w:val="NormalWeb"/>
            <w:numPr>
              <w:ilvl w:val="0"/>
              <w:numId w:val="22"/>
            </w:numPr>
            <w:spacing w:before="200" w:beforeAutospacing="0" w:after="200" w:afterAutospacing="0" w:line="276" w:lineRule="auto"/>
            <w:contextualSpacing/>
            <w:jc w:val="both"/>
            <w:rPr>
              <w:rFonts w:ascii="Arial" w:hAnsi="Arial" w:cs="Arial"/>
              <w:sz w:val="22"/>
              <w:szCs w:val="22"/>
            </w:rPr>
          </w:pPr>
          <w:r w:rsidRPr="00E466F5">
            <w:rPr>
              <w:rStyle w:val="lev"/>
              <w:rFonts w:ascii="Arial" w:hAnsi="Arial" w:cs="Arial"/>
              <w:b w:val="0"/>
              <w:bCs w:val="0"/>
              <w:sz w:val="22"/>
              <w:szCs w:val="22"/>
            </w:rPr>
            <w:t>Connaissances Techniques :</w:t>
          </w:r>
          <w:r w:rsidRPr="00E466F5">
            <w:rPr>
              <w:rFonts w:ascii="Arial" w:hAnsi="Arial" w:cs="Arial"/>
              <w:sz w:val="22"/>
              <w:szCs w:val="22"/>
            </w:rPr>
            <w:t xml:space="preserve"> Expertise confirmée dans l’élaboration de manuels de référence technique pour des projets aquacoles, incluant la conception des infrastructures et la planification durable.</w:t>
          </w:r>
        </w:p>
        <w:p w14:paraId="175DBBCE" w14:textId="17337D47" w:rsidR="00E466F5" w:rsidRPr="00E466F5" w:rsidRDefault="00E466F5" w:rsidP="00E466F5">
          <w:pPr>
            <w:pStyle w:val="NormalWeb"/>
            <w:numPr>
              <w:ilvl w:val="0"/>
              <w:numId w:val="22"/>
            </w:numPr>
            <w:spacing w:before="200" w:beforeAutospacing="0" w:after="200" w:afterAutospacing="0" w:line="276" w:lineRule="auto"/>
            <w:contextualSpacing/>
            <w:jc w:val="both"/>
            <w:rPr>
              <w:rFonts w:ascii="Arial" w:hAnsi="Arial" w:cs="Arial"/>
              <w:sz w:val="22"/>
              <w:szCs w:val="22"/>
            </w:rPr>
          </w:pPr>
          <w:r w:rsidRPr="00E466F5">
            <w:rPr>
              <w:rStyle w:val="lev"/>
              <w:rFonts w:ascii="Arial" w:hAnsi="Arial" w:cs="Arial"/>
              <w:b w:val="0"/>
              <w:bCs w:val="0"/>
              <w:sz w:val="22"/>
              <w:szCs w:val="22"/>
            </w:rPr>
            <w:t>Langues :</w:t>
          </w:r>
          <w:r w:rsidRPr="00E466F5">
            <w:rPr>
              <w:rFonts w:ascii="Arial" w:hAnsi="Arial" w:cs="Arial"/>
              <w:sz w:val="22"/>
              <w:szCs w:val="22"/>
            </w:rPr>
            <w:t xml:space="preserve"> Parfaite maîtrise du français (oral et écrit). La maîtrise de l’anglais est souhaitable pour interagir avec des parties prenantes internationales.</w:t>
          </w:r>
        </w:p>
        <w:p w14:paraId="01FA9087" w14:textId="77777777" w:rsidR="00E466F5" w:rsidRPr="00E466F5" w:rsidRDefault="00E466F5" w:rsidP="00E466F5">
          <w:pPr>
            <w:pStyle w:val="NormalWeb"/>
            <w:numPr>
              <w:ilvl w:val="0"/>
              <w:numId w:val="22"/>
            </w:numPr>
            <w:spacing w:before="200" w:beforeAutospacing="0" w:after="200" w:afterAutospacing="0" w:line="276" w:lineRule="auto"/>
            <w:ind w:left="714" w:hanging="357"/>
            <w:jc w:val="both"/>
            <w:rPr>
              <w:rFonts w:ascii="Arial" w:hAnsi="Arial" w:cs="Arial"/>
              <w:sz w:val="22"/>
              <w:szCs w:val="22"/>
            </w:rPr>
          </w:pPr>
          <w:r w:rsidRPr="00E466F5">
            <w:rPr>
              <w:rStyle w:val="lev"/>
              <w:rFonts w:ascii="Arial" w:hAnsi="Arial" w:cs="Arial"/>
              <w:b w:val="0"/>
              <w:bCs w:val="0"/>
              <w:sz w:val="22"/>
              <w:szCs w:val="22"/>
            </w:rPr>
            <w:t>Outils Numériques :</w:t>
          </w:r>
          <w:r w:rsidRPr="00E466F5">
            <w:rPr>
              <w:rFonts w:ascii="Arial" w:hAnsi="Arial" w:cs="Arial"/>
              <w:sz w:val="22"/>
              <w:szCs w:val="22"/>
            </w:rPr>
            <w:t xml:space="preserve"> Compétence avancée dans l’utilisation d’outils informatiques pour la rédaction et la présentation de rapports (MS Office, outils de modélisation technique).</w:t>
          </w:r>
        </w:p>
        <w:p w14:paraId="0487487D" w14:textId="77777777" w:rsidR="00E466F5" w:rsidRPr="00E466F5" w:rsidRDefault="00E466F5" w:rsidP="00E466F5">
          <w:pPr>
            <w:pStyle w:val="NormalWeb"/>
            <w:spacing w:before="200" w:beforeAutospacing="0" w:after="200" w:afterAutospacing="0" w:line="276" w:lineRule="auto"/>
            <w:jc w:val="both"/>
            <w:rPr>
              <w:rStyle w:val="lev"/>
              <w:rFonts w:ascii="Arial" w:hAnsi="Arial" w:cs="Arial"/>
              <w:sz w:val="22"/>
              <w:szCs w:val="22"/>
            </w:rPr>
          </w:pPr>
          <w:r w:rsidRPr="00E466F5">
            <w:rPr>
              <w:rStyle w:val="lev"/>
              <w:rFonts w:ascii="Arial" w:hAnsi="Arial" w:cs="Arial"/>
              <w:b w:val="0"/>
              <w:bCs w:val="0"/>
              <w:sz w:val="22"/>
              <w:szCs w:val="22"/>
              <w:u w:val="single"/>
            </w:rPr>
            <w:lastRenderedPageBreak/>
            <w:t>Expérience Générale :</w:t>
          </w:r>
        </w:p>
        <w:p w14:paraId="54F494CA" w14:textId="77777777" w:rsidR="00E466F5" w:rsidRPr="00E466F5" w:rsidRDefault="00E466F5" w:rsidP="00E466F5">
          <w:pPr>
            <w:pStyle w:val="NormalWeb"/>
            <w:numPr>
              <w:ilvl w:val="0"/>
              <w:numId w:val="23"/>
            </w:numPr>
            <w:spacing w:before="200" w:beforeAutospacing="0" w:after="200" w:afterAutospacing="0" w:line="276" w:lineRule="auto"/>
            <w:contextualSpacing/>
            <w:jc w:val="both"/>
            <w:rPr>
              <w:rFonts w:ascii="Arial" w:hAnsi="Arial" w:cs="Arial"/>
              <w:sz w:val="22"/>
              <w:szCs w:val="22"/>
            </w:rPr>
          </w:pPr>
          <w:r w:rsidRPr="00E466F5">
            <w:rPr>
              <w:rStyle w:val="lev"/>
              <w:rFonts w:ascii="Arial" w:hAnsi="Arial" w:cs="Arial"/>
              <w:b w:val="0"/>
              <w:bCs w:val="0"/>
              <w:sz w:val="22"/>
              <w:szCs w:val="22"/>
            </w:rPr>
            <w:t>Années d’expérience :</w:t>
          </w:r>
          <w:r w:rsidRPr="00E466F5">
            <w:rPr>
              <w:rFonts w:ascii="Arial" w:hAnsi="Arial" w:cs="Arial"/>
              <w:sz w:val="22"/>
              <w:szCs w:val="22"/>
            </w:rPr>
            <w:t xml:space="preserve"> Minimum de 10 ans d’expérience dans l’aquaculture, idéalement dans des contextes internationaux.</w:t>
          </w:r>
        </w:p>
        <w:p w14:paraId="45FCEEC0" w14:textId="77777777" w:rsidR="00E466F5" w:rsidRPr="00E466F5" w:rsidRDefault="00E466F5" w:rsidP="00E466F5">
          <w:pPr>
            <w:pStyle w:val="NormalWeb"/>
            <w:numPr>
              <w:ilvl w:val="0"/>
              <w:numId w:val="23"/>
            </w:numPr>
            <w:spacing w:before="200" w:beforeAutospacing="0" w:after="200" w:afterAutospacing="0" w:line="276" w:lineRule="auto"/>
            <w:contextualSpacing/>
            <w:jc w:val="both"/>
            <w:rPr>
              <w:rFonts w:ascii="Arial" w:hAnsi="Arial" w:cs="Arial"/>
              <w:sz w:val="22"/>
              <w:szCs w:val="22"/>
            </w:rPr>
          </w:pPr>
          <w:r w:rsidRPr="00E466F5">
            <w:rPr>
              <w:rStyle w:val="lev"/>
              <w:rFonts w:ascii="Arial" w:hAnsi="Arial" w:cs="Arial"/>
              <w:b w:val="0"/>
              <w:bCs w:val="0"/>
              <w:sz w:val="22"/>
              <w:szCs w:val="22"/>
            </w:rPr>
            <w:t>Gestion de Projets :</w:t>
          </w:r>
          <w:r w:rsidRPr="00E466F5">
            <w:rPr>
              <w:rFonts w:ascii="Arial" w:hAnsi="Arial" w:cs="Arial"/>
              <w:sz w:val="22"/>
              <w:szCs w:val="22"/>
            </w:rPr>
            <w:t xml:space="preserve"> Expérience avérée dans la conception, la mise en œuvre et le suivi de projets aquacoles à grande échelle.</w:t>
          </w:r>
        </w:p>
        <w:p w14:paraId="13602374" w14:textId="77777777" w:rsidR="00E466F5" w:rsidRPr="00E466F5" w:rsidRDefault="00E466F5" w:rsidP="00E466F5">
          <w:pPr>
            <w:pStyle w:val="NormalWeb"/>
            <w:numPr>
              <w:ilvl w:val="0"/>
              <w:numId w:val="22"/>
            </w:numPr>
            <w:spacing w:before="200" w:beforeAutospacing="0" w:after="200" w:afterAutospacing="0" w:line="276" w:lineRule="auto"/>
            <w:ind w:left="714" w:hanging="357"/>
            <w:jc w:val="both"/>
            <w:rPr>
              <w:rFonts w:ascii="Arial" w:hAnsi="Arial" w:cs="Arial"/>
              <w:sz w:val="22"/>
              <w:szCs w:val="22"/>
            </w:rPr>
          </w:pPr>
          <w:r w:rsidRPr="00E466F5">
            <w:rPr>
              <w:rStyle w:val="lev"/>
              <w:rFonts w:ascii="Arial" w:hAnsi="Arial" w:cs="Arial"/>
              <w:b w:val="0"/>
              <w:bCs w:val="0"/>
              <w:sz w:val="22"/>
              <w:szCs w:val="22"/>
            </w:rPr>
            <w:t xml:space="preserve">Travail </w:t>
          </w:r>
          <w:r w:rsidRPr="00E466F5">
            <w:rPr>
              <w:rFonts w:ascii="Arial" w:hAnsi="Arial" w:cs="Arial"/>
              <w:sz w:val="22"/>
              <w:szCs w:val="22"/>
            </w:rPr>
            <w:t>dans</w:t>
          </w:r>
          <w:r w:rsidRPr="00E466F5">
            <w:rPr>
              <w:rStyle w:val="lev"/>
              <w:rFonts w:ascii="Arial" w:hAnsi="Arial" w:cs="Arial"/>
              <w:b w:val="0"/>
              <w:bCs w:val="0"/>
              <w:sz w:val="22"/>
              <w:szCs w:val="22"/>
            </w:rPr>
            <w:t xml:space="preserve"> des pays émergents :</w:t>
          </w:r>
          <w:r w:rsidRPr="00E466F5">
            <w:rPr>
              <w:rFonts w:ascii="Arial" w:hAnsi="Arial" w:cs="Arial"/>
              <w:sz w:val="22"/>
              <w:szCs w:val="22"/>
            </w:rPr>
            <w:t xml:space="preserve"> Connaissance approfondie des défis et des opportunités dans le secteur aquacole des pays en développement.</w:t>
          </w:r>
        </w:p>
        <w:p w14:paraId="6A3CDB9A" w14:textId="77777777" w:rsidR="00E466F5" w:rsidRPr="00E466F5" w:rsidRDefault="00E466F5" w:rsidP="00E466F5">
          <w:pPr>
            <w:pStyle w:val="NormalWeb"/>
            <w:spacing w:before="200" w:beforeAutospacing="0" w:after="200" w:afterAutospacing="0" w:line="276" w:lineRule="auto"/>
            <w:jc w:val="both"/>
            <w:rPr>
              <w:rStyle w:val="lev"/>
              <w:rFonts w:ascii="Arial" w:hAnsi="Arial" w:cs="Arial"/>
              <w:sz w:val="22"/>
              <w:szCs w:val="22"/>
              <w:u w:val="single"/>
            </w:rPr>
          </w:pPr>
          <w:r w:rsidRPr="00E466F5">
            <w:rPr>
              <w:rStyle w:val="lev"/>
              <w:rFonts w:ascii="Arial" w:hAnsi="Arial" w:cs="Arial"/>
              <w:b w:val="0"/>
              <w:bCs w:val="0"/>
              <w:sz w:val="22"/>
              <w:szCs w:val="22"/>
              <w:u w:val="single"/>
            </w:rPr>
            <w:t>Expérience Spécifique :</w:t>
          </w:r>
        </w:p>
        <w:p w14:paraId="3BC18135" w14:textId="30A8547C" w:rsidR="00E466F5" w:rsidRPr="00E466F5" w:rsidRDefault="00E466F5" w:rsidP="00E466F5">
          <w:pPr>
            <w:pStyle w:val="NormalWeb"/>
            <w:numPr>
              <w:ilvl w:val="0"/>
              <w:numId w:val="24"/>
            </w:numPr>
            <w:spacing w:before="200" w:beforeAutospacing="0" w:after="200" w:afterAutospacing="0" w:line="276" w:lineRule="auto"/>
            <w:contextualSpacing/>
            <w:jc w:val="both"/>
            <w:rPr>
              <w:rFonts w:ascii="Arial" w:hAnsi="Arial" w:cs="Arial"/>
              <w:sz w:val="22"/>
              <w:szCs w:val="22"/>
            </w:rPr>
          </w:pPr>
          <w:r w:rsidRPr="00E466F5">
            <w:rPr>
              <w:rStyle w:val="lev"/>
              <w:rFonts w:ascii="Arial" w:hAnsi="Arial" w:cs="Arial"/>
              <w:b w:val="0"/>
              <w:bCs w:val="0"/>
              <w:sz w:val="22"/>
              <w:szCs w:val="22"/>
            </w:rPr>
            <w:t>Élaboration de Référentiels :</w:t>
          </w:r>
          <w:r w:rsidRPr="00E466F5">
            <w:rPr>
              <w:rFonts w:ascii="Arial" w:hAnsi="Arial" w:cs="Arial"/>
              <w:sz w:val="22"/>
              <w:szCs w:val="22"/>
            </w:rPr>
            <w:t xml:space="preserve"> Participation à l’élaboration de cadres de référence techniques pour différentes modalités d’aquaculture ;</w:t>
          </w:r>
        </w:p>
        <w:p w14:paraId="09869511" w14:textId="77777777" w:rsidR="00E466F5" w:rsidRPr="00E466F5" w:rsidRDefault="00E466F5" w:rsidP="00E466F5">
          <w:pPr>
            <w:pStyle w:val="NormalWeb"/>
            <w:numPr>
              <w:ilvl w:val="0"/>
              <w:numId w:val="24"/>
            </w:numPr>
            <w:spacing w:before="200" w:beforeAutospacing="0" w:after="200" w:afterAutospacing="0" w:line="276" w:lineRule="auto"/>
            <w:contextualSpacing/>
            <w:jc w:val="both"/>
            <w:rPr>
              <w:rFonts w:ascii="Arial" w:hAnsi="Arial" w:cs="Arial"/>
              <w:sz w:val="22"/>
              <w:szCs w:val="22"/>
            </w:rPr>
          </w:pPr>
          <w:r w:rsidRPr="00E466F5">
            <w:rPr>
              <w:rStyle w:val="lev"/>
              <w:rFonts w:ascii="Arial" w:hAnsi="Arial" w:cs="Arial"/>
              <w:b w:val="0"/>
              <w:bCs w:val="0"/>
              <w:sz w:val="22"/>
              <w:szCs w:val="22"/>
            </w:rPr>
            <w:t>Formation :</w:t>
          </w:r>
          <w:r w:rsidRPr="00E466F5">
            <w:rPr>
              <w:rFonts w:ascii="Arial" w:hAnsi="Arial" w:cs="Arial"/>
              <w:sz w:val="22"/>
              <w:szCs w:val="22"/>
            </w:rPr>
            <w:t xml:space="preserve"> Expérience dans la formation et le renforcement des capacités des acteurs et formateurs locaux.</w:t>
          </w:r>
        </w:p>
        <w:p w14:paraId="0B11533E" w14:textId="77777777" w:rsidR="00E466F5" w:rsidRPr="00E466F5" w:rsidRDefault="00E466F5" w:rsidP="00E466F5">
          <w:pPr>
            <w:pStyle w:val="NormalWeb"/>
            <w:numPr>
              <w:ilvl w:val="0"/>
              <w:numId w:val="22"/>
            </w:numPr>
            <w:spacing w:before="200" w:beforeAutospacing="0" w:after="200" w:afterAutospacing="0" w:line="276" w:lineRule="auto"/>
            <w:ind w:left="714" w:hanging="357"/>
            <w:jc w:val="both"/>
            <w:rPr>
              <w:rFonts w:ascii="Arial" w:hAnsi="Arial" w:cs="Arial"/>
              <w:sz w:val="22"/>
              <w:szCs w:val="22"/>
            </w:rPr>
          </w:pPr>
          <w:r w:rsidRPr="00E466F5">
            <w:rPr>
              <w:rFonts w:ascii="Arial" w:hAnsi="Arial" w:cs="Arial"/>
              <w:sz w:val="22"/>
              <w:szCs w:val="22"/>
            </w:rPr>
            <w:t>Innovation</w:t>
          </w:r>
          <w:r w:rsidRPr="00E466F5">
            <w:rPr>
              <w:rStyle w:val="lev"/>
              <w:rFonts w:ascii="Arial" w:hAnsi="Arial" w:cs="Arial"/>
              <w:b w:val="0"/>
              <w:bCs w:val="0"/>
              <w:sz w:val="22"/>
              <w:szCs w:val="22"/>
            </w:rPr>
            <w:t xml:space="preserve"> Durable :</w:t>
          </w:r>
          <w:r w:rsidRPr="00E466F5">
            <w:rPr>
              <w:rFonts w:ascii="Arial" w:hAnsi="Arial" w:cs="Arial"/>
              <w:sz w:val="22"/>
              <w:szCs w:val="22"/>
            </w:rPr>
            <w:t xml:space="preserve"> Compétences dans l’intégration de pratiques écologiques et durables dans la conception et la mise en œuvre des projets aquacoles.</w:t>
          </w:r>
        </w:p>
        <w:p w14:paraId="32B32F7E" w14:textId="77777777" w:rsidR="00E466F5" w:rsidRPr="00E466F5" w:rsidRDefault="00E466F5" w:rsidP="00E466F5">
          <w:pPr>
            <w:pStyle w:val="NormalWeb"/>
            <w:spacing w:before="200" w:beforeAutospacing="0" w:after="200" w:afterAutospacing="0" w:line="276" w:lineRule="auto"/>
            <w:jc w:val="both"/>
            <w:rPr>
              <w:rStyle w:val="lev"/>
              <w:rFonts w:ascii="Arial" w:hAnsi="Arial" w:cs="Arial"/>
              <w:sz w:val="22"/>
              <w:szCs w:val="22"/>
              <w:u w:val="single"/>
            </w:rPr>
          </w:pPr>
          <w:r w:rsidRPr="00E466F5">
            <w:rPr>
              <w:rStyle w:val="lev"/>
              <w:rFonts w:ascii="Arial" w:hAnsi="Arial" w:cs="Arial"/>
              <w:b w:val="0"/>
              <w:bCs w:val="0"/>
              <w:sz w:val="22"/>
              <w:szCs w:val="22"/>
              <w:u w:val="single"/>
            </w:rPr>
            <w:t>Rôle et Responsabilités :</w:t>
          </w:r>
        </w:p>
        <w:p w14:paraId="302ECBDC" w14:textId="6D86E229" w:rsidR="00BA1605" w:rsidRDefault="00BA1605" w:rsidP="00E466F5">
          <w:pPr>
            <w:pStyle w:val="NormalWeb"/>
            <w:numPr>
              <w:ilvl w:val="0"/>
              <w:numId w:val="24"/>
            </w:numPr>
            <w:spacing w:before="200" w:beforeAutospacing="0" w:after="200" w:afterAutospacing="0" w:line="276" w:lineRule="auto"/>
            <w:contextualSpacing/>
            <w:jc w:val="both"/>
            <w:rPr>
              <w:rStyle w:val="lev"/>
              <w:rFonts w:ascii="Arial" w:hAnsi="Arial" w:cs="Arial"/>
              <w:b w:val="0"/>
              <w:bCs w:val="0"/>
              <w:sz w:val="22"/>
              <w:szCs w:val="22"/>
            </w:rPr>
          </w:pPr>
          <w:r>
            <w:rPr>
              <w:rStyle w:val="lev"/>
              <w:rFonts w:ascii="Arial" w:hAnsi="Arial" w:cs="Arial"/>
              <w:b w:val="0"/>
              <w:bCs w:val="0"/>
              <w:sz w:val="22"/>
              <w:szCs w:val="22"/>
            </w:rPr>
            <w:t>Réviser les contenus de formation</w:t>
          </w:r>
        </w:p>
        <w:p w14:paraId="1F31B092" w14:textId="09EBA53D" w:rsidR="00E466F5" w:rsidRPr="00E466F5" w:rsidRDefault="00E466F5" w:rsidP="00E466F5">
          <w:pPr>
            <w:pStyle w:val="NormalWeb"/>
            <w:numPr>
              <w:ilvl w:val="0"/>
              <w:numId w:val="24"/>
            </w:numPr>
            <w:spacing w:before="200" w:beforeAutospacing="0" w:after="200" w:afterAutospacing="0" w:line="276" w:lineRule="auto"/>
            <w:contextualSpacing/>
            <w:jc w:val="both"/>
            <w:rPr>
              <w:rStyle w:val="lev"/>
              <w:rFonts w:ascii="Arial" w:hAnsi="Arial" w:cs="Arial"/>
              <w:b w:val="0"/>
              <w:bCs w:val="0"/>
              <w:sz w:val="22"/>
              <w:szCs w:val="22"/>
            </w:rPr>
          </w:pPr>
          <w:r w:rsidRPr="00E466F5">
            <w:rPr>
              <w:rStyle w:val="lev"/>
              <w:rFonts w:ascii="Arial" w:hAnsi="Arial" w:cs="Arial"/>
              <w:b w:val="0"/>
              <w:bCs w:val="0"/>
              <w:sz w:val="22"/>
              <w:szCs w:val="22"/>
            </w:rPr>
            <w:t>Coordonner la rédaction des manuels de référence technique.</w:t>
          </w:r>
        </w:p>
        <w:p w14:paraId="504F8291" w14:textId="77777777" w:rsidR="00E466F5" w:rsidRPr="00E466F5" w:rsidRDefault="00E466F5" w:rsidP="00E466F5">
          <w:pPr>
            <w:pStyle w:val="NormalWeb"/>
            <w:numPr>
              <w:ilvl w:val="0"/>
              <w:numId w:val="24"/>
            </w:numPr>
            <w:spacing w:before="200" w:beforeAutospacing="0" w:after="200" w:afterAutospacing="0" w:line="276" w:lineRule="auto"/>
            <w:contextualSpacing/>
            <w:jc w:val="both"/>
            <w:rPr>
              <w:rStyle w:val="lev"/>
              <w:rFonts w:ascii="Arial" w:hAnsi="Arial" w:cs="Arial"/>
              <w:b w:val="0"/>
              <w:bCs w:val="0"/>
              <w:sz w:val="22"/>
              <w:szCs w:val="22"/>
            </w:rPr>
          </w:pPr>
          <w:r w:rsidRPr="00E466F5">
            <w:rPr>
              <w:rStyle w:val="lev"/>
              <w:rFonts w:ascii="Arial" w:hAnsi="Arial" w:cs="Arial"/>
              <w:b w:val="0"/>
              <w:bCs w:val="0"/>
              <w:sz w:val="22"/>
              <w:szCs w:val="22"/>
            </w:rPr>
            <w:t>Superviser le développement des normes techniques adaptées aux modalités d’aquaculture en Algérie.</w:t>
          </w:r>
        </w:p>
        <w:p w14:paraId="1550D0FE" w14:textId="77777777" w:rsidR="00E466F5" w:rsidRPr="00E466F5" w:rsidRDefault="00E466F5" w:rsidP="00E466F5">
          <w:pPr>
            <w:pStyle w:val="NormalWeb"/>
            <w:numPr>
              <w:ilvl w:val="0"/>
              <w:numId w:val="24"/>
            </w:numPr>
            <w:spacing w:before="200" w:beforeAutospacing="0" w:after="200" w:afterAutospacing="0" w:line="276" w:lineRule="auto"/>
            <w:contextualSpacing/>
            <w:jc w:val="both"/>
            <w:rPr>
              <w:rStyle w:val="lev"/>
              <w:rFonts w:ascii="Arial" w:hAnsi="Arial" w:cs="Arial"/>
              <w:b w:val="0"/>
              <w:bCs w:val="0"/>
              <w:sz w:val="22"/>
              <w:szCs w:val="22"/>
            </w:rPr>
          </w:pPr>
          <w:r w:rsidRPr="00E466F5">
            <w:rPr>
              <w:rStyle w:val="lev"/>
              <w:rFonts w:ascii="Arial" w:hAnsi="Arial" w:cs="Arial"/>
              <w:b w:val="0"/>
              <w:bCs w:val="0"/>
              <w:sz w:val="22"/>
              <w:szCs w:val="22"/>
            </w:rPr>
            <w:t>Contribuer à la formation des formateurs à travers des ateliers et sessions théoriques.</w:t>
          </w:r>
        </w:p>
        <w:p w14:paraId="586E4B5B" w14:textId="77777777" w:rsidR="00E466F5" w:rsidRPr="00E466F5" w:rsidRDefault="00E466F5" w:rsidP="00E466F5">
          <w:pPr>
            <w:pStyle w:val="NormalWeb"/>
            <w:numPr>
              <w:ilvl w:val="0"/>
              <w:numId w:val="24"/>
            </w:numPr>
            <w:spacing w:before="200" w:beforeAutospacing="0" w:after="200" w:afterAutospacing="0" w:line="276" w:lineRule="auto"/>
            <w:contextualSpacing/>
            <w:jc w:val="both"/>
            <w:rPr>
              <w:rFonts w:ascii="Arial" w:hAnsi="Arial" w:cs="Arial"/>
              <w:b/>
              <w:sz w:val="22"/>
              <w:szCs w:val="22"/>
            </w:rPr>
          </w:pPr>
          <w:r w:rsidRPr="00E466F5">
            <w:rPr>
              <w:rStyle w:val="lev"/>
              <w:rFonts w:ascii="Arial" w:hAnsi="Arial" w:cs="Arial"/>
              <w:b w:val="0"/>
              <w:bCs w:val="0"/>
              <w:sz w:val="22"/>
              <w:szCs w:val="22"/>
            </w:rPr>
            <w:t>Assurer</w:t>
          </w:r>
          <w:r w:rsidRPr="00E466F5">
            <w:rPr>
              <w:rFonts w:ascii="Arial" w:hAnsi="Arial" w:cs="Arial"/>
              <w:sz w:val="22"/>
              <w:szCs w:val="22"/>
            </w:rPr>
            <w:t xml:space="preserve"> que les contenus techniques sont conformes aux standards internationaux tout en répondant aux besoins locaux.</w:t>
          </w:r>
        </w:p>
        <w:p w14:paraId="3BD045F1" w14:textId="77777777" w:rsidR="00F472C8" w:rsidRPr="002C0130" w:rsidRDefault="00F472C8" w:rsidP="00EC6094">
          <w:pPr>
            <w:pStyle w:val="Titre1"/>
            <w:widowControl/>
            <w:numPr>
              <w:ilvl w:val="0"/>
              <w:numId w:val="7"/>
            </w:numPr>
            <w:pBdr>
              <w:bottom w:val="single" w:sz="8" w:space="1" w:color="244061" w:themeColor="accent1" w:themeShade="80"/>
            </w:pBdr>
            <w:spacing w:before="200" w:after="200" w:line="276" w:lineRule="auto"/>
            <w:rPr>
              <w:rFonts w:eastAsiaTheme="minorHAnsi"/>
              <w:caps/>
              <w:color w:val="0E408A"/>
              <w:szCs w:val="24"/>
              <w:lang w:eastAsia="en-US"/>
            </w:rPr>
          </w:pPr>
          <w:r w:rsidRPr="002C0130">
            <w:rPr>
              <w:rFonts w:eastAsiaTheme="minorHAnsi"/>
              <w:caps/>
              <w:color w:val="0E408A"/>
              <w:szCs w:val="24"/>
              <w:lang w:eastAsia="en-US"/>
            </w:rPr>
            <w:t>Langue de travail</w:t>
          </w:r>
        </w:p>
        <w:p w14:paraId="719CDD50" w14:textId="6682DCE9" w:rsidR="008A5DAC" w:rsidRDefault="00F472C8" w:rsidP="00EC6094">
          <w:pPr>
            <w:spacing w:before="200" w:after="200" w:line="276" w:lineRule="auto"/>
            <w:rPr>
              <w:sz w:val="22"/>
              <w:szCs w:val="22"/>
            </w:rPr>
          </w:pPr>
          <w:bookmarkStart w:id="16" w:name="_Toc348609160"/>
          <w:bookmarkStart w:id="17" w:name="_Toc349668883"/>
          <w:bookmarkStart w:id="18" w:name="_Toc352565394"/>
          <w:bookmarkStart w:id="19" w:name="_Toc354930052"/>
          <w:bookmarkStart w:id="20" w:name="_Toc434511397"/>
          <w:r w:rsidRPr="005B02BE">
            <w:rPr>
              <w:rFonts w:eastAsia="Calibri"/>
              <w:sz w:val="22"/>
              <w:szCs w:val="22"/>
              <w:lang w:eastAsia="de-DE"/>
            </w:rPr>
            <w:t>Le français est la langue de travail de la mission.</w:t>
          </w:r>
          <w:bookmarkEnd w:id="16"/>
          <w:r w:rsidR="005B02BE">
            <w:rPr>
              <w:rFonts w:eastAsia="Calibri"/>
              <w:sz w:val="22"/>
              <w:szCs w:val="22"/>
              <w:lang w:eastAsia="de-DE"/>
            </w:rPr>
            <w:t xml:space="preserve"> </w:t>
          </w:r>
          <w:r w:rsidRPr="005B02BE">
            <w:rPr>
              <w:rFonts w:eastAsia="Calibri"/>
              <w:sz w:val="22"/>
              <w:szCs w:val="22"/>
              <w:lang w:eastAsia="de-DE"/>
            </w:rPr>
            <w:t>Les rapports de mission et tous les documents annexés sont rédigés en langue française</w:t>
          </w:r>
          <w:r w:rsidRPr="005B02BE">
            <w:rPr>
              <w:sz w:val="22"/>
              <w:szCs w:val="22"/>
            </w:rPr>
            <w:t>.</w:t>
          </w:r>
        </w:p>
        <w:p w14:paraId="29E338A1" w14:textId="77777777" w:rsidR="00F472C8" w:rsidRPr="008A5DAC" w:rsidRDefault="008A5DAC" w:rsidP="00EC6094">
          <w:pPr>
            <w:pStyle w:val="Titre1"/>
            <w:widowControl/>
            <w:numPr>
              <w:ilvl w:val="0"/>
              <w:numId w:val="7"/>
            </w:numPr>
            <w:pBdr>
              <w:bottom w:val="single" w:sz="8" w:space="1" w:color="244061" w:themeColor="accent1" w:themeShade="80"/>
            </w:pBdr>
            <w:spacing w:before="200" w:after="200" w:line="276" w:lineRule="auto"/>
            <w:rPr>
              <w:rFonts w:eastAsiaTheme="minorHAnsi"/>
              <w:caps/>
              <w:color w:val="0E408A"/>
              <w:lang w:eastAsia="en-US"/>
            </w:rPr>
          </w:pPr>
          <w:r w:rsidRPr="008A5DAC">
            <w:rPr>
              <w:rFonts w:eastAsiaTheme="minorHAnsi"/>
              <w:caps/>
              <w:color w:val="0E408A"/>
              <w:lang w:eastAsia="en-US"/>
            </w:rPr>
            <w:t>Autre</w:t>
          </w:r>
        </w:p>
      </w:sdtContent>
    </w:sdt>
    <w:bookmarkEnd w:id="20" w:displacedByCustomXml="prev"/>
    <w:bookmarkEnd w:id="19" w:displacedByCustomXml="prev"/>
    <w:bookmarkEnd w:id="18" w:displacedByCustomXml="prev"/>
    <w:bookmarkEnd w:id="17" w:displacedByCustomXml="prev"/>
    <w:bookmarkEnd w:id="0" w:displacedByCustomXml="prev"/>
    <w:p w14:paraId="0D0047FE" w14:textId="77777777" w:rsidR="006C091A" w:rsidRPr="008A5DAC" w:rsidRDefault="008A5DAC" w:rsidP="00EC6094">
      <w:pPr>
        <w:spacing w:before="200" w:after="200" w:line="276" w:lineRule="auto"/>
        <w:rPr>
          <w:rFonts w:eastAsia="Calibri"/>
          <w:sz w:val="22"/>
          <w:szCs w:val="22"/>
          <w:lang w:eastAsia="de-DE"/>
        </w:rPr>
      </w:pPr>
      <w:r w:rsidRPr="008A5DAC">
        <w:rPr>
          <w:rFonts w:eastAsia="Calibri"/>
          <w:sz w:val="22"/>
          <w:szCs w:val="22"/>
          <w:lang w:eastAsia="de-DE"/>
        </w:rPr>
        <w:t xml:space="preserve">Toute candidature devra être accompagnée d’un CV au modèle UE et </w:t>
      </w:r>
      <w:r w:rsidR="006C091A" w:rsidRPr="008A5DAC">
        <w:rPr>
          <w:rFonts w:eastAsia="Calibri"/>
          <w:sz w:val="22"/>
          <w:szCs w:val="22"/>
          <w:lang w:eastAsia="de-DE"/>
        </w:rPr>
        <w:t xml:space="preserve">d’une </w:t>
      </w:r>
      <w:r w:rsidR="004C5FD4" w:rsidRPr="008A5DAC">
        <w:rPr>
          <w:rFonts w:eastAsia="Calibri"/>
          <w:sz w:val="22"/>
          <w:szCs w:val="22"/>
          <w:lang w:eastAsia="de-DE"/>
        </w:rPr>
        <w:t>note méthodologique</w:t>
      </w:r>
      <w:r>
        <w:rPr>
          <w:rFonts w:eastAsia="Calibri"/>
          <w:sz w:val="22"/>
          <w:szCs w:val="22"/>
          <w:lang w:eastAsia="de-DE"/>
        </w:rPr>
        <w:t>.</w:t>
      </w:r>
    </w:p>
    <w:sectPr w:rsidR="006C091A" w:rsidRPr="008A5DAC" w:rsidSect="00CB53F1">
      <w:footerReference w:type="default" r:id="rId8"/>
      <w:pgSz w:w="11900" w:h="16820"/>
      <w:pgMar w:top="1560" w:right="1104" w:bottom="1985" w:left="1440" w:header="425" w:footer="137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50E9" w14:textId="77777777" w:rsidR="00B77BD1" w:rsidRDefault="00B77BD1">
      <w:pPr>
        <w:spacing w:after="0"/>
      </w:pPr>
      <w:r>
        <w:separator/>
      </w:r>
    </w:p>
  </w:endnote>
  <w:endnote w:type="continuationSeparator" w:id="0">
    <w:p w14:paraId="670EEB3C" w14:textId="77777777" w:rsidR="00B77BD1" w:rsidRDefault="00B77B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7031" w14:textId="5E1B7F25" w:rsidR="00916073" w:rsidRDefault="00CC00CA">
    <w:pPr>
      <w:pStyle w:val="Pieddepage"/>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6EFADFC" wp14:editId="15078226">
              <wp:simplePos x="0" y="0"/>
              <wp:positionH relativeFrom="margin">
                <wp:posOffset>2726055</wp:posOffset>
              </wp:positionH>
              <wp:positionV relativeFrom="bottomMargin">
                <wp:posOffset>482600</wp:posOffset>
              </wp:positionV>
              <wp:extent cx="360000" cy="360000"/>
              <wp:effectExtent l="0" t="0" r="2540" b="254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F24229" w14:textId="77777777" w:rsidR="00916073" w:rsidRPr="00916073" w:rsidRDefault="00916073" w:rsidP="00CC00CA">
                          <w:pPr>
                            <w:pStyle w:val="Pieddepage"/>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Pr="00916073">
                            <w:rPr>
                              <w:b/>
                              <w:bCs/>
                              <w:color w:val="FFFFFF" w:themeColor="background1"/>
                              <w:sz w:val="16"/>
                              <w:szCs w:val="16"/>
                              <w:lang w:val="es-ES"/>
                            </w:rPr>
                            <w:t>2</w:t>
                          </w:r>
                          <w:r w:rsidRPr="00916073">
                            <w:rPr>
                              <w:b/>
                              <w:bCs/>
                              <w:color w:val="FFFFFF" w:themeColor="background1"/>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EFADFC" id="Elipse 1" o:spid="_x0000_s1027" style="position:absolute;left:0;text-align:left;margin-left:214.65pt;margin-top:38pt;width:28.3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" fillcolor="#40618b" stroked="f">
              <v:textbox>
                <w:txbxContent>
                  <w:p w14:paraId="33F24229" w14:textId="77777777" w:rsidR="00916073" w:rsidRPr="00916073" w:rsidRDefault="00916073" w:rsidP="00CC00CA">
                    <w:pPr>
                      <w:pStyle w:val="Piedepgina"/>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Pr="00916073">
                      <w:rPr>
                        <w:b/>
                        <w:bCs/>
                        <w:color w:val="FFFFFF" w:themeColor="background1"/>
                        <w:sz w:val="16"/>
                        <w:szCs w:val="16"/>
                        <w:lang w:val="es-ES"/>
                      </w:rPr>
                      <w:t>2</w:t>
                    </w:r>
                    <w:r w:rsidRPr="00916073">
                      <w:rPr>
                        <w:b/>
                        <w:bCs/>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2E8A" w14:textId="77777777" w:rsidR="00B77BD1" w:rsidRDefault="00B77BD1">
      <w:pPr>
        <w:spacing w:after="0"/>
      </w:pPr>
      <w:r>
        <w:separator/>
      </w:r>
    </w:p>
  </w:footnote>
  <w:footnote w:type="continuationSeparator" w:id="0">
    <w:p w14:paraId="102464FF" w14:textId="77777777" w:rsidR="00B77BD1" w:rsidRDefault="00B77B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3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A24E0F"/>
    <w:multiLevelType w:val="multilevel"/>
    <w:tmpl w:val="D8E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84450"/>
    <w:multiLevelType w:val="hybridMultilevel"/>
    <w:tmpl w:val="F4DC5F1E"/>
    <w:lvl w:ilvl="0" w:tplc="0C0A0017">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DE7A92"/>
    <w:multiLevelType w:val="hybridMultilevel"/>
    <w:tmpl w:val="D1424E6A"/>
    <w:lvl w:ilvl="0" w:tplc="A23A1882">
      <w:start w:val="1"/>
      <w:numFmt w:val="bullet"/>
      <w:pStyle w:val="Bulletpoints"/>
      <w:lvlText w:val=""/>
      <w:lvlJc w:val="left"/>
      <w:pPr>
        <w:ind w:left="1004" w:hanging="360"/>
      </w:pPr>
      <w:rPr>
        <w:rFonts w:ascii="Wingdings" w:hAnsi="Wingdings" w:cs="Wingdings" w:hint="default"/>
        <w:b w:val="0"/>
        <w:i w:val="0"/>
        <w:color w:val="39A642"/>
        <w:sz w:val="20"/>
      </w:rPr>
    </w:lvl>
    <w:lvl w:ilvl="1" w:tplc="D9284DCC">
      <w:start w:val="7"/>
      <w:numFmt w:val="bullet"/>
      <w:lvlText w:val="-"/>
      <w:lvlJc w:val="left"/>
      <w:pPr>
        <w:ind w:left="1724" w:hanging="360"/>
      </w:pPr>
      <w:rPr>
        <w:rFonts w:ascii="Arial" w:eastAsia="Times New Roman"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76244A1"/>
    <w:multiLevelType w:val="multilevel"/>
    <w:tmpl w:val="24F6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727519"/>
    <w:multiLevelType w:val="hybridMultilevel"/>
    <w:tmpl w:val="0A0A61AE"/>
    <w:lvl w:ilvl="0" w:tplc="2B525F9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DE6B8F"/>
    <w:multiLevelType w:val="hybridMultilevel"/>
    <w:tmpl w:val="5AF84BCE"/>
    <w:lvl w:ilvl="0" w:tplc="2B525F9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D2757B"/>
    <w:multiLevelType w:val="hybridMultilevel"/>
    <w:tmpl w:val="7408ED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DE3EDA"/>
    <w:multiLevelType w:val="hybridMultilevel"/>
    <w:tmpl w:val="8528CC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72B4C97"/>
    <w:multiLevelType w:val="multilevel"/>
    <w:tmpl w:val="E35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508DA"/>
    <w:multiLevelType w:val="multilevel"/>
    <w:tmpl w:val="8CA4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D2F1A"/>
    <w:multiLevelType w:val="hybridMultilevel"/>
    <w:tmpl w:val="6D2C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9A2DDE"/>
    <w:multiLevelType w:val="hybridMultilevel"/>
    <w:tmpl w:val="96F48CFE"/>
    <w:lvl w:ilvl="0" w:tplc="040C0005">
      <w:start w:val="1"/>
      <w:numFmt w:val="bullet"/>
      <w:lvlText w:val=""/>
      <w:lvlJc w:val="left"/>
      <w:pPr>
        <w:ind w:left="831" w:hanging="356"/>
      </w:pPr>
      <w:rPr>
        <w:rFonts w:ascii="Wingdings" w:hAnsi="Wingdings" w:hint="default"/>
        <w:w w:val="100"/>
        <w:sz w:val="22"/>
        <w:szCs w:val="22"/>
      </w:rPr>
    </w:lvl>
    <w:lvl w:ilvl="1" w:tplc="FFFFFFFF">
      <w:numFmt w:val="bullet"/>
      <w:lvlText w:val="•"/>
      <w:lvlJc w:val="left"/>
      <w:pPr>
        <w:ind w:left="1686" w:hanging="356"/>
      </w:pPr>
      <w:rPr>
        <w:rFonts w:hint="default"/>
      </w:rPr>
    </w:lvl>
    <w:lvl w:ilvl="2" w:tplc="FFFFFFFF">
      <w:numFmt w:val="bullet"/>
      <w:lvlText w:val="•"/>
      <w:lvlJc w:val="left"/>
      <w:pPr>
        <w:ind w:left="2533" w:hanging="356"/>
      </w:pPr>
      <w:rPr>
        <w:rFonts w:hint="default"/>
      </w:rPr>
    </w:lvl>
    <w:lvl w:ilvl="3" w:tplc="FFFFFFFF">
      <w:numFmt w:val="bullet"/>
      <w:lvlText w:val="•"/>
      <w:lvlJc w:val="left"/>
      <w:pPr>
        <w:ind w:left="3379" w:hanging="356"/>
      </w:pPr>
      <w:rPr>
        <w:rFonts w:hint="default"/>
      </w:rPr>
    </w:lvl>
    <w:lvl w:ilvl="4" w:tplc="FFFFFFFF">
      <w:numFmt w:val="bullet"/>
      <w:lvlText w:val="•"/>
      <w:lvlJc w:val="left"/>
      <w:pPr>
        <w:ind w:left="4226" w:hanging="356"/>
      </w:pPr>
      <w:rPr>
        <w:rFonts w:hint="default"/>
      </w:rPr>
    </w:lvl>
    <w:lvl w:ilvl="5" w:tplc="FFFFFFFF">
      <w:numFmt w:val="bullet"/>
      <w:lvlText w:val="•"/>
      <w:lvlJc w:val="left"/>
      <w:pPr>
        <w:ind w:left="5073" w:hanging="356"/>
      </w:pPr>
      <w:rPr>
        <w:rFonts w:hint="default"/>
      </w:rPr>
    </w:lvl>
    <w:lvl w:ilvl="6" w:tplc="FFFFFFFF">
      <w:numFmt w:val="bullet"/>
      <w:lvlText w:val="•"/>
      <w:lvlJc w:val="left"/>
      <w:pPr>
        <w:ind w:left="5919" w:hanging="356"/>
      </w:pPr>
      <w:rPr>
        <w:rFonts w:hint="default"/>
      </w:rPr>
    </w:lvl>
    <w:lvl w:ilvl="7" w:tplc="FFFFFFFF">
      <w:numFmt w:val="bullet"/>
      <w:lvlText w:val="•"/>
      <w:lvlJc w:val="left"/>
      <w:pPr>
        <w:ind w:left="6766" w:hanging="356"/>
      </w:pPr>
      <w:rPr>
        <w:rFonts w:hint="default"/>
      </w:rPr>
    </w:lvl>
    <w:lvl w:ilvl="8" w:tplc="FFFFFFFF">
      <w:numFmt w:val="bullet"/>
      <w:lvlText w:val="•"/>
      <w:lvlJc w:val="left"/>
      <w:pPr>
        <w:ind w:left="7613" w:hanging="356"/>
      </w:pPr>
      <w:rPr>
        <w:rFonts w:hint="default"/>
      </w:rPr>
    </w:lvl>
  </w:abstractNum>
  <w:abstractNum w:abstractNumId="13" w15:restartNumberingAfterBreak="0">
    <w:nsid w:val="39704105"/>
    <w:multiLevelType w:val="hybridMultilevel"/>
    <w:tmpl w:val="3222A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6F01FE"/>
    <w:multiLevelType w:val="hybridMultilevel"/>
    <w:tmpl w:val="3F9A8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DF0310"/>
    <w:multiLevelType w:val="multilevel"/>
    <w:tmpl w:val="3C12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C74A3"/>
    <w:multiLevelType w:val="hybridMultilevel"/>
    <w:tmpl w:val="5186D3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182FE6"/>
    <w:multiLevelType w:val="hybridMultilevel"/>
    <w:tmpl w:val="7D6C2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C95297"/>
    <w:multiLevelType w:val="hybridMultilevel"/>
    <w:tmpl w:val="7068CD7E"/>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E27B54"/>
    <w:multiLevelType w:val="multilevel"/>
    <w:tmpl w:val="5516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FC3BEE"/>
    <w:multiLevelType w:val="multilevel"/>
    <w:tmpl w:val="B290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83986"/>
    <w:multiLevelType w:val="hybridMultilevel"/>
    <w:tmpl w:val="21D69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235C74"/>
    <w:multiLevelType w:val="hybridMultilevel"/>
    <w:tmpl w:val="39389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315128"/>
    <w:multiLevelType w:val="hybridMultilevel"/>
    <w:tmpl w:val="66BCB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1D5A4D"/>
    <w:multiLevelType w:val="multilevel"/>
    <w:tmpl w:val="2464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425A33"/>
    <w:multiLevelType w:val="multilevel"/>
    <w:tmpl w:val="2B163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B194973"/>
    <w:multiLevelType w:val="hybridMultilevel"/>
    <w:tmpl w:val="45FC2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F3465B"/>
    <w:multiLevelType w:val="hybridMultilevel"/>
    <w:tmpl w:val="4C748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284CC9"/>
    <w:multiLevelType w:val="multilevel"/>
    <w:tmpl w:val="1B26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995220">
    <w:abstractNumId w:val="8"/>
  </w:num>
  <w:num w:numId="2" w16cid:durableId="1478917422">
    <w:abstractNumId w:val="3"/>
  </w:num>
  <w:num w:numId="3" w16cid:durableId="534125417">
    <w:abstractNumId w:val="7"/>
  </w:num>
  <w:num w:numId="4" w16cid:durableId="1654992875">
    <w:abstractNumId w:val="11"/>
  </w:num>
  <w:num w:numId="5" w16cid:durableId="1943757134">
    <w:abstractNumId w:val="27"/>
  </w:num>
  <w:num w:numId="6" w16cid:durableId="1620795795">
    <w:abstractNumId w:val="12"/>
  </w:num>
  <w:num w:numId="7" w16cid:durableId="301153072">
    <w:abstractNumId w:val="0"/>
  </w:num>
  <w:num w:numId="8" w16cid:durableId="658047159">
    <w:abstractNumId w:val="22"/>
  </w:num>
  <w:num w:numId="9" w16cid:durableId="2043482313">
    <w:abstractNumId w:val="26"/>
  </w:num>
  <w:num w:numId="10" w16cid:durableId="285042904">
    <w:abstractNumId w:val="21"/>
  </w:num>
  <w:num w:numId="11" w16cid:durableId="1515728984">
    <w:abstractNumId w:val="23"/>
  </w:num>
  <w:num w:numId="12" w16cid:durableId="90442417">
    <w:abstractNumId w:val="13"/>
  </w:num>
  <w:num w:numId="13" w16cid:durableId="749499562">
    <w:abstractNumId w:val="6"/>
  </w:num>
  <w:num w:numId="14" w16cid:durableId="1036079074">
    <w:abstractNumId w:val="5"/>
  </w:num>
  <w:num w:numId="15" w16cid:durableId="1517961446">
    <w:abstractNumId w:val="2"/>
  </w:num>
  <w:num w:numId="16" w16cid:durableId="42483488">
    <w:abstractNumId w:val="16"/>
  </w:num>
  <w:num w:numId="17" w16cid:durableId="437604038">
    <w:abstractNumId w:val="17"/>
  </w:num>
  <w:num w:numId="18" w16cid:durableId="44165560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5723328">
    <w:abstractNumId w:val="14"/>
  </w:num>
  <w:num w:numId="20" w16cid:durableId="1275092764">
    <w:abstractNumId w:val="19"/>
  </w:num>
  <w:num w:numId="21" w16cid:durableId="396906555">
    <w:abstractNumId w:val="18"/>
  </w:num>
  <w:num w:numId="22" w16cid:durableId="1993750451">
    <w:abstractNumId w:val="20"/>
  </w:num>
  <w:num w:numId="23" w16cid:durableId="477964927">
    <w:abstractNumId w:val="10"/>
  </w:num>
  <w:num w:numId="24" w16cid:durableId="196629806">
    <w:abstractNumId w:val="9"/>
  </w:num>
  <w:num w:numId="25" w16cid:durableId="441151467">
    <w:abstractNumId w:val="4"/>
  </w:num>
  <w:num w:numId="26" w16cid:durableId="655303788">
    <w:abstractNumId w:val="28"/>
  </w:num>
  <w:num w:numId="27" w16cid:durableId="269630239">
    <w:abstractNumId w:val="1"/>
  </w:num>
  <w:num w:numId="28" w16cid:durableId="970286577">
    <w:abstractNumId w:val="15"/>
  </w:num>
  <w:num w:numId="29" w16cid:durableId="143061636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8F"/>
    <w:rsid w:val="00003336"/>
    <w:rsid w:val="00006B46"/>
    <w:rsid w:val="00013FAB"/>
    <w:rsid w:val="00021C18"/>
    <w:rsid w:val="000226C1"/>
    <w:rsid w:val="000251D1"/>
    <w:rsid w:val="00032EAB"/>
    <w:rsid w:val="000411E2"/>
    <w:rsid w:val="00042B58"/>
    <w:rsid w:val="000606DF"/>
    <w:rsid w:val="0006169E"/>
    <w:rsid w:val="000616F3"/>
    <w:rsid w:val="0006312B"/>
    <w:rsid w:val="0006723D"/>
    <w:rsid w:val="00071A9C"/>
    <w:rsid w:val="00075B3D"/>
    <w:rsid w:val="00080A4D"/>
    <w:rsid w:val="00084B58"/>
    <w:rsid w:val="00091FD3"/>
    <w:rsid w:val="00092D1E"/>
    <w:rsid w:val="000932E6"/>
    <w:rsid w:val="00095D3C"/>
    <w:rsid w:val="000A13BF"/>
    <w:rsid w:val="000A1F89"/>
    <w:rsid w:val="000A2AB2"/>
    <w:rsid w:val="000A4824"/>
    <w:rsid w:val="000A7DCD"/>
    <w:rsid w:val="000B3499"/>
    <w:rsid w:val="000B4397"/>
    <w:rsid w:val="000B4D75"/>
    <w:rsid w:val="000B7424"/>
    <w:rsid w:val="000C1138"/>
    <w:rsid w:val="000F37FB"/>
    <w:rsid w:val="00101F19"/>
    <w:rsid w:val="0010449A"/>
    <w:rsid w:val="00106155"/>
    <w:rsid w:val="00110436"/>
    <w:rsid w:val="0011160A"/>
    <w:rsid w:val="0011368F"/>
    <w:rsid w:val="00114916"/>
    <w:rsid w:val="001172FC"/>
    <w:rsid w:val="00123E94"/>
    <w:rsid w:val="001269F0"/>
    <w:rsid w:val="00130610"/>
    <w:rsid w:val="00134D92"/>
    <w:rsid w:val="0013699C"/>
    <w:rsid w:val="00141572"/>
    <w:rsid w:val="00141BBA"/>
    <w:rsid w:val="00143A68"/>
    <w:rsid w:val="00143BEF"/>
    <w:rsid w:val="0015650D"/>
    <w:rsid w:val="00156EBA"/>
    <w:rsid w:val="00180B9E"/>
    <w:rsid w:val="00181130"/>
    <w:rsid w:val="00181D83"/>
    <w:rsid w:val="00190EAB"/>
    <w:rsid w:val="00193699"/>
    <w:rsid w:val="001A267D"/>
    <w:rsid w:val="001A5253"/>
    <w:rsid w:val="001B099F"/>
    <w:rsid w:val="001B404A"/>
    <w:rsid w:val="001B64D9"/>
    <w:rsid w:val="001C148F"/>
    <w:rsid w:val="001D1B58"/>
    <w:rsid w:val="001D4BB1"/>
    <w:rsid w:val="001D60EF"/>
    <w:rsid w:val="001D7916"/>
    <w:rsid w:val="001D7AB7"/>
    <w:rsid w:val="001E4F60"/>
    <w:rsid w:val="001F3671"/>
    <w:rsid w:val="001F3AF6"/>
    <w:rsid w:val="001F402B"/>
    <w:rsid w:val="001F6F8F"/>
    <w:rsid w:val="00200E28"/>
    <w:rsid w:val="00201223"/>
    <w:rsid w:val="002108ED"/>
    <w:rsid w:val="002116C4"/>
    <w:rsid w:val="00215181"/>
    <w:rsid w:val="00215733"/>
    <w:rsid w:val="0022107D"/>
    <w:rsid w:val="00223FAA"/>
    <w:rsid w:val="002245AC"/>
    <w:rsid w:val="00236163"/>
    <w:rsid w:val="00240288"/>
    <w:rsid w:val="00241A13"/>
    <w:rsid w:val="002427E1"/>
    <w:rsid w:val="00250EA7"/>
    <w:rsid w:val="00251418"/>
    <w:rsid w:val="002518AF"/>
    <w:rsid w:val="002534D3"/>
    <w:rsid w:val="00257524"/>
    <w:rsid w:val="002631CC"/>
    <w:rsid w:val="002713B0"/>
    <w:rsid w:val="00272CFD"/>
    <w:rsid w:val="00275193"/>
    <w:rsid w:val="002779E3"/>
    <w:rsid w:val="002813C8"/>
    <w:rsid w:val="00285DA6"/>
    <w:rsid w:val="0028621C"/>
    <w:rsid w:val="00286891"/>
    <w:rsid w:val="0029012A"/>
    <w:rsid w:val="00290646"/>
    <w:rsid w:val="00293488"/>
    <w:rsid w:val="002A11FB"/>
    <w:rsid w:val="002A2134"/>
    <w:rsid w:val="002B06F6"/>
    <w:rsid w:val="002B4231"/>
    <w:rsid w:val="002B5D30"/>
    <w:rsid w:val="002B6C64"/>
    <w:rsid w:val="002B7EF0"/>
    <w:rsid w:val="002C0130"/>
    <w:rsid w:val="002C0721"/>
    <w:rsid w:val="002C48EA"/>
    <w:rsid w:val="002D3909"/>
    <w:rsid w:val="002E07A3"/>
    <w:rsid w:val="002E660F"/>
    <w:rsid w:val="002E6AB6"/>
    <w:rsid w:val="002F6F8C"/>
    <w:rsid w:val="00302863"/>
    <w:rsid w:val="00310195"/>
    <w:rsid w:val="00313A67"/>
    <w:rsid w:val="00314880"/>
    <w:rsid w:val="00323EEF"/>
    <w:rsid w:val="003251DB"/>
    <w:rsid w:val="0033578F"/>
    <w:rsid w:val="00342E77"/>
    <w:rsid w:val="003502CB"/>
    <w:rsid w:val="00356222"/>
    <w:rsid w:val="00360881"/>
    <w:rsid w:val="00363761"/>
    <w:rsid w:val="003702D4"/>
    <w:rsid w:val="00370D36"/>
    <w:rsid w:val="00371A7C"/>
    <w:rsid w:val="00374CA2"/>
    <w:rsid w:val="0037548E"/>
    <w:rsid w:val="003A2C75"/>
    <w:rsid w:val="003A36F2"/>
    <w:rsid w:val="003A55BB"/>
    <w:rsid w:val="003A577E"/>
    <w:rsid w:val="003A5965"/>
    <w:rsid w:val="003A5AFD"/>
    <w:rsid w:val="003B217F"/>
    <w:rsid w:val="003B42DA"/>
    <w:rsid w:val="003B621D"/>
    <w:rsid w:val="003C1B3C"/>
    <w:rsid w:val="003C2150"/>
    <w:rsid w:val="003C382B"/>
    <w:rsid w:val="003D4DAA"/>
    <w:rsid w:val="003E55B0"/>
    <w:rsid w:val="003E6883"/>
    <w:rsid w:val="003E75ED"/>
    <w:rsid w:val="003F58B5"/>
    <w:rsid w:val="003F6C15"/>
    <w:rsid w:val="00400E20"/>
    <w:rsid w:val="004069FC"/>
    <w:rsid w:val="00414CEF"/>
    <w:rsid w:val="00415AB5"/>
    <w:rsid w:val="0041795F"/>
    <w:rsid w:val="00421F16"/>
    <w:rsid w:val="004238E1"/>
    <w:rsid w:val="00423A7C"/>
    <w:rsid w:val="004252F8"/>
    <w:rsid w:val="00426746"/>
    <w:rsid w:val="00430F8D"/>
    <w:rsid w:val="00431F93"/>
    <w:rsid w:val="004450C5"/>
    <w:rsid w:val="00446DC3"/>
    <w:rsid w:val="00450778"/>
    <w:rsid w:val="00453E6B"/>
    <w:rsid w:val="00465FB5"/>
    <w:rsid w:val="00471A19"/>
    <w:rsid w:val="00473EBA"/>
    <w:rsid w:val="00475A78"/>
    <w:rsid w:val="00484EB5"/>
    <w:rsid w:val="004855B1"/>
    <w:rsid w:val="004874C5"/>
    <w:rsid w:val="004879B0"/>
    <w:rsid w:val="00493316"/>
    <w:rsid w:val="004A1FC4"/>
    <w:rsid w:val="004B530C"/>
    <w:rsid w:val="004B6DD3"/>
    <w:rsid w:val="004C0018"/>
    <w:rsid w:val="004C0BF9"/>
    <w:rsid w:val="004C5FD4"/>
    <w:rsid w:val="004D0B90"/>
    <w:rsid w:val="004D143B"/>
    <w:rsid w:val="004D3B0D"/>
    <w:rsid w:val="004D56A6"/>
    <w:rsid w:val="004E7211"/>
    <w:rsid w:val="004F77A6"/>
    <w:rsid w:val="00500E54"/>
    <w:rsid w:val="00505D3B"/>
    <w:rsid w:val="00512725"/>
    <w:rsid w:val="00513DD1"/>
    <w:rsid w:val="00514FAC"/>
    <w:rsid w:val="00526749"/>
    <w:rsid w:val="0053025A"/>
    <w:rsid w:val="00530636"/>
    <w:rsid w:val="00532D0F"/>
    <w:rsid w:val="00533792"/>
    <w:rsid w:val="00544110"/>
    <w:rsid w:val="00545ED5"/>
    <w:rsid w:val="005472C2"/>
    <w:rsid w:val="00550E5D"/>
    <w:rsid w:val="00553D05"/>
    <w:rsid w:val="005554C4"/>
    <w:rsid w:val="00555714"/>
    <w:rsid w:val="00561F4D"/>
    <w:rsid w:val="005727BE"/>
    <w:rsid w:val="005777D3"/>
    <w:rsid w:val="00583AB3"/>
    <w:rsid w:val="005943BE"/>
    <w:rsid w:val="00597FD1"/>
    <w:rsid w:val="005A1F0C"/>
    <w:rsid w:val="005A4398"/>
    <w:rsid w:val="005A6D0D"/>
    <w:rsid w:val="005B02BE"/>
    <w:rsid w:val="005B1D72"/>
    <w:rsid w:val="005B34A9"/>
    <w:rsid w:val="005B3F60"/>
    <w:rsid w:val="005D59F6"/>
    <w:rsid w:val="005E0857"/>
    <w:rsid w:val="005E2F78"/>
    <w:rsid w:val="005E386A"/>
    <w:rsid w:val="005E48C9"/>
    <w:rsid w:val="005E54EA"/>
    <w:rsid w:val="005F65E9"/>
    <w:rsid w:val="00611A2F"/>
    <w:rsid w:val="00612636"/>
    <w:rsid w:val="00616FD9"/>
    <w:rsid w:val="006243C7"/>
    <w:rsid w:val="00633433"/>
    <w:rsid w:val="006426AB"/>
    <w:rsid w:val="00665664"/>
    <w:rsid w:val="00665DA8"/>
    <w:rsid w:val="00666DD9"/>
    <w:rsid w:val="00675BF7"/>
    <w:rsid w:val="00681974"/>
    <w:rsid w:val="00681E04"/>
    <w:rsid w:val="00685C95"/>
    <w:rsid w:val="006869D2"/>
    <w:rsid w:val="006872BB"/>
    <w:rsid w:val="006A6F0B"/>
    <w:rsid w:val="006B0707"/>
    <w:rsid w:val="006B5A32"/>
    <w:rsid w:val="006B60E4"/>
    <w:rsid w:val="006B65D6"/>
    <w:rsid w:val="006C091A"/>
    <w:rsid w:val="006C16E3"/>
    <w:rsid w:val="006C626C"/>
    <w:rsid w:val="006D18D0"/>
    <w:rsid w:val="006D5853"/>
    <w:rsid w:val="006D7DE2"/>
    <w:rsid w:val="006E209B"/>
    <w:rsid w:val="006E5179"/>
    <w:rsid w:val="006F6BE2"/>
    <w:rsid w:val="00700554"/>
    <w:rsid w:val="00710B6B"/>
    <w:rsid w:val="007114ED"/>
    <w:rsid w:val="007135E8"/>
    <w:rsid w:val="00714E4A"/>
    <w:rsid w:val="00717AA6"/>
    <w:rsid w:val="0073020A"/>
    <w:rsid w:val="00731221"/>
    <w:rsid w:val="00731F38"/>
    <w:rsid w:val="00737764"/>
    <w:rsid w:val="00744A81"/>
    <w:rsid w:val="00744B0F"/>
    <w:rsid w:val="00744CEE"/>
    <w:rsid w:val="00756933"/>
    <w:rsid w:val="00763978"/>
    <w:rsid w:val="00763A77"/>
    <w:rsid w:val="00766431"/>
    <w:rsid w:val="007670E4"/>
    <w:rsid w:val="00771E67"/>
    <w:rsid w:val="00772F85"/>
    <w:rsid w:val="00774F43"/>
    <w:rsid w:val="00793783"/>
    <w:rsid w:val="00793FAA"/>
    <w:rsid w:val="007949F9"/>
    <w:rsid w:val="007B1CC2"/>
    <w:rsid w:val="007B2CD2"/>
    <w:rsid w:val="007B3F1B"/>
    <w:rsid w:val="007C0B0C"/>
    <w:rsid w:val="007C0E07"/>
    <w:rsid w:val="007C7C8B"/>
    <w:rsid w:val="007D0B86"/>
    <w:rsid w:val="007E54F2"/>
    <w:rsid w:val="007F427C"/>
    <w:rsid w:val="00800910"/>
    <w:rsid w:val="008023F3"/>
    <w:rsid w:val="008056C4"/>
    <w:rsid w:val="0080576F"/>
    <w:rsid w:val="00806321"/>
    <w:rsid w:val="00806A12"/>
    <w:rsid w:val="00814D0E"/>
    <w:rsid w:val="00821653"/>
    <w:rsid w:val="00823C9D"/>
    <w:rsid w:val="00824028"/>
    <w:rsid w:val="00824B87"/>
    <w:rsid w:val="00825F3D"/>
    <w:rsid w:val="00826ED6"/>
    <w:rsid w:val="00831EA4"/>
    <w:rsid w:val="008320DE"/>
    <w:rsid w:val="0084104F"/>
    <w:rsid w:val="00842AA6"/>
    <w:rsid w:val="00842CA0"/>
    <w:rsid w:val="0085586E"/>
    <w:rsid w:val="008755E1"/>
    <w:rsid w:val="00880C06"/>
    <w:rsid w:val="00880D82"/>
    <w:rsid w:val="008908E1"/>
    <w:rsid w:val="0089106F"/>
    <w:rsid w:val="008A40CF"/>
    <w:rsid w:val="008A5DAC"/>
    <w:rsid w:val="008B0F95"/>
    <w:rsid w:val="008B1840"/>
    <w:rsid w:val="008B35B6"/>
    <w:rsid w:val="008B6B50"/>
    <w:rsid w:val="008C376D"/>
    <w:rsid w:val="008D0D59"/>
    <w:rsid w:val="008D42E4"/>
    <w:rsid w:val="008D49C4"/>
    <w:rsid w:val="008D5796"/>
    <w:rsid w:val="008F0D7A"/>
    <w:rsid w:val="009009B6"/>
    <w:rsid w:val="00903810"/>
    <w:rsid w:val="00916073"/>
    <w:rsid w:val="00917405"/>
    <w:rsid w:val="0092034D"/>
    <w:rsid w:val="00924F98"/>
    <w:rsid w:val="0093591A"/>
    <w:rsid w:val="0094177B"/>
    <w:rsid w:val="00942FE6"/>
    <w:rsid w:val="00943275"/>
    <w:rsid w:val="009441D9"/>
    <w:rsid w:val="00944632"/>
    <w:rsid w:val="00944D0A"/>
    <w:rsid w:val="0094738C"/>
    <w:rsid w:val="00951CAB"/>
    <w:rsid w:val="00960207"/>
    <w:rsid w:val="0096264A"/>
    <w:rsid w:val="009639FB"/>
    <w:rsid w:val="00970CCB"/>
    <w:rsid w:val="00971F91"/>
    <w:rsid w:val="009725D2"/>
    <w:rsid w:val="009807AD"/>
    <w:rsid w:val="00990971"/>
    <w:rsid w:val="00992C56"/>
    <w:rsid w:val="009A08A8"/>
    <w:rsid w:val="009A1BC3"/>
    <w:rsid w:val="009A1C93"/>
    <w:rsid w:val="009A4D2F"/>
    <w:rsid w:val="009B6323"/>
    <w:rsid w:val="009B63CE"/>
    <w:rsid w:val="009C140F"/>
    <w:rsid w:val="009C56BC"/>
    <w:rsid w:val="009C56C6"/>
    <w:rsid w:val="009D573C"/>
    <w:rsid w:val="009D67C0"/>
    <w:rsid w:val="009E5B44"/>
    <w:rsid w:val="009F1ECD"/>
    <w:rsid w:val="009F3145"/>
    <w:rsid w:val="009F4F2D"/>
    <w:rsid w:val="009F5EFA"/>
    <w:rsid w:val="009F70CF"/>
    <w:rsid w:val="00A00D69"/>
    <w:rsid w:val="00A01357"/>
    <w:rsid w:val="00A068CE"/>
    <w:rsid w:val="00A0726A"/>
    <w:rsid w:val="00A07CD8"/>
    <w:rsid w:val="00A10087"/>
    <w:rsid w:val="00A105A3"/>
    <w:rsid w:val="00A11832"/>
    <w:rsid w:val="00A148BA"/>
    <w:rsid w:val="00A15C78"/>
    <w:rsid w:val="00A16458"/>
    <w:rsid w:val="00A17267"/>
    <w:rsid w:val="00A179BE"/>
    <w:rsid w:val="00A20731"/>
    <w:rsid w:val="00A33FA5"/>
    <w:rsid w:val="00A34F42"/>
    <w:rsid w:val="00A35CDB"/>
    <w:rsid w:val="00A52B4A"/>
    <w:rsid w:val="00A55CE5"/>
    <w:rsid w:val="00A575AD"/>
    <w:rsid w:val="00A61771"/>
    <w:rsid w:val="00A64ED5"/>
    <w:rsid w:val="00A6515A"/>
    <w:rsid w:val="00A66D3A"/>
    <w:rsid w:val="00A73692"/>
    <w:rsid w:val="00A775E2"/>
    <w:rsid w:val="00A8311A"/>
    <w:rsid w:val="00A91CD7"/>
    <w:rsid w:val="00A95AA1"/>
    <w:rsid w:val="00AA0FC0"/>
    <w:rsid w:val="00AA63CC"/>
    <w:rsid w:val="00AA7A3D"/>
    <w:rsid w:val="00AB2901"/>
    <w:rsid w:val="00AB79B6"/>
    <w:rsid w:val="00AB7AEF"/>
    <w:rsid w:val="00AC0E1D"/>
    <w:rsid w:val="00AC0F68"/>
    <w:rsid w:val="00AC4FFA"/>
    <w:rsid w:val="00AC628D"/>
    <w:rsid w:val="00AC7557"/>
    <w:rsid w:val="00AD027A"/>
    <w:rsid w:val="00AD16A0"/>
    <w:rsid w:val="00AF14AE"/>
    <w:rsid w:val="00AF6189"/>
    <w:rsid w:val="00AF6FC3"/>
    <w:rsid w:val="00B03F44"/>
    <w:rsid w:val="00B04ED7"/>
    <w:rsid w:val="00B06361"/>
    <w:rsid w:val="00B10CB1"/>
    <w:rsid w:val="00B13C4D"/>
    <w:rsid w:val="00B179D5"/>
    <w:rsid w:val="00B2099A"/>
    <w:rsid w:val="00B216D5"/>
    <w:rsid w:val="00B22DE6"/>
    <w:rsid w:val="00B23244"/>
    <w:rsid w:val="00B2463B"/>
    <w:rsid w:val="00B267AC"/>
    <w:rsid w:val="00B27E4C"/>
    <w:rsid w:val="00B31F8D"/>
    <w:rsid w:val="00B4155A"/>
    <w:rsid w:val="00B4516F"/>
    <w:rsid w:val="00B456AF"/>
    <w:rsid w:val="00B45D2C"/>
    <w:rsid w:val="00B46460"/>
    <w:rsid w:val="00B56C3E"/>
    <w:rsid w:val="00B56F8F"/>
    <w:rsid w:val="00B57D7E"/>
    <w:rsid w:val="00B57EA0"/>
    <w:rsid w:val="00B63ACB"/>
    <w:rsid w:val="00B67DD9"/>
    <w:rsid w:val="00B7030A"/>
    <w:rsid w:val="00B77BD1"/>
    <w:rsid w:val="00B867F6"/>
    <w:rsid w:val="00B86EEF"/>
    <w:rsid w:val="00B87A24"/>
    <w:rsid w:val="00B96369"/>
    <w:rsid w:val="00B96677"/>
    <w:rsid w:val="00BA0100"/>
    <w:rsid w:val="00BA1605"/>
    <w:rsid w:val="00BA1E3F"/>
    <w:rsid w:val="00BA25FD"/>
    <w:rsid w:val="00BA6B7A"/>
    <w:rsid w:val="00BA7DCF"/>
    <w:rsid w:val="00BB168D"/>
    <w:rsid w:val="00BC25F5"/>
    <w:rsid w:val="00BC2C2C"/>
    <w:rsid w:val="00BC5CDE"/>
    <w:rsid w:val="00BD5744"/>
    <w:rsid w:val="00BE10D5"/>
    <w:rsid w:val="00BE1497"/>
    <w:rsid w:val="00BE7362"/>
    <w:rsid w:val="00BF40CA"/>
    <w:rsid w:val="00BF4A06"/>
    <w:rsid w:val="00C01D0A"/>
    <w:rsid w:val="00C04D4A"/>
    <w:rsid w:val="00C052A3"/>
    <w:rsid w:val="00C0590B"/>
    <w:rsid w:val="00C115E1"/>
    <w:rsid w:val="00C16B91"/>
    <w:rsid w:val="00C2476A"/>
    <w:rsid w:val="00C24873"/>
    <w:rsid w:val="00C24BC3"/>
    <w:rsid w:val="00C351E3"/>
    <w:rsid w:val="00C438F3"/>
    <w:rsid w:val="00C608EC"/>
    <w:rsid w:val="00C610C2"/>
    <w:rsid w:val="00C633A9"/>
    <w:rsid w:val="00C7028F"/>
    <w:rsid w:val="00C75A3C"/>
    <w:rsid w:val="00C86A25"/>
    <w:rsid w:val="00C87FD5"/>
    <w:rsid w:val="00C9452B"/>
    <w:rsid w:val="00C9711D"/>
    <w:rsid w:val="00C97483"/>
    <w:rsid w:val="00C97F48"/>
    <w:rsid w:val="00CA382A"/>
    <w:rsid w:val="00CA7F22"/>
    <w:rsid w:val="00CB53F1"/>
    <w:rsid w:val="00CC00CA"/>
    <w:rsid w:val="00CC07A7"/>
    <w:rsid w:val="00CC2E16"/>
    <w:rsid w:val="00CD4B9B"/>
    <w:rsid w:val="00CE1473"/>
    <w:rsid w:val="00CF2022"/>
    <w:rsid w:val="00D0022F"/>
    <w:rsid w:val="00D01402"/>
    <w:rsid w:val="00D237A0"/>
    <w:rsid w:val="00D30958"/>
    <w:rsid w:val="00D31AFD"/>
    <w:rsid w:val="00D32A3E"/>
    <w:rsid w:val="00D35551"/>
    <w:rsid w:val="00D36578"/>
    <w:rsid w:val="00D40486"/>
    <w:rsid w:val="00D41D6A"/>
    <w:rsid w:val="00D42746"/>
    <w:rsid w:val="00D47B17"/>
    <w:rsid w:val="00D47FCC"/>
    <w:rsid w:val="00D513A1"/>
    <w:rsid w:val="00D638D0"/>
    <w:rsid w:val="00D65291"/>
    <w:rsid w:val="00D71995"/>
    <w:rsid w:val="00D719F1"/>
    <w:rsid w:val="00D73A82"/>
    <w:rsid w:val="00D94715"/>
    <w:rsid w:val="00DA1DFA"/>
    <w:rsid w:val="00DA2351"/>
    <w:rsid w:val="00DC0021"/>
    <w:rsid w:val="00DC301C"/>
    <w:rsid w:val="00DC59AB"/>
    <w:rsid w:val="00DD1433"/>
    <w:rsid w:val="00DD45D0"/>
    <w:rsid w:val="00DD78BA"/>
    <w:rsid w:val="00DF2085"/>
    <w:rsid w:val="00DF4920"/>
    <w:rsid w:val="00DF77FC"/>
    <w:rsid w:val="00E003D6"/>
    <w:rsid w:val="00E01266"/>
    <w:rsid w:val="00E01B77"/>
    <w:rsid w:val="00E102AD"/>
    <w:rsid w:val="00E14D31"/>
    <w:rsid w:val="00E156A7"/>
    <w:rsid w:val="00E167FE"/>
    <w:rsid w:val="00E176F9"/>
    <w:rsid w:val="00E2108D"/>
    <w:rsid w:val="00E210FF"/>
    <w:rsid w:val="00E30B2D"/>
    <w:rsid w:val="00E31573"/>
    <w:rsid w:val="00E333D4"/>
    <w:rsid w:val="00E365F9"/>
    <w:rsid w:val="00E424DD"/>
    <w:rsid w:val="00E43018"/>
    <w:rsid w:val="00E466F5"/>
    <w:rsid w:val="00E6084D"/>
    <w:rsid w:val="00E61CF6"/>
    <w:rsid w:val="00E632A1"/>
    <w:rsid w:val="00E633A8"/>
    <w:rsid w:val="00E67D75"/>
    <w:rsid w:val="00E76F3A"/>
    <w:rsid w:val="00E81342"/>
    <w:rsid w:val="00E9013F"/>
    <w:rsid w:val="00E91D32"/>
    <w:rsid w:val="00E94DF7"/>
    <w:rsid w:val="00E9501F"/>
    <w:rsid w:val="00EA6CE9"/>
    <w:rsid w:val="00EA7E87"/>
    <w:rsid w:val="00EB6DF9"/>
    <w:rsid w:val="00EB7CE7"/>
    <w:rsid w:val="00EC3426"/>
    <w:rsid w:val="00EC48DC"/>
    <w:rsid w:val="00EC5EA7"/>
    <w:rsid w:val="00EC6094"/>
    <w:rsid w:val="00EC7E29"/>
    <w:rsid w:val="00ED1975"/>
    <w:rsid w:val="00ED2E7C"/>
    <w:rsid w:val="00ED540C"/>
    <w:rsid w:val="00EF0F3F"/>
    <w:rsid w:val="00EF10CC"/>
    <w:rsid w:val="00EF2E0C"/>
    <w:rsid w:val="00EF35F2"/>
    <w:rsid w:val="00EF714D"/>
    <w:rsid w:val="00F04610"/>
    <w:rsid w:val="00F17A99"/>
    <w:rsid w:val="00F33600"/>
    <w:rsid w:val="00F33695"/>
    <w:rsid w:val="00F35498"/>
    <w:rsid w:val="00F3570A"/>
    <w:rsid w:val="00F41C31"/>
    <w:rsid w:val="00F46D5F"/>
    <w:rsid w:val="00F472C8"/>
    <w:rsid w:val="00F47734"/>
    <w:rsid w:val="00F52BF2"/>
    <w:rsid w:val="00F643BD"/>
    <w:rsid w:val="00F64E90"/>
    <w:rsid w:val="00F741B8"/>
    <w:rsid w:val="00F769C6"/>
    <w:rsid w:val="00F80EC3"/>
    <w:rsid w:val="00F829E0"/>
    <w:rsid w:val="00F84297"/>
    <w:rsid w:val="00F91408"/>
    <w:rsid w:val="00F9410A"/>
    <w:rsid w:val="00F94C23"/>
    <w:rsid w:val="00F959AB"/>
    <w:rsid w:val="00F95A50"/>
    <w:rsid w:val="00F96A0C"/>
    <w:rsid w:val="00FB033D"/>
    <w:rsid w:val="00FB0D24"/>
    <w:rsid w:val="00FB63EC"/>
    <w:rsid w:val="00FB6F51"/>
    <w:rsid w:val="00FB7F17"/>
    <w:rsid w:val="00FC0A80"/>
    <w:rsid w:val="00FD258B"/>
    <w:rsid w:val="00FD38FC"/>
    <w:rsid w:val="00FE56EB"/>
    <w:rsid w:val="00FF0838"/>
    <w:rsid w:val="00FF1A8A"/>
    <w:rsid w:val="00FF391E"/>
    <w:rsid w:val="00FF64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F28743"/>
  <w15:docId w15:val="{C3E1098F-64B8-49B5-87B6-A432D026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FR" w:eastAsia="fr-F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92"/>
  </w:style>
  <w:style w:type="paragraph" w:styleId="Titre1">
    <w:name w:val="heading 1"/>
    <w:basedOn w:val="Normal"/>
    <w:next w:val="Normal"/>
    <w:link w:val="Titre1Car"/>
    <w:uiPriority w:val="9"/>
    <w:qFormat/>
    <w:rsid w:val="00A73692"/>
    <w:pPr>
      <w:widowControl w:val="0"/>
      <w:pBdr>
        <w:bottom w:val="single" w:sz="4" w:space="4" w:color="76923C"/>
      </w:pBdr>
      <w:spacing w:before="240"/>
      <w:ind w:left="1080" w:hanging="360"/>
      <w:jc w:val="left"/>
      <w:outlineLvl w:val="0"/>
    </w:pPr>
    <w:rPr>
      <w:b/>
      <w:color w:val="76923C"/>
      <w:sz w:val="28"/>
      <w:szCs w:val="28"/>
    </w:rPr>
  </w:style>
  <w:style w:type="paragraph" w:styleId="Titre2">
    <w:name w:val="heading 2"/>
    <w:basedOn w:val="Normal"/>
    <w:next w:val="Normal"/>
    <w:uiPriority w:val="99"/>
    <w:unhideWhenUsed/>
    <w:qFormat/>
    <w:rsid w:val="00A73692"/>
    <w:pPr>
      <w:keepNext/>
      <w:widowControl w:val="0"/>
      <w:pBdr>
        <w:bottom w:val="single" w:sz="4" w:space="1" w:color="76923C"/>
      </w:pBdr>
      <w:spacing w:before="240" w:line="276" w:lineRule="auto"/>
      <w:ind w:left="720" w:hanging="720"/>
      <w:outlineLvl w:val="1"/>
    </w:pPr>
    <w:rPr>
      <w:b/>
      <w:color w:val="76923C"/>
      <w:sz w:val="24"/>
      <w:szCs w:val="24"/>
    </w:rPr>
  </w:style>
  <w:style w:type="paragraph" w:styleId="Titre3">
    <w:name w:val="heading 3"/>
    <w:basedOn w:val="Normal"/>
    <w:next w:val="Normal"/>
    <w:uiPriority w:val="99"/>
    <w:unhideWhenUsed/>
    <w:qFormat/>
    <w:rsid w:val="00A73692"/>
    <w:pPr>
      <w:widowControl w:val="0"/>
      <w:spacing w:before="120" w:after="120"/>
      <w:outlineLvl w:val="2"/>
    </w:pPr>
    <w:rPr>
      <w:b/>
      <w:color w:val="92D050"/>
    </w:rPr>
  </w:style>
  <w:style w:type="paragraph" w:styleId="Titre4">
    <w:name w:val="heading 4"/>
    <w:basedOn w:val="Normal"/>
    <w:next w:val="Normal"/>
    <w:uiPriority w:val="99"/>
    <w:unhideWhenUsed/>
    <w:qFormat/>
    <w:rsid w:val="00A73692"/>
    <w:pPr>
      <w:keepNext/>
      <w:spacing w:before="240"/>
      <w:outlineLvl w:val="3"/>
    </w:pPr>
    <w:rPr>
      <w:b/>
      <w:color w:val="993366"/>
    </w:rPr>
  </w:style>
  <w:style w:type="paragraph" w:styleId="Titre5">
    <w:name w:val="heading 5"/>
    <w:basedOn w:val="Normal"/>
    <w:next w:val="Normal"/>
    <w:uiPriority w:val="99"/>
    <w:unhideWhenUsed/>
    <w:qFormat/>
    <w:rsid w:val="00A73692"/>
    <w:pPr>
      <w:keepNext/>
      <w:spacing w:before="120"/>
      <w:outlineLvl w:val="4"/>
    </w:pPr>
    <w:rPr>
      <w:i/>
      <w:color w:val="800080"/>
    </w:rPr>
  </w:style>
  <w:style w:type="paragraph" w:styleId="Titre6">
    <w:name w:val="heading 6"/>
    <w:basedOn w:val="Normal"/>
    <w:next w:val="Normal"/>
    <w:uiPriority w:val="99"/>
    <w:unhideWhenUsed/>
    <w:qFormat/>
    <w:rsid w:val="00A73692"/>
    <w:pPr>
      <w:keepNext/>
      <w:jc w:val="center"/>
      <w:outlineLvl w:val="5"/>
    </w:pPr>
    <w:rPr>
      <w:color w:val="993366"/>
      <w:sz w:val="16"/>
      <w:szCs w:val="16"/>
    </w:rPr>
  </w:style>
  <w:style w:type="paragraph" w:styleId="Titre7">
    <w:name w:val="heading 7"/>
    <w:basedOn w:val="Normal"/>
    <w:next w:val="Normal"/>
    <w:link w:val="Titre7Car"/>
    <w:uiPriority w:val="99"/>
    <w:qFormat/>
    <w:rsid w:val="00F472C8"/>
    <w:pPr>
      <w:keepNext/>
      <w:keepLines/>
      <w:spacing w:before="200" w:after="0"/>
      <w:ind w:left="1296" w:hanging="1296"/>
      <w:jc w:val="left"/>
      <w:outlineLvl w:val="6"/>
    </w:pPr>
    <w:rPr>
      <w:rFonts w:ascii="Cambria" w:eastAsia="Times New Roman" w:hAnsi="Cambria" w:cs="Times New Roman"/>
      <w:i/>
      <w:iCs/>
      <w:color w:val="404040"/>
      <w:sz w:val="22"/>
      <w:szCs w:val="24"/>
      <w:lang w:eastAsia="en-GB"/>
    </w:rPr>
  </w:style>
  <w:style w:type="paragraph" w:styleId="Titre8">
    <w:name w:val="heading 8"/>
    <w:basedOn w:val="Normal"/>
    <w:next w:val="Normal"/>
    <w:link w:val="Titre8Car"/>
    <w:uiPriority w:val="99"/>
    <w:qFormat/>
    <w:rsid w:val="00F472C8"/>
    <w:pPr>
      <w:keepNext/>
      <w:keepLines/>
      <w:spacing w:before="200" w:after="0"/>
      <w:ind w:left="1440" w:hanging="1440"/>
      <w:jc w:val="left"/>
      <w:outlineLvl w:val="7"/>
    </w:pPr>
    <w:rPr>
      <w:rFonts w:ascii="Cambria" w:eastAsia="Times New Roman" w:hAnsi="Cambria" w:cs="Times New Roman"/>
      <w:color w:val="404040"/>
      <w:lang w:eastAsia="en-GB"/>
    </w:rPr>
  </w:style>
  <w:style w:type="paragraph" w:styleId="Titre9">
    <w:name w:val="heading 9"/>
    <w:basedOn w:val="Normal"/>
    <w:next w:val="Normal"/>
    <w:link w:val="Titre9Car"/>
    <w:uiPriority w:val="99"/>
    <w:qFormat/>
    <w:rsid w:val="00F472C8"/>
    <w:pPr>
      <w:keepNext/>
      <w:keepLines/>
      <w:spacing w:before="200" w:after="0"/>
      <w:ind w:left="1584" w:hanging="1584"/>
      <w:jc w:val="left"/>
      <w:outlineLvl w:val="8"/>
    </w:pPr>
    <w:rPr>
      <w:rFonts w:ascii="Cambria" w:eastAsia="Times New Roman" w:hAnsi="Cambria" w:cs="Times New Roman"/>
      <w:i/>
      <w:iCs/>
      <w:color w:val="404040"/>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A73692"/>
    <w:tblPr>
      <w:tblCellMar>
        <w:top w:w="0" w:type="dxa"/>
        <w:left w:w="0" w:type="dxa"/>
        <w:bottom w:w="0" w:type="dxa"/>
        <w:right w:w="0" w:type="dxa"/>
      </w:tblCellMar>
    </w:tblPr>
  </w:style>
  <w:style w:type="paragraph" w:styleId="Titre">
    <w:name w:val="Title"/>
    <w:basedOn w:val="Normal"/>
    <w:next w:val="Normal"/>
    <w:uiPriority w:val="10"/>
    <w:qFormat/>
    <w:rsid w:val="00A73692"/>
    <w:pPr>
      <w:keepNext/>
      <w:keepLines/>
      <w:spacing w:before="480" w:after="120"/>
    </w:pPr>
    <w:rPr>
      <w:b/>
      <w:sz w:val="72"/>
      <w:szCs w:val="72"/>
    </w:rPr>
  </w:style>
  <w:style w:type="paragraph" w:styleId="Sous-titre">
    <w:name w:val="Subtitle"/>
    <w:basedOn w:val="Normal"/>
    <w:next w:val="Normal"/>
    <w:uiPriority w:val="11"/>
    <w:qFormat/>
    <w:rsid w:val="00A73692"/>
    <w:pPr>
      <w:keepNext/>
      <w:keepLines/>
      <w:spacing w:before="360" w:after="80"/>
    </w:pPr>
    <w:rPr>
      <w:rFonts w:ascii="Georgia" w:eastAsia="Georgia" w:hAnsi="Georgia" w:cs="Georgia"/>
      <w:i/>
      <w:color w:val="666666"/>
      <w:sz w:val="48"/>
      <w:szCs w:val="48"/>
    </w:rPr>
  </w:style>
  <w:style w:type="table" w:customStyle="1" w:styleId="a">
    <w:basedOn w:val="TableNormal"/>
    <w:rsid w:val="00A73692"/>
    <w:rPr>
      <w:color w:val="000000"/>
    </w:rPr>
    <w:tblPr>
      <w:tblStyleRowBandSize w:val="1"/>
      <w:tblStyleColBandSize w:val="1"/>
      <w:tblCellMar>
        <w:left w:w="115" w:type="dxa"/>
        <w:right w:w="115" w:type="dxa"/>
      </w:tblCellMar>
    </w:tblPr>
    <w:tcPr>
      <w:shd w:val="clear" w:color="auto" w:fill="EDF2F8"/>
    </w:tcPr>
  </w:style>
  <w:style w:type="table" w:customStyle="1" w:styleId="a0">
    <w:basedOn w:val="TableNormal"/>
    <w:rsid w:val="00A73692"/>
    <w:rPr>
      <w:color w:val="000000"/>
    </w:rPr>
    <w:tblPr>
      <w:tblStyleRowBandSize w:val="1"/>
      <w:tblStyleColBandSize w:val="1"/>
      <w:tblCellMar>
        <w:left w:w="115" w:type="dxa"/>
        <w:right w:w="115" w:type="dxa"/>
      </w:tblCellMar>
    </w:tblPr>
    <w:tcPr>
      <w:shd w:val="clear" w:color="auto" w:fill="EDF2F8"/>
    </w:tcPr>
  </w:style>
  <w:style w:type="table" w:customStyle="1" w:styleId="a1">
    <w:basedOn w:val="TableNormal"/>
    <w:rsid w:val="00A73692"/>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rsid w:val="00A73692"/>
  </w:style>
  <w:style w:type="character" w:customStyle="1" w:styleId="CommentaireCar">
    <w:name w:val="Commentaire Car"/>
    <w:basedOn w:val="Policepardfaut"/>
    <w:link w:val="Commentaire"/>
    <w:uiPriority w:val="99"/>
    <w:rsid w:val="00A73692"/>
  </w:style>
  <w:style w:type="character" w:styleId="Marquedecommentaire">
    <w:name w:val="annotation reference"/>
    <w:basedOn w:val="Policepardfaut"/>
    <w:uiPriority w:val="99"/>
    <w:semiHidden/>
    <w:unhideWhenUsed/>
    <w:rsid w:val="00A73692"/>
    <w:rPr>
      <w:sz w:val="16"/>
      <w:szCs w:val="16"/>
    </w:rPr>
  </w:style>
  <w:style w:type="paragraph" w:styleId="Textedebulles">
    <w:name w:val="Balloon Text"/>
    <w:basedOn w:val="Normal"/>
    <w:link w:val="TextedebullesCar"/>
    <w:uiPriority w:val="99"/>
    <w:semiHidden/>
    <w:unhideWhenUsed/>
    <w:rsid w:val="00430F8D"/>
    <w:pPr>
      <w:spacing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30F8D"/>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2B5D30"/>
    <w:rPr>
      <w:b/>
      <w:bCs/>
    </w:rPr>
  </w:style>
  <w:style w:type="character" w:customStyle="1" w:styleId="ObjetducommentaireCar">
    <w:name w:val="Objet du commentaire Car"/>
    <w:basedOn w:val="CommentaireCar"/>
    <w:link w:val="Objetducommentaire"/>
    <w:uiPriority w:val="99"/>
    <w:semiHidden/>
    <w:rsid w:val="002B5D30"/>
    <w:rPr>
      <w:b/>
      <w:bCs/>
    </w:rPr>
  </w:style>
  <w:style w:type="paragraph" w:styleId="Notedebasdepage">
    <w:name w:val="footnote text"/>
    <w:aliases w:val="Voetnoottekst Char1 Char,Voetnoottekst Char Char1 Char,Voetnoottekst Char1 Char Char Char,Voetnoottekst Char Char1 Char Char Char,Voetnoottekst Char1 Char Char Char Char Char,Voetnoottekst Char1 Char1 Char,single space,f,fn,Fußnote"/>
    <w:basedOn w:val="Normal"/>
    <w:link w:val="NotedebasdepageCar"/>
    <w:uiPriority w:val="99"/>
    <w:unhideWhenUsed/>
    <w:rsid w:val="00744B0F"/>
    <w:pPr>
      <w:spacing w:after="0"/>
    </w:pPr>
  </w:style>
  <w:style w:type="character" w:customStyle="1" w:styleId="NotedebasdepageCar">
    <w:name w:val="Note de bas de page Car"/>
    <w:aliases w:val="Voetnoottekst Char1 Char Car,Voetnoottekst Char Char1 Char Car,Voetnoottekst Char1 Char Char Char Car,Voetnoottekst Char Char1 Char Char Char Car,Voetnoottekst Char1 Char Char Char Char Char Car,Voetnoottekst Char1 Char1 Char Car"/>
    <w:basedOn w:val="Policepardfaut"/>
    <w:link w:val="Notedebasdepage"/>
    <w:uiPriority w:val="99"/>
    <w:rsid w:val="00744B0F"/>
  </w:style>
  <w:style w:type="character" w:styleId="Appelnotedebasdep">
    <w:name w:val="footnote reference"/>
    <w:aliases w:val="BVI fnr Car Car Car,ftref Car Car Car,Char Char Char Char Carattere Char Car Car Car,Char Char Car Car Char Char Char Char Carattere Char Car Car Car,Char Char Char Char Char Carattere Char Car Car Car, BVI fnr Car Car Car Car Ca"/>
    <w:basedOn w:val="Policepardfaut"/>
    <w:link w:val="BVIfnrCarCar"/>
    <w:uiPriority w:val="99"/>
    <w:unhideWhenUsed/>
    <w:rsid w:val="00744B0F"/>
    <w:rPr>
      <w:vertAlign w:val="superscript"/>
    </w:rPr>
  </w:style>
  <w:style w:type="paragraph" w:styleId="Paragraphedeliste">
    <w:name w:val="List Paragraph"/>
    <w:aliases w:val="References,Bullet Points,Liste Paragraf,Llista Nivell1,Lista de nivel 1,Paragraphe de liste PBLH,Bullet list,Table of contents numbered,Graph &amp; Table tite,List Paragraph (numbered (a)),Aufzählung Spiegelstrich,Lettre d'introduction"/>
    <w:basedOn w:val="Normal"/>
    <w:link w:val="ParagraphedelisteCar"/>
    <w:uiPriority w:val="34"/>
    <w:qFormat/>
    <w:rsid w:val="00DF4920"/>
    <w:pPr>
      <w:ind w:left="720"/>
      <w:contextualSpacing/>
    </w:pPr>
  </w:style>
  <w:style w:type="paragraph" w:styleId="En-tte">
    <w:name w:val="header"/>
    <w:basedOn w:val="Normal"/>
    <w:link w:val="En-tteCar"/>
    <w:uiPriority w:val="99"/>
    <w:unhideWhenUsed/>
    <w:qFormat/>
    <w:rsid w:val="002E6AB6"/>
    <w:pPr>
      <w:tabs>
        <w:tab w:val="center" w:pos="4536"/>
        <w:tab w:val="right" w:pos="9072"/>
      </w:tabs>
      <w:spacing w:after="0"/>
    </w:pPr>
  </w:style>
  <w:style w:type="character" w:customStyle="1" w:styleId="En-tteCar">
    <w:name w:val="En-tête Car"/>
    <w:basedOn w:val="Policepardfaut"/>
    <w:link w:val="En-tte"/>
    <w:uiPriority w:val="99"/>
    <w:rsid w:val="002E6AB6"/>
  </w:style>
  <w:style w:type="paragraph" w:styleId="Pieddepage">
    <w:name w:val="footer"/>
    <w:basedOn w:val="Normal"/>
    <w:link w:val="PieddepageCar"/>
    <w:uiPriority w:val="99"/>
    <w:unhideWhenUsed/>
    <w:qFormat/>
    <w:rsid w:val="002E6AB6"/>
    <w:pPr>
      <w:tabs>
        <w:tab w:val="center" w:pos="4536"/>
        <w:tab w:val="right" w:pos="9072"/>
      </w:tabs>
      <w:spacing w:after="0"/>
    </w:pPr>
  </w:style>
  <w:style w:type="character" w:customStyle="1" w:styleId="PieddepageCar">
    <w:name w:val="Pied de page Car"/>
    <w:basedOn w:val="Policepardfaut"/>
    <w:link w:val="Pieddepage"/>
    <w:uiPriority w:val="99"/>
    <w:rsid w:val="002E6AB6"/>
  </w:style>
  <w:style w:type="character" w:styleId="Lienhypertexte">
    <w:name w:val="Hyperlink"/>
    <w:basedOn w:val="Policepardfaut"/>
    <w:uiPriority w:val="99"/>
    <w:unhideWhenUsed/>
    <w:rsid w:val="00181130"/>
    <w:rPr>
      <w:color w:val="0000FF" w:themeColor="hyperlink"/>
      <w:u w:val="single"/>
    </w:rPr>
  </w:style>
  <w:style w:type="character" w:customStyle="1" w:styleId="Mentionnonrsolue1">
    <w:name w:val="Mention non résolue1"/>
    <w:basedOn w:val="Policepardfaut"/>
    <w:uiPriority w:val="99"/>
    <w:semiHidden/>
    <w:unhideWhenUsed/>
    <w:rsid w:val="00181130"/>
    <w:rPr>
      <w:color w:val="605E5C"/>
      <w:shd w:val="clear" w:color="auto" w:fill="E1DFDD"/>
    </w:rPr>
  </w:style>
  <w:style w:type="paragraph" w:styleId="Rvision">
    <w:name w:val="Revision"/>
    <w:hidden/>
    <w:uiPriority w:val="99"/>
    <w:semiHidden/>
    <w:rsid w:val="00A0726A"/>
    <w:pPr>
      <w:spacing w:after="0"/>
      <w:jc w:val="left"/>
    </w:pPr>
  </w:style>
  <w:style w:type="paragraph" w:styleId="Sansinterligne">
    <w:name w:val="No Spacing"/>
    <w:link w:val="SansinterligneCar"/>
    <w:uiPriority w:val="99"/>
    <w:qFormat/>
    <w:rsid w:val="0028621C"/>
    <w:pPr>
      <w:spacing w:after="0"/>
      <w:jc w:val="left"/>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28621C"/>
    <w:rPr>
      <w:rFonts w:asciiTheme="minorHAnsi" w:eastAsiaTheme="minorEastAsia" w:hAnsiTheme="minorHAnsi" w:cstheme="minorBidi"/>
      <w:sz w:val="22"/>
      <w:szCs w:val="22"/>
    </w:rPr>
  </w:style>
  <w:style w:type="table" w:styleId="Grilledutableau">
    <w:name w:val="Table Grid"/>
    <w:aliases w:val="TabelEcorys"/>
    <w:basedOn w:val="TableauNormal"/>
    <w:uiPriority w:val="59"/>
    <w:rsid w:val="0028621C"/>
    <w:pPr>
      <w:spacing w:after="0"/>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F4F2D"/>
    <w:pPr>
      <w:keepNext/>
      <w:keepLines/>
      <w:widowControl/>
      <w:pBdr>
        <w:bottom w:val="none" w:sz="0" w:space="0" w:color="auto"/>
      </w:pBdr>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9F4F2D"/>
    <w:pPr>
      <w:spacing w:after="100"/>
    </w:pPr>
  </w:style>
  <w:style w:type="paragraph" w:styleId="TM2">
    <w:name w:val="toc 2"/>
    <w:basedOn w:val="Normal"/>
    <w:next w:val="Normal"/>
    <w:autoRedefine/>
    <w:uiPriority w:val="39"/>
    <w:unhideWhenUsed/>
    <w:rsid w:val="003E6883"/>
    <w:pPr>
      <w:tabs>
        <w:tab w:val="right" w:leader="dot" w:pos="9346"/>
      </w:tabs>
      <w:spacing w:after="100"/>
      <w:ind w:left="200"/>
    </w:pPr>
  </w:style>
  <w:style w:type="paragraph" w:styleId="TM3">
    <w:name w:val="toc 3"/>
    <w:basedOn w:val="Normal"/>
    <w:next w:val="Normal"/>
    <w:autoRedefine/>
    <w:uiPriority w:val="39"/>
    <w:unhideWhenUsed/>
    <w:rsid w:val="001F3671"/>
    <w:pPr>
      <w:spacing w:after="100"/>
      <w:ind w:left="400"/>
    </w:pPr>
  </w:style>
  <w:style w:type="paragraph" w:styleId="NormalWeb">
    <w:name w:val="Normal (Web)"/>
    <w:basedOn w:val="Normal"/>
    <w:uiPriority w:val="99"/>
    <w:unhideWhenUsed/>
    <w:rsid w:val="005777D3"/>
    <w:pPr>
      <w:spacing w:before="100" w:beforeAutospacing="1" w:after="100" w:afterAutospacing="1"/>
      <w:jc w:val="left"/>
    </w:pPr>
    <w:rPr>
      <w:rFonts w:ascii="Times New Roman" w:eastAsia="Times New Roman" w:hAnsi="Times New Roman" w:cs="Times New Roman"/>
      <w:sz w:val="24"/>
      <w:szCs w:val="24"/>
      <w:lang w:bidi="fr-FR"/>
    </w:rPr>
  </w:style>
  <w:style w:type="paragraph" w:customStyle="1" w:styleId="BVIfnrCarCar">
    <w:name w:val="BVI fnr Car Car"/>
    <w:aliases w:val="ftref Car Car,Char Char Char Char Carattere Char Car Car,Char Char Car Car Char Char Char Char Carattere Char Car Car,Char Char Char Char Char Carattere Char Car Car, BVI fnr Car Car Car"/>
    <w:basedOn w:val="Normal"/>
    <w:next w:val="Normal"/>
    <w:link w:val="Appelnotedebasdep"/>
    <w:uiPriority w:val="99"/>
    <w:rsid w:val="0029012A"/>
    <w:pPr>
      <w:spacing w:after="160" w:line="240" w:lineRule="exact"/>
    </w:pPr>
    <w:rPr>
      <w:vertAlign w:val="superscript"/>
    </w:rPr>
  </w:style>
  <w:style w:type="paragraph" w:styleId="Corpsdetexte">
    <w:name w:val="Body Text"/>
    <w:basedOn w:val="Normal"/>
    <w:link w:val="CorpsdetexteCar"/>
    <w:uiPriority w:val="99"/>
    <w:unhideWhenUsed/>
    <w:rsid w:val="0029012A"/>
    <w:pPr>
      <w:spacing w:after="120" w:line="360" w:lineRule="auto"/>
    </w:pPr>
    <w:rPr>
      <w:rFonts w:eastAsiaTheme="minorHAnsi" w:cstheme="minorBidi"/>
      <w:sz w:val="22"/>
      <w:szCs w:val="22"/>
      <w:lang w:eastAsia="en-US"/>
    </w:rPr>
  </w:style>
  <w:style w:type="character" w:customStyle="1" w:styleId="CorpsdetexteCar">
    <w:name w:val="Corps de texte Car"/>
    <w:basedOn w:val="Policepardfaut"/>
    <w:link w:val="Corpsdetexte"/>
    <w:uiPriority w:val="99"/>
    <w:rsid w:val="0029012A"/>
    <w:rPr>
      <w:rFonts w:eastAsiaTheme="minorHAnsi" w:cstheme="minorBidi"/>
      <w:sz w:val="22"/>
      <w:szCs w:val="22"/>
      <w:lang w:eastAsia="en-US"/>
    </w:rPr>
  </w:style>
  <w:style w:type="table" w:customStyle="1" w:styleId="Tableausimple31">
    <w:name w:val="Tableau simple 31"/>
    <w:basedOn w:val="TableauNormal"/>
    <w:uiPriority w:val="43"/>
    <w:rsid w:val="00D71995"/>
    <w:pPr>
      <w:spacing w:after="0"/>
      <w:jc w:val="left"/>
    </w:pPr>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21">
    <w:name w:val="Tableau simple 21"/>
    <w:basedOn w:val="TableauNormal"/>
    <w:uiPriority w:val="42"/>
    <w:rsid w:val="00D71995"/>
    <w:pPr>
      <w:spacing w:after="0"/>
      <w:jc w:val="left"/>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11">
    <w:name w:val="Tableau simple 11"/>
    <w:basedOn w:val="TableauNormal"/>
    <w:uiPriority w:val="41"/>
    <w:rsid w:val="00D71995"/>
    <w:pPr>
      <w:spacing w:after="0"/>
      <w:jc w:val="left"/>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7Car">
    <w:name w:val="Titre 7 Car"/>
    <w:basedOn w:val="Policepardfaut"/>
    <w:link w:val="Titre7"/>
    <w:uiPriority w:val="99"/>
    <w:rsid w:val="00F472C8"/>
    <w:rPr>
      <w:rFonts w:ascii="Cambria" w:eastAsia="Times New Roman" w:hAnsi="Cambria" w:cs="Times New Roman"/>
      <w:i/>
      <w:iCs/>
      <w:color w:val="404040"/>
      <w:sz w:val="22"/>
      <w:szCs w:val="24"/>
      <w:lang w:eastAsia="en-GB"/>
    </w:rPr>
  </w:style>
  <w:style w:type="character" w:customStyle="1" w:styleId="Titre8Car">
    <w:name w:val="Titre 8 Car"/>
    <w:basedOn w:val="Policepardfaut"/>
    <w:link w:val="Titre8"/>
    <w:uiPriority w:val="99"/>
    <w:rsid w:val="00F472C8"/>
    <w:rPr>
      <w:rFonts w:ascii="Cambria" w:eastAsia="Times New Roman" w:hAnsi="Cambria" w:cs="Times New Roman"/>
      <w:color w:val="404040"/>
      <w:lang w:eastAsia="en-GB"/>
    </w:rPr>
  </w:style>
  <w:style w:type="character" w:customStyle="1" w:styleId="Titre9Car">
    <w:name w:val="Titre 9 Car"/>
    <w:basedOn w:val="Policepardfaut"/>
    <w:link w:val="Titre9"/>
    <w:uiPriority w:val="99"/>
    <w:rsid w:val="00F472C8"/>
    <w:rPr>
      <w:rFonts w:ascii="Cambria" w:eastAsia="Times New Roman" w:hAnsi="Cambria" w:cs="Times New Roman"/>
      <w:i/>
      <w:iCs/>
      <w:color w:val="404040"/>
      <w:lang w:eastAsia="en-GB"/>
    </w:rPr>
  </w:style>
  <w:style w:type="table" w:customStyle="1" w:styleId="Grilledutableau1">
    <w:name w:val="Grille du tableau1"/>
    <w:basedOn w:val="TableauNormal"/>
    <w:next w:val="Grilledutableau"/>
    <w:uiPriority w:val="39"/>
    <w:rsid w:val="00F472C8"/>
    <w:pPr>
      <w:spacing w:after="0"/>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link w:val="BulletpointsCar"/>
    <w:qFormat/>
    <w:rsid w:val="00F472C8"/>
    <w:pPr>
      <w:numPr>
        <w:numId w:val="2"/>
      </w:numPr>
      <w:spacing w:after="60"/>
    </w:pPr>
    <w:rPr>
      <w:rFonts w:eastAsia="Times New Roman"/>
      <w:bCs/>
    </w:rPr>
  </w:style>
  <w:style w:type="character" w:customStyle="1" w:styleId="BulletpointsCar">
    <w:name w:val="Bullet points Car"/>
    <w:basedOn w:val="Policepardfaut"/>
    <w:link w:val="Bulletpoints"/>
    <w:rsid w:val="00F472C8"/>
    <w:rPr>
      <w:rFonts w:eastAsia="Times New Roman"/>
      <w:bCs/>
    </w:rPr>
  </w:style>
  <w:style w:type="character" w:customStyle="1" w:styleId="ParagraphedelisteCar">
    <w:name w:val="Paragraphe de liste Car"/>
    <w:aliases w:val="References Car,Bullet Points Car,Liste Paragraf Car,Llista Nivell1 Car,Lista de nivel 1 Car,Paragraphe de liste PBLH Car,Bullet list Car,Table of contents numbered Car,Graph &amp; Table tite Car,List Paragraph (numbered (a)) Car"/>
    <w:basedOn w:val="Policepardfaut"/>
    <w:link w:val="Paragraphedeliste"/>
    <w:uiPriority w:val="34"/>
    <w:qFormat/>
    <w:locked/>
    <w:rsid w:val="00F472C8"/>
  </w:style>
  <w:style w:type="paragraph" w:customStyle="1" w:styleId="Default">
    <w:name w:val="Default"/>
    <w:rsid w:val="00AC628D"/>
    <w:pPr>
      <w:autoSpaceDE w:val="0"/>
      <w:autoSpaceDN w:val="0"/>
      <w:adjustRightInd w:val="0"/>
      <w:spacing w:after="0"/>
      <w:jc w:val="left"/>
    </w:pPr>
    <w:rPr>
      <w:color w:val="000000"/>
      <w:sz w:val="24"/>
      <w:szCs w:val="24"/>
    </w:rPr>
  </w:style>
  <w:style w:type="character" w:customStyle="1" w:styleId="Titre1Car">
    <w:name w:val="Titre 1 Car"/>
    <w:basedOn w:val="Policepardfaut"/>
    <w:link w:val="Titre1"/>
    <w:uiPriority w:val="9"/>
    <w:rsid w:val="00C9452B"/>
    <w:rPr>
      <w:b/>
      <w:color w:val="76923C"/>
      <w:sz w:val="28"/>
      <w:szCs w:val="28"/>
    </w:rPr>
  </w:style>
  <w:style w:type="character" w:styleId="lev">
    <w:name w:val="Strong"/>
    <w:basedOn w:val="Policepardfaut"/>
    <w:uiPriority w:val="22"/>
    <w:qFormat/>
    <w:rsid w:val="002B4231"/>
    <w:rPr>
      <w:b/>
      <w:bCs/>
    </w:rPr>
  </w:style>
  <w:style w:type="character" w:customStyle="1" w:styleId="line-clamp-1">
    <w:name w:val="line-clamp-1"/>
    <w:basedOn w:val="Policepardfaut"/>
    <w:rsid w:val="002B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9510">
      <w:bodyDiv w:val="1"/>
      <w:marLeft w:val="0"/>
      <w:marRight w:val="0"/>
      <w:marTop w:val="0"/>
      <w:marBottom w:val="0"/>
      <w:divBdr>
        <w:top w:val="none" w:sz="0" w:space="0" w:color="auto"/>
        <w:left w:val="none" w:sz="0" w:space="0" w:color="auto"/>
        <w:bottom w:val="none" w:sz="0" w:space="0" w:color="auto"/>
        <w:right w:val="none" w:sz="0" w:space="0" w:color="auto"/>
      </w:divBdr>
      <w:divsChild>
        <w:div w:id="1938978525">
          <w:marLeft w:val="360"/>
          <w:marRight w:val="0"/>
          <w:marTop w:val="200"/>
          <w:marBottom w:val="0"/>
          <w:divBdr>
            <w:top w:val="none" w:sz="0" w:space="0" w:color="auto"/>
            <w:left w:val="none" w:sz="0" w:space="0" w:color="auto"/>
            <w:bottom w:val="none" w:sz="0" w:space="0" w:color="auto"/>
            <w:right w:val="none" w:sz="0" w:space="0" w:color="auto"/>
          </w:divBdr>
        </w:div>
        <w:div w:id="318121550">
          <w:marLeft w:val="360"/>
          <w:marRight w:val="0"/>
          <w:marTop w:val="200"/>
          <w:marBottom w:val="0"/>
          <w:divBdr>
            <w:top w:val="none" w:sz="0" w:space="0" w:color="auto"/>
            <w:left w:val="none" w:sz="0" w:space="0" w:color="auto"/>
            <w:bottom w:val="none" w:sz="0" w:space="0" w:color="auto"/>
            <w:right w:val="none" w:sz="0" w:space="0" w:color="auto"/>
          </w:divBdr>
        </w:div>
      </w:divsChild>
    </w:div>
    <w:div w:id="60492963">
      <w:bodyDiv w:val="1"/>
      <w:marLeft w:val="0"/>
      <w:marRight w:val="0"/>
      <w:marTop w:val="0"/>
      <w:marBottom w:val="0"/>
      <w:divBdr>
        <w:top w:val="none" w:sz="0" w:space="0" w:color="auto"/>
        <w:left w:val="none" w:sz="0" w:space="0" w:color="auto"/>
        <w:bottom w:val="none" w:sz="0" w:space="0" w:color="auto"/>
        <w:right w:val="none" w:sz="0" w:space="0" w:color="auto"/>
      </w:divBdr>
    </w:div>
    <w:div w:id="227962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8680">
          <w:marLeft w:val="446"/>
          <w:marRight w:val="0"/>
          <w:marTop w:val="0"/>
          <w:marBottom w:val="0"/>
          <w:divBdr>
            <w:top w:val="none" w:sz="0" w:space="0" w:color="auto"/>
            <w:left w:val="none" w:sz="0" w:space="0" w:color="auto"/>
            <w:bottom w:val="none" w:sz="0" w:space="0" w:color="auto"/>
            <w:right w:val="none" w:sz="0" w:space="0" w:color="auto"/>
          </w:divBdr>
        </w:div>
        <w:div w:id="1182628841">
          <w:marLeft w:val="446"/>
          <w:marRight w:val="0"/>
          <w:marTop w:val="0"/>
          <w:marBottom w:val="0"/>
          <w:divBdr>
            <w:top w:val="none" w:sz="0" w:space="0" w:color="auto"/>
            <w:left w:val="none" w:sz="0" w:space="0" w:color="auto"/>
            <w:bottom w:val="none" w:sz="0" w:space="0" w:color="auto"/>
            <w:right w:val="none" w:sz="0" w:space="0" w:color="auto"/>
          </w:divBdr>
        </w:div>
        <w:div w:id="11539945">
          <w:marLeft w:val="446"/>
          <w:marRight w:val="0"/>
          <w:marTop w:val="0"/>
          <w:marBottom w:val="0"/>
          <w:divBdr>
            <w:top w:val="none" w:sz="0" w:space="0" w:color="auto"/>
            <w:left w:val="none" w:sz="0" w:space="0" w:color="auto"/>
            <w:bottom w:val="none" w:sz="0" w:space="0" w:color="auto"/>
            <w:right w:val="none" w:sz="0" w:space="0" w:color="auto"/>
          </w:divBdr>
        </w:div>
      </w:divsChild>
    </w:div>
    <w:div w:id="432361513">
      <w:bodyDiv w:val="1"/>
      <w:marLeft w:val="0"/>
      <w:marRight w:val="0"/>
      <w:marTop w:val="0"/>
      <w:marBottom w:val="0"/>
      <w:divBdr>
        <w:top w:val="none" w:sz="0" w:space="0" w:color="auto"/>
        <w:left w:val="none" w:sz="0" w:space="0" w:color="auto"/>
        <w:bottom w:val="none" w:sz="0" w:space="0" w:color="auto"/>
        <w:right w:val="none" w:sz="0" w:space="0" w:color="auto"/>
      </w:divBdr>
    </w:div>
    <w:div w:id="499276111">
      <w:bodyDiv w:val="1"/>
      <w:marLeft w:val="0"/>
      <w:marRight w:val="0"/>
      <w:marTop w:val="0"/>
      <w:marBottom w:val="0"/>
      <w:divBdr>
        <w:top w:val="none" w:sz="0" w:space="0" w:color="auto"/>
        <w:left w:val="none" w:sz="0" w:space="0" w:color="auto"/>
        <w:bottom w:val="none" w:sz="0" w:space="0" w:color="auto"/>
        <w:right w:val="none" w:sz="0" w:space="0" w:color="auto"/>
      </w:divBdr>
    </w:div>
    <w:div w:id="512643905">
      <w:bodyDiv w:val="1"/>
      <w:marLeft w:val="0"/>
      <w:marRight w:val="0"/>
      <w:marTop w:val="0"/>
      <w:marBottom w:val="0"/>
      <w:divBdr>
        <w:top w:val="none" w:sz="0" w:space="0" w:color="auto"/>
        <w:left w:val="none" w:sz="0" w:space="0" w:color="auto"/>
        <w:bottom w:val="none" w:sz="0" w:space="0" w:color="auto"/>
        <w:right w:val="none" w:sz="0" w:space="0" w:color="auto"/>
      </w:divBdr>
      <w:divsChild>
        <w:div w:id="1946691390">
          <w:marLeft w:val="0"/>
          <w:marRight w:val="0"/>
          <w:marTop w:val="0"/>
          <w:marBottom w:val="0"/>
          <w:divBdr>
            <w:top w:val="none" w:sz="0" w:space="0" w:color="auto"/>
            <w:left w:val="none" w:sz="0" w:space="0" w:color="auto"/>
            <w:bottom w:val="none" w:sz="0" w:space="0" w:color="auto"/>
            <w:right w:val="none" w:sz="0" w:space="0" w:color="auto"/>
          </w:divBdr>
        </w:div>
        <w:div w:id="740834135">
          <w:marLeft w:val="0"/>
          <w:marRight w:val="0"/>
          <w:marTop w:val="0"/>
          <w:marBottom w:val="0"/>
          <w:divBdr>
            <w:top w:val="none" w:sz="0" w:space="0" w:color="auto"/>
            <w:left w:val="none" w:sz="0" w:space="0" w:color="auto"/>
            <w:bottom w:val="none" w:sz="0" w:space="0" w:color="auto"/>
            <w:right w:val="none" w:sz="0" w:space="0" w:color="auto"/>
          </w:divBdr>
        </w:div>
      </w:divsChild>
    </w:div>
    <w:div w:id="1298334760">
      <w:bodyDiv w:val="1"/>
      <w:marLeft w:val="0"/>
      <w:marRight w:val="0"/>
      <w:marTop w:val="0"/>
      <w:marBottom w:val="0"/>
      <w:divBdr>
        <w:top w:val="none" w:sz="0" w:space="0" w:color="auto"/>
        <w:left w:val="none" w:sz="0" w:space="0" w:color="auto"/>
        <w:bottom w:val="none" w:sz="0" w:space="0" w:color="auto"/>
        <w:right w:val="none" w:sz="0" w:space="0" w:color="auto"/>
      </w:divBdr>
    </w:div>
    <w:div w:id="2012759347">
      <w:bodyDiv w:val="1"/>
      <w:marLeft w:val="0"/>
      <w:marRight w:val="0"/>
      <w:marTop w:val="0"/>
      <w:marBottom w:val="0"/>
      <w:divBdr>
        <w:top w:val="none" w:sz="0" w:space="0" w:color="auto"/>
        <w:left w:val="none" w:sz="0" w:space="0" w:color="auto"/>
        <w:bottom w:val="none" w:sz="0" w:space="0" w:color="auto"/>
        <w:right w:val="none" w:sz="0" w:space="0" w:color="auto"/>
      </w:divBdr>
      <w:divsChild>
        <w:div w:id="1061515089">
          <w:marLeft w:val="0"/>
          <w:marRight w:val="0"/>
          <w:marTop w:val="0"/>
          <w:marBottom w:val="0"/>
          <w:divBdr>
            <w:top w:val="none" w:sz="0" w:space="0" w:color="auto"/>
            <w:left w:val="none" w:sz="0" w:space="0" w:color="auto"/>
            <w:bottom w:val="none" w:sz="0" w:space="0" w:color="auto"/>
            <w:right w:val="none" w:sz="0" w:space="0" w:color="auto"/>
          </w:divBdr>
          <w:divsChild>
            <w:div w:id="1559199698">
              <w:marLeft w:val="0"/>
              <w:marRight w:val="0"/>
              <w:marTop w:val="0"/>
              <w:marBottom w:val="0"/>
              <w:divBdr>
                <w:top w:val="none" w:sz="0" w:space="0" w:color="auto"/>
                <w:left w:val="none" w:sz="0" w:space="0" w:color="auto"/>
                <w:bottom w:val="none" w:sz="0" w:space="0" w:color="auto"/>
                <w:right w:val="none" w:sz="0" w:space="0" w:color="auto"/>
              </w:divBdr>
              <w:divsChild>
                <w:div w:id="1301225720">
                  <w:marLeft w:val="0"/>
                  <w:marRight w:val="0"/>
                  <w:marTop w:val="0"/>
                  <w:marBottom w:val="0"/>
                  <w:divBdr>
                    <w:top w:val="none" w:sz="0" w:space="0" w:color="auto"/>
                    <w:left w:val="none" w:sz="0" w:space="0" w:color="auto"/>
                    <w:bottom w:val="none" w:sz="0" w:space="0" w:color="auto"/>
                    <w:right w:val="none" w:sz="0" w:space="0" w:color="auto"/>
                  </w:divBdr>
                  <w:divsChild>
                    <w:div w:id="752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2514">
          <w:marLeft w:val="0"/>
          <w:marRight w:val="0"/>
          <w:marTop w:val="0"/>
          <w:marBottom w:val="0"/>
          <w:divBdr>
            <w:top w:val="none" w:sz="0" w:space="0" w:color="auto"/>
            <w:left w:val="none" w:sz="0" w:space="0" w:color="auto"/>
            <w:bottom w:val="none" w:sz="0" w:space="0" w:color="auto"/>
            <w:right w:val="none" w:sz="0" w:space="0" w:color="auto"/>
          </w:divBdr>
          <w:divsChild>
            <w:div w:id="579869499">
              <w:marLeft w:val="0"/>
              <w:marRight w:val="0"/>
              <w:marTop w:val="0"/>
              <w:marBottom w:val="0"/>
              <w:divBdr>
                <w:top w:val="none" w:sz="0" w:space="0" w:color="auto"/>
                <w:left w:val="none" w:sz="0" w:space="0" w:color="auto"/>
                <w:bottom w:val="none" w:sz="0" w:space="0" w:color="auto"/>
                <w:right w:val="none" w:sz="0" w:space="0" w:color="auto"/>
              </w:divBdr>
              <w:divsChild>
                <w:div w:id="1719669132">
                  <w:marLeft w:val="0"/>
                  <w:marRight w:val="0"/>
                  <w:marTop w:val="0"/>
                  <w:marBottom w:val="0"/>
                  <w:divBdr>
                    <w:top w:val="none" w:sz="0" w:space="0" w:color="auto"/>
                    <w:left w:val="none" w:sz="0" w:space="0" w:color="auto"/>
                    <w:bottom w:val="none" w:sz="0" w:space="0" w:color="auto"/>
                    <w:right w:val="none" w:sz="0" w:space="0" w:color="auto"/>
                  </w:divBdr>
                  <w:divsChild>
                    <w:div w:id="2510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6161">
      <w:bodyDiv w:val="1"/>
      <w:marLeft w:val="0"/>
      <w:marRight w:val="0"/>
      <w:marTop w:val="0"/>
      <w:marBottom w:val="0"/>
      <w:divBdr>
        <w:top w:val="none" w:sz="0" w:space="0" w:color="auto"/>
        <w:left w:val="none" w:sz="0" w:space="0" w:color="auto"/>
        <w:bottom w:val="none" w:sz="0" w:space="0" w:color="auto"/>
        <w:right w:val="none" w:sz="0" w:space="0" w:color="auto"/>
      </w:divBdr>
      <w:divsChild>
        <w:div w:id="828399036">
          <w:marLeft w:val="360"/>
          <w:marRight w:val="0"/>
          <w:marTop w:val="200"/>
          <w:marBottom w:val="0"/>
          <w:divBdr>
            <w:top w:val="none" w:sz="0" w:space="0" w:color="auto"/>
            <w:left w:val="none" w:sz="0" w:space="0" w:color="auto"/>
            <w:bottom w:val="none" w:sz="0" w:space="0" w:color="auto"/>
            <w:right w:val="none" w:sz="0" w:space="0" w:color="auto"/>
          </w:divBdr>
        </w:div>
        <w:div w:id="2020111093">
          <w:marLeft w:val="360"/>
          <w:marRight w:val="0"/>
          <w:marTop w:val="200"/>
          <w:marBottom w:val="0"/>
          <w:divBdr>
            <w:top w:val="none" w:sz="0" w:space="0" w:color="auto"/>
            <w:left w:val="none" w:sz="0" w:space="0" w:color="auto"/>
            <w:bottom w:val="none" w:sz="0" w:space="0" w:color="auto"/>
            <w:right w:val="none" w:sz="0" w:space="0" w:color="auto"/>
          </w:divBdr>
        </w:div>
        <w:div w:id="171264034">
          <w:marLeft w:val="360"/>
          <w:marRight w:val="0"/>
          <w:marTop w:val="200"/>
          <w:marBottom w:val="0"/>
          <w:divBdr>
            <w:top w:val="none" w:sz="0" w:space="0" w:color="auto"/>
            <w:left w:val="none" w:sz="0" w:space="0" w:color="auto"/>
            <w:bottom w:val="none" w:sz="0" w:space="0" w:color="auto"/>
            <w:right w:val="none" w:sz="0" w:space="0" w:color="auto"/>
          </w:divBdr>
        </w:div>
        <w:div w:id="1260212134">
          <w:marLeft w:val="360"/>
          <w:marRight w:val="0"/>
          <w:marTop w:val="200"/>
          <w:marBottom w:val="0"/>
          <w:divBdr>
            <w:top w:val="none" w:sz="0" w:space="0" w:color="auto"/>
            <w:left w:val="none" w:sz="0" w:space="0" w:color="auto"/>
            <w:bottom w:val="none" w:sz="0" w:space="0" w:color="auto"/>
            <w:right w:val="none" w:sz="0" w:space="0" w:color="auto"/>
          </w:divBdr>
        </w:div>
        <w:div w:id="962690917">
          <w:marLeft w:val="360"/>
          <w:marRight w:val="0"/>
          <w:marTop w:val="200"/>
          <w:marBottom w:val="0"/>
          <w:divBdr>
            <w:top w:val="none" w:sz="0" w:space="0" w:color="auto"/>
            <w:left w:val="none" w:sz="0" w:space="0" w:color="auto"/>
            <w:bottom w:val="none" w:sz="0" w:space="0" w:color="auto"/>
            <w:right w:val="none" w:sz="0" w:space="0" w:color="auto"/>
          </w:divBdr>
        </w:div>
        <w:div w:id="89030913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E303A-8B7C-4AB3-B89D-07A145CB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2124</Words>
  <Characters>11687</Characters>
  <Application>Microsoft Office Word</Application>
  <DocSecurity>0</DocSecurity>
  <Lines>97</Lines>
  <Paragraphs>27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SML</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spectre</dc:creator>
  <cp:lastModifiedBy>Mohamed Haouchine</cp:lastModifiedBy>
  <cp:revision>5</cp:revision>
  <cp:lastPrinted>2019-07-16T15:50:00Z</cp:lastPrinted>
  <dcterms:created xsi:type="dcterms:W3CDTF">2024-12-29T18:04:00Z</dcterms:created>
  <dcterms:modified xsi:type="dcterms:W3CDTF">2024-12-29T20:06:00Z</dcterms:modified>
</cp:coreProperties>
</file>