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05" w:rsidRPr="007F7B05" w:rsidRDefault="007F7B05" w:rsidP="007F7B05">
      <w:pPr>
        <w:ind w:left="7080" w:firstLine="708"/>
        <w:rPr>
          <w:i/>
        </w:rPr>
      </w:pPr>
      <w:r>
        <w:rPr>
          <w:i/>
        </w:rPr>
        <w:t>Février 2026</w:t>
      </w:r>
    </w:p>
    <w:p w:rsidR="00EF45E8" w:rsidRDefault="00024608" w:rsidP="00776A8E">
      <w:pPr>
        <w:pStyle w:val="Titre1"/>
        <w:jc w:val="center"/>
      </w:pPr>
      <w:r>
        <w:t xml:space="preserve">Termes de référence pour </w:t>
      </w:r>
      <w:r w:rsidR="00020F90">
        <w:t xml:space="preserve">le recrutement d’un/e expert/e pour une formation d’approfondissement </w:t>
      </w:r>
      <w:r w:rsidR="00776A8E">
        <w:t>dans le domaine de l’évaluation des politiques publiques</w:t>
      </w:r>
    </w:p>
    <w:p w:rsidR="00776A8E" w:rsidRDefault="00776A8E" w:rsidP="00776A8E"/>
    <w:p w:rsidR="00776A8E" w:rsidRDefault="00776A8E" w:rsidP="00776A8E">
      <w:pPr>
        <w:pStyle w:val="Titre2"/>
        <w:numPr>
          <w:ilvl w:val="0"/>
          <w:numId w:val="2"/>
        </w:numPr>
      </w:pPr>
      <w:r>
        <w:t xml:space="preserve">Contexte </w:t>
      </w:r>
    </w:p>
    <w:p w:rsidR="00F91EE2" w:rsidRDefault="00F91EE2" w:rsidP="00F91EE2">
      <w:pPr>
        <w:jc w:val="both"/>
      </w:pPr>
      <w:r w:rsidRPr="00231E38">
        <w:t>Depuis le 1er février 2023, Expertise France met en œuvre le projet « Savoirs Éco en Tunisie » sur un financement de l’Union européenne de</w:t>
      </w:r>
      <w:r>
        <w:t xml:space="preserve"> 4,5 M d’EUR pour une durée de 43 moins</w:t>
      </w:r>
      <w:r w:rsidRPr="00231E38">
        <w:t>. L’objectif du Projet est d’appuyer le débat public sur les enjeux économiques en Tunisie à travers un renforcement des Structures Productrices de Savoirs Économiques (SPSE) c’est-à-dire : i) les structures publiques d’analyse économique et d’aide à la décision</w:t>
      </w:r>
      <w:r>
        <w:t xml:space="preserve"> (ITCEQ et INS)</w:t>
      </w:r>
      <w:r w:rsidRPr="00231E38">
        <w:t xml:space="preserve"> ; ii) les laboratoires de recherche en économie ; et iii) les </w:t>
      </w:r>
      <w:proofErr w:type="spellStart"/>
      <w:r w:rsidRPr="00231E38">
        <w:t>think</w:t>
      </w:r>
      <w:proofErr w:type="spellEnd"/>
      <w:r w:rsidRPr="00231E38">
        <w:t xml:space="preserve">-tanks </w:t>
      </w:r>
      <w:r w:rsidR="00C802B3">
        <w:t>issus de la société civile</w:t>
      </w:r>
      <w:r w:rsidRPr="00231E38">
        <w:t xml:space="preserve">. Le Projet intervient sous la forme d’appuis techniques et financiers déclinés autour de trois composantes : </w:t>
      </w:r>
      <w:r w:rsidRPr="00231E38">
        <w:sym w:font="Wingdings" w:char="F08C"/>
      </w:r>
      <w:r w:rsidRPr="00231E38">
        <w:t xml:space="preserve"> renforcement des capacités des SPSE ; </w:t>
      </w:r>
      <w:r w:rsidRPr="00231E38">
        <w:sym w:font="Wingdings" w:char="F08D"/>
      </w:r>
      <w:r w:rsidRPr="00231E38">
        <w:t xml:space="preserve"> accompagnement à la production d’études/</w:t>
      </w:r>
      <w:proofErr w:type="spellStart"/>
      <w:r w:rsidRPr="00231E38">
        <w:t>policy</w:t>
      </w:r>
      <w:proofErr w:type="spellEnd"/>
      <w:r w:rsidRPr="00231E38">
        <w:t xml:space="preserve"> </w:t>
      </w:r>
      <w:proofErr w:type="spellStart"/>
      <w:r w:rsidRPr="00231E38">
        <w:t>briefs</w:t>
      </w:r>
      <w:proofErr w:type="spellEnd"/>
      <w:r w:rsidRPr="00231E38">
        <w:t xml:space="preserve"> par les SPSE ;  </w:t>
      </w:r>
      <w:r w:rsidRPr="00231E38">
        <w:sym w:font="Wingdings" w:char="F08E"/>
      </w:r>
      <w:r w:rsidRPr="00231E38">
        <w:t xml:space="preserve"> appuis à la diffusion, vulgarisation et expérimentation des études/</w:t>
      </w:r>
      <w:proofErr w:type="spellStart"/>
      <w:r w:rsidRPr="00231E38">
        <w:t>policy</w:t>
      </w:r>
      <w:proofErr w:type="spellEnd"/>
      <w:r w:rsidRPr="00231E38">
        <w:t xml:space="preserve"> </w:t>
      </w:r>
      <w:proofErr w:type="spellStart"/>
      <w:r w:rsidRPr="00231E38">
        <w:t>briefs</w:t>
      </w:r>
      <w:proofErr w:type="spellEnd"/>
      <w:r w:rsidRPr="00231E38">
        <w:t xml:space="preserve"> produits.</w:t>
      </w:r>
      <w:r>
        <w:t xml:space="preserve"> </w:t>
      </w:r>
      <w:r w:rsidRPr="00F91EE2">
        <w:t>Le ministère de l’Économie et de la planification (MEP) et le ministère de l’Enseignement supérieur et de la recherche scientifique (MESRS) sont les deux contreparties institutionnelles du projet.</w:t>
      </w:r>
    </w:p>
    <w:p w:rsidR="007D735A" w:rsidRDefault="00983CF9" w:rsidP="00A34369">
      <w:pPr>
        <w:jc w:val="both"/>
      </w:pPr>
      <w:r>
        <w:t>Depuis 2024, l</w:t>
      </w:r>
      <w:r w:rsidR="00C802B3">
        <w:t xml:space="preserve">e projet Savoirs Eco a développé un programme </w:t>
      </w:r>
      <w:r w:rsidR="0063665A">
        <w:t xml:space="preserve">d’assistance technique en Evaluation des politiques publiques (EPP) en appui à l’ITCEQ (formation, guide méthodologique EPP, </w:t>
      </w:r>
      <w:r w:rsidR="00C802B3">
        <w:t>étude de référence en EPP) et au</w:t>
      </w:r>
      <w:r>
        <w:t xml:space="preserve"> MEP (formation). </w:t>
      </w:r>
      <w:r w:rsidR="00C802B3">
        <w:t>De plus,</w:t>
      </w:r>
      <w:r w:rsidR="0063665A">
        <w:t xml:space="preserve"> </w:t>
      </w:r>
      <w:r w:rsidR="00A34369">
        <w:t xml:space="preserve">en janvier 2026, </w:t>
      </w:r>
      <w:r w:rsidR="00C802B3">
        <w:t>il a été mené une activité de</w:t>
      </w:r>
      <w:r w:rsidR="00A34369">
        <w:t xml:space="preserve"> formation</w:t>
      </w:r>
      <w:r>
        <w:t xml:space="preserve"> </w:t>
      </w:r>
      <w:r w:rsidR="00C802B3">
        <w:t>en Evaluation des politiques</w:t>
      </w:r>
      <w:r w:rsidR="00A34369">
        <w:t xml:space="preserve"> </w:t>
      </w:r>
      <w:r w:rsidR="00C802B3">
        <w:t xml:space="preserve">publiques (EPP) </w:t>
      </w:r>
      <w:r w:rsidR="00A34369">
        <w:t>à l’attention de représentants de l’administration publique, de laboratoire</w:t>
      </w:r>
      <w:r w:rsidR="009F77CD">
        <w:t>s</w:t>
      </w:r>
      <w:r w:rsidR="00A34369">
        <w:t xml:space="preserve"> de recherche et d’association</w:t>
      </w:r>
      <w:r w:rsidR="009F77CD">
        <w:t>s</w:t>
      </w:r>
      <w:r w:rsidR="00C46DB1">
        <w:t xml:space="preserve"> de la société civile. </w:t>
      </w:r>
      <w:r w:rsidR="007D735A">
        <w:t xml:space="preserve">Sur la base du retour des participants, </w:t>
      </w:r>
      <w:r w:rsidR="00C802B3">
        <w:t xml:space="preserve">le projet souhaite mener </w:t>
      </w:r>
      <w:r w:rsidR="007D735A">
        <w:t xml:space="preserve">un deuxième volet de formation qui approfondira l’apprentissage sur l’EPP. </w:t>
      </w:r>
    </w:p>
    <w:p w:rsidR="007D735A" w:rsidRDefault="001231E2" w:rsidP="007D735A">
      <w:pPr>
        <w:pStyle w:val="Titre2"/>
        <w:numPr>
          <w:ilvl w:val="0"/>
          <w:numId w:val="2"/>
        </w:numPr>
      </w:pPr>
      <w:r>
        <w:t>Objectif</w:t>
      </w:r>
      <w:r w:rsidR="007D735A">
        <w:t xml:space="preserve"> et contenus de la mission </w:t>
      </w:r>
    </w:p>
    <w:p w:rsidR="00B75F99" w:rsidRDefault="00E65E24" w:rsidP="001231E2">
      <w:pPr>
        <w:jc w:val="both"/>
      </w:pPr>
      <w:r>
        <w:t xml:space="preserve">Afin d’approfondir la formation initiale de janvier 2026, </w:t>
      </w:r>
      <w:r w:rsidR="00020F90">
        <w:t>le projet Savoirs Eco souhaite faire appel à un/e expert/e pour dispenser une formation d’une quinzaine d’heures sur l’Evaluation des politiques publiques (EPP). Ce deuxième volet de formation ab</w:t>
      </w:r>
      <w:r w:rsidR="00986F65">
        <w:t xml:space="preserve">ordera </w:t>
      </w:r>
      <w:r w:rsidR="00020F90">
        <w:t xml:space="preserve">notamment </w:t>
      </w:r>
      <w:r w:rsidR="00986F65">
        <w:t>les questions suivantes :</w:t>
      </w:r>
      <w:r w:rsidR="00B75F99">
        <w:t xml:space="preserve"> </w:t>
      </w:r>
    </w:p>
    <w:p w:rsidR="00B75F99" w:rsidRPr="00B75F99" w:rsidRDefault="00986F65" w:rsidP="00B75F99">
      <w:pPr>
        <w:numPr>
          <w:ilvl w:val="0"/>
          <w:numId w:val="3"/>
        </w:numPr>
        <w:jc w:val="both"/>
      </w:pPr>
      <w:r>
        <w:rPr>
          <w:b/>
        </w:rPr>
        <w:t>Q</w:t>
      </w:r>
      <w:r w:rsidR="00B75F99" w:rsidRPr="00B75F99">
        <w:rPr>
          <w:b/>
        </w:rPr>
        <w:t>u’est-ce qu’une évaluation de politiques publiques ?</w:t>
      </w:r>
      <w:r w:rsidR="00B75F99" w:rsidRPr="00B75F99">
        <w:t xml:space="preserve"> Il s’agi</w:t>
      </w:r>
      <w:r w:rsidR="007F7B05">
        <w:t xml:space="preserve">ra </w:t>
      </w:r>
      <w:r w:rsidR="00B75F99" w:rsidRPr="00B75F99">
        <w:t xml:space="preserve">de rappeler les spécificités de l’évaluation (relativement à l’audit de performance, le contrôle, la recherche, etc.), et d’appréhender ses objets et sa méthodologie générale. </w:t>
      </w:r>
    </w:p>
    <w:p w:rsidR="00986F65" w:rsidRDefault="00986F65" w:rsidP="000908C8">
      <w:pPr>
        <w:numPr>
          <w:ilvl w:val="0"/>
          <w:numId w:val="3"/>
        </w:numPr>
        <w:jc w:val="both"/>
      </w:pPr>
      <w:r w:rsidRPr="00986F65">
        <w:rPr>
          <w:b/>
        </w:rPr>
        <w:t>C</w:t>
      </w:r>
      <w:r w:rsidR="00B75F99" w:rsidRPr="00986F65">
        <w:rPr>
          <w:b/>
        </w:rPr>
        <w:t xml:space="preserve">omment interpréter des statistiques de centralité et de dispersion ? </w:t>
      </w:r>
      <w:r w:rsidR="00B75F99" w:rsidRPr="00B75F99">
        <w:t>Il s'agi</w:t>
      </w:r>
      <w:r w:rsidR="007F7B05">
        <w:t xml:space="preserve">ra </w:t>
      </w:r>
      <w:r w:rsidR="00B75F99" w:rsidRPr="00B75F99">
        <w:t>de comprendre les statistiques élémentaires comme la moyenne, la médiane, la variance et l</w:t>
      </w:r>
      <w:r>
        <w:t xml:space="preserve">'écart de variation, </w:t>
      </w:r>
      <w:r w:rsidR="007F7B05">
        <w:t xml:space="preserve">ainsi que </w:t>
      </w:r>
      <w:r w:rsidR="00B75F99" w:rsidRPr="00B75F99">
        <w:t xml:space="preserve">les notions de de distribution et de répartition. </w:t>
      </w:r>
    </w:p>
    <w:p w:rsidR="00B75F99" w:rsidRPr="00B75F99" w:rsidRDefault="00986F65" w:rsidP="000908C8">
      <w:pPr>
        <w:numPr>
          <w:ilvl w:val="0"/>
          <w:numId w:val="3"/>
        </w:numPr>
        <w:jc w:val="both"/>
      </w:pPr>
      <w:r>
        <w:rPr>
          <w:b/>
        </w:rPr>
        <w:t>C</w:t>
      </w:r>
      <w:r w:rsidR="00B75F99" w:rsidRPr="00986F65">
        <w:rPr>
          <w:b/>
        </w:rPr>
        <w:t xml:space="preserve">omment interpréter des phénomènes qui s'inscrivent dans le temps ou dans l'incertitude ? </w:t>
      </w:r>
      <w:r w:rsidR="00B75F99" w:rsidRPr="00B75F99">
        <w:t>Il s’agi</w:t>
      </w:r>
      <w:r w:rsidR="007F7B05">
        <w:t xml:space="preserve">ra </w:t>
      </w:r>
      <w:r w:rsidR="00B75F99" w:rsidRPr="00B75F99">
        <w:t>de faire des rap</w:t>
      </w:r>
      <w:r>
        <w:t>pels sur les taux de croissance</w:t>
      </w:r>
      <w:r w:rsidR="00B75F99" w:rsidRPr="00B75F99">
        <w:t xml:space="preserve">, sur les suites (arithmétiques, géométriques) et de comprendre la différence entre le risque et l'incertitude. </w:t>
      </w:r>
    </w:p>
    <w:p w:rsidR="002139BE" w:rsidRDefault="00986F65" w:rsidP="00CD2D74">
      <w:pPr>
        <w:numPr>
          <w:ilvl w:val="0"/>
          <w:numId w:val="3"/>
        </w:numPr>
        <w:jc w:val="both"/>
      </w:pPr>
      <w:r w:rsidRPr="002139BE">
        <w:rPr>
          <w:b/>
        </w:rPr>
        <w:lastRenderedPageBreak/>
        <w:t>C</w:t>
      </w:r>
      <w:r w:rsidR="00B75F99" w:rsidRPr="002139BE">
        <w:rPr>
          <w:b/>
        </w:rPr>
        <w:t xml:space="preserve">omment interpréter une régression économétrique ? </w:t>
      </w:r>
      <w:r w:rsidR="007F7B05">
        <w:t>Il s’agira</w:t>
      </w:r>
      <w:r w:rsidR="00B75F99" w:rsidRPr="00B75F99">
        <w:t xml:space="preserve"> de comprendre les bases de la régression linéaire </w:t>
      </w:r>
      <w:r w:rsidR="002139BE">
        <w:t>et non-linéaire notamment via</w:t>
      </w:r>
      <w:r w:rsidR="00B75F99" w:rsidRPr="00B75F99">
        <w:t xml:space="preserve"> la lecture d'articles académiques. </w:t>
      </w:r>
    </w:p>
    <w:p w:rsidR="00FB31AF" w:rsidRDefault="002139BE" w:rsidP="00CD2D74">
      <w:pPr>
        <w:numPr>
          <w:ilvl w:val="0"/>
          <w:numId w:val="3"/>
        </w:numPr>
        <w:jc w:val="both"/>
      </w:pPr>
      <w:r>
        <w:rPr>
          <w:b/>
        </w:rPr>
        <w:t>C</w:t>
      </w:r>
      <w:r w:rsidR="00B75F99" w:rsidRPr="002139BE">
        <w:rPr>
          <w:b/>
        </w:rPr>
        <w:t>omment interpréter un test d'hypothèse ?</w:t>
      </w:r>
      <w:r w:rsidR="007F7B05">
        <w:t xml:space="preserve"> Il s’agira </w:t>
      </w:r>
      <w:r w:rsidR="00B75F99" w:rsidRPr="00B75F99">
        <w:t xml:space="preserve">de comprendre le raisonnement sous-jacent aux tests d'hypothèses (test de </w:t>
      </w:r>
      <w:proofErr w:type="spellStart"/>
      <w:r w:rsidR="00B75F99" w:rsidRPr="00B75F99">
        <w:t>Student</w:t>
      </w:r>
      <w:proofErr w:type="spellEnd"/>
      <w:r w:rsidR="00B75F99" w:rsidRPr="00B75F99">
        <w:t>, test K-S, test du chi-deux, etc.), aux intervalles de confiance et à la p-value</w:t>
      </w:r>
      <w:r>
        <w:t xml:space="preserve">. </w:t>
      </w:r>
      <w:r w:rsidR="00B75F99" w:rsidRPr="00B75F99">
        <w:t xml:space="preserve"> </w:t>
      </w:r>
    </w:p>
    <w:p w:rsidR="00B75F99" w:rsidRDefault="00FB31AF" w:rsidP="00FB31AF">
      <w:pPr>
        <w:jc w:val="both"/>
      </w:pPr>
      <w:r>
        <w:t xml:space="preserve">De plus, la formation sera l’occasion </w:t>
      </w:r>
      <w:r w:rsidRPr="00B36E06">
        <w:rPr>
          <w:b/>
        </w:rPr>
        <w:t xml:space="preserve">de présenter le guide pratique pour l’EPP de l’ITCEQ </w:t>
      </w:r>
      <w:r w:rsidRPr="00B36E06">
        <w:t>(publié en</w:t>
      </w:r>
      <w:r>
        <w:t xml:space="preserve"> 2025)</w:t>
      </w:r>
      <w:r w:rsidR="0088503B">
        <w:rPr>
          <w:rStyle w:val="Appelnotedebasdep"/>
        </w:rPr>
        <w:footnoteReference w:id="1"/>
      </w:r>
      <w:r>
        <w:t xml:space="preserve">. </w:t>
      </w:r>
      <w:r w:rsidR="00B75F99" w:rsidRPr="00B75F99">
        <w:t xml:space="preserve"> </w:t>
      </w:r>
    </w:p>
    <w:p w:rsidR="00B75F99" w:rsidRDefault="00B75F99" w:rsidP="00B75F99">
      <w:pPr>
        <w:jc w:val="both"/>
      </w:pPr>
      <w:r w:rsidRPr="00B75F99">
        <w:t>A l’issu</w:t>
      </w:r>
      <w:r>
        <w:t>e</w:t>
      </w:r>
      <w:r w:rsidRPr="00B75F99">
        <w:t xml:space="preserve"> de la missi</w:t>
      </w:r>
      <w:r>
        <w:t xml:space="preserve">on, les participants </w:t>
      </w:r>
      <w:r w:rsidR="002139BE">
        <w:t xml:space="preserve">devront être </w:t>
      </w:r>
      <w:r>
        <w:t xml:space="preserve">susceptibles de : </w:t>
      </w:r>
    </w:p>
    <w:p w:rsidR="00B75F99" w:rsidRDefault="00B75F99" w:rsidP="00B75F99">
      <w:pPr>
        <w:pStyle w:val="Paragraphedeliste"/>
        <w:numPr>
          <w:ilvl w:val="0"/>
          <w:numId w:val="4"/>
        </w:numPr>
        <w:jc w:val="both"/>
      </w:pPr>
      <w:r w:rsidRPr="00B75F99">
        <w:t>Identifier les enjeux et les spécificités de l’évaluation des politiques publiques</w:t>
      </w:r>
      <w:r>
        <w:t> ;</w:t>
      </w:r>
    </w:p>
    <w:p w:rsidR="00B75F99" w:rsidRPr="00B75F99" w:rsidRDefault="00020F90" w:rsidP="00B75F99">
      <w:pPr>
        <w:pStyle w:val="Paragraphedeliste"/>
        <w:numPr>
          <w:ilvl w:val="0"/>
          <w:numId w:val="4"/>
        </w:numPr>
        <w:jc w:val="both"/>
      </w:pPr>
      <w:r>
        <w:t>Appréhender l</w:t>
      </w:r>
      <w:r w:rsidR="00B75F99" w:rsidRPr="00B75F99">
        <w:t>es principaux outils quantitatifs de l'évaluation</w:t>
      </w:r>
      <w:r w:rsidR="00B75F99">
        <w:t> ;</w:t>
      </w:r>
    </w:p>
    <w:p w:rsidR="00B75F99" w:rsidRPr="00B75F99" w:rsidRDefault="00B75F99" w:rsidP="00B75F99">
      <w:pPr>
        <w:pStyle w:val="Paragraphedeliste"/>
        <w:numPr>
          <w:ilvl w:val="0"/>
          <w:numId w:val="4"/>
        </w:numPr>
        <w:jc w:val="both"/>
      </w:pPr>
      <w:r w:rsidRPr="00B75F99">
        <w:t>Être en capacité d'échanger avec des économistes ou des statisticiens</w:t>
      </w:r>
      <w:r w:rsidR="00020F90">
        <w:t xml:space="preserve"> sur de</w:t>
      </w:r>
      <w:r w:rsidR="00582090">
        <w:t>s travaux en lien avec l’EPP</w:t>
      </w:r>
      <w:r>
        <w:t>.</w:t>
      </w:r>
    </w:p>
    <w:p w:rsidR="00A34369" w:rsidRPr="00B75F99" w:rsidRDefault="00B75F99" w:rsidP="00B75F99">
      <w:pPr>
        <w:pStyle w:val="Titre2"/>
        <w:numPr>
          <w:ilvl w:val="0"/>
          <w:numId w:val="2"/>
        </w:numPr>
      </w:pPr>
      <w:r>
        <w:t xml:space="preserve">Modalités d’intervention et livrables </w:t>
      </w:r>
    </w:p>
    <w:p w:rsidR="00D04CFF" w:rsidRDefault="00D04CFF" w:rsidP="00582090">
      <w:pPr>
        <w:jc w:val="both"/>
      </w:pPr>
      <w:r>
        <w:t>La</w:t>
      </w:r>
      <w:r w:rsidR="00406BE9">
        <w:t xml:space="preserve"> mission de l’expert/e se déroulera entre </w:t>
      </w:r>
      <w:r w:rsidR="006712B9">
        <w:t xml:space="preserve">mars </w:t>
      </w:r>
      <w:r w:rsidR="00406BE9">
        <w:t xml:space="preserve">et avril 2026 </w:t>
      </w:r>
      <w:r w:rsidR="006712B9">
        <w:t>pour un total de 7</w:t>
      </w:r>
      <w:r w:rsidR="007F7B05">
        <w:t xml:space="preserve"> hommes/jours. La mission et les livrables s’articuleront </w:t>
      </w:r>
      <w:r w:rsidR="00406BE9">
        <w:t xml:space="preserve">selon la séquence suivante : </w:t>
      </w:r>
      <w:r w:rsidR="00EC5973">
        <w:t xml:space="preserve"> </w:t>
      </w:r>
      <w:r>
        <w:t xml:space="preserve"> </w:t>
      </w:r>
    </w:p>
    <w:p w:rsidR="00D04CFF" w:rsidRDefault="006712B9" w:rsidP="00D04CFF">
      <w:pPr>
        <w:pStyle w:val="Paragraphedeliste"/>
        <w:numPr>
          <w:ilvl w:val="0"/>
          <w:numId w:val="5"/>
        </w:numPr>
      </w:pPr>
      <w:r>
        <w:t>Travail préparatoire (3</w:t>
      </w:r>
      <w:r w:rsidR="007F7B05">
        <w:t xml:space="preserve"> jours)</w:t>
      </w:r>
      <w:r w:rsidR="00D04CFF">
        <w:t xml:space="preserve"> : </w:t>
      </w:r>
    </w:p>
    <w:p w:rsidR="00D04CFF" w:rsidRDefault="00D04CFF" w:rsidP="00D04CFF">
      <w:pPr>
        <w:pStyle w:val="Paragraphedeliste"/>
        <w:numPr>
          <w:ilvl w:val="1"/>
          <w:numId w:val="5"/>
        </w:numPr>
      </w:pPr>
      <w:r>
        <w:t xml:space="preserve">Support de présentation </w:t>
      </w:r>
    </w:p>
    <w:p w:rsidR="00EC5973" w:rsidRDefault="00D04CFF" w:rsidP="001E4FF0">
      <w:pPr>
        <w:pStyle w:val="Paragraphedeliste"/>
        <w:numPr>
          <w:ilvl w:val="0"/>
          <w:numId w:val="5"/>
        </w:numPr>
      </w:pPr>
      <w:r>
        <w:t>Mission de terrain de l’expert à Tunis (</w:t>
      </w:r>
      <w:r w:rsidR="007F7B05">
        <w:t>3 jours)</w:t>
      </w:r>
      <w:r>
        <w:t xml:space="preserve"> : </w:t>
      </w:r>
    </w:p>
    <w:p w:rsidR="00EC5973" w:rsidRDefault="00D04CFF" w:rsidP="001E4FF0">
      <w:pPr>
        <w:pStyle w:val="Paragraphedeliste"/>
        <w:numPr>
          <w:ilvl w:val="0"/>
          <w:numId w:val="5"/>
        </w:numPr>
      </w:pPr>
      <w:r>
        <w:t>Retour de l’expert sur le travail effectué par les participants durant la formation</w:t>
      </w:r>
      <w:r w:rsidR="00EC5973">
        <w:t xml:space="preserve"> (</w:t>
      </w:r>
      <w:r w:rsidR="007F7B05">
        <w:t xml:space="preserve">1 jour) </w:t>
      </w:r>
      <w:r>
        <w:t xml:space="preserve">: </w:t>
      </w:r>
    </w:p>
    <w:p w:rsidR="00D04CFF" w:rsidRDefault="00EC5973" w:rsidP="00EC5973">
      <w:pPr>
        <w:pStyle w:val="Paragraphedeliste"/>
        <w:numPr>
          <w:ilvl w:val="1"/>
          <w:numId w:val="5"/>
        </w:numPr>
      </w:pPr>
      <w:r w:rsidRPr="00EC5973">
        <w:t>Evaluation des compétences des participants à la formation</w:t>
      </w:r>
      <w:r>
        <w:t xml:space="preserve">. </w:t>
      </w:r>
    </w:p>
    <w:p w:rsidR="00EC5973" w:rsidRDefault="00406BE9" w:rsidP="00EC5973">
      <w:pPr>
        <w:pStyle w:val="Titre2"/>
        <w:numPr>
          <w:ilvl w:val="0"/>
          <w:numId w:val="2"/>
        </w:numPr>
      </w:pPr>
      <w:r>
        <w:t>Compétences attendu</w:t>
      </w:r>
      <w:r w:rsidR="00582090">
        <w:t>e</w:t>
      </w:r>
      <w:r>
        <w:t>s</w:t>
      </w:r>
      <w:r w:rsidR="00EC5973">
        <w:t xml:space="preserve"> </w:t>
      </w:r>
    </w:p>
    <w:p w:rsidR="00DD12EC" w:rsidRDefault="00DD12EC" w:rsidP="00EC5973">
      <w:pPr>
        <w:jc w:val="both"/>
      </w:pPr>
      <w:r>
        <w:t xml:space="preserve">L’expert/e devra justifier des compétences suivantes : </w:t>
      </w:r>
    </w:p>
    <w:p w:rsidR="007F7B05" w:rsidRDefault="00DD12EC" w:rsidP="00BD10B7">
      <w:pPr>
        <w:numPr>
          <w:ilvl w:val="0"/>
          <w:numId w:val="6"/>
        </w:numPr>
        <w:jc w:val="both"/>
      </w:pPr>
      <w:r w:rsidRPr="00DD12EC">
        <w:t>Expérience significative dans des fonctions impliquant des responsabilités en matière d’évaluation des politiques publiques, idéalement titulaire membre d’un corps de contrôle type Cour des Comptes</w:t>
      </w:r>
      <w:r w:rsidR="00582090">
        <w:t>.</w:t>
      </w:r>
      <w:r w:rsidRPr="00DD12EC">
        <w:t xml:space="preserve">  </w:t>
      </w:r>
    </w:p>
    <w:p w:rsidR="00DD12EC" w:rsidRPr="00DD12EC" w:rsidRDefault="00DD12EC" w:rsidP="00BD10B7">
      <w:pPr>
        <w:numPr>
          <w:ilvl w:val="0"/>
          <w:numId w:val="6"/>
        </w:numPr>
        <w:jc w:val="both"/>
      </w:pPr>
      <w:r w:rsidRPr="00DD12EC">
        <w:t>Publications de travaux et d’études en matière d’évaluation des politiques publiques</w:t>
      </w:r>
      <w:r w:rsidR="00582090">
        <w:t>.</w:t>
      </w:r>
      <w:r w:rsidRPr="00DD12EC">
        <w:t xml:space="preserve">  </w:t>
      </w:r>
    </w:p>
    <w:p w:rsidR="00DD12EC" w:rsidRPr="00DD12EC" w:rsidRDefault="00DD12EC" w:rsidP="00DD12EC">
      <w:pPr>
        <w:numPr>
          <w:ilvl w:val="0"/>
          <w:numId w:val="6"/>
        </w:numPr>
        <w:jc w:val="both"/>
      </w:pPr>
      <w:r w:rsidRPr="00DD12EC">
        <w:t xml:space="preserve">Parfaite compréhension de l’écosystème des acteurs de </w:t>
      </w:r>
      <w:r w:rsidR="00582090">
        <w:t xml:space="preserve">l’EPP. </w:t>
      </w:r>
      <w:r w:rsidRPr="00DD12EC">
        <w:t xml:space="preserve"> </w:t>
      </w:r>
    </w:p>
    <w:p w:rsidR="00DD12EC" w:rsidRDefault="00DD12EC" w:rsidP="00DD12EC">
      <w:pPr>
        <w:numPr>
          <w:ilvl w:val="0"/>
          <w:numId w:val="6"/>
        </w:numPr>
        <w:jc w:val="both"/>
      </w:pPr>
      <w:r w:rsidRPr="00DD12EC">
        <w:t>Expérience à l’international</w:t>
      </w:r>
      <w:r>
        <w:t xml:space="preserve"> et en Tunisie en particulier. </w:t>
      </w:r>
    </w:p>
    <w:p w:rsidR="00DD12EC" w:rsidRDefault="00DD12EC" w:rsidP="00DD12EC">
      <w:pPr>
        <w:pStyle w:val="Titre2"/>
        <w:numPr>
          <w:ilvl w:val="0"/>
          <w:numId w:val="2"/>
        </w:numPr>
      </w:pPr>
      <w:r>
        <w:t>Modalités de soumission</w:t>
      </w:r>
    </w:p>
    <w:p w:rsidR="00DD12EC" w:rsidRDefault="00DD12EC" w:rsidP="00DD12EC">
      <w:pPr>
        <w:jc w:val="both"/>
      </w:pPr>
      <w:r>
        <w:t>Nous vous prions d’envoyer vos candidatures comprenant :</w:t>
      </w:r>
    </w:p>
    <w:p w:rsidR="00DD12EC" w:rsidRDefault="00DD12EC" w:rsidP="00DD12EC">
      <w:pPr>
        <w:pStyle w:val="Paragraphedeliste"/>
        <w:numPr>
          <w:ilvl w:val="0"/>
          <w:numId w:val="7"/>
        </w:numPr>
        <w:jc w:val="both"/>
      </w:pPr>
      <w:r>
        <w:t>Un CV</w:t>
      </w:r>
    </w:p>
    <w:p w:rsidR="00DD12EC" w:rsidRDefault="00DD12EC" w:rsidP="00DD12EC">
      <w:pPr>
        <w:pStyle w:val="Paragraphedeliste"/>
        <w:numPr>
          <w:ilvl w:val="0"/>
          <w:numId w:val="7"/>
        </w:numPr>
        <w:jc w:val="both"/>
      </w:pPr>
      <w:r>
        <w:t>Une note méthodologique (1-2 pages max.)</w:t>
      </w:r>
      <w:r w:rsidR="006712B9">
        <w:t>.</w:t>
      </w:r>
    </w:p>
    <w:p w:rsidR="00DD12EC" w:rsidRDefault="00DD12EC" w:rsidP="00DC0506">
      <w:pPr>
        <w:pStyle w:val="Paragraphedeliste"/>
        <w:numPr>
          <w:ilvl w:val="0"/>
          <w:numId w:val="7"/>
        </w:numPr>
        <w:jc w:val="both"/>
      </w:pPr>
      <w:r>
        <w:t>Une offre financière (taux d’honoraires journaliers)</w:t>
      </w:r>
      <w:r w:rsidR="006712B9">
        <w:t>.</w:t>
      </w:r>
      <w:bookmarkStart w:id="0" w:name="_GoBack"/>
      <w:bookmarkEnd w:id="0"/>
    </w:p>
    <w:sectPr w:rsidR="00DD12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BF" w:rsidRDefault="003E45BF" w:rsidP="00024608">
      <w:pPr>
        <w:spacing w:after="0" w:line="240" w:lineRule="auto"/>
      </w:pPr>
      <w:r>
        <w:separator/>
      </w:r>
    </w:p>
  </w:endnote>
  <w:endnote w:type="continuationSeparator" w:id="0">
    <w:p w:rsidR="003E45BF" w:rsidRDefault="003E45BF" w:rsidP="0002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BF" w:rsidRDefault="003E45BF" w:rsidP="00024608">
      <w:pPr>
        <w:spacing w:after="0" w:line="240" w:lineRule="auto"/>
      </w:pPr>
      <w:r>
        <w:separator/>
      </w:r>
    </w:p>
  </w:footnote>
  <w:footnote w:type="continuationSeparator" w:id="0">
    <w:p w:rsidR="003E45BF" w:rsidRDefault="003E45BF" w:rsidP="00024608">
      <w:pPr>
        <w:spacing w:after="0" w:line="240" w:lineRule="auto"/>
      </w:pPr>
      <w:r>
        <w:continuationSeparator/>
      </w:r>
    </w:p>
  </w:footnote>
  <w:footnote w:id="1">
    <w:p w:rsidR="0088503B" w:rsidRDefault="0088503B" w:rsidP="00B36E0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B36E06">
        <w:t xml:space="preserve">La </w:t>
      </w:r>
      <w:r>
        <w:t xml:space="preserve">présentation sera une partie intégrante de la formation et prendra la forme d’un événement public (débat de l’ITCEQ) qui se tiendra sur une demi-journée.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08" w:rsidRDefault="00024608">
    <w:pPr>
      <w:pStyle w:val="En-tte"/>
    </w:pPr>
    <w:r w:rsidRPr="00024608">
      <w:rPr>
        <w:rFonts w:ascii="Calibri" w:eastAsia="Calibri" w:hAnsi="Calibri" w:cs="Arial"/>
        <w:noProof/>
        <w:lang w:eastAsia="fr-FR"/>
      </w:rPr>
      <w:drawing>
        <wp:inline distT="0" distB="0" distL="0" distR="0" wp14:anchorId="69F89A05" wp14:editId="0139A1D7">
          <wp:extent cx="5273979" cy="1026795"/>
          <wp:effectExtent l="0" t="0" r="3175" b="1905"/>
          <wp:docPr id="1" name="Image 1" descr="C:\Users\axel.gastambide\Documents\10- Tunisie\4- Composante 1\1- Organisation institutionnelle\8- Policy brief\Travail\Policy brief\4- Epreuves\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xel.gastambide\Documents\10- Tunisie\4- Composante 1\1- Organisation institutionnelle\8- Policy brief\Travail\Policy brief\4- Epreuves\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881" cy="107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09E"/>
    <w:multiLevelType w:val="hybridMultilevel"/>
    <w:tmpl w:val="CAAC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BA4"/>
    <w:multiLevelType w:val="hybridMultilevel"/>
    <w:tmpl w:val="2DD6D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4CAF"/>
    <w:multiLevelType w:val="hybridMultilevel"/>
    <w:tmpl w:val="78304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8CD"/>
    <w:multiLevelType w:val="hybridMultilevel"/>
    <w:tmpl w:val="61543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72195"/>
    <w:multiLevelType w:val="hybridMultilevel"/>
    <w:tmpl w:val="87AC7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D195E"/>
    <w:multiLevelType w:val="hybridMultilevel"/>
    <w:tmpl w:val="5A62E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6900"/>
    <w:multiLevelType w:val="hybridMultilevel"/>
    <w:tmpl w:val="98A43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08"/>
    <w:rsid w:val="00020F90"/>
    <w:rsid w:val="00024608"/>
    <w:rsid w:val="001231E2"/>
    <w:rsid w:val="00152EE7"/>
    <w:rsid w:val="002139BE"/>
    <w:rsid w:val="00223491"/>
    <w:rsid w:val="002C5AE1"/>
    <w:rsid w:val="003E45BF"/>
    <w:rsid w:val="00406BE9"/>
    <w:rsid w:val="00582090"/>
    <w:rsid w:val="0063665A"/>
    <w:rsid w:val="006712B9"/>
    <w:rsid w:val="007449E9"/>
    <w:rsid w:val="00776A8E"/>
    <w:rsid w:val="007D735A"/>
    <w:rsid w:val="007F7B05"/>
    <w:rsid w:val="0088503B"/>
    <w:rsid w:val="00983CF9"/>
    <w:rsid w:val="00986F65"/>
    <w:rsid w:val="009F77CD"/>
    <w:rsid w:val="00A34369"/>
    <w:rsid w:val="00B36E06"/>
    <w:rsid w:val="00B70527"/>
    <w:rsid w:val="00B75F99"/>
    <w:rsid w:val="00C46DB1"/>
    <w:rsid w:val="00C802B3"/>
    <w:rsid w:val="00D04CFF"/>
    <w:rsid w:val="00DD12EC"/>
    <w:rsid w:val="00E65E24"/>
    <w:rsid w:val="00EC5973"/>
    <w:rsid w:val="00EF45E8"/>
    <w:rsid w:val="00F91EE2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9488"/>
  <w15:chartTrackingRefBased/>
  <w15:docId w15:val="{CDC8A35F-1C5B-45C6-9381-A0F016B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6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608"/>
  </w:style>
  <w:style w:type="paragraph" w:styleId="Pieddepage">
    <w:name w:val="footer"/>
    <w:basedOn w:val="Normal"/>
    <w:link w:val="PieddepageCar"/>
    <w:uiPriority w:val="99"/>
    <w:unhideWhenUsed/>
    <w:rsid w:val="0002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608"/>
  </w:style>
  <w:style w:type="character" w:customStyle="1" w:styleId="Titre1Car">
    <w:name w:val="Titre 1 Car"/>
    <w:basedOn w:val="Policepardfaut"/>
    <w:link w:val="Titre1"/>
    <w:uiPriority w:val="9"/>
    <w:rsid w:val="00776A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76A8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76A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0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0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5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3B83-D7E3-4AF0-880D-90FB8E6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GASTAMBIDE</dc:creator>
  <cp:keywords/>
  <dc:description/>
  <cp:lastModifiedBy>Axel GASTAMBIDE</cp:lastModifiedBy>
  <cp:revision>7</cp:revision>
  <dcterms:created xsi:type="dcterms:W3CDTF">2026-02-09T10:08:00Z</dcterms:created>
  <dcterms:modified xsi:type="dcterms:W3CDTF">2026-02-20T09:30:00Z</dcterms:modified>
</cp:coreProperties>
</file>