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C0A" w:rsidRPr="00CB4979" w:rsidRDefault="003F0CB5" w:rsidP="00DE26E0">
      <w:pPr>
        <w:pStyle w:val="Titre"/>
        <w:jc w:val="center"/>
        <w:rPr>
          <w:color w:val="1F3864" w:themeColor="accent5" w:themeShade="80"/>
          <w:sz w:val="40"/>
          <w:lang w:val="en-US"/>
        </w:rPr>
      </w:pPr>
      <w:r>
        <w:rPr>
          <w:color w:val="1F3864" w:themeColor="accent5" w:themeShade="80"/>
          <w:sz w:val="40"/>
          <w:lang w:val="en-US"/>
        </w:rPr>
        <w:t>External coordinator</w:t>
      </w:r>
      <w:r w:rsidR="008C49AE" w:rsidRPr="00CB4979">
        <w:rPr>
          <w:color w:val="1F3864" w:themeColor="accent5" w:themeShade="80"/>
          <w:sz w:val="40"/>
          <w:lang w:val="en-US"/>
        </w:rPr>
        <w:t xml:space="preserve"> (part-time)</w:t>
      </w:r>
    </w:p>
    <w:p w:rsidR="00CB4979" w:rsidRPr="00CB4979" w:rsidRDefault="00CB4979" w:rsidP="00CB4979">
      <w:pPr>
        <w:rPr>
          <w:lang w:val="en-US"/>
        </w:rPr>
      </w:pPr>
    </w:p>
    <w:p w:rsidR="00B67603" w:rsidRPr="00B67603" w:rsidRDefault="008C49AE" w:rsidP="00B67603">
      <w:pPr>
        <w:pStyle w:val="Titre1"/>
        <w:rPr>
          <w:lang w:val="en-US"/>
        </w:rPr>
      </w:pPr>
      <w:r w:rsidRPr="008C49AE">
        <w:rPr>
          <w:lang w:val="en-US"/>
        </w:rPr>
        <w:t>Description of the project</w:t>
      </w:r>
      <w:r w:rsidR="003F0CB5">
        <w:rPr>
          <w:lang w:val="en-US"/>
        </w:rPr>
        <w:t>s</w:t>
      </w:r>
    </w:p>
    <w:p w:rsidR="00B67603" w:rsidRPr="0085375D" w:rsidRDefault="00B67603" w:rsidP="00B67603">
      <w:pPr>
        <w:pBdr>
          <w:top w:val="nil"/>
          <w:left w:val="nil"/>
          <w:bottom w:val="nil"/>
          <w:right w:val="nil"/>
          <w:between w:val="nil"/>
          <w:bar w:val="nil"/>
        </w:pBdr>
        <w:tabs>
          <w:tab w:val="left" w:pos="567"/>
        </w:tabs>
        <w:spacing w:after="0" w:line="276" w:lineRule="auto"/>
        <w:rPr>
          <w:lang w:val="en-GB"/>
        </w:rPr>
      </w:pPr>
    </w:p>
    <w:p w:rsidR="00B67603" w:rsidRDefault="00B67603" w:rsidP="00B67603">
      <w:pPr>
        <w:pBdr>
          <w:top w:val="nil"/>
          <w:left w:val="nil"/>
          <w:bottom w:val="nil"/>
          <w:right w:val="nil"/>
          <w:between w:val="nil"/>
          <w:bar w:val="nil"/>
        </w:pBdr>
        <w:tabs>
          <w:tab w:val="left" w:pos="567"/>
        </w:tabs>
        <w:spacing w:after="0" w:line="276" w:lineRule="auto"/>
        <w:jc w:val="both"/>
        <w:rPr>
          <w:strike/>
          <w:lang w:val="en-GB"/>
        </w:rPr>
      </w:pPr>
      <w:r w:rsidRPr="0085375D">
        <w:rPr>
          <w:lang w:val="en-GB"/>
        </w:rPr>
        <w:t>The</w:t>
      </w:r>
      <w:r>
        <w:rPr>
          <w:lang w:val="en-GB"/>
        </w:rPr>
        <w:t xml:space="preserve"> projects are funded by the</w:t>
      </w:r>
      <w:bookmarkStart w:id="0" w:name="_GoBack"/>
      <w:bookmarkEnd w:id="0"/>
      <w:r>
        <w:rPr>
          <w:lang w:val="en-GB"/>
        </w:rPr>
        <w:t xml:space="preserve"> </w:t>
      </w:r>
      <w:r w:rsidRPr="0085375D">
        <w:rPr>
          <w:lang w:val="en-GB"/>
        </w:rPr>
        <w:t>Directorate-General for Structural Reform Support</w:t>
      </w:r>
      <w:r>
        <w:rPr>
          <w:lang w:val="en-GB"/>
        </w:rPr>
        <w:t xml:space="preserve"> (DG REFORM) (European Commission). The</w:t>
      </w:r>
      <w:r w:rsidRPr="0085375D">
        <w:rPr>
          <w:lang w:val="en-GB"/>
        </w:rPr>
        <w:t xml:space="preserve"> mission of the </w:t>
      </w:r>
      <w:r>
        <w:rPr>
          <w:lang w:val="en-GB"/>
        </w:rPr>
        <w:t xml:space="preserve">DG REFORM </w:t>
      </w:r>
      <w:r w:rsidRPr="0085375D">
        <w:rPr>
          <w:lang w:val="en-GB"/>
        </w:rPr>
        <w:t xml:space="preserve">is to help EU countries to design and implement reforms as part of their efforts to support job creation and sustainable growth. To this end, EU Member States submit requests for support under REGULATION (EU) 2021/240 establishing a Technical Support Instrument. </w:t>
      </w:r>
    </w:p>
    <w:p w:rsidR="00B67603" w:rsidRPr="0005357E" w:rsidRDefault="00B67603" w:rsidP="00DE26E0">
      <w:pPr>
        <w:rPr>
          <w:lang w:val="en-US"/>
        </w:rPr>
      </w:pPr>
    </w:p>
    <w:p w:rsidR="003F0CB5" w:rsidRPr="00DE26E0" w:rsidRDefault="003F0CB5" w:rsidP="0005357E">
      <w:pPr>
        <w:pStyle w:val="Paragraphedeliste"/>
        <w:numPr>
          <w:ilvl w:val="0"/>
          <w:numId w:val="6"/>
        </w:numPr>
        <w:rPr>
          <w:b/>
          <w:lang w:val="en-US"/>
        </w:rPr>
      </w:pPr>
      <w:r w:rsidRPr="00DE26E0">
        <w:rPr>
          <w:b/>
          <w:lang w:val="en-US"/>
        </w:rPr>
        <w:t>Sustainable for Local Public Finances</w:t>
      </w:r>
    </w:p>
    <w:p w:rsidR="0005357E" w:rsidRDefault="0005357E" w:rsidP="003F0CB5">
      <w:pPr>
        <w:rPr>
          <w:lang w:val="en-GB"/>
        </w:rPr>
      </w:pPr>
    </w:p>
    <w:p w:rsidR="003F0CB5" w:rsidRPr="003F0CB5" w:rsidRDefault="003F0CB5" w:rsidP="00DE26E0">
      <w:pPr>
        <w:jc w:val="both"/>
        <w:rPr>
          <w:lang w:val="en-GB"/>
        </w:rPr>
      </w:pPr>
      <w:r w:rsidRPr="003F0CB5">
        <w:rPr>
          <w:lang w:val="en-GB"/>
        </w:rPr>
        <w:t>Approved in 2015 by the United Nations (UN), the 2030 Agenda for Sustainable Development Goals (</w:t>
      </w:r>
      <w:proofErr w:type="gramStart"/>
      <w:r w:rsidRPr="003F0CB5">
        <w:rPr>
          <w:lang w:val="en-GB"/>
        </w:rPr>
        <w:t>SDGs)  set</w:t>
      </w:r>
      <w:proofErr w:type="gramEnd"/>
      <w:r w:rsidRPr="003F0CB5">
        <w:rPr>
          <w:lang w:val="en-GB"/>
        </w:rPr>
        <w:t xml:space="preserve"> the global development agenda for the next fifteen years, highlighting essential actions for humanity and the planet. </w:t>
      </w:r>
    </w:p>
    <w:p w:rsidR="003F0CB5" w:rsidRPr="003F0CB5" w:rsidRDefault="003F0CB5" w:rsidP="00DE26E0">
      <w:pPr>
        <w:jc w:val="both"/>
        <w:rPr>
          <w:lang w:val="en-GB"/>
        </w:rPr>
      </w:pPr>
      <w:r w:rsidRPr="003F0CB5">
        <w:rPr>
          <w:lang w:val="en-GB"/>
        </w:rPr>
        <w:t>The European Union (EU) has contributed to the creation of the SDGs and has shown proactivity to implement them. More specifically, the European Commission (EC) has prioritized sustainable development throughout its mandate, highlighting the significance of the Sustainable Development Goals (SDGs) for all EU Member states. The full implementation of the 2030 Agenda is "crucial to strengthen resilience and prepare the world for future shocks”. It has committed to carry the 2030 Agenda through its internal and external policies, as mentioned in the (</w:t>
      </w:r>
      <w:proofErr w:type="spellStart"/>
      <w:r w:rsidRPr="003F0CB5">
        <w:rPr>
          <w:lang w:val="en-GB"/>
        </w:rPr>
        <w:t>i</w:t>
      </w:r>
      <w:proofErr w:type="spellEnd"/>
      <w:r w:rsidRPr="003F0CB5">
        <w:rPr>
          <w:lang w:val="en-GB"/>
        </w:rPr>
        <w:t xml:space="preserve">) 'Towards a Sustainable Europe by 2030' reflection </w:t>
      </w:r>
      <w:proofErr w:type="gramStart"/>
      <w:r w:rsidRPr="003F0CB5">
        <w:rPr>
          <w:lang w:val="en-GB"/>
        </w:rPr>
        <w:t>paper ,</w:t>
      </w:r>
      <w:proofErr w:type="gramEnd"/>
      <w:r w:rsidRPr="003F0CB5">
        <w:rPr>
          <w:lang w:val="en-GB"/>
        </w:rPr>
        <w:t xml:space="preserve"> (ii) the European Green Deal, (iii) the European Commission's political priorities and its work program. </w:t>
      </w:r>
    </w:p>
    <w:p w:rsidR="003F0CB5" w:rsidRPr="003F0CB5" w:rsidRDefault="003F0CB5" w:rsidP="00DE26E0">
      <w:pPr>
        <w:jc w:val="both"/>
        <w:rPr>
          <w:lang w:val="en-GB"/>
        </w:rPr>
      </w:pPr>
      <w:r w:rsidRPr="003F0CB5">
        <w:rPr>
          <w:lang w:val="en-GB"/>
        </w:rPr>
        <w:t xml:space="preserve">While the UN framework for SDGs is focusing on national policies, efforts to decentralize the integration of SDGs are ongoing, including focusing attention on the links between local actions and global </w:t>
      </w:r>
      <w:proofErr w:type="gramStart"/>
      <w:r w:rsidRPr="003F0CB5">
        <w:rPr>
          <w:lang w:val="en-GB"/>
        </w:rPr>
        <w:t>challenges .</w:t>
      </w:r>
      <w:proofErr w:type="gramEnd"/>
      <w:r w:rsidRPr="003F0CB5">
        <w:rPr>
          <w:lang w:val="en-GB"/>
        </w:rPr>
        <w:t xml:space="preserve"> In fact, the SDGs also have a regional dimension, sometimes called 'localisation'. Achieving around 65 % of the targets is estimated to depend on input from local and regional authorities. Successful implementation of the goals depends largely on effective cooperation between national and local stakeholders and mechanisms to act on the ground. The annual High-level Political Forum (HLPF) - the central UN platform for the follow-up and review of the 2030 Agenda for Sustainable Development and SDGs at the global level - also promotes input from regions and cities. The platform presents an overview of local SDG measures globally, a sample toolbox, and a selection of Voluntary Local Reviews, in which several examples originated from European regions and cities. SDG 11 on 'Sustainable cities and communities' covers such issues as public transport, air pollution, housing, waste and safety. The involvement of regional and local governments is key to national achievement towards this goal since they have a direct implication in the implementation of such policies. In addition, other SDGs such as SDG 13 (climate change), SDG 7 (affordable and clean energy), SDG 10 (reducing inequalities) and/or SDG 16 (strong institution) are at the core of actions and concerns for local governments, as demonstrated for instance by the cities stemming from the European </w:t>
      </w:r>
      <w:proofErr w:type="gramStart"/>
      <w:r w:rsidRPr="003F0CB5">
        <w:rPr>
          <w:lang w:val="en-GB"/>
        </w:rPr>
        <w:t>CSPF  (</w:t>
      </w:r>
      <w:proofErr w:type="gramEnd"/>
      <w:r w:rsidRPr="003F0CB5">
        <w:rPr>
          <w:lang w:val="en-GB"/>
        </w:rPr>
        <w:t xml:space="preserve">the beneficiary of this technical assistance), having tackled these challenges and goals </w:t>
      </w:r>
      <w:r w:rsidRPr="003F0CB5">
        <w:rPr>
          <w:lang w:val="en-GB"/>
        </w:rPr>
        <w:lastRenderedPageBreak/>
        <w:t xml:space="preserve">since 2020 showcasing and exchanging concrete cases and solutions. The SDG framework is thus a useful political orientation for territorial strategies, with the possibility to adjust the specific targets and indicators under each goal to the local context and within local jurisdictions. </w:t>
      </w:r>
    </w:p>
    <w:p w:rsidR="003F0CB5" w:rsidRPr="003F0CB5" w:rsidRDefault="003F0CB5" w:rsidP="00DE26E0">
      <w:pPr>
        <w:jc w:val="both"/>
        <w:rPr>
          <w:lang w:val="en-GB"/>
        </w:rPr>
      </w:pPr>
      <w:r w:rsidRPr="003F0CB5">
        <w:rPr>
          <w:lang w:val="en-GB"/>
        </w:rPr>
        <w:t>Monitoring SDGs at the local level can, therefore, help support the overall implementation of the SDGs, reinforce local efforts, support regional development strategies, and provide transparent information about within-country trends. This involves budgeting for the SDGs at the local budgetary framework level. SDG budgeting is a key tool as it enables accountability of public expenditures and their impact on achieving set objectives. This strategic approach involves the allocation and evaluation of financial resources based on anticipated development outcomes, thereby emphasizing effective and efficient use of public funds. Integrating development goals into the budgetary process helps direct spending towards priority sectors, promote equitable resource distribution, and maximize positive societal impact. SDG budgeting also highlights cross-cutting goals, encouraging an integrated approach to address complex challenges. By adopting this approach at the local level, cities could enhance the relevance, coherence, and sustainability of their budgetary policies, thus significantly contributing to the achievement of long-term development aspirations.</w:t>
      </w:r>
    </w:p>
    <w:p w:rsidR="003F0CB5" w:rsidRPr="003F0CB5" w:rsidRDefault="003F0CB5" w:rsidP="00DE26E0">
      <w:pPr>
        <w:jc w:val="both"/>
        <w:rPr>
          <w:lang w:val="en-GB"/>
        </w:rPr>
      </w:pPr>
      <w:r w:rsidRPr="003F0CB5">
        <w:rPr>
          <w:lang w:val="en-GB"/>
        </w:rPr>
        <w:t xml:space="preserve">The European Parliament has expressed its support for an overarching European sustainable development strategy and increased involvement of regional, local and civil society organizations in SDG implementation. </w:t>
      </w:r>
    </w:p>
    <w:p w:rsidR="003F0CB5" w:rsidRPr="003F0CB5" w:rsidRDefault="003F0CB5" w:rsidP="00DE26E0">
      <w:pPr>
        <w:jc w:val="both"/>
        <w:rPr>
          <w:lang w:val="en-GB"/>
        </w:rPr>
      </w:pPr>
      <w:r w:rsidRPr="003F0CB5">
        <w:rPr>
          <w:lang w:val="en-GB"/>
        </w:rPr>
        <w:t>Achieving the Sustainable Development Goals demands a systemic approach, with planning, economic, finance and other relevant authorities working closely transversally. It will heavily depend on successfully tackling trade-offs and leveraging synergies within this broad agenda. Public policies should be coherent with one another, and evidence based.  A solid knowledge capacity needs to be built to prevent policies unintentionally creating unsustainable patterns.</w:t>
      </w:r>
    </w:p>
    <w:p w:rsidR="003F0CB5" w:rsidRPr="003F0CB5" w:rsidRDefault="003F0CB5" w:rsidP="00DE26E0">
      <w:pPr>
        <w:jc w:val="both"/>
        <w:rPr>
          <w:lang w:val="en-GB"/>
        </w:rPr>
      </w:pPr>
      <w:r w:rsidRPr="003F0CB5">
        <w:rPr>
          <w:lang w:val="en-GB"/>
        </w:rPr>
        <w:t>One the one hand, policy-making that takes into account both interactions among the SDG goals and targets, and of the SDGs with other policy agendas, guarantee the sustainability of the impacts. On the other hand, innovative methods and tools can enhance capacity to adopt systemic integration of the SDGs, both within authorities and among other actors. A data-informed analysis of interactions can provide more coherent and effective decision-making, follow-up, and monitoring, and encourage knowledge gathering, learning processes and multi-actor partnerships. Systemic analysis can support both prioritization by identifying areas where action can best support overall SDG progress and avoid unnecessary conflicts between goals; but also help to identify the best collaboration mechanisms between different actors on specific issues to their mutual advantage.</w:t>
      </w:r>
    </w:p>
    <w:p w:rsidR="003F0CB5" w:rsidRPr="003F0CB5" w:rsidRDefault="003F0CB5" w:rsidP="00DE26E0">
      <w:pPr>
        <w:jc w:val="both"/>
        <w:rPr>
          <w:lang w:val="en-GB"/>
        </w:rPr>
      </w:pPr>
    </w:p>
    <w:p w:rsidR="008C49AE" w:rsidRDefault="008C49AE" w:rsidP="00DE26E0">
      <w:pPr>
        <w:pStyle w:val="Titre2"/>
        <w:jc w:val="both"/>
        <w:rPr>
          <w:lang w:val="en-GB"/>
        </w:rPr>
      </w:pPr>
      <w:r>
        <w:rPr>
          <w:lang w:val="en-GB"/>
        </w:rPr>
        <w:t>Project general objective</w:t>
      </w:r>
    </w:p>
    <w:p w:rsidR="003F0CB5" w:rsidRPr="00E224F2" w:rsidRDefault="003F0CB5" w:rsidP="00DE26E0">
      <w:pPr>
        <w:spacing w:line="276" w:lineRule="auto"/>
        <w:jc w:val="both"/>
      </w:pPr>
      <w:r w:rsidRPr="00E224F2">
        <w:t xml:space="preserve">The </w:t>
      </w:r>
      <w:proofErr w:type="spellStart"/>
      <w:r w:rsidRPr="00E224F2">
        <w:t>general</w:t>
      </w:r>
      <w:proofErr w:type="spellEnd"/>
      <w:r w:rsidRPr="00E224F2">
        <w:t xml:space="preserve"> objective of </w:t>
      </w:r>
      <w:proofErr w:type="spellStart"/>
      <w:r w:rsidRPr="00E224F2">
        <w:t>this</w:t>
      </w:r>
      <w:proofErr w:type="spellEnd"/>
      <w:r w:rsidRPr="00E224F2">
        <w:t xml:space="preserve"> </w:t>
      </w:r>
      <w:proofErr w:type="spellStart"/>
      <w:r w:rsidRPr="00E224F2">
        <w:t>project</w:t>
      </w:r>
      <w:proofErr w:type="spellEnd"/>
      <w:r w:rsidRPr="00E224F2">
        <w:t xml:space="preserve"> </w:t>
      </w:r>
      <w:proofErr w:type="spellStart"/>
      <w:r w:rsidRPr="00E224F2">
        <w:t>is</w:t>
      </w:r>
      <w:proofErr w:type="spellEnd"/>
      <w:r w:rsidRPr="00E224F2">
        <w:t xml:space="preserve"> to support </w:t>
      </w:r>
      <w:proofErr w:type="spellStart"/>
      <w:r w:rsidRPr="00E224F2">
        <w:t>European</w:t>
      </w:r>
      <w:proofErr w:type="spellEnd"/>
      <w:r w:rsidRPr="00E224F2">
        <w:t xml:space="preserve"> </w:t>
      </w:r>
      <w:proofErr w:type="spellStart"/>
      <w:r w:rsidRPr="00E224F2">
        <w:t>cities</w:t>
      </w:r>
      <w:proofErr w:type="spellEnd"/>
      <w:r w:rsidRPr="00E224F2">
        <w:t xml:space="preserve"> in </w:t>
      </w:r>
      <w:proofErr w:type="spellStart"/>
      <w:r w:rsidRPr="00E224F2">
        <w:t>aligning</w:t>
      </w:r>
      <w:proofErr w:type="spellEnd"/>
      <w:r w:rsidRPr="00E224F2">
        <w:t xml:space="preserve"> </w:t>
      </w:r>
      <w:proofErr w:type="spellStart"/>
      <w:r w:rsidRPr="00E224F2">
        <w:t>their</w:t>
      </w:r>
      <w:proofErr w:type="spellEnd"/>
      <w:r w:rsidRPr="00E224F2">
        <w:t xml:space="preserve"> public finances management practices </w:t>
      </w:r>
      <w:proofErr w:type="spellStart"/>
      <w:r w:rsidRPr="00E224F2">
        <w:t>with</w:t>
      </w:r>
      <w:proofErr w:type="spellEnd"/>
      <w:r w:rsidRPr="00E224F2">
        <w:t xml:space="preserve"> </w:t>
      </w:r>
      <w:proofErr w:type="spellStart"/>
      <w:r w:rsidRPr="00E224F2">
        <w:t>Sustainable</w:t>
      </w:r>
      <w:proofErr w:type="spellEnd"/>
      <w:r w:rsidRPr="00E224F2">
        <w:t xml:space="preserve"> </w:t>
      </w:r>
      <w:proofErr w:type="spellStart"/>
      <w:r w:rsidRPr="00E224F2">
        <w:t>Development</w:t>
      </w:r>
      <w:proofErr w:type="spellEnd"/>
      <w:r w:rsidRPr="00E224F2">
        <w:t xml:space="preserve"> Goals (</w:t>
      </w:r>
      <w:proofErr w:type="spellStart"/>
      <w:r w:rsidRPr="00E224F2">
        <w:t>SDGs</w:t>
      </w:r>
      <w:proofErr w:type="spellEnd"/>
      <w:r w:rsidRPr="00E224F2">
        <w:t xml:space="preserve">), </w:t>
      </w:r>
      <w:proofErr w:type="spellStart"/>
      <w:r w:rsidRPr="00E224F2">
        <w:t>supporting</w:t>
      </w:r>
      <w:proofErr w:type="spellEnd"/>
      <w:r w:rsidRPr="00E224F2">
        <w:t xml:space="preserve"> </w:t>
      </w:r>
      <w:proofErr w:type="spellStart"/>
      <w:r w:rsidRPr="00E224F2">
        <w:t>their</w:t>
      </w:r>
      <w:proofErr w:type="spellEnd"/>
      <w:r w:rsidRPr="00E224F2">
        <w:t xml:space="preserve"> efforts to </w:t>
      </w:r>
      <w:proofErr w:type="spellStart"/>
      <w:r w:rsidRPr="00E224F2">
        <w:t>implement</w:t>
      </w:r>
      <w:proofErr w:type="spellEnd"/>
      <w:r w:rsidRPr="00E224F2">
        <w:t xml:space="preserve"> and </w:t>
      </w:r>
      <w:proofErr w:type="spellStart"/>
      <w:r w:rsidRPr="00E224F2">
        <w:t>achieve</w:t>
      </w:r>
      <w:proofErr w:type="spellEnd"/>
      <w:r w:rsidRPr="00E224F2">
        <w:t xml:space="preserve"> the Agenda 2030, </w:t>
      </w:r>
      <w:proofErr w:type="spellStart"/>
      <w:r w:rsidRPr="00E224F2">
        <w:t>which</w:t>
      </w:r>
      <w:proofErr w:type="spellEnd"/>
      <w:r w:rsidRPr="00E224F2">
        <w:t xml:space="preserve"> </w:t>
      </w:r>
      <w:proofErr w:type="spellStart"/>
      <w:r w:rsidRPr="00E224F2">
        <w:t>could</w:t>
      </w:r>
      <w:proofErr w:type="spellEnd"/>
      <w:r w:rsidRPr="00E224F2">
        <w:t xml:space="preserve"> encourage </w:t>
      </w:r>
      <w:proofErr w:type="spellStart"/>
      <w:r w:rsidRPr="00E224F2">
        <w:t>investment</w:t>
      </w:r>
      <w:proofErr w:type="spellEnd"/>
      <w:r w:rsidRPr="00E224F2">
        <w:t xml:space="preserve">, </w:t>
      </w:r>
      <w:proofErr w:type="spellStart"/>
      <w:r w:rsidRPr="00E224F2">
        <w:t>increase</w:t>
      </w:r>
      <w:proofErr w:type="spellEnd"/>
      <w:r w:rsidRPr="00E224F2">
        <w:t xml:space="preserve"> </w:t>
      </w:r>
      <w:proofErr w:type="spellStart"/>
      <w:r w:rsidRPr="00E224F2">
        <w:t>competitiveness</w:t>
      </w:r>
      <w:proofErr w:type="spellEnd"/>
      <w:r w:rsidRPr="00E224F2">
        <w:t xml:space="preserve">, and </w:t>
      </w:r>
      <w:proofErr w:type="spellStart"/>
      <w:r w:rsidRPr="00E224F2">
        <w:t>assist</w:t>
      </w:r>
      <w:proofErr w:type="spellEnd"/>
      <w:r w:rsidRPr="00E224F2">
        <w:t xml:space="preserve"> in </w:t>
      </w:r>
      <w:proofErr w:type="spellStart"/>
      <w:r w:rsidRPr="00E224F2">
        <w:t>achieving</w:t>
      </w:r>
      <w:proofErr w:type="spellEnd"/>
      <w:r w:rsidRPr="00E224F2">
        <w:t xml:space="preserve"> </w:t>
      </w:r>
      <w:proofErr w:type="spellStart"/>
      <w:r w:rsidRPr="00E224F2">
        <w:t>sustainable</w:t>
      </w:r>
      <w:proofErr w:type="spellEnd"/>
      <w:r w:rsidRPr="00E224F2">
        <w:t xml:space="preserve"> </w:t>
      </w:r>
      <w:proofErr w:type="spellStart"/>
      <w:r w:rsidRPr="00E224F2">
        <w:t>economic</w:t>
      </w:r>
      <w:proofErr w:type="spellEnd"/>
      <w:r w:rsidRPr="00E224F2">
        <w:t xml:space="preserve"> and social convergence, </w:t>
      </w:r>
      <w:proofErr w:type="spellStart"/>
      <w:r w:rsidRPr="00E224F2">
        <w:t>resilience</w:t>
      </w:r>
      <w:proofErr w:type="spellEnd"/>
      <w:r w:rsidRPr="00E224F2">
        <w:t xml:space="preserve">, and </w:t>
      </w:r>
      <w:proofErr w:type="spellStart"/>
      <w:r w:rsidRPr="00E224F2">
        <w:t>recovery</w:t>
      </w:r>
      <w:proofErr w:type="spellEnd"/>
      <w:r w:rsidRPr="00E224F2">
        <w:t xml:space="preserve">. This </w:t>
      </w:r>
      <w:proofErr w:type="spellStart"/>
      <w:r w:rsidRPr="00E224F2">
        <w:t>should</w:t>
      </w:r>
      <w:proofErr w:type="spellEnd"/>
      <w:r w:rsidRPr="00E224F2">
        <w:t xml:space="preserve"> </w:t>
      </w:r>
      <w:proofErr w:type="spellStart"/>
      <w:r w:rsidRPr="00E224F2">
        <w:t>also</w:t>
      </w:r>
      <w:proofErr w:type="spellEnd"/>
      <w:r w:rsidRPr="00E224F2">
        <w:t xml:space="preserve"> </w:t>
      </w:r>
      <w:proofErr w:type="spellStart"/>
      <w:r w:rsidRPr="00E224F2">
        <w:t>strengthen</w:t>
      </w:r>
      <w:proofErr w:type="spellEnd"/>
      <w:r w:rsidRPr="00E224F2">
        <w:t xml:space="preserve"> </w:t>
      </w:r>
      <w:proofErr w:type="spellStart"/>
      <w:r w:rsidRPr="00E224F2">
        <w:t>institutional</w:t>
      </w:r>
      <w:proofErr w:type="spellEnd"/>
      <w:r w:rsidRPr="00E224F2">
        <w:t xml:space="preserve"> and administrative </w:t>
      </w:r>
      <w:proofErr w:type="spellStart"/>
      <w:r w:rsidRPr="00E224F2">
        <w:t>capacity</w:t>
      </w:r>
      <w:proofErr w:type="spellEnd"/>
      <w:r w:rsidRPr="00E224F2">
        <w:t xml:space="preserve"> at </w:t>
      </w:r>
      <w:proofErr w:type="spellStart"/>
      <w:r w:rsidRPr="00E224F2">
        <w:t>municipality</w:t>
      </w:r>
      <w:proofErr w:type="spellEnd"/>
      <w:r w:rsidRPr="00E224F2">
        <w:t xml:space="preserve"> </w:t>
      </w:r>
      <w:proofErr w:type="spellStart"/>
      <w:r w:rsidRPr="00E224F2">
        <w:t>level</w:t>
      </w:r>
      <w:proofErr w:type="spellEnd"/>
      <w:r w:rsidRPr="00E224F2">
        <w:t xml:space="preserve">, to </w:t>
      </w:r>
      <w:proofErr w:type="spellStart"/>
      <w:r w:rsidRPr="00E224F2">
        <w:t>facilitate</w:t>
      </w:r>
      <w:proofErr w:type="spellEnd"/>
      <w:r w:rsidRPr="00E224F2">
        <w:t xml:space="preserve"> </w:t>
      </w:r>
      <w:proofErr w:type="spellStart"/>
      <w:r w:rsidRPr="00E224F2">
        <w:t>socially</w:t>
      </w:r>
      <w:proofErr w:type="spellEnd"/>
      <w:r w:rsidRPr="00E224F2">
        <w:t xml:space="preserve"> inclusive, green, and digital transitions, to </w:t>
      </w:r>
      <w:proofErr w:type="spellStart"/>
      <w:r w:rsidRPr="00E224F2">
        <w:t>effectively</w:t>
      </w:r>
      <w:proofErr w:type="spellEnd"/>
      <w:r w:rsidRPr="00E224F2">
        <w:t xml:space="preserve"> </w:t>
      </w:r>
      <w:proofErr w:type="spellStart"/>
      <w:r w:rsidRPr="00E224F2">
        <w:t>address</w:t>
      </w:r>
      <w:proofErr w:type="spellEnd"/>
      <w:r w:rsidRPr="00E224F2">
        <w:t xml:space="preserve"> the challenges </w:t>
      </w:r>
      <w:proofErr w:type="spellStart"/>
      <w:r w:rsidRPr="00E224F2">
        <w:t>identified</w:t>
      </w:r>
      <w:proofErr w:type="spellEnd"/>
      <w:r w:rsidRPr="00E224F2">
        <w:t xml:space="preserve"> in the country-</w:t>
      </w:r>
      <w:proofErr w:type="spellStart"/>
      <w:r w:rsidRPr="00E224F2">
        <w:t>specific</w:t>
      </w:r>
      <w:proofErr w:type="spellEnd"/>
      <w:r w:rsidRPr="00E224F2">
        <w:t xml:space="preserve"> </w:t>
      </w:r>
      <w:proofErr w:type="spellStart"/>
      <w:r w:rsidRPr="00E224F2">
        <w:t>recommendations</w:t>
      </w:r>
      <w:proofErr w:type="spellEnd"/>
      <w:r w:rsidRPr="00E224F2">
        <w:t xml:space="preserve"> and to </w:t>
      </w:r>
      <w:proofErr w:type="spellStart"/>
      <w:r w:rsidRPr="00E224F2">
        <w:t>implement</w:t>
      </w:r>
      <w:proofErr w:type="spellEnd"/>
      <w:r w:rsidRPr="00E224F2">
        <w:t xml:space="preserve"> the Union </w:t>
      </w:r>
      <w:proofErr w:type="spellStart"/>
      <w:r w:rsidRPr="00E224F2">
        <w:t>law</w:t>
      </w:r>
      <w:proofErr w:type="spellEnd"/>
      <w:r w:rsidRPr="00E224F2">
        <w:t xml:space="preserve">. </w:t>
      </w:r>
    </w:p>
    <w:p w:rsidR="008C49AE" w:rsidRDefault="008C49AE" w:rsidP="00DE26E0">
      <w:pPr>
        <w:pStyle w:val="Titre2"/>
        <w:jc w:val="both"/>
        <w:rPr>
          <w:lang w:val="en-GB"/>
        </w:rPr>
      </w:pPr>
      <w:r>
        <w:rPr>
          <w:lang w:val="en-GB"/>
        </w:rPr>
        <w:lastRenderedPageBreak/>
        <w:t>Specific objectives</w:t>
      </w:r>
    </w:p>
    <w:p w:rsidR="003F0CB5" w:rsidRPr="00E224F2" w:rsidRDefault="003F0CB5" w:rsidP="00DE26E0">
      <w:pPr>
        <w:spacing w:line="276" w:lineRule="auto"/>
        <w:jc w:val="both"/>
      </w:pPr>
      <w:r w:rsidRPr="00E224F2">
        <w:t xml:space="preserve">The </w:t>
      </w:r>
      <w:proofErr w:type="spellStart"/>
      <w:r w:rsidRPr="00E224F2">
        <w:t>specific</w:t>
      </w:r>
      <w:proofErr w:type="spellEnd"/>
      <w:r w:rsidRPr="00E224F2">
        <w:t xml:space="preserve"> objective(s) of </w:t>
      </w:r>
      <w:proofErr w:type="spellStart"/>
      <w:r w:rsidRPr="00E224F2">
        <w:t>this</w:t>
      </w:r>
      <w:proofErr w:type="spellEnd"/>
      <w:r w:rsidRPr="00E224F2">
        <w:t xml:space="preserve"> Project </w:t>
      </w:r>
      <w:proofErr w:type="spellStart"/>
      <w:proofErr w:type="gramStart"/>
      <w:r w:rsidRPr="00E224F2">
        <w:t>is</w:t>
      </w:r>
      <w:proofErr w:type="spellEnd"/>
      <w:r w:rsidRPr="00E224F2">
        <w:t>:</w:t>
      </w:r>
      <w:proofErr w:type="gramEnd"/>
      <w:r w:rsidRPr="00E224F2">
        <w:t xml:space="preserve"> </w:t>
      </w:r>
    </w:p>
    <w:p w:rsidR="003F0CB5" w:rsidRPr="00752AFD" w:rsidRDefault="003F0CB5" w:rsidP="00DE26E0">
      <w:pPr>
        <w:pStyle w:val="Paragraphedeliste"/>
        <w:numPr>
          <w:ilvl w:val="0"/>
          <w:numId w:val="7"/>
        </w:numPr>
        <w:spacing w:after="120" w:line="276" w:lineRule="auto"/>
        <w:contextualSpacing w:val="0"/>
        <w:jc w:val="both"/>
      </w:pPr>
      <w:proofErr w:type="gramStart"/>
      <w:r>
        <w:t>to</w:t>
      </w:r>
      <w:proofErr w:type="gramEnd"/>
      <w:r>
        <w:t xml:space="preserve"> support Bordeaux </w:t>
      </w:r>
      <w:proofErr w:type="spellStart"/>
      <w:r>
        <w:t>Metropolis</w:t>
      </w:r>
      <w:proofErr w:type="spellEnd"/>
      <w:r>
        <w:t xml:space="preserve">, the city of Barcelona, the city of </w:t>
      </w:r>
      <w:proofErr w:type="spellStart"/>
      <w:r>
        <w:t>Hamburg</w:t>
      </w:r>
      <w:proofErr w:type="spellEnd"/>
      <w:r>
        <w:t xml:space="preserve">, and the city of Amsterdam to </w:t>
      </w:r>
      <w:r w:rsidRPr="0068799B">
        <w:t xml:space="preserve">design, </w:t>
      </w:r>
      <w:proofErr w:type="spellStart"/>
      <w:r w:rsidRPr="0068799B">
        <w:t>develop</w:t>
      </w:r>
      <w:proofErr w:type="spellEnd"/>
      <w:r w:rsidRPr="0068799B">
        <w:t xml:space="preserve"> and </w:t>
      </w:r>
      <w:proofErr w:type="spellStart"/>
      <w:r w:rsidRPr="0068799B">
        <w:t>implement</w:t>
      </w:r>
      <w:proofErr w:type="spellEnd"/>
      <w:r w:rsidRPr="0068799B">
        <w:t xml:space="preserve"> </w:t>
      </w:r>
      <w:proofErr w:type="spellStart"/>
      <w:r w:rsidRPr="0068799B">
        <w:t>reforms</w:t>
      </w:r>
      <w:proofErr w:type="spellEnd"/>
      <w:r>
        <w:t>;</w:t>
      </w:r>
    </w:p>
    <w:p w:rsidR="003F0CB5" w:rsidRPr="00AA0D42" w:rsidRDefault="003F0CB5" w:rsidP="00DE26E0">
      <w:pPr>
        <w:pStyle w:val="Paragraphedeliste"/>
        <w:numPr>
          <w:ilvl w:val="0"/>
          <w:numId w:val="7"/>
        </w:numPr>
        <w:spacing w:after="120" w:line="276" w:lineRule="auto"/>
        <w:contextualSpacing w:val="0"/>
        <w:jc w:val="both"/>
        <w:rPr>
          <w:lang w:val="en-US"/>
        </w:rPr>
      </w:pPr>
      <w:proofErr w:type="gramStart"/>
      <w:r>
        <w:t>to</w:t>
      </w:r>
      <w:proofErr w:type="gramEnd"/>
      <w:r>
        <w:t xml:space="preserve"> support Bordeaux </w:t>
      </w:r>
      <w:proofErr w:type="spellStart"/>
      <w:r>
        <w:t>Metropolis</w:t>
      </w:r>
      <w:proofErr w:type="spellEnd"/>
      <w:r>
        <w:t xml:space="preserve">, the city of Barcelona, the city of </w:t>
      </w:r>
      <w:proofErr w:type="spellStart"/>
      <w:r>
        <w:t>Hamburg</w:t>
      </w:r>
      <w:proofErr w:type="spellEnd"/>
      <w:r>
        <w:t xml:space="preserve">, and the city of Amsterdam to </w:t>
      </w:r>
      <w:proofErr w:type="spellStart"/>
      <w:r>
        <w:t>align</w:t>
      </w:r>
      <w:proofErr w:type="spellEnd"/>
      <w:r>
        <w:t xml:space="preserve"> </w:t>
      </w:r>
      <w:proofErr w:type="spellStart"/>
      <w:r>
        <w:t>their</w:t>
      </w:r>
      <w:proofErr w:type="spellEnd"/>
      <w:r>
        <w:t xml:space="preserve"> </w:t>
      </w:r>
      <w:proofErr w:type="spellStart"/>
      <w:r>
        <w:t>budgeting</w:t>
      </w:r>
      <w:proofErr w:type="spellEnd"/>
      <w:r>
        <w:t xml:space="preserve"> practices and </w:t>
      </w:r>
      <w:proofErr w:type="spellStart"/>
      <w:r>
        <w:t>policy</w:t>
      </w:r>
      <w:proofErr w:type="spellEnd"/>
      <w:r>
        <w:t xml:space="preserve"> </w:t>
      </w:r>
      <w:proofErr w:type="spellStart"/>
      <w:r>
        <w:t>frameworks</w:t>
      </w:r>
      <w:proofErr w:type="spellEnd"/>
      <w:r>
        <w:t xml:space="preserve"> </w:t>
      </w:r>
      <w:proofErr w:type="spellStart"/>
      <w:r>
        <w:t>with</w:t>
      </w:r>
      <w:proofErr w:type="spellEnd"/>
      <w:r>
        <w:t xml:space="preserve"> </w:t>
      </w:r>
      <w:proofErr w:type="spellStart"/>
      <w:r>
        <w:t>Sustainable</w:t>
      </w:r>
      <w:proofErr w:type="spellEnd"/>
      <w:r>
        <w:t xml:space="preserve"> </w:t>
      </w:r>
      <w:proofErr w:type="spellStart"/>
      <w:r>
        <w:t>Development</w:t>
      </w:r>
      <w:proofErr w:type="spellEnd"/>
      <w:r>
        <w:t xml:space="preserve"> Goals and </w:t>
      </w:r>
      <w:proofErr w:type="spellStart"/>
      <w:r>
        <w:t>promote</w:t>
      </w:r>
      <w:proofErr w:type="spellEnd"/>
      <w:r>
        <w:t xml:space="preserve"> </w:t>
      </w:r>
      <w:proofErr w:type="spellStart"/>
      <w:r>
        <w:t>these</w:t>
      </w:r>
      <w:proofErr w:type="spellEnd"/>
      <w:r>
        <w:t xml:space="preserve"> practices </w:t>
      </w:r>
      <w:proofErr w:type="spellStart"/>
      <w:r>
        <w:t>among</w:t>
      </w:r>
      <w:proofErr w:type="spellEnd"/>
      <w:r>
        <w:t xml:space="preserve"> </w:t>
      </w:r>
      <w:proofErr w:type="spellStart"/>
      <w:r>
        <w:t>other</w:t>
      </w:r>
      <w:proofErr w:type="spellEnd"/>
      <w:r>
        <w:t xml:space="preserve"> </w:t>
      </w:r>
      <w:proofErr w:type="spellStart"/>
      <w:r>
        <w:t>cities</w:t>
      </w:r>
      <w:proofErr w:type="spellEnd"/>
      <w:r>
        <w:t xml:space="preserve"> </w:t>
      </w:r>
      <w:proofErr w:type="spellStart"/>
      <w:r>
        <w:t>within</w:t>
      </w:r>
      <w:proofErr w:type="spellEnd"/>
      <w:r>
        <w:t xml:space="preserve"> the </w:t>
      </w:r>
      <w:proofErr w:type="spellStart"/>
      <w:r>
        <w:t>European</w:t>
      </w:r>
      <w:proofErr w:type="spellEnd"/>
      <w:r>
        <w:t xml:space="preserve"> Union. </w:t>
      </w:r>
    </w:p>
    <w:p w:rsidR="003F0CB5" w:rsidRDefault="003F0CB5" w:rsidP="00DE26E0">
      <w:pPr>
        <w:spacing w:line="276" w:lineRule="auto"/>
        <w:jc w:val="both"/>
      </w:pPr>
      <w:r w:rsidRPr="00E224F2">
        <w:t xml:space="preserve">The </w:t>
      </w:r>
      <w:proofErr w:type="spellStart"/>
      <w:r w:rsidRPr="00E224F2">
        <w:t>achievement</w:t>
      </w:r>
      <w:proofErr w:type="spellEnd"/>
      <w:r w:rsidRPr="00E224F2">
        <w:t xml:space="preserve"> of the objectives of </w:t>
      </w:r>
      <w:proofErr w:type="spellStart"/>
      <w:r w:rsidRPr="00E224F2">
        <w:t>this</w:t>
      </w:r>
      <w:proofErr w:type="spellEnd"/>
      <w:r w:rsidRPr="00E224F2">
        <w:t xml:space="preserve"> Project </w:t>
      </w:r>
      <w:proofErr w:type="spellStart"/>
      <w:r w:rsidRPr="00E224F2">
        <w:t>will</w:t>
      </w:r>
      <w:proofErr w:type="spellEnd"/>
      <w:r w:rsidRPr="00E224F2">
        <w:t xml:space="preserve"> </w:t>
      </w:r>
      <w:proofErr w:type="spellStart"/>
      <w:r w:rsidRPr="00E224F2">
        <w:t>depend</w:t>
      </w:r>
      <w:proofErr w:type="spellEnd"/>
      <w:r w:rsidRPr="00E224F2">
        <w:t xml:space="preserve"> on the </w:t>
      </w:r>
      <w:proofErr w:type="spellStart"/>
      <w:r w:rsidRPr="00E224F2">
        <w:t>follow</w:t>
      </w:r>
      <w:proofErr w:type="spellEnd"/>
      <w:r w:rsidRPr="00E224F2">
        <w:t xml:space="preserve">-up actions </w:t>
      </w:r>
      <w:proofErr w:type="spellStart"/>
      <w:r w:rsidRPr="00E224F2">
        <w:t>undertaken</w:t>
      </w:r>
      <w:proofErr w:type="spellEnd"/>
      <w:r w:rsidRPr="00E224F2">
        <w:t xml:space="preserve"> by Bordeaux </w:t>
      </w:r>
      <w:proofErr w:type="spellStart"/>
      <w:r w:rsidRPr="00E224F2">
        <w:t>Metropolis</w:t>
      </w:r>
      <w:proofErr w:type="spellEnd"/>
      <w:r w:rsidRPr="00E224F2">
        <w:t xml:space="preserve">, the city of Barcelona, </w:t>
      </w:r>
      <w:proofErr w:type="spellStart"/>
      <w:r w:rsidRPr="00E224F2">
        <w:t>Hamburg</w:t>
      </w:r>
      <w:proofErr w:type="spellEnd"/>
      <w:r w:rsidRPr="00E224F2">
        <w:t xml:space="preserve">, and Amsterdam. </w:t>
      </w:r>
    </w:p>
    <w:p w:rsidR="003F0CB5" w:rsidRDefault="003F0CB5" w:rsidP="003F0CB5">
      <w:pPr>
        <w:spacing w:line="276" w:lineRule="auto"/>
      </w:pPr>
    </w:p>
    <w:p w:rsidR="0005357E" w:rsidRPr="00DE26E0" w:rsidRDefault="003F0CB5" w:rsidP="00DE26E0">
      <w:pPr>
        <w:pStyle w:val="Paragraphedeliste"/>
        <w:numPr>
          <w:ilvl w:val="0"/>
          <w:numId w:val="6"/>
        </w:numPr>
        <w:spacing w:line="276" w:lineRule="auto"/>
        <w:jc w:val="both"/>
        <w:rPr>
          <w:b/>
          <w:lang w:val="en-US"/>
        </w:rPr>
      </w:pPr>
      <w:r w:rsidRPr="00DE26E0">
        <w:rPr>
          <w:b/>
          <w:lang w:val="en-US"/>
        </w:rPr>
        <w:t>Green Budgeting for regions</w:t>
      </w:r>
    </w:p>
    <w:p w:rsidR="003F0CB5" w:rsidRDefault="003F0CB5" w:rsidP="00DE26E0">
      <w:pPr>
        <w:spacing w:line="276" w:lineRule="auto"/>
        <w:jc w:val="both"/>
        <w:rPr>
          <w:lang w:val="en-US"/>
        </w:rPr>
      </w:pPr>
      <w:r w:rsidRPr="003F0CB5">
        <w:rPr>
          <w:lang w:val="en-US"/>
        </w:rPr>
        <w:t>Following the Technical Support Instrument (TSI) 2024 call, two European regions requested for specific and tailored technical support from DG Reform for the development of transparent and easily applicable method for climate tagging, as well as its integration in the budget cycle. The Regional Ministry of Environment and Climate of Lombardy (Italy) as well as the Ministry of Finance of Baden-Württemberg (Germany) requested this specific support to achieve climate neutrality by 2040. These two regions are members of the interregional n</w:t>
      </w:r>
      <w:r w:rsidR="00DE26E0">
        <w:rPr>
          <w:lang w:val="en-US"/>
        </w:rPr>
        <w:t>etwork “Four Motors for Europe”</w:t>
      </w:r>
      <w:r w:rsidRPr="003F0CB5">
        <w:rPr>
          <w:lang w:val="en-US"/>
        </w:rPr>
        <w:t>.</w:t>
      </w:r>
    </w:p>
    <w:p w:rsidR="003F0CB5" w:rsidRDefault="003F0CB5" w:rsidP="00DE26E0">
      <w:pPr>
        <w:pStyle w:val="Titre2"/>
        <w:jc w:val="both"/>
        <w:rPr>
          <w:lang w:val="en-GB"/>
        </w:rPr>
      </w:pPr>
      <w:r>
        <w:rPr>
          <w:lang w:val="en-GB"/>
        </w:rPr>
        <w:t>Project general objective</w:t>
      </w:r>
    </w:p>
    <w:p w:rsidR="003F0CB5" w:rsidRPr="00400325" w:rsidRDefault="003F0CB5" w:rsidP="00DE26E0">
      <w:pPr>
        <w:spacing w:before="120" w:line="240" w:lineRule="atLeast"/>
        <w:jc w:val="both"/>
      </w:pPr>
      <w:r w:rsidRPr="00400325">
        <w:t xml:space="preserve">The </w:t>
      </w:r>
      <w:proofErr w:type="spellStart"/>
      <w:r w:rsidRPr="00400325">
        <w:t>general</w:t>
      </w:r>
      <w:proofErr w:type="spellEnd"/>
      <w:r w:rsidRPr="00400325">
        <w:t xml:space="preserve"> objective of </w:t>
      </w:r>
      <w:proofErr w:type="spellStart"/>
      <w:r w:rsidRPr="00400325">
        <w:t>this</w:t>
      </w:r>
      <w:proofErr w:type="spellEnd"/>
      <w:r w:rsidRPr="00400325">
        <w:t xml:space="preserve"> Project </w:t>
      </w:r>
      <w:proofErr w:type="spellStart"/>
      <w:r w:rsidRPr="00400325">
        <w:t>is</w:t>
      </w:r>
      <w:proofErr w:type="spellEnd"/>
      <w:r w:rsidRPr="00400325">
        <w:t xml:space="preserve"> to </w:t>
      </w:r>
      <w:r>
        <w:t xml:space="preserve">support </w:t>
      </w:r>
      <w:proofErr w:type="spellStart"/>
      <w:r>
        <w:t>Italy</w:t>
      </w:r>
      <w:proofErr w:type="spellEnd"/>
      <w:r>
        <w:t xml:space="preserve"> (in </w:t>
      </w:r>
      <w:proofErr w:type="spellStart"/>
      <w:r>
        <w:t>particular</w:t>
      </w:r>
      <w:proofErr w:type="spellEnd"/>
      <w:r>
        <w:t xml:space="preserve">, the </w:t>
      </w:r>
      <w:proofErr w:type="spellStart"/>
      <w:r w:rsidRPr="00400325">
        <w:t>Regional</w:t>
      </w:r>
      <w:proofErr w:type="spellEnd"/>
      <w:r w:rsidRPr="00400325">
        <w:t xml:space="preserve"> Ministry of Finance and Ministry of </w:t>
      </w:r>
      <w:proofErr w:type="spellStart"/>
      <w:r w:rsidRPr="00400325">
        <w:t>Environment</w:t>
      </w:r>
      <w:proofErr w:type="spellEnd"/>
      <w:r w:rsidRPr="00400325">
        <w:t xml:space="preserve"> of </w:t>
      </w:r>
      <w:proofErr w:type="spellStart"/>
      <w:r w:rsidRPr="00400325">
        <w:t>Lombardy</w:t>
      </w:r>
      <w:proofErr w:type="spellEnd"/>
      <w:r>
        <w:t xml:space="preserve">), Germany (in </w:t>
      </w:r>
      <w:proofErr w:type="spellStart"/>
      <w:r>
        <w:t>particular</w:t>
      </w:r>
      <w:proofErr w:type="spellEnd"/>
      <w:r>
        <w:t xml:space="preserve">, the </w:t>
      </w:r>
      <w:r w:rsidRPr="00400325">
        <w:t>Ministry of Finance of the State of Baden Württemberg</w:t>
      </w:r>
      <w:r>
        <w:t>)</w:t>
      </w:r>
      <w:r w:rsidRPr="00400325">
        <w:t xml:space="preserve"> </w:t>
      </w:r>
      <w:r>
        <w:t xml:space="preserve">and </w:t>
      </w:r>
      <w:proofErr w:type="spellStart"/>
      <w:r>
        <w:t>Greece</w:t>
      </w:r>
      <w:proofErr w:type="spellEnd"/>
      <w:r>
        <w:t xml:space="preserve"> (in </w:t>
      </w:r>
      <w:proofErr w:type="spellStart"/>
      <w:r>
        <w:t>particular</w:t>
      </w:r>
      <w:proofErr w:type="spellEnd"/>
      <w:r>
        <w:t>,</w:t>
      </w:r>
      <w:r w:rsidRPr="00400325">
        <w:t xml:space="preserve"> the Ministry of </w:t>
      </w:r>
      <w:proofErr w:type="spellStart"/>
      <w:r w:rsidRPr="00400325">
        <w:t>Economy</w:t>
      </w:r>
      <w:proofErr w:type="spellEnd"/>
      <w:r w:rsidRPr="00400325">
        <w:t xml:space="preserve"> and Finance</w:t>
      </w:r>
      <w:r>
        <w:t>)</w:t>
      </w:r>
      <w:r w:rsidRPr="00400325">
        <w:t xml:space="preserve"> in </w:t>
      </w:r>
      <w:proofErr w:type="spellStart"/>
      <w:r w:rsidRPr="00400325">
        <w:t>their</w:t>
      </w:r>
      <w:proofErr w:type="spellEnd"/>
      <w:r w:rsidRPr="00400325">
        <w:t xml:space="preserve"> efforts to </w:t>
      </w:r>
      <w:proofErr w:type="spellStart"/>
      <w:r w:rsidRPr="00400325">
        <w:t>implement</w:t>
      </w:r>
      <w:proofErr w:type="spellEnd"/>
      <w:r w:rsidRPr="00400325">
        <w:t xml:space="preserve"> </w:t>
      </w:r>
      <w:proofErr w:type="spellStart"/>
      <w:r w:rsidRPr="00400325">
        <w:t>reforms</w:t>
      </w:r>
      <w:proofErr w:type="spellEnd"/>
      <w:r w:rsidRPr="00400325">
        <w:t xml:space="preserve">, </w:t>
      </w:r>
      <w:proofErr w:type="spellStart"/>
      <w:r w:rsidRPr="00400325">
        <w:t>which</w:t>
      </w:r>
      <w:proofErr w:type="spellEnd"/>
      <w:r w:rsidRPr="00400325">
        <w:t xml:space="preserve"> </w:t>
      </w:r>
      <w:proofErr w:type="spellStart"/>
      <w:r w:rsidRPr="00400325">
        <w:t>could</w:t>
      </w:r>
      <w:proofErr w:type="spellEnd"/>
      <w:r w:rsidRPr="00400325">
        <w:t xml:space="preserve"> encourage </w:t>
      </w:r>
      <w:proofErr w:type="spellStart"/>
      <w:r w:rsidRPr="00400325">
        <w:t>investment</w:t>
      </w:r>
      <w:proofErr w:type="spellEnd"/>
      <w:r w:rsidRPr="00400325">
        <w:t xml:space="preserve">, </w:t>
      </w:r>
      <w:proofErr w:type="spellStart"/>
      <w:r w:rsidRPr="00400325">
        <w:t>increase</w:t>
      </w:r>
      <w:proofErr w:type="spellEnd"/>
      <w:r w:rsidRPr="00400325">
        <w:t xml:space="preserve"> </w:t>
      </w:r>
      <w:proofErr w:type="spellStart"/>
      <w:r w:rsidRPr="00400325">
        <w:t>competitiveness</w:t>
      </w:r>
      <w:proofErr w:type="spellEnd"/>
      <w:r w:rsidRPr="00400325">
        <w:t xml:space="preserve">, and </w:t>
      </w:r>
      <w:proofErr w:type="spellStart"/>
      <w:r w:rsidRPr="00400325">
        <w:t>assist</w:t>
      </w:r>
      <w:proofErr w:type="spellEnd"/>
      <w:r w:rsidRPr="00400325">
        <w:t xml:space="preserve"> in </w:t>
      </w:r>
      <w:proofErr w:type="spellStart"/>
      <w:r w:rsidRPr="00400325">
        <w:t>achieving</w:t>
      </w:r>
      <w:proofErr w:type="spellEnd"/>
      <w:r w:rsidRPr="00400325">
        <w:t xml:space="preserve"> </w:t>
      </w:r>
      <w:proofErr w:type="spellStart"/>
      <w:r w:rsidRPr="00400325">
        <w:t>sustainable</w:t>
      </w:r>
      <w:proofErr w:type="spellEnd"/>
      <w:r w:rsidRPr="00400325">
        <w:t xml:space="preserve"> </w:t>
      </w:r>
      <w:proofErr w:type="spellStart"/>
      <w:r w:rsidRPr="00400325">
        <w:t>economic</w:t>
      </w:r>
      <w:proofErr w:type="spellEnd"/>
      <w:r w:rsidRPr="00400325">
        <w:t xml:space="preserve"> and social convergence, </w:t>
      </w:r>
      <w:proofErr w:type="spellStart"/>
      <w:r w:rsidRPr="00400325">
        <w:t>resilience</w:t>
      </w:r>
      <w:proofErr w:type="spellEnd"/>
      <w:r w:rsidRPr="00400325">
        <w:t xml:space="preserve"> and </w:t>
      </w:r>
      <w:proofErr w:type="spellStart"/>
      <w:r w:rsidRPr="00400325">
        <w:t>recovery</w:t>
      </w:r>
      <w:proofErr w:type="spellEnd"/>
      <w:r w:rsidRPr="00400325">
        <w:t xml:space="preserve">. This </w:t>
      </w:r>
      <w:proofErr w:type="spellStart"/>
      <w:r w:rsidRPr="00400325">
        <w:t>should</w:t>
      </w:r>
      <w:proofErr w:type="spellEnd"/>
      <w:r w:rsidRPr="00400325">
        <w:t xml:space="preserve"> </w:t>
      </w:r>
      <w:proofErr w:type="spellStart"/>
      <w:r w:rsidRPr="00400325">
        <w:t>also</w:t>
      </w:r>
      <w:proofErr w:type="spellEnd"/>
      <w:r w:rsidRPr="00400325">
        <w:t xml:space="preserve"> </w:t>
      </w:r>
      <w:proofErr w:type="spellStart"/>
      <w:r w:rsidRPr="00400325">
        <w:t>strengthen</w:t>
      </w:r>
      <w:proofErr w:type="spellEnd"/>
      <w:r w:rsidRPr="00400325">
        <w:t xml:space="preserve"> </w:t>
      </w:r>
      <w:proofErr w:type="spellStart"/>
      <w:r w:rsidRPr="00400325">
        <w:t>their</w:t>
      </w:r>
      <w:proofErr w:type="spellEnd"/>
      <w:r w:rsidRPr="00400325">
        <w:t xml:space="preserve"> </w:t>
      </w:r>
      <w:proofErr w:type="spellStart"/>
      <w:r w:rsidRPr="00400325">
        <w:t>institutional</w:t>
      </w:r>
      <w:proofErr w:type="spellEnd"/>
      <w:r w:rsidRPr="00400325">
        <w:t xml:space="preserve"> and administrative </w:t>
      </w:r>
      <w:proofErr w:type="spellStart"/>
      <w:r w:rsidRPr="00400325">
        <w:t>capacity</w:t>
      </w:r>
      <w:proofErr w:type="spellEnd"/>
      <w:r w:rsidRPr="00400325">
        <w:t xml:space="preserve">, </w:t>
      </w:r>
      <w:proofErr w:type="spellStart"/>
      <w:r w:rsidRPr="00400325">
        <w:t>including</w:t>
      </w:r>
      <w:proofErr w:type="spellEnd"/>
      <w:r w:rsidRPr="00400325">
        <w:t xml:space="preserve"> at </w:t>
      </w:r>
      <w:proofErr w:type="spellStart"/>
      <w:r w:rsidRPr="00400325">
        <w:t>regional</w:t>
      </w:r>
      <w:proofErr w:type="spellEnd"/>
      <w:r w:rsidRPr="00400325">
        <w:t xml:space="preserve"> </w:t>
      </w:r>
      <w:proofErr w:type="spellStart"/>
      <w:r>
        <w:t>level</w:t>
      </w:r>
      <w:proofErr w:type="spellEnd"/>
      <w:r>
        <w:t xml:space="preserve"> </w:t>
      </w:r>
      <w:r w:rsidRPr="00400325">
        <w:t xml:space="preserve">to </w:t>
      </w:r>
      <w:proofErr w:type="spellStart"/>
      <w:r w:rsidRPr="00400325">
        <w:t>facilitate</w:t>
      </w:r>
      <w:proofErr w:type="spellEnd"/>
      <w:r w:rsidRPr="00400325">
        <w:t xml:space="preserve"> </w:t>
      </w:r>
      <w:proofErr w:type="spellStart"/>
      <w:r w:rsidRPr="00400325">
        <w:t>socially</w:t>
      </w:r>
      <w:proofErr w:type="spellEnd"/>
      <w:r w:rsidRPr="00400325">
        <w:t xml:space="preserve"> inclusive, green and digital transitions, to </w:t>
      </w:r>
      <w:proofErr w:type="spellStart"/>
      <w:r w:rsidRPr="00400325">
        <w:t>effectively</w:t>
      </w:r>
      <w:proofErr w:type="spellEnd"/>
      <w:r w:rsidRPr="00400325">
        <w:t xml:space="preserve"> </w:t>
      </w:r>
      <w:proofErr w:type="spellStart"/>
      <w:r w:rsidRPr="00400325">
        <w:t>address</w:t>
      </w:r>
      <w:proofErr w:type="spellEnd"/>
      <w:r w:rsidRPr="00400325">
        <w:t xml:space="preserve"> the challenges </w:t>
      </w:r>
      <w:proofErr w:type="spellStart"/>
      <w:r w:rsidRPr="00400325">
        <w:t>identified</w:t>
      </w:r>
      <w:proofErr w:type="spellEnd"/>
      <w:r w:rsidRPr="00400325">
        <w:t xml:space="preserve"> in the country-</w:t>
      </w:r>
      <w:proofErr w:type="spellStart"/>
      <w:r w:rsidRPr="00400325">
        <w:t>specific</w:t>
      </w:r>
      <w:proofErr w:type="spellEnd"/>
      <w:r w:rsidRPr="00400325">
        <w:t xml:space="preserve"> </w:t>
      </w:r>
      <w:proofErr w:type="spellStart"/>
      <w:r w:rsidRPr="00400325">
        <w:t>recommendations</w:t>
      </w:r>
      <w:proofErr w:type="spellEnd"/>
      <w:r w:rsidRPr="00400325">
        <w:t xml:space="preserve"> and to </w:t>
      </w:r>
      <w:proofErr w:type="spellStart"/>
      <w:r w:rsidRPr="00400325">
        <w:t>implement</w:t>
      </w:r>
      <w:proofErr w:type="spellEnd"/>
      <w:r w:rsidRPr="00400325">
        <w:t xml:space="preserve"> Union </w:t>
      </w:r>
      <w:proofErr w:type="spellStart"/>
      <w:r w:rsidRPr="00400325">
        <w:t>law</w:t>
      </w:r>
      <w:proofErr w:type="spellEnd"/>
      <w:r w:rsidRPr="00400325">
        <w:t xml:space="preserve">. </w:t>
      </w:r>
    </w:p>
    <w:p w:rsidR="003F0CB5" w:rsidRPr="003F0CB5" w:rsidRDefault="003F0CB5" w:rsidP="00DE26E0">
      <w:pPr>
        <w:jc w:val="both"/>
        <w:rPr>
          <w:lang w:val="en-GB"/>
        </w:rPr>
      </w:pPr>
    </w:p>
    <w:p w:rsidR="003F0CB5" w:rsidRDefault="003F0CB5" w:rsidP="003F0CB5">
      <w:pPr>
        <w:pStyle w:val="Titre2"/>
        <w:rPr>
          <w:lang w:val="en-GB"/>
        </w:rPr>
      </w:pPr>
      <w:r>
        <w:rPr>
          <w:lang w:val="en-GB"/>
        </w:rPr>
        <w:t>Specific objectives</w:t>
      </w:r>
    </w:p>
    <w:p w:rsidR="003F0CB5" w:rsidRPr="00400325" w:rsidRDefault="003F0CB5" w:rsidP="003F0CB5">
      <w:pPr>
        <w:spacing w:before="120" w:line="240" w:lineRule="atLeast"/>
      </w:pPr>
      <w:r w:rsidRPr="00400325">
        <w:t xml:space="preserve">The </w:t>
      </w:r>
      <w:proofErr w:type="spellStart"/>
      <w:r w:rsidRPr="00400325">
        <w:t>specific</w:t>
      </w:r>
      <w:proofErr w:type="spellEnd"/>
      <w:r w:rsidRPr="00400325">
        <w:t xml:space="preserve"> objective(s) of </w:t>
      </w:r>
      <w:proofErr w:type="spellStart"/>
      <w:r w:rsidRPr="00400325">
        <w:t>this</w:t>
      </w:r>
      <w:proofErr w:type="spellEnd"/>
      <w:r w:rsidRPr="00400325">
        <w:t xml:space="preserve"> Project </w:t>
      </w:r>
      <w:proofErr w:type="spellStart"/>
      <w:r w:rsidRPr="00400325">
        <w:t>is</w:t>
      </w:r>
      <w:proofErr w:type="spellEnd"/>
      <w:r>
        <w:t xml:space="preserve"> </w:t>
      </w:r>
      <w:r w:rsidRPr="00400325">
        <w:t xml:space="preserve">to support the </w:t>
      </w:r>
      <w:proofErr w:type="spellStart"/>
      <w:r w:rsidRPr="00400325">
        <w:t>beneficiaries</w:t>
      </w:r>
      <w:proofErr w:type="spellEnd"/>
      <w:r w:rsidRPr="00400325">
        <w:t xml:space="preserve"> to design, </w:t>
      </w:r>
      <w:proofErr w:type="spellStart"/>
      <w:r w:rsidRPr="00400325">
        <w:t>develop</w:t>
      </w:r>
      <w:proofErr w:type="spellEnd"/>
      <w:r w:rsidRPr="00400325">
        <w:t xml:space="preserve"> and </w:t>
      </w:r>
      <w:proofErr w:type="spellStart"/>
      <w:r w:rsidRPr="00400325">
        <w:t>implement</w:t>
      </w:r>
      <w:proofErr w:type="spellEnd"/>
      <w:r w:rsidRPr="00400325">
        <w:t xml:space="preserve"> </w:t>
      </w:r>
      <w:proofErr w:type="spellStart"/>
      <w:r w:rsidRPr="00400325">
        <w:t>reforms</w:t>
      </w:r>
      <w:proofErr w:type="spellEnd"/>
      <w:r>
        <w:t>.</w:t>
      </w:r>
    </w:p>
    <w:p w:rsidR="003F0CB5" w:rsidRPr="003F0CB5" w:rsidRDefault="003F0CB5" w:rsidP="003F0CB5">
      <w:pPr>
        <w:spacing w:line="276" w:lineRule="auto"/>
        <w:rPr>
          <w:lang w:val="en-US"/>
        </w:rPr>
      </w:pPr>
    </w:p>
    <w:p w:rsidR="008C5B02" w:rsidRDefault="008C5B02" w:rsidP="00DE26E0">
      <w:pPr>
        <w:pStyle w:val="Titre1"/>
        <w:rPr>
          <w:lang w:val="en-GB"/>
        </w:rPr>
      </w:pPr>
      <w:r>
        <w:rPr>
          <w:lang w:val="en-GB"/>
        </w:rPr>
        <w:t>Job description</w:t>
      </w:r>
    </w:p>
    <w:p w:rsidR="005328D8" w:rsidRPr="005328D8" w:rsidRDefault="005328D8" w:rsidP="005328D8">
      <w:pPr>
        <w:jc w:val="both"/>
        <w:rPr>
          <w:lang w:val="en-GB"/>
        </w:rPr>
      </w:pPr>
      <w:r w:rsidRPr="005328D8">
        <w:rPr>
          <w:lang w:val="en-GB"/>
        </w:rPr>
        <w:t>He/she will be responsible for the overall coordination of the project's activities, and will work with the Project Manager to guarantee good quality control of activities and ensure that they are in line with the defined indicators.</w:t>
      </w:r>
    </w:p>
    <w:p w:rsidR="005328D8" w:rsidRPr="005328D8" w:rsidRDefault="005328D8" w:rsidP="005328D8">
      <w:pPr>
        <w:jc w:val="both"/>
        <w:rPr>
          <w:lang w:val="en-GB"/>
        </w:rPr>
      </w:pPr>
    </w:p>
    <w:p w:rsidR="005328D8" w:rsidRPr="005328D8" w:rsidRDefault="005328D8" w:rsidP="00945381">
      <w:pPr>
        <w:jc w:val="both"/>
        <w:rPr>
          <w:lang w:val="en-GB"/>
        </w:rPr>
      </w:pPr>
    </w:p>
    <w:p w:rsidR="005328D8" w:rsidRDefault="005328D8" w:rsidP="008C49AE">
      <w:pPr>
        <w:jc w:val="both"/>
        <w:rPr>
          <w:lang w:val="en-GB"/>
        </w:rPr>
      </w:pPr>
    </w:p>
    <w:p w:rsidR="00351C5C" w:rsidRDefault="00B85124" w:rsidP="008C49AE">
      <w:pPr>
        <w:jc w:val="both"/>
        <w:rPr>
          <w:lang w:val="en-GB"/>
        </w:rPr>
      </w:pPr>
      <w:r>
        <w:rPr>
          <w:lang w:val="en-GB"/>
        </w:rPr>
        <w:t xml:space="preserve">The coordinator will </w:t>
      </w:r>
      <w:r w:rsidR="00882FCC">
        <w:rPr>
          <w:lang w:val="en-GB"/>
        </w:rPr>
        <w:t>organize, support</w:t>
      </w:r>
      <w:r>
        <w:rPr>
          <w:lang w:val="en-GB"/>
        </w:rPr>
        <w:t>, follow closely and report to the project manager</w:t>
      </w:r>
      <w:r w:rsidR="001B2A2B">
        <w:rPr>
          <w:lang w:val="en-GB"/>
        </w:rPr>
        <w:t>, implementing the following tasks:</w:t>
      </w:r>
    </w:p>
    <w:tbl>
      <w:tblPr>
        <w:tblStyle w:val="Grilledutableau"/>
        <w:tblW w:w="9209" w:type="dxa"/>
        <w:tblLook w:val="04A0" w:firstRow="1" w:lastRow="0" w:firstColumn="1" w:lastColumn="0" w:noHBand="0" w:noVBand="1"/>
      </w:tblPr>
      <w:tblGrid>
        <w:gridCol w:w="3020"/>
        <w:gridCol w:w="6189"/>
      </w:tblGrid>
      <w:tr w:rsidR="0030341D" w:rsidTr="00CB4979">
        <w:tc>
          <w:tcPr>
            <w:tcW w:w="3020" w:type="dxa"/>
            <w:shd w:val="clear" w:color="auto" w:fill="2F5496" w:themeFill="accent5" w:themeFillShade="BF"/>
          </w:tcPr>
          <w:p w:rsidR="0030341D" w:rsidRPr="00CB4979" w:rsidRDefault="0030341D" w:rsidP="00641A97">
            <w:pPr>
              <w:jc w:val="both"/>
              <w:rPr>
                <w:b/>
                <w:color w:val="FFFFFF" w:themeColor="background1"/>
                <w:lang w:val="en-GB"/>
              </w:rPr>
            </w:pPr>
            <w:r w:rsidRPr="00CB4979">
              <w:rPr>
                <w:b/>
                <w:color w:val="FFFFFF" w:themeColor="background1"/>
                <w:lang w:val="en-GB"/>
              </w:rPr>
              <w:t>Activity</w:t>
            </w:r>
          </w:p>
        </w:tc>
        <w:tc>
          <w:tcPr>
            <w:tcW w:w="6189" w:type="dxa"/>
            <w:shd w:val="clear" w:color="auto" w:fill="2F5496" w:themeFill="accent5" w:themeFillShade="BF"/>
          </w:tcPr>
          <w:p w:rsidR="0030341D" w:rsidRPr="00CB4979" w:rsidRDefault="0030341D" w:rsidP="00641A97">
            <w:pPr>
              <w:jc w:val="both"/>
              <w:rPr>
                <w:b/>
                <w:color w:val="FFFFFF" w:themeColor="background1"/>
                <w:lang w:val="en-GB"/>
              </w:rPr>
            </w:pPr>
            <w:r w:rsidRPr="00CB4979">
              <w:rPr>
                <w:b/>
                <w:color w:val="FFFFFF" w:themeColor="background1"/>
                <w:lang w:val="en-GB"/>
              </w:rPr>
              <w:t>Tasks</w:t>
            </w:r>
          </w:p>
        </w:tc>
      </w:tr>
      <w:tr w:rsidR="0005357E" w:rsidRPr="005452D4" w:rsidTr="00DE26E0">
        <w:trPr>
          <w:trHeight w:val="1358"/>
        </w:trPr>
        <w:tc>
          <w:tcPr>
            <w:tcW w:w="3020" w:type="dxa"/>
            <w:vMerge w:val="restart"/>
          </w:tcPr>
          <w:p w:rsidR="0005357E" w:rsidRPr="00CB4979" w:rsidRDefault="0005357E" w:rsidP="00641A97">
            <w:pPr>
              <w:jc w:val="both"/>
              <w:rPr>
                <w:b/>
                <w:lang w:val="en-GB"/>
              </w:rPr>
            </w:pPr>
            <w:r>
              <w:rPr>
                <w:b/>
                <w:lang w:val="en-GB"/>
              </w:rPr>
              <w:t>Coordination of programme activities</w:t>
            </w:r>
          </w:p>
        </w:tc>
        <w:tc>
          <w:tcPr>
            <w:tcW w:w="6189" w:type="dxa"/>
          </w:tcPr>
          <w:p w:rsidR="0005357E" w:rsidRDefault="0005357E" w:rsidP="00945381">
            <w:pPr>
              <w:jc w:val="both"/>
              <w:rPr>
                <w:lang w:val="en-GB"/>
              </w:rPr>
            </w:pPr>
            <w:r w:rsidRPr="005328D8">
              <w:rPr>
                <w:lang w:val="en-GB"/>
              </w:rPr>
              <w:t>Participates in and organises the definition of the project's strategy, plans and approaches, from conception to implementation, to ensure that it is technically sound, evidence-based, in line with donor and stakeholder priorities, and effective in terms of quality, costs and timescales</w:t>
            </w:r>
          </w:p>
        </w:tc>
      </w:tr>
      <w:tr w:rsidR="00945381" w:rsidTr="0030341D">
        <w:tc>
          <w:tcPr>
            <w:tcW w:w="3020" w:type="dxa"/>
            <w:vMerge/>
          </w:tcPr>
          <w:p w:rsidR="00945381" w:rsidRPr="00CB4979" w:rsidRDefault="00945381" w:rsidP="00945381">
            <w:pPr>
              <w:jc w:val="both"/>
              <w:rPr>
                <w:b/>
                <w:lang w:val="en-GB"/>
              </w:rPr>
            </w:pPr>
          </w:p>
        </w:tc>
        <w:tc>
          <w:tcPr>
            <w:tcW w:w="6189" w:type="dxa"/>
          </w:tcPr>
          <w:p w:rsidR="00945381" w:rsidRPr="005328D8" w:rsidRDefault="003517E2" w:rsidP="008C5A21">
            <w:pPr>
              <w:jc w:val="both"/>
              <w:rPr>
                <w:lang w:val="en-GB"/>
              </w:rPr>
            </w:pPr>
            <w:r>
              <w:rPr>
                <w:lang w:val="en-GB"/>
              </w:rPr>
              <w:t>Summaris</w:t>
            </w:r>
            <w:r w:rsidR="008C5A21">
              <w:rPr>
                <w:lang w:val="en-GB"/>
              </w:rPr>
              <w:t>e</w:t>
            </w:r>
            <w:r>
              <w:rPr>
                <w:lang w:val="en-GB"/>
              </w:rPr>
              <w:t xml:space="preserve"> and consolidate</w:t>
            </w:r>
            <w:r w:rsidR="008C5A21">
              <w:rPr>
                <w:lang w:val="en-GB"/>
              </w:rPr>
              <w:t>s</w:t>
            </w:r>
            <w:r>
              <w:rPr>
                <w:lang w:val="en-GB"/>
              </w:rPr>
              <w:t xml:space="preserve"> beneficiary authorities’ requests and constraints in terms of topics of interest, availability, capacity, time and language constraints in a comprehensive manner</w:t>
            </w:r>
            <w:r w:rsidRPr="005328D8">
              <w:rPr>
                <w:lang w:val="en-GB"/>
              </w:rPr>
              <w:t>;</w:t>
            </w:r>
          </w:p>
        </w:tc>
      </w:tr>
      <w:tr w:rsidR="00945381" w:rsidRPr="005452D4" w:rsidTr="0030341D">
        <w:tc>
          <w:tcPr>
            <w:tcW w:w="3020" w:type="dxa"/>
            <w:vMerge/>
          </w:tcPr>
          <w:p w:rsidR="00945381" w:rsidRPr="00CB4979" w:rsidRDefault="00945381" w:rsidP="00945381">
            <w:pPr>
              <w:jc w:val="both"/>
              <w:rPr>
                <w:b/>
                <w:lang w:val="en-GB"/>
              </w:rPr>
            </w:pPr>
          </w:p>
        </w:tc>
        <w:tc>
          <w:tcPr>
            <w:tcW w:w="6189" w:type="dxa"/>
          </w:tcPr>
          <w:p w:rsidR="00945381" w:rsidRDefault="003517E2" w:rsidP="00945381">
            <w:pPr>
              <w:jc w:val="both"/>
              <w:rPr>
                <w:lang w:val="en-GB"/>
              </w:rPr>
            </w:pPr>
            <w:r>
              <w:rPr>
                <w:lang w:val="en-GB"/>
              </w:rPr>
              <w:t>T</w:t>
            </w:r>
            <w:r w:rsidRPr="005328D8">
              <w:rPr>
                <w:lang w:val="en-GB"/>
              </w:rPr>
              <w:t>akes part in</w:t>
            </w:r>
            <w:r>
              <w:rPr>
                <w:lang w:val="en-GB"/>
              </w:rPr>
              <w:t xml:space="preserve"> relevant project meeting, such as</w:t>
            </w:r>
            <w:r w:rsidRPr="005328D8">
              <w:rPr>
                <w:lang w:val="en-GB"/>
              </w:rPr>
              <w:t xml:space="preserve"> project steering meet</w:t>
            </w:r>
            <w:r w:rsidR="008C5A21">
              <w:rPr>
                <w:lang w:val="en-GB"/>
              </w:rPr>
              <w:t>ing</w:t>
            </w:r>
          </w:p>
        </w:tc>
      </w:tr>
      <w:tr w:rsidR="00945381" w:rsidRPr="005452D4" w:rsidTr="0030341D">
        <w:tc>
          <w:tcPr>
            <w:tcW w:w="3020" w:type="dxa"/>
            <w:vMerge/>
          </w:tcPr>
          <w:p w:rsidR="00945381" w:rsidRPr="00CB4979" w:rsidRDefault="00945381" w:rsidP="00945381">
            <w:pPr>
              <w:jc w:val="both"/>
              <w:rPr>
                <w:b/>
                <w:lang w:val="en-GB"/>
              </w:rPr>
            </w:pPr>
          </w:p>
        </w:tc>
        <w:tc>
          <w:tcPr>
            <w:tcW w:w="6189" w:type="dxa"/>
          </w:tcPr>
          <w:p w:rsidR="00945381" w:rsidRDefault="00945381" w:rsidP="00945381">
            <w:pPr>
              <w:jc w:val="both"/>
              <w:rPr>
                <w:lang w:val="en-GB"/>
              </w:rPr>
            </w:pPr>
            <w:r>
              <w:rPr>
                <w:lang w:val="en-GB"/>
              </w:rPr>
              <w:t>Estimate</w:t>
            </w:r>
            <w:r w:rsidR="00355BA0">
              <w:rPr>
                <w:lang w:val="en-GB"/>
              </w:rPr>
              <w:t>s</w:t>
            </w:r>
            <w:r>
              <w:rPr>
                <w:lang w:val="en-GB"/>
              </w:rPr>
              <w:t xml:space="preserve"> with the Technical experts expertise needs in each Member State based on their topics of interest</w:t>
            </w:r>
          </w:p>
        </w:tc>
      </w:tr>
      <w:tr w:rsidR="00945381" w:rsidRPr="005452D4" w:rsidTr="0030341D">
        <w:tc>
          <w:tcPr>
            <w:tcW w:w="3020" w:type="dxa"/>
            <w:vMerge/>
          </w:tcPr>
          <w:p w:rsidR="00945381" w:rsidRPr="00CB4979" w:rsidRDefault="00945381" w:rsidP="00945381">
            <w:pPr>
              <w:jc w:val="both"/>
              <w:rPr>
                <w:b/>
                <w:lang w:val="en-GB"/>
              </w:rPr>
            </w:pPr>
          </w:p>
        </w:tc>
        <w:tc>
          <w:tcPr>
            <w:tcW w:w="6189" w:type="dxa"/>
          </w:tcPr>
          <w:p w:rsidR="00945381" w:rsidRDefault="003517E2" w:rsidP="00355BA0">
            <w:pPr>
              <w:jc w:val="both"/>
              <w:rPr>
                <w:lang w:val="en-GB"/>
              </w:rPr>
            </w:pPr>
            <w:r>
              <w:rPr>
                <w:lang w:val="en-GB"/>
              </w:rPr>
              <w:t>C</w:t>
            </w:r>
            <w:r w:rsidR="00945381" w:rsidRPr="005328D8">
              <w:rPr>
                <w:lang w:val="en-GB"/>
              </w:rPr>
              <w:t>arries out technical reports (</w:t>
            </w:r>
            <w:r>
              <w:rPr>
                <w:lang w:val="en-GB"/>
              </w:rPr>
              <w:t>narrative report, final report</w:t>
            </w:r>
            <w:r w:rsidRPr="003517E2">
              <w:rPr>
                <w:lang w:val="en-GB"/>
              </w:rPr>
              <w:t xml:space="preserve">, </w:t>
            </w:r>
            <w:r>
              <w:rPr>
                <w:lang w:val="en-GB"/>
              </w:rPr>
              <w:t>inception</w:t>
            </w:r>
            <w:r w:rsidRPr="003517E2">
              <w:rPr>
                <w:lang w:val="en-GB"/>
              </w:rPr>
              <w:t xml:space="preserve"> report, project sheet, etc.</w:t>
            </w:r>
            <w:r w:rsidR="00355BA0">
              <w:rPr>
                <w:lang w:val="en-GB"/>
              </w:rPr>
              <w:t xml:space="preserve">) </w:t>
            </w:r>
            <w:r w:rsidR="00945381" w:rsidRPr="005328D8">
              <w:rPr>
                <w:lang w:val="en-GB"/>
              </w:rPr>
              <w:t xml:space="preserve">; </w:t>
            </w:r>
          </w:p>
        </w:tc>
      </w:tr>
      <w:tr w:rsidR="00945381" w:rsidRPr="005452D4" w:rsidTr="0030341D">
        <w:tc>
          <w:tcPr>
            <w:tcW w:w="3020" w:type="dxa"/>
            <w:vMerge w:val="restart"/>
          </w:tcPr>
          <w:p w:rsidR="00945381" w:rsidRPr="00CB4979" w:rsidRDefault="00945381" w:rsidP="00945381">
            <w:pPr>
              <w:jc w:val="both"/>
              <w:rPr>
                <w:b/>
                <w:lang w:val="en-GB"/>
              </w:rPr>
            </w:pPr>
            <w:r>
              <w:rPr>
                <w:b/>
                <w:lang w:val="en-GB"/>
              </w:rPr>
              <w:t>Coordination with project stakeholders</w:t>
            </w:r>
          </w:p>
        </w:tc>
        <w:tc>
          <w:tcPr>
            <w:tcW w:w="6189" w:type="dxa"/>
          </w:tcPr>
          <w:p w:rsidR="00945381" w:rsidRDefault="00945381" w:rsidP="003517E2">
            <w:pPr>
              <w:jc w:val="both"/>
              <w:rPr>
                <w:lang w:val="en-GB"/>
              </w:rPr>
            </w:pPr>
            <w:r w:rsidRPr="005328D8">
              <w:rPr>
                <w:lang w:val="en-GB"/>
              </w:rPr>
              <w:t xml:space="preserve">Manages </w:t>
            </w:r>
            <w:r w:rsidR="003517E2">
              <w:rPr>
                <w:lang w:val="en-GB"/>
              </w:rPr>
              <w:t xml:space="preserve">coordination </w:t>
            </w:r>
            <w:r>
              <w:rPr>
                <w:lang w:val="en-GB"/>
              </w:rPr>
              <w:t xml:space="preserve">with experts </w:t>
            </w:r>
          </w:p>
        </w:tc>
      </w:tr>
      <w:tr w:rsidR="00945381" w:rsidRPr="005452D4" w:rsidTr="0030341D">
        <w:tc>
          <w:tcPr>
            <w:tcW w:w="3020" w:type="dxa"/>
            <w:vMerge/>
          </w:tcPr>
          <w:p w:rsidR="00945381" w:rsidRPr="00CB4979" w:rsidRDefault="00945381" w:rsidP="00945381">
            <w:pPr>
              <w:jc w:val="both"/>
              <w:rPr>
                <w:b/>
                <w:lang w:val="en-GB"/>
              </w:rPr>
            </w:pPr>
          </w:p>
        </w:tc>
        <w:tc>
          <w:tcPr>
            <w:tcW w:w="6189" w:type="dxa"/>
          </w:tcPr>
          <w:p w:rsidR="00945381" w:rsidRDefault="003517E2" w:rsidP="00945381">
            <w:pPr>
              <w:jc w:val="both"/>
              <w:rPr>
                <w:lang w:val="en-GB"/>
              </w:rPr>
            </w:pPr>
            <w:r>
              <w:rPr>
                <w:lang w:val="en-GB"/>
              </w:rPr>
              <w:t>P</w:t>
            </w:r>
            <w:r w:rsidRPr="005328D8">
              <w:rPr>
                <w:lang w:val="en-GB"/>
              </w:rPr>
              <w:t xml:space="preserve">articipates in coordination partnerships activities </w:t>
            </w:r>
            <w:r>
              <w:rPr>
                <w:lang w:val="en-GB"/>
              </w:rPr>
              <w:t>with other project stakeholders</w:t>
            </w:r>
          </w:p>
        </w:tc>
      </w:tr>
      <w:tr w:rsidR="003517E2" w:rsidRPr="005452D4" w:rsidTr="0030341D">
        <w:tc>
          <w:tcPr>
            <w:tcW w:w="3020" w:type="dxa"/>
            <w:vMerge/>
          </w:tcPr>
          <w:p w:rsidR="003517E2" w:rsidRPr="00CB4979" w:rsidRDefault="003517E2" w:rsidP="00945381">
            <w:pPr>
              <w:jc w:val="both"/>
              <w:rPr>
                <w:b/>
                <w:lang w:val="en-GB"/>
              </w:rPr>
            </w:pPr>
          </w:p>
        </w:tc>
        <w:tc>
          <w:tcPr>
            <w:tcW w:w="6189" w:type="dxa"/>
          </w:tcPr>
          <w:p w:rsidR="003517E2" w:rsidRDefault="003517E2" w:rsidP="00355BA0">
            <w:pPr>
              <w:jc w:val="both"/>
              <w:rPr>
                <w:lang w:val="en-GB"/>
              </w:rPr>
            </w:pPr>
            <w:r>
              <w:rPr>
                <w:lang w:val="en-GB"/>
              </w:rPr>
              <w:t>Send</w:t>
            </w:r>
            <w:r w:rsidR="00355BA0">
              <w:rPr>
                <w:lang w:val="en-GB"/>
              </w:rPr>
              <w:t>s</w:t>
            </w:r>
            <w:r>
              <w:rPr>
                <w:lang w:val="en-GB"/>
              </w:rPr>
              <w:t xml:space="preserve"> invitations and agendas of meetings</w:t>
            </w:r>
          </w:p>
        </w:tc>
      </w:tr>
      <w:tr w:rsidR="003517E2" w:rsidRPr="005452D4" w:rsidTr="0030341D">
        <w:tc>
          <w:tcPr>
            <w:tcW w:w="3020" w:type="dxa"/>
            <w:vMerge/>
          </w:tcPr>
          <w:p w:rsidR="003517E2" w:rsidRPr="00CB4979" w:rsidRDefault="003517E2" w:rsidP="00945381">
            <w:pPr>
              <w:jc w:val="both"/>
              <w:rPr>
                <w:b/>
                <w:lang w:val="en-GB"/>
              </w:rPr>
            </w:pPr>
          </w:p>
        </w:tc>
        <w:tc>
          <w:tcPr>
            <w:tcW w:w="6189" w:type="dxa"/>
          </w:tcPr>
          <w:p w:rsidR="003517E2" w:rsidRDefault="00355BA0" w:rsidP="00355BA0">
            <w:pPr>
              <w:jc w:val="both"/>
              <w:rPr>
                <w:lang w:val="en-GB"/>
              </w:rPr>
            </w:pPr>
            <w:r>
              <w:rPr>
                <w:lang w:val="en-GB"/>
              </w:rPr>
              <w:t>Checks deliverables from experts</w:t>
            </w:r>
          </w:p>
        </w:tc>
      </w:tr>
      <w:tr w:rsidR="00945381" w:rsidRPr="005452D4" w:rsidTr="0030341D">
        <w:tc>
          <w:tcPr>
            <w:tcW w:w="3020" w:type="dxa"/>
            <w:vMerge/>
          </w:tcPr>
          <w:p w:rsidR="00945381" w:rsidRPr="00CB4979" w:rsidRDefault="00945381" w:rsidP="00945381">
            <w:pPr>
              <w:jc w:val="both"/>
              <w:rPr>
                <w:b/>
                <w:lang w:val="en-GB"/>
              </w:rPr>
            </w:pPr>
          </w:p>
        </w:tc>
        <w:tc>
          <w:tcPr>
            <w:tcW w:w="6189" w:type="dxa"/>
          </w:tcPr>
          <w:p w:rsidR="00945381" w:rsidRDefault="00945381" w:rsidP="00945381">
            <w:pPr>
              <w:jc w:val="both"/>
              <w:rPr>
                <w:lang w:val="en-GB"/>
              </w:rPr>
            </w:pPr>
            <w:r w:rsidRPr="005328D8">
              <w:rPr>
                <w:lang w:val="en-GB"/>
              </w:rPr>
              <w:t>Leads consultation meetings and workshops with the various project stakeholders/beneficiaries</w:t>
            </w:r>
          </w:p>
        </w:tc>
      </w:tr>
      <w:tr w:rsidR="00945381" w:rsidRPr="005452D4" w:rsidTr="0030341D">
        <w:tc>
          <w:tcPr>
            <w:tcW w:w="3020" w:type="dxa"/>
            <w:vMerge w:val="restart"/>
          </w:tcPr>
          <w:p w:rsidR="00945381" w:rsidRPr="00CB4979" w:rsidRDefault="00945381" w:rsidP="00945381">
            <w:pPr>
              <w:jc w:val="both"/>
              <w:rPr>
                <w:b/>
                <w:lang w:val="en-GB"/>
              </w:rPr>
            </w:pPr>
            <w:r w:rsidRPr="00CB4979">
              <w:rPr>
                <w:b/>
                <w:lang w:val="en-GB"/>
              </w:rPr>
              <w:t>Logistical support</w:t>
            </w:r>
          </w:p>
        </w:tc>
        <w:tc>
          <w:tcPr>
            <w:tcW w:w="6189" w:type="dxa"/>
          </w:tcPr>
          <w:p w:rsidR="00945381" w:rsidRDefault="00945381" w:rsidP="00945381">
            <w:pPr>
              <w:jc w:val="both"/>
              <w:rPr>
                <w:lang w:val="en-GB"/>
              </w:rPr>
            </w:pPr>
            <w:r>
              <w:rPr>
                <w:lang w:val="en-GB"/>
              </w:rPr>
              <w:t>Collect</w:t>
            </w:r>
            <w:r w:rsidR="00355BA0">
              <w:rPr>
                <w:lang w:val="en-GB"/>
              </w:rPr>
              <w:t>s</w:t>
            </w:r>
            <w:r>
              <w:rPr>
                <w:lang w:val="en-GB"/>
              </w:rPr>
              <w:t>, file</w:t>
            </w:r>
            <w:r w:rsidR="00355BA0">
              <w:rPr>
                <w:lang w:val="en-GB"/>
              </w:rPr>
              <w:t>s</w:t>
            </w:r>
            <w:r>
              <w:rPr>
                <w:lang w:val="en-GB"/>
              </w:rPr>
              <w:t xml:space="preserve">, necessary administrative documents of participants  </w:t>
            </w:r>
          </w:p>
        </w:tc>
      </w:tr>
      <w:tr w:rsidR="00945381" w:rsidRPr="005452D4" w:rsidTr="0030341D">
        <w:tc>
          <w:tcPr>
            <w:tcW w:w="3020" w:type="dxa"/>
            <w:vMerge/>
          </w:tcPr>
          <w:p w:rsidR="00945381" w:rsidRPr="00CB4979" w:rsidRDefault="00945381" w:rsidP="00945381">
            <w:pPr>
              <w:jc w:val="both"/>
              <w:rPr>
                <w:b/>
                <w:lang w:val="en-GB"/>
              </w:rPr>
            </w:pPr>
          </w:p>
        </w:tc>
        <w:tc>
          <w:tcPr>
            <w:tcW w:w="6189" w:type="dxa"/>
          </w:tcPr>
          <w:p w:rsidR="00945381" w:rsidRDefault="00945381" w:rsidP="00945381">
            <w:pPr>
              <w:jc w:val="both"/>
              <w:rPr>
                <w:lang w:val="en-GB"/>
              </w:rPr>
            </w:pPr>
            <w:r>
              <w:rPr>
                <w:lang w:val="en-GB"/>
              </w:rPr>
              <w:t>Coordinate</w:t>
            </w:r>
            <w:r w:rsidR="00355BA0">
              <w:rPr>
                <w:lang w:val="en-GB"/>
              </w:rPr>
              <w:t>s</w:t>
            </w:r>
            <w:r>
              <w:rPr>
                <w:lang w:val="en-GB"/>
              </w:rPr>
              <w:t xml:space="preserve"> with participants to book flights, proceed</w:t>
            </w:r>
            <w:r w:rsidR="00355BA0">
              <w:rPr>
                <w:lang w:val="en-GB"/>
              </w:rPr>
              <w:t>s</w:t>
            </w:r>
            <w:r>
              <w:rPr>
                <w:lang w:val="en-GB"/>
              </w:rPr>
              <w:t xml:space="preserve"> with per diem payments  </w:t>
            </w:r>
          </w:p>
        </w:tc>
      </w:tr>
      <w:tr w:rsidR="00945381" w:rsidTr="0030341D">
        <w:tc>
          <w:tcPr>
            <w:tcW w:w="3020" w:type="dxa"/>
            <w:vMerge/>
          </w:tcPr>
          <w:p w:rsidR="00945381" w:rsidRPr="00CB4979" w:rsidRDefault="00945381" w:rsidP="00945381">
            <w:pPr>
              <w:jc w:val="both"/>
              <w:rPr>
                <w:b/>
                <w:lang w:val="en-GB"/>
              </w:rPr>
            </w:pPr>
          </w:p>
        </w:tc>
        <w:tc>
          <w:tcPr>
            <w:tcW w:w="6189" w:type="dxa"/>
          </w:tcPr>
          <w:p w:rsidR="00945381" w:rsidRDefault="00945381" w:rsidP="00945381">
            <w:pPr>
              <w:jc w:val="both"/>
              <w:rPr>
                <w:lang w:val="en-GB"/>
              </w:rPr>
            </w:pPr>
            <w:r>
              <w:rPr>
                <w:lang w:val="en-GB"/>
              </w:rPr>
              <w:t>Prepare</w:t>
            </w:r>
            <w:r w:rsidR="00355BA0">
              <w:rPr>
                <w:lang w:val="en-GB"/>
              </w:rPr>
              <w:t>s</w:t>
            </w:r>
            <w:r>
              <w:rPr>
                <w:lang w:val="en-GB"/>
              </w:rPr>
              <w:t xml:space="preserve"> Mission Orders</w:t>
            </w:r>
            <w:r>
              <w:rPr>
                <w:rStyle w:val="Appelnotedebasdep"/>
                <w:lang w:val="en-GB"/>
              </w:rPr>
              <w:footnoteReference w:id="1"/>
            </w:r>
            <w:r>
              <w:rPr>
                <w:lang w:val="en-GB"/>
              </w:rPr>
              <w:t xml:space="preserve"> for participants</w:t>
            </w:r>
          </w:p>
        </w:tc>
      </w:tr>
      <w:tr w:rsidR="00945381" w:rsidRPr="005452D4" w:rsidTr="0030341D">
        <w:tc>
          <w:tcPr>
            <w:tcW w:w="3020" w:type="dxa"/>
            <w:vMerge/>
          </w:tcPr>
          <w:p w:rsidR="00945381" w:rsidRPr="00CB4979" w:rsidRDefault="00945381" w:rsidP="00945381">
            <w:pPr>
              <w:jc w:val="both"/>
              <w:rPr>
                <w:b/>
                <w:lang w:val="en-GB"/>
              </w:rPr>
            </w:pPr>
          </w:p>
        </w:tc>
        <w:tc>
          <w:tcPr>
            <w:tcW w:w="6189" w:type="dxa"/>
          </w:tcPr>
          <w:p w:rsidR="00945381" w:rsidRDefault="00945381" w:rsidP="00945381">
            <w:pPr>
              <w:jc w:val="both"/>
              <w:rPr>
                <w:lang w:val="en-GB"/>
              </w:rPr>
            </w:pPr>
            <w:r>
              <w:rPr>
                <w:lang w:val="en-GB"/>
              </w:rPr>
              <w:t>Retrieving and filing participants’ outputs</w:t>
            </w:r>
          </w:p>
        </w:tc>
      </w:tr>
      <w:tr w:rsidR="00945381" w:rsidRPr="005452D4" w:rsidTr="0030341D">
        <w:tc>
          <w:tcPr>
            <w:tcW w:w="3020" w:type="dxa"/>
            <w:vMerge/>
          </w:tcPr>
          <w:p w:rsidR="00945381" w:rsidRPr="00CB4979" w:rsidRDefault="00945381" w:rsidP="00945381">
            <w:pPr>
              <w:jc w:val="both"/>
              <w:rPr>
                <w:b/>
                <w:lang w:val="en-GB"/>
              </w:rPr>
            </w:pPr>
          </w:p>
        </w:tc>
        <w:tc>
          <w:tcPr>
            <w:tcW w:w="6189" w:type="dxa"/>
          </w:tcPr>
          <w:p w:rsidR="00945381" w:rsidRDefault="00945381" w:rsidP="00945381">
            <w:pPr>
              <w:jc w:val="both"/>
              <w:rPr>
                <w:lang w:val="en-GB"/>
              </w:rPr>
            </w:pPr>
            <w:r w:rsidRPr="005328D8">
              <w:rPr>
                <w:lang w:val="en-GB"/>
              </w:rPr>
              <w:t>Follows up communication and visibility activities a</w:t>
            </w:r>
            <w:r w:rsidR="00355BA0">
              <w:rPr>
                <w:lang w:val="en-GB"/>
              </w:rPr>
              <w:t>nd the organisation of events</w:t>
            </w:r>
          </w:p>
        </w:tc>
      </w:tr>
      <w:tr w:rsidR="00945381" w:rsidRPr="005452D4" w:rsidTr="0030341D">
        <w:tc>
          <w:tcPr>
            <w:tcW w:w="3020" w:type="dxa"/>
            <w:vMerge w:val="restart"/>
          </w:tcPr>
          <w:p w:rsidR="00945381" w:rsidRPr="00CB4979" w:rsidRDefault="00945381" w:rsidP="00945381">
            <w:pPr>
              <w:jc w:val="both"/>
              <w:rPr>
                <w:b/>
                <w:lang w:val="en-GB"/>
              </w:rPr>
            </w:pPr>
            <w:r w:rsidRPr="00CB4979">
              <w:rPr>
                <w:b/>
                <w:lang w:val="en-GB"/>
              </w:rPr>
              <w:t>Financial management</w:t>
            </w:r>
          </w:p>
        </w:tc>
        <w:tc>
          <w:tcPr>
            <w:tcW w:w="6189" w:type="dxa"/>
          </w:tcPr>
          <w:p w:rsidR="00945381" w:rsidRDefault="00945381" w:rsidP="00945381">
            <w:pPr>
              <w:jc w:val="both"/>
              <w:rPr>
                <w:lang w:val="en-GB"/>
              </w:rPr>
            </w:pPr>
            <w:r>
              <w:rPr>
                <w:lang w:val="en-GB"/>
              </w:rPr>
              <w:t>Track activities’ expenditure using Expertise France’s tools</w:t>
            </w:r>
          </w:p>
        </w:tc>
      </w:tr>
      <w:tr w:rsidR="00945381" w:rsidRPr="005452D4" w:rsidTr="0030341D">
        <w:tc>
          <w:tcPr>
            <w:tcW w:w="3020" w:type="dxa"/>
            <w:vMerge/>
          </w:tcPr>
          <w:p w:rsidR="00945381" w:rsidRDefault="00945381" w:rsidP="00945381">
            <w:pPr>
              <w:jc w:val="both"/>
              <w:rPr>
                <w:lang w:val="en-GB"/>
              </w:rPr>
            </w:pPr>
          </w:p>
        </w:tc>
        <w:tc>
          <w:tcPr>
            <w:tcW w:w="6189" w:type="dxa"/>
          </w:tcPr>
          <w:p w:rsidR="00945381" w:rsidRDefault="00945381" w:rsidP="00355BA0">
            <w:pPr>
              <w:jc w:val="both"/>
              <w:rPr>
                <w:lang w:val="en-GB"/>
              </w:rPr>
            </w:pPr>
            <w:r>
              <w:rPr>
                <w:lang w:val="en-GB"/>
              </w:rPr>
              <w:t xml:space="preserve">Filing invoices and all supportive documents of recruited local experts </w:t>
            </w:r>
          </w:p>
        </w:tc>
      </w:tr>
      <w:tr w:rsidR="00945381" w:rsidRPr="005452D4" w:rsidTr="0030341D">
        <w:tc>
          <w:tcPr>
            <w:tcW w:w="3020" w:type="dxa"/>
          </w:tcPr>
          <w:p w:rsidR="00945381" w:rsidRPr="00355BA0" w:rsidRDefault="00945381" w:rsidP="00945381">
            <w:pPr>
              <w:jc w:val="both"/>
              <w:rPr>
                <w:b/>
                <w:lang w:val="en-GB"/>
              </w:rPr>
            </w:pPr>
            <w:r w:rsidRPr="00355BA0">
              <w:rPr>
                <w:b/>
                <w:lang w:val="en-GB"/>
              </w:rPr>
              <w:t>Cross-functional activities</w:t>
            </w:r>
          </w:p>
        </w:tc>
        <w:tc>
          <w:tcPr>
            <w:tcW w:w="6189" w:type="dxa"/>
          </w:tcPr>
          <w:p w:rsidR="00945381" w:rsidRDefault="00945381" w:rsidP="00945381">
            <w:pPr>
              <w:jc w:val="both"/>
              <w:rPr>
                <w:lang w:val="en-GB"/>
              </w:rPr>
            </w:pPr>
            <w:r w:rsidRPr="005328D8">
              <w:rPr>
                <w:lang w:val="en-GB"/>
              </w:rPr>
              <w:t xml:space="preserve">Ensure </w:t>
            </w:r>
            <w:proofErr w:type="spellStart"/>
            <w:r w:rsidRPr="005328D8">
              <w:rPr>
                <w:lang w:val="en-GB"/>
              </w:rPr>
              <w:t>transversality</w:t>
            </w:r>
            <w:proofErr w:type="spellEnd"/>
            <w:r w:rsidRPr="005328D8">
              <w:rPr>
                <w:lang w:val="en-GB"/>
              </w:rPr>
              <w:t xml:space="preserve"> </w:t>
            </w:r>
            <w:r>
              <w:rPr>
                <w:lang w:val="en-GB"/>
              </w:rPr>
              <w:t>between the 2</w:t>
            </w:r>
            <w:r w:rsidRPr="005328D8">
              <w:rPr>
                <w:lang w:val="en-GB"/>
              </w:rPr>
              <w:t xml:space="preserve"> projects </w:t>
            </w:r>
          </w:p>
        </w:tc>
      </w:tr>
    </w:tbl>
    <w:p w:rsidR="008C49AE" w:rsidRDefault="008C49AE">
      <w:pPr>
        <w:rPr>
          <w:lang w:val="en-GB"/>
        </w:rPr>
      </w:pPr>
    </w:p>
    <w:p w:rsidR="008C49AE" w:rsidRDefault="00CB4979" w:rsidP="0005357E">
      <w:pPr>
        <w:pStyle w:val="Titre1"/>
        <w:rPr>
          <w:lang w:val="en-GB"/>
        </w:rPr>
      </w:pPr>
      <w:r>
        <w:rPr>
          <w:lang w:val="en-GB"/>
        </w:rPr>
        <w:t>Expected skills</w:t>
      </w:r>
    </w:p>
    <w:p w:rsidR="00CB4979" w:rsidRDefault="00CB4979" w:rsidP="00CB4979">
      <w:pPr>
        <w:rPr>
          <w:lang w:val="en-GB"/>
        </w:rPr>
      </w:pPr>
    </w:p>
    <w:p w:rsidR="008D75C2" w:rsidRDefault="008D75C2" w:rsidP="008D75C2">
      <w:pPr>
        <w:pStyle w:val="Titre3"/>
        <w:rPr>
          <w:lang w:val="en-GB"/>
        </w:rPr>
      </w:pPr>
      <w:r>
        <w:rPr>
          <w:lang w:val="en-GB"/>
        </w:rPr>
        <w:lastRenderedPageBreak/>
        <w:t>Education</w:t>
      </w:r>
    </w:p>
    <w:p w:rsidR="008D75C2" w:rsidRDefault="008D75C2" w:rsidP="008D75C2">
      <w:pPr>
        <w:rPr>
          <w:lang w:val="en-GB"/>
        </w:rPr>
      </w:pPr>
      <w:r>
        <w:rPr>
          <w:lang w:val="en-GB"/>
        </w:rPr>
        <w:t xml:space="preserve">Minimum completion of secondary education </w:t>
      </w:r>
    </w:p>
    <w:p w:rsidR="008D75C2" w:rsidRDefault="008D75C2" w:rsidP="008D75C2">
      <w:pPr>
        <w:pStyle w:val="Titre3"/>
        <w:rPr>
          <w:lang w:val="en-GB"/>
        </w:rPr>
      </w:pPr>
      <w:r>
        <w:rPr>
          <w:lang w:val="en-GB"/>
        </w:rPr>
        <w:t>Knowledge and experience</w:t>
      </w:r>
    </w:p>
    <w:p w:rsidR="008D75C2" w:rsidRDefault="003A1F7C" w:rsidP="008D75C2">
      <w:pPr>
        <w:pStyle w:val="Paragraphedeliste"/>
        <w:numPr>
          <w:ilvl w:val="0"/>
          <w:numId w:val="3"/>
        </w:numPr>
        <w:rPr>
          <w:lang w:val="en-GB"/>
        </w:rPr>
      </w:pPr>
      <w:r>
        <w:rPr>
          <w:lang w:val="en-GB"/>
        </w:rPr>
        <w:t>3-</w:t>
      </w:r>
      <w:r w:rsidR="008D75C2">
        <w:rPr>
          <w:lang w:val="en-GB"/>
        </w:rPr>
        <w:t xml:space="preserve">5 </w:t>
      </w:r>
      <w:proofErr w:type="gramStart"/>
      <w:r w:rsidR="008D75C2">
        <w:rPr>
          <w:lang w:val="en-GB"/>
        </w:rPr>
        <w:t>years</w:t>
      </w:r>
      <w:proofErr w:type="gramEnd"/>
      <w:r w:rsidR="008D75C2">
        <w:rPr>
          <w:lang w:val="en-GB"/>
        </w:rPr>
        <w:t xml:space="preserve"> project management experience in international cooperation with focus on the European Union. Experience with </w:t>
      </w:r>
      <w:r w:rsidR="00DA3316">
        <w:rPr>
          <w:lang w:val="en-GB"/>
        </w:rPr>
        <w:t xml:space="preserve">multiple-country initiatives and </w:t>
      </w:r>
      <w:r w:rsidR="008D75C2">
        <w:rPr>
          <w:lang w:val="en-GB"/>
        </w:rPr>
        <w:t>EU Commission funded projects is a plus</w:t>
      </w:r>
    </w:p>
    <w:p w:rsidR="00E478FE" w:rsidRDefault="00E478FE" w:rsidP="008D75C2">
      <w:pPr>
        <w:pStyle w:val="Paragraphedeliste"/>
        <w:numPr>
          <w:ilvl w:val="0"/>
          <w:numId w:val="3"/>
        </w:numPr>
        <w:rPr>
          <w:lang w:val="en-GB"/>
        </w:rPr>
      </w:pPr>
      <w:r w:rsidRPr="00E478FE">
        <w:rPr>
          <w:lang w:val="en-US"/>
        </w:rPr>
        <w:t>Knowledge and experience in administrative; financial accounting and full range of office support work, with a high level of sustained performance</w:t>
      </w:r>
    </w:p>
    <w:p w:rsidR="008D75C2" w:rsidRDefault="00DA3316" w:rsidP="008D75C2">
      <w:pPr>
        <w:pStyle w:val="Paragraphedeliste"/>
        <w:numPr>
          <w:ilvl w:val="0"/>
          <w:numId w:val="3"/>
        </w:numPr>
        <w:rPr>
          <w:lang w:val="en-GB"/>
        </w:rPr>
      </w:pPr>
      <w:r>
        <w:rPr>
          <w:lang w:val="en-GB"/>
        </w:rPr>
        <w:t xml:space="preserve">Relevant experience with organizing study visits, seminars, webinar and events for high-level stakeholders </w:t>
      </w:r>
      <w:r w:rsidR="008D75C2">
        <w:rPr>
          <w:lang w:val="en-GB"/>
        </w:rPr>
        <w:t xml:space="preserve">  </w:t>
      </w:r>
    </w:p>
    <w:p w:rsidR="008D75C2" w:rsidRDefault="00DA3316" w:rsidP="008D75C2">
      <w:pPr>
        <w:pStyle w:val="Paragraphedeliste"/>
        <w:numPr>
          <w:ilvl w:val="0"/>
          <w:numId w:val="3"/>
        </w:numPr>
        <w:rPr>
          <w:lang w:val="en-GB"/>
        </w:rPr>
      </w:pPr>
      <w:r>
        <w:rPr>
          <w:lang w:val="en-GB"/>
        </w:rPr>
        <w:t>High proficiency in use of Excel spreadsheets, Word, and PowerPoint.</w:t>
      </w:r>
    </w:p>
    <w:p w:rsidR="007F002C" w:rsidRDefault="007F002C" w:rsidP="008D75C2">
      <w:pPr>
        <w:pStyle w:val="Paragraphedeliste"/>
        <w:numPr>
          <w:ilvl w:val="0"/>
          <w:numId w:val="3"/>
        </w:numPr>
        <w:rPr>
          <w:lang w:val="en-GB"/>
        </w:rPr>
      </w:pPr>
      <w:r>
        <w:rPr>
          <w:lang w:val="en-GB"/>
        </w:rPr>
        <w:t>Fluency in English, knowledge of other EU languages is an asset</w:t>
      </w:r>
    </w:p>
    <w:p w:rsidR="007F002C" w:rsidRDefault="007F002C" w:rsidP="007F002C">
      <w:pPr>
        <w:pStyle w:val="Paragraphedeliste"/>
        <w:rPr>
          <w:lang w:val="en-GB"/>
        </w:rPr>
      </w:pPr>
    </w:p>
    <w:p w:rsidR="007F002C" w:rsidRPr="007F002C" w:rsidRDefault="007F002C" w:rsidP="007F002C">
      <w:pPr>
        <w:pStyle w:val="Titre3"/>
        <w:rPr>
          <w:lang w:val="en-GB"/>
        </w:rPr>
      </w:pPr>
      <w:r>
        <w:rPr>
          <w:lang w:val="en-GB"/>
        </w:rPr>
        <w:t xml:space="preserve">Required skills and competences: </w:t>
      </w:r>
    </w:p>
    <w:p w:rsidR="007F002C" w:rsidRDefault="007F002C" w:rsidP="007F002C">
      <w:pPr>
        <w:pStyle w:val="Paragraphedeliste"/>
        <w:numPr>
          <w:ilvl w:val="0"/>
          <w:numId w:val="3"/>
        </w:numPr>
        <w:rPr>
          <w:lang w:val="en-GB"/>
        </w:rPr>
      </w:pPr>
      <w:r w:rsidRPr="007F002C">
        <w:rPr>
          <w:lang w:val="en-GB"/>
        </w:rPr>
        <w:t>Good interpersonal skills (tact, diplomacy, discretion and impartiality) are essential for this position</w:t>
      </w:r>
    </w:p>
    <w:p w:rsidR="007F002C" w:rsidRDefault="007F002C" w:rsidP="007F002C">
      <w:pPr>
        <w:pStyle w:val="Paragraphedeliste"/>
        <w:numPr>
          <w:ilvl w:val="0"/>
          <w:numId w:val="3"/>
        </w:numPr>
        <w:rPr>
          <w:lang w:val="en-GB"/>
        </w:rPr>
      </w:pPr>
      <w:r w:rsidRPr="007F002C">
        <w:rPr>
          <w:lang w:val="en-GB"/>
        </w:rPr>
        <w:t>Strong team-player with ability to work in virtual teams</w:t>
      </w:r>
    </w:p>
    <w:p w:rsidR="007F002C" w:rsidRDefault="007F002C" w:rsidP="007F002C">
      <w:pPr>
        <w:pStyle w:val="Paragraphedeliste"/>
        <w:numPr>
          <w:ilvl w:val="0"/>
          <w:numId w:val="3"/>
        </w:numPr>
        <w:rPr>
          <w:lang w:val="en-GB"/>
        </w:rPr>
      </w:pPr>
      <w:r w:rsidRPr="007F002C">
        <w:rPr>
          <w:lang w:val="en-GB"/>
        </w:rPr>
        <w:t>Ability to work and communicate effectively with a broad spectrum of individuals</w:t>
      </w:r>
      <w:r>
        <w:rPr>
          <w:lang w:val="en-GB"/>
        </w:rPr>
        <w:t xml:space="preserve"> </w:t>
      </w:r>
      <w:r w:rsidRPr="007F002C">
        <w:rPr>
          <w:lang w:val="en-GB"/>
        </w:rPr>
        <w:t xml:space="preserve">within a broad range of cultural environments, especially in the </w:t>
      </w:r>
      <w:r>
        <w:rPr>
          <w:lang w:val="en-GB"/>
        </w:rPr>
        <w:t>European context</w:t>
      </w:r>
    </w:p>
    <w:p w:rsidR="00343B79" w:rsidRDefault="007F002C" w:rsidP="007F002C">
      <w:pPr>
        <w:pStyle w:val="Paragraphedeliste"/>
        <w:numPr>
          <w:ilvl w:val="0"/>
          <w:numId w:val="3"/>
        </w:numPr>
        <w:rPr>
          <w:lang w:val="en-GB"/>
        </w:rPr>
      </w:pPr>
      <w:r w:rsidRPr="007F002C">
        <w:rPr>
          <w:lang w:val="en-GB"/>
        </w:rPr>
        <w:t>High level of good organizational and administrative skills with an ability to work</w:t>
      </w:r>
      <w:r>
        <w:rPr>
          <w:lang w:val="en-GB"/>
        </w:rPr>
        <w:t xml:space="preserve"> </w:t>
      </w:r>
      <w:r w:rsidRPr="007F002C">
        <w:rPr>
          <w:lang w:val="en-GB"/>
        </w:rPr>
        <w:t>well under pressure</w:t>
      </w:r>
    </w:p>
    <w:p w:rsidR="007C399C" w:rsidRDefault="007C399C" w:rsidP="007C399C">
      <w:pPr>
        <w:pStyle w:val="Paragraphedeliste"/>
        <w:numPr>
          <w:ilvl w:val="0"/>
          <w:numId w:val="3"/>
        </w:numPr>
        <w:rPr>
          <w:lang w:val="en-GB"/>
        </w:rPr>
      </w:pPr>
      <w:r w:rsidRPr="007C399C">
        <w:rPr>
          <w:lang w:val="en-GB"/>
        </w:rPr>
        <w:t>Proven</w:t>
      </w:r>
      <w:r>
        <w:rPr>
          <w:lang w:val="en-GB"/>
        </w:rPr>
        <w:t xml:space="preserve"> international work experience </w:t>
      </w:r>
      <w:r w:rsidRPr="007C399C">
        <w:rPr>
          <w:lang w:val="en-GB"/>
        </w:rPr>
        <w:t xml:space="preserve">with EU financed projects </w:t>
      </w:r>
    </w:p>
    <w:p w:rsidR="00A53938" w:rsidRDefault="00A53938" w:rsidP="00A53938">
      <w:pPr>
        <w:rPr>
          <w:lang w:val="en-GB"/>
        </w:rPr>
      </w:pPr>
    </w:p>
    <w:p w:rsidR="00A53938" w:rsidRPr="0005357E" w:rsidRDefault="00A53938" w:rsidP="0005357E">
      <w:pPr>
        <w:pStyle w:val="Titre1"/>
        <w:rPr>
          <w:lang w:val="en-GB"/>
        </w:rPr>
      </w:pPr>
      <w:r>
        <w:rPr>
          <w:lang w:val="en-GB"/>
        </w:rPr>
        <w:t>Other relevant informatio</w:t>
      </w:r>
      <w:r w:rsidR="0005357E">
        <w:rPr>
          <w:lang w:val="en-GB"/>
        </w:rPr>
        <w:t>n</w:t>
      </w:r>
    </w:p>
    <w:p w:rsidR="00A53938" w:rsidRDefault="004E4D22" w:rsidP="00A53938">
      <w:pPr>
        <w:pStyle w:val="Paragraphedeliste"/>
        <w:numPr>
          <w:ilvl w:val="0"/>
          <w:numId w:val="3"/>
        </w:numPr>
        <w:rPr>
          <w:lang w:val="en-GB"/>
        </w:rPr>
      </w:pPr>
      <w:r>
        <w:rPr>
          <w:lang w:val="en-GB"/>
        </w:rPr>
        <w:t>T</w:t>
      </w:r>
      <w:r w:rsidR="0058492F">
        <w:rPr>
          <w:lang w:val="en-GB"/>
        </w:rPr>
        <w:t xml:space="preserve">his part-time position </w:t>
      </w:r>
      <w:r w:rsidR="00644261">
        <w:rPr>
          <w:lang w:val="en-GB"/>
        </w:rPr>
        <w:t xml:space="preserve">consists in a maximum of 10 days per month </w:t>
      </w:r>
      <w:r w:rsidR="0058492F">
        <w:rPr>
          <w:lang w:val="en-GB"/>
        </w:rPr>
        <w:t xml:space="preserve">for </w:t>
      </w:r>
      <w:r w:rsidR="005328D8">
        <w:rPr>
          <w:lang w:val="en-GB"/>
        </w:rPr>
        <w:t>a duration of 30 months</w:t>
      </w:r>
      <w:r w:rsidR="0058492F">
        <w:rPr>
          <w:lang w:val="en-GB"/>
        </w:rPr>
        <w:t xml:space="preserve">. </w:t>
      </w:r>
    </w:p>
    <w:p w:rsidR="00644261" w:rsidRDefault="00644261" w:rsidP="00A53938">
      <w:pPr>
        <w:pStyle w:val="Paragraphedeliste"/>
        <w:numPr>
          <w:ilvl w:val="0"/>
          <w:numId w:val="3"/>
        </w:numPr>
        <w:rPr>
          <w:lang w:val="en-GB"/>
        </w:rPr>
      </w:pPr>
      <w:r>
        <w:rPr>
          <w:lang w:val="en-GB"/>
        </w:rPr>
        <w:t xml:space="preserve">Deadline for application is </w:t>
      </w:r>
      <w:r w:rsidR="005328D8">
        <w:rPr>
          <w:lang w:val="en-GB"/>
        </w:rPr>
        <w:t>July 15</w:t>
      </w:r>
      <w:r w:rsidRPr="00644261">
        <w:rPr>
          <w:vertAlign w:val="superscript"/>
          <w:lang w:val="en-GB"/>
        </w:rPr>
        <w:t>th</w:t>
      </w:r>
    </w:p>
    <w:p w:rsidR="00644261" w:rsidRPr="00A53938" w:rsidRDefault="00644261" w:rsidP="00A53938">
      <w:pPr>
        <w:pStyle w:val="Paragraphedeliste"/>
        <w:numPr>
          <w:ilvl w:val="0"/>
          <w:numId w:val="3"/>
        </w:numPr>
        <w:rPr>
          <w:lang w:val="en-GB"/>
        </w:rPr>
      </w:pPr>
      <w:r>
        <w:rPr>
          <w:lang w:val="en-GB"/>
        </w:rPr>
        <w:t xml:space="preserve">Beginning of activities is expected </w:t>
      </w:r>
      <w:r w:rsidR="005328D8">
        <w:rPr>
          <w:lang w:val="en-GB"/>
        </w:rPr>
        <w:t>in July 2024</w:t>
      </w:r>
    </w:p>
    <w:sectPr w:rsidR="00644261" w:rsidRPr="00A5393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3A3" w:rsidRDefault="003F03A3" w:rsidP="008C49AE">
      <w:pPr>
        <w:spacing w:after="0" w:line="240" w:lineRule="auto"/>
      </w:pPr>
      <w:r>
        <w:separator/>
      </w:r>
    </w:p>
  </w:endnote>
  <w:endnote w:type="continuationSeparator" w:id="0">
    <w:p w:rsidR="003F03A3" w:rsidRDefault="003F03A3" w:rsidP="008C4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3A3" w:rsidRDefault="003F03A3" w:rsidP="008C49AE">
      <w:pPr>
        <w:spacing w:after="0" w:line="240" w:lineRule="auto"/>
      </w:pPr>
      <w:r>
        <w:separator/>
      </w:r>
    </w:p>
  </w:footnote>
  <w:footnote w:type="continuationSeparator" w:id="0">
    <w:p w:rsidR="003F03A3" w:rsidRDefault="003F03A3" w:rsidP="008C49AE">
      <w:pPr>
        <w:spacing w:after="0" w:line="240" w:lineRule="auto"/>
      </w:pPr>
      <w:r>
        <w:continuationSeparator/>
      </w:r>
    </w:p>
  </w:footnote>
  <w:footnote w:id="1">
    <w:p w:rsidR="00945381" w:rsidRPr="006F0005" w:rsidRDefault="00945381">
      <w:pPr>
        <w:pStyle w:val="Notedebasdepage"/>
        <w:rPr>
          <w:lang w:val="en-US"/>
        </w:rPr>
      </w:pPr>
      <w:r>
        <w:rPr>
          <w:rStyle w:val="Appelnotedebasdep"/>
        </w:rPr>
        <w:footnoteRef/>
      </w:r>
      <w:r w:rsidRPr="006F0005">
        <w:rPr>
          <w:lang w:val="en-US"/>
        </w:rPr>
        <w:t xml:space="preserve"> In accordance with Expertise France’s </w:t>
      </w:r>
      <w:r>
        <w:rPr>
          <w:lang w:val="en-US"/>
        </w:rPr>
        <w:t>internal procedures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80A" w:rsidRDefault="00A7080A">
    <w:pPr>
      <w:pStyle w:val="En-tte"/>
    </w:pPr>
    <w:r>
      <w:rPr>
        <w:noProof/>
        <w:lang w:eastAsia="fr-FR"/>
      </w:rPr>
      <w:drawing>
        <wp:inline distT="0" distB="0" distL="0" distR="0">
          <wp:extent cx="1972104" cy="10096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xpertise France - Fond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672" cy="1014036"/>
                  </a:xfrm>
                  <a:prstGeom prst="rect">
                    <a:avLst/>
                  </a:prstGeom>
                </pic:spPr>
              </pic:pic>
            </a:graphicData>
          </a:graphic>
        </wp:inline>
      </w:drawing>
    </w:r>
    <w:r>
      <w:tab/>
    </w:r>
    <w:r>
      <w:tab/>
    </w:r>
    <w:r>
      <w:rPr>
        <w:noProof/>
        <w:lang w:eastAsia="fr-FR"/>
      </w:rPr>
      <w:drawing>
        <wp:inline distT="0" distB="0" distL="0" distR="0">
          <wp:extent cx="1666875" cy="875146"/>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socialmedia-fallback.png"/>
                  <pic:cNvPicPr/>
                </pic:nvPicPr>
                <pic:blipFill>
                  <a:blip r:embed="rId2">
                    <a:extLst>
                      <a:ext uri="{28A0092B-C50C-407E-A947-70E740481C1C}">
                        <a14:useLocalDpi xmlns:a14="http://schemas.microsoft.com/office/drawing/2010/main" val="0"/>
                      </a:ext>
                    </a:extLst>
                  </a:blip>
                  <a:stretch>
                    <a:fillRect/>
                  </a:stretch>
                </pic:blipFill>
                <pic:spPr>
                  <a:xfrm>
                    <a:off x="0" y="0"/>
                    <a:ext cx="1681867" cy="8830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341F"/>
    <w:multiLevelType w:val="hybridMultilevel"/>
    <w:tmpl w:val="B6D6A02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2C855A5"/>
    <w:multiLevelType w:val="hybridMultilevel"/>
    <w:tmpl w:val="DBA6F7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C19793D"/>
    <w:multiLevelType w:val="hybridMultilevel"/>
    <w:tmpl w:val="04F45A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CBA05F7"/>
    <w:multiLevelType w:val="hybridMultilevel"/>
    <w:tmpl w:val="284EA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F1359E"/>
    <w:multiLevelType w:val="hybridMultilevel"/>
    <w:tmpl w:val="4AD89A18"/>
    <w:lvl w:ilvl="0" w:tplc="478C19C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CC26B51"/>
    <w:multiLevelType w:val="hybridMultilevel"/>
    <w:tmpl w:val="1AB84630"/>
    <w:lvl w:ilvl="0" w:tplc="DA18602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E834166"/>
    <w:multiLevelType w:val="hybridMultilevel"/>
    <w:tmpl w:val="30F447B0"/>
    <w:lvl w:ilvl="0" w:tplc="040C0001">
      <w:start w:val="1"/>
      <w:numFmt w:val="bullet"/>
      <w:lvlText w:val=""/>
      <w:lvlJc w:val="left"/>
      <w:pPr>
        <w:ind w:left="2130" w:hanging="360"/>
      </w:pPr>
      <w:rPr>
        <w:rFonts w:ascii="Symbol" w:hAnsi="Symbo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9AE"/>
    <w:rsid w:val="00022A59"/>
    <w:rsid w:val="0002315F"/>
    <w:rsid w:val="00024943"/>
    <w:rsid w:val="0005357E"/>
    <w:rsid w:val="000B448F"/>
    <w:rsid w:val="00103AD0"/>
    <w:rsid w:val="001713E7"/>
    <w:rsid w:val="00186087"/>
    <w:rsid w:val="001B2A2B"/>
    <w:rsid w:val="001D089B"/>
    <w:rsid w:val="002021A3"/>
    <w:rsid w:val="002367B1"/>
    <w:rsid w:val="00250C8D"/>
    <w:rsid w:val="00285279"/>
    <w:rsid w:val="002D7155"/>
    <w:rsid w:val="0030341D"/>
    <w:rsid w:val="00343B79"/>
    <w:rsid w:val="003517E2"/>
    <w:rsid w:val="00351C5C"/>
    <w:rsid w:val="00355BA0"/>
    <w:rsid w:val="003A1F7C"/>
    <w:rsid w:val="003F03A3"/>
    <w:rsid w:val="003F0CB5"/>
    <w:rsid w:val="004E4D22"/>
    <w:rsid w:val="0050701D"/>
    <w:rsid w:val="005328D8"/>
    <w:rsid w:val="005452D4"/>
    <w:rsid w:val="005740CA"/>
    <w:rsid w:val="005758ED"/>
    <w:rsid w:val="0058492F"/>
    <w:rsid w:val="00641A97"/>
    <w:rsid w:val="00644261"/>
    <w:rsid w:val="00684045"/>
    <w:rsid w:val="006F0005"/>
    <w:rsid w:val="007C399C"/>
    <w:rsid w:val="007C7375"/>
    <w:rsid w:val="007F002C"/>
    <w:rsid w:val="00882FCC"/>
    <w:rsid w:val="008C49AE"/>
    <w:rsid w:val="008C548F"/>
    <w:rsid w:val="008C5A21"/>
    <w:rsid w:val="008C5B02"/>
    <w:rsid w:val="008D75C2"/>
    <w:rsid w:val="008F1D66"/>
    <w:rsid w:val="0092442F"/>
    <w:rsid w:val="00945381"/>
    <w:rsid w:val="009F74C9"/>
    <w:rsid w:val="00A53938"/>
    <w:rsid w:val="00A7080A"/>
    <w:rsid w:val="00AD2A20"/>
    <w:rsid w:val="00B07788"/>
    <w:rsid w:val="00B67603"/>
    <w:rsid w:val="00B83481"/>
    <w:rsid w:val="00B85124"/>
    <w:rsid w:val="00C00337"/>
    <w:rsid w:val="00C30B66"/>
    <w:rsid w:val="00CB4979"/>
    <w:rsid w:val="00CD2B88"/>
    <w:rsid w:val="00D00D21"/>
    <w:rsid w:val="00DA3316"/>
    <w:rsid w:val="00DE26E0"/>
    <w:rsid w:val="00E478FE"/>
    <w:rsid w:val="00F158C5"/>
    <w:rsid w:val="00F63EAE"/>
    <w:rsid w:val="00F641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7619F"/>
  <w15:chartTrackingRefBased/>
  <w15:docId w15:val="{B05E4E0A-5631-469F-BD5C-6FFF950C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535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8C49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30B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C49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C49AE"/>
    <w:rPr>
      <w:sz w:val="20"/>
      <w:szCs w:val="20"/>
    </w:rPr>
  </w:style>
  <w:style w:type="character" w:styleId="Appelnotedebasdep">
    <w:name w:val="footnote reference"/>
    <w:basedOn w:val="Policepardfaut"/>
    <w:uiPriority w:val="99"/>
    <w:semiHidden/>
    <w:unhideWhenUsed/>
    <w:rsid w:val="008C49AE"/>
    <w:rPr>
      <w:vertAlign w:val="superscript"/>
    </w:rPr>
  </w:style>
  <w:style w:type="character" w:customStyle="1" w:styleId="Titre2Car">
    <w:name w:val="Titre 2 Car"/>
    <w:basedOn w:val="Policepardfaut"/>
    <w:link w:val="Titre2"/>
    <w:uiPriority w:val="9"/>
    <w:rsid w:val="008C49AE"/>
    <w:rPr>
      <w:rFonts w:asciiTheme="majorHAnsi" w:eastAsiaTheme="majorEastAsia" w:hAnsiTheme="majorHAnsi" w:cstheme="majorBidi"/>
      <w:color w:val="2E74B5" w:themeColor="accent1" w:themeShade="BF"/>
      <w:sz w:val="26"/>
      <w:szCs w:val="26"/>
    </w:rPr>
  </w:style>
  <w:style w:type="paragraph" w:styleId="Titre">
    <w:name w:val="Title"/>
    <w:basedOn w:val="Normal"/>
    <w:next w:val="Normal"/>
    <w:link w:val="TitreCar"/>
    <w:uiPriority w:val="10"/>
    <w:qFormat/>
    <w:rsid w:val="008C49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C49AE"/>
    <w:rPr>
      <w:rFonts w:asciiTheme="majorHAnsi" w:eastAsiaTheme="majorEastAsia" w:hAnsiTheme="majorHAnsi" w:cstheme="majorBidi"/>
      <w:spacing w:val="-10"/>
      <w:kern w:val="28"/>
      <w:sz w:val="56"/>
      <w:szCs w:val="56"/>
    </w:rPr>
  </w:style>
  <w:style w:type="paragraph" w:styleId="Paragraphedeliste">
    <w:name w:val="List Paragraph"/>
    <w:aliases w:val="Dot pt,No Spacing1,List Paragraph Char Char Char,Indicator Text,Numbered Para 1,Bullet 1,List Paragraph1,F5 List Paragraph,Bullet Points,MAIN CONTENT,List Paragraph12,Bullet Style,Colorful List - Accent 11,Normal numbered,Bullets"/>
    <w:basedOn w:val="Normal"/>
    <w:link w:val="ParagraphedelisteCar"/>
    <w:uiPriority w:val="34"/>
    <w:qFormat/>
    <w:rsid w:val="008C49AE"/>
    <w:pPr>
      <w:spacing w:after="0" w:line="240" w:lineRule="auto"/>
      <w:ind w:left="720"/>
      <w:contextualSpacing/>
    </w:pPr>
  </w:style>
  <w:style w:type="character" w:customStyle="1" w:styleId="Titre3Car">
    <w:name w:val="Titre 3 Car"/>
    <w:basedOn w:val="Policepardfaut"/>
    <w:link w:val="Titre3"/>
    <w:uiPriority w:val="9"/>
    <w:rsid w:val="00C30B66"/>
    <w:rPr>
      <w:rFonts w:asciiTheme="majorHAnsi" w:eastAsiaTheme="majorEastAsia" w:hAnsiTheme="majorHAnsi" w:cstheme="majorBidi"/>
      <w:color w:val="1F4D78" w:themeColor="accent1" w:themeShade="7F"/>
      <w:sz w:val="24"/>
      <w:szCs w:val="24"/>
    </w:rPr>
  </w:style>
  <w:style w:type="table" w:styleId="Grilledutableau">
    <w:name w:val="Table Grid"/>
    <w:basedOn w:val="TableauNormal"/>
    <w:uiPriority w:val="39"/>
    <w:rsid w:val="00285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7080A"/>
    <w:pPr>
      <w:tabs>
        <w:tab w:val="center" w:pos="4536"/>
        <w:tab w:val="right" w:pos="9072"/>
      </w:tabs>
      <w:spacing w:after="0" w:line="240" w:lineRule="auto"/>
    </w:pPr>
  </w:style>
  <w:style w:type="character" w:customStyle="1" w:styleId="En-tteCar">
    <w:name w:val="En-tête Car"/>
    <w:basedOn w:val="Policepardfaut"/>
    <w:link w:val="En-tte"/>
    <w:uiPriority w:val="99"/>
    <w:rsid w:val="00A7080A"/>
  </w:style>
  <w:style w:type="paragraph" w:styleId="Pieddepage">
    <w:name w:val="footer"/>
    <w:basedOn w:val="Normal"/>
    <w:link w:val="PieddepageCar"/>
    <w:uiPriority w:val="99"/>
    <w:unhideWhenUsed/>
    <w:rsid w:val="00A708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080A"/>
  </w:style>
  <w:style w:type="character" w:styleId="Marquedecommentaire">
    <w:name w:val="annotation reference"/>
    <w:basedOn w:val="Policepardfaut"/>
    <w:uiPriority w:val="99"/>
    <w:semiHidden/>
    <w:unhideWhenUsed/>
    <w:rsid w:val="00F64144"/>
    <w:rPr>
      <w:sz w:val="16"/>
      <w:szCs w:val="16"/>
    </w:rPr>
  </w:style>
  <w:style w:type="paragraph" w:styleId="Commentaire">
    <w:name w:val="annotation text"/>
    <w:basedOn w:val="Normal"/>
    <w:link w:val="CommentaireCar"/>
    <w:uiPriority w:val="99"/>
    <w:semiHidden/>
    <w:unhideWhenUsed/>
    <w:rsid w:val="00F64144"/>
    <w:pPr>
      <w:spacing w:after="0" w:line="240" w:lineRule="auto"/>
    </w:pPr>
    <w:rPr>
      <w:sz w:val="20"/>
      <w:szCs w:val="20"/>
    </w:rPr>
  </w:style>
  <w:style w:type="character" w:customStyle="1" w:styleId="CommentaireCar">
    <w:name w:val="Commentaire Car"/>
    <w:basedOn w:val="Policepardfaut"/>
    <w:link w:val="Commentaire"/>
    <w:uiPriority w:val="99"/>
    <w:semiHidden/>
    <w:rsid w:val="00F64144"/>
    <w:rPr>
      <w:sz w:val="20"/>
      <w:szCs w:val="20"/>
    </w:rPr>
  </w:style>
  <w:style w:type="paragraph" w:styleId="Textedebulles">
    <w:name w:val="Balloon Text"/>
    <w:basedOn w:val="Normal"/>
    <w:link w:val="TextedebullesCar"/>
    <w:uiPriority w:val="99"/>
    <w:semiHidden/>
    <w:unhideWhenUsed/>
    <w:rsid w:val="00F6414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4144"/>
    <w:rPr>
      <w:rFonts w:ascii="Segoe UI" w:hAnsi="Segoe UI" w:cs="Segoe UI"/>
      <w:sz w:val="18"/>
      <w:szCs w:val="18"/>
    </w:rPr>
  </w:style>
  <w:style w:type="character" w:customStyle="1" w:styleId="ParagraphedelisteCar">
    <w:name w:val="Paragraphe de liste Car"/>
    <w:aliases w:val="Dot pt Car,No Spacing1 Car,List Paragraph Char Char Char Car,Indicator Text Car,Numbered Para 1 Car,Bullet 1 Car,List Paragraph1 Car,F5 List Paragraph Car,Bullet Points Car,MAIN CONTENT Car,List Paragraph12 Car,Bullet Style Car"/>
    <w:link w:val="Paragraphedeliste"/>
    <w:uiPriority w:val="34"/>
    <w:qFormat/>
    <w:locked/>
    <w:rsid w:val="003F0CB5"/>
  </w:style>
  <w:style w:type="character" w:customStyle="1" w:styleId="Titre1Car">
    <w:name w:val="Titre 1 Car"/>
    <w:basedOn w:val="Policepardfaut"/>
    <w:link w:val="Titre1"/>
    <w:uiPriority w:val="9"/>
    <w:rsid w:val="0005357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9982F-86BD-42F2-A2B8-0AA93A224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Pages>
  <Words>1932</Words>
  <Characters>10627</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Fadella FAKRET</dc:creator>
  <cp:keywords/>
  <dc:description/>
  <cp:lastModifiedBy>Marilou FIORENTINO</cp:lastModifiedBy>
  <cp:revision>14</cp:revision>
  <cp:lastPrinted>2022-09-14T16:41:00Z</cp:lastPrinted>
  <dcterms:created xsi:type="dcterms:W3CDTF">2024-07-03T07:53:00Z</dcterms:created>
  <dcterms:modified xsi:type="dcterms:W3CDTF">2024-07-03T09:28:00Z</dcterms:modified>
</cp:coreProperties>
</file>