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Calibri" w:cs="Calibri" w:eastAsia="Calibri" w:hAnsi="Calibri"/>
          <w:b/>
          <w:bCs/>
          <w:color w:val="B8901F"/>
          <w:sz w:val="20"/>
          <w:szCs w:val="20"/>
        </w:rPr>
        <w:t xml:space="preserve">EU MOLDALIGN  ·  COMPOSANTE 2  ·  TERMES DE RÉFÉRENCE</w:t>
      </w:r>
    </w:p>
    <w:p>
      <w:pPr>
        <w:spacing w:after="80"/>
      </w:pPr>
      <w:r>
        <w:rPr>
          <w:rFonts w:ascii="Cambria" w:cs="Cambria" w:eastAsia="Cambria" w:hAnsi="Cambria"/>
          <w:b/>
          <w:bCs/>
          <w:color w:val="1F3864"/>
          <w:sz w:val="36"/>
          <w:szCs w:val="36"/>
        </w:rPr>
        <w:t xml:space="preserve">Expert en partenariats public-privé et concessions : dossier d'appui au cadre juridique</w:t>
      </w:r>
    </w:p>
    <w:p>
      <w:pPr>
        <w:spacing w:after="140"/>
      </w:pPr>
      <w:r>
        <w:rPr>
          <w:rFonts w:ascii="Cambria" w:cs="Cambria" w:eastAsia="Cambria" w:hAnsi="Cambria"/>
          <w:i/>
          <w:iCs/>
          <w:color w:val="5B6070"/>
          <w:sz w:val="23"/>
          <w:szCs w:val="23"/>
        </w:rPr>
        <w:t xml:space="preserve">Activité 2.3.5 (appui à la finalisation et à la mise en œuvre du cadre juridique des partenariats public-privé et des concessions)</w:t>
      </w:r>
    </w:p>
    <w:p>
      <w:pPr>
        <w:pBdr>
          <w:bottom w:val="single" w:color="B8901F" w:sz="8" w:space="6"/>
        </w:pBdr>
        <w:spacing w:after="220"/>
      </w:pPr>
      <w:r>
        <w:rPr>
          <w:rFonts w:ascii="Calibri" w:cs="Calibri" w:eastAsia="Calibri" w:hAnsi="Calibri"/>
          <w:color w:val="5B6070"/>
          <w:sz w:val="18"/>
          <w:szCs w:val="18"/>
        </w:rPr>
        <w:t xml:space="preserve">Version 2 du 4 novembre 2026 · Contrat de prestation de services d'expert individuel (CPS EI), à exécution perlée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F3864" w:sz="18"/>
              <w:bottom w:val="none" w:color="FFFFFF" w:sz="0"/>
              <w:right w:val="none" w:color="FFFFFF" w:sz="0"/>
            </w:tcBorders>
            <w:shd w:fill="EEF1F7" w:color="auto" w:val="clear"/>
            <w:tcMar>
              <w:top w:type="dxa" w:w="140"/>
              <w:left w:type="dxa" w:w="220"/>
              <w:bottom w:type="dxa" w:w="120"/>
              <w:right w:type="dxa" w:w="200"/>
            </w:tcMar>
          </w:tcPr>
          <w:p>
            <w:pPr>
              <w:spacing w:after="100"/>
            </w:pPr>
            <w:r>
              <w:rPr>
                <w:rFonts w:ascii="Calibri" w:cs="Calibri" w:eastAsia="Calibri" w:hAnsi="Calibri"/>
                <w:b/>
                <w:bCs/>
                <w:color w:val="1F3864"/>
                <w:sz w:val="23"/>
                <w:szCs w:val="23"/>
              </w:rPr>
              <w:t xml:space="preserve">La mission en bref</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2000"/>
              <w:gridCol w:w="7238"/>
            </w:tblGrid>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Projet</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Improving Moldova's Access to the EU Single Market and Advancing SOE Reform (EU MoldAlign), financé par l'Union européenne, composante 2 mise en œuvre par Expertise France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Objet</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Remettre au MDED un dossier d'appui au projet de loi sur les partenariats public-privé (PPP) : traitement des observations de la consultation, analyse d'alignement sur l'acquis de l'Union européenne, en particulier la directive 2014/23/UE, et propositions de rédaction ; puis appuyer la préparation des textes d'application</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Bénéficiaires</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Ministère du Développement économique et de la Digitalisation (MDED) et Agence de la propriété publique (APP)</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Nature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Expertise perlée, contrat d'expert individuel conclu intuitu personae, organisé en deux lots et six livrables ; le lot B est une tranche optionnelle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Volume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20 jours d'expertise : 14 jours pour le lot A, 6 jours pour le lot B</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Période</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De la notification du contrat (visée autour du 23 novembre 2026) au 30 juin 2027, prolongeable jusqu'au 31 décembre 2027 pour tenir compte du calendrier parlementaire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Échéance clé</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18 décembre 2026 : remise au MDED du dossier d'appui au projet de loi</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Lieu</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Chișinău (réunions de travail et restitution) et travail à distance</w:t>
                  </w:r>
                </w:p>
              </w:tc>
            </w:tr>
            <w:tr>
              <w:trPr>
                <w:cantSplit/>
              </w:trPr>
              <w:tc>
                <w:tcPr>
                  <w:tcW w:type="dxa" w:w="20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Rémunération</w:t>
                  </w:r>
                </w:p>
              </w:tc>
              <w:tc>
                <w:tcPr>
                  <w:tcW w:type="dxa" w:w="72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sz w:val="19"/>
                      <w:szCs w:val="19"/>
                    </w:rPr>
                    <w:t xml:space="preserve">Prix forfaitaire par livrable</w:t>
                  </w:r>
                </w:p>
              </w:tc>
            </w:tr>
          </w:tbl>
          <w:p/>
        </w:tc>
      </w:tr>
    </w:tbl>
    <w:p>
      <w:pPr>
        <w:spacing w:after="200"/>
      </w:pPr>
    </w:p>
    <w:p>
      <w:pPr>
        <w:pStyle w:val="Heading1"/>
      </w:pPr>
      <w:r>
        <w:t xml:space="preserve">1. Contexte</w:t>
      </w:r>
    </w:p>
    <w:p>
      <w:pPr>
        <w:spacing w:after="120" w:line="288"/>
        <w:jc w:val="both"/>
      </w:pPr>
      <w:r>
        <w:rPr>
          <w:rFonts w:ascii="Calibri" w:cs="Calibri" w:eastAsia="Calibri" w:hAnsi="Calibri"/>
          <w:sz w:val="21"/>
          <w:szCs w:val="21"/>
        </w:rPr>
        <w:t xml:space="preserve">Le projet EU MoldAlign appuie la République de Moldavie dans son rapprochement avec le marché unique européen. Sa composante 2, mise en œuvre par Expertise France, accompagne la réforme des entreprises publiques et la gestion des actifs de l'État, en appui technique au MDED et à l'APP. Son troisième axe porte sur une gestion transparente, prévisible et efficace des actifs publics : privatisation, restructuration, partenariats public-privé, concessions.</w:t>
      </w:r>
    </w:p>
    <w:p>
      <w:pPr>
        <w:spacing w:after="120" w:line="288"/>
        <w:jc w:val="both"/>
      </w:pPr>
      <w:r>
        <w:rPr>
          <w:rFonts w:ascii="Calibri" w:cs="Calibri" w:eastAsia="Calibri" w:hAnsi="Calibri"/>
          <w:sz w:val="21"/>
          <w:szCs w:val="21"/>
        </w:rPr>
        <w:t xml:space="preserve">Un projet de loi sur les partenariats public-privé a été préparé par le MDED et soumis à consultation. Il vise à moderniser le cadre en vigueur et à l'aligner sur l'acquis de l'Union européenne, en particulier la directive 2014/23/UE sur l'attribution de contrats de concession. La consultation a donné lieu à des observations des autorités et des parties prenantes nationales, ainsi que des représentants de l'Union européenne.</w:t>
      </w:r>
    </w:p>
    <w:p>
      <w:pPr>
        <w:spacing w:after="120" w:line="288"/>
        <w:jc w:val="both"/>
      </w:pPr>
      <w:r>
        <w:rPr>
          <w:rFonts w:ascii="Calibri" w:cs="Calibri" w:eastAsia="Calibri" w:hAnsi="Calibri"/>
          <w:sz w:val="21"/>
          <w:szCs w:val="21"/>
        </w:rPr>
        <w:t xml:space="preserve">Dans son plan d'action d'octobre 2026, le MDED a placé cette activité parmi ses priorités pour décembre 2026. La feuille de route de la composante 2 prévoit en conséquence la remise au MDED, le 18 décembre 2026, d'un dossier d'appui centré sur la loi et ses textes d'application, puis un appui aux textes d'application en 2027, selon le calendrier parlementaire. Le cadre opérationnel de mise en œuvre (guides, procédures, contrats types) relève d'une étape ultérieure.</w:t>
      </w:r>
    </w:p>
    <w:p>
      <w:pPr>
        <w:spacing w:after="120" w:line="288"/>
        <w:jc w:val="both"/>
      </w:pPr>
      <w:r>
        <w:rPr>
          <w:rFonts w:ascii="Calibri" w:cs="Calibri" w:eastAsia="Calibri" w:hAnsi="Calibri"/>
          <w:sz w:val="21"/>
          <w:szCs w:val="21"/>
        </w:rPr>
        <w:t xml:space="preserve">Les choix de politique publique et la rédaction finale des textes appartiennent aux autorités moldaves. Le projet leur apporte un appui technique.</w:t>
      </w:r>
    </w:p>
    <w:p>
      <w:pPr>
        <w:pStyle w:val="Heading1"/>
      </w:pPr>
      <w:r>
        <w:t xml:space="preserve">2. Objet de la mission et résultats attendus</w:t>
      </w:r>
    </w:p>
    <w:p>
      <w:pPr>
        <w:pStyle w:val="ListParagraph"/>
        <w:numPr>
          <w:ilvl w:val="0"/>
          <w:numId w:val="2"/>
        </w:numPr>
        <w:spacing w:after="60" w:line="276"/>
      </w:pPr>
      <w:r>
        <w:rPr>
          <w:rFonts w:ascii="Calibri" w:cs="Calibri" w:eastAsia="Calibri" w:hAnsi="Calibri"/>
          <w:b/>
          <w:bCs/>
          <w:sz w:val="21"/>
          <w:szCs w:val="21"/>
        </w:rPr>
        <w:t xml:space="preserve">Lot A, dossier d'appui au projet de loi (18 décembre 2026)</w:t>
      </w:r>
      <w:r>
        <w:rPr>
          <w:rFonts w:ascii="Calibri" w:cs="Calibri" w:eastAsia="Calibri" w:hAnsi="Calibri"/>
          <w:sz w:val="21"/>
          <w:szCs w:val="21"/>
        </w:rPr>
        <w:t xml:space="preserve"> : le MDED dispose d'un tableau consolidé des observations de la consultation, avec une proposition de traitement pour chacune ; d'une analyse d'alignement du projet de loi sur la directive 2014/23/UE et sur les autres textes de l'acquis pertinents ; de propositions de rédaction prêtes à être intégrées au projet ; d'une note explicative courte pour la suite de la procédure d'adoption.</w:t>
      </w:r>
    </w:p>
    <w:p>
      <w:pPr>
        <w:pStyle w:val="ListParagraph"/>
        <w:numPr>
          <w:ilvl w:val="0"/>
          <w:numId w:val="2"/>
        </w:numPr>
        <w:spacing w:after="60" w:line="276"/>
      </w:pPr>
      <w:r>
        <w:rPr>
          <w:rFonts w:ascii="Calibri" w:cs="Calibri" w:eastAsia="Calibri" w:hAnsi="Calibri"/>
          <w:b/>
          <w:bCs/>
          <w:sz w:val="21"/>
          <w:szCs w:val="21"/>
        </w:rPr>
        <w:t xml:space="preserve">Lot B, textes d'application (2027, tranche optionnelle)</w:t>
      </w:r>
      <w:r>
        <w:rPr>
          <w:rFonts w:ascii="Calibri" w:cs="Calibri" w:eastAsia="Calibri" w:hAnsi="Calibri"/>
          <w:sz w:val="21"/>
          <w:szCs w:val="21"/>
        </w:rPr>
        <w:t xml:space="preserve"> : le MDED dispose de la liste des actes d'application à adopter, hiérarchisée et calendée, et des projets des actes prioritaires, assortis de leurs notes explicatives.</w:t>
      </w:r>
    </w:p>
    <w:p>
      <w:pPr>
        <w:spacing w:after="120" w:line="288"/>
        <w:jc w:val="both"/>
      </w:pPr>
      <w:r>
        <w:rPr>
          <w:rFonts w:ascii="Calibri" w:cs="Calibri" w:eastAsia="Calibri" w:hAnsi="Calibri"/>
          <w:sz w:val="21"/>
          <w:szCs w:val="21"/>
        </w:rPr>
        <w:t xml:space="preserve">Le dossier se concentre sur les textes. Il ne comprend ni l'évaluation de projets de PPP particuliers, ni la préparation de contrats.</w:t>
      </w:r>
    </w:p>
    <w:p>
      <w:pPr>
        <w:pStyle w:val="Heading1"/>
      </w:pPr>
      <w:r>
        <w:t xml:space="preserve">3. Textes et documents à examiner</w:t>
      </w:r>
    </w:p>
    <w:p>
      <w:pPr>
        <w:spacing w:after="120" w:line="288"/>
        <w:jc w:val="both"/>
      </w:pPr>
      <w:r>
        <w:rPr>
          <w:rFonts w:ascii="Calibri" w:cs="Calibri" w:eastAsia="Calibri" w:hAnsi="Calibri"/>
          <w:sz w:val="21"/>
          <w:szCs w:val="21"/>
        </w:rPr>
        <w:t xml:space="preserve">L'expert travaille sur la dernière version du projet de loi et sur les versions consolidées des textes en vigueur publiées au Registre d'État des actes juridiques (legis.md), complétées des documents transmis par le MDED et l'APP. Le projet met à sa disposition des traductions de travail en anglais des textes en roumain.</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4300"/>
        <w:gridCol w:w="3500"/>
        <w:gridCol w:w="1438"/>
      </w:tblGrid>
      <w:tr>
        <w:trPr>
          <w:tblHeader/>
        </w:trPr>
        <w:tc>
          <w:tcPr>
            <w:tcW w:type="dxa" w:w="43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Texte ou document</w:t>
            </w:r>
          </w:p>
        </w:tc>
        <w:tc>
          <w:tcPr>
            <w:tcW w:type="dxa" w:w="35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Objet</w:t>
            </w:r>
          </w:p>
        </w:tc>
        <w:tc>
          <w:tcPr>
            <w:tcW w:type="dxa" w:w="14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Lots</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Projet de loi sur les partenariats public-privé (dernière version) et sa note explicative</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Texte à finaliser</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Observations reçues lors de la consultation, y compris celles des représentants de l'Union européenne</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Matière du tableau consolidé</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Loi n° 179/2008 sur le partenariat public-privé et ses textes d'application</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Cadre en vigueur</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Législation sur les concessions de travaux et de services, dans sa version consolidée</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Articulation avec le projet de loi</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Législation sur les marchés publics, y compris la nouvelle loi dont l'entrée en vigueur est prévue en janvier 2027</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Articulation des procédures d'attribution et des voies de recours</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Loi n° 181/2014 sur les finances publiques et la responsabilité budgétaire</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Engagements budgétaires et risques liés aux PPP</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Loi n° 121/2007 sur l'administration et la dénationalisation de la propriété publique</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Rôle de l'APP et biens de l'État mis à disposition</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Directive 2014/23/UE sur l'attribution de contrats de concession ; directive 2014/24/UE pour les PPP qui relèvent des marchés publics ; directive 89/665/CEE sur les recours</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Référence d'alignement</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r>
        <w:trPr>
          <w:cantSplit/>
        </w:trPr>
        <w:tc>
          <w:tcPr>
            <w:tcW w:type="dxa" w:w="43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Plan d'action du MDED (octobre 2026) ; liste des projets de PPP et de concessions en préparation, transmise par l'APP</w:t>
            </w:r>
          </w:p>
        </w:tc>
        <w:tc>
          <w:tcPr>
            <w:tcW w:type="dxa" w:w="35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Priorités et cas concrets d'application</w:t>
            </w:r>
          </w:p>
        </w:tc>
        <w:tc>
          <w:tcPr>
            <w:tcW w:type="dxa" w:w="14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A, B</w:t>
            </w:r>
          </w:p>
        </w:tc>
      </w:tr>
    </w:tbl>
    <w:p>
      <w:pPr>
        <w:spacing w:after="80"/>
      </w:pPr>
    </w:p>
    <w:p>
      <w:pPr>
        <w:spacing w:after="120" w:line="288"/>
        <w:jc w:val="both"/>
      </w:pPr>
      <w:r>
        <w:rPr>
          <w:rFonts w:ascii="Calibri" w:cs="Calibri" w:eastAsia="Calibri" w:hAnsi="Calibri"/>
          <w:i/>
          <w:iCs/>
          <w:color w:val="5B6070"/>
          <w:sz w:val="19"/>
          <w:szCs w:val="19"/>
        </w:rPr>
        <w:t xml:space="preserve">La liste pourra être complétée à la demande du MDED, de l'APP ou du chef de composante.</w:t>
      </w:r>
    </w:p>
    <w:p>
      <w:pPr>
        <w:pStyle w:val="Heading1"/>
      </w:pPr>
      <w:r>
        <w:t xml:space="preserve">4. Activités</w:t>
      </w:r>
    </w:p>
    <w:p>
      <w:pPr>
        <w:keepNext/>
        <w:spacing w:after="80" w:before="160"/>
      </w:pPr>
      <w:r>
        <w:rPr>
          <w:rFonts w:ascii="Calibri" w:cs="Calibri" w:eastAsia="Calibri" w:hAnsi="Calibri"/>
          <w:b/>
          <w:bCs/>
          <w:color w:val="1F3864"/>
          <w:sz w:val="22"/>
          <w:szCs w:val="22"/>
        </w:rPr>
        <w:t xml:space="preserve">Lot A · Dossier d'appui au projet de loi (2.3.5) · 14 jours</w:t>
      </w:r>
    </w:p>
    <w:p>
      <w:pPr>
        <w:pStyle w:val="ListParagraph"/>
        <w:numPr>
          <w:ilvl w:val="0"/>
          <w:numId w:val="2"/>
        </w:numPr>
        <w:spacing w:after="60" w:line="276"/>
      </w:pPr>
      <w:r>
        <w:rPr>
          <w:rFonts w:ascii="Calibri" w:cs="Calibri" w:eastAsia="Calibri" w:hAnsi="Calibri"/>
          <w:b/>
          <w:bCs/>
          <w:sz w:val="21"/>
          <w:szCs w:val="21"/>
        </w:rPr>
        <w:t xml:space="preserve">Cadrage, dans les cinq jours ouvrés suivant la notification</w:t>
      </w:r>
      <w:r>
        <w:rPr>
          <w:rFonts w:ascii="Calibri" w:cs="Calibri" w:eastAsia="Calibri" w:hAnsi="Calibri"/>
          <w:sz w:val="21"/>
          <w:szCs w:val="21"/>
        </w:rPr>
        <w:t xml:space="preserve"> : lecture du projet de loi et des observations reçues, entretien de cadrage avec le MDED (direction en charge des PPP) et l'APP (direction PPP et projets d'investissement), liste des questions ouvertes et plan de travail jusqu'au 18 décembre.</w:t>
      </w:r>
    </w:p>
    <w:p>
      <w:pPr>
        <w:pStyle w:val="ListParagraph"/>
        <w:numPr>
          <w:ilvl w:val="0"/>
          <w:numId w:val="2"/>
        </w:numPr>
        <w:spacing w:after="60" w:line="276"/>
      </w:pPr>
      <w:r>
        <w:rPr>
          <w:rFonts w:ascii="Calibri" w:cs="Calibri" w:eastAsia="Calibri" w:hAnsi="Calibri"/>
          <w:b/>
          <w:bCs/>
          <w:sz w:val="21"/>
          <w:szCs w:val="21"/>
        </w:rPr>
        <w:t xml:space="preserve">Tableau consolidé des observations</w:t>
      </w:r>
      <w:r>
        <w:rPr>
          <w:rFonts w:ascii="Calibri" w:cs="Calibri" w:eastAsia="Calibri" w:hAnsi="Calibri"/>
          <w:sz w:val="21"/>
          <w:szCs w:val="21"/>
        </w:rPr>
        <w:t xml:space="preserve"> : pour chaque observation de la consultation, son auteur, l'article visé, la proposition de traitement (retenue, retenue en partie, non retenue) et sa justification. Les observations des représentants de l'Union européenne font l'objet d'un traitement explicite.</w:t>
      </w:r>
    </w:p>
    <w:p>
      <w:pPr>
        <w:pStyle w:val="ListParagraph"/>
        <w:numPr>
          <w:ilvl w:val="0"/>
          <w:numId w:val="2"/>
        </w:numPr>
        <w:spacing w:after="60" w:line="276"/>
      </w:pPr>
      <w:r>
        <w:rPr>
          <w:rFonts w:ascii="Calibri" w:cs="Calibri" w:eastAsia="Calibri" w:hAnsi="Calibri"/>
          <w:b/>
          <w:bCs/>
          <w:sz w:val="21"/>
          <w:szCs w:val="21"/>
        </w:rPr>
        <w:t xml:space="preserve">Analyse d'alignement</w:t>
      </w:r>
      <w:r>
        <w:rPr>
          <w:rFonts w:ascii="Calibri" w:cs="Calibri" w:eastAsia="Calibri" w:hAnsi="Calibri"/>
          <w:sz w:val="21"/>
          <w:szCs w:val="21"/>
        </w:rPr>
        <w:t xml:space="preserve"> : tableau de concordance entre le projet de loi et la directive 2014/23/UE (champ, seuils, définition du risque d'exploitation, durée, procédures d'attribution, publicité, critères d'attribution, modification et résiliation des contrats, recours), et, pour les PPP qui relèvent des marchés publics, la directive 2014/24/UE. L'analyse couvre aussi les points que la directive ne règle pas mais qui conditionnent la qualité du cadre : étude de faisabilité et analyse de la valeur pour l'argent public, accord préalable du ministère des Finances et suivi des engagements budgétaires, offres spontanées, transparence et publication des contrats, rôle respectif du MDED, de l'APP et des autorités publiques locales.</w:t>
      </w:r>
    </w:p>
    <w:p>
      <w:pPr>
        <w:pStyle w:val="ListParagraph"/>
        <w:numPr>
          <w:ilvl w:val="0"/>
          <w:numId w:val="2"/>
        </w:numPr>
        <w:spacing w:after="60" w:line="276"/>
      </w:pPr>
      <w:r>
        <w:rPr>
          <w:rFonts w:ascii="Calibri" w:cs="Calibri" w:eastAsia="Calibri" w:hAnsi="Calibri"/>
          <w:b/>
          <w:bCs/>
          <w:sz w:val="21"/>
          <w:szCs w:val="21"/>
        </w:rPr>
        <w:t xml:space="preserve">Propositions de rédaction et note explicative</w:t>
      </w:r>
      <w:r>
        <w:rPr>
          <w:rFonts w:ascii="Calibri" w:cs="Calibri" w:eastAsia="Calibri" w:hAnsi="Calibri"/>
          <w:sz w:val="21"/>
          <w:szCs w:val="21"/>
        </w:rPr>
        <w:t xml:space="preserve"> : propositions d'amendements, article par article, prêtes à être intégrées au projet de loi ; note explicative courte présentant les choix proposés et les points laissés à la décision du MDED ; présentation au MDED au cours de la semaine du 14 décembre.</w:t>
      </w:r>
    </w:p>
    <w:p>
      <w:pPr>
        <w:keepNext/>
        <w:spacing w:after="80" w:before="160"/>
      </w:pPr>
      <w:r>
        <w:rPr>
          <w:rFonts w:ascii="Calibri" w:cs="Calibri" w:eastAsia="Calibri" w:hAnsi="Calibri"/>
          <w:b/>
          <w:bCs/>
          <w:color w:val="1F3864"/>
          <w:sz w:val="22"/>
          <w:szCs w:val="22"/>
        </w:rPr>
        <w:t xml:space="preserve">Lot B · Textes d'application (2.3.5) · 6 jours · tranche optionnelle</w:t>
      </w:r>
    </w:p>
    <w:p>
      <w:pPr>
        <w:pStyle w:val="ListParagraph"/>
        <w:numPr>
          <w:ilvl w:val="0"/>
          <w:numId w:val="2"/>
        </w:numPr>
        <w:spacing w:after="60" w:line="276"/>
      </w:pPr>
      <w:r>
        <w:rPr>
          <w:rFonts w:ascii="Calibri" w:cs="Calibri" w:eastAsia="Calibri" w:hAnsi="Calibri"/>
          <w:b/>
          <w:bCs/>
          <w:sz w:val="21"/>
          <w:szCs w:val="21"/>
        </w:rPr>
        <w:t xml:space="preserve">Feuille de route des textes d'application</w:t>
      </w:r>
      <w:r>
        <w:rPr>
          <w:rFonts w:ascii="Calibri" w:cs="Calibri" w:eastAsia="Calibri" w:hAnsi="Calibri"/>
          <w:sz w:val="21"/>
          <w:szCs w:val="21"/>
        </w:rPr>
        <w:t xml:space="preserve"> : liste des actes d'application prévus par le projet de loi, niveau de norme, autorité compétente, ordre de priorité et calendrier, en lien avec la procédure d'adoption de la loi.</w:t>
      </w:r>
    </w:p>
    <w:p>
      <w:pPr>
        <w:pStyle w:val="ListParagraph"/>
        <w:numPr>
          <w:ilvl w:val="0"/>
          <w:numId w:val="2"/>
        </w:numPr>
        <w:spacing w:after="60" w:line="276"/>
      </w:pPr>
      <w:r>
        <w:rPr>
          <w:rFonts w:ascii="Calibri" w:cs="Calibri" w:eastAsia="Calibri" w:hAnsi="Calibri"/>
          <w:b/>
          <w:bCs/>
          <w:sz w:val="21"/>
          <w:szCs w:val="21"/>
        </w:rPr>
        <w:t xml:space="preserve">Projets d'actes prioritaires</w:t>
      </w:r>
      <w:r>
        <w:rPr>
          <w:rFonts w:ascii="Calibri" w:cs="Calibri" w:eastAsia="Calibri" w:hAnsi="Calibri"/>
          <w:sz w:val="21"/>
          <w:szCs w:val="21"/>
        </w:rPr>
        <w:t xml:space="preserve"> : projets des deux actes d'application jugés prioritaires par le MDED (par exemple la procédure d'attribution, ou l'étude de faisabilité et l'évaluation préalable), avec leurs notes explicatives et, le cas échéant, le tableau de concordance avec l'acquis.</w:t>
      </w:r>
    </w:p>
    <w:p>
      <w:pPr>
        <w:spacing w:after="120" w:line="288"/>
        <w:jc w:val="both"/>
      </w:pPr>
      <w:r>
        <w:rPr>
          <w:rFonts w:ascii="Calibri" w:cs="Calibri" w:eastAsia="Calibri" w:hAnsi="Calibri"/>
          <w:sz w:val="21"/>
          <w:szCs w:val="21"/>
        </w:rPr>
        <w:t xml:space="preserve">Expertise France affermit le lot B par écrit, au vu de l'avancement de la procédure d'adoption de la loi, au plus tard le 31 mars 2027. Si le lot B n'est pas affermi à cette date, il n'est pas exécuté et ne donne lieu à aucun paiement. Aucun travail du lot B n'est engagé avant son affermissement.</w:t>
      </w:r>
    </w:p>
    <w:p>
      <w:pPr>
        <w:pStyle w:val="Heading1"/>
      </w:pPr>
      <w:r>
        <w:t xml:space="preserve">5. Livrables, calendrier et jours</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2600"/>
        <w:gridCol w:w="3838"/>
        <w:gridCol w:w="1900"/>
        <w:gridCol w:w="900"/>
      </w:tblGrid>
      <w:tr>
        <w:trPr>
          <w:tblHeader/>
        </w:trPr>
        <w:tc>
          <w:tcPr>
            <w:tcW w:type="dxa" w:w="26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Livrable</w:t>
            </w:r>
          </w:p>
        </w:tc>
        <w:tc>
          <w:tcPr>
            <w:tcW w:type="dxa" w:w="38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Contenu</w:t>
            </w:r>
          </w:p>
        </w:tc>
        <w:tc>
          <w:tcPr>
            <w:tcW w:type="dxa" w:w="19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Échéance</w:t>
            </w:r>
          </w:p>
        </w:tc>
        <w:tc>
          <w:tcPr>
            <w:tcW w:type="dxa" w:w="9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Jours</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A1 · Note de cadrage</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Questions ouvertes, documents manquants, plan de travail (3 pages au plus)</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Cinq jours ouvrés après la notification</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2</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A2 · Tableau consolidé des observations</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Une ligne par observation : auteur, article, traitement proposé, justification</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4 décembre 2026</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4</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A3 · Analyse d'alignement</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Tableau de concordance avec la directive 2014/23/UE et, s'il y a lieu, la directive 2014/24/UE ; analyse des points non couverts par les directives (10 à 15 pages, hors annexes)</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11 décembre 2026</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5</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A4 · Dossier d'appui final</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Propositions de rédaction article par article ; note explicative (5 pages au plus) ; présentation au MDED</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18 décembre 2026</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3</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B1 · Feuille de route des textes d'application</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Liste hiérarchisée et calendrier des actes d'application (3 pages au plus)</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30 avril 2027</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B2 · Projets d'actes prioritaires</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Deux projets d'actes d'application avec leurs notes explicatives</w:t>
            </w: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30 juin 2027, reportable au plus tard au 31 décembre 2027 selon le calendrier parlementaire</w:t>
            </w: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5</w:t>
            </w:r>
          </w:p>
        </w:tc>
      </w:tr>
      <w:tr>
        <w:trPr>
          <w:cantSplit/>
        </w:trPr>
        <w:tc>
          <w:tcPr>
            <w:tcW w:type="dxa" w:w="2600"/>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Total</w:t>
            </w:r>
          </w:p>
        </w:tc>
        <w:tc>
          <w:tcPr>
            <w:tcW w:type="dxa" w:w="3838"/>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p>
        </w:tc>
        <w:tc>
          <w:tcPr>
            <w:tcW w:type="dxa" w:w="1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p>
        </w:tc>
        <w:tc>
          <w:tcPr>
            <w:tcW w:type="dxa" w:w="9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20</w:t>
            </w:r>
          </w:p>
        </w:tc>
      </w:tr>
    </w:tbl>
    <w:p>
      <w:pPr>
        <w:spacing w:after="100"/>
      </w:pPr>
    </w:p>
    <w:p>
      <w:pPr>
        <w:spacing w:after="120" w:line="288"/>
        <w:jc w:val="both"/>
      </w:pPr>
      <w:r>
        <w:rPr>
          <w:rFonts w:ascii="Calibri" w:cs="Calibri" w:eastAsia="Calibri" w:hAnsi="Calibri"/>
          <w:b/>
          <w:bCs/>
          <w:sz w:val="21"/>
          <w:szCs w:val="21"/>
        </w:rPr>
        <w:t xml:space="preserve">Rythme.</w:t>
      </w:r>
      <w:r>
        <w:rPr>
          <w:rFonts w:ascii="Calibri" w:cs="Calibri" w:eastAsia="Calibri" w:hAnsi="Calibri"/>
          <w:sz w:val="21"/>
          <w:szCs w:val="21"/>
        </w:rPr>
        <w:t xml:space="preserve"> La mission est perlée : environ 14 jours entre la notification et le 18 décembre 2026, puis 6 jours en 2027 si le lot B est affermi. Si l'adoption de la loi est retardée, Expertise France peut, par notification écrite, reporter l'échéance du livrable B2 et prolonger la période d'exécution jusqu'au 31 décembre 2027, dans la limite du nombre de jours et du prix prévus au contrat. L'expert organise librement son temps ; aucune présence à temps plein n'est requise.</w:t>
      </w:r>
    </w:p>
    <w:p>
      <w:pPr>
        <w:spacing w:after="120" w:line="288"/>
        <w:jc w:val="both"/>
      </w:pPr>
      <w:r>
        <w:rPr>
          <w:rFonts w:ascii="Calibri" w:cs="Calibri" w:eastAsia="Calibri" w:hAnsi="Calibri"/>
          <w:b/>
          <w:bCs/>
          <w:sz w:val="21"/>
          <w:szCs w:val="21"/>
        </w:rPr>
        <w:t xml:space="preserve">Exigences techniques.</w:t>
      </w:r>
      <w:r>
        <w:rPr>
          <w:rFonts w:ascii="Calibri" w:cs="Calibri" w:eastAsia="Calibri" w:hAnsi="Calibri"/>
          <w:sz w:val="21"/>
          <w:szCs w:val="21"/>
        </w:rPr>
        <w:t xml:space="preserve"> Les livrables sont rédigés en anglais et remis au format Word modifiable. Les propositions de rédaction du livrable A4 sont présentées en regard du texte du projet de loi ; leur version roumaine est établie par le projet, avec le juriste de droit moldave. Chaque constat renvoie à l'article du projet de loi et à l'article de la directive concernés.</w:t>
      </w:r>
    </w:p>
    <w:p>
      <w:pPr>
        <w:spacing w:after="120" w:line="288"/>
        <w:jc w:val="both"/>
      </w:pPr>
      <w:r>
        <w:rPr>
          <w:rFonts w:ascii="Calibri" w:cs="Calibri" w:eastAsia="Calibri" w:hAnsi="Calibri"/>
          <w:b/>
          <w:bCs/>
          <w:sz w:val="21"/>
          <w:szCs w:val="21"/>
        </w:rPr>
        <w:t xml:space="preserve">Validation.</w:t>
      </w:r>
      <w:r>
        <w:rPr>
          <w:rFonts w:ascii="Calibri" w:cs="Calibri" w:eastAsia="Calibri" w:hAnsi="Calibri"/>
          <w:sz w:val="21"/>
          <w:szCs w:val="21"/>
        </w:rPr>
        <w:t xml:space="preserve"> Le chef de la composante 2 transmet ses observations dans un délai de cinq jours ouvrés après la remise de chaque livrable. Pour tenir l'échéance du 18 décembre, le délai est ramené à deux jours ouvrés pour les livrables A2 et A3. La transmission au MDED et à l'APP est faite par le projet.</w:t>
      </w:r>
    </w:p>
    <w:p>
      <w:pPr>
        <w:pStyle w:val="Heading1"/>
      </w:pPr>
      <w:r>
        <w:t xml:space="preserve">6. Organisation de la mission</w:t>
      </w:r>
    </w:p>
    <w:p>
      <w:pPr>
        <w:pStyle w:val="ListParagraph"/>
        <w:numPr>
          <w:ilvl w:val="0"/>
          <w:numId w:val="2"/>
        </w:numPr>
        <w:spacing w:after="60" w:line="276"/>
      </w:pPr>
      <w:r>
        <w:rPr>
          <w:rFonts w:ascii="Calibri" w:cs="Calibri" w:eastAsia="Calibri" w:hAnsi="Calibri"/>
          <w:sz w:val="21"/>
          <w:szCs w:val="21"/>
        </w:rPr>
        <w:t xml:space="preserve">L'expert exécute la mission en autonomie. Le chef de la composante 2 assure l'orientation technique et la validation des livrables ; il n'existe aucun lien de subordination.</w:t>
      </w:r>
    </w:p>
    <w:p>
      <w:pPr>
        <w:pStyle w:val="ListParagraph"/>
        <w:numPr>
          <w:ilvl w:val="0"/>
          <w:numId w:val="2"/>
        </w:numPr>
        <w:spacing w:after="60" w:line="276"/>
      </w:pPr>
      <w:r>
        <w:rPr>
          <w:rFonts w:ascii="Calibri" w:cs="Calibri" w:eastAsia="Calibri" w:hAnsi="Calibri"/>
          <w:sz w:val="21"/>
          <w:szCs w:val="21"/>
        </w:rPr>
        <w:t xml:space="preserve">L'expert ne représente pas Expertise France, ne prend aucun engagement et ne signe aucun document en son nom, et n'encadre aucune équipe.</w:t>
      </w:r>
    </w:p>
    <w:p>
      <w:pPr>
        <w:pStyle w:val="ListParagraph"/>
        <w:numPr>
          <w:ilvl w:val="0"/>
          <w:numId w:val="2"/>
        </w:numPr>
        <w:spacing w:after="60" w:line="276"/>
      </w:pPr>
      <w:r>
        <w:rPr>
          <w:rFonts w:ascii="Calibri" w:cs="Calibri" w:eastAsia="Calibri" w:hAnsi="Calibri"/>
          <w:sz w:val="21"/>
          <w:szCs w:val="21"/>
        </w:rPr>
        <w:t xml:space="preserve">Il travaille avec le juriste de droit moldave mobilisé par le projet (appel 16455). La répartition est la suivante : l'expert rédige le dossier d'appui (tableau des observations, analyse d'alignement, propositions de rédaction, note explicative) et, si le lot B est affermi, les projets d'actes d'application ; le juriste en vérifie la conformité au droit moldave, l'articulation avec les textes en vigueur et la terminologie juridique de la version roumaine, sans établir de proposition de rédaction distincte. Le MDED reçoit un seul dossier, remis par le projet. L'expert transmet au juriste une version de travail des propositions de rédaction au plus tard le 11 décembre 2026 ; les deux experts conviennent dès le cadrage du calendrier de cette vérification.</w:t>
      </w:r>
    </w:p>
    <w:p>
      <w:pPr>
        <w:pStyle w:val="ListParagraph"/>
        <w:numPr>
          <w:ilvl w:val="0"/>
          <w:numId w:val="2"/>
        </w:numPr>
        <w:spacing w:after="60" w:line="276"/>
      </w:pPr>
      <w:r>
        <w:rPr>
          <w:rFonts w:ascii="Calibri" w:cs="Calibri" w:eastAsia="Calibri" w:hAnsi="Calibri"/>
          <w:sz w:val="21"/>
          <w:szCs w:val="21"/>
        </w:rPr>
        <w:t xml:space="preserve">Les réunions avec les autorités moldaves (MDED, APP, ministère des Finances, Agence des marchés publics) sont organisées par le projet et tenues en présence du chef de composante ou d'un membre de l'équipe projet.</w:t>
      </w:r>
    </w:p>
    <w:p>
      <w:pPr>
        <w:pStyle w:val="ListParagraph"/>
        <w:numPr>
          <w:ilvl w:val="0"/>
          <w:numId w:val="2"/>
        </w:numPr>
        <w:spacing w:after="60" w:line="276"/>
      </w:pPr>
      <w:r>
        <w:rPr>
          <w:rFonts w:ascii="Calibri" w:cs="Calibri" w:eastAsia="Calibri" w:hAnsi="Calibri"/>
          <w:sz w:val="21"/>
          <w:szCs w:val="21"/>
        </w:rPr>
        <w:t xml:space="preserve">Lieu d'exécution : Chișinău pour la réunion de cadrage, si possible, et pour la présentation au MDED ; le reste du travail peut être réalisé à distance. Les modalités pratiques des déplacements éventuels sont précisées lors de la contractualisation.</w:t>
      </w:r>
    </w:p>
    <w:p>
      <w:pPr>
        <w:pStyle w:val="ListParagraph"/>
        <w:numPr>
          <w:ilvl w:val="0"/>
          <w:numId w:val="2"/>
        </w:numPr>
        <w:spacing w:after="60" w:line="276"/>
      </w:pPr>
      <w:r>
        <w:rPr>
          <w:rFonts w:ascii="Calibri" w:cs="Calibri" w:eastAsia="Calibri" w:hAnsi="Calibri"/>
          <w:sz w:val="21"/>
          <w:szCs w:val="21"/>
        </w:rPr>
        <w:t xml:space="preserve">Communication : l'expert ne fait aucune déclaration publique sur la mission ; toute communication relève du projet et suit sa chaîne de validation.</w:t>
      </w:r>
    </w:p>
    <w:p>
      <w:pPr>
        <w:pStyle w:val="Heading1"/>
      </w:pPr>
      <w:r>
        <w:t xml:space="preserve">7. Profil recherché</w:t>
      </w:r>
    </w:p>
    <w:p>
      <w:pPr>
        <w:pStyle w:val="Heading2"/>
      </w:pPr>
      <w:r>
        <w:t xml:space="preserve">Exigences minimales (éliminatoires)</w:t>
      </w:r>
    </w:p>
    <w:p>
      <w:pPr>
        <w:pStyle w:val="ListParagraph"/>
        <w:numPr>
          <w:ilvl w:val="0"/>
          <w:numId w:val="2"/>
        </w:numPr>
        <w:spacing w:after="60" w:line="276"/>
      </w:pPr>
      <w:r>
        <w:rPr>
          <w:rFonts w:ascii="Calibri" w:cs="Calibri" w:eastAsia="Calibri" w:hAnsi="Calibri"/>
          <w:sz w:val="21"/>
          <w:szCs w:val="21"/>
        </w:rPr>
        <w:t xml:space="preserve">Diplôme de niveau master en droit, en économie, en finance ou en politiques publiques.</w:t>
      </w:r>
    </w:p>
    <w:p>
      <w:pPr>
        <w:pStyle w:val="ListParagraph"/>
        <w:numPr>
          <w:ilvl w:val="0"/>
          <w:numId w:val="2"/>
        </w:numPr>
        <w:spacing w:after="60" w:line="276"/>
      </w:pPr>
      <w:r>
        <w:rPr>
          <w:rFonts w:ascii="Calibri" w:cs="Calibri" w:eastAsia="Calibri" w:hAnsi="Calibri"/>
          <w:sz w:val="21"/>
          <w:szCs w:val="21"/>
        </w:rPr>
        <w:t xml:space="preserve">Au moins dix ans d'expérience professionnelle dans le domaine des partenariats public-privé ou des concessions.</w:t>
      </w:r>
    </w:p>
    <w:p>
      <w:pPr>
        <w:pStyle w:val="ListParagraph"/>
        <w:numPr>
          <w:ilvl w:val="0"/>
          <w:numId w:val="2"/>
        </w:numPr>
        <w:spacing w:after="60" w:line="276"/>
      </w:pPr>
      <w:r>
        <w:rPr>
          <w:rFonts w:ascii="Calibri" w:cs="Calibri" w:eastAsia="Calibri" w:hAnsi="Calibri"/>
          <w:sz w:val="21"/>
          <w:szCs w:val="21"/>
        </w:rPr>
        <w:t xml:space="preserve">Au moins deux références dans la rédaction, la revue ou la transposition d'une loi ou d'un règlement sur les PPP ou les concessions, pour une administration publique.</w:t>
      </w:r>
    </w:p>
    <w:p>
      <w:pPr>
        <w:pStyle w:val="ListParagraph"/>
        <w:numPr>
          <w:ilvl w:val="0"/>
          <w:numId w:val="2"/>
        </w:numPr>
        <w:spacing w:after="60" w:line="276"/>
      </w:pPr>
      <w:r>
        <w:rPr>
          <w:rFonts w:ascii="Calibri" w:cs="Calibri" w:eastAsia="Calibri" w:hAnsi="Calibri"/>
          <w:sz w:val="21"/>
          <w:szCs w:val="21"/>
        </w:rPr>
        <w:t xml:space="preserve">Connaissance pratique de la directive 2014/23/UE et de sa transposition dans au moins un État membre de l'Union européenne ou un pays candidat.</w:t>
      </w:r>
    </w:p>
    <w:p>
      <w:pPr>
        <w:pStyle w:val="ListParagraph"/>
        <w:numPr>
          <w:ilvl w:val="0"/>
          <w:numId w:val="2"/>
        </w:numPr>
        <w:spacing w:after="60" w:line="276"/>
      </w:pPr>
      <w:r>
        <w:rPr>
          <w:rFonts w:ascii="Calibri" w:cs="Calibri" w:eastAsia="Calibri" w:hAnsi="Calibri"/>
          <w:sz w:val="21"/>
          <w:szCs w:val="21"/>
        </w:rPr>
        <w:t xml:space="preserve">Anglais professionnel, niveau C1 au moins.</w:t>
      </w:r>
    </w:p>
    <w:p>
      <w:pPr>
        <w:pStyle w:val="ListParagraph"/>
        <w:numPr>
          <w:ilvl w:val="0"/>
          <w:numId w:val="2"/>
        </w:numPr>
        <w:spacing w:after="60" w:line="276"/>
      </w:pPr>
      <w:r>
        <w:rPr>
          <w:rFonts w:ascii="Calibri" w:cs="Calibri" w:eastAsia="Calibri" w:hAnsi="Calibri"/>
          <w:sz w:val="21"/>
          <w:szCs w:val="21"/>
        </w:rPr>
        <w:t xml:space="preserve">Être une personne physique en mesure de percevoir des honoraires versés par Expertise France.</w:t>
      </w:r>
    </w:p>
    <w:p>
      <w:pPr>
        <w:pStyle w:val="ListParagraph"/>
        <w:numPr>
          <w:ilvl w:val="0"/>
          <w:numId w:val="2"/>
        </w:numPr>
        <w:spacing w:after="60" w:line="276"/>
      </w:pPr>
      <w:r>
        <w:rPr>
          <w:rFonts w:ascii="Calibri" w:cs="Calibri" w:eastAsia="Calibri" w:hAnsi="Calibri"/>
          <w:sz w:val="21"/>
          <w:szCs w:val="21"/>
        </w:rPr>
        <w:t xml:space="preserve">Disponibilité d'environ 14 jours entre la mi-novembre et le 18 décembre 2026.</w:t>
      </w:r>
    </w:p>
    <w:p>
      <w:pPr>
        <w:pStyle w:val="Heading2"/>
      </w:pPr>
      <w:r>
        <w:t xml:space="preserve">Atouts</w:t>
      </w:r>
    </w:p>
    <w:p>
      <w:pPr>
        <w:pStyle w:val="ListParagraph"/>
        <w:numPr>
          <w:ilvl w:val="0"/>
          <w:numId w:val="2"/>
        </w:numPr>
        <w:spacing w:after="60" w:line="276"/>
      </w:pPr>
      <w:r>
        <w:rPr>
          <w:rFonts w:ascii="Calibri" w:cs="Calibri" w:eastAsia="Calibri" w:hAnsi="Calibri"/>
          <w:sz w:val="21"/>
          <w:szCs w:val="21"/>
        </w:rPr>
        <w:t xml:space="preserve">Maîtrise du roumain, permettant de travailler directement sur le projet de loi.</w:t>
      </w:r>
    </w:p>
    <w:p>
      <w:pPr>
        <w:pStyle w:val="ListParagraph"/>
        <w:numPr>
          <w:ilvl w:val="0"/>
          <w:numId w:val="2"/>
        </w:numPr>
        <w:spacing w:after="60" w:line="276"/>
      </w:pPr>
      <w:r>
        <w:rPr>
          <w:rFonts w:ascii="Calibri" w:cs="Calibri" w:eastAsia="Calibri" w:hAnsi="Calibri"/>
          <w:sz w:val="21"/>
          <w:szCs w:val="21"/>
        </w:rPr>
        <w:t xml:space="preserve">Expérience en République de Moldavie, dans un pays du Partenariat oriental ou dans un pays candidat à l'adhésion à l'Union européenne.</w:t>
      </w:r>
    </w:p>
    <w:p>
      <w:pPr>
        <w:pStyle w:val="ListParagraph"/>
        <w:numPr>
          <w:ilvl w:val="0"/>
          <w:numId w:val="2"/>
        </w:numPr>
        <w:spacing w:after="60" w:line="276"/>
      </w:pPr>
      <w:r>
        <w:rPr>
          <w:rFonts w:ascii="Calibri" w:cs="Calibri" w:eastAsia="Calibri" w:hAnsi="Calibri"/>
          <w:sz w:val="21"/>
          <w:szCs w:val="21"/>
        </w:rPr>
        <w:t xml:space="preserve">Expérience de la gestion des risques budgétaires liés aux PPP (accord du ministère des Finances, suivi des engagements, traitement statistique).</w:t>
      </w:r>
    </w:p>
    <w:p>
      <w:pPr>
        <w:pStyle w:val="ListParagraph"/>
        <w:numPr>
          <w:ilvl w:val="0"/>
          <w:numId w:val="2"/>
        </w:numPr>
        <w:spacing w:after="60" w:line="276"/>
      </w:pPr>
      <w:r>
        <w:rPr>
          <w:rFonts w:ascii="Calibri" w:cs="Calibri" w:eastAsia="Calibri" w:hAnsi="Calibri"/>
          <w:sz w:val="21"/>
          <w:szCs w:val="21"/>
        </w:rPr>
        <w:t xml:space="preserve">Expérience de projets financés par l'Union européenne ou par d'autres bailleurs internationaux ; maîtrise du français.</w:t>
      </w:r>
    </w:p>
    <w:p>
      <w:pPr>
        <w:pStyle w:val="Heading2"/>
      </w:pPr>
      <w:r>
        <w:t xml:space="preserve">Indépendance</w:t>
      </w:r>
    </w:p>
    <w:p>
      <w:pPr>
        <w:spacing w:after="120" w:line="288"/>
        <w:jc w:val="both"/>
      </w:pPr>
      <w:r>
        <w:rPr>
          <w:rFonts w:ascii="Calibri" w:cs="Calibri" w:eastAsia="Calibri" w:hAnsi="Calibri"/>
          <w:sz w:val="21"/>
          <w:szCs w:val="21"/>
        </w:rPr>
        <w:t xml:space="preserve">L'expert ne doit pas occuper, pendant la mission, de fonction au MDED ou à l'APP, ni conseiller un candidat, un soumissionnaire, un prêteur ou un partenaire privé dans un projet de PPP ou de concession en République de Moldavie. Il signe une déclaration d'absence de conflit d'intérêts et signale toute situation nouvelle en cours de mission.</w:t>
      </w:r>
    </w:p>
    <w:p>
      <w:pPr>
        <w:spacing w:after="120" w:line="288"/>
        <w:jc w:val="both"/>
      </w:pPr>
      <w:r>
        <w:rPr>
          <w:rFonts w:ascii="Calibri" w:cs="Calibri" w:eastAsia="Calibri" w:hAnsi="Calibri"/>
          <w:b/>
          <w:bCs/>
          <w:sz w:val="21"/>
          <w:szCs w:val="21"/>
        </w:rPr>
        <w:t xml:space="preserve">Agents publics.</w:t>
      </w:r>
      <w:r>
        <w:rPr>
          <w:rFonts w:ascii="Calibri" w:cs="Calibri" w:eastAsia="Calibri" w:hAnsi="Calibri"/>
          <w:sz w:val="21"/>
          <w:szCs w:val="21"/>
        </w:rPr>
        <w:t xml:space="preserve"> Un candidat agent public moldave en activité certifie que la mission est compatible avec son statut (suspension de ses rapports de service pendant la mission, ou activité sans lien avec ses attributions actuelles) et fournit, le cas échéant, l'accord de son autorité de tutelle. Un candidat ayant occupé une fonction soumise à déclaration de patrimoine et d'intérêts au sens de la loi moldave certifie respecter les restrictions applicables après la cessation de ses fonctions.</w:t>
      </w:r>
    </w:p>
    <w:p>
      <w:pPr>
        <w:pStyle w:val="Heading1"/>
      </w:pPr>
      <w:r>
        <w:t xml:space="preserve">8. Procédure de sélection et critères de jugement</w:t>
      </w:r>
    </w:p>
    <w:p>
      <w:pPr>
        <w:spacing w:after="120" w:line="288"/>
        <w:jc w:val="both"/>
      </w:pPr>
      <w:r>
        <w:rPr>
          <w:rFonts w:ascii="Calibri" w:cs="Calibri" w:eastAsia="Calibri" w:hAnsi="Calibri"/>
          <w:sz w:val="21"/>
          <w:szCs w:val="21"/>
        </w:rPr>
        <w:t xml:space="preserve">L'appel à candidatures est publié sur la plateforme GEX d'Expertise France et diffusé dans les réseaux professionnels pertinents. Les candidats déposent un CV, le formulaire de candidature et la déclaration sur l'honneur prévue pour les contrats d'expert individuel d'Expertise France, attestant notamment la régularité de leur situation fiscale et sociale. Une liste restreinte de trois candidats au plus est établie sur la base des exigences minimales et des atouts. Chaque candidat retenu remet, à la même date limite, une note méthodologique de deux pages au plus, centrée sur le lot A, et une offre de prix forfaitaire pour chacun des six livrables. Un entretien peut être organisé. Compte tenu de l'échéance du 18 décembre, les délais de remise sont courts.</w:t>
      </w:r>
    </w:p>
    <w:tbl>
      <w:tblPr>
        <w:tblW w:type="dxa" w:w="9238"/>
        <w:tblBorders>
          <w:top w:val="single" w:color="auto" w:sz="4"/>
          <w:left w:val="single" w:color="auto" w:sz="4"/>
          <w:bottom w:val="single" w:color="auto" w:sz="4"/>
          <w:right w:val="single" w:color="auto" w:sz="4"/>
          <w:insideH w:val="single" w:color="auto" w:sz="4"/>
          <w:insideV w:val="single" w:color="auto" w:sz="4"/>
        </w:tblBorders>
      </w:tblPr>
      <w:tblGrid>
        <w:gridCol w:w="7438"/>
        <w:gridCol w:w="1800"/>
      </w:tblGrid>
      <w:tr>
        <w:trPr>
          <w:tblHeader/>
        </w:trPr>
        <w:tc>
          <w:tcPr>
            <w:tcW w:type="dxa" w:w="7438"/>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Critère</w:t>
            </w:r>
          </w:p>
        </w:tc>
        <w:tc>
          <w:tcPr>
            <w:tcW w:type="dxa" w:w="1800"/>
            <w:tcBorders>
              <w:top w:val="single" w:color="C9CFDC" w:sz="4"/>
              <w:left w:val="single" w:color="C9CFDC" w:sz="4"/>
              <w:bottom w:val="single" w:color="C9CFDC" w:sz="4"/>
              <w:right w:val="single" w:color="C9CFDC" w:sz="4"/>
            </w:tcBorders>
            <w:shd w:fill="1F3864" w:color="auto" w:val="clear"/>
            <w:tcMar>
              <w:top w:type="dxa" w:w="70"/>
              <w:left w:type="dxa" w:w="110"/>
              <w:bottom w:type="dxa" w:w="70"/>
              <w:right w:type="dxa" w:w="110"/>
            </w:tcMar>
            <w:vAlign w:val="center"/>
          </w:tcPr>
          <w:p>
            <w:pPr>
              <w:jc w:val="left"/>
            </w:pPr>
            <w:r>
              <w:rPr>
                <w:rFonts w:ascii="Calibri" w:cs="Calibri" w:eastAsia="Calibri" w:hAnsi="Calibri"/>
                <w:b/>
                <w:bCs/>
                <w:color w:val="FFFFFF"/>
                <w:sz w:val="19"/>
                <w:szCs w:val="19"/>
              </w:rPr>
              <w:t xml:space="preserve">Points</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Expérience des cadres juridiques des PPP et des concessions, et références en rédaction ou en revue de textes</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25</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Connaissance de la directive 2014/23/UE et expérience de transposition</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20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Qualité et réalisme de la note méthodologique, au regard de l'échéance du 18 décembre</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15</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Connaissance du contexte régional et langues (roumain), disponibilité en novembre et décembre 2026</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Prix : 30 × (offre la plus basse pour le lot A / offre du candidat pour le lot A)</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30</w:t>
            </w:r>
          </w:p>
        </w:tc>
      </w:tr>
      <w:tr>
        <w:trPr>
          <w:cantSplit/>
        </w:trPr>
        <w:tc>
          <w:tcPr>
            <w:tcW w:type="dxa" w:w="7438"/>
            <w:tcBorders>
              <w:top w:val="single" w:color="C9CFDC" w:sz="4"/>
              <w:left w:val="single" w:color="C9CFDC" w:sz="4"/>
              <w:bottom w:val="single" w:color="C9CFDC" w:sz="4"/>
              <w:right w:val="single" w:color="C9CFDC" w:sz="4"/>
            </w:tcBorders>
            <w:shd w:fill="EEF1F7" w:color="auto" w:val="clear"/>
            <w:tcMar>
              <w:top w:type="dxa" w:w="70"/>
              <w:left w:type="dxa" w:w="110"/>
              <w:bottom w:type="dxa" w:w="70"/>
              <w:right w:type="dxa" w:w="110"/>
            </w:tcMar>
            <w:vAlign w:val="center"/>
          </w:tcPr>
          <w:p>
            <w:pPr>
              <w:jc w:val="left"/>
            </w:pPr>
            <w:r>
              <w:rPr>
                <w:rFonts w:ascii="Calibri" w:cs="Calibri" w:eastAsia="Calibri" w:hAnsi="Calibri"/>
                <w:b/>
                <w:bCs/>
                <w:color w:val="1F3864"/>
                <w:sz w:val="19"/>
                <w:szCs w:val="19"/>
              </w:rPr>
              <w:t xml:space="preserve">Total</w:t>
            </w:r>
          </w:p>
        </w:tc>
        <w:tc>
          <w:tcPr>
            <w:tcW w:type="dxa" w:w="1800"/>
            <w:tcBorders>
              <w:top w:val="single" w:color="C9CFDC" w:sz="4"/>
              <w:left w:val="single" w:color="C9CFDC" w:sz="4"/>
              <w:bottom w:val="single" w:color="C9CFDC" w:sz="4"/>
              <w:right w:val="single" w:color="C9CFDC" w:sz="4"/>
            </w:tcBorders>
            <w:tcMar>
              <w:top w:type="dxa" w:w="70"/>
              <w:left w:type="dxa" w:w="110"/>
              <w:bottom w:type="dxa" w:w="70"/>
              <w:right w:type="dxa" w:w="110"/>
            </w:tcMar>
            <w:vAlign w:val="center"/>
          </w:tcPr>
          <w:p>
            <w:pPr>
              <w:jc w:val="left"/>
            </w:pPr>
            <w:r>
              <w:rPr>
                <w:rFonts w:ascii="Calibri" w:cs="Calibri" w:eastAsia="Calibri" w:hAnsi="Calibri"/>
                <w:b w:val="false"/>
                <w:bCs w:val="false"/>
                <w:sz w:val="19"/>
                <w:szCs w:val="19"/>
              </w:rPr>
              <w:t xml:space="preserve">100</w:t>
            </w:r>
          </w:p>
        </w:tc>
      </w:tr>
    </w:tbl>
    <w:p>
      <w:pPr>
        <w:spacing w:after="80"/>
      </w:pPr>
    </w:p>
    <w:p>
      <w:pPr>
        <w:spacing w:after="120" w:line="288"/>
        <w:jc w:val="both"/>
      </w:pPr>
      <w:r>
        <w:rPr>
          <w:rFonts w:ascii="Calibri" w:cs="Calibri" w:eastAsia="Calibri" w:hAnsi="Calibri"/>
          <w:i/>
          <w:iCs/>
          <w:color w:val="5B6070"/>
          <w:sz w:val="19"/>
          <w:szCs w:val="19"/>
        </w:rPr>
        <w:t xml:space="preserve">Ces critères sont communiqués aux candidats dans l'appel à candidatures. Le prix est noté sur la somme des prix des livrables du lot A (tranche ferme). Les prix du lot B (tranche optionnelle) engagent le candidat et s'appliquent en cas d'affermissement ; un prix du lot B anormalement bas au regard du lot A peut être écarté ou faire l'objet d'une demande de justification.</w:t>
      </w:r>
    </w:p>
    <w:p>
      <w:pPr>
        <w:pStyle w:val="Heading1"/>
      </w:pPr>
      <w:r>
        <w:t xml:space="preserve">9. Conditions financières, retards et non-conformité</w:t>
      </w:r>
    </w:p>
    <w:p>
      <w:pPr>
        <w:pStyle w:val="ListParagraph"/>
        <w:numPr>
          <w:ilvl w:val="0"/>
          <w:numId w:val="2"/>
        </w:numPr>
        <w:spacing w:after="60" w:line="276"/>
      </w:pPr>
      <w:r>
        <w:rPr>
          <w:rFonts w:ascii="Calibri" w:cs="Calibri" w:eastAsia="Calibri" w:hAnsi="Calibri"/>
          <w:sz w:val="21"/>
          <w:szCs w:val="21"/>
        </w:rPr>
        <w:t xml:space="preserve">Le prix est forfaitaire par livrable ; chaque livrable est payé après sa validation.</w:t>
      </w:r>
    </w:p>
    <w:p>
      <w:pPr>
        <w:pStyle w:val="ListParagraph"/>
        <w:numPr>
          <w:ilvl w:val="0"/>
          <w:numId w:val="2"/>
        </w:numPr>
        <w:spacing w:after="60" w:line="276"/>
      </w:pPr>
      <w:r>
        <w:rPr>
          <w:rFonts w:ascii="Calibri" w:cs="Calibri" w:eastAsia="Calibri" w:hAnsi="Calibri"/>
          <w:sz w:val="21"/>
          <w:szCs w:val="21"/>
        </w:rPr>
        <w:t xml:space="preserve">Le nombre de jours engage Expertise France. Des jours supplémentaires ne peuvent être ajoutés qu'à l'initiative d'Expertise France.</w:t>
      </w:r>
    </w:p>
    <w:p>
      <w:pPr>
        <w:pStyle w:val="ListParagraph"/>
        <w:numPr>
          <w:ilvl w:val="0"/>
          <w:numId w:val="2"/>
        </w:numPr>
        <w:spacing w:after="60" w:line="276"/>
      </w:pPr>
      <w:r>
        <w:rPr>
          <w:rFonts w:ascii="Calibri" w:cs="Calibri" w:eastAsia="Calibri" w:hAnsi="Calibri"/>
          <w:sz w:val="21"/>
          <w:szCs w:val="21"/>
        </w:rPr>
        <w:t xml:space="preserve">Un livrable non conforme aux présents termes de référence est repris par l'expert, sans coût supplémentaire, dans un délai de cinq jours ouvrés après la demande. Le paiement est suspendu jusqu'à la remise d'une version conforme.</w:t>
      </w:r>
    </w:p>
    <w:p>
      <w:pPr>
        <w:pStyle w:val="ListParagraph"/>
        <w:numPr>
          <w:ilvl w:val="0"/>
          <w:numId w:val="2"/>
        </w:numPr>
        <w:spacing w:after="60" w:line="276"/>
      </w:pPr>
      <w:r>
        <w:rPr>
          <w:rFonts w:ascii="Calibri" w:cs="Calibri" w:eastAsia="Calibri" w:hAnsi="Calibri"/>
          <w:sz w:val="21"/>
          <w:szCs w:val="21"/>
        </w:rPr>
        <w:t xml:space="preserve">Tout retard non justifié peut donner lieu aux pénalités prévues par le contrat. Aucun avenant ne peut compenser un retard imputable à l'expert. Des retards répétés ou une non-conformité persistante peuvent conduire à la résiliation du contrat.</w:t>
      </w:r>
    </w:p>
    <w:p>
      <w:pPr>
        <w:pStyle w:val="ListParagraph"/>
        <w:numPr>
          <w:ilvl w:val="0"/>
          <w:numId w:val="2"/>
        </w:numPr>
        <w:spacing w:after="60" w:line="276"/>
      </w:pPr>
      <w:r>
        <w:rPr>
          <w:rFonts w:ascii="Calibri" w:cs="Calibri" w:eastAsia="Calibri" w:hAnsi="Calibri"/>
          <w:sz w:val="21"/>
          <w:szCs w:val="21"/>
        </w:rPr>
        <w:t xml:space="preserve">Un retard imputable au bénéficiaire, par exemple la transmission tardive du projet de loi ou des observations de la consultation, décale l'échéance d'autant, après accord écrit du chef de composante.</w:t>
      </w:r>
    </w:p>
    <w:p>
      <w:pPr>
        <w:pStyle w:val="Heading1"/>
      </w:pPr>
      <w:r>
        <w:t xml:space="preserve">10. Confidentialité et propriété des travaux</w:t>
      </w:r>
    </w:p>
    <w:p>
      <w:pPr>
        <w:spacing w:after="120" w:line="288"/>
        <w:jc w:val="both"/>
      </w:pPr>
      <w:r>
        <w:rPr>
          <w:rFonts w:ascii="Calibri" w:cs="Calibri" w:eastAsia="Calibri" w:hAnsi="Calibri"/>
          <w:sz w:val="21"/>
          <w:szCs w:val="21"/>
        </w:rPr>
        <w:t xml:space="preserve">Les documents transmis et les travaux produits sont confidentiels. Ils sont la propriété du projet et peuvent être utilisés par les autorités moldaves.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070"/>
        <w:sz w:val="16"/>
        <w:szCs w:val="16"/>
      </w:rPr>
      <w:t xml:space="preserve">EU MoldAlign · Composante 2 · TdR expert PPP et concessions · v1 du 29 octobre 2026 · </w:t>
    </w:r>
    <w:r>
      <w:rPr>
        <w:rFonts w:ascii="Calibri" w:cs="Calibri" w:eastAsia="Calibri" w:hAnsi="Calibri"/>
        <w:color w:val="5B60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0" w:hanging="280"/>
      </w:pPr>
      <w:rPr>
        <w:color w:val="B8901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Cambria" w:cs="Cambria" w:eastAsia="Cambria" w:hAnsi="Cambria"/>
      <w:b/>
      <w:bCs/>
      <w:color w:val="1F3864"/>
      <w:sz w:val="28"/>
      <w:szCs w:val="28"/>
    </w:rPr>
  </w:style>
  <w:style w:type="paragraph" w:styleId="Heading2">
    <w:name w:val="Heading 2"/>
    <w:basedOn w:val="Normal"/>
    <w:next w:val="Normal"/>
    <w:qFormat/>
    <w:pPr>
      <w:keepNext/>
      <w:spacing w:after="100" w:before="200"/>
      <w:outlineLvl w:val="1"/>
    </w:pPr>
    <w:rPr>
      <w:rFonts w:ascii="Cambria" w:cs="Cambria" w:eastAsia="Cambria" w:hAnsi="Cambria"/>
      <w:b/>
      <w:bCs/>
      <w:color w:val="B8901F"/>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TdR - Expert en partenariats public-privé et concessions</dc:title>
  <dc:creator>Lionel Chaty</dc:creator>
  <cp:lastModifiedBy>Lionel Chaty</cp:lastModifiedBy>
  <cp:revision>1</cp:revision>
  <dcterms:created xsi:type="dcterms:W3CDTF">2026-10-29T15:43:05.960Z</dcterms:created>
  <dcterms:modified xsi:type="dcterms:W3CDTF">2026-11-04T14:45:00Z</dcterms:modified>
</cp:coreProperties>
</file>

<file path=docProps/custom.xml><?xml version="1.0" encoding="utf-8"?>
<Properties xmlns="http://schemas.openxmlformats.org/officeDocument/2006/custom-properties" xmlns:vt="http://schemas.openxmlformats.org/officeDocument/2006/docPropsVTypes"/>
</file>