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AD" w:rsidRPr="00110DAD" w:rsidRDefault="00110DAD" w:rsidP="00110DAD">
      <w:pPr>
        <w:spacing w:after="120" w:line="240" w:lineRule="auto"/>
        <w:jc w:val="both"/>
        <w:rPr>
          <w:rFonts w:eastAsia="Times New Roman" w:cstheme="minorHAnsi"/>
          <w:lang w:val="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10DAD" w:rsidRPr="00110DAD" w:rsidTr="001B5A95">
        <w:tc>
          <w:tcPr>
            <w:tcW w:w="9062" w:type="dxa"/>
          </w:tcPr>
          <w:p w:rsidR="00110DAD" w:rsidRPr="00110DAD" w:rsidRDefault="00110DAD" w:rsidP="00110DAD">
            <w:pPr>
              <w:jc w:val="both"/>
              <w:rPr>
                <w:rFonts w:eastAsia="Times New Roman" w:cstheme="minorHAnsi"/>
                <w:b/>
                <w:color w:val="1A3133"/>
                <w:lang w:val="fr"/>
              </w:rPr>
            </w:pPr>
          </w:p>
          <w:p w:rsidR="00110DAD" w:rsidRPr="00110DAD" w:rsidRDefault="00110DAD" w:rsidP="000E116D">
            <w:pPr>
              <w:jc w:val="center"/>
              <w:rPr>
                <w:rFonts w:eastAsia="Times New Roman" w:cstheme="minorHAnsi"/>
                <w:b/>
                <w:color w:val="1A3133"/>
                <w:sz w:val="28"/>
                <w:lang w:val="fr"/>
              </w:rPr>
            </w:pPr>
            <w:r w:rsidRPr="00110DAD">
              <w:rPr>
                <w:rFonts w:eastAsia="Times New Roman" w:cstheme="minorHAnsi"/>
                <w:b/>
                <w:color w:val="1A3133"/>
                <w:sz w:val="28"/>
                <w:lang w:val="fr"/>
              </w:rPr>
              <w:t>Termes de référence</w:t>
            </w:r>
          </w:p>
          <w:p w:rsidR="00110DAD" w:rsidRPr="00110DAD" w:rsidRDefault="00110DAD" w:rsidP="00110DAD">
            <w:pPr>
              <w:jc w:val="both"/>
              <w:rPr>
                <w:rFonts w:eastAsia="Times New Roman" w:cstheme="minorHAnsi"/>
                <w:b/>
                <w:color w:val="FFCC00"/>
                <w:lang w:val="fr"/>
              </w:rPr>
            </w:pPr>
          </w:p>
          <w:tbl>
            <w:tblPr>
              <w:tblStyle w:val="Grilledutableau1"/>
              <w:tblW w:w="0" w:type="auto"/>
              <w:tblLook w:val="04A0" w:firstRow="1" w:lastRow="0" w:firstColumn="1" w:lastColumn="0" w:noHBand="0" w:noVBand="1"/>
            </w:tblPr>
            <w:tblGrid>
              <w:gridCol w:w="4418"/>
              <w:gridCol w:w="4418"/>
            </w:tblGrid>
            <w:tr w:rsidR="00110DAD" w:rsidRPr="00110DAD" w:rsidTr="00274F14">
              <w:tc>
                <w:tcPr>
                  <w:tcW w:w="4418" w:type="dxa"/>
                  <w:shd w:val="clear" w:color="auto" w:fill="9CC2E5" w:themeFill="accent1" w:themeFillTint="99"/>
                </w:tcPr>
                <w:p w:rsidR="00110DAD" w:rsidRPr="00110DAD" w:rsidRDefault="00274F14" w:rsidP="00274F14">
                  <w:pPr>
                    <w:jc w:val="center"/>
                    <w:rPr>
                      <w:rFonts w:eastAsia="Times New Roman" w:cstheme="minorHAnsi"/>
                      <w:b/>
                      <w:color w:val="FFCC00"/>
                      <w:lang w:val="fr"/>
                    </w:rPr>
                  </w:pPr>
                  <w:r>
                    <w:rPr>
                      <w:rFonts w:eastAsia="Times New Roman" w:cstheme="minorHAnsi"/>
                      <w:b/>
                      <w:color w:val="1A3133"/>
                      <w:lang w:val="fr"/>
                    </w:rPr>
                    <w:t>Intitulé de la mission </w:t>
                  </w:r>
                </w:p>
              </w:tc>
              <w:tc>
                <w:tcPr>
                  <w:tcW w:w="4418" w:type="dxa"/>
                </w:tcPr>
                <w:p w:rsidR="00110DAD" w:rsidRPr="00110DAD" w:rsidRDefault="00110DAD" w:rsidP="00110DAD">
                  <w:pPr>
                    <w:jc w:val="both"/>
                    <w:rPr>
                      <w:rFonts w:eastAsia="Times New Roman" w:cstheme="minorHAnsi"/>
                      <w:color w:val="1A3133"/>
                      <w:lang w:val="fr"/>
                    </w:rPr>
                  </w:pPr>
                  <w:r w:rsidRPr="00110DAD">
                    <w:rPr>
                      <w:rFonts w:eastAsia="Times New Roman" w:cstheme="minorHAnsi"/>
                      <w:color w:val="1A3133"/>
                      <w:lang w:val="fr"/>
                    </w:rPr>
                    <w:t>Expertise perlé</w:t>
                  </w:r>
                  <w:r w:rsidR="009E1151">
                    <w:rPr>
                      <w:rFonts w:eastAsia="Times New Roman" w:cstheme="minorHAnsi"/>
                      <w:color w:val="1A3133"/>
                      <w:lang w:val="fr"/>
                    </w:rPr>
                    <w:t>e</w:t>
                  </w:r>
                  <w:r w:rsidRPr="00110DAD">
                    <w:rPr>
                      <w:rFonts w:eastAsia="Times New Roman" w:cstheme="minorHAnsi"/>
                      <w:color w:val="1A3133"/>
                      <w:lang w:val="fr"/>
                    </w:rPr>
                    <w:t xml:space="preserve"> en genre </w:t>
                  </w:r>
                  <w:r w:rsidR="009E1151">
                    <w:rPr>
                      <w:rFonts w:eastAsia="Times New Roman" w:cstheme="minorHAnsi"/>
                      <w:color w:val="1A3133"/>
                      <w:lang w:val="fr"/>
                    </w:rPr>
                    <w:t xml:space="preserve">et migration </w:t>
                  </w:r>
                </w:p>
              </w:tc>
            </w:tr>
            <w:tr w:rsidR="00110DAD" w:rsidRPr="00110DAD" w:rsidTr="00274F14">
              <w:tc>
                <w:tcPr>
                  <w:tcW w:w="4418" w:type="dxa"/>
                  <w:shd w:val="clear" w:color="auto" w:fill="9CC2E5" w:themeFill="accent1" w:themeFillTint="99"/>
                </w:tcPr>
                <w:p w:rsidR="00110DAD" w:rsidRPr="00110DAD" w:rsidRDefault="00110DAD" w:rsidP="00274F14">
                  <w:pPr>
                    <w:jc w:val="center"/>
                    <w:rPr>
                      <w:rFonts w:eastAsia="Times New Roman" w:cstheme="minorHAnsi"/>
                      <w:b/>
                      <w:color w:val="1A3133"/>
                      <w:lang w:val="fr"/>
                    </w:rPr>
                  </w:pPr>
                  <w:r w:rsidRPr="00274F14">
                    <w:rPr>
                      <w:rFonts w:eastAsia="Times New Roman" w:cstheme="minorHAnsi"/>
                      <w:b/>
                      <w:color w:val="1A3133"/>
                      <w:lang w:val="fr"/>
                    </w:rPr>
                    <w:t>Période de mise en œuvre</w:t>
                  </w:r>
                </w:p>
              </w:tc>
              <w:tc>
                <w:tcPr>
                  <w:tcW w:w="4418" w:type="dxa"/>
                </w:tcPr>
                <w:p w:rsidR="00110DAD" w:rsidRPr="00110DAD" w:rsidRDefault="00110DAD" w:rsidP="00110DAD">
                  <w:pPr>
                    <w:jc w:val="both"/>
                    <w:rPr>
                      <w:rFonts w:eastAsia="Times New Roman" w:cstheme="minorHAnsi"/>
                      <w:color w:val="1A3133"/>
                      <w:lang w:val="fr"/>
                    </w:rPr>
                  </w:pPr>
                  <w:r w:rsidRPr="00110DAD">
                    <w:rPr>
                      <w:rFonts w:eastAsia="Times New Roman" w:cstheme="minorHAnsi"/>
                      <w:color w:val="1A3133"/>
                      <w:lang w:val="fr"/>
                    </w:rPr>
                    <w:t>Janvier 2026 à Mars 2028</w:t>
                  </w:r>
                </w:p>
              </w:tc>
            </w:tr>
            <w:tr w:rsidR="00110DAD" w:rsidRPr="00110DAD" w:rsidTr="00274F14">
              <w:tc>
                <w:tcPr>
                  <w:tcW w:w="4418" w:type="dxa"/>
                  <w:shd w:val="clear" w:color="auto" w:fill="9CC2E5" w:themeFill="accent1" w:themeFillTint="99"/>
                </w:tcPr>
                <w:p w:rsidR="00110DAD" w:rsidRPr="00110DAD" w:rsidRDefault="00274F14" w:rsidP="00274F14">
                  <w:pPr>
                    <w:jc w:val="center"/>
                    <w:rPr>
                      <w:rFonts w:eastAsia="Times New Roman" w:cstheme="minorHAnsi"/>
                      <w:b/>
                      <w:color w:val="1A3133"/>
                      <w:lang w:val="fr"/>
                    </w:rPr>
                  </w:pPr>
                  <w:r>
                    <w:rPr>
                      <w:rFonts w:eastAsia="Times New Roman" w:cstheme="minorHAnsi"/>
                      <w:b/>
                      <w:color w:val="1A3133"/>
                      <w:lang w:val="fr"/>
                    </w:rPr>
                    <w:t>Nombre de jours indicatif </w:t>
                  </w:r>
                </w:p>
              </w:tc>
              <w:tc>
                <w:tcPr>
                  <w:tcW w:w="4418" w:type="dxa"/>
                </w:tcPr>
                <w:p w:rsidR="00110DAD" w:rsidRPr="00110DAD" w:rsidRDefault="00110DAD" w:rsidP="00110DAD">
                  <w:pPr>
                    <w:jc w:val="both"/>
                    <w:rPr>
                      <w:rFonts w:eastAsia="Times New Roman" w:cstheme="minorHAnsi"/>
                      <w:color w:val="1A3133"/>
                      <w:lang w:val="fr"/>
                    </w:rPr>
                  </w:pPr>
                  <w:r w:rsidRPr="00110DAD">
                    <w:rPr>
                      <w:rFonts w:eastAsia="Times New Roman" w:cstheme="minorHAnsi"/>
                      <w:color w:val="1A3133"/>
                      <w:lang w:val="fr"/>
                    </w:rPr>
                    <w:t xml:space="preserve">40 </w:t>
                  </w:r>
                  <w:r w:rsidR="009E1151">
                    <w:rPr>
                      <w:rFonts w:eastAsia="Times New Roman" w:cstheme="minorHAnsi"/>
                      <w:color w:val="1A3133"/>
                      <w:lang w:val="fr"/>
                    </w:rPr>
                    <w:t xml:space="preserve">à 60 </w:t>
                  </w:r>
                  <w:r w:rsidRPr="00110DAD">
                    <w:rPr>
                      <w:rFonts w:eastAsia="Times New Roman" w:cstheme="minorHAnsi"/>
                      <w:color w:val="1A3133"/>
                      <w:lang w:val="fr"/>
                    </w:rPr>
                    <w:t xml:space="preserve">jours maximum </w:t>
                  </w:r>
                  <w:r w:rsidR="002B6D15">
                    <w:rPr>
                      <w:rFonts w:eastAsia="Times New Roman" w:cstheme="minorHAnsi"/>
                      <w:color w:val="1A3133"/>
                      <w:lang w:val="fr"/>
                    </w:rPr>
                    <w:t>sur 24 à 30</w:t>
                  </w:r>
                  <w:r w:rsidRPr="00110DAD">
                    <w:rPr>
                      <w:rFonts w:eastAsia="Times New Roman" w:cstheme="minorHAnsi"/>
                      <w:color w:val="1A3133"/>
                      <w:lang w:val="fr"/>
                    </w:rPr>
                    <w:t xml:space="preserve"> mois </w:t>
                  </w:r>
                </w:p>
              </w:tc>
            </w:tr>
            <w:tr w:rsidR="00DA0624" w:rsidRPr="00110DAD" w:rsidTr="00BF6190">
              <w:tc>
                <w:tcPr>
                  <w:tcW w:w="4418" w:type="dxa"/>
                  <w:shd w:val="clear" w:color="auto" w:fill="9CC2E5" w:themeFill="accent1" w:themeFillTint="99"/>
                  <w:vAlign w:val="center"/>
                </w:tcPr>
                <w:p w:rsidR="00DA0624" w:rsidRDefault="00DA0624" w:rsidP="00DA0624">
                  <w:pPr>
                    <w:jc w:val="center"/>
                    <w:rPr>
                      <w:rFonts w:eastAsia="Times New Roman" w:cstheme="minorHAnsi"/>
                      <w:b/>
                      <w:color w:val="1A3133"/>
                      <w:lang w:val="fr"/>
                    </w:rPr>
                  </w:pPr>
                  <w:r>
                    <w:rPr>
                      <w:rFonts w:eastAsia="Times New Roman" w:cstheme="minorHAnsi"/>
                      <w:b/>
                      <w:color w:val="1A3133"/>
                      <w:lang w:val="fr"/>
                    </w:rPr>
                    <w:t>Type de contrat</w:t>
                  </w:r>
                </w:p>
              </w:tc>
              <w:tc>
                <w:tcPr>
                  <w:tcW w:w="4418" w:type="dxa"/>
                </w:tcPr>
                <w:p w:rsidR="00DA0624" w:rsidRPr="00110DAD" w:rsidRDefault="00DA0624" w:rsidP="00DA0624">
                  <w:pPr>
                    <w:jc w:val="both"/>
                    <w:rPr>
                      <w:rFonts w:eastAsia="Times New Roman" w:cstheme="minorHAnsi"/>
                      <w:color w:val="1A3133"/>
                      <w:lang w:val="fr"/>
                    </w:rPr>
                  </w:pPr>
                  <w:r>
                    <w:rPr>
                      <w:rFonts w:eastAsia="Times New Roman" w:cstheme="minorHAnsi"/>
                      <w:color w:val="1A3133"/>
                      <w:lang w:val="fr"/>
                    </w:rPr>
                    <w:t xml:space="preserve">Contrat de prestation de services à bon de commande </w:t>
                  </w:r>
                </w:p>
              </w:tc>
            </w:tr>
          </w:tbl>
          <w:p w:rsidR="00110DAD" w:rsidRPr="00110DAD" w:rsidRDefault="00110DAD" w:rsidP="00110DAD">
            <w:pPr>
              <w:jc w:val="both"/>
              <w:rPr>
                <w:rFonts w:eastAsia="Times New Roman" w:cstheme="minorHAnsi"/>
                <w:b/>
                <w:color w:val="FFCC00"/>
                <w:lang w:val="fr"/>
              </w:rPr>
            </w:pPr>
          </w:p>
          <w:p w:rsidR="00110DAD" w:rsidRPr="00110DAD" w:rsidRDefault="00110DAD" w:rsidP="00110DAD">
            <w:pPr>
              <w:jc w:val="both"/>
              <w:rPr>
                <w:rFonts w:eastAsia="Times New Roman" w:cstheme="minorHAnsi"/>
                <w:b/>
                <w:color w:val="1A3133"/>
                <w:lang w:val="fr"/>
              </w:rPr>
            </w:pPr>
          </w:p>
          <w:p w:rsidR="00110DAD" w:rsidRDefault="00110DAD" w:rsidP="00976AA4">
            <w:pPr>
              <w:contextualSpacing/>
              <w:jc w:val="both"/>
              <w:rPr>
                <w:rFonts w:eastAsia="Times New Roman" w:cstheme="minorHAnsi"/>
                <w:b/>
                <w:color w:val="1A3133"/>
                <w:lang w:val="fr"/>
              </w:rPr>
            </w:pPr>
          </w:p>
          <w:p w:rsidR="00976AA4" w:rsidRDefault="00976AA4" w:rsidP="00976AA4">
            <w:pPr>
              <w:contextualSpacing/>
              <w:jc w:val="both"/>
              <w:rPr>
                <w:rFonts w:eastAsia="Times New Roman" w:cstheme="minorHAnsi"/>
                <w:b/>
                <w:color w:val="1A3133"/>
                <w:lang w:val="fr"/>
              </w:rPr>
            </w:pPr>
          </w:p>
          <w:p w:rsidR="00976AA4" w:rsidRPr="00110DAD" w:rsidRDefault="00976AA4" w:rsidP="00976AA4">
            <w:pPr>
              <w:contextualSpacing/>
              <w:jc w:val="both"/>
              <w:rPr>
                <w:rFonts w:eastAsia="Times New Roman" w:cstheme="minorHAnsi"/>
                <w:b/>
                <w:color w:val="1A3133"/>
                <w:lang w:val="fr"/>
              </w:rPr>
            </w:pPr>
            <w:r w:rsidRPr="00110DAD">
              <w:rPr>
                <w:rFonts w:eastAsia="Times New Roman" w:cstheme="minorHAnsi"/>
                <w:b/>
                <w:color w:val="1A3133"/>
                <w:lang w:val="fr"/>
              </w:rPr>
              <w:t>Contexte général</w:t>
            </w:r>
          </w:p>
        </w:tc>
      </w:tr>
    </w:tbl>
    <w:p w:rsidR="00110DAD" w:rsidRPr="00110DAD" w:rsidRDefault="00110DAD" w:rsidP="00110DAD">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Depuis plus d’une décennie, la Tunisie a connu un développement remarquable de son écosystème entrepreneurial, porté par l’engagement d’acteurs publics, privés et de la société civile. Cette dynamique a conduit à l’adoption du Startup Act en 2018, positionnant le pays comme l’un des écosystèmes les plus innovants de la région. La coopération franco-tunisienne, et particulièrement l’AFD et Expertise France, a contribué de manière déterminante à structurer et consolider cet environnement à travers plusieurs projets majeurs : EnLien, FAST, MEET Africa 2, ainsi que les projets européens Innov’i et Greenov’i. Plus de 3000 entrepreneurs ont ainsi été accompagnés et plus d’une trentaine de structures renforcées.</w:t>
      </w:r>
    </w:p>
    <w:p w:rsidR="00110DAD" w:rsidRPr="00110DAD" w:rsidRDefault="00110DAD" w:rsidP="00110DAD">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 xml:space="preserve">Le projet « Entrepreneuriat et Migration » (5 millions d’Euros sur financement </w:t>
      </w:r>
      <w:r w:rsidR="006950FB">
        <w:rPr>
          <w:rFonts w:eastAsia="Times New Roman" w:cstheme="minorHAnsi"/>
          <w:lang w:eastAsia="fr-FR"/>
        </w:rPr>
        <w:t>de l’A</w:t>
      </w:r>
      <w:r w:rsidRPr="00110DAD">
        <w:rPr>
          <w:rFonts w:eastAsia="Times New Roman" w:cstheme="minorHAnsi"/>
          <w:lang w:eastAsia="fr-FR"/>
        </w:rPr>
        <w:t>gence Française de Développement) s’inscrit pleinement dans cette continuité. Il vise à amplifier les acquis et à renforcer l’inclusion économique, en mettant l’accent sur les jeunes, les femmes, les migrants de retour et les territoires à fort potentiel. Il capitalise sur des initiatives structurantes telles que les centres ELIFE, The Dot, ou encore les dispositifs d’appui à la diaspora.</w:t>
      </w:r>
    </w:p>
    <w:p w:rsidR="00110DAD" w:rsidRPr="00110DAD" w:rsidRDefault="00110DAD" w:rsidP="00110DAD">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 xml:space="preserve">L’objectif général du projet est de favoriser une croissance économique inclusive et durable, en mobilisant l’entrepreneuriat comme levier de développement. Il s’appuie sur </w:t>
      </w:r>
      <w:r>
        <w:rPr>
          <w:rFonts w:eastAsia="Times New Roman" w:cstheme="minorHAnsi"/>
          <w:lang w:eastAsia="fr-FR"/>
        </w:rPr>
        <w:t>composantes</w:t>
      </w:r>
      <w:r w:rsidRPr="00110DAD">
        <w:rPr>
          <w:rFonts w:eastAsia="Times New Roman" w:cstheme="minorHAnsi"/>
          <w:lang w:eastAsia="fr-FR"/>
        </w:rPr>
        <w:t xml:space="preserve"> complémentaires :</w:t>
      </w:r>
    </w:p>
    <w:p w:rsidR="00110DAD" w:rsidRPr="0036084C" w:rsidRDefault="00110DAD" w:rsidP="00110DAD">
      <w:pPr>
        <w:pStyle w:val="Paragraphedeliste"/>
        <w:numPr>
          <w:ilvl w:val="0"/>
          <w:numId w:val="15"/>
        </w:numPr>
        <w:spacing w:line="276" w:lineRule="auto"/>
        <w:jc w:val="both"/>
        <w:rPr>
          <w:rFonts w:asciiTheme="minorHAnsi" w:hAnsiTheme="minorHAnsi" w:cstheme="minorHAnsi"/>
        </w:rPr>
      </w:pPr>
      <w:r w:rsidRPr="0036084C">
        <w:rPr>
          <w:rFonts w:asciiTheme="minorHAnsi" w:hAnsiTheme="minorHAnsi" w:cstheme="minorHAnsi"/>
          <w:b/>
        </w:rPr>
        <w:t>Composante 1 :</w:t>
      </w:r>
      <w:r w:rsidRPr="0036084C">
        <w:rPr>
          <w:rFonts w:asciiTheme="minorHAnsi" w:hAnsiTheme="minorHAnsi" w:cstheme="minorHAnsi"/>
        </w:rPr>
        <w:t xml:space="preserve"> accompagnement renforcé à l’entrepreneuriat en région via les centres ELIFE Cette composante vise à soutenir les dynamiques entrepreneuriales dans les régions les plus vulnérables, en particulier auprès des jeunes potentiellement tentés par l’émigration et des migrants de retour. </w:t>
      </w:r>
    </w:p>
    <w:p w:rsidR="00110DAD" w:rsidRPr="0036084C" w:rsidRDefault="00110DAD" w:rsidP="00110DAD">
      <w:pPr>
        <w:pStyle w:val="Paragraphedeliste"/>
        <w:numPr>
          <w:ilvl w:val="0"/>
          <w:numId w:val="15"/>
        </w:numPr>
        <w:spacing w:line="276" w:lineRule="auto"/>
        <w:jc w:val="both"/>
        <w:rPr>
          <w:rFonts w:asciiTheme="minorHAnsi" w:hAnsiTheme="minorHAnsi" w:cstheme="minorHAnsi"/>
        </w:rPr>
      </w:pPr>
      <w:r w:rsidRPr="0036084C">
        <w:rPr>
          <w:rFonts w:asciiTheme="minorHAnsi" w:hAnsiTheme="minorHAnsi" w:cstheme="minorHAnsi"/>
          <w:b/>
        </w:rPr>
        <w:t>Composante 2 :</w:t>
      </w:r>
      <w:r w:rsidRPr="0036084C">
        <w:rPr>
          <w:rFonts w:asciiTheme="minorHAnsi" w:hAnsiTheme="minorHAnsi" w:cstheme="minorHAnsi"/>
        </w:rPr>
        <w:t xml:space="preserve"> mécanismes d’accompagnement innovants pour les TPE/PME et mobilisation de la diaspora économique à travers un guichet de subvention et structuration </w:t>
      </w:r>
    </w:p>
    <w:p w:rsidR="00110DAD" w:rsidRPr="000F2D45" w:rsidRDefault="00110DAD" w:rsidP="00110DAD">
      <w:pPr>
        <w:pStyle w:val="Paragraphedeliste"/>
        <w:numPr>
          <w:ilvl w:val="0"/>
          <w:numId w:val="15"/>
        </w:numPr>
        <w:spacing w:line="276" w:lineRule="auto"/>
        <w:jc w:val="both"/>
        <w:rPr>
          <w:rFonts w:asciiTheme="minorHAnsi" w:hAnsiTheme="minorHAnsi" w:cstheme="minorHAnsi"/>
        </w:rPr>
      </w:pPr>
      <w:r w:rsidRPr="0036084C">
        <w:rPr>
          <w:rFonts w:asciiTheme="minorHAnsi" w:hAnsiTheme="minorHAnsi" w:cstheme="minorHAnsi"/>
          <w:b/>
        </w:rPr>
        <w:t>Composante 3 :</w:t>
      </w:r>
      <w:r w:rsidRPr="0036084C">
        <w:rPr>
          <w:rFonts w:asciiTheme="minorHAnsi" w:hAnsiTheme="minorHAnsi" w:cstheme="minorHAnsi"/>
        </w:rPr>
        <w:t xml:space="preserve"> pérennisation du modèle économique de The Dot et The Dot Landing - appui à la diaspora entrepreneuriale (DIASDEV). Cette composante a pour objectif de consolider The Dot comme structure pivot de l’écosystème tunisien de l’innovation et de l’entrepreneuriat. </w:t>
      </w:r>
    </w:p>
    <w:p w:rsidR="00110DAD" w:rsidRPr="00110DAD" w:rsidRDefault="00110DAD" w:rsidP="00110DAD">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Le projet propose une approche intégrée, combinant entrepreneuriat, innovation et mobilisation des diasporas, tout en articulant l’action d’acteurs nationaux majeurs tels que la CDC et la Fondation Tunisie pour le Développement. En créant des passerelles entre régions, structures d’accompagnement, entrepreneurs et diaspora, il contribue à renforcer la dynamique économique tunisienne et à soutenir de nouvelles opportunités pour les publics prioritaires.</w:t>
      </w:r>
    </w:p>
    <w:p w:rsidR="00110DAD" w:rsidRDefault="00110DAD" w:rsidP="00110DAD">
      <w:pPr>
        <w:suppressAutoHyphens/>
        <w:spacing w:before="120" w:after="120" w:line="240" w:lineRule="auto"/>
        <w:ind w:left="720"/>
        <w:jc w:val="both"/>
        <w:rPr>
          <w:rFonts w:eastAsia="Times New Roman" w:cstheme="minorHAnsi"/>
          <w:color w:val="1A3133"/>
        </w:rPr>
      </w:pPr>
    </w:p>
    <w:p w:rsidR="00110DAD" w:rsidRPr="00110DAD" w:rsidRDefault="00110DAD" w:rsidP="000E116D">
      <w:pPr>
        <w:suppressAutoHyphens/>
        <w:spacing w:before="120" w:after="120" w:line="240" w:lineRule="auto"/>
        <w:jc w:val="both"/>
        <w:rPr>
          <w:rFonts w:eastAsia="Times New Roman" w:cstheme="minorHAnsi"/>
          <w:color w:val="1A3133"/>
        </w:rPr>
      </w:pPr>
    </w:p>
    <w:p w:rsidR="00110DAD" w:rsidRPr="00110DAD" w:rsidRDefault="00110DAD" w:rsidP="00110DAD">
      <w:pPr>
        <w:numPr>
          <w:ilvl w:val="0"/>
          <w:numId w:val="2"/>
        </w:numPr>
        <w:contextualSpacing/>
        <w:jc w:val="both"/>
        <w:rPr>
          <w:rFonts w:eastAsia="Times New Roman" w:cstheme="minorHAnsi"/>
          <w:color w:val="1A3133"/>
          <w:lang w:val="fr"/>
        </w:rPr>
      </w:pPr>
      <w:r w:rsidRPr="00110DAD">
        <w:rPr>
          <w:rFonts w:eastAsia="Times New Roman" w:cstheme="minorHAnsi"/>
          <w:b/>
          <w:color w:val="1A3133"/>
        </w:rPr>
        <w:t>Contexte spécifique</w:t>
      </w:r>
    </w:p>
    <w:p w:rsidR="00110DAD" w:rsidRPr="00110DAD" w:rsidRDefault="00110DAD" w:rsidP="00110DAD">
      <w:pPr>
        <w:jc w:val="both"/>
        <w:rPr>
          <w:rFonts w:eastAsia="Times New Roman" w:cstheme="minorHAnsi"/>
          <w:color w:val="1A3133"/>
        </w:rPr>
      </w:pPr>
      <w:r>
        <w:rPr>
          <w:rFonts w:eastAsia="Times New Roman" w:cstheme="minorHAnsi"/>
          <w:color w:val="1A3133"/>
        </w:rPr>
        <w:t xml:space="preserve">Le projet « Entrepreneuriat et migration » vise à promouvoir un entrepreneuriat inclusif, qui contribue à la fois à la réinsertion économique et sociale des migrants de retour et des personnes en région et qui capitalise fortement sur </w:t>
      </w:r>
      <w:r w:rsidR="00274629">
        <w:rPr>
          <w:rFonts w:eastAsia="Times New Roman" w:cstheme="minorHAnsi"/>
          <w:color w:val="1A3133"/>
        </w:rPr>
        <w:t xml:space="preserve">la mobilisation de la diaspora. </w:t>
      </w:r>
    </w:p>
    <w:p w:rsidR="009E1151" w:rsidRDefault="00D10876" w:rsidP="00110DAD">
      <w:pPr>
        <w:jc w:val="both"/>
        <w:rPr>
          <w:rFonts w:eastAsia="Times New Roman" w:cstheme="minorHAnsi"/>
          <w:color w:val="1A3133"/>
        </w:rPr>
      </w:pPr>
      <w:r w:rsidRPr="00D10876">
        <w:rPr>
          <w:rFonts w:eastAsia="Times New Roman" w:cstheme="minorHAnsi"/>
          <w:color w:val="1A3133"/>
          <w:u w:val="single"/>
        </w:rPr>
        <w:t>Concernant les aspects genre</w:t>
      </w:r>
      <w:r>
        <w:rPr>
          <w:rFonts w:eastAsia="Times New Roman" w:cstheme="minorHAnsi"/>
          <w:color w:val="1A3133"/>
        </w:rPr>
        <w:t>, l</w:t>
      </w:r>
      <w:r w:rsidR="00110DAD" w:rsidRPr="00110DAD">
        <w:rPr>
          <w:rFonts w:eastAsia="Times New Roman" w:cstheme="minorHAnsi"/>
          <w:color w:val="1A3133"/>
        </w:rPr>
        <w:t xml:space="preserve">’égalité femmes-hommes est un objectif poursuivi par le projet, marqué </w:t>
      </w:r>
      <w:r w:rsidR="00110DAD" w:rsidRPr="00110DAD">
        <w:rPr>
          <w:rFonts w:eastAsia="Times New Roman" w:cstheme="minorHAnsi"/>
          <w:b/>
          <w:color w:val="1A3133"/>
        </w:rPr>
        <w:t>CAD 1</w:t>
      </w:r>
      <w:r w:rsidR="00110DAD" w:rsidRPr="00110DAD">
        <w:rPr>
          <w:rFonts w:eastAsia="Times New Roman" w:cstheme="minorHAnsi"/>
          <w:color w:val="1A3133"/>
        </w:rPr>
        <w:t xml:space="preserve">. Si </w:t>
      </w:r>
      <w:r w:rsidR="00274629">
        <w:rPr>
          <w:rFonts w:eastAsia="Times New Roman" w:cstheme="minorHAnsi"/>
          <w:color w:val="1A3133"/>
        </w:rPr>
        <w:t>le projet v</w:t>
      </w:r>
      <w:r w:rsidR="00110DAD" w:rsidRPr="00110DAD">
        <w:rPr>
          <w:rFonts w:eastAsia="Times New Roman" w:cstheme="minorHAnsi"/>
          <w:color w:val="1A3133"/>
        </w:rPr>
        <w:t xml:space="preserve">eille déjà à intégrer le genre de façon transversale dans ses activités, il n’existe pas encore de document permettant de formaliser cet engagement. </w:t>
      </w:r>
    </w:p>
    <w:p w:rsidR="006950FB" w:rsidRDefault="009E1151" w:rsidP="00110DAD">
      <w:pPr>
        <w:jc w:val="both"/>
        <w:rPr>
          <w:rFonts w:eastAsia="Times New Roman" w:cstheme="minorHAnsi"/>
          <w:color w:val="1A3133"/>
        </w:rPr>
      </w:pPr>
      <w:r w:rsidRPr="00D10876">
        <w:rPr>
          <w:rFonts w:eastAsia="Times New Roman" w:cstheme="minorHAnsi"/>
          <w:color w:val="1A3133"/>
          <w:u w:val="single"/>
        </w:rPr>
        <w:t>Concernant le volet migration</w:t>
      </w:r>
      <w:r>
        <w:rPr>
          <w:rFonts w:eastAsia="Times New Roman" w:cstheme="minorHAnsi"/>
          <w:color w:val="1A3133"/>
        </w:rPr>
        <w:t xml:space="preserve">, le projet souhaite mettre en œuvre avec son </w:t>
      </w:r>
      <w:r w:rsidR="006950FB">
        <w:rPr>
          <w:rFonts w:eastAsia="Times New Roman" w:cstheme="minorHAnsi"/>
          <w:color w:val="1A3133"/>
        </w:rPr>
        <w:t>partenaire la F</w:t>
      </w:r>
      <w:r>
        <w:rPr>
          <w:rFonts w:eastAsia="Times New Roman" w:cstheme="minorHAnsi"/>
          <w:color w:val="1A3133"/>
        </w:rPr>
        <w:t xml:space="preserve">ondation Tunisie pour </w:t>
      </w:r>
      <w:r w:rsidR="006950FB">
        <w:rPr>
          <w:rFonts w:eastAsia="Times New Roman" w:cstheme="minorHAnsi"/>
          <w:color w:val="1A3133"/>
        </w:rPr>
        <w:t xml:space="preserve">Développement un programme d’accompagnement dédié spécifiquement aux migrants de retour </w:t>
      </w:r>
      <w:r w:rsidR="00D10876">
        <w:rPr>
          <w:rFonts w:eastAsia="Times New Roman" w:cstheme="minorHAnsi"/>
          <w:color w:val="1A3133"/>
        </w:rPr>
        <w:t xml:space="preserve">(retour forcé) </w:t>
      </w:r>
      <w:r w:rsidR="006950FB">
        <w:rPr>
          <w:rFonts w:eastAsia="Times New Roman" w:cstheme="minorHAnsi"/>
          <w:color w:val="1A3133"/>
        </w:rPr>
        <w:t>et aux personnes vulnérables au départ</w:t>
      </w:r>
      <w:r w:rsidR="00D10876">
        <w:rPr>
          <w:rFonts w:eastAsia="Times New Roman" w:cstheme="minorHAnsi"/>
          <w:color w:val="1A3133"/>
        </w:rPr>
        <w:t>, en particulier les jeunes</w:t>
      </w:r>
      <w:r w:rsidR="006950FB">
        <w:rPr>
          <w:rFonts w:eastAsia="Times New Roman" w:cstheme="minorHAnsi"/>
          <w:color w:val="1A3133"/>
        </w:rPr>
        <w:t xml:space="preserve">. Cette approche constitue pour le projet un pilote qui pourrait permettre de (i) mieux appréhender les profils </w:t>
      </w:r>
      <w:r w:rsidR="00D10876">
        <w:rPr>
          <w:rFonts w:eastAsia="Times New Roman" w:cstheme="minorHAnsi"/>
          <w:color w:val="1A3133"/>
        </w:rPr>
        <w:t xml:space="preserve">et besoins </w:t>
      </w:r>
      <w:r w:rsidR="006950FB">
        <w:rPr>
          <w:rFonts w:eastAsia="Times New Roman" w:cstheme="minorHAnsi"/>
          <w:color w:val="1A3133"/>
        </w:rPr>
        <w:t>des migrant.es de retour</w:t>
      </w:r>
      <w:r w:rsidR="00D10876">
        <w:rPr>
          <w:rFonts w:eastAsia="Times New Roman" w:cstheme="minorHAnsi"/>
          <w:color w:val="1A3133"/>
        </w:rPr>
        <w:t xml:space="preserve"> forcé</w:t>
      </w:r>
      <w:r w:rsidR="006950FB">
        <w:rPr>
          <w:rFonts w:eastAsia="Times New Roman" w:cstheme="minorHAnsi"/>
          <w:color w:val="1A3133"/>
        </w:rPr>
        <w:t>, des p</w:t>
      </w:r>
      <w:r w:rsidR="00D10876">
        <w:rPr>
          <w:rFonts w:eastAsia="Times New Roman" w:cstheme="minorHAnsi"/>
          <w:color w:val="1A3133"/>
        </w:rPr>
        <w:t xml:space="preserve">ersonnes vulnérables au départ ainsi que </w:t>
      </w:r>
      <w:r w:rsidR="006950FB">
        <w:rPr>
          <w:rFonts w:eastAsia="Times New Roman" w:cstheme="minorHAnsi"/>
          <w:color w:val="1A3133"/>
        </w:rPr>
        <w:t>des diasporants</w:t>
      </w:r>
      <w:r w:rsidR="00F0082A">
        <w:rPr>
          <w:rFonts w:eastAsia="Times New Roman" w:cstheme="minorHAnsi"/>
          <w:color w:val="1A3133"/>
        </w:rPr>
        <w:t>,</w:t>
      </w:r>
      <w:r w:rsidR="006950FB">
        <w:rPr>
          <w:rFonts w:eastAsia="Times New Roman" w:cstheme="minorHAnsi"/>
          <w:color w:val="1A3133"/>
        </w:rPr>
        <w:t xml:space="preserve"> (ii)</w:t>
      </w:r>
      <w:r w:rsidR="006950FB" w:rsidRPr="006950FB">
        <w:rPr>
          <w:rFonts w:eastAsia="Times New Roman" w:cstheme="minorHAnsi"/>
          <w:color w:val="1A3133"/>
        </w:rPr>
        <w:t xml:space="preserve"> </w:t>
      </w:r>
      <w:r w:rsidR="006950FB">
        <w:rPr>
          <w:rFonts w:eastAsia="Times New Roman" w:cstheme="minorHAnsi"/>
          <w:color w:val="1A3133"/>
        </w:rPr>
        <w:t xml:space="preserve">d’appuyer les partenaires et l’équipe projet sur les </w:t>
      </w:r>
      <w:r w:rsidR="00F0082A">
        <w:rPr>
          <w:rFonts w:eastAsia="Times New Roman" w:cstheme="minorHAnsi"/>
          <w:color w:val="1A3133"/>
        </w:rPr>
        <w:t>aspects</w:t>
      </w:r>
      <w:r w:rsidR="006950FB">
        <w:rPr>
          <w:rFonts w:eastAsia="Times New Roman" w:cstheme="minorHAnsi"/>
          <w:color w:val="1A3133"/>
        </w:rPr>
        <w:t xml:space="preserve"> migration et (iii) capitaliser sur les expériences des partenaires en particulier de la Fondation Tunisie pour le Développement.</w:t>
      </w:r>
    </w:p>
    <w:p w:rsidR="00110DAD" w:rsidRPr="00110DAD" w:rsidRDefault="006950FB" w:rsidP="00110DAD">
      <w:pPr>
        <w:jc w:val="both"/>
        <w:rPr>
          <w:rFonts w:eastAsia="Times New Roman" w:cstheme="minorHAnsi"/>
          <w:color w:val="1A3133"/>
        </w:rPr>
      </w:pPr>
      <w:r>
        <w:rPr>
          <w:rFonts w:eastAsia="Times New Roman" w:cstheme="minorHAnsi"/>
          <w:color w:val="1A3133"/>
        </w:rPr>
        <w:t>A cet effet, le</w:t>
      </w:r>
      <w:r w:rsidR="00274629">
        <w:rPr>
          <w:rFonts w:eastAsia="Times New Roman" w:cstheme="minorHAnsi"/>
          <w:color w:val="1A3133"/>
        </w:rPr>
        <w:t xml:space="preserve"> projet </w:t>
      </w:r>
      <w:r w:rsidR="00110DAD" w:rsidRPr="00110DAD">
        <w:rPr>
          <w:rFonts w:eastAsia="Times New Roman" w:cstheme="minorHAnsi"/>
          <w:color w:val="1A3133"/>
        </w:rPr>
        <w:t xml:space="preserve">cherche ainsi à </w:t>
      </w:r>
      <w:r w:rsidR="00274629">
        <w:rPr>
          <w:rFonts w:eastAsia="Times New Roman" w:cstheme="minorHAnsi"/>
          <w:color w:val="1A3133"/>
        </w:rPr>
        <w:t xml:space="preserve">identifier un.e expert.e genre </w:t>
      </w:r>
      <w:r>
        <w:rPr>
          <w:rFonts w:eastAsia="Times New Roman" w:cstheme="minorHAnsi"/>
          <w:color w:val="1A3133"/>
        </w:rPr>
        <w:t xml:space="preserve">et </w:t>
      </w:r>
      <w:r w:rsidR="00F0082A">
        <w:rPr>
          <w:rFonts w:eastAsia="Times New Roman" w:cstheme="minorHAnsi"/>
          <w:color w:val="1A3133"/>
        </w:rPr>
        <w:t xml:space="preserve">migration sur toute la durée du projet soit 30 mois. </w:t>
      </w:r>
    </w:p>
    <w:p w:rsidR="00110DAD" w:rsidRPr="006950FB" w:rsidRDefault="00110DAD" w:rsidP="006950FB">
      <w:pPr>
        <w:numPr>
          <w:ilvl w:val="0"/>
          <w:numId w:val="2"/>
        </w:numPr>
        <w:contextualSpacing/>
        <w:jc w:val="both"/>
        <w:rPr>
          <w:rFonts w:eastAsia="Times New Roman" w:cstheme="minorHAnsi"/>
          <w:b/>
          <w:color w:val="1A3133"/>
        </w:rPr>
      </w:pPr>
      <w:r w:rsidRPr="006950FB">
        <w:rPr>
          <w:rFonts w:eastAsia="Times New Roman" w:cstheme="minorHAnsi"/>
          <w:b/>
          <w:color w:val="1A3133"/>
        </w:rPr>
        <w:t>Objectif</w:t>
      </w:r>
      <w:r w:rsidR="00274629" w:rsidRPr="006950FB">
        <w:rPr>
          <w:rFonts w:eastAsia="Times New Roman" w:cstheme="minorHAnsi"/>
          <w:b/>
          <w:color w:val="1A3133"/>
        </w:rPr>
        <w:t xml:space="preserve">s </w:t>
      </w:r>
    </w:p>
    <w:p w:rsidR="00274629" w:rsidRPr="00274629" w:rsidRDefault="00110DAD" w:rsidP="00110DAD">
      <w:pPr>
        <w:spacing w:before="120" w:after="120"/>
        <w:jc w:val="both"/>
        <w:rPr>
          <w:rFonts w:eastAsia="Times New Roman" w:cstheme="minorHAnsi"/>
          <w:color w:val="1A3133"/>
        </w:rPr>
      </w:pPr>
      <w:r w:rsidRPr="00110DAD">
        <w:rPr>
          <w:rFonts w:eastAsia="Times New Roman" w:cstheme="minorHAnsi"/>
          <w:color w:val="1A3133"/>
        </w:rPr>
        <w:t>Le recrutement d’un.e expert.e a pour objectif</w:t>
      </w:r>
      <w:r w:rsidR="009E1151">
        <w:rPr>
          <w:rFonts w:eastAsia="Times New Roman" w:cstheme="minorHAnsi"/>
          <w:color w:val="1A3133"/>
        </w:rPr>
        <w:t>s</w:t>
      </w:r>
      <w:r w:rsidR="00274629" w:rsidRPr="00274629">
        <w:rPr>
          <w:rFonts w:eastAsia="Times New Roman" w:cstheme="minorHAnsi"/>
          <w:color w:val="1A3133"/>
        </w:rPr>
        <w:t xml:space="preserve"> : </w:t>
      </w:r>
    </w:p>
    <w:p w:rsidR="009E1151" w:rsidRDefault="00274629" w:rsidP="00274629">
      <w:pPr>
        <w:pStyle w:val="Paragraphedeliste"/>
        <w:numPr>
          <w:ilvl w:val="0"/>
          <w:numId w:val="15"/>
        </w:numPr>
        <w:spacing w:before="120" w:after="120"/>
        <w:jc w:val="both"/>
        <w:rPr>
          <w:rFonts w:asciiTheme="minorHAnsi" w:eastAsia="Times New Roman" w:hAnsiTheme="minorHAnsi" w:cstheme="minorHAnsi"/>
          <w:color w:val="1A3133"/>
        </w:rPr>
      </w:pPr>
      <w:r w:rsidRPr="00274629">
        <w:rPr>
          <w:rFonts w:asciiTheme="minorHAnsi" w:eastAsia="Times New Roman" w:hAnsiTheme="minorHAnsi" w:cstheme="minorHAnsi"/>
          <w:color w:val="1A3133"/>
        </w:rPr>
        <w:t>La production d</w:t>
      </w:r>
      <w:r>
        <w:rPr>
          <w:rFonts w:asciiTheme="minorHAnsi" w:eastAsia="Times New Roman" w:hAnsiTheme="minorHAnsi" w:cstheme="minorHAnsi"/>
          <w:color w:val="1A3133"/>
        </w:rPr>
        <w:t>’un PAG </w:t>
      </w:r>
      <w:r w:rsidR="00D10876">
        <w:rPr>
          <w:rFonts w:asciiTheme="minorHAnsi" w:eastAsia="Times New Roman" w:hAnsiTheme="minorHAnsi" w:cstheme="minorHAnsi"/>
          <w:color w:val="1A3133"/>
        </w:rPr>
        <w:t xml:space="preserve">(plan d’actions genre) </w:t>
      </w:r>
      <w:r>
        <w:rPr>
          <w:rFonts w:asciiTheme="minorHAnsi" w:eastAsia="Times New Roman" w:hAnsiTheme="minorHAnsi" w:cstheme="minorHAnsi"/>
          <w:color w:val="1A3133"/>
        </w:rPr>
        <w:t>;</w:t>
      </w:r>
    </w:p>
    <w:p w:rsidR="00D10876" w:rsidRDefault="00D10876" w:rsidP="00D10876">
      <w:pPr>
        <w:pStyle w:val="Paragraphedeliste"/>
        <w:numPr>
          <w:ilvl w:val="0"/>
          <w:numId w:val="15"/>
        </w:numPr>
        <w:spacing w:before="120" w:after="120"/>
        <w:jc w:val="both"/>
        <w:rPr>
          <w:rFonts w:asciiTheme="minorHAnsi" w:eastAsia="Times New Roman" w:hAnsiTheme="minorHAnsi" w:cstheme="minorHAnsi"/>
          <w:color w:val="1A3133"/>
        </w:rPr>
      </w:pPr>
      <w:r w:rsidRPr="00274629">
        <w:rPr>
          <w:rFonts w:asciiTheme="minorHAnsi" w:eastAsia="Times New Roman" w:hAnsiTheme="minorHAnsi" w:cstheme="minorHAnsi"/>
          <w:color w:val="1A3133"/>
        </w:rPr>
        <w:t xml:space="preserve">L’accompagnement ponctuel de l’équipe projet dans la mise en œuvre de ses activités </w:t>
      </w:r>
      <w:r>
        <w:rPr>
          <w:rFonts w:asciiTheme="minorHAnsi" w:eastAsia="Times New Roman" w:hAnsiTheme="minorHAnsi" w:cstheme="minorHAnsi"/>
          <w:color w:val="1A3133"/>
        </w:rPr>
        <w:t>en veillant</w:t>
      </w:r>
      <w:r w:rsidRPr="00274629">
        <w:rPr>
          <w:rFonts w:asciiTheme="minorHAnsi" w:eastAsia="Times New Roman" w:hAnsiTheme="minorHAnsi" w:cstheme="minorHAnsi"/>
          <w:color w:val="1A3133"/>
        </w:rPr>
        <w:t xml:space="preserve"> </w:t>
      </w:r>
      <w:r>
        <w:rPr>
          <w:rFonts w:asciiTheme="minorHAnsi" w:eastAsia="Times New Roman" w:hAnsiTheme="minorHAnsi" w:cstheme="minorHAnsi"/>
          <w:color w:val="1A3133"/>
        </w:rPr>
        <w:t xml:space="preserve">notamment à </w:t>
      </w:r>
      <w:r w:rsidRPr="00274629">
        <w:rPr>
          <w:rFonts w:asciiTheme="minorHAnsi" w:eastAsia="Times New Roman" w:hAnsiTheme="minorHAnsi" w:cstheme="minorHAnsi"/>
          <w:color w:val="1A3133"/>
        </w:rPr>
        <w:t xml:space="preserve">l’intégration </w:t>
      </w:r>
      <w:r>
        <w:rPr>
          <w:rFonts w:asciiTheme="minorHAnsi" w:eastAsia="Times New Roman" w:hAnsiTheme="minorHAnsi" w:cstheme="minorHAnsi"/>
          <w:color w:val="1A3133"/>
        </w:rPr>
        <w:t xml:space="preserve">transversale du genre ; </w:t>
      </w:r>
    </w:p>
    <w:p w:rsidR="00D10876" w:rsidRDefault="00D10876" w:rsidP="00D10876">
      <w:pPr>
        <w:pStyle w:val="Paragraphedeliste"/>
        <w:numPr>
          <w:ilvl w:val="0"/>
          <w:numId w:val="15"/>
        </w:numPr>
        <w:spacing w:before="120" w:after="120"/>
        <w:jc w:val="both"/>
        <w:rPr>
          <w:rFonts w:asciiTheme="minorHAnsi" w:eastAsia="Times New Roman" w:hAnsiTheme="minorHAnsi" w:cstheme="minorHAnsi"/>
          <w:color w:val="1A3133"/>
        </w:rPr>
      </w:pPr>
      <w:r>
        <w:rPr>
          <w:rFonts w:asciiTheme="minorHAnsi" w:eastAsia="Times New Roman" w:hAnsiTheme="minorHAnsi" w:cstheme="minorHAnsi"/>
          <w:color w:val="1A3133"/>
        </w:rPr>
        <w:t xml:space="preserve">La formation des équipes et des partenaires sur les questions de genre ; </w:t>
      </w:r>
    </w:p>
    <w:p w:rsidR="00110DAD" w:rsidRPr="00274629" w:rsidRDefault="009E1151" w:rsidP="00274629">
      <w:pPr>
        <w:pStyle w:val="Paragraphedeliste"/>
        <w:numPr>
          <w:ilvl w:val="0"/>
          <w:numId w:val="15"/>
        </w:numPr>
        <w:spacing w:before="120" w:after="120"/>
        <w:jc w:val="both"/>
        <w:rPr>
          <w:rFonts w:asciiTheme="minorHAnsi" w:eastAsia="Times New Roman" w:hAnsiTheme="minorHAnsi" w:cstheme="minorHAnsi"/>
          <w:color w:val="1A3133"/>
        </w:rPr>
      </w:pPr>
      <w:r>
        <w:rPr>
          <w:rFonts w:asciiTheme="minorHAnsi" w:eastAsia="Times New Roman" w:hAnsiTheme="minorHAnsi" w:cstheme="minorHAnsi"/>
          <w:color w:val="1A3133"/>
        </w:rPr>
        <w:t>L’appui-technique</w:t>
      </w:r>
      <w:r w:rsidR="00F0082A">
        <w:rPr>
          <w:rFonts w:asciiTheme="minorHAnsi" w:eastAsia="Times New Roman" w:hAnsiTheme="minorHAnsi" w:cstheme="minorHAnsi"/>
          <w:color w:val="1A3133"/>
        </w:rPr>
        <w:t xml:space="preserve"> continue</w:t>
      </w:r>
      <w:r>
        <w:rPr>
          <w:rFonts w:asciiTheme="minorHAnsi" w:eastAsia="Times New Roman" w:hAnsiTheme="minorHAnsi" w:cstheme="minorHAnsi"/>
          <w:color w:val="1A3133"/>
        </w:rPr>
        <w:t xml:space="preserve"> </w:t>
      </w:r>
      <w:r w:rsidR="00F0082A">
        <w:rPr>
          <w:rFonts w:asciiTheme="minorHAnsi" w:eastAsia="Times New Roman" w:hAnsiTheme="minorHAnsi" w:cstheme="minorHAnsi"/>
          <w:color w:val="1A3133"/>
        </w:rPr>
        <w:t xml:space="preserve">auprès des partenaires et de l’équipe projet </w:t>
      </w:r>
      <w:r>
        <w:rPr>
          <w:rFonts w:asciiTheme="minorHAnsi" w:eastAsia="Times New Roman" w:hAnsiTheme="minorHAnsi" w:cstheme="minorHAnsi"/>
          <w:color w:val="1A3133"/>
        </w:rPr>
        <w:t>sur les questions de migration</w:t>
      </w:r>
      <w:r w:rsidR="00D10876">
        <w:rPr>
          <w:rFonts w:asciiTheme="minorHAnsi" w:eastAsia="Times New Roman" w:hAnsiTheme="minorHAnsi" w:cstheme="minorHAnsi"/>
          <w:color w:val="1A3133"/>
        </w:rPr>
        <w:t xml:space="preserve"> et </w:t>
      </w:r>
      <w:r>
        <w:rPr>
          <w:rFonts w:asciiTheme="minorHAnsi" w:eastAsia="Times New Roman" w:hAnsiTheme="minorHAnsi" w:cstheme="minorHAnsi"/>
          <w:color w:val="1A3133"/>
        </w:rPr>
        <w:t xml:space="preserve">; </w:t>
      </w:r>
      <w:r w:rsidR="00274629">
        <w:rPr>
          <w:rFonts w:asciiTheme="minorHAnsi" w:eastAsia="Times New Roman" w:hAnsiTheme="minorHAnsi" w:cstheme="minorHAnsi"/>
          <w:color w:val="1A3133"/>
        </w:rPr>
        <w:t xml:space="preserve"> </w:t>
      </w:r>
    </w:p>
    <w:p w:rsidR="00274629" w:rsidRPr="009E1151" w:rsidRDefault="00F0082A" w:rsidP="009E1151">
      <w:pPr>
        <w:pStyle w:val="Paragraphedeliste"/>
        <w:numPr>
          <w:ilvl w:val="0"/>
          <w:numId w:val="15"/>
        </w:numPr>
        <w:spacing w:before="120" w:after="120"/>
        <w:jc w:val="both"/>
        <w:rPr>
          <w:rFonts w:asciiTheme="minorHAnsi" w:eastAsia="Times New Roman" w:hAnsiTheme="minorHAnsi" w:cstheme="minorHAnsi"/>
          <w:color w:val="1A3133"/>
        </w:rPr>
      </w:pPr>
      <w:r>
        <w:rPr>
          <w:rFonts w:asciiTheme="minorHAnsi" w:eastAsia="Times New Roman" w:hAnsiTheme="minorHAnsi" w:cstheme="minorHAnsi"/>
          <w:color w:val="1A3133"/>
        </w:rPr>
        <w:t>L’appui renforcé à la capitalisation des expériences pertinentes sur les questions de migration</w:t>
      </w:r>
      <w:r w:rsidR="009E1151">
        <w:rPr>
          <w:rFonts w:asciiTheme="minorHAnsi" w:eastAsia="Times New Roman" w:hAnsiTheme="minorHAnsi" w:cstheme="minorHAnsi"/>
          <w:color w:val="1A3133"/>
        </w:rPr>
        <w:t xml:space="preserve">. </w:t>
      </w:r>
      <w:r w:rsidR="00274629" w:rsidRPr="009E1151">
        <w:rPr>
          <w:rFonts w:asciiTheme="minorHAnsi" w:eastAsia="Times New Roman" w:hAnsiTheme="minorHAnsi" w:cstheme="minorHAnsi"/>
          <w:color w:val="1A3133"/>
        </w:rPr>
        <w:t xml:space="preserve"> </w:t>
      </w:r>
    </w:p>
    <w:p w:rsidR="000E116D" w:rsidRPr="00274629" w:rsidRDefault="000E116D" w:rsidP="000E116D">
      <w:pPr>
        <w:pStyle w:val="Paragraphedeliste"/>
        <w:spacing w:before="120" w:after="120"/>
        <w:jc w:val="both"/>
        <w:rPr>
          <w:rFonts w:asciiTheme="minorHAnsi" w:eastAsia="Times New Roman" w:hAnsiTheme="minorHAnsi" w:cstheme="minorHAnsi"/>
          <w:color w:val="1A3133"/>
        </w:rPr>
      </w:pPr>
    </w:p>
    <w:p w:rsidR="000E116D" w:rsidRPr="000E116D" w:rsidRDefault="002A5034" w:rsidP="000E116D">
      <w:pPr>
        <w:numPr>
          <w:ilvl w:val="0"/>
          <w:numId w:val="2"/>
        </w:numPr>
        <w:contextualSpacing/>
        <w:jc w:val="both"/>
        <w:rPr>
          <w:rFonts w:eastAsia="Times New Roman" w:cstheme="minorHAnsi"/>
          <w:b/>
          <w:color w:val="1A3133"/>
        </w:rPr>
      </w:pPr>
      <w:r w:rsidRPr="000E116D">
        <w:rPr>
          <w:rFonts w:eastAsia="Times New Roman" w:cstheme="minorHAnsi"/>
          <w:b/>
          <w:color w:val="1A3133"/>
        </w:rPr>
        <w:t>Description de la m</w:t>
      </w:r>
      <w:r w:rsidR="00110DAD" w:rsidRPr="000E116D">
        <w:rPr>
          <w:rFonts w:eastAsia="Times New Roman" w:cstheme="minorHAnsi"/>
          <w:b/>
          <w:color w:val="1A3133"/>
        </w:rPr>
        <w:t>ission</w:t>
      </w:r>
    </w:p>
    <w:p w:rsidR="002A5034" w:rsidRPr="002A5034" w:rsidRDefault="002A5034" w:rsidP="002A5034">
      <w:pPr>
        <w:spacing w:before="240" w:after="0" w:line="240" w:lineRule="auto"/>
        <w:jc w:val="both"/>
        <w:rPr>
          <w:rFonts w:eastAsia="Times New Roman" w:cstheme="minorHAnsi"/>
          <w:color w:val="1A3133"/>
        </w:rPr>
      </w:pPr>
      <w:r w:rsidRPr="002A5034">
        <w:rPr>
          <w:rFonts w:eastAsia="Times New Roman" w:cstheme="minorHAnsi"/>
          <w:color w:val="1A3133"/>
        </w:rPr>
        <w:t>En tant qu’expert.e genre</w:t>
      </w:r>
      <w:r w:rsidR="00F0082A">
        <w:rPr>
          <w:rFonts w:eastAsia="Times New Roman" w:cstheme="minorHAnsi"/>
          <w:color w:val="1A3133"/>
        </w:rPr>
        <w:t xml:space="preserve"> et migration</w:t>
      </w:r>
      <w:r w:rsidRPr="002A5034">
        <w:rPr>
          <w:rFonts w:eastAsia="Times New Roman" w:cstheme="minorHAnsi"/>
          <w:color w:val="1A3133"/>
        </w:rPr>
        <w:t xml:space="preserve">, vous appuierez l’ensemble de l’équipe projet et les partenaires dans la mise en place et l’opérationnalisation du plan d’actions genre. </w:t>
      </w:r>
    </w:p>
    <w:p w:rsidR="002A5034" w:rsidRDefault="002A5034" w:rsidP="002A5034">
      <w:pPr>
        <w:spacing w:before="240" w:after="0" w:line="240" w:lineRule="auto"/>
        <w:jc w:val="both"/>
        <w:rPr>
          <w:rFonts w:eastAsia="Times New Roman" w:cstheme="minorHAnsi"/>
          <w:color w:val="1A3133"/>
        </w:rPr>
      </w:pPr>
      <w:r w:rsidRPr="002A5034">
        <w:rPr>
          <w:rFonts w:eastAsia="Times New Roman" w:cstheme="minorHAnsi"/>
          <w:color w:val="1A3133"/>
        </w:rPr>
        <w:t>Vous serez chargé.e d’animer des formations</w:t>
      </w:r>
      <w:r w:rsidR="00F0082A">
        <w:rPr>
          <w:rFonts w:eastAsia="Times New Roman" w:cstheme="minorHAnsi"/>
          <w:color w:val="1A3133"/>
        </w:rPr>
        <w:t>, réunions</w:t>
      </w:r>
      <w:r w:rsidRPr="002A5034">
        <w:rPr>
          <w:rFonts w:eastAsia="Times New Roman" w:cstheme="minorHAnsi"/>
          <w:color w:val="1A3133"/>
        </w:rPr>
        <w:t xml:space="preserve"> et des ateliers, et de réaliser du contrôle qualité et de suivre la mise en œuvre du plan d’action genre </w:t>
      </w:r>
      <w:r w:rsidR="00F0082A">
        <w:rPr>
          <w:rFonts w:eastAsia="Times New Roman" w:cstheme="minorHAnsi"/>
          <w:color w:val="1A3133"/>
        </w:rPr>
        <w:t xml:space="preserve">et des activités en lien avec les aspects migration  </w:t>
      </w:r>
      <w:r w:rsidRPr="002A5034">
        <w:rPr>
          <w:rFonts w:eastAsia="Times New Roman" w:cstheme="minorHAnsi"/>
          <w:color w:val="1A3133"/>
        </w:rPr>
        <w:t>du projet. Vous serez également chargé(e) de l’évaluation régulière des dispositifs existants, la remontée d’informations (rapports, visites de terrain), et le renforcement des capacités des équipes concernées.</w:t>
      </w:r>
    </w:p>
    <w:p w:rsidR="002A5034" w:rsidRDefault="002A5034" w:rsidP="002A5034">
      <w:pPr>
        <w:spacing w:before="240" w:after="0" w:line="240" w:lineRule="auto"/>
        <w:jc w:val="both"/>
        <w:rPr>
          <w:rFonts w:eastAsia="Times New Roman" w:cstheme="minorHAnsi"/>
          <w:color w:val="1A3133"/>
        </w:rPr>
      </w:pPr>
      <w:r w:rsidRPr="002A5034">
        <w:rPr>
          <w:rFonts w:eastAsia="Times New Roman" w:cstheme="minorHAnsi"/>
          <w:color w:val="1A3133"/>
        </w:rPr>
        <w:t xml:space="preserve">Votre rôle comprendra </w:t>
      </w:r>
      <w:r>
        <w:rPr>
          <w:rFonts w:eastAsia="Times New Roman" w:cstheme="minorHAnsi"/>
          <w:color w:val="1A3133"/>
        </w:rPr>
        <w:t>les</w:t>
      </w:r>
      <w:r w:rsidRPr="002A5034">
        <w:rPr>
          <w:rFonts w:eastAsia="Times New Roman" w:cstheme="minorHAnsi"/>
          <w:color w:val="1A3133"/>
        </w:rPr>
        <w:t xml:space="preserve"> principaux axes d’intervention </w:t>
      </w:r>
      <w:r>
        <w:rPr>
          <w:rFonts w:eastAsia="Times New Roman" w:cstheme="minorHAnsi"/>
          <w:color w:val="1A3133"/>
        </w:rPr>
        <w:t>(de manière non exhaustive</w:t>
      </w:r>
      <w:r w:rsidR="00D10876">
        <w:rPr>
          <w:rFonts w:eastAsia="Times New Roman" w:cstheme="minorHAnsi"/>
          <w:color w:val="1A3133"/>
        </w:rPr>
        <w:t xml:space="preserve"> et peut évoluer en fonction des besoins du projet et des partenaires</w:t>
      </w:r>
      <w:r>
        <w:rPr>
          <w:rFonts w:eastAsia="Times New Roman" w:cstheme="minorHAnsi"/>
          <w:color w:val="1A3133"/>
        </w:rPr>
        <w:t xml:space="preserve">) </w:t>
      </w:r>
      <w:r w:rsidRPr="002A5034">
        <w:rPr>
          <w:rFonts w:eastAsia="Times New Roman" w:cstheme="minorHAnsi"/>
          <w:color w:val="1A3133"/>
        </w:rPr>
        <w:t>:</w:t>
      </w:r>
    </w:p>
    <w:p w:rsidR="002F7D60" w:rsidRPr="002F7D60" w:rsidRDefault="002F7D60" w:rsidP="002A5034">
      <w:pPr>
        <w:pStyle w:val="Paragraphedeliste"/>
        <w:numPr>
          <w:ilvl w:val="0"/>
          <w:numId w:val="15"/>
        </w:numPr>
        <w:spacing w:before="240" w:after="0"/>
        <w:jc w:val="both"/>
        <w:rPr>
          <w:rFonts w:asciiTheme="minorHAnsi" w:eastAsia="Times New Roman" w:hAnsiTheme="minorHAnsi" w:cstheme="minorHAnsi"/>
          <w:b/>
          <w:color w:val="1A3133"/>
        </w:rPr>
      </w:pPr>
      <w:r w:rsidRPr="002F7D60">
        <w:rPr>
          <w:rFonts w:asciiTheme="minorHAnsi" w:eastAsia="Times New Roman" w:hAnsiTheme="minorHAnsi" w:cstheme="minorHAnsi"/>
          <w:b/>
          <w:color w:val="1A3133"/>
        </w:rPr>
        <w:t xml:space="preserve">Sur les aspects genre : </w:t>
      </w:r>
    </w:p>
    <w:p w:rsidR="002A5034" w:rsidRDefault="002A5034" w:rsidP="002F7D60">
      <w:pPr>
        <w:pStyle w:val="Paragraphedeliste"/>
        <w:numPr>
          <w:ilvl w:val="1"/>
          <w:numId w:val="15"/>
        </w:numPr>
        <w:spacing w:before="240" w:after="0"/>
        <w:jc w:val="both"/>
        <w:rPr>
          <w:rFonts w:asciiTheme="minorHAnsi" w:eastAsia="Times New Roman" w:hAnsiTheme="minorHAnsi" w:cstheme="minorHAnsi"/>
          <w:color w:val="1A3133"/>
        </w:rPr>
      </w:pPr>
      <w:r w:rsidRPr="002A5034">
        <w:rPr>
          <w:rFonts w:asciiTheme="minorHAnsi" w:eastAsia="Times New Roman" w:hAnsiTheme="minorHAnsi" w:cstheme="minorHAnsi"/>
          <w:color w:val="1A3133"/>
        </w:rPr>
        <w:t xml:space="preserve">Production </w:t>
      </w:r>
      <w:r>
        <w:rPr>
          <w:rFonts w:asciiTheme="minorHAnsi" w:eastAsia="Times New Roman" w:hAnsiTheme="minorHAnsi" w:cstheme="minorHAnsi"/>
          <w:color w:val="1A3133"/>
        </w:rPr>
        <w:t xml:space="preserve">et </w:t>
      </w:r>
      <w:r w:rsidR="00ED50B1">
        <w:rPr>
          <w:rFonts w:asciiTheme="minorHAnsi" w:eastAsia="Times New Roman" w:hAnsiTheme="minorHAnsi" w:cstheme="minorHAnsi"/>
          <w:color w:val="1A3133"/>
        </w:rPr>
        <w:t xml:space="preserve">appui à la </w:t>
      </w:r>
      <w:r>
        <w:rPr>
          <w:rFonts w:asciiTheme="minorHAnsi" w:eastAsia="Times New Roman" w:hAnsiTheme="minorHAnsi" w:cstheme="minorHAnsi"/>
          <w:color w:val="1A3133"/>
        </w:rPr>
        <w:t xml:space="preserve">mise à jour </w:t>
      </w:r>
      <w:r w:rsidRPr="002A5034">
        <w:rPr>
          <w:rFonts w:asciiTheme="minorHAnsi" w:eastAsia="Times New Roman" w:hAnsiTheme="minorHAnsi" w:cstheme="minorHAnsi"/>
          <w:color w:val="1A3133"/>
        </w:rPr>
        <w:t xml:space="preserve">du PAG du projet ; </w:t>
      </w:r>
    </w:p>
    <w:p w:rsidR="002A5034" w:rsidRDefault="002A5034" w:rsidP="002F7D60">
      <w:pPr>
        <w:pStyle w:val="Paragraphedeliste"/>
        <w:numPr>
          <w:ilvl w:val="1"/>
          <w:numId w:val="15"/>
        </w:numPr>
        <w:spacing w:before="240" w:after="0"/>
        <w:jc w:val="both"/>
        <w:rPr>
          <w:rFonts w:asciiTheme="minorHAnsi" w:eastAsia="Times New Roman" w:hAnsiTheme="minorHAnsi" w:cstheme="minorHAnsi"/>
          <w:color w:val="1A3133"/>
        </w:rPr>
      </w:pPr>
      <w:r w:rsidRPr="002A5034">
        <w:rPr>
          <w:rFonts w:asciiTheme="minorHAnsi" w:eastAsia="Times New Roman" w:hAnsiTheme="minorHAnsi" w:cstheme="minorHAnsi"/>
          <w:color w:val="1A3133"/>
        </w:rPr>
        <w:t>Formation de</w:t>
      </w:r>
      <w:r>
        <w:rPr>
          <w:rFonts w:asciiTheme="minorHAnsi" w:eastAsia="Times New Roman" w:hAnsiTheme="minorHAnsi" w:cstheme="minorHAnsi"/>
          <w:color w:val="1A3133"/>
        </w:rPr>
        <w:t xml:space="preserve"> l’équipe projet, de</w:t>
      </w:r>
      <w:r w:rsidR="00ED50B1">
        <w:rPr>
          <w:rFonts w:asciiTheme="minorHAnsi" w:eastAsia="Times New Roman" w:hAnsiTheme="minorHAnsi" w:cstheme="minorHAnsi"/>
          <w:color w:val="1A3133"/>
        </w:rPr>
        <w:t xml:space="preserve">s partenaires, expert.es </w:t>
      </w:r>
      <w:r w:rsidRPr="002A5034">
        <w:rPr>
          <w:rFonts w:asciiTheme="minorHAnsi" w:eastAsia="Times New Roman" w:hAnsiTheme="minorHAnsi" w:cstheme="minorHAnsi"/>
          <w:color w:val="1A3133"/>
        </w:rPr>
        <w:t xml:space="preserve">et des bénéficiaires de subvention sur l’intégration transversale du genre ; </w:t>
      </w:r>
    </w:p>
    <w:p w:rsidR="002F7D60" w:rsidRDefault="002F7D60" w:rsidP="002F7D60">
      <w:pPr>
        <w:pStyle w:val="Paragraphedeliste"/>
        <w:numPr>
          <w:ilvl w:val="1"/>
          <w:numId w:val="15"/>
        </w:numPr>
        <w:spacing w:before="240" w:after="0"/>
        <w:jc w:val="both"/>
        <w:rPr>
          <w:rFonts w:asciiTheme="minorHAnsi" w:eastAsia="Times New Roman" w:hAnsiTheme="minorHAnsi" w:cstheme="minorHAnsi"/>
          <w:color w:val="1A3133"/>
        </w:rPr>
      </w:pPr>
      <w:r w:rsidRPr="002A5034">
        <w:rPr>
          <w:rFonts w:asciiTheme="minorHAnsi" w:eastAsia="Times New Roman" w:hAnsiTheme="minorHAnsi" w:cstheme="minorHAnsi"/>
          <w:color w:val="1A3133"/>
        </w:rPr>
        <w:t xml:space="preserve">Appui au contrôle-qualité </w:t>
      </w:r>
      <w:r w:rsidR="00D10876">
        <w:rPr>
          <w:rFonts w:asciiTheme="minorHAnsi" w:eastAsia="Times New Roman" w:hAnsiTheme="minorHAnsi" w:cstheme="minorHAnsi"/>
          <w:color w:val="1A3133"/>
        </w:rPr>
        <w:t>des documents produits</w:t>
      </w:r>
      <w:r>
        <w:rPr>
          <w:rFonts w:asciiTheme="minorHAnsi" w:eastAsia="Times New Roman" w:hAnsiTheme="minorHAnsi" w:cstheme="minorHAnsi"/>
          <w:color w:val="1A3133"/>
        </w:rPr>
        <w:t xml:space="preserve"> par les partenaires et</w:t>
      </w:r>
      <w:r w:rsidR="00D10876">
        <w:rPr>
          <w:rFonts w:asciiTheme="minorHAnsi" w:eastAsia="Times New Roman" w:hAnsiTheme="minorHAnsi" w:cstheme="minorHAnsi"/>
          <w:color w:val="1A3133"/>
        </w:rPr>
        <w:t xml:space="preserve"> les</w:t>
      </w:r>
      <w:r>
        <w:rPr>
          <w:rFonts w:asciiTheme="minorHAnsi" w:eastAsia="Times New Roman" w:hAnsiTheme="minorHAnsi" w:cstheme="minorHAnsi"/>
          <w:color w:val="1A3133"/>
        </w:rPr>
        <w:t xml:space="preserve"> prestataires du projet. L’expert.e veillera principalement à ce que l’ensemble de ces livrables intègrent les enjeux de genre de manière transversal</w:t>
      </w:r>
      <w:r w:rsidR="00D10876">
        <w:rPr>
          <w:rFonts w:asciiTheme="minorHAnsi" w:eastAsia="Times New Roman" w:hAnsiTheme="minorHAnsi" w:cstheme="minorHAnsi"/>
          <w:color w:val="1A3133"/>
        </w:rPr>
        <w:t>e</w:t>
      </w:r>
      <w:r>
        <w:rPr>
          <w:rFonts w:asciiTheme="minorHAnsi" w:eastAsia="Times New Roman" w:hAnsiTheme="minorHAnsi" w:cstheme="minorHAnsi"/>
          <w:color w:val="1A3133"/>
        </w:rPr>
        <w:t xml:space="preserve"> et ; </w:t>
      </w:r>
    </w:p>
    <w:p w:rsidR="002F7D60" w:rsidRPr="00ED50B1" w:rsidRDefault="002F7D60" w:rsidP="002F7D60">
      <w:pPr>
        <w:pStyle w:val="Paragraphedeliste"/>
        <w:numPr>
          <w:ilvl w:val="1"/>
          <w:numId w:val="15"/>
        </w:numPr>
        <w:spacing w:before="240" w:after="0"/>
        <w:jc w:val="both"/>
        <w:rPr>
          <w:rFonts w:asciiTheme="minorHAnsi" w:eastAsia="Times New Roman" w:hAnsiTheme="minorHAnsi" w:cstheme="minorHAnsi"/>
          <w:color w:val="1A3133"/>
        </w:rPr>
      </w:pPr>
      <w:r w:rsidRPr="002A5034">
        <w:rPr>
          <w:rFonts w:asciiTheme="minorHAnsi" w:eastAsia="Times New Roman" w:hAnsiTheme="minorHAnsi" w:cstheme="minorHAnsi"/>
          <w:color w:val="1A3133"/>
        </w:rPr>
        <w:t xml:space="preserve">Production </w:t>
      </w:r>
      <w:r w:rsidR="00D10876">
        <w:rPr>
          <w:rFonts w:asciiTheme="minorHAnsi" w:eastAsia="Times New Roman" w:hAnsiTheme="minorHAnsi" w:cstheme="minorHAnsi"/>
          <w:color w:val="1A3133"/>
        </w:rPr>
        <w:t xml:space="preserve">de deux à trois </w:t>
      </w:r>
      <w:r w:rsidRPr="002A5034">
        <w:rPr>
          <w:rFonts w:asciiTheme="minorHAnsi" w:eastAsia="Times New Roman" w:hAnsiTheme="minorHAnsi" w:cstheme="minorHAnsi"/>
          <w:color w:val="1A3133"/>
        </w:rPr>
        <w:t>rapport</w:t>
      </w:r>
      <w:r w:rsidR="00D10876">
        <w:rPr>
          <w:rFonts w:asciiTheme="minorHAnsi" w:eastAsia="Times New Roman" w:hAnsiTheme="minorHAnsi" w:cstheme="minorHAnsi"/>
          <w:color w:val="1A3133"/>
        </w:rPr>
        <w:t>s synthétique</w:t>
      </w:r>
      <w:r w:rsidRPr="002A5034">
        <w:rPr>
          <w:rFonts w:asciiTheme="minorHAnsi" w:eastAsia="Times New Roman" w:hAnsiTheme="minorHAnsi" w:cstheme="minorHAnsi"/>
          <w:color w:val="1A3133"/>
        </w:rPr>
        <w:t xml:space="preserve"> sur la mise en œuvre du PAG projet. </w:t>
      </w:r>
    </w:p>
    <w:p w:rsidR="002F7D60" w:rsidRPr="002F7D60" w:rsidRDefault="002F7D60" w:rsidP="002A5034">
      <w:pPr>
        <w:pStyle w:val="Paragraphedeliste"/>
        <w:numPr>
          <w:ilvl w:val="0"/>
          <w:numId w:val="15"/>
        </w:numPr>
        <w:spacing w:before="240" w:after="0"/>
        <w:jc w:val="both"/>
        <w:rPr>
          <w:rFonts w:asciiTheme="minorHAnsi" w:eastAsia="Times New Roman" w:hAnsiTheme="minorHAnsi" w:cstheme="minorHAnsi"/>
          <w:b/>
          <w:color w:val="1A3133"/>
        </w:rPr>
      </w:pPr>
      <w:r w:rsidRPr="002F7D60">
        <w:rPr>
          <w:rFonts w:asciiTheme="minorHAnsi" w:eastAsia="Times New Roman" w:hAnsiTheme="minorHAnsi" w:cstheme="minorHAnsi"/>
          <w:b/>
          <w:color w:val="1A3133"/>
        </w:rPr>
        <w:t xml:space="preserve">Sur les aspects migration : </w:t>
      </w:r>
    </w:p>
    <w:p w:rsidR="00F0082A" w:rsidRPr="002B6D15" w:rsidRDefault="00F0082A" w:rsidP="002B6D15">
      <w:pPr>
        <w:pStyle w:val="Paragraphedeliste"/>
        <w:numPr>
          <w:ilvl w:val="1"/>
          <w:numId w:val="15"/>
        </w:numPr>
        <w:spacing w:before="240" w:after="0"/>
        <w:jc w:val="both"/>
        <w:rPr>
          <w:rFonts w:asciiTheme="minorHAnsi" w:eastAsia="Times New Roman" w:hAnsiTheme="minorHAnsi" w:cstheme="minorHAnsi"/>
          <w:color w:val="1A3133"/>
        </w:rPr>
      </w:pPr>
      <w:r>
        <w:rPr>
          <w:rFonts w:asciiTheme="minorHAnsi" w:eastAsia="Times New Roman" w:hAnsiTheme="minorHAnsi" w:cstheme="minorHAnsi"/>
          <w:color w:val="1A3133"/>
        </w:rPr>
        <w:t xml:space="preserve">Appui technique et suivi des activités en lien avec les aspects migration. </w:t>
      </w:r>
      <w:r w:rsidR="002F7D60">
        <w:rPr>
          <w:rFonts w:asciiTheme="minorHAnsi" w:eastAsia="Times New Roman" w:hAnsiTheme="minorHAnsi" w:cstheme="minorHAnsi"/>
          <w:color w:val="1A3133"/>
        </w:rPr>
        <w:t>Les activités</w:t>
      </w:r>
      <w:r>
        <w:rPr>
          <w:rFonts w:asciiTheme="minorHAnsi" w:eastAsia="Times New Roman" w:hAnsiTheme="minorHAnsi" w:cstheme="minorHAnsi"/>
          <w:color w:val="1A3133"/>
        </w:rPr>
        <w:t xml:space="preserve"> en lien avec </w:t>
      </w:r>
      <w:r w:rsidR="002F7D60">
        <w:rPr>
          <w:rFonts w:asciiTheme="minorHAnsi" w:eastAsia="Times New Roman" w:hAnsiTheme="minorHAnsi" w:cstheme="minorHAnsi"/>
          <w:color w:val="1A3133"/>
        </w:rPr>
        <w:t xml:space="preserve">les questions de migration sont menées par la Fondation Tunisie pour le développement (cibles : migrants de retour et personnes vulnérables au départ), The Dot et la CDC (cible : </w:t>
      </w:r>
      <w:r w:rsidR="00D10876">
        <w:rPr>
          <w:rFonts w:asciiTheme="minorHAnsi" w:eastAsia="Times New Roman" w:hAnsiTheme="minorHAnsi" w:cstheme="minorHAnsi"/>
          <w:color w:val="1A3133"/>
        </w:rPr>
        <w:t>diaspora</w:t>
      </w:r>
      <w:r w:rsidR="002F7D60">
        <w:rPr>
          <w:rFonts w:asciiTheme="minorHAnsi" w:eastAsia="Times New Roman" w:hAnsiTheme="minorHAnsi" w:cstheme="minorHAnsi"/>
          <w:color w:val="1A3133"/>
        </w:rPr>
        <w:t>) et éventuellement des structures d’accompagnement et d’encadrement d’entrepreneur.es</w:t>
      </w:r>
      <w:r w:rsidR="002B6D15" w:rsidRPr="002B6D15">
        <w:rPr>
          <w:rFonts w:asciiTheme="minorHAnsi" w:eastAsia="Times New Roman" w:hAnsiTheme="minorHAnsi" w:cstheme="minorHAnsi"/>
          <w:color w:val="1A3133"/>
        </w:rPr>
        <w:t xml:space="preserve"> </w:t>
      </w:r>
      <w:r w:rsidR="002F7D60" w:rsidRPr="002B6D15">
        <w:rPr>
          <w:rFonts w:asciiTheme="minorHAnsi" w:eastAsia="Times New Roman" w:hAnsiTheme="minorHAnsi" w:cstheme="minorHAnsi"/>
          <w:color w:val="1A3133"/>
        </w:rPr>
        <w:t xml:space="preserve">et ; </w:t>
      </w:r>
    </w:p>
    <w:p w:rsidR="002A5034" w:rsidRPr="00ED50B1" w:rsidRDefault="002F7D60" w:rsidP="002F7D60">
      <w:pPr>
        <w:pStyle w:val="Paragraphedeliste"/>
        <w:numPr>
          <w:ilvl w:val="1"/>
          <w:numId w:val="15"/>
        </w:numPr>
        <w:spacing w:before="240" w:after="0"/>
        <w:jc w:val="both"/>
        <w:rPr>
          <w:rFonts w:asciiTheme="minorHAnsi" w:eastAsia="Times New Roman" w:hAnsiTheme="minorHAnsi" w:cstheme="minorHAnsi"/>
          <w:color w:val="1A3133"/>
        </w:rPr>
      </w:pPr>
      <w:r>
        <w:rPr>
          <w:rFonts w:asciiTheme="minorHAnsi" w:eastAsia="Times New Roman" w:hAnsiTheme="minorHAnsi" w:cstheme="minorHAnsi"/>
          <w:color w:val="1A3133"/>
        </w:rPr>
        <w:t>En lien avec le.la chargé.e SERA, p</w:t>
      </w:r>
      <w:r w:rsidR="002A5034">
        <w:rPr>
          <w:rFonts w:asciiTheme="minorHAnsi" w:eastAsia="Times New Roman" w:hAnsiTheme="minorHAnsi" w:cstheme="minorHAnsi"/>
          <w:color w:val="1A3133"/>
        </w:rPr>
        <w:t xml:space="preserve">articipation au dispositif de suivi-évaluation et </w:t>
      </w:r>
      <w:r>
        <w:rPr>
          <w:rFonts w:asciiTheme="minorHAnsi" w:eastAsia="Times New Roman" w:hAnsiTheme="minorHAnsi" w:cstheme="minorHAnsi"/>
          <w:color w:val="1A3133"/>
        </w:rPr>
        <w:t xml:space="preserve">de </w:t>
      </w:r>
      <w:r w:rsidR="002A5034">
        <w:rPr>
          <w:rFonts w:asciiTheme="minorHAnsi" w:eastAsia="Times New Roman" w:hAnsiTheme="minorHAnsi" w:cstheme="minorHAnsi"/>
          <w:color w:val="1A3133"/>
        </w:rPr>
        <w:t>capitalisation</w:t>
      </w:r>
      <w:r>
        <w:rPr>
          <w:rFonts w:asciiTheme="minorHAnsi" w:eastAsia="Times New Roman" w:hAnsiTheme="minorHAnsi" w:cstheme="minorHAnsi"/>
          <w:color w:val="1A3133"/>
        </w:rPr>
        <w:t xml:space="preserve"> du projet</w:t>
      </w:r>
      <w:r w:rsidR="00ED50B1">
        <w:rPr>
          <w:rFonts w:asciiTheme="minorHAnsi" w:eastAsia="Times New Roman" w:hAnsiTheme="minorHAnsi" w:cstheme="minorHAnsi"/>
          <w:color w:val="1A3133"/>
        </w:rPr>
        <w:t>. Cette mission pourra intégrer des visites de terrain</w:t>
      </w:r>
      <w:r w:rsidR="00F0082A">
        <w:rPr>
          <w:rFonts w:asciiTheme="minorHAnsi" w:eastAsia="Times New Roman" w:hAnsiTheme="minorHAnsi" w:cstheme="minorHAnsi"/>
          <w:color w:val="1A3133"/>
        </w:rPr>
        <w:t>, l</w:t>
      </w:r>
      <w:r w:rsidR="00ED50B1" w:rsidRPr="00ED50B1">
        <w:rPr>
          <w:rFonts w:asciiTheme="minorHAnsi" w:eastAsia="Times New Roman" w:hAnsiTheme="minorHAnsi" w:cstheme="minorHAnsi"/>
          <w:color w:val="1A3133"/>
        </w:rPr>
        <w:t xml:space="preserve">’animation d’entretien et de focus group </w:t>
      </w:r>
      <w:r w:rsidR="00F0082A">
        <w:rPr>
          <w:rFonts w:asciiTheme="minorHAnsi" w:eastAsia="Times New Roman" w:hAnsiTheme="minorHAnsi" w:cstheme="minorHAnsi"/>
          <w:color w:val="1A3133"/>
        </w:rPr>
        <w:t>et la production de fiche</w:t>
      </w:r>
      <w:r w:rsidR="00D10876">
        <w:rPr>
          <w:rFonts w:asciiTheme="minorHAnsi" w:eastAsia="Times New Roman" w:hAnsiTheme="minorHAnsi" w:cstheme="minorHAnsi"/>
          <w:color w:val="1A3133"/>
        </w:rPr>
        <w:t>(s)</w:t>
      </w:r>
      <w:r w:rsidR="00F0082A">
        <w:rPr>
          <w:rFonts w:asciiTheme="minorHAnsi" w:eastAsia="Times New Roman" w:hAnsiTheme="minorHAnsi" w:cstheme="minorHAnsi"/>
          <w:color w:val="1A3133"/>
        </w:rPr>
        <w:t xml:space="preserve"> capitalisation sur le modèle d’Expertise France et/ou l’appui à la production d’outils de capitalisa</w:t>
      </w:r>
      <w:r>
        <w:rPr>
          <w:rFonts w:asciiTheme="minorHAnsi" w:eastAsia="Times New Roman" w:hAnsiTheme="minorHAnsi" w:cstheme="minorHAnsi"/>
          <w:color w:val="1A3133"/>
        </w:rPr>
        <w:t xml:space="preserve">tion (vidéo, infographie, etc.). </w:t>
      </w:r>
    </w:p>
    <w:p w:rsidR="002A5034" w:rsidRPr="000E116D" w:rsidRDefault="002A5034" w:rsidP="000E116D">
      <w:pPr>
        <w:spacing w:before="120" w:after="120"/>
        <w:contextualSpacing/>
        <w:jc w:val="both"/>
        <w:rPr>
          <w:rFonts w:eastAsia="Times New Roman" w:cstheme="minorHAnsi"/>
          <w:b/>
          <w:color w:val="1A3133"/>
        </w:rPr>
      </w:pPr>
    </w:p>
    <w:p w:rsidR="00110DAD" w:rsidRPr="00110DAD" w:rsidRDefault="00110DAD" w:rsidP="000E116D">
      <w:pPr>
        <w:spacing w:before="120" w:after="120"/>
        <w:contextualSpacing/>
        <w:jc w:val="both"/>
        <w:rPr>
          <w:rFonts w:eastAsia="Times New Roman" w:cstheme="minorHAnsi"/>
          <w:b/>
          <w:color w:val="1A3133"/>
        </w:rPr>
      </w:pPr>
      <w:r w:rsidRPr="00110DAD">
        <w:rPr>
          <w:rFonts w:eastAsia="Times New Roman" w:cstheme="minorHAnsi"/>
          <w:b/>
          <w:color w:val="1A3133"/>
        </w:rPr>
        <w:t>Résultats attendus, livrables et calendrier prévisionnel</w:t>
      </w:r>
    </w:p>
    <w:p w:rsidR="002F7D60" w:rsidRDefault="00110DAD" w:rsidP="00110DAD">
      <w:pPr>
        <w:spacing w:line="276" w:lineRule="auto"/>
        <w:jc w:val="both"/>
        <w:rPr>
          <w:rFonts w:eastAsia="Times New Roman" w:cstheme="minorHAnsi"/>
          <w:color w:val="1A3133"/>
          <w:lang w:val="fr"/>
        </w:rPr>
      </w:pPr>
      <w:r w:rsidRPr="00110DAD">
        <w:rPr>
          <w:rFonts w:eastAsia="Times New Roman" w:cstheme="minorHAnsi"/>
          <w:color w:val="1A3133"/>
          <w:lang w:val="fr"/>
        </w:rPr>
        <w:t xml:space="preserve">Une répartition préliminaire est présentée ci-dessous pour la réalisation de cette mission. Cependant, cette proposition est indicative. Nous encourageons les candidat.e.s à évaluer cette répartition et à suggérer, </w:t>
      </w:r>
      <w:r w:rsidR="00443887">
        <w:rPr>
          <w:rFonts w:eastAsia="Times New Roman" w:cstheme="minorHAnsi"/>
          <w:color w:val="1A3133"/>
          <w:lang w:val="fr"/>
        </w:rPr>
        <w:t>au cours de l’entretien,</w:t>
      </w:r>
      <w:r w:rsidRPr="00110DAD">
        <w:rPr>
          <w:rFonts w:eastAsia="Times New Roman" w:cstheme="minorHAnsi"/>
          <w:color w:val="1A3133"/>
          <w:lang w:val="fr"/>
        </w:rPr>
        <w:t xml:space="preserve"> une nouvelle répartition des jours/homme s'ils estiment qu'une approche alternative pourrait mieux répondre aux objectifs de la mission. </w:t>
      </w:r>
    </w:p>
    <w:p w:rsidR="00110DAD" w:rsidRPr="00110DAD" w:rsidRDefault="00ED50B1" w:rsidP="00110DAD">
      <w:pPr>
        <w:spacing w:line="276" w:lineRule="auto"/>
        <w:jc w:val="both"/>
        <w:rPr>
          <w:rFonts w:eastAsia="Times New Roman" w:cstheme="minorHAnsi"/>
          <w:color w:val="1A3133"/>
          <w:lang w:val="fr"/>
        </w:rPr>
      </w:pPr>
      <w:r>
        <w:rPr>
          <w:rFonts w:eastAsia="Times New Roman" w:cstheme="minorHAnsi"/>
          <w:color w:val="1A3133"/>
          <w:lang w:val="fr"/>
        </w:rPr>
        <w:t xml:space="preserve">Le contrat proposé intégrera la possibilité de passer des bons de commande </w:t>
      </w:r>
      <w:r w:rsidR="002F7D60">
        <w:rPr>
          <w:rFonts w:eastAsia="Times New Roman" w:cstheme="minorHAnsi"/>
          <w:color w:val="1A3133"/>
          <w:lang w:val="fr"/>
        </w:rPr>
        <w:t xml:space="preserve">selon des fréquences et des besoins à définir progressivement. Ces bons de commande </w:t>
      </w:r>
      <w:r w:rsidR="00D10876">
        <w:rPr>
          <w:rFonts w:eastAsia="Times New Roman" w:cstheme="minorHAnsi"/>
          <w:color w:val="1A3133"/>
          <w:lang w:val="fr"/>
        </w:rPr>
        <w:t>détailleront</w:t>
      </w:r>
      <w:r>
        <w:rPr>
          <w:rFonts w:eastAsia="Times New Roman" w:cstheme="minorHAnsi"/>
          <w:color w:val="1A3133"/>
          <w:lang w:val="fr"/>
        </w:rPr>
        <w:t xml:space="preserve"> les livrables et l</w:t>
      </w:r>
      <w:r w:rsidR="002F7D60">
        <w:rPr>
          <w:rFonts w:eastAsia="Times New Roman" w:cstheme="minorHAnsi"/>
          <w:color w:val="1A3133"/>
          <w:lang w:val="fr"/>
        </w:rPr>
        <w:t>e nombre</w:t>
      </w:r>
      <w:r>
        <w:rPr>
          <w:rFonts w:eastAsia="Times New Roman" w:cstheme="minorHAnsi"/>
          <w:color w:val="1A3133"/>
          <w:lang w:val="fr"/>
        </w:rPr>
        <w:t xml:space="preserve"> de jours précis associés à chaque mission en tenant compte du temps nécessaire</w:t>
      </w:r>
      <w:r w:rsidR="002F7D60">
        <w:rPr>
          <w:rFonts w:eastAsia="Times New Roman" w:cstheme="minorHAnsi"/>
          <w:color w:val="1A3133"/>
          <w:lang w:val="fr"/>
        </w:rPr>
        <w:t xml:space="preserve"> à mobiliser</w:t>
      </w:r>
      <w:r>
        <w:rPr>
          <w:rFonts w:eastAsia="Times New Roman" w:cstheme="minorHAnsi"/>
          <w:color w:val="1A3133"/>
          <w:lang w:val="fr"/>
        </w:rPr>
        <w:t xml:space="preserve"> pour atteindre les objectifs. </w:t>
      </w:r>
      <w:r w:rsidR="002B6D15">
        <w:rPr>
          <w:rFonts w:eastAsia="Times New Roman" w:cstheme="minorHAnsi"/>
          <w:color w:val="1A3133"/>
          <w:lang w:val="fr"/>
        </w:rPr>
        <w:t>Un montant maximal d’honoraire à ne pas dépasse</w:t>
      </w:r>
      <w:r w:rsidR="00D10876">
        <w:rPr>
          <w:rFonts w:eastAsia="Times New Roman" w:cstheme="minorHAnsi"/>
          <w:color w:val="1A3133"/>
          <w:lang w:val="fr"/>
        </w:rPr>
        <w:t>r sera inscrit au contrat</w:t>
      </w:r>
      <w:r w:rsidR="002B6D15">
        <w:rPr>
          <w:rFonts w:eastAsia="Times New Roman" w:cstheme="minorHAnsi"/>
          <w:color w:val="1A3133"/>
          <w:lang w:val="fr"/>
        </w:rPr>
        <w:t xml:space="preserve">. </w:t>
      </w:r>
    </w:p>
    <w:tbl>
      <w:tblPr>
        <w:tblStyle w:val="Grilledutableau1"/>
        <w:tblW w:w="8372" w:type="dxa"/>
        <w:jc w:val="center"/>
        <w:tblLook w:val="04A0" w:firstRow="1" w:lastRow="0" w:firstColumn="1" w:lastColumn="0" w:noHBand="0" w:noVBand="1"/>
      </w:tblPr>
      <w:tblGrid>
        <w:gridCol w:w="3971"/>
        <w:gridCol w:w="3113"/>
        <w:gridCol w:w="1288"/>
      </w:tblGrid>
      <w:tr w:rsidR="00ED50B1" w:rsidRPr="000E116D" w:rsidTr="0077426A">
        <w:trPr>
          <w:trHeight w:val="533"/>
          <w:jc w:val="center"/>
        </w:trPr>
        <w:tc>
          <w:tcPr>
            <w:tcW w:w="3971" w:type="dxa"/>
            <w:shd w:val="clear" w:color="auto" w:fill="DEEAF6" w:themeFill="accent1" w:themeFillTint="33"/>
            <w:vAlign w:val="center"/>
          </w:tcPr>
          <w:p w:rsidR="00ED50B1" w:rsidRPr="00110DAD" w:rsidRDefault="00ED50B1" w:rsidP="0077426A">
            <w:pPr>
              <w:spacing w:line="276" w:lineRule="auto"/>
              <w:jc w:val="center"/>
              <w:rPr>
                <w:rFonts w:eastAsia="Times New Roman" w:cstheme="minorHAnsi"/>
                <w:b/>
                <w:color w:val="1A3133"/>
                <w:sz w:val="20"/>
                <w:lang w:val="fr"/>
              </w:rPr>
            </w:pPr>
            <w:r w:rsidRPr="00110DAD">
              <w:rPr>
                <w:rFonts w:eastAsia="Times New Roman" w:cstheme="minorHAnsi"/>
                <w:b/>
                <w:color w:val="1A3133"/>
                <w:sz w:val="20"/>
                <w:lang w:val="fr"/>
              </w:rPr>
              <w:t>Résultats attendus</w:t>
            </w:r>
          </w:p>
        </w:tc>
        <w:tc>
          <w:tcPr>
            <w:tcW w:w="3112" w:type="dxa"/>
            <w:shd w:val="clear" w:color="auto" w:fill="DEEAF6" w:themeFill="accent1" w:themeFillTint="33"/>
            <w:vAlign w:val="center"/>
          </w:tcPr>
          <w:p w:rsidR="00ED50B1" w:rsidRPr="00110DAD" w:rsidRDefault="00ED50B1" w:rsidP="00ED50B1">
            <w:pPr>
              <w:spacing w:line="276" w:lineRule="auto"/>
              <w:jc w:val="center"/>
              <w:rPr>
                <w:rFonts w:eastAsia="Times New Roman" w:cstheme="minorHAnsi"/>
                <w:b/>
                <w:color w:val="1A3133"/>
                <w:sz w:val="20"/>
                <w:lang w:val="fr"/>
              </w:rPr>
            </w:pPr>
            <w:r w:rsidRPr="00110DAD">
              <w:rPr>
                <w:rFonts w:eastAsia="Times New Roman" w:cstheme="minorHAnsi"/>
                <w:b/>
                <w:color w:val="1A3133"/>
                <w:sz w:val="20"/>
                <w:lang w:val="fr"/>
              </w:rPr>
              <w:t>Livrables</w:t>
            </w:r>
          </w:p>
        </w:tc>
        <w:tc>
          <w:tcPr>
            <w:tcW w:w="1287" w:type="dxa"/>
            <w:shd w:val="clear" w:color="auto" w:fill="DEEAF6" w:themeFill="accent1" w:themeFillTint="33"/>
            <w:vAlign w:val="center"/>
          </w:tcPr>
          <w:p w:rsidR="00ED50B1" w:rsidRPr="000E116D" w:rsidRDefault="00ED50B1" w:rsidP="000E116D">
            <w:pPr>
              <w:spacing w:line="276" w:lineRule="auto"/>
              <w:jc w:val="center"/>
              <w:rPr>
                <w:rFonts w:eastAsia="Times New Roman" w:cstheme="minorHAnsi"/>
                <w:b/>
                <w:color w:val="1A3133"/>
                <w:sz w:val="20"/>
                <w:lang w:val="fr"/>
              </w:rPr>
            </w:pPr>
            <w:r w:rsidRPr="000E116D">
              <w:rPr>
                <w:rFonts w:eastAsia="Times New Roman" w:cstheme="minorHAnsi"/>
                <w:b/>
                <w:color w:val="1A3133"/>
                <w:sz w:val="20"/>
                <w:lang w:val="fr"/>
              </w:rPr>
              <w:t>Nombre de jours</w:t>
            </w:r>
            <w:r w:rsidR="000E116D">
              <w:rPr>
                <w:rFonts w:eastAsia="Times New Roman" w:cstheme="minorHAnsi"/>
                <w:b/>
                <w:color w:val="1A3133"/>
                <w:sz w:val="20"/>
                <w:lang w:val="fr"/>
              </w:rPr>
              <w:t xml:space="preserve"> estimatives</w:t>
            </w:r>
            <w:r w:rsidRPr="000E116D">
              <w:rPr>
                <w:rFonts w:eastAsia="Times New Roman" w:cstheme="minorHAnsi"/>
                <w:b/>
                <w:color w:val="1A3133"/>
                <w:sz w:val="20"/>
                <w:lang w:val="fr"/>
              </w:rPr>
              <w:t xml:space="preserve"> </w:t>
            </w:r>
            <w:r w:rsidR="000E116D" w:rsidRPr="000E116D">
              <w:rPr>
                <w:rFonts w:eastAsia="Times New Roman" w:cstheme="minorHAnsi"/>
                <w:b/>
                <w:color w:val="1A3133"/>
                <w:sz w:val="20"/>
                <w:lang w:val="fr"/>
              </w:rPr>
              <w:t>max</w:t>
            </w:r>
          </w:p>
        </w:tc>
      </w:tr>
      <w:tr w:rsidR="002F7D60" w:rsidRPr="000E116D" w:rsidTr="0077426A">
        <w:trPr>
          <w:trHeight w:val="259"/>
          <w:jc w:val="center"/>
        </w:trPr>
        <w:tc>
          <w:tcPr>
            <w:tcW w:w="8372" w:type="dxa"/>
            <w:gridSpan w:val="3"/>
            <w:shd w:val="clear" w:color="auto" w:fill="9CC2E5" w:themeFill="accent1" w:themeFillTint="99"/>
            <w:vAlign w:val="center"/>
          </w:tcPr>
          <w:p w:rsidR="002F7D60" w:rsidRPr="002F7D60" w:rsidRDefault="002F7D60" w:rsidP="00ED50B1">
            <w:pPr>
              <w:spacing w:line="276" w:lineRule="auto"/>
              <w:jc w:val="center"/>
              <w:rPr>
                <w:rFonts w:eastAsia="Times New Roman" w:cstheme="minorHAnsi"/>
                <w:b/>
                <w:color w:val="1A3133"/>
                <w:sz w:val="20"/>
                <w:lang w:val="fr"/>
              </w:rPr>
            </w:pPr>
            <w:r w:rsidRPr="002F7D60">
              <w:rPr>
                <w:rFonts w:eastAsia="Times New Roman" w:cstheme="minorHAnsi"/>
                <w:b/>
                <w:color w:val="1A3133"/>
                <w:sz w:val="20"/>
                <w:lang w:val="fr"/>
              </w:rPr>
              <w:t xml:space="preserve">Genre </w:t>
            </w:r>
          </w:p>
        </w:tc>
      </w:tr>
      <w:tr w:rsidR="00ED50B1" w:rsidRPr="000E116D" w:rsidTr="0077426A">
        <w:trPr>
          <w:trHeight w:val="274"/>
          <w:jc w:val="center"/>
        </w:trPr>
        <w:tc>
          <w:tcPr>
            <w:tcW w:w="3971" w:type="dxa"/>
            <w:vAlign w:val="center"/>
          </w:tcPr>
          <w:p w:rsidR="00ED50B1" w:rsidRPr="00110DAD" w:rsidRDefault="00ED50B1" w:rsidP="000E116D">
            <w:pPr>
              <w:spacing w:line="276" w:lineRule="auto"/>
              <w:jc w:val="center"/>
              <w:rPr>
                <w:rFonts w:eastAsia="Times New Roman" w:cstheme="minorHAnsi"/>
                <w:color w:val="1A3133"/>
                <w:sz w:val="20"/>
                <w:lang w:val="fr"/>
              </w:rPr>
            </w:pPr>
            <w:r w:rsidRPr="000E116D">
              <w:rPr>
                <w:rFonts w:eastAsia="Times New Roman" w:cstheme="minorHAnsi"/>
                <w:color w:val="1A3133"/>
                <w:sz w:val="20"/>
                <w:lang w:val="fr"/>
              </w:rPr>
              <w:t>Production du plan d’actions genre</w:t>
            </w:r>
          </w:p>
        </w:tc>
        <w:tc>
          <w:tcPr>
            <w:tcW w:w="3112" w:type="dxa"/>
            <w:vAlign w:val="center"/>
          </w:tcPr>
          <w:p w:rsidR="00ED50B1" w:rsidRPr="00110DAD" w:rsidRDefault="00ED50B1" w:rsidP="000E116D">
            <w:pPr>
              <w:spacing w:line="276" w:lineRule="auto"/>
              <w:jc w:val="center"/>
              <w:rPr>
                <w:rFonts w:eastAsia="Times New Roman" w:cstheme="minorHAnsi"/>
                <w:color w:val="1A3133"/>
                <w:sz w:val="20"/>
                <w:highlight w:val="yellow"/>
                <w:lang w:val="fr"/>
              </w:rPr>
            </w:pPr>
            <w:r w:rsidRPr="000E116D">
              <w:rPr>
                <w:rFonts w:eastAsia="Times New Roman" w:cstheme="minorHAnsi"/>
                <w:color w:val="1A3133"/>
                <w:sz w:val="20"/>
                <w:lang w:val="fr"/>
              </w:rPr>
              <w:t>PAG</w:t>
            </w:r>
          </w:p>
        </w:tc>
        <w:tc>
          <w:tcPr>
            <w:tcW w:w="1287" w:type="dxa"/>
            <w:vAlign w:val="center"/>
          </w:tcPr>
          <w:p w:rsidR="00ED50B1" w:rsidRPr="000E116D" w:rsidRDefault="000B1673" w:rsidP="00ED50B1">
            <w:pPr>
              <w:spacing w:line="276" w:lineRule="auto"/>
              <w:jc w:val="center"/>
              <w:rPr>
                <w:rFonts w:eastAsia="Times New Roman" w:cstheme="minorHAnsi"/>
                <w:color w:val="1A3133"/>
                <w:sz w:val="20"/>
                <w:lang w:val="fr"/>
              </w:rPr>
            </w:pPr>
            <w:r>
              <w:rPr>
                <w:rFonts w:eastAsia="Times New Roman" w:cstheme="minorHAnsi"/>
                <w:color w:val="1A3133"/>
                <w:sz w:val="20"/>
                <w:lang w:val="fr"/>
              </w:rPr>
              <w:t>10</w:t>
            </w:r>
            <w:r w:rsidR="00ED50B1" w:rsidRPr="000E116D">
              <w:rPr>
                <w:rFonts w:eastAsia="Times New Roman" w:cstheme="minorHAnsi"/>
                <w:color w:val="1A3133"/>
                <w:sz w:val="20"/>
                <w:lang w:val="fr"/>
              </w:rPr>
              <w:t>H.F/J</w:t>
            </w:r>
          </w:p>
        </w:tc>
      </w:tr>
      <w:tr w:rsidR="00ED50B1" w:rsidRPr="000E116D" w:rsidTr="0077426A">
        <w:trPr>
          <w:trHeight w:val="259"/>
          <w:jc w:val="center"/>
        </w:trPr>
        <w:tc>
          <w:tcPr>
            <w:tcW w:w="3971" w:type="dxa"/>
            <w:vAlign w:val="center"/>
          </w:tcPr>
          <w:p w:rsidR="00ED50B1" w:rsidRPr="00110DAD" w:rsidRDefault="00ED50B1" w:rsidP="000B1673">
            <w:pPr>
              <w:spacing w:line="276" w:lineRule="auto"/>
              <w:jc w:val="center"/>
              <w:rPr>
                <w:rFonts w:eastAsia="Times New Roman" w:cstheme="minorHAnsi"/>
                <w:color w:val="1A3133"/>
                <w:sz w:val="20"/>
                <w:highlight w:val="yellow"/>
                <w:lang w:val="fr"/>
              </w:rPr>
            </w:pPr>
            <w:r w:rsidRPr="000E116D">
              <w:rPr>
                <w:rFonts w:eastAsia="Times New Roman" w:cstheme="minorHAnsi"/>
                <w:color w:val="1A3133"/>
                <w:sz w:val="20"/>
                <w:lang w:val="fr"/>
              </w:rPr>
              <w:t xml:space="preserve">Formation des équipes et des partenaires </w:t>
            </w:r>
          </w:p>
        </w:tc>
        <w:tc>
          <w:tcPr>
            <w:tcW w:w="3112" w:type="dxa"/>
            <w:vAlign w:val="center"/>
          </w:tcPr>
          <w:p w:rsidR="00ED50B1" w:rsidRPr="00110DAD" w:rsidRDefault="00ED50B1" w:rsidP="000B1673">
            <w:pPr>
              <w:spacing w:line="276" w:lineRule="auto"/>
              <w:jc w:val="center"/>
              <w:rPr>
                <w:rFonts w:eastAsia="Times New Roman" w:cstheme="minorHAnsi"/>
                <w:color w:val="1A3133"/>
                <w:sz w:val="20"/>
                <w:lang w:val="fr"/>
              </w:rPr>
            </w:pPr>
            <w:r w:rsidRPr="000E116D">
              <w:rPr>
                <w:rFonts w:eastAsia="Times New Roman" w:cstheme="minorHAnsi"/>
                <w:color w:val="1A3133"/>
                <w:sz w:val="20"/>
                <w:lang w:val="fr"/>
              </w:rPr>
              <w:t>Rapports</w:t>
            </w:r>
            <w:r w:rsidR="000B1673">
              <w:rPr>
                <w:rFonts w:eastAsia="Times New Roman" w:cstheme="minorHAnsi"/>
                <w:color w:val="1A3133"/>
                <w:sz w:val="20"/>
                <w:lang w:val="fr"/>
              </w:rPr>
              <w:t xml:space="preserve"> et outils</w:t>
            </w:r>
            <w:r w:rsidRPr="000E116D">
              <w:rPr>
                <w:rFonts w:eastAsia="Times New Roman" w:cstheme="minorHAnsi"/>
                <w:color w:val="1A3133"/>
                <w:sz w:val="20"/>
                <w:lang w:val="fr"/>
              </w:rPr>
              <w:t xml:space="preserve"> de formation </w:t>
            </w:r>
          </w:p>
        </w:tc>
        <w:tc>
          <w:tcPr>
            <w:tcW w:w="1287" w:type="dxa"/>
            <w:vAlign w:val="center"/>
          </w:tcPr>
          <w:p w:rsidR="00ED50B1" w:rsidRPr="000E116D" w:rsidRDefault="000B1673" w:rsidP="000B1673">
            <w:pPr>
              <w:spacing w:line="276" w:lineRule="auto"/>
              <w:jc w:val="center"/>
              <w:rPr>
                <w:rFonts w:eastAsia="Times New Roman" w:cstheme="minorHAnsi"/>
                <w:color w:val="1A3133"/>
                <w:sz w:val="20"/>
                <w:lang w:val="fr"/>
              </w:rPr>
            </w:pPr>
            <w:r>
              <w:rPr>
                <w:rFonts w:eastAsia="Times New Roman" w:cstheme="minorHAnsi"/>
                <w:color w:val="1A3133"/>
                <w:sz w:val="20"/>
                <w:lang w:val="fr"/>
              </w:rPr>
              <w:t>5</w:t>
            </w:r>
            <w:r w:rsidR="00ED50B1" w:rsidRPr="000E116D">
              <w:rPr>
                <w:rFonts w:eastAsia="Times New Roman" w:cstheme="minorHAnsi"/>
                <w:color w:val="1A3133"/>
                <w:sz w:val="20"/>
                <w:lang w:val="fr"/>
              </w:rPr>
              <w:t>H.F/J</w:t>
            </w:r>
          </w:p>
        </w:tc>
      </w:tr>
      <w:tr w:rsidR="00ED50B1" w:rsidRPr="000E116D" w:rsidTr="0077426A">
        <w:trPr>
          <w:trHeight w:val="274"/>
          <w:jc w:val="center"/>
        </w:trPr>
        <w:tc>
          <w:tcPr>
            <w:tcW w:w="3971" w:type="dxa"/>
            <w:vAlign w:val="center"/>
          </w:tcPr>
          <w:p w:rsidR="00ED50B1" w:rsidRPr="00110DAD" w:rsidRDefault="00ED50B1" w:rsidP="000B1673">
            <w:pPr>
              <w:spacing w:line="276" w:lineRule="auto"/>
              <w:jc w:val="center"/>
              <w:rPr>
                <w:rFonts w:eastAsia="Times New Roman" w:cstheme="minorHAnsi"/>
                <w:color w:val="1A3133"/>
                <w:sz w:val="20"/>
                <w:lang w:val="fr"/>
              </w:rPr>
            </w:pPr>
            <w:r w:rsidRPr="000E116D">
              <w:rPr>
                <w:rFonts w:eastAsia="Times New Roman" w:cstheme="minorHAnsi"/>
                <w:color w:val="1A3133"/>
                <w:sz w:val="20"/>
                <w:lang w:val="fr"/>
              </w:rPr>
              <w:t xml:space="preserve">Appui au contrôle </w:t>
            </w:r>
            <w:r w:rsidR="000E116D" w:rsidRPr="000E116D">
              <w:rPr>
                <w:rFonts w:eastAsia="Times New Roman" w:cstheme="minorHAnsi"/>
                <w:color w:val="1A3133"/>
                <w:sz w:val="20"/>
                <w:lang w:val="fr"/>
              </w:rPr>
              <w:t>de</w:t>
            </w:r>
            <w:r w:rsidR="000B1673">
              <w:rPr>
                <w:rFonts w:eastAsia="Times New Roman" w:cstheme="minorHAnsi"/>
                <w:color w:val="1A3133"/>
                <w:sz w:val="20"/>
                <w:lang w:val="fr"/>
              </w:rPr>
              <w:t>s</w:t>
            </w:r>
            <w:r w:rsidR="000E116D" w:rsidRPr="000E116D">
              <w:rPr>
                <w:rFonts w:eastAsia="Times New Roman" w:cstheme="minorHAnsi"/>
                <w:color w:val="1A3133"/>
                <w:sz w:val="20"/>
                <w:lang w:val="fr"/>
              </w:rPr>
              <w:t xml:space="preserve"> livrable</w:t>
            </w:r>
            <w:r w:rsidR="000B1673">
              <w:rPr>
                <w:rFonts w:eastAsia="Times New Roman" w:cstheme="minorHAnsi"/>
                <w:color w:val="1A3133"/>
                <w:sz w:val="20"/>
                <w:lang w:val="fr"/>
              </w:rPr>
              <w:t>s</w:t>
            </w:r>
          </w:p>
        </w:tc>
        <w:tc>
          <w:tcPr>
            <w:tcW w:w="3112" w:type="dxa"/>
            <w:vAlign w:val="center"/>
          </w:tcPr>
          <w:p w:rsidR="00ED50B1" w:rsidRPr="00110DAD" w:rsidRDefault="000B1673" w:rsidP="000E116D">
            <w:pPr>
              <w:spacing w:line="276" w:lineRule="auto"/>
              <w:jc w:val="center"/>
              <w:rPr>
                <w:rFonts w:eastAsia="Times New Roman" w:cstheme="minorHAnsi"/>
                <w:color w:val="1A3133"/>
                <w:sz w:val="20"/>
                <w:lang w:val="fr"/>
              </w:rPr>
            </w:pPr>
            <w:r>
              <w:rPr>
                <w:rFonts w:eastAsia="Times New Roman" w:cstheme="minorHAnsi"/>
                <w:color w:val="1A3133"/>
                <w:sz w:val="20"/>
                <w:lang w:val="fr"/>
              </w:rPr>
              <w:t>TBD</w:t>
            </w:r>
          </w:p>
        </w:tc>
        <w:tc>
          <w:tcPr>
            <w:tcW w:w="1287" w:type="dxa"/>
            <w:vAlign w:val="center"/>
          </w:tcPr>
          <w:p w:rsidR="00ED50B1" w:rsidRPr="000E116D" w:rsidRDefault="000B1673" w:rsidP="000E116D">
            <w:pPr>
              <w:spacing w:line="276" w:lineRule="auto"/>
              <w:jc w:val="center"/>
              <w:rPr>
                <w:rFonts w:eastAsia="Times New Roman" w:cstheme="minorHAnsi"/>
                <w:color w:val="1A3133"/>
                <w:sz w:val="20"/>
                <w:lang w:val="fr"/>
              </w:rPr>
            </w:pPr>
            <w:r>
              <w:rPr>
                <w:rFonts w:eastAsia="Times New Roman" w:cstheme="minorHAnsi"/>
                <w:color w:val="1A3133"/>
                <w:sz w:val="20"/>
                <w:lang w:val="fr"/>
              </w:rPr>
              <w:t>10</w:t>
            </w:r>
            <w:r w:rsidR="000E116D" w:rsidRPr="000E116D">
              <w:rPr>
                <w:rFonts w:eastAsia="Times New Roman" w:cstheme="minorHAnsi"/>
                <w:color w:val="1A3133"/>
                <w:sz w:val="20"/>
                <w:lang w:val="fr"/>
              </w:rPr>
              <w:t>H.F/J</w:t>
            </w:r>
          </w:p>
        </w:tc>
      </w:tr>
      <w:tr w:rsidR="00ED50B1" w:rsidRPr="000E116D" w:rsidTr="0077426A">
        <w:trPr>
          <w:trHeight w:val="259"/>
          <w:jc w:val="center"/>
        </w:trPr>
        <w:tc>
          <w:tcPr>
            <w:tcW w:w="3971" w:type="dxa"/>
            <w:vAlign w:val="center"/>
          </w:tcPr>
          <w:p w:rsidR="00ED50B1" w:rsidRPr="00110DAD" w:rsidRDefault="00ED50B1" w:rsidP="000E116D">
            <w:pPr>
              <w:spacing w:line="276" w:lineRule="auto"/>
              <w:jc w:val="center"/>
              <w:rPr>
                <w:rFonts w:eastAsia="Times New Roman" w:cstheme="minorHAnsi"/>
                <w:color w:val="1A3133"/>
                <w:sz w:val="20"/>
                <w:lang w:val="fr"/>
              </w:rPr>
            </w:pPr>
            <w:r w:rsidRPr="000E116D">
              <w:rPr>
                <w:rFonts w:eastAsia="Times New Roman" w:cstheme="minorHAnsi"/>
                <w:color w:val="1A3133"/>
                <w:sz w:val="20"/>
                <w:lang w:val="fr"/>
              </w:rPr>
              <w:t xml:space="preserve">Production des </w:t>
            </w:r>
            <w:r w:rsidR="000E116D">
              <w:rPr>
                <w:rFonts w:eastAsia="Times New Roman" w:cstheme="minorHAnsi"/>
                <w:color w:val="1A3133"/>
                <w:sz w:val="20"/>
                <w:lang w:val="fr"/>
              </w:rPr>
              <w:t xml:space="preserve">2 </w:t>
            </w:r>
            <w:r w:rsidRPr="000E116D">
              <w:rPr>
                <w:rFonts w:eastAsia="Times New Roman" w:cstheme="minorHAnsi"/>
                <w:color w:val="1A3133"/>
                <w:sz w:val="20"/>
                <w:lang w:val="fr"/>
              </w:rPr>
              <w:t>rapports annuels de mise en œuvre du PAG</w:t>
            </w:r>
          </w:p>
        </w:tc>
        <w:tc>
          <w:tcPr>
            <w:tcW w:w="3112" w:type="dxa"/>
            <w:vAlign w:val="center"/>
          </w:tcPr>
          <w:p w:rsidR="00ED50B1" w:rsidRPr="00110DAD" w:rsidRDefault="00ED50B1" w:rsidP="000E116D">
            <w:pPr>
              <w:spacing w:line="276" w:lineRule="auto"/>
              <w:jc w:val="center"/>
              <w:rPr>
                <w:rFonts w:eastAsia="Times New Roman" w:cstheme="minorHAnsi"/>
                <w:color w:val="1A3133"/>
                <w:sz w:val="20"/>
                <w:lang w:val="fr"/>
              </w:rPr>
            </w:pPr>
            <w:r w:rsidRPr="000E116D">
              <w:rPr>
                <w:rFonts w:eastAsia="Times New Roman" w:cstheme="minorHAnsi"/>
                <w:color w:val="1A3133"/>
                <w:sz w:val="20"/>
                <w:lang w:val="fr"/>
              </w:rPr>
              <w:t>Rapport (5 pages maximum)</w:t>
            </w:r>
          </w:p>
        </w:tc>
        <w:tc>
          <w:tcPr>
            <w:tcW w:w="1287" w:type="dxa"/>
            <w:vAlign w:val="center"/>
          </w:tcPr>
          <w:p w:rsidR="00ED50B1" w:rsidRPr="000E116D" w:rsidRDefault="000B1673" w:rsidP="00ED50B1">
            <w:pPr>
              <w:spacing w:line="276" w:lineRule="auto"/>
              <w:jc w:val="center"/>
              <w:rPr>
                <w:rFonts w:eastAsia="Times New Roman" w:cstheme="minorHAnsi"/>
                <w:color w:val="1A3133"/>
                <w:sz w:val="20"/>
                <w:lang w:val="fr"/>
              </w:rPr>
            </w:pPr>
            <w:r>
              <w:rPr>
                <w:rFonts w:eastAsia="Times New Roman" w:cstheme="minorHAnsi"/>
                <w:color w:val="1A3133"/>
                <w:sz w:val="20"/>
                <w:lang w:val="fr"/>
              </w:rPr>
              <w:t>5</w:t>
            </w:r>
            <w:r w:rsidR="00ED50B1" w:rsidRPr="000E116D">
              <w:rPr>
                <w:rFonts w:eastAsia="Times New Roman" w:cstheme="minorHAnsi"/>
                <w:color w:val="1A3133"/>
                <w:sz w:val="20"/>
                <w:lang w:val="fr"/>
              </w:rPr>
              <w:t>H.F/J</w:t>
            </w:r>
          </w:p>
        </w:tc>
      </w:tr>
      <w:tr w:rsidR="000B1673" w:rsidRPr="000E116D" w:rsidTr="0077426A">
        <w:trPr>
          <w:trHeight w:val="259"/>
          <w:jc w:val="center"/>
        </w:trPr>
        <w:tc>
          <w:tcPr>
            <w:tcW w:w="8372" w:type="dxa"/>
            <w:gridSpan w:val="3"/>
            <w:shd w:val="clear" w:color="auto" w:fill="9CC2E5" w:themeFill="accent1" w:themeFillTint="99"/>
            <w:vAlign w:val="center"/>
          </w:tcPr>
          <w:p w:rsidR="000B1673" w:rsidRPr="000B1673" w:rsidRDefault="000B1673" w:rsidP="00ED50B1">
            <w:pPr>
              <w:spacing w:line="276" w:lineRule="auto"/>
              <w:jc w:val="center"/>
              <w:rPr>
                <w:rFonts w:eastAsia="Times New Roman" w:cstheme="minorHAnsi"/>
                <w:b/>
                <w:color w:val="1A3133"/>
                <w:sz w:val="20"/>
                <w:lang w:val="fr"/>
              </w:rPr>
            </w:pPr>
            <w:r w:rsidRPr="000B1673">
              <w:rPr>
                <w:rFonts w:eastAsia="Times New Roman" w:cstheme="minorHAnsi"/>
                <w:b/>
                <w:color w:val="1A3133"/>
                <w:sz w:val="20"/>
                <w:lang w:val="fr"/>
              </w:rPr>
              <w:t xml:space="preserve">Migration </w:t>
            </w:r>
          </w:p>
        </w:tc>
      </w:tr>
      <w:tr w:rsidR="000B1673" w:rsidRPr="000E116D" w:rsidTr="0077426A">
        <w:trPr>
          <w:trHeight w:val="274"/>
          <w:jc w:val="center"/>
        </w:trPr>
        <w:tc>
          <w:tcPr>
            <w:tcW w:w="3971" w:type="dxa"/>
            <w:vAlign w:val="center"/>
          </w:tcPr>
          <w:p w:rsidR="000B1673" w:rsidRPr="000E116D" w:rsidRDefault="000B1673" w:rsidP="000B1673">
            <w:pPr>
              <w:spacing w:line="276" w:lineRule="auto"/>
              <w:jc w:val="center"/>
              <w:rPr>
                <w:rFonts w:eastAsia="Times New Roman" w:cstheme="minorHAnsi"/>
                <w:color w:val="1A3133"/>
                <w:sz w:val="20"/>
                <w:lang w:val="fr"/>
              </w:rPr>
            </w:pPr>
            <w:r>
              <w:rPr>
                <w:rFonts w:eastAsia="Times New Roman" w:cstheme="minorHAnsi"/>
                <w:color w:val="1A3133"/>
                <w:sz w:val="20"/>
                <w:lang w:val="fr"/>
              </w:rPr>
              <w:t xml:space="preserve">Appui au suivi technique des activités migration </w:t>
            </w:r>
          </w:p>
        </w:tc>
        <w:tc>
          <w:tcPr>
            <w:tcW w:w="3112" w:type="dxa"/>
            <w:vAlign w:val="center"/>
          </w:tcPr>
          <w:p w:rsidR="000B1673" w:rsidRPr="000E116D" w:rsidRDefault="000B1673" w:rsidP="000E116D">
            <w:pPr>
              <w:spacing w:line="276" w:lineRule="auto"/>
              <w:jc w:val="center"/>
              <w:rPr>
                <w:rFonts w:eastAsia="Times New Roman" w:cstheme="minorHAnsi"/>
                <w:color w:val="1A3133"/>
                <w:sz w:val="20"/>
                <w:lang w:val="fr"/>
              </w:rPr>
            </w:pPr>
            <w:r>
              <w:rPr>
                <w:rFonts w:eastAsia="Times New Roman" w:cstheme="minorHAnsi"/>
                <w:color w:val="1A3133"/>
                <w:sz w:val="20"/>
                <w:lang w:val="fr"/>
              </w:rPr>
              <w:t>TBD</w:t>
            </w:r>
          </w:p>
        </w:tc>
        <w:tc>
          <w:tcPr>
            <w:tcW w:w="1287" w:type="dxa"/>
            <w:vAlign w:val="center"/>
          </w:tcPr>
          <w:p w:rsidR="000B1673" w:rsidRDefault="000B1673" w:rsidP="00ED50B1">
            <w:pPr>
              <w:spacing w:line="276" w:lineRule="auto"/>
              <w:jc w:val="center"/>
              <w:rPr>
                <w:rFonts w:eastAsia="Times New Roman" w:cstheme="minorHAnsi"/>
                <w:color w:val="1A3133"/>
                <w:sz w:val="20"/>
                <w:lang w:val="fr"/>
              </w:rPr>
            </w:pPr>
            <w:r>
              <w:rPr>
                <w:rFonts w:eastAsia="Times New Roman" w:cstheme="minorHAnsi"/>
                <w:color w:val="1A3133"/>
                <w:sz w:val="20"/>
                <w:lang w:val="fr"/>
              </w:rPr>
              <w:t xml:space="preserve">15H.F/J </w:t>
            </w:r>
          </w:p>
        </w:tc>
      </w:tr>
      <w:tr w:rsidR="000B1673" w:rsidRPr="000E116D" w:rsidTr="0077426A">
        <w:trPr>
          <w:trHeight w:val="259"/>
          <w:jc w:val="center"/>
        </w:trPr>
        <w:tc>
          <w:tcPr>
            <w:tcW w:w="3971" w:type="dxa"/>
            <w:vAlign w:val="center"/>
          </w:tcPr>
          <w:p w:rsidR="000B1673" w:rsidRPr="000E116D" w:rsidRDefault="000B1673" w:rsidP="000E116D">
            <w:pPr>
              <w:spacing w:line="276" w:lineRule="auto"/>
              <w:jc w:val="center"/>
              <w:rPr>
                <w:rFonts w:eastAsia="Times New Roman" w:cstheme="minorHAnsi"/>
                <w:color w:val="1A3133"/>
                <w:sz w:val="20"/>
                <w:lang w:val="fr"/>
              </w:rPr>
            </w:pPr>
            <w:r>
              <w:rPr>
                <w:rFonts w:eastAsia="Times New Roman" w:cstheme="minorHAnsi"/>
                <w:color w:val="1A3133"/>
                <w:sz w:val="20"/>
                <w:lang w:val="fr"/>
              </w:rPr>
              <w:t xml:space="preserve">Appui au suivi-évaluation et à la capitalisation </w:t>
            </w:r>
          </w:p>
        </w:tc>
        <w:tc>
          <w:tcPr>
            <w:tcW w:w="3112" w:type="dxa"/>
            <w:vAlign w:val="center"/>
          </w:tcPr>
          <w:p w:rsidR="000B1673" w:rsidRPr="000E116D" w:rsidRDefault="000B1673" w:rsidP="000B1673">
            <w:pPr>
              <w:spacing w:line="276" w:lineRule="auto"/>
              <w:jc w:val="center"/>
              <w:rPr>
                <w:rFonts w:eastAsia="Times New Roman" w:cstheme="minorHAnsi"/>
                <w:color w:val="1A3133"/>
                <w:sz w:val="20"/>
                <w:lang w:val="fr"/>
              </w:rPr>
            </w:pPr>
            <w:r>
              <w:rPr>
                <w:rFonts w:eastAsia="Times New Roman" w:cstheme="minorHAnsi"/>
                <w:color w:val="1A3133"/>
                <w:sz w:val="20"/>
                <w:lang w:val="fr"/>
              </w:rPr>
              <w:t xml:space="preserve">TBD et documents de capitalisation </w:t>
            </w:r>
          </w:p>
        </w:tc>
        <w:tc>
          <w:tcPr>
            <w:tcW w:w="1287" w:type="dxa"/>
            <w:vAlign w:val="center"/>
          </w:tcPr>
          <w:p w:rsidR="000B1673" w:rsidRDefault="000B1673" w:rsidP="00ED50B1">
            <w:pPr>
              <w:spacing w:line="276" w:lineRule="auto"/>
              <w:jc w:val="center"/>
              <w:rPr>
                <w:rFonts w:eastAsia="Times New Roman" w:cstheme="minorHAnsi"/>
                <w:color w:val="1A3133"/>
                <w:sz w:val="20"/>
                <w:lang w:val="fr"/>
              </w:rPr>
            </w:pPr>
            <w:r>
              <w:rPr>
                <w:rFonts w:eastAsia="Times New Roman" w:cstheme="minorHAnsi"/>
                <w:color w:val="1A3133"/>
                <w:sz w:val="20"/>
                <w:lang w:val="fr"/>
              </w:rPr>
              <w:t>15H.F/J</w:t>
            </w:r>
          </w:p>
        </w:tc>
      </w:tr>
      <w:tr w:rsidR="000E116D" w:rsidRPr="000E116D" w:rsidTr="0077426A">
        <w:trPr>
          <w:trHeight w:val="259"/>
          <w:jc w:val="center"/>
        </w:trPr>
        <w:tc>
          <w:tcPr>
            <w:tcW w:w="7084" w:type="dxa"/>
            <w:gridSpan w:val="2"/>
            <w:shd w:val="clear" w:color="auto" w:fill="FFFF00"/>
            <w:vAlign w:val="center"/>
          </w:tcPr>
          <w:p w:rsidR="000E116D" w:rsidRPr="000E116D" w:rsidRDefault="000E116D" w:rsidP="000E116D">
            <w:pPr>
              <w:spacing w:line="276" w:lineRule="auto"/>
              <w:jc w:val="right"/>
              <w:rPr>
                <w:rFonts w:eastAsia="Times New Roman" w:cstheme="minorHAnsi"/>
                <w:b/>
                <w:color w:val="1A3133"/>
                <w:sz w:val="20"/>
                <w:lang w:val="fr"/>
              </w:rPr>
            </w:pPr>
            <w:r w:rsidRPr="000E116D">
              <w:rPr>
                <w:rFonts w:eastAsia="Times New Roman" w:cstheme="minorHAnsi"/>
                <w:b/>
                <w:color w:val="1A3133"/>
                <w:sz w:val="20"/>
                <w:lang w:val="fr"/>
              </w:rPr>
              <w:t xml:space="preserve">Total </w:t>
            </w:r>
          </w:p>
        </w:tc>
        <w:tc>
          <w:tcPr>
            <w:tcW w:w="1287" w:type="dxa"/>
            <w:shd w:val="clear" w:color="auto" w:fill="FFFF00"/>
            <w:vAlign w:val="center"/>
          </w:tcPr>
          <w:p w:rsidR="000E116D" w:rsidRPr="000E116D" w:rsidRDefault="000B1673" w:rsidP="00ED50B1">
            <w:pPr>
              <w:spacing w:line="276" w:lineRule="auto"/>
              <w:jc w:val="center"/>
              <w:rPr>
                <w:rFonts w:eastAsia="Times New Roman" w:cstheme="minorHAnsi"/>
                <w:b/>
                <w:color w:val="1A3133"/>
                <w:sz w:val="20"/>
                <w:lang w:val="fr"/>
              </w:rPr>
            </w:pPr>
            <w:r>
              <w:rPr>
                <w:rFonts w:eastAsia="Times New Roman" w:cstheme="minorHAnsi"/>
                <w:b/>
                <w:color w:val="1A3133"/>
                <w:sz w:val="20"/>
                <w:lang w:val="fr"/>
              </w:rPr>
              <w:t>6</w:t>
            </w:r>
            <w:r w:rsidR="009E1151">
              <w:rPr>
                <w:rFonts w:eastAsia="Times New Roman" w:cstheme="minorHAnsi"/>
                <w:b/>
                <w:color w:val="1A3133"/>
                <w:sz w:val="20"/>
                <w:lang w:val="fr"/>
              </w:rPr>
              <w:t>0</w:t>
            </w:r>
            <w:r w:rsidR="000E116D" w:rsidRPr="000E116D">
              <w:rPr>
                <w:rFonts w:eastAsia="Times New Roman" w:cstheme="minorHAnsi"/>
                <w:b/>
                <w:color w:val="1A3133"/>
                <w:sz w:val="20"/>
                <w:lang w:val="fr"/>
              </w:rPr>
              <w:t xml:space="preserve">H.F/J </w:t>
            </w:r>
            <w:r>
              <w:rPr>
                <w:rFonts w:eastAsia="Times New Roman" w:cstheme="minorHAnsi"/>
                <w:b/>
                <w:color w:val="1A3133"/>
                <w:sz w:val="20"/>
                <w:lang w:val="fr"/>
              </w:rPr>
              <w:t>max</w:t>
            </w:r>
          </w:p>
        </w:tc>
      </w:tr>
    </w:tbl>
    <w:p w:rsidR="00110DAD" w:rsidRPr="00110DAD" w:rsidRDefault="00110DAD" w:rsidP="00110DAD">
      <w:pPr>
        <w:spacing w:line="240" w:lineRule="auto"/>
        <w:jc w:val="both"/>
        <w:outlineLvl w:val="1"/>
        <w:rPr>
          <w:rFonts w:eastAsia="Times New Roman" w:cstheme="minorHAnsi"/>
          <w:color w:val="1A3133"/>
          <w:lang w:val="fr"/>
        </w:rPr>
      </w:pPr>
    </w:p>
    <w:p w:rsidR="00110DAD" w:rsidRPr="000E116D" w:rsidRDefault="00110DAD" w:rsidP="000E116D">
      <w:pPr>
        <w:pStyle w:val="Paragraphedeliste"/>
        <w:numPr>
          <w:ilvl w:val="0"/>
          <w:numId w:val="2"/>
        </w:numPr>
        <w:jc w:val="both"/>
        <w:outlineLvl w:val="1"/>
        <w:rPr>
          <w:rFonts w:asciiTheme="minorHAnsi" w:eastAsia="Times New Roman" w:hAnsiTheme="minorHAnsi" w:cstheme="minorHAnsi"/>
          <w:b/>
          <w:color w:val="1A3133"/>
        </w:rPr>
      </w:pPr>
      <w:r w:rsidRPr="000E116D">
        <w:rPr>
          <w:rFonts w:asciiTheme="minorHAnsi" w:eastAsia="Times New Roman" w:hAnsiTheme="minorHAnsi" w:cstheme="minorHAnsi"/>
          <w:b/>
          <w:color w:val="1A3133"/>
        </w:rPr>
        <w:t xml:space="preserve">Profil souhaité </w:t>
      </w:r>
    </w:p>
    <w:p w:rsidR="00110DAD" w:rsidRPr="00110DAD" w:rsidRDefault="00110DAD" w:rsidP="000E116D">
      <w:pPr>
        <w:spacing w:line="240" w:lineRule="auto"/>
        <w:contextualSpacing/>
        <w:jc w:val="both"/>
        <w:outlineLvl w:val="1"/>
        <w:rPr>
          <w:rFonts w:eastAsia="Times New Roman" w:cstheme="minorHAnsi"/>
          <w:color w:val="1A3133"/>
          <w:lang w:val="fr"/>
        </w:rPr>
      </w:pPr>
      <w:r w:rsidRPr="00110DAD">
        <w:rPr>
          <w:rFonts w:eastAsia="Times New Roman" w:cstheme="minorHAnsi"/>
          <w:b/>
          <w:i/>
          <w:color w:val="1A3133"/>
          <w:lang w:val="fr"/>
        </w:rPr>
        <w:t>Qualification</w:t>
      </w:r>
      <w:r w:rsidR="000B1673">
        <w:rPr>
          <w:rFonts w:eastAsia="Times New Roman" w:cstheme="minorHAnsi"/>
          <w:b/>
          <w:i/>
          <w:color w:val="1A3133"/>
          <w:lang w:val="fr"/>
        </w:rPr>
        <w:t>s</w:t>
      </w:r>
      <w:r w:rsidRPr="00110DAD">
        <w:rPr>
          <w:rFonts w:eastAsia="Times New Roman" w:cstheme="minorHAnsi"/>
          <w:b/>
          <w:i/>
          <w:color w:val="1A3133"/>
          <w:lang w:val="fr"/>
        </w:rPr>
        <w:t xml:space="preserve"> et compétences</w:t>
      </w:r>
      <w:r w:rsidRPr="00110DAD">
        <w:rPr>
          <w:rFonts w:eastAsia="Times New Roman" w:cstheme="minorHAnsi"/>
          <w:color w:val="1A3133"/>
          <w:lang w:val="fr"/>
        </w:rPr>
        <w:t> :</w:t>
      </w:r>
    </w:p>
    <w:p w:rsidR="00110DAD" w:rsidRPr="00110DAD" w:rsidRDefault="00110DAD" w:rsidP="00110DAD">
      <w:pPr>
        <w:spacing w:line="240" w:lineRule="auto"/>
        <w:ind w:left="720"/>
        <w:contextualSpacing/>
        <w:jc w:val="both"/>
        <w:outlineLvl w:val="1"/>
        <w:rPr>
          <w:rFonts w:eastAsia="Times New Roman" w:cstheme="minorHAnsi"/>
          <w:b/>
          <w:color w:val="1A3133"/>
          <w:lang w:val="fr"/>
        </w:rPr>
      </w:pPr>
    </w:p>
    <w:p w:rsidR="00110DAD" w:rsidRP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Titulaire d’un Bac+5 ou équivalent en étude de genre, sciences sociales, sciences politiques ou autre discipline pertinente ; </w:t>
      </w:r>
    </w:p>
    <w:p w:rsidR="00110DAD" w:rsidRP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Bonne connaissance </w:t>
      </w:r>
      <w:r w:rsidR="000B1673">
        <w:rPr>
          <w:rFonts w:eastAsia="Times New Roman" w:cstheme="minorHAnsi"/>
          <w:color w:val="1A3133"/>
          <w:lang w:val="fr"/>
        </w:rPr>
        <w:t>sur les</w:t>
      </w:r>
      <w:r w:rsidRPr="00110DAD">
        <w:rPr>
          <w:rFonts w:eastAsia="Times New Roman" w:cstheme="minorHAnsi"/>
          <w:color w:val="1A3133"/>
          <w:lang w:val="fr"/>
        </w:rPr>
        <w:t xml:space="preserve"> problématique</w:t>
      </w:r>
      <w:r w:rsidR="000B1673">
        <w:rPr>
          <w:rFonts w:eastAsia="Times New Roman" w:cstheme="minorHAnsi"/>
          <w:color w:val="1A3133"/>
          <w:lang w:val="fr"/>
        </w:rPr>
        <w:t>s</w:t>
      </w:r>
      <w:r w:rsidRPr="00110DAD">
        <w:rPr>
          <w:rFonts w:eastAsia="Times New Roman" w:cstheme="minorHAnsi"/>
          <w:color w:val="1A3133"/>
          <w:lang w:val="fr"/>
        </w:rPr>
        <w:t xml:space="preserve"> de genre </w:t>
      </w:r>
      <w:r w:rsidR="000B1673">
        <w:rPr>
          <w:rFonts w:eastAsia="Times New Roman" w:cstheme="minorHAnsi"/>
          <w:color w:val="1A3133"/>
          <w:lang w:val="fr"/>
        </w:rPr>
        <w:t xml:space="preserve">et de migration </w:t>
      </w:r>
      <w:r w:rsidRPr="00110DAD">
        <w:rPr>
          <w:rFonts w:eastAsia="Times New Roman" w:cstheme="minorHAnsi"/>
          <w:color w:val="1A3133"/>
          <w:lang w:val="fr"/>
        </w:rPr>
        <w:t xml:space="preserve">dans le contexte </w:t>
      </w:r>
      <w:r w:rsidR="000B1673">
        <w:rPr>
          <w:rFonts w:eastAsia="Times New Roman" w:cstheme="minorHAnsi"/>
          <w:color w:val="1A3133"/>
          <w:lang w:val="fr"/>
        </w:rPr>
        <w:t xml:space="preserve">MENA et </w:t>
      </w:r>
      <w:r w:rsidRPr="00110DAD">
        <w:rPr>
          <w:rFonts w:eastAsia="Times New Roman" w:cstheme="minorHAnsi"/>
          <w:color w:val="1A3133"/>
          <w:lang w:val="fr"/>
        </w:rPr>
        <w:t>tunisien ;</w:t>
      </w:r>
    </w:p>
    <w:p w:rsidR="00110DAD" w:rsidRP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Parfaite maîtrise du français et </w:t>
      </w:r>
      <w:r w:rsidRPr="00110DAD">
        <w:rPr>
          <w:rFonts w:eastAsia="Times New Roman" w:cstheme="minorHAnsi"/>
          <w:i/>
          <w:color w:val="1A3133"/>
          <w:lang w:val="fr"/>
        </w:rPr>
        <w:t xml:space="preserve">darja </w:t>
      </w:r>
      <w:r w:rsidRPr="00110DAD">
        <w:rPr>
          <w:rFonts w:eastAsia="Times New Roman" w:cstheme="minorHAnsi"/>
          <w:color w:val="1A3133"/>
          <w:lang w:val="fr"/>
        </w:rPr>
        <w:t xml:space="preserve">(dialecte tunisien) ; </w:t>
      </w:r>
    </w:p>
    <w:p w:rsid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Solides capacités rédactionnelles, d’analyse et de synthèse ; </w:t>
      </w:r>
    </w:p>
    <w:p w:rsidR="00D10876" w:rsidRPr="00110DAD" w:rsidRDefault="00D10876" w:rsidP="00110DAD">
      <w:pPr>
        <w:numPr>
          <w:ilvl w:val="0"/>
          <w:numId w:val="5"/>
        </w:numPr>
        <w:spacing w:line="240" w:lineRule="auto"/>
        <w:contextualSpacing/>
        <w:jc w:val="both"/>
        <w:outlineLvl w:val="1"/>
        <w:rPr>
          <w:rFonts w:eastAsia="Times New Roman" w:cstheme="minorHAnsi"/>
          <w:color w:val="1A3133"/>
          <w:lang w:val="fr"/>
        </w:rPr>
      </w:pPr>
      <w:r>
        <w:rPr>
          <w:rFonts w:eastAsia="Times New Roman" w:cstheme="minorHAnsi"/>
          <w:color w:val="1A3133"/>
          <w:lang w:val="fr"/>
        </w:rPr>
        <w:t>Flexibilité, pragmatisme et esprit orienté « apprentissage par l’action »</w:t>
      </w:r>
    </w:p>
    <w:p w:rsidR="00110DAD" w:rsidRP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Force capacité du travail en équipe, excellent relationnel dans un contexte multiculturel, sens de l’organisation et réactivité ; </w:t>
      </w:r>
    </w:p>
    <w:p w:rsid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Bonne maîtrise des pratiques et procédures de gestion de projet (cadre logique, programmation, mise en œuvre, </w:t>
      </w:r>
      <w:r w:rsidRPr="00110DAD">
        <w:rPr>
          <w:rFonts w:eastAsia="Times New Roman" w:cstheme="minorHAnsi"/>
          <w:i/>
          <w:color w:val="1A3133"/>
          <w:lang w:val="fr"/>
        </w:rPr>
        <w:t>reporting</w:t>
      </w:r>
      <w:r w:rsidRPr="00110DAD">
        <w:rPr>
          <w:rFonts w:eastAsia="Times New Roman" w:cstheme="minorHAnsi"/>
          <w:color w:val="1A3133"/>
          <w:lang w:val="fr"/>
        </w:rPr>
        <w:t>, etc.) et connaissance des pratiques des bailleurs de fonds en matière de g</w:t>
      </w:r>
      <w:r w:rsidR="000B1673">
        <w:rPr>
          <w:rFonts w:eastAsia="Times New Roman" w:cstheme="minorHAnsi"/>
          <w:color w:val="1A3133"/>
          <w:lang w:val="fr"/>
        </w:rPr>
        <w:t xml:space="preserve">enre et d’égalité femmes-hommes ; </w:t>
      </w:r>
    </w:p>
    <w:p w:rsidR="000B1673" w:rsidRPr="00110DAD" w:rsidRDefault="000B1673" w:rsidP="00110DAD">
      <w:pPr>
        <w:numPr>
          <w:ilvl w:val="0"/>
          <w:numId w:val="5"/>
        </w:numPr>
        <w:spacing w:line="240" w:lineRule="auto"/>
        <w:contextualSpacing/>
        <w:jc w:val="both"/>
        <w:outlineLvl w:val="1"/>
        <w:rPr>
          <w:rFonts w:eastAsia="Times New Roman" w:cstheme="minorHAnsi"/>
          <w:color w:val="1A3133"/>
          <w:lang w:val="fr"/>
        </w:rPr>
      </w:pPr>
      <w:r>
        <w:rPr>
          <w:rFonts w:eastAsia="Times New Roman" w:cstheme="minorHAnsi"/>
          <w:color w:val="1A3133"/>
          <w:lang w:val="fr"/>
        </w:rPr>
        <w:t xml:space="preserve">Capacité à mener des activités de capitalisation et/ou de recherche sur les sujets en lien avec les questions de migration. </w:t>
      </w:r>
    </w:p>
    <w:p w:rsidR="000E116D" w:rsidRDefault="000E116D" w:rsidP="000E116D">
      <w:pPr>
        <w:spacing w:line="240" w:lineRule="auto"/>
        <w:contextualSpacing/>
        <w:jc w:val="both"/>
        <w:outlineLvl w:val="1"/>
        <w:rPr>
          <w:rFonts w:eastAsia="Times New Roman" w:cstheme="minorHAnsi"/>
          <w:color w:val="1A3133"/>
          <w:lang w:val="fr"/>
        </w:rPr>
      </w:pPr>
    </w:p>
    <w:p w:rsidR="00110DAD" w:rsidRPr="00110DAD" w:rsidRDefault="00110DAD" w:rsidP="000E116D">
      <w:pPr>
        <w:spacing w:line="240" w:lineRule="auto"/>
        <w:contextualSpacing/>
        <w:jc w:val="both"/>
        <w:outlineLvl w:val="1"/>
        <w:rPr>
          <w:rFonts w:eastAsia="Times New Roman" w:cstheme="minorHAnsi"/>
          <w:color w:val="1A3133"/>
          <w:lang w:val="fr"/>
        </w:rPr>
      </w:pPr>
      <w:r w:rsidRPr="00110DAD">
        <w:rPr>
          <w:rFonts w:eastAsia="Times New Roman" w:cstheme="minorHAnsi"/>
          <w:b/>
          <w:i/>
          <w:color w:val="1A3133"/>
          <w:lang w:val="fr"/>
        </w:rPr>
        <w:t>Expériences professionnelles</w:t>
      </w:r>
      <w:r w:rsidRPr="00110DAD">
        <w:rPr>
          <w:rFonts w:eastAsia="Times New Roman" w:cstheme="minorHAnsi"/>
          <w:color w:val="1A3133"/>
          <w:lang w:val="fr"/>
        </w:rPr>
        <w:t> :</w:t>
      </w:r>
    </w:p>
    <w:p w:rsidR="00110DAD" w:rsidRPr="00110DAD" w:rsidRDefault="00110DAD" w:rsidP="00110DAD">
      <w:pPr>
        <w:spacing w:line="240" w:lineRule="auto"/>
        <w:ind w:left="720"/>
        <w:contextualSpacing/>
        <w:jc w:val="both"/>
        <w:outlineLvl w:val="1"/>
        <w:rPr>
          <w:rFonts w:eastAsia="Times New Roman" w:cstheme="minorHAnsi"/>
          <w:color w:val="1A3133"/>
          <w:lang w:val="fr"/>
        </w:rPr>
      </w:pPr>
    </w:p>
    <w:p w:rsidR="00110DAD" w:rsidRP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Expérience professionnelle dans le domaine du genre ;</w:t>
      </w:r>
    </w:p>
    <w:p w:rsidR="00443887" w:rsidRPr="006B5AD6" w:rsidRDefault="00110DAD" w:rsidP="006B5AD6">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Expérience d’au moins 5 ans dans l’élaboration et la mise en œuvre de plan d’action genre dans un contexte de projets de développement de coopération internationale ; </w:t>
      </w:r>
      <w:bookmarkStart w:id="0" w:name="_GoBack"/>
      <w:bookmarkEnd w:id="0"/>
    </w:p>
    <w:p w:rsid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Expérience précédente en Tunisie ; </w:t>
      </w:r>
    </w:p>
    <w:p w:rsidR="000E116D" w:rsidRPr="00110DAD" w:rsidRDefault="000E116D" w:rsidP="00110DAD">
      <w:pPr>
        <w:numPr>
          <w:ilvl w:val="0"/>
          <w:numId w:val="5"/>
        </w:numPr>
        <w:spacing w:line="240" w:lineRule="auto"/>
        <w:contextualSpacing/>
        <w:jc w:val="both"/>
        <w:outlineLvl w:val="1"/>
        <w:rPr>
          <w:rFonts w:eastAsia="Times New Roman" w:cstheme="minorHAnsi"/>
          <w:color w:val="1A3133"/>
          <w:lang w:val="fr"/>
        </w:rPr>
      </w:pPr>
      <w:r>
        <w:rPr>
          <w:rFonts w:eastAsia="Times New Roman" w:cstheme="minorHAnsi"/>
          <w:color w:val="1A3133"/>
          <w:lang w:val="fr"/>
        </w:rPr>
        <w:t>Compréhension des enjeux liés à la migration est un plus </w:t>
      </w:r>
      <w:r w:rsidR="00AF7A76">
        <w:rPr>
          <w:rFonts w:eastAsia="Times New Roman" w:cstheme="minorHAnsi"/>
          <w:color w:val="1A3133"/>
          <w:lang w:val="fr"/>
        </w:rPr>
        <w:t xml:space="preserve">et </w:t>
      </w:r>
      <w:r>
        <w:rPr>
          <w:rFonts w:eastAsia="Times New Roman" w:cstheme="minorHAnsi"/>
          <w:color w:val="1A3133"/>
          <w:lang w:val="fr"/>
        </w:rPr>
        <w:t xml:space="preserve">; </w:t>
      </w:r>
    </w:p>
    <w:p w:rsidR="00110DAD" w:rsidRDefault="00110DAD" w:rsidP="00110DAD">
      <w:pPr>
        <w:numPr>
          <w:ilvl w:val="0"/>
          <w:numId w:val="5"/>
        </w:numPr>
        <w:spacing w:line="240" w:lineRule="auto"/>
        <w:contextualSpacing/>
        <w:jc w:val="both"/>
        <w:outlineLvl w:val="1"/>
        <w:rPr>
          <w:rFonts w:eastAsia="Times New Roman" w:cstheme="minorHAnsi"/>
          <w:color w:val="1A3133"/>
          <w:lang w:val="fr"/>
        </w:rPr>
      </w:pPr>
      <w:r w:rsidRPr="00110DAD">
        <w:rPr>
          <w:rFonts w:eastAsia="Times New Roman" w:cstheme="minorHAnsi"/>
          <w:color w:val="1A3133"/>
          <w:lang w:val="fr"/>
        </w:rPr>
        <w:t xml:space="preserve">Expérience et connaissances dans le secteur de l’entrepreneuriat </w:t>
      </w:r>
      <w:r w:rsidR="000E116D">
        <w:rPr>
          <w:rFonts w:eastAsia="Times New Roman" w:cstheme="minorHAnsi"/>
          <w:color w:val="1A3133"/>
          <w:lang w:val="fr"/>
        </w:rPr>
        <w:t>des jeunes, des personnes présentant des traits de vulnérabilité (migrants de retour, femmes, etc.) et/ou des diasporas</w:t>
      </w:r>
      <w:r w:rsidR="00552EEA">
        <w:rPr>
          <w:rFonts w:eastAsia="Times New Roman" w:cstheme="minorHAnsi"/>
          <w:color w:val="1A3133"/>
          <w:lang w:val="fr"/>
        </w:rPr>
        <w:t xml:space="preserve">. </w:t>
      </w:r>
    </w:p>
    <w:p w:rsidR="00552EEA" w:rsidRPr="00110DAD" w:rsidRDefault="00552EEA" w:rsidP="00552EEA">
      <w:pPr>
        <w:spacing w:line="240" w:lineRule="auto"/>
        <w:ind w:left="720"/>
        <w:contextualSpacing/>
        <w:jc w:val="both"/>
        <w:outlineLvl w:val="1"/>
        <w:rPr>
          <w:rFonts w:eastAsia="Times New Roman" w:cstheme="minorHAnsi"/>
          <w:color w:val="1A3133"/>
          <w:lang w:val="fr"/>
        </w:rPr>
      </w:pPr>
    </w:p>
    <w:p w:rsidR="00110DAD" w:rsidRPr="00110DAD" w:rsidRDefault="00110DAD" w:rsidP="000E116D">
      <w:pPr>
        <w:spacing w:line="240" w:lineRule="auto"/>
        <w:jc w:val="both"/>
        <w:outlineLvl w:val="1"/>
        <w:rPr>
          <w:rFonts w:eastAsia="Times New Roman" w:cstheme="minorHAnsi"/>
          <w:color w:val="1A3133"/>
          <w:lang w:val="fr"/>
        </w:rPr>
      </w:pPr>
      <w:r w:rsidRPr="00110DAD">
        <w:rPr>
          <w:rFonts w:eastAsia="Times New Roman" w:cstheme="minorHAnsi"/>
          <w:color w:val="1A3133"/>
          <w:lang w:val="fr"/>
        </w:rPr>
        <w:t xml:space="preserve">Par ailleurs, l’expert.e devra disposer d’une disponibilité forte </w:t>
      </w:r>
      <w:r w:rsidR="000E116D">
        <w:rPr>
          <w:rFonts w:eastAsia="Times New Roman" w:cstheme="minorHAnsi"/>
          <w:color w:val="1A3133"/>
          <w:lang w:val="fr"/>
        </w:rPr>
        <w:t xml:space="preserve">au démarrage les 6 premiers mois de sa mission. </w:t>
      </w:r>
    </w:p>
    <w:p w:rsidR="00110DAD" w:rsidRPr="00110DAD" w:rsidRDefault="00110DAD" w:rsidP="000E116D">
      <w:pPr>
        <w:numPr>
          <w:ilvl w:val="0"/>
          <w:numId w:val="2"/>
        </w:numPr>
        <w:spacing w:line="240" w:lineRule="auto"/>
        <w:contextualSpacing/>
        <w:jc w:val="both"/>
        <w:outlineLvl w:val="1"/>
        <w:rPr>
          <w:rFonts w:eastAsia="Times New Roman" w:cstheme="minorHAnsi"/>
          <w:b/>
          <w:color w:val="1A3133"/>
          <w:lang w:val="fr"/>
        </w:rPr>
      </w:pPr>
      <w:r w:rsidRPr="00110DAD">
        <w:rPr>
          <w:rFonts w:eastAsia="Times New Roman" w:cstheme="minorHAnsi"/>
          <w:b/>
          <w:color w:val="1A3133"/>
          <w:lang w:val="fr"/>
        </w:rPr>
        <w:t>Informations complémentaires</w:t>
      </w:r>
    </w:p>
    <w:p w:rsidR="00110DAD" w:rsidRPr="00110DAD" w:rsidRDefault="00110DAD" w:rsidP="00110DAD">
      <w:pPr>
        <w:spacing w:line="240" w:lineRule="auto"/>
        <w:ind w:left="720"/>
        <w:contextualSpacing/>
        <w:jc w:val="both"/>
        <w:outlineLvl w:val="1"/>
        <w:rPr>
          <w:rFonts w:eastAsia="Times New Roman" w:cstheme="minorHAnsi"/>
          <w:b/>
          <w:color w:val="1A3133"/>
          <w:lang w:val="fr"/>
        </w:rPr>
      </w:pPr>
    </w:p>
    <w:p w:rsidR="00110DAD" w:rsidRPr="00110DAD" w:rsidRDefault="00110DAD" w:rsidP="009E1151">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Les candidatures doivent inclure les éléments suivants</w:t>
      </w:r>
      <w:r w:rsidRPr="00110DAD">
        <w:rPr>
          <w:rFonts w:eastAsia="Times New Roman" w:cstheme="minorHAnsi"/>
          <w:color w:val="1A3133"/>
        </w:rPr>
        <w:t xml:space="preserve"> : </w:t>
      </w:r>
    </w:p>
    <w:p w:rsidR="00AF7A76" w:rsidRDefault="00110DAD" w:rsidP="00AF7A76">
      <w:pPr>
        <w:numPr>
          <w:ilvl w:val="0"/>
          <w:numId w:val="7"/>
        </w:numPr>
        <w:spacing w:line="240" w:lineRule="auto"/>
        <w:contextualSpacing/>
        <w:jc w:val="both"/>
        <w:outlineLvl w:val="1"/>
        <w:rPr>
          <w:rFonts w:eastAsia="Times New Roman" w:cstheme="minorHAnsi"/>
          <w:color w:val="1A3133"/>
        </w:rPr>
      </w:pPr>
      <w:r w:rsidRPr="00110DAD">
        <w:rPr>
          <w:rFonts w:eastAsia="Times New Roman" w:cstheme="minorHAnsi"/>
          <w:color w:val="1A3133"/>
        </w:rPr>
        <w:t xml:space="preserve">Un CV détaillé de l’expert.e proposé.e ; </w:t>
      </w:r>
    </w:p>
    <w:p w:rsidR="00AF7A76" w:rsidRPr="00AF7A76" w:rsidRDefault="00AF7A76" w:rsidP="00AF7A76">
      <w:pPr>
        <w:numPr>
          <w:ilvl w:val="0"/>
          <w:numId w:val="7"/>
        </w:numPr>
        <w:spacing w:line="240" w:lineRule="auto"/>
        <w:contextualSpacing/>
        <w:jc w:val="both"/>
        <w:outlineLvl w:val="1"/>
        <w:rPr>
          <w:rFonts w:eastAsia="Times New Roman" w:cstheme="minorHAnsi"/>
          <w:color w:val="1A3133"/>
        </w:rPr>
      </w:pPr>
      <w:r>
        <w:rPr>
          <w:rFonts w:eastAsia="Times New Roman" w:cstheme="minorHAnsi"/>
          <w:color w:val="1A3133"/>
          <w:lang w:val="fr"/>
        </w:rPr>
        <w:t>U</w:t>
      </w:r>
      <w:r w:rsidRPr="00AF7A76">
        <w:rPr>
          <w:rFonts w:eastAsia="Times New Roman" w:cstheme="minorHAnsi"/>
          <w:color w:val="1A3133"/>
          <w:lang w:val="fr"/>
        </w:rPr>
        <w:t>ne liste de référence des p</w:t>
      </w:r>
      <w:r w:rsidR="00443887">
        <w:rPr>
          <w:rFonts w:eastAsia="Times New Roman" w:cstheme="minorHAnsi"/>
          <w:color w:val="1A3133"/>
          <w:lang w:val="fr"/>
        </w:rPr>
        <w:t>récédentes missions effectuées et ;</w:t>
      </w:r>
    </w:p>
    <w:p w:rsidR="000E116D" w:rsidRDefault="000E116D" w:rsidP="00110DAD">
      <w:pPr>
        <w:numPr>
          <w:ilvl w:val="0"/>
          <w:numId w:val="7"/>
        </w:numPr>
        <w:spacing w:line="240" w:lineRule="auto"/>
        <w:contextualSpacing/>
        <w:jc w:val="both"/>
        <w:outlineLvl w:val="1"/>
        <w:rPr>
          <w:rFonts w:eastAsia="Times New Roman" w:cstheme="minorHAnsi"/>
          <w:color w:val="1A3133"/>
        </w:rPr>
      </w:pPr>
      <w:r w:rsidRPr="00274F14">
        <w:rPr>
          <w:rFonts w:eastAsia="Times New Roman" w:cstheme="minorHAnsi"/>
          <w:color w:val="1A3133"/>
        </w:rPr>
        <w:t xml:space="preserve">Un prix </w:t>
      </w:r>
      <w:r w:rsidR="00274F14" w:rsidRPr="00274F14">
        <w:rPr>
          <w:rFonts w:eastAsia="Times New Roman" w:cstheme="minorHAnsi"/>
          <w:color w:val="1A3133"/>
        </w:rPr>
        <w:t>unitaire TTC à</w:t>
      </w:r>
      <w:r w:rsidRPr="00274F14">
        <w:rPr>
          <w:rFonts w:eastAsia="Times New Roman" w:cstheme="minorHAnsi"/>
          <w:color w:val="1A3133"/>
        </w:rPr>
        <w:t xml:space="preserve"> l’homme.femme par jour</w:t>
      </w:r>
      <w:r w:rsidR="00274F14" w:rsidRPr="00274F14">
        <w:rPr>
          <w:rFonts w:eastAsia="Times New Roman" w:cstheme="minorHAnsi"/>
          <w:color w:val="1A3133"/>
        </w:rPr>
        <w:t xml:space="preserve"> en euros</w:t>
      </w:r>
      <w:r w:rsidRPr="00274F14">
        <w:rPr>
          <w:rFonts w:eastAsia="Times New Roman" w:cstheme="minorHAnsi"/>
          <w:color w:val="1A3133"/>
        </w:rPr>
        <w:t>.</w:t>
      </w:r>
      <w:r>
        <w:rPr>
          <w:rFonts w:eastAsia="Times New Roman" w:cstheme="minorHAnsi"/>
          <w:color w:val="1A3133"/>
        </w:rPr>
        <w:t xml:space="preserve"> Ce coût </w:t>
      </w:r>
      <w:r w:rsidR="00274F14">
        <w:rPr>
          <w:rFonts w:eastAsia="Times New Roman" w:cstheme="minorHAnsi"/>
          <w:color w:val="1A3133"/>
        </w:rPr>
        <w:t xml:space="preserve">comprend les frais de communication, d’internet, d’équipements informatiques nécessaires à la mission et autres frais annexes (hors missions et déplacement hors Grand Tunis). Ce coût </w:t>
      </w:r>
      <w:r>
        <w:rPr>
          <w:rFonts w:eastAsia="Times New Roman" w:cstheme="minorHAnsi"/>
          <w:color w:val="1A3133"/>
        </w:rPr>
        <w:t>sera appliqué sur l’intégralité de la mission</w:t>
      </w:r>
      <w:r w:rsidR="002B6D15">
        <w:rPr>
          <w:rFonts w:eastAsia="Times New Roman" w:cstheme="minorHAnsi"/>
          <w:color w:val="1A3133"/>
        </w:rPr>
        <w:t xml:space="preserve"> de 24 à 30 </w:t>
      </w:r>
      <w:r>
        <w:rPr>
          <w:rFonts w:eastAsia="Times New Roman" w:cstheme="minorHAnsi"/>
          <w:color w:val="1A3133"/>
        </w:rPr>
        <w:t>mois. Ce prix doit tenir compte de la durée de la prestation et du volume de jour</w:t>
      </w:r>
      <w:r w:rsidR="00AF7A76">
        <w:rPr>
          <w:rFonts w:eastAsia="Times New Roman" w:cstheme="minorHAnsi"/>
          <w:color w:val="1A3133"/>
        </w:rPr>
        <w:t xml:space="preserve"> prévu</w:t>
      </w:r>
      <w:r w:rsidR="00110DAD" w:rsidRPr="00110DAD">
        <w:rPr>
          <w:rFonts w:eastAsia="Times New Roman" w:cstheme="minorHAnsi"/>
          <w:color w:val="1A3133"/>
        </w:rPr>
        <w:t>.</w:t>
      </w:r>
    </w:p>
    <w:p w:rsidR="00274F14" w:rsidRDefault="00274F14" w:rsidP="00274F14">
      <w:pPr>
        <w:spacing w:line="240" w:lineRule="auto"/>
        <w:ind w:left="720"/>
        <w:contextualSpacing/>
        <w:jc w:val="both"/>
        <w:outlineLvl w:val="1"/>
        <w:rPr>
          <w:rFonts w:eastAsia="Times New Roman" w:cstheme="minorHAnsi"/>
          <w:color w:val="1A3133"/>
        </w:rPr>
      </w:pPr>
    </w:p>
    <w:p w:rsidR="00274F14" w:rsidRDefault="00274F14" w:rsidP="00274F14">
      <w:pPr>
        <w:spacing w:line="240" w:lineRule="auto"/>
        <w:contextualSpacing/>
        <w:jc w:val="both"/>
        <w:outlineLvl w:val="1"/>
        <w:rPr>
          <w:rFonts w:eastAsia="Times New Roman" w:cstheme="minorHAnsi"/>
          <w:color w:val="1A3133"/>
        </w:rPr>
      </w:pPr>
      <w:r w:rsidRPr="00AF7A76">
        <w:rPr>
          <w:rFonts w:eastAsia="Times New Roman" w:cstheme="minorHAnsi"/>
          <w:color w:val="1A3133"/>
          <w:u w:val="single"/>
        </w:rPr>
        <w:t>N.B :</w:t>
      </w:r>
      <w:r>
        <w:rPr>
          <w:rFonts w:eastAsia="Times New Roman" w:cstheme="minorHAnsi"/>
          <w:color w:val="1A3133"/>
        </w:rPr>
        <w:t xml:space="preserve"> les frais de mission seront pris en charge au réel selon les barèmes d’Expertise France</w:t>
      </w:r>
    </w:p>
    <w:p w:rsidR="009E1151" w:rsidRDefault="009E1151" w:rsidP="009E1151">
      <w:pPr>
        <w:spacing w:line="240" w:lineRule="auto"/>
        <w:contextualSpacing/>
        <w:jc w:val="both"/>
        <w:outlineLvl w:val="1"/>
        <w:rPr>
          <w:rFonts w:eastAsia="Times New Roman" w:cstheme="minorHAnsi"/>
          <w:color w:val="1A3133"/>
        </w:rPr>
      </w:pPr>
    </w:p>
    <w:p w:rsidR="00110DAD" w:rsidRPr="00110DAD" w:rsidRDefault="00110DAD" w:rsidP="009E1151">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Le processus de sélection se déroulera en deux temps</w:t>
      </w:r>
      <w:r w:rsidRPr="00110DAD">
        <w:rPr>
          <w:rFonts w:eastAsia="Times New Roman" w:cstheme="minorHAnsi"/>
          <w:color w:val="1A3133"/>
        </w:rPr>
        <w:t xml:space="preserve"> : </w:t>
      </w:r>
    </w:p>
    <w:p w:rsidR="00110DAD" w:rsidRPr="00443887" w:rsidRDefault="00110DAD" w:rsidP="00443887">
      <w:pPr>
        <w:pStyle w:val="Paragraphedeliste"/>
        <w:numPr>
          <w:ilvl w:val="0"/>
          <w:numId w:val="20"/>
        </w:numPr>
        <w:jc w:val="both"/>
        <w:outlineLvl w:val="1"/>
        <w:rPr>
          <w:rFonts w:eastAsia="Times New Roman" w:cstheme="minorHAnsi"/>
          <w:color w:val="1A3133"/>
        </w:rPr>
      </w:pPr>
      <w:r w:rsidRPr="00443887">
        <w:rPr>
          <w:rFonts w:eastAsia="Times New Roman" w:cstheme="minorHAnsi"/>
          <w:color w:val="1A3133"/>
        </w:rPr>
        <w:t xml:space="preserve">Conduite d’un entretien avec les candidat.e.s présélectionné.e.s. </w:t>
      </w:r>
    </w:p>
    <w:p w:rsidR="00443887" w:rsidRPr="00443887" w:rsidRDefault="00443887" w:rsidP="00443887">
      <w:pPr>
        <w:pStyle w:val="Paragraphedeliste"/>
        <w:numPr>
          <w:ilvl w:val="0"/>
          <w:numId w:val="20"/>
        </w:numPr>
        <w:jc w:val="both"/>
        <w:outlineLvl w:val="1"/>
        <w:rPr>
          <w:rFonts w:eastAsia="Times New Roman" w:cstheme="minorHAnsi"/>
          <w:color w:val="1A3133"/>
        </w:rPr>
      </w:pPr>
      <w:r w:rsidRPr="00443887">
        <w:rPr>
          <w:rFonts w:eastAsia="Times New Roman" w:cstheme="minorHAnsi"/>
          <w:color w:val="1A3133"/>
        </w:rPr>
        <w:t xml:space="preserve">Négociation si nécessaire sur le prix </w:t>
      </w:r>
    </w:p>
    <w:p w:rsidR="00AF7A76" w:rsidRPr="00110DAD" w:rsidRDefault="00AF7A76" w:rsidP="00AF7A76">
      <w:pPr>
        <w:spacing w:line="240" w:lineRule="auto"/>
        <w:contextualSpacing/>
        <w:jc w:val="both"/>
        <w:outlineLvl w:val="1"/>
        <w:rPr>
          <w:rFonts w:eastAsia="Times New Roman" w:cstheme="minorHAnsi"/>
          <w:color w:val="1A3133"/>
        </w:rPr>
      </w:pPr>
    </w:p>
    <w:p w:rsidR="00110DAD" w:rsidRPr="00110DAD" w:rsidRDefault="00110DAD" w:rsidP="00AF7A76">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 xml:space="preserve">Date de démarrage </w:t>
      </w:r>
      <w:r w:rsidR="00274F14" w:rsidRPr="00AF7A76">
        <w:rPr>
          <w:rFonts w:eastAsia="Times New Roman" w:cstheme="minorHAnsi"/>
          <w:b/>
          <w:i/>
          <w:color w:val="1A3133"/>
        </w:rPr>
        <w:t>souhaitée</w:t>
      </w:r>
      <w:r w:rsidR="00274F14" w:rsidRPr="00AF7A76">
        <w:rPr>
          <w:rFonts w:eastAsia="Times New Roman" w:cstheme="minorHAnsi"/>
          <w:color w:val="1A3133"/>
        </w:rPr>
        <w:t xml:space="preserve"> </w:t>
      </w:r>
      <w:r w:rsidRPr="00110DAD">
        <w:rPr>
          <w:rFonts w:eastAsia="Times New Roman" w:cstheme="minorHAnsi"/>
          <w:color w:val="1A3133"/>
        </w:rPr>
        <w:t xml:space="preserve">: </w:t>
      </w:r>
      <w:r w:rsidR="000E116D" w:rsidRPr="00AF7A76">
        <w:rPr>
          <w:rFonts w:eastAsia="Times New Roman" w:cstheme="minorHAnsi"/>
          <w:color w:val="1A3133"/>
        </w:rPr>
        <w:t xml:space="preserve">15 janvier 2026 </w:t>
      </w:r>
    </w:p>
    <w:p w:rsidR="00110DAD" w:rsidRPr="00110DAD" w:rsidRDefault="00110DAD" w:rsidP="00110DAD">
      <w:pPr>
        <w:spacing w:line="276" w:lineRule="auto"/>
        <w:jc w:val="both"/>
        <w:rPr>
          <w:rFonts w:eastAsia="Times New Roman" w:cstheme="minorHAnsi"/>
          <w:color w:val="1A3133"/>
          <w:lang w:val="fr"/>
        </w:rPr>
      </w:pPr>
    </w:p>
    <w:p w:rsidR="008038F4" w:rsidRPr="00110DAD" w:rsidRDefault="008038F4" w:rsidP="00110DAD">
      <w:pPr>
        <w:jc w:val="both"/>
        <w:rPr>
          <w:rFonts w:cstheme="minorHAnsi"/>
        </w:rPr>
      </w:pPr>
    </w:p>
    <w:sectPr w:rsidR="008038F4" w:rsidRPr="00110D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69" w:rsidRDefault="00137769" w:rsidP="00110DAD">
      <w:pPr>
        <w:spacing w:after="0" w:line="240" w:lineRule="auto"/>
      </w:pPr>
      <w:r>
        <w:separator/>
      </w:r>
    </w:p>
  </w:endnote>
  <w:endnote w:type="continuationSeparator" w:id="0">
    <w:p w:rsidR="00137769" w:rsidRDefault="00137769" w:rsidP="0011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15" w:rsidRDefault="002B6D15">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137769">
      <w:rPr>
        <w:caps/>
        <w:noProof/>
        <w:color w:val="5B9BD5" w:themeColor="accent1"/>
      </w:rPr>
      <w:t>1</w:t>
    </w:r>
    <w:r>
      <w:rPr>
        <w:caps/>
        <w:color w:val="5B9BD5" w:themeColor="accent1"/>
      </w:rPr>
      <w:fldChar w:fldCharType="end"/>
    </w:r>
  </w:p>
  <w:p w:rsidR="002B6D15" w:rsidRDefault="002B6D1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69" w:rsidRDefault="00137769" w:rsidP="00110DAD">
      <w:pPr>
        <w:spacing w:after="0" w:line="240" w:lineRule="auto"/>
      </w:pPr>
      <w:r>
        <w:separator/>
      </w:r>
    </w:p>
  </w:footnote>
  <w:footnote w:type="continuationSeparator" w:id="0">
    <w:p w:rsidR="00137769" w:rsidRDefault="00137769" w:rsidP="0011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BB" w:rsidRDefault="00110DAD">
    <w:pPr>
      <w:pStyle w:val="En-tte1"/>
    </w:pPr>
    <w:r>
      <w:rPr>
        <w:noProof/>
        <w:lang w:eastAsia="fr-FR"/>
      </w:rPr>
      <w:drawing>
        <wp:anchor distT="0" distB="0" distL="114300" distR="114300" simplePos="0" relativeHeight="251663360" behindDoc="1" locked="0" layoutInCell="1" allowOverlap="1" wp14:anchorId="0A717957" wp14:editId="3E48BD65">
          <wp:simplePos x="0" y="0"/>
          <wp:positionH relativeFrom="margin">
            <wp:posOffset>-664845</wp:posOffset>
          </wp:positionH>
          <wp:positionV relativeFrom="margin">
            <wp:posOffset>-683895</wp:posOffset>
          </wp:positionV>
          <wp:extent cx="3175000" cy="481965"/>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9713" b="19570"/>
                  <a:stretch/>
                </pic:blipFill>
                <pic:spPr bwMode="auto">
                  <a:xfrm>
                    <a:off x="0" y="0"/>
                    <a:ext cx="3175000"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E97"/>
    <w:multiLevelType w:val="hybridMultilevel"/>
    <w:tmpl w:val="EDCA0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26504"/>
    <w:multiLevelType w:val="hybridMultilevel"/>
    <w:tmpl w:val="440621A2"/>
    <w:lvl w:ilvl="0" w:tplc="D3EE01F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F1F07"/>
    <w:multiLevelType w:val="hybridMultilevel"/>
    <w:tmpl w:val="F7307BE2"/>
    <w:lvl w:ilvl="0" w:tplc="9C283E7A">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AA2E3C"/>
    <w:multiLevelType w:val="hybridMultilevel"/>
    <w:tmpl w:val="8D5A21D2"/>
    <w:lvl w:ilvl="0" w:tplc="D3EE01F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01879"/>
    <w:multiLevelType w:val="hybridMultilevel"/>
    <w:tmpl w:val="507C3BFC"/>
    <w:lvl w:ilvl="0" w:tplc="538E062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F9E607B"/>
    <w:multiLevelType w:val="hybridMultilevel"/>
    <w:tmpl w:val="11DC656E"/>
    <w:lvl w:ilvl="0" w:tplc="E17CD6C6">
      <w:numFmt w:val="bullet"/>
      <w:lvlText w:val="-"/>
      <w:lvlJc w:val="left"/>
      <w:pPr>
        <w:ind w:left="2250" w:hanging="360"/>
      </w:pPr>
      <w:rPr>
        <w:rFonts w:ascii="Calibri" w:eastAsiaTheme="minorHAnsi" w:hAnsi="Calibri" w:cs="Calibri" w:hint="default"/>
      </w:rPr>
    </w:lvl>
    <w:lvl w:ilvl="1" w:tplc="040C0003" w:tentative="1">
      <w:start w:val="1"/>
      <w:numFmt w:val="bullet"/>
      <w:lvlText w:val="o"/>
      <w:lvlJc w:val="left"/>
      <w:pPr>
        <w:ind w:left="2970" w:hanging="360"/>
      </w:pPr>
      <w:rPr>
        <w:rFonts w:ascii="Courier New" w:hAnsi="Courier New" w:cs="Courier New" w:hint="default"/>
      </w:rPr>
    </w:lvl>
    <w:lvl w:ilvl="2" w:tplc="040C0005" w:tentative="1">
      <w:start w:val="1"/>
      <w:numFmt w:val="bullet"/>
      <w:lvlText w:val=""/>
      <w:lvlJc w:val="left"/>
      <w:pPr>
        <w:ind w:left="3690" w:hanging="360"/>
      </w:pPr>
      <w:rPr>
        <w:rFonts w:ascii="Wingdings" w:hAnsi="Wingdings" w:hint="default"/>
      </w:rPr>
    </w:lvl>
    <w:lvl w:ilvl="3" w:tplc="040C0001" w:tentative="1">
      <w:start w:val="1"/>
      <w:numFmt w:val="bullet"/>
      <w:lvlText w:val=""/>
      <w:lvlJc w:val="left"/>
      <w:pPr>
        <w:ind w:left="4410" w:hanging="360"/>
      </w:pPr>
      <w:rPr>
        <w:rFonts w:ascii="Symbol" w:hAnsi="Symbol" w:hint="default"/>
      </w:rPr>
    </w:lvl>
    <w:lvl w:ilvl="4" w:tplc="040C0003" w:tentative="1">
      <w:start w:val="1"/>
      <w:numFmt w:val="bullet"/>
      <w:lvlText w:val="o"/>
      <w:lvlJc w:val="left"/>
      <w:pPr>
        <w:ind w:left="5130" w:hanging="360"/>
      </w:pPr>
      <w:rPr>
        <w:rFonts w:ascii="Courier New" w:hAnsi="Courier New" w:cs="Courier New" w:hint="default"/>
      </w:rPr>
    </w:lvl>
    <w:lvl w:ilvl="5" w:tplc="040C0005" w:tentative="1">
      <w:start w:val="1"/>
      <w:numFmt w:val="bullet"/>
      <w:lvlText w:val=""/>
      <w:lvlJc w:val="left"/>
      <w:pPr>
        <w:ind w:left="5850" w:hanging="360"/>
      </w:pPr>
      <w:rPr>
        <w:rFonts w:ascii="Wingdings" w:hAnsi="Wingdings" w:hint="default"/>
      </w:rPr>
    </w:lvl>
    <w:lvl w:ilvl="6" w:tplc="040C0001" w:tentative="1">
      <w:start w:val="1"/>
      <w:numFmt w:val="bullet"/>
      <w:lvlText w:val=""/>
      <w:lvlJc w:val="left"/>
      <w:pPr>
        <w:ind w:left="6570" w:hanging="360"/>
      </w:pPr>
      <w:rPr>
        <w:rFonts w:ascii="Symbol" w:hAnsi="Symbol" w:hint="default"/>
      </w:rPr>
    </w:lvl>
    <w:lvl w:ilvl="7" w:tplc="040C0003" w:tentative="1">
      <w:start w:val="1"/>
      <w:numFmt w:val="bullet"/>
      <w:lvlText w:val="o"/>
      <w:lvlJc w:val="left"/>
      <w:pPr>
        <w:ind w:left="7290" w:hanging="360"/>
      </w:pPr>
      <w:rPr>
        <w:rFonts w:ascii="Courier New" w:hAnsi="Courier New" w:cs="Courier New" w:hint="default"/>
      </w:rPr>
    </w:lvl>
    <w:lvl w:ilvl="8" w:tplc="040C0005" w:tentative="1">
      <w:start w:val="1"/>
      <w:numFmt w:val="bullet"/>
      <w:lvlText w:val=""/>
      <w:lvlJc w:val="left"/>
      <w:pPr>
        <w:ind w:left="8010" w:hanging="360"/>
      </w:pPr>
      <w:rPr>
        <w:rFonts w:ascii="Wingdings" w:hAnsi="Wingdings" w:hint="default"/>
      </w:rPr>
    </w:lvl>
  </w:abstractNum>
  <w:abstractNum w:abstractNumId="6" w15:restartNumberingAfterBreak="0">
    <w:nsid w:val="13D346D3"/>
    <w:multiLevelType w:val="multilevel"/>
    <w:tmpl w:val="922E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270C5"/>
    <w:multiLevelType w:val="hybridMultilevel"/>
    <w:tmpl w:val="0FD6CE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73E2C94"/>
    <w:multiLevelType w:val="hybridMultilevel"/>
    <w:tmpl w:val="B12A3318"/>
    <w:lvl w:ilvl="0" w:tplc="D3EE01F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EC0DB9"/>
    <w:multiLevelType w:val="hybridMultilevel"/>
    <w:tmpl w:val="672EF092"/>
    <w:lvl w:ilvl="0" w:tplc="9C283E7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990BDA"/>
    <w:multiLevelType w:val="hybridMultilevel"/>
    <w:tmpl w:val="36FE3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885B7E"/>
    <w:multiLevelType w:val="hybridMultilevel"/>
    <w:tmpl w:val="51C2D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1F550B"/>
    <w:multiLevelType w:val="hybridMultilevel"/>
    <w:tmpl w:val="3EE2F840"/>
    <w:lvl w:ilvl="0" w:tplc="D03879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7BA623A"/>
    <w:multiLevelType w:val="hybridMultilevel"/>
    <w:tmpl w:val="98D47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C06278"/>
    <w:multiLevelType w:val="hybridMultilevel"/>
    <w:tmpl w:val="CBB2EC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6C5E35"/>
    <w:multiLevelType w:val="hybridMultilevel"/>
    <w:tmpl w:val="A99069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37BFA"/>
    <w:multiLevelType w:val="hybridMultilevel"/>
    <w:tmpl w:val="DEE81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94109A"/>
    <w:multiLevelType w:val="hybridMultilevel"/>
    <w:tmpl w:val="039AA99E"/>
    <w:lvl w:ilvl="0" w:tplc="BE2AF6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550FD6"/>
    <w:multiLevelType w:val="hybridMultilevel"/>
    <w:tmpl w:val="7954106C"/>
    <w:lvl w:ilvl="0" w:tplc="862CCCFC">
      <w:start w:val="1"/>
      <w:numFmt w:val="bullet"/>
      <w:lvlText w:val=""/>
      <w:lvlJc w:val="left"/>
      <w:pPr>
        <w:ind w:left="720" w:hanging="360"/>
      </w:pPr>
      <w:rPr>
        <w:rFonts w:ascii="Symbol" w:hAnsi="Symbol" w:hint="default"/>
        <w:color w:val="1A29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36805"/>
    <w:multiLevelType w:val="hybridMultilevel"/>
    <w:tmpl w:val="C29C7BB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8"/>
  </w:num>
  <w:num w:numId="4">
    <w:abstractNumId w:val="7"/>
  </w:num>
  <w:num w:numId="5">
    <w:abstractNumId w:val="3"/>
  </w:num>
  <w:num w:numId="6">
    <w:abstractNumId w:val="13"/>
  </w:num>
  <w:num w:numId="7">
    <w:abstractNumId w:val="8"/>
  </w:num>
  <w:num w:numId="8">
    <w:abstractNumId w:val="1"/>
  </w:num>
  <w:num w:numId="9">
    <w:abstractNumId w:val="16"/>
  </w:num>
  <w:num w:numId="10">
    <w:abstractNumId w:val="15"/>
  </w:num>
  <w:num w:numId="11">
    <w:abstractNumId w:val="11"/>
  </w:num>
  <w:num w:numId="12">
    <w:abstractNumId w:val="0"/>
  </w:num>
  <w:num w:numId="13">
    <w:abstractNumId w:val="4"/>
  </w:num>
  <w:num w:numId="14">
    <w:abstractNumId w:val="6"/>
  </w:num>
  <w:num w:numId="15">
    <w:abstractNumId w:val="19"/>
  </w:num>
  <w:num w:numId="16">
    <w:abstractNumId w:val="2"/>
  </w:num>
  <w:num w:numId="17">
    <w:abstractNumId w:val="10"/>
  </w:num>
  <w:num w:numId="18">
    <w:abstractNumId w:val="1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AD"/>
    <w:rsid w:val="000B1673"/>
    <w:rsid w:val="000E116D"/>
    <w:rsid w:val="00110DAD"/>
    <w:rsid w:val="00137769"/>
    <w:rsid w:val="001F0036"/>
    <w:rsid w:val="00274629"/>
    <w:rsid w:val="00274F14"/>
    <w:rsid w:val="002A5034"/>
    <w:rsid w:val="002B6D15"/>
    <w:rsid w:val="002F7D60"/>
    <w:rsid w:val="00443887"/>
    <w:rsid w:val="005275D3"/>
    <w:rsid w:val="00552EEA"/>
    <w:rsid w:val="006950FB"/>
    <w:rsid w:val="006B5AD6"/>
    <w:rsid w:val="0077426A"/>
    <w:rsid w:val="008038F4"/>
    <w:rsid w:val="00976AA4"/>
    <w:rsid w:val="009E1151"/>
    <w:rsid w:val="00AF7A76"/>
    <w:rsid w:val="00B23280"/>
    <w:rsid w:val="00D10876"/>
    <w:rsid w:val="00DA0624"/>
    <w:rsid w:val="00ED50B1"/>
    <w:rsid w:val="00F0082A"/>
    <w:rsid w:val="00FC20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3F234"/>
  <w15:chartTrackingRefBased/>
  <w15:docId w15:val="{481E3AFE-C5C2-445F-95F4-36ABF2C3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110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1">
    <w:name w:val="En-tête1"/>
    <w:basedOn w:val="Normal"/>
    <w:next w:val="En-tte"/>
    <w:link w:val="En-tteCar"/>
    <w:uiPriority w:val="99"/>
    <w:unhideWhenUsed/>
    <w:rsid w:val="00110DAD"/>
    <w:pPr>
      <w:tabs>
        <w:tab w:val="center" w:pos="4536"/>
        <w:tab w:val="right" w:pos="9072"/>
      </w:tabs>
      <w:spacing w:after="0" w:line="240" w:lineRule="auto"/>
    </w:pPr>
  </w:style>
  <w:style w:type="character" w:customStyle="1" w:styleId="En-tteCar">
    <w:name w:val="En-tête Car"/>
    <w:basedOn w:val="Policepardfaut"/>
    <w:link w:val="En-tte1"/>
    <w:uiPriority w:val="99"/>
    <w:rsid w:val="00110DAD"/>
  </w:style>
  <w:style w:type="paragraph" w:customStyle="1" w:styleId="Pieddepage1">
    <w:name w:val="Pied de page1"/>
    <w:basedOn w:val="Normal"/>
    <w:next w:val="Pieddepage"/>
    <w:link w:val="PieddepageCar"/>
    <w:uiPriority w:val="99"/>
    <w:unhideWhenUsed/>
    <w:rsid w:val="00110DAD"/>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110DAD"/>
  </w:style>
  <w:style w:type="paragraph" w:customStyle="1" w:styleId="Notedebasdepage1">
    <w:name w:val="Note de bas de page1"/>
    <w:basedOn w:val="Normal"/>
    <w:next w:val="Notedebasdepage"/>
    <w:link w:val="NotedebasdepageCar"/>
    <w:uiPriority w:val="99"/>
    <w:semiHidden/>
    <w:unhideWhenUsed/>
    <w:rsid w:val="00110DAD"/>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110DAD"/>
    <w:rPr>
      <w:sz w:val="20"/>
      <w:szCs w:val="20"/>
    </w:rPr>
  </w:style>
  <w:style w:type="character" w:styleId="Appelnotedebasdep">
    <w:name w:val="footnote reference"/>
    <w:basedOn w:val="Policepardfaut"/>
    <w:uiPriority w:val="99"/>
    <w:semiHidden/>
    <w:unhideWhenUsed/>
    <w:rsid w:val="00110DAD"/>
    <w:rPr>
      <w:vertAlign w:val="superscript"/>
    </w:rPr>
  </w:style>
  <w:style w:type="table" w:styleId="Grilledutableau">
    <w:name w:val="Table Grid"/>
    <w:basedOn w:val="TableauNormal"/>
    <w:uiPriority w:val="39"/>
    <w:rsid w:val="00110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1"/>
    <w:uiPriority w:val="99"/>
    <w:unhideWhenUsed/>
    <w:rsid w:val="00110DAD"/>
    <w:pPr>
      <w:tabs>
        <w:tab w:val="center" w:pos="4536"/>
        <w:tab w:val="right" w:pos="9072"/>
      </w:tabs>
      <w:spacing w:after="0" w:line="240" w:lineRule="auto"/>
    </w:pPr>
  </w:style>
  <w:style w:type="character" w:customStyle="1" w:styleId="En-tteCar1">
    <w:name w:val="En-tête Car1"/>
    <w:basedOn w:val="Policepardfaut"/>
    <w:link w:val="En-tte"/>
    <w:uiPriority w:val="99"/>
    <w:rsid w:val="00110DAD"/>
  </w:style>
  <w:style w:type="paragraph" w:styleId="Pieddepage">
    <w:name w:val="footer"/>
    <w:basedOn w:val="Normal"/>
    <w:link w:val="PieddepageCar1"/>
    <w:uiPriority w:val="99"/>
    <w:unhideWhenUsed/>
    <w:rsid w:val="00110DAD"/>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110DAD"/>
  </w:style>
  <w:style w:type="paragraph" w:styleId="Notedebasdepage">
    <w:name w:val="footnote text"/>
    <w:basedOn w:val="Normal"/>
    <w:link w:val="NotedebasdepageCar1"/>
    <w:uiPriority w:val="99"/>
    <w:semiHidden/>
    <w:unhideWhenUsed/>
    <w:rsid w:val="00110DAD"/>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110DAD"/>
    <w:rPr>
      <w:sz w:val="20"/>
      <w:szCs w:val="20"/>
    </w:rPr>
  </w:style>
  <w:style w:type="paragraph" w:styleId="NormalWeb">
    <w:name w:val="Normal (Web)"/>
    <w:basedOn w:val="Normal"/>
    <w:uiPriority w:val="99"/>
    <w:semiHidden/>
    <w:unhideWhenUsed/>
    <w:rsid w:val="00110D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0DAD"/>
    <w:rPr>
      <w:b/>
      <w:bCs/>
    </w:rPr>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110DAD"/>
    <w:pPr>
      <w:spacing w:after="240" w:line="240" w:lineRule="auto"/>
      <w:ind w:left="720"/>
      <w:contextualSpacing/>
    </w:pPr>
    <w:rPr>
      <w:rFonts w:ascii="Arial" w:hAnsi="Arial"/>
    </w:r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110DAD"/>
    <w:rPr>
      <w:rFonts w:ascii="Arial" w:hAnsi="Arial"/>
    </w:rPr>
  </w:style>
  <w:style w:type="paragraph" w:styleId="Sansinterligne">
    <w:name w:val="No Spacing"/>
    <w:uiPriority w:val="1"/>
    <w:qFormat/>
    <w:rsid w:val="00274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1659</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Artemise Suz PEMBELE</dc:creator>
  <cp:keywords/>
  <dc:description/>
  <cp:lastModifiedBy>Ahmed Zied BENNOUR</cp:lastModifiedBy>
  <cp:revision>3</cp:revision>
  <cp:lastPrinted>2025-11-24T09:52:00Z</cp:lastPrinted>
  <dcterms:created xsi:type="dcterms:W3CDTF">2025-11-24T11:00:00Z</dcterms:created>
  <dcterms:modified xsi:type="dcterms:W3CDTF">2025-11-24T15:11:00Z</dcterms:modified>
</cp:coreProperties>
</file>