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E0" w:rsidRPr="00110DAD" w:rsidRDefault="00C32FE0" w:rsidP="00C32FE0">
      <w:pPr>
        <w:spacing w:after="120" w:line="240" w:lineRule="auto"/>
        <w:jc w:val="both"/>
        <w:rPr>
          <w:rFonts w:eastAsia="Times New Roman" w:cstheme="minorHAnsi"/>
          <w:lang w:val="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32FE0" w:rsidRPr="00110DAD" w:rsidTr="001B5A95">
        <w:tc>
          <w:tcPr>
            <w:tcW w:w="9062" w:type="dxa"/>
          </w:tcPr>
          <w:p w:rsidR="00C32FE0" w:rsidRPr="00110DAD" w:rsidRDefault="00C32FE0" w:rsidP="001B5A95">
            <w:pPr>
              <w:jc w:val="both"/>
              <w:rPr>
                <w:rFonts w:eastAsia="Times New Roman" w:cstheme="minorHAnsi"/>
                <w:b/>
                <w:color w:val="1A3133"/>
                <w:lang w:val="fr"/>
              </w:rPr>
            </w:pPr>
          </w:p>
          <w:p w:rsidR="00C32FE0" w:rsidRPr="00110DAD" w:rsidRDefault="00C32FE0" w:rsidP="001B5A95">
            <w:pPr>
              <w:jc w:val="center"/>
              <w:rPr>
                <w:rFonts w:eastAsia="Times New Roman" w:cstheme="minorHAnsi"/>
                <w:b/>
                <w:color w:val="1A3133"/>
                <w:sz w:val="28"/>
                <w:lang w:val="fr"/>
              </w:rPr>
            </w:pPr>
            <w:r w:rsidRPr="00110DAD">
              <w:rPr>
                <w:rFonts w:eastAsia="Times New Roman" w:cstheme="minorHAnsi"/>
                <w:b/>
                <w:color w:val="1A3133"/>
                <w:sz w:val="28"/>
                <w:lang w:val="fr"/>
              </w:rPr>
              <w:t>Termes de référence</w:t>
            </w:r>
          </w:p>
          <w:p w:rsidR="00C32FE0" w:rsidRPr="00110DAD" w:rsidRDefault="00C32FE0" w:rsidP="001B5A95">
            <w:pPr>
              <w:jc w:val="both"/>
              <w:rPr>
                <w:rFonts w:eastAsia="Times New Roman" w:cstheme="minorHAnsi"/>
                <w:b/>
                <w:color w:val="FFCC00"/>
                <w:lang w:val="fr"/>
              </w:rPr>
            </w:pPr>
          </w:p>
          <w:tbl>
            <w:tblPr>
              <w:tblStyle w:val="Grilledutableau1"/>
              <w:tblW w:w="9383" w:type="dxa"/>
              <w:tblLook w:val="04A0" w:firstRow="1" w:lastRow="0" w:firstColumn="1" w:lastColumn="0" w:noHBand="0" w:noVBand="1"/>
            </w:tblPr>
            <w:tblGrid>
              <w:gridCol w:w="3004"/>
              <w:gridCol w:w="6379"/>
            </w:tblGrid>
            <w:tr w:rsidR="00C32FE0" w:rsidRPr="00110DAD" w:rsidTr="00102CFA">
              <w:tc>
                <w:tcPr>
                  <w:tcW w:w="3004" w:type="dxa"/>
                  <w:shd w:val="clear" w:color="auto" w:fill="9CC2E5" w:themeFill="accent1" w:themeFillTint="99"/>
                </w:tcPr>
                <w:p w:rsidR="00C32FE0" w:rsidRPr="00110DAD" w:rsidRDefault="00C32FE0" w:rsidP="001B5A95">
                  <w:pPr>
                    <w:jc w:val="center"/>
                    <w:rPr>
                      <w:rFonts w:eastAsia="Times New Roman" w:cstheme="minorHAnsi"/>
                      <w:b/>
                      <w:color w:val="FFCC00"/>
                      <w:lang w:val="fr"/>
                    </w:rPr>
                  </w:pPr>
                  <w:r>
                    <w:rPr>
                      <w:rFonts w:eastAsia="Times New Roman" w:cstheme="minorHAnsi"/>
                      <w:b/>
                      <w:color w:val="1A3133"/>
                      <w:lang w:val="fr"/>
                    </w:rPr>
                    <w:t>Intitulé de la mission </w:t>
                  </w:r>
                </w:p>
              </w:tc>
              <w:tc>
                <w:tcPr>
                  <w:tcW w:w="6379" w:type="dxa"/>
                </w:tcPr>
                <w:p w:rsidR="00C32FE0" w:rsidRPr="00110DAD" w:rsidRDefault="00C32FE0" w:rsidP="00C32FE0">
                  <w:pPr>
                    <w:jc w:val="both"/>
                    <w:rPr>
                      <w:rFonts w:eastAsia="Times New Roman" w:cstheme="minorHAnsi"/>
                      <w:color w:val="1A3133"/>
                      <w:lang w:val="fr"/>
                    </w:rPr>
                  </w:pPr>
                  <w:bookmarkStart w:id="0" w:name="_GoBack"/>
                  <w:r w:rsidRPr="00110DAD">
                    <w:rPr>
                      <w:rFonts w:eastAsia="Times New Roman" w:cstheme="minorHAnsi"/>
                      <w:color w:val="1A3133"/>
                      <w:lang w:val="fr"/>
                    </w:rPr>
                    <w:t xml:space="preserve">Expertise </w:t>
                  </w:r>
                  <w:r>
                    <w:rPr>
                      <w:rFonts w:eastAsia="Times New Roman" w:cstheme="minorHAnsi"/>
                      <w:color w:val="1A3133"/>
                      <w:lang w:val="fr"/>
                    </w:rPr>
                    <w:t xml:space="preserve">gestion environnementale et sociale </w:t>
                  </w:r>
                  <w:bookmarkEnd w:id="0"/>
                </w:p>
              </w:tc>
            </w:tr>
            <w:tr w:rsidR="00C32FE0" w:rsidRPr="00110DAD" w:rsidTr="00102CFA">
              <w:tc>
                <w:tcPr>
                  <w:tcW w:w="3004" w:type="dxa"/>
                  <w:shd w:val="clear" w:color="auto" w:fill="9CC2E5" w:themeFill="accent1" w:themeFillTint="99"/>
                </w:tcPr>
                <w:p w:rsidR="00C32FE0" w:rsidRPr="00110DAD" w:rsidRDefault="00C32FE0" w:rsidP="001B5A95">
                  <w:pPr>
                    <w:jc w:val="center"/>
                    <w:rPr>
                      <w:rFonts w:eastAsia="Times New Roman" w:cstheme="minorHAnsi"/>
                      <w:b/>
                      <w:color w:val="1A3133"/>
                      <w:lang w:val="fr"/>
                    </w:rPr>
                  </w:pPr>
                  <w:r w:rsidRPr="00274F14">
                    <w:rPr>
                      <w:rFonts w:eastAsia="Times New Roman" w:cstheme="minorHAnsi"/>
                      <w:b/>
                      <w:color w:val="1A3133"/>
                      <w:lang w:val="fr"/>
                    </w:rPr>
                    <w:t>Période de mise en œuvre</w:t>
                  </w:r>
                </w:p>
              </w:tc>
              <w:tc>
                <w:tcPr>
                  <w:tcW w:w="6379" w:type="dxa"/>
                </w:tcPr>
                <w:p w:rsidR="00C32FE0" w:rsidRPr="00110DAD" w:rsidRDefault="00C32FE0" w:rsidP="00C32FE0">
                  <w:pPr>
                    <w:jc w:val="both"/>
                    <w:rPr>
                      <w:rFonts w:eastAsia="Times New Roman" w:cstheme="minorHAnsi"/>
                      <w:color w:val="1A3133"/>
                      <w:lang w:val="fr"/>
                    </w:rPr>
                  </w:pPr>
                  <w:r w:rsidRPr="00110DAD">
                    <w:rPr>
                      <w:rFonts w:eastAsia="Times New Roman" w:cstheme="minorHAnsi"/>
                      <w:color w:val="1A3133"/>
                      <w:lang w:val="fr"/>
                    </w:rPr>
                    <w:t xml:space="preserve">Janvier </w:t>
                  </w:r>
                  <w:r w:rsidR="00496C78">
                    <w:rPr>
                      <w:rFonts w:eastAsia="Times New Roman" w:cstheme="minorHAnsi"/>
                      <w:color w:val="1A3133"/>
                      <w:lang w:val="fr"/>
                    </w:rPr>
                    <w:t xml:space="preserve"> </w:t>
                  </w:r>
                  <w:r w:rsidRPr="00110DAD">
                    <w:rPr>
                      <w:rFonts w:eastAsia="Times New Roman" w:cstheme="minorHAnsi"/>
                      <w:color w:val="1A3133"/>
                      <w:lang w:val="fr"/>
                    </w:rPr>
                    <w:t>à</w:t>
                  </w:r>
                  <w:r>
                    <w:rPr>
                      <w:rFonts w:eastAsia="Times New Roman" w:cstheme="minorHAnsi"/>
                      <w:color w:val="1A3133"/>
                      <w:lang w:val="fr"/>
                    </w:rPr>
                    <w:t xml:space="preserve"> juin 2026 (6 mois</w:t>
                  </w:r>
                  <w:r w:rsidR="00102CFA">
                    <w:rPr>
                      <w:rFonts w:eastAsia="Times New Roman" w:cstheme="minorHAnsi"/>
                      <w:color w:val="1A3133"/>
                      <w:lang w:val="fr"/>
                    </w:rPr>
                    <w:t xml:space="preserve"> maximum</w:t>
                  </w:r>
                  <w:r>
                    <w:rPr>
                      <w:rFonts w:eastAsia="Times New Roman" w:cstheme="minorHAnsi"/>
                      <w:color w:val="1A3133"/>
                      <w:lang w:val="fr"/>
                    </w:rPr>
                    <w:t>)</w:t>
                  </w:r>
                </w:p>
              </w:tc>
            </w:tr>
            <w:tr w:rsidR="00C32FE0" w:rsidRPr="00110DAD" w:rsidTr="00102CFA">
              <w:tc>
                <w:tcPr>
                  <w:tcW w:w="3004" w:type="dxa"/>
                  <w:shd w:val="clear" w:color="auto" w:fill="9CC2E5" w:themeFill="accent1" w:themeFillTint="99"/>
                </w:tcPr>
                <w:p w:rsidR="00C32FE0" w:rsidRPr="00110DAD" w:rsidRDefault="00C32FE0" w:rsidP="001B5A95">
                  <w:pPr>
                    <w:jc w:val="center"/>
                    <w:rPr>
                      <w:rFonts w:eastAsia="Times New Roman" w:cstheme="minorHAnsi"/>
                      <w:b/>
                      <w:color w:val="1A3133"/>
                      <w:lang w:val="fr"/>
                    </w:rPr>
                  </w:pPr>
                  <w:r>
                    <w:rPr>
                      <w:rFonts w:eastAsia="Times New Roman" w:cstheme="minorHAnsi"/>
                      <w:b/>
                      <w:color w:val="1A3133"/>
                      <w:lang w:val="fr"/>
                    </w:rPr>
                    <w:t>Nombre de jours indicatif </w:t>
                  </w:r>
                </w:p>
              </w:tc>
              <w:tc>
                <w:tcPr>
                  <w:tcW w:w="6379" w:type="dxa"/>
                </w:tcPr>
                <w:p w:rsidR="00C32FE0" w:rsidRPr="00110DAD" w:rsidRDefault="00102CFA" w:rsidP="00102CFA">
                  <w:pPr>
                    <w:jc w:val="both"/>
                    <w:rPr>
                      <w:rFonts w:eastAsia="Times New Roman" w:cstheme="minorHAnsi"/>
                      <w:color w:val="1A3133"/>
                      <w:lang w:val="fr"/>
                    </w:rPr>
                  </w:pPr>
                  <w:r>
                    <w:rPr>
                      <w:rFonts w:eastAsia="Times New Roman" w:cstheme="minorHAnsi"/>
                      <w:color w:val="1A3133"/>
                      <w:lang w:val="fr"/>
                    </w:rPr>
                    <w:t>15</w:t>
                  </w:r>
                  <w:r w:rsidR="00C32FE0">
                    <w:rPr>
                      <w:rFonts w:eastAsia="Times New Roman" w:cstheme="minorHAnsi"/>
                      <w:color w:val="1A3133"/>
                      <w:lang w:val="fr"/>
                    </w:rPr>
                    <w:t xml:space="preserve"> </w:t>
                  </w:r>
                  <w:r w:rsidR="00C32FE0" w:rsidRPr="00110DAD">
                    <w:rPr>
                      <w:rFonts w:eastAsia="Times New Roman" w:cstheme="minorHAnsi"/>
                      <w:color w:val="1A3133"/>
                      <w:lang w:val="fr"/>
                    </w:rPr>
                    <w:t xml:space="preserve">jours </w:t>
                  </w:r>
                  <w:r w:rsidR="00C32FE0">
                    <w:rPr>
                      <w:rFonts w:eastAsia="Times New Roman" w:cstheme="minorHAnsi"/>
                      <w:color w:val="1A3133"/>
                      <w:lang w:val="fr"/>
                    </w:rPr>
                    <w:t xml:space="preserve">sur </w:t>
                  </w:r>
                  <w:r>
                    <w:rPr>
                      <w:rFonts w:eastAsia="Times New Roman" w:cstheme="minorHAnsi"/>
                      <w:color w:val="1A3133"/>
                      <w:lang w:val="fr"/>
                    </w:rPr>
                    <w:t>6 mois maximum</w:t>
                  </w:r>
                </w:p>
              </w:tc>
            </w:tr>
            <w:tr w:rsidR="00102CFA" w:rsidRPr="00110DAD" w:rsidTr="00102CFA">
              <w:tc>
                <w:tcPr>
                  <w:tcW w:w="3004" w:type="dxa"/>
                  <w:shd w:val="clear" w:color="auto" w:fill="9CC2E5" w:themeFill="accent1" w:themeFillTint="99"/>
                  <w:vAlign w:val="center"/>
                </w:tcPr>
                <w:p w:rsidR="00102CFA" w:rsidRDefault="00102CFA" w:rsidP="00102CFA">
                  <w:pPr>
                    <w:jc w:val="center"/>
                    <w:rPr>
                      <w:rFonts w:eastAsia="Times New Roman" w:cstheme="minorHAnsi"/>
                      <w:b/>
                      <w:color w:val="1A3133"/>
                      <w:lang w:val="fr"/>
                    </w:rPr>
                  </w:pPr>
                  <w:r>
                    <w:rPr>
                      <w:rFonts w:eastAsia="Times New Roman" w:cstheme="minorHAnsi"/>
                      <w:b/>
                      <w:color w:val="1A3133"/>
                      <w:lang w:val="fr"/>
                    </w:rPr>
                    <w:t>Type de contrat</w:t>
                  </w:r>
                </w:p>
              </w:tc>
              <w:tc>
                <w:tcPr>
                  <w:tcW w:w="6379" w:type="dxa"/>
                </w:tcPr>
                <w:p w:rsidR="00102CFA" w:rsidRPr="00110DAD" w:rsidRDefault="00102CFA" w:rsidP="00102CFA">
                  <w:pPr>
                    <w:jc w:val="both"/>
                    <w:rPr>
                      <w:rFonts w:eastAsia="Times New Roman" w:cstheme="minorHAnsi"/>
                      <w:color w:val="1A3133"/>
                      <w:lang w:val="fr"/>
                    </w:rPr>
                  </w:pPr>
                  <w:r>
                    <w:rPr>
                      <w:rFonts w:eastAsia="Times New Roman" w:cstheme="minorHAnsi"/>
                      <w:color w:val="1A3133"/>
                      <w:lang w:val="fr"/>
                    </w:rPr>
                    <w:t xml:space="preserve">Contrat de prestation de services </w:t>
                  </w:r>
                </w:p>
              </w:tc>
            </w:tr>
          </w:tbl>
          <w:p w:rsidR="00C32FE0" w:rsidRPr="00110DAD" w:rsidRDefault="00C32FE0" w:rsidP="001B5A95">
            <w:pPr>
              <w:jc w:val="both"/>
              <w:rPr>
                <w:rFonts w:eastAsia="Times New Roman" w:cstheme="minorHAnsi"/>
                <w:b/>
                <w:color w:val="FFCC00"/>
                <w:lang w:val="fr"/>
              </w:rPr>
            </w:pPr>
          </w:p>
          <w:p w:rsidR="00C32FE0" w:rsidRPr="00110DAD" w:rsidRDefault="00C32FE0" w:rsidP="001B5A95">
            <w:pPr>
              <w:jc w:val="both"/>
              <w:rPr>
                <w:rFonts w:eastAsia="Times New Roman" w:cstheme="minorHAnsi"/>
                <w:b/>
                <w:color w:val="1A3133"/>
                <w:lang w:val="fr"/>
              </w:rPr>
            </w:pPr>
          </w:p>
          <w:p w:rsidR="00C32FE0" w:rsidRPr="00110DAD" w:rsidRDefault="00C32FE0" w:rsidP="00C32FE0">
            <w:pPr>
              <w:numPr>
                <w:ilvl w:val="0"/>
                <w:numId w:val="1"/>
              </w:numPr>
              <w:contextualSpacing/>
              <w:jc w:val="both"/>
              <w:rPr>
                <w:rFonts w:eastAsia="Times New Roman" w:cstheme="minorHAnsi"/>
                <w:b/>
                <w:color w:val="1A3133"/>
                <w:lang w:val="fr"/>
              </w:rPr>
            </w:pPr>
            <w:r w:rsidRPr="00110DAD">
              <w:rPr>
                <w:rFonts w:eastAsia="Times New Roman" w:cstheme="minorHAnsi"/>
                <w:b/>
                <w:color w:val="1A3133"/>
                <w:lang w:val="fr"/>
              </w:rPr>
              <w:t>Contexte général</w:t>
            </w:r>
          </w:p>
        </w:tc>
      </w:tr>
    </w:tbl>
    <w:p w:rsidR="00C32FE0" w:rsidRPr="00110DAD" w:rsidRDefault="00C32FE0" w:rsidP="00C32FE0">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Depuis plus d’une décennie, la Tunisie a connu un développement remarquable de son écosystème entrepreneurial, porté par l’engagement d’acteurs publics, privés et de la société civile. Cette dynamique a conduit à l’adoption du Startup Act en 2018, positionnant le pays comme l’un des écosystèmes les plus innovants de la région. La coopération franco-tunisienne, et particulièrement l’AFD et Expertise France, a contribué de manière déterminante à structurer et consolider cet environnement à travers plusieurs projets majeurs : EnLien, FAST, MEET Africa 2, ainsi que les projets européens Innov’i et Greenov’i. Plus de 3000 entrepreneurs ont ainsi été accompagnés et plus d’une trentaine de structures renforcées.</w:t>
      </w:r>
    </w:p>
    <w:p w:rsidR="00C32FE0" w:rsidRPr="00110DAD" w:rsidRDefault="00C32FE0" w:rsidP="00C32FE0">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 xml:space="preserve">Le projet « Entrepreneuriat et Migration » (5 millions d’Euros sur financement </w:t>
      </w:r>
      <w:r>
        <w:rPr>
          <w:rFonts w:eastAsia="Times New Roman" w:cstheme="minorHAnsi"/>
          <w:lang w:eastAsia="fr-FR"/>
        </w:rPr>
        <w:t>de l’A</w:t>
      </w:r>
      <w:r w:rsidRPr="00110DAD">
        <w:rPr>
          <w:rFonts w:eastAsia="Times New Roman" w:cstheme="minorHAnsi"/>
          <w:lang w:eastAsia="fr-FR"/>
        </w:rPr>
        <w:t>gence Française de Développement) s’inscrit pleinement dans cette continuité. Il vise à amplifier les acquis et à renforcer l’inclusion économique, en mettant l’accent sur les jeunes, les femmes, les migrants de retour et les territoires à fort potentiel. Il capitalise sur des initiatives structurantes telles que les centres ELIFE, The Dot, ou encore les dispositifs d’appui à la diaspora.</w:t>
      </w:r>
    </w:p>
    <w:p w:rsidR="00C32FE0" w:rsidRPr="00110DAD" w:rsidRDefault="00C32FE0" w:rsidP="00C32FE0">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 xml:space="preserve">L’objectif général du projet est de favoriser une croissance économique inclusive et durable, en mobilisant l’entrepreneuriat comme levier de développement. Il s’appuie sur </w:t>
      </w:r>
      <w:r>
        <w:rPr>
          <w:rFonts w:eastAsia="Times New Roman" w:cstheme="minorHAnsi"/>
          <w:lang w:eastAsia="fr-FR"/>
        </w:rPr>
        <w:t>composantes</w:t>
      </w:r>
      <w:r w:rsidRPr="00110DAD">
        <w:rPr>
          <w:rFonts w:eastAsia="Times New Roman" w:cstheme="minorHAnsi"/>
          <w:lang w:eastAsia="fr-FR"/>
        </w:rPr>
        <w:t xml:space="preserve"> complémentaires :</w:t>
      </w:r>
    </w:p>
    <w:p w:rsidR="00C32FE0" w:rsidRPr="0036084C" w:rsidRDefault="00C32FE0" w:rsidP="00C32FE0">
      <w:pPr>
        <w:pStyle w:val="Paragraphedeliste"/>
        <w:numPr>
          <w:ilvl w:val="0"/>
          <w:numId w:val="4"/>
        </w:numPr>
        <w:spacing w:line="276" w:lineRule="auto"/>
        <w:jc w:val="both"/>
        <w:rPr>
          <w:rFonts w:asciiTheme="minorHAnsi" w:hAnsiTheme="minorHAnsi" w:cstheme="minorHAnsi"/>
        </w:rPr>
      </w:pPr>
      <w:r w:rsidRPr="0036084C">
        <w:rPr>
          <w:rFonts w:asciiTheme="minorHAnsi" w:hAnsiTheme="minorHAnsi" w:cstheme="minorHAnsi"/>
          <w:b/>
        </w:rPr>
        <w:t>Composante 1 :</w:t>
      </w:r>
      <w:r w:rsidRPr="0036084C">
        <w:rPr>
          <w:rFonts w:asciiTheme="minorHAnsi" w:hAnsiTheme="minorHAnsi" w:cstheme="minorHAnsi"/>
        </w:rPr>
        <w:t xml:space="preserve"> accompagnement renforcé à l’entrepreneuriat en région via les centres ELIFE Cette composante vise à soutenir les dynamiques entrepreneuriales dans les régions les plus vulnérables, en particulier auprès des jeunes potentiellement tentés par l’émigration et des migrants de retour. </w:t>
      </w:r>
    </w:p>
    <w:p w:rsidR="00C32FE0" w:rsidRPr="0036084C" w:rsidRDefault="00C32FE0" w:rsidP="00C32FE0">
      <w:pPr>
        <w:pStyle w:val="Paragraphedeliste"/>
        <w:numPr>
          <w:ilvl w:val="0"/>
          <w:numId w:val="4"/>
        </w:numPr>
        <w:spacing w:line="276" w:lineRule="auto"/>
        <w:jc w:val="both"/>
        <w:rPr>
          <w:rFonts w:asciiTheme="minorHAnsi" w:hAnsiTheme="minorHAnsi" w:cstheme="minorHAnsi"/>
        </w:rPr>
      </w:pPr>
      <w:r w:rsidRPr="0036084C">
        <w:rPr>
          <w:rFonts w:asciiTheme="minorHAnsi" w:hAnsiTheme="minorHAnsi" w:cstheme="minorHAnsi"/>
          <w:b/>
        </w:rPr>
        <w:t>Composante 2 :</w:t>
      </w:r>
      <w:r w:rsidRPr="0036084C">
        <w:rPr>
          <w:rFonts w:asciiTheme="minorHAnsi" w:hAnsiTheme="minorHAnsi" w:cstheme="minorHAnsi"/>
        </w:rPr>
        <w:t xml:space="preserve"> mécanismes d’accompagnement innovants pour les TPE/PME et mobilisation de la diaspora économique à travers un guichet de subvention et structuration </w:t>
      </w:r>
    </w:p>
    <w:p w:rsidR="00C32FE0" w:rsidRPr="000F2D45" w:rsidRDefault="00C32FE0" w:rsidP="00C32FE0">
      <w:pPr>
        <w:pStyle w:val="Paragraphedeliste"/>
        <w:numPr>
          <w:ilvl w:val="0"/>
          <w:numId w:val="4"/>
        </w:numPr>
        <w:spacing w:line="276" w:lineRule="auto"/>
        <w:jc w:val="both"/>
        <w:rPr>
          <w:rFonts w:asciiTheme="minorHAnsi" w:hAnsiTheme="minorHAnsi" w:cstheme="minorHAnsi"/>
        </w:rPr>
      </w:pPr>
      <w:r w:rsidRPr="0036084C">
        <w:rPr>
          <w:rFonts w:asciiTheme="minorHAnsi" w:hAnsiTheme="minorHAnsi" w:cstheme="minorHAnsi"/>
          <w:b/>
        </w:rPr>
        <w:t>Composante 3 :</w:t>
      </w:r>
      <w:r w:rsidRPr="0036084C">
        <w:rPr>
          <w:rFonts w:asciiTheme="minorHAnsi" w:hAnsiTheme="minorHAnsi" w:cstheme="minorHAnsi"/>
        </w:rPr>
        <w:t xml:space="preserve"> pérennisation du modèle économique de The Dot et The Dot Landing - appui à la diaspora entrepreneuriale (DIASDEV). Cette composante a pour objectif de consolider The Dot comme structure pivot de l’écosystème tunisien de l’innovation et de l’entrepreneuriat. </w:t>
      </w:r>
    </w:p>
    <w:p w:rsidR="00C32FE0" w:rsidRPr="00110DAD" w:rsidRDefault="00C32FE0" w:rsidP="00C32FE0">
      <w:pPr>
        <w:spacing w:before="100" w:beforeAutospacing="1" w:after="100" w:afterAutospacing="1" w:line="240" w:lineRule="auto"/>
        <w:jc w:val="both"/>
        <w:rPr>
          <w:rFonts w:eastAsia="Times New Roman" w:cstheme="minorHAnsi"/>
          <w:lang w:eastAsia="fr-FR"/>
        </w:rPr>
      </w:pPr>
      <w:r w:rsidRPr="00110DAD">
        <w:rPr>
          <w:rFonts w:eastAsia="Times New Roman" w:cstheme="minorHAnsi"/>
          <w:lang w:eastAsia="fr-FR"/>
        </w:rPr>
        <w:t>Le projet propose une approche intégrée, combinant entrepreneuriat, innovation et mobilisation des diasporas, tout en articulant l’action d’acteurs nationaux majeurs tels que la CDC et la Fondation Tunisie pour le Développement. En créant des passerelles entre régions, structures d’accompagnement, entrepreneurs et diaspora, il contribue à renforcer la dynamique économique tunisienne et à soutenir de nouvelles opportunités pour les publics prioritaires.</w:t>
      </w:r>
    </w:p>
    <w:p w:rsidR="00C32FE0" w:rsidRDefault="00C32FE0" w:rsidP="00C32FE0">
      <w:pPr>
        <w:suppressAutoHyphens/>
        <w:spacing w:before="120" w:after="120" w:line="240" w:lineRule="auto"/>
        <w:ind w:left="720"/>
        <w:jc w:val="both"/>
        <w:rPr>
          <w:rFonts w:eastAsia="Times New Roman" w:cstheme="minorHAnsi"/>
          <w:color w:val="1A3133"/>
        </w:rPr>
      </w:pPr>
    </w:p>
    <w:p w:rsidR="00C32FE0" w:rsidRPr="00110DAD" w:rsidRDefault="00C32FE0" w:rsidP="00C32FE0">
      <w:pPr>
        <w:suppressAutoHyphens/>
        <w:spacing w:before="120" w:after="120" w:line="240" w:lineRule="auto"/>
        <w:jc w:val="both"/>
        <w:rPr>
          <w:rFonts w:eastAsia="Times New Roman" w:cstheme="minorHAnsi"/>
          <w:color w:val="1A3133"/>
        </w:rPr>
      </w:pPr>
    </w:p>
    <w:p w:rsidR="00C32FE0" w:rsidRPr="00110DAD" w:rsidRDefault="00C32FE0" w:rsidP="00C32FE0">
      <w:pPr>
        <w:numPr>
          <w:ilvl w:val="0"/>
          <w:numId w:val="1"/>
        </w:numPr>
        <w:contextualSpacing/>
        <w:jc w:val="both"/>
        <w:rPr>
          <w:rFonts w:eastAsia="Times New Roman" w:cstheme="minorHAnsi"/>
          <w:color w:val="1A3133"/>
          <w:lang w:val="fr"/>
        </w:rPr>
      </w:pPr>
      <w:r w:rsidRPr="00110DAD">
        <w:rPr>
          <w:rFonts w:eastAsia="Times New Roman" w:cstheme="minorHAnsi"/>
          <w:b/>
          <w:color w:val="1A3133"/>
        </w:rPr>
        <w:lastRenderedPageBreak/>
        <w:t>Contexte spécifique</w:t>
      </w:r>
    </w:p>
    <w:p w:rsidR="000024B3" w:rsidRPr="000024B3" w:rsidRDefault="000024B3" w:rsidP="000024B3">
      <w:pPr>
        <w:pStyle w:val="NormalWeb"/>
        <w:jc w:val="both"/>
        <w:rPr>
          <w:rFonts w:asciiTheme="minorHAnsi" w:hAnsiTheme="minorHAnsi" w:cstheme="minorHAnsi"/>
          <w:color w:val="1A3133"/>
          <w:sz w:val="22"/>
          <w:szCs w:val="22"/>
          <w:lang w:eastAsia="en-US"/>
        </w:rPr>
      </w:pPr>
      <w:r w:rsidRPr="000024B3">
        <w:rPr>
          <w:rFonts w:asciiTheme="minorHAnsi" w:hAnsiTheme="minorHAnsi" w:cstheme="minorHAnsi"/>
          <w:color w:val="1A3133"/>
          <w:sz w:val="22"/>
          <w:szCs w:val="22"/>
          <w:lang w:eastAsia="en-US"/>
        </w:rPr>
        <w:t>La mise en œuvre du projet « Entrepreneuriat et Migration » implique un accompagnement d’entrepreneur</w:t>
      </w:r>
      <w:r w:rsidR="00416F87">
        <w:rPr>
          <w:rFonts w:asciiTheme="minorHAnsi" w:hAnsiTheme="minorHAnsi" w:cstheme="minorHAnsi"/>
          <w:color w:val="1A3133"/>
          <w:sz w:val="22"/>
          <w:szCs w:val="22"/>
          <w:lang w:eastAsia="en-US"/>
        </w:rPr>
        <w:t>.e</w:t>
      </w:r>
      <w:r w:rsidRPr="000024B3">
        <w:rPr>
          <w:rFonts w:asciiTheme="minorHAnsi" w:hAnsiTheme="minorHAnsi" w:cstheme="minorHAnsi"/>
          <w:color w:val="1A3133"/>
          <w:sz w:val="22"/>
          <w:szCs w:val="22"/>
          <w:lang w:eastAsia="en-US"/>
        </w:rPr>
        <w:t>s, de structures régionales (centres ELIFE), de TPE/PME et d’initiatives issues de la diaspora, dans plusieurs territoires du pays. Cette diversité d’acteurs et de contextes nécessite une gestion rigoureuse des enjeux environnementaux et sociaux, conformément aux exigences de l’AFD et aux standards internationaux.</w:t>
      </w:r>
    </w:p>
    <w:p w:rsidR="000024B3" w:rsidRPr="000024B3" w:rsidRDefault="000024B3" w:rsidP="000024B3">
      <w:pPr>
        <w:pStyle w:val="NormalWeb"/>
        <w:jc w:val="both"/>
        <w:rPr>
          <w:rFonts w:asciiTheme="minorHAnsi" w:hAnsiTheme="minorHAnsi" w:cstheme="minorHAnsi"/>
          <w:color w:val="1A3133"/>
          <w:sz w:val="22"/>
          <w:szCs w:val="22"/>
          <w:lang w:eastAsia="en-US"/>
        </w:rPr>
      </w:pPr>
      <w:r w:rsidRPr="000024B3">
        <w:rPr>
          <w:rFonts w:asciiTheme="minorHAnsi" w:hAnsiTheme="minorHAnsi" w:cstheme="minorHAnsi"/>
          <w:color w:val="1A3133"/>
          <w:sz w:val="22"/>
          <w:szCs w:val="22"/>
          <w:lang w:eastAsia="en-US"/>
        </w:rPr>
        <w:t>Le/la spécialiste E&amp;S assurera la conformité du projet aux normes AFD, identifiera les risques potentiels liés aux activités soutenues, veillera à l’inclusion des publics prioritaires (jeunes, femmes, migrants de retour), renforcera les capacit</w:t>
      </w:r>
      <w:r w:rsidR="00416F87">
        <w:rPr>
          <w:rFonts w:asciiTheme="minorHAnsi" w:hAnsiTheme="minorHAnsi" w:cstheme="minorHAnsi"/>
          <w:color w:val="1A3133"/>
          <w:sz w:val="22"/>
          <w:szCs w:val="22"/>
          <w:lang w:eastAsia="en-US"/>
        </w:rPr>
        <w:t xml:space="preserve">és de l’équipe projet </w:t>
      </w:r>
      <w:r w:rsidRPr="000024B3">
        <w:rPr>
          <w:rFonts w:asciiTheme="minorHAnsi" w:hAnsiTheme="minorHAnsi" w:cstheme="minorHAnsi"/>
          <w:color w:val="1A3133"/>
          <w:sz w:val="22"/>
          <w:szCs w:val="22"/>
          <w:lang w:eastAsia="en-US"/>
        </w:rPr>
        <w:t>et mettra en place un dispositif de suivi E&amp;S adapté. Sa mobilisation garantit une mise en œuvre responsable, sécurisée et durable du projet, tout en valorisant ses impacts positifs sur les territoires et les bénéficiaires.</w:t>
      </w:r>
    </w:p>
    <w:p w:rsidR="00C32FE0" w:rsidRPr="006950FB" w:rsidRDefault="00C32FE0" w:rsidP="00C32FE0">
      <w:pPr>
        <w:numPr>
          <w:ilvl w:val="0"/>
          <w:numId w:val="1"/>
        </w:numPr>
        <w:contextualSpacing/>
        <w:jc w:val="both"/>
        <w:rPr>
          <w:rFonts w:eastAsia="Times New Roman" w:cstheme="minorHAnsi"/>
          <w:b/>
          <w:color w:val="1A3133"/>
        </w:rPr>
      </w:pPr>
      <w:r w:rsidRPr="006950FB">
        <w:rPr>
          <w:rFonts w:eastAsia="Times New Roman" w:cstheme="minorHAnsi"/>
          <w:b/>
          <w:color w:val="1A3133"/>
        </w:rPr>
        <w:t xml:space="preserve">Objectifs </w:t>
      </w:r>
    </w:p>
    <w:p w:rsidR="000024B3" w:rsidRDefault="00C32FE0" w:rsidP="000024B3">
      <w:pPr>
        <w:spacing w:before="120" w:after="120"/>
        <w:jc w:val="both"/>
        <w:rPr>
          <w:rFonts w:eastAsia="Times New Roman" w:cstheme="minorHAnsi"/>
          <w:color w:val="1A3133"/>
        </w:rPr>
      </w:pPr>
      <w:r w:rsidRPr="00110DAD">
        <w:rPr>
          <w:rFonts w:eastAsia="Times New Roman" w:cstheme="minorHAnsi"/>
          <w:color w:val="1A3133"/>
        </w:rPr>
        <w:t>Le recrutement d’un.e expert.e a pour objectif</w:t>
      </w:r>
      <w:r w:rsidR="000024B3">
        <w:rPr>
          <w:rFonts w:eastAsia="Times New Roman" w:cstheme="minorHAnsi"/>
          <w:color w:val="1A3133"/>
        </w:rPr>
        <w:t xml:space="preserve">s principaux de : </w:t>
      </w:r>
    </w:p>
    <w:p w:rsidR="00C32FE0" w:rsidRDefault="000024B3" w:rsidP="000024B3">
      <w:pPr>
        <w:pStyle w:val="Paragraphedeliste"/>
        <w:numPr>
          <w:ilvl w:val="0"/>
          <w:numId w:val="4"/>
        </w:numPr>
        <w:spacing w:before="120" w:after="120"/>
        <w:jc w:val="both"/>
        <w:rPr>
          <w:rFonts w:asciiTheme="minorHAnsi" w:eastAsia="Times New Roman" w:hAnsiTheme="minorHAnsi" w:cstheme="minorHAnsi"/>
          <w:color w:val="1A3133"/>
        </w:rPr>
      </w:pPr>
      <w:r w:rsidRPr="000024B3">
        <w:rPr>
          <w:rFonts w:asciiTheme="minorHAnsi" w:eastAsia="Times New Roman" w:hAnsiTheme="minorHAnsi" w:cstheme="minorHAnsi"/>
          <w:color w:val="1A3133"/>
        </w:rPr>
        <w:t xml:space="preserve">Mettre en place </w:t>
      </w:r>
      <w:r>
        <w:rPr>
          <w:rFonts w:asciiTheme="minorHAnsi" w:eastAsia="Times New Roman" w:hAnsiTheme="minorHAnsi" w:cstheme="minorHAnsi"/>
          <w:color w:val="1A3133"/>
        </w:rPr>
        <w:t xml:space="preserve">un cadre de gestion environnementale et sociale ; </w:t>
      </w:r>
    </w:p>
    <w:p w:rsidR="000024B3" w:rsidRPr="000024B3" w:rsidRDefault="000024B3" w:rsidP="000024B3">
      <w:pPr>
        <w:pStyle w:val="Paragraphedeliste"/>
        <w:numPr>
          <w:ilvl w:val="0"/>
          <w:numId w:val="4"/>
        </w:numPr>
        <w:spacing w:before="120" w:after="120"/>
        <w:jc w:val="both"/>
        <w:rPr>
          <w:rFonts w:asciiTheme="minorHAnsi" w:eastAsia="Times New Roman" w:hAnsiTheme="minorHAnsi" w:cstheme="minorHAnsi"/>
          <w:color w:val="1A3133"/>
        </w:rPr>
      </w:pPr>
      <w:r>
        <w:rPr>
          <w:rFonts w:asciiTheme="minorHAnsi" w:eastAsia="Times New Roman" w:hAnsiTheme="minorHAnsi" w:cstheme="minorHAnsi"/>
          <w:color w:val="1A3133"/>
        </w:rPr>
        <w:t xml:space="preserve">Former et accompagner l’équipe projet dans la mise en œuvre des premières actions issues de ce plan. </w:t>
      </w:r>
    </w:p>
    <w:p w:rsidR="00C32FE0" w:rsidRPr="00274629" w:rsidRDefault="00C32FE0" w:rsidP="00C32FE0">
      <w:pPr>
        <w:pStyle w:val="Paragraphedeliste"/>
        <w:spacing w:before="120" w:after="120"/>
        <w:jc w:val="both"/>
        <w:rPr>
          <w:rFonts w:asciiTheme="minorHAnsi" w:eastAsia="Times New Roman" w:hAnsiTheme="minorHAnsi" w:cstheme="minorHAnsi"/>
          <w:color w:val="1A3133"/>
        </w:rPr>
      </w:pPr>
    </w:p>
    <w:p w:rsidR="00C32FE0" w:rsidRPr="000E116D" w:rsidRDefault="00C32FE0" w:rsidP="00C32FE0">
      <w:pPr>
        <w:numPr>
          <w:ilvl w:val="0"/>
          <w:numId w:val="1"/>
        </w:numPr>
        <w:contextualSpacing/>
        <w:jc w:val="both"/>
        <w:rPr>
          <w:rFonts w:eastAsia="Times New Roman" w:cstheme="minorHAnsi"/>
          <w:b/>
          <w:color w:val="1A3133"/>
        </w:rPr>
      </w:pPr>
      <w:r w:rsidRPr="000E116D">
        <w:rPr>
          <w:rFonts w:eastAsia="Times New Roman" w:cstheme="minorHAnsi"/>
          <w:b/>
          <w:color w:val="1A3133"/>
        </w:rPr>
        <w:t>Description de la mission</w:t>
      </w:r>
    </w:p>
    <w:p w:rsidR="00C32FE0" w:rsidRDefault="00C32FE0" w:rsidP="00C32FE0">
      <w:pPr>
        <w:spacing w:before="240" w:after="0" w:line="240" w:lineRule="auto"/>
        <w:jc w:val="both"/>
        <w:rPr>
          <w:rFonts w:eastAsia="Times New Roman" w:cstheme="minorHAnsi"/>
          <w:color w:val="1A3133"/>
        </w:rPr>
      </w:pPr>
      <w:r w:rsidRPr="002A5034">
        <w:rPr>
          <w:rFonts w:eastAsia="Times New Roman" w:cstheme="minorHAnsi"/>
          <w:color w:val="1A3133"/>
        </w:rPr>
        <w:t xml:space="preserve">Votre rôle comprendra </w:t>
      </w:r>
      <w:r>
        <w:rPr>
          <w:rFonts w:eastAsia="Times New Roman" w:cstheme="minorHAnsi"/>
          <w:color w:val="1A3133"/>
        </w:rPr>
        <w:t>les</w:t>
      </w:r>
      <w:r w:rsidRPr="002A5034">
        <w:rPr>
          <w:rFonts w:eastAsia="Times New Roman" w:cstheme="minorHAnsi"/>
          <w:color w:val="1A3133"/>
        </w:rPr>
        <w:t xml:space="preserve"> principaux axes d’intervention </w:t>
      </w:r>
      <w:r>
        <w:rPr>
          <w:rFonts w:eastAsia="Times New Roman" w:cstheme="minorHAnsi"/>
          <w:color w:val="1A3133"/>
        </w:rPr>
        <w:t xml:space="preserve">(de manière non exhaustive) </w:t>
      </w:r>
      <w:r w:rsidRPr="002A5034">
        <w:rPr>
          <w:rFonts w:eastAsia="Times New Roman" w:cstheme="minorHAnsi"/>
          <w:color w:val="1A3133"/>
        </w:rPr>
        <w:t>:</w:t>
      </w:r>
    </w:p>
    <w:p w:rsidR="000024B3" w:rsidRPr="000024B3" w:rsidRDefault="000024B3" w:rsidP="000024B3">
      <w:pPr>
        <w:pStyle w:val="Paragraphedeliste"/>
        <w:numPr>
          <w:ilvl w:val="0"/>
          <w:numId w:val="5"/>
        </w:numPr>
        <w:spacing w:before="120" w:after="120"/>
        <w:jc w:val="both"/>
        <w:rPr>
          <w:rFonts w:asciiTheme="minorHAnsi" w:eastAsia="Times New Roman" w:hAnsiTheme="minorHAnsi" w:cstheme="minorHAnsi"/>
          <w:color w:val="1A3133"/>
        </w:rPr>
      </w:pPr>
      <w:r w:rsidRPr="000024B3">
        <w:rPr>
          <w:rFonts w:asciiTheme="minorHAnsi" w:eastAsia="Times New Roman" w:hAnsiTheme="minorHAnsi" w:cstheme="minorHAnsi"/>
          <w:color w:val="1A3133"/>
        </w:rPr>
        <w:t>Élaborer le Cadre de Gestion Environnementale et Sociale (CGES) du projet conformément aux exigences de l’AFD et aux standards de gestion des risques E&amp;S.</w:t>
      </w:r>
    </w:p>
    <w:p w:rsidR="000024B3" w:rsidRPr="000024B3" w:rsidRDefault="000024B3" w:rsidP="000024B3">
      <w:pPr>
        <w:pStyle w:val="Paragraphedeliste"/>
        <w:numPr>
          <w:ilvl w:val="0"/>
          <w:numId w:val="5"/>
        </w:numPr>
        <w:spacing w:before="120" w:after="120"/>
        <w:jc w:val="both"/>
        <w:rPr>
          <w:rFonts w:asciiTheme="minorHAnsi" w:eastAsia="Times New Roman" w:hAnsiTheme="minorHAnsi" w:cstheme="minorHAnsi"/>
          <w:color w:val="1A3133"/>
        </w:rPr>
      </w:pPr>
      <w:r w:rsidRPr="000024B3">
        <w:rPr>
          <w:rFonts w:asciiTheme="minorHAnsi" w:eastAsia="Times New Roman" w:hAnsiTheme="minorHAnsi" w:cstheme="minorHAnsi"/>
          <w:color w:val="1A3133"/>
        </w:rPr>
        <w:t>Identifier les risques et impacts E&amp;S liés aux différentes composantes du projet (soutien aux entrepreneurs, centres ELIFE, TPE/PME, structures d’accompagnement, actions diaspora).</w:t>
      </w:r>
    </w:p>
    <w:p w:rsidR="000024B3" w:rsidRPr="000024B3" w:rsidRDefault="000024B3" w:rsidP="000024B3">
      <w:pPr>
        <w:pStyle w:val="Paragraphedeliste"/>
        <w:numPr>
          <w:ilvl w:val="0"/>
          <w:numId w:val="5"/>
        </w:numPr>
        <w:spacing w:before="120" w:after="120"/>
        <w:jc w:val="both"/>
        <w:rPr>
          <w:rFonts w:asciiTheme="minorHAnsi" w:eastAsia="Times New Roman" w:hAnsiTheme="minorHAnsi" w:cstheme="minorHAnsi"/>
          <w:color w:val="1A3133"/>
        </w:rPr>
      </w:pPr>
      <w:r w:rsidRPr="000024B3">
        <w:rPr>
          <w:rFonts w:asciiTheme="minorHAnsi" w:eastAsia="Times New Roman" w:hAnsiTheme="minorHAnsi" w:cstheme="minorHAnsi"/>
          <w:color w:val="1A3133"/>
        </w:rPr>
        <w:t xml:space="preserve">Développer les outils opérationnels </w:t>
      </w:r>
      <w:r>
        <w:rPr>
          <w:rFonts w:asciiTheme="minorHAnsi" w:eastAsia="Times New Roman" w:hAnsiTheme="minorHAnsi" w:cstheme="minorHAnsi"/>
          <w:color w:val="1A3133"/>
        </w:rPr>
        <w:t xml:space="preserve">si nécessaire </w:t>
      </w:r>
      <w:r w:rsidRPr="000024B3">
        <w:rPr>
          <w:rFonts w:asciiTheme="minorHAnsi" w:eastAsia="Times New Roman" w:hAnsiTheme="minorHAnsi" w:cstheme="minorHAnsi"/>
          <w:color w:val="1A3133"/>
        </w:rPr>
        <w:t>de mise en œuvre du CGES : check-lists, matrices de risques, plans d’atténuation, protocoles, indicateurs de suivi.</w:t>
      </w:r>
    </w:p>
    <w:p w:rsidR="000024B3" w:rsidRPr="000A11E7" w:rsidRDefault="000024B3" w:rsidP="000A11E7">
      <w:pPr>
        <w:pStyle w:val="Paragraphedeliste"/>
        <w:numPr>
          <w:ilvl w:val="0"/>
          <w:numId w:val="5"/>
        </w:numPr>
        <w:spacing w:before="120" w:after="120"/>
        <w:jc w:val="both"/>
        <w:rPr>
          <w:rFonts w:asciiTheme="minorHAnsi" w:eastAsia="Times New Roman" w:hAnsiTheme="minorHAnsi" w:cstheme="minorHAnsi"/>
          <w:color w:val="1A3133"/>
        </w:rPr>
      </w:pPr>
      <w:r w:rsidRPr="000024B3">
        <w:rPr>
          <w:rFonts w:asciiTheme="minorHAnsi" w:eastAsia="Times New Roman" w:hAnsiTheme="minorHAnsi" w:cstheme="minorHAnsi"/>
          <w:color w:val="1A3133"/>
        </w:rPr>
        <w:t>Former et accompagner les équipes d’Expertise France à l’application du CGES et aux bonnes pratiques E&amp;S (sessions de formation, ateliers pratiques, coaching terrain).</w:t>
      </w:r>
    </w:p>
    <w:p w:rsidR="000A11E7" w:rsidRDefault="000A11E7" w:rsidP="000A11E7">
      <w:pPr>
        <w:pStyle w:val="Paragraphedeliste"/>
        <w:spacing w:before="120" w:after="120"/>
        <w:jc w:val="both"/>
        <w:rPr>
          <w:rFonts w:eastAsia="Times New Roman" w:cstheme="minorHAnsi"/>
          <w:color w:val="1A3133"/>
        </w:rPr>
      </w:pPr>
    </w:p>
    <w:p w:rsidR="000A11E7" w:rsidRPr="000A11E7" w:rsidRDefault="000A11E7" w:rsidP="000A11E7">
      <w:pPr>
        <w:pStyle w:val="Paragraphedeliste"/>
        <w:spacing w:before="120" w:after="120"/>
        <w:jc w:val="both"/>
        <w:rPr>
          <w:rFonts w:eastAsia="Times New Roman" w:cstheme="minorHAnsi"/>
          <w:color w:val="1A3133"/>
        </w:rPr>
      </w:pPr>
    </w:p>
    <w:p w:rsidR="00C32FE0" w:rsidRPr="000024B3" w:rsidRDefault="00C32FE0" w:rsidP="000024B3">
      <w:pPr>
        <w:pStyle w:val="Paragraphedeliste"/>
        <w:numPr>
          <w:ilvl w:val="0"/>
          <w:numId w:val="1"/>
        </w:numPr>
        <w:spacing w:before="120" w:after="120"/>
        <w:jc w:val="both"/>
        <w:rPr>
          <w:rFonts w:eastAsia="Times New Roman" w:cstheme="minorHAnsi"/>
          <w:b/>
          <w:color w:val="1A3133"/>
        </w:rPr>
      </w:pPr>
      <w:r w:rsidRPr="000024B3">
        <w:rPr>
          <w:rFonts w:asciiTheme="minorHAnsi" w:eastAsia="Times New Roman" w:hAnsiTheme="minorHAnsi" w:cstheme="minorHAnsi"/>
          <w:b/>
          <w:color w:val="1A3133"/>
        </w:rPr>
        <w:t>Résultats attendus, livrables et calendrier prévisionnel</w:t>
      </w:r>
    </w:p>
    <w:p w:rsidR="00C32FE0" w:rsidRPr="000A11E7" w:rsidRDefault="000A11E7" w:rsidP="00C32FE0">
      <w:pPr>
        <w:spacing w:line="276" w:lineRule="auto"/>
        <w:jc w:val="both"/>
        <w:rPr>
          <w:rFonts w:eastAsia="Times New Roman" w:cstheme="minorHAnsi"/>
          <w:color w:val="1A3133"/>
          <w:u w:val="single"/>
          <w:lang w:val="fr"/>
        </w:rPr>
      </w:pPr>
      <w:r w:rsidRPr="000A11E7">
        <w:rPr>
          <w:rFonts w:eastAsia="Times New Roman" w:cstheme="minorHAnsi"/>
          <w:color w:val="1A3133"/>
          <w:u w:val="single"/>
          <w:lang w:val="fr"/>
        </w:rPr>
        <w:t xml:space="preserve">Résultats attendus : </w:t>
      </w:r>
    </w:p>
    <w:p w:rsidR="000A11E7" w:rsidRPr="000A11E7" w:rsidRDefault="00416F87" w:rsidP="000A11E7">
      <w:pPr>
        <w:pStyle w:val="Paragraphedeliste"/>
        <w:numPr>
          <w:ilvl w:val="0"/>
          <w:numId w:val="5"/>
        </w:numPr>
        <w:spacing w:line="276" w:lineRule="auto"/>
        <w:jc w:val="both"/>
        <w:rPr>
          <w:rFonts w:asciiTheme="minorHAnsi" w:eastAsia="Times New Roman" w:hAnsiTheme="minorHAnsi" w:cstheme="minorHAnsi"/>
          <w:color w:val="1A3133"/>
          <w:lang w:val="fr"/>
        </w:rPr>
      </w:pPr>
      <w:r>
        <w:rPr>
          <w:rFonts w:asciiTheme="minorHAnsi" w:eastAsia="Times New Roman" w:hAnsiTheme="minorHAnsi" w:cstheme="minorHAnsi"/>
          <w:color w:val="1A3133"/>
          <w:lang w:val="fr"/>
        </w:rPr>
        <w:t>Conception d’un CGES et révision du P</w:t>
      </w:r>
      <w:r w:rsidR="000A11E7" w:rsidRPr="000A11E7">
        <w:rPr>
          <w:rFonts w:asciiTheme="minorHAnsi" w:eastAsia="Times New Roman" w:hAnsiTheme="minorHAnsi" w:cstheme="minorHAnsi"/>
          <w:color w:val="1A3133"/>
          <w:lang w:val="fr"/>
        </w:rPr>
        <w:t xml:space="preserve">GES et ; </w:t>
      </w:r>
    </w:p>
    <w:p w:rsidR="000A11E7" w:rsidRPr="000A11E7" w:rsidRDefault="000A11E7" w:rsidP="000A11E7">
      <w:pPr>
        <w:pStyle w:val="Paragraphedeliste"/>
        <w:numPr>
          <w:ilvl w:val="0"/>
          <w:numId w:val="5"/>
        </w:numPr>
        <w:spacing w:line="276" w:lineRule="auto"/>
        <w:jc w:val="both"/>
        <w:rPr>
          <w:rFonts w:asciiTheme="minorHAnsi" w:eastAsia="Times New Roman" w:hAnsiTheme="minorHAnsi" w:cstheme="minorHAnsi"/>
          <w:color w:val="1A3133"/>
          <w:lang w:val="fr"/>
        </w:rPr>
      </w:pPr>
      <w:r w:rsidRPr="000A11E7">
        <w:rPr>
          <w:rFonts w:asciiTheme="minorHAnsi" w:eastAsia="Times New Roman" w:hAnsiTheme="minorHAnsi" w:cstheme="minorHAnsi"/>
          <w:color w:val="1A3133"/>
          <w:lang w:val="fr"/>
        </w:rPr>
        <w:t xml:space="preserve">Formation de l’équipe à la mise en œuvre de ce cadre. </w:t>
      </w:r>
    </w:p>
    <w:p w:rsidR="000A11E7" w:rsidRPr="000A11E7" w:rsidRDefault="000A11E7" w:rsidP="000A11E7">
      <w:pPr>
        <w:spacing w:line="276" w:lineRule="auto"/>
        <w:jc w:val="both"/>
        <w:rPr>
          <w:rFonts w:eastAsia="Times New Roman" w:cstheme="minorHAnsi"/>
          <w:color w:val="1A3133"/>
          <w:u w:val="single"/>
          <w:lang w:val="fr"/>
        </w:rPr>
      </w:pPr>
      <w:r w:rsidRPr="000A11E7">
        <w:rPr>
          <w:rFonts w:eastAsia="Times New Roman" w:cstheme="minorHAnsi"/>
          <w:color w:val="1A3133"/>
          <w:u w:val="single"/>
          <w:lang w:val="fr"/>
        </w:rPr>
        <w:t xml:space="preserve">Livrables : </w:t>
      </w:r>
    </w:p>
    <w:p w:rsidR="000A11E7" w:rsidRPr="000A11E7" w:rsidRDefault="00416F87" w:rsidP="000A11E7">
      <w:pPr>
        <w:pStyle w:val="Paragraphedeliste"/>
        <w:numPr>
          <w:ilvl w:val="0"/>
          <w:numId w:val="5"/>
        </w:numPr>
        <w:spacing w:line="276" w:lineRule="auto"/>
        <w:jc w:val="both"/>
        <w:rPr>
          <w:rFonts w:asciiTheme="minorHAnsi" w:eastAsia="Times New Roman" w:hAnsiTheme="minorHAnsi" w:cstheme="minorHAnsi"/>
          <w:color w:val="1A3133"/>
          <w:lang w:val="fr"/>
        </w:rPr>
      </w:pPr>
      <w:r>
        <w:rPr>
          <w:rFonts w:asciiTheme="minorHAnsi" w:eastAsia="Times New Roman" w:hAnsiTheme="minorHAnsi" w:cstheme="minorHAnsi"/>
          <w:color w:val="1A3133"/>
          <w:lang w:val="fr"/>
        </w:rPr>
        <w:t xml:space="preserve">Note de cadrage ; </w:t>
      </w:r>
    </w:p>
    <w:p w:rsidR="000A11E7" w:rsidRPr="000A11E7" w:rsidRDefault="000A11E7" w:rsidP="000A11E7">
      <w:pPr>
        <w:pStyle w:val="Paragraphedeliste"/>
        <w:numPr>
          <w:ilvl w:val="0"/>
          <w:numId w:val="5"/>
        </w:numPr>
        <w:spacing w:line="276" w:lineRule="auto"/>
        <w:jc w:val="both"/>
        <w:rPr>
          <w:rFonts w:asciiTheme="minorHAnsi" w:eastAsia="Times New Roman" w:hAnsiTheme="minorHAnsi" w:cstheme="minorHAnsi"/>
          <w:color w:val="1A3133"/>
          <w:lang w:val="fr"/>
        </w:rPr>
      </w:pPr>
      <w:r w:rsidRPr="000A11E7">
        <w:rPr>
          <w:rFonts w:asciiTheme="minorHAnsi" w:eastAsia="Times New Roman" w:hAnsiTheme="minorHAnsi" w:cstheme="minorHAnsi"/>
          <w:color w:val="1A3133"/>
          <w:lang w:val="fr"/>
        </w:rPr>
        <w:t xml:space="preserve">CGES </w:t>
      </w:r>
      <w:r w:rsidR="00416F87">
        <w:rPr>
          <w:rFonts w:asciiTheme="minorHAnsi" w:eastAsia="Times New Roman" w:hAnsiTheme="minorHAnsi" w:cstheme="minorHAnsi"/>
          <w:color w:val="1A3133"/>
          <w:lang w:val="fr"/>
        </w:rPr>
        <w:t>et PGES révisé et ;</w:t>
      </w:r>
    </w:p>
    <w:p w:rsidR="00C32FE0" w:rsidRPr="000A11E7" w:rsidRDefault="000A11E7" w:rsidP="000A11E7">
      <w:pPr>
        <w:pStyle w:val="Paragraphedeliste"/>
        <w:numPr>
          <w:ilvl w:val="0"/>
          <w:numId w:val="5"/>
        </w:numPr>
        <w:spacing w:line="276" w:lineRule="auto"/>
        <w:jc w:val="both"/>
        <w:rPr>
          <w:rFonts w:asciiTheme="minorHAnsi" w:eastAsia="Times New Roman" w:hAnsiTheme="minorHAnsi" w:cstheme="minorHAnsi"/>
          <w:color w:val="1A3133"/>
          <w:lang w:val="fr"/>
        </w:rPr>
      </w:pPr>
      <w:r w:rsidRPr="000A11E7">
        <w:rPr>
          <w:rFonts w:asciiTheme="minorHAnsi" w:eastAsia="Times New Roman" w:hAnsiTheme="minorHAnsi" w:cstheme="minorHAnsi"/>
          <w:color w:val="1A3133"/>
          <w:lang w:val="fr"/>
        </w:rPr>
        <w:t>Rapport de formation</w:t>
      </w:r>
      <w:r w:rsidR="00416F87">
        <w:rPr>
          <w:rFonts w:asciiTheme="minorHAnsi" w:eastAsia="Times New Roman" w:hAnsiTheme="minorHAnsi" w:cstheme="minorHAnsi"/>
          <w:color w:val="1A3133"/>
          <w:lang w:val="fr"/>
        </w:rPr>
        <w:t>.</w:t>
      </w:r>
    </w:p>
    <w:p w:rsidR="000A11E7" w:rsidRPr="000A11E7" w:rsidRDefault="000A11E7" w:rsidP="000A11E7">
      <w:pPr>
        <w:spacing w:line="276" w:lineRule="auto"/>
        <w:jc w:val="both"/>
        <w:rPr>
          <w:rFonts w:eastAsia="Times New Roman" w:cstheme="minorHAnsi"/>
          <w:color w:val="1A3133"/>
          <w:u w:val="single"/>
          <w:lang w:val="fr"/>
        </w:rPr>
      </w:pPr>
      <w:r w:rsidRPr="000A11E7">
        <w:rPr>
          <w:rFonts w:eastAsia="Times New Roman" w:cstheme="minorHAnsi"/>
          <w:color w:val="1A3133"/>
          <w:u w:val="single"/>
          <w:lang w:val="fr"/>
        </w:rPr>
        <w:t xml:space="preserve">Calendrier : </w:t>
      </w:r>
    </w:p>
    <w:p w:rsidR="000A11E7" w:rsidRPr="000A11E7" w:rsidRDefault="000A11E7" w:rsidP="000A11E7">
      <w:pPr>
        <w:spacing w:line="276" w:lineRule="auto"/>
        <w:jc w:val="both"/>
        <w:rPr>
          <w:rFonts w:eastAsia="Times New Roman" w:cstheme="minorHAnsi"/>
          <w:color w:val="1A3133"/>
          <w:lang w:val="fr"/>
        </w:rPr>
      </w:pPr>
      <w:r w:rsidRPr="000A11E7">
        <w:rPr>
          <w:rFonts w:eastAsia="Times New Roman" w:cstheme="minorHAnsi"/>
          <w:color w:val="1A3133"/>
          <w:lang w:val="fr"/>
        </w:rPr>
        <w:t>La mission s’étalera sur 6 mois maximum. En démarrage de mission, une note de cadrage sera rédigée à la suite d’entretiens avec les différent</w:t>
      </w:r>
      <w:r w:rsidR="00416F87">
        <w:rPr>
          <w:rFonts w:eastAsia="Times New Roman" w:cstheme="minorHAnsi"/>
          <w:color w:val="1A3133"/>
          <w:lang w:val="fr"/>
        </w:rPr>
        <w:t>es parties prenantes au projet afin d’établir une méthodologie et un planning réaliste.</w:t>
      </w:r>
    </w:p>
    <w:p w:rsidR="00C32FE0" w:rsidRPr="000E116D" w:rsidRDefault="00C32FE0" w:rsidP="00C32FE0">
      <w:pPr>
        <w:pStyle w:val="Paragraphedeliste"/>
        <w:numPr>
          <w:ilvl w:val="0"/>
          <w:numId w:val="1"/>
        </w:numPr>
        <w:jc w:val="both"/>
        <w:outlineLvl w:val="1"/>
        <w:rPr>
          <w:rFonts w:asciiTheme="minorHAnsi" w:eastAsia="Times New Roman" w:hAnsiTheme="minorHAnsi" w:cstheme="minorHAnsi"/>
          <w:b/>
          <w:color w:val="1A3133"/>
        </w:rPr>
      </w:pPr>
      <w:r w:rsidRPr="000E116D">
        <w:rPr>
          <w:rFonts w:asciiTheme="minorHAnsi" w:eastAsia="Times New Roman" w:hAnsiTheme="minorHAnsi" w:cstheme="minorHAnsi"/>
          <w:b/>
          <w:color w:val="1A3133"/>
        </w:rPr>
        <w:t xml:space="preserve">Profil souhaité </w:t>
      </w:r>
    </w:p>
    <w:p w:rsidR="00C32FE0" w:rsidRPr="00110DAD" w:rsidRDefault="00C32FE0" w:rsidP="00C32FE0">
      <w:pPr>
        <w:spacing w:line="240" w:lineRule="auto"/>
        <w:contextualSpacing/>
        <w:jc w:val="both"/>
        <w:outlineLvl w:val="1"/>
        <w:rPr>
          <w:rFonts w:eastAsia="Times New Roman" w:cstheme="minorHAnsi"/>
          <w:color w:val="1A3133"/>
          <w:lang w:val="fr"/>
        </w:rPr>
      </w:pPr>
      <w:r w:rsidRPr="00110DAD">
        <w:rPr>
          <w:rFonts w:eastAsia="Times New Roman" w:cstheme="minorHAnsi"/>
          <w:b/>
          <w:i/>
          <w:color w:val="1A3133"/>
          <w:lang w:val="fr"/>
        </w:rPr>
        <w:t>Qualification</w:t>
      </w:r>
      <w:r>
        <w:rPr>
          <w:rFonts w:eastAsia="Times New Roman" w:cstheme="minorHAnsi"/>
          <w:b/>
          <w:i/>
          <w:color w:val="1A3133"/>
          <w:lang w:val="fr"/>
        </w:rPr>
        <w:t>s</w:t>
      </w:r>
      <w:r w:rsidRPr="00110DAD">
        <w:rPr>
          <w:rFonts w:eastAsia="Times New Roman" w:cstheme="minorHAnsi"/>
          <w:b/>
          <w:i/>
          <w:color w:val="1A3133"/>
          <w:lang w:val="fr"/>
        </w:rPr>
        <w:t xml:space="preserve"> et compétences</w:t>
      </w:r>
      <w:r w:rsidRPr="00110DAD">
        <w:rPr>
          <w:rFonts w:eastAsia="Times New Roman" w:cstheme="minorHAnsi"/>
          <w:color w:val="1A3133"/>
          <w:lang w:val="fr"/>
        </w:rPr>
        <w:t> :</w:t>
      </w:r>
    </w:p>
    <w:p w:rsidR="00C32FE0" w:rsidRPr="00110DAD" w:rsidRDefault="00C32FE0" w:rsidP="00C32FE0">
      <w:pPr>
        <w:spacing w:line="240" w:lineRule="auto"/>
        <w:ind w:left="720"/>
        <w:contextualSpacing/>
        <w:jc w:val="both"/>
        <w:outlineLvl w:val="1"/>
        <w:rPr>
          <w:rFonts w:eastAsia="Times New Roman" w:cstheme="minorHAnsi"/>
          <w:b/>
          <w:color w:val="1A3133"/>
          <w:lang w:val="fr"/>
        </w:rPr>
      </w:pPr>
    </w:p>
    <w:p w:rsidR="000A11E7" w:rsidRPr="000A11E7" w:rsidRDefault="000A11E7" w:rsidP="000A11E7">
      <w:pPr>
        <w:spacing w:line="240" w:lineRule="auto"/>
        <w:jc w:val="both"/>
        <w:rPr>
          <w:rFonts w:cstheme="minorHAnsi"/>
          <w:szCs w:val="20"/>
          <w:u w:val="single"/>
        </w:rPr>
      </w:pPr>
      <w:r w:rsidRPr="000A11E7">
        <w:rPr>
          <w:rFonts w:cstheme="minorHAnsi"/>
          <w:szCs w:val="20"/>
          <w:u w:val="single"/>
        </w:rPr>
        <w:t xml:space="preserve">Qualifications </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Diplôme universitaire en économie, finance, gestion ou dans un domaine connexe.</w:t>
      </w:r>
    </w:p>
    <w:p w:rsidR="000A11E7" w:rsidRPr="000A11E7" w:rsidRDefault="000A11E7" w:rsidP="000A11E7">
      <w:pPr>
        <w:spacing w:line="240" w:lineRule="auto"/>
        <w:jc w:val="both"/>
        <w:rPr>
          <w:rFonts w:cstheme="minorHAnsi"/>
          <w:szCs w:val="20"/>
          <w:u w:val="single"/>
        </w:rPr>
      </w:pPr>
      <w:r w:rsidRPr="000A11E7">
        <w:rPr>
          <w:rFonts w:cstheme="minorHAnsi"/>
          <w:szCs w:val="20"/>
          <w:u w:val="single"/>
        </w:rPr>
        <w:t xml:space="preserve">Compétences Requises/ Expérience </w:t>
      </w:r>
    </w:p>
    <w:p w:rsidR="000A11E7" w:rsidRPr="000A11E7" w:rsidRDefault="000A11E7" w:rsidP="000A11E7">
      <w:pPr>
        <w:pStyle w:val="Paragraphedeliste"/>
        <w:numPr>
          <w:ilvl w:val="0"/>
          <w:numId w:val="7"/>
        </w:numPr>
        <w:spacing w:after="160" w:line="259" w:lineRule="auto"/>
        <w:jc w:val="both"/>
        <w:rPr>
          <w:rFonts w:asciiTheme="minorHAnsi" w:hAnsiTheme="minorHAnsi" w:cstheme="minorHAnsi"/>
          <w:szCs w:val="20"/>
        </w:rPr>
      </w:pPr>
      <w:r w:rsidRPr="000A11E7">
        <w:rPr>
          <w:rFonts w:asciiTheme="minorHAnsi" w:hAnsiTheme="minorHAnsi" w:cstheme="minorHAnsi"/>
          <w:szCs w:val="20"/>
        </w:rPr>
        <w:t xml:space="preserve">Expérience professionnelle </w:t>
      </w:r>
      <w:r>
        <w:rPr>
          <w:rFonts w:asciiTheme="minorHAnsi" w:hAnsiTheme="minorHAnsi" w:cstheme="minorHAnsi"/>
          <w:szCs w:val="20"/>
        </w:rPr>
        <w:t>de 5 à 8 ans en</w:t>
      </w:r>
      <w:r w:rsidRPr="000A11E7">
        <w:rPr>
          <w:rFonts w:asciiTheme="minorHAnsi" w:hAnsiTheme="minorHAnsi" w:cstheme="minorHAnsi"/>
          <w:szCs w:val="20"/>
        </w:rPr>
        <w:t xml:space="preserve"> gestion des risques environnementaux et sociaux, évaluation des risques financiers et développement de stratégies d'investissement responsable, notamment dans les secteurs bancaires, financiers et industriels</w:t>
      </w:r>
      <w:r>
        <w:rPr>
          <w:rFonts w:asciiTheme="minorHAnsi" w:hAnsiTheme="minorHAnsi" w:cstheme="minorHAnsi"/>
          <w:szCs w:val="20"/>
        </w:rPr>
        <w:t xml:space="preserve"> ; </w:t>
      </w:r>
    </w:p>
    <w:p w:rsidR="000A11E7" w:rsidRPr="000A11E7" w:rsidRDefault="000A11E7" w:rsidP="000A11E7">
      <w:pPr>
        <w:pStyle w:val="Paragraphedeliste"/>
        <w:numPr>
          <w:ilvl w:val="0"/>
          <w:numId w:val="7"/>
        </w:numPr>
        <w:spacing w:after="160" w:line="259" w:lineRule="auto"/>
        <w:jc w:val="both"/>
        <w:rPr>
          <w:rFonts w:asciiTheme="minorHAnsi" w:hAnsiTheme="minorHAnsi" w:cstheme="minorHAnsi"/>
          <w:szCs w:val="20"/>
        </w:rPr>
      </w:pPr>
      <w:r>
        <w:rPr>
          <w:rFonts w:asciiTheme="minorHAnsi" w:hAnsiTheme="minorHAnsi" w:cstheme="minorHAnsi"/>
          <w:szCs w:val="20"/>
        </w:rPr>
        <w:t>Au moins 3 expérience</w:t>
      </w:r>
      <w:r w:rsidR="00416F87">
        <w:rPr>
          <w:rFonts w:asciiTheme="minorHAnsi" w:hAnsiTheme="minorHAnsi" w:cstheme="minorHAnsi"/>
          <w:szCs w:val="20"/>
        </w:rPr>
        <w:t>s de</w:t>
      </w:r>
      <w:r>
        <w:rPr>
          <w:rFonts w:asciiTheme="minorHAnsi" w:hAnsiTheme="minorHAnsi" w:cstheme="minorHAnsi"/>
          <w:szCs w:val="20"/>
        </w:rPr>
        <w:t xml:space="preserve"> prestations similaires ; </w:t>
      </w:r>
    </w:p>
    <w:p w:rsidR="000A11E7" w:rsidRPr="000A11E7" w:rsidRDefault="000A11E7" w:rsidP="000A11E7">
      <w:pPr>
        <w:pStyle w:val="Paragraphedeliste"/>
        <w:numPr>
          <w:ilvl w:val="0"/>
          <w:numId w:val="7"/>
        </w:numPr>
        <w:spacing w:after="160" w:line="259" w:lineRule="auto"/>
        <w:jc w:val="both"/>
        <w:rPr>
          <w:rFonts w:asciiTheme="minorHAnsi" w:hAnsiTheme="minorHAnsi" w:cstheme="minorHAnsi"/>
          <w:szCs w:val="20"/>
        </w:rPr>
      </w:pPr>
      <w:r w:rsidRPr="000A11E7">
        <w:rPr>
          <w:rFonts w:asciiTheme="minorHAnsi" w:hAnsiTheme="minorHAnsi" w:cstheme="minorHAnsi"/>
          <w:szCs w:val="20"/>
        </w:rPr>
        <w:t>Forte expérience dans la</w:t>
      </w:r>
      <w:r w:rsidR="00416F87">
        <w:rPr>
          <w:rFonts w:asciiTheme="minorHAnsi" w:hAnsiTheme="minorHAnsi" w:cstheme="minorHAnsi"/>
          <w:szCs w:val="20"/>
        </w:rPr>
        <w:t xml:space="preserve"> gestion de projets internation</w:t>
      </w:r>
      <w:r w:rsidR="00416F87" w:rsidRPr="000A11E7">
        <w:rPr>
          <w:rFonts w:asciiTheme="minorHAnsi" w:hAnsiTheme="minorHAnsi" w:cstheme="minorHAnsi"/>
          <w:szCs w:val="20"/>
        </w:rPr>
        <w:t>aux</w:t>
      </w:r>
      <w:r w:rsidRPr="000A11E7">
        <w:rPr>
          <w:rFonts w:asciiTheme="minorHAnsi" w:hAnsiTheme="minorHAnsi" w:cstheme="minorHAnsi"/>
          <w:szCs w:val="20"/>
        </w:rPr>
        <w:t xml:space="preserve">, en particulier dans les domaines de </w:t>
      </w:r>
      <w:r w:rsidR="00AA5933">
        <w:rPr>
          <w:rFonts w:asciiTheme="minorHAnsi" w:hAnsiTheme="minorHAnsi" w:cstheme="minorHAnsi"/>
          <w:szCs w:val="20"/>
        </w:rPr>
        <w:t>l’entrepreneuriat</w:t>
      </w:r>
      <w:r w:rsidRPr="000A11E7">
        <w:rPr>
          <w:rFonts w:asciiTheme="minorHAnsi" w:hAnsiTheme="minorHAnsi" w:cstheme="minorHAnsi"/>
          <w:szCs w:val="20"/>
        </w:rPr>
        <w:t>, l'inclusion sociale</w:t>
      </w:r>
      <w:r w:rsidR="00AA5933">
        <w:rPr>
          <w:rFonts w:asciiTheme="minorHAnsi" w:hAnsiTheme="minorHAnsi" w:cstheme="minorHAnsi"/>
          <w:szCs w:val="20"/>
        </w:rPr>
        <w:t xml:space="preserve"> et de la migration</w:t>
      </w:r>
      <w:r w:rsidR="00416F87">
        <w:rPr>
          <w:rFonts w:asciiTheme="minorHAnsi" w:hAnsiTheme="minorHAnsi" w:cstheme="minorHAnsi"/>
          <w:szCs w:val="20"/>
        </w:rPr>
        <w:t>.</w:t>
      </w:r>
    </w:p>
    <w:p w:rsidR="000A11E7" w:rsidRPr="000A11E7" w:rsidRDefault="000A11E7" w:rsidP="000A11E7">
      <w:pPr>
        <w:jc w:val="both"/>
        <w:rPr>
          <w:rFonts w:cstheme="minorHAnsi"/>
          <w:szCs w:val="20"/>
          <w:u w:val="single"/>
        </w:rPr>
      </w:pPr>
      <w:r w:rsidRPr="000A11E7">
        <w:rPr>
          <w:rFonts w:cstheme="minorHAnsi"/>
          <w:szCs w:val="20"/>
          <w:u w:val="single"/>
        </w:rPr>
        <w:t>Qualités et Capacités</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Capacité à travailler en collaboration avec des équipes multidisciplinaires, à diriger des projets complexes et à garantir l</w:t>
      </w:r>
      <w:r w:rsidR="00416F87">
        <w:rPr>
          <w:rFonts w:asciiTheme="minorHAnsi" w:hAnsiTheme="minorHAnsi" w:cstheme="minorHAnsi"/>
          <w:szCs w:val="20"/>
        </w:rPr>
        <w:t>’adhésion des parties prenantes ;</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Excellentes aptitudes à la formation et à la communication, avec une expérience significative dans la formation de cadres et d'experts en gestion des risq</w:t>
      </w:r>
      <w:r w:rsidR="00416F87">
        <w:rPr>
          <w:rFonts w:asciiTheme="minorHAnsi" w:hAnsiTheme="minorHAnsi" w:cstheme="minorHAnsi"/>
          <w:szCs w:val="20"/>
        </w:rPr>
        <w:t>ues environnementaux et sociaux ;</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Capacité à identifier les risques, à évaluer les impacts sociaux et environnementaux, et à recommander des solutions pratiques pour les intégrer dans des stratégi</w:t>
      </w:r>
      <w:r w:rsidR="00416F87">
        <w:rPr>
          <w:rFonts w:asciiTheme="minorHAnsi" w:hAnsiTheme="minorHAnsi" w:cstheme="minorHAnsi"/>
          <w:szCs w:val="20"/>
        </w:rPr>
        <w:t>es d'investissement responsable ;</w:t>
      </w:r>
    </w:p>
    <w:p w:rsid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Fortes compétences en travail d’équipe et en relations interpersonnelles</w:t>
      </w:r>
      <w:r w:rsidR="00416F87">
        <w:rPr>
          <w:rFonts w:asciiTheme="minorHAnsi" w:hAnsiTheme="minorHAnsi" w:cstheme="minorHAnsi"/>
          <w:szCs w:val="20"/>
        </w:rPr>
        <w:t xml:space="preserve"> ; </w:t>
      </w:r>
    </w:p>
    <w:p w:rsidR="00416F87" w:rsidRPr="000A11E7" w:rsidRDefault="00416F87" w:rsidP="000A11E7">
      <w:pPr>
        <w:pStyle w:val="Paragraphedeliste"/>
        <w:numPr>
          <w:ilvl w:val="0"/>
          <w:numId w:val="7"/>
        </w:numPr>
        <w:spacing w:after="160"/>
        <w:jc w:val="both"/>
        <w:rPr>
          <w:rFonts w:asciiTheme="minorHAnsi" w:hAnsiTheme="minorHAnsi" w:cstheme="minorHAnsi"/>
          <w:szCs w:val="20"/>
        </w:rPr>
      </w:pPr>
      <w:r>
        <w:rPr>
          <w:rFonts w:asciiTheme="minorHAnsi" w:hAnsiTheme="minorHAnsi" w:cstheme="minorHAnsi"/>
          <w:szCs w:val="20"/>
        </w:rPr>
        <w:t xml:space="preserve">Flexibilité et pragmatisme ; </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Aptitudes en synthèse et en rédaction</w:t>
      </w:r>
      <w:r w:rsidR="00416F87">
        <w:rPr>
          <w:rFonts w:asciiTheme="minorHAnsi" w:hAnsiTheme="minorHAnsi" w:cstheme="minorHAnsi"/>
          <w:szCs w:val="20"/>
        </w:rPr>
        <w:t xml:space="preserve"> ; </w:t>
      </w:r>
    </w:p>
    <w:p w:rsidR="000A11E7" w:rsidRPr="000A11E7" w:rsidRDefault="000A11E7" w:rsidP="000A11E7">
      <w:pPr>
        <w:pStyle w:val="Paragraphedeliste"/>
        <w:numPr>
          <w:ilvl w:val="0"/>
          <w:numId w:val="7"/>
        </w:numPr>
        <w:spacing w:after="160"/>
        <w:jc w:val="both"/>
        <w:rPr>
          <w:rFonts w:asciiTheme="minorHAnsi" w:hAnsiTheme="minorHAnsi" w:cstheme="minorHAnsi"/>
          <w:szCs w:val="20"/>
        </w:rPr>
      </w:pPr>
      <w:r w:rsidRPr="000A11E7">
        <w:rPr>
          <w:rFonts w:asciiTheme="minorHAnsi" w:hAnsiTheme="minorHAnsi" w:cstheme="minorHAnsi"/>
          <w:szCs w:val="20"/>
        </w:rPr>
        <w:t>Maîtrise du français et de l’arabe tunisien (écrit/ oral).</w:t>
      </w:r>
    </w:p>
    <w:p w:rsidR="00C32FE0" w:rsidRPr="00110DAD" w:rsidRDefault="00C32FE0" w:rsidP="00C32FE0">
      <w:pPr>
        <w:numPr>
          <w:ilvl w:val="0"/>
          <w:numId w:val="1"/>
        </w:numPr>
        <w:spacing w:line="240" w:lineRule="auto"/>
        <w:contextualSpacing/>
        <w:jc w:val="both"/>
        <w:outlineLvl w:val="1"/>
        <w:rPr>
          <w:rFonts w:eastAsia="Times New Roman" w:cstheme="minorHAnsi"/>
          <w:b/>
          <w:color w:val="1A3133"/>
          <w:lang w:val="fr"/>
        </w:rPr>
      </w:pPr>
      <w:r w:rsidRPr="00110DAD">
        <w:rPr>
          <w:rFonts w:eastAsia="Times New Roman" w:cstheme="minorHAnsi"/>
          <w:b/>
          <w:color w:val="1A3133"/>
          <w:lang w:val="fr"/>
        </w:rPr>
        <w:t>Informations complémentaires</w:t>
      </w:r>
    </w:p>
    <w:p w:rsidR="00C32FE0" w:rsidRPr="00110DAD" w:rsidRDefault="00C32FE0" w:rsidP="00C32FE0">
      <w:pPr>
        <w:spacing w:line="240" w:lineRule="auto"/>
        <w:ind w:left="720"/>
        <w:contextualSpacing/>
        <w:jc w:val="both"/>
        <w:outlineLvl w:val="1"/>
        <w:rPr>
          <w:rFonts w:eastAsia="Times New Roman" w:cstheme="minorHAnsi"/>
          <w:b/>
          <w:color w:val="1A3133"/>
          <w:lang w:val="fr"/>
        </w:rPr>
      </w:pPr>
    </w:p>
    <w:p w:rsidR="00C32FE0" w:rsidRPr="00110DAD" w:rsidRDefault="00C32FE0" w:rsidP="00C32FE0">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Les candidatures doivent inclure les éléments suivants</w:t>
      </w:r>
      <w:r w:rsidRPr="00110DAD">
        <w:rPr>
          <w:rFonts w:eastAsia="Times New Roman" w:cstheme="minorHAnsi"/>
          <w:color w:val="1A3133"/>
        </w:rPr>
        <w:t xml:space="preserve"> : </w:t>
      </w:r>
    </w:p>
    <w:p w:rsidR="00C32FE0" w:rsidRDefault="00C32FE0" w:rsidP="00C32FE0">
      <w:pPr>
        <w:numPr>
          <w:ilvl w:val="0"/>
          <w:numId w:val="3"/>
        </w:numPr>
        <w:spacing w:line="240" w:lineRule="auto"/>
        <w:contextualSpacing/>
        <w:jc w:val="both"/>
        <w:outlineLvl w:val="1"/>
        <w:rPr>
          <w:rFonts w:eastAsia="Times New Roman" w:cstheme="minorHAnsi"/>
          <w:color w:val="1A3133"/>
        </w:rPr>
      </w:pPr>
      <w:r w:rsidRPr="00110DAD">
        <w:rPr>
          <w:rFonts w:eastAsia="Times New Roman" w:cstheme="minorHAnsi"/>
          <w:color w:val="1A3133"/>
        </w:rPr>
        <w:t xml:space="preserve">Un CV détaillé de l’expert.e proposé.e ; </w:t>
      </w:r>
    </w:p>
    <w:p w:rsidR="00C32FE0" w:rsidRPr="00AF7A76" w:rsidRDefault="00C32FE0" w:rsidP="00C32FE0">
      <w:pPr>
        <w:numPr>
          <w:ilvl w:val="0"/>
          <w:numId w:val="3"/>
        </w:numPr>
        <w:spacing w:line="240" w:lineRule="auto"/>
        <w:contextualSpacing/>
        <w:jc w:val="both"/>
        <w:outlineLvl w:val="1"/>
        <w:rPr>
          <w:rFonts w:eastAsia="Times New Roman" w:cstheme="minorHAnsi"/>
          <w:color w:val="1A3133"/>
        </w:rPr>
      </w:pPr>
      <w:r>
        <w:rPr>
          <w:rFonts w:eastAsia="Times New Roman" w:cstheme="minorHAnsi"/>
          <w:color w:val="1A3133"/>
          <w:lang w:val="fr"/>
        </w:rPr>
        <w:t>U</w:t>
      </w:r>
      <w:r w:rsidRPr="00AF7A76">
        <w:rPr>
          <w:rFonts w:eastAsia="Times New Roman" w:cstheme="minorHAnsi"/>
          <w:color w:val="1A3133"/>
          <w:lang w:val="fr"/>
        </w:rPr>
        <w:t>ne liste de référence</w:t>
      </w:r>
      <w:r w:rsidR="00416F87">
        <w:rPr>
          <w:rFonts w:eastAsia="Times New Roman" w:cstheme="minorHAnsi"/>
          <w:color w:val="1A3133"/>
          <w:lang w:val="fr"/>
        </w:rPr>
        <w:t>s de prestations similaires ;</w:t>
      </w:r>
    </w:p>
    <w:p w:rsidR="00C32FE0" w:rsidRDefault="00C32FE0" w:rsidP="00C32FE0">
      <w:pPr>
        <w:numPr>
          <w:ilvl w:val="0"/>
          <w:numId w:val="3"/>
        </w:numPr>
        <w:spacing w:line="240" w:lineRule="auto"/>
        <w:contextualSpacing/>
        <w:jc w:val="both"/>
        <w:outlineLvl w:val="1"/>
        <w:rPr>
          <w:rFonts w:eastAsia="Times New Roman" w:cstheme="minorHAnsi"/>
          <w:color w:val="1A3133"/>
        </w:rPr>
      </w:pPr>
      <w:r w:rsidRPr="00274F14">
        <w:rPr>
          <w:rFonts w:eastAsia="Times New Roman" w:cstheme="minorHAnsi"/>
          <w:color w:val="1A3133"/>
        </w:rPr>
        <w:t>Un prix unitaire TTC à l’homme.femme par jour en euros.</w:t>
      </w:r>
      <w:r>
        <w:rPr>
          <w:rFonts w:eastAsia="Times New Roman" w:cstheme="minorHAnsi"/>
          <w:color w:val="1A3133"/>
        </w:rPr>
        <w:t xml:space="preserve"> Ce coût comprend les frais de communication, d’internet, d’équipements informatiques nécessaires à la mission et autres frais annexes (hors missions et déplacement hors Grand Tunis). </w:t>
      </w:r>
    </w:p>
    <w:p w:rsidR="00C32FE0" w:rsidRDefault="00C32FE0" w:rsidP="00C32FE0">
      <w:pPr>
        <w:spacing w:line="240" w:lineRule="auto"/>
        <w:ind w:left="720"/>
        <w:contextualSpacing/>
        <w:jc w:val="both"/>
        <w:outlineLvl w:val="1"/>
        <w:rPr>
          <w:rFonts w:eastAsia="Times New Roman" w:cstheme="minorHAnsi"/>
          <w:color w:val="1A3133"/>
        </w:rPr>
      </w:pPr>
    </w:p>
    <w:p w:rsidR="00C32FE0" w:rsidRDefault="00C32FE0" w:rsidP="00C32FE0">
      <w:pPr>
        <w:spacing w:line="240" w:lineRule="auto"/>
        <w:contextualSpacing/>
        <w:jc w:val="both"/>
        <w:outlineLvl w:val="1"/>
        <w:rPr>
          <w:rFonts w:eastAsia="Times New Roman" w:cstheme="minorHAnsi"/>
          <w:color w:val="1A3133"/>
        </w:rPr>
      </w:pPr>
      <w:r w:rsidRPr="00AF7A76">
        <w:rPr>
          <w:rFonts w:eastAsia="Times New Roman" w:cstheme="minorHAnsi"/>
          <w:color w:val="1A3133"/>
          <w:u w:val="single"/>
        </w:rPr>
        <w:t>N.B :</w:t>
      </w:r>
      <w:r w:rsidR="00AA5933">
        <w:rPr>
          <w:rFonts w:eastAsia="Times New Roman" w:cstheme="minorHAnsi"/>
          <w:color w:val="1A3133"/>
        </w:rPr>
        <w:t xml:space="preserve"> les frais de mission, s’il y en a, </w:t>
      </w:r>
      <w:r>
        <w:rPr>
          <w:rFonts w:eastAsia="Times New Roman" w:cstheme="minorHAnsi"/>
          <w:color w:val="1A3133"/>
        </w:rPr>
        <w:t>seront pris en charge au réel selon les barèmes d’Expertise France</w:t>
      </w:r>
    </w:p>
    <w:p w:rsidR="00C32FE0" w:rsidRDefault="00C32FE0" w:rsidP="00C32FE0">
      <w:pPr>
        <w:spacing w:line="240" w:lineRule="auto"/>
        <w:contextualSpacing/>
        <w:jc w:val="both"/>
        <w:outlineLvl w:val="1"/>
        <w:rPr>
          <w:rFonts w:eastAsia="Times New Roman" w:cstheme="minorHAnsi"/>
          <w:color w:val="1A3133"/>
        </w:rPr>
      </w:pPr>
    </w:p>
    <w:p w:rsidR="00C32FE0" w:rsidRPr="00110DAD" w:rsidRDefault="00C32FE0" w:rsidP="00C32FE0">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Le processus de sélection se déroulera en deux temps</w:t>
      </w:r>
      <w:r w:rsidRPr="00110DAD">
        <w:rPr>
          <w:rFonts w:eastAsia="Times New Roman" w:cstheme="minorHAnsi"/>
          <w:color w:val="1A3133"/>
        </w:rPr>
        <w:t xml:space="preserve"> : </w:t>
      </w:r>
    </w:p>
    <w:p w:rsidR="00C32FE0" w:rsidRDefault="00C32FE0" w:rsidP="00C32FE0">
      <w:pPr>
        <w:spacing w:line="240" w:lineRule="auto"/>
        <w:contextualSpacing/>
        <w:jc w:val="both"/>
        <w:outlineLvl w:val="1"/>
        <w:rPr>
          <w:rFonts w:eastAsia="Times New Roman" w:cstheme="minorHAnsi"/>
          <w:color w:val="1A3133"/>
        </w:rPr>
      </w:pPr>
      <w:r w:rsidRPr="00110DAD">
        <w:rPr>
          <w:rFonts w:eastAsia="Times New Roman" w:cstheme="minorHAnsi"/>
          <w:color w:val="1A3133"/>
        </w:rPr>
        <w:t xml:space="preserve">Conduite d’un entretien avec les candidat.e.s présélectionné.e.s. </w:t>
      </w:r>
    </w:p>
    <w:p w:rsidR="00416F87" w:rsidRDefault="00416F87" w:rsidP="00C32FE0">
      <w:pPr>
        <w:spacing w:line="240" w:lineRule="auto"/>
        <w:contextualSpacing/>
        <w:jc w:val="both"/>
        <w:outlineLvl w:val="1"/>
        <w:rPr>
          <w:rFonts w:eastAsia="Times New Roman" w:cstheme="minorHAnsi"/>
          <w:color w:val="1A3133"/>
        </w:rPr>
      </w:pPr>
      <w:r>
        <w:rPr>
          <w:rFonts w:eastAsia="Times New Roman" w:cstheme="minorHAnsi"/>
          <w:color w:val="1A3133"/>
        </w:rPr>
        <w:t xml:space="preserve">Négociation du prix si nécessaire. </w:t>
      </w:r>
    </w:p>
    <w:p w:rsidR="00C32FE0" w:rsidRPr="00110DAD" w:rsidRDefault="00C32FE0" w:rsidP="00C32FE0">
      <w:pPr>
        <w:spacing w:line="240" w:lineRule="auto"/>
        <w:contextualSpacing/>
        <w:jc w:val="both"/>
        <w:outlineLvl w:val="1"/>
        <w:rPr>
          <w:rFonts w:eastAsia="Times New Roman" w:cstheme="minorHAnsi"/>
          <w:color w:val="1A3133"/>
        </w:rPr>
      </w:pPr>
    </w:p>
    <w:p w:rsidR="00C32FE0" w:rsidRPr="00110DAD" w:rsidRDefault="00C32FE0" w:rsidP="00C32FE0">
      <w:pPr>
        <w:spacing w:line="240" w:lineRule="auto"/>
        <w:contextualSpacing/>
        <w:jc w:val="both"/>
        <w:outlineLvl w:val="1"/>
        <w:rPr>
          <w:rFonts w:eastAsia="Times New Roman" w:cstheme="minorHAnsi"/>
          <w:color w:val="1A3133"/>
        </w:rPr>
      </w:pPr>
      <w:r w:rsidRPr="00110DAD">
        <w:rPr>
          <w:rFonts w:eastAsia="Times New Roman" w:cstheme="minorHAnsi"/>
          <w:b/>
          <w:i/>
          <w:color w:val="1A3133"/>
        </w:rPr>
        <w:t xml:space="preserve">Date de démarrage </w:t>
      </w:r>
      <w:r w:rsidRPr="00AF7A76">
        <w:rPr>
          <w:rFonts w:eastAsia="Times New Roman" w:cstheme="minorHAnsi"/>
          <w:b/>
          <w:i/>
          <w:color w:val="1A3133"/>
        </w:rPr>
        <w:t>souhaitée</w:t>
      </w:r>
      <w:r w:rsidRPr="00AF7A76">
        <w:rPr>
          <w:rFonts w:eastAsia="Times New Roman" w:cstheme="minorHAnsi"/>
          <w:color w:val="1A3133"/>
        </w:rPr>
        <w:t xml:space="preserve"> </w:t>
      </w:r>
      <w:r w:rsidRPr="00110DAD">
        <w:rPr>
          <w:rFonts w:eastAsia="Times New Roman" w:cstheme="minorHAnsi"/>
          <w:color w:val="1A3133"/>
        </w:rPr>
        <w:t xml:space="preserve">: </w:t>
      </w:r>
      <w:r w:rsidRPr="00AF7A76">
        <w:rPr>
          <w:rFonts w:eastAsia="Times New Roman" w:cstheme="minorHAnsi"/>
          <w:color w:val="1A3133"/>
        </w:rPr>
        <w:t xml:space="preserve">15 janvier 2026 </w:t>
      </w:r>
    </w:p>
    <w:p w:rsidR="00C32FE0" w:rsidRPr="00110DAD" w:rsidRDefault="00C32FE0" w:rsidP="00C32FE0">
      <w:pPr>
        <w:spacing w:line="276" w:lineRule="auto"/>
        <w:jc w:val="both"/>
        <w:rPr>
          <w:rFonts w:eastAsia="Times New Roman" w:cstheme="minorHAnsi"/>
          <w:color w:val="1A3133"/>
          <w:lang w:val="fr"/>
        </w:rPr>
      </w:pPr>
    </w:p>
    <w:p w:rsidR="00C32FE0" w:rsidRPr="00110DAD" w:rsidRDefault="00C32FE0" w:rsidP="00C32FE0">
      <w:pPr>
        <w:jc w:val="both"/>
        <w:rPr>
          <w:rFonts w:cstheme="minorHAnsi"/>
        </w:rPr>
      </w:pPr>
    </w:p>
    <w:p w:rsidR="008038F4" w:rsidRDefault="008038F4"/>
    <w:sectPr w:rsidR="008038F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EA6" w:rsidRDefault="00582EA6">
      <w:pPr>
        <w:spacing w:after="0" w:line="240" w:lineRule="auto"/>
      </w:pPr>
      <w:r>
        <w:separator/>
      </w:r>
    </w:p>
  </w:endnote>
  <w:endnote w:type="continuationSeparator" w:id="0">
    <w:p w:rsidR="00582EA6" w:rsidRDefault="0058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15" w:rsidRDefault="00AA593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82EA6">
      <w:rPr>
        <w:caps/>
        <w:noProof/>
        <w:color w:val="5B9BD5" w:themeColor="accent1"/>
      </w:rPr>
      <w:t>1</w:t>
    </w:r>
    <w:r>
      <w:rPr>
        <w:caps/>
        <w:color w:val="5B9BD5" w:themeColor="accent1"/>
      </w:rPr>
      <w:fldChar w:fldCharType="end"/>
    </w:r>
  </w:p>
  <w:p w:rsidR="002B6D15" w:rsidRDefault="00582EA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EA6" w:rsidRDefault="00582EA6">
      <w:pPr>
        <w:spacing w:after="0" w:line="240" w:lineRule="auto"/>
      </w:pPr>
      <w:r>
        <w:separator/>
      </w:r>
    </w:p>
  </w:footnote>
  <w:footnote w:type="continuationSeparator" w:id="0">
    <w:p w:rsidR="00582EA6" w:rsidRDefault="0058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BB" w:rsidRDefault="00AA5933">
    <w:pPr>
      <w:pStyle w:val="En-tte1"/>
    </w:pPr>
    <w:r>
      <w:rPr>
        <w:noProof/>
        <w:lang w:eastAsia="fr-FR"/>
      </w:rPr>
      <w:drawing>
        <wp:anchor distT="0" distB="0" distL="114300" distR="114300" simplePos="0" relativeHeight="251659264" behindDoc="1" locked="0" layoutInCell="1" allowOverlap="1" wp14:anchorId="7E3C2F0C" wp14:editId="65E5D90A">
          <wp:simplePos x="0" y="0"/>
          <wp:positionH relativeFrom="margin">
            <wp:posOffset>-664845</wp:posOffset>
          </wp:positionH>
          <wp:positionV relativeFrom="margin">
            <wp:posOffset>-683895</wp:posOffset>
          </wp:positionV>
          <wp:extent cx="3175000" cy="481965"/>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9713" b="19570"/>
                  <a:stretch/>
                </pic:blipFill>
                <pic:spPr bwMode="auto">
                  <a:xfrm>
                    <a:off x="0" y="0"/>
                    <a:ext cx="3175000"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E3C"/>
    <w:multiLevelType w:val="hybridMultilevel"/>
    <w:tmpl w:val="8D5A21D2"/>
    <w:lvl w:ilvl="0" w:tplc="D3EE01F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3E2C94"/>
    <w:multiLevelType w:val="hybridMultilevel"/>
    <w:tmpl w:val="B12A3318"/>
    <w:lvl w:ilvl="0" w:tplc="D3EE01F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03393"/>
    <w:multiLevelType w:val="hybridMultilevel"/>
    <w:tmpl w:val="B8FE95B4"/>
    <w:lvl w:ilvl="0" w:tplc="9C283E7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C20C18"/>
    <w:multiLevelType w:val="hybridMultilevel"/>
    <w:tmpl w:val="111835E4"/>
    <w:lvl w:ilvl="0" w:tplc="4D42510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BF1BC7"/>
    <w:multiLevelType w:val="hybridMultilevel"/>
    <w:tmpl w:val="B7F018B0"/>
    <w:lvl w:ilvl="0" w:tplc="7854B2A0">
      <w:start w:val="1"/>
      <w:numFmt w:val="bullet"/>
      <w:lvlText w:val="-"/>
      <w:lvlJc w:val="left"/>
      <w:pPr>
        <w:ind w:left="720" w:hanging="360"/>
      </w:pPr>
      <w:rPr>
        <w:rFonts w:ascii="Calibri" w:eastAsiaTheme="minorHAnsi" w:hAnsi="Calibri" w:cs="Calibri" w:hint="default"/>
      </w:rPr>
    </w:lvl>
    <w:lvl w:ilvl="1" w:tplc="20D4E4DC">
      <w:start w:val="1"/>
      <w:numFmt w:val="bullet"/>
      <w:lvlText w:val="o"/>
      <w:lvlJc w:val="left"/>
      <w:pPr>
        <w:ind w:left="1440" w:hanging="360"/>
      </w:pPr>
      <w:rPr>
        <w:rFonts w:ascii="Courier New" w:hAnsi="Courier New" w:cs="Courier New" w:hint="default"/>
      </w:rPr>
    </w:lvl>
    <w:lvl w:ilvl="2" w:tplc="88FC940C">
      <w:start w:val="1"/>
      <w:numFmt w:val="bullet"/>
      <w:lvlText w:val=""/>
      <w:lvlJc w:val="left"/>
      <w:pPr>
        <w:ind w:left="2160" w:hanging="360"/>
      </w:pPr>
      <w:rPr>
        <w:rFonts w:ascii="Wingdings" w:hAnsi="Wingdings" w:hint="default"/>
      </w:rPr>
    </w:lvl>
    <w:lvl w:ilvl="3" w:tplc="290AC10C">
      <w:start w:val="1"/>
      <w:numFmt w:val="bullet"/>
      <w:lvlText w:val=""/>
      <w:lvlJc w:val="left"/>
      <w:pPr>
        <w:ind w:left="2880" w:hanging="360"/>
      </w:pPr>
      <w:rPr>
        <w:rFonts w:ascii="Symbol" w:hAnsi="Symbol" w:hint="default"/>
      </w:rPr>
    </w:lvl>
    <w:lvl w:ilvl="4" w:tplc="80A84E2C">
      <w:start w:val="1"/>
      <w:numFmt w:val="bullet"/>
      <w:lvlText w:val="o"/>
      <w:lvlJc w:val="left"/>
      <w:pPr>
        <w:ind w:left="3600" w:hanging="360"/>
      </w:pPr>
      <w:rPr>
        <w:rFonts w:ascii="Courier New" w:hAnsi="Courier New" w:cs="Courier New" w:hint="default"/>
      </w:rPr>
    </w:lvl>
    <w:lvl w:ilvl="5" w:tplc="6EAAF832">
      <w:start w:val="1"/>
      <w:numFmt w:val="bullet"/>
      <w:lvlText w:val=""/>
      <w:lvlJc w:val="left"/>
      <w:pPr>
        <w:ind w:left="4320" w:hanging="360"/>
      </w:pPr>
      <w:rPr>
        <w:rFonts w:ascii="Wingdings" w:hAnsi="Wingdings" w:hint="default"/>
      </w:rPr>
    </w:lvl>
    <w:lvl w:ilvl="6" w:tplc="1B9ECA84">
      <w:start w:val="1"/>
      <w:numFmt w:val="bullet"/>
      <w:lvlText w:val=""/>
      <w:lvlJc w:val="left"/>
      <w:pPr>
        <w:ind w:left="5040" w:hanging="360"/>
      </w:pPr>
      <w:rPr>
        <w:rFonts w:ascii="Symbol" w:hAnsi="Symbol" w:hint="default"/>
      </w:rPr>
    </w:lvl>
    <w:lvl w:ilvl="7" w:tplc="D4208F34">
      <w:start w:val="1"/>
      <w:numFmt w:val="bullet"/>
      <w:lvlText w:val="o"/>
      <w:lvlJc w:val="left"/>
      <w:pPr>
        <w:ind w:left="5760" w:hanging="360"/>
      </w:pPr>
      <w:rPr>
        <w:rFonts w:ascii="Courier New" w:hAnsi="Courier New" w:cs="Courier New" w:hint="default"/>
      </w:rPr>
    </w:lvl>
    <w:lvl w:ilvl="8" w:tplc="6994CC3A">
      <w:start w:val="1"/>
      <w:numFmt w:val="bullet"/>
      <w:lvlText w:val=""/>
      <w:lvlJc w:val="left"/>
      <w:pPr>
        <w:ind w:left="6480" w:hanging="360"/>
      </w:pPr>
      <w:rPr>
        <w:rFonts w:ascii="Wingdings" w:hAnsi="Wingdings" w:hint="default"/>
      </w:rPr>
    </w:lvl>
  </w:abstractNum>
  <w:abstractNum w:abstractNumId="5" w15:restartNumberingAfterBreak="0">
    <w:nsid w:val="6294109A"/>
    <w:multiLevelType w:val="hybridMultilevel"/>
    <w:tmpl w:val="4EF47346"/>
    <w:lvl w:ilvl="0" w:tplc="D5FE152C">
      <w:start w:val="1"/>
      <w:numFmt w:val="decimal"/>
      <w:lvlText w:val="%1."/>
      <w:lvlJc w:val="left"/>
      <w:pPr>
        <w:ind w:left="501" w:hanging="360"/>
      </w:pPr>
      <w:rPr>
        <w:rFonts w:asciiTheme="minorHAnsi" w:hAnsiTheme="minorHAnsi" w:cs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336805"/>
    <w:multiLevelType w:val="hybridMultilevel"/>
    <w:tmpl w:val="C29C7BB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E0"/>
    <w:rsid w:val="000024B3"/>
    <w:rsid w:val="000A11E7"/>
    <w:rsid w:val="00102CFA"/>
    <w:rsid w:val="00237974"/>
    <w:rsid w:val="003E72BC"/>
    <w:rsid w:val="00416F87"/>
    <w:rsid w:val="00496C78"/>
    <w:rsid w:val="00582EA6"/>
    <w:rsid w:val="008038F4"/>
    <w:rsid w:val="00AA5933"/>
    <w:rsid w:val="00AC7B74"/>
    <w:rsid w:val="00C07026"/>
    <w:rsid w:val="00C32F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A1A9B-A3AF-4C52-9D12-23CF723E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F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C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1">
    <w:name w:val="En-tête1"/>
    <w:basedOn w:val="Normal"/>
    <w:next w:val="En-tte"/>
    <w:link w:val="En-tteCar"/>
    <w:uiPriority w:val="99"/>
    <w:unhideWhenUsed/>
    <w:rsid w:val="00C32FE0"/>
    <w:pPr>
      <w:tabs>
        <w:tab w:val="center" w:pos="4536"/>
        <w:tab w:val="right" w:pos="9072"/>
      </w:tabs>
      <w:spacing w:after="0" w:line="240" w:lineRule="auto"/>
    </w:pPr>
  </w:style>
  <w:style w:type="character" w:customStyle="1" w:styleId="En-tteCar">
    <w:name w:val="En-tête Car"/>
    <w:basedOn w:val="Policepardfaut"/>
    <w:link w:val="En-tte1"/>
    <w:uiPriority w:val="99"/>
    <w:rsid w:val="00C32FE0"/>
  </w:style>
  <w:style w:type="paragraph" w:styleId="Pieddepage">
    <w:name w:val="footer"/>
    <w:basedOn w:val="Normal"/>
    <w:link w:val="PieddepageCar1"/>
    <w:uiPriority w:val="99"/>
    <w:unhideWhenUsed/>
    <w:rsid w:val="00C32FE0"/>
    <w:pPr>
      <w:tabs>
        <w:tab w:val="center" w:pos="4536"/>
        <w:tab w:val="right" w:pos="9072"/>
      </w:tabs>
      <w:spacing w:after="0" w:line="240" w:lineRule="auto"/>
    </w:pPr>
  </w:style>
  <w:style w:type="character" w:customStyle="1" w:styleId="PieddepageCar">
    <w:name w:val="Pied de page Car"/>
    <w:basedOn w:val="Policepardfaut"/>
    <w:uiPriority w:val="99"/>
    <w:semiHidden/>
    <w:rsid w:val="00C32FE0"/>
  </w:style>
  <w:style w:type="character" w:customStyle="1" w:styleId="PieddepageCar1">
    <w:name w:val="Pied de page Car1"/>
    <w:basedOn w:val="Policepardfaut"/>
    <w:link w:val="Pieddepage"/>
    <w:uiPriority w:val="99"/>
    <w:rsid w:val="00C32FE0"/>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C32FE0"/>
    <w:pPr>
      <w:spacing w:after="240" w:line="240" w:lineRule="auto"/>
      <w:ind w:left="720"/>
      <w:contextualSpacing/>
    </w:pPr>
    <w:rPr>
      <w:rFonts w:ascii="Arial" w:hAnsi="Arial"/>
    </w:r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C32FE0"/>
    <w:rPr>
      <w:rFonts w:ascii="Arial" w:hAnsi="Arial"/>
    </w:rPr>
  </w:style>
  <w:style w:type="table" w:styleId="Grilledutableau">
    <w:name w:val="Table Grid"/>
    <w:basedOn w:val="TableauNormal"/>
    <w:uiPriority w:val="39"/>
    <w:rsid w:val="00C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1"/>
    <w:uiPriority w:val="99"/>
    <w:semiHidden/>
    <w:unhideWhenUsed/>
    <w:rsid w:val="00C32FE0"/>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C32FE0"/>
  </w:style>
  <w:style w:type="paragraph" w:styleId="NormalWeb">
    <w:name w:val="Normal (Web)"/>
    <w:basedOn w:val="Normal"/>
    <w:uiPriority w:val="99"/>
    <w:semiHidden/>
    <w:unhideWhenUsed/>
    <w:rsid w:val="000024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04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Artemise Suz PEMBELE</dc:creator>
  <cp:keywords/>
  <dc:description/>
  <cp:lastModifiedBy>Ahmed Zied BENNOUR</cp:lastModifiedBy>
  <cp:revision>2</cp:revision>
  <dcterms:created xsi:type="dcterms:W3CDTF">2025-11-24T08:39:00Z</dcterms:created>
  <dcterms:modified xsi:type="dcterms:W3CDTF">2025-11-24T08:39:00Z</dcterms:modified>
</cp:coreProperties>
</file>