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32887" w14:textId="4005E22C" w:rsidR="00CF4160" w:rsidRDefault="00CF4160" w:rsidP="00CF4160">
      <w:pPr>
        <w:jc w:val="both"/>
        <w:rPr>
          <w:rFonts w:ascii="Arial" w:hAnsi="Arial" w:cs="Arial"/>
          <w:sz w:val="21"/>
          <w:szCs w:val="21"/>
          <w:lang w:val="en-CA"/>
        </w:rPr>
      </w:pPr>
      <w:bookmarkStart w:id="0" w:name="_GoBack"/>
      <w:bookmarkEnd w:id="0"/>
      <w:r>
        <w:rPr>
          <w:noProof/>
          <w:lang w:eastAsia="fr-FR"/>
        </w:rPr>
        <w:drawing>
          <wp:anchor distT="0" distB="0" distL="114300" distR="114300" simplePos="0" relativeHeight="251658240" behindDoc="1" locked="0" layoutInCell="1" allowOverlap="1" wp14:anchorId="4252B9B7" wp14:editId="28DD4F77">
            <wp:simplePos x="0" y="0"/>
            <wp:positionH relativeFrom="margin">
              <wp:posOffset>63500</wp:posOffset>
            </wp:positionH>
            <wp:positionV relativeFrom="paragraph">
              <wp:posOffset>-277495</wp:posOffset>
            </wp:positionV>
            <wp:extent cx="5760720" cy="1538605"/>
            <wp:effectExtent l="0" t="0" r="0" b="444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538605"/>
                    </a:xfrm>
                    <a:prstGeom prst="rect">
                      <a:avLst/>
                    </a:prstGeom>
                    <a:noFill/>
                    <a:ln>
                      <a:noFill/>
                    </a:ln>
                  </pic:spPr>
                </pic:pic>
              </a:graphicData>
            </a:graphic>
          </wp:anchor>
        </w:drawing>
      </w:r>
    </w:p>
    <w:p w14:paraId="0CDDDE4F" w14:textId="334D8577" w:rsidR="00CF4160" w:rsidRDefault="00CF4160" w:rsidP="00CF4160">
      <w:pPr>
        <w:jc w:val="both"/>
        <w:rPr>
          <w:rFonts w:ascii="Arial" w:hAnsi="Arial" w:cs="Arial"/>
          <w:sz w:val="21"/>
          <w:szCs w:val="21"/>
          <w:lang w:val="en-CA"/>
        </w:rPr>
      </w:pPr>
    </w:p>
    <w:p w14:paraId="1EAD35E1" w14:textId="77777777" w:rsidR="00CF4160" w:rsidRDefault="00CF4160" w:rsidP="00CF4160">
      <w:pPr>
        <w:jc w:val="both"/>
        <w:rPr>
          <w:rFonts w:ascii="Arial" w:hAnsi="Arial" w:cs="Arial"/>
          <w:sz w:val="21"/>
          <w:szCs w:val="21"/>
          <w:lang w:val="en-CA"/>
        </w:rPr>
      </w:pPr>
    </w:p>
    <w:p w14:paraId="60C56236" w14:textId="77777777" w:rsidR="00CF4160" w:rsidRDefault="00CF4160" w:rsidP="00CF4160">
      <w:pPr>
        <w:jc w:val="both"/>
        <w:rPr>
          <w:rFonts w:ascii="Arial" w:hAnsi="Arial" w:cs="Arial"/>
          <w:sz w:val="21"/>
          <w:szCs w:val="21"/>
          <w:lang w:val="en-CA"/>
        </w:rPr>
      </w:pPr>
    </w:p>
    <w:p w14:paraId="60AE4F58" w14:textId="77777777" w:rsidR="00CF4160" w:rsidRDefault="00CF4160" w:rsidP="00CF4160">
      <w:pPr>
        <w:jc w:val="both"/>
        <w:rPr>
          <w:rFonts w:ascii="Arial" w:hAnsi="Arial" w:cs="Arial"/>
          <w:sz w:val="21"/>
          <w:szCs w:val="21"/>
          <w:lang w:val="en-CA"/>
        </w:rPr>
      </w:pPr>
    </w:p>
    <w:p w14:paraId="5FE32C4B" w14:textId="49999166" w:rsidR="00CF4160" w:rsidRDefault="00CF4160" w:rsidP="00CF4160">
      <w:pPr>
        <w:jc w:val="both"/>
        <w:rPr>
          <w:rFonts w:ascii="Arial" w:hAnsi="Arial" w:cs="Arial"/>
          <w:sz w:val="21"/>
          <w:szCs w:val="21"/>
          <w:lang w:val="en-CA"/>
        </w:rPr>
      </w:pPr>
    </w:p>
    <w:p w14:paraId="5ED9D935" w14:textId="4E7A1FFC" w:rsidR="00CF4160" w:rsidRDefault="00CF4160" w:rsidP="00CF4160">
      <w:pPr>
        <w:jc w:val="both"/>
        <w:rPr>
          <w:rFonts w:ascii="Arial" w:hAnsi="Arial" w:cs="Arial"/>
          <w:sz w:val="21"/>
          <w:szCs w:val="21"/>
          <w:lang w:val="en-CA"/>
        </w:rPr>
      </w:pPr>
    </w:p>
    <w:p w14:paraId="44684E5C" w14:textId="77777777" w:rsidR="00CF4160" w:rsidRDefault="00CF4160" w:rsidP="00CF4160">
      <w:pPr>
        <w:jc w:val="both"/>
        <w:rPr>
          <w:rFonts w:ascii="Arial" w:hAnsi="Arial" w:cs="Arial"/>
          <w:sz w:val="21"/>
          <w:szCs w:val="21"/>
          <w:lang w:val="en-CA"/>
        </w:rPr>
      </w:pPr>
    </w:p>
    <w:p w14:paraId="50E47759" w14:textId="77777777" w:rsidR="00CF4160" w:rsidRDefault="00CF4160" w:rsidP="00CF4160">
      <w:pPr>
        <w:jc w:val="both"/>
        <w:rPr>
          <w:rFonts w:ascii="Arial" w:hAnsi="Arial" w:cs="Arial"/>
          <w:sz w:val="21"/>
          <w:szCs w:val="21"/>
          <w:lang w:val="en-CA"/>
        </w:rPr>
      </w:pPr>
    </w:p>
    <w:p w14:paraId="5068F7D8" w14:textId="77777777" w:rsidR="00CF4160" w:rsidRDefault="00CF4160" w:rsidP="00CF4160">
      <w:pPr>
        <w:jc w:val="both"/>
        <w:rPr>
          <w:rFonts w:ascii="Arial" w:hAnsi="Arial" w:cs="Arial"/>
          <w:sz w:val="21"/>
          <w:szCs w:val="21"/>
          <w:lang w:val="en-CA"/>
        </w:rPr>
      </w:pPr>
    </w:p>
    <w:p w14:paraId="1ABD6DD2" w14:textId="77777777" w:rsidR="00CF4160" w:rsidRDefault="00CF4160" w:rsidP="00CF4160">
      <w:pPr>
        <w:jc w:val="both"/>
        <w:rPr>
          <w:rFonts w:ascii="Arial" w:hAnsi="Arial" w:cs="Arial"/>
          <w:sz w:val="21"/>
          <w:szCs w:val="21"/>
          <w:lang w:val="en-CA"/>
        </w:rPr>
      </w:pPr>
    </w:p>
    <w:p w14:paraId="37D07694" w14:textId="77777777" w:rsidR="00CF4160" w:rsidRDefault="00CF4160" w:rsidP="00CF4160">
      <w:pPr>
        <w:jc w:val="both"/>
        <w:rPr>
          <w:rFonts w:ascii="Arial" w:hAnsi="Arial" w:cs="Arial"/>
          <w:sz w:val="21"/>
          <w:szCs w:val="21"/>
          <w:lang w:val="en-CA"/>
        </w:rPr>
      </w:pPr>
    </w:p>
    <w:p w14:paraId="42250F29" w14:textId="15253397" w:rsidR="00CF4160" w:rsidRDefault="00CF4160" w:rsidP="00CF4160">
      <w:pPr>
        <w:jc w:val="both"/>
        <w:rPr>
          <w:rFonts w:ascii="Arial" w:hAnsi="Arial" w:cs="Arial"/>
          <w:sz w:val="21"/>
          <w:szCs w:val="21"/>
          <w:lang w:val="en-CA"/>
        </w:rPr>
      </w:pPr>
    </w:p>
    <w:p w14:paraId="3DB898F0" w14:textId="23978ACE" w:rsidR="00CF4160" w:rsidRDefault="00CF4160" w:rsidP="00CF4160">
      <w:pPr>
        <w:jc w:val="both"/>
        <w:rPr>
          <w:rFonts w:ascii="Arial" w:hAnsi="Arial" w:cs="Arial"/>
          <w:sz w:val="21"/>
          <w:szCs w:val="21"/>
          <w:lang w:val="en-CA"/>
        </w:rPr>
      </w:pPr>
    </w:p>
    <w:p w14:paraId="5E9B7E5F" w14:textId="236BC508" w:rsidR="00CF4160" w:rsidRDefault="00CF4160" w:rsidP="00CF4160">
      <w:pPr>
        <w:jc w:val="both"/>
        <w:rPr>
          <w:rFonts w:ascii="Arial" w:hAnsi="Arial" w:cs="Arial"/>
          <w:sz w:val="21"/>
          <w:szCs w:val="21"/>
          <w:lang w:val="en-CA"/>
        </w:rPr>
      </w:pPr>
      <w:r>
        <w:rPr>
          <w:rFonts w:ascii="Times New Roman" w:hAnsi="Times New Roman" w:cs="Times New Roman"/>
          <w:noProof/>
          <w:kern w:val="0"/>
          <w:lang w:eastAsia="fr-FR"/>
          <w14:ligatures w14:val="none"/>
        </w:rPr>
        <mc:AlternateContent>
          <mc:Choice Requires="wps">
            <w:drawing>
              <wp:anchor distT="0" distB="0" distL="114300" distR="114300" simplePos="0" relativeHeight="251660288" behindDoc="0" locked="0" layoutInCell="1" allowOverlap="1" wp14:anchorId="33E96DCC" wp14:editId="7ADB65A1">
                <wp:simplePos x="0" y="0"/>
                <wp:positionH relativeFrom="column">
                  <wp:posOffset>-99695</wp:posOffset>
                </wp:positionH>
                <wp:positionV relativeFrom="paragraph">
                  <wp:posOffset>232410</wp:posOffset>
                </wp:positionV>
                <wp:extent cx="5734050" cy="622300"/>
                <wp:effectExtent l="0" t="0" r="19050" b="25400"/>
                <wp:wrapNone/>
                <wp:docPr id="1" name="Rectangle 1"/>
                <wp:cNvGraphicFramePr/>
                <a:graphic xmlns:a="http://schemas.openxmlformats.org/drawingml/2006/main">
                  <a:graphicData uri="http://schemas.microsoft.com/office/word/2010/wordprocessingShape">
                    <wps:wsp>
                      <wps:cNvSpPr/>
                      <wps:spPr>
                        <a:xfrm>
                          <a:off x="0" y="0"/>
                          <a:ext cx="5734050" cy="62230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3D2AFE4" w14:textId="677435B3" w:rsidR="00CF4160" w:rsidRPr="00CF4160" w:rsidRDefault="00CF4160" w:rsidP="00E36952">
                            <w:pPr>
                              <w:jc w:val="center"/>
                              <w:rPr>
                                <w:rFonts w:ascii="Arial" w:hAnsi="Arial" w:cs="Arial"/>
                                <w:color w:val="000000" w:themeColor="text1"/>
                                <w:sz w:val="21"/>
                                <w:szCs w:val="21"/>
                              </w:rPr>
                            </w:pPr>
                            <w:r w:rsidRPr="00CF4160">
                              <w:rPr>
                                <w:rFonts w:ascii="Arial" w:hAnsi="Arial" w:cs="Arial"/>
                                <w:color w:val="000000" w:themeColor="text1"/>
                                <w:sz w:val="21"/>
                                <w:szCs w:val="21"/>
                              </w:rPr>
                              <w:t>Termes de r</w:t>
                            </w:r>
                            <w:r w:rsidR="0074350B">
                              <w:rPr>
                                <w:rFonts w:ascii="Arial" w:hAnsi="Arial" w:cs="Arial"/>
                                <w:color w:val="000000" w:themeColor="text1"/>
                                <w:sz w:val="21"/>
                                <w:szCs w:val="21"/>
                              </w:rPr>
                              <w:t>é</w:t>
                            </w:r>
                            <w:r w:rsidRPr="00CF4160">
                              <w:rPr>
                                <w:rFonts w:ascii="Arial" w:hAnsi="Arial" w:cs="Arial"/>
                                <w:color w:val="000000" w:themeColor="text1"/>
                                <w:sz w:val="21"/>
                                <w:szCs w:val="21"/>
                              </w:rPr>
                              <w:t>f</w:t>
                            </w:r>
                            <w:r w:rsidR="0074350B">
                              <w:rPr>
                                <w:rFonts w:ascii="Arial" w:hAnsi="Arial" w:cs="Arial"/>
                                <w:color w:val="000000" w:themeColor="text1"/>
                                <w:sz w:val="21"/>
                                <w:szCs w:val="21"/>
                              </w:rPr>
                              <w:t>é</w:t>
                            </w:r>
                            <w:r w:rsidRPr="00CF4160">
                              <w:rPr>
                                <w:rFonts w:ascii="Arial" w:hAnsi="Arial" w:cs="Arial"/>
                                <w:color w:val="000000" w:themeColor="text1"/>
                                <w:sz w:val="21"/>
                                <w:szCs w:val="21"/>
                              </w:rPr>
                              <w:t>rence pour la mobilisation d’un Expert Technique International aux fins de réalisation de la Cartographie des acteurs en santé publique et développement des outils de communication au profit de l’INSAPT</w:t>
                            </w:r>
                            <w:r w:rsidR="00E36952">
                              <w:rPr>
                                <w:rFonts w:ascii="Arial" w:hAnsi="Arial" w:cs="Arial"/>
                                <w:color w:val="000000" w:themeColor="text1"/>
                                <w:sz w:val="21"/>
                                <w:szCs w:val="21"/>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E96DCC" id="Rectangle 1" o:spid="_x0000_s1026" style="position:absolute;left:0;text-align:left;margin-left:-7.85pt;margin-top:18.3pt;width:451.5pt;height: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3rigIAAIgFAAAOAAAAZHJzL2Uyb0RvYy54bWysVN9P2zAQfp+0/8Hy+0haWmARKapATJMY&#10;VMDEs+vYxJLj82y3SffX7+ykaQXbHqa9OPb9+O7uy91dXnWNJlvhvAJT0slJTokwHCplXkv6/fn2&#10;0wUlPjBTMQ1GlHQnPL1afPxw2dpCTKEGXQlHEMT4orUlrUOwRZZ5XouG+ROwwqBSgmtYwKd7zSrH&#10;WkRvdDbN87OsBVdZB1x4j9KbXkkXCV9KwcODlF4EokuKuYV0unSu45ktLlnx6pitFR/SYP+QRcOU&#10;waAj1A0LjGycegfVKO7AgwwnHJoMpFRcpBqwmkn+ppqnmlmRakFyvB1p8v8Plt9vn+zKIQ2t9YXH&#10;a6yik66JX8yPdIms3UiW6ALhKJyfn87yOXLKUXc2nZ7mic3s4G2dD18ENCReSurwZySO2PbOB4yI&#10;pnuTGMyDVtWt0jo9YgOIa+3IluGvY5wLEybJXW+ab1D1cmyBPiwrUIy/uhdf7MUYIrVSREoBj4Jk&#10;h4rTLey0iKG1eRSSqAprnKaAI8L7XHzNKtGLJ/MhlXcxE2BElljciN0X8wfsnp3BPrqK1Mujc/63&#10;xHrn0SNFBhNG50YZcL8D0MjwELm3R8qOqInX0K07NInXNVS7lSMO+qHylt8q/NF3zIcVczhF2Bu4&#10;GcIDHlJDW1KulaWkBvfzrSzaYVOjhpIWp7Gk/seGOUGJ/mqw3T9PZrM4vukxm59P8eGONetjjdk0&#10;14BdM8HdY3m6Rvug91fpoHnBxbGMUVHFDMfYmGBw+8d16LcErh4ulstkhiNrWbgzT5ZH8EhsbODn&#10;7oU5O3R5wPm4h/3ksuJNs/e20dPAchNAqjQJBz4HynHcU78Oqynuk+N3sjos0MUvAAAA//8DAFBL&#10;AwQUAAYACAAAACEAkLKzRuIAAAAKAQAADwAAAGRycy9kb3ducmV2LnhtbEyPXUvDMBSG7wX/QziC&#10;d1u6dXalazqGqCDIwLnhbdacNcUmqU36sX/v8UovD+/D+z4n306mYQN2vnZWwGIeAUNbOlXbSsDx&#10;43mWAvNBWiUbZ1HAFT1si9ubXGbKjfYdh0OoGJVYn0kBOoQ249yXGo30c9eipeziOiMDnV3FVSdH&#10;KjcNX0ZRwo2sLS1o2eKjxvLr0BsBexOPq76+viWfr8dvvXs5LYenkxD3d9NuAyzgFP5g+NUndSjI&#10;6ex6qzxrBMwWD2tCBcRJAoyANF3HwM5ExqsEeJHz/y8UPwAAAP//AwBQSwECLQAUAAYACAAAACEA&#10;toM4kv4AAADhAQAAEwAAAAAAAAAAAAAAAAAAAAAAW0NvbnRlbnRfVHlwZXNdLnhtbFBLAQItABQA&#10;BgAIAAAAIQA4/SH/1gAAAJQBAAALAAAAAAAAAAAAAAAAAC8BAABfcmVscy8ucmVsc1BLAQItABQA&#10;BgAIAAAAIQDQsC3rigIAAIgFAAAOAAAAAAAAAAAAAAAAAC4CAABkcnMvZTJvRG9jLnhtbFBLAQIt&#10;ABQABgAIAAAAIQCQsrNG4gAAAAoBAAAPAAAAAAAAAAAAAAAAAOQEAABkcnMvZG93bnJldi54bWxQ&#10;SwUGAAAAAAQABADzAAAA8wUAAAAA&#10;" fillcolor="#c1e4f5 [660]" strokecolor="#030e13 [484]" strokeweight="1.5pt">
                <v:textbox>
                  <w:txbxContent>
                    <w:p w14:paraId="53D2AFE4" w14:textId="677435B3" w:rsidR="00CF4160" w:rsidRPr="00CF4160" w:rsidRDefault="00CF4160" w:rsidP="00E36952">
                      <w:pPr>
                        <w:jc w:val="center"/>
                        <w:rPr>
                          <w:rFonts w:ascii="Arial" w:hAnsi="Arial" w:cs="Arial"/>
                          <w:color w:val="000000" w:themeColor="text1"/>
                          <w:sz w:val="21"/>
                          <w:szCs w:val="21"/>
                        </w:rPr>
                      </w:pPr>
                      <w:r w:rsidRPr="00CF4160">
                        <w:rPr>
                          <w:rFonts w:ascii="Arial" w:hAnsi="Arial" w:cs="Arial"/>
                          <w:color w:val="000000" w:themeColor="text1"/>
                          <w:sz w:val="21"/>
                          <w:szCs w:val="21"/>
                        </w:rPr>
                        <w:t>Termes de r</w:t>
                      </w:r>
                      <w:r w:rsidR="0074350B">
                        <w:rPr>
                          <w:rFonts w:ascii="Arial" w:hAnsi="Arial" w:cs="Arial"/>
                          <w:color w:val="000000" w:themeColor="text1"/>
                          <w:sz w:val="21"/>
                          <w:szCs w:val="21"/>
                        </w:rPr>
                        <w:t>é</w:t>
                      </w:r>
                      <w:r w:rsidRPr="00CF4160">
                        <w:rPr>
                          <w:rFonts w:ascii="Arial" w:hAnsi="Arial" w:cs="Arial"/>
                          <w:color w:val="000000" w:themeColor="text1"/>
                          <w:sz w:val="21"/>
                          <w:szCs w:val="21"/>
                        </w:rPr>
                        <w:t>f</w:t>
                      </w:r>
                      <w:r w:rsidR="0074350B">
                        <w:rPr>
                          <w:rFonts w:ascii="Arial" w:hAnsi="Arial" w:cs="Arial"/>
                          <w:color w:val="000000" w:themeColor="text1"/>
                          <w:sz w:val="21"/>
                          <w:szCs w:val="21"/>
                        </w:rPr>
                        <w:t>é</w:t>
                      </w:r>
                      <w:r w:rsidRPr="00CF4160">
                        <w:rPr>
                          <w:rFonts w:ascii="Arial" w:hAnsi="Arial" w:cs="Arial"/>
                          <w:color w:val="000000" w:themeColor="text1"/>
                          <w:sz w:val="21"/>
                          <w:szCs w:val="21"/>
                        </w:rPr>
                        <w:t>rence pour la mobilisation d’un Expert Technique International aux fins de réalisation de la Cartographie des acteurs en santé publique et développement des outils de communication au profit de l’INSAPT</w:t>
                      </w:r>
                      <w:r w:rsidR="00E36952">
                        <w:rPr>
                          <w:rFonts w:ascii="Arial" w:hAnsi="Arial" w:cs="Arial"/>
                          <w:color w:val="000000" w:themeColor="text1"/>
                          <w:sz w:val="21"/>
                          <w:szCs w:val="21"/>
                        </w:rPr>
                        <w:t>.</w:t>
                      </w:r>
                    </w:p>
                  </w:txbxContent>
                </v:textbox>
              </v:rect>
            </w:pict>
          </mc:Fallback>
        </mc:AlternateContent>
      </w:r>
    </w:p>
    <w:p w14:paraId="12761629" w14:textId="77777777" w:rsidR="00CF4160" w:rsidRDefault="00CF4160" w:rsidP="00CF4160">
      <w:pPr>
        <w:jc w:val="both"/>
        <w:rPr>
          <w:rFonts w:ascii="Arial" w:hAnsi="Arial" w:cs="Arial"/>
          <w:sz w:val="21"/>
          <w:szCs w:val="21"/>
          <w:lang w:val="en-CA"/>
        </w:rPr>
      </w:pPr>
    </w:p>
    <w:p w14:paraId="53749222" w14:textId="77777777" w:rsidR="00CF4160" w:rsidRDefault="00CF4160" w:rsidP="00CF4160">
      <w:pPr>
        <w:jc w:val="both"/>
        <w:rPr>
          <w:rFonts w:ascii="Arial" w:hAnsi="Arial" w:cs="Arial"/>
          <w:sz w:val="21"/>
          <w:szCs w:val="21"/>
          <w:lang w:val="en-CA"/>
        </w:rPr>
      </w:pPr>
    </w:p>
    <w:p w14:paraId="1E6E3A21" w14:textId="77777777" w:rsidR="00CF4160" w:rsidRDefault="00CF4160" w:rsidP="00CF4160">
      <w:pPr>
        <w:jc w:val="both"/>
        <w:rPr>
          <w:rFonts w:ascii="Arial" w:hAnsi="Arial" w:cs="Arial"/>
          <w:sz w:val="21"/>
          <w:szCs w:val="21"/>
          <w:lang w:val="en-CA"/>
        </w:rPr>
      </w:pPr>
    </w:p>
    <w:p w14:paraId="2288D5C8" w14:textId="758C3A66" w:rsidR="00CF4160" w:rsidRDefault="00CF4160">
      <w:pPr>
        <w:rPr>
          <w:rFonts w:ascii="Arial" w:hAnsi="Arial" w:cs="Arial"/>
          <w:sz w:val="21"/>
          <w:szCs w:val="21"/>
        </w:rPr>
      </w:pPr>
      <w:r>
        <w:rPr>
          <w:rFonts w:ascii="Times New Roman" w:hAnsi="Times New Roman" w:cs="Times New Roman"/>
          <w:noProof/>
          <w:kern w:val="0"/>
          <w:lang w:eastAsia="fr-FR"/>
          <w14:ligatures w14:val="none"/>
        </w:rPr>
        <mc:AlternateContent>
          <mc:Choice Requires="wps">
            <w:drawing>
              <wp:anchor distT="0" distB="0" distL="114300" distR="114300" simplePos="0" relativeHeight="251662336" behindDoc="0" locked="0" layoutInCell="1" allowOverlap="1" wp14:anchorId="2F497445" wp14:editId="3A9C2422">
                <wp:simplePos x="0" y="0"/>
                <wp:positionH relativeFrom="column">
                  <wp:posOffset>5384800</wp:posOffset>
                </wp:positionH>
                <wp:positionV relativeFrom="paragraph">
                  <wp:posOffset>3415665</wp:posOffset>
                </wp:positionV>
                <wp:extent cx="1517650" cy="387350"/>
                <wp:effectExtent l="0" t="0" r="0" b="0"/>
                <wp:wrapNone/>
                <wp:docPr id="3" name="Rectangle 3"/>
                <wp:cNvGraphicFramePr/>
                <a:graphic xmlns:a="http://schemas.openxmlformats.org/drawingml/2006/main">
                  <a:graphicData uri="http://schemas.microsoft.com/office/word/2010/wordprocessingShape">
                    <wps:wsp>
                      <wps:cNvSpPr/>
                      <wps:spPr>
                        <a:xfrm>
                          <a:off x="0" y="0"/>
                          <a:ext cx="1517650" cy="3873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FE379C" w14:textId="4DE61EAE" w:rsidR="00CF4160" w:rsidRPr="00CF4160" w:rsidRDefault="00CF4160" w:rsidP="00CF4160">
                            <w:pPr>
                              <w:jc w:val="center"/>
                              <w:rPr>
                                <w:color w:val="000000" w:themeColor="text1"/>
                                <w:sz w:val="20"/>
                                <w:szCs w:val="20"/>
                              </w:rPr>
                            </w:pPr>
                            <w:r w:rsidRPr="00CF4160">
                              <w:rPr>
                                <w:color w:val="000000" w:themeColor="text1"/>
                                <w:sz w:val="20"/>
                                <w:szCs w:val="20"/>
                              </w:rPr>
                              <w:t>Mai 2026</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497445" id="Rectangle 3" o:spid="_x0000_s1027" style="position:absolute;margin-left:424pt;margin-top:268.95pt;width:119.5pt;height: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rqdAIAAEAFAAAOAAAAZHJzL2Uyb0RvYy54bWysVN9P2zAQfp+0/8Hy+0hSKLCKFFUgpkkI&#10;0GDi2XVsEsnxeWe3SffX7+ykKYNpD9NeEvt+fHf33Z0vLvvWsK1C34AteXGUc6ashKqxLyX//nTz&#10;6ZwzH4SthAGrSr5Tnl8uP3646NxCzaAGUylkBGL9onMlr0Nwiyzzslat8EfglCWlBmxFoCu+ZBWK&#10;jtBbk83y/DTrACuHIJX3JL0elHyZ8LVWMtxr7VVgpuSUW0hfTN91/GbLC7F4QeHqRo5piH/IohWN&#10;paAT1LUIgm2weQfVNhLBgw5HEtoMtG6kSjVQNUX+pprHWjiVaiFyvJto8v8PVt5tH90DEg2d8wtP&#10;x1hFr7GNf8qP9Yms3USW6gOTJCzmxdnpnDiVpDs+PzumM8FkB2+HPnxR0LJ4KDlSMxJHYnvrw2C6&#10;N4nBLNw0xqSGGPubgDCjJDukmE5hZ1S0M/ab0qypKKlZCpCmR10ZZFtBfRdSKhuKQVWLSg3iYp7n&#10;+5Qnj1RAAozImhKasEeAOJnvsYdyRvvoqtLwTc753xIbnCePFBlsmJzbxgL+CcBQVWPkwX5P0kBN&#10;ZCn06564oX5FyyhZQ7V7QIYwLIN38qahBt0KHx4E0vRTT2mjwz19tIGu5NI0jrMa8OdbWbSjYSQN&#10;Zx1tUcn9j41AxZn5amlMPxcnJ3Ht0uVkfjajC77WrF9r7Ka9AmpYQW+Gk+kY7YPZHzVC+0wLv4pR&#10;SSWspNiUYMD95SoM201PhlSrVTKjVXMi3NpHJyN45DcO3lP/LNCN0xloru9gv3Fi8WZIB9voaWG1&#10;CaCbNMEHPkfmaU3TCI1PSnwHXt+T1eHhW/4CAAD//wMAUEsDBBQABgAIAAAAIQBc1vJL4wAAAAwB&#10;AAAPAAAAZHJzL2Rvd25yZXYueG1sTI/NTsMwEITvSLyDtUjcqEP5qRPiVBUSIHEAUeDQmxtvk0Bs&#10;R/GmTXh6tic47uxo5pt8ObpW7LGPTfAaLmcJCPRlsI2vNHy8P1woEJGMt6YNHjVMGGFZnJ7kJrPh&#10;4N9wv6ZKcIiPmdFQE3WZlLGs0Zk4Cx16/u1C7wzx2VfS9ubA4a6V8yS5lc40nhtq0+F9jeX3enAa&#10;NpvHn9XT9EyKhpevdNxNr/PPSevzs3F1B4JwpD8zHPEZHQpm2obB2yhaDepa8RbScHO1SEEcHYla&#10;sLRlKVUpyCKX/0cUvwAAAP//AwBQSwECLQAUAAYACAAAACEAtoM4kv4AAADhAQAAEwAAAAAAAAAA&#10;AAAAAAAAAAAAW0NvbnRlbnRfVHlwZXNdLnhtbFBLAQItABQABgAIAAAAIQA4/SH/1gAAAJQBAAAL&#10;AAAAAAAAAAAAAAAAAC8BAABfcmVscy8ucmVsc1BLAQItABQABgAIAAAAIQCXzHrqdAIAAEAFAAAO&#10;AAAAAAAAAAAAAAAAAC4CAABkcnMvZTJvRG9jLnhtbFBLAQItABQABgAIAAAAIQBc1vJL4wAAAAwB&#10;AAAPAAAAAAAAAAAAAAAAAM4EAABkcnMvZG93bnJldi54bWxQSwUGAAAAAAQABADzAAAA3gUAAAAA&#10;" filled="f" stroked="f" strokeweight="1.5pt">
                <v:textbox>
                  <w:txbxContent>
                    <w:p w14:paraId="2FFE379C" w14:textId="4DE61EAE" w:rsidR="00CF4160" w:rsidRPr="00CF4160" w:rsidRDefault="00CF4160" w:rsidP="00CF4160">
                      <w:pPr>
                        <w:jc w:val="center"/>
                        <w:rPr>
                          <w:color w:val="000000" w:themeColor="text1"/>
                          <w:sz w:val="20"/>
                          <w:szCs w:val="20"/>
                        </w:rPr>
                      </w:pPr>
                      <w:r w:rsidRPr="00CF4160">
                        <w:rPr>
                          <w:color w:val="000000" w:themeColor="text1"/>
                          <w:sz w:val="20"/>
                          <w:szCs w:val="20"/>
                        </w:rPr>
                        <w:t>Mai 2026</w:t>
                      </w:r>
                    </w:p>
                  </w:txbxContent>
                </v:textbox>
              </v:rect>
            </w:pict>
          </mc:Fallback>
        </mc:AlternateContent>
      </w:r>
      <w:r>
        <w:rPr>
          <w:rFonts w:ascii="Arial" w:hAnsi="Arial" w:cs="Arial"/>
          <w:sz w:val="21"/>
          <w:szCs w:val="21"/>
        </w:rPr>
        <w:br w:type="page"/>
      </w:r>
    </w:p>
    <w:p w14:paraId="32B5430C" w14:textId="62FF9F70" w:rsidR="00CF4160" w:rsidRDefault="00CF4160" w:rsidP="00F06942">
      <w:pPr>
        <w:pStyle w:val="Titre1"/>
      </w:pPr>
      <w:r>
        <w:lastRenderedPageBreak/>
        <w:t>1</w:t>
      </w:r>
      <w:r w:rsidR="00F06942">
        <w:t xml:space="preserve">. </w:t>
      </w:r>
      <w:r w:rsidRPr="00CF4160">
        <w:t>Résumé</w:t>
      </w:r>
    </w:p>
    <w:tbl>
      <w:tblPr>
        <w:tblStyle w:val="Grilledutableau"/>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22"/>
        <w:gridCol w:w="7082"/>
      </w:tblGrid>
      <w:tr w:rsidR="00CF4160" w:rsidRPr="00CF4160" w14:paraId="2279E81B" w14:textId="77777777" w:rsidTr="00CF4160">
        <w:tc>
          <w:tcPr>
            <w:tcW w:w="2122" w:type="dxa"/>
            <w:tcBorders>
              <w:top w:val="single" w:sz="8" w:space="0" w:color="auto"/>
              <w:left w:val="single" w:sz="8" w:space="0" w:color="auto"/>
              <w:bottom w:val="single" w:sz="8" w:space="0" w:color="auto"/>
              <w:right w:val="single" w:sz="8" w:space="0" w:color="auto"/>
            </w:tcBorders>
            <w:shd w:val="clear" w:color="auto" w:fill="DAE9F7" w:themeFill="text2" w:themeFillTint="1A"/>
            <w:hideMark/>
          </w:tcPr>
          <w:p w14:paraId="578796F7" w14:textId="77777777" w:rsidR="00CF4160" w:rsidRPr="00CF4160" w:rsidRDefault="00CF4160" w:rsidP="00CF4160">
            <w:pPr>
              <w:spacing w:after="160" w:line="278" w:lineRule="auto"/>
              <w:jc w:val="both"/>
              <w:rPr>
                <w:rFonts w:ascii="Arial" w:hAnsi="Arial" w:cs="Arial"/>
                <w:sz w:val="21"/>
                <w:szCs w:val="21"/>
              </w:rPr>
            </w:pPr>
            <w:r w:rsidRPr="00CF4160">
              <w:rPr>
                <w:rFonts w:ascii="Arial" w:hAnsi="Arial" w:cs="Arial"/>
                <w:sz w:val="21"/>
                <w:szCs w:val="21"/>
              </w:rPr>
              <w:t>Référence du projet</w:t>
            </w:r>
          </w:p>
        </w:tc>
        <w:tc>
          <w:tcPr>
            <w:tcW w:w="7082" w:type="dxa"/>
            <w:tcBorders>
              <w:top w:val="single" w:sz="8" w:space="0" w:color="auto"/>
              <w:left w:val="single" w:sz="8" w:space="0" w:color="auto"/>
              <w:bottom w:val="single" w:sz="8" w:space="0" w:color="auto"/>
              <w:right w:val="single" w:sz="8" w:space="0" w:color="auto"/>
            </w:tcBorders>
            <w:shd w:val="clear" w:color="auto" w:fill="DAE9F7" w:themeFill="text2" w:themeFillTint="1A"/>
            <w:hideMark/>
          </w:tcPr>
          <w:p w14:paraId="07B76A69" w14:textId="77777777" w:rsidR="00CF4160" w:rsidRPr="00CF4160" w:rsidRDefault="00CF4160" w:rsidP="00CF4160">
            <w:pPr>
              <w:spacing w:after="160" w:line="278" w:lineRule="auto"/>
              <w:jc w:val="both"/>
              <w:rPr>
                <w:rFonts w:ascii="Arial" w:hAnsi="Arial" w:cs="Arial"/>
                <w:sz w:val="21"/>
                <w:szCs w:val="21"/>
              </w:rPr>
            </w:pPr>
            <w:r w:rsidRPr="00CF4160">
              <w:rPr>
                <w:rFonts w:ascii="Arial" w:hAnsi="Arial" w:cs="Arial"/>
                <w:sz w:val="21"/>
                <w:szCs w:val="21"/>
              </w:rPr>
              <w:t>TEI</w:t>
            </w:r>
            <w:r w:rsidRPr="00CF4160">
              <w:rPr>
                <w:rFonts w:ascii="Arial" w:hAnsi="Arial" w:cs="Arial"/>
                <w:sz w:val="21"/>
                <w:szCs w:val="21"/>
              </w:rPr>
              <w:noBreakHyphen/>
              <w:t>INSP — Projet d’Appui aux Instituts Nationaux de Santé Publique au Tchad</w:t>
            </w:r>
          </w:p>
        </w:tc>
      </w:tr>
      <w:tr w:rsidR="00CF4160" w:rsidRPr="00CF4160" w14:paraId="3E8461F4" w14:textId="77777777" w:rsidTr="00CF4160">
        <w:tc>
          <w:tcPr>
            <w:tcW w:w="2122" w:type="dxa"/>
            <w:tcBorders>
              <w:top w:val="single" w:sz="8" w:space="0" w:color="auto"/>
              <w:left w:val="single" w:sz="8" w:space="0" w:color="auto"/>
              <w:bottom w:val="single" w:sz="8" w:space="0" w:color="auto"/>
              <w:right w:val="single" w:sz="8" w:space="0" w:color="auto"/>
            </w:tcBorders>
            <w:hideMark/>
          </w:tcPr>
          <w:p w14:paraId="39CA22DC" w14:textId="77777777" w:rsidR="00CF4160" w:rsidRPr="00CF4160" w:rsidRDefault="00CF4160" w:rsidP="00CF4160">
            <w:pPr>
              <w:spacing w:after="160" w:line="278" w:lineRule="auto"/>
              <w:jc w:val="both"/>
              <w:rPr>
                <w:rFonts w:ascii="Arial" w:hAnsi="Arial" w:cs="Arial"/>
                <w:sz w:val="21"/>
                <w:szCs w:val="21"/>
              </w:rPr>
            </w:pPr>
            <w:r w:rsidRPr="00CF4160">
              <w:rPr>
                <w:rFonts w:ascii="Arial" w:hAnsi="Arial" w:cs="Arial"/>
                <w:sz w:val="21"/>
                <w:szCs w:val="21"/>
              </w:rPr>
              <w:t>Domaine</w:t>
            </w:r>
          </w:p>
        </w:tc>
        <w:tc>
          <w:tcPr>
            <w:tcW w:w="7082" w:type="dxa"/>
            <w:tcBorders>
              <w:top w:val="single" w:sz="8" w:space="0" w:color="auto"/>
              <w:left w:val="single" w:sz="8" w:space="0" w:color="auto"/>
              <w:bottom w:val="single" w:sz="8" w:space="0" w:color="auto"/>
              <w:right w:val="single" w:sz="8" w:space="0" w:color="auto"/>
            </w:tcBorders>
            <w:hideMark/>
          </w:tcPr>
          <w:p w14:paraId="1AA81D9A" w14:textId="26FD794C" w:rsidR="00CF4160" w:rsidRPr="00CF4160" w:rsidRDefault="00CF4160" w:rsidP="00CF4160">
            <w:pPr>
              <w:spacing w:after="160" w:line="278" w:lineRule="auto"/>
              <w:jc w:val="both"/>
              <w:rPr>
                <w:rFonts w:ascii="Arial" w:hAnsi="Arial" w:cs="Arial"/>
                <w:sz w:val="21"/>
                <w:szCs w:val="21"/>
              </w:rPr>
            </w:pPr>
            <w:r w:rsidRPr="00CF4160">
              <w:rPr>
                <w:rFonts w:ascii="Arial" w:hAnsi="Arial" w:cs="Arial"/>
                <w:sz w:val="21"/>
                <w:szCs w:val="21"/>
              </w:rPr>
              <w:t>Santé publique, épidémiologie, systèmes d’information en santé, gestion de projet</w:t>
            </w:r>
          </w:p>
        </w:tc>
      </w:tr>
      <w:tr w:rsidR="00CF4160" w:rsidRPr="00CF4160" w14:paraId="4A5C7D3B" w14:textId="77777777" w:rsidTr="00CF4160">
        <w:trPr>
          <w:trHeight w:val="753"/>
        </w:trPr>
        <w:tc>
          <w:tcPr>
            <w:tcW w:w="2122" w:type="dxa"/>
            <w:tcBorders>
              <w:top w:val="single" w:sz="8" w:space="0" w:color="auto"/>
              <w:left w:val="single" w:sz="8" w:space="0" w:color="auto"/>
              <w:bottom w:val="single" w:sz="8" w:space="0" w:color="auto"/>
              <w:right w:val="single" w:sz="8" w:space="0" w:color="auto"/>
            </w:tcBorders>
            <w:shd w:val="clear" w:color="auto" w:fill="DAE9F7" w:themeFill="text2" w:themeFillTint="1A"/>
            <w:hideMark/>
          </w:tcPr>
          <w:p w14:paraId="77AEB2A4" w14:textId="25E45E4A" w:rsidR="00CF4160" w:rsidRPr="00CF4160" w:rsidRDefault="00CF4160" w:rsidP="00CF4160">
            <w:pPr>
              <w:spacing w:after="160" w:line="278" w:lineRule="auto"/>
              <w:jc w:val="both"/>
              <w:rPr>
                <w:rFonts w:ascii="Arial" w:hAnsi="Arial" w:cs="Arial"/>
                <w:sz w:val="21"/>
                <w:szCs w:val="21"/>
              </w:rPr>
            </w:pPr>
            <w:r w:rsidRPr="00CF4160">
              <w:rPr>
                <w:rFonts w:ascii="Arial" w:hAnsi="Arial" w:cs="Arial"/>
                <w:sz w:val="21"/>
                <w:szCs w:val="21"/>
              </w:rPr>
              <w:t xml:space="preserve">Intitulé </w:t>
            </w:r>
            <w:r>
              <w:rPr>
                <w:rFonts w:ascii="Arial" w:hAnsi="Arial" w:cs="Arial"/>
                <w:sz w:val="21"/>
                <w:szCs w:val="21"/>
              </w:rPr>
              <w:t>du poste</w:t>
            </w:r>
          </w:p>
        </w:tc>
        <w:tc>
          <w:tcPr>
            <w:tcW w:w="7082" w:type="dxa"/>
            <w:tcBorders>
              <w:top w:val="single" w:sz="8" w:space="0" w:color="auto"/>
              <w:left w:val="single" w:sz="8" w:space="0" w:color="auto"/>
              <w:bottom w:val="single" w:sz="8" w:space="0" w:color="auto"/>
              <w:right w:val="single" w:sz="8" w:space="0" w:color="auto"/>
            </w:tcBorders>
            <w:shd w:val="clear" w:color="auto" w:fill="DAE9F7" w:themeFill="text2" w:themeFillTint="1A"/>
            <w:hideMark/>
          </w:tcPr>
          <w:p w14:paraId="04083817" w14:textId="5DFD6F19" w:rsidR="00CF4160" w:rsidRPr="00CF4160" w:rsidRDefault="00CF4160" w:rsidP="00CF4160">
            <w:pPr>
              <w:spacing w:after="160" w:line="278" w:lineRule="auto"/>
              <w:jc w:val="both"/>
              <w:rPr>
                <w:rFonts w:ascii="Arial" w:hAnsi="Arial" w:cs="Arial"/>
                <w:sz w:val="21"/>
                <w:szCs w:val="21"/>
              </w:rPr>
            </w:pPr>
            <w:r w:rsidRPr="00CF4160">
              <w:rPr>
                <w:rFonts w:ascii="Arial" w:hAnsi="Arial" w:cs="Arial"/>
                <w:sz w:val="21"/>
                <w:szCs w:val="21"/>
              </w:rPr>
              <w:t xml:space="preserve">Technique Internationale pour la </w:t>
            </w:r>
            <w:r>
              <w:rPr>
                <w:rFonts w:ascii="Arial" w:hAnsi="Arial" w:cs="Arial"/>
                <w:sz w:val="21"/>
                <w:szCs w:val="21"/>
              </w:rPr>
              <w:t xml:space="preserve">réalisation de la </w:t>
            </w:r>
            <w:r w:rsidRPr="00CF4160">
              <w:rPr>
                <w:rFonts w:ascii="Arial" w:hAnsi="Arial" w:cs="Arial"/>
                <w:sz w:val="21"/>
                <w:szCs w:val="21"/>
              </w:rPr>
              <w:t>cartographie dynamique des acteurs de santé publique et le développement des outils de communication de l’INSAPT</w:t>
            </w:r>
            <w:r>
              <w:rPr>
                <w:rFonts w:ascii="Arial" w:hAnsi="Arial" w:cs="Arial"/>
                <w:sz w:val="21"/>
                <w:szCs w:val="21"/>
              </w:rPr>
              <w:t>.</w:t>
            </w:r>
          </w:p>
        </w:tc>
      </w:tr>
      <w:tr w:rsidR="00CF4160" w:rsidRPr="00CF4160" w14:paraId="24769724" w14:textId="77777777" w:rsidTr="00CF4160">
        <w:tc>
          <w:tcPr>
            <w:tcW w:w="2122" w:type="dxa"/>
            <w:tcBorders>
              <w:top w:val="single" w:sz="8" w:space="0" w:color="auto"/>
              <w:left w:val="single" w:sz="8" w:space="0" w:color="auto"/>
              <w:bottom w:val="single" w:sz="8" w:space="0" w:color="auto"/>
              <w:right w:val="single" w:sz="8" w:space="0" w:color="auto"/>
            </w:tcBorders>
            <w:hideMark/>
          </w:tcPr>
          <w:p w14:paraId="593D2716" w14:textId="77777777" w:rsidR="00CF4160" w:rsidRPr="00CF4160" w:rsidRDefault="00CF4160" w:rsidP="00CF4160">
            <w:pPr>
              <w:spacing w:after="160" w:line="278" w:lineRule="auto"/>
              <w:jc w:val="both"/>
              <w:rPr>
                <w:rFonts w:ascii="Arial" w:hAnsi="Arial" w:cs="Arial"/>
                <w:sz w:val="21"/>
                <w:szCs w:val="21"/>
              </w:rPr>
            </w:pPr>
            <w:r w:rsidRPr="00CF4160">
              <w:rPr>
                <w:rFonts w:ascii="Arial" w:hAnsi="Arial" w:cs="Arial"/>
                <w:sz w:val="21"/>
                <w:szCs w:val="21"/>
              </w:rPr>
              <w:t>Lieu (Pays, ville)</w:t>
            </w:r>
          </w:p>
        </w:tc>
        <w:tc>
          <w:tcPr>
            <w:tcW w:w="7082" w:type="dxa"/>
            <w:tcBorders>
              <w:top w:val="single" w:sz="8" w:space="0" w:color="auto"/>
              <w:left w:val="single" w:sz="8" w:space="0" w:color="auto"/>
              <w:bottom w:val="single" w:sz="8" w:space="0" w:color="auto"/>
              <w:right w:val="single" w:sz="8" w:space="0" w:color="auto"/>
            </w:tcBorders>
            <w:hideMark/>
          </w:tcPr>
          <w:p w14:paraId="1A114AFD" w14:textId="75767C4F" w:rsidR="00CF4160" w:rsidRPr="00CF4160" w:rsidRDefault="00CF4160" w:rsidP="00CF4160">
            <w:pPr>
              <w:spacing w:after="160" w:line="278" w:lineRule="auto"/>
              <w:jc w:val="both"/>
              <w:rPr>
                <w:rFonts w:ascii="Arial" w:hAnsi="Arial" w:cs="Arial"/>
                <w:sz w:val="21"/>
                <w:szCs w:val="21"/>
              </w:rPr>
            </w:pPr>
            <w:r w:rsidRPr="00CF4160">
              <w:rPr>
                <w:rFonts w:ascii="Arial" w:hAnsi="Arial" w:cs="Arial"/>
                <w:sz w:val="21"/>
                <w:szCs w:val="21"/>
              </w:rPr>
              <w:t>Tchad, N’Djamena (avec éventuels déplacements ponctuels dans les provinces, selon besoins)</w:t>
            </w:r>
          </w:p>
        </w:tc>
      </w:tr>
      <w:tr w:rsidR="00CF4160" w:rsidRPr="00CF4160" w14:paraId="581B60F6" w14:textId="77777777" w:rsidTr="00CF4160">
        <w:tc>
          <w:tcPr>
            <w:tcW w:w="2122" w:type="dxa"/>
            <w:tcBorders>
              <w:top w:val="single" w:sz="8" w:space="0" w:color="auto"/>
              <w:left w:val="single" w:sz="8" w:space="0" w:color="auto"/>
              <w:bottom w:val="single" w:sz="8" w:space="0" w:color="auto"/>
              <w:right w:val="single" w:sz="8" w:space="0" w:color="auto"/>
            </w:tcBorders>
            <w:shd w:val="clear" w:color="auto" w:fill="DAE9F7" w:themeFill="text2" w:themeFillTint="1A"/>
            <w:hideMark/>
          </w:tcPr>
          <w:p w14:paraId="749101A3" w14:textId="77777777" w:rsidR="00CF4160" w:rsidRPr="00CF4160" w:rsidRDefault="00CF4160" w:rsidP="00CF4160">
            <w:pPr>
              <w:spacing w:after="160" w:line="278" w:lineRule="auto"/>
              <w:jc w:val="both"/>
              <w:rPr>
                <w:rFonts w:ascii="Arial" w:hAnsi="Arial" w:cs="Arial"/>
                <w:sz w:val="21"/>
                <w:szCs w:val="21"/>
              </w:rPr>
            </w:pPr>
            <w:r w:rsidRPr="00CF4160">
              <w:rPr>
                <w:rFonts w:ascii="Arial" w:hAnsi="Arial" w:cs="Arial"/>
                <w:sz w:val="21"/>
                <w:szCs w:val="21"/>
              </w:rPr>
              <w:t>Durée de la mission</w:t>
            </w:r>
          </w:p>
        </w:tc>
        <w:tc>
          <w:tcPr>
            <w:tcW w:w="7082" w:type="dxa"/>
            <w:tcBorders>
              <w:top w:val="single" w:sz="8" w:space="0" w:color="auto"/>
              <w:left w:val="single" w:sz="8" w:space="0" w:color="auto"/>
              <w:bottom w:val="single" w:sz="8" w:space="0" w:color="auto"/>
              <w:right w:val="single" w:sz="8" w:space="0" w:color="auto"/>
            </w:tcBorders>
            <w:shd w:val="clear" w:color="auto" w:fill="DAE9F7" w:themeFill="text2" w:themeFillTint="1A"/>
            <w:hideMark/>
          </w:tcPr>
          <w:p w14:paraId="79F8C7F1" w14:textId="095E97F0" w:rsidR="00CF4160" w:rsidRPr="00CF4160" w:rsidRDefault="00CF4160" w:rsidP="00CF4160">
            <w:pPr>
              <w:spacing w:after="160" w:line="278" w:lineRule="auto"/>
              <w:jc w:val="both"/>
              <w:rPr>
                <w:rFonts w:ascii="Arial" w:hAnsi="Arial" w:cs="Arial"/>
                <w:sz w:val="21"/>
                <w:szCs w:val="21"/>
              </w:rPr>
            </w:pPr>
            <w:r w:rsidRPr="00CF4160">
              <w:rPr>
                <w:rFonts w:ascii="Arial" w:hAnsi="Arial" w:cs="Arial"/>
                <w:sz w:val="21"/>
                <w:szCs w:val="21"/>
              </w:rPr>
              <w:t xml:space="preserve">25 jours ouvrables </w:t>
            </w:r>
            <w:r w:rsidR="005B6681">
              <w:rPr>
                <w:rFonts w:ascii="Arial" w:hAnsi="Arial" w:cs="Arial"/>
                <w:sz w:val="21"/>
                <w:szCs w:val="21"/>
              </w:rPr>
              <w:t>à répartir sur la durée totale de la mission</w:t>
            </w:r>
          </w:p>
        </w:tc>
      </w:tr>
    </w:tbl>
    <w:p w14:paraId="2E08CFBA" w14:textId="35C5B0CD" w:rsidR="009B6151" w:rsidRPr="00CF4160" w:rsidRDefault="00CF4160" w:rsidP="00F06942">
      <w:pPr>
        <w:pStyle w:val="Titre1"/>
      </w:pPr>
      <w:r>
        <w:t>2</w:t>
      </w:r>
      <w:r w:rsidR="009B6151" w:rsidRPr="00CF4160">
        <w:t>. Description et contexte de la mission</w:t>
      </w:r>
    </w:p>
    <w:p w14:paraId="18B7055E" w14:textId="77777777" w:rsidR="009B6151" w:rsidRPr="00CF4160" w:rsidRDefault="009B6151" w:rsidP="00CF4160">
      <w:pPr>
        <w:jc w:val="both"/>
        <w:rPr>
          <w:rFonts w:ascii="Arial" w:hAnsi="Arial" w:cs="Arial"/>
          <w:sz w:val="21"/>
          <w:szCs w:val="21"/>
        </w:rPr>
      </w:pPr>
      <w:r w:rsidRPr="00CF4160">
        <w:rPr>
          <w:rFonts w:ascii="Arial" w:hAnsi="Arial" w:cs="Arial"/>
          <w:sz w:val="21"/>
          <w:szCs w:val="21"/>
        </w:rPr>
        <w:t>Le Tchad fait face depuis plusieurs années à un fardeau élevé de maladies transmissibles et non transmissibles, aggravé par la fragilité structurelle de son système de santé. La pandémie de Covid</w:t>
      </w:r>
      <w:r w:rsidRPr="00CF4160">
        <w:rPr>
          <w:rFonts w:ascii="Cambria Math" w:hAnsi="Cambria Math" w:cs="Cambria Math"/>
          <w:sz w:val="21"/>
          <w:szCs w:val="21"/>
        </w:rPr>
        <w:t>‑</w:t>
      </w:r>
      <w:r w:rsidRPr="00CF4160">
        <w:rPr>
          <w:rFonts w:ascii="Arial" w:hAnsi="Arial" w:cs="Arial"/>
          <w:sz w:val="21"/>
          <w:szCs w:val="21"/>
        </w:rPr>
        <w:t>19 a davantage mis en évidence les faiblesses du système sanitaire tchadien, notamment en matière de surveillance épidémiologique, de préparation et de réponse aux urgences de santé publique, de coordination intersectorielle, de gestion de l’information sanitaire et de mobilisation des ressources.</w:t>
      </w:r>
    </w:p>
    <w:p w14:paraId="2E592677" w14:textId="77777777" w:rsidR="009B6151" w:rsidRPr="00CF4160" w:rsidRDefault="009B6151" w:rsidP="00CF4160">
      <w:pPr>
        <w:jc w:val="both"/>
        <w:rPr>
          <w:rFonts w:ascii="Arial" w:hAnsi="Arial" w:cs="Arial"/>
          <w:sz w:val="21"/>
          <w:szCs w:val="21"/>
        </w:rPr>
      </w:pPr>
      <w:r w:rsidRPr="00CF4160">
        <w:rPr>
          <w:rFonts w:ascii="Arial" w:hAnsi="Arial" w:cs="Arial"/>
          <w:sz w:val="21"/>
          <w:szCs w:val="21"/>
        </w:rPr>
        <w:t>Depuis le début de l’année 2024, le pays affronte de nombreuses épidémies simultanées ou successives, parmi lesquelles la rougeole, l’hépatite E, la diphtérie, le choléra, la variole du singe, la dengue et la poliomyélite. Le dernier épisode de choléra, s’étant étendu de juillet à décembre 2025, a illustré de manière particulièrement préoccupante les limites du système national de détection, d’alerte précoce, de coordination et de riposte rapide.</w:t>
      </w:r>
    </w:p>
    <w:p w14:paraId="0D8D4325" w14:textId="77777777" w:rsidR="009B6151" w:rsidRPr="00CF4160" w:rsidRDefault="009B6151" w:rsidP="00CF4160">
      <w:pPr>
        <w:jc w:val="both"/>
        <w:rPr>
          <w:rFonts w:ascii="Arial" w:hAnsi="Arial" w:cs="Arial"/>
          <w:sz w:val="21"/>
          <w:szCs w:val="21"/>
        </w:rPr>
      </w:pPr>
      <w:r w:rsidRPr="00CF4160">
        <w:rPr>
          <w:rFonts w:ascii="Arial" w:hAnsi="Arial" w:cs="Arial"/>
          <w:sz w:val="21"/>
          <w:szCs w:val="21"/>
        </w:rPr>
        <w:t>Afin de répondre à ces crises récurrentes de santé publique et de renforcer la résilience du système, le Gouvernement de la République du Tchad a créé l’Institut National de Santé Publique du Tchad (INSAPT) par la loi N°011/PR/2020, complétée par le décret N°2624/PT/PM/MSPP/2023 portant organisation et fonctionnement de l’institution. L’INSAPT est placé sous la double tutelle du Ministère de la Santé Publique et de la Prévention (MSPP) et du Ministère de l’Enseignement Supérieur, de la Recherche Scientifique et de la Formation Professionnelle (MESRSFP).</w:t>
      </w:r>
    </w:p>
    <w:p w14:paraId="10261867" w14:textId="77777777" w:rsidR="009B6151" w:rsidRPr="00CF4160" w:rsidRDefault="009B6151" w:rsidP="00CF4160">
      <w:pPr>
        <w:jc w:val="both"/>
        <w:rPr>
          <w:rFonts w:ascii="Arial" w:hAnsi="Arial" w:cs="Arial"/>
          <w:sz w:val="21"/>
          <w:szCs w:val="21"/>
        </w:rPr>
      </w:pPr>
      <w:r w:rsidRPr="00CF4160">
        <w:rPr>
          <w:rFonts w:ascii="Arial" w:hAnsi="Arial" w:cs="Arial"/>
          <w:sz w:val="21"/>
          <w:szCs w:val="21"/>
        </w:rPr>
        <w:t>L’INSAPT a vocation à devenir l’organe de référence en matière de fonctions essentielles de santé publique (FESP) au Tchad. Ses missions incluent notamment :</w:t>
      </w:r>
    </w:p>
    <w:p w14:paraId="2082D799" w14:textId="4AEE6412" w:rsidR="009B6151" w:rsidRPr="00CF4160" w:rsidRDefault="009B6151" w:rsidP="00CF4160">
      <w:pPr>
        <w:pStyle w:val="Paragraphedeliste"/>
        <w:numPr>
          <w:ilvl w:val="0"/>
          <w:numId w:val="2"/>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la</w:t>
      </w:r>
      <w:proofErr w:type="gramEnd"/>
      <w:r w:rsidRPr="00CF4160">
        <w:rPr>
          <w:rFonts w:ascii="Arial" w:hAnsi="Arial" w:cs="Arial"/>
          <w:sz w:val="21"/>
          <w:szCs w:val="21"/>
        </w:rPr>
        <w:t xml:space="preserve"> surveillance, la veille sanitaire et la réponse aux situations d’urgence de santé publique ;</w:t>
      </w:r>
    </w:p>
    <w:p w14:paraId="5695DA8D" w14:textId="4FD4FBD4" w:rsidR="009B6151" w:rsidRPr="00CF4160" w:rsidRDefault="009B6151" w:rsidP="00CF4160">
      <w:pPr>
        <w:pStyle w:val="Paragraphedeliste"/>
        <w:numPr>
          <w:ilvl w:val="0"/>
          <w:numId w:val="2"/>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la</w:t>
      </w:r>
      <w:proofErr w:type="gramEnd"/>
      <w:r w:rsidRPr="00CF4160">
        <w:rPr>
          <w:rFonts w:ascii="Arial" w:hAnsi="Arial" w:cs="Arial"/>
          <w:sz w:val="21"/>
          <w:szCs w:val="21"/>
        </w:rPr>
        <w:t xml:space="preserve"> conduite d’études, de recherches et d’analyses pour apporter des réponses aux problèmes prioritaires de santé publique ;</w:t>
      </w:r>
    </w:p>
    <w:p w14:paraId="4DEE487C" w14:textId="2715FCCD" w:rsidR="009B6151" w:rsidRPr="00CF4160" w:rsidRDefault="009B6151" w:rsidP="00CF4160">
      <w:pPr>
        <w:pStyle w:val="Paragraphedeliste"/>
        <w:numPr>
          <w:ilvl w:val="0"/>
          <w:numId w:val="2"/>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le</w:t>
      </w:r>
      <w:proofErr w:type="gramEnd"/>
      <w:r w:rsidRPr="00CF4160">
        <w:rPr>
          <w:rFonts w:ascii="Arial" w:hAnsi="Arial" w:cs="Arial"/>
          <w:sz w:val="21"/>
          <w:szCs w:val="21"/>
        </w:rPr>
        <w:t xml:space="preserve"> développement et l’encadrement de la formation et du perfectionnement du personnel de santé publique ;</w:t>
      </w:r>
    </w:p>
    <w:p w14:paraId="495FA127" w14:textId="52C55B26" w:rsidR="009B6151" w:rsidRPr="00CF4160" w:rsidRDefault="009B6151" w:rsidP="00CF4160">
      <w:pPr>
        <w:pStyle w:val="Paragraphedeliste"/>
        <w:numPr>
          <w:ilvl w:val="0"/>
          <w:numId w:val="2"/>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l’expertise</w:t>
      </w:r>
      <w:proofErr w:type="gramEnd"/>
      <w:r w:rsidRPr="00CF4160">
        <w:rPr>
          <w:rFonts w:ascii="Arial" w:hAnsi="Arial" w:cs="Arial"/>
          <w:sz w:val="21"/>
          <w:szCs w:val="21"/>
        </w:rPr>
        <w:t xml:space="preserve"> en matière de recherche, de suivi, de certification vaccinale et la centralisation des données afférentes ;</w:t>
      </w:r>
    </w:p>
    <w:p w14:paraId="74B6226B" w14:textId="2E8CC3B5" w:rsidR="009B6151" w:rsidRPr="00CF4160" w:rsidRDefault="009B6151" w:rsidP="00CF4160">
      <w:pPr>
        <w:pStyle w:val="Paragraphedeliste"/>
        <w:numPr>
          <w:ilvl w:val="0"/>
          <w:numId w:val="2"/>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lastRenderedPageBreak/>
        <w:t>le</w:t>
      </w:r>
      <w:proofErr w:type="gramEnd"/>
      <w:r w:rsidRPr="00CF4160">
        <w:rPr>
          <w:rFonts w:ascii="Arial" w:hAnsi="Arial" w:cs="Arial"/>
          <w:sz w:val="21"/>
          <w:szCs w:val="21"/>
        </w:rPr>
        <w:t xml:space="preserve"> contrôle de qualité des analyses réalisées par les laboratoires publics et privés sur le territoire national ;</w:t>
      </w:r>
    </w:p>
    <w:p w14:paraId="0A534721" w14:textId="673ED8F1" w:rsidR="009B6151" w:rsidRPr="00CF4160" w:rsidRDefault="009B6151" w:rsidP="00CF4160">
      <w:pPr>
        <w:pStyle w:val="Paragraphedeliste"/>
        <w:numPr>
          <w:ilvl w:val="0"/>
          <w:numId w:val="2"/>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la</w:t>
      </w:r>
      <w:proofErr w:type="gramEnd"/>
      <w:r w:rsidRPr="00CF4160">
        <w:rPr>
          <w:rFonts w:ascii="Arial" w:hAnsi="Arial" w:cs="Arial"/>
          <w:sz w:val="21"/>
          <w:szCs w:val="21"/>
        </w:rPr>
        <w:t xml:space="preserve"> contribution à la prévention et au contrôle des zoonoses et autres pathologies à potentiel épidémique.</w:t>
      </w:r>
    </w:p>
    <w:p w14:paraId="563B257E" w14:textId="6569415F" w:rsidR="009B6151" w:rsidRPr="00CF4160" w:rsidRDefault="009B6151" w:rsidP="00CF4160">
      <w:pPr>
        <w:jc w:val="both"/>
        <w:rPr>
          <w:rFonts w:ascii="Arial" w:hAnsi="Arial" w:cs="Arial"/>
          <w:sz w:val="21"/>
          <w:szCs w:val="21"/>
        </w:rPr>
      </w:pPr>
      <w:r w:rsidRPr="00CF4160">
        <w:rPr>
          <w:rFonts w:ascii="Arial" w:hAnsi="Arial" w:cs="Arial"/>
          <w:sz w:val="21"/>
          <w:szCs w:val="21"/>
        </w:rPr>
        <w:t>Pour remplir ces missions, l’INSAPT s’appuie notamment sur un Centre de Veille Sanitaire (CVS) chargé de l’observation de l’état de santé de la population, du recueil, traitement et diffusion de données épidémiologiques, ainsi que de la veille et de la vigilance sanitaire</w:t>
      </w:r>
      <w:r w:rsidR="00CF4160">
        <w:rPr>
          <w:rFonts w:ascii="Arial" w:hAnsi="Arial" w:cs="Arial"/>
          <w:sz w:val="21"/>
          <w:szCs w:val="21"/>
        </w:rPr>
        <w:t>,</w:t>
      </w:r>
      <w:r w:rsidRPr="00CF4160">
        <w:rPr>
          <w:rFonts w:ascii="Arial" w:hAnsi="Arial" w:cs="Arial"/>
          <w:sz w:val="21"/>
          <w:szCs w:val="21"/>
        </w:rPr>
        <w:t xml:space="preserve"> un Laboratoire National de Santé Publique (LNSP)</w:t>
      </w:r>
      <w:r w:rsidR="00CF4160">
        <w:rPr>
          <w:rFonts w:ascii="Arial" w:hAnsi="Arial" w:cs="Arial"/>
          <w:sz w:val="21"/>
          <w:szCs w:val="21"/>
        </w:rPr>
        <w:t xml:space="preserve"> et </w:t>
      </w:r>
      <w:r w:rsidRPr="00CF4160">
        <w:rPr>
          <w:rFonts w:ascii="Arial" w:hAnsi="Arial" w:cs="Arial"/>
          <w:sz w:val="21"/>
          <w:szCs w:val="21"/>
        </w:rPr>
        <w:t>un Centre de Formation et de Recherche en Santé Publique, dédié à la planification, l’organisation et l’évaluation des activités de formation et de recherche en santé publique.</w:t>
      </w:r>
    </w:p>
    <w:p w14:paraId="1E12A2C2" w14:textId="6860CBC1" w:rsidR="009B6151" w:rsidRPr="00CF4160" w:rsidRDefault="009B6151" w:rsidP="004766A9">
      <w:pPr>
        <w:jc w:val="both"/>
        <w:rPr>
          <w:rFonts w:ascii="Arial" w:hAnsi="Arial" w:cs="Arial"/>
          <w:sz w:val="21"/>
          <w:szCs w:val="21"/>
        </w:rPr>
      </w:pPr>
      <w:r w:rsidRPr="00CF4160">
        <w:rPr>
          <w:rFonts w:ascii="Arial" w:hAnsi="Arial" w:cs="Arial"/>
          <w:sz w:val="21"/>
          <w:szCs w:val="21"/>
        </w:rPr>
        <w:t xml:space="preserve">Sur le plan stratégique, l’INSAPT doit jouer un rôle moteur dans </w:t>
      </w:r>
      <w:r w:rsidR="00CF4160">
        <w:rPr>
          <w:rFonts w:ascii="Arial" w:hAnsi="Arial" w:cs="Arial"/>
          <w:sz w:val="21"/>
          <w:szCs w:val="21"/>
        </w:rPr>
        <w:t>l</w:t>
      </w:r>
      <w:r w:rsidRPr="00CF4160">
        <w:rPr>
          <w:rFonts w:ascii="Arial" w:hAnsi="Arial" w:cs="Arial"/>
          <w:sz w:val="21"/>
          <w:szCs w:val="21"/>
        </w:rPr>
        <w:t>a coordination nationale de la surveillance épidémiologique et de la veille sanitaire</w:t>
      </w:r>
      <w:r w:rsidR="004766A9">
        <w:rPr>
          <w:rFonts w:ascii="Arial" w:hAnsi="Arial" w:cs="Arial"/>
          <w:sz w:val="21"/>
          <w:szCs w:val="21"/>
        </w:rPr>
        <w:t>, l</w:t>
      </w:r>
      <w:r w:rsidRPr="00CF4160">
        <w:rPr>
          <w:rFonts w:ascii="Arial" w:hAnsi="Arial" w:cs="Arial"/>
          <w:sz w:val="21"/>
          <w:szCs w:val="21"/>
        </w:rPr>
        <w:t>a préparation et la réponse aux urgences de santé publique</w:t>
      </w:r>
      <w:r w:rsidR="004766A9">
        <w:rPr>
          <w:rFonts w:ascii="Arial" w:hAnsi="Arial" w:cs="Arial"/>
          <w:sz w:val="21"/>
          <w:szCs w:val="21"/>
        </w:rPr>
        <w:t xml:space="preserve">, </w:t>
      </w:r>
      <w:r w:rsidRPr="00CF4160">
        <w:rPr>
          <w:rFonts w:ascii="Arial" w:hAnsi="Arial" w:cs="Arial"/>
          <w:sz w:val="21"/>
          <w:szCs w:val="21"/>
        </w:rPr>
        <w:t>la production, l’analyse et l’utilisation des données probantes, y compris sexo</w:t>
      </w:r>
      <w:r w:rsidRPr="00CF4160">
        <w:rPr>
          <w:rFonts w:ascii="Cambria Math" w:hAnsi="Cambria Math" w:cs="Cambria Math"/>
          <w:sz w:val="21"/>
          <w:szCs w:val="21"/>
        </w:rPr>
        <w:t>‑</w:t>
      </w:r>
      <w:r w:rsidRPr="00CF4160">
        <w:rPr>
          <w:rFonts w:ascii="Arial" w:hAnsi="Arial" w:cs="Arial"/>
          <w:sz w:val="21"/>
          <w:szCs w:val="21"/>
        </w:rPr>
        <w:t>spécifiques, pour l’élaboration des politiques et la priorisation des interventions</w:t>
      </w:r>
      <w:r w:rsidR="004766A9">
        <w:rPr>
          <w:rFonts w:ascii="Arial" w:hAnsi="Arial" w:cs="Arial"/>
          <w:sz w:val="21"/>
          <w:szCs w:val="21"/>
        </w:rPr>
        <w:t xml:space="preserve">, </w:t>
      </w:r>
      <w:r w:rsidRPr="00CF4160">
        <w:rPr>
          <w:rFonts w:ascii="Arial" w:hAnsi="Arial" w:cs="Arial"/>
          <w:sz w:val="21"/>
          <w:szCs w:val="21"/>
        </w:rPr>
        <w:t>le plaidoyer fondé sur des données de qualité, en appui à la décision politique.</w:t>
      </w:r>
    </w:p>
    <w:p w14:paraId="5F015A34" w14:textId="44384D8C" w:rsidR="009B6151" w:rsidRPr="00CF4160" w:rsidRDefault="009B6151" w:rsidP="004766A9">
      <w:pPr>
        <w:jc w:val="both"/>
        <w:rPr>
          <w:rFonts w:ascii="Arial" w:hAnsi="Arial" w:cs="Arial"/>
          <w:sz w:val="21"/>
          <w:szCs w:val="21"/>
        </w:rPr>
      </w:pPr>
      <w:r w:rsidRPr="00CF4160">
        <w:rPr>
          <w:rFonts w:ascii="Arial" w:hAnsi="Arial" w:cs="Arial"/>
          <w:sz w:val="21"/>
          <w:szCs w:val="21"/>
        </w:rPr>
        <w:t>Pour accompagner l’INSAPT dans ce rôle, plusieurs partenaires techniques et financiers soutiennent le pays, notamment :</w:t>
      </w:r>
      <w:r w:rsidR="004766A9">
        <w:rPr>
          <w:rFonts w:ascii="Arial" w:hAnsi="Arial" w:cs="Arial"/>
          <w:sz w:val="21"/>
          <w:szCs w:val="21"/>
        </w:rPr>
        <w:t xml:space="preserve"> </w:t>
      </w:r>
      <w:r w:rsidRPr="00CF4160">
        <w:rPr>
          <w:rFonts w:ascii="Arial" w:hAnsi="Arial" w:cs="Arial"/>
          <w:sz w:val="21"/>
          <w:szCs w:val="21"/>
        </w:rPr>
        <w:t>le projet d’appui aux Instituts Nationaux de Santé Publique au Tchad (TEI</w:t>
      </w:r>
      <w:r w:rsidRPr="00CF4160">
        <w:rPr>
          <w:rFonts w:ascii="Cambria Math" w:hAnsi="Cambria Math" w:cs="Cambria Math"/>
          <w:sz w:val="21"/>
          <w:szCs w:val="21"/>
        </w:rPr>
        <w:t>‑</w:t>
      </w:r>
      <w:r w:rsidRPr="00CF4160">
        <w:rPr>
          <w:rFonts w:ascii="Arial" w:hAnsi="Arial" w:cs="Arial"/>
          <w:sz w:val="21"/>
          <w:szCs w:val="21"/>
        </w:rPr>
        <w:t xml:space="preserve">INSP), financé par l’Union Européenne dans le cadre de la Team Europe Initiative, qui vise à renforcer les capacités des INSP en Afrique subsaharienne </w:t>
      </w:r>
      <w:r w:rsidR="004766A9">
        <w:rPr>
          <w:rFonts w:ascii="Arial" w:hAnsi="Arial" w:cs="Arial"/>
          <w:sz w:val="21"/>
          <w:szCs w:val="21"/>
        </w:rPr>
        <w:t xml:space="preserve">et </w:t>
      </w:r>
      <w:r w:rsidRPr="00CF4160">
        <w:rPr>
          <w:rFonts w:ascii="Arial" w:hAnsi="Arial" w:cs="Arial"/>
          <w:sz w:val="21"/>
          <w:szCs w:val="21"/>
        </w:rPr>
        <w:t>le projet PASST3 de l’Agence Française de Développement (AFD), qui appuie la réforme et le renforcement du système sanitaire tchadien, incluant l’INSAPT.</w:t>
      </w:r>
    </w:p>
    <w:p w14:paraId="41F79949" w14:textId="77777777" w:rsidR="009B6151" w:rsidRPr="00CF4160" w:rsidRDefault="009B6151" w:rsidP="00CF4160">
      <w:pPr>
        <w:jc w:val="both"/>
        <w:rPr>
          <w:rFonts w:ascii="Arial" w:hAnsi="Arial" w:cs="Arial"/>
          <w:sz w:val="21"/>
          <w:szCs w:val="21"/>
        </w:rPr>
      </w:pPr>
      <w:r w:rsidRPr="00CF4160">
        <w:rPr>
          <w:rFonts w:ascii="Arial" w:hAnsi="Arial" w:cs="Arial"/>
          <w:sz w:val="21"/>
          <w:szCs w:val="21"/>
        </w:rPr>
        <w:t>Le projet TEI</w:t>
      </w:r>
      <w:r w:rsidRPr="00CF4160">
        <w:rPr>
          <w:rFonts w:ascii="Cambria Math" w:hAnsi="Cambria Math" w:cs="Cambria Math"/>
          <w:sz w:val="21"/>
          <w:szCs w:val="21"/>
        </w:rPr>
        <w:t>‑</w:t>
      </w:r>
      <w:r w:rsidRPr="00CF4160">
        <w:rPr>
          <w:rFonts w:ascii="Arial" w:hAnsi="Arial" w:cs="Arial"/>
          <w:sz w:val="21"/>
          <w:szCs w:val="21"/>
        </w:rPr>
        <w:t>INSP a pour objectifs spécifiques de :</w:t>
      </w:r>
    </w:p>
    <w:p w14:paraId="52C04AC1" w14:textId="70D8CFE1" w:rsidR="009B6151" w:rsidRPr="00CF4160" w:rsidRDefault="009B6151" w:rsidP="00CF4160">
      <w:pPr>
        <w:pStyle w:val="Paragraphedeliste"/>
        <w:numPr>
          <w:ilvl w:val="0"/>
          <w:numId w:val="4"/>
        </w:numPr>
        <w:spacing w:before="60" w:after="60"/>
        <w:ind w:left="714" w:hanging="357"/>
        <w:contextualSpacing w:val="0"/>
        <w:jc w:val="both"/>
        <w:rPr>
          <w:rFonts w:ascii="Arial" w:hAnsi="Arial" w:cs="Arial"/>
          <w:sz w:val="21"/>
          <w:szCs w:val="21"/>
        </w:rPr>
      </w:pPr>
      <w:r w:rsidRPr="00CF4160">
        <w:rPr>
          <w:rFonts w:ascii="Arial" w:hAnsi="Arial" w:cs="Arial"/>
          <w:sz w:val="21"/>
          <w:szCs w:val="21"/>
        </w:rPr>
        <w:t>Consolider le positionnement stratégique de l’INSAPT comme acteur majeur de la santé publique par le renforcement des coopérations (nationales, régionales, internationales), la structuration de réseaux durables, le développement de la recherche collaborative, le renforcement des capacités (formation, plaidoyer) ;</w:t>
      </w:r>
    </w:p>
    <w:p w14:paraId="3600A1A9" w14:textId="756F5638" w:rsidR="009B6151" w:rsidRPr="00CF4160" w:rsidRDefault="009B6151" w:rsidP="00CF4160">
      <w:pPr>
        <w:pStyle w:val="Paragraphedeliste"/>
        <w:numPr>
          <w:ilvl w:val="0"/>
          <w:numId w:val="4"/>
        </w:numPr>
        <w:spacing w:before="60" w:after="60"/>
        <w:ind w:left="714" w:hanging="357"/>
        <w:contextualSpacing w:val="0"/>
        <w:jc w:val="both"/>
        <w:rPr>
          <w:rFonts w:ascii="Arial" w:hAnsi="Arial" w:cs="Arial"/>
          <w:sz w:val="21"/>
          <w:szCs w:val="21"/>
        </w:rPr>
      </w:pPr>
      <w:r w:rsidRPr="00CF4160">
        <w:rPr>
          <w:rFonts w:ascii="Arial" w:hAnsi="Arial" w:cs="Arial"/>
          <w:sz w:val="21"/>
          <w:szCs w:val="21"/>
        </w:rPr>
        <w:t>Améliorer les capacités institutionnelles de l’INSAPT par l’intégration de processus optimisés, innovants et sensibles au genre, pour assurer efficacement ses FESP ;</w:t>
      </w:r>
    </w:p>
    <w:p w14:paraId="5146982D" w14:textId="30A9C349" w:rsidR="009B6151" w:rsidRPr="00CF4160" w:rsidRDefault="009B6151" w:rsidP="00CF4160">
      <w:pPr>
        <w:pStyle w:val="Paragraphedeliste"/>
        <w:numPr>
          <w:ilvl w:val="0"/>
          <w:numId w:val="4"/>
        </w:numPr>
        <w:spacing w:before="60" w:after="60"/>
        <w:ind w:left="714" w:hanging="357"/>
        <w:contextualSpacing w:val="0"/>
        <w:jc w:val="both"/>
        <w:rPr>
          <w:rFonts w:ascii="Arial" w:hAnsi="Arial" w:cs="Arial"/>
          <w:sz w:val="21"/>
          <w:szCs w:val="21"/>
        </w:rPr>
      </w:pPr>
      <w:r w:rsidRPr="00CF4160">
        <w:rPr>
          <w:rFonts w:ascii="Arial" w:hAnsi="Arial" w:cs="Arial"/>
          <w:sz w:val="21"/>
          <w:szCs w:val="21"/>
        </w:rPr>
        <w:t>Assurer une amélioration significative de la sécurité, de l’accessibilité et de la qualité des données de santé publique par la mise en place d’une infrastructure numérique nationale sécurisée et éthiquement conforme, portée par l’INSAPT.</w:t>
      </w:r>
    </w:p>
    <w:p w14:paraId="3198ADC1" w14:textId="532549E6" w:rsidR="009B6151" w:rsidRPr="00CF4160" w:rsidRDefault="009B6151" w:rsidP="004766A9">
      <w:pPr>
        <w:jc w:val="both"/>
        <w:rPr>
          <w:rFonts w:ascii="Arial" w:hAnsi="Arial" w:cs="Arial"/>
          <w:sz w:val="21"/>
          <w:szCs w:val="21"/>
        </w:rPr>
      </w:pPr>
      <w:r w:rsidRPr="00CF4160">
        <w:rPr>
          <w:rFonts w:ascii="Arial" w:hAnsi="Arial" w:cs="Arial"/>
          <w:sz w:val="21"/>
          <w:szCs w:val="21"/>
        </w:rPr>
        <w:t>Dans ce cadre, le renforcement du rôle de l’INSAPT comme « chef d’orchestre » de la réponse aux urgences de santé publique repose sur une compréhension fine, actualisée et partagée des acteurs institutionnels, techniques, communautaires et partenaires impliqués dans les FESP et la gestion des urgences (surveillance, laboratoires, gestion des données, communication de risque, formation, recherche, etc.)</w:t>
      </w:r>
      <w:r w:rsidR="004766A9">
        <w:rPr>
          <w:rFonts w:ascii="Arial" w:hAnsi="Arial" w:cs="Arial"/>
          <w:sz w:val="21"/>
          <w:szCs w:val="21"/>
        </w:rPr>
        <w:t xml:space="preserve"> et </w:t>
      </w:r>
      <w:r w:rsidRPr="00CF4160">
        <w:rPr>
          <w:rFonts w:ascii="Arial" w:hAnsi="Arial" w:cs="Arial"/>
          <w:sz w:val="21"/>
          <w:szCs w:val="21"/>
        </w:rPr>
        <w:t>un dispositif de communication institutionnelle et opérationnelle moderne, cohérent et durable, permettant de diffuser l’information sanitaire, de faciliter la collaboration entre acteurs, et d’asseoir la visibilité et la légitimité de l’INSAPT au niveau national et international.</w:t>
      </w:r>
    </w:p>
    <w:p w14:paraId="567F46F7" w14:textId="38118EC7" w:rsidR="009B6151" w:rsidRPr="00CF4160" w:rsidRDefault="009B6151" w:rsidP="004766A9">
      <w:pPr>
        <w:jc w:val="both"/>
        <w:rPr>
          <w:rFonts w:ascii="Arial" w:hAnsi="Arial" w:cs="Arial"/>
          <w:sz w:val="21"/>
          <w:szCs w:val="21"/>
        </w:rPr>
      </w:pPr>
      <w:r w:rsidRPr="00CF4160">
        <w:rPr>
          <w:rFonts w:ascii="Arial" w:hAnsi="Arial" w:cs="Arial"/>
          <w:sz w:val="21"/>
          <w:szCs w:val="21"/>
        </w:rPr>
        <w:t>Ainsi, le projet TEI</w:t>
      </w:r>
      <w:r w:rsidRPr="00CF4160">
        <w:rPr>
          <w:rFonts w:ascii="Cambria Math" w:hAnsi="Cambria Math" w:cs="Cambria Math"/>
          <w:sz w:val="21"/>
          <w:szCs w:val="21"/>
        </w:rPr>
        <w:t>‑</w:t>
      </w:r>
      <w:r w:rsidRPr="00CF4160">
        <w:rPr>
          <w:rFonts w:ascii="Arial" w:hAnsi="Arial" w:cs="Arial"/>
          <w:sz w:val="21"/>
          <w:szCs w:val="21"/>
        </w:rPr>
        <w:t>INSP prévoit de financer la réalisation d’une cartographie dynamique des acteurs de santé publique</w:t>
      </w:r>
      <w:r w:rsidR="006D19DC">
        <w:rPr>
          <w:rFonts w:ascii="Arial" w:hAnsi="Arial" w:cs="Arial"/>
          <w:sz w:val="21"/>
          <w:szCs w:val="21"/>
        </w:rPr>
        <w:t xml:space="preserve"> </w:t>
      </w:r>
      <w:r w:rsidRPr="00CF4160">
        <w:rPr>
          <w:rFonts w:ascii="Arial" w:hAnsi="Arial" w:cs="Arial"/>
          <w:sz w:val="21"/>
          <w:szCs w:val="21"/>
        </w:rPr>
        <w:t>et de soutenir le développement d’</w:t>
      </w:r>
      <w:r w:rsidR="006D19DC">
        <w:rPr>
          <w:rFonts w:ascii="Arial" w:hAnsi="Arial" w:cs="Arial"/>
          <w:sz w:val="21"/>
          <w:szCs w:val="21"/>
        </w:rPr>
        <w:t>’</w:t>
      </w:r>
      <w:r w:rsidRPr="00CF4160">
        <w:rPr>
          <w:rFonts w:ascii="Arial" w:hAnsi="Arial" w:cs="Arial"/>
          <w:sz w:val="21"/>
          <w:szCs w:val="21"/>
        </w:rPr>
        <w:t>outils de communication institutionnels</w:t>
      </w:r>
      <w:r w:rsidR="006D19DC">
        <w:rPr>
          <w:rFonts w:ascii="Arial" w:hAnsi="Arial" w:cs="Arial"/>
          <w:sz w:val="21"/>
          <w:szCs w:val="21"/>
        </w:rPr>
        <w:t xml:space="preserve"> </w:t>
      </w:r>
      <w:r w:rsidRPr="00CF4160">
        <w:rPr>
          <w:rFonts w:ascii="Arial" w:hAnsi="Arial" w:cs="Arial"/>
          <w:sz w:val="21"/>
          <w:szCs w:val="21"/>
        </w:rPr>
        <w:t xml:space="preserve">pour l’INSAPT, comprenant </w:t>
      </w:r>
      <w:r w:rsidR="006D19DC" w:rsidRPr="00CF4160">
        <w:rPr>
          <w:rFonts w:ascii="Arial" w:hAnsi="Arial" w:cs="Arial"/>
          <w:sz w:val="21"/>
          <w:szCs w:val="21"/>
        </w:rPr>
        <w:t>à</w:t>
      </w:r>
      <w:r w:rsidRPr="00CF4160">
        <w:rPr>
          <w:rFonts w:ascii="Arial" w:hAnsi="Arial" w:cs="Arial"/>
          <w:sz w:val="21"/>
          <w:szCs w:val="21"/>
        </w:rPr>
        <w:t xml:space="preserve"> minima un site web institutionnel</w:t>
      </w:r>
      <w:r w:rsidR="004766A9">
        <w:rPr>
          <w:rFonts w:ascii="Arial" w:hAnsi="Arial" w:cs="Arial"/>
          <w:sz w:val="21"/>
          <w:szCs w:val="21"/>
        </w:rPr>
        <w:t xml:space="preserve">, </w:t>
      </w:r>
      <w:r w:rsidRPr="00CF4160">
        <w:rPr>
          <w:rFonts w:ascii="Arial" w:hAnsi="Arial" w:cs="Arial"/>
          <w:sz w:val="21"/>
          <w:szCs w:val="21"/>
        </w:rPr>
        <w:t>des adresses électroniques nominatives et fonctionnelles</w:t>
      </w:r>
      <w:r w:rsidR="004766A9">
        <w:rPr>
          <w:rFonts w:ascii="Arial" w:hAnsi="Arial" w:cs="Arial"/>
          <w:sz w:val="21"/>
          <w:szCs w:val="21"/>
        </w:rPr>
        <w:t xml:space="preserve">, </w:t>
      </w:r>
      <w:r w:rsidRPr="00CF4160">
        <w:rPr>
          <w:rFonts w:ascii="Arial" w:hAnsi="Arial" w:cs="Arial"/>
          <w:sz w:val="21"/>
          <w:szCs w:val="21"/>
        </w:rPr>
        <w:t xml:space="preserve">un intranet pour les échanges internes </w:t>
      </w:r>
      <w:r w:rsidR="004766A9">
        <w:rPr>
          <w:rFonts w:ascii="Arial" w:hAnsi="Arial" w:cs="Arial"/>
          <w:sz w:val="21"/>
          <w:szCs w:val="21"/>
        </w:rPr>
        <w:t xml:space="preserve">et </w:t>
      </w:r>
      <w:r w:rsidRPr="00CF4160">
        <w:rPr>
          <w:rFonts w:ascii="Arial" w:hAnsi="Arial" w:cs="Arial"/>
          <w:sz w:val="21"/>
          <w:szCs w:val="21"/>
        </w:rPr>
        <w:t>des comptes officiels sur les réseaux sociaux, articulés avec le site web et les activités de veille et d’alerte.</w:t>
      </w:r>
    </w:p>
    <w:p w14:paraId="7F02E230" w14:textId="1C3129E8" w:rsidR="009B6151" w:rsidRPr="00CF4160" w:rsidRDefault="009B6151" w:rsidP="00CF4160">
      <w:pPr>
        <w:jc w:val="both"/>
        <w:rPr>
          <w:rFonts w:ascii="Arial" w:hAnsi="Arial" w:cs="Arial"/>
          <w:sz w:val="21"/>
          <w:szCs w:val="21"/>
        </w:rPr>
      </w:pPr>
      <w:r w:rsidRPr="00CF4160">
        <w:rPr>
          <w:rFonts w:ascii="Arial" w:hAnsi="Arial" w:cs="Arial"/>
          <w:sz w:val="21"/>
          <w:szCs w:val="21"/>
        </w:rPr>
        <w:lastRenderedPageBreak/>
        <w:t>La réalisation de cette cartographie et de ces outils est confiée à un cabinet d’expertise locale. Toutefois, afin de garantir la cohérence stratégique, la qualité méthodologique, l’alignement avec les bonnes pratiques internationales et les standards en matière de gouvernance des données, de gestion de l’information sanitaire, de santé numérique et de communication de santé publique, il est prévu de mobiliser une Expertise Technique Internationale de courte durée.</w:t>
      </w:r>
    </w:p>
    <w:p w14:paraId="696E5DDB" w14:textId="77777777" w:rsidR="009B6151" w:rsidRPr="00CF4160" w:rsidRDefault="009B6151" w:rsidP="00CF4160">
      <w:pPr>
        <w:jc w:val="both"/>
        <w:rPr>
          <w:rFonts w:ascii="Arial" w:hAnsi="Arial" w:cs="Arial"/>
          <w:sz w:val="21"/>
          <w:szCs w:val="21"/>
        </w:rPr>
      </w:pPr>
      <w:r w:rsidRPr="00CF4160">
        <w:rPr>
          <w:rFonts w:ascii="Arial" w:hAnsi="Arial" w:cs="Arial"/>
          <w:sz w:val="21"/>
          <w:szCs w:val="21"/>
        </w:rPr>
        <w:t>Cette expertise, de profil santé publique / épidémiologie avec des compétences avérées en gestion de projet et systèmes d’information en santé, aura pour rôle de :</w:t>
      </w:r>
    </w:p>
    <w:p w14:paraId="4A13930B" w14:textId="063ED43B" w:rsidR="009B6151" w:rsidRPr="00CF4160" w:rsidRDefault="009B6151" w:rsidP="006D19DC">
      <w:pPr>
        <w:pStyle w:val="Paragraphedeliste"/>
        <w:numPr>
          <w:ilvl w:val="0"/>
          <w:numId w:val="8"/>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appuyer</w:t>
      </w:r>
      <w:proofErr w:type="gramEnd"/>
      <w:r w:rsidRPr="00CF4160">
        <w:rPr>
          <w:rFonts w:ascii="Arial" w:hAnsi="Arial" w:cs="Arial"/>
          <w:sz w:val="21"/>
          <w:szCs w:val="21"/>
        </w:rPr>
        <w:t xml:space="preserve"> la définition du cadre méthodologique et conceptuel de la cartographie ;</w:t>
      </w:r>
    </w:p>
    <w:p w14:paraId="6BFCE9D4" w14:textId="33608120" w:rsidR="009B6151" w:rsidRPr="00CF4160" w:rsidRDefault="009B6151" w:rsidP="006D19DC">
      <w:pPr>
        <w:pStyle w:val="Paragraphedeliste"/>
        <w:numPr>
          <w:ilvl w:val="0"/>
          <w:numId w:val="8"/>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assurer</w:t>
      </w:r>
      <w:proofErr w:type="gramEnd"/>
      <w:r w:rsidRPr="00CF4160">
        <w:rPr>
          <w:rFonts w:ascii="Arial" w:hAnsi="Arial" w:cs="Arial"/>
          <w:sz w:val="21"/>
          <w:szCs w:val="21"/>
        </w:rPr>
        <w:t xml:space="preserve"> la cohérence de la cartographie avec les fonctions essentielles de santé publique et les cadres internationaux (IHR/RSI, approche « Une seule santé », agenda sécurité sanitaire, etc.) ;</w:t>
      </w:r>
    </w:p>
    <w:p w14:paraId="60A36C3D" w14:textId="18466A1D" w:rsidR="009B6151" w:rsidRPr="00CF4160" w:rsidRDefault="009B6151" w:rsidP="006D19DC">
      <w:pPr>
        <w:pStyle w:val="Paragraphedeliste"/>
        <w:numPr>
          <w:ilvl w:val="0"/>
          <w:numId w:val="8"/>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soutenir</w:t>
      </w:r>
      <w:proofErr w:type="gramEnd"/>
      <w:r w:rsidRPr="00CF4160">
        <w:rPr>
          <w:rFonts w:ascii="Arial" w:hAnsi="Arial" w:cs="Arial"/>
          <w:sz w:val="21"/>
          <w:szCs w:val="21"/>
        </w:rPr>
        <w:t xml:space="preserve"> la conception fonctionnelle des outils de communication numérique (site web, intranet, réseaux sociaux) en cohérence avec les besoins stratégiques de l’INSAPT et de ses partenaires ;</w:t>
      </w:r>
    </w:p>
    <w:p w14:paraId="787C5485" w14:textId="2C08981E" w:rsidR="009B6151" w:rsidRPr="00CF4160" w:rsidRDefault="009B6151" w:rsidP="006D19DC">
      <w:pPr>
        <w:pStyle w:val="Paragraphedeliste"/>
        <w:numPr>
          <w:ilvl w:val="0"/>
          <w:numId w:val="8"/>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accompagner</w:t>
      </w:r>
      <w:proofErr w:type="gramEnd"/>
      <w:r w:rsidRPr="00CF4160">
        <w:rPr>
          <w:rFonts w:ascii="Arial" w:hAnsi="Arial" w:cs="Arial"/>
          <w:sz w:val="21"/>
          <w:szCs w:val="21"/>
        </w:rPr>
        <w:t xml:space="preserve"> l’INSAPT et le cabinet local dans la coordination technique générale de cette mission multidimensionnelle.</w:t>
      </w:r>
    </w:p>
    <w:p w14:paraId="698E842B" w14:textId="531F1B21" w:rsidR="009B6151" w:rsidRPr="00CF4160" w:rsidRDefault="009B6151" w:rsidP="00CF4160">
      <w:pPr>
        <w:jc w:val="both"/>
        <w:rPr>
          <w:rFonts w:ascii="Arial" w:hAnsi="Arial" w:cs="Arial"/>
          <w:sz w:val="21"/>
          <w:szCs w:val="21"/>
        </w:rPr>
      </w:pPr>
      <w:r w:rsidRPr="00CF4160">
        <w:rPr>
          <w:rFonts w:ascii="Arial" w:hAnsi="Arial" w:cs="Arial"/>
          <w:sz w:val="21"/>
          <w:szCs w:val="21"/>
        </w:rPr>
        <w:t xml:space="preserve">La présente mission s’inscrit dans </w:t>
      </w:r>
      <w:r w:rsidR="006D19DC" w:rsidRPr="00CF4160">
        <w:rPr>
          <w:rFonts w:ascii="Arial" w:hAnsi="Arial" w:cs="Arial"/>
          <w:sz w:val="21"/>
          <w:szCs w:val="21"/>
        </w:rPr>
        <w:t>un calendrier de 25 jour ouvrable</w:t>
      </w:r>
      <w:r w:rsidR="006D19DC">
        <w:rPr>
          <w:rFonts w:ascii="Arial" w:hAnsi="Arial" w:cs="Arial"/>
          <w:sz w:val="21"/>
          <w:szCs w:val="21"/>
        </w:rPr>
        <w:t xml:space="preserve"> entièrement</w:t>
      </w:r>
      <w:r w:rsidRPr="00CF4160">
        <w:rPr>
          <w:rFonts w:ascii="Arial" w:hAnsi="Arial" w:cs="Arial"/>
          <w:sz w:val="21"/>
          <w:szCs w:val="21"/>
        </w:rPr>
        <w:t xml:space="preserve"> pris en charge par le projet TEI</w:t>
      </w:r>
      <w:r w:rsidRPr="00CF4160">
        <w:rPr>
          <w:rFonts w:ascii="Cambria Math" w:hAnsi="Cambria Math" w:cs="Cambria Math"/>
          <w:sz w:val="21"/>
          <w:szCs w:val="21"/>
        </w:rPr>
        <w:t>‑</w:t>
      </w:r>
      <w:r w:rsidRPr="00CF4160">
        <w:rPr>
          <w:rFonts w:ascii="Arial" w:hAnsi="Arial" w:cs="Arial"/>
          <w:sz w:val="21"/>
          <w:szCs w:val="21"/>
        </w:rPr>
        <w:t>INSP et se déroulera principalement à N’Djamena, avec interaction étroite avec l’INSAPT, le MSPP, le MESRSFP et l’écosystème des acteurs de santé publique.</w:t>
      </w:r>
    </w:p>
    <w:p w14:paraId="33C668ED" w14:textId="016A214E" w:rsidR="009B6151" w:rsidRPr="00CF4160" w:rsidRDefault="006D19DC" w:rsidP="00F06942">
      <w:pPr>
        <w:pStyle w:val="Titre1"/>
      </w:pPr>
      <w:r>
        <w:t>3</w:t>
      </w:r>
      <w:r w:rsidR="009B6151" w:rsidRPr="00CF4160">
        <w:t>. Objectifs de la mission</w:t>
      </w:r>
    </w:p>
    <w:p w14:paraId="5F9102DB" w14:textId="5F8C581E" w:rsidR="009B6151" w:rsidRPr="00F06942" w:rsidRDefault="009B6151" w:rsidP="00CF4160">
      <w:pPr>
        <w:jc w:val="both"/>
        <w:rPr>
          <w:rFonts w:ascii="Arial" w:hAnsi="Arial" w:cs="Arial"/>
          <w:b/>
          <w:bCs/>
          <w:sz w:val="21"/>
          <w:szCs w:val="21"/>
        </w:rPr>
      </w:pPr>
      <w:r w:rsidRPr="00F06942">
        <w:rPr>
          <w:rFonts w:ascii="Arial" w:hAnsi="Arial" w:cs="Arial"/>
          <w:b/>
          <w:bCs/>
          <w:sz w:val="21"/>
          <w:szCs w:val="21"/>
        </w:rPr>
        <w:t>2.1. Objectif général</w:t>
      </w:r>
    </w:p>
    <w:p w14:paraId="57A62902" w14:textId="41703700" w:rsidR="009B6151" w:rsidRPr="00CF4160" w:rsidRDefault="009B6151" w:rsidP="00CF4160">
      <w:pPr>
        <w:jc w:val="both"/>
        <w:rPr>
          <w:rFonts w:ascii="Arial" w:hAnsi="Arial" w:cs="Arial"/>
          <w:sz w:val="21"/>
          <w:szCs w:val="21"/>
        </w:rPr>
      </w:pPr>
      <w:r w:rsidRPr="00CF4160">
        <w:rPr>
          <w:rFonts w:ascii="Arial" w:hAnsi="Arial" w:cs="Arial"/>
          <w:sz w:val="21"/>
          <w:szCs w:val="21"/>
        </w:rPr>
        <w:t>Apporter une expertise technique internationale spécialisée pour appuyer l’INSAPT et le cabinet d’expertise locale dans la conception, la coordination méthodologique et stratégique de la cartographie dynamique des acteurs de santé publique et le développement d’outils modernes de communication institutionnelle, afin de renforcer la capacité de l’INSAPT à coordonner la réponse aux urgences de santé publique et à exercer efficacement ses fonctions essentielles de santé publique.</w:t>
      </w:r>
    </w:p>
    <w:p w14:paraId="7B7E7AD9" w14:textId="261D6C3D" w:rsidR="009B6151" w:rsidRPr="00F06942" w:rsidRDefault="009B6151" w:rsidP="00CF4160">
      <w:pPr>
        <w:jc w:val="both"/>
        <w:rPr>
          <w:rFonts w:ascii="Arial" w:hAnsi="Arial" w:cs="Arial"/>
          <w:b/>
          <w:bCs/>
          <w:sz w:val="21"/>
          <w:szCs w:val="21"/>
        </w:rPr>
      </w:pPr>
      <w:r w:rsidRPr="00F06942">
        <w:rPr>
          <w:rFonts w:ascii="Arial" w:hAnsi="Arial" w:cs="Arial"/>
          <w:b/>
          <w:bCs/>
          <w:sz w:val="21"/>
          <w:szCs w:val="21"/>
        </w:rPr>
        <w:t>2.2. Objectifs spécifiques</w:t>
      </w:r>
    </w:p>
    <w:p w14:paraId="17033979" w14:textId="0616BAFB" w:rsidR="009B6151" w:rsidRPr="006D19DC" w:rsidRDefault="009B6151" w:rsidP="006D19DC">
      <w:pPr>
        <w:pStyle w:val="Paragraphedeliste"/>
        <w:numPr>
          <w:ilvl w:val="0"/>
          <w:numId w:val="9"/>
        </w:numPr>
        <w:spacing w:before="60" w:after="60"/>
        <w:ind w:left="714" w:hanging="357"/>
        <w:contextualSpacing w:val="0"/>
        <w:jc w:val="both"/>
        <w:rPr>
          <w:rFonts w:ascii="Arial" w:hAnsi="Arial" w:cs="Arial"/>
          <w:sz w:val="21"/>
          <w:szCs w:val="21"/>
        </w:rPr>
      </w:pPr>
      <w:r w:rsidRPr="006D19DC">
        <w:rPr>
          <w:rFonts w:ascii="Arial" w:hAnsi="Arial" w:cs="Arial"/>
          <w:sz w:val="21"/>
          <w:szCs w:val="21"/>
        </w:rPr>
        <w:t>Définir et valider le cadre conceptuel et méthodologique de la cartographie dynamique des acteurs de santé publique, en lien avec les FESP, la gestion des urgences, la santé numérique et la prise en compte du genre.</w:t>
      </w:r>
    </w:p>
    <w:p w14:paraId="71C09273" w14:textId="7C57F012" w:rsidR="009B6151" w:rsidRPr="006D19DC" w:rsidRDefault="009B6151" w:rsidP="006D19DC">
      <w:pPr>
        <w:pStyle w:val="Paragraphedeliste"/>
        <w:numPr>
          <w:ilvl w:val="0"/>
          <w:numId w:val="9"/>
        </w:numPr>
        <w:spacing w:before="60" w:after="60"/>
        <w:ind w:left="714" w:hanging="357"/>
        <w:contextualSpacing w:val="0"/>
        <w:jc w:val="both"/>
        <w:rPr>
          <w:rFonts w:ascii="Arial" w:hAnsi="Arial" w:cs="Arial"/>
          <w:sz w:val="21"/>
          <w:szCs w:val="21"/>
        </w:rPr>
      </w:pPr>
      <w:r w:rsidRPr="006D19DC">
        <w:rPr>
          <w:rFonts w:ascii="Arial" w:hAnsi="Arial" w:cs="Arial"/>
          <w:sz w:val="21"/>
          <w:szCs w:val="21"/>
        </w:rPr>
        <w:t>Appuyer la structuration, le pilotage et la coordination technique du processus de cartographie (identification des acteurs, typologie, niveaux d’intervention, mandats, rôles, interactions, flux d’information, mécanismes de coordination, etc.), en étroite collaboration avec le cabinet local et l’INSAPT.</w:t>
      </w:r>
    </w:p>
    <w:p w14:paraId="03BF282A" w14:textId="44DD7281" w:rsidR="009B6151" w:rsidRPr="006D19DC" w:rsidRDefault="009B6151" w:rsidP="006D19DC">
      <w:pPr>
        <w:pStyle w:val="Paragraphedeliste"/>
        <w:numPr>
          <w:ilvl w:val="0"/>
          <w:numId w:val="9"/>
        </w:numPr>
        <w:spacing w:before="60" w:after="60"/>
        <w:ind w:left="714" w:hanging="357"/>
        <w:contextualSpacing w:val="0"/>
        <w:jc w:val="both"/>
        <w:rPr>
          <w:rFonts w:ascii="Arial" w:hAnsi="Arial" w:cs="Arial"/>
          <w:sz w:val="21"/>
          <w:szCs w:val="21"/>
        </w:rPr>
      </w:pPr>
      <w:r w:rsidRPr="006D19DC">
        <w:rPr>
          <w:rFonts w:ascii="Arial" w:hAnsi="Arial" w:cs="Arial"/>
          <w:sz w:val="21"/>
          <w:szCs w:val="21"/>
        </w:rPr>
        <w:t>Contribuer à la conception fonctionnelle et organisationnelle des outils de communication (site web, intranet, adresses nominatives, comptes de réseaux sociaux), afin qu’ils répondent aux besoins de veille, d’alerte, de coordination, de diffusion d’information, de visibilité institutionnelle et de plaidoyer de l’INSAPT.</w:t>
      </w:r>
    </w:p>
    <w:p w14:paraId="57747367" w14:textId="7E7E9D58" w:rsidR="009B6151" w:rsidRPr="006D19DC" w:rsidRDefault="009B6151" w:rsidP="006D19DC">
      <w:pPr>
        <w:pStyle w:val="Paragraphedeliste"/>
        <w:numPr>
          <w:ilvl w:val="0"/>
          <w:numId w:val="9"/>
        </w:numPr>
        <w:spacing w:before="60" w:after="60"/>
        <w:ind w:left="714" w:hanging="357"/>
        <w:contextualSpacing w:val="0"/>
        <w:jc w:val="both"/>
        <w:rPr>
          <w:rFonts w:ascii="Arial" w:hAnsi="Arial" w:cs="Arial"/>
          <w:sz w:val="21"/>
          <w:szCs w:val="21"/>
        </w:rPr>
      </w:pPr>
      <w:r w:rsidRPr="006D19DC">
        <w:rPr>
          <w:rFonts w:ascii="Arial" w:hAnsi="Arial" w:cs="Arial"/>
          <w:sz w:val="21"/>
          <w:szCs w:val="21"/>
        </w:rPr>
        <w:t>Renforcer les capacités de l’INSAPT** (CVS, LNSP, Centre de Formation et de Recherche, Direction de la communication, Direction des études, etc.) pour l’appropriation, la gestion, la mise à jour et l’utilisation opérationnelle de la cartographie et des outils de communication.</w:t>
      </w:r>
    </w:p>
    <w:p w14:paraId="297C0D56" w14:textId="4ECA43B0" w:rsidR="009B6151" w:rsidRPr="006D19DC" w:rsidRDefault="009B6151" w:rsidP="006D19DC">
      <w:pPr>
        <w:pStyle w:val="Paragraphedeliste"/>
        <w:numPr>
          <w:ilvl w:val="0"/>
          <w:numId w:val="9"/>
        </w:numPr>
        <w:spacing w:before="60" w:after="60"/>
        <w:ind w:left="714" w:hanging="357"/>
        <w:contextualSpacing w:val="0"/>
        <w:jc w:val="both"/>
        <w:rPr>
          <w:rFonts w:ascii="Arial" w:hAnsi="Arial" w:cs="Arial"/>
          <w:sz w:val="21"/>
          <w:szCs w:val="21"/>
        </w:rPr>
      </w:pPr>
      <w:r w:rsidRPr="006D19DC">
        <w:rPr>
          <w:rFonts w:ascii="Arial" w:hAnsi="Arial" w:cs="Arial"/>
          <w:sz w:val="21"/>
          <w:szCs w:val="21"/>
        </w:rPr>
        <w:lastRenderedPageBreak/>
        <w:t>Élaborer un plan opérationnel et un cadre de gouvernance pour l’actualisation de la cartographie et la maintenance/évolution des outils de communication, incluant des considérations de sécurité, d’éthique, de protection des données, d’inclusion et de sensibilité au genre.</w:t>
      </w:r>
    </w:p>
    <w:p w14:paraId="3FE75331" w14:textId="3902DC0D" w:rsidR="009B6151" w:rsidRPr="00CF4160" w:rsidRDefault="006D19DC" w:rsidP="00F06942">
      <w:pPr>
        <w:pStyle w:val="Titre1"/>
      </w:pPr>
      <w:r>
        <w:t>4</w:t>
      </w:r>
      <w:r w:rsidR="009B6151" w:rsidRPr="00CF4160">
        <w:t>. Résultats attendus</w:t>
      </w:r>
    </w:p>
    <w:p w14:paraId="5046F8AB" w14:textId="6A317737" w:rsidR="009B6151" w:rsidRPr="006D19DC" w:rsidRDefault="009B6151" w:rsidP="006D19DC">
      <w:pPr>
        <w:pStyle w:val="Paragraphedeliste"/>
        <w:numPr>
          <w:ilvl w:val="1"/>
          <w:numId w:val="10"/>
        </w:numPr>
        <w:spacing w:before="80" w:after="80"/>
        <w:ind w:left="567" w:hanging="425"/>
        <w:contextualSpacing w:val="0"/>
        <w:jc w:val="both"/>
        <w:rPr>
          <w:rFonts w:ascii="Arial" w:hAnsi="Arial" w:cs="Arial"/>
          <w:sz w:val="21"/>
          <w:szCs w:val="21"/>
        </w:rPr>
      </w:pPr>
      <w:r w:rsidRPr="006D19DC">
        <w:rPr>
          <w:rFonts w:ascii="Arial" w:hAnsi="Arial" w:cs="Arial"/>
          <w:sz w:val="21"/>
          <w:szCs w:val="21"/>
        </w:rPr>
        <w:t>Un cadre méthodologique et conceptuel validé pour la cartographie dynamique des acteurs de santé publique, aligné sur les FESP, les priorités nationales, les normes internationales et les exigences des partenaires.</w:t>
      </w:r>
    </w:p>
    <w:p w14:paraId="4DBE88D1" w14:textId="4633B91D" w:rsidR="009B6151" w:rsidRPr="006D19DC" w:rsidRDefault="009B6151" w:rsidP="006D19DC">
      <w:pPr>
        <w:pStyle w:val="Paragraphedeliste"/>
        <w:numPr>
          <w:ilvl w:val="1"/>
          <w:numId w:val="10"/>
        </w:numPr>
        <w:spacing w:before="80" w:after="80"/>
        <w:ind w:left="567" w:hanging="425"/>
        <w:contextualSpacing w:val="0"/>
        <w:jc w:val="both"/>
        <w:rPr>
          <w:rFonts w:ascii="Arial" w:hAnsi="Arial" w:cs="Arial"/>
          <w:sz w:val="21"/>
          <w:szCs w:val="21"/>
        </w:rPr>
      </w:pPr>
      <w:r w:rsidRPr="006D19DC">
        <w:rPr>
          <w:rFonts w:ascii="Arial" w:hAnsi="Arial" w:cs="Arial"/>
          <w:sz w:val="21"/>
          <w:szCs w:val="21"/>
        </w:rPr>
        <w:t>Une cartographie structurée et opérationnelle des acteurs de santé publique (ministères, agences, directions techniques, programmes, laboratoires, universités, instituts de recherche, partenaires techniques et financiers, société civile, secteur privé, organisations communautaires, etc.) incluant leurs rôles, responsabilités, champs d’action, circuits de coordination et de partage d’information.</w:t>
      </w:r>
    </w:p>
    <w:p w14:paraId="2193ABD2" w14:textId="4D301CCA" w:rsidR="009B6151" w:rsidRPr="006D19DC" w:rsidRDefault="009B6151" w:rsidP="006D19DC">
      <w:pPr>
        <w:pStyle w:val="Paragraphedeliste"/>
        <w:numPr>
          <w:ilvl w:val="1"/>
          <w:numId w:val="10"/>
        </w:numPr>
        <w:spacing w:before="80" w:after="80"/>
        <w:ind w:left="567" w:hanging="425"/>
        <w:contextualSpacing w:val="0"/>
        <w:jc w:val="both"/>
        <w:rPr>
          <w:rFonts w:ascii="Arial" w:hAnsi="Arial" w:cs="Arial"/>
          <w:sz w:val="21"/>
          <w:szCs w:val="21"/>
        </w:rPr>
      </w:pPr>
      <w:r w:rsidRPr="006D19DC">
        <w:rPr>
          <w:rFonts w:ascii="Arial" w:hAnsi="Arial" w:cs="Arial"/>
          <w:sz w:val="21"/>
          <w:szCs w:val="21"/>
        </w:rPr>
        <w:t>Une architecture fonctionnelle claire des outils de communication de l’INSAPT (site web, intranet, adresses emails, réseaux sociaux), incluant une arborescence des contenus, des profils d’utilisateurs, des procédures de gestion et de validation de l’information.</w:t>
      </w:r>
    </w:p>
    <w:p w14:paraId="39334E5D" w14:textId="71BD65D0" w:rsidR="009B6151" w:rsidRPr="006D19DC" w:rsidRDefault="009B6151" w:rsidP="006D19DC">
      <w:pPr>
        <w:pStyle w:val="Paragraphedeliste"/>
        <w:numPr>
          <w:ilvl w:val="1"/>
          <w:numId w:val="10"/>
        </w:numPr>
        <w:spacing w:before="80" w:after="80"/>
        <w:ind w:left="567" w:hanging="425"/>
        <w:contextualSpacing w:val="0"/>
        <w:jc w:val="both"/>
        <w:rPr>
          <w:rFonts w:ascii="Arial" w:hAnsi="Arial" w:cs="Arial"/>
          <w:sz w:val="21"/>
          <w:szCs w:val="21"/>
        </w:rPr>
      </w:pPr>
      <w:r w:rsidRPr="006D19DC">
        <w:rPr>
          <w:rFonts w:ascii="Arial" w:hAnsi="Arial" w:cs="Arial"/>
          <w:sz w:val="21"/>
          <w:szCs w:val="21"/>
        </w:rPr>
        <w:t>Un paquet de recommandations techniques pour l’intégration de la cartographie dans l’infrastructure numérique nationale portée par l’INSAPT (interopérabilité, sécurité, accès, mises à jour, exploitation des données sexo</w:t>
      </w:r>
      <w:r w:rsidRPr="006D19DC">
        <w:rPr>
          <w:rFonts w:ascii="Cambria Math" w:hAnsi="Cambria Math" w:cs="Cambria Math"/>
          <w:sz w:val="21"/>
          <w:szCs w:val="21"/>
        </w:rPr>
        <w:t>‑</w:t>
      </w:r>
      <w:r w:rsidRPr="006D19DC">
        <w:rPr>
          <w:rFonts w:ascii="Arial" w:hAnsi="Arial" w:cs="Arial"/>
          <w:sz w:val="21"/>
          <w:szCs w:val="21"/>
        </w:rPr>
        <w:t>spécifiques, etc.).</w:t>
      </w:r>
    </w:p>
    <w:p w14:paraId="00520CAC" w14:textId="43276648" w:rsidR="009B6151" w:rsidRPr="006D19DC" w:rsidRDefault="009B6151" w:rsidP="006D19DC">
      <w:pPr>
        <w:pStyle w:val="Paragraphedeliste"/>
        <w:numPr>
          <w:ilvl w:val="1"/>
          <w:numId w:val="10"/>
        </w:numPr>
        <w:spacing w:before="80" w:after="80"/>
        <w:ind w:left="567" w:hanging="425"/>
        <w:contextualSpacing w:val="0"/>
        <w:jc w:val="both"/>
        <w:rPr>
          <w:rFonts w:ascii="Arial" w:hAnsi="Arial" w:cs="Arial"/>
          <w:sz w:val="21"/>
          <w:szCs w:val="21"/>
        </w:rPr>
      </w:pPr>
      <w:r w:rsidRPr="006D19DC">
        <w:rPr>
          <w:rFonts w:ascii="Arial" w:hAnsi="Arial" w:cs="Arial"/>
          <w:sz w:val="21"/>
          <w:szCs w:val="21"/>
        </w:rPr>
        <w:t>Un plan de renforcement de capacités et un dispositif minimal de formation/coaching pour les équipes de l’INSAPT et, le cas échéant, pour certains partenaires clés (focaux dans les ministères, observatoires de santé provinciaux), pour l’utilisation et la mise à jour de la cartographie et des outils de communication.</w:t>
      </w:r>
    </w:p>
    <w:p w14:paraId="66BCCF84" w14:textId="6643F2E4" w:rsidR="009B6151" w:rsidRPr="006D19DC" w:rsidRDefault="009B6151" w:rsidP="006D19DC">
      <w:pPr>
        <w:pStyle w:val="Paragraphedeliste"/>
        <w:numPr>
          <w:ilvl w:val="1"/>
          <w:numId w:val="10"/>
        </w:numPr>
        <w:spacing w:before="80" w:after="80"/>
        <w:ind w:left="567" w:hanging="425"/>
        <w:contextualSpacing w:val="0"/>
        <w:jc w:val="both"/>
        <w:rPr>
          <w:rFonts w:ascii="Arial" w:hAnsi="Arial" w:cs="Arial"/>
          <w:sz w:val="21"/>
          <w:szCs w:val="21"/>
        </w:rPr>
      </w:pPr>
      <w:r w:rsidRPr="006D19DC">
        <w:rPr>
          <w:rFonts w:ascii="Arial" w:hAnsi="Arial" w:cs="Arial"/>
          <w:sz w:val="21"/>
          <w:szCs w:val="21"/>
        </w:rPr>
        <w:t>Un document de synthèse stratégique et opérationnel (rapport de mission) présentant la démarche, les résultats obtenus, les recommandations, les risques identifiés et les mesures d’atténuation, ainsi qu’une feuille de route à court et moyen terme pour la pérennisation de la cartographie et des outils.</w:t>
      </w:r>
    </w:p>
    <w:p w14:paraId="3F1EE7AE" w14:textId="7B17ADCC" w:rsidR="009B6151" w:rsidRPr="00CF4160" w:rsidRDefault="006D19DC" w:rsidP="00F06942">
      <w:pPr>
        <w:pStyle w:val="Titre1"/>
      </w:pPr>
      <w:r>
        <w:t>5</w:t>
      </w:r>
      <w:r w:rsidR="009B6151" w:rsidRPr="00CF4160">
        <w:t>. Livrables de l’Expertise</w:t>
      </w:r>
    </w:p>
    <w:p w14:paraId="75DF1708" w14:textId="77777777" w:rsidR="009B6151" w:rsidRPr="00CF4160" w:rsidRDefault="009B6151" w:rsidP="00CF4160">
      <w:pPr>
        <w:jc w:val="both"/>
        <w:rPr>
          <w:rFonts w:ascii="Arial" w:hAnsi="Arial" w:cs="Arial"/>
          <w:sz w:val="21"/>
          <w:szCs w:val="21"/>
        </w:rPr>
      </w:pPr>
      <w:r w:rsidRPr="00CF4160">
        <w:rPr>
          <w:rFonts w:ascii="Arial" w:hAnsi="Arial" w:cs="Arial"/>
          <w:sz w:val="21"/>
          <w:szCs w:val="21"/>
        </w:rPr>
        <w:t>L’expert(e) international(e) devra produire, au minimum, les livrables suivants :</w:t>
      </w:r>
    </w:p>
    <w:p w14:paraId="749C1228" w14:textId="0484A172" w:rsidR="009B6151" w:rsidRPr="00F06942" w:rsidRDefault="009B6151" w:rsidP="00F06942">
      <w:pPr>
        <w:pStyle w:val="Paragraphedeliste"/>
        <w:numPr>
          <w:ilvl w:val="1"/>
          <w:numId w:val="11"/>
        </w:numPr>
        <w:spacing w:before="80" w:after="80"/>
        <w:ind w:left="426" w:hanging="284"/>
        <w:contextualSpacing w:val="0"/>
        <w:jc w:val="both"/>
        <w:rPr>
          <w:rFonts w:ascii="Arial" w:hAnsi="Arial" w:cs="Arial"/>
          <w:b/>
          <w:bCs/>
          <w:sz w:val="21"/>
          <w:szCs w:val="21"/>
        </w:rPr>
      </w:pPr>
      <w:r w:rsidRPr="00F06942">
        <w:rPr>
          <w:rFonts w:ascii="Arial" w:hAnsi="Arial" w:cs="Arial"/>
          <w:b/>
          <w:bCs/>
          <w:sz w:val="21"/>
          <w:szCs w:val="21"/>
        </w:rPr>
        <w:t xml:space="preserve">Note de cadrage de la mission (max. 5 pages) </w:t>
      </w:r>
      <w:r w:rsidR="006D19DC" w:rsidRPr="00F06942">
        <w:rPr>
          <w:rFonts w:ascii="Arial" w:hAnsi="Arial" w:cs="Arial"/>
          <w:b/>
          <w:bCs/>
          <w:sz w:val="21"/>
          <w:szCs w:val="21"/>
        </w:rPr>
        <w:t xml:space="preserve">intégrant </w:t>
      </w:r>
      <w:r w:rsidRPr="00F06942">
        <w:rPr>
          <w:rFonts w:ascii="Arial" w:hAnsi="Arial" w:cs="Arial"/>
          <w:b/>
          <w:bCs/>
          <w:sz w:val="21"/>
          <w:szCs w:val="21"/>
        </w:rPr>
        <w:t>:</w:t>
      </w:r>
    </w:p>
    <w:p w14:paraId="22717E2C" w14:textId="1609B1E8" w:rsidR="009B6151" w:rsidRPr="00CF4160" w:rsidRDefault="009B6151" w:rsidP="006D19DC">
      <w:pPr>
        <w:pStyle w:val="Paragraphedeliste"/>
        <w:numPr>
          <w:ilvl w:val="0"/>
          <w:numId w:val="9"/>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compréhension</w:t>
      </w:r>
      <w:proofErr w:type="gramEnd"/>
      <w:r w:rsidRPr="00CF4160">
        <w:rPr>
          <w:rFonts w:ascii="Arial" w:hAnsi="Arial" w:cs="Arial"/>
          <w:sz w:val="21"/>
          <w:szCs w:val="21"/>
        </w:rPr>
        <w:t xml:space="preserve"> du contexte et des enjeux ;</w:t>
      </w:r>
    </w:p>
    <w:p w14:paraId="77021833" w14:textId="0CFADFE2" w:rsidR="009B6151" w:rsidRPr="00CF4160" w:rsidRDefault="009B6151" w:rsidP="006D19DC">
      <w:pPr>
        <w:pStyle w:val="Paragraphedeliste"/>
        <w:numPr>
          <w:ilvl w:val="0"/>
          <w:numId w:val="9"/>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méthodologie</w:t>
      </w:r>
      <w:proofErr w:type="gramEnd"/>
      <w:r w:rsidRPr="00CF4160">
        <w:rPr>
          <w:rFonts w:ascii="Arial" w:hAnsi="Arial" w:cs="Arial"/>
          <w:sz w:val="21"/>
          <w:szCs w:val="21"/>
        </w:rPr>
        <w:t xml:space="preserve"> détaillée proposée (phases, outils, livrables intermédiaires) ;</w:t>
      </w:r>
    </w:p>
    <w:p w14:paraId="266761E7" w14:textId="0F6BA956" w:rsidR="009B6151" w:rsidRPr="00CF4160" w:rsidRDefault="009B6151" w:rsidP="006D19DC">
      <w:pPr>
        <w:pStyle w:val="Paragraphedeliste"/>
        <w:numPr>
          <w:ilvl w:val="0"/>
          <w:numId w:val="9"/>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chronogramme</w:t>
      </w:r>
      <w:proofErr w:type="gramEnd"/>
      <w:r w:rsidRPr="00CF4160">
        <w:rPr>
          <w:rFonts w:ascii="Arial" w:hAnsi="Arial" w:cs="Arial"/>
          <w:sz w:val="21"/>
          <w:szCs w:val="21"/>
        </w:rPr>
        <w:t xml:space="preserve"> détaillé des 25 jours ;</w:t>
      </w:r>
    </w:p>
    <w:p w14:paraId="67239AAE" w14:textId="304BFF9E" w:rsidR="009B6151" w:rsidRPr="00CF4160" w:rsidRDefault="009B6151" w:rsidP="006D19DC">
      <w:pPr>
        <w:pStyle w:val="Paragraphedeliste"/>
        <w:numPr>
          <w:ilvl w:val="0"/>
          <w:numId w:val="9"/>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liste</w:t>
      </w:r>
      <w:proofErr w:type="gramEnd"/>
      <w:r w:rsidRPr="00CF4160">
        <w:rPr>
          <w:rFonts w:ascii="Arial" w:hAnsi="Arial" w:cs="Arial"/>
          <w:sz w:val="21"/>
          <w:szCs w:val="21"/>
        </w:rPr>
        <w:t xml:space="preserve"> indicative des parties prenantes à consulter.</w:t>
      </w:r>
    </w:p>
    <w:p w14:paraId="6C56C13E" w14:textId="22139243" w:rsidR="009B6151" w:rsidRPr="00F06942" w:rsidRDefault="009B6151" w:rsidP="006D19DC">
      <w:pPr>
        <w:pStyle w:val="Paragraphedeliste"/>
        <w:numPr>
          <w:ilvl w:val="1"/>
          <w:numId w:val="11"/>
        </w:numPr>
        <w:spacing w:before="80" w:after="80"/>
        <w:ind w:left="426" w:hanging="284"/>
        <w:contextualSpacing w:val="0"/>
        <w:jc w:val="both"/>
        <w:rPr>
          <w:rFonts w:ascii="Arial" w:hAnsi="Arial" w:cs="Arial"/>
          <w:b/>
          <w:bCs/>
          <w:sz w:val="21"/>
          <w:szCs w:val="21"/>
        </w:rPr>
      </w:pPr>
      <w:r w:rsidRPr="00F06942">
        <w:rPr>
          <w:rFonts w:ascii="Arial" w:hAnsi="Arial" w:cs="Arial"/>
          <w:b/>
          <w:bCs/>
          <w:sz w:val="21"/>
          <w:szCs w:val="21"/>
        </w:rPr>
        <w:t>Cadre conceptuel et méthodologique de la cartographie</w:t>
      </w:r>
      <w:r w:rsidR="006D19DC" w:rsidRPr="00F06942">
        <w:rPr>
          <w:rFonts w:ascii="Arial" w:hAnsi="Arial" w:cs="Arial"/>
          <w:b/>
          <w:bCs/>
          <w:sz w:val="21"/>
          <w:szCs w:val="21"/>
        </w:rPr>
        <w:t xml:space="preserve"> comprenant </w:t>
      </w:r>
      <w:r w:rsidRPr="00F06942">
        <w:rPr>
          <w:rFonts w:ascii="Arial" w:hAnsi="Arial" w:cs="Arial"/>
          <w:b/>
          <w:bCs/>
          <w:sz w:val="21"/>
          <w:szCs w:val="21"/>
        </w:rPr>
        <w:t>:</w:t>
      </w:r>
    </w:p>
    <w:p w14:paraId="57404CD3" w14:textId="3C1A818B" w:rsidR="009B6151" w:rsidRPr="00CF4160" w:rsidRDefault="009B6151" w:rsidP="006D19DC">
      <w:pPr>
        <w:pStyle w:val="Paragraphedeliste"/>
        <w:numPr>
          <w:ilvl w:val="0"/>
          <w:numId w:val="9"/>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objectifs</w:t>
      </w:r>
      <w:proofErr w:type="gramEnd"/>
      <w:r w:rsidRPr="00CF4160">
        <w:rPr>
          <w:rFonts w:ascii="Arial" w:hAnsi="Arial" w:cs="Arial"/>
          <w:sz w:val="21"/>
          <w:szCs w:val="21"/>
        </w:rPr>
        <w:t>, portée et limites de la cartographie ;</w:t>
      </w:r>
    </w:p>
    <w:p w14:paraId="58D02AAB" w14:textId="5FE893BA" w:rsidR="009B6151" w:rsidRPr="00CF4160" w:rsidRDefault="009B6151" w:rsidP="006D19DC">
      <w:pPr>
        <w:pStyle w:val="Paragraphedeliste"/>
        <w:numPr>
          <w:ilvl w:val="0"/>
          <w:numId w:val="9"/>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définitions</w:t>
      </w:r>
      <w:proofErr w:type="gramEnd"/>
      <w:r w:rsidRPr="00CF4160">
        <w:rPr>
          <w:rFonts w:ascii="Arial" w:hAnsi="Arial" w:cs="Arial"/>
          <w:sz w:val="21"/>
          <w:szCs w:val="21"/>
        </w:rPr>
        <w:t xml:space="preserve"> opérationnelles des catégories d’acteurs de santé publique ;</w:t>
      </w:r>
    </w:p>
    <w:p w14:paraId="4501D12A" w14:textId="7878256D" w:rsidR="009B6151" w:rsidRPr="00CF4160" w:rsidRDefault="009B6151" w:rsidP="006D19DC">
      <w:pPr>
        <w:pStyle w:val="Paragraphedeliste"/>
        <w:numPr>
          <w:ilvl w:val="0"/>
          <w:numId w:val="9"/>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typologie</w:t>
      </w:r>
      <w:proofErr w:type="gramEnd"/>
      <w:r w:rsidRPr="00CF4160">
        <w:rPr>
          <w:rFonts w:ascii="Arial" w:hAnsi="Arial" w:cs="Arial"/>
          <w:sz w:val="21"/>
          <w:szCs w:val="21"/>
        </w:rPr>
        <w:t xml:space="preserve"> des acteurs (niveau national/provincial/district/communautaire, secteur public/privé, ONG, partenaires, etc.) ;</w:t>
      </w:r>
    </w:p>
    <w:p w14:paraId="71C21970" w14:textId="6F325878" w:rsidR="009B6151" w:rsidRPr="00CF4160" w:rsidRDefault="009B6151" w:rsidP="006D19DC">
      <w:pPr>
        <w:pStyle w:val="Paragraphedeliste"/>
        <w:numPr>
          <w:ilvl w:val="0"/>
          <w:numId w:val="9"/>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critères</w:t>
      </w:r>
      <w:proofErr w:type="gramEnd"/>
      <w:r w:rsidRPr="00CF4160">
        <w:rPr>
          <w:rFonts w:ascii="Arial" w:hAnsi="Arial" w:cs="Arial"/>
          <w:sz w:val="21"/>
          <w:szCs w:val="21"/>
        </w:rPr>
        <w:t xml:space="preserve"> de classification (mandats, fonctions, rôle dans les urgences de santé publique, contributions aux FESP, etc.) ;</w:t>
      </w:r>
    </w:p>
    <w:p w14:paraId="3E56CE15" w14:textId="7978ED6D" w:rsidR="009B6151" w:rsidRPr="00CF4160" w:rsidRDefault="009B6151" w:rsidP="006D19DC">
      <w:pPr>
        <w:pStyle w:val="Paragraphedeliste"/>
        <w:numPr>
          <w:ilvl w:val="0"/>
          <w:numId w:val="9"/>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lastRenderedPageBreak/>
        <w:t>schéma</w:t>
      </w:r>
      <w:proofErr w:type="gramEnd"/>
      <w:r w:rsidRPr="00CF4160">
        <w:rPr>
          <w:rFonts w:ascii="Arial" w:hAnsi="Arial" w:cs="Arial"/>
          <w:sz w:val="21"/>
          <w:szCs w:val="21"/>
        </w:rPr>
        <w:t xml:space="preserve"> de collecte et d’actualisation des données (qui collecte, quoi, comment, combien de fois, avec quels outils/formats) ;</w:t>
      </w:r>
    </w:p>
    <w:p w14:paraId="232CC0CA" w14:textId="2F3955ED" w:rsidR="009B6151" w:rsidRPr="00CF4160" w:rsidRDefault="009B6151" w:rsidP="006D19DC">
      <w:pPr>
        <w:pStyle w:val="Paragraphedeliste"/>
        <w:numPr>
          <w:ilvl w:val="0"/>
          <w:numId w:val="9"/>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propositions</w:t>
      </w:r>
      <w:proofErr w:type="gramEnd"/>
      <w:r w:rsidRPr="00CF4160">
        <w:rPr>
          <w:rFonts w:ascii="Arial" w:hAnsi="Arial" w:cs="Arial"/>
          <w:sz w:val="21"/>
          <w:szCs w:val="21"/>
        </w:rPr>
        <w:t xml:space="preserve"> d’outils (gabarits de fiches acteurs, bases de données, formats de visualisation cartographique ou systémique, etc.).</w:t>
      </w:r>
    </w:p>
    <w:p w14:paraId="463F9645" w14:textId="6DF80300" w:rsidR="009B6151" w:rsidRPr="00F06942" w:rsidRDefault="009B6151" w:rsidP="006D19DC">
      <w:pPr>
        <w:pStyle w:val="Paragraphedeliste"/>
        <w:numPr>
          <w:ilvl w:val="1"/>
          <w:numId w:val="11"/>
        </w:numPr>
        <w:spacing w:before="80" w:after="80"/>
        <w:ind w:left="426" w:hanging="284"/>
        <w:contextualSpacing w:val="0"/>
        <w:jc w:val="both"/>
        <w:rPr>
          <w:rFonts w:ascii="Arial" w:hAnsi="Arial" w:cs="Arial"/>
          <w:b/>
          <w:bCs/>
          <w:sz w:val="21"/>
          <w:szCs w:val="21"/>
        </w:rPr>
      </w:pPr>
      <w:r w:rsidRPr="00F06942">
        <w:rPr>
          <w:rFonts w:ascii="Arial" w:hAnsi="Arial" w:cs="Arial"/>
          <w:b/>
          <w:bCs/>
          <w:sz w:val="21"/>
          <w:szCs w:val="21"/>
        </w:rPr>
        <w:t>Document de spécifications pour la cartographie dynamique :</w:t>
      </w:r>
    </w:p>
    <w:p w14:paraId="1074AEFC" w14:textId="75C7A64D" w:rsidR="009B6151" w:rsidRPr="00CF4160" w:rsidRDefault="009B6151" w:rsidP="006D19DC">
      <w:pPr>
        <w:pStyle w:val="Paragraphedeliste"/>
        <w:numPr>
          <w:ilvl w:val="0"/>
          <w:numId w:val="9"/>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structure</w:t>
      </w:r>
      <w:proofErr w:type="gramEnd"/>
      <w:r w:rsidRPr="00CF4160">
        <w:rPr>
          <w:rFonts w:ascii="Arial" w:hAnsi="Arial" w:cs="Arial"/>
          <w:sz w:val="21"/>
          <w:szCs w:val="21"/>
        </w:rPr>
        <w:t xml:space="preserve"> des bases de données (variables, formats, métadonnées) ;</w:t>
      </w:r>
    </w:p>
    <w:p w14:paraId="6769ABD2" w14:textId="0743D9C1" w:rsidR="009B6151" w:rsidRPr="00CF4160" w:rsidRDefault="009B6151" w:rsidP="006D19DC">
      <w:pPr>
        <w:pStyle w:val="Paragraphedeliste"/>
        <w:numPr>
          <w:ilvl w:val="0"/>
          <w:numId w:val="9"/>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propositions</w:t>
      </w:r>
      <w:proofErr w:type="gramEnd"/>
      <w:r w:rsidRPr="00CF4160">
        <w:rPr>
          <w:rFonts w:ascii="Arial" w:hAnsi="Arial" w:cs="Arial"/>
          <w:sz w:val="21"/>
          <w:szCs w:val="21"/>
        </w:rPr>
        <w:t xml:space="preserve"> de modalités de représentation (cartes géographiques, schémas de réseau, matrices de responsabilités RACI, etc.) ;</w:t>
      </w:r>
    </w:p>
    <w:p w14:paraId="5BF192EB" w14:textId="5105654E" w:rsidR="009B6151" w:rsidRPr="00CF4160" w:rsidRDefault="009B6151" w:rsidP="006D19DC">
      <w:pPr>
        <w:pStyle w:val="Paragraphedeliste"/>
        <w:numPr>
          <w:ilvl w:val="0"/>
          <w:numId w:val="9"/>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articulation</w:t>
      </w:r>
      <w:proofErr w:type="gramEnd"/>
      <w:r w:rsidRPr="00CF4160">
        <w:rPr>
          <w:rFonts w:ascii="Arial" w:hAnsi="Arial" w:cs="Arial"/>
          <w:sz w:val="21"/>
          <w:szCs w:val="21"/>
        </w:rPr>
        <w:t xml:space="preserve"> avec les systèmes existants (DHIS2, plateformes nationales de surveillance, registres, etc.) ;</w:t>
      </w:r>
    </w:p>
    <w:p w14:paraId="5D9E3655" w14:textId="570C30E9" w:rsidR="009B6151" w:rsidRPr="00CF4160" w:rsidRDefault="009B6151" w:rsidP="006D19DC">
      <w:pPr>
        <w:pStyle w:val="Paragraphedeliste"/>
        <w:numPr>
          <w:ilvl w:val="0"/>
          <w:numId w:val="9"/>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recommandations</w:t>
      </w:r>
      <w:proofErr w:type="gramEnd"/>
      <w:r w:rsidRPr="00CF4160">
        <w:rPr>
          <w:rFonts w:ascii="Arial" w:hAnsi="Arial" w:cs="Arial"/>
          <w:sz w:val="21"/>
          <w:szCs w:val="21"/>
        </w:rPr>
        <w:t xml:space="preserve"> sur la mise à jour et la gouvernance des données (responsabilités, processus, échéances).</w:t>
      </w:r>
    </w:p>
    <w:p w14:paraId="5BEA84B1" w14:textId="779468F2" w:rsidR="009B6151" w:rsidRPr="00CF4160" w:rsidRDefault="009B6151" w:rsidP="006D19DC">
      <w:pPr>
        <w:pStyle w:val="Paragraphedeliste"/>
        <w:numPr>
          <w:ilvl w:val="1"/>
          <w:numId w:val="11"/>
        </w:numPr>
        <w:spacing w:before="80" w:after="80"/>
        <w:ind w:left="426" w:hanging="284"/>
        <w:contextualSpacing w:val="0"/>
        <w:jc w:val="both"/>
        <w:rPr>
          <w:rFonts w:ascii="Arial" w:hAnsi="Arial" w:cs="Arial"/>
          <w:sz w:val="21"/>
          <w:szCs w:val="21"/>
        </w:rPr>
      </w:pPr>
      <w:r w:rsidRPr="00F06942">
        <w:rPr>
          <w:rFonts w:ascii="Arial" w:hAnsi="Arial" w:cs="Arial"/>
          <w:b/>
          <w:bCs/>
          <w:sz w:val="21"/>
          <w:szCs w:val="21"/>
        </w:rPr>
        <w:t>Spécifications fonctionnelles des outils de communication de l’INSAPT :</w:t>
      </w:r>
    </w:p>
    <w:p w14:paraId="4EF15D0E" w14:textId="61D69D6A" w:rsidR="009B6151" w:rsidRPr="00CF4160" w:rsidRDefault="009B6151" w:rsidP="001A42C6">
      <w:pPr>
        <w:pStyle w:val="Paragraphedeliste"/>
        <w:numPr>
          <w:ilvl w:val="0"/>
          <w:numId w:val="9"/>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architecture</w:t>
      </w:r>
      <w:proofErr w:type="gramEnd"/>
      <w:r w:rsidRPr="00CF4160">
        <w:rPr>
          <w:rFonts w:ascii="Arial" w:hAnsi="Arial" w:cs="Arial"/>
          <w:sz w:val="21"/>
          <w:szCs w:val="21"/>
        </w:rPr>
        <w:t xml:space="preserve"> fonctionnelle du site web : rubriques, niveaux d’accès, types de contenus (actualités, données, rapports, formations, recherche, veille sanitaire, etc.), gestion des langues le cas échéant ;</w:t>
      </w:r>
    </w:p>
    <w:p w14:paraId="1C8BCB5D" w14:textId="0161C846" w:rsidR="009B6151" w:rsidRPr="00CF4160" w:rsidRDefault="009B6151" w:rsidP="001A42C6">
      <w:pPr>
        <w:pStyle w:val="Paragraphedeliste"/>
        <w:numPr>
          <w:ilvl w:val="0"/>
          <w:numId w:val="9"/>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description</w:t>
      </w:r>
      <w:proofErr w:type="gramEnd"/>
      <w:r w:rsidRPr="00CF4160">
        <w:rPr>
          <w:rFonts w:ascii="Arial" w:hAnsi="Arial" w:cs="Arial"/>
          <w:sz w:val="21"/>
          <w:szCs w:val="21"/>
        </w:rPr>
        <w:t xml:space="preserve"> de l’intranet : profils utilisateurs, droits d’accès, modules clés (documentation interne, partage de fichiers, outils collaboratifs, tableaux de bord, etc.) ;</w:t>
      </w:r>
    </w:p>
    <w:p w14:paraId="3A056A21" w14:textId="1F4CD3F6" w:rsidR="009B6151" w:rsidRPr="00CF4160" w:rsidRDefault="009B6151" w:rsidP="001A42C6">
      <w:pPr>
        <w:pStyle w:val="Paragraphedeliste"/>
        <w:numPr>
          <w:ilvl w:val="0"/>
          <w:numId w:val="9"/>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principes</w:t>
      </w:r>
      <w:proofErr w:type="gramEnd"/>
      <w:r w:rsidRPr="00CF4160">
        <w:rPr>
          <w:rFonts w:ascii="Arial" w:hAnsi="Arial" w:cs="Arial"/>
          <w:sz w:val="21"/>
          <w:szCs w:val="21"/>
        </w:rPr>
        <w:t xml:space="preserve"> de création et gestion des adresses mails nominatives et fonctionnelles (schéma de nommage, gestion des droits, sécurité) ;</w:t>
      </w:r>
    </w:p>
    <w:p w14:paraId="7CC5486E" w14:textId="616C567D" w:rsidR="009B6151" w:rsidRPr="00CF4160" w:rsidRDefault="009B6151" w:rsidP="001A42C6">
      <w:pPr>
        <w:pStyle w:val="Paragraphedeliste"/>
        <w:numPr>
          <w:ilvl w:val="0"/>
          <w:numId w:val="9"/>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stratégie</w:t>
      </w:r>
      <w:proofErr w:type="gramEnd"/>
      <w:r w:rsidRPr="00CF4160">
        <w:rPr>
          <w:rFonts w:ascii="Arial" w:hAnsi="Arial" w:cs="Arial"/>
          <w:sz w:val="21"/>
          <w:szCs w:val="21"/>
        </w:rPr>
        <w:t xml:space="preserve"> et lignes directrices pour les comptes de réseaux sociaux (objectifs, publics cibles, types de messages, fréquence de publication, procédures de validation, cohérence avec les messages officiels du MSPP et du gouvernement).</w:t>
      </w:r>
    </w:p>
    <w:p w14:paraId="28926433" w14:textId="541923E7" w:rsidR="009B6151" w:rsidRPr="00F06942" w:rsidRDefault="009B6151" w:rsidP="006D19DC">
      <w:pPr>
        <w:pStyle w:val="Paragraphedeliste"/>
        <w:numPr>
          <w:ilvl w:val="1"/>
          <w:numId w:val="11"/>
        </w:numPr>
        <w:spacing w:before="80" w:after="80"/>
        <w:ind w:left="426" w:hanging="284"/>
        <w:contextualSpacing w:val="0"/>
        <w:jc w:val="both"/>
        <w:rPr>
          <w:rFonts w:ascii="Arial" w:hAnsi="Arial" w:cs="Arial"/>
          <w:b/>
          <w:bCs/>
          <w:sz w:val="21"/>
          <w:szCs w:val="21"/>
        </w:rPr>
      </w:pPr>
      <w:r w:rsidRPr="00F06942">
        <w:rPr>
          <w:rFonts w:ascii="Arial" w:hAnsi="Arial" w:cs="Arial"/>
          <w:b/>
          <w:bCs/>
          <w:sz w:val="21"/>
          <w:szCs w:val="21"/>
        </w:rPr>
        <w:t>Plan de gouvernance, de sécurité et d’éthique des données et de la communication :</w:t>
      </w:r>
    </w:p>
    <w:p w14:paraId="131AD225" w14:textId="10D54842" w:rsidR="009B6151" w:rsidRPr="00CF4160" w:rsidRDefault="009B6151" w:rsidP="001A42C6">
      <w:pPr>
        <w:pStyle w:val="Paragraphedeliste"/>
        <w:numPr>
          <w:ilvl w:val="0"/>
          <w:numId w:val="9"/>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principes</w:t>
      </w:r>
      <w:proofErr w:type="gramEnd"/>
      <w:r w:rsidRPr="00CF4160">
        <w:rPr>
          <w:rFonts w:ascii="Arial" w:hAnsi="Arial" w:cs="Arial"/>
          <w:sz w:val="21"/>
          <w:szCs w:val="21"/>
        </w:rPr>
        <w:t xml:space="preserve"> de protection des données et de confidentialité (notamment pour les données sensibles, y compris sexo</w:t>
      </w:r>
      <w:r w:rsidRPr="001A42C6">
        <w:rPr>
          <w:rFonts w:ascii="Cambria Math" w:hAnsi="Cambria Math" w:cs="Cambria Math"/>
          <w:sz w:val="21"/>
          <w:szCs w:val="21"/>
        </w:rPr>
        <w:t>‑</w:t>
      </w:r>
      <w:r w:rsidRPr="00CF4160">
        <w:rPr>
          <w:rFonts w:ascii="Arial" w:hAnsi="Arial" w:cs="Arial"/>
          <w:sz w:val="21"/>
          <w:szCs w:val="21"/>
        </w:rPr>
        <w:t>spécifiques) ;</w:t>
      </w:r>
    </w:p>
    <w:p w14:paraId="06FC9236" w14:textId="6141D87A" w:rsidR="009B6151" w:rsidRPr="00CF4160" w:rsidRDefault="009B6151" w:rsidP="001A42C6">
      <w:pPr>
        <w:pStyle w:val="Paragraphedeliste"/>
        <w:numPr>
          <w:ilvl w:val="0"/>
          <w:numId w:val="9"/>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procédures</w:t>
      </w:r>
      <w:proofErr w:type="gramEnd"/>
      <w:r w:rsidRPr="00CF4160">
        <w:rPr>
          <w:rFonts w:ascii="Arial" w:hAnsi="Arial" w:cs="Arial"/>
          <w:sz w:val="21"/>
          <w:szCs w:val="21"/>
        </w:rPr>
        <w:t xml:space="preserve"> de validation, d’archivage et de diffusion des informations ;</w:t>
      </w:r>
    </w:p>
    <w:p w14:paraId="2281E102" w14:textId="361AAB9E" w:rsidR="009B6151" w:rsidRPr="00CF4160" w:rsidRDefault="009B6151" w:rsidP="001A42C6">
      <w:pPr>
        <w:pStyle w:val="Paragraphedeliste"/>
        <w:numPr>
          <w:ilvl w:val="0"/>
          <w:numId w:val="9"/>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articulation</w:t>
      </w:r>
      <w:proofErr w:type="gramEnd"/>
      <w:r w:rsidRPr="00CF4160">
        <w:rPr>
          <w:rFonts w:ascii="Arial" w:hAnsi="Arial" w:cs="Arial"/>
          <w:sz w:val="21"/>
          <w:szCs w:val="21"/>
        </w:rPr>
        <w:t xml:space="preserve"> avec les normes nationales (et, si existantes, les législations en matière de données personnelles, de cybersécurité, etc.) et les bonnes pratiques internationales ;</w:t>
      </w:r>
    </w:p>
    <w:p w14:paraId="6BA1D6D3" w14:textId="3836AA6F" w:rsidR="009B6151" w:rsidRPr="00CF4160" w:rsidRDefault="009B6151" w:rsidP="001A42C6">
      <w:pPr>
        <w:pStyle w:val="Paragraphedeliste"/>
        <w:numPr>
          <w:ilvl w:val="0"/>
          <w:numId w:val="9"/>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prise</w:t>
      </w:r>
      <w:proofErr w:type="gramEnd"/>
      <w:r w:rsidRPr="00CF4160">
        <w:rPr>
          <w:rFonts w:ascii="Arial" w:hAnsi="Arial" w:cs="Arial"/>
          <w:sz w:val="21"/>
          <w:szCs w:val="21"/>
        </w:rPr>
        <w:t xml:space="preserve"> en compte du genre, de l’équité et de l’inclusion dans la production et la diffusion des informations (langage inclusif, accessibilité, données sexo</w:t>
      </w:r>
      <w:r w:rsidRPr="001A42C6">
        <w:rPr>
          <w:rFonts w:ascii="Cambria Math" w:hAnsi="Cambria Math" w:cs="Cambria Math"/>
          <w:sz w:val="21"/>
          <w:szCs w:val="21"/>
        </w:rPr>
        <w:t>‑</w:t>
      </w:r>
      <w:r w:rsidRPr="00CF4160">
        <w:rPr>
          <w:rFonts w:ascii="Arial" w:hAnsi="Arial" w:cs="Arial"/>
          <w:sz w:val="21"/>
          <w:szCs w:val="21"/>
        </w:rPr>
        <w:t>spécifiques, etc.).</w:t>
      </w:r>
    </w:p>
    <w:p w14:paraId="405EF54F" w14:textId="08FADC43" w:rsidR="009B6151" w:rsidRPr="00F06942" w:rsidRDefault="009B6151" w:rsidP="006D19DC">
      <w:pPr>
        <w:pStyle w:val="Paragraphedeliste"/>
        <w:numPr>
          <w:ilvl w:val="1"/>
          <w:numId w:val="11"/>
        </w:numPr>
        <w:spacing w:before="80" w:after="80"/>
        <w:ind w:left="426" w:hanging="284"/>
        <w:contextualSpacing w:val="0"/>
        <w:jc w:val="both"/>
        <w:rPr>
          <w:rFonts w:ascii="Arial" w:hAnsi="Arial" w:cs="Arial"/>
          <w:b/>
          <w:bCs/>
          <w:sz w:val="21"/>
          <w:szCs w:val="21"/>
        </w:rPr>
      </w:pPr>
      <w:r w:rsidRPr="00F06942">
        <w:rPr>
          <w:rFonts w:ascii="Arial" w:hAnsi="Arial" w:cs="Arial"/>
          <w:b/>
          <w:bCs/>
          <w:sz w:val="21"/>
          <w:szCs w:val="21"/>
        </w:rPr>
        <w:t>Module de renforcement de</w:t>
      </w:r>
      <w:r w:rsidR="004766A9">
        <w:rPr>
          <w:rFonts w:ascii="Arial" w:hAnsi="Arial" w:cs="Arial"/>
          <w:b/>
          <w:bCs/>
          <w:sz w:val="21"/>
          <w:szCs w:val="21"/>
        </w:rPr>
        <w:t>s</w:t>
      </w:r>
      <w:r w:rsidRPr="00F06942">
        <w:rPr>
          <w:rFonts w:ascii="Arial" w:hAnsi="Arial" w:cs="Arial"/>
          <w:b/>
          <w:bCs/>
          <w:sz w:val="21"/>
          <w:szCs w:val="21"/>
        </w:rPr>
        <w:t xml:space="preserve"> capacités / plan de formation :</w:t>
      </w:r>
    </w:p>
    <w:p w14:paraId="15F5B2F7" w14:textId="296245A6" w:rsidR="009B6151" w:rsidRPr="00CF4160" w:rsidRDefault="009B6151" w:rsidP="001A42C6">
      <w:pPr>
        <w:pStyle w:val="Paragraphedeliste"/>
        <w:numPr>
          <w:ilvl w:val="0"/>
          <w:numId w:val="9"/>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contenu</w:t>
      </w:r>
      <w:proofErr w:type="gramEnd"/>
      <w:r w:rsidRPr="00CF4160">
        <w:rPr>
          <w:rFonts w:ascii="Arial" w:hAnsi="Arial" w:cs="Arial"/>
          <w:sz w:val="21"/>
          <w:szCs w:val="21"/>
        </w:rPr>
        <w:t>, objectifs et déroulé d’au moins une session de renforcement de capacités à destination du personnel INSAPT (et éventuellement de partenaires clés) sur : (i) l’utilisation et la mise à jour de la cartographie, (ii) l’exploitation des outils de communication ;</w:t>
      </w:r>
    </w:p>
    <w:p w14:paraId="0DDF6A5A" w14:textId="5ADD4A3D" w:rsidR="009B6151" w:rsidRPr="00CF4160" w:rsidRDefault="009B6151" w:rsidP="001A42C6">
      <w:pPr>
        <w:pStyle w:val="Paragraphedeliste"/>
        <w:numPr>
          <w:ilvl w:val="0"/>
          <w:numId w:val="9"/>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outils</w:t>
      </w:r>
      <w:proofErr w:type="gramEnd"/>
      <w:r w:rsidRPr="00CF4160">
        <w:rPr>
          <w:rFonts w:ascii="Arial" w:hAnsi="Arial" w:cs="Arial"/>
          <w:sz w:val="21"/>
          <w:szCs w:val="21"/>
        </w:rPr>
        <w:t xml:space="preserve"> pédagogiques (diaporamas, fiches pratiques, check</w:t>
      </w:r>
      <w:r w:rsidRPr="001A42C6">
        <w:rPr>
          <w:rFonts w:ascii="Cambria Math" w:hAnsi="Cambria Math" w:cs="Cambria Math"/>
          <w:sz w:val="21"/>
          <w:szCs w:val="21"/>
        </w:rPr>
        <w:t>‑</w:t>
      </w:r>
      <w:r w:rsidRPr="00CF4160">
        <w:rPr>
          <w:rFonts w:ascii="Arial" w:hAnsi="Arial" w:cs="Arial"/>
          <w:sz w:val="21"/>
          <w:szCs w:val="21"/>
        </w:rPr>
        <w:t>lists, etc.) remis à l’INSAPT en version électronique.</w:t>
      </w:r>
    </w:p>
    <w:p w14:paraId="42157726" w14:textId="22A6771B" w:rsidR="009B6151" w:rsidRPr="00CF4160" w:rsidRDefault="009B6151" w:rsidP="006D19DC">
      <w:pPr>
        <w:pStyle w:val="Paragraphedeliste"/>
        <w:numPr>
          <w:ilvl w:val="1"/>
          <w:numId w:val="11"/>
        </w:numPr>
        <w:spacing w:before="80" w:after="80"/>
        <w:ind w:left="426" w:hanging="284"/>
        <w:contextualSpacing w:val="0"/>
        <w:jc w:val="both"/>
        <w:rPr>
          <w:rFonts w:ascii="Arial" w:hAnsi="Arial" w:cs="Arial"/>
          <w:sz w:val="21"/>
          <w:szCs w:val="21"/>
        </w:rPr>
      </w:pPr>
      <w:r w:rsidRPr="00F06942">
        <w:rPr>
          <w:rFonts w:ascii="Arial" w:hAnsi="Arial" w:cs="Arial"/>
          <w:b/>
          <w:bCs/>
          <w:sz w:val="21"/>
          <w:szCs w:val="21"/>
        </w:rPr>
        <w:t>Rapport final de mission (max. 30 pages hors annexes) :</w:t>
      </w:r>
    </w:p>
    <w:p w14:paraId="4C88C25F" w14:textId="67340D77" w:rsidR="009B6151" w:rsidRPr="00CF4160" w:rsidRDefault="009B6151" w:rsidP="001A42C6">
      <w:pPr>
        <w:pStyle w:val="Paragraphedeliste"/>
        <w:numPr>
          <w:ilvl w:val="0"/>
          <w:numId w:val="9"/>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rappel</w:t>
      </w:r>
      <w:proofErr w:type="gramEnd"/>
      <w:r w:rsidRPr="00CF4160">
        <w:rPr>
          <w:rFonts w:ascii="Arial" w:hAnsi="Arial" w:cs="Arial"/>
          <w:sz w:val="21"/>
          <w:szCs w:val="21"/>
        </w:rPr>
        <w:t xml:space="preserve"> des objectifs et du contexte ;</w:t>
      </w:r>
    </w:p>
    <w:p w14:paraId="3595A0FC" w14:textId="52F57315" w:rsidR="009B6151" w:rsidRPr="00CF4160" w:rsidRDefault="009B6151" w:rsidP="001A42C6">
      <w:pPr>
        <w:pStyle w:val="Paragraphedeliste"/>
        <w:numPr>
          <w:ilvl w:val="0"/>
          <w:numId w:val="9"/>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méthodologie</w:t>
      </w:r>
      <w:proofErr w:type="gramEnd"/>
      <w:r w:rsidRPr="00CF4160">
        <w:rPr>
          <w:rFonts w:ascii="Arial" w:hAnsi="Arial" w:cs="Arial"/>
          <w:sz w:val="21"/>
          <w:szCs w:val="21"/>
        </w:rPr>
        <w:t xml:space="preserve"> mise en œuvre et description des étapes réalisées ;</w:t>
      </w:r>
    </w:p>
    <w:p w14:paraId="484DC1A8" w14:textId="2D4CD934" w:rsidR="009B6151" w:rsidRPr="00CF4160" w:rsidRDefault="009B6151" w:rsidP="001A42C6">
      <w:pPr>
        <w:pStyle w:val="Paragraphedeliste"/>
        <w:numPr>
          <w:ilvl w:val="0"/>
          <w:numId w:val="9"/>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principaux</w:t>
      </w:r>
      <w:proofErr w:type="gramEnd"/>
      <w:r w:rsidRPr="00CF4160">
        <w:rPr>
          <w:rFonts w:ascii="Arial" w:hAnsi="Arial" w:cs="Arial"/>
          <w:sz w:val="21"/>
          <w:szCs w:val="21"/>
        </w:rPr>
        <w:t xml:space="preserve"> résultats (cartographie, spécifications, gouvernance, formation) avec analyses et justifications ;</w:t>
      </w:r>
    </w:p>
    <w:p w14:paraId="6A0B2943" w14:textId="78355AEE" w:rsidR="009B6151" w:rsidRPr="00CF4160" w:rsidRDefault="009B6151" w:rsidP="001A42C6">
      <w:pPr>
        <w:pStyle w:val="Paragraphedeliste"/>
        <w:numPr>
          <w:ilvl w:val="0"/>
          <w:numId w:val="9"/>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difficultés</w:t>
      </w:r>
      <w:proofErr w:type="gramEnd"/>
      <w:r w:rsidRPr="00CF4160">
        <w:rPr>
          <w:rFonts w:ascii="Arial" w:hAnsi="Arial" w:cs="Arial"/>
          <w:sz w:val="21"/>
          <w:szCs w:val="21"/>
        </w:rPr>
        <w:t xml:space="preserve"> rencontrées et solutions introduites ou proposées ;</w:t>
      </w:r>
    </w:p>
    <w:p w14:paraId="493AEA5F" w14:textId="31EE61C2" w:rsidR="009B6151" w:rsidRPr="00CF4160" w:rsidRDefault="009B6151" w:rsidP="001A42C6">
      <w:pPr>
        <w:pStyle w:val="Paragraphedeliste"/>
        <w:numPr>
          <w:ilvl w:val="0"/>
          <w:numId w:val="9"/>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lastRenderedPageBreak/>
        <w:t>recommandations</w:t>
      </w:r>
      <w:proofErr w:type="gramEnd"/>
      <w:r w:rsidRPr="00CF4160">
        <w:rPr>
          <w:rFonts w:ascii="Arial" w:hAnsi="Arial" w:cs="Arial"/>
          <w:sz w:val="21"/>
          <w:szCs w:val="21"/>
        </w:rPr>
        <w:t xml:space="preserve"> concrètes et hiérarchisées pour la pérennisation, la mise en œuvre et l’extension de la cartographie et des outils de communication ;</w:t>
      </w:r>
    </w:p>
    <w:p w14:paraId="743E2217" w14:textId="21292EB6" w:rsidR="009B6151" w:rsidRPr="00CF4160" w:rsidRDefault="009B6151" w:rsidP="001A42C6">
      <w:pPr>
        <w:pStyle w:val="Paragraphedeliste"/>
        <w:numPr>
          <w:ilvl w:val="0"/>
          <w:numId w:val="9"/>
        </w:numPr>
        <w:spacing w:before="60" w:after="60"/>
        <w:ind w:left="714" w:hanging="357"/>
        <w:contextualSpacing w:val="0"/>
        <w:jc w:val="both"/>
        <w:rPr>
          <w:rFonts w:ascii="Arial" w:hAnsi="Arial" w:cs="Arial"/>
          <w:sz w:val="21"/>
          <w:szCs w:val="21"/>
        </w:rPr>
      </w:pPr>
      <w:proofErr w:type="gramStart"/>
      <w:r w:rsidRPr="00CF4160">
        <w:rPr>
          <w:rFonts w:ascii="Arial" w:hAnsi="Arial" w:cs="Arial"/>
          <w:sz w:val="21"/>
          <w:szCs w:val="21"/>
        </w:rPr>
        <w:t>feuille</w:t>
      </w:r>
      <w:proofErr w:type="gramEnd"/>
      <w:r w:rsidRPr="00CF4160">
        <w:rPr>
          <w:rFonts w:ascii="Arial" w:hAnsi="Arial" w:cs="Arial"/>
          <w:sz w:val="21"/>
          <w:szCs w:val="21"/>
        </w:rPr>
        <w:t xml:space="preserve"> de route opérationnelle (court, moyen terme) avec priorisation, jalons et responsabilités.</w:t>
      </w:r>
    </w:p>
    <w:p w14:paraId="5F77E353" w14:textId="386345BE" w:rsidR="009B6151" w:rsidRPr="00CF4160" w:rsidRDefault="009B6151" w:rsidP="00CF4160">
      <w:pPr>
        <w:jc w:val="both"/>
        <w:rPr>
          <w:rFonts w:ascii="Arial" w:hAnsi="Arial" w:cs="Arial"/>
          <w:sz w:val="21"/>
          <w:szCs w:val="21"/>
        </w:rPr>
      </w:pPr>
      <w:r w:rsidRPr="00CF4160">
        <w:rPr>
          <w:rFonts w:ascii="Arial" w:hAnsi="Arial" w:cs="Arial"/>
          <w:sz w:val="21"/>
          <w:szCs w:val="21"/>
        </w:rPr>
        <w:t>Tous les livrables seront fournis en **version électronique (format Word/PowerPoint/Excel ou équivalent), en langue française. Des versions synthétiques (de type note de 3–5 pages) pourront être demandées pour partage avec certains partenaires.</w:t>
      </w:r>
    </w:p>
    <w:p w14:paraId="58F81D1D" w14:textId="0A6B3366" w:rsidR="009B6151" w:rsidRPr="00CF4160" w:rsidRDefault="001A42C6" w:rsidP="00F06942">
      <w:pPr>
        <w:pStyle w:val="Titre1"/>
      </w:pPr>
      <w:r>
        <w:t>6</w:t>
      </w:r>
      <w:r w:rsidR="009B6151" w:rsidRPr="00CF4160">
        <w:t>. Exigences et profil des candidatures</w:t>
      </w:r>
    </w:p>
    <w:p w14:paraId="2A1AB6BF" w14:textId="7B57CC25" w:rsidR="009B6151" w:rsidRPr="00F06942" w:rsidRDefault="001A42C6" w:rsidP="001A42C6">
      <w:pPr>
        <w:spacing w:before="80" w:after="80"/>
        <w:jc w:val="both"/>
        <w:rPr>
          <w:rFonts w:ascii="Arial" w:hAnsi="Arial" w:cs="Arial"/>
          <w:b/>
          <w:bCs/>
          <w:sz w:val="21"/>
          <w:szCs w:val="21"/>
        </w:rPr>
      </w:pPr>
      <w:r w:rsidRPr="00F06942">
        <w:rPr>
          <w:rFonts w:ascii="Arial" w:hAnsi="Arial" w:cs="Arial"/>
          <w:b/>
          <w:bCs/>
          <w:sz w:val="21"/>
          <w:szCs w:val="21"/>
        </w:rPr>
        <w:t>6</w:t>
      </w:r>
      <w:r w:rsidR="009B6151" w:rsidRPr="00F06942">
        <w:rPr>
          <w:rFonts w:ascii="Arial" w:hAnsi="Arial" w:cs="Arial"/>
          <w:b/>
          <w:bCs/>
          <w:sz w:val="21"/>
          <w:szCs w:val="21"/>
        </w:rPr>
        <w:t>.1. Profil académique</w:t>
      </w:r>
    </w:p>
    <w:p w14:paraId="02DCCC9F" w14:textId="1EE3FA60" w:rsidR="009B6151" w:rsidRPr="00CF4160" w:rsidRDefault="009B6151" w:rsidP="001A42C6">
      <w:pPr>
        <w:pStyle w:val="Paragraphedeliste"/>
        <w:numPr>
          <w:ilvl w:val="0"/>
          <w:numId w:val="9"/>
        </w:numPr>
        <w:spacing w:before="60" w:after="60"/>
        <w:ind w:left="714" w:hanging="357"/>
        <w:contextualSpacing w:val="0"/>
        <w:jc w:val="both"/>
        <w:rPr>
          <w:rFonts w:ascii="Arial" w:hAnsi="Arial" w:cs="Arial"/>
          <w:sz w:val="21"/>
          <w:szCs w:val="21"/>
        </w:rPr>
      </w:pPr>
      <w:r w:rsidRPr="00CF4160">
        <w:rPr>
          <w:rFonts w:ascii="Arial" w:hAnsi="Arial" w:cs="Arial"/>
          <w:sz w:val="21"/>
          <w:szCs w:val="21"/>
        </w:rPr>
        <w:t>Diplôme universitaire de niveau Master (au minimum) ou Doctorat/PhD en Santé publique, épidémiologie, ou</w:t>
      </w:r>
      <w:r w:rsidR="001A42C6">
        <w:rPr>
          <w:rFonts w:ascii="Arial" w:hAnsi="Arial" w:cs="Arial"/>
          <w:sz w:val="21"/>
          <w:szCs w:val="21"/>
        </w:rPr>
        <w:t xml:space="preserve"> gestion des systèmes </w:t>
      </w:r>
      <w:proofErr w:type="gramStart"/>
      <w:r w:rsidR="001A42C6">
        <w:rPr>
          <w:rFonts w:ascii="Arial" w:hAnsi="Arial" w:cs="Arial"/>
          <w:sz w:val="21"/>
          <w:szCs w:val="21"/>
        </w:rPr>
        <w:t>i</w:t>
      </w:r>
      <w:r w:rsidRPr="00CF4160">
        <w:rPr>
          <w:rFonts w:ascii="Arial" w:hAnsi="Arial" w:cs="Arial"/>
          <w:sz w:val="21"/>
          <w:szCs w:val="21"/>
        </w:rPr>
        <w:t>nformatique</w:t>
      </w:r>
      <w:r w:rsidR="001A42C6">
        <w:rPr>
          <w:rFonts w:ascii="Arial" w:hAnsi="Arial" w:cs="Arial"/>
          <w:sz w:val="21"/>
          <w:szCs w:val="21"/>
        </w:rPr>
        <w:t>s</w:t>
      </w:r>
      <w:r w:rsidR="004766A9">
        <w:rPr>
          <w:rFonts w:ascii="Arial" w:hAnsi="Arial" w:cs="Arial"/>
          <w:sz w:val="21"/>
          <w:szCs w:val="21"/>
        </w:rPr>
        <w:t> </w:t>
      </w:r>
      <w:r w:rsidRPr="00CF4160">
        <w:rPr>
          <w:rFonts w:ascii="Arial" w:hAnsi="Arial" w:cs="Arial"/>
          <w:sz w:val="21"/>
          <w:szCs w:val="21"/>
        </w:rPr>
        <w:t xml:space="preserve"> ou</w:t>
      </w:r>
      <w:proofErr w:type="gramEnd"/>
      <w:r w:rsidR="001A42C6">
        <w:rPr>
          <w:rFonts w:ascii="Arial" w:hAnsi="Arial" w:cs="Arial"/>
          <w:sz w:val="21"/>
          <w:szCs w:val="21"/>
        </w:rPr>
        <w:t xml:space="preserve"> dans tout domaine connexe aux objectifs de la mission.</w:t>
      </w:r>
    </w:p>
    <w:p w14:paraId="5979EB8A" w14:textId="2392AB0F" w:rsidR="009B6151" w:rsidRPr="00CF4160" w:rsidRDefault="009B6151" w:rsidP="001A42C6">
      <w:pPr>
        <w:pStyle w:val="Paragraphedeliste"/>
        <w:numPr>
          <w:ilvl w:val="0"/>
          <w:numId w:val="9"/>
        </w:numPr>
        <w:spacing w:before="60" w:after="60"/>
        <w:ind w:left="714" w:hanging="357"/>
        <w:contextualSpacing w:val="0"/>
        <w:jc w:val="both"/>
        <w:rPr>
          <w:rFonts w:ascii="Arial" w:hAnsi="Arial" w:cs="Arial"/>
          <w:sz w:val="21"/>
          <w:szCs w:val="21"/>
        </w:rPr>
      </w:pPr>
      <w:r w:rsidRPr="00CF4160">
        <w:rPr>
          <w:rFonts w:ascii="Arial" w:hAnsi="Arial" w:cs="Arial"/>
          <w:sz w:val="21"/>
          <w:szCs w:val="21"/>
        </w:rPr>
        <w:t>Une spécialisation ou une formation complémentaire certifiante en</w:t>
      </w:r>
      <w:r w:rsidR="001A42C6">
        <w:rPr>
          <w:rFonts w:ascii="Arial" w:hAnsi="Arial" w:cs="Arial"/>
          <w:sz w:val="21"/>
          <w:szCs w:val="21"/>
        </w:rPr>
        <w:t xml:space="preserve"> </w:t>
      </w:r>
      <w:r w:rsidRPr="00CF4160">
        <w:rPr>
          <w:rFonts w:ascii="Arial" w:hAnsi="Arial" w:cs="Arial"/>
          <w:sz w:val="21"/>
          <w:szCs w:val="21"/>
        </w:rPr>
        <w:t>gestion de projet, santé numérique, épidémiologie de terrain ou sécurité sanitaire / RSI constituera un atout majeur.</w:t>
      </w:r>
    </w:p>
    <w:p w14:paraId="0B93CE40" w14:textId="0E48F0F4" w:rsidR="009B6151" w:rsidRPr="00F06942" w:rsidRDefault="001A42C6" w:rsidP="001A42C6">
      <w:pPr>
        <w:spacing w:before="80" w:after="80"/>
        <w:jc w:val="both"/>
        <w:rPr>
          <w:rFonts w:ascii="Arial" w:hAnsi="Arial" w:cs="Arial"/>
          <w:b/>
          <w:bCs/>
          <w:sz w:val="21"/>
          <w:szCs w:val="21"/>
        </w:rPr>
      </w:pPr>
      <w:r w:rsidRPr="00F06942">
        <w:rPr>
          <w:rFonts w:ascii="Arial" w:hAnsi="Arial" w:cs="Arial"/>
          <w:b/>
          <w:bCs/>
          <w:sz w:val="21"/>
          <w:szCs w:val="21"/>
        </w:rPr>
        <w:t>6</w:t>
      </w:r>
      <w:r w:rsidR="009B6151" w:rsidRPr="00F06942">
        <w:rPr>
          <w:rFonts w:ascii="Arial" w:hAnsi="Arial" w:cs="Arial"/>
          <w:b/>
          <w:bCs/>
          <w:sz w:val="21"/>
          <w:szCs w:val="21"/>
        </w:rPr>
        <w:t>.2. Expérience professionnelle</w:t>
      </w:r>
    </w:p>
    <w:p w14:paraId="0EB28F08" w14:textId="4A5C4E3F" w:rsidR="009B6151" w:rsidRPr="00CF4160" w:rsidRDefault="009B6151" w:rsidP="001A42C6">
      <w:pPr>
        <w:pStyle w:val="Paragraphedeliste"/>
        <w:numPr>
          <w:ilvl w:val="0"/>
          <w:numId w:val="9"/>
        </w:numPr>
        <w:spacing w:before="60" w:after="60"/>
        <w:ind w:left="714" w:hanging="357"/>
        <w:contextualSpacing w:val="0"/>
        <w:jc w:val="both"/>
        <w:rPr>
          <w:rFonts w:ascii="Arial" w:hAnsi="Arial" w:cs="Arial"/>
          <w:sz w:val="21"/>
          <w:szCs w:val="21"/>
        </w:rPr>
      </w:pPr>
      <w:r w:rsidRPr="00CF4160">
        <w:rPr>
          <w:rFonts w:ascii="Arial" w:hAnsi="Arial" w:cs="Arial"/>
          <w:sz w:val="21"/>
          <w:szCs w:val="21"/>
        </w:rPr>
        <w:t>Au moins 8 à 10 années d’expérience professionnelle pertinente dans la santé publique, la surveillance épidémiologique, la gestion des urgences de santé publique</w:t>
      </w:r>
      <w:r w:rsidR="001A42C6">
        <w:rPr>
          <w:rFonts w:ascii="Arial" w:hAnsi="Arial" w:cs="Arial"/>
          <w:sz w:val="21"/>
          <w:szCs w:val="21"/>
        </w:rPr>
        <w:t>,</w:t>
      </w:r>
      <w:r w:rsidRPr="00CF4160">
        <w:rPr>
          <w:rFonts w:ascii="Arial" w:hAnsi="Arial" w:cs="Arial"/>
          <w:sz w:val="21"/>
          <w:szCs w:val="21"/>
        </w:rPr>
        <w:t xml:space="preserve"> la conception ou la mise en œuvre de systèmes d’information en santé et/ou de solutions de santé numérique</w:t>
      </w:r>
      <w:r w:rsidR="001A42C6">
        <w:rPr>
          <w:rFonts w:ascii="Arial" w:hAnsi="Arial" w:cs="Arial"/>
          <w:sz w:val="21"/>
          <w:szCs w:val="21"/>
        </w:rPr>
        <w:t xml:space="preserve">, </w:t>
      </w:r>
      <w:r w:rsidRPr="00CF4160">
        <w:rPr>
          <w:rFonts w:ascii="Arial" w:hAnsi="Arial" w:cs="Arial"/>
          <w:sz w:val="21"/>
          <w:szCs w:val="21"/>
        </w:rPr>
        <w:t xml:space="preserve">la gestion de projets complexes, idéalement </w:t>
      </w:r>
      <w:proofErr w:type="spellStart"/>
      <w:r w:rsidRPr="00CF4160">
        <w:rPr>
          <w:rFonts w:ascii="Arial" w:hAnsi="Arial" w:cs="Arial"/>
          <w:sz w:val="21"/>
          <w:szCs w:val="21"/>
        </w:rPr>
        <w:t>multi</w:t>
      </w:r>
      <w:r w:rsidRPr="001A42C6">
        <w:rPr>
          <w:rFonts w:ascii="Cambria Math" w:hAnsi="Cambria Math" w:cs="Cambria Math"/>
          <w:sz w:val="21"/>
          <w:szCs w:val="21"/>
        </w:rPr>
        <w:t>‑</w:t>
      </w:r>
      <w:r w:rsidRPr="00CF4160">
        <w:rPr>
          <w:rFonts w:ascii="Arial" w:hAnsi="Arial" w:cs="Arial"/>
          <w:sz w:val="21"/>
          <w:szCs w:val="21"/>
        </w:rPr>
        <w:t>partenaires</w:t>
      </w:r>
      <w:proofErr w:type="spellEnd"/>
      <w:r w:rsidRPr="00CF4160">
        <w:rPr>
          <w:rFonts w:ascii="Arial" w:hAnsi="Arial" w:cs="Arial"/>
          <w:sz w:val="21"/>
          <w:szCs w:val="21"/>
        </w:rPr>
        <w:t xml:space="preserve"> et/ou multi</w:t>
      </w:r>
      <w:r w:rsidRPr="001A42C6">
        <w:rPr>
          <w:rFonts w:ascii="Cambria Math" w:hAnsi="Cambria Math" w:cs="Cambria Math"/>
          <w:sz w:val="21"/>
          <w:szCs w:val="21"/>
        </w:rPr>
        <w:t>‑</w:t>
      </w:r>
      <w:r w:rsidRPr="00CF4160">
        <w:rPr>
          <w:rFonts w:ascii="Arial" w:hAnsi="Arial" w:cs="Arial"/>
          <w:sz w:val="21"/>
          <w:szCs w:val="21"/>
        </w:rPr>
        <w:t>pays.</w:t>
      </w:r>
    </w:p>
    <w:p w14:paraId="41B238E4" w14:textId="157BD30D" w:rsidR="009B6151" w:rsidRPr="00CF4160" w:rsidRDefault="009B6151" w:rsidP="001A42C6">
      <w:pPr>
        <w:pStyle w:val="Paragraphedeliste"/>
        <w:numPr>
          <w:ilvl w:val="0"/>
          <w:numId w:val="9"/>
        </w:numPr>
        <w:spacing w:before="60" w:after="60"/>
        <w:ind w:left="714" w:hanging="357"/>
        <w:contextualSpacing w:val="0"/>
        <w:jc w:val="both"/>
        <w:rPr>
          <w:rFonts w:ascii="Arial" w:hAnsi="Arial" w:cs="Arial"/>
          <w:sz w:val="21"/>
          <w:szCs w:val="21"/>
        </w:rPr>
      </w:pPr>
      <w:r w:rsidRPr="00CF4160">
        <w:rPr>
          <w:rFonts w:ascii="Arial" w:hAnsi="Arial" w:cs="Arial"/>
          <w:sz w:val="21"/>
          <w:szCs w:val="21"/>
        </w:rPr>
        <w:t>Expérience démontrée dans au moins **deux missions similaires** portant sur la cartographie d’acteurs de santé publique, d’acteurs de système de santé ou d’urgences de santé publique</w:t>
      </w:r>
      <w:r w:rsidR="001A42C6">
        <w:rPr>
          <w:rFonts w:ascii="Arial" w:hAnsi="Arial" w:cs="Arial"/>
          <w:sz w:val="21"/>
          <w:szCs w:val="21"/>
        </w:rPr>
        <w:t xml:space="preserve">, </w:t>
      </w:r>
      <w:r w:rsidRPr="00CF4160">
        <w:rPr>
          <w:rFonts w:ascii="Arial" w:hAnsi="Arial" w:cs="Arial"/>
          <w:sz w:val="21"/>
          <w:szCs w:val="21"/>
        </w:rPr>
        <w:t>le développement de stratégies ou d’outils de communication institutionnelle en santé publique (sites web, intranet, plateformes de partage, etc.).</w:t>
      </w:r>
    </w:p>
    <w:p w14:paraId="6D3D5971" w14:textId="1513038C" w:rsidR="009B6151" w:rsidRPr="00CF4160" w:rsidRDefault="009B6151" w:rsidP="001A42C6">
      <w:pPr>
        <w:pStyle w:val="Paragraphedeliste"/>
        <w:numPr>
          <w:ilvl w:val="0"/>
          <w:numId w:val="9"/>
        </w:numPr>
        <w:spacing w:before="60" w:after="60"/>
        <w:ind w:left="714" w:hanging="357"/>
        <w:contextualSpacing w:val="0"/>
        <w:jc w:val="both"/>
        <w:rPr>
          <w:rFonts w:ascii="Arial" w:hAnsi="Arial" w:cs="Arial"/>
          <w:sz w:val="21"/>
          <w:szCs w:val="21"/>
        </w:rPr>
      </w:pPr>
      <w:r w:rsidRPr="00CF4160">
        <w:rPr>
          <w:rFonts w:ascii="Arial" w:hAnsi="Arial" w:cs="Arial"/>
          <w:sz w:val="21"/>
          <w:szCs w:val="21"/>
        </w:rPr>
        <w:t>Expérience significative dans</w:t>
      </w:r>
      <w:r w:rsidR="001A42C6">
        <w:rPr>
          <w:rFonts w:ascii="Arial" w:hAnsi="Arial" w:cs="Arial"/>
          <w:sz w:val="21"/>
          <w:szCs w:val="21"/>
        </w:rPr>
        <w:t xml:space="preserve"> </w:t>
      </w:r>
      <w:r w:rsidRPr="00CF4160">
        <w:rPr>
          <w:rFonts w:ascii="Arial" w:hAnsi="Arial" w:cs="Arial"/>
          <w:sz w:val="21"/>
          <w:szCs w:val="21"/>
        </w:rPr>
        <w:t>des contextes à ressources limitées, de préférence en Afrique subsaharienne et, idéalement, dans la région du Sahel ou des pays francophones.</w:t>
      </w:r>
    </w:p>
    <w:p w14:paraId="43D80054" w14:textId="27BA80EF" w:rsidR="009B6151" w:rsidRPr="00CF4160" w:rsidRDefault="009B6151" w:rsidP="001A42C6">
      <w:pPr>
        <w:pStyle w:val="Paragraphedeliste"/>
        <w:numPr>
          <w:ilvl w:val="0"/>
          <w:numId w:val="9"/>
        </w:numPr>
        <w:spacing w:before="60" w:after="60"/>
        <w:ind w:left="714" w:hanging="357"/>
        <w:contextualSpacing w:val="0"/>
        <w:jc w:val="both"/>
        <w:rPr>
          <w:rFonts w:ascii="Arial" w:hAnsi="Arial" w:cs="Arial"/>
          <w:sz w:val="21"/>
          <w:szCs w:val="21"/>
        </w:rPr>
      </w:pPr>
      <w:r w:rsidRPr="00CF4160">
        <w:rPr>
          <w:rFonts w:ascii="Arial" w:hAnsi="Arial" w:cs="Arial"/>
          <w:sz w:val="21"/>
          <w:szCs w:val="21"/>
        </w:rPr>
        <w:t xml:space="preserve">Familiarité avérée avec les </w:t>
      </w:r>
      <w:r w:rsidR="001A42C6">
        <w:rPr>
          <w:rFonts w:ascii="Arial" w:hAnsi="Arial" w:cs="Arial"/>
          <w:sz w:val="21"/>
          <w:szCs w:val="21"/>
        </w:rPr>
        <w:t>f</w:t>
      </w:r>
      <w:r w:rsidRPr="00CF4160">
        <w:rPr>
          <w:rFonts w:ascii="Arial" w:hAnsi="Arial" w:cs="Arial"/>
          <w:sz w:val="21"/>
          <w:szCs w:val="21"/>
        </w:rPr>
        <w:t>onctions Essentielles de Santé Publique (FESP)</w:t>
      </w:r>
      <w:r w:rsidR="001A42C6">
        <w:rPr>
          <w:rFonts w:ascii="Arial" w:hAnsi="Arial" w:cs="Arial"/>
          <w:sz w:val="21"/>
          <w:szCs w:val="21"/>
        </w:rPr>
        <w:t xml:space="preserve">, </w:t>
      </w:r>
      <w:r w:rsidRPr="00CF4160">
        <w:rPr>
          <w:rFonts w:ascii="Arial" w:hAnsi="Arial" w:cs="Arial"/>
          <w:sz w:val="21"/>
          <w:szCs w:val="21"/>
        </w:rPr>
        <w:t>le Règlement Sanitaire International (RSI 2005)</w:t>
      </w:r>
      <w:r w:rsidR="001A42C6">
        <w:rPr>
          <w:rFonts w:ascii="Arial" w:hAnsi="Arial" w:cs="Arial"/>
          <w:sz w:val="21"/>
          <w:szCs w:val="21"/>
        </w:rPr>
        <w:t xml:space="preserve">, </w:t>
      </w:r>
      <w:r w:rsidRPr="00CF4160">
        <w:rPr>
          <w:rFonts w:ascii="Arial" w:hAnsi="Arial" w:cs="Arial"/>
          <w:sz w:val="21"/>
          <w:szCs w:val="21"/>
        </w:rPr>
        <w:t>les approches « Une seule santé » et la gestion multisectorielle des urgences de santé publique.</w:t>
      </w:r>
    </w:p>
    <w:p w14:paraId="751795AB" w14:textId="197FF870" w:rsidR="009B6151" w:rsidRPr="00F06942" w:rsidRDefault="001A42C6" w:rsidP="00F06942">
      <w:pPr>
        <w:spacing w:before="80" w:after="80"/>
        <w:jc w:val="both"/>
        <w:rPr>
          <w:rFonts w:ascii="Arial" w:hAnsi="Arial" w:cs="Arial"/>
          <w:b/>
          <w:bCs/>
          <w:sz w:val="21"/>
          <w:szCs w:val="21"/>
        </w:rPr>
      </w:pPr>
      <w:r w:rsidRPr="00F06942">
        <w:rPr>
          <w:rFonts w:ascii="Arial" w:hAnsi="Arial" w:cs="Arial"/>
          <w:b/>
          <w:bCs/>
          <w:sz w:val="21"/>
          <w:szCs w:val="21"/>
        </w:rPr>
        <w:t>6</w:t>
      </w:r>
      <w:r w:rsidR="009B6151" w:rsidRPr="00F06942">
        <w:rPr>
          <w:rFonts w:ascii="Arial" w:hAnsi="Arial" w:cs="Arial"/>
          <w:b/>
          <w:bCs/>
          <w:sz w:val="21"/>
          <w:szCs w:val="21"/>
        </w:rPr>
        <w:t>.3. Compétences techniques</w:t>
      </w:r>
    </w:p>
    <w:p w14:paraId="1CF99CE7" w14:textId="45A7435B" w:rsidR="009B6151" w:rsidRPr="00CF4160" w:rsidRDefault="009B6151" w:rsidP="001A42C6">
      <w:pPr>
        <w:pStyle w:val="Paragraphedeliste"/>
        <w:numPr>
          <w:ilvl w:val="0"/>
          <w:numId w:val="9"/>
        </w:numPr>
        <w:spacing w:before="60" w:after="60"/>
        <w:ind w:left="714" w:hanging="357"/>
        <w:contextualSpacing w:val="0"/>
        <w:jc w:val="both"/>
        <w:rPr>
          <w:rFonts w:ascii="Arial" w:hAnsi="Arial" w:cs="Arial"/>
          <w:sz w:val="21"/>
          <w:szCs w:val="21"/>
        </w:rPr>
      </w:pPr>
      <w:r w:rsidRPr="00CF4160">
        <w:rPr>
          <w:rFonts w:ascii="Arial" w:hAnsi="Arial" w:cs="Arial"/>
          <w:sz w:val="21"/>
          <w:szCs w:val="21"/>
        </w:rPr>
        <w:t>Maîtrise des approches de cartographie des parties prenantes et analyse des réseaux d’acteurs</w:t>
      </w:r>
      <w:r w:rsidR="001A42C6">
        <w:rPr>
          <w:rFonts w:ascii="Arial" w:hAnsi="Arial" w:cs="Arial"/>
          <w:sz w:val="21"/>
          <w:szCs w:val="21"/>
        </w:rPr>
        <w:t xml:space="preserve">, </w:t>
      </w:r>
      <w:r w:rsidRPr="00CF4160">
        <w:rPr>
          <w:rFonts w:ascii="Arial" w:hAnsi="Arial" w:cs="Arial"/>
          <w:sz w:val="21"/>
          <w:szCs w:val="21"/>
        </w:rPr>
        <w:t>analyse de systèmes de santé et de sécurité sanitaire</w:t>
      </w:r>
      <w:r w:rsidR="001A42C6">
        <w:rPr>
          <w:rFonts w:ascii="Arial" w:hAnsi="Arial" w:cs="Arial"/>
          <w:sz w:val="21"/>
          <w:szCs w:val="21"/>
        </w:rPr>
        <w:t xml:space="preserve">, </w:t>
      </w:r>
      <w:r w:rsidRPr="00CF4160">
        <w:rPr>
          <w:rFonts w:ascii="Arial" w:hAnsi="Arial" w:cs="Arial"/>
          <w:sz w:val="21"/>
          <w:szCs w:val="21"/>
        </w:rPr>
        <w:t>conceptualisation de systèmes d’information et d’outils numériques de communication.</w:t>
      </w:r>
    </w:p>
    <w:p w14:paraId="29B2356F" w14:textId="3CCFD818" w:rsidR="009B6151" w:rsidRPr="00CF4160" w:rsidRDefault="009B6151" w:rsidP="001A42C6">
      <w:pPr>
        <w:pStyle w:val="Paragraphedeliste"/>
        <w:numPr>
          <w:ilvl w:val="0"/>
          <w:numId w:val="9"/>
        </w:numPr>
        <w:spacing w:before="60" w:after="60"/>
        <w:ind w:left="714" w:hanging="357"/>
        <w:contextualSpacing w:val="0"/>
        <w:jc w:val="both"/>
        <w:rPr>
          <w:rFonts w:ascii="Arial" w:hAnsi="Arial" w:cs="Arial"/>
          <w:sz w:val="21"/>
          <w:szCs w:val="21"/>
        </w:rPr>
      </w:pPr>
      <w:r w:rsidRPr="00CF4160">
        <w:rPr>
          <w:rFonts w:ascii="Arial" w:hAnsi="Arial" w:cs="Arial"/>
          <w:sz w:val="21"/>
          <w:szCs w:val="21"/>
        </w:rPr>
        <w:t>Connaissances des standards et bonnes pratiques en</w:t>
      </w:r>
      <w:r w:rsidR="001A42C6">
        <w:rPr>
          <w:rFonts w:ascii="Arial" w:hAnsi="Arial" w:cs="Arial"/>
          <w:sz w:val="21"/>
          <w:szCs w:val="21"/>
        </w:rPr>
        <w:t xml:space="preserve"> </w:t>
      </w:r>
      <w:r w:rsidRPr="00CF4160">
        <w:rPr>
          <w:rFonts w:ascii="Arial" w:hAnsi="Arial" w:cs="Arial"/>
          <w:sz w:val="21"/>
          <w:szCs w:val="21"/>
        </w:rPr>
        <w:t>gouvernance des données de santé, protection des données, sécurité de l’information</w:t>
      </w:r>
      <w:r w:rsidR="001A42C6">
        <w:rPr>
          <w:rFonts w:ascii="Arial" w:hAnsi="Arial" w:cs="Arial"/>
          <w:sz w:val="21"/>
          <w:szCs w:val="21"/>
        </w:rPr>
        <w:t xml:space="preserve">, </w:t>
      </w:r>
      <w:r w:rsidRPr="00CF4160">
        <w:rPr>
          <w:rFonts w:ascii="Arial" w:hAnsi="Arial" w:cs="Arial"/>
          <w:sz w:val="21"/>
          <w:szCs w:val="21"/>
        </w:rPr>
        <w:t>gestion de l’information en situation d’urgence</w:t>
      </w:r>
      <w:r w:rsidR="001A42C6">
        <w:rPr>
          <w:rFonts w:ascii="Arial" w:hAnsi="Arial" w:cs="Arial"/>
          <w:sz w:val="21"/>
          <w:szCs w:val="21"/>
        </w:rPr>
        <w:t xml:space="preserve">, </w:t>
      </w:r>
      <w:r w:rsidRPr="00CF4160">
        <w:rPr>
          <w:rFonts w:ascii="Arial" w:hAnsi="Arial" w:cs="Arial"/>
          <w:sz w:val="21"/>
          <w:szCs w:val="21"/>
        </w:rPr>
        <w:t>- communication de risque et engagement communautaire (CREC) serait un atout.</w:t>
      </w:r>
    </w:p>
    <w:p w14:paraId="34B8A4D0" w14:textId="7B590F4A" w:rsidR="009B6151" w:rsidRPr="00CF4160" w:rsidRDefault="009B6151" w:rsidP="001A42C6">
      <w:pPr>
        <w:pStyle w:val="Paragraphedeliste"/>
        <w:numPr>
          <w:ilvl w:val="0"/>
          <w:numId w:val="9"/>
        </w:numPr>
        <w:spacing w:before="60" w:after="60"/>
        <w:ind w:left="714" w:hanging="357"/>
        <w:contextualSpacing w:val="0"/>
        <w:jc w:val="both"/>
        <w:rPr>
          <w:rFonts w:ascii="Arial" w:hAnsi="Arial" w:cs="Arial"/>
          <w:sz w:val="21"/>
          <w:szCs w:val="21"/>
        </w:rPr>
      </w:pPr>
      <w:r w:rsidRPr="00CF4160">
        <w:rPr>
          <w:rFonts w:ascii="Arial" w:hAnsi="Arial" w:cs="Arial"/>
          <w:sz w:val="21"/>
          <w:szCs w:val="21"/>
        </w:rPr>
        <w:t>Capacité à intégrer les dimensions genre, équité et droits humains dans l’analyse des besoins, la production de données et la communication en santé publique.</w:t>
      </w:r>
    </w:p>
    <w:p w14:paraId="137AA663" w14:textId="5730F422" w:rsidR="009B6151" w:rsidRPr="00F06942" w:rsidRDefault="001A42C6" w:rsidP="001A42C6">
      <w:pPr>
        <w:spacing w:before="80" w:after="80"/>
        <w:jc w:val="both"/>
        <w:rPr>
          <w:rFonts w:ascii="Arial" w:hAnsi="Arial" w:cs="Arial"/>
          <w:b/>
          <w:bCs/>
          <w:sz w:val="21"/>
          <w:szCs w:val="21"/>
        </w:rPr>
      </w:pPr>
      <w:r w:rsidRPr="00F06942">
        <w:rPr>
          <w:rFonts w:ascii="Arial" w:hAnsi="Arial" w:cs="Arial"/>
          <w:b/>
          <w:bCs/>
          <w:sz w:val="21"/>
          <w:szCs w:val="21"/>
        </w:rPr>
        <w:t>6</w:t>
      </w:r>
      <w:r w:rsidR="009B6151" w:rsidRPr="00F06942">
        <w:rPr>
          <w:rFonts w:ascii="Arial" w:hAnsi="Arial" w:cs="Arial"/>
          <w:b/>
          <w:bCs/>
          <w:sz w:val="21"/>
          <w:szCs w:val="21"/>
        </w:rPr>
        <w:t>.4. Compétences transversales</w:t>
      </w:r>
    </w:p>
    <w:p w14:paraId="3F513910" w14:textId="5C84AF73" w:rsidR="009B6151" w:rsidRPr="00CF4160" w:rsidRDefault="009B6151" w:rsidP="001A42C6">
      <w:pPr>
        <w:pStyle w:val="Paragraphedeliste"/>
        <w:numPr>
          <w:ilvl w:val="0"/>
          <w:numId w:val="9"/>
        </w:numPr>
        <w:spacing w:before="60" w:after="60"/>
        <w:ind w:left="714" w:hanging="357"/>
        <w:contextualSpacing w:val="0"/>
        <w:jc w:val="both"/>
        <w:rPr>
          <w:rFonts w:ascii="Arial" w:hAnsi="Arial" w:cs="Arial"/>
          <w:sz w:val="21"/>
          <w:szCs w:val="21"/>
        </w:rPr>
      </w:pPr>
      <w:r w:rsidRPr="00CF4160">
        <w:rPr>
          <w:rFonts w:ascii="Arial" w:hAnsi="Arial" w:cs="Arial"/>
          <w:sz w:val="21"/>
          <w:szCs w:val="21"/>
        </w:rPr>
        <w:t>Excellentes capacités de rédaction et de communication en français (oral et écrit). La maîtrise de l’anglais est un atout.</w:t>
      </w:r>
    </w:p>
    <w:p w14:paraId="2A06FC4C" w14:textId="5817CE2B" w:rsidR="009B6151" w:rsidRPr="00CF4160" w:rsidRDefault="009B6151" w:rsidP="001A42C6">
      <w:pPr>
        <w:pStyle w:val="Paragraphedeliste"/>
        <w:numPr>
          <w:ilvl w:val="0"/>
          <w:numId w:val="9"/>
        </w:numPr>
        <w:spacing w:before="60" w:after="60"/>
        <w:ind w:left="714" w:hanging="357"/>
        <w:contextualSpacing w:val="0"/>
        <w:jc w:val="both"/>
        <w:rPr>
          <w:rFonts w:ascii="Arial" w:hAnsi="Arial" w:cs="Arial"/>
          <w:sz w:val="21"/>
          <w:szCs w:val="21"/>
        </w:rPr>
      </w:pPr>
      <w:r w:rsidRPr="00CF4160">
        <w:rPr>
          <w:rFonts w:ascii="Arial" w:hAnsi="Arial" w:cs="Arial"/>
          <w:sz w:val="21"/>
          <w:szCs w:val="21"/>
        </w:rPr>
        <w:t>Capacité avérée à animer des ateliers, conduire des entretiens avec des parties prenantes de haut niveau (ministères, partenaires techniques et financiers, etc.) et à travailler en équipe pluridisciplinaire.</w:t>
      </w:r>
    </w:p>
    <w:p w14:paraId="6909AF25" w14:textId="3E956C48" w:rsidR="009B6151" w:rsidRPr="00CF4160" w:rsidRDefault="009B6151" w:rsidP="001A42C6">
      <w:pPr>
        <w:pStyle w:val="Paragraphedeliste"/>
        <w:numPr>
          <w:ilvl w:val="0"/>
          <w:numId w:val="9"/>
        </w:numPr>
        <w:spacing w:before="60" w:after="60"/>
        <w:ind w:left="714" w:hanging="357"/>
        <w:contextualSpacing w:val="0"/>
        <w:jc w:val="both"/>
        <w:rPr>
          <w:rFonts w:ascii="Arial" w:hAnsi="Arial" w:cs="Arial"/>
          <w:sz w:val="21"/>
          <w:szCs w:val="21"/>
        </w:rPr>
      </w:pPr>
      <w:r w:rsidRPr="00CF4160">
        <w:rPr>
          <w:rFonts w:ascii="Arial" w:hAnsi="Arial" w:cs="Arial"/>
          <w:sz w:val="21"/>
          <w:szCs w:val="21"/>
        </w:rPr>
        <w:lastRenderedPageBreak/>
        <w:t>Aptitudes démontrées en coordination, planification, gestion du temps et respect strict des délais.</w:t>
      </w:r>
    </w:p>
    <w:p w14:paraId="33911FD8" w14:textId="229B6599" w:rsidR="009B6151" w:rsidRPr="00CF4160" w:rsidRDefault="009B6151" w:rsidP="001A42C6">
      <w:pPr>
        <w:pStyle w:val="Paragraphedeliste"/>
        <w:numPr>
          <w:ilvl w:val="0"/>
          <w:numId w:val="9"/>
        </w:numPr>
        <w:spacing w:before="60" w:after="60"/>
        <w:ind w:left="714" w:hanging="357"/>
        <w:contextualSpacing w:val="0"/>
        <w:jc w:val="both"/>
        <w:rPr>
          <w:rFonts w:ascii="Arial" w:hAnsi="Arial" w:cs="Arial"/>
          <w:sz w:val="21"/>
          <w:szCs w:val="21"/>
        </w:rPr>
      </w:pPr>
      <w:r w:rsidRPr="00CF4160">
        <w:rPr>
          <w:rFonts w:ascii="Arial" w:hAnsi="Arial" w:cs="Arial"/>
          <w:sz w:val="21"/>
          <w:szCs w:val="21"/>
        </w:rPr>
        <w:t>Sens de la diplomatie, capacité à travailler dans un environnement multi</w:t>
      </w:r>
      <w:r w:rsidRPr="001A42C6">
        <w:rPr>
          <w:rFonts w:ascii="Cambria Math" w:hAnsi="Cambria Math" w:cs="Cambria Math"/>
          <w:sz w:val="21"/>
          <w:szCs w:val="21"/>
        </w:rPr>
        <w:t>‑</w:t>
      </w:r>
      <w:r w:rsidRPr="00CF4160">
        <w:rPr>
          <w:rFonts w:ascii="Arial" w:hAnsi="Arial" w:cs="Arial"/>
          <w:sz w:val="21"/>
          <w:szCs w:val="21"/>
        </w:rPr>
        <w:t>acteurs et à favoriser le consensus.</w:t>
      </w:r>
    </w:p>
    <w:p w14:paraId="26502C50" w14:textId="212D28D8" w:rsidR="009B6151" w:rsidRPr="00CF4160" w:rsidRDefault="001A42C6" w:rsidP="00F06942">
      <w:pPr>
        <w:pStyle w:val="Titre1"/>
      </w:pPr>
      <w:r>
        <w:t>7</w:t>
      </w:r>
      <w:r w:rsidR="009B6151" w:rsidRPr="00CF4160">
        <w:t>. Méthodologie de travail</w:t>
      </w:r>
    </w:p>
    <w:p w14:paraId="36EA18D5" w14:textId="77777777" w:rsidR="009B6151" w:rsidRPr="00CF4160" w:rsidRDefault="009B6151" w:rsidP="00CF4160">
      <w:pPr>
        <w:jc w:val="both"/>
        <w:rPr>
          <w:rFonts w:ascii="Arial" w:hAnsi="Arial" w:cs="Arial"/>
          <w:sz w:val="21"/>
          <w:szCs w:val="21"/>
        </w:rPr>
      </w:pPr>
      <w:r w:rsidRPr="00CF4160">
        <w:rPr>
          <w:rFonts w:ascii="Arial" w:hAnsi="Arial" w:cs="Arial"/>
          <w:sz w:val="21"/>
          <w:szCs w:val="21"/>
        </w:rPr>
        <w:t>La méthodologie proposée ci</w:t>
      </w:r>
      <w:r w:rsidRPr="00CF4160">
        <w:rPr>
          <w:rFonts w:ascii="Cambria Math" w:hAnsi="Cambria Math" w:cs="Cambria Math"/>
          <w:sz w:val="21"/>
          <w:szCs w:val="21"/>
        </w:rPr>
        <w:t>‑</w:t>
      </w:r>
      <w:r w:rsidRPr="00CF4160">
        <w:rPr>
          <w:rFonts w:ascii="Arial" w:hAnsi="Arial" w:cs="Arial"/>
          <w:sz w:val="21"/>
          <w:szCs w:val="21"/>
        </w:rPr>
        <w:t>dessous constitue un canevas minimal. Le/la consultant(e) est invité(e) à la préciser et l’enrichir dans sa note méthodologique.</w:t>
      </w:r>
    </w:p>
    <w:p w14:paraId="76587ED4" w14:textId="592F0165" w:rsidR="009B6151" w:rsidRPr="00F06942" w:rsidRDefault="009B6151" w:rsidP="00CF4160">
      <w:pPr>
        <w:jc w:val="both"/>
        <w:rPr>
          <w:rFonts w:ascii="Arial" w:hAnsi="Arial" w:cs="Arial"/>
          <w:b/>
          <w:bCs/>
          <w:sz w:val="21"/>
          <w:szCs w:val="21"/>
        </w:rPr>
      </w:pPr>
      <w:r w:rsidRPr="00F06942">
        <w:rPr>
          <w:rFonts w:ascii="Arial" w:hAnsi="Arial" w:cs="Arial"/>
          <w:b/>
          <w:bCs/>
          <w:sz w:val="21"/>
          <w:szCs w:val="21"/>
        </w:rPr>
        <w:t>Étape 1 : Préparation et revue documentaire (à distance et sur site)</w:t>
      </w:r>
    </w:p>
    <w:p w14:paraId="44826749" w14:textId="23EBF000" w:rsidR="009B6151" w:rsidRPr="00CF4160" w:rsidRDefault="009B6151" w:rsidP="00B032C6">
      <w:pPr>
        <w:pStyle w:val="Paragraphedeliste"/>
        <w:numPr>
          <w:ilvl w:val="0"/>
          <w:numId w:val="9"/>
        </w:numPr>
        <w:spacing w:before="60" w:after="60"/>
        <w:ind w:left="714" w:hanging="357"/>
        <w:contextualSpacing w:val="0"/>
        <w:jc w:val="both"/>
        <w:rPr>
          <w:rFonts w:ascii="Arial" w:hAnsi="Arial" w:cs="Arial"/>
          <w:sz w:val="21"/>
          <w:szCs w:val="21"/>
        </w:rPr>
      </w:pPr>
      <w:r w:rsidRPr="00CF4160">
        <w:rPr>
          <w:rFonts w:ascii="Arial" w:hAnsi="Arial" w:cs="Arial"/>
          <w:sz w:val="21"/>
          <w:szCs w:val="21"/>
        </w:rPr>
        <w:t>Revue des documents stratégiques et opérationnels :</w:t>
      </w:r>
      <w:r w:rsidR="001A42C6">
        <w:rPr>
          <w:rFonts w:ascii="Arial" w:hAnsi="Arial" w:cs="Arial"/>
          <w:sz w:val="21"/>
          <w:szCs w:val="21"/>
        </w:rPr>
        <w:t xml:space="preserve"> </w:t>
      </w:r>
      <w:r w:rsidRPr="00CF4160">
        <w:rPr>
          <w:rFonts w:ascii="Arial" w:hAnsi="Arial" w:cs="Arial"/>
          <w:sz w:val="21"/>
          <w:szCs w:val="21"/>
        </w:rPr>
        <w:t xml:space="preserve">  - textes fondateurs de l’INSAPT (loi, décret, organigramme, missions)</w:t>
      </w:r>
      <w:r w:rsidR="001A42C6">
        <w:rPr>
          <w:rFonts w:ascii="Arial" w:hAnsi="Arial" w:cs="Arial"/>
          <w:sz w:val="21"/>
          <w:szCs w:val="21"/>
        </w:rPr>
        <w:t xml:space="preserve">, </w:t>
      </w:r>
      <w:r w:rsidRPr="00CF4160">
        <w:rPr>
          <w:rFonts w:ascii="Arial" w:hAnsi="Arial" w:cs="Arial"/>
          <w:sz w:val="21"/>
          <w:szCs w:val="21"/>
        </w:rPr>
        <w:t>politiques et plans nationaux de santé publique, de sécurité sanitaire, de surveillance épidémiologique et de réponse aux urgences</w:t>
      </w:r>
      <w:r w:rsidR="001A42C6">
        <w:rPr>
          <w:rFonts w:ascii="Arial" w:hAnsi="Arial" w:cs="Arial"/>
          <w:sz w:val="21"/>
          <w:szCs w:val="21"/>
        </w:rPr>
        <w:t xml:space="preserve">, </w:t>
      </w:r>
      <w:r w:rsidRPr="00CF4160">
        <w:rPr>
          <w:rFonts w:ascii="Arial" w:hAnsi="Arial" w:cs="Arial"/>
          <w:sz w:val="21"/>
          <w:szCs w:val="21"/>
        </w:rPr>
        <w:t>documents de projet TEI</w:t>
      </w:r>
      <w:r w:rsidRPr="00B032C6">
        <w:rPr>
          <w:rFonts w:ascii="Cambria Math" w:hAnsi="Cambria Math" w:cs="Cambria Math"/>
          <w:sz w:val="21"/>
          <w:szCs w:val="21"/>
        </w:rPr>
        <w:t>‑</w:t>
      </w:r>
      <w:r w:rsidRPr="00CF4160">
        <w:rPr>
          <w:rFonts w:ascii="Arial" w:hAnsi="Arial" w:cs="Arial"/>
          <w:sz w:val="21"/>
          <w:szCs w:val="21"/>
        </w:rPr>
        <w:t>INSP, PASST3, autres programmes pertinents (OMS, CDC, etc.)</w:t>
      </w:r>
      <w:r w:rsidR="00B032C6">
        <w:rPr>
          <w:rFonts w:ascii="Arial" w:hAnsi="Arial" w:cs="Arial"/>
          <w:sz w:val="21"/>
          <w:szCs w:val="21"/>
        </w:rPr>
        <w:t xml:space="preserve">, </w:t>
      </w:r>
      <w:r w:rsidRPr="00CF4160">
        <w:rPr>
          <w:rFonts w:ascii="Arial" w:hAnsi="Arial" w:cs="Arial"/>
          <w:sz w:val="21"/>
          <w:szCs w:val="21"/>
        </w:rPr>
        <w:t>documents existants sur la cartographie des acteurs, l’écosystème de la santé publique tchadienne, les systèmes d’information et les outils de communication existants.</w:t>
      </w:r>
    </w:p>
    <w:p w14:paraId="59C13548" w14:textId="6D81A701" w:rsidR="009B6151" w:rsidRPr="00CF4160" w:rsidRDefault="009B6151" w:rsidP="00B032C6">
      <w:pPr>
        <w:pStyle w:val="Paragraphedeliste"/>
        <w:numPr>
          <w:ilvl w:val="0"/>
          <w:numId w:val="9"/>
        </w:numPr>
        <w:spacing w:before="60" w:after="60"/>
        <w:ind w:left="714" w:hanging="357"/>
        <w:contextualSpacing w:val="0"/>
        <w:jc w:val="both"/>
        <w:rPr>
          <w:rFonts w:ascii="Arial" w:hAnsi="Arial" w:cs="Arial"/>
          <w:sz w:val="21"/>
          <w:szCs w:val="21"/>
        </w:rPr>
      </w:pPr>
      <w:r w:rsidRPr="00CF4160">
        <w:rPr>
          <w:rFonts w:ascii="Arial" w:hAnsi="Arial" w:cs="Arial"/>
          <w:sz w:val="21"/>
          <w:szCs w:val="21"/>
        </w:rPr>
        <w:t>Première identification des catégories d’acteurs à intégrer dans la cartographie.</w:t>
      </w:r>
    </w:p>
    <w:p w14:paraId="6425FC39" w14:textId="21F0BDC9" w:rsidR="009B6151" w:rsidRPr="00CF4160" w:rsidRDefault="009B6151" w:rsidP="00B032C6">
      <w:pPr>
        <w:pStyle w:val="Paragraphedeliste"/>
        <w:numPr>
          <w:ilvl w:val="0"/>
          <w:numId w:val="9"/>
        </w:numPr>
        <w:spacing w:before="60" w:after="60"/>
        <w:ind w:left="714" w:hanging="357"/>
        <w:contextualSpacing w:val="0"/>
        <w:jc w:val="both"/>
        <w:rPr>
          <w:rFonts w:ascii="Arial" w:hAnsi="Arial" w:cs="Arial"/>
          <w:sz w:val="21"/>
          <w:szCs w:val="21"/>
        </w:rPr>
      </w:pPr>
      <w:r w:rsidRPr="00CF4160">
        <w:rPr>
          <w:rFonts w:ascii="Arial" w:hAnsi="Arial" w:cs="Arial"/>
          <w:sz w:val="21"/>
          <w:szCs w:val="21"/>
        </w:rPr>
        <w:t>Préparation des outils de collecte d’informations (guides d’entretien, formats de fiches acteurs, matrices de responsabilités, etc.).</w:t>
      </w:r>
    </w:p>
    <w:p w14:paraId="2049F438" w14:textId="2BAD9B91" w:rsidR="009B6151" w:rsidRPr="00CF4160" w:rsidRDefault="009B6151" w:rsidP="00B032C6">
      <w:pPr>
        <w:pStyle w:val="Paragraphedeliste"/>
        <w:numPr>
          <w:ilvl w:val="0"/>
          <w:numId w:val="9"/>
        </w:numPr>
        <w:spacing w:before="60" w:after="60"/>
        <w:ind w:left="714" w:hanging="357"/>
        <w:contextualSpacing w:val="0"/>
        <w:jc w:val="both"/>
        <w:rPr>
          <w:rFonts w:ascii="Arial" w:hAnsi="Arial" w:cs="Arial"/>
          <w:sz w:val="21"/>
          <w:szCs w:val="21"/>
        </w:rPr>
      </w:pPr>
      <w:r w:rsidRPr="00CF4160">
        <w:rPr>
          <w:rFonts w:ascii="Arial" w:hAnsi="Arial" w:cs="Arial"/>
          <w:sz w:val="21"/>
          <w:szCs w:val="21"/>
        </w:rPr>
        <w:t>Élaboration et partage avec l’INSAPT d’un **plan de travail détaillé** et d’un calendrier des rencontres.</w:t>
      </w:r>
    </w:p>
    <w:p w14:paraId="16680B71" w14:textId="2D62F22A" w:rsidR="009B6151" w:rsidRPr="00F06942" w:rsidRDefault="009B6151" w:rsidP="00CF4160">
      <w:pPr>
        <w:jc w:val="both"/>
        <w:rPr>
          <w:rFonts w:ascii="Arial" w:hAnsi="Arial" w:cs="Arial"/>
          <w:b/>
          <w:bCs/>
          <w:sz w:val="21"/>
          <w:szCs w:val="21"/>
        </w:rPr>
      </w:pPr>
      <w:r w:rsidRPr="00F06942">
        <w:rPr>
          <w:rFonts w:ascii="Arial" w:hAnsi="Arial" w:cs="Arial"/>
          <w:b/>
          <w:bCs/>
          <w:sz w:val="21"/>
          <w:szCs w:val="21"/>
        </w:rPr>
        <w:t>Étape 2 : Consultation des parties prenantes et diagnostic participatif</w:t>
      </w:r>
    </w:p>
    <w:p w14:paraId="12B7A64C" w14:textId="19426A54" w:rsidR="009B6151" w:rsidRPr="00CF4160" w:rsidRDefault="009B6151" w:rsidP="00B032C6">
      <w:pPr>
        <w:pStyle w:val="Paragraphedeliste"/>
        <w:numPr>
          <w:ilvl w:val="0"/>
          <w:numId w:val="9"/>
        </w:numPr>
        <w:spacing w:before="60" w:after="60"/>
        <w:ind w:left="714" w:hanging="357"/>
        <w:contextualSpacing w:val="0"/>
        <w:jc w:val="both"/>
        <w:rPr>
          <w:rFonts w:ascii="Arial" w:hAnsi="Arial" w:cs="Arial"/>
          <w:sz w:val="21"/>
          <w:szCs w:val="21"/>
        </w:rPr>
      </w:pPr>
      <w:r w:rsidRPr="00CF4160">
        <w:rPr>
          <w:rFonts w:ascii="Arial" w:hAnsi="Arial" w:cs="Arial"/>
          <w:sz w:val="21"/>
          <w:szCs w:val="21"/>
        </w:rPr>
        <w:t>Organisation, avec l’appui de l’INSAPT, de réunions/entretiens avec les directions concernées de l’INSAPT (CVS, LNSP, Centre de Formation et de Recherche, Direction de la communication, Direction des études, etc.)</w:t>
      </w:r>
      <w:r w:rsidR="00B032C6">
        <w:rPr>
          <w:rFonts w:ascii="Arial" w:hAnsi="Arial" w:cs="Arial"/>
          <w:sz w:val="21"/>
          <w:szCs w:val="21"/>
        </w:rPr>
        <w:t xml:space="preserve">, </w:t>
      </w:r>
      <w:r w:rsidRPr="00CF4160">
        <w:rPr>
          <w:rFonts w:ascii="Arial" w:hAnsi="Arial" w:cs="Arial"/>
          <w:sz w:val="21"/>
          <w:szCs w:val="21"/>
        </w:rPr>
        <w:t xml:space="preserve"> le MSPP, le MESRSFP et d’autres ministères ou agences pertinentes (élevage, environnement, intérieur, etc.)</w:t>
      </w:r>
      <w:r w:rsidR="00B032C6">
        <w:rPr>
          <w:rFonts w:ascii="Arial" w:hAnsi="Arial" w:cs="Arial"/>
          <w:sz w:val="21"/>
          <w:szCs w:val="21"/>
        </w:rPr>
        <w:t>, l</w:t>
      </w:r>
      <w:r w:rsidRPr="00CF4160">
        <w:rPr>
          <w:rFonts w:ascii="Arial" w:hAnsi="Arial" w:cs="Arial"/>
          <w:sz w:val="21"/>
          <w:szCs w:val="21"/>
        </w:rPr>
        <w:t>es laboratoires de référence, programmes de santé prioritaires, observatoires provinciaux de santé</w:t>
      </w:r>
      <w:r w:rsidR="00B032C6">
        <w:rPr>
          <w:rFonts w:ascii="Arial" w:hAnsi="Arial" w:cs="Arial"/>
          <w:sz w:val="21"/>
          <w:szCs w:val="21"/>
        </w:rPr>
        <w:t xml:space="preserve">, </w:t>
      </w:r>
      <w:r w:rsidRPr="00CF4160">
        <w:rPr>
          <w:rFonts w:ascii="Arial" w:hAnsi="Arial" w:cs="Arial"/>
          <w:sz w:val="21"/>
          <w:szCs w:val="21"/>
        </w:rPr>
        <w:t>les universités, instituts de recherche, écoles de formation en santé</w:t>
      </w:r>
      <w:r w:rsidR="00B032C6">
        <w:rPr>
          <w:rFonts w:ascii="Arial" w:hAnsi="Arial" w:cs="Arial"/>
          <w:sz w:val="21"/>
          <w:szCs w:val="21"/>
        </w:rPr>
        <w:t xml:space="preserve"> et les </w:t>
      </w:r>
      <w:r w:rsidRPr="00CF4160">
        <w:rPr>
          <w:rFonts w:ascii="Arial" w:hAnsi="Arial" w:cs="Arial"/>
          <w:sz w:val="21"/>
          <w:szCs w:val="21"/>
        </w:rPr>
        <w:t>partenaires techniques et financiers, ONG, société civile, secteur privé impliqués dans la santé publique.</w:t>
      </w:r>
    </w:p>
    <w:p w14:paraId="2A737306" w14:textId="23F5E060" w:rsidR="009B6151" w:rsidRPr="00CF4160" w:rsidRDefault="009B6151" w:rsidP="00B032C6">
      <w:pPr>
        <w:pStyle w:val="Paragraphedeliste"/>
        <w:numPr>
          <w:ilvl w:val="0"/>
          <w:numId w:val="9"/>
        </w:numPr>
        <w:spacing w:before="60" w:after="60"/>
        <w:ind w:left="714" w:hanging="357"/>
        <w:contextualSpacing w:val="0"/>
        <w:jc w:val="both"/>
        <w:rPr>
          <w:rFonts w:ascii="Arial" w:hAnsi="Arial" w:cs="Arial"/>
          <w:sz w:val="21"/>
          <w:szCs w:val="21"/>
        </w:rPr>
      </w:pPr>
      <w:r w:rsidRPr="00CF4160">
        <w:rPr>
          <w:rFonts w:ascii="Arial" w:hAnsi="Arial" w:cs="Arial"/>
          <w:sz w:val="21"/>
          <w:szCs w:val="21"/>
        </w:rPr>
        <w:t>Analyse des flux d’information existants, des mécanismes de coordination, des redondances et lacunes.</w:t>
      </w:r>
    </w:p>
    <w:p w14:paraId="0FFBAABF" w14:textId="55D6E88A" w:rsidR="009B6151" w:rsidRPr="00B032C6" w:rsidRDefault="009B6151" w:rsidP="001A6235">
      <w:pPr>
        <w:pStyle w:val="Paragraphedeliste"/>
        <w:numPr>
          <w:ilvl w:val="0"/>
          <w:numId w:val="9"/>
        </w:numPr>
        <w:spacing w:before="60" w:after="60"/>
        <w:ind w:left="714" w:hanging="357"/>
        <w:contextualSpacing w:val="0"/>
        <w:jc w:val="both"/>
        <w:rPr>
          <w:rFonts w:ascii="Arial" w:hAnsi="Arial" w:cs="Arial"/>
          <w:sz w:val="21"/>
          <w:szCs w:val="21"/>
        </w:rPr>
      </w:pPr>
      <w:r w:rsidRPr="00B032C6">
        <w:rPr>
          <w:rFonts w:ascii="Arial" w:hAnsi="Arial" w:cs="Arial"/>
          <w:sz w:val="21"/>
          <w:szCs w:val="21"/>
        </w:rPr>
        <w:t>Diagnostic des besoins de l’INSAPT en matière</w:t>
      </w:r>
      <w:r w:rsidR="00B032C6" w:rsidRPr="00B032C6">
        <w:rPr>
          <w:rFonts w:ascii="Arial" w:hAnsi="Arial" w:cs="Arial"/>
          <w:sz w:val="21"/>
          <w:szCs w:val="21"/>
        </w:rPr>
        <w:t xml:space="preserve"> </w:t>
      </w:r>
      <w:r w:rsidRPr="00B032C6">
        <w:rPr>
          <w:rFonts w:ascii="Arial" w:hAnsi="Arial" w:cs="Arial"/>
          <w:sz w:val="21"/>
          <w:szCs w:val="21"/>
        </w:rPr>
        <w:t xml:space="preserve">de cartographie d’acteurs (portée, granularité, utilisations envisagées) </w:t>
      </w:r>
      <w:r w:rsidR="00B032C6" w:rsidRPr="00B032C6">
        <w:rPr>
          <w:rFonts w:ascii="Arial" w:hAnsi="Arial" w:cs="Arial"/>
          <w:sz w:val="21"/>
          <w:szCs w:val="21"/>
        </w:rPr>
        <w:t xml:space="preserve">et </w:t>
      </w:r>
      <w:r w:rsidRPr="00B032C6">
        <w:rPr>
          <w:rFonts w:ascii="Arial" w:hAnsi="Arial" w:cs="Arial"/>
          <w:sz w:val="21"/>
          <w:szCs w:val="21"/>
        </w:rPr>
        <w:t>d’outils de communication (publics cibles, fonctions prioritaires, contraintes techniques et institutionnelles).</w:t>
      </w:r>
    </w:p>
    <w:p w14:paraId="0CBB6420" w14:textId="30A3E421" w:rsidR="009B6151" w:rsidRPr="00F06942" w:rsidRDefault="009B6151" w:rsidP="00CF4160">
      <w:pPr>
        <w:jc w:val="both"/>
        <w:rPr>
          <w:rFonts w:ascii="Arial" w:hAnsi="Arial" w:cs="Arial"/>
          <w:b/>
          <w:bCs/>
          <w:sz w:val="21"/>
          <w:szCs w:val="21"/>
        </w:rPr>
      </w:pPr>
      <w:r w:rsidRPr="00F06942">
        <w:rPr>
          <w:rFonts w:ascii="Arial" w:hAnsi="Arial" w:cs="Arial"/>
          <w:b/>
          <w:bCs/>
          <w:sz w:val="21"/>
          <w:szCs w:val="21"/>
        </w:rPr>
        <w:t>Étape 3 : Élaboration du cadre conceptuel et méthodologique de la cartographie</w:t>
      </w:r>
    </w:p>
    <w:p w14:paraId="65036C35" w14:textId="275BBCFD" w:rsidR="009B6151" w:rsidRPr="00B032C6" w:rsidRDefault="009B6151" w:rsidP="00B032C6">
      <w:pPr>
        <w:pStyle w:val="Paragraphedeliste"/>
        <w:numPr>
          <w:ilvl w:val="0"/>
          <w:numId w:val="9"/>
        </w:numPr>
        <w:spacing w:before="60" w:after="60"/>
        <w:ind w:left="714" w:hanging="357"/>
        <w:contextualSpacing w:val="0"/>
        <w:jc w:val="both"/>
        <w:rPr>
          <w:rFonts w:ascii="Arial" w:hAnsi="Arial" w:cs="Arial"/>
          <w:sz w:val="21"/>
          <w:szCs w:val="21"/>
        </w:rPr>
      </w:pPr>
      <w:r w:rsidRPr="00CF4160">
        <w:rPr>
          <w:rFonts w:ascii="Arial" w:hAnsi="Arial" w:cs="Arial"/>
          <w:sz w:val="21"/>
          <w:szCs w:val="21"/>
        </w:rPr>
        <w:t xml:space="preserve">Définition conjointe, avec l’INSAPT et le cabinet local, de </w:t>
      </w:r>
      <w:r w:rsidRPr="00B032C6">
        <w:rPr>
          <w:rFonts w:ascii="Arial" w:hAnsi="Arial" w:cs="Arial"/>
          <w:sz w:val="21"/>
          <w:szCs w:val="21"/>
        </w:rPr>
        <w:t>la portée thématique et géographique</w:t>
      </w:r>
    </w:p>
    <w:p w14:paraId="5EB05E90" w14:textId="555956CC" w:rsidR="009B6151" w:rsidRPr="00B032C6" w:rsidRDefault="009B6151" w:rsidP="00D5098C">
      <w:pPr>
        <w:pStyle w:val="Paragraphedeliste"/>
        <w:numPr>
          <w:ilvl w:val="0"/>
          <w:numId w:val="9"/>
        </w:numPr>
        <w:spacing w:before="60" w:after="60"/>
        <w:ind w:left="714" w:hanging="357"/>
        <w:contextualSpacing w:val="0"/>
        <w:jc w:val="both"/>
        <w:rPr>
          <w:rFonts w:ascii="Arial" w:hAnsi="Arial" w:cs="Arial"/>
          <w:sz w:val="21"/>
          <w:szCs w:val="21"/>
        </w:rPr>
      </w:pPr>
      <w:r w:rsidRPr="00B032C6">
        <w:rPr>
          <w:rFonts w:ascii="Arial" w:hAnsi="Arial" w:cs="Arial"/>
          <w:sz w:val="21"/>
          <w:szCs w:val="21"/>
        </w:rPr>
        <w:t>Finalisation et validation interne (avec INSAPT et cabinet local) des catégories d’acteurs, de la typologie et des critères de classification</w:t>
      </w:r>
      <w:r w:rsidR="00B032C6" w:rsidRPr="00B032C6">
        <w:rPr>
          <w:rFonts w:ascii="Arial" w:hAnsi="Arial" w:cs="Arial"/>
          <w:sz w:val="21"/>
          <w:szCs w:val="21"/>
        </w:rPr>
        <w:t xml:space="preserve">, </w:t>
      </w:r>
      <w:r w:rsidRPr="00B032C6">
        <w:rPr>
          <w:rFonts w:ascii="Arial" w:hAnsi="Arial" w:cs="Arial"/>
          <w:sz w:val="21"/>
          <w:szCs w:val="21"/>
        </w:rPr>
        <w:t xml:space="preserve">des formats de collecte et de structuration des données </w:t>
      </w:r>
      <w:r w:rsidR="00B032C6" w:rsidRPr="00B032C6">
        <w:rPr>
          <w:rFonts w:ascii="Arial" w:hAnsi="Arial" w:cs="Arial"/>
          <w:sz w:val="21"/>
          <w:szCs w:val="21"/>
        </w:rPr>
        <w:t xml:space="preserve">et du </w:t>
      </w:r>
      <w:r w:rsidRPr="00B032C6">
        <w:rPr>
          <w:rFonts w:ascii="Arial" w:hAnsi="Arial" w:cs="Arial"/>
          <w:sz w:val="21"/>
          <w:szCs w:val="21"/>
        </w:rPr>
        <w:t>mode de représentation/visualisation attendu (typologie de produits : cartes, matrices, répertoires, etc.).</w:t>
      </w:r>
    </w:p>
    <w:p w14:paraId="2F2892BB" w14:textId="74E4F440" w:rsidR="009B6151" w:rsidRPr="00CF4160" w:rsidRDefault="009B6151" w:rsidP="00B032C6">
      <w:pPr>
        <w:pStyle w:val="Paragraphedeliste"/>
        <w:numPr>
          <w:ilvl w:val="0"/>
          <w:numId w:val="9"/>
        </w:numPr>
        <w:spacing w:before="60" w:after="60"/>
        <w:ind w:left="714" w:hanging="357"/>
        <w:contextualSpacing w:val="0"/>
        <w:jc w:val="both"/>
        <w:rPr>
          <w:rFonts w:ascii="Arial" w:hAnsi="Arial" w:cs="Arial"/>
          <w:sz w:val="21"/>
          <w:szCs w:val="21"/>
        </w:rPr>
      </w:pPr>
      <w:r w:rsidRPr="00CF4160">
        <w:rPr>
          <w:rFonts w:ascii="Arial" w:hAnsi="Arial" w:cs="Arial"/>
          <w:sz w:val="21"/>
          <w:szCs w:val="21"/>
        </w:rPr>
        <w:t>Élaboration d’un **document de référence méthodologique** qui servira de guide au cabinet local pour la collecte, la saisie, l’analyse et la restitution de la cartographie.</w:t>
      </w:r>
    </w:p>
    <w:p w14:paraId="6EF0CE92" w14:textId="37F99DC3" w:rsidR="009B6151" w:rsidRPr="00F06942" w:rsidRDefault="009B6151" w:rsidP="00CF4160">
      <w:pPr>
        <w:jc w:val="both"/>
        <w:rPr>
          <w:rFonts w:ascii="Arial" w:hAnsi="Arial" w:cs="Arial"/>
          <w:b/>
          <w:bCs/>
          <w:sz w:val="21"/>
          <w:szCs w:val="21"/>
        </w:rPr>
      </w:pPr>
      <w:r w:rsidRPr="00F06942">
        <w:rPr>
          <w:rFonts w:ascii="Arial" w:hAnsi="Arial" w:cs="Arial"/>
          <w:b/>
          <w:bCs/>
          <w:sz w:val="21"/>
          <w:szCs w:val="21"/>
        </w:rPr>
        <w:t>Étape 4 : Appui technique à la mise en œuvre de la cartographie et aux premiers produits</w:t>
      </w:r>
    </w:p>
    <w:p w14:paraId="019ED846" w14:textId="5112ED17" w:rsidR="009B6151" w:rsidRPr="00B032C6" w:rsidRDefault="009B6151" w:rsidP="003652C5">
      <w:pPr>
        <w:pStyle w:val="Paragraphedeliste"/>
        <w:numPr>
          <w:ilvl w:val="0"/>
          <w:numId w:val="9"/>
        </w:numPr>
        <w:spacing w:before="60" w:after="60"/>
        <w:ind w:left="714" w:hanging="357"/>
        <w:contextualSpacing w:val="0"/>
        <w:jc w:val="both"/>
        <w:rPr>
          <w:rFonts w:ascii="Arial" w:hAnsi="Arial" w:cs="Arial"/>
          <w:sz w:val="21"/>
          <w:szCs w:val="21"/>
        </w:rPr>
      </w:pPr>
      <w:r w:rsidRPr="00B032C6">
        <w:rPr>
          <w:rFonts w:ascii="Arial" w:hAnsi="Arial" w:cs="Arial"/>
          <w:sz w:val="21"/>
          <w:szCs w:val="21"/>
        </w:rPr>
        <w:lastRenderedPageBreak/>
        <w:t>Appui au cabinet local pour la finalisation des outils de collecte et de saisie (questionnaires, gabarits, bases de données)</w:t>
      </w:r>
      <w:r w:rsidR="00B032C6" w:rsidRPr="00B032C6">
        <w:rPr>
          <w:rFonts w:ascii="Arial" w:hAnsi="Arial" w:cs="Arial"/>
          <w:sz w:val="21"/>
          <w:szCs w:val="21"/>
        </w:rPr>
        <w:t xml:space="preserve">, </w:t>
      </w:r>
      <w:r w:rsidRPr="00B032C6">
        <w:rPr>
          <w:rFonts w:ascii="Arial" w:hAnsi="Arial" w:cs="Arial"/>
          <w:sz w:val="21"/>
          <w:szCs w:val="21"/>
        </w:rPr>
        <w:t>la définition du plan d’échantillonnage/recensement des acteurs au niveau central et périphérique</w:t>
      </w:r>
      <w:r w:rsidR="00B032C6">
        <w:rPr>
          <w:rFonts w:ascii="Arial" w:hAnsi="Arial" w:cs="Arial"/>
          <w:sz w:val="21"/>
          <w:szCs w:val="21"/>
        </w:rPr>
        <w:t xml:space="preserve"> et </w:t>
      </w:r>
      <w:r w:rsidRPr="00B032C6">
        <w:rPr>
          <w:rFonts w:ascii="Arial" w:hAnsi="Arial" w:cs="Arial"/>
          <w:sz w:val="21"/>
          <w:szCs w:val="21"/>
        </w:rPr>
        <w:t>la collecte pilote auprès d’un échantillon d’acteurs, afin d’ajuster les outils si nécessaire.</w:t>
      </w:r>
    </w:p>
    <w:p w14:paraId="45DBA229" w14:textId="5B1FEB4F" w:rsidR="009B6151" w:rsidRPr="00CF4160" w:rsidRDefault="009B6151" w:rsidP="00B032C6">
      <w:pPr>
        <w:pStyle w:val="Paragraphedeliste"/>
        <w:numPr>
          <w:ilvl w:val="0"/>
          <w:numId w:val="9"/>
        </w:numPr>
        <w:spacing w:before="60" w:after="60"/>
        <w:ind w:left="714" w:hanging="357"/>
        <w:contextualSpacing w:val="0"/>
        <w:jc w:val="both"/>
        <w:rPr>
          <w:rFonts w:ascii="Arial" w:hAnsi="Arial" w:cs="Arial"/>
          <w:sz w:val="21"/>
          <w:szCs w:val="21"/>
        </w:rPr>
      </w:pPr>
      <w:r w:rsidRPr="00CF4160">
        <w:rPr>
          <w:rFonts w:ascii="Arial" w:hAnsi="Arial" w:cs="Arial"/>
          <w:sz w:val="21"/>
          <w:szCs w:val="21"/>
        </w:rPr>
        <w:t>Analyse conjointe des premières données collectées et ajustements méthodologiques.</w:t>
      </w:r>
    </w:p>
    <w:p w14:paraId="15E8E999" w14:textId="72932D0F" w:rsidR="009B6151" w:rsidRPr="00CF4160" w:rsidRDefault="009B6151" w:rsidP="00B032C6">
      <w:pPr>
        <w:pStyle w:val="Paragraphedeliste"/>
        <w:numPr>
          <w:ilvl w:val="0"/>
          <w:numId w:val="9"/>
        </w:numPr>
        <w:spacing w:before="60" w:after="60"/>
        <w:ind w:left="714" w:hanging="357"/>
        <w:contextualSpacing w:val="0"/>
        <w:jc w:val="both"/>
        <w:rPr>
          <w:rFonts w:ascii="Arial" w:hAnsi="Arial" w:cs="Arial"/>
          <w:sz w:val="21"/>
          <w:szCs w:val="21"/>
        </w:rPr>
      </w:pPr>
      <w:r w:rsidRPr="00CF4160">
        <w:rPr>
          <w:rFonts w:ascii="Arial" w:hAnsi="Arial" w:cs="Arial"/>
          <w:sz w:val="21"/>
          <w:szCs w:val="21"/>
        </w:rPr>
        <w:t>Contribution à la définition des premiers produits de restitution (par exemple : répertoire des acteurs, carte des acteurs par FESP, schémas de coordination en cas d’alerte, etc.).</w:t>
      </w:r>
    </w:p>
    <w:p w14:paraId="23564456" w14:textId="13347FDA" w:rsidR="009B6151" w:rsidRPr="00CF4160" w:rsidRDefault="009B6151" w:rsidP="00B032C6">
      <w:pPr>
        <w:pStyle w:val="Paragraphedeliste"/>
        <w:numPr>
          <w:ilvl w:val="0"/>
          <w:numId w:val="9"/>
        </w:numPr>
        <w:spacing w:before="60" w:after="60"/>
        <w:ind w:left="714" w:hanging="357"/>
        <w:contextualSpacing w:val="0"/>
        <w:jc w:val="both"/>
        <w:rPr>
          <w:rFonts w:ascii="Arial" w:hAnsi="Arial" w:cs="Arial"/>
          <w:sz w:val="21"/>
          <w:szCs w:val="21"/>
        </w:rPr>
      </w:pPr>
      <w:r w:rsidRPr="00CF4160">
        <w:rPr>
          <w:rFonts w:ascii="Arial" w:hAnsi="Arial" w:cs="Arial"/>
          <w:sz w:val="21"/>
          <w:szCs w:val="21"/>
        </w:rPr>
        <w:t>Formulation de recommandations pour l’intégration de la cartographie dans l’architecture numérique de l’INSAPT (interopérabilité, ergonomie, droits d’accès, etc.).</w:t>
      </w:r>
    </w:p>
    <w:p w14:paraId="6E281E2A" w14:textId="60199B25" w:rsidR="009B6151" w:rsidRPr="00F06942" w:rsidRDefault="009B6151" w:rsidP="00CF4160">
      <w:pPr>
        <w:jc w:val="both"/>
        <w:rPr>
          <w:rFonts w:ascii="Arial" w:hAnsi="Arial" w:cs="Arial"/>
          <w:b/>
          <w:bCs/>
          <w:sz w:val="21"/>
          <w:szCs w:val="21"/>
        </w:rPr>
      </w:pPr>
      <w:r w:rsidRPr="00F06942">
        <w:rPr>
          <w:rFonts w:ascii="Arial" w:hAnsi="Arial" w:cs="Arial"/>
          <w:b/>
          <w:bCs/>
          <w:sz w:val="21"/>
          <w:szCs w:val="21"/>
        </w:rPr>
        <w:t>Étape 5 : Appui à la conception fonctionnelle des outils de communication</w:t>
      </w:r>
    </w:p>
    <w:p w14:paraId="48E03088" w14:textId="10B57F20" w:rsidR="009B6151" w:rsidRPr="00CF4160" w:rsidRDefault="009B6151" w:rsidP="00B032C6">
      <w:pPr>
        <w:pStyle w:val="Paragraphedeliste"/>
        <w:numPr>
          <w:ilvl w:val="0"/>
          <w:numId w:val="9"/>
        </w:numPr>
        <w:spacing w:before="60" w:after="60"/>
        <w:ind w:left="714" w:hanging="357"/>
        <w:contextualSpacing w:val="0"/>
        <w:jc w:val="both"/>
        <w:rPr>
          <w:rFonts w:ascii="Arial" w:hAnsi="Arial" w:cs="Arial"/>
          <w:sz w:val="21"/>
          <w:szCs w:val="21"/>
        </w:rPr>
      </w:pPr>
      <w:r w:rsidRPr="00CF4160">
        <w:rPr>
          <w:rFonts w:ascii="Arial" w:hAnsi="Arial" w:cs="Arial"/>
          <w:sz w:val="21"/>
          <w:szCs w:val="21"/>
        </w:rPr>
        <w:t>Analyse des besoins de l’INSAPT en matière de communication (interne, externe, institutionnelle, technique) et de visibilité, y compris en situation d’urgence sanitaire.</w:t>
      </w:r>
    </w:p>
    <w:p w14:paraId="1306549C" w14:textId="10C58483" w:rsidR="009B6151" w:rsidRPr="00B032C6" w:rsidRDefault="009B6151" w:rsidP="00A21D66">
      <w:pPr>
        <w:pStyle w:val="Paragraphedeliste"/>
        <w:numPr>
          <w:ilvl w:val="0"/>
          <w:numId w:val="9"/>
        </w:numPr>
        <w:spacing w:before="60" w:after="60"/>
        <w:ind w:left="714" w:hanging="357"/>
        <w:contextualSpacing w:val="0"/>
        <w:jc w:val="both"/>
        <w:rPr>
          <w:rFonts w:ascii="Arial" w:hAnsi="Arial" w:cs="Arial"/>
          <w:sz w:val="21"/>
          <w:szCs w:val="21"/>
        </w:rPr>
      </w:pPr>
      <w:r w:rsidRPr="00B032C6">
        <w:rPr>
          <w:rFonts w:ascii="Arial" w:hAnsi="Arial" w:cs="Arial"/>
          <w:sz w:val="21"/>
          <w:szCs w:val="21"/>
        </w:rPr>
        <w:t>Définition, avec la Direction de la communication et les autres directions concernées :</w:t>
      </w:r>
      <w:r w:rsidR="00B032C6" w:rsidRPr="00B032C6">
        <w:rPr>
          <w:rFonts w:ascii="Arial" w:hAnsi="Arial" w:cs="Arial"/>
          <w:sz w:val="21"/>
          <w:szCs w:val="21"/>
        </w:rPr>
        <w:t xml:space="preserve"> </w:t>
      </w:r>
      <w:r w:rsidRPr="00B032C6">
        <w:rPr>
          <w:rFonts w:ascii="Arial" w:hAnsi="Arial" w:cs="Arial"/>
          <w:sz w:val="21"/>
          <w:szCs w:val="21"/>
        </w:rPr>
        <w:t>des objectifs de communication du site web, de l’intranet et des réseaux sociaux</w:t>
      </w:r>
      <w:r w:rsidR="00B032C6" w:rsidRPr="00B032C6">
        <w:rPr>
          <w:rFonts w:ascii="Arial" w:hAnsi="Arial" w:cs="Arial"/>
          <w:sz w:val="21"/>
          <w:szCs w:val="21"/>
        </w:rPr>
        <w:t xml:space="preserve">, </w:t>
      </w:r>
      <w:r w:rsidRPr="00B032C6">
        <w:rPr>
          <w:rFonts w:ascii="Arial" w:hAnsi="Arial" w:cs="Arial"/>
          <w:sz w:val="21"/>
          <w:szCs w:val="21"/>
        </w:rPr>
        <w:t>des publics cibles et des messages clés (population, professionnels de santé, partenaires, décideurs, médias).</w:t>
      </w:r>
    </w:p>
    <w:p w14:paraId="74E8ADE0" w14:textId="21A706B2" w:rsidR="009B6151" w:rsidRPr="00CF4160" w:rsidRDefault="009B6151" w:rsidP="00B032C6">
      <w:pPr>
        <w:pStyle w:val="Paragraphedeliste"/>
        <w:numPr>
          <w:ilvl w:val="0"/>
          <w:numId w:val="9"/>
        </w:numPr>
        <w:spacing w:before="60" w:after="60"/>
        <w:ind w:left="714" w:hanging="357"/>
        <w:contextualSpacing w:val="0"/>
        <w:jc w:val="both"/>
        <w:rPr>
          <w:rFonts w:ascii="Arial" w:hAnsi="Arial" w:cs="Arial"/>
          <w:sz w:val="21"/>
          <w:szCs w:val="21"/>
        </w:rPr>
      </w:pPr>
      <w:r w:rsidRPr="00CF4160">
        <w:rPr>
          <w:rFonts w:ascii="Arial" w:hAnsi="Arial" w:cs="Arial"/>
          <w:sz w:val="21"/>
          <w:szCs w:val="21"/>
        </w:rPr>
        <w:t>Élaboration des spécifications fonctionnelles :</w:t>
      </w:r>
    </w:p>
    <w:p w14:paraId="1D6355F9" w14:textId="34807C28" w:rsidR="009B6151" w:rsidRPr="00CF4160" w:rsidRDefault="009B6151" w:rsidP="00F06942">
      <w:pPr>
        <w:pStyle w:val="Paragraphedeliste"/>
        <w:numPr>
          <w:ilvl w:val="0"/>
          <w:numId w:val="14"/>
        </w:numPr>
        <w:spacing w:before="60" w:after="60"/>
        <w:contextualSpacing w:val="0"/>
        <w:jc w:val="both"/>
        <w:rPr>
          <w:rFonts w:ascii="Arial" w:hAnsi="Arial" w:cs="Arial"/>
          <w:sz w:val="21"/>
          <w:szCs w:val="21"/>
        </w:rPr>
      </w:pPr>
      <w:proofErr w:type="gramStart"/>
      <w:r w:rsidRPr="00CF4160">
        <w:rPr>
          <w:rFonts w:ascii="Arial" w:hAnsi="Arial" w:cs="Arial"/>
          <w:sz w:val="21"/>
          <w:szCs w:val="21"/>
        </w:rPr>
        <w:t>site</w:t>
      </w:r>
      <w:proofErr w:type="gramEnd"/>
      <w:r w:rsidRPr="00CF4160">
        <w:rPr>
          <w:rFonts w:ascii="Arial" w:hAnsi="Arial" w:cs="Arial"/>
          <w:sz w:val="21"/>
          <w:szCs w:val="21"/>
        </w:rPr>
        <w:t xml:space="preserve"> web : architecture, rubriques, gabarits de pages, flux de validation, connexion éventuelle à des tableaux de bord de données, rubriques spécifiques aux urgences de santé publique, à la recherche, à la formation, etc. ;</w:t>
      </w:r>
    </w:p>
    <w:p w14:paraId="06E60502" w14:textId="4027DBAE" w:rsidR="009B6151" w:rsidRPr="00CF4160" w:rsidRDefault="009B6151" w:rsidP="00F06942">
      <w:pPr>
        <w:pStyle w:val="Paragraphedeliste"/>
        <w:numPr>
          <w:ilvl w:val="0"/>
          <w:numId w:val="14"/>
        </w:numPr>
        <w:spacing w:before="60" w:after="60"/>
        <w:contextualSpacing w:val="0"/>
        <w:jc w:val="both"/>
        <w:rPr>
          <w:rFonts w:ascii="Arial" w:hAnsi="Arial" w:cs="Arial"/>
          <w:sz w:val="21"/>
          <w:szCs w:val="21"/>
        </w:rPr>
      </w:pPr>
      <w:proofErr w:type="gramStart"/>
      <w:r w:rsidRPr="00CF4160">
        <w:rPr>
          <w:rFonts w:ascii="Arial" w:hAnsi="Arial" w:cs="Arial"/>
          <w:sz w:val="21"/>
          <w:szCs w:val="21"/>
        </w:rPr>
        <w:t>intranet</w:t>
      </w:r>
      <w:proofErr w:type="gramEnd"/>
      <w:r w:rsidRPr="00CF4160">
        <w:rPr>
          <w:rFonts w:ascii="Arial" w:hAnsi="Arial" w:cs="Arial"/>
          <w:sz w:val="21"/>
          <w:szCs w:val="21"/>
        </w:rPr>
        <w:t xml:space="preserve"> : espaces de travail collaboratifs, partage de documents, forums internes, accès aux référentiels, intégration potentielle avec d’autres outils existants ;</w:t>
      </w:r>
    </w:p>
    <w:p w14:paraId="415ABF25" w14:textId="5423712F" w:rsidR="009B6151" w:rsidRPr="00CF4160" w:rsidRDefault="009B6151" w:rsidP="00F06942">
      <w:pPr>
        <w:pStyle w:val="Paragraphedeliste"/>
        <w:numPr>
          <w:ilvl w:val="0"/>
          <w:numId w:val="14"/>
        </w:numPr>
        <w:spacing w:before="60" w:after="60"/>
        <w:contextualSpacing w:val="0"/>
        <w:jc w:val="both"/>
        <w:rPr>
          <w:rFonts w:ascii="Arial" w:hAnsi="Arial" w:cs="Arial"/>
          <w:sz w:val="21"/>
          <w:szCs w:val="21"/>
        </w:rPr>
      </w:pPr>
      <w:proofErr w:type="gramStart"/>
      <w:r w:rsidRPr="00CF4160">
        <w:rPr>
          <w:rFonts w:ascii="Arial" w:hAnsi="Arial" w:cs="Arial"/>
          <w:sz w:val="21"/>
          <w:szCs w:val="21"/>
        </w:rPr>
        <w:t>adresses</w:t>
      </w:r>
      <w:proofErr w:type="gramEnd"/>
      <w:r w:rsidRPr="00CF4160">
        <w:rPr>
          <w:rFonts w:ascii="Arial" w:hAnsi="Arial" w:cs="Arial"/>
          <w:sz w:val="21"/>
          <w:szCs w:val="21"/>
        </w:rPr>
        <w:t xml:space="preserve"> nominatives et fonctionnelles : principes d’attribution, gestion des comptes, consignes de sécurité ;</w:t>
      </w:r>
    </w:p>
    <w:p w14:paraId="5163C8BB" w14:textId="6EBA0325" w:rsidR="009B6151" w:rsidRPr="00CF4160" w:rsidRDefault="009B6151" w:rsidP="00F06942">
      <w:pPr>
        <w:pStyle w:val="Paragraphedeliste"/>
        <w:numPr>
          <w:ilvl w:val="0"/>
          <w:numId w:val="14"/>
        </w:numPr>
        <w:spacing w:before="60" w:after="60"/>
        <w:contextualSpacing w:val="0"/>
        <w:jc w:val="both"/>
        <w:rPr>
          <w:rFonts w:ascii="Arial" w:hAnsi="Arial" w:cs="Arial"/>
          <w:sz w:val="21"/>
          <w:szCs w:val="21"/>
        </w:rPr>
      </w:pPr>
      <w:proofErr w:type="gramStart"/>
      <w:r w:rsidRPr="00CF4160">
        <w:rPr>
          <w:rFonts w:ascii="Arial" w:hAnsi="Arial" w:cs="Arial"/>
          <w:sz w:val="21"/>
          <w:szCs w:val="21"/>
        </w:rPr>
        <w:t>comptes</w:t>
      </w:r>
      <w:proofErr w:type="gramEnd"/>
      <w:r w:rsidRPr="00CF4160">
        <w:rPr>
          <w:rFonts w:ascii="Arial" w:hAnsi="Arial" w:cs="Arial"/>
          <w:sz w:val="21"/>
          <w:szCs w:val="21"/>
        </w:rPr>
        <w:t xml:space="preserve"> de réseaux sociaux : stratégie éditoriale, gouvernance, articulation avec la communication du MSPP.</w:t>
      </w:r>
    </w:p>
    <w:p w14:paraId="4D27B590" w14:textId="64D077A9" w:rsidR="009B6151" w:rsidRPr="00B032C6" w:rsidRDefault="009B6151" w:rsidP="00234331">
      <w:pPr>
        <w:pStyle w:val="Paragraphedeliste"/>
        <w:numPr>
          <w:ilvl w:val="0"/>
          <w:numId w:val="9"/>
        </w:numPr>
        <w:spacing w:before="60" w:after="60"/>
        <w:ind w:left="714" w:hanging="357"/>
        <w:contextualSpacing w:val="0"/>
        <w:jc w:val="both"/>
        <w:rPr>
          <w:rFonts w:ascii="Arial" w:hAnsi="Arial" w:cs="Arial"/>
          <w:sz w:val="21"/>
          <w:szCs w:val="21"/>
        </w:rPr>
      </w:pPr>
      <w:r w:rsidRPr="00B032C6">
        <w:rPr>
          <w:rFonts w:ascii="Arial" w:hAnsi="Arial" w:cs="Arial"/>
          <w:sz w:val="21"/>
          <w:szCs w:val="21"/>
        </w:rPr>
        <w:t xml:space="preserve">Intégration de principes de protection des données et de la confidentialité </w:t>
      </w:r>
      <w:r w:rsidR="00B032C6" w:rsidRPr="00B032C6">
        <w:rPr>
          <w:rFonts w:ascii="Arial" w:hAnsi="Arial" w:cs="Arial"/>
          <w:sz w:val="21"/>
          <w:szCs w:val="21"/>
        </w:rPr>
        <w:t>avec la prise en compte de la</w:t>
      </w:r>
      <w:r w:rsidRPr="00B032C6">
        <w:rPr>
          <w:rFonts w:ascii="Arial" w:hAnsi="Arial" w:cs="Arial"/>
          <w:sz w:val="21"/>
          <w:szCs w:val="21"/>
        </w:rPr>
        <w:t xml:space="preserve"> gestion des droits d’accès et des profils utilisateurs</w:t>
      </w:r>
      <w:r w:rsidR="00B032C6">
        <w:rPr>
          <w:rFonts w:ascii="Arial" w:hAnsi="Arial" w:cs="Arial"/>
          <w:sz w:val="21"/>
          <w:szCs w:val="21"/>
        </w:rPr>
        <w:t>, le</w:t>
      </w:r>
      <w:r w:rsidRPr="00B032C6">
        <w:rPr>
          <w:rFonts w:ascii="Arial" w:hAnsi="Arial" w:cs="Arial"/>
          <w:sz w:val="21"/>
          <w:szCs w:val="21"/>
        </w:rPr>
        <w:t xml:space="preserve"> genre, l’équité, l’accessibilité (notamment pour des publics vulnérables).</w:t>
      </w:r>
    </w:p>
    <w:p w14:paraId="047CE869" w14:textId="2C8B6D1B" w:rsidR="009B6151" w:rsidRPr="00F06942" w:rsidRDefault="009B6151" w:rsidP="00CF4160">
      <w:pPr>
        <w:jc w:val="both"/>
        <w:rPr>
          <w:rFonts w:ascii="Arial" w:hAnsi="Arial" w:cs="Arial"/>
          <w:b/>
          <w:bCs/>
          <w:sz w:val="21"/>
          <w:szCs w:val="21"/>
        </w:rPr>
      </w:pPr>
      <w:r w:rsidRPr="00F06942">
        <w:rPr>
          <w:rFonts w:ascii="Arial" w:hAnsi="Arial" w:cs="Arial"/>
          <w:b/>
          <w:bCs/>
          <w:sz w:val="21"/>
          <w:szCs w:val="21"/>
        </w:rPr>
        <w:t>Étape 6 : Validation, renforcement de capacités et restitution</w:t>
      </w:r>
    </w:p>
    <w:p w14:paraId="25DE0277" w14:textId="75C417FB" w:rsidR="009B6151" w:rsidRPr="002F6297" w:rsidRDefault="009B6151" w:rsidP="00515924">
      <w:pPr>
        <w:pStyle w:val="Paragraphedeliste"/>
        <w:numPr>
          <w:ilvl w:val="0"/>
          <w:numId w:val="9"/>
        </w:numPr>
        <w:spacing w:before="60" w:after="60"/>
        <w:ind w:left="714" w:hanging="357"/>
        <w:contextualSpacing w:val="0"/>
        <w:jc w:val="both"/>
        <w:rPr>
          <w:rFonts w:ascii="Arial" w:hAnsi="Arial" w:cs="Arial"/>
          <w:sz w:val="21"/>
          <w:szCs w:val="21"/>
        </w:rPr>
      </w:pPr>
      <w:r w:rsidRPr="002F6297">
        <w:rPr>
          <w:rFonts w:ascii="Arial" w:hAnsi="Arial" w:cs="Arial"/>
          <w:sz w:val="21"/>
          <w:szCs w:val="21"/>
        </w:rPr>
        <w:t>Animation d’au moins un atelier technique de validation avec l’INSAPT, le cabinet local et les partenaires clés pour</w:t>
      </w:r>
      <w:r w:rsidR="00B032C6" w:rsidRPr="002F6297">
        <w:rPr>
          <w:rFonts w:ascii="Arial" w:hAnsi="Arial" w:cs="Arial"/>
          <w:sz w:val="21"/>
          <w:szCs w:val="21"/>
        </w:rPr>
        <w:t xml:space="preserve"> </w:t>
      </w:r>
      <w:r w:rsidRPr="002F6297">
        <w:rPr>
          <w:rFonts w:ascii="Arial" w:hAnsi="Arial" w:cs="Arial"/>
          <w:sz w:val="21"/>
          <w:szCs w:val="21"/>
        </w:rPr>
        <w:t>présenter le cadre méthodologique de la cartographie</w:t>
      </w:r>
      <w:r w:rsidR="002F6297" w:rsidRPr="002F6297">
        <w:rPr>
          <w:rFonts w:ascii="Arial" w:hAnsi="Arial" w:cs="Arial"/>
          <w:sz w:val="21"/>
          <w:szCs w:val="21"/>
        </w:rPr>
        <w:t xml:space="preserve">, </w:t>
      </w:r>
      <w:r w:rsidRPr="002F6297">
        <w:rPr>
          <w:rFonts w:ascii="Arial" w:hAnsi="Arial" w:cs="Arial"/>
          <w:sz w:val="21"/>
          <w:szCs w:val="21"/>
        </w:rPr>
        <w:t>valider la typologie des acteurs et les produits attendus</w:t>
      </w:r>
      <w:r w:rsidR="002F6297">
        <w:rPr>
          <w:rFonts w:ascii="Arial" w:hAnsi="Arial" w:cs="Arial"/>
          <w:sz w:val="21"/>
          <w:szCs w:val="21"/>
        </w:rPr>
        <w:t xml:space="preserve"> et</w:t>
      </w:r>
      <w:r w:rsidRPr="002F6297">
        <w:rPr>
          <w:rFonts w:ascii="Arial" w:hAnsi="Arial" w:cs="Arial"/>
          <w:sz w:val="21"/>
          <w:szCs w:val="21"/>
        </w:rPr>
        <w:t xml:space="preserve"> les spécifications des outils de communication.</w:t>
      </w:r>
    </w:p>
    <w:p w14:paraId="4B86E415" w14:textId="60B27DFA" w:rsidR="009B6151" w:rsidRPr="002F6297" w:rsidRDefault="009B6151" w:rsidP="003514D2">
      <w:pPr>
        <w:pStyle w:val="Paragraphedeliste"/>
        <w:numPr>
          <w:ilvl w:val="0"/>
          <w:numId w:val="9"/>
        </w:numPr>
        <w:spacing w:before="60" w:after="60"/>
        <w:ind w:left="714" w:hanging="357"/>
        <w:contextualSpacing w:val="0"/>
        <w:jc w:val="both"/>
        <w:rPr>
          <w:rFonts w:ascii="Arial" w:hAnsi="Arial" w:cs="Arial"/>
          <w:sz w:val="21"/>
          <w:szCs w:val="21"/>
        </w:rPr>
      </w:pPr>
      <w:r w:rsidRPr="002F6297">
        <w:rPr>
          <w:rFonts w:ascii="Arial" w:hAnsi="Arial" w:cs="Arial"/>
          <w:sz w:val="21"/>
          <w:szCs w:val="21"/>
        </w:rPr>
        <w:t xml:space="preserve">Conception et animation d’au moins une session de renforcement de capacités (ou coaching ciblé) pour les équipes INSAPT, axée sur l’utilisation et la mise à jour de la cartographie dynamique </w:t>
      </w:r>
      <w:r w:rsidR="002F6297">
        <w:rPr>
          <w:rFonts w:ascii="Arial" w:hAnsi="Arial" w:cs="Arial"/>
          <w:sz w:val="21"/>
          <w:szCs w:val="21"/>
        </w:rPr>
        <w:t>et</w:t>
      </w:r>
      <w:r w:rsidRPr="002F6297">
        <w:rPr>
          <w:rFonts w:ascii="Arial" w:hAnsi="Arial" w:cs="Arial"/>
          <w:sz w:val="21"/>
          <w:szCs w:val="21"/>
        </w:rPr>
        <w:t xml:space="preserve"> l’exploitation des outils de communication dans la coordination des urgences et les missions de FESP.</w:t>
      </w:r>
    </w:p>
    <w:p w14:paraId="28EBBF85" w14:textId="03B0FEFE" w:rsidR="009B6151" w:rsidRPr="00CF4160" w:rsidRDefault="009B6151" w:rsidP="002F6297">
      <w:pPr>
        <w:pStyle w:val="Paragraphedeliste"/>
        <w:numPr>
          <w:ilvl w:val="0"/>
          <w:numId w:val="9"/>
        </w:numPr>
        <w:spacing w:before="60" w:after="60"/>
        <w:ind w:left="714" w:hanging="357"/>
        <w:contextualSpacing w:val="0"/>
        <w:jc w:val="both"/>
        <w:rPr>
          <w:rFonts w:ascii="Arial" w:hAnsi="Arial" w:cs="Arial"/>
          <w:sz w:val="21"/>
          <w:szCs w:val="21"/>
        </w:rPr>
      </w:pPr>
      <w:r w:rsidRPr="002F6297">
        <w:rPr>
          <w:rFonts w:ascii="Arial" w:hAnsi="Arial" w:cs="Arial"/>
          <w:sz w:val="21"/>
          <w:szCs w:val="21"/>
        </w:rPr>
        <w:t>Élaboration d’un plan d’action / feuille de route pour la finalisation et la mise à jour régulière de la cartographie (responsables, périodicité, outils</w:t>
      </w:r>
      <w:r w:rsidR="002F6297">
        <w:rPr>
          <w:rFonts w:ascii="Arial" w:hAnsi="Arial" w:cs="Arial"/>
          <w:sz w:val="21"/>
          <w:szCs w:val="21"/>
        </w:rPr>
        <w:t xml:space="preserve"> et </w:t>
      </w:r>
      <w:r w:rsidRPr="00CF4160">
        <w:rPr>
          <w:rFonts w:ascii="Arial" w:hAnsi="Arial" w:cs="Arial"/>
          <w:sz w:val="21"/>
          <w:szCs w:val="21"/>
        </w:rPr>
        <w:t>la mise en production, la maintenance et l’évolution des outils de communication.</w:t>
      </w:r>
    </w:p>
    <w:p w14:paraId="771F2442" w14:textId="061D36AF" w:rsidR="009B6151" w:rsidRPr="00CF4160" w:rsidRDefault="009B6151" w:rsidP="00B032C6">
      <w:pPr>
        <w:pStyle w:val="Paragraphedeliste"/>
        <w:numPr>
          <w:ilvl w:val="0"/>
          <w:numId w:val="9"/>
        </w:numPr>
        <w:spacing w:before="60" w:after="60"/>
        <w:ind w:left="714" w:hanging="357"/>
        <w:contextualSpacing w:val="0"/>
        <w:jc w:val="both"/>
        <w:rPr>
          <w:rFonts w:ascii="Arial" w:hAnsi="Arial" w:cs="Arial"/>
          <w:sz w:val="21"/>
          <w:szCs w:val="21"/>
        </w:rPr>
      </w:pPr>
      <w:r w:rsidRPr="00CF4160">
        <w:rPr>
          <w:rFonts w:ascii="Arial" w:hAnsi="Arial" w:cs="Arial"/>
          <w:sz w:val="21"/>
          <w:szCs w:val="21"/>
        </w:rPr>
        <w:t>Rédaction et présentation du rapport final de mission comportant les recommandations stratégiques et opérationnelles.</w:t>
      </w:r>
    </w:p>
    <w:p w14:paraId="425647DF" w14:textId="56DF98D7" w:rsidR="009B6151" w:rsidRPr="00CF4160" w:rsidRDefault="002F6297" w:rsidP="00F06942">
      <w:pPr>
        <w:pStyle w:val="Titre1"/>
      </w:pPr>
      <w:r>
        <w:lastRenderedPageBreak/>
        <w:t>8</w:t>
      </w:r>
      <w:r w:rsidR="009B6151" w:rsidRPr="00CF4160">
        <w:t>. Durée et lieu de la mission</w:t>
      </w:r>
    </w:p>
    <w:p w14:paraId="6421FCB8" w14:textId="656976D8" w:rsidR="009B6151" w:rsidRPr="00CF4160" w:rsidRDefault="002F6297" w:rsidP="00CF4160">
      <w:pPr>
        <w:jc w:val="both"/>
        <w:rPr>
          <w:rFonts w:ascii="Arial" w:hAnsi="Arial" w:cs="Arial"/>
          <w:sz w:val="21"/>
          <w:szCs w:val="21"/>
        </w:rPr>
      </w:pPr>
      <w:r>
        <w:rPr>
          <w:rFonts w:ascii="Arial" w:hAnsi="Arial" w:cs="Arial"/>
          <w:sz w:val="21"/>
          <w:szCs w:val="21"/>
        </w:rPr>
        <w:t>La d</w:t>
      </w:r>
      <w:r w:rsidR="009B6151" w:rsidRPr="00CF4160">
        <w:rPr>
          <w:rFonts w:ascii="Arial" w:hAnsi="Arial" w:cs="Arial"/>
          <w:sz w:val="21"/>
          <w:szCs w:val="21"/>
        </w:rPr>
        <w:t>urée totale : 25 jours ouvrables.</w:t>
      </w:r>
      <w:r>
        <w:rPr>
          <w:rFonts w:ascii="Arial" w:hAnsi="Arial" w:cs="Arial"/>
          <w:sz w:val="21"/>
          <w:szCs w:val="21"/>
        </w:rPr>
        <w:t xml:space="preserve"> </w:t>
      </w:r>
      <w:r w:rsidR="009B6151" w:rsidRPr="00CF4160">
        <w:rPr>
          <w:rFonts w:ascii="Arial" w:hAnsi="Arial" w:cs="Arial"/>
          <w:sz w:val="21"/>
          <w:szCs w:val="21"/>
        </w:rPr>
        <w:t xml:space="preserve">La répartition entre travail à distance et travail sur site (N’Djamena) sera précisée dans la note méthodologique et validée par </w:t>
      </w:r>
      <w:r>
        <w:rPr>
          <w:rFonts w:ascii="Arial" w:hAnsi="Arial" w:cs="Arial"/>
          <w:sz w:val="21"/>
          <w:szCs w:val="21"/>
        </w:rPr>
        <w:t>Expertise France</w:t>
      </w:r>
      <w:r w:rsidR="009B6151" w:rsidRPr="00CF4160">
        <w:rPr>
          <w:rFonts w:ascii="Arial" w:hAnsi="Arial" w:cs="Arial"/>
          <w:sz w:val="21"/>
          <w:szCs w:val="21"/>
        </w:rPr>
        <w:t>, en veillant à</w:t>
      </w:r>
      <w:r>
        <w:rPr>
          <w:rFonts w:ascii="Arial" w:hAnsi="Arial" w:cs="Arial"/>
          <w:sz w:val="21"/>
          <w:szCs w:val="21"/>
        </w:rPr>
        <w:t> :</w:t>
      </w:r>
      <w:r w:rsidR="009B6151" w:rsidRPr="00CF4160">
        <w:rPr>
          <w:rFonts w:ascii="Arial" w:hAnsi="Arial" w:cs="Arial"/>
          <w:sz w:val="21"/>
          <w:szCs w:val="21"/>
        </w:rPr>
        <w:t xml:space="preserve"> consacrer un temps suffisant sur site pour les consultations, le diagnostic participatif et la validation</w:t>
      </w:r>
      <w:r>
        <w:rPr>
          <w:rFonts w:ascii="Arial" w:hAnsi="Arial" w:cs="Arial"/>
          <w:sz w:val="21"/>
          <w:szCs w:val="21"/>
        </w:rPr>
        <w:t xml:space="preserve">, </w:t>
      </w:r>
      <w:r w:rsidR="009B6151" w:rsidRPr="00CF4160">
        <w:rPr>
          <w:rFonts w:ascii="Arial" w:hAnsi="Arial" w:cs="Arial"/>
          <w:sz w:val="21"/>
          <w:szCs w:val="21"/>
        </w:rPr>
        <w:t>utiliser à bon escient le travail à distance pour la revue documentaire, la rédaction et les échanges de suivi.</w:t>
      </w:r>
      <w:r>
        <w:rPr>
          <w:rFonts w:ascii="Arial" w:hAnsi="Arial" w:cs="Arial"/>
          <w:sz w:val="21"/>
          <w:szCs w:val="21"/>
        </w:rPr>
        <w:t xml:space="preserve"> Le l</w:t>
      </w:r>
      <w:r w:rsidR="009B6151" w:rsidRPr="00CF4160">
        <w:rPr>
          <w:rFonts w:ascii="Arial" w:hAnsi="Arial" w:cs="Arial"/>
          <w:sz w:val="21"/>
          <w:szCs w:val="21"/>
        </w:rPr>
        <w:t>ieu principal</w:t>
      </w:r>
      <w:r>
        <w:rPr>
          <w:rFonts w:ascii="Arial" w:hAnsi="Arial" w:cs="Arial"/>
          <w:sz w:val="21"/>
          <w:szCs w:val="21"/>
        </w:rPr>
        <w:t xml:space="preserve"> du déroulement de la mission est </w:t>
      </w:r>
      <w:r w:rsidR="009B6151" w:rsidRPr="00CF4160">
        <w:rPr>
          <w:rFonts w:ascii="Arial" w:hAnsi="Arial" w:cs="Arial"/>
          <w:sz w:val="21"/>
          <w:szCs w:val="21"/>
        </w:rPr>
        <w:t>N’Djamena, République du Tchad, au sein de l’INSAPT et des institutions partenaires.</w:t>
      </w:r>
    </w:p>
    <w:p w14:paraId="06E9190E" w14:textId="3984C68F" w:rsidR="009B6151" w:rsidRPr="00CF4160" w:rsidRDefault="009B6151" w:rsidP="00CF4160">
      <w:pPr>
        <w:jc w:val="both"/>
        <w:rPr>
          <w:rFonts w:ascii="Arial" w:hAnsi="Arial" w:cs="Arial"/>
          <w:sz w:val="21"/>
          <w:szCs w:val="21"/>
        </w:rPr>
      </w:pPr>
      <w:r w:rsidRPr="00CF4160">
        <w:rPr>
          <w:rFonts w:ascii="Arial" w:hAnsi="Arial" w:cs="Arial"/>
          <w:sz w:val="21"/>
          <w:szCs w:val="21"/>
        </w:rPr>
        <w:t>Des déplacements ponctuels dans une ou plusieurs provinces pourront être envisagés en fonction des besoins identifiés pour illustrer la cartographie ou consulter des acteurs périphériques, sous réserve de validation préalable par l’INSAPT et le projet.</w:t>
      </w:r>
    </w:p>
    <w:p w14:paraId="05612DFB" w14:textId="032042F9" w:rsidR="009B6151" w:rsidRPr="00CF4160" w:rsidRDefault="002F6297" w:rsidP="00F06942">
      <w:pPr>
        <w:pStyle w:val="Titre1"/>
      </w:pPr>
      <w:r>
        <w:t>9</w:t>
      </w:r>
      <w:r w:rsidR="009B6151" w:rsidRPr="00CF4160">
        <w:t>. Modalités de soumission des dossiers de candidatures</w:t>
      </w:r>
    </w:p>
    <w:p w14:paraId="7C90C40F" w14:textId="77777777" w:rsidR="009B6151" w:rsidRPr="00CF4160" w:rsidRDefault="009B6151" w:rsidP="00CF4160">
      <w:pPr>
        <w:jc w:val="both"/>
        <w:rPr>
          <w:rFonts w:ascii="Arial" w:hAnsi="Arial" w:cs="Arial"/>
          <w:sz w:val="21"/>
          <w:szCs w:val="21"/>
        </w:rPr>
      </w:pPr>
      <w:r w:rsidRPr="00CF4160">
        <w:rPr>
          <w:rFonts w:ascii="Arial" w:hAnsi="Arial" w:cs="Arial"/>
          <w:sz w:val="21"/>
          <w:szCs w:val="21"/>
        </w:rPr>
        <w:t>Les candidatures peuvent être soumises à titre individuel ou au nom d’un cabinet/organisation désignant un(e) expert(e) principal(e) répondant au profil requis.</w:t>
      </w:r>
    </w:p>
    <w:p w14:paraId="1B007B18" w14:textId="77777777" w:rsidR="009B6151" w:rsidRPr="00CF4160" w:rsidRDefault="009B6151" w:rsidP="00CF4160">
      <w:pPr>
        <w:jc w:val="both"/>
        <w:rPr>
          <w:rFonts w:ascii="Arial" w:hAnsi="Arial" w:cs="Arial"/>
          <w:sz w:val="21"/>
          <w:szCs w:val="21"/>
        </w:rPr>
      </w:pPr>
      <w:r w:rsidRPr="00CF4160">
        <w:rPr>
          <w:rFonts w:ascii="Arial" w:hAnsi="Arial" w:cs="Arial"/>
          <w:sz w:val="21"/>
          <w:szCs w:val="21"/>
        </w:rPr>
        <w:t>Le dossier de candidature comprendra obligatoirement :</w:t>
      </w:r>
    </w:p>
    <w:p w14:paraId="2F60545D" w14:textId="2FC00EDB" w:rsidR="009B6151" w:rsidRPr="00F06942" w:rsidRDefault="002F6297" w:rsidP="00F06942">
      <w:pPr>
        <w:spacing w:before="80" w:after="80"/>
        <w:jc w:val="both"/>
        <w:rPr>
          <w:rFonts w:ascii="Arial" w:hAnsi="Arial" w:cs="Arial"/>
          <w:b/>
          <w:bCs/>
          <w:sz w:val="21"/>
          <w:szCs w:val="21"/>
        </w:rPr>
      </w:pPr>
      <w:r w:rsidRPr="00F06942">
        <w:rPr>
          <w:rFonts w:ascii="Arial" w:hAnsi="Arial" w:cs="Arial"/>
          <w:b/>
          <w:bCs/>
          <w:sz w:val="21"/>
          <w:szCs w:val="21"/>
        </w:rPr>
        <w:t>9</w:t>
      </w:r>
      <w:r w:rsidR="009B6151" w:rsidRPr="00F06942">
        <w:rPr>
          <w:rFonts w:ascii="Arial" w:hAnsi="Arial" w:cs="Arial"/>
          <w:b/>
          <w:bCs/>
          <w:sz w:val="21"/>
          <w:szCs w:val="21"/>
        </w:rPr>
        <w:t>.1. Offre technique</w:t>
      </w:r>
    </w:p>
    <w:p w14:paraId="3906B5EB" w14:textId="55339314" w:rsidR="009B6151" w:rsidRPr="00CF4160" w:rsidRDefault="009B6151" w:rsidP="00F06942">
      <w:pPr>
        <w:pStyle w:val="Paragraphedeliste"/>
        <w:numPr>
          <w:ilvl w:val="0"/>
          <w:numId w:val="9"/>
        </w:numPr>
        <w:spacing w:before="60" w:after="60"/>
        <w:ind w:left="714" w:hanging="357"/>
        <w:contextualSpacing w:val="0"/>
        <w:jc w:val="both"/>
        <w:rPr>
          <w:rFonts w:ascii="Arial" w:hAnsi="Arial" w:cs="Arial"/>
          <w:sz w:val="21"/>
          <w:szCs w:val="21"/>
        </w:rPr>
      </w:pPr>
      <w:r w:rsidRPr="00CF4160">
        <w:rPr>
          <w:rFonts w:ascii="Arial" w:hAnsi="Arial" w:cs="Arial"/>
          <w:sz w:val="21"/>
          <w:szCs w:val="21"/>
        </w:rPr>
        <w:t>Lettre de motivation (2 pages max.) démontrant la compréhension des enjeux de la mission</w:t>
      </w:r>
      <w:r w:rsidR="002F6297">
        <w:rPr>
          <w:rFonts w:ascii="Arial" w:hAnsi="Arial" w:cs="Arial"/>
          <w:sz w:val="21"/>
          <w:szCs w:val="21"/>
        </w:rPr>
        <w:t xml:space="preserve"> et </w:t>
      </w:r>
      <w:r w:rsidRPr="00CF4160">
        <w:rPr>
          <w:rFonts w:ascii="Arial" w:hAnsi="Arial" w:cs="Arial"/>
          <w:sz w:val="21"/>
          <w:szCs w:val="21"/>
        </w:rPr>
        <w:t xml:space="preserve">   - justifiant l’adéquation du profil avec les présents TDR.</w:t>
      </w:r>
    </w:p>
    <w:p w14:paraId="5874D7A3" w14:textId="488F43DD" w:rsidR="009B6151" w:rsidRPr="00CF4160" w:rsidRDefault="002F6297" w:rsidP="00F06942">
      <w:pPr>
        <w:pStyle w:val="Paragraphedeliste"/>
        <w:numPr>
          <w:ilvl w:val="0"/>
          <w:numId w:val="9"/>
        </w:numPr>
        <w:spacing w:before="60" w:after="60"/>
        <w:ind w:left="714" w:hanging="357"/>
        <w:contextualSpacing w:val="0"/>
        <w:jc w:val="both"/>
        <w:rPr>
          <w:rFonts w:ascii="Arial" w:hAnsi="Arial" w:cs="Arial"/>
          <w:sz w:val="21"/>
          <w:szCs w:val="21"/>
        </w:rPr>
      </w:pPr>
      <w:r>
        <w:rPr>
          <w:rFonts w:ascii="Arial" w:hAnsi="Arial" w:cs="Arial"/>
          <w:sz w:val="21"/>
          <w:szCs w:val="21"/>
        </w:rPr>
        <w:t xml:space="preserve">La </w:t>
      </w:r>
      <w:r w:rsidR="009B6151" w:rsidRPr="00CF4160">
        <w:rPr>
          <w:rFonts w:ascii="Arial" w:hAnsi="Arial" w:cs="Arial"/>
          <w:sz w:val="21"/>
          <w:szCs w:val="21"/>
        </w:rPr>
        <w:t xml:space="preserve">Note méthodologique (8–10 pages max.) incluant </w:t>
      </w:r>
      <w:r>
        <w:rPr>
          <w:rFonts w:ascii="Arial" w:hAnsi="Arial" w:cs="Arial"/>
          <w:sz w:val="21"/>
          <w:szCs w:val="21"/>
        </w:rPr>
        <w:t xml:space="preserve">la </w:t>
      </w:r>
      <w:r w:rsidR="009B6151" w:rsidRPr="00CF4160">
        <w:rPr>
          <w:rFonts w:ascii="Arial" w:hAnsi="Arial" w:cs="Arial"/>
          <w:sz w:val="21"/>
          <w:szCs w:val="21"/>
        </w:rPr>
        <w:t>compréhension du contexte et des objectifs</w:t>
      </w:r>
      <w:r>
        <w:rPr>
          <w:rFonts w:ascii="Arial" w:hAnsi="Arial" w:cs="Arial"/>
          <w:sz w:val="21"/>
          <w:szCs w:val="21"/>
        </w:rPr>
        <w:t>, l’</w:t>
      </w:r>
      <w:r w:rsidR="009B6151" w:rsidRPr="00CF4160">
        <w:rPr>
          <w:rFonts w:ascii="Arial" w:hAnsi="Arial" w:cs="Arial"/>
          <w:sz w:val="21"/>
          <w:szCs w:val="21"/>
        </w:rPr>
        <w:t>approche proposée pour chaque étape de la mission (préparation, diagnostic, élaboration de la cartographie, conception des outils de communication, validation, renforcement de capacités)</w:t>
      </w:r>
      <w:r>
        <w:rPr>
          <w:rFonts w:ascii="Arial" w:hAnsi="Arial" w:cs="Arial"/>
          <w:sz w:val="21"/>
          <w:szCs w:val="21"/>
        </w:rPr>
        <w:t>, une p</w:t>
      </w:r>
      <w:r w:rsidR="009B6151" w:rsidRPr="00CF4160">
        <w:rPr>
          <w:rFonts w:ascii="Arial" w:hAnsi="Arial" w:cs="Arial"/>
          <w:sz w:val="21"/>
          <w:szCs w:val="21"/>
        </w:rPr>
        <w:t xml:space="preserve">roposition de calendrier détaillé des 25 jours (distinction présentielle/distancielle) </w:t>
      </w:r>
      <w:r>
        <w:rPr>
          <w:rFonts w:ascii="Arial" w:hAnsi="Arial" w:cs="Arial"/>
          <w:sz w:val="21"/>
          <w:szCs w:val="21"/>
        </w:rPr>
        <w:t xml:space="preserve">et un point ou un tableau </w:t>
      </w:r>
      <w:proofErr w:type="gramStart"/>
      <w:r>
        <w:rPr>
          <w:rFonts w:ascii="Arial" w:hAnsi="Arial" w:cs="Arial"/>
          <w:sz w:val="21"/>
          <w:szCs w:val="21"/>
        </w:rPr>
        <w:t>d’</w:t>
      </w:r>
      <w:r w:rsidR="009B6151" w:rsidRPr="00CF4160">
        <w:rPr>
          <w:rFonts w:ascii="Arial" w:hAnsi="Arial" w:cs="Arial"/>
          <w:sz w:val="21"/>
          <w:szCs w:val="21"/>
        </w:rPr>
        <w:t xml:space="preserve"> identification</w:t>
      </w:r>
      <w:proofErr w:type="gramEnd"/>
      <w:r w:rsidR="009B6151" w:rsidRPr="00CF4160">
        <w:rPr>
          <w:rFonts w:ascii="Arial" w:hAnsi="Arial" w:cs="Arial"/>
          <w:sz w:val="21"/>
          <w:szCs w:val="21"/>
        </w:rPr>
        <w:t xml:space="preserve"> des risques potentiels et mesures d’atténuation.</w:t>
      </w:r>
    </w:p>
    <w:p w14:paraId="227276C6" w14:textId="1E2750D3" w:rsidR="009B6151" w:rsidRPr="00CF4160" w:rsidRDefault="002F6297" w:rsidP="00F06942">
      <w:pPr>
        <w:pStyle w:val="Paragraphedeliste"/>
        <w:numPr>
          <w:ilvl w:val="0"/>
          <w:numId w:val="9"/>
        </w:numPr>
        <w:spacing w:before="60" w:after="60"/>
        <w:ind w:left="714" w:hanging="357"/>
        <w:contextualSpacing w:val="0"/>
        <w:jc w:val="both"/>
        <w:rPr>
          <w:rFonts w:ascii="Arial" w:hAnsi="Arial" w:cs="Arial"/>
          <w:sz w:val="21"/>
          <w:szCs w:val="21"/>
        </w:rPr>
      </w:pPr>
      <w:r>
        <w:rPr>
          <w:rFonts w:ascii="Arial" w:hAnsi="Arial" w:cs="Arial"/>
          <w:sz w:val="21"/>
          <w:szCs w:val="21"/>
        </w:rPr>
        <w:t xml:space="preserve">Le </w:t>
      </w:r>
      <w:r w:rsidR="009B6151" w:rsidRPr="00CF4160">
        <w:rPr>
          <w:rFonts w:ascii="Arial" w:hAnsi="Arial" w:cs="Arial"/>
          <w:sz w:val="21"/>
          <w:szCs w:val="21"/>
        </w:rPr>
        <w:t>Curriculum Vitae détaillé de l’expert(e) principal(e) (et, le cas échéant, des experts associés), mettant en évidence la formation académique</w:t>
      </w:r>
      <w:r>
        <w:rPr>
          <w:rFonts w:ascii="Arial" w:hAnsi="Arial" w:cs="Arial"/>
          <w:sz w:val="21"/>
          <w:szCs w:val="21"/>
        </w:rPr>
        <w:t xml:space="preserve">, </w:t>
      </w:r>
      <w:r w:rsidR="009B6151" w:rsidRPr="00CF4160">
        <w:rPr>
          <w:rFonts w:ascii="Arial" w:hAnsi="Arial" w:cs="Arial"/>
          <w:sz w:val="21"/>
          <w:szCs w:val="21"/>
        </w:rPr>
        <w:t xml:space="preserve">les expériences pertinentes en lien avec la cartographie d’acteurs, les systèmes d’information en santé, la gestion des urgences de santé publique, la communication institutionnelle, la santé numérique </w:t>
      </w:r>
      <w:r>
        <w:rPr>
          <w:rFonts w:ascii="Arial" w:hAnsi="Arial" w:cs="Arial"/>
          <w:sz w:val="21"/>
          <w:szCs w:val="21"/>
        </w:rPr>
        <w:t xml:space="preserve">et au moins </w:t>
      </w:r>
      <w:r w:rsidR="009B6151" w:rsidRPr="00CF4160">
        <w:rPr>
          <w:rFonts w:ascii="Arial" w:hAnsi="Arial" w:cs="Arial"/>
          <w:sz w:val="21"/>
          <w:szCs w:val="21"/>
        </w:rPr>
        <w:t>deux à trois missions similaires récentes</w:t>
      </w:r>
      <w:r>
        <w:rPr>
          <w:rFonts w:ascii="Arial" w:hAnsi="Arial" w:cs="Arial"/>
          <w:sz w:val="21"/>
          <w:szCs w:val="21"/>
        </w:rPr>
        <w:t xml:space="preserve"> suivis des r</w:t>
      </w:r>
      <w:r w:rsidR="009B6151" w:rsidRPr="00CF4160">
        <w:rPr>
          <w:rFonts w:ascii="Arial" w:hAnsi="Arial" w:cs="Arial"/>
          <w:sz w:val="21"/>
          <w:szCs w:val="21"/>
        </w:rPr>
        <w:t xml:space="preserve">éférences professionnelles </w:t>
      </w:r>
      <w:r>
        <w:rPr>
          <w:rFonts w:ascii="Arial" w:hAnsi="Arial" w:cs="Arial"/>
          <w:sz w:val="21"/>
          <w:szCs w:val="21"/>
        </w:rPr>
        <w:t xml:space="preserve">et, la </w:t>
      </w:r>
      <w:r w:rsidR="009B6151" w:rsidRPr="00CF4160">
        <w:rPr>
          <w:rFonts w:ascii="Arial" w:hAnsi="Arial" w:cs="Arial"/>
          <w:sz w:val="21"/>
          <w:szCs w:val="21"/>
        </w:rPr>
        <w:t>liste de missions ou projets similaires (titre, bailleur, année, rôle).</w:t>
      </w:r>
    </w:p>
    <w:p w14:paraId="3C09D87D" w14:textId="5804584D" w:rsidR="00F06942" w:rsidRPr="004766A9" w:rsidRDefault="002F6297" w:rsidP="004766A9">
      <w:pPr>
        <w:pStyle w:val="Paragraphedeliste"/>
        <w:numPr>
          <w:ilvl w:val="0"/>
          <w:numId w:val="9"/>
        </w:numPr>
        <w:spacing w:before="60" w:after="60"/>
        <w:ind w:left="714" w:hanging="357"/>
        <w:contextualSpacing w:val="0"/>
        <w:jc w:val="both"/>
        <w:rPr>
          <w:rFonts w:ascii="Arial" w:hAnsi="Arial" w:cs="Arial"/>
          <w:sz w:val="21"/>
          <w:szCs w:val="21"/>
        </w:rPr>
      </w:pPr>
      <w:r>
        <w:rPr>
          <w:rFonts w:ascii="Arial" w:hAnsi="Arial" w:cs="Arial"/>
          <w:sz w:val="21"/>
          <w:szCs w:val="21"/>
        </w:rPr>
        <w:t xml:space="preserve">Un ou deux </w:t>
      </w:r>
      <w:proofErr w:type="spellStart"/>
      <w:r>
        <w:rPr>
          <w:rFonts w:ascii="Arial" w:hAnsi="Arial" w:cs="Arial"/>
          <w:sz w:val="21"/>
          <w:szCs w:val="21"/>
        </w:rPr>
        <w:t>x</w:t>
      </w:r>
      <w:r w:rsidR="009B6151" w:rsidRPr="00CF4160">
        <w:rPr>
          <w:rFonts w:ascii="Arial" w:hAnsi="Arial" w:cs="Arial"/>
          <w:sz w:val="21"/>
          <w:szCs w:val="21"/>
        </w:rPr>
        <w:t>xemples</w:t>
      </w:r>
      <w:proofErr w:type="spellEnd"/>
      <w:r w:rsidR="009B6151" w:rsidRPr="00CF4160">
        <w:rPr>
          <w:rFonts w:ascii="Arial" w:hAnsi="Arial" w:cs="Arial"/>
          <w:sz w:val="21"/>
          <w:szCs w:val="21"/>
        </w:rPr>
        <w:t xml:space="preserve"> de travaux antérieurs (ou liens) pertinents : rapport de mission, cadre méthodologique, spécifications fonctionnelles, etc. (ou extraits, si confidentiel).</w:t>
      </w:r>
    </w:p>
    <w:p w14:paraId="05746F99" w14:textId="0CE9E352" w:rsidR="009B6151" w:rsidRPr="00F06942" w:rsidRDefault="002F6297" w:rsidP="00F06942">
      <w:pPr>
        <w:spacing w:before="80" w:after="80"/>
        <w:jc w:val="both"/>
        <w:rPr>
          <w:rFonts w:ascii="Arial" w:hAnsi="Arial" w:cs="Arial"/>
          <w:b/>
          <w:bCs/>
          <w:sz w:val="21"/>
          <w:szCs w:val="21"/>
        </w:rPr>
      </w:pPr>
      <w:r w:rsidRPr="00F06942">
        <w:rPr>
          <w:rFonts w:ascii="Arial" w:hAnsi="Arial" w:cs="Arial"/>
          <w:b/>
          <w:bCs/>
          <w:sz w:val="21"/>
          <w:szCs w:val="21"/>
        </w:rPr>
        <w:t>9</w:t>
      </w:r>
      <w:r w:rsidR="009B6151" w:rsidRPr="00F06942">
        <w:rPr>
          <w:rFonts w:ascii="Arial" w:hAnsi="Arial" w:cs="Arial"/>
          <w:b/>
          <w:bCs/>
          <w:sz w:val="21"/>
          <w:szCs w:val="21"/>
        </w:rPr>
        <w:t>.2. Offre financière</w:t>
      </w:r>
    </w:p>
    <w:p w14:paraId="263B8CF7" w14:textId="23714330" w:rsidR="009B6151" w:rsidRPr="00F06942" w:rsidRDefault="009B6151" w:rsidP="00F06942">
      <w:pPr>
        <w:pStyle w:val="Paragraphedeliste"/>
        <w:numPr>
          <w:ilvl w:val="0"/>
          <w:numId w:val="9"/>
        </w:numPr>
        <w:spacing w:before="60" w:after="60"/>
        <w:ind w:left="714" w:hanging="357"/>
        <w:contextualSpacing w:val="0"/>
        <w:jc w:val="both"/>
        <w:rPr>
          <w:rFonts w:ascii="Arial" w:hAnsi="Arial" w:cs="Arial"/>
          <w:sz w:val="21"/>
          <w:szCs w:val="21"/>
        </w:rPr>
      </w:pPr>
      <w:r w:rsidRPr="00CF4160">
        <w:rPr>
          <w:rFonts w:ascii="Arial" w:hAnsi="Arial" w:cs="Arial"/>
          <w:sz w:val="21"/>
          <w:szCs w:val="21"/>
        </w:rPr>
        <w:t>Une proposition financière détaillée, en euros (EUR) ou en francs CFA (XAF), comprenant le</w:t>
      </w:r>
      <w:r w:rsidR="002F6297">
        <w:rPr>
          <w:rFonts w:ascii="Arial" w:hAnsi="Arial" w:cs="Arial"/>
          <w:sz w:val="21"/>
          <w:szCs w:val="21"/>
        </w:rPr>
        <w:t>s</w:t>
      </w:r>
      <w:r w:rsidRPr="00CF4160">
        <w:rPr>
          <w:rFonts w:ascii="Arial" w:hAnsi="Arial" w:cs="Arial"/>
          <w:sz w:val="21"/>
          <w:szCs w:val="21"/>
        </w:rPr>
        <w:t xml:space="preserve"> honoraire</w:t>
      </w:r>
      <w:r w:rsidR="002F6297">
        <w:rPr>
          <w:rFonts w:ascii="Arial" w:hAnsi="Arial" w:cs="Arial"/>
          <w:sz w:val="21"/>
          <w:szCs w:val="21"/>
        </w:rPr>
        <w:t>s</w:t>
      </w:r>
      <w:r w:rsidRPr="00CF4160">
        <w:rPr>
          <w:rFonts w:ascii="Arial" w:hAnsi="Arial" w:cs="Arial"/>
          <w:sz w:val="21"/>
          <w:szCs w:val="21"/>
        </w:rPr>
        <w:t xml:space="preserve"> journalier</w:t>
      </w:r>
      <w:r w:rsidR="002F6297">
        <w:rPr>
          <w:rFonts w:ascii="Arial" w:hAnsi="Arial" w:cs="Arial"/>
          <w:sz w:val="21"/>
          <w:szCs w:val="21"/>
        </w:rPr>
        <w:t>s</w:t>
      </w:r>
      <w:r w:rsidRPr="00CF4160">
        <w:rPr>
          <w:rFonts w:ascii="Arial" w:hAnsi="Arial" w:cs="Arial"/>
          <w:sz w:val="21"/>
          <w:szCs w:val="21"/>
        </w:rPr>
        <w:t xml:space="preserve"> proposé pour l’expert(e) principal(e)</w:t>
      </w:r>
      <w:r w:rsidR="002F6297">
        <w:rPr>
          <w:rFonts w:ascii="Arial" w:hAnsi="Arial" w:cs="Arial"/>
          <w:sz w:val="21"/>
          <w:szCs w:val="21"/>
        </w:rPr>
        <w:t xml:space="preserve">, </w:t>
      </w:r>
      <w:r w:rsidRPr="00F06942">
        <w:rPr>
          <w:rFonts w:ascii="Arial" w:hAnsi="Arial" w:cs="Arial"/>
          <w:sz w:val="21"/>
          <w:szCs w:val="21"/>
        </w:rPr>
        <w:t>le coût total pour 25 jours d’expertise ;</w:t>
      </w:r>
    </w:p>
    <w:p w14:paraId="1879B6B7" w14:textId="68AD5AEA" w:rsidR="009B6151" w:rsidRPr="00F06942" w:rsidRDefault="002F6297" w:rsidP="00F06942">
      <w:pPr>
        <w:pStyle w:val="Paragraphedeliste"/>
        <w:numPr>
          <w:ilvl w:val="0"/>
          <w:numId w:val="9"/>
        </w:numPr>
        <w:spacing w:before="60" w:after="60"/>
        <w:ind w:left="714" w:hanging="357"/>
        <w:contextualSpacing w:val="0"/>
        <w:jc w:val="both"/>
        <w:rPr>
          <w:rFonts w:ascii="Arial" w:hAnsi="Arial" w:cs="Arial"/>
          <w:sz w:val="21"/>
          <w:szCs w:val="21"/>
        </w:rPr>
      </w:pPr>
      <w:r w:rsidRPr="00F06942">
        <w:rPr>
          <w:rFonts w:ascii="Arial" w:hAnsi="Arial" w:cs="Arial"/>
          <w:sz w:val="21"/>
          <w:szCs w:val="21"/>
        </w:rPr>
        <w:t>Une</w:t>
      </w:r>
      <w:r w:rsidR="009B6151" w:rsidRPr="00F06942">
        <w:rPr>
          <w:rFonts w:ascii="Arial" w:hAnsi="Arial" w:cs="Arial"/>
          <w:sz w:val="21"/>
          <w:szCs w:val="21"/>
        </w:rPr>
        <w:t xml:space="preserve"> estimation séparée des coûts éventuels liés aux déplacements (billets d’avion, per diem, transport local)</w:t>
      </w:r>
      <w:r w:rsidRPr="00F06942">
        <w:rPr>
          <w:rFonts w:ascii="Arial" w:hAnsi="Arial" w:cs="Arial"/>
          <w:sz w:val="21"/>
          <w:szCs w:val="21"/>
        </w:rPr>
        <w:t xml:space="preserve">, </w:t>
      </w:r>
      <w:r w:rsidR="009B6151" w:rsidRPr="00F06942">
        <w:rPr>
          <w:rFonts w:ascii="Arial" w:hAnsi="Arial" w:cs="Arial"/>
          <w:sz w:val="21"/>
          <w:szCs w:val="21"/>
        </w:rPr>
        <w:t>aux communications (visioconférences, télécommunications)</w:t>
      </w:r>
      <w:r w:rsidRPr="00F06942">
        <w:rPr>
          <w:rFonts w:ascii="Arial" w:hAnsi="Arial" w:cs="Arial"/>
          <w:sz w:val="21"/>
          <w:szCs w:val="21"/>
        </w:rPr>
        <w:t xml:space="preserve">, </w:t>
      </w:r>
      <w:r w:rsidR="009B6151" w:rsidRPr="00F06942">
        <w:rPr>
          <w:rFonts w:ascii="Arial" w:hAnsi="Arial" w:cs="Arial"/>
          <w:sz w:val="21"/>
          <w:szCs w:val="21"/>
        </w:rPr>
        <w:t>à tout autre frais nécessaire à la réalisation de la mission (à justifier).</w:t>
      </w:r>
    </w:p>
    <w:p w14:paraId="33387774" w14:textId="44D2C3C3" w:rsidR="009B6151" w:rsidRPr="00F06942" w:rsidRDefault="009B6151" w:rsidP="00F06942">
      <w:pPr>
        <w:pStyle w:val="Paragraphedeliste"/>
        <w:numPr>
          <w:ilvl w:val="0"/>
          <w:numId w:val="9"/>
        </w:numPr>
        <w:spacing w:before="60" w:after="60"/>
        <w:ind w:left="714" w:hanging="357"/>
        <w:contextualSpacing w:val="0"/>
        <w:jc w:val="both"/>
        <w:rPr>
          <w:rFonts w:ascii="Arial" w:hAnsi="Arial" w:cs="Arial"/>
          <w:sz w:val="21"/>
          <w:szCs w:val="21"/>
        </w:rPr>
      </w:pPr>
      <w:r w:rsidRPr="00F06942">
        <w:rPr>
          <w:rFonts w:ascii="Arial" w:hAnsi="Arial" w:cs="Arial"/>
          <w:sz w:val="21"/>
          <w:szCs w:val="21"/>
        </w:rPr>
        <w:t>Les offres financières devront être cohérentes avec les standards internationaux pour ce type de mission et devront respecter la réglementation fiscale en vigueur applicable au/à la consultant(e).</w:t>
      </w:r>
    </w:p>
    <w:p w14:paraId="1E0CDBCE" w14:textId="1332DA08" w:rsidR="009B6151" w:rsidRPr="00F06942" w:rsidRDefault="009B6151" w:rsidP="00F06942">
      <w:pPr>
        <w:pStyle w:val="Paragraphedeliste"/>
        <w:numPr>
          <w:ilvl w:val="0"/>
          <w:numId w:val="9"/>
        </w:numPr>
        <w:spacing w:before="60" w:after="60"/>
        <w:ind w:left="714" w:hanging="357"/>
        <w:contextualSpacing w:val="0"/>
        <w:jc w:val="both"/>
        <w:rPr>
          <w:rFonts w:ascii="Arial" w:hAnsi="Arial" w:cs="Arial"/>
          <w:sz w:val="21"/>
          <w:szCs w:val="21"/>
        </w:rPr>
      </w:pPr>
      <w:r w:rsidRPr="00F06942">
        <w:rPr>
          <w:rFonts w:ascii="Arial" w:hAnsi="Arial" w:cs="Arial"/>
          <w:sz w:val="21"/>
          <w:szCs w:val="21"/>
        </w:rPr>
        <w:lastRenderedPageBreak/>
        <w:t>Les offres technique et financière doivent être transmises simultanément, dans deux fichiers séparés, par voie électronique à l’adresse qui sera indiquée par l’INSAPT / l’unité de gestion du projet (à préciser dans l’appel).</w:t>
      </w:r>
    </w:p>
    <w:p w14:paraId="5B33B61A" w14:textId="315F9D4D" w:rsidR="009B6151" w:rsidRPr="00CF4160" w:rsidRDefault="002F6297" w:rsidP="00F06942">
      <w:pPr>
        <w:pStyle w:val="Titre1"/>
        <w:rPr>
          <w:lang w:val="en-CA"/>
        </w:rPr>
      </w:pPr>
      <w:r>
        <w:rPr>
          <w:lang w:val="en-CA"/>
        </w:rPr>
        <w:t>10</w:t>
      </w:r>
      <w:r w:rsidR="009B6151" w:rsidRPr="00CF4160">
        <w:rPr>
          <w:lang w:val="en-CA"/>
        </w:rPr>
        <w:t xml:space="preserve">. </w:t>
      </w:r>
      <w:proofErr w:type="spellStart"/>
      <w:r w:rsidR="009B6151" w:rsidRPr="00CF4160">
        <w:rPr>
          <w:lang w:val="en-CA"/>
        </w:rPr>
        <w:t>Délai</w:t>
      </w:r>
      <w:proofErr w:type="spellEnd"/>
      <w:r w:rsidR="009B6151" w:rsidRPr="00CF4160">
        <w:rPr>
          <w:lang w:val="en-CA"/>
        </w:rPr>
        <w:t xml:space="preserve"> de </w:t>
      </w:r>
      <w:proofErr w:type="spellStart"/>
      <w:r w:rsidR="009B6151" w:rsidRPr="00CF4160">
        <w:rPr>
          <w:lang w:val="en-CA"/>
        </w:rPr>
        <w:t>soumission</w:t>
      </w:r>
      <w:proofErr w:type="spellEnd"/>
    </w:p>
    <w:p w14:paraId="1FD299BC" w14:textId="3DD31FB5" w:rsidR="009B6151" w:rsidRPr="00CF4160" w:rsidRDefault="009B6151" w:rsidP="002F6297">
      <w:pPr>
        <w:jc w:val="both"/>
        <w:rPr>
          <w:rFonts w:ascii="Arial" w:hAnsi="Arial" w:cs="Arial"/>
          <w:sz w:val="21"/>
          <w:szCs w:val="21"/>
          <w:lang w:val="en-CA"/>
        </w:rPr>
      </w:pPr>
      <w:r w:rsidRPr="00CF4160">
        <w:rPr>
          <w:rFonts w:ascii="Arial" w:hAnsi="Arial" w:cs="Arial"/>
          <w:sz w:val="21"/>
          <w:szCs w:val="21"/>
          <w:lang w:val="en-CA"/>
        </w:rPr>
        <w:t xml:space="preserve">La date </w:t>
      </w:r>
      <w:proofErr w:type="spellStart"/>
      <w:r w:rsidRPr="00CF4160">
        <w:rPr>
          <w:rFonts w:ascii="Arial" w:hAnsi="Arial" w:cs="Arial"/>
          <w:sz w:val="21"/>
          <w:szCs w:val="21"/>
          <w:lang w:val="en-CA"/>
        </w:rPr>
        <w:t>limite</w:t>
      </w:r>
      <w:proofErr w:type="spellEnd"/>
      <w:r w:rsidRPr="00CF4160">
        <w:rPr>
          <w:rFonts w:ascii="Arial" w:hAnsi="Arial" w:cs="Arial"/>
          <w:sz w:val="21"/>
          <w:szCs w:val="21"/>
          <w:lang w:val="en-CA"/>
        </w:rPr>
        <w:t xml:space="preserve"> de </w:t>
      </w:r>
      <w:proofErr w:type="spellStart"/>
      <w:r w:rsidRPr="00CF4160">
        <w:rPr>
          <w:rFonts w:ascii="Arial" w:hAnsi="Arial" w:cs="Arial"/>
          <w:sz w:val="21"/>
          <w:szCs w:val="21"/>
          <w:lang w:val="en-CA"/>
        </w:rPr>
        <w:t>réception</w:t>
      </w:r>
      <w:proofErr w:type="spellEnd"/>
      <w:r w:rsidRPr="00CF4160">
        <w:rPr>
          <w:rFonts w:ascii="Arial" w:hAnsi="Arial" w:cs="Arial"/>
          <w:sz w:val="21"/>
          <w:szCs w:val="21"/>
          <w:lang w:val="en-CA"/>
        </w:rPr>
        <w:t xml:space="preserve"> des </w:t>
      </w:r>
      <w:proofErr w:type="spellStart"/>
      <w:r w:rsidRPr="00CF4160">
        <w:rPr>
          <w:rFonts w:ascii="Arial" w:hAnsi="Arial" w:cs="Arial"/>
          <w:sz w:val="21"/>
          <w:szCs w:val="21"/>
          <w:lang w:val="en-CA"/>
        </w:rPr>
        <w:t>offres</w:t>
      </w:r>
      <w:proofErr w:type="spellEnd"/>
      <w:r w:rsidRPr="00CF4160">
        <w:rPr>
          <w:rFonts w:ascii="Arial" w:hAnsi="Arial" w:cs="Arial"/>
          <w:sz w:val="21"/>
          <w:szCs w:val="21"/>
          <w:lang w:val="en-CA"/>
        </w:rPr>
        <w:t xml:space="preserve"> </w:t>
      </w:r>
      <w:proofErr w:type="spellStart"/>
      <w:r w:rsidR="005B6681">
        <w:rPr>
          <w:rFonts w:ascii="Arial" w:hAnsi="Arial" w:cs="Arial"/>
          <w:sz w:val="21"/>
          <w:szCs w:val="21"/>
          <w:lang w:val="en-CA"/>
        </w:rPr>
        <w:t>est</w:t>
      </w:r>
      <w:proofErr w:type="spellEnd"/>
      <w:r w:rsidRPr="00CF4160">
        <w:rPr>
          <w:rFonts w:ascii="Arial" w:hAnsi="Arial" w:cs="Arial"/>
          <w:sz w:val="21"/>
          <w:szCs w:val="21"/>
          <w:lang w:val="en-CA"/>
        </w:rPr>
        <w:t xml:space="preserve"> </w:t>
      </w:r>
      <w:proofErr w:type="spellStart"/>
      <w:r w:rsidRPr="00CF4160">
        <w:rPr>
          <w:rFonts w:ascii="Arial" w:hAnsi="Arial" w:cs="Arial"/>
          <w:sz w:val="21"/>
          <w:szCs w:val="21"/>
          <w:lang w:val="en-CA"/>
        </w:rPr>
        <w:t>fixée</w:t>
      </w:r>
      <w:proofErr w:type="spellEnd"/>
      <w:r w:rsidRPr="00CF4160">
        <w:rPr>
          <w:rFonts w:ascii="Arial" w:hAnsi="Arial" w:cs="Arial"/>
          <w:sz w:val="21"/>
          <w:szCs w:val="21"/>
          <w:lang w:val="en-CA"/>
        </w:rPr>
        <w:t xml:space="preserve"> </w:t>
      </w:r>
      <w:r w:rsidR="005B6681">
        <w:rPr>
          <w:rFonts w:ascii="Arial" w:hAnsi="Arial" w:cs="Arial"/>
          <w:sz w:val="21"/>
          <w:szCs w:val="21"/>
          <w:lang w:val="en-CA"/>
        </w:rPr>
        <w:t xml:space="preserve">au </w:t>
      </w:r>
      <w:proofErr w:type="spellStart"/>
      <w:r w:rsidR="00E36952">
        <w:rPr>
          <w:rFonts w:ascii="Arial" w:hAnsi="Arial" w:cs="Arial"/>
          <w:sz w:val="21"/>
          <w:szCs w:val="21"/>
          <w:lang w:val="en-CA"/>
        </w:rPr>
        <w:t>jeudi</w:t>
      </w:r>
      <w:proofErr w:type="spellEnd"/>
      <w:r w:rsidR="00E36952">
        <w:rPr>
          <w:rFonts w:ascii="Arial" w:hAnsi="Arial" w:cs="Arial"/>
          <w:sz w:val="21"/>
          <w:szCs w:val="21"/>
          <w:lang w:val="en-CA"/>
        </w:rPr>
        <w:t xml:space="preserve"> 04 </w:t>
      </w:r>
      <w:proofErr w:type="spellStart"/>
      <w:r w:rsidR="00E36952">
        <w:rPr>
          <w:rFonts w:ascii="Arial" w:hAnsi="Arial" w:cs="Arial"/>
          <w:sz w:val="21"/>
          <w:szCs w:val="21"/>
          <w:lang w:val="en-CA"/>
        </w:rPr>
        <w:t>juin</w:t>
      </w:r>
      <w:proofErr w:type="spellEnd"/>
      <w:r w:rsidR="005B6681" w:rsidRPr="005B6681">
        <w:rPr>
          <w:rFonts w:ascii="Arial" w:hAnsi="Arial" w:cs="Arial"/>
          <w:sz w:val="21"/>
          <w:szCs w:val="21"/>
          <w:lang w:val="en-CA"/>
        </w:rPr>
        <w:t xml:space="preserve"> à 17h 00 </w:t>
      </w:r>
      <w:r w:rsidRPr="005B6681">
        <w:rPr>
          <w:rFonts w:ascii="Arial" w:hAnsi="Arial" w:cs="Arial"/>
          <w:sz w:val="21"/>
          <w:szCs w:val="21"/>
          <w:lang w:val="en-CA"/>
        </w:rPr>
        <w:t>de N’Djamena.</w:t>
      </w:r>
      <w:r w:rsidR="002F6297" w:rsidRPr="005B6681">
        <w:rPr>
          <w:rFonts w:ascii="Arial" w:hAnsi="Arial" w:cs="Arial"/>
          <w:sz w:val="21"/>
          <w:szCs w:val="21"/>
          <w:lang w:val="en-CA"/>
        </w:rPr>
        <w:t xml:space="preserve"> </w:t>
      </w:r>
      <w:proofErr w:type="spellStart"/>
      <w:r w:rsidRPr="005B6681">
        <w:rPr>
          <w:rFonts w:ascii="Arial" w:hAnsi="Arial" w:cs="Arial"/>
          <w:sz w:val="21"/>
          <w:szCs w:val="21"/>
          <w:lang w:val="en-CA"/>
        </w:rPr>
        <w:t>Toute</w:t>
      </w:r>
      <w:proofErr w:type="spellEnd"/>
      <w:r w:rsidRPr="00CF4160">
        <w:rPr>
          <w:rFonts w:ascii="Arial" w:hAnsi="Arial" w:cs="Arial"/>
          <w:sz w:val="21"/>
          <w:szCs w:val="21"/>
          <w:lang w:val="en-CA"/>
        </w:rPr>
        <w:t xml:space="preserve"> </w:t>
      </w:r>
      <w:proofErr w:type="spellStart"/>
      <w:r w:rsidRPr="00CF4160">
        <w:rPr>
          <w:rFonts w:ascii="Arial" w:hAnsi="Arial" w:cs="Arial"/>
          <w:sz w:val="21"/>
          <w:szCs w:val="21"/>
          <w:lang w:val="en-CA"/>
        </w:rPr>
        <w:t>offre</w:t>
      </w:r>
      <w:proofErr w:type="spellEnd"/>
      <w:r w:rsidRPr="00CF4160">
        <w:rPr>
          <w:rFonts w:ascii="Arial" w:hAnsi="Arial" w:cs="Arial"/>
          <w:sz w:val="21"/>
          <w:szCs w:val="21"/>
          <w:lang w:val="en-CA"/>
        </w:rPr>
        <w:t xml:space="preserve"> </w:t>
      </w:r>
      <w:proofErr w:type="spellStart"/>
      <w:r w:rsidRPr="00CF4160">
        <w:rPr>
          <w:rFonts w:ascii="Arial" w:hAnsi="Arial" w:cs="Arial"/>
          <w:sz w:val="21"/>
          <w:szCs w:val="21"/>
          <w:lang w:val="en-CA"/>
        </w:rPr>
        <w:t>reçue</w:t>
      </w:r>
      <w:proofErr w:type="spellEnd"/>
      <w:r w:rsidRPr="00CF4160">
        <w:rPr>
          <w:rFonts w:ascii="Arial" w:hAnsi="Arial" w:cs="Arial"/>
          <w:sz w:val="21"/>
          <w:szCs w:val="21"/>
          <w:lang w:val="en-CA"/>
        </w:rPr>
        <w:t xml:space="preserve"> après </w:t>
      </w:r>
      <w:proofErr w:type="spellStart"/>
      <w:r w:rsidRPr="00CF4160">
        <w:rPr>
          <w:rFonts w:ascii="Arial" w:hAnsi="Arial" w:cs="Arial"/>
          <w:sz w:val="21"/>
          <w:szCs w:val="21"/>
          <w:lang w:val="en-CA"/>
        </w:rPr>
        <w:t>ce</w:t>
      </w:r>
      <w:proofErr w:type="spellEnd"/>
      <w:r w:rsidRPr="00CF4160">
        <w:rPr>
          <w:rFonts w:ascii="Arial" w:hAnsi="Arial" w:cs="Arial"/>
          <w:sz w:val="21"/>
          <w:szCs w:val="21"/>
          <w:lang w:val="en-CA"/>
        </w:rPr>
        <w:t xml:space="preserve"> </w:t>
      </w:r>
      <w:proofErr w:type="spellStart"/>
      <w:r w:rsidRPr="00CF4160">
        <w:rPr>
          <w:rFonts w:ascii="Arial" w:hAnsi="Arial" w:cs="Arial"/>
          <w:sz w:val="21"/>
          <w:szCs w:val="21"/>
          <w:lang w:val="en-CA"/>
        </w:rPr>
        <w:t>délai</w:t>
      </w:r>
      <w:proofErr w:type="spellEnd"/>
      <w:r w:rsidRPr="00CF4160">
        <w:rPr>
          <w:rFonts w:ascii="Arial" w:hAnsi="Arial" w:cs="Arial"/>
          <w:sz w:val="21"/>
          <w:szCs w:val="21"/>
          <w:lang w:val="en-CA"/>
        </w:rPr>
        <w:t xml:space="preserve"> ne sera pas prise </w:t>
      </w:r>
      <w:proofErr w:type="spellStart"/>
      <w:r w:rsidRPr="00CF4160">
        <w:rPr>
          <w:rFonts w:ascii="Arial" w:hAnsi="Arial" w:cs="Arial"/>
          <w:sz w:val="21"/>
          <w:szCs w:val="21"/>
          <w:lang w:val="en-CA"/>
        </w:rPr>
        <w:t>en</w:t>
      </w:r>
      <w:proofErr w:type="spellEnd"/>
      <w:r w:rsidRPr="00CF4160">
        <w:rPr>
          <w:rFonts w:ascii="Arial" w:hAnsi="Arial" w:cs="Arial"/>
          <w:sz w:val="21"/>
          <w:szCs w:val="21"/>
          <w:lang w:val="en-CA"/>
        </w:rPr>
        <w:t xml:space="preserve"> </w:t>
      </w:r>
      <w:proofErr w:type="spellStart"/>
      <w:r w:rsidRPr="00CF4160">
        <w:rPr>
          <w:rFonts w:ascii="Arial" w:hAnsi="Arial" w:cs="Arial"/>
          <w:sz w:val="21"/>
          <w:szCs w:val="21"/>
          <w:lang w:val="en-CA"/>
        </w:rPr>
        <w:t>considération</w:t>
      </w:r>
      <w:proofErr w:type="spellEnd"/>
      <w:r w:rsidRPr="00CF4160">
        <w:rPr>
          <w:rFonts w:ascii="Arial" w:hAnsi="Arial" w:cs="Arial"/>
          <w:sz w:val="21"/>
          <w:szCs w:val="21"/>
          <w:lang w:val="en-CA"/>
        </w:rPr>
        <w:t>.</w:t>
      </w:r>
      <w:r w:rsidR="002F6297">
        <w:rPr>
          <w:rFonts w:ascii="Arial" w:hAnsi="Arial" w:cs="Arial"/>
          <w:sz w:val="21"/>
          <w:szCs w:val="21"/>
          <w:lang w:val="en-CA"/>
        </w:rPr>
        <w:t xml:space="preserve"> </w:t>
      </w:r>
      <w:r w:rsidRPr="00CF4160">
        <w:rPr>
          <w:rFonts w:ascii="Arial" w:hAnsi="Arial" w:cs="Arial"/>
          <w:sz w:val="21"/>
          <w:szCs w:val="21"/>
          <w:lang w:val="en-CA"/>
        </w:rPr>
        <w:t xml:space="preserve">Les </w:t>
      </w:r>
      <w:proofErr w:type="spellStart"/>
      <w:r w:rsidRPr="00CF4160">
        <w:rPr>
          <w:rFonts w:ascii="Arial" w:hAnsi="Arial" w:cs="Arial"/>
          <w:sz w:val="21"/>
          <w:szCs w:val="21"/>
          <w:lang w:val="en-CA"/>
        </w:rPr>
        <w:t>candidats</w:t>
      </w:r>
      <w:proofErr w:type="spellEnd"/>
      <w:r w:rsidRPr="00CF4160">
        <w:rPr>
          <w:rFonts w:ascii="Arial" w:hAnsi="Arial" w:cs="Arial"/>
          <w:sz w:val="21"/>
          <w:szCs w:val="21"/>
          <w:lang w:val="en-CA"/>
        </w:rPr>
        <w:t xml:space="preserve"> </w:t>
      </w:r>
      <w:proofErr w:type="spellStart"/>
      <w:r w:rsidRPr="00CF4160">
        <w:rPr>
          <w:rFonts w:ascii="Arial" w:hAnsi="Arial" w:cs="Arial"/>
          <w:sz w:val="21"/>
          <w:szCs w:val="21"/>
          <w:lang w:val="en-CA"/>
        </w:rPr>
        <w:t>intéressés</w:t>
      </w:r>
      <w:proofErr w:type="spellEnd"/>
      <w:r w:rsidRPr="00CF4160">
        <w:rPr>
          <w:rFonts w:ascii="Arial" w:hAnsi="Arial" w:cs="Arial"/>
          <w:sz w:val="21"/>
          <w:szCs w:val="21"/>
          <w:lang w:val="en-CA"/>
        </w:rPr>
        <w:t xml:space="preserve"> </w:t>
      </w:r>
      <w:proofErr w:type="spellStart"/>
      <w:r w:rsidRPr="00CF4160">
        <w:rPr>
          <w:rFonts w:ascii="Arial" w:hAnsi="Arial" w:cs="Arial"/>
          <w:sz w:val="21"/>
          <w:szCs w:val="21"/>
          <w:lang w:val="en-CA"/>
        </w:rPr>
        <w:t>sont</w:t>
      </w:r>
      <w:proofErr w:type="spellEnd"/>
      <w:r w:rsidRPr="00CF4160">
        <w:rPr>
          <w:rFonts w:ascii="Arial" w:hAnsi="Arial" w:cs="Arial"/>
          <w:sz w:val="21"/>
          <w:szCs w:val="21"/>
          <w:lang w:val="en-CA"/>
        </w:rPr>
        <w:t xml:space="preserve"> </w:t>
      </w:r>
      <w:proofErr w:type="spellStart"/>
      <w:r w:rsidRPr="00CF4160">
        <w:rPr>
          <w:rFonts w:ascii="Arial" w:hAnsi="Arial" w:cs="Arial"/>
          <w:sz w:val="21"/>
          <w:szCs w:val="21"/>
          <w:lang w:val="en-CA"/>
        </w:rPr>
        <w:t>invités</w:t>
      </w:r>
      <w:proofErr w:type="spellEnd"/>
      <w:r w:rsidRPr="00CF4160">
        <w:rPr>
          <w:rFonts w:ascii="Arial" w:hAnsi="Arial" w:cs="Arial"/>
          <w:sz w:val="21"/>
          <w:szCs w:val="21"/>
          <w:lang w:val="en-CA"/>
        </w:rPr>
        <w:t xml:space="preserve"> à </w:t>
      </w:r>
      <w:proofErr w:type="spellStart"/>
      <w:r w:rsidRPr="00CF4160">
        <w:rPr>
          <w:rFonts w:ascii="Arial" w:hAnsi="Arial" w:cs="Arial"/>
          <w:sz w:val="21"/>
          <w:szCs w:val="21"/>
          <w:lang w:val="en-CA"/>
        </w:rPr>
        <w:t>déposer</w:t>
      </w:r>
      <w:proofErr w:type="spellEnd"/>
      <w:r w:rsidRPr="00CF4160">
        <w:rPr>
          <w:rFonts w:ascii="Arial" w:hAnsi="Arial" w:cs="Arial"/>
          <w:sz w:val="21"/>
          <w:szCs w:val="21"/>
          <w:lang w:val="en-CA"/>
        </w:rPr>
        <w:t xml:space="preserve"> </w:t>
      </w:r>
      <w:proofErr w:type="spellStart"/>
      <w:r w:rsidRPr="00CF4160">
        <w:rPr>
          <w:rFonts w:ascii="Arial" w:hAnsi="Arial" w:cs="Arial"/>
          <w:sz w:val="21"/>
          <w:szCs w:val="21"/>
          <w:lang w:val="en-CA"/>
        </w:rPr>
        <w:t>leurs</w:t>
      </w:r>
      <w:proofErr w:type="spellEnd"/>
      <w:r w:rsidRPr="00CF4160">
        <w:rPr>
          <w:rFonts w:ascii="Arial" w:hAnsi="Arial" w:cs="Arial"/>
          <w:sz w:val="21"/>
          <w:szCs w:val="21"/>
          <w:lang w:val="en-CA"/>
        </w:rPr>
        <w:t xml:space="preserve"> dossiers </w:t>
      </w:r>
      <w:r w:rsidR="002F6297">
        <w:rPr>
          <w:rFonts w:ascii="Arial" w:hAnsi="Arial" w:cs="Arial"/>
          <w:sz w:val="21"/>
          <w:szCs w:val="21"/>
          <w:lang w:val="en-CA"/>
        </w:rPr>
        <w:t xml:space="preserve">via la </w:t>
      </w:r>
      <w:proofErr w:type="spellStart"/>
      <w:r w:rsidR="002F6297">
        <w:rPr>
          <w:rFonts w:ascii="Arial" w:hAnsi="Arial" w:cs="Arial"/>
          <w:sz w:val="21"/>
          <w:szCs w:val="21"/>
          <w:lang w:val="en-CA"/>
        </w:rPr>
        <w:t>plateforme</w:t>
      </w:r>
      <w:proofErr w:type="spellEnd"/>
      <w:r w:rsidR="002F6297">
        <w:rPr>
          <w:rFonts w:ascii="Arial" w:hAnsi="Arial" w:cs="Arial"/>
          <w:sz w:val="21"/>
          <w:szCs w:val="21"/>
          <w:lang w:val="en-CA"/>
        </w:rPr>
        <w:t xml:space="preserve"> de Expertise France. </w:t>
      </w:r>
    </w:p>
    <w:p w14:paraId="0F31AB82" w14:textId="4FF0EC7D" w:rsidR="009B6151" w:rsidRPr="00CF4160" w:rsidRDefault="009B6151" w:rsidP="00CF4160">
      <w:pPr>
        <w:jc w:val="both"/>
        <w:rPr>
          <w:rFonts w:ascii="Arial" w:hAnsi="Arial" w:cs="Arial"/>
          <w:sz w:val="21"/>
          <w:szCs w:val="21"/>
          <w:lang w:val="en-CA"/>
        </w:rPr>
      </w:pPr>
    </w:p>
    <w:sectPr w:rsidR="009B6151" w:rsidRPr="00CF4160" w:rsidSect="00755C0A">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BE317" w14:textId="77777777" w:rsidR="000D25E3" w:rsidRDefault="000D25E3" w:rsidP="00755C0A">
      <w:pPr>
        <w:spacing w:after="0" w:line="240" w:lineRule="auto"/>
      </w:pPr>
      <w:r>
        <w:separator/>
      </w:r>
    </w:p>
  </w:endnote>
  <w:endnote w:type="continuationSeparator" w:id="0">
    <w:p w14:paraId="01D2DD37" w14:textId="77777777" w:rsidR="000D25E3" w:rsidRDefault="000D25E3" w:rsidP="0075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571520"/>
      <w:docPartObj>
        <w:docPartGallery w:val="Page Numbers (Bottom of Page)"/>
        <w:docPartUnique/>
      </w:docPartObj>
    </w:sdtPr>
    <w:sdtEndPr/>
    <w:sdtContent>
      <w:p w14:paraId="080579D6" w14:textId="32D180CC" w:rsidR="00755C0A" w:rsidRDefault="00755C0A">
        <w:pPr>
          <w:pStyle w:val="Pieddepage"/>
          <w:jc w:val="center"/>
        </w:pPr>
        <w:r>
          <w:fldChar w:fldCharType="begin"/>
        </w:r>
        <w:r>
          <w:instrText>PAGE   \* MERGEFORMAT</w:instrText>
        </w:r>
        <w:r>
          <w:fldChar w:fldCharType="separate"/>
        </w:r>
        <w:r w:rsidR="00891E61">
          <w:rPr>
            <w:noProof/>
          </w:rPr>
          <w:t>10</w:t>
        </w:r>
        <w:r>
          <w:fldChar w:fldCharType="end"/>
        </w:r>
      </w:p>
    </w:sdtContent>
  </w:sdt>
  <w:p w14:paraId="18AEDFD7" w14:textId="77777777" w:rsidR="00755C0A" w:rsidRDefault="00755C0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91F0B" w14:textId="77777777" w:rsidR="000D25E3" w:rsidRDefault="000D25E3" w:rsidP="00755C0A">
      <w:pPr>
        <w:spacing w:after="0" w:line="240" w:lineRule="auto"/>
      </w:pPr>
      <w:r>
        <w:separator/>
      </w:r>
    </w:p>
  </w:footnote>
  <w:footnote w:type="continuationSeparator" w:id="0">
    <w:p w14:paraId="79C881AE" w14:textId="77777777" w:rsidR="000D25E3" w:rsidRDefault="000D25E3" w:rsidP="00755C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D148F"/>
    <w:multiLevelType w:val="hybridMultilevel"/>
    <w:tmpl w:val="E3C24F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777E70"/>
    <w:multiLevelType w:val="hybridMultilevel"/>
    <w:tmpl w:val="C12C655C"/>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CD76A98"/>
    <w:multiLevelType w:val="hybridMultilevel"/>
    <w:tmpl w:val="13921ECC"/>
    <w:lvl w:ilvl="0" w:tplc="50845AE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185147"/>
    <w:multiLevelType w:val="hybridMultilevel"/>
    <w:tmpl w:val="BA3039C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B463A4"/>
    <w:multiLevelType w:val="hybridMultilevel"/>
    <w:tmpl w:val="C562D4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805DEF"/>
    <w:multiLevelType w:val="hybridMultilevel"/>
    <w:tmpl w:val="295646CC"/>
    <w:lvl w:ilvl="0" w:tplc="040C000D">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4F6B7673"/>
    <w:multiLevelType w:val="hybridMultilevel"/>
    <w:tmpl w:val="B462BE6C"/>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9FD194C"/>
    <w:multiLevelType w:val="hybridMultilevel"/>
    <w:tmpl w:val="D340F78E"/>
    <w:lvl w:ilvl="0" w:tplc="040C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 w15:restartNumberingAfterBreak="0">
    <w:nsid w:val="6C862E70"/>
    <w:multiLevelType w:val="hybridMultilevel"/>
    <w:tmpl w:val="CC80D55C"/>
    <w:lvl w:ilvl="0" w:tplc="50845AE8">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BE7F18"/>
    <w:multiLevelType w:val="hybridMultilevel"/>
    <w:tmpl w:val="62ACCF1A"/>
    <w:lvl w:ilvl="0" w:tplc="040C0017">
      <w:start w:val="1"/>
      <w:numFmt w:val="lowerLetter"/>
      <w:lvlText w:val="%1)"/>
      <w:lvlJc w:val="left"/>
      <w:pPr>
        <w:ind w:left="720" w:hanging="360"/>
      </w:pPr>
    </w:lvl>
    <w:lvl w:ilvl="1" w:tplc="BC524BDE">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F7642F9"/>
    <w:multiLevelType w:val="hybridMultilevel"/>
    <w:tmpl w:val="2DC66ED2"/>
    <w:lvl w:ilvl="0" w:tplc="8D8C9F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546516A"/>
    <w:multiLevelType w:val="hybridMultilevel"/>
    <w:tmpl w:val="930A5376"/>
    <w:lvl w:ilvl="0" w:tplc="50845AE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5811716"/>
    <w:multiLevelType w:val="hybridMultilevel"/>
    <w:tmpl w:val="9CE0A3BE"/>
    <w:lvl w:ilvl="0" w:tplc="50845AE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7150EB"/>
    <w:multiLevelType w:val="hybridMultilevel"/>
    <w:tmpl w:val="499C62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4"/>
  </w:num>
  <w:num w:numId="3">
    <w:abstractNumId w:val="2"/>
  </w:num>
  <w:num w:numId="4">
    <w:abstractNumId w:val="9"/>
  </w:num>
  <w:num w:numId="5">
    <w:abstractNumId w:val="10"/>
  </w:num>
  <w:num w:numId="6">
    <w:abstractNumId w:val="12"/>
  </w:num>
  <w:num w:numId="7">
    <w:abstractNumId w:val="8"/>
  </w:num>
  <w:num w:numId="8">
    <w:abstractNumId w:val="6"/>
  </w:num>
  <w:num w:numId="9">
    <w:abstractNumId w:val="0"/>
  </w:num>
  <w:num w:numId="10">
    <w:abstractNumId w:val="3"/>
  </w:num>
  <w:num w:numId="11">
    <w:abstractNumId w:val="1"/>
  </w:num>
  <w:num w:numId="12">
    <w:abstractNumId w:val="11"/>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51"/>
    <w:rsid w:val="000678AC"/>
    <w:rsid w:val="000D25E3"/>
    <w:rsid w:val="00110C39"/>
    <w:rsid w:val="001A42C6"/>
    <w:rsid w:val="002140EE"/>
    <w:rsid w:val="002F6297"/>
    <w:rsid w:val="00347A71"/>
    <w:rsid w:val="003B6F72"/>
    <w:rsid w:val="004766A9"/>
    <w:rsid w:val="005125C7"/>
    <w:rsid w:val="0054766C"/>
    <w:rsid w:val="0059730E"/>
    <w:rsid w:val="005B6681"/>
    <w:rsid w:val="005B6686"/>
    <w:rsid w:val="006D19DC"/>
    <w:rsid w:val="0074350B"/>
    <w:rsid w:val="00755C0A"/>
    <w:rsid w:val="00815C44"/>
    <w:rsid w:val="00891E61"/>
    <w:rsid w:val="008B1701"/>
    <w:rsid w:val="009722BB"/>
    <w:rsid w:val="009B6151"/>
    <w:rsid w:val="00A66823"/>
    <w:rsid w:val="00B032C6"/>
    <w:rsid w:val="00CB0433"/>
    <w:rsid w:val="00CF4160"/>
    <w:rsid w:val="00D27EF4"/>
    <w:rsid w:val="00E167B3"/>
    <w:rsid w:val="00E36952"/>
    <w:rsid w:val="00ED2759"/>
    <w:rsid w:val="00F069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6B9C6"/>
  <w15:chartTrackingRefBased/>
  <w15:docId w15:val="{26928E6A-9481-4B47-B866-091DC609F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autoRedefine/>
    <w:uiPriority w:val="9"/>
    <w:qFormat/>
    <w:rsid w:val="00F06942"/>
    <w:pPr>
      <w:keepNext/>
      <w:keepLines/>
      <w:pBdr>
        <w:bottom w:val="single" w:sz="8" w:space="1" w:color="auto"/>
      </w:pBdr>
      <w:spacing w:before="240" w:after="240"/>
      <w:outlineLvl w:val="0"/>
    </w:pPr>
    <w:rPr>
      <w:rFonts w:eastAsiaTheme="majorEastAsia" w:cstheme="majorBidi"/>
      <w:b/>
      <w:color w:val="0F4761" w:themeColor="accent1" w:themeShade="BF"/>
      <w:sz w:val="22"/>
      <w:szCs w:val="40"/>
    </w:rPr>
  </w:style>
  <w:style w:type="paragraph" w:styleId="Titre2">
    <w:name w:val="heading 2"/>
    <w:basedOn w:val="Normal"/>
    <w:next w:val="Normal"/>
    <w:link w:val="Titre2Car"/>
    <w:uiPriority w:val="9"/>
    <w:semiHidden/>
    <w:unhideWhenUsed/>
    <w:qFormat/>
    <w:rsid w:val="009B6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B615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B615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B615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B615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B615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B615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B615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6942"/>
    <w:rPr>
      <w:rFonts w:eastAsiaTheme="majorEastAsia" w:cstheme="majorBidi"/>
      <w:b/>
      <w:color w:val="0F4761" w:themeColor="accent1" w:themeShade="BF"/>
      <w:sz w:val="22"/>
      <w:szCs w:val="40"/>
    </w:rPr>
  </w:style>
  <w:style w:type="character" w:customStyle="1" w:styleId="Titre2Car">
    <w:name w:val="Titre 2 Car"/>
    <w:basedOn w:val="Policepardfaut"/>
    <w:link w:val="Titre2"/>
    <w:uiPriority w:val="9"/>
    <w:semiHidden/>
    <w:rsid w:val="009B615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B615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B615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B615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B615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B615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B615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B6151"/>
    <w:rPr>
      <w:rFonts w:eastAsiaTheme="majorEastAsia" w:cstheme="majorBidi"/>
      <w:color w:val="272727" w:themeColor="text1" w:themeTint="D8"/>
    </w:rPr>
  </w:style>
  <w:style w:type="paragraph" w:styleId="Titre">
    <w:name w:val="Title"/>
    <w:basedOn w:val="Normal"/>
    <w:next w:val="Normal"/>
    <w:link w:val="TitreCar"/>
    <w:uiPriority w:val="10"/>
    <w:qFormat/>
    <w:rsid w:val="009B6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B615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B615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B615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B6151"/>
    <w:pPr>
      <w:spacing w:before="160"/>
      <w:jc w:val="center"/>
    </w:pPr>
    <w:rPr>
      <w:i/>
      <w:iCs/>
      <w:color w:val="404040" w:themeColor="text1" w:themeTint="BF"/>
    </w:rPr>
  </w:style>
  <w:style w:type="character" w:customStyle="1" w:styleId="CitationCar">
    <w:name w:val="Citation Car"/>
    <w:basedOn w:val="Policepardfaut"/>
    <w:link w:val="Citation"/>
    <w:uiPriority w:val="29"/>
    <w:rsid w:val="009B6151"/>
    <w:rPr>
      <w:i/>
      <w:iCs/>
      <w:color w:val="404040" w:themeColor="text1" w:themeTint="BF"/>
    </w:rPr>
  </w:style>
  <w:style w:type="paragraph" w:styleId="Paragraphedeliste">
    <w:name w:val="List Paragraph"/>
    <w:basedOn w:val="Normal"/>
    <w:uiPriority w:val="34"/>
    <w:qFormat/>
    <w:rsid w:val="009B6151"/>
    <w:pPr>
      <w:ind w:left="720"/>
      <w:contextualSpacing/>
    </w:pPr>
  </w:style>
  <w:style w:type="character" w:styleId="Emphaseintense">
    <w:name w:val="Intense Emphasis"/>
    <w:basedOn w:val="Policepardfaut"/>
    <w:uiPriority w:val="21"/>
    <w:qFormat/>
    <w:rsid w:val="009B6151"/>
    <w:rPr>
      <w:i/>
      <w:iCs/>
      <w:color w:val="0F4761" w:themeColor="accent1" w:themeShade="BF"/>
    </w:rPr>
  </w:style>
  <w:style w:type="paragraph" w:styleId="Citationintense">
    <w:name w:val="Intense Quote"/>
    <w:basedOn w:val="Normal"/>
    <w:next w:val="Normal"/>
    <w:link w:val="CitationintenseCar"/>
    <w:uiPriority w:val="30"/>
    <w:qFormat/>
    <w:rsid w:val="009B6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B6151"/>
    <w:rPr>
      <w:i/>
      <w:iCs/>
      <w:color w:val="0F4761" w:themeColor="accent1" w:themeShade="BF"/>
    </w:rPr>
  </w:style>
  <w:style w:type="character" w:styleId="Rfrenceintense">
    <w:name w:val="Intense Reference"/>
    <w:basedOn w:val="Policepardfaut"/>
    <w:uiPriority w:val="32"/>
    <w:qFormat/>
    <w:rsid w:val="009B6151"/>
    <w:rPr>
      <w:b/>
      <w:bCs/>
      <w:smallCaps/>
      <w:color w:val="0F4761" w:themeColor="accent1" w:themeShade="BF"/>
      <w:spacing w:val="5"/>
    </w:rPr>
  </w:style>
  <w:style w:type="table" w:styleId="Grilledutableau">
    <w:name w:val="Table Grid"/>
    <w:basedOn w:val="TableauNormal"/>
    <w:uiPriority w:val="39"/>
    <w:rsid w:val="00CF4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55C0A"/>
    <w:pPr>
      <w:tabs>
        <w:tab w:val="center" w:pos="4536"/>
        <w:tab w:val="right" w:pos="9072"/>
      </w:tabs>
      <w:spacing w:after="0" w:line="240" w:lineRule="auto"/>
    </w:pPr>
  </w:style>
  <w:style w:type="character" w:customStyle="1" w:styleId="En-tteCar">
    <w:name w:val="En-tête Car"/>
    <w:basedOn w:val="Policepardfaut"/>
    <w:link w:val="En-tte"/>
    <w:uiPriority w:val="99"/>
    <w:rsid w:val="00755C0A"/>
  </w:style>
  <w:style w:type="paragraph" w:styleId="Pieddepage">
    <w:name w:val="footer"/>
    <w:basedOn w:val="Normal"/>
    <w:link w:val="PieddepageCar"/>
    <w:uiPriority w:val="99"/>
    <w:unhideWhenUsed/>
    <w:rsid w:val="00755C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261970">
      <w:bodyDiv w:val="1"/>
      <w:marLeft w:val="0"/>
      <w:marRight w:val="0"/>
      <w:marTop w:val="0"/>
      <w:marBottom w:val="0"/>
      <w:divBdr>
        <w:top w:val="none" w:sz="0" w:space="0" w:color="auto"/>
        <w:left w:val="none" w:sz="0" w:space="0" w:color="auto"/>
        <w:bottom w:val="none" w:sz="0" w:space="0" w:color="auto"/>
        <w:right w:val="none" w:sz="0" w:space="0" w:color="auto"/>
      </w:divBdr>
    </w:div>
    <w:div w:id="73789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11</Pages>
  <Words>4352</Words>
  <Characters>23939</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Hounkpe, Magloire</dc:creator>
  <cp:keywords/>
  <dc:description/>
  <cp:lastModifiedBy>Mathieu RUSSO</cp:lastModifiedBy>
  <cp:revision>2</cp:revision>
  <dcterms:created xsi:type="dcterms:W3CDTF">2026-05-28T12:32:00Z</dcterms:created>
  <dcterms:modified xsi:type="dcterms:W3CDTF">2026-05-28T12:32:00Z</dcterms:modified>
</cp:coreProperties>
</file>