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75EB4" w14:textId="08D5D407" w:rsidR="008E3FB2" w:rsidRDefault="008E3FB2" w:rsidP="008E3FB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Mission d’assistance technique</w:t>
      </w:r>
      <w:r w:rsidRPr="000E0D3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73A05">
        <w:rPr>
          <w:rFonts w:asciiTheme="majorHAnsi" w:hAnsiTheme="majorHAnsi" w:cstheme="majorHAnsi"/>
          <w:b/>
          <w:sz w:val="24"/>
          <w:szCs w:val="24"/>
        </w:rPr>
        <w:t>auprès de l’Autorité des achats publics du Liban dans la définition et la mise en œuvre de l’audit interne dans les entités contractantes</w:t>
      </w:r>
    </w:p>
    <w:p w14:paraId="58290298" w14:textId="77777777" w:rsidR="008E3FB2" w:rsidRPr="000E0D3B" w:rsidRDefault="008E3FB2" w:rsidP="008E3FB2">
      <w:pPr>
        <w:tabs>
          <w:tab w:val="left" w:pos="225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38556DF1" w14:textId="77777777" w:rsidR="008E3FB2" w:rsidRPr="000E0D3B" w:rsidRDefault="008E3FB2" w:rsidP="008E3FB2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0E0D3B">
        <w:rPr>
          <w:rFonts w:asciiTheme="majorHAnsi" w:hAnsiTheme="majorHAnsi" w:cstheme="majorHAnsi"/>
          <w:sz w:val="24"/>
          <w:szCs w:val="24"/>
        </w:rPr>
        <w:t>Termes de référence</w:t>
      </w:r>
    </w:p>
    <w:p w14:paraId="40677F88" w14:textId="77777777" w:rsidR="008E3FB2" w:rsidRPr="000E0D3B" w:rsidRDefault="008E3FB2" w:rsidP="008E3FB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5D945B19" w14:textId="77777777" w:rsidR="008E3FB2" w:rsidRPr="000E0D3B" w:rsidRDefault="008E3FB2" w:rsidP="008E3FB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1F77ADFE" w14:textId="77777777" w:rsidR="008E3FB2" w:rsidRPr="000E0D3B" w:rsidRDefault="008E3FB2" w:rsidP="008E3FB2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Description du </w:t>
      </w:r>
      <w:r w:rsidRPr="000E0D3B">
        <w:rPr>
          <w:rFonts w:asciiTheme="majorHAnsi" w:hAnsiTheme="majorHAnsi" w:cstheme="majorHAnsi"/>
          <w:b/>
          <w:sz w:val="24"/>
          <w:szCs w:val="24"/>
        </w:rPr>
        <w:t>Contexte</w:t>
      </w:r>
      <w:r>
        <w:rPr>
          <w:rFonts w:asciiTheme="majorHAnsi" w:hAnsiTheme="majorHAnsi" w:cstheme="majorHAnsi"/>
          <w:b/>
          <w:sz w:val="24"/>
          <w:szCs w:val="24"/>
        </w:rPr>
        <w:t xml:space="preserve"> et du projet d’appui</w:t>
      </w:r>
    </w:p>
    <w:p w14:paraId="4D5AAFEE" w14:textId="77777777" w:rsidR="008E3FB2" w:rsidRDefault="008E3FB2" w:rsidP="008E3FB2">
      <w:pPr>
        <w:spacing w:after="0"/>
        <w:jc w:val="both"/>
        <w:rPr>
          <w:rFonts w:asciiTheme="majorHAnsi" w:hAnsiTheme="majorHAnsi" w:cstheme="majorHAnsi"/>
        </w:rPr>
      </w:pPr>
    </w:p>
    <w:p w14:paraId="5FC8D6C3" w14:textId="52EC9637" w:rsidR="00173A05" w:rsidRPr="00AB2071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B2071">
        <w:rPr>
          <w:rFonts w:eastAsia="Times New Roman" w:cstheme="minorHAnsi"/>
          <w:lang w:eastAsia="fr-FR"/>
        </w:rPr>
        <w:t xml:space="preserve">Face </w:t>
      </w:r>
      <w:proofErr w:type="spellStart"/>
      <w:r w:rsidRPr="00AB2071">
        <w:rPr>
          <w:rFonts w:eastAsia="Times New Roman" w:cstheme="minorHAnsi"/>
          <w:lang w:eastAsia="fr-FR"/>
        </w:rPr>
        <w:t>a</w:t>
      </w:r>
      <w:proofErr w:type="spellEnd"/>
      <w:r w:rsidRPr="00AB2071">
        <w:rPr>
          <w:rFonts w:eastAsia="Times New Roman" w:cstheme="minorHAnsi"/>
          <w:lang w:eastAsia="fr-FR"/>
        </w:rPr>
        <w:t xml:space="preserve">̀ la crise </w:t>
      </w:r>
      <w:r w:rsidR="006559E4" w:rsidRPr="00AB2071">
        <w:rPr>
          <w:rFonts w:eastAsia="Times New Roman" w:cstheme="minorHAnsi"/>
          <w:lang w:eastAsia="fr-FR"/>
        </w:rPr>
        <w:t>économique</w:t>
      </w:r>
      <w:r w:rsidRPr="00AB2071">
        <w:rPr>
          <w:rFonts w:eastAsia="Times New Roman" w:cstheme="minorHAnsi"/>
          <w:lang w:eastAsia="fr-FR"/>
        </w:rPr>
        <w:t xml:space="preserve">, sociale et institutionnelle que traverse le Liban aujourd’hui, les </w:t>
      </w:r>
      <w:r w:rsidR="006559E4" w:rsidRPr="00AB2071">
        <w:rPr>
          <w:rFonts w:eastAsia="Times New Roman" w:cstheme="minorHAnsi"/>
          <w:lang w:eastAsia="fr-FR"/>
        </w:rPr>
        <w:t>autorités</w:t>
      </w:r>
      <w:r w:rsidRPr="00AB2071">
        <w:rPr>
          <w:rFonts w:eastAsia="Times New Roman" w:cstheme="minorHAnsi"/>
          <w:lang w:eastAsia="fr-FR"/>
        </w:rPr>
        <w:t xml:space="preserve"> libanaises sont plus que jamais dans l’obligation de conduire un vaste programme de </w:t>
      </w:r>
      <w:r w:rsidR="006559E4" w:rsidRPr="00AB2071">
        <w:rPr>
          <w:rFonts w:eastAsia="Times New Roman" w:cstheme="minorHAnsi"/>
          <w:lang w:eastAsia="fr-FR"/>
        </w:rPr>
        <w:t>réformes</w:t>
      </w:r>
      <w:r w:rsidRPr="00AB2071">
        <w:rPr>
          <w:rFonts w:eastAsia="Times New Roman" w:cstheme="minorHAnsi"/>
          <w:lang w:eastAsia="fr-FR"/>
        </w:rPr>
        <w:t xml:space="preserve"> pour consolider leur position </w:t>
      </w:r>
      <w:r w:rsidR="006559E4" w:rsidRPr="00AB2071">
        <w:rPr>
          <w:rFonts w:eastAsia="Times New Roman" w:cstheme="minorHAnsi"/>
          <w:lang w:eastAsia="fr-FR"/>
        </w:rPr>
        <w:t>budgétaire</w:t>
      </w:r>
      <w:r w:rsidRPr="00AB2071">
        <w:rPr>
          <w:rFonts w:eastAsia="Times New Roman" w:cstheme="minorHAnsi"/>
          <w:lang w:eastAsia="fr-FR"/>
        </w:rPr>
        <w:t xml:space="preserve"> et </w:t>
      </w:r>
      <w:r w:rsidR="006559E4" w:rsidRPr="00AB2071">
        <w:rPr>
          <w:rFonts w:eastAsia="Times New Roman" w:cstheme="minorHAnsi"/>
          <w:lang w:eastAsia="fr-FR"/>
        </w:rPr>
        <w:t>répondre</w:t>
      </w:r>
      <w:r w:rsidRPr="00AB2071">
        <w:rPr>
          <w:rFonts w:eastAsia="Times New Roman" w:cstheme="minorHAnsi"/>
          <w:lang w:eastAsia="fr-FR"/>
        </w:rPr>
        <w:t xml:space="preserve"> aux demandes de la population pour plus de transparence. Dans le cadre de la </w:t>
      </w:r>
      <w:r w:rsidR="006559E4" w:rsidRPr="00AB2071">
        <w:rPr>
          <w:rFonts w:eastAsia="Times New Roman" w:cstheme="minorHAnsi"/>
          <w:lang w:eastAsia="fr-FR"/>
        </w:rPr>
        <w:t>conférence</w:t>
      </w:r>
      <w:r w:rsidRPr="00AB2071">
        <w:rPr>
          <w:rFonts w:eastAsia="Times New Roman" w:cstheme="minorHAnsi"/>
          <w:lang w:eastAsia="fr-FR"/>
        </w:rPr>
        <w:t xml:space="preserve"> CEDRE (</w:t>
      </w:r>
      <w:r w:rsidR="006559E4" w:rsidRPr="00AB2071">
        <w:rPr>
          <w:rFonts w:eastAsia="Times New Roman" w:cstheme="minorHAnsi"/>
          <w:i/>
          <w:iCs/>
          <w:lang w:eastAsia="fr-FR"/>
        </w:rPr>
        <w:t>Conférence</w:t>
      </w:r>
      <w:r w:rsidRPr="00AB2071">
        <w:rPr>
          <w:rFonts w:eastAsia="Times New Roman" w:cstheme="minorHAnsi"/>
          <w:i/>
          <w:iCs/>
          <w:lang w:eastAsia="fr-FR"/>
        </w:rPr>
        <w:t xml:space="preserve"> </w:t>
      </w:r>
      <w:r w:rsidR="006559E4" w:rsidRPr="00AB2071">
        <w:rPr>
          <w:rFonts w:eastAsia="Times New Roman" w:cstheme="minorHAnsi"/>
          <w:i/>
          <w:iCs/>
          <w:lang w:eastAsia="fr-FR"/>
        </w:rPr>
        <w:t>Économique</w:t>
      </w:r>
      <w:r w:rsidRPr="00AB2071">
        <w:rPr>
          <w:rFonts w:eastAsia="Times New Roman" w:cstheme="minorHAnsi"/>
          <w:i/>
          <w:iCs/>
          <w:lang w:eastAsia="fr-FR"/>
        </w:rPr>
        <w:t xml:space="preserve"> pour le </w:t>
      </w:r>
      <w:r w:rsidR="006559E4" w:rsidRPr="00AB2071">
        <w:rPr>
          <w:rFonts w:eastAsia="Times New Roman" w:cstheme="minorHAnsi"/>
          <w:i/>
          <w:iCs/>
          <w:lang w:eastAsia="fr-FR"/>
        </w:rPr>
        <w:t>Développement</w:t>
      </w:r>
      <w:r w:rsidRPr="00AB2071">
        <w:rPr>
          <w:rFonts w:eastAsia="Times New Roman" w:cstheme="minorHAnsi"/>
          <w:i/>
          <w:iCs/>
          <w:lang w:eastAsia="fr-FR"/>
        </w:rPr>
        <w:t xml:space="preserve"> par les </w:t>
      </w:r>
      <w:r w:rsidR="006559E4" w:rsidRPr="00AB2071">
        <w:rPr>
          <w:rFonts w:eastAsia="Times New Roman" w:cstheme="minorHAnsi"/>
          <w:i/>
          <w:iCs/>
          <w:lang w:eastAsia="fr-FR"/>
        </w:rPr>
        <w:t>Réformes</w:t>
      </w:r>
      <w:r w:rsidRPr="00AB2071">
        <w:rPr>
          <w:rFonts w:eastAsia="Times New Roman" w:cstheme="minorHAnsi"/>
          <w:i/>
          <w:iCs/>
          <w:lang w:eastAsia="fr-FR"/>
        </w:rPr>
        <w:t xml:space="preserve"> et les Entreprises</w:t>
      </w:r>
      <w:r w:rsidRPr="00AB2071">
        <w:rPr>
          <w:rFonts w:eastAsia="Times New Roman" w:cstheme="minorHAnsi"/>
          <w:lang w:eastAsia="fr-FR"/>
        </w:rPr>
        <w:t xml:space="preserve">) </w:t>
      </w:r>
      <w:r w:rsidR="006559E4" w:rsidRPr="00AB2071">
        <w:rPr>
          <w:rFonts w:eastAsia="Times New Roman" w:cstheme="minorHAnsi"/>
          <w:lang w:eastAsia="fr-FR"/>
        </w:rPr>
        <w:t>organisée</w:t>
      </w:r>
      <w:r w:rsidRPr="00AB2071">
        <w:rPr>
          <w:rFonts w:eastAsia="Times New Roman" w:cstheme="minorHAnsi"/>
          <w:lang w:eastAsia="fr-FR"/>
        </w:rPr>
        <w:t xml:space="preserve"> en avril 2018, les principaux bailleurs internationaux se sont </w:t>
      </w:r>
      <w:r w:rsidR="006559E4" w:rsidRPr="00AB2071">
        <w:rPr>
          <w:rFonts w:eastAsia="Times New Roman" w:cstheme="minorHAnsi"/>
          <w:lang w:eastAsia="fr-FR"/>
        </w:rPr>
        <w:t>engagés</w:t>
      </w:r>
      <w:r w:rsidRPr="00AB2071">
        <w:rPr>
          <w:rFonts w:eastAsia="Times New Roman" w:cstheme="minorHAnsi"/>
          <w:lang w:eastAsia="fr-FR"/>
        </w:rPr>
        <w:t xml:space="preserve"> à </w:t>
      </w:r>
      <w:r w:rsidR="006559E4" w:rsidRPr="00AB2071">
        <w:rPr>
          <w:rFonts w:eastAsia="Times New Roman" w:cstheme="minorHAnsi"/>
          <w:lang w:eastAsia="fr-FR"/>
        </w:rPr>
        <w:t>dégager</w:t>
      </w:r>
      <w:r w:rsidRPr="00AB2071">
        <w:rPr>
          <w:rFonts w:eastAsia="Times New Roman" w:cstheme="minorHAnsi"/>
          <w:lang w:eastAsia="fr-FR"/>
        </w:rPr>
        <w:t xml:space="preserve"> les financements </w:t>
      </w:r>
      <w:r w:rsidR="006559E4" w:rsidRPr="00AB2071">
        <w:rPr>
          <w:rFonts w:eastAsia="Times New Roman" w:cstheme="minorHAnsi"/>
          <w:lang w:eastAsia="fr-FR"/>
        </w:rPr>
        <w:t>nécessaires</w:t>
      </w:r>
      <w:r w:rsidRPr="00AB2071">
        <w:rPr>
          <w:rFonts w:eastAsia="Times New Roman" w:cstheme="minorHAnsi"/>
          <w:lang w:eastAsia="fr-FR"/>
        </w:rPr>
        <w:t xml:space="preserve"> à condition que les </w:t>
      </w:r>
      <w:r w:rsidR="006559E4" w:rsidRPr="00AB2071">
        <w:rPr>
          <w:rFonts w:eastAsia="Times New Roman" w:cstheme="minorHAnsi"/>
          <w:lang w:eastAsia="fr-FR"/>
        </w:rPr>
        <w:t>réformes</w:t>
      </w:r>
      <w:r w:rsidRPr="00AB2071">
        <w:rPr>
          <w:rFonts w:eastAsia="Times New Roman" w:cstheme="minorHAnsi"/>
          <w:lang w:eastAsia="fr-FR"/>
        </w:rPr>
        <w:t xml:space="preserve"> structurelles soient mises en œuvre. </w:t>
      </w:r>
    </w:p>
    <w:p w14:paraId="36E3CD88" w14:textId="1855F268" w:rsidR="00173A05" w:rsidRPr="00AB2071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B2071">
        <w:rPr>
          <w:rFonts w:eastAsia="Times New Roman" w:cstheme="minorHAnsi"/>
          <w:lang w:eastAsia="fr-FR"/>
        </w:rPr>
        <w:lastRenderedPageBreak/>
        <w:t xml:space="preserve">La </w:t>
      </w:r>
      <w:r w:rsidR="006559E4" w:rsidRPr="00AB2071">
        <w:rPr>
          <w:rFonts w:eastAsia="Times New Roman" w:cstheme="minorHAnsi"/>
          <w:lang w:eastAsia="fr-FR"/>
        </w:rPr>
        <w:t>réforme</w:t>
      </w:r>
      <w:r w:rsidRPr="00AB2071">
        <w:rPr>
          <w:rFonts w:eastAsia="Times New Roman" w:cstheme="minorHAnsi"/>
          <w:lang w:eastAsia="fr-FR"/>
        </w:rPr>
        <w:t xml:space="preserve"> des </w:t>
      </w:r>
      <w:r w:rsidR="006559E4" w:rsidRPr="00AB2071">
        <w:rPr>
          <w:rFonts w:eastAsia="Times New Roman" w:cstheme="minorHAnsi"/>
          <w:lang w:eastAsia="fr-FR"/>
        </w:rPr>
        <w:t>marchés</w:t>
      </w:r>
      <w:r w:rsidRPr="00AB2071">
        <w:rPr>
          <w:rFonts w:eastAsia="Times New Roman" w:cstheme="minorHAnsi"/>
          <w:lang w:eastAsia="fr-FR"/>
        </w:rPr>
        <w:t xml:space="preserve"> publics fait partie de la feuille de route </w:t>
      </w:r>
      <w:r w:rsidR="006559E4" w:rsidRPr="00AB2071">
        <w:rPr>
          <w:rFonts w:eastAsia="Times New Roman" w:cstheme="minorHAnsi"/>
          <w:lang w:eastAsia="fr-FR"/>
        </w:rPr>
        <w:t>proposée</w:t>
      </w:r>
      <w:r w:rsidRPr="00AB2071">
        <w:rPr>
          <w:rFonts w:eastAsia="Times New Roman" w:cstheme="minorHAnsi"/>
          <w:lang w:eastAsia="fr-FR"/>
        </w:rPr>
        <w:t xml:space="preserve"> par la France en </w:t>
      </w:r>
      <w:r w:rsidR="006559E4" w:rsidRPr="00AB2071">
        <w:rPr>
          <w:rFonts w:eastAsia="Times New Roman" w:cstheme="minorHAnsi"/>
          <w:lang w:eastAsia="fr-FR"/>
        </w:rPr>
        <w:t>ao</w:t>
      </w:r>
      <w:r w:rsidR="006559E4">
        <w:rPr>
          <w:rFonts w:eastAsia="Times New Roman" w:cstheme="minorHAnsi"/>
          <w:lang w:eastAsia="fr-FR"/>
        </w:rPr>
        <w:t>û</w:t>
      </w:r>
      <w:r w:rsidR="006559E4" w:rsidRPr="00AB2071">
        <w:rPr>
          <w:rFonts w:eastAsia="Times New Roman" w:cstheme="minorHAnsi"/>
          <w:lang w:eastAsia="fr-FR"/>
        </w:rPr>
        <w:t>t</w:t>
      </w:r>
      <w:r w:rsidRPr="00AB2071">
        <w:rPr>
          <w:rFonts w:eastAsia="Times New Roman" w:cstheme="minorHAnsi"/>
          <w:lang w:eastAsia="fr-FR"/>
        </w:rPr>
        <w:t xml:space="preserve"> 2020 pour accompagner le renforcement des institutions de l’</w:t>
      </w:r>
      <w:r w:rsidR="006559E4" w:rsidRPr="00AB2071">
        <w:rPr>
          <w:rFonts w:eastAsia="Times New Roman" w:cstheme="minorHAnsi"/>
          <w:lang w:eastAsia="fr-FR"/>
        </w:rPr>
        <w:t>État</w:t>
      </w:r>
      <w:r w:rsidRPr="00AB2071">
        <w:rPr>
          <w:rFonts w:eastAsia="Times New Roman" w:cstheme="minorHAnsi"/>
          <w:lang w:eastAsia="fr-FR"/>
        </w:rPr>
        <w:t xml:space="preserve"> libanais. </w:t>
      </w:r>
    </w:p>
    <w:p w14:paraId="5C50BA50" w14:textId="17DE29C8" w:rsidR="00173A05" w:rsidRPr="00AB2071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B2071">
        <w:rPr>
          <w:rFonts w:eastAsia="Times New Roman" w:cstheme="minorHAnsi"/>
          <w:lang w:eastAsia="fr-FR"/>
        </w:rPr>
        <w:t xml:space="preserve">L’AFD et la Banque mondiale ont </w:t>
      </w:r>
      <w:r w:rsidR="006559E4" w:rsidRPr="00AB2071">
        <w:rPr>
          <w:rFonts w:eastAsia="Times New Roman" w:cstheme="minorHAnsi"/>
          <w:lang w:eastAsia="fr-FR"/>
        </w:rPr>
        <w:t>appuyé</w:t>
      </w:r>
      <w:r w:rsidRPr="00AB2071">
        <w:rPr>
          <w:rFonts w:eastAsia="Times New Roman" w:cstheme="minorHAnsi"/>
          <w:lang w:eastAsia="fr-FR"/>
        </w:rPr>
        <w:t xml:space="preserve">́ la conduite d’une </w:t>
      </w:r>
      <w:r w:rsidR="006559E4" w:rsidRPr="00AB2071">
        <w:rPr>
          <w:rFonts w:eastAsia="Times New Roman" w:cstheme="minorHAnsi"/>
          <w:lang w:eastAsia="fr-FR"/>
        </w:rPr>
        <w:t>évaluation</w:t>
      </w:r>
      <w:r w:rsidRPr="00AB2071">
        <w:rPr>
          <w:rFonts w:eastAsia="Times New Roman" w:cstheme="minorHAnsi"/>
          <w:lang w:eastAsia="fr-FR"/>
        </w:rPr>
        <w:t xml:space="preserve"> </w:t>
      </w:r>
      <w:r w:rsidR="006559E4" w:rsidRPr="00AB2071">
        <w:rPr>
          <w:rFonts w:eastAsia="Times New Roman" w:cstheme="minorHAnsi"/>
          <w:lang w:eastAsia="fr-FR"/>
        </w:rPr>
        <w:t>détaillée</w:t>
      </w:r>
      <w:r w:rsidRPr="00AB2071">
        <w:rPr>
          <w:rFonts w:eastAsia="Times New Roman" w:cstheme="minorHAnsi"/>
          <w:lang w:eastAsia="fr-FR"/>
        </w:rPr>
        <w:t xml:space="preserve"> du </w:t>
      </w:r>
      <w:r w:rsidR="006559E4" w:rsidRPr="00AB2071">
        <w:rPr>
          <w:rFonts w:eastAsia="Times New Roman" w:cstheme="minorHAnsi"/>
          <w:lang w:eastAsia="fr-FR"/>
        </w:rPr>
        <w:t>système</w:t>
      </w:r>
      <w:r w:rsidRPr="00AB2071">
        <w:rPr>
          <w:rFonts w:eastAsia="Times New Roman" w:cstheme="minorHAnsi"/>
          <w:lang w:eastAsia="fr-FR"/>
        </w:rPr>
        <w:t xml:space="preserve"> de la commande publique en 2019, selon une </w:t>
      </w:r>
      <w:r w:rsidR="006559E4" w:rsidRPr="00AB2071">
        <w:rPr>
          <w:rFonts w:eastAsia="Times New Roman" w:cstheme="minorHAnsi"/>
          <w:lang w:eastAsia="fr-FR"/>
        </w:rPr>
        <w:t>méthodologie</w:t>
      </w:r>
      <w:r w:rsidRPr="00AB2071">
        <w:rPr>
          <w:rFonts w:eastAsia="Times New Roman" w:cstheme="minorHAnsi"/>
          <w:lang w:eastAsia="fr-FR"/>
        </w:rPr>
        <w:t xml:space="preserve"> internationale, </w:t>
      </w:r>
      <w:r w:rsidR="006559E4" w:rsidRPr="00AB2071">
        <w:rPr>
          <w:rFonts w:eastAsia="Times New Roman" w:cstheme="minorHAnsi"/>
          <w:lang w:eastAsia="fr-FR"/>
        </w:rPr>
        <w:t>évaluation</w:t>
      </w:r>
      <w:r w:rsidRPr="00AB2071">
        <w:rPr>
          <w:rFonts w:eastAsia="Times New Roman" w:cstheme="minorHAnsi"/>
          <w:lang w:eastAsia="fr-FR"/>
        </w:rPr>
        <w:t xml:space="preserve"> MAPS (</w:t>
      </w:r>
      <w:proofErr w:type="spellStart"/>
      <w:r w:rsidRPr="00AB2071">
        <w:rPr>
          <w:rFonts w:eastAsia="Times New Roman" w:cstheme="minorHAnsi"/>
          <w:i/>
          <w:iCs/>
          <w:lang w:eastAsia="fr-FR"/>
        </w:rPr>
        <w:t>Methodology</w:t>
      </w:r>
      <w:proofErr w:type="spellEnd"/>
      <w:r w:rsidRPr="00AB2071">
        <w:rPr>
          <w:rFonts w:eastAsia="Times New Roman" w:cstheme="minorHAnsi"/>
          <w:i/>
          <w:iCs/>
          <w:lang w:eastAsia="fr-FR"/>
        </w:rPr>
        <w:t xml:space="preserve"> for the </w:t>
      </w:r>
      <w:proofErr w:type="spellStart"/>
      <w:r w:rsidRPr="00AB2071">
        <w:rPr>
          <w:rFonts w:eastAsia="Times New Roman" w:cstheme="minorHAnsi"/>
          <w:i/>
          <w:iCs/>
          <w:lang w:eastAsia="fr-FR"/>
        </w:rPr>
        <w:t>Assessment</w:t>
      </w:r>
      <w:proofErr w:type="spellEnd"/>
      <w:r w:rsidRPr="00AB2071">
        <w:rPr>
          <w:rFonts w:eastAsia="Times New Roman" w:cstheme="minorHAnsi"/>
          <w:i/>
          <w:iCs/>
          <w:lang w:eastAsia="fr-FR"/>
        </w:rPr>
        <w:t xml:space="preserve"> of </w:t>
      </w:r>
      <w:proofErr w:type="spellStart"/>
      <w:r w:rsidRPr="00AB2071">
        <w:rPr>
          <w:rFonts w:eastAsia="Times New Roman" w:cstheme="minorHAnsi"/>
          <w:i/>
          <w:iCs/>
          <w:lang w:eastAsia="fr-FR"/>
        </w:rPr>
        <w:t>Procurement</w:t>
      </w:r>
      <w:proofErr w:type="spellEnd"/>
      <w:r w:rsidRPr="00AB2071">
        <w:rPr>
          <w:rFonts w:eastAsia="Times New Roman" w:cstheme="minorHAnsi"/>
          <w:i/>
          <w:iCs/>
          <w:lang w:eastAsia="fr-FR"/>
        </w:rPr>
        <w:t xml:space="preserve"> </w:t>
      </w:r>
      <w:proofErr w:type="spellStart"/>
      <w:r w:rsidRPr="00AB2071">
        <w:rPr>
          <w:rFonts w:eastAsia="Times New Roman" w:cstheme="minorHAnsi"/>
          <w:i/>
          <w:iCs/>
          <w:lang w:eastAsia="fr-FR"/>
        </w:rPr>
        <w:t>Systems</w:t>
      </w:r>
      <w:proofErr w:type="spellEnd"/>
      <w:r w:rsidRPr="00AB2071">
        <w:rPr>
          <w:rFonts w:eastAsia="Times New Roman" w:cstheme="minorHAnsi"/>
          <w:lang w:eastAsia="fr-FR"/>
        </w:rPr>
        <w:t xml:space="preserve">). </w:t>
      </w:r>
    </w:p>
    <w:p w14:paraId="20087C16" w14:textId="44BCC725" w:rsidR="00173A05" w:rsidRPr="00786234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786234">
        <w:rPr>
          <w:rFonts w:eastAsia="Times New Roman" w:cstheme="minorHAnsi"/>
          <w:lang w:eastAsia="fr-FR"/>
        </w:rPr>
        <w:t>En suite des conclusions de</w:t>
      </w:r>
      <w:r w:rsidRPr="00AB2071">
        <w:rPr>
          <w:rFonts w:eastAsia="Times New Roman" w:cstheme="minorHAnsi"/>
          <w:lang w:eastAsia="fr-FR"/>
        </w:rPr>
        <w:t xml:space="preserve"> cette </w:t>
      </w:r>
      <w:r w:rsidR="006559E4" w:rsidRPr="00AB2071">
        <w:rPr>
          <w:rFonts w:eastAsia="Times New Roman" w:cstheme="minorHAnsi"/>
          <w:lang w:eastAsia="fr-FR"/>
        </w:rPr>
        <w:t>évaluation</w:t>
      </w:r>
      <w:r w:rsidRPr="00AB2071">
        <w:rPr>
          <w:rFonts w:eastAsia="Times New Roman" w:cstheme="minorHAnsi"/>
          <w:lang w:eastAsia="fr-FR"/>
        </w:rPr>
        <w:t xml:space="preserve">, une dynamique de </w:t>
      </w:r>
      <w:r w:rsidR="006559E4" w:rsidRPr="00AB2071">
        <w:rPr>
          <w:rFonts w:eastAsia="Times New Roman" w:cstheme="minorHAnsi"/>
          <w:lang w:eastAsia="fr-FR"/>
        </w:rPr>
        <w:t>réforme</w:t>
      </w:r>
      <w:r w:rsidRPr="00AB2071">
        <w:rPr>
          <w:rFonts w:eastAsia="Times New Roman" w:cstheme="minorHAnsi"/>
          <w:lang w:eastAsia="fr-FR"/>
        </w:rPr>
        <w:t xml:space="preserve"> est en train de se mettre en place. Ainsi, une nouvelle loi sur la commande publique </w:t>
      </w:r>
      <w:r w:rsidRPr="00786234">
        <w:rPr>
          <w:rFonts w:eastAsia="Times New Roman" w:cstheme="minorHAnsi"/>
          <w:lang w:eastAsia="fr-FR"/>
        </w:rPr>
        <w:t>a été adoptée par le Parlement en juin 2021, et un comité interministériel chargé du suivi de la réforme a été formé en février 2022.</w:t>
      </w:r>
    </w:p>
    <w:p w14:paraId="008D167D" w14:textId="77777777" w:rsidR="00173A05" w:rsidRPr="00786234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786234">
        <w:rPr>
          <w:rFonts w:eastAsia="Times New Roman" w:cstheme="minorHAnsi"/>
          <w:lang w:eastAsia="fr-FR"/>
        </w:rPr>
        <w:t>Cette loi a également fait l’objet de déclinaisons stratégiques :</w:t>
      </w:r>
    </w:p>
    <w:p w14:paraId="3FA45941" w14:textId="77777777" w:rsidR="00173A05" w:rsidRPr="00786234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786234">
        <w:rPr>
          <w:rFonts w:eastAsia="Times New Roman" w:cstheme="minorHAnsi"/>
          <w:lang w:eastAsia="fr-FR"/>
        </w:rPr>
        <w:t>- une stratégie nationale de la réforme des marchés publics, adoptée par le Conseil des ministres le 20 mai 2022,</w:t>
      </w:r>
    </w:p>
    <w:p w14:paraId="1F00F406" w14:textId="77777777" w:rsidR="00173A05" w:rsidRPr="00786234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786234">
        <w:rPr>
          <w:rFonts w:eastAsia="Times New Roman" w:cstheme="minorHAnsi"/>
          <w:lang w:eastAsia="fr-FR"/>
        </w:rPr>
        <w:t xml:space="preserve">- une stratégie de </w:t>
      </w:r>
      <w:proofErr w:type="spellStart"/>
      <w:r w:rsidRPr="00786234">
        <w:rPr>
          <w:rFonts w:eastAsia="Times New Roman" w:cstheme="minorHAnsi"/>
          <w:lang w:eastAsia="fr-FR"/>
        </w:rPr>
        <w:t>capacity</w:t>
      </w:r>
      <w:proofErr w:type="spellEnd"/>
      <w:r w:rsidRPr="00786234">
        <w:rPr>
          <w:rFonts w:eastAsia="Times New Roman" w:cstheme="minorHAnsi"/>
          <w:lang w:eastAsia="fr-FR"/>
        </w:rPr>
        <w:t xml:space="preserve"> building, initiée par l’Institut des Finances Basil </w:t>
      </w:r>
      <w:proofErr w:type="spellStart"/>
      <w:r w:rsidRPr="00786234">
        <w:rPr>
          <w:rFonts w:eastAsia="Times New Roman" w:cstheme="minorHAnsi"/>
          <w:lang w:eastAsia="fr-FR"/>
        </w:rPr>
        <w:t>Fuleihan</w:t>
      </w:r>
      <w:proofErr w:type="spellEnd"/>
      <w:r w:rsidRPr="00786234">
        <w:rPr>
          <w:rFonts w:eastAsia="Times New Roman" w:cstheme="minorHAnsi"/>
          <w:lang w:eastAsia="fr-FR"/>
        </w:rPr>
        <w:t xml:space="preserve">, opérateur de formation désigné par la loi sur les marchés publics, en cours de finalisation, </w:t>
      </w:r>
    </w:p>
    <w:p w14:paraId="029E4E38" w14:textId="77777777" w:rsidR="00173A05" w:rsidRPr="00786234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786234">
        <w:rPr>
          <w:rFonts w:eastAsia="Times New Roman" w:cstheme="minorHAnsi"/>
          <w:lang w:eastAsia="fr-FR"/>
        </w:rPr>
        <w:t>- une stratégie relative à l’e-procurement, préparée par la Banque Mondiale.</w:t>
      </w:r>
    </w:p>
    <w:p w14:paraId="0E2B6B20" w14:textId="268B99B0" w:rsidR="00173A05" w:rsidRPr="00AB2071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B2071">
        <w:rPr>
          <w:rFonts w:eastAsia="Times New Roman" w:cstheme="minorHAnsi"/>
          <w:lang w:eastAsia="fr-FR"/>
        </w:rPr>
        <w:lastRenderedPageBreak/>
        <w:t xml:space="preserve">Dans ce cadre, l’AFD s’est </w:t>
      </w:r>
      <w:r w:rsidR="006559E4" w:rsidRPr="00AB2071">
        <w:rPr>
          <w:rFonts w:eastAsia="Times New Roman" w:cstheme="minorHAnsi"/>
          <w:lang w:eastAsia="fr-FR"/>
        </w:rPr>
        <w:t>engagée</w:t>
      </w:r>
      <w:r w:rsidRPr="00AB2071">
        <w:rPr>
          <w:rFonts w:eastAsia="Times New Roman" w:cstheme="minorHAnsi"/>
          <w:lang w:eastAsia="fr-FR"/>
        </w:rPr>
        <w:t xml:space="preserve"> à accompagner cette dynamique, et </w:t>
      </w:r>
      <w:r w:rsidRPr="00786234">
        <w:rPr>
          <w:rFonts w:eastAsia="Times New Roman" w:cstheme="minorHAnsi"/>
          <w:lang w:eastAsia="fr-FR"/>
        </w:rPr>
        <w:t xml:space="preserve">a </w:t>
      </w:r>
      <w:r w:rsidRPr="00AB2071">
        <w:rPr>
          <w:rFonts w:eastAsia="Times New Roman" w:cstheme="minorHAnsi"/>
          <w:lang w:eastAsia="fr-FR"/>
        </w:rPr>
        <w:t>lanc</w:t>
      </w:r>
      <w:r w:rsidRPr="00786234">
        <w:rPr>
          <w:rFonts w:eastAsia="Times New Roman" w:cstheme="minorHAnsi"/>
          <w:lang w:eastAsia="fr-FR"/>
        </w:rPr>
        <w:t>é</w:t>
      </w:r>
      <w:r w:rsidRPr="00AB2071">
        <w:rPr>
          <w:rFonts w:eastAsia="Times New Roman" w:cstheme="minorHAnsi"/>
          <w:lang w:eastAsia="fr-FR"/>
        </w:rPr>
        <w:t xml:space="preserve"> un projet d’appui visant </w:t>
      </w:r>
      <w:proofErr w:type="spellStart"/>
      <w:r w:rsidRPr="00AB2071">
        <w:rPr>
          <w:rFonts w:eastAsia="Times New Roman" w:cstheme="minorHAnsi"/>
          <w:lang w:eastAsia="fr-FR"/>
        </w:rPr>
        <w:t>a</w:t>
      </w:r>
      <w:proofErr w:type="spellEnd"/>
      <w:r w:rsidRPr="00AB2071">
        <w:rPr>
          <w:rFonts w:eastAsia="Times New Roman" w:cstheme="minorHAnsi"/>
          <w:lang w:eastAsia="fr-FR"/>
        </w:rPr>
        <w:t xml:space="preserve">̀ soutenir la </w:t>
      </w:r>
      <w:r w:rsidR="006559E4" w:rsidRPr="00AB2071">
        <w:rPr>
          <w:rFonts w:eastAsia="Times New Roman" w:cstheme="minorHAnsi"/>
          <w:lang w:eastAsia="fr-FR"/>
        </w:rPr>
        <w:t>réforme</w:t>
      </w:r>
      <w:r w:rsidRPr="00AB2071">
        <w:rPr>
          <w:rFonts w:eastAsia="Times New Roman" w:cstheme="minorHAnsi"/>
          <w:lang w:eastAsia="fr-FR"/>
        </w:rPr>
        <w:t xml:space="preserve"> de la commande publique au Liban. </w:t>
      </w:r>
    </w:p>
    <w:p w14:paraId="32B9679F" w14:textId="44BDAF93" w:rsidR="00173A05" w:rsidRPr="00786234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B2071">
        <w:rPr>
          <w:rFonts w:eastAsia="Times New Roman" w:cstheme="minorHAnsi"/>
          <w:lang w:eastAsia="fr-FR"/>
        </w:rPr>
        <w:t>Cet appui s’</w:t>
      </w:r>
      <w:r w:rsidR="00F5410E">
        <w:rPr>
          <w:rFonts w:eastAsia="Times New Roman" w:cstheme="minorHAnsi"/>
          <w:lang w:eastAsia="fr-FR"/>
        </w:rPr>
        <w:t>est attachée</w:t>
      </w:r>
      <w:r w:rsidRPr="00AB2071">
        <w:rPr>
          <w:rFonts w:eastAsia="Times New Roman" w:cstheme="minorHAnsi"/>
          <w:lang w:eastAsia="fr-FR"/>
        </w:rPr>
        <w:t xml:space="preserve"> plus </w:t>
      </w:r>
      <w:r w:rsidR="006559E4" w:rsidRPr="00AB2071">
        <w:rPr>
          <w:rFonts w:eastAsia="Times New Roman" w:cstheme="minorHAnsi"/>
          <w:lang w:eastAsia="fr-FR"/>
        </w:rPr>
        <w:t>particulièrement</w:t>
      </w:r>
      <w:r w:rsidRPr="00AB2071">
        <w:rPr>
          <w:rFonts w:eastAsia="Times New Roman" w:cstheme="minorHAnsi"/>
          <w:lang w:eastAsia="fr-FR"/>
        </w:rPr>
        <w:t xml:space="preserve"> dans une </w:t>
      </w:r>
      <w:r w:rsidR="006559E4" w:rsidRPr="00AB2071">
        <w:rPr>
          <w:rFonts w:eastAsia="Times New Roman" w:cstheme="minorHAnsi"/>
          <w:lang w:eastAsia="fr-FR"/>
        </w:rPr>
        <w:t>première</w:t>
      </w:r>
      <w:r w:rsidRPr="00AB2071">
        <w:rPr>
          <w:rFonts w:eastAsia="Times New Roman" w:cstheme="minorHAnsi"/>
          <w:lang w:eastAsia="fr-FR"/>
        </w:rPr>
        <w:t xml:space="preserve"> phase à appuyer la structuration de cette </w:t>
      </w:r>
      <w:r w:rsidR="006559E4" w:rsidRPr="00AB2071">
        <w:rPr>
          <w:rFonts w:eastAsia="Times New Roman" w:cstheme="minorHAnsi"/>
          <w:lang w:eastAsia="fr-FR"/>
        </w:rPr>
        <w:t>réforme</w:t>
      </w:r>
      <w:r w:rsidRPr="00AB2071">
        <w:rPr>
          <w:rFonts w:eastAsia="Times New Roman" w:cstheme="minorHAnsi"/>
          <w:lang w:eastAsia="fr-FR"/>
        </w:rPr>
        <w:t xml:space="preserve"> par un accompagnement des </w:t>
      </w:r>
      <w:r w:rsidR="006559E4" w:rsidRPr="00AB2071">
        <w:rPr>
          <w:rFonts w:eastAsia="Times New Roman" w:cstheme="minorHAnsi"/>
          <w:lang w:eastAsia="fr-FR"/>
        </w:rPr>
        <w:t>autorités</w:t>
      </w:r>
      <w:r w:rsidRPr="00AB2071">
        <w:rPr>
          <w:rFonts w:eastAsia="Times New Roman" w:cstheme="minorHAnsi"/>
          <w:lang w:eastAsia="fr-FR"/>
        </w:rPr>
        <w:t xml:space="preserve"> locales dans la finalisation du plan d’action et la mise en place d’un cadre de suivi des </w:t>
      </w:r>
      <w:r w:rsidR="006559E4" w:rsidRPr="00AB2071">
        <w:rPr>
          <w:rFonts w:eastAsia="Times New Roman" w:cstheme="minorHAnsi"/>
          <w:lang w:eastAsia="fr-FR"/>
        </w:rPr>
        <w:t>résultats</w:t>
      </w:r>
      <w:r w:rsidRPr="00AB2071">
        <w:rPr>
          <w:rFonts w:eastAsia="Times New Roman" w:cstheme="minorHAnsi"/>
          <w:lang w:eastAsia="fr-FR"/>
        </w:rPr>
        <w:t xml:space="preserve">. Une seconde phase se concentre sur la mise en œuvre de la </w:t>
      </w:r>
      <w:r w:rsidR="006559E4" w:rsidRPr="00AB2071">
        <w:rPr>
          <w:rFonts w:eastAsia="Times New Roman" w:cstheme="minorHAnsi"/>
          <w:lang w:eastAsia="fr-FR"/>
        </w:rPr>
        <w:t>réforme</w:t>
      </w:r>
      <w:r w:rsidRPr="00AB2071">
        <w:rPr>
          <w:rFonts w:eastAsia="Times New Roman" w:cstheme="minorHAnsi"/>
          <w:lang w:eastAsia="fr-FR"/>
        </w:rPr>
        <w:t xml:space="preserve"> à travers </w:t>
      </w:r>
      <w:r>
        <w:rPr>
          <w:rFonts w:eastAsia="Times New Roman" w:cstheme="minorHAnsi"/>
          <w:lang w:eastAsia="fr-FR"/>
        </w:rPr>
        <w:t>l’implémentation</w:t>
      </w:r>
      <w:r w:rsidRPr="00AB2071">
        <w:rPr>
          <w:rFonts w:eastAsia="Times New Roman" w:cstheme="minorHAnsi"/>
          <w:lang w:eastAsia="fr-FR"/>
        </w:rPr>
        <w:t xml:space="preserve"> de certains axes issus du plan d’action et choisis en concertation avec les </w:t>
      </w:r>
      <w:r w:rsidR="006559E4" w:rsidRPr="00AB2071">
        <w:rPr>
          <w:rFonts w:eastAsia="Times New Roman" w:cstheme="minorHAnsi"/>
          <w:lang w:eastAsia="fr-FR"/>
        </w:rPr>
        <w:t>autorités</w:t>
      </w:r>
      <w:r w:rsidRPr="00AB2071">
        <w:rPr>
          <w:rFonts w:eastAsia="Times New Roman" w:cstheme="minorHAnsi"/>
          <w:lang w:eastAsia="fr-FR"/>
        </w:rPr>
        <w:t xml:space="preserve"> locales et l’AFD. Le projet est </w:t>
      </w:r>
      <w:r w:rsidR="006559E4" w:rsidRPr="00AB2071">
        <w:rPr>
          <w:rFonts w:eastAsia="Times New Roman" w:cstheme="minorHAnsi"/>
          <w:lang w:eastAsia="fr-FR"/>
        </w:rPr>
        <w:t>décliné</w:t>
      </w:r>
      <w:r w:rsidRPr="00AB2071">
        <w:rPr>
          <w:rFonts w:eastAsia="Times New Roman" w:cstheme="minorHAnsi"/>
          <w:lang w:eastAsia="fr-FR"/>
        </w:rPr>
        <w:t xml:space="preserve">́ en quatre composantes : </w:t>
      </w:r>
    </w:p>
    <w:p w14:paraId="0DC903B3" w14:textId="1E8880F0" w:rsidR="00173A05" w:rsidRPr="00AB2071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B2071">
        <w:rPr>
          <w:rFonts w:eastAsia="Times New Roman" w:cstheme="minorHAnsi"/>
          <w:lang w:eastAsia="fr-FR"/>
        </w:rPr>
        <w:t xml:space="preserve">Phase 1 – Structuration de la </w:t>
      </w:r>
      <w:r w:rsidR="006559E4" w:rsidRPr="00AB2071">
        <w:rPr>
          <w:rFonts w:eastAsia="Times New Roman" w:cstheme="minorHAnsi"/>
          <w:lang w:eastAsia="fr-FR"/>
        </w:rPr>
        <w:t>réforme</w:t>
      </w:r>
      <w:r w:rsidRPr="00AB2071">
        <w:rPr>
          <w:rFonts w:eastAsia="Times New Roman" w:cstheme="minorHAnsi"/>
          <w:lang w:eastAsia="fr-FR"/>
        </w:rPr>
        <w:t xml:space="preserve"> </w:t>
      </w:r>
    </w:p>
    <w:p w14:paraId="739FA1B2" w14:textId="5019D36B" w:rsidR="00173A05" w:rsidRPr="00AB2071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B2071">
        <w:rPr>
          <w:rFonts w:eastAsia="Times New Roman" w:cstheme="minorHAnsi"/>
          <w:lang w:eastAsia="fr-FR"/>
        </w:rPr>
        <w:t xml:space="preserve">Composante 1 : Appuyer les </w:t>
      </w:r>
      <w:r w:rsidR="006559E4" w:rsidRPr="00AB2071">
        <w:rPr>
          <w:rFonts w:eastAsia="Times New Roman" w:cstheme="minorHAnsi"/>
          <w:lang w:eastAsia="fr-FR"/>
        </w:rPr>
        <w:t>autorités</w:t>
      </w:r>
      <w:r w:rsidRPr="00AB2071">
        <w:rPr>
          <w:rFonts w:eastAsia="Times New Roman" w:cstheme="minorHAnsi"/>
          <w:lang w:eastAsia="fr-FR"/>
        </w:rPr>
        <w:t xml:space="preserve"> libanaises dans la structuration et le suivi de la </w:t>
      </w:r>
      <w:r w:rsidR="006559E4">
        <w:rPr>
          <w:rFonts w:eastAsia="Times New Roman" w:cstheme="minorHAnsi"/>
          <w:lang w:eastAsia="fr-FR"/>
        </w:rPr>
        <w:t>réforme</w:t>
      </w:r>
      <w:r w:rsidRPr="00AB2071">
        <w:rPr>
          <w:rFonts w:eastAsia="Times New Roman" w:cstheme="minorHAnsi"/>
          <w:lang w:eastAsia="fr-FR"/>
        </w:rPr>
        <w:t xml:space="preserve">. </w:t>
      </w:r>
    </w:p>
    <w:p w14:paraId="4E0B284B" w14:textId="14021CBA" w:rsidR="00173A05" w:rsidRPr="00AB2071" w:rsidRDefault="00173A05" w:rsidP="00173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B2071">
        <w:rPr>
          <w:rFonts w:eastAsia="Times New Roman" w:cstheme="minorHAnsi"/>
          <w:lang w:eastAsia="fr-FR"/>
        </w:rPr>
        <w:t xml:space="preserve">Phase 2 – Mise en œuvre et suivi de la </w:t>
      </w:r>
      <w:r w:rsidR="006559E4" w:rsidRPr="00AB2071">
        <w:rPr>
          <w:rFonts w:eastAsia="Times New Roman" w:cstheme="minorHAnsi"/>
          <w:lang w:eastAsia="fr-FR"/>
        </w:rPr>
        <w:t>réforme</w:t>
      </w:r>
      <w:r w:rsidRPr="00AB2071">
        <w:rPr>
          <w:rFonts w:eastAsia="Times New Roman" w:cstheme="minorHAnsi"/>
          <w:lang w:eastAsia="fr-FR"/>
        </w:rPr>
        <w:t xml:space="preserve"> </w:t>
      </w:r>
    </w:p>
    <w:p w14:paraId="1D159E30" w14:textId="36CE9A8D" w:rsidR="00173A05" w:rsidRDefault="00173A05" w:rsidP="00173A05">
      <w:pPr>
        <w:pStyle w:val="Sansinterligne"/>
        <w:rPr>
          <w:lang w:eastAsia="fr-FR"/>
        </w:rPr>
      </w:pPr>
      <w:r w:rsidRPr="00AB2071">
        <w:rPr>
          <w:lang w:eastAsia="fr-FR"/>
        </w:rPr>
        <w:t xml:space="preserve">Composante 2 : </w:t>
      </w:r>
      <w:r w:rsidR="006559E4" w:rsidRPr="00AB2071">
        <w:rPr>
          <w:lang w:eastAsia="fr-FR"/>
        </w:rPr>
        <w:t>Décliner</w:t>
      </w:r>
      <w:r w:rsidRPr="00AB2071">
        <w:rPr>
          <w:lang w:eastAsia="fr-FR"/>
        </w:rPr>
        <w:t xml:space="preserve"> le cadre </w:t>
      </w:r>
      <w:r w:rsidR="006559E4" w:rsidRPr="00AB2071">
        <w:rPr>
          <w:lang w:eastAsia="fr-FR"/>
        </w:rPr>
        <w:t>légal</w:t>
      </w:r>
      <w:r w:rsidRPr="00AB2071">
        <w:rPr>
          <w:lang w:eastAsia="fr-FR"/>
        </w:rPr>
        <w:t xml:space="preserve"> et </w:t>
      </w:r>
      <w:r w:rsidR="006559E4" w:rsidRPr="00AB2071">
        <w:rPr>
          <w:lang w:eastAsia="fr-FR"/>
        </w:rPr>
        <w:t>réglementaire</w:t>
      </w:r>
      <w:r w:rsidRPr="00AB2071">
        <w:rPr>
          <w:lang w:eastAsia="fr-FR"/>
        </w:rPr>
        <w:t xml:space="preserve"> sur le plan </w:t>
      </w:r>
      <w:r w:rsidR="006559E4" w:rsidRPr="00AB2071">
        <w:rPr>
          <w:lang w:eastAsia="fr-FR"/>
        </w:rPr>
        <w:t>opérationnel</w:t>
      </w:r>
      <w:r w:rsidRPr="00AB2071">
        <w:rPr>
          <w:lang w:eastAsia="fr-FR"/>
        </w:rPr>
        <w:t xml:space="preserve"> ; </w:t>
      </w:r>
    </w:p>
    <w:p w14:paraId="61626237" w14:textId="77777777" w:rsidR="00173A05" w:rsidRDefault="00173A05" w:rsidP="00173A05">
      <w:pPr>
        <w:pStyle w:val="Sansinterligne"/>
        <w:rPr>
          <w:lang w:eastAsia="fr-FR"/>
        </w:rPr>
      </w:pPr>
    </w:p>
    <w:p w14:paraId="165EBC76" w14:textId="78E86117" w:rsidR="00173A05" w:rsidRDefault="00173A05" w:rsidP="00173A05">
      <w:pPr>
        <w:pStyle w:val="Sansinterligne"/>
        <w:rPr>
          <w:lang w:eastAsia="fr-FR"/>
        </w:rPr>
      </w:pPr>
      <w:r w:rsidRPr="00AB2071">
        <w:rPr>
          <w:lang w:eastAsia="fr-FR"/>
        </w:rPr>
        <w:t xml:space="preserve">Composante 3 : Renforcer les </w:t>
      </w:r>
      <w:r w:rsidR="006559E4" w:rsidRPr="00AB2071">
        <w:rPr>
          <w:lang w:eastAsia="fr-FR"/>
        </w:rPr>
        <w:t>capacités</w:t>
      </w:r>
      <w:r w:rsidRPr="00AB2071">
        <w:rPr>
          <w:lang w:eastAsia="fr-FR"/>
        </w:rPr>
        <w:t xml:space="preserve"> des institutions et agents de la commande publique ;</w:t>
      </w:r>
    </w:p>
    <w:p w14:paraId="4B70C499" w14:textId="77777777" w:rsidR="00173A05" w:rsidRDefault="00173A05" w:rsidP="00173A05">
      <w:pPr>
        <w:pStyle w:val="Sansinterligne"/>
        <w:rPr>
          <w:lang w:eastAsia="fr-FR"/>
        </w:rPr>
      </w:pPr>
    </w:p>
    <w:p w14:paraId="4032F13B" w14:textId="7A015982" w:rsidR="00173A05" w:rsidRPr="00AB2071" w:rsidRDefault="00173A05" w:rsidP="00173A05">
      <w:pPr>
        <w:pStyle w:val="Sansinterligne"/>
        <w:rPr>
          <w:lang w:eastAsia="fr-FR"/>
        </w:rPr>
      </w:pPr>
      <w:r w:rsidRPr="00AB2071">
        <w:rPr>
          <w:lang w:eastAsia="fr-FR"/>
        </w:rPr>
        <w:t>Composante 4 : Améliorer la transparence et l’</w:t>
      </w:r>
      <w:r w:rsidR="006559E4" w:rsidRPr="00AB2071">
        <w:rPr>
          <w:lang w:eastAsia="fr-FR"/>
        </w:rPr>
        <w:t>intégrité</w:t>
      </w:r>
      <w:r w:rsidRPr="00AB2071">
        <w:rPr>
          <w:lang w:eastAsia="fr-FR"/>
        </w:rPr>
        <w:t xml:space="preserve">́ du </w:t>
      </w:r>
      <w:r w:rsidR="006559E4" w:rsidRPr="00AB2071">
        <w:rPr>
          <w:lang w:eastAsia="fr-FR"/>
        </w:rPr>
        <w:t>système</w:t>
      </w:r>
      <w:r w:rsidRPr="00AB2071">
        <w:rPr>
          <w:lang w:eastAsia="fr-FR"/>
        </w:rPr>
        <w:t xml:space="preserve">. </w:t>
      </w:r>
    </w:p>
    <w:p w14:paraId="7D5D417E" w14:textId="77777777" w:rsidR="00173A05" w:rsidRDefault="00173A05" w:rsidP="00173A05">
      <w:pPr>
        <w:jc w:val="both"/>
        <w:rPr>
          <w:rFonts w:cstheme="minorHAnsi"/>
          <w:color w:val="000000" w:themeColor="text1"/>
        </w:rPr>
      </w:pPr>
    </w:p>
    <w:p w14:paraId="7DA66F89" w14:textId="77777777" w:rsidR="00173A05" w:rsidRDefault="00173A05" w:rsidP="00173A0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 parallèle de cet appui d’Expertise France et de l’AFD, deux bailleurs de fonds internationaux apportent leur soutien à la composante e-procurement :</w:t>
      </w:r>
    </w:p>
    <w:p w14:paraId="7511E935" w14:textId="77777777" w:rsidR="00173A05" w:rsidRDefault="00173A05" w:rsidP="00173A0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 la Banque Mondiale, via le Global </w:t>
      </w:r>
      <w:proofErr w:type="spellStart"/>
      <w:r>
        <w:rPr>
          <w:rFonts w:cstheme="minorHAnsi"/>
          <w:color w:val="000000" w:themeColor="text1"/>
        </w:rPr>
        <w:t>Procurement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Parthership</w:t>
      </w:r>
      <w:proofErr w:type="spellEnd"/>
      <w:r>
        <w:rPr>
          <w:rFonts w:cstheme="minorHAnsi"/>
          <w:color w:val="000000" w:themeColor="text1"/>
        </w:rPr>
        <w:t>, à partir du mois de juin 2022 et jusqu’en juin 2023,</w:t>
      </w:r>
    </w:p>
    <w:p w14:paraId="4B2C7BA2" w14:textId="77777777" w:rsidR="00173A05" w:rsidRDefault="00173A05" w:rsidP="00173A0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l’Union européenne, à partir de juin 2023.</w:t>
      </w:r>
    </w:p>
    <w:p w14:paraId="7601EACF" w14:textId="77777777" w:rsidR="008B56EC" w:rsidRPr="008B56EC" w:rsidRDefault="008B56EC" w:rsidP="008B56EC">
      <w:pPr>
        <w:spacing w:after="240"/>
        <w:jc w:val="both"/>
        <w:rPr>
          <w:rFonts w:cstheme="minorHAnsi"/>
        </w:rPr>
      </w:pPr>
    </w:p>
    <w:p w14:paraId="448C5E37" w14:textId="77777777" w:rsidR="000E1C57" w:rsidRPr="00BD18ED" w:rsidRDefault="000E1C57" w:rsidP="000E1C57">
      <w:pPr>
        <w:pStyle w:val="EXP-Titre1"/>
      </w:pPr>
      <w:r w:rsidRPr="00BD18ED">
        <w:t>II. OBJECTIFS</w:t>
      </w:r>
    </w:p>
    <w:p w14:paraId="58074D07" w14:textId="22048606" w:rsidR="000E1C57" w:rsidRDefault="000E1C57" w:rsidP="00A65181">
      <w:pPr>
        <w:pStyle w:val="Sansinterligne"/>
        <w:jc w:val="both"/>
      </w:pPr>
      <w:r w:rsidRPr="00916A64">
        <w:t xml:space="preserve">Dans le contexte développé précédemment et pour accompagner la dynamique de réformes en cours, </w:t>
      </w:r>
      <w:r w:rsidR="00A65181">
        <w:t>visant</w:t>
      </w:r>
      <w:r w:rsidRPr="00916A64">
        <w:t xml:space="preserve"> à soutenir la réforme de la commande publique au Liban, ce projet s’attachera plus particulièrement </w:t>
      </w:r>
      <w:r w:rsidR="00593142">
        <w:t>à assister l’Autorité des achats publics dans la structuration de la fonction d’audit et de contrôle interne</w:t>
      </w:r>
      <w:r w:rsidR="00A65181">
        <w:t>s</w:t>
      </w:r>
      <w:r w:rsidR="005135E6">
        <w:t xml:space="preserve"> dans les entités contractantes</w:t>
      </w:r>
      <w:r w:rsidR="00593142">
        <w:t>.</w:t>
      </w:r>
    </w:p>
    <w:p w14:paraId="0B072671" w14:textId="16B3A8AC" w:rsidR="00A65181" w:rsidRDefault="00A65181" w:rsidP="00A65181">
      <w:pPr>
        <w:pStyle w:val="Sansinterligne"/>
        <w:jc w:val="both"/>
      </w:pPr>
    </w:p>
    <w:p w14:paraId="71AA93C1" w14:textId="2966D1B5" w:rsidR="00740B05" w:rsidRDefault="00740B05" w:rsidP="000E1C57">
      <w:pPr>
        <w:tabs>
          <w:tab w:val="left" w:pos="1080"/>
          <w:tab w:val="left" w:pos="1800"/>
          <w:tab w:val="left" w:pos="252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Les activités de la composante 4 concernées sont les suivantes :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0B05" w:rsidRPr="00EC4AB9" w14:paraId="141F6ED1" w14:textId="77777777" w:rsidTr="00A77E34">
        <w:trPr>
          <w:trHeight w:val="525"/>
        </w:trPr>
        <w:tc>
          <w:tcPr>
            <w:tcW w:w="9072" w:type="dxa"/>
            <w:shd w:val="clear" w:color="auto" w:fill="1F4E79" w:themeFill="accent1" w:themeFillShade="80"/>
          </w:tcPr>
          <w:p w14:paraId="726B2961" w14:textId="77777777" w:rsidR="00740B05" w:rsidRPr="00EC4AB9" w:rsidRDefault="00740B05" w:rsidP="00A77E34">
            <w:pPr>
              <w:spacing w:before="24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Activité 4.1</w:t>
            </w:r>
            <w:r w:rsidRPr="00EC4AB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Réalisation d’une cartographie des risques dans les entités contractantes</w:t>
            </w:r>
          </w:p>
        </w:tc>
      </w:tr>
    </w:tbl>
    <w:tbl>
      <w:tblPr>
        <w:tblW w:w="905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842"/>
        <w:gridCol w:w="7208"/>
      </w:tblGrid>
      <w:tr w:rsidR="00740B05" w:rsidRPr="00EC4AB9" w14:paraId="2CB33CD3" w14:textId="77777777" w:rsidTr="00A77E34">
        <w:trPr>
          <w:trHeight w:val="754"/>
        </w:trPr>
        <w:tc>
          <w:tcPr>
            <w:tcW w:w="1842" w:type="dxa"/>
            <w:shd w:val="clear" w:color="auto" w:fill="4F81BD"/>
            <w:vAlign w:val="center"/>
          </w:tcPr>
          <w:p w14:paraId="14EB1614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Objectif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19BAC20D" w14:textId="77777777" w:rsidR="00740B05" w:rsidRPr="00EC4AB9" w:rsidRDefault="00740B05" w:rsidP="00A77E34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Obtenir un état des lieux des risques du système de la commande publique en mesurant l’impact et la probabilité</w:t>
            </w:r>
          </w:p>
        </w:tc>
      </w:tr>
      <w:tr w:rsidR="00740B05" w:rsidRPr="00EC4AB9" w14:paraId="19D3FA8B" w14:textId="77777777" w:rsidTr="00A77E34">
        <w:trPr>
          <w:trHeight w:val="789"/>
        </w:trPr>
        <w:tc>
          <w:tcPr>
            <w:tcW w:w="1842" w:type="dxa"/>
            <w:shd w:val="clear" w:color="auto" w:fill="4F81BD"/>
            <w:vAlign w:val="center"/>
          </w:tcPr>
          <w:p w14:paraId="733124CB" w14:textId="77777777" w:rsidR="00740B05" w:rsidRPr="00EC4AB9" w:rsidRDefault="00740B05" w:rsidP="00A77E34">
            <w:pPr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Description de l’action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3F5D7E27" w14:textId="77777777" w:rsidR="00740B05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Recenser les procédures</w:t>
            </w:r>
          </w:p>
          <w:p w14:paraId="00BD6222" w14:textId="77777777" w:rsidR="00740B05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Identifier les risques</w:t>
            </w:r>
          </w:p>
          <w:p w14:paraId="7C6A5C28" w14:textId="3D4D8D6E" w:rsidR="00740B05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Évaluer les risques</w:t>
            </w:r>
          </w:p>
          <w:p w14:paraId="175E7860" w14:textId="77777777" w:rsidR="00740B05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Proposer des recommandations pour réduire les risques</w:t>
            </w:r>
          </w:p>
          <w:p w14:paraId="1E3CB40C" w14:textId="77777777" w:rsidR="00740B05" w:rsidRPr="009A1829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Atelier de validation avec les bénéficiaires</w:t>
            </w:r>
          </w:p>
        </w:tc>
      </w:tr>
      <w:tr w:rsidR="00740B05" w:rsidRPr="00EC4AB9" w14:paraId="1A04CC38" w14:textId="77777777" w:rsidTr="00A77E34">
        <w:trPr>
          <w:trHeight w:val="469"/>
        </w:trPr>
        <w:tc>
          <w:tcPr>
            <w:tcW w:w="1842" w:type="dxa"/>
            <w:shd w:val="clear" w:color="auto" w:fill="4F81BD"/>
          </w:tcPr>
          <w:p w14:paraId="743F533A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Livrables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3C68C2C5" w14:textId="77777777" w:rsidR="00740B05" w:rsidRPr="00EC4AB9" w:rsidRDefault="00740B05" w:rsidP="00A77E34">
            <w:pPr>
              <w:spacing w:before="62"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Cartographie des risques</w:t>
            </w:r>
          </w:p>
        </w:tc>
      </w:tr>
      <w:tr w:rsidR="00740B05" w:rsidRPr="00EC4AB9" w14:paraId="6E5F96F1" w14:textId="77777777" w:rsidTr="00A77E34">
        <w:trPr>
          <w:trHeight w:val="593"/>
        </w:trPr>
        <w:tc>
          <w:tcPr>
            <w:tcW w:w="1842" w:type="dxa"/>
            <w:shd w:val="clear" w:color="auto" w:fill="4F81BD"/>
          </w:tcPr>
          <w:p w14:paraId="451B5337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Résultats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44543AC6" w14:textId="77777777" w:rsidR="00740B05" w:rsidRPr="00EC4AB9" w:rsidRDefault="00740B05" w:rsidP="00A77E34">
            <w:pPr>
              <w:spacing w:before="62"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Dans les entités contractantes, la cartographie sert de référence à l’élaboration d’un plan de réduction des risques</w:t>
            </w:r>
          </w:p>
        </w:tc>
      </w:tr>
      <w:tr w:rsidR="00740B05" w:rsidRPr="00EC4AB9" w14:paraId="5BB78816" w14:textId="77777777" w:rsidTr="00A77E34">
        <w:trPr>
          <w:trHeight w:val="730"/>
        </w:trPr>
        <w:tc>
          <w:tcPr>
            <w:tcW w:w="1842" w:type="dxa"/>
            <w:shd w:val="clear" w:color="auto" w:fill="4F81BD"/>
          </w:tcPr>
          <w:p w14:paraId="642E93A9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A113B1">
              <w:rPr>
                <w:rFonts w:eastAsia="Times New Roman" w:cstheme="minorHAnsi"/>
                <w:b/>
                <w:color w:val="FFFFFF"/>
                <w:lang w:eastAsia="fr-FR"/>
              </w:rPr>
              <w:t>Période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69E39AD3" w14:textId="77777777" w:rsidR="00740B05" w:rsidRPr="00EC4AB9" w:rsidRDefault="00740B05" w:rsidP="00A77E34">
            <w:pPr>
              <w:spacing w:before="238"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Septembre 2022 – Octobre 2022</w:t>
            </w:r>
          </w:p>
        </w:tc>
      </w:tr>
    </w:tbl>
    <w:p w14:paraId="3D639FCF" w14:textId="77777777" w:rsidR="00740B05" w:rsidRDefault="00740B05" w:rsidP="00740B05">
      <w:pPr>
        <w:pStyle w:val="Normal4"/>
        <w:spacing w:before="120" w:after="120" w:line="276" w:lineRule="auto"/>
        <w:ind w:left="0"/>
        <w:rPr>
          <w:rFonts w:asciiTheme="minorHAnsi" w:hAnsiTheme="minorHAnsi" w:cstheme="minorHAnsi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0B05" w:rsidRPr="00EC4AB9" w14:paraId="5DFDE7F1" w14:textId="77777777" w:rsidTr="00A77E34">
        <w:trPr>
          <w:trHeight w:val="525"/>
        </w:trPr>
        <w:tc>
          <w:tcPr>
            <w:tcW w:w="9072" w:type="dxa"/>
            <w:shd w:val="clear" w:color="auto" w:fill="1F4E79" w:themeFill="accent1" w:themeFillShade="80"/>
          </w:tcPr>
          <w:p w14:paraId="31F6A3FD" w14:textId="77777777" w:rsidR="00740B05" w:rsidRPr="00EC4AB9" w:rsidRDefault="00740B05" w:rsidP="00A77E34">
            <w:pPr>
              <w:spacing w:before="24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Activité 4.2</w:t>
            </w:r>
            <w:r w:rsidRPr="00EC4AB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Réalisation d’un audit interne dans trois entités pilotes contractantes</w:t>
            </w:r>
          </w:p>
        </w:tc>
      </w:tr>
    </w:tbl>
    <w:tbl>
      <w:tblPr>
        <w:tblW w:w="905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842"/>
        <w:gridCol w:w="7208"/>
      </w:tblGrid>
      <w:tr w:rsidR="00740B05" w:rsidRPr="00EC4AB9" w14:paraId="08767E9C" w14:textId="77777777" w:rsidTr="00A77E34">
        <w:trPr>
          <w:trHeight w:val="754"/>
        </w:trPr>
        <w:tc>
          <w:tcPr>
            <w:tcW w:w="1842" w:type="dxa"/>
            <w:shd w:val="clear" w:color="auto" w:fill="4F81BD"/>
            <w:vAlign w:val="center"/>
          </w:tcPr>
          <w:p w14:paraId="70B7E9E1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Objectif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5A945B11" w14:textId="77777777" w:rsidR="00740B05" w:rsidRPr="00EC4AB9" w:rsidRDefault="00740B05" w:rsidP="00A77E34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Vérifier la conformité des procédures d’achats publics</w:t>
            </w:r>
          </w:p>
        </w:tc>
      </w:tr>
      <w:tr w:rsidR="00740B05" w:rsidRPr="00EC4AB9" w14:paraId="43EBC968" w14:textId="77777777" w:rsidTr="00A77E34">
        <w:trPr>
          <w:trHeight w:val="789"/>
        </w:trPr>
        <w:tc>
          <w:tcPr>
            <w:tcW w:w="1842" w:type="dxa"/>
            <w:shd w:val="clear" w:color="auto" w:fill="4F81BD"/>
            <w:vAlign w:val="center"/>
          </w:tcPr>
          <w:p w14:paraId="44E3DB92" w14:textId="77777777" w:rsidR="00740B05" w:rsidRPr="00EC4AB9" w:rsidRDefault="00740B05" w:rsidP="00A77E34">
            <w:pPr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Description de l’action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746B5304" w14:textId="77777777" w:rsidR="00740B05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Identifier les trois entités pilotes contractantes pilotes</w:t>
            </w:r>
          </w:p>
          <w:p w14:paraId="545CBEA2" w14:textId="77777777" w:rsidR="00740B05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Appuyer l’autorité de la commande publique à réaliser les audits</w:t>
            </w:r>
          </w:p>
          <w:p w14:paraId="050A2233" w14:textId="6FAD680D" w:rsidR="00740B05" w:rsidRDefault="00A65181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Élaborer</w:t>
            </w:r>
            <w:r w:rsidR="00740B05">
              <w:rPr>
                <w:rFonts w:cstheme="minorHAnsi"/>
              </w:rPr>
              <w:t xml:space="preserve"> un plan d’action</w:t>
            </w:r>
          </w:p>
          <w:p w14:paraId="70CEADBB" w14:textId="77777777" w:rsidR="00740B05" w:rsidRPr="009A1829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Ateliers de restitution</w:t>
            </w:r>
          </w:p>
        </w:tc>
      </w:tr>
      <w:tr w:rsidR="00740B05" w:rsidRPr="00EC4AB9" w14:paraId="2FC87E60" w14:textId="77777777" w:rsidTr="00A77E34">
        <w:trPr>
          <w:trHeight w:val="469"/>
        </w:trPr>
        <w:tc>
          <w:tcPr>
            <w:tcW w:w="1842" w:type="dxa"/>
            <w:shd w:val="clear" w:color="auto" w:fill="4F81BD"/>
          </w:tcPr>
          <w:p w14:paraId="479A78F7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Livrables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0C1F81F0" w14:textId="77777777" w:rsidR="00740B05" w:rsidRPr="00EC4AB9" w:rsidRDefault="00740B05" w:rsidP="00A77E34">
            <w:pPr>
              <w:spacing w:before="62"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Rapports d’audit interne</w:t>
            </w:r>
          </w:p>
        </w:tc>
      </w:tr>
      <w:tr w:rsidR="00740B05" w:rsidRPr="00EC4AB9" w14:paraId="1F3BD8C8" w14:textId="77777777" w:rsidTr="00A77E34">
        <w:trPr>
          <w:trHeight w:val="593"/>
        </w:trPr>
        <w:tc>
          <w:tcPr>
            <w:tcW w:w="1842" w:type="dxa"/>
            <w:shd w:val="clear" w:color="auto" w:fill="4F81BD"/>
          </w:tcPr>
          <w:p w14:paraId="39A4E677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lastRenderedPageBreak/>
              <w:t>Résultats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062A48E9" w14:textId="77777777" w:rsidR="00740B05" w:rsidRPr="00EC4AB9" w:rsidRDefault="00740B05" w:rsidP="00A77E34">
            <w:pPr>
              <w:spacing w:before="62"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Les trois entités pilotes contractantes ont été auditées</w:t>
            </w:r>
          </w:p>
        </w:tc>
      </w:tr>
      <w:tr w:rsidR="00740B05" w:rsidRPr="00EC4AB9" w14:paraId="19E754B2" w14:textId="77777777" w:rsidTr="00A77E34">
        <w:trPr>
          <w:trHeight w:val="730"/>
        </w:trPr>
        <w:tc>
          <w:tcPr>
            <w:tcW w:w="1842" w:type="dxa"/>
            <w:shd w:val="clear" w:color="auto" w:fill="4F81BD"/>
          </w:tcPr>
          <w:p w14:paraId="55F824BB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A113B1">
              <w:rPr>
                <w:rFonts w:eastAsia="Times New Roman" w:cstheme="minorHAnsi"/>
                <w:b/>
                <w:color w:val="FFFFFF"/>
                <w:lang w:eastAsia="fr-FR"/>
              </w:rPr>
              <w:t>Période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2BA5FCFE" w14:textId="2155FEF2" w:rsidR="00740B05" w:rsidRPr="00EC4AB9" w:rsidRDefault="00A65181" w:rsidP="00A77E34">
            <w:pPr>
              <w:spacing w:before="238"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 xml:space="preserve">Mars 2023 – Avril </w:t>
            </w:r>
            <w:r w:rsidR="00740B05">
              <w:rPr>
                <w:rFonts w:eastAsia="Times New Roman" w:cstheme="minorHAnsi"/>
                <w:szCs w:val="24"/>
                <w:lang w:eastAsia="fr-FR"/>
              </w:rPr>
              <w:t>2023</w:t>
            </w:r>
          </w:p>
        </w:tc>
      </w:tr>
    </w:tbl>
    <w:p w14:paraId="25812AD5" w14:textId="77777777" w:rsidR="00740B05" w:rsidRDefault="00740B05" w:rsidP="00740B05">
      <w:pPr>
        <w:pStyle w:val="Normal4"/>
        <w:spacing w:before="120" w:after="120" w:line="276" w:lineRule="auto"/>
        <w:ind w:left="0"/>
        <w:rPr>
          <w:rFonts w:asciiTheme="minorHAnsi" w:hAnsiTheme="minorHAnsi" w:cstheme="minorHAnsi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0B05" w:rsidRPr="00EC4AB9" w14:paraId="427332FE" w14:textId="77777777" w:rsidTr="00A77E34">
        <w:trPr>
          <w:trHeight w:val="525"/>
        </w:trPr>
        <w:tc>
          <w:tcPr>
            <w:tcW w:w="9072" w:type="dxa"/>
            <w:shd w:val="clear" w:color="auto" w:fill="1F4E79" w:themeFill="accent1" w:themeFillShade="80"/>
          </w:tcPr>
          <w:p w14:paraId="6754FCCD" w14:textId="77777777" w:rsidR="00740B05" w:rsidRPr="00EC4AB9" w:rsidRDefault="00740B05" w:rsidP="00A77E34">
            <w:pPr>
              <w:spacing w:before="240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Activité 4.3</w:t>
            </w:r>
            <w:r w:rsidRPr="00EC4AB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Appui à la mise en œuvre du plan d’action des entités auditées</w:t>
            </w:r>
          </w:p>
        </w:tc>
      </w:tr>
    </w:tbl>
    <w:tbl>
      <w:tblPr>
        <w:tblW w:w="905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842"/>
        <w:gridCol w:w="7208"/>
      </w:tblGrid>
      <w:tr w:rsidR="00740B05" w:rsidRPr="00EC4AB9" w14:paraId="5C51CB20" w14:textId="77777777" w:rsidTr="00A77E34">
        <w:trPr>
          <w:trHeight w:val="754"/>
        </w:trPr>
        <w:tc>
          <w:tcPr>
            <w:tcW w:w="1842" w:type="dxa"/>
            <w:shd w:val="clear" w:color="auto" w:fill="4F81BD"/>
            <w:vAlign w:val="center"/>
          </w:tcPr>
          <w:p w14:paraId="5878110A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Objectif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11329383" w14:textId="77777777" w:rsidR="00740B05" w:rsidRPr="00EC4AB9" w:rsidRDefault="00740B05" w:rsidP="00A77E34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Améliorer la procédure d’achats publics au sein des cellules d’achat des entités pilotes</w:t>
            </w:r>
          </w:p>
        </w:tc>
      </w:tr>
      <w:tr w:rsidR="00740B05" w:rsidRPr="00EC4AB9" w14:paraId="57FC14F0" w14:textId="77777777" w:rsidTr="00A77E34">
        <w:trPr>
          <w:trHeight w:val="789"/>
        </w:trPr>
        <w:tc>
          <w:tcPr>
            <w:tcW w:w="1842" w:type="dxa"/>
            <w:shd w:val="clear" w:color="auto" w:fill="4F81BD"/>
            <w:vAlign w:val="center"/>
          </w:tcPr>
          <w:p w14:paraId="48EA6FDA" w14:textId="77777777" w:rsidR="00740B05" w:rsidRPr="00EC4AB9" w:rsidRDefault="00740B05" w:rsidP="00A77E34">
            <w:pPr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Description de l’action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64D1E73E" w14:textId="77777777" w:rsidR="00740B05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Lister les activités à réaliser</w:t>
            </w:r>
          </w:p>
          <w:p w14:paraId="63A128B0" w14:textId="77777777" w:rsidR="00740B05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Identifier les personnels impliqués</w:t>
            </w:r>
          </w:p>
          <w:p w14:paraId="38A2C8BF" w14:textId="77777777" w:rsidR="00740B05" w:rsidRPr="009A1829" w:rsidRDefault="00740B05" w:rsidP="00740B05">
            <w:pPr>
              <w:pStyle w:val="Paragraphedeliste"/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Fixer la période de mise en œuvre</w:t>
            </w:r>
          </w:p>
        </w:tc>
      </w:tr>
      <w:tr w:rsidR="00740B05" w:rsidRPr="00EC4AB9" w14:paraId="5BC2AC67" w14:textId="77777777" w:rsidTr="00A77E34">
        <w:trPr>
          <w:trHeight w:val="469"/>
        </w:trPr>
        <w:tc>
          <w:tcPr>
            <w:tcW w:w="1842" w:type="dxa"/>
            <w:shd w:val="clear" w:color="auto" w:fill="4F81BD"/>
          </w:tcPr>
          <w:p w14:paraId="7CBC14F3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Livrables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567C9F58" w14:textId="77777777" w:rsidR="00740B05" w:rsidRPr="003647EE" w:rsidRDefault="00740B05" w:rsidP="00A77E34">
            <w:pPr>
              <w:spacing w:before="62"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3647EE">
              <w:rPr>
                <w:rFonts w:eastAsia="Times New Roman" w:cstheme="minorHAnsi"/>
                <w:szCs w:val="24"/>
                <w:lang w:eastAsia="fr-FR"/>
              </w:rPr>
              <w:t>Plans d'action pour la levée des recommandations de l'audit interne</w:t>
            </w:r>
          </w:p>
          <w:p w14:paraId="05F9D08F" w14:textId="77777777" w:rsidR="00740B05" w:rsidRPr="00EC4AB9" w:rsidRDefault="00740B05" w:rsidP="00A77E34">
            <w:pPr>
              <w:spacing w:before="62"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 w:rsidRPr="003647EE">
              <w:rPr>
                <w:rFonts w:eastAsia="Times New Roman" w:cstheme="minorHAnsi"/>
                <w:szCs w:val="24"/>
                <w:lang w:eastAsia="fr-FR"/>
              </w:rPr>
              <w:t>Rapports de mise en œuvre des recommandations</w:t>
            </w:r>
          </w:p>
        </w:tc>
      </w:tr>
      <w:tr w:rsidR="00740B05" w:rsidRPr="00EC4AB9" w14:paraId="3775DD25" w14:textId="77777777" w:rsidTr="00A77E34">
        <w:trPr>
          <w:trHeight w:val="593"/>
        </w:trPr>
        <w:tc>
          <w:tcPr>
            <w:tcW w:w="1842" w:type="dxa"/>
            <w:shd w:val="clear" w:color="auto" w:fill="4F81BD"/>
          </w:tcPr>
          <w:p w14:paraId="565CDCEF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C4AB9">
              <w:rPr>
                <w:rFonts w:eastAsia="Times New Roman" w:cstheme="minorHAnsi"/>
                <w:b/>
                <w:color w:val="FFFFFF"/>
                <w:lang w:eastAsia="fr-FR"/>
              </w:rPr>
              <w:t>Résultats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43949DC8" w14:textId="77777777" w:rsidR="00740B05" w:rsidRPr="00EC4AB9" w:rsidRDefault="00740B05" w:rsidP="00A77E34">
            <w:pPr>
              <w:spacing w:before="62"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Des actions sont menées dans les entités auditées pour répondre aux recommandations émises suite à l’audit interne.</w:t>
            </w:r>
          </w:p>
        </w:tc>
      </w:tr>
      <w:tr w:rsidR="00740B05" w:rsidRPr="00EC4AB9" w14:paraId="2531A18B" w14:textId="77777777" w:rsidTr="00A77E34">
        <w:trPr>
          <w:trHeight w:val="730"/>
        </w:trPr>
        <w:tc>
          <w:tcPr>
            <w:tcW w:w="1842" w:type="dxa"/>
            <w:shd w:val="clear" w:color="auto" w:fill="4F81BD"/>
          </w:tcPr>
          <w:p w14:paraId="3FB1A5F7" w14:textId="77777777" w:rsidR="00740B05" w:rsidRPr="00EC4AB9" w:rsidRDefault="00740B05" w:rsidP="00A77E34">
            <w:pPr>
              <w:spacing w:before="240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A113B1">
              <w:rPr>
                <w:rFonts w:eastAsia="Times New Roman" w:cstheme="minorHAnsi"/>
                <w:b/>
                <w:color w:val="FFFFFF"/>
                <w:lang w:eastAsia="fr-FR"/>
              </w:rPr>
              <w:t>Période</w:t>
            </w:r>
          </w:p>
        </w:tc>
        <w:tc>
          <w:tcPr>
            <w:tcW w:w="7208" w:type="dxa"/>
            <w:shd w:val="clear" w:color="auto" w:fill="DEEAF6" w:themeFill="accent1" w:themeFillTint="33"/>
            <w:vAlign w:val="center"/>
          </w:tcPr>
          <w:p w14:paraId="1D38C030" w14:textId="428DE920" w:rsidR="00740B05" w:rsidRPr="00EC4AB9" w:rsidRDefault="005135E6" w:rsidP="00A77E34">
            <w:pPr>
              <w:spacing w:before="238"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Juin</w:t>
            </w:r>
            <w:r w:rsidR="00740B05">
              <w:rPr>
                <w:rFonts w:eastAsia="Times New Roman" w:cstheme="minorHAnsi"/>
                <w:szCs w:val="24"/>
                <w:lang w:eastAsia="fr-FR"/>
              </w:rPr>
              <w:t xml:space="preserve"> 2023 – </w:t>
            </w:r>
            <w:r>
              <w:rPr>
                <w:rFonts w:eastAsia="Times New Roman" w:cstheme="minorHAnsi"/>
                <w:szCs w:val="24"/>
                <w:lang w:eastAsia="fr-FR"/>
              </w:rPr>
              <w:t>Juillet</w:t>
            </w:r>
            <w:r w:rsidR="00740B05">
              <w:rPr>
                <w:rFonts w:eastAsia="Times New Roman" w:cstheme="minorHAnsi"/>
                <w:szCs w:val="24"/>
                <w:lang w:eastAsia="fr-FR"/>
              </w:rPr>
              <w:t xml:space="preserve"> 2023</w:t>
            </w:r>
          </w:p>
        </w:tc>
      </w:tr>
    </w:tbl>
    <w:p w14:paraId="33EAEFF5" w14:textId="77777777" w:rsidR="008E3FB2" w:rsidRPr="000E0D3B" w:rsidRDefault="008E3FB2" w:rsidP="008E3FB2">
      <w:pPr>
        <w:spacing w:after="0"/>
        <w:jc w:val="both"/>
        <w:rPr>
          <w:rFonts w:asciiTheme="majorHAnsi" w:hAnsiTheme="majorHAnsi" w:cstheme="majorHAnsi"/>
        </w:rPr>
      </w:pPr>
    </w:p>
    <w:p w14:paraId="57046497" w14:textId="77777777" w:rsidR="008E3FB2" w:rsidRPr="000E0D3B" w:rsidRDefault="008E3FB2" w:rsidP="008E3FB2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E0D3B">
        <w:rPr>
          <w:rFonts w:asciiTheme="majorHAnsi" w:hAnsiTheme="majorHAnsi" w:cstheme="majorHAnsi"/>
          <w:b/>
          <w:sz w:val="24"/>
          <w:szCs w:val="24"/>
        </w:rPr>
        <w:t>Objectifs et résultats attendus</w:t>
      </w:r>
      <w:r>
        <w:rPr>
          <w:rFonts w:asciiTheme="majorHAnsi" w:hAnsiTheme="majorHAnsi" w:cstheme="majorHAnsi"/>
          <w:b/>
          <w:sz w:val="24"/>
          <w:szCs w:val="24"/>
        </w:rPr>
        <w:t xml:space="preserve"> de la mission</w:t>
      </w:r>
    </w:p>
    <w:p w14:paraId="5E93E5D9" w14:textId="77777777" w:rsidR="008E3FB2" w:rsidRDefault="008E3FB2" w:rsidP="008E3FB2">
      <w:pPr>
        <w:spacing w:after="0"/>
        <w:jc w:val="both"/>
        <w:rPr>
          <w:rFonts w:asciiTheme="majorHAnsi" w:hAnsiTheme="majorHAnsi" w:cstheme="majorHAnsi"/>
        </w:rPr>
      </w:pPr>
    </w:p>
    <w:p w14:paraId="04AEA1CE" w14:textId="53ECA213" w:rsidR="00593142" w:rsidRDefault="008E3FB2" w:rsidP="00BA169E">
      <w:pPr>
        <w:jc w:val="both"/>
        <w:rPr>
          <w:rFonts w:cstheme="minorHAnsi"/>
          <w:bCs/>
          <w:iCs/>
        </w:rPr>
      </w:pPr>
      <w:r w:rsidRPr="00C81DE2">
        <w:rPr>
          <w:rFonts w:cstheme="minorHAnsi"/>
          <w:bCs/>
          <w:iCs/>
        </w:rPr>
        <w:lastRenderedPageBreak/>
        <w:t>Afin de m</w:t>
      </w:r>
      <w:r>
        <w:rPr>
          <w:rFonts w:cstheme="minorHAnsi"/>
          <w:bCs/>
          <w:iCs/>
        </w:rPr>
        <w:t xml:space="preserve">ener à bien la mise en œuvre de la </w:t>
      </w:r>
      <w:r w:rsidR="006745F0">
        <w:rPr>
          <w:rFonts w:cstheme="minorHAnsi"/>
          <w:bCs/>
          <w:iCs/>
        </w:rPr>
        <w:t>quatrième</w:t>
      </w:r>
      <w:r>
        <w:rPr>
          <w:rFonts w:cstheme="minorHAnsi"/>
          <w:bCs/>
          <w:iCs/>
        </w:rPr>
        <w:t xml:space="preserve"> composante du p</w:t>
      </w:r>
      <w:r w:rsidR="000E3B67">
        <w:rPr>
          <w:rFonts w:cstheme="minorHAnsi"/>
          <w:bCs/>
          <w:iCs/>
        </w:rPr>
        <w:t xml:space="preserve">rojet portant sur l’amélioration </w:t>
      </w:r>
      <w:r w:rsidR="006745F0">
        <w:rPr>
          <w:rFonts w:cstheme="minorHAnsi"/>
          <w:bCs/>
          <w:iCs/>
        </w:rPr>
        <w:t>de la transparence et de l’intégrité du système</w:t>
      </w:r>
      <w:r w:rsidRPr="00C81DE2">
        <w:rPr>
          <w:rFonts w:cstheme="minorHAnsi"/>
          <w:bCs/>
          <w:iCs/>
        </w:rPr>
        <w:t xml:space="preserve">, Expertise France s’appuiera sur </w:t>
      </w:r>
      <w:r w:rsidR="00593142">
        <w:rPr>
          <w:rFonts w:cstheme="minorHAnsi"/>
          <w:bCs/>
          <w:iCs/>
        </w:rPr>
        <w:t>un</w:t>
      </w:r>
      <w:r w:rsidR="00234DD9">
        <w:rPr>
          <w:rFonts w:cstheme="minorHAnsi"/>
          <w:bCs/>
          <w:iCs/>
        </w:rPr>
        <w:t>(e)</w:t>
      </w:r>
      <w:r w:rsidR="00593142">
        <w:rPr>
          <w:rFonts w:cstheme="minorHAnsi"/>
          <w:bCs/>
          <w:iCs/>
        </w:rPr>
        <w:t xml:space="preserve"> expert</w:t>
      </w:r>
      <w:r w:rsidR="00234DD9">
        <w:rPr>
          <w:rFonts w:cstheme="minorHAnsi"/>
          <w:bCs/>
          <w:iCs/>
        </w:rPr>
        <w:t>(e)</w:t>
      </w:r>
      <w:r w:rsidR="00593142">
        <w:rPr>
          <w:rFonts w:cstheme="minorHAnsi"/>
          <w:bCs/>
          <w:iCs/>
        </w:rPr>
        <w:t xml:space="preserve"> </w:t>
      </w:r>
      <w:r w:rsidR="00696AEA">
        <w:rPr>
          <w:rFonts w:cstheme="minorHAnsi"/>
          <w:bCs/>
          <w:iCs/>
        </w:rPr>
        <w:t>référent</w:t>
      </w:r>
      <w:r w:rsidR="00234DD9">
        <w:rPr>
          <w:rFonts w:cstheme="minorHAnsi"/>
          <w:bCs/>
          <w:iCs/>
        </w:rPr>
        <w:t>(e)</w:t>
      </w:r>
      <w:r w:rsidR="00696AEA">
        <w:rPr>
          <w:rFonts w:cstheme="minorHAnsi"/>
          <w:bCs/>
          <w:iCs/>
        </w:rPr>
        <w:t xml:space="preserve"> </w:t>
      </w:r>
      <w:r w:rsidR="003E5518">
        <w:rPr>
          <w:rFonts w:cstheme="minorHAnsi"/>
          <w:bCs/>
          <w:iCs/>
        </w:rPr>
        <w:t xml:space="preserve">audit </w:t>
      </w:r>
      <w:r w:rsidR="00F83BC8">
        <w:rPr>
          <w:rFonts w:cstheme="minorHAnsi"/>
          <w:bCs/>
          <w:iCs/>
        </w:rPr>
        <w:t>de performance</w:t>
      </w:r>
      <w:r w:rsidR="00234DD9">
        <w:rPr>
          <w:rFonts w:cstheme="minorHAnsi"/>
          <w:bCs/>
          <w:iCs/>
        </w:rPr>
        <w:t>.</w:t>
      </w:r>
    </w:p>
    <w:p w14:paraId="585E23E1" w14:textId="35A1B262" w:rsidR="008E3FB2" w:rsidRDefault="003E5518" w:rsidP="00BA169E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Il</w:t>
      </w:r>
      <w:r w:rsidR="00234DD9">
        <w:rPr>
          <w:rFonts w:cstheme="minorHAnsi"/>
          <w:bCs/>
          <w:iCs/>
        </w:rPr>
        <w:t>(elle)</w:t>
      </w:r>
      <w:r>
        <w:rPr>
          <w:rFonts w:cstheme="minorHAnsi"/>
          <w:bCs/>
          <w:iCs/>
        </w:rPr>
        <w:t xml:space="preserve"> devr</w:t>
      </w:r>
      <w:r w:rsidR="00234DD9">
        <w:rPr>
          <w:rFonts w:cstheme="minorHAnsi"/>
          <w:bCs/>
          <w:iCs/>
        </w:rPr>
        <w:t>a</w:t>
      </w:r>
      <w:r w:rsidR="008E3FB2">
        <w:rPr>
          <w:rFonts w:cstheme="minorHAnsi"/>
          <w:bCs/>
          <w:iCs/>
        </w:rPr>
        <w:t xml:space="preserve"> appuyer l’équipe du projet dans la mise en œuvre des activités de </w:t>
      </w:r>
      <w:r w:rsidR="00696AEA">
        <w:rPr>
          <w:rFonts w:cstheme="minorHAnsi"/>
          <w:bCs/>
          <w:iCs/>
        </w:rPr>
        <w:t xml:space="preserve">la composante </w:t>
      </w:r>
      <w:r>
        <w:rPr>
          <w:rFonts w:cstheme="minorHAnsi"/>
          <w:bCs/>
          <w:iCs/>
        </w:rPr>
        <w:t>4</w:t>
      </w:r>
      <w:r w:rsidR="008E3FB2">
        <w:rPr>
          <w:rFonts w:cstheme="minorHAnsi"/>
          <w:bCs/>
          <w:iCs/>
        </w:rPr>
        <w:t>.</w:t>
      </w:r>
    </w:p>
    <w:p w14:paraId="1B9F8D95" w14:textId="79852A4D" w:rsidR="001949B9" w:rsidRDefault="008E3FB2" w:rsidP="00BA169E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Il</w:t>
      </w:r>
      <w:r w:rsidR="00234DD9">
        <w:rPr>
          <w:rFonts w:cstheme="minorHAnsi"/>
          <w:bCs/>
          <w:iCs/>
        </w:rPr>
        <w:t>(elle)</w:t>
      </w:r>
      <w:r>
        <w:rPr>
          <w:rFonts w:cstheme="minorHAnsi"/>
          <w:bCs/>
          <w:iCs/>
        </w:rPr>
        <w:t xml:space="preserve"> fournir</w:t>
      </w:r>
      <w:r w:rsidR="00234DD9">
        <w:rPr>
          <w:rFonts w:cstheme="minorHAnsi"/>
          <w:bCs/>
          <w:iCs/>
        </w:rPr>
        <w:t>a</w:t>
      </w:r>
      <w:r>
        <w:rPr>
          <w:rFonts w:cstheme="minorHAnsi"/>
          <w:bCs/>
          <w:iCs/>
        </w:rPr>
        <w:t xml:space="preserve"> une assistance technique sur </w:t>
      </w:r>
      <w:r w:rsidR="00696AEA">
        <w:rPr>
          <w:rFonts w:cstheme="minorHAnsi"/>
          <w:bCs/>
          <w:iCs/>
        </w:rPr>
        <w:t>l</w:t>
      </w:r>
      <w:r w:rsidR="00593142">
        <w:rPr>
          <w:rFonts w:cstheme="minorHAnsi"/>
          <w:bCs/>
          <w:iCs/>
        </w:rPr>
        <w:t>a mise en place de dispositifs d’audit et contrôle de la performance d</w:t>
      </w:r>
      <w:r>
        <w:rPr>
          <w:rFonts w:cstheme="minorHAnsi"/>
          <w:bCs/>
          <w:iCs/>
        </w:rPr>
        <w:t>e</w:t>
      </w:r>
      <w:r w:rsidR="00593142">
        <w:rPr>
          <w:rFonts w:cstheme="minorHAnsi"/>
          <w:bCs/>
          <w:iCs/>
        </w:rPr>
        <w:t xml:space="preserve"> la performance des processus de la commande publique</w:t>
      </w:r>
      <w:r>
        <w:rPr>
          <w:rFonts w:cstheme="minorHAnsi"/>
          <w:bCs/>
          <w:iCs/>
        </w:rPr>
        <w:t xml:space="preserve">. </w:t>
      </w:r>
    </w:p>
    <w:p w14:paraId="2E9360C8" w14:textId="79A0746E" w:rsidR="008E3FB2" w:rsidRDefault="008E3FB2" w:rsidP="00BA169E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Il</w:t>
      </w:r>
      <w:r w:rsidR="00234DD9">
        <w:rPr>
          <w:rFonts w:cstheme="minorHAnsi"/>
          <w:bCs/>
          <w:iCs/>
        </w:rPr>
        <w:t>(elle)</w:t>
      </w:r>
      <w:r>
        <w:rPr>
          <w:rFonts w:cstheme="minorHAnsi"/>
          <w:bCs/>
          <w:iCs/>
        </w:rPr>
        <w:t xml:space="preserve"> </w:t>
      </w:r>
      <w:r w:rsidR="00593142">
        <w:rPr>
          <w:rFonts w:cstheme="minorHAnsi"/>
          <w:bCs/>
          <w:iCs/>
        </w:rPr>
        <w:t>devr</w:t>
      </w:r>
      <w:r w:rsidR="00234DD9">
        <w:rPr>
          <w:rFonts w:cstheme="minorHAnsi"/>
          <w:bCs/>
          <w:iCs/>
        </w:rPr>
        <w:t>a</w:t>
      </w:r>
      <w:r>
        <w:rPr>
          <w:rFonts w:cstheme="minorHAnsi"/>
          <w:bCs/>
          <w:iCs/>
        </w:rPr>
        <w:t xml:space="preserve"> également apporter une vision transversale sur les différentes activités du projet. </w:t>
      </w:r>
    </w:p>
    <w:p w14:paraId="66F4B4AB" w14:textId="77777777" w:rsidR="008E3FB2" w:rsidRDefault="008E3FB2" w:rsidP="008E3FB2">
      <w:pPr>
        <w:spacing w:after="0"/>
        <w:jc w:val="both"/>
        <w:rPr>
          <w:rFonts w:asciiTheme="majorHAnsi" w:hAnsiTheme="majorHAnsi" w:cstheme="majorHAnsi"/>
        </w:rPr>
      </w:pPr>
    </w:p>
    <w:p w14:paraId="54C3E00F" w14:textId="77777777" w:rsidR="008E3FB2" w:rsidRPr="000348D8" w:rsidRDefault="008E3FB2" w:rsidP="008E3FB2">
      <w:pPr>
        <w:spacing w:after="0"/>
        <w:jc w:val="both"/>
        <w:rPr>
          <w:rFonts w:cstheme="minorHAnsi"/>
          <w:u w:val="single"/>
        </w:rPr>
      </w:pPr>
      <w:r w:rsidRPr="000348D8">
        <w:rPr>
          <w:rFonts w:cstheme="minorHAnsi"/>
          <w:u w:val="single"/>
        </w:rPr>
        <w:t>2.1 - Objectif général</w:t>
      </w:r>
    </w:p>
    <w:p w14:paraId="7977746A" w14:textId="77777777" w:rsidR="008E3FB2" w:rsidRPr="000E0D3B" w:rsidRDefault="008E3FB2" w:rsidP="008E3FB2">
      <w:pPr>
        <w:spacing w:after="0"/>
        <w:jc w:val="both"/>
        <w:rPr>
          <w:rFonts w:asciiTheme="majorHAnsi" w:hAnsiTheme="majorHAnsi" w:cstheme="majorHAnsi"/>
        </w:rPr>
      </w:pPr>
    </w:p>
    <w:p w14:paraId="76BA05F5" w14:textId="18C011F5" w:rsidR="00350834" w:rsidRDefault="008E3FB2" w:rsidP="00350834">
      <w:pPr>
        <w:spacing w:after="0"/>
        <w:jc w:val="both"/>
        <w:rPr>
          <w:rFonts w:cstheme="minorHAnsi"/>
        </w:rPr>
      </w:pPr>
      <w:r w:rsidRPr="00F054EC">
        <w:rPr>
          <w:rFonts w:cstheme="minorHAnsi"/>
        </w:rPr>
        <w:t xml:space="preserve">La mission d’expertise vise à soutenir </w:t>
      </w:r>
      <w:r w:rsidR="003E5518">
        <w:rPr>
          <w:rFonts w:cstheme="minorHAnsi"/>
        </w:rPr>
        <w:t>l’Autorité des achats publics dans la définition des procédures d’audit et de contrôle interne</w:t>
      </w:r>
      <w:r w:rsidR="009B2066">
        <w:rPr>
          <w:rFonts w:cstheme="minorHAnsi"/>
        </w:rPr>
        <w:t>s</w:t>
      </w:r>
      <w:r w:rsidR="005135E6">
        <w:rPr>
          <w:rFonts w:cstheme="minorHAnsi"/>
        </w:rPr>
        <w:t xml:space="preserve"> au sein des entités contractantes</w:t>
      </w:r>
      <w:r w:rsidR="003E5518">
        <w:rPr>
          <w:rFonts w:cstheme="minorHAnsi"/>
        </w:rPr>
        <w:t>.</w:t>
      </w:r>
    </w:p>
    <w:p w14:paraId="59838728" w14:textId="77777777" w:rsidR="00350834" w:rsidRDefault="00350834" w:rsidP="00350834">
      <w:pPr>
        <w:spacing w:after="0"/>
        <w:jc w:val="both"/>
        <w:rPr>
          <w:rFonts w:cstheme="minorHAnsi"/>
        </w:rPr>
      </w:pPr>
    </w:p>
    <w:p w14:paraId="25E4ECD0" w14:textId="77777777" w:rsidR="008E3FB2" w:rsidRPr="000348D8" w:rsidRDefault="00350834" w:rsidP="00350834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</w:rPr>
        <w:t>2.2</w:t>
      </w:r>
      <w:r w:rsidR="008E3FB2" w:rsidRPr="000348D8">
        <w:rPr>
          <w:rFonts w:cstheme="minorHAnsi"/>
          <w:u w:val="single"/>
        </w:rPr>
        <w:t>- Objectifs spécifiques</w:t>
      </w:r>
    </w:p>
    <w:p w14:paraId="5A5DB4E3" w14:textId="119F81F3" w:rsidR="008E3FB2" w:rsidRDefault="008E3FB2" w:rsidP="008E3FB2">
      <w:pPr>
        <w:spacing w:line="240" w:lineRule="auto"/>
        <w:ind w:right="85"/>
        <w:jc w:val="both"/>
        <w:rPr>
          <w:rFonts w:ascii="Calibri Light" w:hAnsi="Calibri Light" w:cs="Calibri Light"/>
        </w:rPr>
      </w:pPr>
    </w:p>
    <w:p w14:paraId="57F153B0" w14:textId="21E30462" w:rsidR="008E3FB2" w:rsidRPr="00DD1946" w:rsidRDefault="008E3FB2" w:rsidP="008E3FB2">
      <w:pPr>
        <w:spacing w:after="0"/>
        <w:ind w:firstLine="36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OS1. </w:t>
      </w:r>
      <w:r w:rsidR="00F77BED">
        <w:rPr>
          <w:rFonts w:cstheme="minorHAnsi"/>
        </w:rPr>
        <w:t>Accompagner le développement de l’audit interne dans les marchés publics au Liban</w:t>
      </w:r>
    </w:p>
    <w:p w14:paraId="60245E01" w14:textId="77777777" w:rsidR="008E3FB2" w:rsidRPr="005C6FA2" w:rsidRDefault="008E3FB2" w:rsidP="008E3FB2">
      <w:pPr>
        <w:spacing w:after="0"/>
        <w:jc w:val="both"/>
        <w:rPr>
          <w:rFonts w:cstheme="minorHAnsi"/>
        </w:rPr>
      </w:pPr>
    </w:p>
    <w:p w14:paraId="14727036" w14:textId="6D59322B" w:rsidR="001949B9" w:rsidRDefault="008E3FB2" w:rsidP="001949B9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OS</w:t>
      </w:r>
      <w:r w:rsidRPr="005C6FA2">
        <w:rPr>
          <w:rFonts w:cstheme="minorHAnsi"/>
        </w:rPr>
        <w:t>2.</w:t>
      </w:r>
      <w:r w:rsidRPr="00076CDD">
        <w:rPr>
          <w:rFonts w:cstheme="minorHAnsi"/>
        </w:rPr>
        <w:t xml:space="preserve"> </w:t>
      </w:r>
      <w:r w:rsidR="00F77BED">
        <w:rPr>
          <w:rFonts w:cstheme="minorHAnsi"/>
        </w:rPr>
        <w:t>Accompagner les autorités concernées (Autorité des achats publics, entités contractantes) dans l’élaboration de la réglementation sur l’audit interne et les critères de performance</w:t>
      </w:r>
    </w:p>
    <w:p w14:paraId="43C9632D" w14:textId="77777777" w:rsidR="00740B05" w:rsidRDefault="00740B05" w:rsidP="00740B05">
      <w:pPr>
        <w:spacing w:after="0"/>
        <w:jc w:val="both"/>
        <w:rPr>
          <w:rFonts w:cstheme="minorHAnsi"/>
        </w:rPr>
      </w:pPr>
    </w:p>
    <w:p w14:paraId="394D98A8" w14:textId="148C9E2F" w:rsidR="009B2066" w:rsidRDefault="009B2066" w:rsidP="008E3FB2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OS</w:t>
      </w:r>
      <w:r w:rsidR="00F77BED">
        <w:rPr>
          <w:rFonts w:cstheme="minorHAnsi"/>
        </w:rPr>
        <w:t>3</w:t>
      </w:r>
      <w:r>
        <w:rPr>
          <w:rFonts w:cstheme="minorHAnsi"/>
        </w:rPr>
        <w:t xml:space="preserve">. </w:t>
      </w:r>
      <w:r w:rsidR="00161572">
        <w:rPr>
          <w:rFonts w:cstheme="minorHAnsi"/>
        </w:rPr>
        <w:t>Accompagner la formation au</w:t>
      </w:r>
      <w:r w:rsidR="00F77BED">
        <w:rPr>
          <w:rFonts w:cstheme="minorHAnsi"/>
        </w:rPr>
        <w:t xml:space="preserve"> dispositif de l’audit interne </w:t>
      </w:r>
      <w:r w:rsidR="00161572">
        <w:rPr>
          <w:rFonts w:cstheme="minorHAnsi"/>
        </w:rPr>
        <w:t xml:space="preserve">et le déployer </w:t>
      </w:r>
      <w:r w:rsidR="00F77BED">
        <w:rPr>
          <w:rFonts w:cstheme="minorHAnsi"/>
        </w:rPr>
        <w:t xml:space="preserve">dans </w:t>
      </w:r>
      <w:r w:rsidR="00161572">
        <w:rPr>
          <w:rFonts w:cstheme="minorHAnsi"/>
        </w:rPr>
        <w:t>3</w:t>
      </w:r>
      <w:r w:rsidR="00F77BED">
        <w:rPr>
          <w:rFonts w:cstheme="minorHAnsi"/>
        </w:rPr>
        <w:t xml:space="preserve"> structures pilotes</w:t>
      </w:r>
    </w:p>
    <w:p w14:paraId="0A402480" w14:textId="51E30B23" w:rsidR="009B2066" w:rsidRDefault="009B2066" w:rsidP="00740B05">
      <w:pPr>
        <w:spacing w:after="0"/>
        <w:jc w:val="both"/>
        <w:rPr>
          <w:rFonts w:cstheme="minorHAnsi"/>
        </w:rPr>
      </w:pPr>
    </w:p>
    <w:p w14:paraId="44A058A7" w14:textId="337B6136" w:rsidR="00161572" w:rsidRDefault="009B2066" w:rsidP="00161572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OS</w:t>
      </w:r>
      <w:r w:rsidR="00F77BED">
        <w:rPr>
          <w:rFonts w:cstheme="minorHAnsi"/>
        </w:rPr>
        <w:t>4</w:t>
      </w:r>
      <w:r>
        <w:rPr>
          <w:rFonts w:cstheme="minorHAnsi"/>
        </w:rPr>
        <w:t xml:space="preserve">. </w:t>
      </w:r>
      <w:r w:rsidR="00161572">
        <w:rPr>
          <w:rFonts w:cstheme="minorHAnsi"/>
        </w:rPr>
        <w:t>Accompagner l’analyse et la statistique des données des audits internes</w:t>
      </w:r>
      <w:r w:rsidR="009736AC">
        <w:rPr>
          <w:rFonts w:cstheme="minorHAnsi"/>
        </w:rPr>
        <w:t xml:space="preserve"> et de la performance des processus des marchés publics</w:t>
      </w:r>
    </w:p>
    <w:p w14:paraId="6985ED1F" w14:textId="51E6A690" w:rsidR="00740B05" w:rsidRDefault="00740B05" w:rsidP="008E3FB2">
      <w:pPr>
        <w:spacing w:after="0"/>
        <w:ind w:left="360"/>
        <w:jc w:val="both"/>
        <w:rPr>
          <w:rFonts w:cstheme="minorHAnsi"/>
        </w:rPr>
      </w:pPr>
    </w:p>
    <w:p w14:paraId="60086885" w14:textId="77777777" w:rsidR="008E3FB2" w:rsidRPr="000348D8" w:rsidRDefault="008E3FB2" w:rsidP="008E3FB2">
      <w:pPr>
        <w:spacing w:after="0"/>
        <w:jc w:val="both"/>
        <w:rPr>
          <w:rFonts w:cstheme="minorHAnsi"/>
          <w:u w:val="single"/>
        </w:rPr>
      </w:pPr>
      <w:r w:rsidRPr="000348D8">
        <w:rPr>
          <w:rFonts w:cstheme="minorHAnsi"/>
          <w:u w:val="single"/>
        </w:rPr>
        <w:t>2.3 - Résultats attendus</w:t>
      </w:r>
    </w:p>
    <w:p w14:paraId="25C8D931" w14:textId="77777777" w:rsidR="00010C21" w:rsidRPr="00736E15" w:rsidRDefault="00010C21" w:rsidP="00D87F4B">
      <w:pPr>
        <w:spacing w:after="0"/>
        <w:jc w:val="both"/>
        <w:rPr>
          <w:rFonts w:cstheme="minorHAnsi"/>
        </w:rPr>
      </w:pPr>
    </w:p>
    <w:p w14:paraId="08F2EA5A" w14:textId="38F41E8E" w:rsidR="008E3FB2" w:rsidRDefault="008E3FB2" w:rsidP="008E3FB2">
      <w:pPr>
        <w:spacing w:after="0"/>
        <w:jc w:val="both"/>
        <w:rPr>
          <w:rFonts w:cstheme="minorHAnsi"/>
        </w:rPr>
      </w:pPr>
      <w:r w:rsidRPr="00736E15">
        <w:rPr>
          <w:rFonts w:cstheme="minorHAnsi"/>
        </w:rPr>
        <w:t xml:space="preserve">Résultat </w:t>
      </w:r>
      <w:r w:rsidR="00D87F4B">
        <w:rPr>
          <w:rFonts w:cstheme="minorHAnsi"/>
        </w:rPr>
        <w:t>1</w:t>
      </w:r>
      <w:r w:rsidRPr="00736E15">
        <w:rPr>
          <w:rFonts w:cstheme="minorHAnsi"/>
        </w:rPr>
        <w:t xml:space="preserve"> : </w:t>
      </w:r>
      <w:r w:rsidR="00D87F4B">
        <w:rPr>
          <w:rFonts w:cstheme="minorHAnsi"/>
        </w:rPr>
        <w:t>Les entités contractantes sont dotées d’un dispositif de contrôle interne leur permettant de contrôler l’application régulière des procédures liées à la passation et à l’exécution des marchés publics</w:t>
      </w:r>
    </w:p>
    <w:p w14:paraId="5A37FDE8" w14:textId="77777777" w:rsidR="00D87F4B" w:rsidRDefault="00D87F4B" w:rsidP="00D87F4B">
      <w:pPr>
        <w:spacing w:after="0"/>
        <w:jc w:val="both"/>
        <w:rPr>
          <w:rFonts w:cstheme="minorHAnsi"/>
        </w:rPr>
      </w:pPr>
    </w:p>
    <w:p w14:paraId="3A855B9E" w14:textId="45149200" w:rsidR="00EF6F7A" w:rsidRDefault="00EF6F7A" w:rsidP="00EF6F7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Résultat 2 : L’Autorité des achats publics est en mesure de définir les critères de performance des processus </w:t>
      </w:r>
      <w:r w:rsidR="00E86DA5">
        <w:rPr>
          <w:rFonts w:cstheme="minorHAnsi"/>
        </w:rPr>
        <w:t>des marchés publics</w:t>
      </w:r>
    </w:p>
    <w:p w14:paraId="2CE70F40" w14:textId="77777777" w:rsidR="00EF6F7A" w:rsidRDefault="00EF6F7A" w:rsidP="00D87F4B">
      <w:pPr>
        <w:spacing w:after="0"/>
        <w:jc w:val="both"/>
        <w:rPr>
          <w:rFonts w:cstheme="minorHAnsi"/>
        </w:rPr>
      </w:pPr>
    </w:p>
    <w:p w14:paraId="332B2E43" w14:textId="1D3A6F50" w:rsidR="00D87F4B" w:rsidRDefault="00D87F4B" w:rsidP="00D87F4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Résultat </w:t>
      </w:r>
      <w:r w:rsidR="00EF6F7A">
        <w:rPr>
          <w:rFonts w:cstheme="minorHAnsi"/>
        </w:rPr>
        <w:t>3</w:t>
      </w:r>
      <w:r>
        <w:rPr>
          <w:rFonts w:cstheme="minorHAnsi"/>
        </w:rPr>
        <w:t> : Les entités contractantes disposent d’une cartographie des risques et sont en mesure d’élaborer un plan d’audit et de contrôle de leurs activité</w:t>
      </w:r>
      <w:r w:rsidR="00010C21">
        <w:rPr>
          <w:rFonts w:cstheme="minorHAnsi"/>
        </w:rPr>
        <w:t>s, en fonction des critères de performance fixés par l’Autorité des achats publics</w:t>
      </w:r>
    </w:p>
    <w:p w14:paraId="2F257255" w14:textId="77777777" w:rsidR="001949B9" w:rsidRDefault="001949B9" w:rsidP="00D87F4B">
      <w:pPr>
        <w:spacing w:after="0"/>
        <w:jc w:val="both"/>
        <w:rPr>
          <w:rFonts w:cstheme="minorHAnsi"/>
        </w:rPr>
      </w:pPr>
    </w:p>
    <w:p w14:paraId="63669B9C" w14:textId="4F9739E0" w:rsidR="00010C21" w:rsidRDefault="001949B9" w:rsidP="00D87F4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Résultat 4 : L’Autorité des achats publics est en mesure de </w:t>
      </w:r>
      <w:r w:rsidR="00740B05">
        <w:rPr>
          <w:rFonts w:cstheme="minorHAnsi"/>
        </w:rPr>
        <w:t>recueillir</w:t>
      </w:r>
      <w:r w:rsidR="00010C21">
        <w:rPr>
          <w:rFonts w:cstheme="minorHAnsi"/>
        </w:rPr>
        <w:t xml:space="preserve"> </w:t>
      </w:r>
      <w:r w:rsidR="000B5813">
        <w:rPr>
          <w:rFonts w:cstheme="minorHAnsi"/>
        </w:rPr>
        <w:t xml:space="preserve">et d’analyser </w:t>
      </w:r>
      <w:r w:rsidR="00010C21">
        <w:rPr>
          <w:rFonts w:cstheme="minorHAnsi"/>
        </w:rPr>
        <w:t>les données des audits de performance des entités contractantes</w:t>
      </w:r>
    </w:p>
    <w:p w14:paraId="73F644B6" w14:textId="77777777" w:rsidR="008E3FB2" w:rsidRPr="000E0D3B" w:rsidRDefault="008E3FB2" w:rsidP="008E3FB2">
      <w:pPr>
        <w:spacing w:after="0"/>
        <w:jc w:val="both"/>
        <w:rPr>
          <w:rFonts w:asciiTheme="majorHAnsi" w:hAnsiTheme="majorHAnsi" w:cstheme="majorHAnsi"/>
        </w:rPr>
      </w:pPr>
    </w:p>
    <w:p w14:paraId="49B6F539" w14:textId="5DAD93AC" w:rsidR="008E3FB2" w:rsidRPr="000E0D3B" w:rsidRDefault="008E3FB2" w:rsidP="008E3FB2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Description de la mission </w:t>
      </w:r>
      <w:r w:rsidR="00F83BC8">
        <w:rPr>
          <w:rFonts w:asciiTheme="majorHAnsi" w:hAnsiTheme="majorHAnsi" w:cstheme="majorHAnsi"/>
          <w:b/>
          <w:sz w:val="24"/>
          <w:szCs w:val="24"/>
        </w:rPr>
        <w:t>de</w:t>
      </w:r>
      <w:r w:rsidR="000B5813">
        <w:rPr>
          <w:rFonts w:asciiTheme="majorHAnsi" w:hAnsiTheme="majorHAnsi" w:cstheme="majorHAnsi"/>
          <w:b/>
          <w:sz w:val="24"/>
          <w:szCs w:val="24"/>
        </w:rPr>
        <w:t xml:space="preserve"> l’</w:t>
      </w:r>
      <w:r w:rsidR="00EF6F7A">
        <w:rPr>
          <w:rFonts w:asciiTheme="majorHAnsi" w:hAnsiTheme="majorHAnsi" w:cstheme="majorHAnsi"/>
          <w:b/>
          <w:sz w:val="24"/>
          <w:szCs w:val="24"/>
        </w:rPr>
        <w:t>e</w:t>
      </w:r>
      <w:r w:rsidRPr="000E0D3B">
        <w:rPr>
          <w:rFonts w:asciiTheme="majorHAnsi" w:hAnsiTheme="majorHAnsi" w:cstheme="majorHAnsi"/>
          <w:b/>
          <w:sz w:val="24"/>
          <w:szCs w:val="24"/>
        </w:rPr>
        <w:t>xpert</w:t>
      </w:r>
      <w:r w:rsidR="000B5813">
        <w:rPr>
          <w:rFonts w:asciiTheme="majorHAnsi" w:hAnsiTheme="majorHAnsi" w:cstheme="majorHAnsi"/>
          <w:b/>
          <w:sz w:val="24"/>
          <w:szCs w:val="24"/>
        </w:rPr>
        <w:t>(e)</w:t>
      </w:r>
      <w:r>
        <w:rPr>
          <w:rFonts w:asciiTheme="majorHAnsi" w:hAnsiTheme="majorHAnsi" w:cstheme="majorHAnsi"/>
          <w:b/>
          <w:sz w:val="24"/>
          <w:szCs w:val="24"/>
        </w:rPr>
        <w:t xml:space="preserve"> référent</w:t>
      </w:r>
      <w:r w:rsidR="000B5813">
        <w:rPr>
          <w:rFonts w:asciiTheme="majorHAnsi" w:hAnsiTheme="majorHAnsi" w:cstheme="majorHAnsi"/>
          <w:b/>
          <w:sz w:val="24"/>
          <w:szCs w:val="24"/>
        </w:rPr>
        <w:t>(e)</w:t>
      </w:r>
      <w:r w:rsidR="00740B05">
        <w:rPr>
          <w:rFonts w:asciiTheme="majorHAnsi" w:hAnsiTheme="majorHAnsi" w:cstheme="majorHAnsi"/>
          <w:b/>
          <w:sz w:val="24"/>
          <w:szCs w:val="24"/>
        </w:rPr>
        <w:t xml:space="preserve"> audit de performance</w:t>
      </w:r>
    </w:p>
    <w:p w14:paraId="0AEA7655" w14:textId="77777777" w:rsidR="008E3FB2" w:rsidRDefault="008E3FB2" w:rsidP="008E3FB2">
      <w:pPr>
        <w:spacing w:after="0"/>
        <w:jc w:val="both"/>
        <w:rPr>
          <w:rFonts w:asciiTheme="majorHAnsi" w:hAnsiTheme="majorHAnsi" w:cstheme="majorHAnsi"/>
        </w:rPr>
      </w:pPr>
    </w:p>
    <w:p w14:paraId="5FCA6090" w14:textId="7059E03F" w:rsidR="008E3FB2" w:rsidRDefault="003E5518" w:rsidP="008E3FB2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0B5813">
        <w:rPr>
          <w:rFonts w:ascii="Calibri" w:hAnsi="Calibri" w:cs="Calibri"/>
        </w:rPr>
        <w:t>’</w:t>
      </w:r>
      <w:r>
        <w:rPr>
          <w:rFonts w:ascii="Calibri" w:hAnsi="Calibri" w:cs="Calibri"/>
        </w:rPr>
        <w:t>expert</w:t>
      </w:r>
      <w:r w:rsidR="000B5813">
        <w:rPr>
          <w:rFonts w:ascii="Calibri" w:hAnsi="Calibri" w:cs="Calibri"/>
        </w:rPr>
        <w:t>(e)</w:t>
      </w:r>
      <w:r>
        <w:rPr>
          <w:rFonts w:ascii="Calibri" w:hAnsi="Calibri" w:cs="Calibri"/>
        </w:rPr>
        <w:t xml:space="preserve"> référent</w:t>
      </w:r>
      <w:r w:rsidR="000B5813">
        <w:rPr>
          <w:rFonts w:ascii="Calibri" w:hAnsi="Calibri" w:cs="Calibri"/>
        </w:rPr>
        <w:t>(e)</w:t>
      </w:r>
      <w:r w:rsidR="00B550D6">
        <w:rPr>
          <w:rFonts w:ascii="Calibri" w:hAnsi="Calibri" w:cs="Calibri"/>
        </w:rPr>
        <w:t xml:space="preserve"> </w:t>
      </w:r>
      <w:r w:rsidR="000B5813">
        <w:rPr>
          <w:rFonts w:ascii="Calibri" w:hAnsi="Calibri" w:cs="Calibri"/>
        </w:rPr>
        <w:t xml:space="preserve">audit de performance de la </w:t>
      </w:r>
      <w:r w:rsidR="00B550D6">
        <w:rPr>
          <w:rFonts w:ascii="Calibri" w:hAnsi="Calibri" w:cs="Calibri"/>
        </w:rPr>
        <w:t xml:space="preserve">composante </w:t>
      </w:r>
      <w:r w:rsidR="00F83BC8">
        <w:rPr>
          <w:rFonts w:ascii="Calibri" w:hAnsi="Calibri" w:cs="Calibri"/>
        </w:rPr>
        <w:t>4</w:t>
      </w:r>
      <w:r w:rsidR="008E3FB2">
        <w:rPr>
          <w:rFonts w:ascii="Calibri" w:hAnsi="Calibri" w:cs="Calibri"/>
        </w:rPr>
        <w:t xml:space="preserve"> </w:t>
      </w:r>
      <w:r w:rsidR="00F83BC8">
        <w:rPr>
          <w:rFonts w:ascii="Calibri" w:hAnsi="Calibri" w:cs="Calibri"/>
        </w:rPr>
        <w:t>interviendr</w:t>
      </w:r>
      <w:r w:rsidR="000B5813">
        <w:rPr>
          <w:rFonts w:ascii="Calibri" w:hAnsi="Calibri" w:cs="Calibri"/>
        </w:rPr>
        <w:t>a</w:t>
      </w:r>
      <w:r w:rsidR="008E3FB2" w:rsidRPr="00D73233">
        <w:rPr>
          <w:rFonts w:ascii="Calibri" w:hAnsi="Calibri" w:cs="Calibri"/>
        </w:rPr>
        <w:t xml:space="preserve"> </w:t>
      </w:r>
      <w:r w:rsidR="000B5813">
        <w:rPr>
          <w:rFonts w:ascii="Calibri" w:hAnsi="Calibri" w:cs="Calibri"/>
        </w:rPr>
        <w:t xml:space="preserve">à partir du mois de </w:t>
      </w:r>
      <w:r w:rsidR="009A269D">
        <w:rPr>
          <w:rFonts w:ascii="Calibri" w:hAnsi="Calibri" w:cs="Calibri"/>
        </w:rPr>
        <w:t>décembre</w:t>
      </w:r>
      <w:r w:rsidR="000B5813">
        <w:rPr>
          <w:rFonts w:ascii="Calibri" w:hAnsi="Calibri" w:cs="Calibri"/>
        </w:rPr>
        <w:t xml:space="preserve"> 2022 et </w:t>
      </w:r>
      <w:r w:rsidR="00473B6B">
        <w:rPr>
          <w:rFonts w:ascii="Calibri" w:hAnsi="Calibri" w:cs="Calibri"/>
        </w:rPr>
        <w:t>jusqu’au mois d’août</w:t>
      </w:r>
      <w:r w:rsidR="000B5813">
        <w:rPr>
          <w:rFonts w:ascii="Calibri" w:hAnsi="Calibri" w:cs="Calibri"/>
        </w:rPr>
        <w:t xml:space="preserve"> 2023</w:t>
      </w:r>
      <w:r w:rsidR="008E3FB2">
        <w:rPr>
          <w:rFonts w:ascii="Calibri" w:hAnsi="Calibri" w:cs="Calibri"/>
        </w:rPr>
        <w:t xml:space="preserve"> en apportant son assistance technique à la mise en œuvre de la composante </w:t>
      </w:r>
      <w:r w:rsidR="006E5563">
        <w:rPr>
          <w:rFonts w:ascii="Calibri" w:hAnsi="Calibri" w:cs="Calibri"/>
        </w:rPr>
        <w:t>4</w:t>
      </w:r>
      <w:r w:rsidR="009A269D">
        <w:rPr>
          <w:rFonts w:ascii="Calibri" w:hAnsi="Calibri" w:cs="Calibri"/>
        </w:rPr>
        <w:t xml:space="preserve"> dans la limite de 30 Hommes Jours (expertise perlée)</w:t>
      </w:r>
      <w:r w:rsidR="008E3FB2">
        <w:rPr>
          <w:rFonts w:ascii="Calibri" w:hAnsi="Calibri" w:cs="Calibri"/>
        </w:rPr>
        <w:t>.</w:t>
      </w:r>
    </w:p>
    <w:p w14:paraId="71E74B4D" w14:textId="2AE2AE9D" w:rsidR="008E3FB2" w:rsidRDefault="008E3FB2" w:rsidP="008E3FB2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Tout au long du projet, il</w:t>
      </w:r>
      <w:r w:rsidRPr="00D4776D">
        <w:rPr>
          <w:rFonts w:ascii="Calibri" w:hAnsi="Calibri" w:cs="Calibri"/>
        </w:rPr>
        <w:t xml:space="preserve"> devra apporter un appui/conseil auprès des autorités libanaises,</w:t>
      </w:r>
      <w:r>
        <w:rPr>
          <w:rFonts w:ascii="Calibri" w:hAnsi="Calibri" w:cs="Calibri"/>
        </w:rPr>
        <w:t xml:space="preserve"> en particulier </w:t>
      </w:r>
      <w:r w:rsidR="000B5813">
        <w:rPr>
          <w:rFonts w:ascii="Calibri" w:hAnsi="Calibri" w:cs="Calibri"/>
        </w:rPr>
        <w:t>l’Autorité des achats publics et les entités contractantes</w:t>
      </w:r>
      <w:r>
        <w:rPr>
          <w:rFonts w:ascii="Calibri" w:hAnsi="Calibri" w:cs="Calibri"/>
        </w:rPr>
        <w:t>.</w:t>
      </w:r>
      <w:r w:rsidR="000B58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5140C4C1" w14:textId="77777777" w:rsidR="008E3FB2" w:rsidRDefault="008E3FB2" w:rsidP="008E3FB2">
      <w:pPr>
        <w:spacing w:after="0" w:line="276" w:lineRule="auto"/>
        <w:jc w:val="both"/>
        <w:rPr>
          <w:rFonts w:ascii="Calibri" w:hAnsi="Calibri" w:cs="Calibri"/>
        </w:rPr>
      </w:pPr>
    </w:p>
    <w:p w14:paraId="3CC8FCA6" w14:textId="09D61FB7" w:rsidR="008E3FB2" w:rsidRPr="00F66C4E" w:rsidRDefault="008E3FB2" w:rsidP="008E3FB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Les missions détaillées de l’</w:t>
      </w:r>
      <w:r w:rsidR="00EF6F7A">
        <w:rPr>
          <w:rFonts w:ascii="Calibri" w:hAnsi="Calibri" w:cs="Calibri"/>
        </w:rPr>
        <w:t>e</w:t>
      </w:r>
      <w:r>
        <w:rPr>
          <w:rFonts w:ascii="Calibri" w:hAnsi="Calibri" w:cs="Calibri"/>
        </w:rPr>
        <w:t>xpert(e) sont présentées ci-après, elles feront l’objet d’un ajustement à la fin de la phase 1.</w:t>
      </w:r>
    </w:p>
    <w:p w14:paraId="059152A9" w14:textId="77777777" w:rsidR="008E3FB2" w:rsidRDefault="008E3FB2" w:rsidP="008E3FB2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</w:p>
    <w:p w14:paraId="331CD584" w14:textId="66A2E106" w:rsidR="008E3FB2" w:rsidRPr="008D1867" w:rsidRDefault="008D1867" w:rsidP="008D1867">
      <w:pPr>
        <w:spacing w:after="0" w:line="276" w:lineRule="auto"/>
        <w:jc w:val="both"/>
        <w:rPr>
          <w:rFonts w:eastAsia="Times New Roman" w:cstheme="minorHAnsi"/>
          <w:b/>
          <w:bCs/>
          <w:color w:val="171717"/>
          <w:szCs w:val="20"/>
          <w:lang w:val="fr-BE" w:eastAsia="fr-FR"/>
        </w:rPr>
      </w:pPr>
      <w:r w:rsidRPr="008D1867">
        <w:rPr>
          <w:rFonts w:eastAsia="Times New Roman" w:cstheme="minorHAnsi"/>
          <w:b/>
          <w:bCs/>
          <w:color w:val="171717"/>
          <w:szCs w:val="20"/>
          <w:lang w:val="fr-BE" w:eastAsia="fr-FR"/>
        </w:rPr>
        <w:t>Activité 1</w:t>
      </w:r>
      <w:r w:rsidR="000B5813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 </w:t>
      </w:r>
      <w:r w:rsidRPr="008D1867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: </w:t>
      </w:r>
      <w:r w:rsidR="00740B05" w:rsidRPr="00740B05">
        <w:rPr>
          <w:rFonts w:cstheme="minorHAnsi"/>
          <w:b/>
          <w:bCs/>
        </w:rPr>
        <w:t>Élaborer une cartographie des risques du processus de planification, passation et exécution des marchés publics au sein des autorités contractantes</w:t>
      </w:r>
      <w:r w:rsidR="00740B05" w:rsidRPr="008D1867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 </w:t>
      </w:r>
    </w:p>
    <w:p w14:paraId="743804AA" w14:textId="633E5162" w:rsidR="008D1867" w:rsidRPr="008D1867" w:rsidRDefault="008D1867" w:rsidP="008D1867">
      <w:pPr>
        <w:spacing w:after="0" w:line="276" w:lineRule="auto"/>
        <w:ind w:left="567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8D1867">
        <w:rPr>
          <w:rFonts w:eastAsia="Times New Roman" w:cstheme="minorHAnsi"/>
          <w:bCs/>
          <w:color w:val="171717"/>
          <w:szCs w:val="20"/>
          <w:lang w:val="fr-BE" w:eastAsia="fr-FR"/>
        </w:rPr>
        <w:t>-Diagnostic du dispositif</w:t>
      </w:r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 xml:space="preserve"> légal et de l’organisation des diverses entités contractantes types (municipalités, ministères, établissements publics)</w:t>
      </w:r>
    </w:p>
    <w:p w14:paraId="2417D430" w14:textId="4C96373D" w:rsidR="008D1867" w:rsidRPr="008D1867" w:rsidRDefault="008D1867" w:rsidP="008D1867">
      <w:pPr>
        <w:spacing w:after="0" w:line="276" w:lineRule="auto"/>
        <w:ind w:left="567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8D1867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>Proposition d’une cartographie des risques des processus des marchés publics</w:t>
      </w:r>
    </w:p>
    <w:p w14:paraId="4133F49A" w14:textId="77777777" w:rsidR="008D1867" w:rsidRDefault="008D1867" w:rsidP="00F8448B">
      <w:pPr>
        <w:spacing w:after="0" w:line="276" w:lineRule="auto"/>
        <w:ind w:left="567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8D1867">
        <w:rPr>
          <w:rFonts w:eastAsia="Times New Roman" w:cstheme="minorHAnsi"/>
          <w:bCs/>
          <w:color w:val="171717"/>
          <w:szCs w:val="20"/>
          <w:lang w:val="fr-BE" w:eastAsia="fr-FR"/>
        </w:rPr>
        <w:t>-Appui au démarrage des premières actions</w:t>
      </w:r>
    </w:p>
    <w:p w14:paraId="013B9682" w14:textId="77777777" w:rsidR="00F8448B" w:rsidRDefault="00F8448B" w:rsidP="004E3152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</w:p>
    <w:p w14:paraId="5E32F06F" w14:textId="77777777" w:rsidR="00EF6F7A" w:rsidRDefault="008D1867" w:rsidP="00EF6F7A">
      <w:pPr>
        <w:spacing w:after="0" w:line="276" w:lineRule="auto"/>
        <w:jc w:val="both"/>
        <w:rPr>
          <w:rFonts w:cstheme="minorHAnsi"/>
        </w:rPr>
      </w:pPr>
      <w:r w:rsidRPr="008D1867">
        <w:rPr>
          <w:rFonts w:eastAsia="Times New Roman" w:cstheme="minorHAnsi"/>
          <w:b/>
          <w:bCs/>
          <w:color w:val="171717"/>
          <w:szCs w:val="20"/>
          <w:lang w:val="fr-BE" w:eastAsia="fr-FR"/>
        </w:rPr>
        <w:t>Activité 2</w:t>
      </w:r>
      <w:r w:rsidR="000B5813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 </w:t>
      </w:r>
      <w:r w:rsidRPr="008D1867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: </w:t>
      </w:r>
      <w:r w:rsidR="00EF6F7A" w:rsidRPr="00EF6F7A">
        <w:rPr>
          <w:rFonts w:cstheme="minorHAnsi"/>
          <w:b/>
          <w:bCs/>
        </w:rPr>
        <w:t xml:space="preserve">Élaborer un projet de réglementation pour l’audit interne au sein des entités contractantes et concevoir un dispositif de formation des entités contractantes </w:t>
      </w:r>
    </w:p>
    <w:p w14:paraId="55FFF94F" w14:textId="77777777" w:rsidR="004C0F9A" w:rsidRDefault="008D1867" w:rsidP="00EF6F7A">
      <w:pPr>
        <w:spacing w:after="0" w:line="276" w:lineRule="auto"/>
        <w:ind w:firstLine="567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>Assister l’élaboration d’un projet de décret sur l’audit interne dans les marchés publics</w:t>
      </w:r>
    </w:p>
    <w:p w14:paraId="1D8677CE" w14:textId="38F79F3E" w:rsidR="008D1867" w:rsidRPr="00F8448B" w:rsidRDefault="004C0F9A" w:rsidP="00EF6F7A">
      <w:pPr>
        <w:spacing w:after="0" w:line="276" w:lineRule="auto"/>
        <w:ind w:firstLine="567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>
        <w:rPr>
          <w:rFonts w:eastAsia="Times New Roman" w:cstheme="minorHAnsi"/>
          <w:bCs/>
          <w:color w:val="171717"/>
          <w:szCs w:val="20"/>
          <w:lang w:val="fr-BE" w:eastAsia="fr-FR"/>
        </w:rPr>
        <w:t>-Concevoir un guide et des supports de formation à la mise en œuvre de la réglementation sur l’audit interne dans les autorités contractantes</w:t>
      </w:r>
    </w:p>
    <w:p w14:paraId="4AAEE4C4" w14:textId="02D92128" w:rsidR="008D1867" w:rsidRPr="00F8448B" w:rsidRDefault="008D1867" w:rsidP="00F8448B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lastRenderedPageBreak/>
        <w:t xml:space="preserve">-Proposition d'un plan </w:t>
      </w:r>
      <w:r w:rsidR="00F8448B"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d’action</w:t>
      </w: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 xml:space="preserve"> </w:t>
      </w:r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 xml:space="preserve">de formation des entités contractantes en relation avec l’Institut des Finances Basil </w:t>
      </w:r>
      <w:proofErr w:type="spellStart"/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>Fuleihan</w:t>
      </w:r>
      <w:proofErr w:type="spellEnd"/>
    </w:p>
    <w:p w14:paraId="328AFF42" w14:textId="77777777" w:rsidR="008D1867" w:rsidRDefault="008D1867" w:rsidP="00F8448B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-Appui au démarrage des premières actions</w:t>
      </w:r>
    </w:p>
    <w:p w14:paraId="196F4877" w14:textId="77777777" w:rsidR="00F8448B" w:rsidRDefault="00F8448B" w:rsidP="00F8448B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</w:p>
    <w:p w14:paraId="5D3BCDA1" w14:textId="03F39526" w:rsidR="00F8448B" w:rsidRPr="00F8448B" w:rsidRDefault="00F8448B" w:rsidP="00F8448B">
      <w:pPr>
        <w:spacing w:after="0" w:line="276" w:lineRule="auto"/>
        <w:jc w:val="both"/>
        <w:rPr>
          <w:rFonts w:eastAsia="Times New Roman" w:cstheme="minorHAnsi"/>
          <w:b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/>
          <w:bCs/>
          <w:color w:val="171717"/>
          <w:szCs w:val="20"/>
          <w:lang w:val="fr-BE" w:eastAsia="fr-FR"/>
        </w:rPr>
        <w:t>Activité 3</w:t>
      </w:r>
      <w:r w:rsidR="000B5813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 </w:t>
      </w:r>
      <w:r w:rsidRPr="00F8448B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: </w:t>
      </w:r>
      <w:r w:rsidR="00EF6F7A" w:rsidRPr="00EF6F7A">
        <w:rPr>
          <w:rFonts w:cstheme="minorHAnsi"/>
          <w:b/>
          <w:bCs/>
        </w:rPr>
        <w:t>Assister l’Autorité des achats publics dans la détermination des critères de performance des achats publics</w:t>
      </w:r>
    </w:p>
    <w:p w14:paraId="5A4C6F81" w14:textId="63F99F67" w:rsidR="00F8448B" w:rsidRPr="00F8448B" w:rsidRDefault="00F8448B" w:rsidP="00F8448B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>Proposition de critères et d’indicateurs de performance du processus des marchés publics</w:t>
      </w:r>
    </w:p>
    <w:p w14:paraId="415E95C9" w14:textId="161201FE" w:rsidR="00F8448B" w:rsidRPr="00F8448B" w:rsidRDefault="00F8448B" w:rsidP="00F8448B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>Élaboration d’un guide de la performance du processus des marchés publics</w:t>
      </w:r>
    </w:p>
    <w:p w14:paraId="64A50567" w14:textId="21708A11" w:rsidR="00F8448B" w:rsidRDefault="00F8448B" w:rsidP="00F8448B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 xml:space="preserve">-Appui </w:t>
      </w:r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>de l’Autorité des achats publics dans la définition d’une première politique de performance à destination des entités contractantes</w:t>
      </w:r>
    </w:p>
    <w:p w14:paraId="29CD21E7" w14:textId="77777777" w:rsidR="00F8448B" w:rsidRDefault="00F8448B" w:rsidP="00F8448B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</w:p>
    <w:p w14:paraId="29A15984" w14:textId="77777777" w:rsidR="00EF6F7A" w:rsidRDefault="00F8448B" w:rsidP="00EF6F7A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Activité 4: </w:t>
      </w:r>
      <w:r w:rsidR="00EF6F7A" w:rsidRPr="00EF6F7A">
        <w:rPr>
          <w:rFonts w:cstheme="minorHAnsi"/>
          <w:b/>
          <w:bCs/>
        </w:rPr>
        <w:t>Appuyer la réalisation d’un audit dans 3 entités contractantes pilotes, élaborer un rapport d’audit avec plan d’action et de recommandations</w:t>
      </w:r>
      <w:r w:rsidR="00EF6F7A"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 xml:space="preserve"> </w:t>
      </w:r>
    </w:p>
    <w:p w14:paraId="658D158A" w14:textId="2FD46179" w:rsidR="00F8448B" w:rsidRPr="00F8448B" w:rsidRDefault="00F8448B" w:rsidP="00EF6F7A">
      <w:pPr>
        <w:spacing w:after="0" w:line="276" w:lineRule="auto"/>
        <w:ind w:firstLine="567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3E6BC1">
        <w:rPr>
          <w:rFonts w:eastAsia="Times New Roman" w:cstheme="minorHAnsi"/>
          <w:bCs/>
          <w:color w:val="171717"/>
          <w:szCs w:val="20"/>
          <w:lang w:val="fr-BE" w:eastAsia="fr-FR"/>
        </w:rPr>
        <w:t>Identification des entités contractantes pilotes à auditer (ministère, établissement public, municipalité)</w:t>
      </w:r>
    </w:p>
    <w:p w14:paraId="70804392" w14:textId="0E1A4FDD" w:rsidR="00F8448B" w:rsidRPr="00F8448B" w:rsidRDefault="00F8448B" w:rsidP="00F8448B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lastRenderedPageBreak/>
        <w:t>-</w:t>
      </w:r>
      <w:r w:rsidR="003E6BC1">
        <w:rPr>
          <w:rFonts w:eastAsia="Times New Roman" w:cstheme="minorHAnsi"/>
          <w:bCs/>
          <w:color w:val="171717"/>
          <w:szCs w:val="20"/>
          <w:lang w:val="fr-BE" w:eastAsia="fr-FR"/>
        </w:rPr>
        <w:t>Accompagnement des entités contractantes pilotes dans la conduite de l’audit interne</w:t>
      </w:r>
    </w:p>
    <w:p w14:paraId="03AD1C39" w14:textId="17F93547" w:rsidR="00F8448B" w:rsidRDefault="00F8448B" w:rsidP="00F8448B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3E6BC1">
        <w:rPr>
          <w:rFonts w:eastAsia="Times New Roman" w:cstheme="minorHAnsi"/>
          <w:bCs/>
          <w:color w:val="171717"/>
          <w:szCs w:val="20"/>
          <w:lang w:val="fr-BE" w:eastAsia="fr-FR"/>
        </w:rPr>
        <w:t>Rédaction d’un rapport d’audit avec plan d’actions et de recommandations</w:t>
      </w:r>
    </w:p>
    <w:p w14:paraId="4E7DA60E" w14:textId="56CFC0A5" w:rsidR="003E6BC1" w:rsidRDefault="003E6BC1" w:rsidP="00F8448B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>
        <w:rPr>
          <w:rFonts w:eastAsia="Times New Roman" w:cstheme="minorHAnsi"/>
          <w:bCs/>
          <w:color w:val="171717"/>
          <w:szCs w:val="20"/>
          <w:lang w:val="fr-BE" w:eastAsia="fr-FR"/>
        </w:rPr>
        <w:t>-Présentation à l’Autorité des achats publics et aux entités contractantes lors d’ateliers de restitution</w:t>
      </w:r>
    </w:p>
    <w:p w14:paraId="232064A4" w14:textId="25852295" w:rsidR="00F8448B" w:rsidRDefault="00F8448B" w:rsidP="00F8448B">
      <w:pPr>
        <w:spacing w:after="0" w:line="276" w:lineRule="auto"/>
        <w:jc w:val="both"/>
        <w:rPr>
          <w:rFonts w:eastAsia="Times New Roman" w:cstheme="minorHAnsi"/>
          <w:b/>
          <w:bCs/>
          <w:color w:val="171717"/>
          <w:szCs w:val="20"/>
          <w:lang w:val="fr-BE" w:eastAsia="fr-FR"/>
        </w:rPr>
      </w:pPr>
    </w:p>
    <w:p w14:paraId="127D709C" w14:textId="46A33254" w:rsidR="00EF6F7A" w:rsidRPr="00EF6F7A" w:rsidRDefault="00EF6F7A" w:rsidP="00EF6F7A">
      <w:pPr>
        <w:spacing w:after="0" w:line="276" w:lineRule="auto"/>
        <w:jc w:val="both"/>
        <w:rPr>
          <w:rFonts w:eastAsia="Times New Roman" w:cstheme="minorHAnsi"/>
          <w:b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Activité </w:t>
      </w:r>
      <w:r>
        <w:rPr>
          <w:rFonts w:eastAsia="Times New Roman" w:cstheme="minorHAnsi"/>
          <w:b/>
          <w:bCs/>
          <w:color w:val="171717"/>
          <w:szCs w:val="20"/>
          <w:lang w:val="fr-BE" w:eastAsia="fr-FR"/>
        </w:rPr>
        <w:t>5</w:t>
      </w:r>
      <w:r w:rsidRPr="00F8448B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: </w:t>
      </w:r>
      <w:r w:rsidRPr="00EF6F7A">
        <w:rPr>
          <w:rFonts w:cstheme="minorHAnsi"/>
          <w:b/>
          <w:bCs/>
        </w:rPr>
        <w:t>Appuyer les entités contractantes auditées dans la mise en œuvre du plan d’action et de recommandations</w:t>
      </w:r>
    </w:p>
    <w:p w14:paraId="7155B9A8" w14:textId="56328AE4" w:rsidR="00EF6F7A" w:rsidRPr="00F8448B" w:rsidRDefault="00EF6F7A" w:rsidP="00EF6F7A">
      <w:pPr>
        <w:spacing w:after="0" w:line="276" w:lineRule="auto"/>
        <w:ind w:firstLine="567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>Présentation aux entités pilotes du plan d’action et de recommandations</w:t>
      </w:r>
    </w:p>
    <w:p w14:paraId="00C04996" w14:textId="601F9260" w:rsidR="00EF6F7A" w:rsidRPr="00F8448B" w:rsidRDefault="00EF6F7A" w:rsidP="00EF6F7A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>Accompagnement des entités contractantes dans la mise en œuvre opérationnelle du plan d’actions et de recommandations</w:t>
      </w:r>
    </w:p>
    <w:p w14:paraId="6BD3B42A" w14:textId="7B1E6DC7" w:rsidR="00EF6F7A" w:rsidRDefault="00EF6F7A" w:rsidP="00EF6F7A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3E6BC1">
        <w:rPr>
          <w:rFonts w:eastAsia="Times New Roman" w:cstheme="minorHAnsi"/>
          <w:bCs/>
          <w:color w:val="171717"/>
          <w:szCs w:val="20"/>
          <w:lang w:val="fr-BE" w:eastAsia="fr-FR"/>
        </w:rPr>
        <w:t>Rédaction d’un rapport sur la mise en œuvre du plan d’actions et de recommandations</w:t>
      </w:r>
    </w:p>
    <w:p w14:paraId="59666473" w14:textId="3A691D02" w:rsidR="003E6BC1" w:rsidRDefault="003E6BC1" w:rsidP="00EF6F7A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>
        <w:rPr>
          <w:rFonts w:eastAsia="Times New Roman" w:cstheme="minorHAnsi"/>
          <w:bCs/>
          <w:color w:val="171717"/>
          <w:szCs w:val="20"/>
          <w:lang w:val="fr-BE" w:eastAsia="fr-FR"/>
        </w:rPr>
        <w:t>-Présentation à l’Autorité des achats publics et aux entités contractantes pilotes lors d’ateliers de restitution</w:t>
      </w:r>
    </w:p>
    <w:p w14:paraId="7F8C6F50" w14:textId="49975150" w:rsidR="00EF6F7A" w:rsidRDefault="00EF6F7A" w:rsidP="00F8448B">
      <w:pPr>
        <w:spacing w:after="0" w:line="276" w:lineRule="auto"/>
        <w:jc w:val="both"/>
        <w:rPr>
          <w:rFonts w:eastAsia="Times New Roman" w:cstheme="minorHAnsi"/>
          <w:b/>
          <w:bCs/>
          <w:color w:val="171717"/>
          <w:szCs w:val="20"/>
          <w:lang w:val="fr-BE" w:eastAsia="fr-FR"/>
        </w:rPr>
      </w:pPr>
    </w:p>
    <w:p w14:paraId="5BAFAF24" w14:textId="77777777" w:rsidR="00EF6F7A" w:rsidRPr="005C6FA2" w:rsidRDefault="00EF6F7A" w:rsidP="00EF6F7A">
      <w:pPr>
        <w:spacing w:after="0"/>
        <w:jc w:val="both"/>
        <w:rPr>
          <w:rFonts w:cstheme="minorHAnsi"/>
        </w:rPr>
      </w:pPr>
      <w:r w:rsidRPr="00F8448B">
        <w:rPr>
          <w:rFonts w:eastAsia="Times New Roman" w:cstheme="minorHAnsi"/>
          <w:b/>
          <w:bCs/>
          <w:color w:val="171717"/>
          <w:szCs w:val="20"/>
          <w:lang w:val="fr-BE" w:eastAsia="fr-FR"/>
        </w:rPr>
        <w:lastRenderedPageBreak/>
        <w:t xml:space="preserve">Activité </w:t>
      </w:r>
      <w:r>
        <w:rPr>
          <w:rFonts w:eastAsia="Times New Roman" w:cstheme="minorHAnsi"/>
          <w:b/>
          <w:bCs/>
          <w:color w:val="171717"/>
          <w:szCs w:val="20"/>
          <w:lang w:val="fr-BE" w:eastAsia="fr-FR"/>
        </w:rPr>
        <w:t>6</w:t>
      </w:r>
      <w:r w:rsidRPr="00F8448B">
        <w:rPr>
          <w:rFonts w:eastAsia="Times New Roman" w:cstheme="minorHAnsi"/>
          <w:b/>
          <w:bCs/>
          <w:color w:val="171717"/>
          <w:szCs w:val="20"/>
          <w:lang w:val="fr-BE" w:eastAsia="fr-FR"/>
        </w:rPr>
        <w:t xml:space="preserve">: </w:t>
      </w:r>
      <w:r w:rsidRPr="00EF6F7A">
        <w:rPr>
          <w:rFonts w:cstheme="minorHAnsi"/>
          <w:b/>
          <w:bCs/>
        </w:rPr>
        <w:t>Appuyer l’Autorité des achats publics dans le recueil et l’analyse des données des audits de performance des entités contractantes</w:t>
      </w:r>
    </w:p>
    <w:p w14:paraId="491CFC7B" w14:textId="10A3A605" w:rsidR="00EF6F7A" w:rsidRPr="00F8448B" w:rsidRDefault="00EF6F7A" w:rsidP="00EF6F7A">
      <w:pPr>
        <w:spacing w:after="0" w:line="276" w:lineRule="auto"/>
        <w:ind w:firstLine="567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4C0F9A">
        <w:rPr>
          <w:rFonts w:eastAsia="Times New Roman" w:cstheme="minorHAnsi"/>
          <w:bCs/>
          <w:color w:val="171717"/>
          <w:szCs w:val="20"/>
          <w:lang w:val="fr-BE" w:eastAsia="fr-FR"/>
        </w:rPr>
        <w:t xml:space="preserve">Identification des </w:t>
      </w:r>
      <w:r w:rsidR="003E6BC1">
        <w:rPr>
          <w:rFonts w:eastAsia="Times New Roman" w:cstheme="minorHAnsi"/>
          <w:bCs/>
          <w:color w:val="171717"/>
          <w:szCs w:val="20"/>
          <w:lang w:val="fr-BE" w:eastAsia="fr-FR"/>
        </w:rPr>
        <w:t>sources de données</w:t>
      </w:r>
    </w:p>
    <w:p w14:paraId="780ED7D1" w14:textId="772B5635" w:rsidR="00EF6F7A" w:rsidRPr="00F8448B" w:rsidRDefault="00EF6F7A" w:rsidP="00EF6F7A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3E6BC1">
        <w:rPr>
          <w:rFonts w:eastAsia="Times New Roman" w:cstheme="minorHAnsi"/>
          <w:bCs/>
          <w:color w:val="171717"/>
          <w:szCs w:val="20"/>
          <w:lang w:val="fr-BE" w:eastAsia="fr-FR"/>
        </w:rPr>
        <w:t xml:space="preserve">Proposition d’un modèle de rapport d’analyse et de statistique sur la performance des processus de passation des marchés publics </w:t>
      </w:r>
    </w:p>
    <w:p w14:paraId="6C7A64A9" w14:textId="5A5724CD" w:rsidR="00EF6F7A" w:rsidRDefault="00EF6F7A" w:rsidP="00EF6F7A">
      <w:pPr>
        <w:spacing w:after="0" w:line="276" w:lineRule="auto"/>
        <w:ind w:left="709" w:hanging="142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F8448B">
        <w:rPr>
          <w:rFonts w:eastAsia="Times New Roman" w:cstheme="minorHAnsi"/>
          <w:bCs/>
          <w:color w:val="171717"/>
          <w:szCs w:val="20"/>
          <w:lang w:val="fr-BE" w:eastAsia="fr-FR"/>
        </w:rPr>
        <w:t xml:space="preserve">-Appui </w:t>
      </w:r>
      <w:r w:rsidR="003E6BC1">
        <w:rPr>
          <w:rFonts w:eastAsia="Times New Roman" w:cstheme="minorHAnsi"/>
          <w:bCs/>
          <w:color w:val="171717"/>
          <w:szCs w:val="20"/>
          <w:lang w:val="fr-BE" w:eastAsia="fr-FR"/>
        </w:rPr>
        <w:t>à la rédaction d’un premier rapport</w:t>
      </w:r>
    </w:p>
    <w:p w14:paraId="4D1750A4" w14:textId="77777777" w:rsidR="00EF6F7A" w:rsidRDefault="00EF6F7A" w:rsidP="00F8448B">
      <w:pPr>
        <w:spacing w:after="0" w:line="276" w:lineRule="auto"/>
        <w:jc w:val="both"/>
        <w:rPr>
          <w:rFonts w:eastAsia="Times New Roman" w:cstheme="minorHAnsi"/>
          <w:b/>
          <w:bCs/>
          <w:color w:val="171717"/>
          <w:szCs w:val="20"/>
          <w:lang w:val="fr-BE" w:eastAsia="fr-FR"/>
        </w:rPr>
      </w:pPr>
    </w:p>
    <w:p w14:paraId="2CC1A851" w14:textId="77777777" w:rsidR="00F8448B" w:rsidRDefault="00F8448B" w:rsidP="00F8448B">
      <w:pPr>
        <w:spacing w:after="0" w:line="276" w:lineRule="auto"/>
        <w:jc w:val="both"/>
        <w:rPr>
          <w:rFonts w:eastAsia="Times New Roman" w:cstheme="minorHAnsi"/>
          <w:b/>
          <w:bCs/>
          <w:color w:val="171717"/>
          <w:szCs w:val="20"/>
          <w:lang w:val="fr-BE" w:eastAsia="fr-FR"/>
        </w:rPr>
      </w:pPr>
      <w:r>
        <w:rPr>
          <w:rFonts w:eastAsia="Times New Roman" w:cstheme="minorHAnsi"/>
          <w:b/>
          <w:bCs/>
          <w:color w:val="171717"/>
          <w:szCs w:val="20"/>
          <w:lang w:val="fr-BE" w:eastAsia="fr-FR"/>
        </w:rPr>
        <w:t>Livrables :</w:t>
      </w:r>
    </w:p>
    <w:p w14:paraId="1C6302DF" w14:textId="5B1E6848" w:rsidR="00B06009" w:rsidRDefault="00B06009" w:rsidP="00F8448B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B06009">
        <w:rPr>
          <w:rFonts w:eastAsia="Times New Roman" w:cstheme="minorHAnsi"/>
          <w:bCs/>
          <w:color w:val="171717"/>
          <w:szCs w:val="20"/>
          <w:lang w:val="fr-BE" w:eastAsia="fr-FR"/>
        </w:rPr>
        <w:t>-</w:t>
      </w:r>
      <w:r w:rsidR="001949B9">
        <w:rPr>
          <w:rFonts w:eastAsia="Times New Roman" w:cstheme="minorHAnsi"/>
          <w:bCs/>
          <w:color w:val="171717"/>
          <w:szCs w:val="20"/>
          <w:lang w:val="fr-BE" w:eastAsia="fr-FR"/>
        </w:rPr>
        <w:t>Cartographie des risques</w:t>
      </w:r>
    </w:p>
    <w:p w14:paraId="38938B9E" w14:textId="7F5F4E58" w:rsidR="008A7B75" w:rsidRDefault="008A7B75" w:rsidP="00F8448B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>
        <w:rPr>
          <w:rFonts w:eastAsia="Times New Roman" w:cstheme="minorHAnsi"/>
          <w:bCs/>
          <w:color w:val="171717"/>
          <w:szCs w:val="20"/>
          <w:lang w:val="fr-BE" w:eastAsia="fr-FR"/>
        </w:rPr>
        <w:t>-Projet de réglementation sur l’audit interne dans les entités contractantes</w:t>
      </w:r>
    </w:p>
    <w:p w14:paraId="1257281F" w14:textId="5A515695" w:rsidR="008A7B75" w:rsidRDefault="008A7B75" w:rsidP="00F8448B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>
        <w:rPr>
          <w:rFonts w:eastAsia="Times New Roman" w:cstheme="minorHAnsi"/>
          <w:bCs/>
          <w:color w:val="171717"/>
          <w:szCs w:val="20"/>
          <w:lang w:val="fr-BE" w:eastAsia="fr-FR"/>
        </w:rPr>
        <w:t>-Guide d’application de l’audit interne à destination des entités contractantes</w:t>
      </w:r>
    </w:p>
    <w:p w14:paraId="29760246" w14:textId="77777777" w:rsidR="006559E4" w:rsidRDefault="006559E4" w:rsidP="006559E4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>
        <w:rPr>
          <w:rFonts w:eastAsia="Times New Roman" w:cstheme="minorHAnsi"/>
          <w:bCs/>
          <w:color w:val="171717"/>
          <w:szCs w:val="20"/>
          <w:lang w:val="fr-BE" w:eastAsia="fr-FR"/>
        </w:rPr>
        <w:t>-Guide des critères de performance pour l’audit interne dans les entités contractantes à destination de l’Autorité des achats publics</w:t>
      </w:r>
    </w:p>
    <w:p w14:paraId="7D7389A3" w14:textId="5723B6C3" w:rsidR="008A7B75" w:rsidRDefault="008A7B75" w:rsidP="00F8448B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>
        <w:rPr>
          <w:rFonts w:eastAsia="Times New Roman" w:cstheme="minorHAnsi"/>
          <w:bCs/>
          <w:color w:val="171717"/>
          <w:szCs w:val="20"/>
          <w:lang w:val="fr-BE" w:eastAsia="fr-FR"/>
        </w:rPr>
        <w:t>-Rapport d’audit avec plan d’actions et de recommandations pour 3 entités contractantes</w:t>
      </w:r>
    </w:p>
    <w:p w14:paraId="10273ED8" w14:textId="17A68F8B" w:rsidR="008A7B75" w:rsidRDefault="008A7B75" w:rsidP="00F8448B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>
        <w:rPr>
          <w:rFonts w:eastAsia="Times New Roman" w:cstheme="minorHAnsi"/>
          <w:bCs/>
          <w:color w:val="171717"/>
          <w:szCs w:val="20"/>
          <w:lang w:val="fr-BE" w:eastAsia="fr-FR"/>
        </w:rPr>
        <w:t>-Rapport sur la mise en œuvre du plan d’action</w:t>
      </w:r>
      <w:r w:rsidR="00173A05">
        <w:rPr>
          <w:rFonts w:eastAsia="Times New Roman" w:cstheme="minorHAnsi"/>
          <w:bCs/>
          <w:color w:val="171717"/>
          <w:szCs w:val="20"/>
          <w:lang w:val="fr-BE" w:eastAsia="fr-FR"/>
        </w:rPr>
        <w:t>s</w:t>
      </w:r>
      <w:r>
        <w:rPr>
          <w:rFonts w:eastAsia="Times New Roman" w:cstheme="minorHAnsi"/>
          <w:bCs/>
          <w:color w:val="171717"/>
          <w:szCs w:val="20"/>
          <w:lang w:val="fr-BE" w:eastAsia="fr-FR"/>
        </w:rPr>
        <w:t xml:space="preserve"> et de recommandations dans les 3 entités contractantes</w:t>
      </w:r>
    </w:p>
    <w:p w14:paraId="3085FB5F" w14:textId="36DEEAE5" w:rsidR="008A7B75" w:rsidRPr="00B06009" w:rsidRDefault="008A7B75" w:rsidP="00F8448B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>
        <w:rPr>
          <w:rFonts w:eastAsia="Times New Roman" w:cstheme="minorHAnsi"/>
          <w:bCs/>
          <w:color w:val="171717"/>
          <w:szCs w:val="20"/>
          <w:lang w:val="fr-BE" w:eastAsia="fr-FR"/>
        </w:rPr>
        <w:lastRenderedPageBreak/>
        <w:t>-</w:t>
      </w:r>
      <w:r w:rsidR="00173A05">
        <w:rPr>
          <w:rFonts w:eastAsia="Times New Roman" w:cstheme="minorHAnsi"/>
          <w:bCs/>
          <w:color w:val="171717"/>
          <w:szCs w:val="20"/>
          <w:lang w:val="fr-BE" w:eastAsia="fr-FR"/>
        </w:rPr>
        <w:t>Cadre de rapport d’analyse et de statistiques sur la performance du processus d’achat public dans les entités contractantes à destination de l’Autorité des achats publics</w:t>
      </w:r>
    </w:p>
    <w:p w14:paraId="16B53154" w14:textId="5F85DEF7" w:rsidR="00173A05" w:rsidRPr="00BD6CD2" w:rsidRDefault="00173A05" w:rsidP="00173A05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BD6CD2">
        <w:rPr>
          <w:rFonts w:eastAsia="Times New Roman" w:cstheme="minorHAnsi"/>
          <w:bCs/>
          <w:color w:val="171717"/>
          <w:szCs w:val="20"/>
          <w:lang w:val="fr-BE" w:eastAsia="fr-FR"/>
        </w:rPr>
        <w:t>-No</w:t>
      </w:r>
      <w:r>
        <w:rPr>
          <w:rFonts w:eastAsia="Times New Roman" w:cstheme="minorHAnsi"/>
          <w:bCs/>
          <w:color w:val="171717"/>
          <w:szCs w:val="20"/>
          <w:lang w:val="fr-BE" w:eastAsia="fr-FR"/>
        </w:rPr>
        <w:t>tes de suivi</w:t>
      </w:r>
    </w:p>
    <w:p w14:paraId="7AAF0B67" w14:textId="20D9DDEB" w:rsidR="00F8448B" w:rsidRPr="00173A05" w:rsidRDefault="00BD6CD2" w:rsidP="00F8448B">
      <w:pPr>
        <w:spacing w:after="0" w:line="276" w:lineRule="auto"/>
        <w:jc w:val="both"/>
        <w:rPr>
          <w:rFonts w:eastAsia="Times New Roman" w:cstheme="minorHAnsi"/>
          <w:bCs/>
          <w:color w:val="171717"/>
          <w:szCs w:val="20"/>
          <w:lang w:val="fr-BE" w:eastAsia="fr-FR"/>
        </w:rPr>
      </w:pPr>
      <w:r w:rsidRPr="00BD6CD2">
        <w:rPr>
          <w:rFonts w:eastAsia="Times New Roman" w:cstheme="minorHAnsi"/>
          <w:bCs/>
          <w:color w:val="171717"/>
          <w:szCs w:val="20"/>
          <w:lang w:val="fr-BE" w:eastAsia="fr-FR"/>
        </w:rPr>
        <w:t>-Rapport de mission</w:t>
      </w:r>
      <w:r w:rsidR="00173A05">
        <w:rPr>
          <w:rFonts w:eastAsia="Times New Roman" w:cstheme="minorHAnsi"/>
          <w:bCs/>
          <w:color w:val="171717"/>
          <w:szCs w:val="20"/>
          <w:lang w:val="fr-BE" w:eastAsia="fr-FR"/>
        </w:rPr>
        <w:t xml:space="preserve"> et recommandations</w:t>
      </w:r>
    </w:p>
    <w:p w14:paraId="378D6257" w14:textId="77777777" w:rsidR="008E3FB2" w:rsidRPr="000E0D3B" w:rsidRDefault="008E3FB2" w:rsidP="008E3FB2">
      <w:pPr>
        <w:spacing w:after="0"/>
        <w:jc w:val="both"/>
        <w:rPr>
          <w:rFonts w:asciiTheme="majorHAnsi" w:hAnsiTheme="majorHAnsi" w:cstheme="majorHAnsi"/>
        </w:rPr>
      </w:pPr>
    </w:p>
    <w:p w14:paraId="46027A26" w14:textId="77777777" w:rsidR="008E3FB2" w:rsidRPr="000E0D3B" w:rsidRDefault="008E3FB2" w:rsidP="008E3FB2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E0D3B">
        <w:rPr>
          <w:rFonts w:asciiTheme="majorHAnsi" w:hAnsiTheme="majorHAnsi" w:cstheme="majorHAnsi"/>
          <w:b/>
          <w:sz w:val="24"/>
          <w:szCs w:val="24"/>
        </w:rPr>
        <w:t xml:space="preserve">Durée </w:t>
      </w:r>
      <w:r>
        <w:rPr>
          <w:rFonts w:asciiTheme="majorHAnsi" w:hAnsiTheme="majorHAnsi" w:cstheme="majorHAnsi"/>
          <w:b/>
          <w:sz w:val="24"/>
          <w:szCs w:val="24"/>
        </w:rPr>
        <w:t xml:space="preserve">et lieu </w:t>
      </w:r>
      <w:r w:rsidRPr="000E0D3B">
        <w:rPr>
          <w:rFonts w:asciiTheme="majorHAnsi" w:hAnsiTheme="majorHAnsi" w:cstheme="majorHAnsi"/>
          <w:b/>
          <w:sz w:val="24"/>
          <w:szCs w:val="24"/>
        </w:rPr>
        <w:t>de la mission</w:t>
      </w:r>
    </w:p>
    <w:p w14:paraId="6814D5C6" w14:textId="77777777" w:rsidR="008E3FB2" w:rsidRPr="000E0D3B" w:rsidRDefault="008E3FB2" w:rsidP="008E3FB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6285DA7" w14:textId="25DBF0BF" w:rsidR="002A01D6" w:rsidRDefault="008E3FB2" w:rsidP="008E3FB2">
      <w:pPr>
        <w:spacing w:after="0"/>
        <w:jc w:val="both"/>
        <w:rPr>
          <w:rFonts w:cstheme="minorHAnsi"/>
        </w:rPr>
      </w:pPr>
      <w:r w:rsidRPr="00276096">
        <w:rPr>
          <w:rFonts w:cstheme="minorHAnsi"/>
        </w:rPr>
        <w:t xml:space="preserve">La </w:t>
      </w:r>
      <w:r>
        <w:rPr>
          <w:rFonts w:cstheme="minorHAnsi"/>
        </w:rPr>
        <w:t>période de mission</w:t>
      </w:r>
      <w:r w:rsidRPr="00276096">
        <w:rPr>
          <w:rFonts w:cstheme="minorHAnsi"/>
        </w:rPr>
        <w:t xml:space="preserve"> est prévue </w:t>
      </w:r>
      <w:r w:rsidR="008A7B75">
        <w:rPr>
          <w:rFonts w:cstheme="minorHAnsi"/>
        </w:rPr>
        <w:t>sur</w:t>
      </w:r>
      <w:r w:rsidRPr="00276096">
        <w:rPr>
          <w:rFonts w:cstheme="minorHAnsi"/>
        </w:rPr>
        <w:t xml:space="preserve"> une durée de </w:t>
      </w:r>
      <w:r w:rsidR="008402E3">
        <w:rPr>
          <w:rFonts w:cstheme="minorHAnsi"/>
        </w:rPr>
        <w:t>12</w:t>
      </w:r>
      <w:r w:rsidRPr="00276096">
        <w:rPr>
          <w:rFonts w:cstheme="minorHAnsi"/>
        </w:rPr>
        <w:t xml:space="preserve"> mois étalée </w:t>
      </w:r>
      <w:r w:rsidR="003E5518">
        <w:rPr>
          <w:rFonts w:cstheme="minorHAnsi"/>
        </w:rPr>
        <w:t xml:space="preserve">de </w:t>
      </w:r>
      <w:r w:rsidR="009A269D">
        <w:rPr>
          <w:rFonts w:cstheme="minorHAnsi"/>
        </w:rPr>
        <w:t>décembre</w:t>
      </w:r>
      <w:r w:rsidR="003E5518">
        <w:rPr>
          <w:rFonts w:cstheme="minorHAnsi"/>
        </w:rPr>
        <w:t xml:space="preserve"> 2022</w:t>
      </w:r>
      <w:r>
        <w:rPr>
          <w:rFonts w:cstheme="minorHAnsi"/>
        </w:rPr>
        <w:t xml:space="preserve"> à </w:t>
      </w:r>
      <w:r w:rsidR="002A01D6">
        <w:rPr>
          <w:rFonts w:cstheme="minorHAnsi"/>
        </w:rPr>
        <w:t>août</w:t>
      </w:r>
      <w:r w:rsidR="003E5518">
        <w:rPr>
          <w:rFonts w:cstheme="minorHAnsi"/>
        </w:rPr>
        <w:t xml:space="preserve"> 202</w:t>
      </w:r>
      <w:r w:rsidR="004E3152">
        <w:rPr>
          <w:rFonts w:cstheme="minorHAnsi"/>
        </w:rPr>
        <w:t>3</w:t>
      </w:r>
      <w:r w:rsidR="002A01D6">
        <w:rPr>
          <w:rFonts w:cstheme="minorHAnsi"/>
        </w:rPr>
        <w:t>, en trois phases principales</w:t>
      </w:r>
      <w:r w:rsidR="000577D8">
        <w:rPr>
          <w:rFonts w:cstheme="minorHAnsi"/>
        </w:rPr>
        <w:t xml:space="preserve"> (</w:t>
      </w:r>
      <w:r w:rsidR="00A65181">
        <w:rPr>
          <w:rFonts w:cstheme="minorHAnsi"/>
        </w:rPr>
        <w:t xml:space="preserve">dates </w:t>
      </w:r>
      <w:r w:rsidR="000577D8">
        <w:rPr>
          <w:rFonts w:cstheme="minorHAnsi"/>
        </w:rPr>
        <w:t>indicatives)</w:t>
      </w:r>
      <w:r w:rsidR="009A269D">
        <w:rPr>
          <w:rFonts w:cstheme="minorHAnsi"/>
        </w:rPr>
        <w:t xml:space="preserve"> dans la limite de 30 HJ</w:t>
      </w:r>
      <w:bookmarkStart w:id="0" w:name="_GoBack"/>
      <w:bookmarkEnd w:id="0"/>
      <w:r w:rsidR="002A01D6">
        <w:rPr>
          <w:rFonts w:cstheme="minorHAnsi"/>
        </w:rPr>
        <w:t> :</w:t>
      </w:r>
    </w:p>
    <w:p w14:paraId="1113E192" w14:textId="0F7AD4E6" w:rsidR="000577D8" w:rsidRDefault="002A01D6" w:rsidP="008E3FB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A269D">
        <w:rPr>
          <w:rFonts w:cstheme="minorHAnsi"/>
        </w:rPr>
        <w:t>décembre-janvier</w:t>
      </w:r>
      <w:r>
        <w:rPr>
          <w:rFonts w:cstheme="minorHAnsi"/>
        </w:rPr>
        <w:t xml:space="preserve"> 2022, </w:t>
      </w:r>
      <w:r w:rsidR="000577D8">
        <w:rPr>
          <w:rFonts w:cstheme="minorHAnsi"/>
        </w:rPr>
        <w:t xml:space="preserve">l’élaboration de la politique et de la législation secondaire sur l’audit interne ou de performance à destination des entités contractantes </w:t>
      </w:r>
    </w:p>
    <w:p w14:paraId="1910F82B" w14:textId="7BFD494B" w:rsidR="000577D8" w:rsidRDefault="000577D8" w:rsidP="008E3FB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A269D">
        <w:rPr>
          <w:rFonts w:cstheme="minorHAnsi"/>
        </w:rPr>
        <w:t>février-mars</w:t>
      </w:r>
      <w:r>
        <w:rPr>
          <w:rFonts w:cstheme="minorHAnsi"/>
        </w:rPr>
        <w:t xml:space="preserve"> 2023, </w:t>
      </w:r>
      <w:r w:rsidR="008402E3">
        <w:rPr>
          <w:rFonts w:cstheme="minorHAnsi"/>
        </w:rPr>
        <w:t>appui à la réalisation</w:t>
      </w:r>
      <w:r>
        <w:rPr>
          <w:rFonts w:cstheme="minorHAnsi"/>
        </w:rPr>
        <w:t xml:space="preserve"> d’un audit interne de 3 entités contractantes pilotes (ministère, établissement public, municipalité) et</w:t>
      </w:r>
      <w:r w:rsidR="008402E3">
        <w:rPr>
          <w:rFonts w:cstheme="minorHAnsi"/>
        </w:rPr>
        <w:t xml:space="preserve"> recommandation des entités auditées,</w:t>
      </w:r>
    </w:p>
    <w:p w14:paraId="025A0232" w14:textId="5A0E5AEC" w:rsidR="008E3FB2" w:rsidRPr="00276096" w:rsidRDefault="000577D8" w:rsidP="008E3FB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A269D">
        <w:rPr>
          <w:rFonts w:cstheme="minorHAnsi"/>
        </w:rPr>
        <w:t>avril-juin</w:t>
      </w:r>
      <w:r>
        <w:rPr>
          <w:rFonts w:cstheme="minorHAnsi"/>
        </w:rPr>
        <w:t xml:space="preserve"> 2023, appui à la mise en œuvre du plan d’action des entités auditées</w:t>
      </w:r>
      <w:r w:rsidR="008E3FB2" w:rsidRPr="00276096">
        <w:rPr>
          <w:rFonts w:cstheme="minorHAnsi"/>
        </w:rPr>
        <w:t>.</w:t>
      </w:r>
    </w:p>
    <w:p w14:paraId="3C709289" w14:textId="334F3819" w:rsidR="008E3FB2" w:rsidRPr="000E0D3B" w:rsidRDefault="008E3FB2" w:rsidP="008E3FB2">
      <w:pPr>
        <w:spacing w:after="0"/>
        <w:jc w:val="both"/>
        <w:rPr>
          <w:rFonts w:asciiTheme="majorHAnsi" w:hAnsiTheme="majorHAnsi" w:cstheme="majorHAnsi"/>
        </w:rPr>
      </w:pPr>
      <w:r>
        <w:rPr>
          <w:rFonts w:cstheme="minorHAnsi"/>
        </w:rPr>
        <w:t xml:space="preserve">Des déplacements au Liban sont à prévoir durant </w:t>
      </w:r>
      <w:r w:rsidR="000577D8">
        <w:rPr>
          <w:rFonts w:cstheme="minorHAnsi"/>
        </w:rPr>
        <w:t>ces</w:t>
      </w:r>
      <w:r>
        <w:rPr>
          <w:rFonts w:cstheme="minorHAnsi"/>
        </w:rPr>
        <w:t xml:space="preserve"> période</w:t>
      </w:r>
      <w:r w:rsidR="000577D8">
        <w:rPr>
          <w:rFonts w:cstheme="minorHAnsi"/>
        </w:rPr>
        <w:t>s</w:t>
      </w:r>
      <w:r>
        <w:rPr>
          <w:rFonts w:cstheme="minorHAnsi"/>
        </w:rPr>
        <w:t xml:space="preserve">. </w:t>
      </w:r>
    </w:p>
    <w:p w14:paraId="45B266AA" w14:textId="77777777" w:rsidR="008E3FB2" w:rsidRDefault="008E3FB2" w:rsidP="008E3FB2">
      <w:pPr>
        <w:spacing w:after="0"/>
        <w:jc w:val="both"/>
        <w:rPr>
          <w:rFonts w:asciiTheme="majorHAnsi" w:hAnsiTheme="majorHAnsi" w:cstheme="majorHAnsi"/>
        </w:rPr>
      </w:pPr>
    </w:p>
    <w:p w14:paraId="681959E1" w14:textId="0271B167" w:rsidR="008E3FB2" w:rsidRPr="007C34A9" w:rsidRDefault="008E3FB2" w:rsidP="008E3FB2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Profil de l’E</w:t>
      </w:r>
      <w:r w:rsidRPr="007C34A9">
        <w:rPr>
          <w:rFonts w:asciiTheme="majorHAnsi" w:hAnsiTheme="majorHAnsi" w:cstheme="majorHAnsi"/>
          <w:b/>
          <w:sz w:val="24"/>
          <w:szCs w:val="24"/>
        </w:rPr>
        <w:t>xpert</w:t>
      </w:r>
      <w:r w:rsidR="008402E3">
        <w:rPr>
          <w:rFonts w:asciiTheme="majorHAnsi" w:hAnsiTheme="majorHAnsi" w:cstheme="majorHAnsi"/>
          <w:b/>
          <w:sz w:val="24"/>
          <w:szCs w:val="24"/>
        </w:rPr>
        <w:t>(e)</w:t>
      </w:r>
      <w:r>
        <w:rPr>
          <w:rFonts w:asciiTheme="majorHAnsi" w:hAnsiTheme="majorHAnsi" w:cstheme="majorHAnsi"/>
          <w:b/>
          <w:sz w:val="24"/>
          <w:szCs w:val="24"/>
        </w:rPr>
        <w:t xml:space="preserve"> référent</w:t>
      </w:r>
      <w:r w:rsidR="008402E3">
        <w:rPr>
          <w:rFonts w:asciiTheme="majorHAnsi" w:hAnsiTheme="majorHAnsi" w:cstheme="majorHAnsi"/>
          <w:b/>
          <w:sz w:val="24"/>
          <w:szCs w:val="24"/>
        </w:rPr>
        <w:t>(e)</w:t>
      </w:r>
    </w:p>
    <w:p w14:paraId="2F99E993" w14:textId="77777777" w:rsidR="008E3FB2" w:rsidRDefault="008E3FB2" w:rsidP="008E3FB2">
      <w:pPr>
        <w:spacing w:after="0"/>
        <w:jc w:val="both"/>
        <w:rPr>
          <w:rFonts w:asciiTheme="majorHAnsi" w:hAnsiTheme="majorHAnsi" w:cstheme="majorHAnsi"/>
        </w:rPr>
      </w:pPr>
    </w:p>
    <w:p w14:paraId="3EA28844" w14:textId="0ED3A28F" w:rsidR="008E3FB2" w:rsidRDefault="008402E3" w:rsidP="008E3FB2">
      <w:pPr>
        <w:spacing w:after="0"/>
        <w:jc w:val="both"/>
        <w:rPr>
          <w:rFonts w:cstheme="minorHAnsi"/>
        </w:rPr>
      </w:pPr>
      <w:r>
        <w:rPr>
          <w:rFonts w:cstheme="minorHAnsi"/>
        </w:rPr>
        <w:t>L’</w:t>
      </w:r>
      <w:r w:rsidR="003E5518">
        <w:rPr>
          <w:rFonts w:cstheme="minorHAnsi"/>
        </w:rPr>
        <w:t>expert</w:t>
      </w:r>
      <w:r>
        <w:rPr>
          <w:rFonts w:cstheme="minorHAnsi"/>
        </w:rPr>
        <w:t>(e)</w:t>
      </w:r>
      <w:r w:rsidR="003E5518">
        <w:rPr>
          <w:rFonts w:cstheme="minorHAnsi"/>
        </w:rPr>
        <w:t xml:space="preserve"> référent</w:t>
      </w:r>
      <w:r>
        <w:rPr>
          <w:rFonts w:cstheme="minorHAnsi"/>
        </w:rPr>
        <w:t>(e)</w:t>
      </w:r>
      <w:r w:rsidR="003E5518">
        <w:rPr>
          <w:rFonts w:cstheme="minorHAnsi"/>
        </w:rPr>
        <w:t xml:space="preserve"> </w:t>
      </w:r>
      <w:r>
        <w:rPr>
          <w:rFonts w:cstheme="minorHAnsi"/>
        </w:rPr>
        <w:t>audit de performance</w:t>
      </w:r>
      <w:r w:rsidR="008E3FB2" w:rsidRPr="00923191">
        <w:rPr>
          <w:rFonts w:cstheme="minorHAnsi"/>
        </w:rPr>
        <w:t xml:space="preserve"> </w:t>
      </w:r>
      <w:r w:rsidR="004E3152">
        <w:rPr>
          <w:rFonts w:cstheme="minorHAnsi"/>
        </w:rPr>
        <w:t>ser</w:t>
      </w:r>
      <w:r>
        <w:rPr>
          <w:rFonts w:cstheme="minorHAnsi"/>
        </w:rPr>
        <w:t>a</w:t>
      </w:r>
      <w:r w:rsidR="008E3FB2" w:rsidRPr="00923191">
        <w:rPr>
          <w:rFonts w:cstheme="minorHAnsi"/>
        </w:rPr>
        <w:t xml:space="preserve"> </w:t>
      </w:r>
      <w:r w:rsidR="004A1DC3">
        <w:rPr>
          <w:rFonts w:cstheme="minorHAnsi"/>
        </w:rPr>
        <w:t>expert</w:t>
      </w:r>
      <w:r w:rsidR="004E3152">
        <w:rPr>
          <w:rFonts w:cstheme="minorHAnsi"/>
        </w:rPr>
        <w:t xml:space="preserve"> </w:t>
      </w:r>
      <w:r w:rsidR="00F83BC8">
        <w:rPr>
          <w:rFonts w:cstheme="minorHAnsi"/>
        </w:rPr>
        <w:t>en audit et en contrôle interne</w:t>
      </w:r>
      <w:r>
        <w:rPr>
          <w:rFonts w:cstheme="minorHAnsi"/>
        </w:rPr>
        <w:t>s</w:t>
      </w:r>
      <w:r w:rsidR="008E3FB2">
        <w:rPr>
          <w:rFonts w:cstheme="minorHAnsi"/>
        </w:rPr>
        <w:t xml:space="preserve">, ayant été </w:t>
      </w:r>
      <w:r w:rsidR="00473B6B">
        <w:rPr>
          <w:rFonts w:cstheme="minorHAnsi"/>
        </w:rPr>
        <w:t xml:space="preserve">ou étant </w:t>
      </w:r>
      <w:r w:rsidR="008E3FB2">
        <w:rPr>
          <w:rFonts w:cstheme="minorHAnsi"/>
        </w:rPr>
        <w:t>en exercice au sein de l’administration publique français</w:t>
      </w:r>
      <w:r>
        <w:rPr>
          <w:rFonts w:cstheme="minorHAnsi"/>
        </w:rPr>
        <w:t xml:space="preserve">e, de préférence dans différents types d’administrations centrales et locales, </w:t>
      </w:r>
      <w:r w:rsidR="008E3FB2">
        <w:rPr>
          <w:rFonts w:cstheme="minorHAnsi"/>
        </w:rPr>
        <w:t xml:space="preserve">et ayant une expérience avérée dans la coopération internationale notamment avec le Liban. </w:t>
      </w:r>
    </w:p>
    <w:p w14:paraId="7C5266B3" w14:textId="77777777" w:rsidR="008E3FB2" w:rsidRDefault="008E3FB2" w:rsidP="008E3FB2">
      <w:pPr>
        <w:spacing w:after="0"/>
        <w:jc w:val="both"/>
        <w:rPr>
          <w:rFonts w:cstheme="minorHAnsi"/>
        </w:rPr>
      </w:pPr>
    </w:p>
    <w:p w14:paraId="003AE49B" w14:textId="05720B30" w:rsidR="008E3FB2" w:rsidRDefault="009762C9" w:rsidP="008E3FB2">
      <w:pPr>
        <w:spacing w:after="0"/>
        <w:jc w:val="both"/>
        <w:rPr>
          <w:rFonts w:cstheme="minorHAnsi"/>
        </w:rPr>
      </w:pPr>
      <w:r>
        <w:rPr>
          <w:rFonts w:cstheme="minorHAnsi"/>
        </w:rPr>
        <w:t>Il</w:t>
      </w:r>
      <w:r w:rsidR="008402E3">
        <w:rPr>
          <w:rFonts w:cstheme="minorHAnsi"/>
        </w:rPr>
        <w:t>(elle)</w:t>
      </w:r>
      <w:r w:rsidR="008E3FB2">
        <w:rPr>
          <w:rFonts w:cstheme="minorHAnsi"/>
        </w:rPr>
        <w:t xml:space="preserve"> </w:t>
      </w:r>
      <w:r>
        <w:rPr>
          <w:rFonts w:cstheme="minorHAnsi"/>
        </w:rPr>
        <w:t>devr</w:t>
      </w:r>
      <w:r w:rsidR="008402E3">
        <w:rPr>
          <w:rFonts w:cstheme="minorHAnsi"/>
        </w:rPr>
        <w:t>a</w:t>
      </w:r>
      <w:r w:rsidR="008E3FB2">
        <w:rPr>
          <w:rFonts w:cstheme="minorHAnsi"/>
        </w:rPr>
        <w:t xml:space="preserve"> répondre aux qualifications suivantes :</w:t>
      </w:r>
    </w:p>
    <w:p w14:paraId="6E60C049" w14:textId="5D4DAFFA" w:rsidR="008E3FB2" w:rsidRDefault="008E3FB2" w:rsidP="008E3FB2">
      <w:pPr>
        <w:spacing w:after="0"/>
        <w:jc w:val="both"/>
        <w:rPr>
          <w:rFonts w:cstheme="minorHAnsi"/>
        </w:rPr>
      </w:pPr>
    </w:p>
    <w:p w14:paraId="10BD9048" w14:textId="77777777" w:rsidR="008E3FB2" w:rsidRPr="00BE6AD1" w:rsidRDefault="008E3FB2" w:rsidP="008E3FB2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Calibri" w:hAnsi="Calibri"/>
          <w:iCs/>
        </w:rPr>
      </w:pPr>
      <w:r w:rsidRPr="00C26D0A">
        <w:rPr>
          <w:rFonts w:ascii="Calibri" w:hAnsi="Calibri"/>
          <w:iCs/>
          <w:u w:val="single"/>
        </w:rPr>
        <w:t>Qualifications et compétences</w:t>
      </w:r>
      <w:r w:rsidRPr="00BE6AD1">
        <w:rPr>
          <w:rFonts w:ascii="Calibri" w:hAnsi="Calibri"/>
          <w:iCs/>
        </w:rPr>
        <w:t> :</w:t>
      </w:r>
    </w:p>
    <w:p w14:paraId="5354E143" w14:textId="21B85ED9" w:rsidR="008E3FB2" w:rsidRPr="0008726F" w:rsidRDefault="008E3FB2" w:rsidP="008E3FB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08726F">
        <w:rPr>
          <w:rFonts w:ascii="Calibri" w:hAnsi="Calibri"/>
        </w:rPr>
        <w:t>Titulaire</w:t>
      </w:r>
      <w:r>
        <w:rPr>
          <w:rFonts w:ascii="Calibri" w:hAnsi="Calibri"/>
        </w:rPr>
        <w:t xml:space="preserve"> d’un diplôme universitaire de </w:t>
      </w:r>
      <w:r w:rsidR="00473B6B">
        <w:rPr>
          <w:rFonts w:ascii="Calibri" w:hAnsi="Calibri"/>
        </w:rPr>
        <w:t>3</w:t>
      </w:r>
      <w:r w:rsidRPr="0008726F">
        <w:rPr>
          <w:rFonts w:ascii="Calibri" w:hAnsi="Calibri"/>
          <w:vertAlign w:val="superscript"/>
        </w:rPr>
        <w:t>ème</w:t>
      </w:r>
      <w:r w:rsidRPr="0008726F">
        <w:rPr>
          <w:rFonts w:ascii="Calibri" w:hAnsi="Calibri"/>
        </w:rPr>
        <w:t xml:space="preserve"> cycle en </w:t>
      </w:r>
      <w:r w:rsidR="00473B6B">
        <w:rPr>
          <w:rFonts w:ascii="Calibri" w:hAnsi="Calibri"/>
        </w:rPr>
        <w:t>science de gestion des administrations, sciences politiques</w:t>
      </w:r>
      <w:r>
        <w:rPr>
          <w:rFonts w:ascii="Calibri" w:hAnsi="Calibri"/>
        </w:rPr>
        <w:t xml:space="preserve"> ou tout autre domaine lié</w:t>
      </w:r>
    </w:p>
    <w:p w14:paraId="7A52AFA3" w14:textId="77777777" w:rsidR="008E3FB2" w:rsidRPr="0008726F" w:rsidRDefault="008E3FB2" w:rsidP="008E3FB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08726F">
        <w:rPr>
          <w:rFonts w:ascii="Calibri" w:hAnsi="Calibri"/>
        </w:rPr>
        <w:t>Excellentes qualités /capacités :</w:t>
      </w:r>
    </w:p>
    <w:p w14:paraId="5128FA6C" w14:textId="77777777" w:rsidR="008E3FB2" w:rsidRPr="0008726F" w:rsidRDefault="008E3FB2" w:rsidP="008E3FB2">
      <w:pPr>
        <w:numPr>
          <w:ilvl w:val="1"/>
          <w:numId w:val="5"/>
        </w:numPr>
        <w:spacing w:after="0" w:line="240" w:lineRule="auto"/>
        <w:jc w:val="both"/>
        <w:rPr>
          <w:rFonts w:ascii="Calibri" w:eastAsia="Arial Unicode MS" w:hAnsi="Calibri"/>
        </w:rPr>
      </w:pPr>
      <w:r w:rsidRPr="0008726F">
        <w:rPr>
          <w:rFonts w:ascii="Calibri" w:hAnsi="Calibri"/>
        </w:rPr>
        <w:t>de communication</w:t>
      </w:r>
    </w:p>
    <w:p w14:paraId="2C1BE4F7" w14:textId="77777777" w:rsidR="008E3FB2" w:rsidRPr="00095A30" w:rsidRDefault="008E3FB2" w:rsidP="008E3FB2">
      <w:pPr>
        <w:numPr>
          <w:ilvl w:val="1"/>
          <w:numId w:val="5"/>
        </w:numPr>
        <w:spacing w:after="0" w:line="240" w:lineRule="auto"/>
        <w:jc w:val="both"/>
        <w:rPr>
          <w:rFonts w:ascii="Calibri" w:eastAsia="Arial Unicode MS" w:hAnsi="Calibri"/>
        </w:rPr>
      </w:pPr>
      <w:r w:rsidRPr="0008726F">
        <w:rPr>
          <w:rFonts w:ascii="Calibri" w:hAnsi="Calibri"/>
        </w:rPr>
        <w:t>de travail en équipe et relationnel</w:t>
      </w:r>
    </w:p>
    <w:p w14:paraId="452BA881" w14:textId="77777777" w:rsidR="008E3FB2" w:rsidRPr="0008726F" w:rsidRDefault="008E3FB2" w:rsidP="008E3FB2">
      <w:pPr>
        <w:numPr>
          <w:ilvl w:val="1"/>
          <w:numId w:val="5"/>
        </w:numPr>
        <w:spacing w:after="0" w:line="240" w:lineRule="auto"/>
        <w:jc w:val="both"/>
        <w:rPr>
          <w:rFonts w:ascii="Calibri" w:eastAsia="Arial Unicode MS" w:hAnsi="Calibri"/>
        </w:rPr>
      </w:pPr>
      <w:r>
        <w:rPr>
          <w:rFonts w:ascii="Calibri" w:hAnsi="Calibri"/>
        </w:rPr>
        <w:t>de pédagogie</w:t>
      </w:r>
    </w:p>
    <w:p w14:paraId="36EC2F5C" w14:textId="77777777" w:rsidR="008E3FB2" w:rsidRPr="0008726F" w:rsidRDefault="008E3FB2" w:rsidP="008E3FB2">
      <w:pPr>
        <w:numPr>
          <w:ilvl w:val="1"/>
          <w:numId w:val="5"/>
        </w:numPr>
        <w:spacing w:after="0" w:line="240" w:lineRule="auto"/>
        <w:jc w:val="both"/>
        <w:rPr>
          <w:rFonts w:ascii="Calibri" w:eastAsia="Arial Unicode MS" w:hAnsi="Calibri"/>
        </w:rPr>
      </w:pPr>
      <w:r w:rsidRPr="0008726F">
        <w:rPr>
          <w:rFonts w:ascii="Calibri" w:eastAsia="Arial Unicode MS" w:hAnsi="Calibri"/>
        </w:rPr>
        <w:t xml:space="preserve">de transmission des savoirs </w:t>
      </w:r>
    </w:p>
    <w:p w14:paraId="1DE1B5BD" w14:textId="77777777" w:rsidR="008E3FB2" w:rsidRPr="0008726F" w:rsidRDefault="008E3FB2" w:rsidP="008E3FB2">
      <w:pPr>
        <w:numPr>
          <w:ilvl w:val="1"/>
          <w:numId w:val="5"/>
        </w:numPr>
        <w:spacing w:after="0" w:line="240" w:lineRule="auto"/>
        <w:jc w:val="both"/>
        <w:rPr>
          <w:rFonts w:ascii="Calibri" w:eastAsia="Arial Unicode MS" w:hAnsi="Calibri"/>
        </w:rPr>
      </w:pPr>
      <w:r w:rsidRPr="0008726F">
        <w:rPr>
          <w:rFonts w:ascii="Calibri" w:hAnsi="Calibri"/>
        </w:rPr>
        <w:t>de synthèse et de rédaction</w:t>
      </w:r>
    </w:p>
    <w:p w14:paraId="7705DAEA" w14:textId="77777777" w:rsidR="008E3FB2" w:rsidRPr="0008726F" w:rsidRDefault="008E3FB2" w:rsidP="008E3FB2">
      <w:pPr>
        <w:numPr>
          <w:ilvl w:val="1"/>
          <w:numId w:val="5"/>
        </w:numPr>
        <w:spacing w:after="0" w:line="240" w:lineRule="auto"/>
        <w:jc w:val="both"/>
        <w:rPr>
          <w:rFonts w:ascii="Calibri" w:eastAsia="Arial Unicode MS" w:hAnsi="Calibri"/>
        </w:rPr>
      </w:pPr>
      <w:r w:rsidRPr="0008726F">
        <w:rPr>
          <w:rFonts w:ascii="Calibri" w:hAnsi="Calibri"/>
        </w:rPr>
        <w:t>d’analyse et résolution des problèmes</w:t>
      </w:r>
    </w:p>
    <w:p w14:paraId="36AC393F" w14:textId="77777777" w:rsidR="008E3FB2" w:rsidRPr="0008726F" w:rsidRDefault="008E3FB2" w:rsidP="008E3FB2">
      <w:pPr>
        <w:numPr>
          <w:ilvl w:val="1"/>
          <w:numId w:val="5"/>
        </w:numPr>
        <w:spacing w:after="0" w:line="240" w:lineRule="auto"/>
        <w:jc w:val="both"/>
        <w:rPr>
          <w:rFonts w:ascii="Calibri" w:eastAsia="Arial Unicode MS" w:hAnsi="Calibri"/>
        </w:rPr>
      </w:pPr>
      <w:r w:rsidRPr="0008726F">
        <w:rPr>
          <w:rFonts w:ascii="Calibri" w:hAnsi="Calibri"/>
        </w:rPr>
        <w:t>de prise de décision et d’initiative</w:t>
      </w:r>
    </w:p>
    <w:p w14:paraId="173E7EFA" w14:textId="3717AE34" w:rsidR="008402E3" w:rsidRPr="008402E3" w:rsidRDefault="008E3FB2" w:rsidP="008402E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08726F">
        <w:rPr>
          <w:rFonts w:ascii="Calibri" w:hAnsi="Calibri"/>
        </w:rPr>
        <w:t>Excellente maît</w:t>
      </w:r>
      <w:r>
        <w:rPr>
          <w:rFonts w:ascii="Calibri" w:hAnsi="Calibri"/>
        </w:rPr>
        <w:t>rise du français (écrit / oral) e</w:t>
      </w:r>
      <w:r w:rsidRPr="00903A04">
        <w:rPr>
          <w:rFonts w:ascii="Calibri" w:hAnsi="Calibri"/>
        </w:rPr>
        <w:t>t de l’anglais (écrit/oral)</w:t>
      </w:r>
    </w:p>
    <w:p w14:paraId="1435EACF" w14:textId="77777777" w:rsidR="008402E3" w:rsidRPr="008402E3" w:rsidRDefault="008402E3" w:rsidP="008402E3">
      <w:pPr>
        <w:spacing w:after="0"/>
        <w:ind w:left="360"/>
        <w:jc w:val="both"/>
        <w:rPr>
          <w:rFonts w:asciiTheme="majorHAnsi" w:hAnsiTheme="majorHAnsi" w:cstheme="majorHAnsi"/>
        </w:rPr>
      </w:pPr>
    </w:p>
    <w:p w14:paraId="53945E43" w14:textId="77777777" w:rsidR="009762C9" w:rsidRPr="0008726F" w:rsidRDefault="009762C9" w:rsidP="009762C9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Calibri" w:hAnsi="Calibri"/>
          <w:iCs/>
          <w:u w:val="single"/>
        </w:rPr>
      </w:pPr>
      <w:r w:rsidRPr="0008726F">
        <w:rPr>
          <w:rFonts w:ascii="Calibri" w:hAnsi="Calibri"/>
          <w:iCs/>
          <w:u w:val="single"/>
        </w:rPr>
        <w:lastRenderedPageBreak/>
        <w:t>Expérience professionnelle générale</w:t>
      </w:r>
    </w:p>
    <w:p w14:paraId="7DF10BF9" w14:textId="2C403AAC" w:rsidR="009762C9" w:rsidRPr="00FF0D61" w:rsidRDefault="009762C9" w:rsidP="009762C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08726F">
        <w:rPr>
          <w:rFonts w:ascii="Calibri" w:hAnsi="Calibri"/>
        </w:rPr>
        <w:t xml:space="preserve">Expérience professionnelle d’au </w:t>
      </w:r>
      <w:r>
        <w:rPr>
          <w:rFonts w:ascii="Calibri" w:hAnsi="Calibri"/>
        </w:rPr>
        <w:t>moins 10 ans dans des institutions locales, nationales et internationales dans le domaine de l’audit et du contrôle interne</w:t>
      </w:r>
    </w:p>
    <w:p w14:paraId="23655548" w14:textId="65D15F41" w:rsidR="009762C9" w:rsidRPr="0008726F" w:rsidRDefault="009762C9" w:rsidP="009762C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08726F">
        <w:rPr>
          <w:rFonts w:ascii="Calibri" w:hAnsi="Calibri"/>
        </w:rPr>
        <w:t xml:space="preserve">Bonne maîtrise des enjeux liés </w:t>
      </w:r>
      <w:r>
        <w:rPr>
          <w:rFonts w:ascii="Calibri" w:hAnsi="Calibri"/>
        </w:rPr>
        <w:t>à l’audit des marchés publics</w:t>
      </w:r>
    </w:p>
    <w:p w14:paraId="01856E85" w14:textId="77777777" w:rsidR="009762C9" w:rsidRPr="008A7B75" w:rsidRDefault="009762C9" w:rsidP="009762C9">
      <w:pPr>
        <w:jc w:val="both"/>
        <w:rPr>
          <w:rFonts w:ascii="Calibri" w:hAnsi="Calibri"/>
          <w:iCs/>
          <w:u w:val="single"/>
        </w:rPr>
      </w:pPr>
    </w:p>
    <w:p w14:paraId="76EDA31A" w14:textId="77777777" w:rsidR="009762C9" w:rsidRPr="0008726F" w:rsidRDefault="009762C9" w:rsidP="009762C9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Calibri" w:hAnsi="Calibri"/>
          <w:iCs/>
          <w:u w:val="single"/>
        </w:rPr>
      </w:pPr>
      <w:r w:rsidRPr="0008726F">
        <w:rPr>
          <w:rFonts w:ascii="Calibri" w:hAnsi="Calibri"/>
          <w:iCs/>
          <w:u w:val="single"/>
        </w:rPr>
        <w:t>Expérience professionnelle spécifique</w:t>
      </w:r>
    </w:p>
    <w:p w14:paraId="159724E5" w14:textId="77777777" w:rsidR="009762C9" w:rsidRDefault="009762C9" w:rsidP="009762C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08726F">
        <w:rPr>
          <w:rFonts w:ascii="Calibri" w:hAnsi="Calibri"/>
        </w:rPr>
        <w:t xml:space="preserve">Expérience </w:t>
      </w:r>
      <w:r>
        <w:rPr>
          <w:rFonts w:ascii="Calibri" w:hAnsi="Calibri"/>
        </w:rPr>
        <w:t>opérationnelle dans l’audit interne</w:t>
      </w:r>
    </w:p>
    <w:p w14:paraId="626F1B5D" w14:textId="20C91F0A" w:rsidR="009762C9" w:rsidRPr="00FF0D61" w:rsidRDefault="009762C9" w:rsidP="009762C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Expérience dans le renforcement des capacités institutionnelles</w:t>
      </w:r>
    </w:p>
    <w:p w14:paraId="61089252" w14:textId="3D149ED7" w:rsidR="00FE0A5B" w:rsidRPr="008A7B75" w:rsidRDefault="009762C9" w:rsidP="008A7B75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="Calibri" w:hAnsi="Calibri"/>
        </w:rPr>
        <w:t>Connaissance du contexte libanais</w:t>
      </w:r>
    </w:p>
    <w:sectPr w:rsidR="00FE0A5B" w:rsidRPr="008A7B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BD85" w14:textId="77777777" w:rsidR="00D61380" w:rsidRDefault="00D61380">
      <w:pPr>
        <w:spacing w:after="0" w:line="240" w:lineRule="auto"/>
      </w:pPr>
      <w:r>
        <w:separator/>
      </w:r>
    </w:p>
  </w:endnote>
  <w:endnote w:type="continuationSeparator" w:id="0">
    <w:p w14:paraId="16AFD8E6" w14:textId="77777777" w:rsidR="00D61380" w:rsidRDefault="00D6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Gothic Std Book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3F6E7" w14:textId="77777777" w:rsidR="00064E2E" w:rsidRDefault="009A269D" w:rsidP="00AF3727">
    <w:pPr>
      <w:pStyle w:val="Pieddepage"/>
    </w:pPr>
  </w:p>
  <w:p w14:paraId="39D3E531" w14:textId="77777777" w:rsidR="00AF3727" w:rsidRPr="003F20B0" w:rsidRDefault="006C6E3B" w:rsidP="00AF3727">
    <w:pPr>
      <w:pStyle w:val="p1"/>
      <w:spacing w:after="100"/>
      <w:jc w:val="center"/>
      <w:rPr>
        <w:rFonts w:ascii="ITC Avant Garde Gothic Std Book" w:hAnsi="ITC Avant Garde Gothic Std Book"/>
        <w:b/>
        <w:color w:val="E1000F"/>
        <w:spacing w:val="20"/>
        <w:sz w:val="14"/>
        <w:szCs w:val="14"/>
      </w:rPr>
    </w:pPr>
    <w:r w:rsidRPr="003F20B0">
      <w:rPr>
        <w:rFonts w:ascii="ITC Avant Garde Gothic Std Book" w:hAnsi="ITC Avant Garde Gothic Std Book"/>
        <w:b/>
        <w:color w:val="E1000F"/>
        <w:spacing w:val="20"/>
        <w:sz w:val="14"/>
        <w:szCs w:val="14"/>
      </w:rPr>
      <w:t>EXPERTISE FRANCE</w:t>
    </w:r>
  </w:p>
  <w:p w14:paraId="110C6A83" w14:textId="77777777" w:rsidR="00AF3727" w:rsidRPr="00CA656A" w:rsidRDefault="006C6E3B" w:rsidP="00AF3727">
    <w:pPr>
      <w:pStyle w:val="p1"/>
      <w:spacing w:after="40" w:line="276" w:lineRule="auto"/>
      <w:jc w:val="center"/>
      <w:rPr>
        <w:rFonts w:ascii="ITC Avant Garde Gothic Std Book" w:hAnsi="ITC Avant Garde Gothic Std Book"/>
        <w:color w:val="0E408A"/>
        <w:sz w:val="12"/>
        <w:szCs w:val="12"/>
      </w:rPr>
    </w:pPr>
    <w:r>
      <w:rPr>
        <w:rFonts w:ascii="ITC Avant Garde Gothic Std Book" w:hAnsi="ITC Avant Garde Gothic Std Book"/>
        <w:color w:val="0E408A"/>
        <w:sz w:val="12"/>
        <w:szCs w:val="12"/>
      </w:rPr>
      <w:t>40</w:t>
    </w:r>
    <w:r w:rsidRPr="00CA656A">
      <w:rPr>
        <w:rFonts w:ascii="ITC Avant Garde Gothic Std Book" w:hAnsi="ITC Avant Garde Gothic Std Book"/>
        <w:color w:val="0E408A"/>
        <w:sz w:val="12"/>
        <w:szCs w:val="12"/>
      </w:rPr>
      <w:t xml:space="preserve">, </w:t>
    </w:r>
    <w:r>
      <w:rPr>
        <w:rFonts w:ascii="ITC Avant Garde Gothic Std Book" w:hAnsi="ITC Avant Garde Gothic Std Book"/>
        <w:color w:val="0E408A"/>
        <w:sz w:val="12"/>
        <w:szCs w:val="12"/>
      </w:rPr>
      <w:t>boulevard de Port-Royal</w:t>
    </w:r>
  </w:p>
  <w:p w14:paraId="245ED1AC" w14:textId="77777777" w:rsidR="00AF3727" w:rsidRPr="00CA656A" w:rsidRDefault="006C6E3B" w:rsidP="00AF3727">
    <w:pPr>
      <w:pStyle w:val="p1"/>
      <w:spacing w:after="40" w:line="276" w:lineRule="auto"/>
      <w:jc w:val="center"/>
      <w:rPr>
        <w:rFonts w:ascii="ITC Avant Garde Gothic Std Book" w:hAnsi="ITC Avant Garde Gothic Std Book"/>
        <w:color w:val="0E408A"/>
        <w:sz w:val="12"/>
        <w:szCs w:val="12"/>
      </w:rPr>
    </w:pPr>
    <w:r w:rsidRPr="00CA656A">
      <w:rPr>
        <w:rFonts w:ascii="ITC Avant Garde Gothic Std Book" w:hAnsi="ITC Avant Garde Gothic Std Book"/>
        <w:color w:val="0E408A"/>
        <w:sz w:val="12"/>
        <w:szCs w:val="12"/>
      </w:rPr>
      <w:t>7500</w:t>
    </w:r>
    <w:r>
      <w:rPr>
        <w:rFonts w:ascii="ITC Avant Garde Gothic Std Book" w:hAnsi="ITC Avant Garde Gothic Std Book"/>
        <w:color w:val="0E408A"/>
        <w:sz w:val="12"/>
        <w:szCs w:val="12"/>
      </w:rPr>
      <w:t>5</w:t>
    </w:r>
    <w:r w:rsidRPr="00CA656A">
      <w:rPr>
        <w:rFonts w:ascii="ITC Avant Garde Gothic Std Book" w:hAnsi="ITC Avant Garde Gothic Std Book"/>
        <w:color w:val="0E408A"/>
        <w:sz w:val="12"/>
        <w:szCs w:val="12"/>
      </w:rPr>
      <w:t xml:space="preserve"> Paris</w:t>
    </w:r>
  </w:p>
  <w:p w14:paraId="649E8228" w14:textId="77777777" w:rsidR="00AF3727" w:rsidRPr="00CA656A" w:rsidRDefault="006C6E3B" w:rsidP="00AF3727">
    <w:pPr>
      <w:pStyle w:val="p1"/>
      <w:spacing w:after="40" w:line="276" w:lineRule="auto"/>
      <w:jc w:val="center"/>
      <w:rPr>
        <w:rFonts w:ascii="ITC Avant Garde Gothic Std Book" w:hAnsi="ITC Avant Garde Gothic Std Book"/>
        <w:color w:val="0E408A"/>
        <w:sz w:val="12"/>
        <w:szCs w:val="12"/>
      </w:rPr>
    </w:pPr>
    <w:r w:rsidRPr="00CA656A">
      <w:rPr>
        <w:rFonts w:ascii="ITC Avant Garde Gothic Std Book" w:hAnsi="ITC Avant Garde Gothic Std Book"/>
        <w:b/>
        <w:color w:val="0E408A"/>
        <w:sz w:val="12"/>
        <w:szCs w:val="12"/>
      </w:rPr>
      <w:t>T.</w:t>
    </w:r>
    <w:r w:rsidRPr="00CA656A">
      <w:rPr>
        <w:rFonts w:ascii="ITC Avant Garde Gothic Std Book" w:hAnsi="ITC Avant Garde Gothic Std Book"/>
        <w:color w:val="0E408A"/>
        <w:sz w:val="12"/>
        <w:szCs w:val="12"/>
      </w:rPr>
      <w:t xml:space="preserve"> 01 70 82 70 82</w:t>
    </w:r>
  </w:p>
  <w:p w14:paraId="2FF42E18" w14:textId="77777777" w:rsidR="00064E2E" w:rsidRDefault="009A269D" w:rsidP="00AF3727">
    <w:pPr>
      <w:pStyle w:val="Pieddepage"/>
      <w:tabs>
        <w:tab w:val="clear" w:pos="4536"/>
        <w:tab w:val="clear" w:pos="9072"/>
        <w:tab w:val="left" w:pos="36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34319" w14:textId="77777777" w:rsidR="00D61380" w:rsidRDefault="00D61380">
      <w:pPr>
        <w:spacing w:after="0" w:line="240" w:lineRule="auto"/>
      </w:pPr>
      <w:r>
        <w:separator/>
      </w:r>
    </w:p>
  </w:footnote>
  <w:footnote w:type="continuationSeparator" w:id="0">
    <w:p w14:paraId="7A59F81D" w14:textId="77777777" w:rsidR="00D61380" w:rsidRDefault="00D6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5FEBC" w14:textId="77777777" w:rsidR="00064E2E" w:rsidRDefault="006C6E3B">
    <w:pPr>
      <w:pStyle w:val="En-tte"/>
    </w:pPr>
    <w:r>
      <w:rPr>
        <w:noProof/>
        <w:lang w:eastAsia="fr-FR"/>
      </w:rPr>
      <w:drawing>
        <wp:inline distT="0" distB="0" distL="0" distR="0" wp14:anchorId="50E4BA7A" wp14:editId="71D2CDC8">
          <wp:extent cx="1283605" cy="6572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xpertise France - Fond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384" cy="66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A4AF0" w14:textId="77777777" w:rsidR="00064E2E" w:rsidRDefault="009A269D">
    <w:pPr>
      <w:pStyle w:val="En-tte"/>
    </w:pPr>
  </w:p>
  <w:p w14:paraId="4529AE75" w14:textId="77777777" w:rsidR="00064E2E" w:rsidRDefault="009A269D">
    <w:pPr>
      <w:pStyle w:val="En-tte"/>
    </w:pPr>
  </w:p>
  <w:p w14:paraId="6B168D1A" w14:textId="77777777" w:rsidR="00064E2E" w:rsidRDefault="009A269D">
    <w:pPr>
      <w:pStyle w:val="En-tte"/>
    </w:pPr>
  </w:p>
  <w:p w14:paraId="5B300D0A" w14:textId="77777777" w:rsidR="00064E2E" w:rsidRDefault="009A26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82C"/>
    <w:multiLevelType w:val="multilevel"/>
    <w:tmpl w:val="DF80B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D317B5"/>
    <w:multiLevelType w:val="hybridMultilevel"/>
    <w:tmpl w:val="39828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2070"/>
    <w:multiLevelType w:val="hybridMultilevel"/>
    <w:tmpl w:val="245C6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3CD"/>
    <w:multiLevelType w:val="hybridMultilevel"/>
    <w:tmpl w:val="1ECE41AA"/>
    <w:lvl w:ilvl="0" w:tplc="FEC45F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1491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704F"/>
    <w:multiLevelType w:val="hybridMultilevel"/>
    <w:tmpl w:val="6E1CA802"/>
    <w:lvl w:ilvl="0" w:tplc="6DF6F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021A"/>
    <w:multiLevelType w:val="hybridMultilevel"/>
    <w:tmpl w:val="5D421654"/>
    <w:lvl w:ilvl="0" w:tplc="040C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u w:color="4472C4" w:themeColor="accent5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479F6EF2"/>
    <w:multiLevelType w:val="hybridMultilevel"/>
    <w:tmpl w:val="9F1C8906"/>
    <w:lvl w:ilvl="0" w:tplc="A1D011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7F38"/>
    <w:multiLevelType w:val="hybridMultilevel"/>
    <w:tmpl w:val="ECC4CCF6"/>
    <w:lvl w:ilvl="0" w:tplc="040C0015">
      <w:start w:val="1"/>
      <w:numFmt w:val="upperLetter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353574F"/>
    <w:multiLevelType w:val="hybridMultilevel"/>
    <w:tmpl w:val="6AE676C8"/>
    <w:lvl w:ilvl="0" w:tplc="FEC45F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0860F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401491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856EF"/>
    <w:multiLevelType w:val="hybridMultilevel"/>
    <w:tmpl w:val="9CA4B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63B5"/>
    <w:multiLevelType w:val="hybridMultilevel"/>
    <w:tmpl w:val="E5B0150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B2"/>
    <w:rsid w:val="00010C21"/>
    <w:rsid w:val="000577D8"/>
    <w:rsid w:val="000B124F"/>
    <w:rsid w:val="000B5813"/>
    <w:rsid w:val="000C3A22"/>
    <w:rsid w:val="000E1C57"/>
    <w:rsid w:val="000E3B67"/>
    <w:rsid w:val="00161572"/>
    <w:rsid w:val="00173A05"/>
    <w:rsid w:val="001949B9"/>
    <w:rsid w:val="00234DD9"/>
    <w:rsid w:val="002A01D6"/>
    <w:rsid w:val="002D28AF"/>
    <w:rsid w:val="0031756E"/>
    <w:rsid w:val="00350834"/>
    <w:rsid w:val="00353D0D"/>
    <w:rsid w:val="0035621C"/>
    <w:rsid w:val="003C4331"/>
    <w:rsid w:val="003E5518"/>
    <w:rsid w:val="003E6BC1"/>
    <w:rsid w:val="004310BB"/>
    <w:rsid w:val="00473B6B"/>
    <w:rsid w:val="004A1DC3"/>
    <w:rsid w:val="004C0F9A"/>
    <w:rsid w:val="004E3152"/>
    <w:rsid w:val="004E3442"/>
    <w:rsid w:val="005135E6"/>
    <w:rsid w:val="00513CAD"/>
    <w:rsid w:val="00593142"/>
    <w:rsid w:val="006559E4"/>
    <w:rsid w:val="006745F0"/>
    <w:rsid w:val="00696AEA"/>
    <w:rsid w:val="006C6E3B"/>
    <w:rsid w:val="006E5563"/>
    <w:rsid w:val="00740B05"/>
    <w:rsid w:val="008402E3"/>
    <w:rsid w:val="008A7B75"/>
    <w:rsid w:val="008B56EC"/>
    <w:rsid w:val="008D1867"/>
    <w:rsid w:val="008E3FB2"/>
    <w:rsid w:val="009736AC"/>
    <w:rsid w:val="009762C9"/>
    <w:rsid w:val="0098440F"/>
    <w:rsid w:val="009A269D"/>
    <w:rsid w:val="009B2066"/>
    <w:rsid w:val="00A65181"/>
    <w:rsid w:val="00B06009"/>
    <w:rsid w:val="00B35D77"/>
    <w:rsid w:val="00B550D6"/>
    <w:rsid w:val="00BA169E"/>
    <w:rsid w:val="00BD6CD2"/>
    <w:rsid w:val="00D61380"/>
    <w:rsid w:val="00D87F4B"/>
    <w:rsid w:val="00E71C4A"/>
    <w:rsid w:val="00E86DA5"/>
    <w:rsid w:val="00EF6F7A"/>
    <w:rsid w:val="00F5410E"/>
    <w:rsid w:val="00F77BED"/>
    <w:rsid w:val="00F83BC8"/>
    <w:rsid w:val="00F8448B"/>
    <w:rsid w:val="00F876E0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BCAC"/>
  <w15:chartTrackingRefBased/>
  <w15:docId w15:val="{48708B6D-BB59-4D55-826D-C24AB531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uce 2,bk paragraph,Bullet List,FooterText,numbered,List Paragraph1,Paragraphe de liste1,Bulletr List Paragraph,列出段落,列出段落1,Use Case List Paragraph,Page Titles,List Paragraph2,List Paragraph21,Listeafsnit1,Parágrafo da Lista1,Bullets"/>
    <w:basedOn w:val="Normal"/>
    <w:link w:val="ParagraphedelisteCar"/>
    <w:uiPriority w:val="34"/>
    <w:qFormat/>
    <w:rsid w:val="008E3F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FB2"/>
  </w:style>
  <w:style w:type="paragraph" w:styleId="Pieddepage">
    <w:name w:val="footer"/>
    <w:basedOn w:val="Normal"/>
    <w:link w:val="PieddepageCar"/>
    <w:uiPriority w:val="99"/>
    <w:unhideWhenUsed/>
    <w:rsid w:val="008E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FB2"/>
  </w:style>
  <w:style w:type="paragraph" w:customStyle="1" w:styleId="p1">
    <w:name w:val="p1"/>
    <w:basedOn w:val="Normal"/>
    <w:rsid w:val="008E3FB2"/>
    <w:pPr>
      <w:spacing w:after="0" w:line="240" w:lineRule="auto"/>
    </w:pPr>
    <w:rPr>
      <w:rFonts w:ascii="Helvetica" w:hAnsi="Helvetica" w:cs="Times New Roman"/>
      <w:sz w:val="18"/>
      <w:szCs w:val="18"/>
      <w:lang w:eastAsia="fr-FR"/>
    </w:rPr>
  </w:style>
  <w:style w:type="character" w:customStyle="1" w:styleId="ParagraphedelisteCar">
    <w:name w:val="Paragraphe de liste Car"/>
    <w:aliases w:val="puce 2 Car,bk paragraph Car,Bullet List Car,FooterText Car,numbered Car,List Paragraph1 Car,Paragraphe de liste1 Car,Bulletr List Paragraph Car,列出段落 Car,列出段落1 Car,Use Case List Paragraph Car,Page Titles Car,List Paragraph2 Car"/>
    <w:link w:val="Paragraphedeliste"/>
    <w:uiPriority w:val="34"/>
    <w:qFormat/>
    <w:locked/>
    <w:rsid w:val="008E3FB2"/>
  </w:style>
  <w:style w:type="paragraph" w:customStyle="1" w:styleId="EXP-Titre1">
    <w:name w:val="EXP - Titre 1"/>
    <w:basedOn w:val="Normal"/>
    <w:link w:val="EXP-Titre1Car"/>
    <w:autoRedefine/>
    <w:qFormat/>
    <w:rsid w:val="000E1C57"/>
    <w:pPr>
      <w:tabs>
        <w:tab w:val="left" w:pos="284"/>
      </w:tabs>
      <w:spacing w:after="240" w:line="300" w:lineRule="atLeast"/>
    </w:pPr>
    <w:rPr>
      <w:rFonts w:ascii="Arial" w:eastAsia="MS Mincho" w:hAnsi="Arial" w:cs="Times New Roman"/>
      <w:b/>
      <w:bCs/>
      <w:caps/>
      <w:sz w:val="24"/>
      <w:szCs w:val="24"/>
      <w:shd w:val="clear" w:color="auto" w:fill="004979"/>
      <w:lang w:eastAsia="ja-JP"/>
    </w:rPr>
  </w:style>
  <w:style w:type="character" w:customStyle="1" w:styleId="EXP-Titre1Car">
    <w:name w:val="EXP - Titre 1 Car"/>
    <w:link w:val="EXP-Titre1"/>
    <w:rsid w:val="000E1C57"/>
    <w:rPr>
      <w:rFonts w:ascii="Arial" w:eastAsia="MS Mincho" w:hAnsi="Arial" w:cs="Times New Roman"/>
      <w:b/>
      <w:bCs/>
      <w:caps/>
      <w:sz w:val="24"/>
      <w:szCs w:val="24"/>
      <w:lang w:eastAsia="ja-JP"/>
    </w:rPr>
  </w:style>
  <w:style w:type="paragraph" w:styleId="Commentaire">
    <w:name w:val="annotation text"/>
    <w:basedOn w:val="Normal"/>
    <w:link w:val="CommentaireCar"/>
    <w:uiPriority w:val="99"/>
    <w:rsid w:val="00740B05"/>
    <w:pPr>
      <w:suppressAutoHyphens/>
      <w:autoSpaceDN w:val="0"/>
      <w:spacing w:line="240" w:lineRule="auto"/>
      <w:textAlignment w:val="baseline"/>
    </w:pPr>
    <w:rPr>
      <w:rFonts w:ascii="Cambria" w:eastAsia="Calibri" w:hAnsi="Cambria" w:cs="Cambr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0B05"/>
    <w:rPr>
      <w:rFonts w:ascii="Cambria" w:eastAsia="Calibri" w:hAnsi="Cambria" w:cs="Cambria"/>
      <w:sz w:val="20"/>
      <w:szCs w:val="20"/>
    </w:rPr>
  </w:style>
  <w:style w:type="paragraph" w:customStyle="1" w:styleId="Normal4">
    <w:name w:val="Normal 4"/>
    <w:basedOn w:val="Normal"/>
    <w:rsid w:val="00740B05"/>
    <w:pPr>
      <w:suppressAutoHyphens/>
      <w:autoSpaceDN w:val="0"/>
      <w:spacing w:before="20" w:after="0" w:line="240" w:lineRule="auto"/>
      <w:ind w:left="1162"/>
      <w:jc w:val="both"/>
      <w:textAlignment w:val="baseline"/>
    </w:pPr>
    <w:rPr>
      <w:rFonts w:ascii="Times New Roman" w:eastAsia="Calibri" w:hAnsi="Times New Roman" w:cs="Times New Roman"/>
      <w:bCs/>
      <w:i/>
      <w:iCs/>
      <w:color w:val="000000"/>
      <w:sz w:val="24"/>
    </w:rPr>
  </w:style>
  <w:style w:type="character" w:styleId="Marquedecommentaire">
    <w:name w:val="annotation reference"/>
    <w:basedOn w:val="Policepardfaut"/>
    <w:uiPriority w:val="99"/>
    <w:rsid w:val="00740B05"/>
    <w:rPr>
      <w:sz w:val="16"/>
      <w:szCs w:val="16"/>
    </w:rPr>
  </w:style>
  <w:style w:type="table" w:styleId="Grilledutableau">
    <w:name w:val="Table Grid"/>
    <w:basedOn w:val="TableauNormal"/>
    <w:uiPriority w:val="99"/>
    <w:rsid w:val="00740B05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65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2142</Words>
  <Characters>11783</Characters>
  <Application>Microsoft Office Word</Application>
  <DocSecurity>4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Expertise France</Company>
  <LinksUpToDate>false</LinksUpToDate>
  <CharactersWithSpaces>13898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 Kamara</dc:creator>
  <cp:keywords/>
  <dc:description/>
  <cp:lastModifiedBy>Sarah CHAAR</cp:lastModifiedBy>
  <cp:revision>2</cp:revision>
  <dcterms:created xsi:type="dcterms:W3CDTF">2022-11-26T08:48:00Z</dcterms:created>
  <dcterms:modified xsi:type="dcterms:W3CDTF">2022-11-26T08:48:00Z</dcterms:modified>
  <cp:category/>
</cp:coreProperties>
</file>