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07EDF7" w14:textId="77777777" w:rsidR="005A6764" w:rsidRDefault="005A6764">
      <w:pPr>
        <w:pStyle w:val="EXPsous-titrefonc"/>
        <w:rPr>
          <w:rFonts w:ascii="Verdana" w:hAnsi="Verdana"/>
          <w:sz w:val="18"/>
          <w:szCs w:val="18"/>
          <w:lang w:eastAsia="fr-FR"/>
          <w14:props3d w14:extrusionH="0" w14:contourW="0" w14:prstMaterial="none"/>
        </w:rPr>
      </w:pPr>
    </w:p>
    <w:p w14:paraId="6F410314" w14:textId="77777777" w:rsidR="005A6764" w:rsidRDefault="005A6764">
      <w:pPr>
        <w:pStyle w:val="EXPsous-titrefonc"/>
        <w:rPr>
          <w:rFonts w:ascii="Verdana" w:hAnsi="Verdana"/>
          <w:sz w:val="18"/>
          <w:szCs w:val="18"/>
          <w:lang w:eastAsia="fr-FR"/>
          <w14:props3d w14:extrusionH="0" w14:contourW="0" w14:prstMaterial="none"/>
        </w:rPr>
      </w:pPr>
    </w:p>
    <w:p w14:paraId="2C201B44" w14:textId="77777777" w:rsidR="005A6764" w:rsidRDefault="005A6764">
      <w:pPr>
        <w:pStyle w:val="EXPsous-titrefonc"/>
        <w:rPr>
          <w:rFonts w:ascii="Verdana" w:hAnsi="Verdana"/>
          <w:sz w:val="18"/>
          <w:szCs w:val="18"/>
          <w:lang w:eastAsia="fr-FR"/>
          <w14:props3d w14:extrusionH="0" w14:contourW="0" w14:prstMaterial="none"/>
        </w:rPr>
      </w:pPr>
    </w:p>
    <w:p w14:paraId="66C2C310" w14:textId="77777777" w:rsidR="005A6764" w:rsidRDefault="005A6764">
      <w:pPr>
        <w:pStyle w:val="EXPsous-titrefonc"/>
        <w:rPr>
          <w:rFonts w:ascii="Verdana" w:hAnsi="Verdana"/>
          <w:sz w:val="18"/>
          <w:szCs w:val="18"/>
          <w:lang w:eastAsia="fr-FR"/>
          <w14:props3d w14:extrusionH="0" w14:contourW="0" w14:prstMaterial="none"/>
        </w:rPr>
      </w:pPr>
    </w:p>
    <w:p w14:paraId="58C221F7" w14:textId="77777777" w:rsidR="005A6764" w:rsidRDefault="005A6764">
      <w:pPr>
        <w:pStyle w:val="EXPsous-titrefonc"/>
        <w:rPr>
          <w:rFonts w:ascii="Verdana" w:hAnsi="Verdana"/>
          <w:sz w:val="18"/>
          <w:szCs w:val="18"/>
          <w:lang w:eastAsia="fr-FR"/>
          <w14:props3d w14:extrusionH="0" w14:contourW="0" w14:prstMaterial="none"/>
        </w:rPr>
      </w:pPr>
    </w:p>
    <w:p w14:paraId="2A9DE2D0" w14:textId="77777777" w:rsidR="005A6764" w:rsidRDefault="005A6764">
      <w:pPr>
        <w:pStyle w:val="EXPsous-titrefonc"/>
        <w:rPr>
          <w:rFonts w:ascii="Verdana" w:hAnsi="Verdana"/>
          <w:sz w:val="18"/>
          <w:szCs w:val="18"/>
          <w:lang w:eastAsia="fr-FR"/>
          <w14:props3d w14:extrusionH="0" w14:contourW="0" w14:prstMaterial="none"/>
        </w:rPr>
      </w:pPr>
    </w:p>
    <w:p w14:paraId="0613167D" w14:textId="77777777" w:rsidR="005A6764" w:rsidRDefault="005A6764">
      <w:pPr>
        <w:pStyle w:val="EXPsous-titrefonc"/>
        <w:rPr>
          <w:rFonts w:ascii="Verdana" w:hAnsi="Verdana"/>
          <w:sz w:val="18"/>
          <w:szCs w:val="18"/>
          <w:lang w:eastAsia="fr-FR"/>
          <w14:props3d w14:extrusionH="0" w14:contourW="0" w14:prstMaterial="none"/>
        </w:rPr>
      </w:pPr>
    </w:p>
    <w:p w14:paraId="2552737B" w14:textId="77777777" w:rsidR="005A6764" w:rsidRDefault="005A6764">
      <w:pPr>
        <w:pStyle w:val="EXPsous-titrefonc"/>
        <w:rPr>
          <w:rFonts w:ascii="Verdana" w:hAnsi="Verdana"/>
          <w:sz w:val="18"/>
          <w:szCs w:val="18"/>
          <w:lang w:eastAsia="fr-FR"/>
          <w14:props3d w14:extrusionH="0" w14:contourW="0" w14:prstMaterial="none"/>
        </w:rPr>
      </w:pPr>
    </w:p>
    <w:p w14:paraId="672506C1" w14:textId="77777777" w:rsidR="005A6764" w:rsidRDefault="005A6764">
      <w:pPr>
        <w:pStyle w:val="EXPsous-titrefonc"/>
        <w:rPr>
          <w:rFonts w:ascii="Verdana" w:hAnsi="Verdana"/>
          <w:sz w:val="18"/>
          <w:szCs w:val="18"/>
          <w:lang w:eastAsia="fr-FR"/>
          <w14:props3d w14:extrusionH="0" w14:contourW="0" w14:prstMaterial="none"/>
        </w:rPr>
      </w:pPr>
    </w:p>
    <w:p w14:paraId="1281087C" w14:textId="77777777" w:rsidR="005A6764" w:rsidRDefault="005A6764">
      <w:pPr>
        <w:pStyle w:val="EXPsous-titrefonc"/>
        <w:rPr>
          <w:rFonts w:ascii="Verdana" w:hAnsi="Verdana"/>
          <w:sz w:val="18"/>
          <w:szCs w:val="18"/>
          <w:lang w:eastAsia="fr-FR"/>
          <w14:props3d w14:extrusionH="0" w14:contourW="0" w14:prstMaterial="none"/>
        </w:rPr>
      </w:pPr>
    </w:p>
    <w:p w14:paraId="7B2F45E0" w14:textId="77777777" w:rsidR="005A6764" w:rsidRDefault="005A6764">
      <w:pPr>
        <w:pStyle w:val="EXPsous-titrefonc"/>
        <w:rPr>
          <w:rFonts w:ascii="Verdana" w:hAnsi="Verdana"/>
          <w:sz w:val="18"/>
          <w:szCs w:val="18"/>
          <w:lang w:eastAsia="fr-FR"/>
          <w14:props3d w14:extrusionH="0" w14:contourW="0" w14:prstMaterial="none"/>
        </w:rPr>
      </w:pPr>
    </w:p>
    <w:p w14:paraId="5F98917E" w14:textId="77777777" w:rsidR="005A6764" w:rsidRDefault="005A6764">
      <w:pPr>
        <w:pStyle w:val="EXPsous-titrefonc"/>
        <w:rPr>
          <w:rFonts w:ascii="Verdana" w:hAnsi="Verdana"/>
          <w:sz w:val="18"/>
          <w:szCs w:val="18"/>
          <w:lang w:eastAsia="fr-FR"/>
          <w14:props3d w14:extrusionH="0" w14:contourW="0" w14:prstMaterial="none"/>
        </w:rPr>
      </w:pPr>
    </w:p>
    <w:p w14:paraId="7B1276FF" w14:textId="77777777" w:rsidR="005A6764" w:rsidRDefault="005A6764">
      <w:pPr>
        <w:pStyle w:val="EXPsous-titrefonc"/>
        <w:rPr>
          <w:rFonts w:ascii="Verdana" w:hAnsi="Verdana"/>
          <w:sz w:val="18"/>
          <w:szCs w:val="18"/>
          <w:lang w:eastAsia="fr-FR"/>
          <w14:props3d w14:extrusionH="0" w14:contourW="0" w14:prstMaterial="none"/>
        </w:rPr>
      </w:pPr>
    </w:p>
    <w:p w14:paraId="0E6C07E1" w14:textId="77777777" w:rsidR="005A6764" w:rsidRDefault="005A6764">
      <w:pPr>
        <w:pStyle w:val="EXPsous-titrefonc"/>
        <w:rPr>
          <w:rFonts w:ascii="Verdana" w:hAnsi="Verdana"/>
          <w:sz w:val="18"/>
          <w:szCs w:val="18"/>
          <w:lang w:eastAsia="fr-FR"/>
          <w14:props3d w14:extrusionH="0" w14:contourW="0" w14:prstMaterial="none"/>
        </w:rPr>
      </w:pPr>
    </w:p>
    <w:p w14:paraId="6177044C" w14:textId="77777777" w:rsidR="005A6764" w:rsidRDefault="005A6764">
      <w:pPr>
        <w:pStyle w:val="EXPsous-titrefonc"/>
        <w:rPr>
          <w:rFonts w:ascii="Verdana" w:hAnsi="Verdana"/>
          <w:sz w:val="18"/>
          <w:szCs w:val="18"/>
          <w:lang w:eastAsia="fr-FR"/>
          <w14:props3d w14:extrusionH="0" w14:contourW="0" w14:prstMaterial="none"/>
        </w:rPr>
      </w:pPr>
    </w:p>
    <w:p w14:paraId="2DECD557" w14:textId="77777777" w:rsidR="005A6764" w:rsidRDefault="005A6764">
      <w:pPr>
        <w:pStyle w:val="EXPsous-titrefonc"/>
        <w:rPr>
          <w:rFonts w:ascii="Verdana" w:hAnsi="Verdana"/>
          <w:sz w:val="18"/>
          <w:szCs w:val="18"/>
          <w:lang w:eastAsia="fr-FR"/>
          <w14:props3d w14:extrusionH="0" w14:contourW="0" w14:prstMaterial="none"/>
        </w:rPr>
      </w:pPr>
    </w:p>
    <w:p w14:paraId="71C13C80" w14:textId="77777777" w:rsidR="005A6764" w:rsidRDefault="005A6764">
      <w:pPr>
        <w:pStyle w:val="EXPsous-titrefonc"/>
        <w:rPr>
          <w:rFonts w:ascii="Verdana" w:hAnsi="Verdana"/>
          <w:sz w:val="18"/>
          <w:szCs w:val="18"/>
          <w:lang w:eastAsia="fr-FR"/>
          <w14:props3d w14:extrusionH="0" w14:contourW="0" w14:prstMaterial="none"/>
        </w:rPr>
      </w:pPr>
    </w:p>
    <w:p w14:paraId="1D3AE8CC" w14:textId="77777777" w:rsidR="005A6764" w:rsidRDefault="005A6764">
      <w:pPr>
        <w:pStyle w:val="EXPsous-titrefonc"/>
        <w:rPr>
          <w:rFonts w:ascii="Verdana" w:hAnsi="Verdana"/>
          <w:sz w:val="18"/>
          <w:szCs w:val="18"/>
          <w:lang w:eastAsia="fr-FR"/>
          <w14:props3d w14:extrusionH="0" w14:contourW="0" w14:prstMaterial="none"/>
        </w:rPr>
      </w:pPr>
    </w:p>
    <w:p w14:paraId="78019BF8" w14:textId="77777777" w:rsidR="005A6764" w:rsidRDefault="005A6764">
      <w:pPr>
        <w:pStyle w:val="EXPsous-titrefonc"/>
        <w:rPr>
          <w:rFonts w:ascii="Verdana" w:hAnsi="Verdana"/>
          <w:sz w:val="18"/>
          <w:szCs w:val="18"/>
          <w:lang w:eastAsia="fr-FR"/>
          <w14:props3d w14:extrusionH="0" w14:contourW="0" w14:prstMaterial="none"/>
        </w:rPr>
      </w:pPr>
    </w:p>
    <w:p w14:paraId="70C96C55" w14:textId="77777777" w:rsidR="005A6764" w:rsidRDefault="005A6764">
      <w:pPr>
        <w:pStyle w:val="EXPsous-titrefonc"/>
        <w:rPr>
          <w:rFonts w:ascii="Verdana" w:hAnsi="Verdana"/>
          <w:sz w:val="18"/>
          <w:szCs w:val="18"/>
        </w:rPr>
      </w:pPr>
    </w:p>
    <w:p w14:paraId="7A4DE0CD" w14:textId="77777777" w:rsidR="005A6764" w:rsidRDefault="005A6764">
      <w:pPr>
        <w:pStyle w:val="EXPsous-titrefonc"/>
        <w:rPr>
          <w:rFonts w:ascii="Verdana" w:hAnsi="Verdana"/>
          <w:sz w:val="18"/>
          <w:szCs w:val="18"/>
        </w:rPr>
      </w:pPr>
    </w:p>
    <w:p w14:paraId="18B61648" w14:textId="77777777" w:rsidR="005A6764" w:rsidRDefault="005A6764">
      <w:pPr>
        <w:pStyle w:val="EXPsous-titrefonc"/>
        <w:rPr>
          <w:rFonts w:ascii="Verdana" w:hAnsi="Verdana"/>
          <w:sz w:val="18"/>
          <w:szCs w:val="18"/>
        </w:rPr>
      </w:pPr>
    </w:p>
    <w:p w14:paraId="1C817ABC" w14:textId="77777777" w:rsidR="005A6764" w:rsidRDefault="001A5BAC">
      <w:pPr>
        <w:pStyle w:val="EXPsous-titrefonc"/>
        <w:shd w:val="clear" w:color="auto" w:fill="FFFFFF" w:themeFill="background1"/>
        <w:rPr>
          <w:rFonts w:ascii="Verdana" w:hAnsi="Verdana"/>
          <w:color w:val="auto"/>
          <w:sz w:val="36"/>
          <w:szCs w:val="36"/>
        </w:rPr>
      </w:pPr>
      <w:r>
        <w:rPr>
          <w:rFonts w:ascii="Verdana" w:hAnsi="Verdana"/>
          <w:color w:val="auto"/>
          <w:sz w:val="36"/>
          <w:szCs w:val="36"/>
        </w:rPr>
        <w:t>EMANCIPATION DES FEMMES ET DES ORGANISATIONS RURALES - EFOR</w:t>
      </w:r>
    </w:p>
    <w:p w14:paraId="2E4E4914" w14:textId="77777777" w:rsidR="005A6764" w:rsidRDefault="005A6764">
      <w:pPr>
        <w:shd w:val="clear" w:color="auto" w:fill="FFFFFF" w:themeFill="background1"/>
        <w:spacing w:after="0"/>
        <w:rPr>
          <w:rFonts w:ascii="Verdana" w:hAnsi="Verdana"/>
          <w:color w:val="auto"/>
          <w:sz w:val="36"/>
          <w:szCs w:val="36"/>
          <w:shd w:val="clear" w:color="auto" w:fill="004979"/>
          <w14:props3d w14:extrusionH="0" w14:contourW="12700" w14:prstMaterial="none">
            <w14:contourClr>
              <w14:schemeClr w14:val="bg1"/>
            </w14:contourClr>
          </w14:props3d>
        </w:rPr>
      </w:pPr>
    </w:p>
    <w:p w14:paraId="0C564262" w14:textId="77777777" w:rsidR="005A6764" w:rsidRDefault="001A5BAC">
      <w:pPr>
        <w:shd w:val="clear" w:color="auto" w:fill="FFFFFF" w:themeFill="background1"/>
        <w:spacing w:after="0"/>
        <w:rPr>
          <w:rFonts w:ascii="Verdana" w:hAnsi="Verdana"/>
          <w:color w:val="auto"/>
          <w:sz w:val="36"/>
          <w:szCs w:val="36"/>
          <w:shd w:val="clear" w:color="auto" w:fill="004979"/>
          <w14:props3d w14:extrusionH="0" w14:contourW="12700" w14:prstMaterial="none">
            <w14:contourClr>
              <w14:schemeClr w14:val="bg1"/>
            </w14:contourClr>
          </w14:props3d>
        </w:rPr>
      </w:pPr>
      <w:r>
        <w:rPr>
          <w:rFonts w:ascii="Verdana" w:hAnsi="Verdana"/>
          <w:color w:val="auto"/>
          <w:sz w:val="36"/>
          <w:szCs w:val="36"/>
          <w:shd w:val="clear" w:color="auto" w:fill="004979"/>
          <w14:props3d w14:extrusionH="0" w14:contourW="12700" w14:prstMaterial="none">
            <w14:contourClr>
              <w14:schemeClr w14:val="bg1"/>
            </w14:contourClr>
          </w14:props3d>
        </w:rPr>
        <w:t xml:space="preserve">Termes de référence </w:t>
      </w:r>
      <w:r>
        <w:rPr>
          <w:rFonts w:ascii="Verdana" w:hAnsi="Verdana" w:hint="cs"/>
          <w:color w:val="auto"/>
          <w:sz w:val="36"/>
          <w:szCs w:val="36"/>
          <w:shd w:val="clear" w:color="auto" w:fill="004979"/>
          <w14:props3d w14:extrusionH="0" w14:contourW="12700" w14:prstMaterial="none">
            <w14:contourClr>
              <w14:schemeClr w14:val="bg1"/>
            </w14:contourClr>
          </w14:props3d>
        </w:rPr>
        <w:t>É</w:t>
      </w:r>
      <w:r>
        <w:rPr>
          <w:rFonts w:ascii="Verdana" w:hAnsi="Verdana"/>
          <w:color w:val="auto"/>
          <w:sz w:val="36"/>
          <w:szCs w:val="36"/>
          <w:shd w:val="clear" w:color="auto" w:fill="004979"/>
          <w14:props3d w14:extrusionH="0" w14:contourW="12700" w14:prstMaterial="none">
            <w14:contourClr>
              <w14:schemeClr w14:val="bg1"/>
            </w14:contourClr>
          </w14:props3d>
        </w:rPr>
        <w:t>valuation mi-parcours et capitalisation strat</w:t>
      </w:r>
      <w:r>
        <w:rPr>
          <w:rFonts w:ascii="Verdana" w:hAnsi="Verdana" w:hint="cs"/>
          <w:color w:val="auto"/>
          <w:sz w:val="36"/>
          <w:szCs w:val="36"/>
          <w:shd w:val="clear" w:color="auto" w:fill="004979"/>
          <w14:props3d w14:extrusionH="0" w14:contourW="12700" w14:prstMaterial="none">
            <w14:contourClr>
              <w14:schemeClr w14:val="bg1"/>
            </w14:contourClr>
          </w14:props3d>
        </w:rPr>
        <w:t>é</w:t>
      </w:r>
      <w:r>
        <w:rPr>
          <w:rFonts w:ascii="Verdana" w:hAnsi="Verdana"/>
          <w:color w:val="auto"/>
          <w:sz w:val="36"/>
          <w:szCs w:val="36"/>
          <w:shd w:val="clear" w:color="auto" w:fill="004979"/>
          <w14:props3d w14:extrusionH="0" w14:contourW="12700" w14:prstMaterial="none">
            <w14:contourClr>
              <w14:schemeClr w14:val="bg1"/>
            </w14:contourClr>
          </w14:props3d>
        </w:rPr>
        <w:t>gique du projet EFOR</w:t>
      </w:r>
    </w:p>
    <w:p w14:paraId="643D7354" w14:textId="77777777" w:rsidR="005A6764" w:rsidRDefault="005A6764">
      <w:pPr>
        <w:shd w:val="clear" w:color="auto" w:fill="FFFFFF" w:themeFill="background1"/>
        <w:spacing w:after="0"/>
        <w:rPr>
          <w:rFonts w:ascii="Verdana" w:hAnsi="Verdana"/>
          <w:color w:val="auto"/>
          <w:sz w:val="36"/>
          <w:szCs w:val="36"/>
          <w:shd w:val="clear" w:color="auto" w:fill="004979"/>
          <w14:props3d w14:extrusionH="0" w14:contourW="12700" w14:prstMaterial="none">
            <w14:contourClr>
              <w14:schemeClr w14:val="bg1"/>
            </w14:contourClr>
          </w14:props3d>
        </w:rPr>
      </w:pPr>
    </w:p>
    <w:p w14:paraId="247E5388" w14:textId="77777777" w:rsidR="005A6764" w:rsidRDefault="005A6764">
      <w:pPr>
        <w:shd w:val="clear" w:color="auto" w:fill="FFFFFF" w:themeFill="background1"/>
        <w:spacing w:after="0"/>
        <w:rPr>
          <w:rFonts w:ascii="Verdana" w:hAnsi="Verdana"/>
          <w:color w:val="auto"/>
          <w:sz w:val="36"/>
          <w:szCs w:val="36"/>
          <w:shd w:val="clear" w:color="auto" w:fill="004979"/>
          <w14:props3d w14:extrusionH="0" w14:contourW="12700" w14:prstMaterial="none">
            <w14:contourClr>
              <w14:schemeClr w14:val="bg1"/>
            </w14:contourClr>
          </w14:props3d>
        </w:rPr>
      </w:pPr>
    </w:p>
    <w:p w14:paraId="1D573F1B" w14:textId="77777777" w:rsidR="005A6764" w:rsidRDefault="001A5BAC">
      <w:pPr>
        <w:shd w:val="clear" w:color="auto" w:fill="FFFFFF" w:themeFill="background1"/>
        <w:spacing w:after="0"/>
        <w:rPr>
          <w:rFonts w:ascii="Verdana" w:hAnsi="Verdana"/>
          <w:color w:val="auto"/>
          <w:sz w:val="36"/>
          <w:szCs w:val="36"/>
          <w:shd w:val="clear" w:color="auto" w:fill="004979"/>
          <w14:props3d w14:extrusionH="0" w14:contourW="12700" w14:prstMaterial="none">
            <w14:contourClr>
              <w14:schemeClr w14:val="bg1"/>
            </w14:contourClr>
          </w14:props3d>
        </w:rPr>
      </w:pPr>
      <w:r>
        <w:rPr>
          <w:rFonts w:ascii="Verdana" w:hAnsi="Verdana"/>
          <w:color w:val="auto"/>
          <w:sz w:val="36"/>
          <w:szCs w:val="36"/>
          <w:shd w:val="clear" w:color="auto" w:fill="004979"/>
          <w14:props3d w14:extrusionH="0" w14:contourW="12700" w14:prstMaterial="none">
            <w14:contourClr>
              <w14:schemeClr w14:val="bg1"/>
            </w14:contourClr>
          </w14:props3d>
        </w:rPr>
        <w:t>Juillet 2025</w:t>
      </w:r>
    </w:p>
    <w:p w14:paraId="371CB937" w14:textId="77777777" w:rsidR="005A6764" w:rsidRDefault="005A6764">
      <w:pPr>
        <w:spacing w:after="0"/>
        <w:rPr>
          <w:rFonts w:ascii="Verdana" w:hAnsi="Verdana"/>
          <w:sz w:val="36"/>
          <w:szCs w:val="36"/>
          <w:shd w:val="clear" w:color="auto" w:fill="004979"/>
        </w:rPr>
      </w:pPr>
    </w:p>
    <w:p w14:paraId="63FA349E" w14:textId="77777777" w:rsidR="005A6764" w:rsidRDefault="001A5BAC">
      <w:pPr>
        <w:spacing w:after="0"/>
        <w:rPr>
          <w:rFonts w:ascii="Verdana" w:hAnsi="Verdana"/>
          <w:sz w:val="36"/>
          <w:szCs w:val="36"/>
        </w:rPr>
      </w:pPr>
      <w:r>
        <w:rPr>
          <w:rFonts w:ascii="Verdana" w:hAnsi="Verdana"/>
          <w:sz w:val="36"/>
          <w:szCs w:val="36"/>
        </w:rPr>
        <w:br w:type="page"/>
      </w:r>
    </w:p>
    <w:p w14:paraId="10C16FBD" w14:textId="77777777" w:rsidR="005A6764" w:rsidRDefault="005A6764">
      <w:pPr>
        <w:pStyle w:val="En-ttedetabledesmatires1"/>
        <w:spacing w:after="0" w:line="240" w:lineRule="auto"/>
        <w:rPr>
          <w:rFonts w:ascii="Verdana" w:hAnsi="Verdana"/>
          <w:sz w:val="36"/>
          <w:szCs w:val="36"/>
        </w:rPr>
        <w:sectPr w:rsidR="005A6764">
          <w:headerReference w:type="default" r:id="rId9"/>
          <w:footerReference w:type="even" r:id="rId10"/>
          <w:footerReference w:type="default" r:id="rId11"/>
          <w:pgSz w:w="11900" w:h="16840"/>
          <w:pgMar w:top="1135" w:right="1127" w:bottom="1135" w:left="993" w:header="709" w:footer="590" w:gutter="0"/>
          <w:pgNumType w:start="1"/>
          <w:cols w:space="708"/>
          <w:docGrid w:linePitch="360"/>
        </w:sectPr>
      </w:pPr>
    </w:p>
    <w:p w14:paraId="67E84D12" w14:textId="77777777" w:rsidR="005A6764" w:rsidRDefault="001A5BAC">
      <w:pPr>
        <w:pStyle w:val="Titre1"/>
        <w:numPr>
          <w:ilvl w:val="0"/>
          <w:numId w:val="8"/>
        </w:numPr>
        <w:spacing w:after="0" w:line="240" w:lineRule="auto"/>
        <w:rPr>
          <w:rFonts w:ascii="Verdana" w:hAnsi="Verdana"/>
          <w:sz w:val="18"/>
          <w:szCs w:val="18"/>
        </w:rPr>
      </w:pPr>
      <w:bookmarkStart w:id="0" w:name="_Toc70668746"/>
      <w:r>
        <w:rPr>
          <w:rFonts w:ascii="Verdana" w:hAnsi="Verdana"/>
          <w:sz w:val="18"/>
          <w:szCs w:val="18"/>
        </w:rPr>
        <w:lastRenderedPageBreak/>
        <w:t>Information générales</w:t>
      </w:r>
      <w:bookmarkEnd w:id="0"/>
    </w:p>
    <w:p w14:paraId="55E19A35" w14:textId="77777777" w:rsidR="005A6764" w:rsidRDefault="005A6764">
      <w:pPr>
        <w:spacing w:after="0"/>
        <w:rPr>
          <w:rFonts w:ascii="Verdana" w:hAnsi="Verdana"/>
          <w:sz w:val="18"/>
          <w:szCs w:val="18"/>
        </w:rPr>
      </w:pPr>
    </w:p>
    <w:tbl>
      <w:tblPr>
        <w:tblStyle w:val="Grilledutableau"/>
        <w:tblW w:w="0" w:type="auto"/>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42"/>
        <w:gridCol w:w="6369"/>
      </w:tblGrid>
      <w:tr w:rsidR="005A6764" w14:paraId="439AB6DD" w14:textId="77777777">
        <w:tc>
          <w:tcPr>
            <w:tcW w:w="3042" w:type="dxa"/>
          </w:tcPr>
          <w:p w14:paraId="4AE5C7F5" w14:textId="77777777" w:rsidR="005A6764" w:rsidRDefault="001A5BAC">
            <w:pPr>
              <w:spacing w:after="0"/>
              <w:ind w:left="0"/>
              <w:rPr>
                <w:rFonts w:ascii="Verdana" w:hAnsi="Verdana"/>
                <w:b/>
                <w:bCs/>
                <w:i w:val="0"/>
                <w:iCs w:val="0"/>
                <w:sz w:val="18"/>
                <w:szCs w:val="18"/>
                <w:lang w:eastAsia="en-US"/>
              </w:rPr>
            </w:pPr>
            <w:r>
              <w:rPr>
                <w:rFonts w:ascii="Verdana" w:hAnsi="Verdana"/>
                <w:b/>
                <w:bCs/>
                <w:i w:val="0"/>
                <w:iCs w:val="0"/>
                <w:sz w:val="18"/>
                <w:szCs w:val="18"/>
                <w:lang w:eastAsia="en-US"/>
              </w:rPr>
              <w:t>Intitulé de la mission</w:t>
            </w:r>
          </w:p>
        </w:tc>
        <w:tc>
          <w:tcPr>
            <w:tcW w:w="6369" w:type="dxa"/>
          </w:tcPr>
          <w:p w14:paraId="6C34E0A3" w14:textId="77777777" w:rsidR="005A6764" w:rsidRDefault="001A5BAC">
            <w:pPr>
              <w:spacing w:after="0"/>
              <w:ind w:left="0"/>
              <w:rPr>
                <w:rFonts w:ascii="Verdana" w:hAnsi="Verdana"/>
                <w:b/>
                <w:bCs/>
                <w:i w:val="0"/>
                <w:iCs w:val="0"/>
                <w:sz w:val="18"/>
                <w:szCs w:val="18"/>
                <w:lang w:eastAsia="en-US"/>
              </w:rPr>
            </w:pPr>
            <w:r>
              <w:rPr>
                <w:rFonts w:ascii="Verdana" w:hAnsi="Verdana"/>
                <w:b/>
                <w:bCs/>
                <w:i w:val="0"/>
                <w:iCs w:val="0"/>
                <w:sz w:val="18"/>
                <w:szCs w:val="18"/>
                <w:lang w:eastAsia="en-US"/>
              </w:rPr>
              <w:t>Evaluation et capitalisation mi-parcours externe du projet EFOR</w:t>
            </w:r>
          </w:p>
        </w:tc>
      </w:tr>
    </w:tbl>
    <w:p w14:paraId="21661A9F" w14:textId="77777777" w:rsidR="005A6764" w:rsidRDefault="005A6764">
      <w:pPr>
        <w:spacing w:after="0"/>
        <w:rPr>
          <w:rFonts w:ascii="Verdana" w:hAnsi="Verdana"/>
          <w:sz w:val="18"/>
          <w:szCs w:val="18"/>
        </w:rPr>
      </w:pPr>
    </w:p>
    <w:tbl>
      <w:tblPr>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6858"/>
      </w:tblGrid>
      <w:tr w:rsidR="005A6764" w14:paraId="40B77664" w14:textId="77777777">
        <w:trPr>
          <w:trHeight w:val="549"/>
        </w:trPr>
        <w:tc>
          <w:tcPr>
            <w:tcW w:w="2121" w:type="dxa"/>
          </w:tcPr>
          <w:p w14:paraId="65181389" w14:textId="77777777" w:rsidR="005A6764" w:rsidRDefault="001A5BAC">
            <w:pPr>
              <w:pStyle w:val="P68B1DB1-Normal2"/>
              <w:spacing w:after="0"/>
              <w:ind w:left="0"/>
              <w:rPr>
                <w:rFonts w:ascii="Verdana" w:hAnsi="Verdana" w:cstheme="majorBidi" w:hint="default"/>
                <w:b/>
                <w:bCs/>
                <w:i w:val="0"/>
                <w:iCs/>
                <w:color w:val="auto"/>
                <w:sz w:val="18"/>
                <w:szCs w:val="18"/>
                <w:lang w:val="en-US"/>
              </w:rPr>
            </w:pPr>
            <w:r>
              <w:rPr>
                <w:rFonts w:ascii="Verdana" w:hAnsi="Verdana" w:cstheme="majorBidi" w:hint="default"/>
                <w:b/>
                <w:bCs/>
                <w:i w:val="0"/>
                <w:iCs/>
                <w:color w:val="auto"/>
                <w:sz w:val="18"/>
                <w:szCs w:val="18"/>
                <w:lang w:val="en-US"/>
              </w:rPr>
              <w:t>Titre du projet</w:t>
            </w:r>
          </w:p>
        </w:tc>
        <w:tc>
          <w:tcPr>
            <w:tcW w:w="6858" w:type="dxa"/>
          </w:tcPr>
          <w:p w14:paraId="67B25D70" w14:textId="77777777" w:rsidR="005A6764" w:rsidRDefault="001A5BAC">
            <w:pPr>
              <w:pStyle w:val="P68B1DB1-Normal3"/>
              <w:spacing w:after="0"/>
              <w:ind w:left="0"/>
              <w:rPr>
                <w:rFonts w:ascii="Verdana" w:hAnsi="Verdana" w:cstheme="majorBidi" w:hint="default"/>
                <w:i w:val="0"/>
                <w:iCs/>
                <w:color w:val="auto"/>
                <w:sz w:val="18"/>
                <w:szCs w:val="18"/>
                <w:highlight w:val="none"/>
                <w:lang w:val="fr-FR"/>
              </w:rPr>
            </w:pPr>
            <w:r>
              <w:rPr>
                <w:rFonts w:ascii="Verdana" w:hAnsi="Verdana" w:cstheme="majorBidi" w:hint="default"/>
                <w:i w:val="0"/>
                <w:iCs/>
                <w:color w:val="auto"/>
                <w:sz w:val="18"/>
                <w:szCs w:val="18"/>
                <w:highlight w:val="none"/>
                <w:lang w:val="fr-FR"/>
              </w:rPr>
              <w:t>Projet Emancipation des Femmes et Organisations Rurales (EFOR)</w:t>
            </w:r>
          </w:p>
        </w:tc>
      </w:tr>
      <w:tr w:rsidR="005A6764" w14:paraId="38423AA4" w14:textId="77777777">
        <w:trPr>
          <w:trHeight w:val="333"/>
        </w:trPr>
        <w:tc>
          <w:tcPr>
            <w:tcW w:w="2121" w:type="dxa"/>
          </w:tcPr>
          <w:p w14:paraId="5945B8F6" w14:textId="77777777" w:rsidR="005A6764" w:rsidRDefault="001A5BAC">
            <w:pPr>
              <w:pStyle w:val="P68B1DB1-Normal2"/>
              <w:spacing w:after="0"/>
              <w:ind w:left="0"/>
              <w:rPr>
                <w:rFonts w:ascii="Verdana" w:hAnsi="Verdana" w:cstheme="majorBidi" w:hint="default"/>
                <w:b/>
                <w:bCs/>
                <w:i w:val="0"/>
                <w:iCs/>
                <w:color w:val="auto"/>
                <w:sz w:val="18"/>
                <w:szCs w:val="18"/>
                <w:lang w:val="fr-FR"/>
              </w:rPr>
            </w:pPr>
            <w:r>
              <w:rPr>
                <w:rFonts w:ascii="Verdana" w:hAnsi="Verdana" w:cstheme="majorBidi" w:hint="default"/>
                <w:b/>
                <w:bCs/>
                <w:i w:val="0"/>
                <w:iCs/>
                <w:color w:val="auto"/>
                <w:sz w:val="18"/>
                <w:szCs w:val="18"/>
                <w:lang w:val="fr-FR"/>
              </w:rPr>
              <w:t xml:space="preserve">Période de mise en œuvre </w:t>
            </w:r>
          </w:p>
        </w:tc>
        <w:tc>
          <w:tcPr>
            <w:tcW w:w="6858" w:type="dxa"/>
          </w:tcPr>
          <w:p w14:paraId="62D59F04" w14:textId="77777777" w:rsidR="005A6764" w:rsidRDefault="001A5BAC">
            <w:pPr>
              <w:pStyle w:val="P68B1DB1-Normal3"/>
              <w:spacing w:after="0"/>
              <w:ind w:left="0"/>
              <w:rPr>
                <w:rFonts w:ascii="Verdana" w:hAnsi="Verdana" w:cstheme="majorBidi" w:hint="default"/>
                <w:i w:val="0"/>
                <w:iCs/>
                <w:color w:val="auto"/>
                <w:sz w:val="18"/>
                <w:szCs w:val="18"/>
                <w:highlight w:val="none"/>
                <w:lang w:val="en-US"/>
              </w:rPr>
            </w:pPr>
            <w:r>
              <w:rPr>
                <w:rFonts w:ascii="Verdana" w:hAnsi="Verdana" w:cstheme="majorBidi" w:hint="default"/>
                <w:i w:val="0"/>
                <w:iCs/>
                <w:color w:val="auto"/>
                <w:sz w:val="18"/>
                <w:szCs w:val="18"/>
                <w:highlight w:val="none"/>
                <w:lang w:val="en-US"/>
              </w:rPr>
              <w:t>Mars 2023 – Février 2027</w:t>
            </w:r>
          </w:p>
        </w:tc>
      </w:tr>
      <w:tr w:rsidR="005A6764" w14:paraId="2CFE0ED4" w14:textId="77777777">
        <w:trPr>
          <w:trHeight w:val="333"/>
        </w:trPr>
        <w:tc>
          <w:tcPr>
            <w:tcW w:w="2121" w:type="dxa"/>
          </w:tcPr>
          <w:p w14:paraId="5FD0656A" w14:textId="77777777" w:rsidR="005A6764" w:rsidRDefault="001A5BAC">
            <w:pPr>
              <w:pStyle w:val="P68B1DB1-Normal2"/>
              <w:spacing w:after="0"/>
              <w:ind w:left="0"/>
              <w:rPr>
                <w:rFonts w:ascii="Verdana" w:hAnsi="Verdana" w:cstheme="majorBidi" w:hint="default"/>
                <w:b/>
                <w:bCs/>
                <w:i w:val="0"/>
                <w:iCs/>
                <w:color w:val="auto"/>
                <w:sz w:val="18"/>
                <w:szCs w:val="18"/>
                <w:lang w:val="en-US"/>
              </w:rPr>
            </w:pPr>
            <w:r>
              <w:rPr>
                <w:rFonts w:ascii="Verdana" w:hAnsi="Verdana" w:cstheme="majorBidi" w:hint="default"/>
                <w:b/>
                <w:bCs/>
                <w:i w:val="0"/>
                <w:iCs/>
                <w:color w:val="auto"/>
                <w:sz w:val="18"/>
                <w:szCs w:val="18"/>
                <w:lang w:val="en-US"/>
              </w:rPr>
              <w:t xml:space="preserve">Localisation </w:t>
            </w:r>
          </w:p>
        </w:tc>
        <w:tc>
          <w:tcPr>
            <w:tcW w:w="6858" w:type="dxa"/>
          </w:tcPr>
          <w:p w14:paraId="58CF8A6B" w14:textId="77777777" w:rsidR="005A6764" w:rsidRDefault="001A5BAC">
            <w:pPr>
              <w:pStyle w:val="P68B1DB1-Normal3"/>
              <w:spacing w:after="0"/>
              <w:ind w:left="0"/>
              <w:rPr>
                <w:rFonts w:ascii="Verdana" w:hAnsi="Verdana" w:cstheme="majorBidi" w:hint="default"/>
                <w:i w:val="0"/>
                <w:iCs/>
                <w:color w:val="auto"/>
                <w:sz w:val="18"/>
                <w:szCs w:val="18"/>
                <w:highlight w:val="none"/>
                <w:lang w:val="fr-FR"/>
              </w:rPr>
            </w:pPr>
            <w:r>
              <w:rPr>
                <w:rFonts w:ascii="Verdana" w:hAnsi="Verdana" w:cstheme="majorBidi" w:hint="default"/>
                <w:i w:val="0"/>
                <w:iCs/>
                <w:color w:val="auto"/>
                <w:sz w:val="18"/>
                <w:szCs w:val="18"/>
                <w:highlight w:val="none"/>
                <w:lang w:val="fr-FR"/>
              </w:rPr>
              <w:t>Tunis &amp; les gouvernorats de Béja, Gafsa et Kasserine</w:t>
            </w:r>
          </w:p>
        </w:tc>
      </w:tr>
      <w:tr w:rsidR="005A6764" w14:paraId="453B1CC3" w14:textId="77777777">
        <w:trPr>
          <w:trHeight w:val="875"/>
        </w:trPr>
        <w:tc>
          <w:tcPr>
            <w:tcW w:w="2121" w:type="dxa"/>
          </w:tcPr>
          <w:p w14:paraId="298B9A55" w14:textId="77777777" w:rsidR="005A6764" w:rsidRDefault="001A5BAC">
            <w:pPr>
              <w:spacing w:after="0"/>
              <w:rPr>
                <w:rFonts w:ascii="Verdana" w:hAnsi="Verdana" w:cstheme="majorBidi"/>
                <w:b/>
                <w:bCs/>
                <w:i w:val="0"/>
                <w:sz w:val="18"/>
                <w:szCs w:val="18"/>
                <w:lang w:val="en-US" w:eastAsia="en-GB"/>
              </w:rPr>
            </w:pPr>
            <w:r>
              <w:rPr>
                <w:rFonts w:ascii="Verdana" w:hAnsi="Verdana" w:cstheme="majorBidi"/>
                <w:b/>
                <w:bCs/>
                <w:i w:val="0"/>
                <w:sz w:val="18"/>
                <w:szCs w:val="18"/>
                <w:lang w:val="en-US" w:eastAsia="en-GB"/>
              </w:rPr>
              <w:t>Comité de Pilotage</w:t>
            </w:r>
          </w:p>
        </w:tc>
        <w:tc>
          <w:tcPr>
            <w:tcW w:w="6858" w:type="dxa"/>
          </w:tcPr>
          <w:p w14:paraId="6BAC7502" w14:textId="77777777" w:rsidR="005A6764" w:rsidRDefault="001A5BAC">
            <w:pPr>
              <w:pStyle w:val="P68B1DB1-Normal3"/>
              <w:spacing w:after="0"/>
              <w:ind w:left="0"/>
              <w:rPr>
                <w:rFonts w:ascii="Verdana" w:hAnsi="Verdana" w:cstheme="majorBidi" w:hint="default"/>
                <w:i w:val="0"/>
                <w:iCs/>
                <w:color w:val="auto"/>
                <w:sz w:val="18"/>
                <w:szCs w:val="18"/>
                <w:highlight w:val="none"/>
                <w:lang w:val="fr-FR"/>
              </w:rPr>
            </w:pPr>
            <w:r>
              <w:rPr>
                <w:rFonts w:ascii="Verdana" w:hAnsi="Verdana" w:cstheme="majorBidi" w:hint="default"/>
                <w:i w:val="0"/>
                <w:iCs/>
                <w:color w:val="auto"/>
                <w:sz w:val="18"/>
                <w:szCs w:val="18"/>
                <w:highlight w:val="none"/>
                <w:lang w:val="fr-FR"/>
              </w:rPr>
              <w:t>Représentant.e de l’AFD</w:t>
            </w:r>
          </w:p>
          <w:p w14:paraId="5211CE87" w14:textId="77777777" w:rsidR="005A6764" w:rsidRDefault="001A5BAC">
            <w:pPr>
              <w:pStyle w:val="P68B1DB1-Normal3"/>
              <w:spacing w:after="0"/>
              <w:ind w:left="0"/>
              <w:rPr>
                <w:rFonts w:ascii="Verdana" w:hAnsi="Verdana" w:cstheme="majorBidi" w:hint="default"/>
                <w:i w:val="0"/>
                <w:iCs/>
                <w:color w:val="auto"/>
                <w:sz w:val="18"/>
                <w:szCs w:val="18"/>
                <w:highlight w:val="none"/>
                <w:lang w:val="fr-FR"/>
              </w:rPr>
            </w:pPr>
            <w:r>
              <w:rPr>
                <w:rFonts w:ascii="Verdana" w:hAnsi="Verdana" w:cstheme="majorBidi" w:hint="default"/>
                <w:i w:val="0"/>
                <w:iCs/>
                <w:color w:val="auto"/>
                <w:sz w:val="18"/>
                <w:szCs w:val="18"/>
                <w:highlight w:val="none"/>
                <w:lang w:val="fr-FR"/>
              </w:rPr>
              <w:t xml:space="preserve">Expertise France (EF) : Cheffe du projet EFOR </w:t>
            </w:r>
          </w:p>
          <w:p w14:paraId="102CF42D" w14:textId="77777777" w:rsidR="005A6764" w:rsidRDefault="001A5BAC">
            <w:pPr>
              <w:pStyle w:val="P68B1DB1-Normal3"/>
              <w:spacing w:after="0"/>
              <w:ind w:left="0"/>
              <w:rPr>
                <w:rFonts w:ascii="Verdana" w:hAnsi="Verdana" w:cstheme="majorBidi" w:hint="default"/>
                <w:i w:val="0"/>
                <w:iCs/>
                <w:color w:val="auto"/>
                <w:sz w:val="18"/>
                <w:szCs w:val="18"/>
                <w:highlight w:val="none"/>
                <w:lang w:val="fr-FR"/>
              </w:rPr>
            </w:pPr>
            <w:r>
              <w:rPr>
                <w:rFonts w:ascii="Verdana" w:hAnsi="Verdana" w:cstheme="majorBidi" w:hint="default"/>
                <w:i w:val="0"/>
                <w:iCs/>
                <w:color w:val="auto"/>
                <w:sz w:val="18"/>
                <w:szCs w:val="18"/>
                <w:highlight w:val="none"/>
                <w:lang w:val="fr-FR"/>
              </w:rPr>
              <w:t>Représentant.e du MARHPM</w:t>
            </w:r>
          </w:p>
          <w:p w14:paraId="27A021BD" w14:textId="77777777" w:rsidR="005A6764" w:rsidRDefault="001A5BAC">
            <w:pPr>
              <w:pStyle w:val="P68B1DB1-Normal3"/>
              <w:spacing w:after="0"/>
              <w:ind w:left="0"/>
              <w:rPr>
                <w:rFonts w:ascii="Verdana" w:hAnsi="Verdana" w:cstheme="majorBidi" w:hint="default"/>
                <w:i w:val="0"/>
                <w:iCs/>
                <w:color w:val="auto"/>
                <w:sz w:val="18"/>
                <w:szCs w:val="18"/>
                <w:highlight w:val="none"/>
                <w:lang w:val="fr-FR"/>
              </w:rPr>
            </w:pPr>
            <w:r>
              <w:rPr>
                <w:rFonts w:ascii="Verdana" w:hAnsi="Verdana" w:cstheme="majorBidi" w:hint="default"/>
                <w:i w:val="0"/>
                <w:iCs/>
                <w:color w:val="auto"/>
                <w:sz w:val="18"/>
                <w:szCs w:val="18"/>
                <w:highlight w:val="none"/>
                <w:lang w:val="fr-FR"/>
              </w:rPr>
              <w:t>Représentant.e du MFFEPA</w:t>
            </w:r>
          </w:p>
        </w:tc>
      </w:tr>
      <w:tr w:rsidR="005A6764" w14:paraId="7C84AB77" w14:textId="77777777">
        <w:trPr>
          <w:trHeight w:val="549"/>
        </w:trPr>
        <w:tc>
          <w:tcPr>
            <w:tcW w:w="2121" w:type="dxa"/>
          </w:tcPr>
          <w:p w14:paraId="07CB3B29" w14:textId="77777777" w:rsidR="005A6764" w:rsidRDefault="001A5BAC">
            <w:pPr>
              <w:spacing w:after="0"/>
              <w:rPr>
                <w:rFonts w:ascii="Verdana" w:hAnsi="Verdana" w:cstheme="majorBidi"/>
                <w:b/>
                <w:bCs/>
                <w:i w:val="0"/>
                <w:sz w:val="18"/>
                <w:szCs w:val="18"/>
                <w:lang w:val="en-US" w:eastAsia="en-GB"/>
              </w:rPr>
            </w:pPr>
            <w:r>
              <w:rPr>
                <w:rFonts w:ascii="Verdana" w:hAnsi="Verdana" w:cstheme="majorBidi"/>
                <w:b/>
                <w:bCs/>
                <w:i w:val="0"/>
                <w:sz w:val="18"/>
                <w:szCs w:val="18"/>
                <w:lang w:val="en-US" w:eastAsia="en-GB"/>
              </w:rPr>
              <w:t xml:space="preserve">Partenaires opérationnels </w:t>
            </w:r>
          </w:p>
        </w:tc>
        <w:tc>
          <w:tcPr>
            <w:tcW w:w="6858" w:type="dxa"/>
          </w:tcPr>
          <w:p w14:paraId="1AA950F7" w14:textId="77777777" w:rsidR="005A6764" w:rsidRDefault="001A5BAC">
            <w:pPr>
              <w:pStyle w:val="P68B1DB1-Normal3"/>
              <w:spacing w:after="0"/>
              <w:ind w:left="0"/>
              <w:rPr>
                <w:rFonts w:ascii="Verdana" w:hAnsi="Verdana" w:cstheme="majorBidi" w:hint="default"/>
                <w:i w:val="0"/>
                <w:iCs/>
                <w:color w:val="auto"/>
                <w:sz w:val="18"/>
                <w:szCs w:val="18"/>
                <w:highlight w:val="none"/>
                <w:lang w:val="fr-FR"/>
              </w:rPr>
            </w:pPr>
            <w:r>
              <w:rPr>
                <w:rFonts w:ascii="Verdana" w:hAnsi="Verdana" w:cstheme="majorBidi" w:hint="default"/>
                <w:i w:val="0"/>
                <w:iCs/>
                <w:color w:val="auto"/>
                <w:sz w:val="18"/>
                <w:szCs w:val="18"/>
                <w:highlight w:val="none"/>
                <w:lang w:val="fr-FR"/>
              </w:rPr>
              <w:t>Commissariats Régionaux au Développement Agricole (CRDA) à Béja, Kasserine et Gafsa</w:t>
            </w:r>
          </w:p>
          <w:p w14:paraId="6C93C8A1" w14:textId="77777777" w:rsidR="005A6764" w:rsidRDefault="001A5BAC">
            <w:pPr>
              <w:pStyle w:val="P68B1DB1-Normal3"/>
              <w:spacing w:after="0"/>
              <w:ind w:left="0"/>
              <w:rPr>
                <w:rFonts w:ascii="Verdana" w:hAnsi="Verdana" w:cstheme="majorBidi" w:hint="default"/>
                <w:i w:val="0"/>
                <w:iCs/>
                <w:color w:val="auto"/>
                <w:sz w:val="18"/>
                <w:szCs w:val="18"/>
                <w:highlight w:val="none"/>
                <w:lang w:val="fr-FR"/>
              </w:rPr>
            </w:pPr>
            <w:r>
              <w:rPr>
                <w:rFonts w:ascii="Verdana" w:hAnsi="Verdana" w:cstheme="majorBidi" w:hint="default"/>
                <w:i w:val="0"/>
                <w:iCs/>
                <w:color w:val="auto"/>
                <w:sz w:val="18"/>
                <w:szCs w:val="18"/>
                <w:highlight w:val="none"/>
                <w:lang w:val="fr-FR"/>
              </w:rPr>
              <w:t>Commissariats de la Femme à Béja, Gafsa et Kasserine</w:t>
            </w:r>
          </w:p>
        </w:tc>
      </w:tr>
      <w:tr w:rsidR="005A6764" w14:paraId="3F1CF6EE" w14:textId="77777777">
        <w:trPr>
          <w:trHeight w:val="873"/>
        </w:trPr>
        <w:tc>
          <w:tcPr>
            <w:tcW w:w="2121" w:type="dxa"/>
          </w:tcPr>
          <w:p w14:paraId="08B2F27D" w14:textId="77777777" w:rsidR="005A6764" w:rsidRDefault="001A5BAC">
            <w:pPr>
              <w:spacing w:after="0"/>
              <w:rPr>
                <w:rFonts w:ascii="Verdana" w:hAnsi="Verdana" w:cstheme="majorBidi"/>
                <w:b/>
                <w:bCs/>
                <w:i w:val="0"/>
                <w:sz w:val="18"/>
                <w:szCs w:val="18"/>
                <w:lang w:val="en-US" w:eastAsia="en-GB"/>
              </w:rPr>
            </w:pPr>
            <w:r>
              <w:rPr>
                <w:rFonts w:ascii="Verdana" w:hAnsi="Verdana" w:cstheme="majorBidi"/>
                <w:b/>
                <w:bCs/>
                <w:i w:val="0"/>
                <w:sz w:val="18"/>
                <w:szCs w:val="18"/>
                <w:lang w:val="en-US" w:eastAsia="en-GB"/>
              </w:rPr>
              <w:t>Groupes cibles / bénéficiaires</w:t>
            </w:r>
          </w:p>
        </w:tc>
        <w:tc>
          <w:tcPr>
            <w:tcW w:w="6858" w:type="dxa"/>
          </w:tcPr>
          <w:p w14:paraId="540D5B6F" w14:textId="77777777" w:rsidR="005A6764" w:rsidRDefault="001A5BAC">
            <w:pPr>
              <w:spacing w:after="0"/>
              <w:ind w:left="0"/>
              <w:rPr>
                <w:rFonts w:ascii="Verdana" w:hAnsi="Verdana" w:cstheme="majorBidi"/>
                <w:i w:val="0"/>
                <w:sz w:val="18"/>
                <w:szCs w:val="18"/>
                <w:lang w:eastAsia="en-GB"/>
              </w:rPr>
            </w:pPr>
            <w:r>
              <w:rPr>
                <w:rFonts w:ascii="Verdana" w:hAnsi="Verdana" w:cstheme="majorBidi"/>
                <w:i w:val="0"/>
                <w:sz w:val="18"/>
                <w:szCs w:val="18"/>
                <w:lang w:eastAsia="en-GB"/>
              </w:rPr>
              <w:t xml:space="preserve">Organisations professionnelles agricoles féminines </w:t>
            </w:r>
          </w:p>
          <w:p w14:paraId="1F7989BE" w14:textId="77777777" w:rsidR="005A6764" w:rsidRDefault="001A5BAC">
            <w:pPr>
              <w:spacing w:after="0"/>
              <w:ind w:left="0"/>
              <w:rPr>
                <w:rFonts w:ascii="Verdana" w:hAnsi="Verdana" w:cstheme="majorBidi"/>
                <w:i w:val="0"/>
                <w:sz w:val="18"/>
                <w:szCs w:val="18"/>
                <w:lang w:eastAsia="en-GB"/>
              </w:rPr>
            </w:pPr>
            <w:r>
              <w:rPr>
                <w:rFonts w:ascii="Verdana" w:hAnsi="Verdana" w:cstheme="majorBidi"/>
                <w:i w:val="0"/>
                <w:sz w:val="18"/>
                <w:szCs w:val="18"/>
                <w:lang w:eastAsia="en-GB"/>
              </w:rPr>
              <w:t>Femmes et hommes au niveau des exploitations agricoles familiales</w:t>
            </w:r>
          </w:p>
          <w:p w14:paraId="14A5FE64" w14:textId="77777777" w:rsidR="005A6764" w:rsidRDefault="001A5BAC">
            <w:pPr>
              <w:spacing w:after="0"/>
              <w:ind w:left="0"/>
              <w:rPr>
                <w:rFonts w:ascii="Verdana" w:hAnsi="Verdana" w:cstheme="majorBidi"/>
                <w:i w:val="0"/>
                <w:sz w:val="18"/>
                <w:szCs w:val="18"/>
                <w:lang w:eastAsia="en-GB"/>
              </w:rPr>
            </w:pPr>
            <w:r>
              <w:rPr>
                <w:rFonts w:ascii="Verdana" w:hAnsi="Verdana" w:cstheme="majorBidi"/>
                <w:i w:val="0"/>
                <w:sz w:val="18"/>
                <w:szCs w:val="18"/>
                <w:lang w:eastAsia="en-GB"/>
              </w:rPr>
              <w:t>Organisation de la Société Civile (OSC)</w:t>
            </w:r>
          </w:p>
        </w:tc>
      </w:tr>
      <w:tr w:rsidR="005A6764" w14:paraId="2409ABAB" w14:textId="77777777">
        <w:trPr>
          <w:trHeight w:val="549"/>
        </w:trPr>
        <w:tc>
          <w:tcPr>
            <w:tcW w:w="2121" w:type="dxa"/>
          </w:tcPr>
          <w:p w14:paraId="5539CF91" w14:textId="77777777" w:rsidR="005A6764" w:rsidRDefault="001A5BAC">
            <w:pPr>
              <w:spacing w:after="0"/>
              <w:rPr>
                <w:rFonts w:ascii="Verdana" w:hAnsi="Verdana" w:cstheme="majorBidi"/>
                <w:b/>
                <w:bCs/>
                <w:i w:val="0"/>
                <w:sz w:val="18"/>
                <w:szCs w:val="18"/>
                <w:lang w:val="en-US" w:eastAsia="en-GB"/>
              </w:rPr>
            </w:pPr>
            <w:r>
              <w:rPr>
                <w:rFonts w:ascii="Verdana" w:hAnsi="Verdana" w:cstheme="majorBidi"/>
                <w:b/>
                <w:bCs/>
                <w:i w:val="0"/>
                <w:sz w:val="18"/>
                <w:szCs w:val="18"/>
                <w:lang w:val="en-US" w:eastAsia="en-GB"/>
              </w:rPr>
              <w:t>Etendue de la mission</w:t>
            </w:r>
          </w:p>
        </w:tc>
        <w:tc>
          <w:tcPr>
            <w:tcW w:w="6858" w:type="dxa"/>
          </w:tcPr>
          <w:p w14:paraId="25DCD5FA" w14:textId="77777777" w:rsidR="005A6764" w:rsidRDefault="001A5BAC">
            <w:pPr>
              <w:spacing w:after="0"/>
              <w:ind w:left="0"/>
              <w:rPr>
                <w:rFonts w:ascii="Verdana" w:hAnsi="Verdana" w:cstheme="majorBidi"/>
                <w:i w:val="0"/>
                <w:sz w:val="18"/>
                <w:szCs w:val="18"/>
                <w:lang w:val="en-US" w:eastAsia="en-GB"/>
              </w:rPr>
            </w:pPr>
            <w:r>
              <w:rPr>
                <w:rFonts w:ascii="Verdana" w:hAnsi="Verdana" w:cstheme="majorBidi"/>
                <w:i w:val="0"/>
                <w:sz w:val="18"/>
                <w:szCs w:val="18"/>
                <w:lang w:val="en-US" w:eastAsia="en-GB"/>
              </w:rPr>
              <w:t>38 H/J au minimum</w:t>
            </w:r>
          </w:p>
        </w:tc>
      </w:tr>
    </w:tbl>
    <w:p w14:paraId="220B7C6A" w14:textId="77777777" w:rsidR="005A6764" w:rsidRDefault="005A6764">
      <w:pPr>
        <w:spacing w:after="0"/>
        <w:rPr>
          <w:rFonts w:ascii="Verdana" w:hAnsi="Verdana"/>
          <w:sz w:val="18"/>
          <w:szCs w:val="18"/>
        </w:rPr>
      </w:pPr>
    </w:p>
    <w:p w14:paraId="2DB0B850" w14:textId="77777777" w:rsidR="005A6764" w:rsidRDefault="005A6764">
      <w:pPr>
        <w:spacing w:after="0"/>
        <w:rPr>
          <w:rFonts w:ascii="Verdana" w:hAnsi="Verdana"/>
          <w:sz w:val="18"/>
          <w:szCs w:val="18"/>
        </w:rPr>
      </w:pPr>
    </w:p>
    <w:p w14:paraId="6F9BABAD" w14:textId="77777777" w:rsidR="005A6764" w:rsidRDefault="001A5BAC">
      <w:pPr>
        <w:pStyle w:val="Titre1"/>
        <w:spacing w:after="0" w:line="240" w:lineRule="auto"/>
        <w:rPr>
          <w:rFonts w:ascii="Verdana" w:hAnsi="Verdana"/>
          <w:sz w:val="18"/>
          <w:szCs w:val="18"/>
        </w:rPr>
      </w:pPr>
      <w:bookmarkStart w:id="1" w:name="_Toc70668747"/>
      <w:r>
        <w:rPr>
          <w:rFonts w:ascii="Verdana" w:hAnsi="Verdana"/>
          <w:sz w:val="18"/>
          <w:szCs w:val="18"/>
        </w:rPr>
        <w:t>Contexte</w:t>
      </w:r>
      <w:bookmarkEnd w:id="1"/>
      <w:r>
        <w:rPr>
          <w:rFonts w:ascii="Verdana" w:hAnsi="Verdana"/>
          <w:sz w:val="18"/>
          <w:szCs w:val="18"/>
        </w:rPr>
        <w:t xml:space="preserve"> </w:t>
      </w:r>
    </w:p>
    <w:p w14:paraId="42160B27" w14:textId="77777777" w:rsidR="005A6764" w:rsidRDefault="001A5BAC">
      <w:pPr>
        <w:pStyle w:val="Titre2"/>
        <w:spacing w:after="0" w:line="240" w:lineRule="auto"/>
        <w:rPr>
          <w:rFonts w:ascii="Verdana" w:hAnsi="Verdana"/>
          <w:sz w:val="18"/>
          <w:szCs w:val="18"/>
        </w:rPr>
      </w:pPr>
      <w:bookmarkStart w:id="2" w:name="_Toc70668748"/>
      <w:r>
        <w:rPr>
          <w:rFonts w:ascii="Verdana" w:hAnsi="Verdana"/>
          <w:sz w:val="18"/>
          <w:szCs w:val="18"/>
        </w:rPr>
        <w:t>Contexte général</w:t>
      </w:r>
      <w:bookmarkEnd w:id="2"/>
    </w:p>
    <w:p w14:paraId="62B6A205" w14:textId="77777777" w:rsidR="005A6764" w:rsidRDefault="005A6764">
      <w:pPr>
        <w:tabs>
          <w:tab w:val="clear" w:pos="9923"/>
        </w:tabs>
        <w:spacing w:after="0"/>
        <w:ind w:left="0"/>
        <w:rPr>
          <w:rFonts w:ascii="Verdana" w:eastAsia="Times New Roman" w:hAnsi="Verdana" w:cs="Times New Roman"/>
          <w:i w:val="0"/>
          <w:iCs w:val="0"/>
          <w:color w:val="auto"/>
          <w:sz w:val="18"/>
          <w:szCs w:val="18"/>
          <w:lang w:eastAsia="fr-FR"/>
        </w:rPr>
      </w:pPr>
      <w:bookmarkStart w:id="3" w:name="_Toc70668749"/>
    </w:p>
    <w:p w14:paraId="13728544" w14:textId="77777777" w:rsidR="005A6764" w:rsidRDefault="001A5BAC">
      <w:pPr>
        <w:pStyle w:val="Titre2"/>
        <w:numPr>
          <w:ilvl w:val="1"/>
          <w:numId w:val="9"/>
        </w:numPr>
        <w:shd w:val="clear" w:color="auto" w:fill="auto"/>
        <w:rPr>
          <w:rFonts w:ascii="Verdana" w:hAnsi="Verdana"/>
          <w:b/>
          <w:color w:val="auto"/>
          <w:sz w:val="20"/>
        </w:rPr>
      </w:pPr>
      <w:r>
        <w:rPr>
          <w:rFonts w:ascii="Verdana" w:hAnsi="Verdana"/>
          <w:b/>
          <w:color w:val="auto"/>
          <w:sz w:val="20"/>
        </w:rPr>
        <w:t>Contexte général</w:t>
      </w:r>
    </w:p>
    <w:p w14:paraId="2B6F4750" w14:textId="77777777" w:rsidR="005A6764" w:rsidRDefault="001A5BAC">
      <w:pPr>
        <w:rPr>
          <w:rFonts w:ascii="Verdana" w:hAnsi="Verdana"/>
          <w:iCs w:val="0"/>
          <w:sz w:val="20"/>
          <w:szCs w:val="20"/>
        </w:rPr>
      </w:pPr>
      <w:r>
        <w:rPr>
          <w:rFonts w:ascii="Verdana" w:hAnsi="Verdana"/>
          <w:iCs w:val="0"/>
          <w:sz w:val="20"/>
          <w:szCs w:val="20"/>
        </w:rPr>
        <w:t>La Tunisie a longtemps été perçue comme un Etat précurseur et avant-gardiste en matière de reconnaissance des droits des femmes. Le Code du statut personnel promulgué en 1956 demeure une avancée à l’échelle internationale en termes de promotion des droits des femmes</w:t>
      </w:r>
    </w:p>
    <w:p w14:paraId="670F9815" w14:textId="77777777" w:rsidR="005A6764" w:rsidRDefault="001A5BAC">
      <w:pPr>
        <w:rPr>
          <w:rFonts w:ascii="Verdana" w:hAnsi="Verdana"/>
          <w:iCs w:val="0"/>
          <w:sz w:val="20"/>
          <w:szCs w:val="20"/>
        </w:rPr>
      </w:pPr>
      <w:r>
        <w:rPr>
          <w:rFonts w:ascii="Verdana" w:hAnsi="Verdana"/>
          <w:iCs w:val="0"/>
          <w:sz w:val="20"/>
          <w:szCs w:val="20"/>
        </w:rPr>
        <w:t xml:space="preserve">Mais plus de dix ans après la révolution de 2011, la Tunisie reste un pays de contrastes où les innovations législatives coexistent avec des normes juridiques et surtout des normes sociales marquées par la discrimination notamment à l’égard des femmes et des personnes vivant dans des situations de vulnérabilité. </w:t>
      </w:r>
    </w:p>
    <w:p w14:paraId="5C4A5D88" w14:textId="77777777" w:rsidR="005A6764" w:rsidRDefault="001A5BAC">
      <w:pPr>
        <w:rPr>
          <w:rFonts w:ascii="Verdana" w:hAnsi="Verdana"/>
          <w:i w:val="0"/>
          <w:iCs w:val="0"/>
          <w:sz w:val="20"/>
          <w:szCs w:val="20"/>
        </w:rPr>
      </w:pPr>
      <w:r>
        <w:rPr>
          <w:rFonts w:ascii="Verdana" w:hAnsi="Verdana"/>
          <w:iCs w:val="0"/>
          <w:sz w:val="20"/>
          <w:szCs w:val="20"/>
        </w:rPr>
        <w:t>En 2019, l’IDH de la Tunisie était ainsi de 0.689 pour les femmes, contre 0.766 pour les hommes, donnant un indice de développement de genre (IDG) de 0.900 et plaçant le pays dans le groupe 4 sur 5, où le niveau d’égalité femmes-hommes dans l’IDH va de moyen à bas.</w:t>
      </w:r>
    </w:p>
    <w:p w14:paraId="2BF30692" w14:textId="77777777" w:rsidR="005A6764" w:rsidRDefault="001A5BAC">
      <w:pPr>
        <w:rPr>
          <w:rFonts w:ascii="Verdana" w:hAnsi="Verdana"/>
          <w:iCs w:val="0"/>
          <w:sz w:val="20"/>
          <w:szCs w:val="20"/>
        </w:rPr>
      </w:pPr>
      <w:r>
        <w:rPr>
          <w:rFonts w:ascii="Verdana" w:hAnsi="Verdana"/>
          <w:iCs w:val="0"/>
          <w:sz w:val="20"/>
          <w:szCs w:val="20"/>
        </w:rPr>
        <w:t>Le contexte socio-économique est un facteur déterminant dans l’analyse des inégalités, y compris les inégalités de genre. L’instabilité économique du pays a été potentiellement impactée par le Covid dégradant encore plus la condition des femmes, structurellement plus vulnérables aux crises économiques, sanitaires, etc. Pendant la période de cette pandémie, le chômage s’est aggravé pour passer de 15 % avant la pandémie à 17,8 % à la fin du premier trimestre 2021. Les femmes sont particulièrement touchées avec un taux qui atteint 24,9 %. Les estimations de la Banque Mondiale prévoient également une hausse du pourcentage de la population « vulnérable » susceptible de basculer dans la pauvreté.</w:t>
      </w:r>
    </w:p>
    <w:p w14:paraId="254FD28D" w14:textId="77777777" w:rsidR="005A6764" w:rsidRDefault="001A5BAC">
      <w:pPr>
        <w:pStyle w:val="Titre2"/>
        <w:numPr>
          <w:ilvl w:val="1"/>
          <w:numId w:val="9"/>
        </w:numPr>
        <w:shd w:val="clear" w:color="auto" w:fill="auto"/>
        <w:rPr>
          <w:rFonts w:ascii="Verdana" w:hAnsi="Verdana"/>
          <w:b/>
          <w:color w:val="auto"/>
          <w:sz w:val="20"/>
        </w:rPr>
      </w:pPr>
      <w:r>
        <w:rPr>
          <w:rFonts w:ascii="Verdana" w:hAnsi="Verdana"/>
          <w:b/>
          <w:color w:val="auto"/>
          <w:sz w:val="20"/>
        </w:rPr>
        <w:t>Contexte sectoriel</w:t>
      </w:r>
    </w:p>
    <w:p w14:paraId="024D37F4" w14:textId="77777777" w:rsidR="005A6764" w:rsidRDefault="001A5BAC">
      <w:pPr>
        <w:rPr>
          <w:rFonts w:ascii="Verdana" w:hAnsi="Verdana"/>
          <w:iCs w:val="0"/>
          <w:sz w:val="20"/>
          <w:szCs w:val="20"/>
        </w:rPr>
      </w:pPr>
      <w:r>
        <w:rPr>
          <w:rFonts w:ascii="Verdana" w:hAnsi="Verdana"/>
          <w:iCs w:val="0"/>
          <w:sz w:val="20"/>
          <w:szCs w:val="20"/>
        </w:rPr>
        <w:t xml:space="preserve">Le secteur agricole représente l’un des piliers les plus importants de l'économie tunisienne, contribuant à 17 % du PIB national et employant environ 16 % de la population active. Dans </w:t>
      </w:r>
      <w:r>
        <w:rPr>
          <w:rFonts w:ascii="Verdana" w:hAnsi="Verdana"/>
          <w:iCs w:val="0"/>
          <w:sz w:val="20"/>
          <w:szCs w:val="20"/>
        </w:rPr>
        <w:lastRenderedPageBreak/>
        <w:t>ce secteur de poids économique et social très important, la place des femmes est prépondérante particulièrement dans la sécurité alimentaire : celles en milieu rural fournissent 85 % des produits alimentaires et jouent ainsi un rôle prépondérant dans la création de richesse et la contribution à la sécurité alimentaire. Cependant elles restent toujours défavorisées par rapport aux hommes en termes d'accès aux financements, aux services publics, aux marchés, aux crédits, le manque de mobilité et de choix, l’accès au foncier, à l’information, l'éloignement des postes de décision, etc. Au troisième trimestre de 2020 le taux de chômage pour les hommes était de 13,5% alors qu’il était de 22,80 % pour les femmes. En 2015, Un cinquième des femmes (soit 19,3%) disposent d’une source de revenu propre contre 60% pour les hommes.</w:t>
      </w:r>
    </w:p>
    <w:p w14:paraId="67683F1D" w14:textId="77777777" w:rsidR="005A6764" w:rsidRDefault="001A5BAC">
      <w:pPr>
        <w:rPr>
          <w:rFonts w:ascii="Verdana" w:hAnsi="Verdana"/>
          <w:iCs w:val="0"/>
          <w:sz w:val="20"/>
          <w:szCs w:val="20"/>
        </w:rPr>
      </w:pPr>
      <w:r>
        <w:rPr>
          <w:rFonts w:ascii="Verdana" w:hAnsi="Verdana"/>
          <w:iCs w:val="0"/>
          <w:sz w:val="20"/>
          <w:szCs w:val="20"/>
        </w:rPr>
        <w:t xml:space="preserve">Le travail agricole des femmes est pour l’essentiel dans le cadre d’exploitations familiales, en tant qu’« aide familiale » (c’est-à-dire du travail familial non rémunéré) pour une production vivrière et/ou commerciale. Par ailleurs, seulement 5% de la population des promoteurs de projets agricoles sont des femmes, 8.2% sont des exploitantes agricoles et seules 4 à 6% parmi les entrepreneures agricoles détiennent des titres de propriétés foncières. En outre, la participation des agricultrices dans les structures professionnelles agricoles de base (OPA) demeure toujours plus limitée par rapport à celle des agriculteurs, et elles sont encore victimes de nombreuses discriminations et stéréotype de répartitions sexuée des taches et des rôles à l’intérieur comme à l’extérieur de ces OPA. </w:t>
      </w:r>
    </w:p>
    <w:p w14:paraId="254A3393" w14:textId="77777777" w:rsidR="005A6764" w:rsidRDefault="001A5BAC">
      <w:pPr>
        <w:rPr>
          <w:rFonts w:ascii="Verdana" w:hAnsi="Verdana"/>
          <w:iCs w:val="0"/>
          <w:sz w:val="20"/>
          <w:szCs w:val="20"/>
        </w:rPr>
      </w:pPr>
      <w:r>
        <w:rPr>
          <w:rFonts w:ascii="Verdana" w:hAnsi="Verdana"/>
          <w:iCs w:val="0"/>
          <w:sz w:val="20"/>
          <w:szCs w:val="20"/>
        </w:rPr>
        <w:t>En Tunisie, les femmes sont en général organisées en structure professionnelles agricoles (GDA, SMSA). Ces structures professionnelles sont techniquement sous encadrement et appui technique des CRDA / Arrondissement d’appui aux femmes en milieu rural (liés organiquement au BAFR) et sous tutelle des autorités locales (Le gouvernorat). Le gouverneur exerce un contrôle de tutelle sur ces structures depuis sa création jusqu’à son éventuelle dissolution !</w:t>
      </w:r>
    </w:p>
    <w:p w14:paraId="2AA9586F" w14:textId="77777777" w:rsidR="005A6764" w:rsidRDefault="001A5BAC">
      <w:pPr>
        <w:rPr>
          <w:rFonts w:ascii="Verdana" w:hAnsi="Verdana"/>
          <w:iCs w:val="0"/>
          <w:sz w:val="20"/>
          <w:szCs w:val="20"/>
        </w:rPr>
      </w:pPr>
      <w:r>
        <w:rPr>
          <w:rFonts w:ascii="Verdana" w:hAnsi="Verdana"/>
          <w:iCs w:val="0"/>
          <w:sz w:val="20"/>
          <w:szCs w:val="20"/>
        </w:rPr>
        <w:t>Depuis 2011, et par le biais du BAFR principalement, plus d’une centaine de groupements professionnels agricoles féminins (GDA + SMSA formés totalement ou majoritairement de femmes) ont été créés sur tout le territoire national. Le MFFEPA contribue aussi à la création de ces structures en plus de certaines ONG.</w:t>
      </w:r>
    </w:p>
    <w:p w14:paraId="3DB25F7C" w14:textId="77777777" w:rsidR="005A6764" w:rsidRDefault="001A5BAC">
      <w:pPr>
        <w:rPr>
          <w:rFonts w:ascii="Verdana" w:eastAsia="Times New Roman" w:hAnsi="Verdana" w:cs="Times New Roman"/>
          <w:i w:val="0"/>
          <w:iCs w:val="0"/>
          <w:color w:val="auto"/>
          <w:sz w:val="18"/>
          <w:szCs w:val="18"/>
          <w:lang w:eastAsia="fr-FR"/>
        </w:rPr>
      </w:pPr>
      <w:r>
        <w:rPr>
          <w:rFonts w:ascii="Verdana" w:hAnsi="Verdana"/>
          <w:iCs w:val="0"/>
          <w:sz w:val="20"/>
          <w:szCs w:val="20"/>
        </w:rPr>
        <w:t>Dans le cadre de cette dynamique et le besoin pressant d’appuyer ces structures professionnelles féminines a pris naissance le projet Emancipation des Femmes et des Organisations Rurales (EFOR) financé par l’AFD et mis en œuvre par Expertise France. Le projet a été lancé en mars 2023 sous le pilotage du MARHPM (Ministère de l’Agriculture, des Ressources Hydrauliques et de la Pêche Maritime) et du MFFEPA (Ministère de la Famille, de la Femme, de l'Enfance et des Personnes Agées).</w:t>
      </w:r>
    </w:p>
    <w:p w14:paraId="7F05E49F" w14:textId="77777777" w:rsidR="005A6764" w:rsidRDefault="001A5BAC">
      <w:pPr>
        <w:pStyle w:val="Titre2"/>
        <w:spacing w:after="0" w:line="240" w:lineRule="auto"/>
        <w:rPr>
          <w:rFonts w:ascii="Verdana" w:hAnsi="Verdana"/>
          <w:sz w:val="18"/>
          <w:szCs w:val="18"/>
        </w:rPr>
      </w:pPr>
      <w:r>
        <w:rPr>
          <w:rFonts w:ascii="Verdana" w:hAnsi="Verdana"/>
          <w:sz w:val="18"/>
          <w:szCs w:val="18"/>
        </w:rPr>
        <w:t>Présentation du projet</w:t>
      </w:r>
      <w:bookmarkEnd w:id="3"/>
      <w:r>
        <w:rPr>
          <w:rFonts w:ascii="Verdana" w:hAnsi="Verdana"/>
          <w:sz w:val="18"/>
          <w:szCs w:val="18"/>
        </w:rPr>
        <w:t xml:space="preserve"> </w:t>
      </w:r>
    </w:p>
    <w:p w14:paraId="20209A08" w14:textId="77777777" w:rsidR="005A6764" w:rsidRDefault="005A6764">
      <w:pPr>
        <w:tabs>
          <w:tab w:val="left" w:pos="5245"/>
        </w:tabs>
        <w:spacing w:after="0"/>
        <w:rPr>
          <w:rFonts w:ascii="Verdana" w:hAnsi="Verdana" w:cstheme="majorBidi"/>
          <w:i w:val="0"/>
          <w:iCs w:val="0"/>
          <w:sz w:val="18"/>
          <w:szCs w:val="18"/>
        </w:rPr>
      </w:pPr>
    </w:p>
    <w:p w14:paraId="1DC1D889" w14:textId="77777777" w:rsidR="005A6764" w:rsidRDefault="001A5BAC">
      <w:pPr>
        <w:tabs>
          <w:tab w:val="left" w:pos="5245"/>
        </w:tabs>
        <w:spacing w:after="0"/>
        <w:rPr>
          <w:rFonts w:ascii="Verdana" w:hAnsi="Verdana" w:cstheme="majorBidi"/>
          <w:i w:val="0"/>
          <w:iCs w:val="0"/>
          <w:sz w:val="18"/>
          <w:szCs w:val="18"/>
        </w:rPr>
      </w:pPr>
      <w:r>
        <w:rPr>
          <w:rFonts w:ascii="Verdana" w:hAnsi="Verdana" w:cstheme="majorBidi"/>
          <w:i w:val="0"/>
          <w:iCs w:val="0"/>
          <w:sz w:val="18"/>
          <w:szCs w:val="18"/>
        </w:rPr>
        <w:t xml:space="preserve">Le Projet - Emancipation des femmes et organisations professionnelles (EFOR), est mis en œuvre par Expertise France Tunisie/ Libye en partenariat avec le Ministère de l’Agriculture des Ressources Hydrauliques et de la Pêche Maritime - MARHPM et le Ministère de la Femme, de la Famille, de l’Enfance et des Personnes Agés - MFFEPA au niveau des trois gouvernorats de Béja, Kasserine et Gafsa. </w:t>
      </w:r>
    </w:p>
    <w:p w14:paraId="309CB904" w14:textId="77777777" w:rsidR="005A6764" w:rsidRDefault="001A5BAC">
      <w:pPr>
        <w:tabs>
          <w:tab w:val="left" w:pos="5245"/>
        </w:tabs>
        <w:spacing w:after="0"/>
        <w:rPr>
          <w:rFonts w:ascii="Verdana" w:hAnsi="Verdana" w:cstheme="majorBidi"/>
          <w:i w:val="0"/>
          <w:iCs w:val="0"/>
          <w:sz w:val="18"/>
          <w:szCs w:val="18"/>
        </w:rPr>
      </w:pPr>
      <w:r>
        <w:rPr>
          <w:rFonts w:ascii="Verdana" w:hAnsi="Verdana" w:cstheme="majorBidi"/>
          <w:i w:val="0"/>
          <w:iCs w:val="0"/>
          <w:sz w:val="18"/>
          <w:szCs w:val="18"/>
        </w:rPr>
        <w:t xml:space="preserve">Le projet adopte une approche territoriale, participative et sensible au genre et aux enjeux des changements climatiques, intégrée à toutes les composantes du projet. </w:t>
      </w:r>
    </w:p>
    <w:p w14:paraId="07729F9B" w14:textId="77777777" w:rsidR="005A6764" w:rsidRDefault="001A5BAC">
      <w:pPr>
        <w:tabs>
          <w:tab w:val="left" w:pos="5245"/>
        </w:tabs>
        <w:spacing w:after="0"/>
        <w:rPr>
          <w:rFonts w:ascii="Verdana" w:hAnsi="Verdana" w:cstheme="majorBidi"/>
          <w:i w:val="0"/>
          <w:iCs w:val="0"/>
          <w:sz w:val="18"/>
          <w:szCs w:val="18"/>
        </w:rPr>
      </w:pPr>
      <w:r>
        <w:rPr>
          <w:rFonts w:ascii="Verdana" w:hAnsi="Verdana" w:cstheme="majorBidi"/>
          <w:i w:val="0"/>
          <w:iCs w:val="0"/>
          <w:sz w:val="18"/>
          <w:szCs w:val="18"/>
        </w:rPr>
        <w:t xml:space="preserve">L’objectif général du projet (Finalité) est d’améliorer l’égalité des femmes et des hommes dans le secteur agricole en Tunisie. </w:t>
      </w:r>
    </w:p>
    <w:p w14:paraId="5361A5EB" w14:textId="77777777" w:rsidR="005A6764" w:rsidRDefault="001A5BAC">
      <w:pPr>
        <w:spacing w:after="0"/>
        <w:rPr>
          <w:rFonts w:ascii="Verdana" w:hAnsi="Verdana" w:cstheme="majorBidi"/>
          <w:i w:val="0"/>
          <w:iCs w:val="0"/>
          <w:sz w:val="18"/>
          <w:szCs w:val="18"/>
        </w:rPr>
      </w:pPr>
      <w:r>
        <w:rPr>
          <w:rFonts w:ascii="Verdana" w:hAnsi="Verdana" w:cstheme="majorBidi"/>
          <w:i w:val="0"/>
          <w:iCs w:val="0"/>
          <w:sz w:val="18"/>
          <w:szCs w:val="18"/>
        </w:rPr>
        <w:t>L’objectif spécifique (OS) est d’améliorer le statut social et les revenus des femmes impliquées dans les Organisations Professionnelles Agricoles - OPA féminines des gouvernorats de Beja, Kasserine et Gafsa dans le cadre d’une agriculture résiliente aux Changements Climatiques.</w:t>
      </w:r>
    </w:p>
    <w:p w14:paraId="64271371" w14:textId="77777777" w:rsidR="005A6764" w:rsidRDefault="005A6764">
      <w:pPr>
        <w:spacing w:after="0"/>
        <w:rPr>
          <w:rFonts w:ascii="Verdana" w:hAnsi="Verdana" w:cstheme="majorBidi"/>
          <w:i w:val="0"/>
          <w:iCs w:val="0"/>
          <w:sz w:val="18"/>
          <w:szCs w:val="18"/>
        </w:rPr>
      </w:pPr>
    </w:p>
    <w:p w14:paraId="4A21C58B" w14:textId="77777777" w:rsidR="005A6764" w:rsidRDefault="001A5BAC">
      <w:pPr>
        <w:shd w:val="clear" w:color="auto" w:fill="E5DFEC" w:themeFill="accent4" w:themeFillTint="33"/>
        <w:spacing w:after="0"/>
        <w:rPr>
          <w:rFonts w:ascii="Verdana" w:hAnsi="Verdana" w:cstheme="majorBidi"/>
          <w:i w:val="0"/>
          <w:sz w:val="18"/>
          <w:szCs w:val="18"/>
          <w:lang w:eastAsia="en-GB"/>
        </w:rPr>
      </w:pPr>
      <w:r>
        <w:rPr>
          <w:rFonts w:ascii="Verdana" w:hAnsi="Verdana" w:cstheme="majorBidi"/>
          <w:i w:val="0"/>
          <w:sz w:val="18"/>
          <w:szCs w:val="18"/>
          <w:lang w:eastAsia="en-GB"/>
        </w:rPr>
        <w:t xml:space="preserve">Pour atteindre cet objectif spécifique, EF interviendra à travers les axes suivants : </w:t>
      </w:r>
    </w:p>
    <w:p w14:paraId="0CA44A21" w14:textId="77777777" w:rsidR="005A6764" w:rsidRDefault="005A6764">
      <w:pPr>
        <w:shd w:val="clear" w:color="auto" w:fill="E5DFEC" w:themeFill="accent4" w:themeFillTint="33"/>
        <w:spacing w:after="0"/>
        <w:rPr>
          <w:rFonts w:ascii="Verdana" w:hAnsi="Verdana" w:cstheme="majorBidi"/>
          <w:i w:val="0"/>
          <w:sz w:val="18"/>
          <w:szCs w:val="18"/>
          <w:lang w:eastAsia="en-GB"/>
        </w:rPr>
      </w:pPr>
    </w:p>
    <w:p w14:paraId="15BC854B" w14:textId="77777777" w:rsidR="005A6764" w:rsidRDefault="001A5BAC">
      <w:pPr>
        <w:pStyle w:val="Paragraphedeliste"/>
        <w:numPr>
          <w:ilvl w:val="0"/>
          <w:numId w:val="10"/>
        </w:numPr>
        <w:shd w:val="clear" w:color="auto" w:fill="E5DFEC" w:themeFill="accent4" w:themeFillTint="33"/>
        <w:spacing w:after="0"/>
        <w:contextualSpacing/>
        <w:rPr>
          <w:rFonts w:ascii="Verdana" w:hAnsi="Verdana" w:cstheme="majorBidi"/>
          <w:i w:val="0"/>
          <w:sz w:val="18"/>
          <w:szCs w:val="18"/>
          <w:lang w:eastAsia="en-GB"/>
        </w:rPr>
      </w:pPr>
      <w:r>
        <w:rPr>
          <w:rFonts w:ascii="Verdana" w:hAnsi="Verdana" w:cstheme="majorBidi"/>
          <w:b/>
          <w:bCs/>
          <w:i w:val="0"/>
          <w:sz w:val="18"/>
          <w:szCs w:val="18"/>
          <w:lang w:eastAsia="en-GB"/>
        </w:rPr>
        <w:t>Axe 1: Sensibilisation, normes sociales et engagement des communautés</w:t>
      </w:r>
      <w:r>
        <w:rPr>
          <w:rFonts w:ascii="Verdana" w:hAnsi="Verdana" w:cstheme="majorBidi"/>
          <w:i w:val="0"/>
          <w:sz w:val="18"/>
          <w:szCs w:val="18"/>
          <w:lang w:eastAsia="en-GB"/>
        </w:rPr>
        <w:t xml:space="preserve"> (</w:t>
      </w:r>
      <w:r>
        <w:rPr>
          <w:rFonts w:ascii="Verdana" w:hAnsi="Verdana" w:cstheme="majorBidi"/>
          <w:i w:val="0"/>
          <w:sz w:val="18"/>
          <w:szCs w:val="18"/>
          <w:u w:val="single"/>
          <w:lang w:eastAsia="en-GB"/>
        </w:rPr>
        <w:t>SO1:</w:t>
      </w:r>
      <w:r>
        <w:rPr>
          <w:rFonts w:ascii="Verdana" w:hAnsi="Verdana" w:cstheme="majorBidi"/>
          <w:i w:val="0"/>
          <w:sz w:val="18"/>
          <w:szCs w:val="18"/>
          <w:lang w:eastAsia="en-GB"/>
        </w:rPr>
        <w:t xml:space="preserve"> Les normes sociales dans les communautés cibles évoluent pour plus d’égalité femmes-hommes)</w:t>
      </w:r>
    </w:p>
    <w:p w14:paraId="7C5255A6" w14:textId="77777777" w:rsidR="005A6764" w:rsidRDefault="001A5BAC">
      <w:pPr>
        <w:pStyle w:val="Paragraphedeliste"/>
        <w:numPr>
          <w:ilvl w:val="0"/>
          <w:numId w:val="10"/>
        </w:numPr>
        <w:shd w:val="clear" w:color="auto" w:fill="E5DFEC" w:themeFill="accent4" w:themeFillTint="33"/>
        <w:spacing w:after="0"/>
        <w:contextualSpacing/>
        <w:rPr>
          <w:rFonts w:ascii="Verdana" w:hAnsi="Verdana" w:cstheme="majorBidi"/>
          <w:i w:val="0"/>
          <w:sz w:val="18"/>
          <w:szCs w:val="18"/>
          <w:lang w:eastAsia="en-GB"/>
        </w:rPr>
      </w:pPr>
      <w:r>
        <w:rPr>
          <w:rFonts w:ascii="Verdana" w:hAnsi="Verdana" w:cstheme="majorBidi"/>
          <w:b/>
          <w:bCs/>
          <w:i w:val="0"/>
          <w:sz w:val="18"/>
          <w:szCs w:val="18"/>
          <w:lang w:eastAsia="en-GB"/>
        </w:rPr>
        <w:lastRenderedPageBreak/>
        <w:t>Axe 2 : Promotion d’une agriculture féminine écologique, sociale et solidaire</w:t>
      </w:r>
      <w:r>
        <w:rPr>
          <w:rFonts w:ascii="Verdana" w:hAnsi="Verdana" w:cstheme="majorBidi"/>
          <w:i w:val="0"/>
          <w:sz w:val="18"/>
          <w:szCs w:val="18"/>
          <w:lang w:eastAsia="en-GB"/>
        </w:rPr>
        <w:t xml:space="preserve"> (</w:t>
      </w:r>
      <w:r>
        <w:rPr>
          <w:rFonts w:ascii="Verdana" w:hAnsi="Verdana" w:cstheme="majorBidi"/>
          <w:i w:val="0"/>
          <w:sz w:val="18"/>
          <w:szCs w:val="18"/>
          <w:u w:val="single"/>
          <w:lang w:eastAsia="en-GB"/>
        </w:rPr>
        <w:t>SO2</w:t>
      </w:r>
      <w:r>
        <w:rPr>
          <w:rFonts w:ascii="Verdana" w:hAnsi="Verdana" w:cstheme="majorBidi"/>
          <w:i w:val="0"/>
          <w:sz w:val="18"/>
          <w:szCs w:val="18"/>
          <w:lang w:eastAsia="en-GB"/>
        </w:rPr>
        <w:t xml:space="preserve">: Les contraintes de genre et d’adaptation au changement climatique sont prises en compte de façon effective au niveau des exploitations agricoles / </w:t>
      </w:r>
      <w:r>
        <w:rPr>
          <w:rFonts w:ascii="Verdana" w:hAnsi="Verdana" w:cstheme="majorBidi"/>
          <w:i w:val="0"/>
          <w:sz w:val="18"/>
          <w:szCs w:val="18"/>
          <w:u w:val="single"/>
          <w:lang w:eastAsia="en-GB"/>
        </w:rPr>
        <w:t>SO3</w:t>
      </w:r>
      <w:r>
        <w:rPr>
          <w:rFonts w:ascii="Verdana" w:hAnsi="Verdana" w:cstheme="majorBidi"/>
          <w:i w:val="0"/>
          <w:sz w:val="18"/>
          <w:szCs w:val="18"/>
          <w:lang w:eastAsia="en-GB"/>
        </w:rPr>
        <w:t>: Les groupements féminins existants sont soutenus et accompagnés dans leur professionnalisation afin que ces structures soient des outils durables de génération de revenus et de socialisation)</w:t>
      </w:r>
    </w:p>
    <w:p w14:paraId="7DACC57A" w14:textId="77777777" w:rsidR="005A6764" w:rsidRDefault="001A5BAC">
      <w:pPr>
        <w:shd w:val="clear" w:color="auto" w:fill="E5DFEC" w:themeFill="accent4" w:themeFillTint="33"/>
        <w:tabs>
          <w:tab w:val="left" w:pos="5245"/>
        </w:tabs>
        <w:spacing w:after="0"/>
        <w:rPr>
          <w:rFonts w:ascii="Verdana" w:hAnsi="Verdana" w:cstheme="majorBidi"/>
          <w:i w:val="0"/>
          <w:sz w:val="18"/>
          <w:szCs w:val="18"/>
        </w:rPr>
      </w:pPr>
      <w:r>
        <w:rPr>
          <w:rFonts w:ascii="Verdana" w:hAnsi="Verdana" w:cstheme="majorBidi"/>
          <w:b/>
          <w:bCs/>
          <w:i w:val="0"/>
          <w:sz w:val="18"/>
          <w:szCs w:val="18"/>
          <w:lang w:eastAsia="en-GB"/>
        </w:rPr>
        <w:t xml:space="preserve">Axe 3: Capitalisation, politiques publiques et renforcement institutionnel </w:t>
      </w:r>
      <w:r>
        <w:rPr>
          <w:rFonts w:ascii="Verdana" w:hAnsi="Verdana" w:cstheme="majorBidi"/>
          <w:i w:val="0"/>
          <w:sz w:val="18"/>
          <w:szCs w:val="18"/>
          <w:lang w:eastAsia="en-GB"/>
        </w:rPr>
        <w:t>(</w:t>
      </w:r>
      <w:r>
        <w:rPr>
          <w:rFonts w:ascii="Verdana" w:hAnsi="Verdana" w:cstheme="majorBidi"/>
          <w:i w:val="0"/>
          <w:sz w:val="18"/>
          <w:szCs w:val="18"/>
          <w:u w:val="single"/>
          <w:lang w:eastAsia="en-GB"/>
        </w:rPr>
        <w:t>SO4</w:t>
      </w:r>
      <w:r>
        <w:rPr>
          <w:rFonts w:ascii="Verdana" w:hAnsi="Verdana" w:cstheme="majorBidi"/>
          <w:i w:val="0"/>
          <w:sz w:val="18"/>
          <w:szCs w:val="18"/>
          <w:lang w:eastAsia="en-GB"/>
        </w:rPr>
        <w:t>: L’environnement institutionnel est renforcé dans sa prise en compte du genre dans les politiques de développement Agricole).</w:t>
      </w:r>
    </w:p>
    <w:p w14:paraId="6820C30B" w14:textId="77777777" w:rsidR="005A6764" w:rsidRDefault="005A6764">
      <w:pPr>
        <w:tabs>
          <w:tab w:val="left" w:pos="5245"/>
        </w:tabs>
        <w:spacing w:after="0"/>
        <w:rPr>
          <w:rFonts w:ascii="Verdana" w:hAnsi="Verdana" w:cstheme="majorBidi"/>
          <w:sz w:val="18"/>
          <w:szCs w:val="18"/>
        </w:rPr>
      </w:pPr>
    </w:p>
    <w:p w14:paraId="4BE76239" w14:textId="77777777" w:rsidR="005A6764" w:rsidRDefault="001A5BAC">
      <w:pPr>
        <w:tabs>
          <w:tab w:val="left" w:pos="5245"/>
        </w:tabs>
        <w:spacing w:after="0"/>
        <w:rPr>
          <w:rFonts w:ascii="Verdana" w:hAnsi="Verdana" w:cstheme="majorBidi"/>
          <w:sz w:val="18"/>
          <w:szCs w:val="18"/>
        </w:rPr>
      </w:pPr>
      <w:r>
        <w:rPr>
          <w:rFonts w:ascii="Verdana" w:hAnsi="Verdana" w:cstheme="majorBidi"/>
          <w:sz w:val="18"/>
          <w:szCs w:val="18"/>
        </w:rPr>
        <w:t>* La Théorie de changement ainsi que le Cadre logique du projet seront annexeés.</w:t>
      </w:r>
    </w:p>
    <w:p w14:paraId="06B00DC3" w14:textId="77777777" w:rsidR="005A6764" w:rsidRDefault="005A6764">
      <w:pPr>
        <w:tabs>
          <w:tab w:val="left" w:pos="5245"/>
        </w:tabs>
        <w:spacing w:after="0"/>
        <w:rPr>
          <w:rFonts w:ascii="Verdana" w:hAnsi="Verdana" w:cstheme="majorBidi"/>
          <w:sz w:val="18"/>
          <w:szCs w:val="18"/>
        </w:rPr>
      </w:pPr>
    </w:p>
    <w:p w14:paraId="2B0C9848" w14:textId="77777777" w:rsidR="005A6764" w:rsidRDefault="001A5BAC">
      <w:pPr>
        <w:pStyle w:val="Titre1"/>
        <w:spacing w:after="0" w:line="240" w:lineRule="auto"/>
        <w:rPr>
          <w:rFonts w:ascii="Verdana" w:hAnsi="Verdana"/>
          <w:sz w:val="18"/>
          <w:szCs w:val="18"/>
        </w:rPr>
      </w:pPr>
      <w:bookmarkStart w:id="4" w:name="_Toc70668750"/>
      <w:r>
        <w:rPr>
          <w:rFonts w:ascii="Verdana" w:hAnsi="Verdana"/>
          <w:sz w:val="18"/>
          <w:szCs w:val="18"/>
        </w:rPr>
        <w:t>OBJECTIFS ET RESULTATS POURSUIVIS</w:t>
      </w:r>
      <w:bookmarkEnd w:id="4"/>
    </w:p>
    <w:p w14:paraId="1D3ABC9A" w14:textId="77777777" w:rsidR="005A6764" w:rsidRDefault="001A5BAC">
      <w:pPr>
        <w:pStyle w:val="Titre2"/>
        <w:spacing w:after="0" w:line="240" w:lineRule="auto"/>
        <w:rPr>
          <w:rFonts w:ascii="Verdana" w:hAnsi="Verdana"/>
          <w:sz w:val="18"/>
          <w:szCs w:val="18"/>
        </w:rPr>
      </w:pPr>
      <w:bookmarkStart w:id="5" w:name="_Toc70668751"/>
      <w:r>
        <w:rPr>
          <w:rFonts w:ascii="Verdana" w:hAnsi="Verdana"/>
          <w:sz w:val="18"/>
          <w:szCs w:val="18"/>
        </w:rPr>
        <w:t>Objectifs de la mission</w:t>
      </w:r>
      <w:bookmarkEnd w:id="5"/>
    </w:p>
    <w:p w14:paraId="71622D7E" w14:textId="77777777" w:rsidR="005A6764" w:rsidRDefault="005A6764">
      <w:pPr>
        <w:pStyle w:val="Titre3"/>
        <w:numPr>
          <w:ilvl w:val="0"/>
          <w:numId w:val="0"/>
        </w:numPr>
        <w:spacing w:before="0" w:after="0"/>
        <w:ind w:left="720"/>
        <w:rPr>
          <w:rFonts w:ascii="Verdana" w:hAnsi="Verdana"/>
          <w:sz w:val="18"/>
          <w:szCs w:val="18"/>
        </w:rPr>
      </w:pPr>
    </w:p>
    <w:p w14:paraId="5E783AE6" w14:textId="77777777" w:rsidR="005A6764" w:rsidRDefault="001A5BAC">
      <w:pPr>
        <w:pStyle w:val="Titre3"/>
        <w:spacing w:before="0" w:after="0"/>
        <w:rPr>
          <w:rFonts w:ascii="Verdana" w:hAnsi="Verdana"/>
          <w:sz w:val="18"/>
          <w:szCs w:val="18"/>
        </w:rPr>
      </w:pPr>
      <w:r>
        <w:rPr>
          <w:rFonts w:ascii="Verdana" w:hAnsi="Verdana"/>
          <w:sz w:val="18"/>
          <w:szCs w:val="18"/>
        </w:rPr>
        <w:t>Raison d’être de l’évaluation &amp; capitalisation</w:t>
      </w:r>
    </w:p>
    <w:p w14:paraId="45787AC5"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Au regard de l’envergure, de la complexité et de la durée (quatre ans) du projet EFOR, de sa dimension multi-acteurs et de son approche holistique et transversale, l’équipe projet souhaite mener une évaluation et capitalisation externe à mi-parcours, conformément aux préconisations du plan de Suivi, Évaluation, Redevabilité et Apprentissage - SERA adopté dès le démarrage du projet, et en ligne avec la politique d’Expertise France - EF en matière de gestion axée sur les résultats.</w:t>
      </w:r>
    </w:p>
    <w:p w14:paraId="3A0AC304"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Cette évaluation et capitalisation intermédiaire constitue une étape stratégique majeure du cycle de vie du projet. Elle s’inscrit dans un moment charnière où le projet entame une phase de réflexion stratégique sur ses acquis, ses défis, ses leviers de changement et ses modalités de mise en œuvre. Elle est motivée par la nécessité de disposer de connaissances nouvelles, indépendantes et complémentaires, à la fois en réponse aux exigences contractuelles vis-à-vis du bailleur : Agence Française de Développement - AFD, aux attentes des partenaires institutionnels tunisiens (MARHPM et MFFEPA), et pour alimenter les prises de décisions futures relatives à l’orientation opérationnelle du projet.</w:t>
      </w:r>
    </w:p>
    <w:p w14:paraId="49E83610"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Cette évaluation et capitalisation vise également à renforcer la redevabilité du projet vis-à-vis de ses parties prenantes et bénéficiaires, en documentant la performance, les résultats intermédiaires et les dynamiques de changement déjà observables, tout en identifiant les facteurs limitants ou accélérateurs de l’impact attendu.</w:t>
      </w:r>
    </w:p>
    <w:p w14:paraId="6C6ED3D5"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Cette évaluation &amp; capitalisation vient compléter et enrichir les connaissances déjà produites par le projet à travers différentes études stratégiques menées depuis le lancement :</w:t>
      </w:r>
    </w:p>
    <w:p w14:paraId="72C19247" w14:textId="77777777" w:rsidR="005A6764" w:rsidRDefault="005A6764">
      <w:pPr>
        <w:tabs>
          <w:tab w:val="clear" w:pos="9923"/>
        </w:tabs>
        <w:spacing w:after="0"/>
        <w:ind w:left="709"/>
        <w:rPr>
          <w:rFonts w:ascii="Verdana" w:eastAsia="Times New Roman" w:hAnsi="Verdana" w:cs="Times New Roman"/>
          <w:i w:val="0"/>
          <w:iCs w:val="0"/>
          <w:color w:val="auto"/>
          <w:sz w:val="18"/>
          <w:szCs w:val="18"/>
          <w:lang w:eastAsia="fr-FR"/>
        </w:rPr>
      </w:pPr>
    </w:p>
    <w:p w14:paraId="0715B066" w14:textId="77777777" w:rsidR="005A6764" w:rsidRDefault="001A5BAC">
      <w:pPr>
        <w:numPr>
          <w:ilvl w:val="0"/>
          <w:numId w:val="11"/>
        </w:numPr>
        <w:tabs>
          <w:tab w:val="clear" w:pos="720"/>
          <w:tab w:val="clear" w:pos="9923"/>
          <w:tab w:val="left" w:pos="1429"/>
        </w:tabs>
        <w:spacing w:after="0"/>
        <w:ind w:left="142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le diagnostic participatif technique et des Organisations Professionnelles Agricoles - OPA ;</w:t>
      </w:r>
    </w:p>
    <w:p w14:paraId="661CDD3E" w14:textId="77777777" w:rsidR="005A6764" w:rsidRDefault="001A5BAC">
      <w:pPr>
        <w:numPr>
          <w:ilvl w:val="0"/>
          <w:numId w:val="11"/>
        </w:numPr>
        <w:tabs>
          <w:tab w:val="clear" w:pos="720"/>
          <w:tab w:val="clear" w:pos="9923"/>
          <w:tab w:val="left" w:pos="1429"/>
        </w:tabs>
        <w:spacing w:after="0"/>
        <w:ind w:left="142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le diagnostic participatif genre, analysant les dynamiques d’égalité entre les femmes et les hommes dans les zones d’intervention ;</w:t>
      </w:r>
    </w:p>
    <w:p w14:paraId="7C608975" w14:textId="77777777" w:rsidR="005A6764" w:rsidRDefault="001A5BAC">
      <w:pPr>
        <w:numPr>
          <w:ilvl w:val="0"/>
          <w:numId w:val="11"/>
        </w:numPr>
        <w:tabs>
          <w:tab w:val="clear" w:pos="720"/>
          <w:tab w:val="clear" w:pos="9923"/>
          <w:tab w:val="left" w:pos="1429"/>
        </w:tabs>
        <w:spacing w:after="0"/>
        <w:ind w:left="142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l’étude Pro-WEAI - Women’s Empowerment in Agriculture Index, menée auprès des bénéficiaires des OPA sélectionnées ;</w:t>
      </w:r>
    </w:p>
    <w:p w14:paraId="1E8649F6" w14:textId="77777777" w:rsidR="005A6764" w:rsidRDefault="001A5BAC">
      <w:pPr>
        <w:numPr>
          <w:ilvl w:val="0"/>
          <w:numId w:val="11"/>
        </w:numPr>
        <w:tabs>
          <w:tab w:val="clear" w:pos="720"/>
          <w:tab w:val="clear" w:pos="9923"/>
          <w:tab w:val="left" w:pos="1429"/>
        </w:tabs>
        <w:spacing w:after="0"/>
        <w:ind w:left="142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et la baseline du projet, ayant permis de poser un référentiel mesurable sur les principaux indicateurs.</w:t>
      </w:r>
    </w:p>
    <w:p w14:paraId="20D030F8" w14:textId="77777777" w:rsidR="005A6764" w:rsidRDefault="005A6764">
      <w:pPr>
        <w:tabs>
          <w:tab w:val="clear" w:pos="9923"/>
        </w:tabs>
        <w:spacing w:after="0"/>
        <w:ind w:left="1429"/>
        <w:rPr>
          <w:rFonts w:ascii="Verdana" w:eastAsia="Times New Roman" w:hAnsi="Verdana" w:cs="Times New Roman"/>
          <w:i w:val="0"/>
          <w:iCs w:val="0"/>
          <w:color w:val="auto"/>
          <w:sz w:val="18"/>
          <w:szCs w:val="18"/>
          <w:lang w:eastAsia="fr-FR"/>
        </w:rPr>
      </w:pPr>
    </w:p>
    <w:p w14:paraId="6DF36252" w14:textId="77777777" w:rsidR="005A6764" w:rsidRDefault="001A5BAC">
      <w:pPr>
        <w:pStyle w:val="Titre3"/>
        <w:spacing w:before="0" w:after="0"/>
        <w:rPr>
          <w:rFonts w:ascii="Verdana" w:hAnsi="Verdana"/>
          <w:sz w:val="18"/>
          <w:szCs w:val="18"/>
        </w:rPr>
      </w:pPr>
      <w:r>
        <w:rPr>
          <w:rFonts w:ascii="Verdana" w:hAnsi="Verdana"/>
          <w:sz w:val="18"/>
          <w:szCs w:val="18"/>
        </w:rPr>
        <w:t>Utilisation de l’évaluation</w:t>
      </w:r>
    </w:p>
    <w:p w14:paraId="2D0FE7E4"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L’évaluation mi-parcours du projet EFOR sera conçue, planifiée et conduite selon une approche centrée sur l’utilisation (</w:t>
      </w:r>
      <w:r>
        <w:rPr>
          <w:rFonts w:ascii="Verdana" w:eastAsia="Times New Roman" w:hAnsi="Verdana" w:cs="Times New Roman"/>
          <w:color w:val="auto"/>
          <w:sz w:val="18"/>
          <w:szCs w:val="18"/>
          <w:lang w:eastAsia="fr-FR"/>
        </w:rPr>
        <w:t>utilization-focused evaluation</w:t>
      </w:r>
      <w:r>
        <w:rPr>
          <w:rFonts w:ascii="Verdana" w:eastAsia="Times New Roman" w:hAnsi="Verdana" w:cs="Times New Roman"/>
          <w:i w:val="0"/>
          <w:iCs w:val="0"/>
          <w:color w:val="auto"/>
          <w:sz w:val="18"/>
          <w:szCs w:val="18"/>
          <w:lang w:eastAsia="fr-FR"/>
        </w:rPr>
        <w:t>), conformément aux bonnes pratiques reconnues dans le domaine de l’évaluation des programmes de développement. Cette démarche repose sur le principe que la valeur d’une évaluation dépend de l’utilisation effective de ses résultats par les acteurs concernés. L’évaluation devra ainsi être orientée vers la prise de décision, l’amélioration continue et l’apprentissage stratégique. Elle devra répondre aux besoins d’information concrets des utilisateurs identifiés, tout en garantissant un haut niveau de participation et d’appropriation par les parties prenantes tout au long du processus, notamment via des ateliers de co-construction et de restitution intermédiaire. Les recommandations formulées devront être claires, hiérarchisées, actionnables et réalistes au regard des contraintes institutionnelles et opérationnelles. Les résultats devront être présentés de manière structurée, synthétique et visuellement accessible, afin de favoriser leur diffusion et leur appropriation, notamment en vue des futures décisions d’ajustement ou de réorientation stratégique du projet.</w:t>
      </w:r>
    </w:p>
    <w:p w14:paraId="563FD24B" w14:textId="77777777" w:rsidR="005A6764" w:rsidRDefault="005A6764">
      <w:pPr>
        <w:tabs>
          <w:tab w:val="clear" w:pos="9923"/>
        </w:tabs>
        <w:spacing w:after="0"/>
        <w:ind w:left="709"/>
        <w:rPr>
          <w:rFonts w:ascii="Verdana" w:eastAsia="Times New Roman" w:hAnsi="Verdana" w:cs="Times New Roman"/>
          <w:i w:val="0"/>
          <w:iCs w:val="0"/>
          <w:color w:val="auto"/>
          <w:sz w:val="18"/>
          <w:szCs w:val="18"/>
          <w:lang w:eastAsia="fr-FR"/>
        </w:rPr>
      </w:pPr>
    </w:p>
    <w:p w14:paraId="6973777D" w14:textId="77777777" w:rsidR="005A6764" w:rsidRDefault="001A5BAC">
      <w:pPr>
        <w:pStyle w:val="Titre3"/>
        <w:spacing w:before="0" w:after="0"/>
        <w:rPr>
          <w:rFonts w:ascii="Verdana" w:hAnsi="Verdana"/>
          <w:sz w:val="18"/>
          <w:szCs w:val="18"/>
        </w:rPr>
      </w:pPr>
      <w:r>
        <w:rPr>
          <w:rFonts w:ascii="Verdana" w:hAnsi="Verdana"/>
          <w:sz w:val="18"/>
          <w:szCs w:val="18"/>
        </w:rPr>
        <w:t>Utilisateur-trices cibles de l’évaluation</w:t>
      </w:r>
    </w:p>
    <w:p w14:paraId="0DBBD400" w14:textId="77777777" w:rsidR="005A6764" w:rsidRDefault="005A6764">
      <w:pPr>
        <w:rPr>
          <w:rFonts w:hint="eastAsia"/>
        </w:rPr>
      </w:pPr>
    </w:p>
    <w:tbl>
      <w:tblPr>
        <w:tblStyle w:val="TableauGrille1Clair-Accentuation11"/>
        <w:tblW w:w="8973" w:type="dxa"/>
        <w:tblInd w:w="846" w:type="dxa"/>
        <w:tblLook w:val="04A0" w:firstRow="1" w:lastRow="0" w:firstColumn="1" w:lastColumn="0" w:noHBand="0" w:noVBand="1"/>
      </w:tblPr>
      <w:tblGrid>
        <w:gridCol w:w="1610"/>
        <w:gridCol w:w="7363"/>
      </w:tblGrid>
      <w:tr w:rsidR="005A6764" w14:paraId="1F31F711" w14:textId="77777777" w:rsidTr="005A6764">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610" w:type="dxa"/>
            <w:vMerge w:val="restart"/>
          </w:tcPr>
          <w:p w14:paraId="79C0B274" w14:textId="77777777" w:rsidR="005A6764" w:rsidRDefault="001A5BAC">
            <w:pPr>
              <w:spacing w:after="0"/>
              <w:ind w:left="0"/>
              <w:rPr>
                <w:rFonts w:ascii="Verdana" w:hAnsi="Verdana" w:cstheme="majorBidi"/>
                <w:i w:val="0"/>
                <w:iCs w:val="0"/>
                <w:sz w:val="18"/>
                <w:szCs w:val="18"/>
              </w:rPr>
            </w:pPr>
            <w:r>
              <w:rPr>
                <w:rFonts w:ascii="Verdana" w:hAnsi="Verdana" w:cstheme="majorBidi"/>
                <w:i w:val="0"/>
                <w:iCs w:val="0"/>
                <w:color w:val="auto"/>
                <w:sz w:val="18"/>
                <w:szCs w:val="18"/>
              </w:rPr>
              <w:lastRenderedPageBreak/>
              <w:t>Utilisateurs primaires</w:t>
            </w:r>
          </w:p>
        </w:tc>
        <w:tc>
          <w:tcPr>
            <w:tcW w:w="7363" w:type="dxa"/>
          </w:tcPr>
          <w:p w14:paraId="708AFDA8" w14:textId="77777777" w:rsidR="005A6764" w:rsidRDefault="001A5BAC">
            <w:pPr>
              <w:pStyle w:val="NormalWeb"/>
              <w:tabs>
                <w:tab w:val="clear" w:pos="9923"/>
              </w:tabs>
              <w:spacing w:before="0" w:beforeAutospacing="0" w:after="0" w:afterAutospacing="0"/>
              <w:ind w:left="0"/>
              <w:cnfStyle w:val="100000000000" w:firstRow="1" w:lastRow="0" w:firstColumn="0" w:lastColumn="0" w:oddVBand="0" w:evenVBand="0" w:oddHBand="0" w:evenHBand="0" w:firstRowFirstColumn="0" w:firstRowLastColumn="0" w:lastRowFirstColumn="0" w:lastRowLastColumn="0"/>
              <w:rPr>
                <w:rFonts w:ascii="Verdana" w:hAnsi="Verdana" w:cstheme="majorBidi"/>
                <w:b w:val="0"/>
                <w:bCs w:val="0"/>
                <w:i w:val="0"/>
                <w:iCs w:val="0"/>
                <w:sz w:val="18"/>
                <w:szCs w:val="18"/>
              </w:rPr>
            </w:pPr>
            <w:r>
              <w:rPr>
                <w:rFonts w:ascii="Verdana" w:hAnsi="Verdana" w:cstheme="majorBidi"/>
                <w:b w:val="0"/>
                <w:bCs w:val="0"/>
                <w:i w:val="0"/>
                <w:iCs w:val="0"/>
                <w:color w:val="auto"/>
                <w:sz w:val="18"/>
                <w:szCs w:val="18"/>
              </w:rPr>
              <w:t xml:space="preserve">Partenaires institutionnels nationaux, en particulier le MARHPM, et le MFFEPA, impliqués dans la mise en œuvre du projet </w:t>
            </w:r>
          </w:p>
        </w:tc>
      </w:tr>
      <w:tr w:rsidR="005A6764" w14:paraId="493EA050" w14:textId="77777777" w:rsidTr="005A6764">
        <w:trPr>
          <w:trHeight w:val="436"/>
        </w:trPr>
        <w:tc>
          <w:tcPr>
            <w:cnfStyle w:val="001000000000" w:firstRow="0" w:lastRow="0" w:firstColumn="1" w:lastColumn="0" w:oddVBand="0" w:evenVBand="0" w:oddHBand="0" w:evenHBand="0" w:firstRowFirstColumn="0" w:firstRowLastColumn="0" w:lastRowFirstColumn="0" w:lastRowLastColumn="0"/>
            <w:tcW w:w="1610" w:type="dxa"/>
            <w:vMerge/>
          </w:tcPr>
          <w:p w14:paraId="5AE00358" w14:textId="77777777" w:rsidR="005A6764" w:rsidRDefault="005A6764">
            <w:pPr>
              <w:spacing w:after="0"/>
              <w:ind w:left="0"/>
              <w:rPr>
                <w:rFonts w:ascii="Verdana" w:hAnsi="Verdana" w:cstheme="majorBidi"/>
                <w:i w:val="0"/>
                <w:iCs w:val="0"/>
                <w:sz w:val="18"/>
                <w:szCs w:val="18"/>
              </w:rPr>
            </w:pPr>
          </w:p>
        </w:tc>
        <w:tc>
          <w:tcPr>
            <w:tcW w:w="7363" w:type="dxa"/>
          </w:tcPr>
          <w:p w14:paraId="5EED1B56" w14:textId="77777777" w:rsidR="005A6764" w:rsidRDefault="001A5BAC">
            <w:pPr>
              <w:pStyle w:val="NormalWeb"/>
              <w:tabs>
                <w:tab w:val="clear" w:pos="9923"/>
              </w:tabs>
              <w:spacing w:before="0" w:beforeAutospacing="0" w:after="0" w:afterAutospacing="0"/>
              <w:ind w:left="0"/>
              <w:cnfStyle w:val="000000000000" w:firstRow="0" w:lastRow="0" w:firstColumn="0" w:lastColumn="0" w:oddVBand="0" w:evenVBand="0" w:oddHBand="0" w:evenHBand="0" w:firstRowFirstColumn="0" w:firstRowLastColumn="0" w:lastRowFirstColumn="0" w:lastRowLastColumn="0"/>
              <w:rPr>
                <w:rFonts w:ascii="Verdana" w:hAnsi="Verdana" w:cstheme="majorBidi"/>
                <w:i w:val="0"/>
                <w:iCs w:val="0"/>
                <w:sz w:val="18"/>
                <w:szCs w:val="18"/>
              </w:rPr>
            </w:pPr>
            <w:r>
              <w:rPr>
                <w:rFonts w:ascii="Verdana" w:hAnsi="Verdana" w:cstheme="majorBidi"/>
                <w:i w:val="0"/>
                <w:iCs w:val="0"/>
                <w:color w:val="auto"/>
                <w:sz w:val="18"/>
                <w:szCs w:val="18"/>
              </w:rPr>
              <w:t>Agence Expertise France, tant au niveau de l’équipe du projet, que sa Direction Pays</w:t>
            </w:r>
          </w:p>
        </w:tc>
      </w:tr>
      <w:tr w:rsidR="005A6764" w14:paraId="0DA1F6C3" w14:textId="77777777" w:rsidTr="005A6764">
        <w:trPr>
          <w:trHeight w:val="404"/>
        </w:trPr>
        <w:tc>
          <w:tcPr>
            <w:cnfStyle w:val="001000000000" w:firstRow="0" w:lastRow="0" w:firstColumn="1" w:lastColumn="0" w:oddVBand="0" w:evenVBand="0" w:oddHBand="0" w:evenHBand="0" w:firstRowFirstColumn="0" w:firstRowLastColumn="0" w:lastRowFirstColumn="0" w:lastRowLastColumn="0"/>
            <w:tcW w:w="1610" w:type="dxa"/>
            <w:vMerge/>
          </w:tcPr>
          <w:p w14:paraId="0298F063" w14:textId="77777777" w:rsidR="005A6764" w:rsidRDefault="005A6764">
            <w:pPr>
              <w:spacing w:after="0"/>
              <w:ind w:left="0"/>
              <w:rPr>
                <w:rFonts w:ascii="Verdana" w:hAnsi="Verdana" w:cstheme="majorBidi"/>
                <w:i w:val="0"/>
                <w:iCs w:val="0"/>
                <w:sz w:val="18"/>
                <w:szCs w:val="18"/>
              </w:rPr>
            </w:pPr>
          </w:p>
        </w:tc>
        <w:tc>
          <w:tcPr>
            <w:tcW w:w="7363" w:type="dxa"/>
          </w:tcPr>
          <w:p w14:paraId="404AB8D7" w14:textId="77777777" w:rsidR="005A6764" w:rsidRDefault="001A5BAC">
            <w:pPr>
              <w:pStyle w:val="NormalWeb"/>
              <w:tabs>
                <w:tab w:val="clear" w:pos="9923"/>
              </w:tabs>
              <w:spacing w:before="0" w:beforeAutospacing="0" w:after="0" w:afterAutospacing="0"/>
              <w:ind w:left="0"/>
              <w:cnfStyle w:val="000000000000" w:firstRow="0" w:lastRow="0" w:firstColumn="0" w:lastColumn="0" w:oddVBand="0" w:evenVBand="0" w:oddHBand="0" w:evenHBand="0" w:firstRowFirstColumn="0" w:firstRowLastColumn="0" w:lastRowFirstColumn="0" w:lastRowLastColumn="0"/>
              <w:rPr>
                <w:rFonts w:ascii="Verdana" w:hAnsi="Verdana" w:cstheme="majorBidi"/>
                <w:i w:val="0"/>
                <w:iCs w:val="0"/>
                <w:sz w:val="18"/>
                <w:szCs w:val="18"/>
              </w:rPr>
            </w:pPr>
            <w:r>
              <w:rPr>
                <w:rFonts w:ascii="Verdana" w:hAnsi="Verdana" w:cstheme="majorBidi"/>
                <w:i w:val="0"/>
                <w:iCs w:val="0"/>
                <w:color w:val="auto"/>
                <w:sz w:val="18"/>
                <w:szCs w:val="18"/>
              </w:rPr>
              <w:t>Partenaire financier, l’AFD, dans une perspective de redevabilité, d’éclairage stratégique et de justification des financements engagés.</w:t>
            </w:r>
          </w:p>
        </w:tc>
      </w:tr>
      <w:tr w:rsidR="005A6764" w14:paraId="35FC6C6F" w14:textId="77777777" w:rsidTr="005A6764">
        <w:trPr>
          <w:trHeight w:val="202"/>
        </w:trPr>
        <w:tc>
          <w:tcPr>
            <w:cnfStyle w:val="001000000000" w:firstRow="0" w:lastRow="0" w:firstColumn="1" w:lastColumn="0" w:oddVBand="0" w:evenVBand="0" w:oddHBand="0" w:evenHBand="0" w:firstRowFirstColumn="0" w:firstRowLastColumn="0" w:lastRowFirstColumn="0" w:lastRowLastColumn="0"/>
            <w:tcW w:w="1610" w:type="dxa"/>
            <w:vMerge w:val="restart"/>
          </w:tcPr>
          <w:p w14:paraId="19845B7A" w14:textId="77777777" w:rsidR="005A6764" w:rsidRDefault="001A5BAC">
            <w:pPr>
              <w:spacing w:after="0"/>
              <w:ind w:left="0"/>
              <w:rPr>
                <w:rFonts w:ascii="Verdana" w:hAnsi="Verdana" w:cstheme="majorBidi"/>
                <w:i w:val="0"/>
                <w:iCs w:val="0"/>
                <w:sz w:val="18"/>
                <w:szCs w:val="18"/>
              </w:rPr>
            </w:pPr>
            <w:r>
              <w:rPr>
                <w:rFonts w:ascii="Verdana" w:hAnsi="Verdana" w:cstheme="majorBidi"/>
                <w:i w:val="0"/>
                <w:iCs w:val="0"/>
                <w:color w:val="auto"/>
                <w:sz w:val="18"/>
                <w:szCs w:val="18"/>
              </w:rPr>
              <w:t>Utilisateurs secondaires</w:t>
            </w:r>
          </w:p>
        </w:tc>
        <w:tc>
          <w:tcPr>
            <w:tcW w:w="7363" w:type="dxa"/>
          </w:tcPr>
          <w:p w14:paraId="05B6197C" w14:textId="77777777" w:rsidR="005A6764" w:rsidRDefault="001A5BAC">
            <w:pPr>
              <w:pStyle w:val="NormalWeb"/>
              <w:tabs>
                <w:tab w:val="clear" w:pos="9923"/>
              </w:tabs>
              <w:spacing w:before="0" w:beforeAutospacing="0" w:after="0" w:afterAutospacing="0"/>
              <w:ind w:left="0"/>
              <w:cnfStyle w:val="000000000000" w:firstRow="0" w:lastRow="0" w:firstColumn="0" w:lastColumn="0" w:oddVBand="0" w:evenVBand="0" w:oddHBand="0" w:evenHBand="0" w:firstRowFirstColumn="0" w:firstRowLastColumn="0" w:lastRowFirstColumn="0" w:lastRowLastColumn="0"/>
              <w:rPr>
                <w:rFonts w:ascii="Verdana" w:hAnsi="Verdana" w:cstheme="majorBidi"/>
                <w:i w:val="0"/>
                <w:iCs w:val="0"/>
                <w:sz w:val="18"/>
                <w:szCs w:val="18"/>
              </w:rPr>
            </w:pPr>
            <w:r>
              <w:rPr>
                <w:rFonts w:ascii="Verdana" w:hAnsi="Verdana" w:cstheme="majorBidi"/>
                <w:i w:val="0"/>
                <w:iCs w:val="0"/>
                <w:color w:val="auto"/>
                <w:sz w:val="18"/>
                <w:szCs w:val="18"/>
              </w:rPr>
              <w:t xml:space="preserve">Les OPA  féminines appuyées par le projet </w:t>
            </w:r>
          </w:p>
        </w:tc>
      </w:tr>
      <w:tr w:rsidR="005A6764" w14:paraId="7AF01791" w14:textId="77777777" w:rsidTr="005A6764">
        <w:trPr>
          <w:trHeight w:val="383"/>
        </w:trPr>
        <w:tc>
          <w:tcPr>
            <w:cnfStyle w:val="001000000000" w:firstRow="0" w:lastRow="0" w:firstColumn="1" w:lastColumn="0" w:oddVBand="0" w:evenVBand="0" w:oddHBand="0" w:evenHBand="0" w:firstRowFirstColumn="0" w:firstRowLastColumn="0" w:lastRowFirstColumn="0" w:lastRowLastColumn="0"/>
            <w:tcW w:w="1610" w:type="dxa"/>
            <w:vMerge/>
          </w:tcPr>
          <w:p w14:paraId="2FD8B59E" w14:textId="77777777" w:rsidR="005A6764" w:rsidRDefault="005A6764">
            <w:pPr>
              <w:spacing w:after="0"/>
              <w:ind w:left="0"/>
              <w:rPr>
                <w:rFonts w:ascii="Verdana" w:hAnsi="Verdana" w:cstheme="majorBidi"/>
                <w:i w:val="0"/>
                <w:iCs w:val="0"/>
                <w:sz w:val="18"/>
                <w:szCs w:val="18"/>
              </w:rPr>
            </w:pPr>
          </w:p>
        </w:tc>
        <w:tc>
          <w:tcPr>
            <w:tcW w:w="7363" w:type="dxa"/>
          </w:tcPr>
          <w:p w14:paraId="27BC3954" w14:textId="77777777" w:rsidR="005A6764" w:rsidRDefault="001A5BAC">
            <w:pPr>
              <w:pStyle w:val="NormalWeb"/>
              <w:tabs>
                <w:tab w:val="clear" w:pos="9923"/>
              </w:tabs>
              <w:spacing w:before="0" w:beforeAutospacing="0" w:after="0" w:afterAutospacing="0"/>
              <w:ind w:left="0"/>
              <w:cnfStyle w:val="000000000000" w:firstRow="0" w:lastRow="0" w:firstColumn="0" w:lastColumn="0" w:oddVBand="0" w:evenVBand="0" w:oddHBand="0" w:evenHBand="0" w:firstRowFirstColumn="0" w:firstRowLastColumn="0" w:lastRowFirstColumn="0" w:lastRowLastColumn="0"/>
              <w:rPr>
                <w:rFonts w:ascii="Verdana" w:hAnsi="Verdana" w:cstheme="majorBidi"/>
                <w:i w:val="0"/>
                <w:iCs w:val="0"/>
                <w:sz w:val="18"/>
                <w:szCs w:val="18"/>
              </w:rPr>
            </w:pPr>
            <w:r>
              <w:rPr>
                <w:rFonts w:ascii="Verdana" w:hAnsi="Verdana" w:cstheme="majorBidi"/>
                <w:i w:val="0"/>
                <w:iCs w:val="0"/>
                <w:color w:val="auto"/>
                <w:sz w:val="18"/>
                <w:szCs w:val="18"/>
              </w:rPr>
              <w:t>Les organisations de la société civile - OSC partenaires du projet ou actives sur les thématiques de l’égalité de genre, et du développement durable dans les zones d’intervention.</w:t>
            </w:r>
          </w:p>
        </w:tc>
      </w:tr>
      <w:tr w:rsidR="005A6764" w14:paraId="093A28D0" w14:textId="77777777" w:rsidTr="005A6764">
        <w:trPr>
          <w:trHeight w:val="607"/>
        </w:trPr>
        <w:tc>
          <w:tcPr>
            <w:cnfStyle w:val="001000000000" w:firstRow="0" w:lastRow="0" w:firstColumn="1" w:lastColumn="0" w:oddVBand="0" w:evenVBand="0" w:oddHBand="0" w:evenHBand="0" w:firstRowFirstColumn="0" w:firstRowLastColumn="0" w:lastRowFirstColumn="0" w:lastRowLastColumn="0"/>
            <w:tcW w:w="1610" w:type="dxa"/>
            <w:vMerge/>
          </w:tcPr>
          <w:p w14:paraId="67C4FD86" w14:textId="77777777" w:rsidR="005A6764" w:rsidRDefault="005A6764">
            <w:pPr>
              <w:spacing w:after="0"/>
              <w:ind w:left="0"/>
              <w:rPr>
                <w:rFonts w:ascii="Verdana" w:hAnsi="Verdana" w:cstheme="majorBidi"/>
                <w:i w:val="0"/>
                <w:iCs w:val="0"/>
                <w:sz w:val="18"/>
                <w:szCs w:val="18"/>
              </w:rPr>
            </w:pPr>
          </w:p>
        </w:tc>
        <w:tc>
          <w:tcPr>
            <w:tcW w:w="7363" w:type="dxa"/>
          </w:tcPr>
          <w:p w14:paraId="0B3EF498" w14:textId="77777777" w:rsidR="005A6764" w:rsidRDefault="001A5BAC">
            <w:pPr>
              <w:pStyle w:val="NormalWeb"/>
              <w:tabs>
                <w:tab w:val="clear" w:pos="9923"/>
              </w:tabs>
              <w:spacing w:before="0" w:beforeAutospacing="0" w:after="0" w:afterAutospacing="0"/>
              <w:ind w:left="0"/>
              <w:cnfStyle w:val="000000000000" w:firstRow="0" w:lastRow="0" w:firstColumn="0" w:lastColumn="0" w:oddVBand="0" w:evenVBand="0" w:oddHBand="0" w:evenHBand="0" w:firstRowFirstColumn="0" w:firstRowLastColumn="0" w:lastRowFirstColumn="0" w:lastRowLastColumn="0"/>
              <w:rPr>
                <w:rFonts w:ascii="Verdana" w:hAnsi="Verdana" w:cstheme="majorBidi"/>
                <w:i w:val="0"/>
                <w:iCs w:val="0"/>
                <w:sz w:val="18"/>
                <w:szCs w:val="18"/>
              </w:rPr>
            </w:pPr>
            <w:r>
              <w:rPr>
                <w:rFonts w:ascii="Verdana" w:hAnsi="Verdana" w:cstheme="majorBidi"/>
                <w:i w:val="0"/>
                <w:iCs w:val="0"/>
                <w:color w:val="auto"/>
                <w:sz w:val="18"/>
                <w:szCs w:val="18"/>
              </w:rPr>
              <w:t>Les autres acteurs du développement et de l'autonomisation économique des femmes, susceptibles de tirer parti des enseignements et bonnes pratiques identifiés ;</w:t>
            </w:r>
          </w:p>
        </w:tc>
      </w:tr>
    </w:tbl>
    <w:p w14:paraId="173C72E1" w14:textId="77777777" w:rsidR="005A6764" w:rsidRDefault="005A6764">
      <w:pPr>
        <w:pStyle w:val="NormalWeb"/>
        <w:spacing w:before="0" w:beforeAutospacing="0" w:after="0" w:afterAutospacing="0"/>
        <w:ind w:left="709"/>
        <w:rPr>
          <w:rFonts w:ascii="Verdana" w:hAnsi="Verdana"/>
          <w:i w:val="0"/>
          <w:iCs w:val="0"/>
          <w:color w:val="auto"/>
          <w:sz w:val="18"/>
          <w:szCs w:val="18"/>
        </w:rPr>
      </w:pPr>
    </w:p>
    <w:p w14:paraId="050FE7E0" w14:textId="77777777" w:rsidR="005A6764" w:rsidRDefault="001A5BAC">
      <w:pPr>
        <w:pStyle w:val="NormalWeb"/>
        <w:spacing w:before="0" w:beforeAutospacing="0" w:after="0" w:afterAutospacing="0"/>
        <w:ind w:left="709"/>
        <w:rPr>
          <w:rFonts w:ascii="Verdana" w:hAnsi="Verdana"/>
          <w:i w:val="0"/>
          <w:iCs w:val="0"/>
          <w:color w:val="auto"/>
          <w:sz w:val="18"/>
          <w:szCs w:val="18"/>
        </w:rPr>
      </w:pPr>
      <w:r>
        <w:rPr>
          <w:rFonts w:ascii="Verdana" w:hAnsi="Verdana"/>
          <w:i w:val="0"/>
          <w:iCs w:val="0"/>
          <w:color w:val="auto"/>
          <w:sz w:val="18"/>
          <w:szCs w:val="18"/>
        </w:rPr>
        <w:t>L’évaluation sera conçue de manière à maximiser la portée de ses résultats au-delà du noyau décisionnel, en contribuant également à la capitalisation sectorielle sur les approches intégrées de développement en milieu rural sensibles au genre.</w:t>
      </w:r>
    </w:p>
    <w:p w14:paraId="4E3F3073" w14:textId="77777777" w:rsidR="005A6764" w:rsidRDefault="005A6764">
      <w:pPr>
        <w:pStyle w:val="NormalWeb"/>
        <w:spacing w:before="0" w:beforeAutospacing="0" w:after="0" w:afterAutospacing="0"/>
        <w:ind w:left="709"/>
        <w:rPr>
          <w:rFonts w:ascii="Verdana" w:hAnsi="Verdana"/>
          <w:i w:val="0"/>
          <w:iCs w:val="0"/>
          <w:color w:val="auto"/>
          <w:sz w:val="18"/>
          <w:szCs w:val="18"/>
        </w:rPr>
      </w:pPr>
    </w:p>
    <w:p w14:paraId="69328ED5" w14:textId="77777777" w:rsidR="005A6764" w:rsidRDefault="001A5BAC">
      <w:pPr>
        <w:pStyle w:val="Titre3"/>
        <w:spacing w:before="0" w:after="0"/>
        <w:rPr>
          <w:rFonts w:ascii="Verdana" w:hAnsi="Verdana"/>
          <w:sz w:val="18"/>
          <w:szCs w:val="18"/>
        </w:rPr>
      </w:pPr>
      <w:r>
        <w:rPr>
          <w:rFonts w:ascii="Verdana" w:hAnsi="Verdana"/>
          <w:sz w:val="18"/>
          <w:szCs w:val="18"/>
        </w:rPr>
        <w:t xml:space="preserve">Objectifs et attentes générales de la mission </w:t>
      </w:r>
    </w:p>
    <w:p w14:paraId="539E602A" w14:textId="77777777" w:rsidR="005A6764" w:rsidRDefault="001A5BAC">
      <w:pPr>
        <w:tabs>
          <w:tab w:val="clear" w:pos="9923"/>
        </w:tabs>
        <w:spacing w:after="0"/>
        <w:ind w:left="709"/>
        <w:rPr>
          <w:rFonts w:ascii="Verdana" w:eastAsia="Times New Roman" w:hAnsi="Verdana" w:cstheme="majorBidi"/>
          <w:i w:val="0"/>
          <w:iCs w:val="0"/>
          <w:color w:val="auto"/>
          <w:sz w:val="18"/>
          <w:szCs w:val="18"/>
          <w:lang w:eastAsia="fr-FR"/>
        </w:rPr>
      </w:pPr>
      <w:r>
        <w:rPr>
          <w:rFonts w:ascii="Verdana" w:eastAsia="Times New Roman" w:hAnsi="Verdana" w:cstheme="majorBidi"/>
          <w:i w:val="0"/>
          <w:iCs w:val="0"/>
          <w:color w:val="auto"/>
          <w:sz w:val="18"/>
          <w:szCs w:val="18"/>
          <w:lang w:eastAsia="fr-FR"/>
        </w:rPr>
        <w:t>L’évaluation et capitalisation à mi-parcours du projet EFOR vise à fournir aux partenaires nationaux, à l’agence Expertise France (équipe projet et direction), ainsi qu’au partenaire financier, une analyse globale, indépendante et fondée sur des données probantes de la performance du projet depuis son lancement jusqu’à septembre 2025. Elle s’inscrit dans une logique d’amélioration continue, de redevabilité stratégique et d’apprentissage. Cette évaluation intermédiaire poursuivra trois objectifs spécifiques :</w:t>
      </w:r>
    </w:p>
    <w:p w14:paraId="7DDBFC7A" w14:textId="77777777" w:rsidR="005A6764" w:rsidRDefault="001A5BAC">
      <w:pPr>
        <w:tabs>
          <w:tab w:val="clear" w:pos="9923"/>
          <w:tab w:val="left" w:pos="2149"/>
        </w:tabs>
        <w:spacing w:after="0"/>
        <w:ind w:left="709"/>
        <w:rPr>
          <w:rFonts w:ascii="Verdana" w:eastAsia="Times New Roman" w:hAnsi="Verdana" w:cstheme="majorBidi"/>
          <w:i w:val="0"/>
          <w:iCs w:val="0"/>
          <w:color w:val="auto"/>
          <w:sz w:val="18"/>
          <w:szCs w:val="18"/>
          <w:lang w:eastAsia="fr-FR"/>
        </w:rPr>
      </w:pPr>
      <w:r>
        <w:rPr>
          <w:rFonts w:ascii="Verdana" w:eastAsia="Times New Roman" w:hAnsi="Verdana" w:cstheme="majorBidi"/>
          <w:b/>
          <w:bCs/>
          <w:i w:val="0"/>
          <w:iCs w:val="0"/>
          <w:color w:val="auto"/>
          <w:sz w:val="18"/>
          <w:szCs w:val="18"/>
          <w:lang w:eastAsia="fr-FR"/>
        </w:rPr>
        <w:t xml:space="preserve">Analyse de la performance du projet à mi-parcours : </w:t>
      </w:r>
      <w:r>
        <w:rPr>
          <w:rFonts w:ascii="Verdana" w:eastAsia="Times New Roman" w:hAnsi="Verdana" w:cstheme="majorBidi"/>
          <w:i w:val="0"/>
          <w:iCs w:val="0"/>
          <w:color w:val="auto"/>
          <w:sz w:val="18"/>
          <w:szCs w:val="18"/>
          <w:lang w:eastAsia="fr-FR"/>
        </w:rPr>
        <w:t>Elle portera une appréciation critique et structurée de la pertinence, de la cohérence, de l’efficacité et de la durabilité des interventions du projet. Elle devra notamment vérifier l’adéquation des objectifs et choix stratégiques par rapport aux besoins des bénéficiaires et à l’évolution du contexte, mesurer les résultats intermédiaires, identifier les facteurs favorisant ou entravant la mise en œuvre.</w:t>
      </w:r>
    </w:p>
    <w:p w14:paraId="7B71D0A0" w14:textId="77777777" w:rsidR="005A6764" w:rsidRDefault="001A5BAC">
      <w:pPr>
        <w:tabs>
          <w:tab w:val="clear" w:pos="9923"/>
          <w:tab w:val="left" w:pos="2149"/>
        </w:tabs>
        <w:spacing w:after="0"/>
        <w:ind w:left="709"/>
        <w:rPr>
          <w:rFonts w:ascii="Verdana" w:eastAsia="Times New Roman" w:hAnsi="Verdana" w:cstheme="majorBidi"/>
          <w:i w:val="0"/>
          <w:iCs w:val="0"/>
          <w:color w:val="auto"/>
          <w:sz w:val="18"/>
          <w:szCs w:val="18"/>
          <w:lang w:eastAsia="fr-FR"/>
        </w:rPr>
      </w:pPr>
      <w:r>
        <w:rPr>
          <w:rFonts w:ascii="Verdana" w:eastAsia="Times New Roman" w:hAnsi="Verdana" w:cstheme="majorBidi"/>
          <w:b/>
          <w:bCs/>
          <w:i w:val="0"/>
          <w:iCs w:val="0"/>
          <w:color w:val="auto"/>
          <w:sz w:val="18"/>
          <w:szCs w:val="18"/>
          <w:lang w:eastAsia="fr-FR"/>
        </w:rPr>
        <w:t xml:space="preserve">Appui à la stratégie de mise en œuvre : </w:t>
      </w:r>
      <w:r>
        <w:rPr>
          <w:rFonts w:ascii="Verdana" w:eastAsia="Times New Roman" w:hAnsi="Verdana" w:cstheme="majorBidi"/>
          <w:i w:val="0"/>
          <w:iCs w:val="0"/>
          <w:color w:val="auto"/>
          <w:sz w:val="18"/>
          <w:szCs w:val="18"/>
          <w:lang w:eastAsia="fr-FR"/>
        </w:rPr>
        <w:t>L’évaluation éclairera les prises de décision pour la seconde moitié  du projet. Elle devra confirmer ou questionner les hypothèses initiales et les priorités opérationnelles, proposer des ajustements stratégiques ou tactiques nécessaires, alimenter les discussions entre partenaires sur les arbitrages à venir.</w:t>
      </w:r>
    </w:p>
    <w:p w14:paraId="585D7126" w14:textId="77777777" w:rsidR="005A6764" w:rsidRDefault="001A5BAC">
      <w:pPr>
        <w:tabs>
          <w:tab w:val="clear" w:pos="9923"/>
        </w:tabs>
        <w:spacing w:after="0"/>
        <w:ind w:left="709"/>
        <w:rPr>
          <w:rFonts w:ascii="Verdana" w:eastAsia="Times New Roman" w:hAnsi="Verdana" w:cstheme="majorBidi"/>
          <w:i w:val="0"/>
          <w:iCs w:val="0"/>
          <w:color w:val="auto"/>
          <w:sz w:val="18"/>
          <w:szCs w:val="18"/>
          <w:lang w:eastAsia="fr-FR"/>
        </w:rPr>
      </w:pPr>
      <w:r>
        <w:rPr>
          <w:rFonts w:ascii="Verdana" w:eastAsia="Times New Roman" w:hAnsi="Verdana" w:cstheme="majorBidi"/>
          <w:b/>
          <w:bCs/>
          <w:i w:val="0"/>
          <w:iCs w:val="0"/>
          <w:color w:val="auto"/>
          <w:sz w:val="18"/>
          <w:szCs w:val="18"/>
          <w:lang w:eastAsia="fr-FR"/>
        </w:rPr>
        <w:t xml:space="preserve">Capitalisation et apprentissage partagé : </w:t>
      </w:r>
      <w:r>
        <w:rPr>
          <w:rFonts w:ascii="Verdana" w:eastAsia="Times New Roman" w:hAnsi="Verdana" w:cstheme="majorBidi"/>
          <w:i w:val="0"/>
          <w:iCs w:val="0"/>
          <w:color w:val="auto"/>
          <w:sz w:val="18"/>
          <w:szCs w:val="18"/>
          <w:lang w:eastAsia="fr-FR"/>
        </w:rPr>
        <w:t>Elle mettra en évidence les pratiques prometteuses, les dynamiques innovantes et les enseignements clés permettant de renforcer la qualité de l’intervention dans sa deuxième moitié, de nourrir les réflexions internes d’EF et des partenaires pour des projets similaires, de contribuer à une meilleure intégration des approches sensibles au genre, territoriales et institutionnelles dans les politiques publiques concernées.</w:t>
      </w:r>
    </w:p>
    <w:p w14:paraId="13CAB5B8" w14:textId="77777777" w:rsidR="005A6764" w:rsidRDefault="001A5BAC">
      <w:pPr>
        <w:tabs>
          <w:tab w:val="clear" w:pos="9923"/>
        </w:tabs>
        <w:spacing w:after="0"/>
        <w:ind w:left="709"/>
        <w:rPr>
          <w:rFonts w:ascii="Verdana" w:eastAsia="Times New Roman" w:hAnsi="Verdana" w:cstheme="majorBidi"/>
          <w:i w:val="0"/>
          <w:iCs w:val="0"/>
          <w:color w:val="auto"/>
          <w:sz w:val="18"/>
          <w:szCs w:val="18"/>
          <w:lang w:eastAsia="fr-FR"/>
        </w:rPr>
      </w:pPr>
      <w:r>
        <w:rPr>
          <w:rFonts w:ascii="Verdana" w:eastAsia="Times New Roman" w:hAnsi="Verdana" w:cstheme="majorBidi"/>
          <w:i w:val="0"/>
          <w:iCs w:val="0"/>
          <w:color w:val="auto"/>
          <w:sz w:val="18"/>
          <w:szCs w:val="18"/>
          <w:lang w:eastAsia="fr-FR"/>
        </w:rPr>
        <w:t xml:space="preserve">L’évaluation devra produire des analyses étayées par des preuves tangibles (quantitatives et qualitatives), expliciter les chaînes de causalité, et faire apparaître clairement les enseignements transversaux pour une gestion adaptative. Les recommandations devront être concrètes, réalistes, priorisées et directement exploitables par les décideurs. </w:t>
      </w:r>
    </w:p>
    <w:p w14:paraId="62AA116F" w14:textId="77777777" w:rsidR="005A6764" w:rsidRDefault="005A6764">
      <w:pPr>
        <w:tabs>
          <w:tab w:val="clear" w:pos="9923"/>
        </w:tabs>
        <w:spacing w:after="0"/>
        <w:ind w:left="709"/>
        <w:rPr>
          <w:rFonts w:ascii="Verdana" w:hAnsi="Verdana"/>
          <w:sz w:val="18"/>
          <w:szCs w:val="18"/>
        </w:rPr>
      </w:pPr>
    </w:p>
    <w:p w14:paraId="316BB501" w14:textId="77777777" w:rsidR="005A6764" w:rsidRDefault="001A5BAC">
      <w:pPr>
        <w:pStyle w:val="Titre2"/>
        <w:spacing w:after="0" w:line="240" w:lineRule="auto"/>
        <w:rPr>
          <w:rFonts w:ascii="Verdana" w:hAnsi="Verdana"/>
          <w:sz w:val="18"/>
          <w:szCs w:val="18"/>
        </w:rPr>
      </w:pPr>
      <w:bookmarkStart w:id="6" w:name="_Toc70668753"/>
      <w:r>
        <w:rPr>
          <w:rFonts w:ascii="Verdana" w:hAnsi="Verdana"/>
          <w:sz w:val="18"/>
          <w:szCs w:val="18"/>
        </w:rPr>
        <w:t xml:space="preserve">Périmètre de </w:t>
      </w:r>
      <w:bookmarkEnd w:id="6"/>
      <w:r>
        <w:rPr>
          <w:rFonts w:ascii="Verdana" w:hAnsi="Verdana"/>
          <w:sz w:val="18"/>
          <w:szCs w:val="18"/>
        </w:rPr>
        <w:t xml:space="preserve">la mission </w:t>
      </w:r>
    </w:p>
    <w:p w14:paraId="0C0BAD80" w14:textId="77777777" w:rsidR="005A6764" w:rsidRDefault="005A6764">
      <w:pPr>
        <w:tabs>
          <w:tab w:val="clear" w:pos="9923"/>
        </w:tabs>
        <w:autoSpaceDE w:val="0"/>
        <w:autoSpaceDN w:val="0"/>
        <w:adjustRightInd w:val="0"/>
        <w:spacing w:after="0"/>
        <w:ind w:left="426"/>
        <w:rPr>
          <w:rFonts w:ascii="Verdana" w:hAnsi="Verdana" w:cstheme="majorBidi"/>
          <w:i w:val="0"/>
          <w:sz w:val="18"/>
          <w:szCs w:val="18"/>
        </w:rPr>
      </w:pPr>
    </w:p>
    <w:p w14:paraId="370BBB93" w14:textId="77777777" w:rsidR="005A6764" w:rsidRDefault="001A5BAC">
      <w:pPr>
        <w:tabs>
          <w:tab w:val="clear" w:pos="9923"/>
        </w:tabs>
        <w:autoSpaceDE w:val="0"/>
        <w:autoSpaceDN w:val="0"/>
        <w:adjustRightInd w:val="0"/>
        <w:spacing w:after="0"/>
        <w:ind w:left="709"/>
        <w:rPr>
          <w:rFonts w:ascii="Verdana" w:hAnsi="Verdana" w:cstheme="majorBidi"/>
          <w:i w:val="0"/>
          <w:sz w:val="18"/>
          <w:szCs w:val="18"/>
        </w:rPr>
      </w:pPr>
      <w:r>
        <w:rPr>
          <w:rFonts w:ascii="Verdana" w:hAnsi="Verdana" w:cstheme="majorBidi"/>
          <w:i w:val="0"/>
          <w:sz w:val="18"/>
          <w:szCs w:val="18"/>
        </w:rPr>
        <w:t xml:space="preserve">L’évaluation et capitalisation portera sur les éléments suivants : </w:t>
      </w:r>
    </w:p>
    <w:p w14:paraId="5827D975" w14:textId="77777777" w:rsidR="005A6764" w:rsidRDefault="001A5BAC">
      <w:pPr>
        <w:tabs>
          <w:tab w:val="clear" w:pos="9923"/>
        </w:tabs>
        <w:autoSpaceDE w:val="0"/>
        <w:autoSpaceDN w:val="0"/>
        <w:adjustRightInd w:val="0"/>
        <w:spacing w:after="0"/>
        <w:ind w:left="709"/>
        <w:rPr>
          <w:rFonts w:ascii="Verdana" w:hAnsi="Verdana" w:cstheme="majorBidi"/>
          <w:i w:val="0"/>
          <w:sz w:val="18"/>
          <w:szCs w:val="18"/>
        </w:rPr>
      </w:pPr>
      <w:r>
        <w:rPr>
          <w:rFonts w:ascii="Verdana" w:hAnsi="Verdana" w:cstheme="majorBidi"/>
          <w:b/>
          <w:bCs/>
          <w:i w:val="0"/>
          <w:sz w:val="18"/>
          <w:szCs w:val="18"/>
        </w:rPr>
        <w:t xml:space="preserve">Période </w:t>
      </w:r>
      <w:r>
        <w:rPr>
          <w:rFonts w:ascii="Verdana" w:hAnsi="Verdana" w:cstheme="majorBidi"/>
          <w:i w:val="0"/>
          <w:sz w:val="18"/>
          <w:szCs w:val="18"/>
        </w:rPr>
        <w:t xml:space="preserve">: Mars 2023 – Septembre 2025 ; </w:t>
      </w:r>
    </w:p>
    <w:p w14:paraId="0BCE3C4B" w14:textId="77777777" w:rsidR="005A6764" w:rsidRDefault="001A5BAC">
      <w:pPr>
        <w:tabs>
          <w:tab w:val="clear" w:pos="9923"/>
        </w:tabs>
        <w:autoSpaceDE w:val="0"/>
        <w:autoSpaceDN w:val="0"/>
        <w:adjustRightInd w:val="0"/>
        <w:spacing w:after="0"/>
        <w:ind w:left="709"/>
        <w:rPr>
          <w:rFonts w:ascii="Verdana" w:hAnsi="Verdana" w:cstheme="majorBidi"/>
          <w:i w:val="0"/>
          <w:sz w:val="18"/>
          <w:szCs w:val="18"/>
        </w:rPr>
      </w:pPr>
      <w:r>
        <w:rPr>
          <w:rFonts w:ascii="Verdana" w:hAnsi="Verdana" w:cstheme="majorBidi"/>
          <w:b/>
          <w:bCs/>
          <w:i w:val="0"/>
          <w:sz w:val="18"/>
          <w:szCs w:val="18"/>
        </w:rPr>
        <w:t xml:space="preserve">Composantes </w:t>
      </w:r>
      <w:r>
        <w:rPr>
          <w:rFonts w:ascii="Verdana" w:hAnsi="Verdana" w:cstheme="majorBidi"/>
          <w:i w:val="0"/>
          <w:sz w:val="18"/>
          <w:szCs w:val="18"/>
        </w:rPr>
        <w:t xml:space="preserve">: Toutes les composantes du projet; </w:t>
      </w:r>
    </w:p>
    <w:p w14:paraId="01EBB41C" w14:textId="77777777" w:rsidR="005A6764" w:rsidRDefault="001A5BAC">
      <w:pPr>
        <w:tabs>
          <w:tab w:val="clear" w:pos="9923"/>
        </w:tabs>
        <w:autoSpaceDE w:val="0"/>
        <w:autoSpaceDN w:val="0"/>
        <w:adjustRightInd w:val="0"/>
        <w:spacing w:after="0"/>
        <w:ind w:left="709"/>
        <w:rPr>
          <w:rFonts w:ascii="Verdana" w:hAnsi="Verdana" w:cstheme="majorBidi"/>
          <w:i w:val="0"/>
          <w:sz w:val="18"/>
          <w:szCs w:val="18"/>
        </w:rPr>
      </w:pPr>
      <w:r>
        <w:rPr>
          <w:rFonts w:ascii="Verdana" w:hAnsi="Verdana" w:cstheme="majorBidi"/>
          <w:b/>
          <w:bCs/>
          <w:i w:val="0"/>
          <w:sz w:val="18"/>
          <w:szCs w:val="18"/>
        </w:rPr>
        <w:t xml:space="preserve">Pays </w:t>
      </w:r>
      <w:r>
        <w:rPr>
          <w:rFonts w:ascii="Verdana" w:hAnsi="Verdana" w:cstheme="majorBidi"/>
          <w:i w:val="0"/>
          <w:sz w:val="18"/>
          <w:szCs w:val="18"/>
        </w:rPr>
        <w:t>: Tunisie : Régions d’intervention du projet (Béja, gafsa et Kasserine) + Tunis;</w:t>
      </w:r>
    </w:p>
    <w:p w14:paraId="4A6945C0" w14:textId="77777777" w:rsidR="005A6764" w:rsidRDefault="001A5BAC">
      <w:pPr>
        <w:tabs>
          <w:tab w:val="clear" w:pos="9923"/>
        </w:tabs>
        <w:autoSpaceDE w:val="0"/>
        <w:autoSpaceDN w:val="0"/>
        <w:adjustRightInd w:val="0"/>
        <w:spacing w:after="0"/>
        <w:ind w:left="709"/>
        <w:rPr>
          <w:rFonts w:ascii="Verdana" w:hAnsi="Verdana" w:cstheme="majorBidi"/>
          <w:i w:val="0"/>
          <w:sz w:val="18"/>
          <w:szCs w:val="18"/>
        </w:rPr>
      </w:pPr>
      <w:r>
        <w:rPr>
          <w:rFonts w:ascii="Verdana" w:hAnsi="Verdana" w:cstheme="majorBidi"/>
          <w:b/>
          <w:bCs/>
          <w:i w:val="0"/>
          <w:sz w:val="18"/>
          <w:szCs w:val="18"/>
        </w:rPr>
        <w:t xml:space="preserve">Bénéficiaires </w:t>
      </w:r>
      <w:r>
        <w:rPr>
          <w:rFonts w:ascii="Verdana" w:hAnsi="Verdana" w:cstheme="majorBidi"/>
          <w:i w:val="0"/>
          <w:sz w:val="18"/>
          <w:szCs w:val="18"/>
        </w:rPr>
        <w:t>: Les partenaires institutionnels étatiques en priorité et autres parties prenantes</w:t>
      </w:r>
    </w:p>
    <w:p w14:paraId="43A5BDB4" w14:textId="77777777" w:rsidR="005A6764" w:rsidRDefault="005A6764">
      <w:pPr>
        <w:tabs>
          <w:tab w:val="clear" w:pos="9923"/>
        </w:tabs>
        <w:autoSpaceDE w:val="0"/>
        <w:autoSpaceDN w:val="0"/>
        <w:adjustRightInd w:val="0"/>
        <w:spacing w:after="0"/>
        <w:ind w:left="426"/>
        <w:rPr>
          <w:rFonts w:ascii="Verdana" w:hAnsi="Verdana" w:cstheme="majorBidi"/>
          <w:i w:val="0"/>
          <w:sz w:val="18"/>
          <w:szCs w:val="18"/>
        </w:rPr>
      </w:pPr>
    </w:p>
    <w:p w14:paraId="486B82E6" w14:textId="77777777" w:rsidR="005A6764" w:rsidRDefault="005A6764">
      <w:pPr>
        <w:tabs>
          <w:tab w:val="clear" w:pos="9923"/>
        </w:tabs>
        <w:autoSpaceDE w:val="0"/>
        <w:autoSpaceDN w:val="0"/>
        <w:adjustRightInd w:val="0"/>
        <w:spacing w:after="0"/>
        <w:ind w:left="426"/>
        <w:rPr>
          <w:rFonts w:ascii="Verdana" w:hAnsi="Verdana" w:cstheme="majorBidi"/>
          <w:i w:val="0"/>
          <w:sz w:val="18"/>
          <w:szCs w:val="18"/>
        </w:rPr>
      </w:pPr>
    </w:p>
    <w:p w14:paraId="5F898998" w14:textId="77777777" w:rsidR="005A6764" w:rsidRDefault="001A5BAC">
      <w:pPr>
        <w:pStyle w:val="Titre3"/>
        <w:spacing w:before="0" w:after="0"/>
        <w:ind w:left="1080"/>
        <w:rPr>
          <w:rStyle w:val="lev"/>
          <w:rFonts w:ascii="Verdana" w:hAnsi="Verdana"/>
          <w:b/>
          <w:bCs/>
          <w:sz w:val="18"/>
          <w:szCs w:val="18"/>
        </w:rPr>
      </w:pPr>
      <w:r>
        <w:rPr>
          <w:rStyle w:val="lev"/>
          <w:rFonts w:ascii="Verdana" w:hAnsi="Verdana"/>
          <w:b/>
          <w:bCs/>
          <w:sz w:val="18"/>
          <w:szCs w:val="18"/>
        </w:rPr>
        <w:t xml:space="preserve"> Principes transverses de l’évaluation et capitalisation </w:t>
      </w:r>
    </w:p>
    <w:p w14:paraId="3A707678" w14:textId="77777777" w:rsidR="005A6764" w:rsidRDefault="001A5BAC">
      <w:pPr>
        <w:pStyle w:val="NormalWeb"/>
        <w:spacing w:before="0" w:beforeAutospacing="0" w:after="0" w:afterAutospacing="0"/>
        <w:ind w:left="720"/>
        <w:rPr>
          <w:rFonts w:ascii="Verdana" w:hAnsi="Verdana" w:cstheme="majorBidi"/>
          <w:i w:val="0"/>
          <w:iCs w:val="0"/>
          <w:sz w:val="18"/>
          <w:szCs w:val="18"/>
        </w:rPr>
      </w:pPr>
      <w:r>
        <w:rPr>
          <w:rFonts w:ascii="Verdana" w:hAnsi="Verdana" w:cstheme="majorBidi"/>
          <w:i w:val="0"/>
          <w:iCs w:val="0"/>
          <w:sz w:val="18"/>
          <w:szCs w:val="18"/>
        </w:rPr>
        <w:t xml:space="preserve">Cette mission devra pleinement intégrer les </w:t>
      </w:r>
      <w:r>
        <w:rPr>
          <w:rStyle w:val="lev"/>
          <w:rFonts w:ascii="Verdana" w:hAnsi="Verdana" w:cstheme="majorBidi"/>
          <w:b w:val="0"/>
          <w:bCs w:val="0"/>
          <w:i w:val="0"/>
          <w:iCs w:val="0"/>
          <w:sz w:val="18"/>
          <w:szCs w:val="18"/>
        </w:rPr>
        <w:t>principes transversaux</w:t>
      </w:r>
      <w:r>
        <w:rPr>
          <w:rFonts w:ascii="Verdana" w:hAnsi="Verdana" w:cstheme="majorBidi"/>
          <w:i w:val="0"/>
          <w:iCs w:val="0"/>
          <w:sz w:val="18"/>
          <w:szCs w:val="18"/>
        </w:rPr>
        <w:t xml:space="preserve"> portés par le projet en particulier </w:t>
      </w:r>
      <w:r>
        <w:rPr>
          <w:rStyle w:val="lev"/>
          <w:rFonts w:ascii="Verdana" w:hAnsi="Verdana" w:cstheme="majorBidi"/>
          <w:b w:val="0"/>
          <w:bCs w:val="0"/>
          <w:i w:val="0"/>
          <w:iCs w:val="0"/>
          <w:sz w:val="18"/>
          <w:szCs w:val="18"/>
        </w:rPr>
        <w:t>l’égalité de genre</w:t>
      </w:r>
      <w:r>
        <w:rPr>
          <w:rStyle w:val="lev"/>
          <w:rFonts w:ascii="Verdana" w:hAnsi="Verdana"/>
          <w:b w:val="0"/>
          <w:bCs w:val="0"/>
          <w:i w:val="0"/>
          <w:iCs w:val="0"/>
          <w:sz w:val="18"/>
          <w:szCs w:val="18"/>
        </w:rPr>
        <w:t xml:space="preserve">, </w:t>
      </w:r>
      <w:r>
        <w:rPr>
          <w:rStyle w:val="lev"/>
          <w:rFonts w:ascii="Verdana" w:hAnsi="Verdana" w:cstheme="majorBidi"/>
          <w:b w:val="0"/>
          <w:bCs w:val="0"/>
          <w:i w:val="0"/>
          <w:iCs w:val="0"/>
          <w:sz w:val="18"/>
          <w:szCs w:val="18"/>
        </w:rPr>
        <w:t>les droits humains</w:t>
      </w:r>
      <w:r>
        <w:rPr>
          <w:rStyle w:val="lev"/>
          <w:rFonts w:ascii="Verdana" w:hAnsi="Verdana"/>
          <w:b w:val="0"/>
          <w:bCs w:val="0"/>
          <w:i w:val="0"/>
          <w:iCs w:val="0"/>
          <w:sz w:val="18"/>
          <w:szCs w:val="18"/>
        </w:rPr>
        <w:t xml:space="preserve">, et </w:t>
      </w:r>
      <w:r>
        <w:rPr>
          <w:rStyle w:val="lev"/>
          <w:rFonts w:ascii="Verdana" w:hAnsi="Verdana" w:cstheme="majorBidi"/>
          <w:b w:val="0"/>
          <w:bCs w:val="0"/>
          <w:i w:val="0"/>
          <w:iCs w:val="0"/>
          <w:sz w:val="18"/>
          <w:szCs w:val="18"/>
        </w:rPr>
        <w:t>l’adaptation aux changements climatiques - CC</w:t>
      </w:r>
      <w:r>
        <w:rPr>
          <w:rStyle w:val="lev"/>
          <w:rFonts w:ascii="Verdana" w:hAnsi="Verdana"/>
          <w:b w:val="0"/>
          <w:bCs w:val="0"/>
          <w:i w:val="0"/>
          <w:iCs w:val="0"/>
          <w:sz w:val="18"/>
          <w:szCs w:val="18"/>
        </w:rPr>
        <w:t xml:space="preserve">. Ces dimensions ne seront pas traitées de manière périphérique, mais constitueront des </w:t>
      </w:r>
      <w:r>
        <w:rPr>
          <w:rStyle w:val="lev"/>
          <w:rFonts w:ascii="Verdana" w:hAnsi="Verdana" w:cstheme="majorBidi"/>
          <w:b w:val="0"/>
          <w:bCs w:val="0"/>
          <w:i w:val="0"/>
          <w:iCs w:val="0"/>
          <w:sz w:val="18"/>
          <w:szCs w:val="18"/>
        </w:rPr>
        <w:t>axes d’analyse structurants</w:t>
      </w:r>
      <w:r>
        <w:rPr>
          <w:rFonts w:ascii="Verdana" w:hAnsi="Verdana" w:cstheme="majorBidi"/>
          <w:i w:val="0"/>
          <w:iCs w:val="0"/>
          <w:sz w:val="18"/>
          <w:szCs w:val="18"/>
        </w:rPr>
        <w:t xml:space="preserve"> tout au long du processus évaluatif et de capitalisation.</w:t>
      </w:r>
    </w:p>
    <w:p w14:paraId="077DA2CD" w14:textId="77777777" w:rsidR="005A6764" w:rsidRDefault="005A6764">
      <w:pPr>
        <w:pStyle w:val="NormalWeb"/>
        <w:spacing w:before="0" w:beforeAutospacing="0" w:after="0" w:afterAutospacing="0"/>
        <w:ind w:left="720"/>
        <w:rPr>
          <w:rFonts w:ascii="Verdana" w:hAnsi="Verdana" w:cstheme="majorBidi"/>
          <w:i w:val="0"/>
          <w:iCs w:val="0"/>
          <w:sz w:val="18"/>
          <w:szCs w:val="18"/>
        </w:rPr>
      </w:pPr>
    </w:p>
    <w:p w14:paraId="79DB57B4" w14:textId="77777777" w:rsidR="005A6764" w:rsidRDefault="001A5BAC">
      <w:pPr>
        <w:pStyle w:val="Titre4"/>
        <w:spacing w:before="0"/>
        <w:ind w:left="720"/>
        <w:rPr>
          <w:rFonts w:ascii="Verdana" w:hAnsi="Verdana"/>
          <w:sz w:val="18"/>
          <w:szCs w:val="18"/>
        </w:rPr>
      </w:pPr>
      <w:r>
        <w:rPr>
          <w:rStyle w:val="lev"/>
          <w:rFonts w:ascii="Verdana" w:hAnsi="Verdana"/>
          <w:color w:val="auto"/>
          <w:sz w:val="18"/>
          <w:szCs w:val="18"/>
        </w:rPr>
        <w:lastRenderedPageBreak/>
        <w:t xml:space="preserve">Genre et droits humains : </w:t>
      </w:r>
      <w:r>
        <w:rPr>
          <w:rStyle w:val="lev"/>
          <w:rFonts w:ascii="Verdana" w:eastAsia="Times New Roman" w:hAnsi="Verdana" w:cs="Times New Roman"/>
          <w:b w:val="0"/>
          <w:bCs w:val="0"/>
          <w:color w:val="000000"/>
          <w:sz w:val="18"/>
          <w:szCs w:val="18"/>
          <w:lang w:eastAsia="fr-FR"/>
        </w:rPr>
        <w:t>Le projet à la réduction des inégalités des  les femmes et des hommes, conformément à la Stratégie Genre d’EF et du projet EFOR, aux engagements internationaux de la Tunisie, ainsi qu’aux orientations de l’AFD. L’évaluation et capitalisation devra donc suivre une approche genre et fondée sur les droits humains.</w:t>
      </w:r>
    </w:p>
    <w:p w14:paraId="6EC08E4C" w14:textId="77777777" w:rsidR="005A6764" w:rsidRDefault="001A5BAC">
      <w:pPr>
        <w:pStyle w:val="Titre4"/>
        <w:spacing w:before="0"/>
        <w:ind w:left="720"/>
        <w:rPr>
          <w:rStyle w:val="lev"/>
          <w:rFonts w:ascii="Verdana" w:hAnsi="Verdana" w:cs="Times New Roman"/>
          <w:b w:val="0"/>
          <w:bCs w:val="0"/>
          <w:sz w:val="18"/>
          <w:szCs w:val="18"/>
        </w:rPr>
      </w:pPr>
      <w:r>
        <w:rPr>
          <w:rStyle w:val="lev"/>
          <w:rFonts w:ascii="Verdana" w:hAnsi="Verdana"/>
          <w:color w:val="auto"/>
          <w:sz w:val="18"/>
          <w:szCs w:val="18"/>
        </w:rPr>
        <w:t xml:space="preserve">Changements climatiques et résilience : </w:t>
      </w:r>
      <w:r>
        <w:rPr>
          <w:rStyle w:val="lev"/>
          <w:rFonts w:ascii="Verdana" w:eastAsia="Times New Roman" w:hAnsi="Verdana" w:cs="Times New Roman"/>
          <w:b w:val="0"/>
          <w:bCs w:val="0"/>
          <w:color w:val="000000"/>
          <w:sz w:val="18"/>
          <w:szCs w:val="18"/>
          <w:lang w:eastAsia="fr-FR"/>
        </w:rPr>
        <w:t>Dans un contexte où les zones rurales tunisiennes sont particulièrement exposées aux effets des CC, et où les femmes en milieu rural font face à une vulnérabilité accrue en raison de leur accès limité aux ressources, à l’information, à la décision etc. la mission devra porter une attention spécifique à la manière dont le projet prend en compte les risques climatiques et environnementaux dans ses actions de renforcement des capacités et d’appui aux OPA; contribue à renforcer la résilience des femmes et des communautés en milieu rural, en intégrant l’analyse des enjeux croisés entre genre, pauvreté et changements climatiques dans ses diagnostics et ses appuis.</w:t>
      </w:r>
    </w:p>
    <w:p w14:paraId="6C1FE7D4" w14:textId="77777777" w:rsidR="005A6764" w:rsidRDefault="001A5BAC">
      <w:pPr>
        <w:pStyle w:val="Titre4"/>
        <w:spacing w:before="0"/>
        <w:ind w:left="720"/>
        <w:rPr>
          <w:rFonts w:ascii="Verdana" w:hAnsi="Verdana"/>
          <w:sz w:val="18"/>
          <w:szCs w:val="18"/>
        </w:rPr>
      </w:pPr>
      <w:r>
        <w:rPr>
          <w:rStyle w:val="lev"/>
          <w:rFonts w:ascii="Verdana" w:hAnsi="Verdana"/>
          <w:color w:val="auto"/>
          <w:sz w:val="18"/>
          <w:szCs w:val="18"/>
        </w:rPr>
        <w:t xml:space="preserve">Participation et redevabilité : </w:t>
      </w:r>
      <w:r>
        <w:rPr>
          <w:rStyle w:val="lev"/>
          <w:rFonts w:ascii="Verdana" w:eastAsia="Times New Roman" w:hAnsi="Verdana" w:cs="Times New Roman"/>
          <w:b w:val="0"/>
          <w:bCs w:val="0"/>
          <w:color w:val="000000"/>
          <w:sz w:val="18"/>
          <w:szCs w:val="18"/>
          <w:lang w:eastAsia="fr-FR"/>
        </w:rPr>
        <w:t>L’évaluation et la capitalisation adoptera une approche participative, en impliquant activement les parties prenantes du projet à toutes les étapes clés.</w:t>
      </w:r>
    </w:p>
    <w:p w14:paraId="1F0D915A" w14:textId="77777777" w:rsidR="005A6764" w:rsidRDefault="001A5BAC">
      <w:pPr>
        <w:pStyle w:val="Titre4"/>
        <w:spacing w:before="0"/>
        <w:ind w:left="720"/>
        <w:rPr>
          <w:rFonts w:ascii="Verdana" w:hAnsi="Verdana"/>
          <w:i/>
          <w:sz w:val="18"/>
          <w:szCs w:val="18"/>
        </w:rPr>
      </w:pPr>
      <w:r>
        <w:rPr>
          <w:rStyle w:val="lev"/>
          <w:rFonts w:ascii="Verdana" w:hAnsi="Verdana"/>
          <w:color w:val="auto"/>
          <w:sz w:val="18"/>
          <w:szCs w:val="18"/>
        </w:rPr>
        <w:t xml:space="preserve">Éthique et intégrité : </w:t>
      </w:r>
      <w:r>
        <w:rPr>
          <w:rStyle w:val="lev"/>
          <w:rFonts w:ascii="Verdana" w:eastAsia="Times New Roman" w:hAnsi="Verdana" w:cs="Times New Roman"/>
          <w:b w:val="0"/>
          <w:bCs w:val="0"/>
          <w:color w:val="000000"/>
          <w:sz w:val="18"/>
          <w:szCs w:val="18"/>
          <w:lang w:eastAsia="fr-FR"/>
        </w:rPr>
        <w:t>L’évaluation et la capitalisation devra respecter strictement les principes éthiques d’Expertise France, tels que définis dans sa Charte éthique (annexe).</w:t>
      </w:r>
      <w:r>
        <w:rPr>
          <w:rFonts w:ascii="Verdana" w:hAnsi="Verdana"/>
          <w:i/>
          <w:iCs/>
          <w:sz w:val="18"/>
          <w:szCs w:val="18"/>
        </w:rPr>
        <w:t xml:space="preserve"> </w:t>
      </w:r>
    </w:p>
    <w:p w14:paraId="668DDB5F" w14:textId="77777777" w:rsidR="005A6764" w:rsidRDefault="005A6764">
      <w:pPr>
        <w:tabs>
          <w:tab w:val="clear" w:pos="9923"/>
        </w:tabs>
        <w:autoSpaceDE w:val="0"/>
        <w:autoSpaceDN w:val="0"/>
        <w:adjustRightInd w:val="0"/>
        <w:spacing w:after="0"/>
        <w:ind w:left="426"/>
        <w:rPr>
          <w:rFonts w:ascii="Verdana" w:hAnsi="Verdana" w:cstheme="majorBidi"/>
          <w:i w:val="0"/>
          <w:sz w:val="18"/>
          <w:szCs w:val="18"/>
        </w:rPr>
      </w:pPr>
    </w:p>
    <w:p w14:paraId="6B25B5C2" w14:textId="77777777" w:rsidR="005A6764" w:rsidRDefault="001A5BAC">
      <w:pPr>
        <w:pStyle w:val="Titre1"/>
        <w:spacing w:after="0" w:line="240" w:lineRule="auto"/>
        <w:rPr>
          <w:rFonts w:ascii="Verdana" w:hAnsi="Verdana"/>
          <w:sz w:val="18"/>
          <w:szCs w:val="18"/>
        </w:rPr>
      </w:pPr>
      <w:bookmarkStart w:id="7" w:name="_Toc70668754"/>
      <w:r>
        <w:rPr>
          <w:rFonts w:ascii="Verdana" w:hAnsi="Verdana"/>
          <w:sz w:val="18"/>
          <w:szCs w:val="18"/>
        </w:rPr>
        <w:t>Critères et questions évaluatives</w:t>
      </w:r>
      <w:bookmarkEnd w:id="7"/>
    </w:p>
    <w:p w14:paraId="20BAC30C" w14:textId="77777777" w:rsidR="005A6764" w:rsidRDefault="005A6764">
      <w:pPr>
        <w:spacing w:after="0"/>
        <w:rPr>
          <w:rFonts w:ascii="Verdana" w:hAnsi="Verdana"/>
          <w:i w:val="0"/>
          <w:sz w:val="18"/>
          <w:szCs w:val="18"/>
        </w:rPr>
      </w:pPr>
    </w:p>
    <w:p w14:paraId="37D968AB" w14:textId="77777777" w:rsidR="005A6764" w:rsidRDefault="001A5BAC">
      <w:pPr>
        <w:spacing w:after="0"/>
        <w:rPr>
          <w:rFonts w:ascii="Verdana" w:hAnsi="Verdana"/>
          <w:i w:val="0"/>
          <w:sz w:val="18"/>
          <w:szCs w:val="18"/>
        </w:rPr>
      </w:pPr>
      <w:r>
        <w:rPr>
          <w:rFonts w:ascii="Verdana" w:hAnsi="Verdana"/>
          <w:i w:val="0"/>
          <w:sz w:val="18"/>
          <w:szCs w:val="18"/>
        </w:rPr>
        <w:t>L’évaluation utilisera les critères définis par le Comité d’Assistance au Développement (CAD) de l’Organisation de Coopération et de Développement Économiques (OCDE). Les questions d’évaluation détaillées ci-dessous ont été développées de manière participative au sein de l’équipe du projet. Elles seront revues par l’évaluateur au moment de la phase de démarrage de l’évaluation, afin de proposer une version finale dans le rapport de démarrage.</w:t>
      </w:r>
    </w:p>
    <w:p w14:paraId="2A9142A3" w14:textId="77777777" w:rsidR="005A6764" w:rsidRDefault="005A6764">
      <w:pPr>
        <w:spacing w:after="0"/>
        <w:rPr>
          <w:rFonts w:ascii="Verdana" w:hAnsi="Verdana"/>
          <w:i w:val="0"/>
          <w:sz w:val="18"/>
          <w:szCs w:val="18"/>
        </w:rPr>
      </w:pPr>
    </w:p>
    <w:tbl>
      <w:tblPr>
        <w:tblStyle w:val="TableauGrille4-Accentuation51"/>
        <w:tblW w:w="0" w:type="auto"/>
        <w:tblLook w:val="04A0" w:firstRow="1" w:lastRow="0" w:firstColumn="1" w:lastColumn="0" w:noHBand="0" w:noVBand="1"/>
      </w:tblPr>
      <w:tblGrid>
        <w:gridCol w:w="2078"/>
        <w:gridCol w:w="2102"/>
        <w:gridCol w:w="2052"/>
        <w:gridCol w:w="3539"/>
      </w:tblGrid>
      <w:tr w:rsidR="005A6764" w14:paraId="491307E8" w14:textId="77777777" w:rsidTr="005A6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21B62AE1" w14:textId="77777777" w:rsidR="005A6764" w:rsidRDefault="001A5BAC">
            <w:pPr>
              <w:spacing w:after="0"/>
              <w:ind w:left="357"/>
              <w:jc w:val="center"/>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Typologie d’acteurs</w:t>
            </w:r>
          </w:p>
        </w:tc>
        <w:tc>
          <w:tcPr>
            <w:tcW w:w="2102" w:type="dxa"/>
          </w:tcPr>
          <w:p w14:paraId="6497AE09" w14:textId="77777777" w:rsidR="005A6764" w:rsidRDefault="001A5BAC">
            <w:pPr>
              <w:spacing w:after="0"/>
              <w:ind w:left="357"/>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Critère d’évaluation</w:t>
            </w:r>
          </w:p>
        </w:tc>
        <w:tc>
          <w:tcPr>
            <w:tcW w:w="2052" w:type="dxa"/>
          </w:tcPr>
          <w:p w14:paraId="29FC873B" w14:textId="77777777" w:rsidR="005A6764" w:rsidRDefault="001A5BAC">
            <w:pPr>
              <w:spacing w:after="0"/>
              <w:ind w:left="357"/>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Question évaluative principale</w:t>
            </w:r>
          </w:p>
        </w:tc>
        <w:tc>
          <w:tcPr>
            <w:tcW w:w="3539" w:type="dxa"/>
          </w:tcPr>
          <w:p w14:paraId="57DCB4DB" w14:textId="77777777" w:rsidR="005A6764" w:rsidRDefault="001A5BAC">
            <w:pPr>
              <w:spacing w:after="0"/>
              <w:ind w:left="357"/>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Questions évaluatives sous-jacentes</w:t>
            </w:r>
          </w:p>
        </w:tc>
      </w:tr>
      <w:tr w:rsidR="005A6764" w14:paraId="709802B2" w14:textId="77777777" w:rsidTr="005A6764">
        <w:tc>
          <w:tcPr>
            <w:cnfStyle w:val="001000000000" w:firstRow="0" w:lastRow="0" w:firstColumn="1" w:lastColumn="0" w:oddVBand="0" w:evenVBand="0" w:oddHBand="0" w:evenHBand="0" w:firstRowFirstColumn="0" w:firstRowLastColumn="0" w:lastRowFirstColumn="0" w:lastRowLastColumn="0"/>
            <w:tcW w:w="2078" w:type="dxa"/>
            <w:shd w:val="clear" w:color="auto" w:fill="DAEEF3" w:themeFill="accent5" w:themeFillTint="33"/>
          </w:tcPr>
          <w:p w14:paraId="7A231AA8" w14:textId="77777777" w:rsidR="005A6764" w:rsidRDefault="001A5BAC">
            <w:pPr>
              <w:spacing w:after="0"/>
              <w:ind w:left="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xml:space="preserve">Partenaires techniques et financiers </w:t>
            </w:r>
            <w:r>
              <w:rPr>
                <w:rFonts w:ascii="Verdana" w:eastAsia="Times New Roman" w:hAnsi="Verdana" w:cs="Times New Roman"/>
                <w:b w:val="0"/>
                <w:bCs w:val="0"/>
                <w:i w:val="0"/>
                <w:iCs w:val="0"/>
                <w:sz w:val="16"/>
                <w:szCs w:val="16"/>
                <w:lang w:eastAsia="fr-FR"/>
              </w:rPr>
              <w:t>(MARHP, MFFPA, AFD, EF)</w:t>
            </w:r>
          </w:p>
        </w:tc>
        <w:tc>
          <w:tcPr>
            <w:tcW w:w="2102" w:type="dxa"/>
            <w:shd w:val="clear" w:color="auto" w:fill="DAEEF3" w:themeFill="accent5" w:themeFillTint="33"/>
          </w:tcPr>
          <w:p w14:paraId="2FC294E5" w14:textId="77777777" w:rsidR="005A6764" w:rsidRDefault="001A5BAC">
            <w:pPr>
              <w:spacing w:after="0"/>
              <w:ind w:left="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b/>
                <w:bCs/>
                <w:i w:val="0"/>
                <w:iCs w:val="0"/>
                <w:sz w:val="16"/>
                <w:szCs w:val="16"/>
                <w:lang w:eastAsia="fr-FR"/>
              </w:rPr>
              <w:t>Pertinence</w:t>
            </w:r>
          </w:p>
        </w:tc>
        <w:tc>
          <w:tcPr>
            <w:tcW w:w="2052" w:type="dxa"/>
            <w:shd w:val="clear" w:color="auto" w:fill="DAEEF3" w:themeFill="accent5" w:themeFillTint="33"/>
          </w:tcPr>
          <w:p w14:paraId="56D6E464" w14:textId="77777777" w:rsidR="005A6764" w:rsidRDefault="001A5BAC">
            <w:pPr>
              <w:spacing w:after="0"/>
              <w:ind w:left="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Dans quelle mesure les objectifs, les choix stratégiques et les modalités de mise en œuvre du projet sont-ils pertinents au regard des priorités des partenaires institutionnels et des besoins du contexte tunisien ?</w:t>
            </w:r>
          </w:p>
        </w:tc>
        <w:tc>
          <w:tcPr>
            <w:tcW w:w="3539" w:type="dxa"/>
            <w:shd w:val="clear" w:color="auto" w:fill="DAEEF3" w:themeFill="accent5" w:themeFillTint="33"/>
          </w:tcPr>
          <w:p w14:paraId="0D04A9F2"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xml:space="preserve">- Les objectifs du projet restent-ils alignés avec les stratégies nationales (genre, développement rural, climat, autonomisation des OPA féminines) ? </w:t>
            </w:r>
          </w:p>
          <w:p w14:paraId="06F865AF"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Le projet répond-il aux attentes et contraintes des institutions partenaires ?</w:t>
            </w:r>
          </w:p>
          <w:p w14:paraId="0261A9F8"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Les approches choisies (renforcement des capacités, appel à projets, accompagnement des OPA) sont-elles adaptées aux réalités du terrain et aux dynamiques institutionnelles ?</w:t>
            </w:r>
          </w:p>
          <w:p w14:paraId="77C235D4"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Quelles composantes mériteraient d’être ajustées pour renforcer l’alignement stratégique et institutionnel ?</w:t>
            </w:r>
          </w:p>
        </w:tc>
      </w:tr>
      <w:tr w:rsidR="005A6764" w14:paraId="5282385A" w14:textId="77777777" w:rsidTr="005A6764">
        <w:tc>
          <w:tcPr>
            <w:cnfStyle w:val="001000000000" w:firstRow="0" w:lastRow="0" w:firstColumn="1" w:lastColumn="0" w:oddVBand="0" w:evenVBand="0" w:oddHBand="0" w:evenHBand="0" w:firstRowFirstColumn="0" w:firstRowLastColumn="0" w:lastRowFirstColumn="0" w:lastRowLastColumn="0"/>
            <w:tcW w:w="2078" w:type="dxa"/>
          </w:tcPr>
          <w:p w14:paraId="12AC612D" w14:textId="77777777" w:rsidR="005A6764" w:rsidRDefault="001A5BAC">
            <w:pPr>
              <w:spacing w:after="0"/>
              <w:ind w:left="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xml:space="preserve">Acteurs locaux et régionaux </w:t>
            </w:r>
            <w:r>
              <w:rPr>
                <w:rFonts w:ascii="Verdana" w:eastAsia="Times New Roman" w:hAnsi="Verdana" w:cs="Times New Roman"/>
                <w:b w:val="0"/>
                <w:bCs w:val="0"/>
                <w:i w:val="0"/>
                <w:iCs w:val="0"/>
                <w:sz w:val="16"/>
                <w:szCs w:val="16"/>
                <w:lang w:eastAsia="fr-FR"/>
              </w:rPr>
              <w:t>(Comités de suivi opérationnels)</w:t>
            </w:r>
          </w:p>
        </w:tc>
        <w:tc>
          <w:tcPr>
            <w:tcW w:w="2102" w:type="dxa"/>
          </w:tcPr>
          <w:p w14:paraId="7A18AE39" w14:textId="77777777" w:rsidR="005A6764" w:rsidRDefault="001A5BAC">
            <w:pPr>
              <w:spacing w:after="0"/>
              <w:ind w:left="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b/>
                <w:bCs/>
                <w:i w:val="0"/>
                <w:iCs w:val="0"/>
                <w:sz w:val="16"/>
                <w:szCs w:val="16"/>
                <w:lang w:eastAsia="fr-FR"/>
              </w:rPr>
              <w:t>Efficacité</w:t>
            </w:r>
          </w:p>
        </w:tc>
        <w:tc>
          <w:tcPr>
            <w:tcW w:w="2052" w:type="dxa"/>
          </w:tcPr>
          <w:p w14:paraId="1FE0A75C" w14:textId="77777777" w:rsidR="005A6764" w:rsidRDefault="001A5BAC">
            <w:pPr>
              <w:spacing w:after="0"/>
              <w:ind w:left="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Dans quelle mesure les mécanismes de mise en œuvre territoriale du projet ont-ils permis d’atteindre les résultats attendus à mi-parcours ?</w:t>
            </w:r>
          </w:p>
        </w:tc>
        <w:tc>
          <w:tcPr>
            <w:tcW w:w="3539" w:type="dxa"/>
          </w:tcPr>
          <w:p w14:paraId="08814892"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Les comités de suivi opérationnels sont-ils mobilisés de manière effective ?</w:t>
            </w:r>
          </w:p>
          <w:p w14:paraId="62C9BBD7"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À quel point les rôles et responsabilités ont-ils été clairement définis et opérationnalisés à l’échelle régionale ?</w:t>
            </w:r>
          </w:p>
          <w:p w14:paraId="703806C9"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Quelles difficultés rencontrées ont freiné l’atteinte des résultats, et comment ont-elles été surmontées ?</w:t>
            </w:r>
          </w:p>
          <w:p w14:paraId="30694B80"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Quelles adaptations sont à envisager pour renforcer l’efficacité opérationnelle à l’échelle locale ?</w:t>
            </w:r>
          </w:p>
        </w:tc>
      </w:tr>
      <w:tr w:rsidR="005A6764" w14:paraId="68663639" w14:textId="77777777" w:rsidTr="005A6764">
        <w:tc>
          <w:tcPr>
            <w:cnfStyle w:val="001000000000" w:firstRow="0" w:lastRow="0" w:firstColumn="1" w:lastColumn="0" w:oddVBand="0" w:evenVBand="0" w:oddHBand="0" w:evenHBand="0" w:firstRowFirstColumn="0" w:firstRowLastColumn="0" w:lastRowFirstColumn="0" w:lastRowLastColumn="0"/>
            <w:tcW w:w="2078" w:type="dxa"/>
            <w:shd w:val="clear" w:color="auto" w:fill="DAEEF3" w:themeFill="accent5" w:themeFillTint="33"/>
          </w:tcPr>
          <w:p w14:paraId="68B8C024" w14:textId="77777777" w:rsidR="005A6764" w:rsidRDefault="001A5BAC">
            <w:pPr>
              <w:spacing w:after="0"/>
              <w:ind w:left="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Bénéficiaires finaux (OPA accompagnées, OSC subventionnées)</w:t>
            </w:r>
          </w:p>
        </w:tc>
        <w:tc>
          <w:tcPr>
            <w:tcW w:w="2102" w:type="dxa"/>
            <w:shd w:val="clear" w:color="auto" w:fill="DAEEF3" w:themeFill="accent5" w:themeFillTint="33"/>
          </w:tcPr>
          <w:p w14:paraId="12B0110E" w14:textId="77777777" w:rsidR="005A6764" w:rsidRDefault="001A5BAC">
            <w:pPr>
              <w:spacing w:after="0"/>
              <w:ind w:left="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b/>
                <w:bCs/>
                <w:i w:val="0"/>
                <w:iCs w:val="0"/>
                <w:sz w:val="16"/>
                <w:szCs w:val="16"/>
                <w:lang w:val="en-US" w:eastAsia="fr-FR"/>
              </w:rPr>
              <w:t>D</w:t>
            </w:r>
            <w:r>
              <w:rPr>
                <w:rFonts w:ascii="Verdana" w:eastAsia="Times New Roman" w:hAnsi="Verdana" w:cs="Times New Roman"/>
                <w:b/>
                <w:bCs/>
                <w:i w:val="0"/>
                <w:iCs w:val="0"/>
                <w:sz w:val="16"/>
                <w:szCs w:val="16"/>
                <w:lang w:eastAsia="fr-FR"/>
              </w:rPr>
              <w:t>urabilité</w:t>
            </w:r>
          </w:p>
        </w:tc>
        <w:tc>
          <w:tcPr>
            <w:tcW w:w="2052" w:type="dxa"/>
            <w:shd w:val="clear" w:color="auto" w:fill="DAEEF3" w:themeFill="accent5" w:themeFillTint="33"/>
          </w:tcPr>
          <w:p w14:paraId="078AEFC0" w14:textId="77777777" w:rsidR="005A6764" w:rsidRDefault="001A5BAC">
            <w:pPr>
              <w:spacing w:after="0"/>
              <w:ind w:left="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xml:space="preserve">Dans quelle mesure les appuis à apporter par le projet sont-ils susceptibles de produire des effets durables au niveau des </w:t>
            </w:r>
            <w:r>
              <w:rPr>
                <w:rFonts w:ascii="Verdana" w:eastAsia="Times New Roman" w:hAnsi="Verdana" w:cs="Times New Roman"/>
                <w:i w:val="0"/>
                <w:iCs w:val="0"/>
                <w:sz w:val="16"/>
                <w:szCs w:val="16"/>
                <w:lang w:eastAsia="fr-FR"/>
              </w:rPr>
              <w:lastRenderedPageBreak/>
              <w:t>organisations bénéficiaires ?</w:t>
            </w:r>
          </w:p>
        </w:tc>
        <w:tc>
          <w:tcPr>
            <w:tcW w:w="3539" w:type="dxa"/>
            <w:shd w:val="clear" w:color="auto" w:fill="DAEEF3" w:themeFill="accent5" w:themeFillTint="33"/>
          </w:tcPr>
          <w:p w14:paraId="781C4BEC"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lastRenderedPageBreak/>
              <w:t>- Les bénéficiaires disposent-ils des compétences, outils et réseaux nécessaires pour maintenir les acquis du projet après son achèvement ?</w:t>
            </w:r>
          </w:p>
          <w:p w14:paraId="70999F42"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Les conditions de durabilité (institutionnelle, financière, sociale) sont-elles réunies ?</w:t>
            </w:r>
          </w:p>
          <w:p w14:paraId="507F9100"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lastRenderedPageBreak/>
              <w:t>- Quels facteurs pourraient menacer la viabilité du projet et comment les anticiper ?</w:t>
            </w:r>
          </w:p>
          <w:p w14:paraId="48EA87BD"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Quelles bonnes pratiques de consolidation ou d’autonomisation pourraient être capitalisées ?</w:t>
            </w:r>
          </w:p>
        </w:tc>
      </w:tr>
      <w:tr w:rsidR="00DE5907" w14:paraId="7EF4E517" w14:textId="77777777" w:rsidTr="005A6764">
        <w:tc>
          <w:tcPr>
            <w:cnfStyle w:val="001000000000" w:firstRow="0" w:lastRow="0" w:firstColumn="1" w:lastColumn="0" w:oddVBand="0" w:evenVBand="0" w:oddHBand="0" w:evenHBand="0" w:firstRowFirstColumn="0" w:firstRowLastColumn="0" w:lastRowFirstColumn="0" w:lastRowLastColumn="0"/>
            <w:tcW w:w="2078" w:type="dxa"/>
          </w:tcPr>
          <w:p w14:paraId="343B1D5F" w14:textId="77777777" w:rsidR="00DE5907" w:rsidRDefault="00DE5907">
            <w:pPr>
              <w:spacing w:after="0"/>
              <w:ind w:left="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lastRenderedPageBreak/>
              <w:t xml:space="preserve">Partenaires techniques et financiers </w:t>
            </w:r>
            <w:r>
              <w:rPr>
                <w:rFonts w:ascii="Verdana" w:eastAsia="Times New Roman" w:hAnsi="Verdana" w:cs="Times New Roman"/>
                <w:b w:val="0"/>
                <w:bCs w:val="0"/>
                <w:i w:val="0"/>
                <w:iCs w:val="0"/>
                <w:sz w:val="16"/>
                <w:szCs w:val="16"/>
                <w:lang w:eastAsia="fr-FR"/>
              </w:rPr>
              <w:t>(MARHP, MFFPA, AFD, EF)</w:t>
            </w:r>
          </w:p>
        </w:tc>
        <w:tc>
          <w:tcPr>
            <w:tcW w:w="2102" w:type="dxa"/>
          </w:tcPr>
          <w:p w14:paraId="5AE2983B" w14:textId="77777777" w:rsidR="00DE5907" w:rsidRDefault="00DE5907">
            <w:pPr>
              <w:spacing w:after="0"/>
              <w:ind w:left="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bCs/>
                <w:i w:val="0"/>
                <w:iCs w:val="0"/>
                <w:sz w:val="16"/>
                <w:szCs w:val="16"/>
                <w:lang w:eastAsia="fr-FR"/>
              </w:rPr>
            </w:pPr>
            <w:r>
              <w:rPr>
                <w:rFonts w:ascii="Verdana" w:eastAsia="Times New Roman" w:hAnsi="Verdana" w:cs="Times New Roman"/>
                <w:b/>
                <w:bCs/>
                <w:i w:val="0"/>
                <w:iCs w:val="0"/>
                <w:sz w:val="16"/>
                <w:szCs w:val="16"/>
                <w:lang w:eastAsia="fr-FR"/>
              </w:rPr>
              <w:t xml:space="preserve">Efficience </w:t>
            </w:r>
          </w:p>
        </w:tc>
        <w:tc>
          <w:tcPr>
            <w:tcW w:w="2052" w:type="dxa"/>
          </w:tcPr>
          <w:p w14:paraId="41F6FDA7" w14:textId="77777777" w:rsidR="00DE5907" w:rsidRDefault="00DE5907">
            <w:pPr>
              <w:spacing w:after="0"/>
              <w:ind w:left="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sidRPr="00DE5907">
              <w:rPr>
                <w:rFonts w:ascii="Verdana" w:eastAsia="Times New Roman" w:hAnsi="Verdana" w:cs="Times New Roman"/>
                <w:i w:val="0"/>
                <w:iCs w:val="0"/>
                <w:sz w:val="16"/>
                <w:szCs w:val="16"/>
                <w:lang w:eastAsia="fr-FR"/>
              </w:rPr>
              <w:t>Dans quelle mesure les ressources (humaines, financières, techniques) ont-elles été mobilisées et utilisées de manière optimale pour atteindre les résultats du projet à mi-parcours ?</w:t>
            </w:r>
          </w:p>
        </w:tc>
        <w:tc>
          <w:tcPr>
            <w:tcW w:w="3539" w:type="dxa"/>
          </w:tcPr>
          <w:p w14:paraId="3B6DD0ED" w14:textId="77777777" w:rsidR="00DE5907" w:rsidRDefault="00DE5907" w:rsidP="00DE5907">
            <w:pPr>
              <w:spacing w:after="0"/>
              <w:ind w:left="357"/>
              <w:jc w:val="lef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sidRPr="00DE5907">
              <w:rPr>
                <w:rFonts w:ascii="Verdana" w:eastAsia="Times New Roman" w:hAnsi="Verdana" w:cs="Times New Roman"/>
                <w:i w:val="0"/>
                <w:iCs w:val="0"/>
                <w:sz w:val="16"/>
                <w:szCs w:val="16"/>
                <w:lang w:eastAsia="fr-FR"/>
              </w:rPr>
              <w:t>- Les moyens mobilisés (budget, ressources humaines, expertise) ont-ils été alloués et utilisés de manière efficiente au regard des objectifs ?</w:t>
            </w:r>
            <w:r w:rsidRPr="00DE5907">
              <w:rPr>
                <w:rFonts w:ascii="Verdana" w:eastAsia="Times New Roman" w:hAnsi="Verdana" w:cs="Times New Roman"/>
                <w:i w:val="0"/>
                <w:iCs w:val="0"/>
                <w:sz w:val="16"/>
                <w:szCs w:val="16"/>
                <w:lang w:eastAsia="fr-FR"/>
              </w:rPr>
              <w:br/>
              <w:t>- Le projet a-t-il respecté ses échéances et son plan d’action initial ?</w:t>
            </w:r>
            <w:r w:rsidRPr="00DE5907">
              <w:rPr>
                <w:rFonts w:ascii="Verdana" w:eastAsia="Times New Roman" w:hAnsi="Verdana" w:cs="Times New Roman"/>
                <w:i w:val="0"/>
                <w:iCs w:val="0"/>
                <w:sz w:val="16"/>
                <w:szCs w:val="16"/>
                <w:lang w:eastAsia="fr-FR"/>
              </w:rPr>
              <w:br/>
              <w:t>- Quelles difficultés ont affecté la gestion opérationnelle et comment ont-elles été traitées ?</w:t>
            </w:r>
            <w:r w:rsidRPr="00DE5907">
              <w:rPr>
                <w:rFonts w:ascii="Verdana" w:eastAsia="Times New Roman" w:hAnsi="Verdana" w:cs="Times New Roman"/>
                <w:i w:val="0"/>
                <w:iCs w:val="0"/>
                <w:sz w:val="16"/>
                <w:szCs w:val="16"/>
                <w:lang w:eastAsia="fr-FR"/>
              </w:rPr>
              <w:br/>
              <w:t>- Y a-t-il des marges d’optimisation pour la seconde phase (procédures, coordination, allocation budgétaire) ?</w:t>
            </w:r>
          </w:p>
        </w:tc>
      </w:tr>
      <w:tr w:rsidR="005A6764" w14:paraId="26CD4138" w14:textId="77777777" w:rsidTr="003D3AF0">
        <w:tc>
          <w:tcPr>
            <w:cnfStyle w:val="001000000000" w:firstRow="0" w:lastRow="0" w:firstColumn="1" w:lastColumn="0" w:oddVBand="0" w:evenVBand="0" w:oddHBand="0" w:evenHBand="0" w:firstRowFirstColumn="0" w:firstRowLastColumn="0" w:lastRowFirstColumn="0" w:lastRowLastColumn="0"/>
            <w:tcW w:w="2078" w:type="dxa"/>
            <w:shd w:val="clear" w:color="auto" w:fill="DAEEF3" w:themeFill="accent5" w:themeFillTint="33"/>
          </w:tcPr>
          <w:p w14:paraId="1405B11F" w14:textId="77777777" w:rsidR="005A6764" w:rsidRDefault="001A5BAC">
            <w:pPr>
              <w:spacing w:after="0"/>
              <w:ind w:left="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Tous les acteurs</w:t>
            </w:r>
          </w:p>
        </w:tc>
        <w:tc>
          <w:tcPr>
            <w:tcW w:w="2102" w:type="dxa"/>
            <w:shd w:val="clear" w:color="auto" w:fill="DAEEF3" w:themeFill="accent5" w:themeFillTint="33"/>
          </w:tcPr>
          <w:p w14:paraId="3968BF37" w14:textId="77777777" w:rsidR="005A6764" w:rsidRDefault="001A5BAC">
            <w:pPr>
              <w:spacing w:after="0"/>
              <w:ind w:left="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b/>
                <w:bCs/>
                <w:i w:val="0"/>
                <w:iCs w:val="0"/>
                <w:sz w:val="16"/>
                <w:szCs w:val="16"/>
                <w:lang w:eastAsia="fr-FR"/>
              </w:rPr>
              <w:t>Cohérence / complémentarité</w:t>
            </w:r>
          </w:p>
        </w:tc>
        <w:tc>
          <w:tcPr>
            <w:tcW w:w="2052" w:type="dxa"/>
            <w:shd w:val="clear" w:color="auto" w:fill="DAEEF3" w:themeFill="accent5" w:themeFillTint="33"/>
          </w:tcPr>
          <w:p w14:paraId="027C695E" w14:textId="77777777" w:rsidR="005A6764" w:rsidRDefault="001A5BAC">
            <w:pPr>
              <w:spacing w:after="0"/>
              <w:ind w:left="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Dans quelle mesure le projet est-il mis en œuvre de manière cohérente et complémentaire avec les autres initiatives, politiques publiques et partenariats existants aux niveaux national, régional et local ?</w:t>
            </w:r>
          </w:p>
        </w:tc>
        <w:tc>
          <w:tcPr>
            <w:tcW w:w="3539" w:type="dxa"/>
            <w:shd w:val="clear" w:color="auto" w:fill="DAEEF3" w:themeFill="accent5" w:themeFillTint="33"/>
          </w:tcPr>
          <w:p w14:paraId="79E2DA17"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Les interventions du projet sont-elles alignées avec les stratégies nationales (genre, climat, développement rural, autonomisation des femmes en milieu rural) et régionales ?</w:t>
            </w:r>
          </w:p>
          <w:p w14:paraId="0ED5A53D"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Des synergies efficaces ont-elles été établies avec d'autres projets, dispositifs ou acteurs ?</w:t>
            </w:r>
          </w:p>
          <w:p w14:paraId="3530C989"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Existe-t-il des risques de chevauchement ou de fragmentation ?</w:t>
            </w:r>
          </w:p>
          <w:p w14:paraId="2BB06556"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 Comment les rôles des différents acteurs (institutionnels, OSC, OPA) sont-ils articulés dans la chaîne de valeur du projet ?</w:t>
            </w:r>
          </w:p>
          <w:p w14:paraId="292C628B" w14:textId="77777777" w:rsidR="005A6764" w:rsidRDefault="001A5BAC">
            <w:pPr>
              <w:spacing w:after="0"/>
              <w:ind w:left="357"/>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6"/>
                <w:szCs w:val="16"/>
                <w:lang w:eastAsia="fr-FR"/>
              </w:rPr>
            </w:pPr>
            <w:r>
              <w:rPr>
                <w:rFonts w:ascii="Verdana" w:eastAsia="Times New Roman" w:hAnsi="Verdana" w:cs="Times New Roman"/>
                <w:i w:val="0"/>
                <w:iCs w:val="0"/>
                <w:sz w:val="16"/>
                <w:szCs w:val="16"/>
                <w:lang w:eastAsia="fr-FR"/>
              </w:rPr>
              <w:t>-Quelles recommandations pourraient renforcer les partenariats et la cohérence interinstitutionnelle dans la seconde phase ?</w:t>
            </w:r>
            <w:r>
              <w:rPr>
                <w:rFonts w:ascii="Verdana" w:eastAsia="Times New Roman" w:hAnsi="Verdana" w:cs="Times New Roman"/>
                <w:i w:val="0"/>
                <w:iCs w:val="0"/>
                <w:sz w:val="16"/>
                <w:szCs w:val="16"/>
                <w:lang w:eastAsia="fr-FR"/>
              </w:rPr>
              <w:br/>
            </w:r>
          </w:p>
        </w:tc>
      </w:tr>
    </w:tbl>
    <w:p w14:paraId="2B4BC934" w14:textId="77777777" w:rsidR="005A6764" w:rsidRDefault="005A6764">
      <w:pPr>
        <w:spacing w:after="0"/>
        <w:rPr>
          <w:rFonts w:ascii="Verdana" w:hAnsi="Verdana"/>
          <w:i w:val="0"/>
          <w:sz w:val="18"/>
          <w:szCs w:val="18"/>
        </w:rPr>
      </w:pPr>
    </w:p>
    <w:p w14:paraId="15728ACA" w14:textId="77777777" w:rsidR="005A6764" w:rsidRDefault="001A5BAC">
      <w:pPr>
        <w:pStyle w:val="Titre1"/>
        <w:shd w:val="clear" w:color="auto" w:fill="FFFFFF" w:themeFill="background1"/>
        <w:rPr>
          <w:rFonts w:hint="eastAsia"/>
          <w:color w:val="FFFFFF"/>
          <w:lang w:eastAsia="fr-FR"/>
        </w:rPr>
      </w:pPr>
      <w:r>
        <w:t>Axes et questions de capitalisation</w:t>
      </w:r>
    </w:p>
    <w:p w14:paraId="66431204" w14:textId="77777777" w:rsidR="005A6764" w:rsidRDefault="005A6764">
      <w:pPr>
        <w:spacing w:after="0"/>
        <w:rPr>
          <w:rFonts w:ascii="Verdana" w:hAnsi="Verdana"/>
          <w:i w:val="0"/>
          <w:sz w:val="18"/>
          <w:szCs w:val="18"/>
        </w:rPr>
      </w:pPr>
    </w:p>
    <w:p w14:paraId="36170ADB" w14:textId="77777777" w:rsidR="005A6764" w:rsidRDefault="001A5BAC">
      <w:pPr>
        <w:pStyle w:val="NormalWeb"/>
        <w:spacing w:before="0" w:beforeAutospacing="0" w:after="0" w:afterAutospacing="0"/>
        <w:rPr>
          <w:rFonts w:ascii="Verdana" w:hAnsi="Verdana"/>
          <w:i w:val="0"/>
          <w:iCs w:val="0"/>
          <w:sz w:val="18"/>
          <w:szCs w:val="18"/>
        </w:rPr>
      </w:pPr>
      <w:r>
        <w:rPr>
          <w:rFonts w:ascii="Verdana" w:hAnsi="Verdana"/>
          <w:i w:val="0"/>
          <w:iCs w:val="0"/>
          <w:sz w:val="18"/>
          <w:szCs w:val="18"/>
        </w:rPr>
        <w:t>En complément de l’évaluation, la démarche vise à identifier les bonnes pratiques, innovations et leçons apprises, notamment sur les processus clés du projet (Professionnalisation des OPA + outil de diagnostic, Diagnostic genre qui donne vie à l’appel à Projets, fonctionnement des CSO comme organe de gouvernance locale).</w:t>
      </w:r>
    </w:p>
    <w:p w14:paraId="2D084083" w14:textId="77777777" w:rsidR="005A6764" w:rsidRDefault="001A5BAC">
      <w:pPr>
        <w:spacing w:after="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 xml:space="preserve">Les axes de capitalisation suivants ont été définis et les questions correspondantes ont été élaborées pour guider cette analyse : </w:t>
      </w:r>
    </w:p>
    <w:p w14:paraId="309FA9F9" w14:textId="77777777" w:rsidR="005A6764" w:rsidRDefault="005A6764">
      <w:pPr>
        <w:spacing w:after="0"/>
        <w:rPr>
          <w:rFonts w:ascii="Verdana" w:eastAsia="Times New Roman" w:hAnsi="Verdana" w:cs="Calibri"/>
          <w:i w:val="0"/>
          <w:iCs w:val="0"/>
          <w:sz w:val="20"/>
          <w:szCs w:val="20"/>
        </w:rPr>
      </w:pPr>
    </w:p>
    <w:tbl>
      <w:tblPr>
        <w:tblStyle w:val="Grilledutableau1"/>
        <w:tblW w:w="9655" w:type="dxa"/>
        <w:tblLayout w:type="fixed"/>
        <w:tblCellMar>
          <w:top w:w="15" w:type="dxa"/>
          <w:left w:w="15" w:type="dxa"/>
          <w:bottom w:w="15" w:type="dxa"/>
          <w:right w:w="15" w:type="dxa"/>
        </w:tblCellMar>
        <w:tblLook w:val="04A0" w:firstRow="1" w:lastRow="0" w:firstColumn="1" w:lastColumn="0" w:noHBand="0" w:noVBand="1"/>
      </w:tblPr>
      <w:tblGrid>
        <w:gridCol w:w="644"/>
        <w:gridCol w:w="32"/>
        <w:gridCol w:w="3994"/>
        <w:gridCol w:w="4985"/>
      </w:tblGrid>
      <w:tr w:rsidR="005A6764" w14:paraId="03819088" w14:textId="77777777">
        <w:trPr>
          <w:trHeight w:val="321"/>
        </w:trPr>
        <w:tc>
          <w:tcPr>
            <w:tcW w:w="4670" w:type="dxa"/>
            <w:gridSpan w:val="3"/>
            <w:tcBorders>
              <w:top w:val="outset" w:sz="6" w:space="0" w:color="auto"/>
              <w:left w:val="outset" w:sz="6" w:space="0" w:color="auto"/>
              <w:bottom w:val="outset" w:sz="6" w:space="0" w:color="auto"/>
              <w:right w:val="outset" w:sz="6" w:space="0" w:color="auto"/>
            </w:tcBorders>
            <w:shd w:val="clear" w:color="auto" w:fill="B6DDE8" w:themeFill="accent5" w:themeFillTint="66"/>
            <w:vAlign w:val="center"/>
          </w:tcPr>
          <w:p w14:paraId="78487AC3" w14:textId="77777777" w:rsidR="005A6764" w:rsidRDefault="001A5BAC">
            <w:pPr>
              <w:pStyle w:val="NormalWeb"/>
              <w:spacing w:before="0" w:beforeAutospacing="0" w:after="0" w:afterAutospacing="0"/>
              <w:rPr>
                <w:rFonts w:ascii="Verdana" w:eastAsia="Cambria" w:hAnsi="Verdana" w:cs="Arial"/>
                <w:b/>
                <w:sz w:val="16"/>
                <w:szCs w:val="16"/>
              </w:rPr>
            </w:pPr>
            <w:r>
              <w:rPr>
                <w:rFonts w:ascii="Verdana" w:eastAsia="Cambria" w:hAnsi="Verdana" w:cs="Arial"/>
                <w:b/>
                <w:sz w:val="16"/>
                <w:szCs w:val="16"/>
              </w:rPr>
              <w:t>Axe 1 : Les démarches et méthodes d’intervention : conception, mise en œuvre et ajustements.</w:t>
            </w:r>
          </w:p>
          <w:p w14:paraId="0F9A8BB8" w14:textId="77777777" w:rsidR="005A6764" w:rsidRDefault="005A6764">
            <w:pPr>
              <w:pStyle w:val="2Tableaunormal"/>
              <w:autoSpaceDE w:val="0"/>
              <w:autoSpaceDN w:val="0"/>
              <w:adjustRightInd w:val="0"/>
              <w:spacing w:after="0"/>
              <w:rPr>
                <w:rFonts w:ascii="Verdana" w:hAnsi="Verdana" w:cs="Arial"/>
                <w:b/>
                <w:i w:val="0"/>
                <w:iCs w:val="0"/>
                <w:color w:val="auto"/>
                <w:sz w:val="16"/>
                <w:szCs w:val="16"/>
              </w:rPr>
            </w:pPr>
          </w:p>
        </w:tc>
        <w:tc>
          <w:tcPr>
            <w:tcW w:w="4985"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14:paraId="36EED581" w14:textId="77777777" w:rsidR="005A6764" w:rsidRDefault="001A5BAC">
            <w:pPr>
              <w:pStyle w:val="2Tableaunormal"/>
              <w:autoSpaceDE w:val="0"/>
              <w:autoSpaceDN w:val="0"/>
              <w:adjustRightInd w:val="0"/>
              <w:spacing w:after="0"/>
              <w:rPr>
                <w:rFonts w:ascii="Verdana" w:hAnsi="Verdana" w:cs="Arial"/>
                <w:b/>
                <w:sz w:val="16"/>
                <w:szCs w:val="16"/>
              </w:rPr>
            </w:pPr>
            <w:r>
              <w:rPr>
                <w:rFonts w:ascii="Verdana" w:hAnsi="Verdana" w:cs="Arial"/>
                <w:b/>
                <w:sz w:val="16"/>
                <w:szCs w:val="16"/>
              </w:rPr>
              <w:t xml:space="preserve">Objectif/ Résultat </w:t>
            </w:r>
          </w:p>
        </w:tc>
      </w:tr>
      <w:tr w:rsidR="005A6764" w14:paraId="0695F154" w14:textId="77777777">
        <w:trPr>
          <w:trHeight w:val="644"/>
        </w:trPr>
        <w:tc>
          <w:tcPr>
            <w:tcW w:w="644" w:type="dxa"/>
            <w:tcBorders>
              <w:top w:val="nil"/>
              <w:left w:val="outset" w:sz="6" w:space="0" w:color="auto"/>
              <w:bottom w:val="outset" w:sz="6" w:space="0" w:color="auto"/>
              <w:right w:val="outset" w:sz="6" w:space="0" w:color="auto"/>
            </w:tcBorders>
            <w:vAlign w:val="center"/>
          </w:tcPr>
          <w:p w14:paraId="1C925CA4" w14:textId="77777777" w:rsidR="005A6764" w:rsidRDefault="001A5BAC">
            <w:pPr>
              <w:pStyle w:val="2Tableaunormal"/>
              <w:autoSpaceDE w:val="0"/>
              <w:autoSpaceDN w:val="0"/>
              <w:adjustRightInd w:val="0"/>
              <w:spacing w:after="0"/>
              <w:rPr>
                <w:rFonts w:ascii="Verdana" w:eastAsia="Times New Roman" w:hAnsi="Verdana" w:cs="Calibri"/>
                <w:b/>
                <w:i w:val="0"/>
                <w:iCs w:val="0"/>
                <w:sz w:val="16"/>
                <w:szCs w:val="16"/>
              </w:rPr>
            </w:pPr>
            <w:r>
              <w:rPr>
                <w:rFonts w:ascii="Verdana" w:eastAsia="Times New Roman" w:hAnsi="Verdana" w:cs="Calibri"/>
                <w:b/>
                <w:i w:val="0"/>
                <w:iCs w:val="0"/>
                <w:sz w:val="16"/>
                <w:szCs w:val="16"/>
              </w:rPr>
              <w:t>Objet de capitalisation</w:t>
            </w:r>
          </w:p>
        </w:tc>
        <w:tc>
          <w:tcPr>
            <w:tcW w:w="4026" w:type="dxa"/>
            <w:gridSpan w:val="2"/>
            <w:tcBorders>
              <w:top w:val="outset" w:sz="6" w:space="0" w:color="auto"/>
              <w:left w:val="outset" w:sz="6" w:space="0" w:color="auto"/>
              <w:bottom w:val="outset" w:sz="6" w:space="0" w:color="auto"/>
              <w:right w:val="outset" w:sz="6" w:space="0" w:color="auto"/>
            </w:tcBorders>
            <w:vAlign w:val="bottom"/>
          </w:tcPr>
          <w:p w14:paraId="35F8D200" w14:textId="77777777" w:rsidR="005A6764" w:rsidRDefault="001A5BAC">
            <w:pPr>
              <w:spacing w:after="0"/>
              <w:jc w:val="left"/>
              <w:rPr>
                <w:rFonts w:ascii="Verdana" w:eastAsia="Times New Roman" w:hAnsi="Verdana" w:cs="Times New Roman"/>
                <w:b/>
                <w:bCs/>
                <w:i w:val="0"/>
                <w:iCs w:val="0"/>
                <w:color w:val="auto"/>
                <w:sz w:val="16"/>
                <w:szCs w:val="16"/>
              </w:rPr>
            </w:pPr>
            <w:r>
              <w:rPr>
                <w:rFonts w:ascii="Verdana" w:eastAsia="Times New Roman" w:hAnsi="Verdana" w:cs="Times New Roman"/>
                <w:b/>
                <w:bCs/>
                <w:i w:val="0"/>
                <w:iCs w:val="0"/>
                <w:color w:val="auto"/>
                <w:sz w:val="16"/>
                <w:szCs w:val="16"/>
              </w:rPr>
              <w:t xml:space="preserve">Processus de diagnostic participatif technique et organisationnel des OPA dans le cadre du projet EFOR : </w:t>
            </w:r>
          </w:p>
          <w:p w14:paraId="259D1C59" w14:textId="77777777" w:rsidR="005A6764" w:rsidRDefault="001A5BAC">
            <w:pPr>
              <w:spacing w:after="0"/>
              <w:jc w:val="left"/>
              <w:rPr>
                <w:rFonts w:ascii="Verdana" w:eastAsia="Times New Roman" w:hAnsi="Verdana" w:cs="Times New Roman"/>
                <w:b/>
                <w:bCs/>
                <w:i w:val="0"/>
                <w:iCs w:val="0"/>
                <w:color w:val="auto"/>
                <w:sz w:val="16"/>
                <w:szCs w:val="16"/>
              </w:rPr>
            </w:pPr>
            <w:r>
              <w:rPr>
                <w:rFonts w:ascii="Verdana" w:eastAsia="Times New Roman" w:hAnsi="Verdana" w:cs="Times New Roman"/>
                <w:b/>
                <w:bCs/>
                <w:i w:val="0"/>
                <w:iCs w:val="0"/>
                <w:color w:val="auto"/>
                <w:sz w:val="16"/>
                <w:szCs w:val="16"/>
              </w:rPr>
              <w:t>Apports, limites et leviers d'amélioration</w:t>
            </w:r>
          </w:p>
          <w:p w14:paraId="17554DB6" w14:textId="77777777" w:rsidR="005A6764" w:rsidRDefault="005A6764">
            <w:pPr>
              <w:spacing w:after="0"/>
              <w:rPr>
                <w:rFonts w:ascii="Verdana" w:hAnsi="Verdana" w:cs="Calibri"/>
                <w:bCs/>
                <w:i w:val="0"/>
                <w:sz w:val="16"/>
                <w:szCs w:val="16"/>
              </w:rPr>
            </w:pPr>
          </w:p>
        </w:tc>
        <w:tc>
          <w:tcPr>
            <w:tcW w:w="4985" w:type="dxa"/>
            <w:tcBorders>
              <w:top w:val="outset" w:sz="6" w:space="0" w:color="auto"/>
              <w:left w:val="outset" w:sz="6" w:space="0" w:color="auto"/>
              <w:bottom w:val="outset" w:sz="6" w:space="0" w:color="auto"/>
              <w:right w:val="outset" w:sz="6" w:space="0" w:color="auto"/>
            </w:tcBorders>
          </w:tcPr>
          <w:p w14:paraId="3E930E9E" w14:textId="77777777" w:rsidR="005A6764" w:rsidRDefault="001A5BAC">
            <w:pPr>
              <w:spacing w:after="0"/>
              <w:jc w:val="left"/>
              <w:rPr>
                <w:rFonts w:ascii="Verdana" w:hAnsi="Verdana"/>
                <w:sz w:val="16"/>
                <w:szCs w:val="16"/>
              </w:rPr>
            </w:pPr>
            <w:r>
              <w:rPr>
                <w:rFonts w:ascii="Verdana" w:hAnsi="Verdana"/>
                <w:sz w:val="16"/>
                <w:szCs w:val="16"/>
              </w:rPr>
              <w:t>Englober les différentes dimensions analysées lors de l’atelier de retour d’expérience mené en interne :</w:t>
            </w:r>
          </w:p>
          <w:p w14:paraId="2AA49286" w14:textId="77777777" w:rsidR="005A6764" w:rsidRDefault="001A5BAC">
            <w:pPr>
              <w:spacing w:after="0"/>
              <w:jc w:val="left"/>
              <w:rPr>
                <w:rFonts w:ascii="Verdana" w:eastAsia="Times New Roman" w:hAnsi="Verdana" w:cs="Times New Roman"/>
                <w:b/>
                <w:bCs/>
                <w:i w:val="0"/>
                <w:iCs w:val="0"/>
                <w:color w:val="auto"/>
                <w:sz w:val="16"/>
                <w:szCs w:val="16"/>
              </w:rPr>
            </w:pPr>
            <w:r>
              <w:rPr>
                <w:rFonts w:ascii="Verdana" w:hAnsi="Verdana"/>
                <w:sz w:val="16"/>
                <w:szCs w:val="16"/>
              </w:rPr>
              <w:t>mobilisation des parties prenantes, méthodologie, outils utilisés, gouvernance du processus, retombées concrètes et apprentissages pour l’avenir.</w:t>
            </w:r>
          </w:p>
        </w:tc>
      </w:tr>
      <w:tr w:rsidR="005A6764" w14:paraId="5F39663E" w14:textId="77777777">
        <w:trPr>
          <w:trHeight w:val="62"/>
        </w:trPr>
        <w:tc>
          <w:tcPr>
            <w:tcW w:w="644" w:type="dxa"/>
            <w:tcBorders>
              <w:top w:val="nil"/>
              <w:left w:val="outset" w:sz="6" w:space="0" w:color="auto"/>
              <w:bottom w:val="outset" w:sz="6" w:space="0" w:color="auto"/>
              <w:right w:val="outset" w:sz="6" w:space="0" w:color="auto"/>
            </w:tcBorders>
            <w:vAlign w:val="center"/>
          </w:tcPr>
          <w:p w14:paraId="4157E467" w14:textId="77777777" w:rsidR="005A6764" w:rsidRDefault="001A5BAC">
            <w:pPr>
              <w:pStyle w:val="2Tableaunormal"/>
              <w:autoSpaceDE w:val="0"/>
              <w:autoSpaceDN w:val="0"/>
              <w:adjustRightInd w:val="0"/>
              <w:spacing w:after="0"/>
              <w:rPr>
                <w:rFonts w:ascii="Verdana" w:eastAsia="Times New Roman" w:hAnsi="Verdana" w:cs="Calibri"/>
                <w:b/>
                <w:i w:val="0"/>
                <w:iCs w:val="0"/>
                <w:sz w:val="16"/>
                <w:szCs w:val="16"/>
              </w:rPr>
            </w:pPr>
            <w:r>
              <w:rPr>
                <w:rFonts w:ascii="Verdana" w:eastAsia="Times New Roman" w:hAnsi="Verdana" w:cs="Calibri"/>
                <w:b/>
                <w:i w:val="0"/>
                <w:iCs w:val="0"/>
                <w:sz w:val="16"/>
                <w:szCs w:val="16"/>
              </w:rPr>
              <w:t xml:space="preserve">Questions de </w:t>
            </w:r>
            <w:r>
              <w:rPr>
                <w:rFonts w:ascii="Verdana" w:eastAsia="Times New Roman" w:hAnsi="Verdana" w:cs="Calibri"/>
                <w:b/>
                <w:i w:val="0"/>
                <w:iCs w:val="0"/>
                <w:sz w:val="16"/>
                <w:szCs w:val="16"/>
              </w:rPr>
              <w:lastRenderedPageBreak/>
              <w:t>capitalisation</w:t>
            </w:r>
          </w:p>
        </w:tc>
        <w:tc>
          <w:tcPr>
            <w:tcW w:w="4026" w:type="dxa"/>
            <w:gridSpan w:val="2"/>
            <w:tcBorders>
              <w:top w:val="nil"/>
              <w:left w:val="outset" w:sz="6" w:space="0" w:color="auto"/>
              <w:bottom w:val="outset" w:sz="6" w:space="0" w:color="auto"/>
              <w:right w:val="outset" w:sz="6" w:space="0" w:color="auto"/>
            </w:tcBorders>
          </w:tcPr>
          <w:p w14:paraId="63E228CB" w14:textId="77777777" w:rsidR="005A6764" w:rsidRDefault="001A5BAC">
            <w:pPr>
              <w:numPr>
                <w:ilvl w:val="0"/>
                <w:numId w:val="12"/>
              </w:numPr>
              <w:tabs>
                <w:tab w:val="clear" w:pos="9923"/>
              </w:tabs>
              <w:spacing w:after="0"/>
              <w:jc w:val="left"/>
              <w:rPr>
                <w:rFonts w:ascii="Verdana" w:eastAsia="Times New Roman" w:hAnsi="Verdana" w:cs="Times New Roman"/>
                <w:i w:val="0"/>
                <w:iCs w:val="0"/>
                <w:color w:val="auto"/>
                <w:sz w:val="16"/>
                <w:szCs w:val="16"/>
              </w:rPr>
            </w:pPr>
            <w:r>
              <w:rPr>
                <w:rFonts w:ascii="Verdana" w:eastAsia="Times New Roman" w:hAnsi="Verdana" w:cs="Times New Roman"/>
                <w:i w:val="0"/>
                <w:iCs w:val="0"/>
                <w:color w:val="auto"/>
                <w:sz w:val="16"/>
                <w:szCs w:val="16"/>
              </w:rPr>
              <w:lastRenderedPageBreak/>
              <w:t xml:space="preserve">Quels ont été les éléments méthodologiques qui ont favorisé une participation effective, </w:t>
            </w:r>
            <w:r>
              <w:rPr>
                <w:rFonts w:ascii="Verdana" w:eastAsia="Times New Roman" w:hAnsi="Verdana" w:cs="Times New Roman"/>
                <w:i w:val="0"/>
                <w:iCs w:val="0"/>
                <w:color w:val="auto"/>
                <w:sz w:val="16"/>
                <w:szCs w:val="16"/>
              </w:rPr>
              <w:lastRenderedPageBreak/>
              <w:t>inclusive des OPA et des CSO tout au long du processus de diagnostic ?</w:t>
            </w:r>
          </w:p>
          <w:p w14:paraId="7643EABB" w14:textId="77777777" w:rsidR="005A6764" w:rsidRDefault="001A5BAC">
            <w:pPr>
              <w:pStyle w:val="Paragraphedeliste"/>
              <w:numPr>
                <w:ilvl w:val="0"/>
                <w:numId w:val="12"/>
              </w:numPr>
              <w:tabs>
                <w:tab w:val="clear" w:pos="9923"/>
              </w:tabs>
              <w:spacing w:after="0"/>
              <w:contextualSpacing/>
              <w:jc w:val="left"/>
              <w:rPr>
                <w:rFonts w:ascii="Verdana" w:eastAsia="Times New Roman" w:hAnsi="Verdana" w:cs="Times New Roman"/>
                <w:i w:val="0"/>
                <w:iCs w:val="0"/>
                <w:color w:val="auto"/>
                <w:sz w:val="16"/>
                <w:szCs w:val="16"/>
              </w:rPr>
            </w:pPr>
            <w:r>
              <w:rPr>
                <w:rFonts w:ascii="Verdana" w:eastAsia="Times New Roman" w:hAnsi="Verdana" w:cs="Times New Roman"/>
                <w:i w:val="0"/>
                <w:iCs w:val="0"/>
                <w:color w:val="auto"/>
                <w:sz w:val="16"/>
                <w:szCs w:val="16"/>
              </w:rPr>
              <w:t>Quels outils et démarches du diagnostic ont le mieux fonctionné dans la diversité des contextes régionaux, et pourquoi ?</w:t>
            </w:r>
          </w:p>
          <w:p w14:paraId="2690F2DC" w14:textId="77777777" w:rsidR="005A6764" w:rsidRDefault="001A5BAC">
            <w:pPr>
              <w:numPr>
                <w:ilvl w:val="0"/>
                <w:numId w:val="12"/>
              </w:numPr>
              <w:tabs>
                <w:tab w:val="clear" w:pos="9923"/>
              </w:tabs>
              <w:spacing w:after="0"/>
              <w:jc w:val="left"/>
              <w:rPr>
                <w:rFonts w:ascii="Verdana" w:eastAsia="Times New Roman" w:hAnsi="Verdana" w:cs="Times New Roman"/>
                <w:i w:val="0"/>
                <w:iCs w:val="0"/>
                <w:color w:val="auto"/>
                <w:sz w:val="16"/>
                <w:szCs w:val="16"/>
              </w:rPr>
            </w:pPr>
            <w:r>
              <w:rPr>
                <w:rFonts w:ascii="Verdana" w:eastAsia="Times New Roman" w:hAnsi="Verdana" w:cs="Times New Roman"/>
                <w:i w:val="0"/>
                <w:iCs w:val="0"/>
                <w:color w:val="auto"/>
                <w:sz w:val="16"/>
                <w:szCs w:val="16"/>
              </w:rPr>
              <w:t>Quels défis majeurs ont été rencontrés dans la mise en œuvre des différentes phases (initiale, présélection, diagnostic, restitution), et comment ont-ils été (ou non) surmontés ?</w:t>
            </w:r>
          </w:p>
          <w:p w14:paraId="21C19D31" w14:textId="77777777" w:rsidR="005A6764" w:rsidRDefault="001A5BAC">
            <w:pPr>
              <w:numPr>
                <w:ilvl w:val="0"/>
                <w:numId w:val="12"/>
              </w:numPr>
              <w:tabs>
                <w:tab w:val="clear" w:pos="9923"/>
              </w:tabs>
              <w:spacing w:after="0"/>
              <w:jc w:val="left"/>
              <w:rPr>
                <w:rFonts w:ascii="Verdana" w:eastAsia="Times New Roman" w:hAnsi="Verdana" w:cs="Calibri"/>
                <w:bCs/>
                <w:i w:val="0"/>
                <w:iCs w:val="0"/>
                <w:sz w:val="16"/>
                <w:szCs w:val="16"/>
              </w:rPr>
            </w:pPr>
            <w:r>
              <w:rPr>
                <w:rFonts w:ascii="Verdana" w:eastAsia="Times New Roman" w:hAnsi="Verdana" w:cs="Times New Roman"/>
                <w:i w:val="0"/>
                <w:iCs w:val="0"/>
                <w:color w:val="auto"/>
                <w:sz w:val="16"/>
                <w:szCs w:val="16"/>
              </w:rPr>
              <w:t>En quoi le processus de diagnostic participatif a-t-il contribué à renforcer les capacités des OPA et à structurer un accompagnement plus ciblé, personnalisé et durable ?</w:t>
            </w:r>
          </w:p>
        </w:tc>
        <w:tc>
          <w:tcPr>
            <w:tcW w:w="4985" w:type="dxa"/>
            <w:tcBorders>
              <w:top w:val="nil"/>
              <w:left w:val="outset" w:sz="6" w:space="0" w:color="auto"/>
              <w:bottom w:val="outset" w:sz="6" w:space="0" w:color="auto"/>
              <w:right w:val="outset" w:sz="6" w:space="0" w:color="auto"/>
            </w:tcBorders>
          </w:tcPr>
          <w:p w14:paraId="1BB82E47" w14:textId="77777777" w:rsidR="005A6764" w:rsidRDefault="001A5BAC">
            <w:pPr>
              <w:pStyle w:val="Paragraphedeliste"/>
              <w:numPr>
                <w:ilvl w:val="0"/>
                <w:numId w:val="13"/>
              </w:numPr>
              <w:tabs>
                <w:tab w:val="clear" w:pos="9923"/>
              </w:tabs>
              <w:spacing w:after="0"/>
              <w:contextualSpacing/>
              <w:jc w:val="left"/>
              <w:rPr>
                <w:rFonts w:ascii="Verdana" w:eastAsia="Times New Roman" w:hAnsi="Verdana" w:cs="Times New Roman"/>
                <w:color w:val="auto"/>
                <w:sz w:val="16"/>
                <w:szCs w:val="16"/>
              </w:rPr>
            </w:pPr>
            <w:r>
              <w:rPr>
                <w:rFonts w:ascii="Verdana" w:eastAsia="Times New Roman" w:hAnsi="Verdana" w:cs="Times New Roman"/>
                <w:color w:val="auto"/>
                <w:sz w:val="16"/>
                <w:szCs w:val="16"/>
              </w:rPr>
              <w:lastRenderedPageBreak/>
              <w:t>Identifier les facteurs clés de succès dans l’approche participative et l’appropriation par les parties prenantes.</w:t>
            </w:r>
          </w:p>
          <w:p w14:paraId="03D42C98" w14:textId="77777777" w:rsidR="005A6764" w:rsidRDefault="005A6764">
            <w:pPr>
              <w:pStyle w:val="Paragraphedeliste"/>
              <w:spacing w:after="0"/>
              <w:ind w:left="360"/>
              <w:jc w:val="left"/>
              <w:rPr>
                <w:rFonts w:ascii="Verdana" w:eastAsia="Times New Roman" w:hAnsi="Verdana" w:cs="Times New Roman"/>
                <w:color w:val="auto"/>
                <w:sz w:val="16"/>
                <w:szCs w:val="16"/>
              </w:rPr>
            </w:pPr>
          </w:p>
          <w:p w14:paraId="7DBF6BAD" w14:textId="77777777" w:rsidR="005A6764" w:rsidRDefault="005A6764" w:rsidP="00335FE8">
            <w:pPr>
              <w:pStyle w:val="Paragraphedeliste"/>
              <w:numPr>
                <w:ilvl w:val="0"/>
                <w:numId w:val="0"/>
              </w:numPr>
              <w:spacing w:after="0"/>
              <w:ind w:left="360"/>
              <w:jc w:val="left"/>
              <w:rPr>
                <w:rFonts w:ascii="Verdana" w:eastAsia="Times New Roman" w:hAnsi="Verdana" w:cs="Times New Roman"/>
                <w:color w:val="auto"/>
                <w:sz w:val="16"/>
                <w:szCs w:val="16"/>
              </w:rPr>
            </w:pPr>
          </w:p>
          <w:p w14:paraId="22295AC8" w14:textId="77777777" w:rsidR="005A6764" w:rsidRDefault="001A5BAC">
            <w:pPr>
              <w:pStyle w:val="Paragraphedeliste1"/>
              <w:numPr>
                <w:ilvl w:val="0"/>
                <w:numId w:val="13"/>
              </w:numPr>
              <w:tabs>
                <w:tab w:val="left" w:pos="0"/>
                <w:tab w:val="left" w:pos="315"/>
              </w:tabs>
              <w:spacing w:before="0" w:beforeAutospacing="0" w:after="0" w:afterAutospacing="0"/>
              <w:rPr>
                <w:rFonts w:ascii="Verdana" w:eastAsia="Times New Roman" w:hAnsi="Verdana" w:cs="Times New Roman"/>
                <w:color w:val="auto"/>
                <w:sz w:val="16"/>
                <w:szCs w:val="16"/>
              </w:rPr>
            </w:pPr>
            <w:r>
              <w:rPr>
                <w:rFonts w:ascii="Verdana" w:eastAsia="Times New Roman" w:hAnsi="Verdana" w:cs="Times New Roman"/>
                <w:color w:val="auto"/>
                <w:sz w:val="16"/>
                <w:szCs w:val="16"/>
              </w:rPr>
              <w:t>Dégager les outils les plus pertinents, analyser leur adaptabilité et en tirer des recommandations pour leur amélioration.</w:t>
            </w:r>
          </w:p>
          <w:p w14:paraId="278C6F24" w14:textId="77777777" w:rsidR="005A6764" w:rsidRDefault="001A5BAC">
            <w:pPr>
              <w:pStyle w:val="Paragraphedeliste"/>
              <w:numPr>
                <w:ilvl w:val="0"/>
                <w:numId w:val="13"/>
              </w:numPr>
              <w:tabs>
                <w:tab w:val="clear" w:pos="9923"/>
              </w:tabs>
              <w:spacing w:after="0"/>
              <w:contextualSpacing/>
              <w:jc w:val="left"/>
              <w:rPr>
                <w:rFonts w:ascii="Verdana" w:eastAsia="Times New Roman" w:hAnsi="Verdana" w:cs="Times New Roman"/>
                <w:color w:val="auto"/>
                <w:sz w:val="16"/>
                <w:szCs w:val="16"/>
              </w:rPr>
            </w:pPr>
            <w:r>
              <w:rPr>
                <w:rFonts w:ascii="Verdana" w:eastAsia="Times New Roman" w:hAnsi="Verdana" w:cs="Times New Roman"/>
                <w:color w:val="auto"/>
                <w:sz w:val="16"/>
                <w:szCs w:val="16"/>
              </w:rPr>
              <w:t>Documenter les tensions, blocages ou points critiques afin d’anticiper les améliorations futures.</w:t>
            </w:r>
          </w:p>
          <w:p w14:paraId="519092AA" w14:textId="77777777" w:rsidR="005A6764" w:rsidRDefault="005A6764">
            <w:pPr>
              <w:spacing w:after="0"/>
              <w:jc w:val="left"/>
              <w:rPr>
                <w:rFonts w:ascii="Verdana" w:eastAsia="Times New Roman" w:hAnsi="Verdana" w:cs="Times New Roman"/>
                <w:color w:val="auto"/>
                <w:sz w:val="16"/>
                <w:szCs w:val="16"/>
              </w:rPr>
            </w:pPr>
          </w:p>
          <w:p w14:paraId="325774C0" w14:textId="77777777" w:rsidR="005A6764" w:rsidRDefault="005A6764">
            <w:pPr>
              <w:spacing w:after="0"/>
              <w:jc w:val="left"/>
              <w:rPr>
                <w:rFonts w:ascii="Verdana" w:eastAsia="Times New Roman" w:hAnsi="Verdana" w:cs="Times New Roman"/>
                <w:color w:val="auto"/>
                <w:sz w:val="16"/>
                <w:szCs w:val="16"/>
              </w:rPr>
            </w:pPr>
          </w:p>
          <w:p w14:paraId="6026C04A" w14:textId="77777777" w:rsidR="005A6764" w:rsidRDefault="005A6764">
            <w:pPr>
              <w:spacing w:after="0"/>
              <w:ind w:left="0"/>
              <w:jc w:val="left"/>
              <w:rPr>
                <w:rFonts w:ascii="Verdana" w:eastAsia="Times New Roman" w:hAnsi="Verdana" w:cs="Times New Roman"/>
                <w:color w:val="auto"/>
                <w:sz w:val="16"/>
                <w:szCs w:val="16"/>
              </w:rPr>
            </w:pPr>
          </w:p>
          <w:p w14:paraId="49ABCF38" w14:textId="77777777" w:rsidR="005A6764" w:rsidRDefault="001A5BAC">
            <w:pPr>
              <w:pStyle w:val="Paragraphedeliste"/>
              <w:numPr>
                <w:ilvl w:val="0"/>
                <w:numId w:val="13"/>
              </w:numPr>
              <w:tabs>
                <w:tab w:val="clear" w:pos="9923"/>
              </w:tabs>
              <w:spacing w:after="0"/>
              <w:contextualSpacing/>
              <w:jc w:val="left"/>
              <w:rPr>
                <w:rFonts w:ascii="Verdana" w:eastAsia="Times New Roman" w:hAnsi="Verdana" w:cs="Times New Roman"/>
                <w:color w:val="auto"/>
                <w:sz w:val="16"/>
                <w:szCs w:val="16"/>
              </w:rPr>
            </w:pPr>
            <w:r>
              <w:rPr>
                <w:rFonts w:ascii="Verdana" w:eastAsia="Times New Roman" w:hAnsi="Verdana" w:cs="Times New Roman"/>
                <w:color w:val="auto"/>
                <w:sz w:val="16"/>
                <w:szCs w:val="16"/>
              </w:rPr>
              <w:t>Évaluer les effets induits du diagnostic, au-delà de sa phase d’exécution, en termes de transformation organisationnelle et de dynamique collective.</w:t>
            </w:r>
          </w:p>
        </w:tc>
      </w:tr>
      <w:tr w:rsidR="005A6764" w14:paraId="2EF06BEA" w14:textId="77777777">
        <w:trPr>
          <w:trHeight w:val="153"/>
        </w:trPr>
        <w:tc>
          <w:tcPr>
            <w:tcW w:w="4670" w:type="dxa"/>
            <w:gridSpan w:val="3"/>
            <w:tcBorders>
              <w:top w:val="nil"/>
              <w:left w:val="outset" w:sz="6" w:space="0" w:color="auto"/>
              <w:bottom w:val="outset" w:sz="6" w:space="0" w:color="auto"/>
              <w:right w:val="outset" w:sz="6" w:space="0" w:color="auto"/>
            </w:tcBorders>
            <w:shd w:val="clear" w:color="auto" w:fill="B6DDE8" w:themeFill="accent5" w:themeFillTint="66"/>
            <w:vAlign w:val="center"/>
          </w:tcPr>
          <w:p w14:paraId="38143CA1" w14:textId="77777777" w:rsidR="005A6764" w:rsidRDefault="001A5BAC">
            <w:pPr>
              <w:pStyle w:val="NormalWeb"/>
              <w:spacing w:before="0" w:beforeAutospacing="0" w:after="0" w:afterAutospacing="0"/>
              <w:rPr>
                <w:rFonts w:ascii="Verdana" w:eastAsia="Cambria" w:hAnsi="Verdana" w:cs="Arial"/>
                <w:b/>
                <w:sz w:val="16"/>
                <w:szCs w:val="16"/>
              </w:rPr>
            </w:pPr>
            <w:r>
              <w:rPr>
                <w:rFonts w:ascii="Verdana" w:eastAsia="Cambria" w:hAnsi="Verdana" w:cs="Arial"/>
                <w:b/>
                <w:sz w:val="16"/>
                <w:szCs w:val="16"/>
              </w:rPr>
              <w:lastRenderedPageBreak/>
              <w:t>Axe 2 : Les processus participatifs de diagnostic genre en amont d’un appel à projets : enjeux, conditions de réussite et impacts sur la mobilisation des OSC</w:t>
            </w:r>
          </w:p>
        </w:tc>
        <w:tc>
          <w:tcPr>
            <w:tcW w:w="4985" w:type="dxa"/>
            <w:tcBorders>
              <w:top w:val="nil"/>
              <w:left w:val="outset" w:sz="6" w:space="0" w:color="auto"/>
              <w:bottom w:val="outset" w:sz="6" w:space="0" w:color="auto"/>
              <w:right w:val="outset" w:sz="6" w:space="0" w:color="auto"/>
            </w:tcBorders>
            <w:shd w:val="clear" w:color="auto" w:fill="B6DDE8" w:themeFill="accent5" w:themeFillTint="66"/>
          </w:tcPr>
          <w:p w14:paraId="7B66B9BC" w14:textId="77777777" w:rsidR="005A6764" w:rsidRDefault="005A6764">
            <w:pPr>
              <w:pStyle w:val="NormalWeb"/>
              <w:spacing w:before="0" w:beforeAutospacing="0" w:after="0" w:afterAutospacing="0"/>
              <w:rPr>
                <w:rFonts w:ascii="Verdana" w:eastAsia="Cambria" w:hAnsi="Verdana" w:cs="Arial"/>
                <w:b/>
                <w:sz w:val="16"/>
                <w:szCs w:val="16"/>
              </w:rPr>
            </w:pPr>
          </w:p>
        </w:tc>
      </w:tr>
      <w:tr w:rsidR="005A6764" w14:paraId="39BBF8E5" w14:textId="77777777">
        <w:trPr>
          <w:trHeight w:val="489"/>
        </w:trPr>
        <w:tc>
          <w:tcPr>
            <w:tcW w:w="644" w:type="dxa"/>
            <w:tcBorders>
              <w:top w:val="nil"/>
              <w:left w:val="outset" w:sz="6" w:space="0" w:color="auto"/>
              <w:bottom w:val="outset" w:sz="6" w:space="0" w:color="auto"/>
              <w:right w:val="outset" w:sz="6" w:space="0" w:color="auto"/>
            </w:tcBorders>
            <w:vAlign w:val="center"/>
          </w:tcPr>
          <w:p w14:paraId="5868CB58" w14:textId="77777777" w:rsidR="005A6764" w:rsidRDefault="001A5BAC">
            <w:pPr>
              <w:pStyle w:val="2Tableaunormal"/>
              <w:autoSpaceDE w:val="0"/>
              <w:autoSpaceDN w:val="0"/>
              <w:adjustRightInd w:val="0"/>
              <w:spacing w:after="0"/>
              <w:rPr>
                <w:rFonts w:ascii="Verdana" w:eastAsia="Times New Roman" w:hAnsi="Verdana" w:cs="Calibri"/>
                <w:b/>
                <w:i w:val="0"/>
                <w:iCs w:val="0"/>
                <w:sz w:val="16"/>
                <w:szCs w:val="16"/>
              </w:rPr>
            </w:pPr>
            <w:r>
              <w:rPr>
                <w:rFonts w:ascii="Verdana" w:eastAsia="Times New Roman" w:hAnsi="Verdana" w:cs="Calibri"/>
                <w:b/>
                <w:i w:val="0"/>
                <w:iCs w:val="0"/>
                <w:sz w:val="16"/>
                <w:szCs w:val="16"/>
              </w:rPr>
              <w:t>Objet de capitalisation</w:t>
            </w:r>
          </w:p>
        </w:tc>
        <w:tc>
          <w:tcPr>
            <w:tcW w:w="4026" w:type="dxa"/>
            <w:gridSpan w:val="2"/>
            <w:tcBorders>
              <w:top w:val="outset" w:sz="6" w:space="0" w:color="auto"/>
              <w:left w:val="outset" w:sz="6" w:space="0" w:color="auto"/>
              <w:bottom w:val="outset" w:sz="6" w:space="0" w:color="auto"/>
              <w:right w:val="outset" w:sz="6" w:space="0" w:color="auto"/>
            </w:tcBorders>
            <w:vAlign w:val="center"/>
          </w:tcPr>
          <w:p w14:paraId="474DD8EB" w14:textId="77777777" w:rsidR="005A6764" w:rsidRDefault="001A5BAC">
            <w:pPr>
              <w:spacing w:after="0"/>
              <w:rPr>
                <w:rFonts w:ascii="Verdana" w:eastAsia="Times New Roman" w:hAnsi="Verdana" w:cs="Times New Roman"/>
                <w:b/>
                <w:bCs/>
                <w:i w:val="0"/>
                <w:iCs w:val="0"/>
                <w:color w:val="auto"/>
                <w:sz w:val="16"/>
                <w:szCs w:val="16"/>
              </w:rPr>
            </w:pPr>
            <w:r>
              <w:rPr>
                <w:rFonts w:ascii="Verdana" w:eastAsia="Times New Roman" w:hAnsi="Verdana" w:cs="Times New Roman"/>
                <w:b/>
                <w:bCs/>
                <w:i w:val="0"/>
                <w:iCs w:val="0"/>
                <w:color w:val="auto"/>
                <w:sz w:val="16"/>
                <w:szCs w:val="16"/>
              </w:rPr>
              <w:t>Le processus de diagnostic participatif genre ayant conduit à l’appel à projets auprès des OSC : une démarche d’ancrage territorial et d’appropriation collective pour une stratégie locale de sensibilisation au genre</w:t>
            </w:r>
          </w:p>
        </w:tc>
        <w:tc>
          <w:tcPr>
            <w:tcW w:w="4985" w:type="dxa"/>
            <w:tcBorders>
              <w:top w:val="outset" w:sz="6" w:space="0" w:color="auto"/>
              <w:left w:val="outset" w:sz="6" w:space="0" w:color="auto"/>
              <w:bottom w:val="outset" w:sz="6" w:space="0" w:color="auto"/>
              <w:right w:val="outset" w:sz="6" w:space="0" w:color="auto"/>
            </w:tcBorders>
          </w:tcPr>
          <w:p w14:paraId="10878312" w14:textId="77777777" w:rsidR="005A6764" w:rsidRDefault="001A5BAC">
            <w:pPr>
              <w:spacing w:after="0"/>
              <w:jc w:val="left"/>
              <w:rPr>
                <w:rFonts w:ascii="Verdana" w:eastAsia="Times New Roman" w:hAnsi="Verdana" w:cs="Calibri"/>
                <w:bCs/>
                <w:i w:val="0"/>
                <w:iCs w:val="0"/>
                <w:sz w:val="16"/>
                <w:szCs w:val="16"/>
              </w:rPr>
            </w:pPr>
            <w:r>
              <w:rPr>
                <w:rFonts w:ascii="Verdana" w:eastAsia="MS Mincho" w:hAnsi="Verdana"/>
                <w:sz w:val="16"/>
                <w:szCs w:val="16"/>
              </w:rPr>
              <w:t xml:space="preserve">Documenter comment le processus </w:t>
            </w:r>
            <w:r>
              <w:rPr>
                <w:rFonts w:ascii="Verdana" w:hAnsi="Verdana"/>
                <w:sz w:val="16"/>
                <w:szCs w:val="16"/>
              </w:rPr>
              <w:t xml:space="preserve">participatif genre a été conçu </w:t>
            </w:r>
            <w:r>
              <w:rPr>
                <w:rFonts w:ascii="Verdana" w:eastAsia="MS Mincho" w:hAnsi="Verdana"/>
                <w:sz w:val="16"/>
                <w:szCs w:val="16"/>
              </w:rPr>
              <w:t>et mis en œuvre.</w:t>
            </w:r>
            <w:r>
              <w:rPr>
                <w:rFonts w:ascii="Verdana" w:hAnsi="Verdana"/>
                <w:sz w:val="16"/>
                <w:szCs w:val="16"/>
              </w:rPr>
              <w:t xml:space="preserve"> </w:t>
            </w:r>
            <w:r>
              <w:rPr>
                <w:rFonts w:ascii="Verdana" w:eastAsia="MS Mincho" w:hAnsi="Verdana"/>
                <w:sz w:val="16"/>
                <w:szCs w:val="16"/>
              </w:rPr>
              <w:t xml:space="preserve"> Analyser son influence sur la qualité, la pertinence et la mobilisation autour de l’appel à projets genre.</w:t>
            </w:r>
            <w:r>
              <w:rPr>
                <w:rFonts w:ascii="Verdana" w:hAnsi="Verdana"/>
                <w:sz w:val="16"/>
                <w:szCs w:val="16"/>
              </w:rPr>
              <w:t xml:space="preserve"> Et i</w:t>
            </w:r>
            <w:r>
              <w:rPr>
                <w:rFonts w:ascii="Verdana" w:eastAsia="MS Mincho" w:hAnsi="Verdana"/>
                <w:sz w:val="16"/>
                <w:szCs w:val="16"/>
              </w:rPr>
              <w:t>dentifier les conditions facilitantes et les leviers pour reproduire ou améliorer ce type de démarche dans d’autres contextes.</w:t>
            </w:r>
          </w:p>
        </w:tc>
      </w:tr>
      <w:tr w:rsidR="005A6764" w14:paraId="60398ED9" w14:textId="77777777">
        <w:trPr>
          <w:trHeight w:val="694"/>
        </w:trPr>
        <w:tc>
          <w:tcPr>
            <w:tcW w:w="644" w:type="dxa"/>
            <w:tcBorders>
              <w:top w:val="nil"/>
              <w:left w:val="outset" w:sz="6" w:space="0" w:color="auto"/>
              <w:bottom w:val="single" w:sz="4" w:space="0" w:color="auto"/>
              <w:right w:val="outset" w:sz="6" w:space="0" w:color="auto"/>
            </w:tcBorders>
            <w:vAlign w:val="center"/>
          </w:tcPr>
          <w:p w14:paraId="7B483B3C" w14:textId="77777777" w:rsidR="005A6764" w:rsidRDefault="001A5BAC">
            <w:pPr>
              <w:pStyle w:val="2Tableaunormal"/>
              <w:autoSpaceDE w:val="0"/>
              <w:autoSpaceDN w:val="0"/>
              <w:adjustRightInd w:val="0"/>
              <w:spacing w:after="0"/>
              <w:rPr>
                <w:rFonts w:ascii="Verdana" w:eastAsia="Times New Roman" w:hAnsi="Verdana" w:cs="Calibri"/>
                <w:b/>
                <w:i w:val="0"/>
                <w:iCs w:val="0"/>
                <w:sz w:val="16"/>
                <w:szCs w:val="16"/>
              </w:rPr>
            </w:pPr>
            <w:r>
              <w:rPr>
                <w:rFonts w:ascii="Verdana" w:eastAsia="Times New Roman" w:hAnsi="Verdana" w:cs="Calibri"/>
                <w:b/>
                <w:i w:val="0"/>
                <w:iCs w:val="0"/>
                <w:sz w:val="16"/>
                <w:szCs w:val="16"/>
              </w:rPr>
              <w:t>Questions de capitalisation</w:t>
            </w:r>
          </w:p>
        </w:tc>
        <w:tc>
          <w:tcPr>
            <w:tcW w:w="4026" w:type="dxa"/>
            <w:gridSpan w:val="2"/>
            <w:tcBorders>
              <w:top w:val="nil"/>
              <w:left w:val="outset" w:sz="6" w:space="0" w:color="auto"/>
              <w:bottom w:val="single" w:sz="4" w:space="0" w:color="auto"/>
              <w:right w:val="outset" w:sz="6" w:space="0" w:color="auto"/>
            </w:tcBorders>
          </w:tcPr>
          <w:p w14:paraId="1D156908" w14:textId="77777777" w:rsidR="005A6764" w:rsidRDefault="001A5BAC">
            <w:pPr>
              <w:pStyle w:val="Paragraphedeliste"/>
              <w:numPr>
                <w:ilvl w:val="0"/>
                <w:numId w:val="12"/>
              </w:numPr>
              <w:tabs>
                <w:tab w:val="clear" w:pos="9923"/>
              </w:tabs>
              <w:spacing w:after="0"/>
              <w:contextualSpacing/>
              <w:jc w:val="left"/>
              <w:rPr>
                <w:rFonts w:ascii="Verdana" w:eastAsia="Times New Roman" w:hAnsi="Verdana" w:cs="Times New Roman"/>
                <w:i w:val="0"/>
                <w:iCs w:val="0"/>
                <w:color w:val="auto"/>
                <w:sz w:val="16"/>
                <w:szCs w:val="16"/>
              </w:rPr>
            </w:pPr>
            <w:r>
              <w:rPr>
                <w:rFonts w:ascii="Verdana" w:eastAsia="Times New Roman" w:hAnsi="Verdana" w:cs="Times New Roman"/>
                <w:i w:val="0"/>
                <w:iCs w:val="0"/>
                <w:color w:val="auto"/>
                <w:sz w:val="16"/>
                <w:szCs w:val="16"/>
              </w:rPr>
              <w:t>La méthodologie mise en oeuvre  dans le diagnostic participatif genre,  a t-elle permis de capter les réalités locales et les inégalités de genre ?</w:t>
            </w:r>
          </w:p>
          <w:p w14:paraId="596B11AD" w14:textId="77777777" w:rsidR="005A6764" w:rsidRDefault="001A5BAC">
            <w:pPr>
              <w:pStyle w:val="Paragraphedeliste"/>
              <w:numPr>
                <w:ilvl w:val="0"/>
                <w:numId w:val="12"/>
              </w:numPr>
              <w:tabs>
                <w:tab w:val="clear" w:pos="9923"/>
              </w:tabs>
              <w:spacing w:after="0"/>
              <w:contextualSpacing/>
              <w:jc w:val="left"/>
              <w:rPr>
                <w:rFonts w:ascii="Verdana" w:eastAsia="Times New Roman" w:hAnsi="Verdana" w:cs="Times New Roman"/>
                <w:i w:val="0"/>
                <w:iCs w:val="0"/>
                <w:color w:val="auto"/>
                <w:sz w:val="16"/>
                <w:szCs w:val="16"/>
              </w:rPr>
            </w:pPr>
            <w:r>
              <w:rPr>
                <w:rFonts w:ascii="Verdana" w:eastAsia="Times New Roman" w:hAnsi="Verdana" w:cs="Times New Roman"/>
                <w:i w:val="0"/>
                <w:iCs w:val="0"/>
                <w:color w:val="auto"/>
                <w:sz w:val="16"/>
                <w:szCs w:val="16"/>
              </w:rPr>
              <w:t>Comment le processus de diagnostic genre a-t-il contribué à éclairer les priorités et orientations de l’appel à projets ?</w:t>
            </w:r>
          </w:p>
          <w:p w14:paraId="7B91F568" w14:textId="77777777" w:rsidR="005A6764" w:rsidRDefault="001A5BAC">
            <w:pPr>
              <w:pStyle w:val="Paragraphedeliste"/>
              <w:numPr>
                <w:ilvl w:val="0"/>
                <w:numId w:val="12"/>
              </w:numPr>
              <w:tabs>
                <w:tab w:val="clear" w:pos="9923"/>
              </w:tabs>
              <w:spacing w:after="0"/>
              <w:contextualSpacing/>
              <w:jc w:val="left"/>
              <w:rPr>
                <w:rFonts w:ascii="Verdana" w:eastAsia="Times New Roman" w:hAnsi="Verdana" w:cs="Times New Roman"/>
                <w:i w:val="0"/>
                <w:iCs w:val="0"/>
                <w:color w:val="auto"/>
                <w:sz w:val="16"/>
                <w:szCs w:val="16"/>
              </w:rPr>
            </w:pPr>
            <w:r>
              <w:rPr>
                <w:rFonts w:ascii="Verdana" w:eastAsia="Times New Roman" w:hAnsi="Verdana" w:cs="Times New Roman"/>
                <w:i w:val="0"/>
                <w:iCs w:val="0"/>
                <w:color w:val="auto"/>
                <w:sz w:val="16"/>
                <w:szCs w:val="16"/>
              </w:rPr>
              <w:t>Dans quelle mesure ce processus a-t-il renforcé l’appropriation de la thématique genre par les OSC participantes, en amont de leur réponse à l’appel à projets ?</w:t>
            </w:r>
          </w:p>
          <w:p w14:paraId="298095A3" w14:textId="77777777" w:rsidR="005A6764" w:rsidRDefault="001A5BAC">
            <w:pPr>
              <w:pStyle w:val="Paragraphedeliste"/>
              <w:numPr>
                <w:ilvl w:val="0"/>
                <w:numId w:val="12"/>
              </w:numPr>
              <w:tabs>
                <w:tab w:val="clear" w:pos="9923"/>
              </w:tabs>
              <w:spacing w:after="0"/>
              <w:contextualSpacing/>
              <w:jc w:val="left"/>
              <w:rPr>
                <w:rFonts w:ascii="Verdana" w:eastAsia="Times New Roman" w:hAnsi="Verdana" w:cs="Times New Roman"/>
                <w:i w:val="0"/>
                <w:iCs w:val="0"/>
                <w:color w:val="auto"/>
                <w:sz w:val="16"/>
                <w:szCs w:val="16"/>
              </w:rPr>
            </w:pPr>
            <w:r>
              <w:rPr>
                <w:rFonts w:ascii="Verdana" w:eastAsia="Times New Roman" w:hAnsi="Verdana" w:cs="Times New Roman"/>
                <w:i w:val="0"/>
                <w:iCs w:val="0"/>
                <w:color w:val="auto"/>
                <w:sz w:val="16"/>
                <w:szCs w:val="16"/>
              </w:rPr>
              <w:t>Quels ont été les facteurs facilitants ou limitants dans la mise en œuvre de ce processus participatif genre, et quelles améliorations sont envisageables pour les prochaines initiatives similaires ?</w:t>
            </w:r>
          </w:p>
        </w:tc>
        <w:tc>
          <w:tcPr>
            <w:tcW w:w="4985" w:type="dxa"/>
            <w:tcBorders>
              <w:top w:val="nil"/>
              <w:left w:val="outset" w:sz="6" w:space="0" w:color="auto"/>
              <w:bottom w:val="single" w:sz="4" w:space="0" w:color="auto"/>
              <w:right w:val="outset" w:sz="6" w:space="0" w:color="auto"/>
            </w:tcBorders>
          </w:tcPr>
          <w:p w14:paraId="44F9559F" w14:textId="77777777" w:rsidR="005A6764" w:rsidRDefault="001A5BAC">
            <w:pPr>
              <w:pStyle w:val="Paragraphedeliste"/>
              <w:numPr>
                <w:ilvl w:val="2"/>
                <w:numId w:val="12"/>
              </w:numPr>
              <w:tabs>
                <w:tab w:val="clear" w:pos="9923"/>
              </w:tabs>
              <w:spacing w:after="0"/>
              <w:ind w:left="360"/>
              <w:contextualSpacing/>
              <w:jc w:val="left"/>
              <w:rPr>
                <w:rFonts w:ascii="Verdana" w:eastAsia="Times New Roman" w:hAnsi="Verdana" w:cs="Times New Roman"/>
                <w:i w:val="0"/>
                <w:iCs w:val="0"/>
                <w:color w:val="auto"/>
                <w:sz w:val="16"/>
                <w:szCs w:val="16"/>
              </w:rPr>
            </w:pPr>
            <w:r>
              <w:rPr>
                <w:rFonts w:ascii="Verdana" w:eastAsia="Times New Roman" w:hAnsi="Verdana" w:cs="Times New Roman"/>
                <w:i w:val="0"/>
                <w:iCs w:val="0"/>
                <w:color w:val="auto"/>
                <w:sz w:val="16"/>
                <w:szCs w:val="16"/>
              </w:rPr>
              <w:t>Evaluer la pertinence méthodologique et la capacité d’écoute réelle du processus.</w:t>
            </w:r>
          </w:p>
          <w:p w14:paraId="2C569293" w14:textId="77777777" w:rsidR="005A6764" w:rsidRDefault="005A6764">
            <w:pPr>
              <w:pStyle w:val="Paragraphedeliste1"/>
              <w:tabs>
                <w:tab w:val="left" w:pos="0"/>
                <w:tab w:val="left" w:pos="315"/>
              </w:tabs>
              <w:spacing w:before="0" w:beforeAutospacing="0" w:after="0" w:afterAutospacing="0"/>
              <w:rPr>
                <w:rFonts w:ascii="Verdana" w:eastAsia="Times New Roman" w:hAnsi="Verdana" w:cs="Calibri"/>
                <w:bCs/>
                <w:i w:val="0"/>
                <w:iCs w:val="0"/>
                <w:sz w:val="16"/>
                <w:szCs w:val="16"/>
              </w:rPr>
            </w:pPr>
          </w:p>
          <w:p w14:paraId="1041D4C4" w14:textId="77777777" w:rsidR="005A6764" w:rsidRDefault="005A6764">
            <w:pPr>
              <w:pStyle w:val="Paragraphedeliste1"/>
              <w:tabs>
                <w:tab w:val="left" w:pos="0"/>
                <w:tab w:val="left" w:pos="315"/>
              </w:tabs>
              <w:spacing w:before="0" w:beforeAutospacing="0" w:after="0" w:afterAutospacing="0"/>
              <w:rPr>
                <w:rFonts w:ascii="Verdana" w:eastAsia="Times New Roman" w:hAnsi="Verdana" w:cs="Calibri"/>
                <w:bCs/>
                <w:i w:val="0"/>
                <w:iCs w:val="0"/>
                <w:sz w:val="16"/>
                <w:szCs w:val="16"/>
              </w:rPr>
            </w:pPr>
          </w:p>
          <w:p w14:paraId="488C21FE" w14:textId="77777777" w:rsidR="005A6764" w:rsidRDefault="001A5BAC">
            <w:pPr>
              <w:pStyle w:val="Paragraphedeliste"/>
              <w:numPr>
                <w:ilvl w:val="2"/>
                <w:numId w:val="12"/>
              </w:numPr>
              <w:tabs>
                <w:tab w:val="clear" w:pos="9923"/>
              </w:tabs>
              <w:spacing w:after="0"/>
              <w:ind w:left="360"/>
              <w:contextualSpacing/>
              <w:jc w:val="left"/>
              <w:rPr>
                <w:rFonts w:ascii="Verdana" w:eastAsia="Times New Roman" w:hAnsi="Verdana" w:cs="Times New Roman"/>
                <w:i w:val="0"/>
                <w:iCs w:val="0"/>
                <w:color w:val="auto"/>
                <w:sz w:val="16"/>
                <w:szCs w:val="16"/>
              </w:rPr>
            </w:pPr>
            <w:r>
              <w:rPr>
                <w:rFonts w:ascii="Verdana" w:eastAsia="Times New Roman" w:hAnsi="Verdana" w:cs="Times New Roman"/>
                <w:i w:val="0"/>
                <w:iCs w:val="0"/>
                <w:color w:val="auto"/>
                <w:sz w:val="16"/>
                <w:szCs w:val="16"/>
              </w:rPr>
              <w:t>Vérifier la valeur ajoutée du diagnostic dans la construction stratégique de l’appel à projets.</w:t>
            </w:r>
          </w:p>
          <w:p w14:paraId="4300EF5B" w14:textId="77777777" w:rsidR="005A6764" w:rsidRDefault="005A6764">
            <w:pPr>
              <w:pStyle w:val="Paragraphedeliste"/>
              <w:numPr>
                <w:ilvl w:val="0"/>
                <w:numId w:val="0"/>
              </w:numPr>
              <w:spacing w:after="0"/>
              <w:ind w:left="1429"/>
              <w:rPr>
                <w:rFonts w:ascii="Verdana" w:eastAsia="Times New Roman" w:hAnsi="Verdana" w:cs="Times New Roman"/>
                <w:i w:val="0"/>
                <w:iCs w:val="0"/>
                <w:color w:val="auto"/>
                <w:sz w:val="16"/>
                <w:szCs w:val="16"/>
              </w:rPr>
            </w:pPr>
          </w:p>
          <w:p w14:paraId="15EB46FC" w14:textId="77777777" w:rsidR="005A6764" w:rsidRDefault="005A6764">
            <w:pPr>
              <w:pStyle w:val="Paragraphedeliste"/>
              <w:numPr>
                <w:ilvl w:val="0"/>
                <w:numId w:val="0"/>
              </w:numPr>
              <w:spacing w:after="0"/>
              <w:ind w:left="360"/>
              <w:jc w:val="left"/>
              <w:rPr>
                <w:rFonts w:ascii="Verdana" w:eastAsia="Times New Roman" w:hAnsi="Verdana" w:cs="Times New Roman"/>
                <w:i w:val="0"/>
                <w:iCs w:val="0"/>
                <w:color w:val="auto"/>
                <w:sz w:val="16"/>
                <w:szCs w:val="16"/>
              </w:rPr>
            </w:pPr>
          </w:p>
          <w:p w14:paraId="7E0EEB9D" w14:textId="77777777" w:rsidR="005A6764" w:rsidRDefault="001A5BAC">
            <w:pPr>
              <w:pStyle w:val="Paragraphedeliste"/>
              <w:numPr>
                <w:ilvl w:val="2"/>
                <w:numId w:val="12"/>
              </w:numPr>
              <w:tabs>
                <w:tab w:val="clear" w:pos="9923"/>
              </w:tabs>
              <w:spacing w:after="0"/>
              <w:ind w:left="360"/>
              <w:contextualSpacing/>
              <w:jc w:val="left"/>
              <w:rPr>
                <w:rFonts w:ascii="Verdana" w:eastAsia="Times New Roman" w:hAnsi="Verdana" w:cs="Times New Roman"/>
                <w:i w:val="0"/>
                <w:iCs w:val="0"/>
                <w:color w:val="auto"/>
                <w:sz w:val="16"/>
                <w:szCs w:val="16"/>
              </w:rPr>
            </w:pPr>
            <w:r>
              <w:rPr>
                <w:rFonts w:ascii="Verdana" w:eastAsia="Times New Roman" w:hAnsi="Verdana" w:cs="Times New Roman"/>
                <w:i w:val="0"/>
                <w:iCs w:val="0"/>
                <w:color w:val="auto"/>
                <w:sz w:val="16"/>
                <w:szCs w:val="16"/>
              </w:rPr>
              <w:t>Analyser les effets capacitants et d'engagement générés.</w:t>
            </w:r>
          </w:p>
          <w:p w14:paraId="1D71DD79" w14:textId="77777777" w:rsidR="005A6764" w:rsidRDefault="005A6764">
            <w:pPr>
              <w:pStyle w:val="Paragraphedeliste"/>
              <w:numPr>
                <w:ilvl w:val="0"/>
                <w:numId w:val="0"/>
              </w:numPr>
              <w:spacing w:after="0"/>
              <w:ind w:left="1429"/>
              <w:rPr>
                <w:rFonts w:ascii="Verdana" w:eastAsia="Times New Roman" w:hAnsi="Verdana" w:cs="Times New Roman"/>
                <w:i w:val="0"/>
                <w:iCs w:val="0"/>
                <w:color w:val="auto"/>
                <w:sz w:val="16"/>
                <w:szCs w:val="16"/>
              </w:rPr>
            </w:pPr>
          </w:p>
          <w:p w14:paraId="344A331D" w14:textId="77777777" w:rsidR="005A6764" w:rsidRDefault="005A6764">
            <w:pPr>
              <w:pStyle w:val="Paragraphedeliste"/>
              <w:numPr>
                <w:ilvl w:val="0"/>
                <w:numId w:val="0"/>
              </w:numPr>
              <w:spacing w:after="0"/>
              <w:ind w:left="1429"/>
              <w:rPr>
                <w:rFonts w:ascii="Verdana" w:eastAsia="Times New Roman" w:hAnsi="Verdana" w:cs="Times New Roman"/>
                <w:i w:val="0"/>
                <w:iCs w:val="0"/>
                <w:color w:val="auto"/>
                <w:sz w:val="16"/>
                <w:szCs w:val="16"/>
              </w:rPr>
            </w:pPr>
          </w:p>
          <w:p w14:paraId="1D97B64E" w14:textId="77777777" w:rsidR="005A6764" w:rsidRDefault="001A5BAC">
            <w:pPr>
              <w:pStyle w:val="Paragraphedeliste1"/>
              <w:numPr>
                <w:ilvl w:val="2"/>
                <w:numId w:val="12"/>
              </w:numPr>
              <w:tabs>
                <w:tab w:val="left" w:pos="0"/>
                <w:tab w:val="left" w:pos="315"/>
              </w:tabs>
              <w:spacing w:before="0" w:beforeAutospacing="0" w:after="0" w:afterAutospacing="0"/>
              <w:ind w:left="360"/>
              <w:rPr>
                <w:rFonts w:ascii="Verdana" w:eastAsia="Times New Roman" w:hAnsi="Verdana" w:cs="Calibri"/>
                <w:bCs/>
                <w:i w:val="0"/>
                <w:iCs w:val="0"/>
                <w:sz w:val="16"/>
                <w:szCs w:val="16"/>
              </w:rPr>
            </w:pPr>
            <w:r>
              <w:rPr>
                <w:rFonts w:ascii="Verdana" w:eastAsia="Times New Roman" w:hAnsi="Verdana" w:cs="Times New Roman"/>
                <w:i w:val="0"/>
                <w:iCs w:val="0"/>
                <w:color w:val="auto"/>
                <w:sz w:val="16"/>
                <w:szCs w:val="16"/>
              </w:rPr>
              <w:t>Identifier les enseignements pratiques et les pistes d’optimisation.</w:t>
            </w:r>
          </w:p>
        </w:tc>
      </w:tr>
      <w:tr w:rsidR="005A6764" w14:paraId="2105C7F2" w14:textId="77777777">
        <w:trPr>
          <w:trHeight w:val="694"/>
        </w:trPr>
        <w:tc>
          <w:tcPr>
            <w:tcW w:w="4670" w:type="dxa"/>
            <w:gridSpan w:val="3"/>
            <w:tcBorders>
              <w:top w:val="single" w:sz="4" w:space="0" w:color="auto"/>
              <w:left w:val="outset" w:sz="6" w:space="0" w:color="auto"/>
              <w:bottom w:val="single" w:sz="4" w:space="0" w:color="auto"/>
              <w:right w:val="outset" w:sz="6" w:space="0" w:color="auto"/>
            </w:tcBorders>
            <w:shd w:val="clear" w:color="auto" w:fill="B6DDE8" w:themeFill="accent5" w:themeFillTint="66"/>
            <w:vAlign w:val="center"/>
          </w:tcPr>
          <w:p w14:paraId="1B2A03BC" w14:textId="77777777" w:rsidR="005A6764" w:rsidRDefault="001A5BAC">
            <w:pPr>
              <w:pStyle w:val="2Tableaunormal"/>
              <w:autoSpaceDE w:val="0"/>
              <w:autoSpaceDN w:val="0"/>
              <w:adjustRightInd w:val="0"/>
              <w:spacing w:after="0"/>
              <w:rPr>
                <w:rFonts w:ascii="Verdana" w:hAnsi="Verdana" w:cs="Arial"/>
                <w:b/>
                <w:i w:val="0"/>
                <w:iCs w:val="0"/>
                <w:color w:val="auto"/>
                <w:sz w:val="16"/>
                <w:szCs w:val="16"/>
              </w:rPr>
            </w:pPr>
            <w:r>
              <w:rPr>
                <w:rFonts w:ascii="Verdana" w:hAnsi="Verdana" w:cs="Arial"/>
                <w:b/>
                <w:i w:val="0"/>
                <w:iCs w:val="0"/>
                <w:color w:val="auto"/>
                <w:sz w:val="16"/>
                <w:szCs w:val="16"/>
              </w:rPr>
              <w:t>Axe 3 : Les Comités de Suivi Opérationnel (CSO) comme levier de gouvernance locale dans le projet EFOR : mécanismes, apprentissages et enjeux de pérennisation</w:t>
            </w:r>
          </w:p>
        </w:tc>
        <w:tc>
          <w:tcPr>
            <w:tcW w:w="4985" w:type="dxa"/>
            <w:tcBorders>
              <w:top w:val="single" w:sz="4" w:space="0" w:color="auto"/>
              <w:left w:val="outset" w:sz="6" w:space="0" w:color="auto"/>
              <w:bottom w:val="single" w:sz="4" w:space="0" w:color="auto"/>
              <w:right w:val="outset" w:sz="6" w:space="0" w:color="auto"/>
            </w:tcBorders>
            <w:shd w:val="clear" w:color="auto" w:fill="B6DDE8" w:themeFill="accent5" w:themeFillTint="66"/>
          </w:tcPr>
          <w:p w14:paraId="35DE022A" w14:textId="77777777" w:rsidR="005A6764" w:rsidRDefault="005A6764">
            <w:pPr>
              <w:pStyle w:val="2Tableaunormal"/>
              <w:autoSpaceDE w:val="0"/>
              <w:autoSpaceDN w:val="0"/>
              <w:adjustRightInd w:val="0"/>
              <w:spacing w:after="0"/>
              <w:rPr>
                <w:rFonts w:ascii="Verdana" w:hAnsi="Verdana" w:cs="Arial"/>
                <w:b/>
                <w:i w:val="0"/>
                <w:iCs w:val="0"/>
                <w:color w:val="auto"/>
                <w:sz w:val="16"/>
                <w:szCs w:val="16"/>
              </w:rPr>
            </w:pPr>
          </w:p>
        </w:tc>
      </w:tr>
      <w:tr w:rsidR="005A6764" w14:paraId="5CE19BD9" w14:textId="77777777">
        <w:trPr>
          <w:trHeight w:val="694"/>
        </w:trPr>
        <w:tc>
          <w:tcPr>
            <w:tcW w:w="676" w:type="dxa"/>
            <w:gridSpan w:val="2"/>
            <w:tcBorders>
              <w:top w:val="single" w:sz="4" w:space="0" w:color="auto"/>
              <w:left w:val="outset" w:sz="6" w:space="0" w:color="auto"/>
              <w:bottom w:val="single" w:sz="4" w:space="0" w:color="auto"/>
              <w:right w:val="single" w:sz="4" w:space="0" w:color="auto"/>
            </w:tcBorders>
            <w:shd w:val="clear" w:color="auto" w:fill="FFFFFF" w:themeFill="background1"/>
            <w:vAlign w:val="center"/>
          </w:tcPr>
          <w:p w14:paraId="75D45BB6" w14:textId="77777777" w:rsidR="005A6764" w:rsidRDefault="001A5BAC">
            <w:pPr>
              <w:pStyle w:val="2Tableaunormal"/>
              <w:autoSpaceDE w:val="0"/>
              <w:autoSpaceDN w:val="0"/>
              <w:adjustRightInd w:val="0"/>
              <w:spacing w:after="0"/>
              <w:rPr>
                <w:rFonts w:ascii="Verdana" w:hAnsi="Verdana" w:cs="Arial"/>
                <w:b/>
                <w:i w:val="0"/>
                <w:iCs w:val="0"/>
                <w:color w:val="auto"/>
                <w:sz w:val="16"/>
                <w:szCs w:val="16"/>
              </w:rPr>
            </w:pPr>
            <w:r>
              <w:rPr>
                <w:rFonts w:ascii="Verdana" w:hAnsi="Verdana" w:cs="Arial"/>
                <w:b/>
                <w:i w:val="0"/>
                <w:iCs w:val="0"/>
                <w:color w:val="auto"/>
                <w:sz w:val="16"/>
                <w:szCs w:val="16"/>
              </w:rPr>
              <w:t>Objet de capitalisation</w:t>
            </w:r>
          </w:p>
        </w:tc>
        <w:tc>
          <w:tcPr>
            <w:tcW w:w="3994" w:type="dxa"/>
            <w:tcBorders>
              <w:top w:val="single" w:sz="4" w:space="0" w:color="auto"/>
              <w:left w:val="single" w:sz="4" w:space="0" w:color="auto"/>
              <w:bottom w:val="single" w:sz="4" w:space="0" w:color="auto"/>
              <w:right w:val="outset" w:sz="6" w:space="0" w:color="auto"/>
            </w:tcBorders>
            <w:shd w:val="clear" w:color="auto" w:fill="FFFFFF" w:themeFill="background1"/>
            <w:vAlign w:val="center"/>
          </w:tcPr>
          <w:p w14:paraId="6ECF5C49" w14:textId="77777777" w:rsidR="005A6764" w:rsidRDefault="001A5BAC">
            <w:pPr>
              <w:pStyle w:val="2Tableaunormal"/>
              <w:autoSpaceDE w:val="0"/>
              <w:autoSpaceDN w:val="0"/>
              <w:adjustRightInd w:val="0"/>
              <w:spacing w:after="0"/>
              <w:rPr>
                <w:rFonts w:ascii="Verdana" w:eastAsia="Times New Roman" w:hAnsi="Verdana"/>
                <w:b/>
                <w:bCs/>
                <w:i w:val="0"/>
                <w:iCs w:val="0"/>
                <w:color w:val="auto"/>
                <w:sz w:val="16"/>
                <w:szCs w:val="16"/>
              </w:rPr>
            </w:pPr>
            <w:r>
              <w:rPr>
                <w:rFonts w:ascii="Verdana" w:eastAsia="Times New Roman" w:hAnsi="Verdana"/>
                <w:b/>
                <w:bCs/>
                <w:i w:val="0"/>
                <w:iCs w:val="0"/>
                <w:color w:val="auto"/>
                <w:sz w:val="16"/>
                <w:szCs w:val="16"/>
              </w:rPr>
              <w:t xml:space="preserve">L’expérience de gouvernance locale multi-acteurs à travers la mise en place des CSO régionaux composés de représentant-es des administrations publiques : </w:t>
            </w:r>
          </w:p>
          <w:p w14:paraId="24145070" w14:textId="77777777" w:rsidR="005A6764" w:rsidRDefault="001A5BAC">
            <w:pPr>
              <w:pStyle w:val="2Tableaunormal"/>
              <w:autoSpaceDE w:val="0"/>
              <w:autoSpaceDN w:val="0"/>
              <w:adjustRightInd w:val="0"/>
              <w:spacing w:after="0"/>
              <w:rPr>
                <w:rFonts w:ascii="Verdana" w:eastAsia="Times New Roman" w:hAnsi="Verdana" w:cs="Times New Roman"/>
                <w:b/>
                <w:bCs/>
                <w:i w:val="0"/>
                <w:iCs w:val="0"/>
                <w:color w:val="auto"/>
                <w:sz w:val="16"/>
                <w:szCs w:val="16"/>
              </w:rPr>
            </w:pPr>
            <w:r>
              <w:rPr>
                <w:rFonts w:ascii="Verdana" w:eastAsia="Times New Roman" w:hAnsi="Verdana"/>
                <w:b/>
                <w:bCs/>
                <w:i w:val="0"/>
                <w:iCs w:val="0"/>
                <w:color w:val="auto"/>
                <w:sz w:val="16"/>
                <w:szCs w:val="16"/>
              </w:rPr>
              <w:t>Vers un pilotage territorial concerté et ancré des projets de développement</w:t>
            </w:r>
          </w:p>
        </w:tc>
        <w:tc>
          <w:tcPr>
            <w:tcW w:w="4985" w:type="dxa"/>
            <w:tcBorders>
              <w:top w:val="single" w:sz="4" w:space="0" w:color="auto"/>
              <w:left w:val="outset" w:sz="6" w:space="0" w:color="auto"/>
              <w:bottom w:val="single" w:sz="4" w:space="0" w:color="auto"/>
              <w:right w:val="outset" w:sz="6" w:space="0" w:color="auto"/>
            </w:tcBorders>
            <w:shd w:val="clear" w:color="auto" w:fill="FFFFFF" w:themeFill="background1"/>
          </w:tcPr>
          <w:p w14:paraId="3A5E8C2A" w14:textId="77777777" w:rsidR="005A6764" w:rsidRDefault="001A5BAC">
            <w:pPr>
              <w:spacing w:after="0"/>
              <w:jc w:val="left"/>
              <w:rPr>
                <w:rFonts w:ascii="Verdana" w:eastAsia="Times New Roman" w:hAnsi="Verdana" w:cs="Times New Roman"/>
                <w:color w:val="auto"/>
                <w:sz w:val="16"/>
                <w:szCs w:val="16"/>
              </w:rPr>
            </w:pPr>
            <w:r>
              <w:rPr>
                <w:rFonts w:ascii="Verdana" w:eastAsia="Times New Roman" w:hAnsi="Verdana" w:cs="Times New Roman"/>
                <w:color w:val="auto"/>
                <w:sz w:val="16"/>
                <w:szCs w:val="16"/>
              </w:rPr>
              <w:t>Renforcer la gouvernance territoriale du projet EFOR, en structurant une coordination interinstitutionnelle sur les thématiques agricoles et de genre. Ancrer le pilotage du projet dans une logique de coresponsabilité en créant des dynamiques régionales favorables à la durabilité de l’action.</w:t>
            </w:r>
          </w:p>
          <w:p w14:paraId="5833F8EE" w14:textId="77777777" w:rsidR="005A6764" w:rsidRDefault="005A6764">
            <w:pPr>
              <w:pStyle w:val="2Tableaunormal"/>
              <w:autoSpaceDE w:val="0"/>
              <w:autoSpaceDN w:val="0"/>
              <w:adjustRightInd w:val="0"/>
              <w:spacing w:after="0"/>
              <w:rPr>
                <w:rFonts w:ascii="Verdana" w:hAnsi="Verdana" w:cs="Arial"/>
                <w:b/>
                <w:i w:val="0"/>
                <w:iCs w:val="0"/>
                <w:color w:val="auto"/>
                <w:sz w:val="16"/>
                <w:szCs w:val="16"/>
              </w:rPr>
            </w:pPr>
          </w:p>
        </w:tc>
      </w:tr>
      <w:tr w:rsidR="005A6764" w14:paraId="6BB1AECE" w14:textId="77777777">
        <w:trPr>
          <w:trHeight w:val="694"/>
        </w:trPr>
        <w:tc>
          <w:tcPr>
            <w:tcW w:w="676" w:type="dxa"/>
            <w:gridSpan w:val="2"/>
            <w:tcBorders>
              <w:top w:val="single" w:sz="4" w:space="0" w:color="auto"/>
              <w:left w:val="outset" w:sz="6" w:space="0" w:color="auto"/>
              <w:bottom w:val="outset" w:sz="6" w:space="0" w:color="auto"/>
              <w:right w:val="single" w:sz="4" w:space="0" w:color="auto"/>
            </w:tcBorders>
            <w:shd w:val="clear" w:color="auto" w:fill="FFFFFF" w:themeFill="background1"/>
            <w:vAlign w:val="center"/>
          </w:tcPr>
          <w:p w14:paraId="5624C86B" w14:textId="77777777" w:rsidR="005A6764" w:rsidRDefault="001A5BAC">
            <w:pPr>
              <w:pStyle w:val="2Tableaunormal"/>
              <w:autoSpaceDE w:val="0"/>
              <w:autoSpaceDN w:val="0"/>
              <w:adjustRightInd w:val="0"/>
              <w:spacing w:after="0"/>
              <w:rPr>
                <w:rFonts w:ascii="Verdana" w:hAnsi="Verdana" w:cs="Arial"/>
                <w:b/>
                <w:i w:val="0"/>
                <w:iCs w:val="0"/>
                <w:color w:val="auto"/>
                <w:sz w:val="16"/>
                <w:szCs w:val="16"/>
              </w:rPr>
            </w:pPr>
            <w:r>
              <w:rPr>
                <w:rFonts w:ascii="Verdana" w:eastAsia="Times New Roman" w:hAnsi="Verdana" w:cs="Calibri"/>
                <w:b/>
                <w:i w:val="0"/>
                <w:iCs w:val="0"/>
                <w:sz w:val="16"/>
                <w:szCs w:val="16"/>
              </w:rPr>
              <w:t>Questions de capitalisation</w:t>
            </w:r>
          </w:p>
        </w:tc>
        <w:tc>
          <w:tcPr>
            <w:tcW w:w="3994" w:type="dxa"/>
            <w:tcBorders>
              <w:top w:val="single" w:sz="4" w:space="0" w:color="auto"/>
              <w:left w:val="single" w:sz="4" w:space="0" w:color="auto"/>
              <w:bottom w:val="outset" w:sz="6" w:space="0" w:color="auto"/>
              <w:right w:val="outset" w:sz="6" w:space="0" w:color="auto"/>
            </w:tcBorders>
            <w:shd w:val="clear" w:color="auto" w:fill="FFFFFF" w:themeFill="background1"/>
            <w:vAlign w:val="center"/>
          </w:tcPr>
          <w:p w14:paraId="5C29A2FC" w14:textId="77777777" w:rsidR="005A6764" w:rsidRDefault="001A5BAC">
            <w:pPr>
              <w:pStyle w:val="NormalWeb"/>
              <w:numPr>
                <w:ilvl w:val="0"/>
                <w:numId w:val="14"/>
              </w:numPr>
              <w:tabs>
                <w:tab w:val="clear" w:pos="9923"/>
              </w:tabs>
              <w:spacing w:before="0" w:beforeAutospacing="0" w:after="0" w:afterAutospacing="0"/>
              <w:jc w:val="left"/>
              <w:rPr>
                <w:rFonts w:ascii="Verdana" w:hAnsi="Verdana"/>
                <w:b/>
                <w:bCs/>
                <w:i w:val="0"/>
                <w:iCs w:val="0"/>
                <w:color w:val="auto"/>
                <w:sz w:val="16"/>
                <w:szCs w:val="16"/>
              </w:rPr>
            </w:pPr>
            <w:r>
              <w:rPr>
                <w:rStyle w:val="lev"/>
                <w:rFonts w:ascii="Verdana" w:hAnsi="Verdana"/>
                <w:b w:val="0"/>
                <w:bCs w:val="0"/>
                <w:sz w:val="16"/>
                <w:szCs w:val="16"/>
              </w:rPr>
              <w:t>Comment les CSO ont-ils été constitués, structurés et animés, et dans quelle mesure leur composition a-t-elle favorisé une représentation équilibrée des acteurs régionaux actifs dans les thématiques d’intervention  du projet ?</w:t>
            </w:r>
          </w:p>
          <w:p w14:paraId="445E8FE3" w14:textId="77777777" w:rsidR="005A6764" w:rsidRDefault="001A5BAC">
            <w:pPr>
              <w:pStyle w:val="NormalWeb"/>
              <w:numPr>
                <w:ilvl w:val="0"/>
                <w:numId w:val="14"/>
              </w:numPr>
              <w:tabs>
                <w:tab w:val="clear" w:pos="9923"/>
              </w:tabs>
              <w:spacing w:before="0" w:beforeAutospacing="0" w:after="0" w:afterAutospacing="0"/>
              <w:jc w:val="left"/>
              <w:rPr>
                <w:rFonts w:ascii="Verdana" w:hAnsi="Verdana"/>
                <w:b/>
                <w:bCs/>
                <w:sz w:val="16"/>
                <w:szCs w:val="16"/>
              </w:rPr>
            </w:pPr>
            <w:r>
              <w:rPr>
                <w:rStyle w:val="lev"/>
                <w:rFonts w:ascii="Verdana" w:hAnsi="Verdana"/>
                <w:b w:val="0"/>
                <w:bCs w:val="0"/>
                <w:sz w:val="16"/>
                <w:szCs w:val="16"/>
              </w:rPr>
              <w:t>Quels rôles et fonctions ont effectivement été assumés par les CSO dans la mise en œuvre du projet?</w:t>
            </w:r>
          </w:p>
          <w:p w14:paraId="7AC2D858" w14:textId="77777777" w:rsidR="005A6764" w:rsidRDefault="001A5BAC">
            <w:pPr>
              <w:pStyle w:val="NormalWeb"/>
              <w:numPr>
                <w:ilvl w:val="0"/>
                <w:numId w:val="14"/>
              </w:numPr>
              <w:tabs>
                <w:tab w:val="clear" w:pos="9923"/>
              </w:tabs>
              <w:spacing w:before="0" w:beforeAutospacing="0" w:after="0" w:afterAutospacing="0"/>
              <w:jc w:val="left"/>
              <w:rPr>
                <w:rFonts w:ascii="Verdana" w:hAnsi="Verdana"/>
                <w:b/>
                <w:bCs/>
                <w:sz w:val="16"/>
                <w:szCs w:val="16"/>
              </w:rPr>
            </w:pPr>
            <w:r>
              <w:rPr>
                <w:rStyle w:val="lev"/>
                <w:rFonts w:ascii="Verdana" w:hAnsi="Verdana"/>
                <w:b w:val="0"/>
                <w:bCs w:val="0"/>
                <w:sz w:val="16"/>
                <w:szCs w:val="16"/>
              </w:rPr>
              <w:t>Quels facteurs ont favorisé ou freiné la participation active des membres des CSO, et quels enseignements peut-on en tirer pour la reproductibilité de cette approche ?</w:t>
            </w:r>
          </w:p>
          <w:p w14:paraId="1FF2A2DA" w14:textId="77777777" w:rsidR="005A6764" w:rsidRDefault="001A5BAC">
            <w:pPr>
              <w:pStyle w:val="NormalWeb"/>
              <w:numPr>
                <w:ilvl w:val="0"/>
                <w:numId w:val="14"/>
              </w:numPr>
              <w:tabs>
                <w:tab w:val="clear" w:pos="9923"/>
              </w:tabs>
              <w:spacing w:before="0" w:beforeAutospacing="0" w:after="0" w:afterAutospacing="0"/>
              <w:jc w:val="left"/>
              <w:rPr>
                <w:rFonts w:ascii="Verdana" w:hAnsi="Verdana"/>
                <w:b/>
                <w:bCs/>
                <w:sz w:val="16"/>
                <w:szCs w:val="16"/>
              </w:rPr>
            </w:pPr>
            <w:r>
              <w:rPr>
                <w:rStyle w:val="lev"/>
                <w:rFonts w:ascii="Verdana" w:hAnsi="Verdana"/>
                <w:b w:val="0"/>
                <w:bCs w:val="0"/>
                <w:sz w:val="16"/>
                <w:szCs w:val="16"/>
              </w:rPr>
              <w:lastRenderedPageBreak/>
              <w:t>En quoi les CSO vont contribuer à poser les bases d’une gouvernance territoriale plus durable, au-delà du seul cadre du projet ?</w:t>
            </w:r>
          </w:p>
          <w:p w14:paraId="3A5E5AD7" w14:textId="77777777" w:rsidR="005A6764" w:rsidRDefault="005A6764">
            <w:pPr>
              <w:pStyle w:val="NormalWeb"/>
              <w:spacing w:before="0" w:beforeAutospacing="0" w:after="0" w:afterAutospacing="0"/>
              <w:ind w:left="720"/>
              <w:rPr>
                <w:rFonts w:ascii="Verdana" w:hAnsi="Verdana"/>
                <w:sz w:val="16"/>
                <w:szCs w:val="16"/>
              </w:rPr>
            </w:pPr>
          </w:p>
        </w:tc>
        <w:tc>
          <w:tcPr>
            <w:tcW w:w="4985" w:type="dxa"/>
            <w:tcBorders>
              <w:top w:val="single" w:sz="4" w:space="0" w:color="auto"/>
              <w:left w:val="outset" w:sz="6" w:space="0" w:color="auto"/>
              <w:bottom w:val="outset" w:sz="6" w:space="0" w:color="auto"/>
              <w:right w:val="outset" w:sz="6" w:space="0" w:color="auto"/>
            </w:tcBorders>
            <w:shd w:val="clear" w:color="auto" w:fill="FFFFFF" w:themeFill="background1"/>
          </w:tcPr>
          <w:p w14:paraId="50CFB52F" w14:textId="77777777" w:rsidR="005A6764" w:rsidRDefault="001A5BAC">
            <w:pPr>
              <w:pStyle w:val="NormalWeb"/>
              <w:numPr>
                <w:ilvl w:val="1"/>
                <w:numId w:val="14"/>
              </w:numPr>
              <w:tabs>
                <w:tab w:val="clear" w:pos="9923"/>
              </w:tabs>
              <w:spacing w:before="0" w:beforeAutospacing="0" w:after="0" w:afterAutospacing="0"/>
              <w:jc w:val="left"/>
              <w:rPr>
                <w:rStyle w:val="Accentuation"/>
                <w:rFonts w:ascii="Verdana" w:hAnsi="Verdana"/>
                <w:sz w:val="16"/>
                <w:szCs w:val="16"/>
              </w:rPr>
            </w:pPr>
            <w:r>
              <w:rPr>
                <w:rStyle w:val="Accentuation"/>
                <w:rFonts w:ascii="Verdana" w:hAnsi="Verdana"/>
                <w:sz w:val="16"/>
                <w:szCs w:val="16"/>
              </w:rPr>
              <w:lastRenderedPageBreak/>
              <w:t>Analyser le processus d’instauration, les critères de représentativité et la gouvernance interne.</w:t>
            </w:r>
          </w:p>
          <w:p w14:paraId="4B66A610" w14:textId="77777777" w:rsidR="005A6764" w:rsidRDefault="005A6764">
            <w:pPr>
              <w:pStyle w:val="NormalWeb"/>
              <w:spacing w:before="0" w:beforeAutospacing="0" w:after="0" w:afterAutospacing="0"/>
              <w:rPr>
                <w:rStyle w:val="Accentuation"/>
              </w:rPr>
            </w:pPr>
          </w:p>
          <w:p w14:paraId="3BFD936C" w14:textId="77777777" w:rsidR="005A6764" w:rsidRDefault="005A6764">
            <w:pPr>
              <w:pStyle w:val="NormalWeb"/>
              <w:spacing w:before="0" w:beforeAutospacing="0" w:after="0" w:afterAutospacing="0"/>
              <w:ind w:left="0"/>
              <w:rPr>
                <w:rFonts w:ascii="Verdana" w:hAnsi="Verdana"/>
                <w:sz w:val="16"/>
                <w:szCs w:val="16"/>
              </w:rPr>
            </w:pPr>
          </w:p>
          <w:p w14:paraId="0A0D6763" w14:textId="77777777" w:rsidR="005A6764" w:rsidRDefault="001A5BAC">
            <w:pPr>
              <w:pStyle w:val="NormalWeb"/>
              <w:numPr>
                <w:ilvl w:val="1"/>
                <w:numId w:val="14"/>
              </w:numPr>
              <w:tabs>
                <w:tab w:val="clear" w:pos="9923"/>
              </w:tabs>
              <w:spacing w:before="0" w:beforeAutospacing="0" w:after="0" w:afterAutospacing="0"/>
              <w:jc w:val="left"/>
              <w:rPr>
                <w:rStyle w:val="Accentuation"/>
                <w:rFonts w:ascii="Verdana" w:hAnsi="Verdana"/>
                <w:sz w:val="16"/>
                <w:szCs w:val="16"/>
              </w:rPr>
            </w:pPr>
            <w:r>
              <w:rPr>
                <w:rStyle w:val="Accentuation"/>
                <w:rFonts w:ascii="Verdana" w:hAnsi="Verdana"/>
                <w:sz w:val="16"/>
                <w:szCs w:val="16"/>
              </w:rPr>
              <w:t>Evaluer la contribution concrète des CSO à la qualité de mise en œuvre du projet.</w:t>
            </w:r>
          </w:p>
          <w:p w14:paraId="3F43E994" w14:textId="77777777" w:rsidR="005A6764" w:rsidRDefault="005A6764">
            <w:pPr>
              <w:pStyle w:val="NormalWeb"/>
              <w:spacing w:before="0" w:beforeAutospacing="0" w:after="0" w:afterAutospacing="0"/>
              <w:rPr>
                <w:rStyle w:val="Accentuation"/>
                <w:rFonts w:ascii="Verdana" w:hAnsi="Verdana"/>
                <w:sz w:val="16"/>
                <w:szCs w:val="16"/>
              </w:rPr>
            </w:pPr>
          </w:p>
          <w:p w14:paraId="2B64977A" w14:textId="77777777" w:rsidR="005A6764" w:rsidRDefault="005A6764">
            <w:pPr>
              <w:pStyle w:val="NormalWeb"/>
              <w:spacing w:before="0" w:beforeAutospacing="0" w:after="0" w:afterAutospacing="0"/>
              <w:ind w:left="0"/>
              <w:rPr>
                <w:rStyle w:val="Accentuation"/>
                <w:rFonts w:ascii="Verdana" w:hAnsi="Verdana"/>
                <w:sz w:val="16"/>
                <w:szCs w:val="16"/>
              </w:rPr>
            </w:pPr>
          </w:p>
          <w:p w14:paraId="4D13EC73" w14:textId="77777777" w:rsidR="005A6764" w:rsidRDefault="005A6764">
            <w:pPr>
              <w:pStyle w:val="NormalWeb"/>
              <w:spacing w:before="0" w:beforeAutospacing="0" w:after="0" w:afterAutospacing="0"/>
              <w:ind w:left="1080"/>
              <w:rPr>
                <w:rStyle w:val="Accentuation"/>
              </w:rPr>
            </w:pPr>
          </w:p>
          <w:p w14:paraId="1062DC69" w14:textId="77777777" w:rsidR="005A6764" w:rsidRDefault="001A5BAC">
            <w:pPr>
              <w:pStyle w:val="NormalWeb"/>
              <w:numPr>
                <w:ilvl w:val="1"/>
                <w:numId w:val="14"/>
              </w:numPr>
              <w:tabs>
                <w:tab w:val="clear" w:pos="9923"/>
              </w:tabs>
              <w:spacing w:before="0" w:beforeAutospacing="0" w:after="0" w:afterAutospacing="0"/>
              <w:jc w:val="left"/>
              <w:rPr>
                <w:rStyle w:val="Accentuation"/>
                <w:rFonts w:ascii="Verdana" w:hAnsi="Verdana"/>
                <w:sz w:val="16"/>
                <w:szCs w:val="16"/>
              </w:rPr>
            </w:pPr>
            <w:r>
              <w:rPr>
                <w:rStyle w:val="Accentuation"/>
                <w:rFonts w:ascii="Verdana" w:hAnsi="Verdana"/>
                <w:sz w:val="16"/>
                <w:szCs w:val="16"/>
              </w:rPr>
              <w:t>Comprendre les conditions de l’adhésion, de la mobilisation et du leadership local.</w:t>
            </w:r>
          </w:p>
          <w:p w14:paraId="3BAE5973" w14:textId="77777777" w:rsidR="005A6764" w:rsidRDefault="005A6764">
            <w:pPr>
              <w:pStyle w:val="NormalWeb"/>
              <w:spacing w:before="0" w:beforeAutospacing="0" w:after="0" w:afterAutospacing="0"/>
              <w:ind w:left="1080"/>
              <w:rPr>
                <w:rStyle w:val="Accentuation"/>
                <w:rFonts w:ascii="Verdana" w:hAnsi="Verdana"/>
                <w:sz w:val="16"/>
                <w:szCs w:val="16"/>
              </w:rPr>
            </w:pPr>
          </w:p>
          <w:p w14:paraId="2AAA5830" w14:textId="77777777" w:rsidR="005A6764" w:rsidRDefault="005A6764">
            <w:pPr>
              <w:pStyle w:val="NormalWeb"/>
              <w:spacing w:before="0" w:beforeAutospacing="0" w:after="0" w:afterAutospacing="0"/>
              <w:ind w:left="1080"/>
              <w:rPr>
                <w:rStyle w:val="Accentuation"/>
                <w:rFonts w:ascii="Verdana" w:hAnsi="Verdana"/>
                <w:sz w:val="16"/>
                <w:szCs w:val="16"/>
              </w:rPr>
            </w:pPr>
          </w:p>
          <w:p w14:paraId="6405E0E2" w14:textId="77777777" w:rsidR="005A6764" w:rsidRDefault="001A5BAC">
            <w:pPr>
              <w:pStyle w:val="NormalWeb"/>
              <w:numPr>
                <w:ilvl w:val="1"/>
                <w:numId w:val="14"/>
              </w:numPr>
              <w:tabs>
                <w:tab w:val="clear" w:pos="9923"/>
              </w:tabs>
              <w:spacing w:before="0" w:beforeAutospacing="0" w:after="0" w:afterAutospacing="0"/>
              <w:jc w:val="left"/>
              <w:rPr>
                <w:rFonts w:ascii="Verdana" w:hAnsi="Verdana"/>
                <w:sz w:val="16"/>
                <w:szCs w:val="16"/>
              </w:rPr>
            </w:pPr>
            <w:r>
              <w:rPr>
                <w:rStyle w:val="Accentuation"/>
                <w:rFonts w:ascii="Verdana" w:hAnsi="Verdana"/>
                <w:sz w:val="16"/>
                <w:szCs w:val="16"/>
              </w:rPr>
              <w:lastRenderedPageBreak/>
              <w:t>Interroger les dynamiques d’institutionnalisation, d’appropriation locale et de continuité post-projet.</w:t>
            </w:r>
          </w:p>
          <w:p w14:paraId="509127D3" w14:textId="77777777" w:rsidR="005A6764" w:rsidRDefault="005A6764">
            <w:pPr>
              <w:spacing w:after="0"/>
              <w:jc w:val="left"/>
              <w:rPr>
                <w:rFonts w:ascii="Verdana" w:eastAsia="Times New Roman" w:hAnsi="Verdana" w:cs="Times New Roman"/>
                <w:i w:val="0"/>
                <w:iCs w:val="0"/>
                <w:color w:val="auto"/>
                <w:sz w:val="16"/>
                <w:szCs w:val="16"/>
              </w:rPr>
            </w:pPr>
          </w:p>
        </w:tc>
      </w:tr>
    </w:tbl>
    <w:p w14:paraId="1A8BF6EB" w14:textId="77777777" w:rsidR="005A6764" w:rsidRDefault="005A6764">
      <w:pPr>
        <w:spacing w:after="0"/>
        <w:ind w:left="1440"/>
        <w:jc w:val="left"/>
        <w:rPr>
          <w:rFonts w:ascii="Verdana" w:hAnsi="Verdana"/>
          <w:sz w:val="20"/>
          <w:szCs w:val="20"/>
        </w:rPr>
      </w:pPr>
    </w:p>
    <w:p w14:paraId="068C665F" w14:textId="77777777" w:rsidR="005A6764" w:rsidRDefault="005A6764">
      <w:pPr>
        <w:spacing w:after="0"/>
        <w:rPr>
          <w:rFonts w:ascii="Verdana" w:hAnsi="Verdana"/>
          <w:i w:val="0"/>
          <w:sz w:val="18"/>
          <w:szCs w:val="18"/>
        </w:rPr>
      </w:pPr>
    </w:p>
    <w:p w14:paraId="53400B8C" w14:textId="77777777" w:rsidR="005A6764" w:rsidRDefault="001A5BAC">
      <w:pPr>
        <w:pStyle w:val="Titre1"/>
        <w:spacing w:after="0" w:line="240" w:lineRule="auto"/>
        <w:rPr>
          <w:rFonts w:ascii="Verdana" w:hAnsi="Verdana"/>
          <w:sz w:val="18"/>
          <w:szCs w:val="18"/>
        </w:rPr>
      </w:pPr>
      <w:bookmarkStart w:id="8" w:name="_Toc70668755"/>
      <w:r>
        <w:rPr>
          <w:rFonts w:ascii="Verdana" w:hAnsi="Verdana"/>
          <w:sz w:val="18"/>
          <w:szCs w:val="18"/>
        </w:rPr>
        <w:t>Description de la mission</w:t>
      </w:r>
      <w:bookmarkEnd w:id="8"/>
    </w:p>
    <w:p w14:paraId="5B07ED2C" w14:textId="77777777" w:rsidR="005A6764" w:rsidRDefault="005A6764">
      <w:pPr>
        <w:spacing w:after="0"/>
        <w:rPr>
          <w:rFonts w:ascii="Verdana" w:hAnsi="Verdana"/>
          <w:sz w:val="18"/>
          <w:szCs w:val="18"/>
        </w:rPr>
      </w:pPr>
    </w:p>
    <w:p w14:paraId="5A229FBA" w14:textId="77777777" w:rsidR="005A6764" w:rsidRDefault="001A5BAC">
      <w:pPr>
        <w:pStyle w:val="Titre2"/>
        <w:spacing w:after="0" w:line="240" w:lineRule="auto"/>
        <w:rPr>
          <w:rFonts w:ascii="Verdana" w:hAnsi="Verdana"/>
          <w:sz w:val="18"/>
          <w:szCs w:val="18"/>
        </w:rPr>
      </w:pPr>
      <w:bookmarkStart w:id="9" w:name="_Toc70668756"/>
      <w:r>
        <w:rPr>
          <w:rFonts w:ascii="Verdana" w:hAnsi="Verdana"/>
          <w:sz w:val="18"/>
          <w:szCs w:val="18"/>
        </w:rPr>
        <w:t xml:space="preserve">Méthodologie retenue </w:t>
      </w:r>
      <w:bookmarkEnd w:id="9"/>
    </w:p>
    <w:p w14:paraId="7D568E3D" w14:textId="77777777" w:rsidR="005A6764" w:rsidRDefault="005A6764">
      <w:pPr>
        <w:spacing w:after="0"/>
        <w:rPr>
          <w:rFonts w:ascii="Verdana" w:hAnsi="Verdana"/>
          <w:i w:val="0"/>
          <w:iCs w:val="0"/>
          <w:color w:val="4BACC6" w:themeColor="accent5"/>
          <w:sz w:val="18"/>
          <w:szCs w:val="18"/>
          <w:highlight w:val="lightGray"/>
        </w:rPr>
      </w:pPr>
    </w:p>
    <w:p w14:paraId="7C9BBB09" w14:textId="77777777" w:rsidR="005A6764" w:rsidRDefault="001A5BAC">
      <w:pPr>
        <w:spacing w:after="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 xml:space="preserve">L’évaluation &amp; la capitalisation à mi-parcours du projet EFOR s’inscrit dans une approche participative, formative et orientée apprentissage, en cohérence avec les principes méthodologiques de la politique SERA d’EF. Elle vise à produire des analyses utiles, mobilisables à court et moyen termes pour l’ajustement du projet, tout en renforçant la redevabilité envers les parties prenantes. Conformément à cette logique, une première phase de structuration participative du projet d’évaluation et capitalisation  a été mise en œuvre à travers deux ateliers internes avec l’équipe projet. </w:t>
      </w:r>
    </w:p>
    <w:p w14:paraId="7D63324A" w14:textId="77777777" w:rsidR="005A6764" w:rsidRDefault="001A5BAC">
      <w:pPr>
        <w:spacing w:after="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Ces ateliers ont permis une relecture collective du chemin parcouru depuis le lancement du projet, via un exercice de ligne de temps collaborative, une mise en perspective multi-acteurs grâce à la méthode des "trois casquettes", visant à faire émerger des angles d’analyse et des priorités d’évaluation &amp; de la capitalisation, une exploration du ressenti des équipes à travers la "fresque des émotions", mettant en lumière les dynamiques humaines et organisationnelles du projet, utiles pour orienter les axes qualitatifs de l’évaluation &amp; de la capitalisation. Ces exercices ont contribué à définir un premier socle de questions évaluatives, une vision partagée des usages attendus de l’évaluation et de la capitalisation.</w:t>
      </w:r>
    </w:p>
    <w:p w14:paraId="618D41FC" w14:textId="77777777" w:rsidR="005A6764" w:rsidRDefault="005A6764">
      <w:pPr>
        <w:spacing w:after="0"/>
        <w:rPr>
          <w:rFonts w:ascii="Verdana" w:eastAsia="Times New Roman" w:hAnsi="Verdana" w:cs="Times New Roman"/>
          <w:i w:val="0"/>
          <w:iCs w:val="0"/>
          <w:sz w:val="18"/>
          <w:szCs w:val="18"/>
          <w:lang w:eastAsia="fr-FR"/>
        </w:rPr>
      </w:pPr>
    </w:p>
    <w:p w14:paraId="03293931" w14:textId="77777777" w:rsidR="005A6764" w:rsidRDefault="001A5BAC">
      <w:pPr>
        <w:spacing w:after="0"/>
        <w:rPr>
          <w:rFonts w:ascii="Verdana" w:hAnsi="Verdana"/>
          <w:i w:val="0"/>
          <w:iCs w:val="0"/>
          <w:sz w:val="18"/>
          <w:szCs w:val="18"/>
        </w:rPr>
      </w:pPr>
      <w:r>
        <w:rPr>
          <w:rFonts w:ascii="Verdana" w:eastAsia="Times New Roman" w:hAnsi="Verdana" w:cs="Times New Roman"/>
          <w:i w:val="0"/>
          <w:iCs w:val="0"/>
          <w:sz w:val="18"/>
          <w:szCs w:val="18"/>
          <w:lang w:eastAsia="fr-FR"/>
        </w:rPr>
        <w:t>L</w:t>
      </w:r>
      <w:r>
        <w:rPr>
          <w:rFonts w:ascii="Verdana" w:eastAsia="Times New Roman" w:hAnsi="Verdana" w:cs="Times New Roman" w:hint="eastAsia"/>
          <w:i w:val="0"/>
          <w:iCs w:val="0"/>
          <w:sz w:val="18"/>
          <w:szCs w:val="18"/>
          <w:lang w:eastAsia="fr-FR"/>
        </w:rPr>
        <w:t>’</w:t>
      </w:r>
      <w:r>
        <w:rPr>
          <w:rFonts w:ascii="Verdana" w:eastAsia="Times New Roman" w:hAnsi="Verdana" w:cs="Times New Roman" w:hint="cs"/>
          <w:i w:val="0"/>
          <w:iCs w:val="0"/>
          <w:sz w:val="18"/>
          <w:szCs w:val="18"/>
          <w:lang w:eastAsia="fr-FR"/>
        </w:rPr>
        <w:t>é</w:t>
      </w:r>
      <w:r>
        <w:rPr>
          <w:rFonts w:ascii="Verdana" w:eastAsia="Times New Roman" w:hAnsi="Verdana" w:cs="Times New Roman"/>
          <w:i w:val="0"/>
          <w:iCs w:val="0"/>
          <w:sz w:val="18"/>
          <w:szCs w:val="18"/>
          <w:lang w:eastAsia="fr-FR"/>
        </w:rPr>
        <w:t>valuation appliquera une lecture transversale syst</w:t>
      </w:r>
      <w:r>
        <w:rPr>
          <w:rFonts w:ascii="Verdana" w:eastAsia="Times New Roman" w:hAnsi="Verdana" w:cs="Times New Roman" w:hint="cs"/>
          <w:i w:val="0"/>
          <w:iCs w:val="0"/>
          <w:sz w:val="18"/>
          <w:szCs w:val="18"/>
          <w:lang w:eastAsia="fr-FR"/>
        </w:rPr>
        <w:t>é</w:t>
      </w:r>
      <w:r>
        <w:rPr>
          <w:rFonts w:ascii="Verdana" w:eastAsia="Times New Roman" w:hAnsi="Verdana" w:cs="Times New Roman"/>
          <w:i w:val="0"/>
          <w:iCs w:val="0"/>
          <w:sz w:val="18"/>
          <w:szCs w:val="18"/>
          <w:lang w:eastAsia="fr-FR"/>
        </w:rPr>
        <w:t>matique des enjeux de genre et de r</w:t>
      </w:r>
      <w:r>
        <w:rPr>
          <w:rFonts w:ascii="Verdana" w:eastAsia="Times New Roman" w:hAnsi="Verdana" w:cs="Times New Roman" w:hint="cs"/>
          <w:i w:val="0"/>
          <w:iCs w:val="0"/>
          <w:sz w:val="18"/>
          <w:szCs w:val="18"/>
          <w:lang w:eastAsia="fr-FR"/>
        </w:rPr>
        <w:t>é</w:t>
      </w:r>
      <w:r>
        <w:rPr>
          <w:rFonts w:ascii="Verdana" w:eastAsia="Times New Roman" w:hAnsi="Verdana" w:cs="Times New Roman"/>
          <w:i w:val="0"/>
          <w:iCs w:val="0"/>
          <w:sz w:val="18"/>
          <w:szCs w:val="18"/>
          <w:lang w:eastAsia="fr-FR"/>
        </w:rPr>
        <w:t>silience aux changements  climatiques, en les int</w:t>
      </w:r>
      <w:r>
        <w:rPr>
          <w:rFonts w:ascii="Verdana" w:eastAsia="Times New Roman" w:hAnsi="Verdana" w:cs="Times New Roman" w:hint="cs"/>
          <w:i w:val="0"/>
          <w:iCs w:val="0"/>
          <w:sz w:val="18"/>
          <w:szCs w:val="18"/>
          <w:lang w:eastAsia="fr-FR"/>
        </w:rPr>
        <w:t>é</w:t>
      </w:r>
      <w:r>
        <w:rPr>
          <w:rFonts w:ascii="Verdana" w:eastAsia="Times New Roman" w:hAnsi="Verdana" w:cs="Times New Roman"/>
          <w:i w:val="0"/>
          <w:iCs w:val="0"/>
          <w:sz w:val="18"/>
          <w:szCs w:val="18"/>
          <w:lang w:eastAsia="fr-FR"/>
        </w:rPr>
        <w:t xml:space="preserve">grant </w:t>
      </w:r>
      <w:r>
        <w:rPr>
          <w:rFonts w:ascii="Verdana" w:eastAsia="Times New Roman" w:hAnsi="Verdana" w:cs="Times New Roman" w:hint="cs"/>
          <w:i w:val="0"/>
          <w:iCs w:val="0"/>
          <w:sz w:val="18"/>
          <w:szCs w:val="18"/>
          <w:lang w:eastAsia="fr-FR"/>
        </w:rPr>
        <w:t>à</w:t>
      </w:r>
      <w:r>
        <w:rPr>
          <w:rFonts w:ascii="Verdana" w:eastAsia="Times New Roman" w:hAnsi="Verdana" w:cs="Times New Roman"/>
          <w:i w:val="0"/>
          <w:iCs w:val="0"/>
          <w:sz w:val="18"/>
          <w:szCs w:val="18"/>
          <w:lang w:eastAsia="fr-FR"/>
        </w:rPr>
        <w:t xml:space="preserve"> chaque </w:t>
      </w:r>
      <w:r>
        <w:rPr>
          <w:rFonts w:ascii="Verdana" w:eastAsia="Times New Roman" w:hAnsi="Verdana" w:cs="Times New Roman" w:hint="cs"/>
          <w:i w:val="0"/>
          <w:iCs w:val="0"/>
          <w:sz w:val="18"/>
          <w:szCs w:val="18"/>
          <w:lang w:eastAsia="fr-FR"/>
        </w:rPr>
        <w:t>é</w:t>
      </w:r>
      <w:r>
        <w:rPr>
          <w:rFonts w:ascii="Verdana" w:eastAsia="Times New Roman" w:hAnsi="Verdana" w:cs="Times New Roman"/>
          <w:i w:val="0"/>
          <w:iCs w:val="0"/>
          <w:sz w:val="18"/>
          <w:szCs w:val="18"/>
          <w:lang w:eastAsia="fr-FR"/>
        </w:rPr>
        <w:t xml:space="preserve">tape du processus : du cadrage </w:t>
      </w:r>
      <w:r>
        <w:rPr>
          <w:rFonts w:ascii="Verdana" w:eastAsia="Times New Roman" w:hAnsi="Verdana" w:cs="Times New Roman" w:hint="cs"/>
          <w:i w:val="0"/>
          <w:iCs w:val="0"/>
          <w:sz w:val="18"/>
          <w:szCs w:val="18"/>
          <w:lang w:eastAsia="fr-FR"/>
        </w:rPr>
        <w:t>à</w:t>
      </w:r>
      <w:r>
        <w:rPr>
          <w:rFonts w:ascii="Verdana" w:eastAsia="Times New Roman" w:hAnsi="Verdana" w:cs="Times New Roman"/>
          <w:i w:val="0"/>
          <w:iCs w:val="0"/>
          <w:sz w:val="18"/>
          <w:szCs w:val="18"/>
          <w:lang w:eastAsia="fr-FR"/>
        </w:rPr>
        <w:t xml:space="preserve"> la formulation des recommandations. Elle adoptera également une posture éthique, inclusive et dialogique, garantissant l’expression de la diversité des acteurs impliqués dans le projet. </w:t>
      </w:r>
      <w:r>
        <w:rPr>
          <w:rFonts w:ascii="Verdana" w:hAnsi="Verdana"/>
          <w:i w:val="0"/>
          <w:iCs w:val="0"/>
          <w:sz w:val="18"/>
          <w:szCs w:val="18"/>
        </w:rPr>
        <w:t>Cette approche privilégie la triangulation des sources, la diversité des points de vue des parties prenantes et une attention transversale à l'intégration du genre, de l'inclusion sociale. Elle s’appuie sur les fondements méthodologiques suivants :</w:t>
      </w:r>
    </w:p>
    <w:p w14:paraId="5F83BBB4" w14:textId="77777777" w:rsidR="005A6764" w:rsidRDefault="001A5BAC">
      <w:pPr>
        <w:pStyle w:val="NormalWeb"/>
        <w:spacing w:before="0" w:beforeAutospacing="0" w:after="0" w:afterAutospacing="0"/>
        <w:rPr>
          <w:rFonts w:ascii="Verdana" w:hAnsi="Verdana"/>
          <w:i w:val="0"/>
          <w:iCs w:val="0"/>
          <w:sz w:val="18"/>
          <w:szCs w:val="18"/>
        </w:rPr>
      </w:pPr>
      <w:r>
        <w:rPr>
          <w:rStyle w:val="lev"/>
          <w:rFonts w:ascii="Verdana" w:hAnsi="Verdana"/>
          <w:i w:val="0"/>
          <w:iCs w:val="0"/>
          <w:sz w:val="18"/>
          <w:szCs w:val="18"/>
        </w:rPr>
        <w:t>Approche participative</w:t>
      </w:r>
      <w:r>
        <w:rPr>
          <w:rFonts w:ascii="Verdana" w:hAnsi="Verdana"/>
          <w:i w:val="0"/>
          <w:iCs w:val="0"/>
          <w:sz w:val="18"/>
          <w:szCs w:val="18"/>
        </w:rPr>
        <w:t xml:space="preserve"> : La mission repose sur l’implication active des différentes typologies d’acteurs du projet notamment à travers des ateliers de co-construction, des revues collectives de la ligne du temps et des exercices de capitalisation. </w:t>
      </w:r>
    </w:p>
    <w:p w14:paraId="5BC4DD5B" w14:textId="77777777" w:rsidR="005A6764" w:rsidRDefault="001A5BAC">
      <w:pPr>
        <w:pStyle w:val="NormalWeb"/>
        <w:spacing w:before="0" w:beforeAutospacing="0" w:after="0" w:afterAutospacing="0"/>
        <w:rPr>
          <w:rFonts w:ascii="Verdana" w:hAnsi="Verdana"/>
          <w:i w:val="0"/>
          <w:iCs w:val="0"/>
          <w:sz w:val="18"/>
          <w:szCs w:val="18"/>
        </w:rPr>
      </w:pPr>
      <w:r>
        <w:rPr>
          <w:rStyle w:val="lev"/>
          <w:rFonts w:ascii="Verdana" w:hAnsi="Verdana"/>
          <w:i w:val="0"/>
          <w:iCs w:val="0"/>
          <w:sz w:val="18"/>
          <w:szCs w:val="18"/>
        </w:rPr>
        <w:t>Croisement des regards</w:t>
      </w:r>
      <w:r>
        <w:rPr>
          <w:rFonts w:ascii="Verdana" w:hAnsi="Verdana"/>
          <w:i w:val="0"/>
          <w:iCs w:val="0"/>
          <w:sz w:val="18"/>
          <w:szCs w:val="18"/>
        </w:rPr>
        <w:t xml:space="preserve"> : En cohérence avec l’architecture multi-acteurs du projet, la méthodologie prévoit une analyse différenciée selon les typologies d’acteurs, afin de rendre compte des perceptions multiples, et des dynamiques de collaboration.</w:t>
      </w:r>
    </w:p>
    <w:p w14:paraId="2A6CCB4B" w14:textId="77777777" w:rsidR="005A6764" w:rsidRDefault="001A5BAC">
      <w:pPr>
        <w:pStyle w:val="NormalWeb"/>
        <w:spacing w:before="0" w:beforeAutospacing="0" w:after="0" w:afterAutospacing="0"/>
        <w:rPr>
          <w:rFonts w:ascii="Verdana" w:hAnsi="Verdana"/>
          <w:i w:val="0"/>
          <w:iCs w:val="0"/>
          <w:sz w:val="18"/>
          <w:szCs w:val="18"/>
        </w:rPr>
      </w:pPr>
      <w:r>
        <w:rPr>
          <w:rStyle w:val="lev"/>
          <w:rFonts w:ascii="Verdana" w:hAnsi="Verdana"/>
          <w:i w:val="0"/>
          <w:iCs w:val="0"/>
          <w:sz w:val="18"/>
          <w:szCs w:val="18"/>
        </w:rPr>
        <w:t>Intégration transversale des priorités stratégiques</w:t>
      </w:r>
      <w:r>
        <w:rPr>
          <w:rFonts w:ascii="Verdana" w:hAnsi="Verdana"/>
          <w:i w:val="0"/>
          <w:iCs w:val="0"/>
          <w:sz w:val="18"/>
          <w:szCs w:val="18"/>
        </w:rPr>
        <w:t xml:space="preserve"> : La mission prendra en compte l’intégration du genre et des enjeux climatiques dans la stratégie d’intervention du projet, en interrogeant notamment la manière dont ces dimensions ont été prises en compte dans les diagnostics initiaux, la sélection des bénéficiaires, les mécanismes de gouvernance locale et les appuis apportés.</w:t>
      </w:r>
    </w:p>
    <w:p w14:paraId="2ABFD0EB" w14:textId="77777777" w:rsidR="005A6764" w:rsidRDefault="001A5BAC">
      <w:pPr>
        <w:pStyle w:val="NormalWeb"/>
        <w:spacing w:before="0" w:beforeAutospacing="0" w:after="0" w:afterAutospacing="0"/>
        <w:rPr>
          <w:rFonts w:ascii="Verdana" w:hAnsi="Verdana"/>
          <w:i w:val="0"/>
          <w:iCs w:val="0"/>
          <w:sz w:val="18"/>
          <w:szCs w:val="18"/>
        </w:rPr>
      </w:pPr>
      <w:r>
        <w:rPr>
          <w:rStyle w:val="lev"/>
          <w:rFonts w:ascii="Verdana" w:hAnsi="Verdana"/>
          <w:i w:val="0"/>
          <w:iCs w:val="0"/>
          <w:sz w:val="18"/>
          <w:szCs w:val="18"/>
        </w:rPr>
        <w:t>Ancrage dans le cycle de vie du projet</w:t>
      </w:r>
      <w:r>
        <w:rPr>
          <w:rFonts w:ascii="Verdana" w:hAnsi="Verdana"/>
          <w:i w:val="0"/>
          <w:iCs w:val="0"/>
          <w:sz w:val="18"/>
          <w:szCs w:val="18"/>
        </w:rPr>
        <w:t xml:space="preserve"> : La méthodologie s’appuie sur la documentation et les travaux réalisés depuis la phase préparatoire du projet, incluant les diagnostics participatifs, les lignes de temps, les outils SERA, les rapports semestriels, les comptes rendus de COPIL, ainsi que les grilles de sélection et d’accompagnement des OPA etc. Ces éléments permettront une analyse contextualisée et dynamique des évolutions du projet.</w:t>
      </w:r>
    </w:p>
    <w:p w14:paraId="1BBE8497" w14:textId="77777777" w:rsidR="005A6764" w:rsidRDefault="005A6764">
      <w:pPr>
        <w:spacing w:after="0"/>
        <w:rPr>
          <w:rFonts w:ascii="Verdana" w:hAnsi="Verdana" w:cs="Times New Roman"/>
          <w:sz w:val="18"/>
          <w:szCs w:val="18"/>
        </w:rPr>
      </w:pPr>
    </w:p>
    <w:p w14:paraId="76F157B0" w14:textId="77777777" w:rsidR="005A6764" w:rsidRDefault="001A5BAC">
      <w:pPr>
        <w:pStyle w:val="Titre2"/>
        <w:spacing w:after="0" w:line="240" w:lineRule="auto"/>
        <w:ind w:left="720"/>
        <w:rPr>
          <w:rFonts w:ascii="Verdana" w:hAnsi="Verdana"/>
          <w:sz w:val="18"/>
          <w:szCs w:val="18"/>
        </w:rPr>
      </w:pPr>
      <w:bookmarkStart w:id="10" w:name="_Toc70668757"/>
      <w:r>
        <w:rPr>
          <w:rFonts w:ascii="Verdana" w:hAnsi="Verdana"/>
          <w:sz w:val="18"/>
          <w:szCs w:val="18"/>
        </w:rPr>
        <w:t xml:space="preserve">Déroulement </w:t>
      </w:r>
      <w:bookmarkEnd w:id="10"/>
    </w:p>
    <w:p w14:paraId="23BDFC0A" w14:textId="77777777" w:rsidR="005A6764" w:rsidRDefault="005A6764">
      <w:pPr>
        <w:spacing w:after="0"/>
        <w:ind w:left="720"/>
        <w:rPr>
          <w:rFonts w:ascii="Verdana" w:hAnsi="Verdana"/>
          <w:sz w:val="18"/>
          <w:szCs w:val="18"/>
        </w:rPr>
      </w:pPr>
    </w:p>
    <w:p w14:paraId="4A7AE446" w14:textId="77777777" w:rsidR="005A6764" w:rsidRDefault="001A5BAC">
      <w:pPr>
        <w:spacing w:after="0"/>
        <w:ind w:left="709"/>
        <w:rPr>
          <w:rFonts w:ascii="Verdana" w:hAnsi="Verdana"/>
          <w:sz w:val="18"/>
          <w:szCs w:val="18"/>
        </w:rPr>
      </w:pPr>
      <w:r>
        <w:rPr>
          <w:rFonts w:ascii="Verdana" w:hAnsi="Verdana"/>
          <w:i w:val="0"/>
          <w:iCs w:val="0"/>
          <w:sz w:val="18"/>
          <w:szCs w:val="18"/>
        </w:rPr>
        <w:t>Il est demandé au consultant d’associer étroitement Expertise France et le comité de pilotage de la mission à la construction de son raisonnement, par des liens réguliers tout au long de la mission.</w:t>
      </w:r>
      <w:r>
        <w:rPr>
          <w:rFonts w:ascii="Verdana" w:hAnsi="Verdana"/>
          <w:sz w:val="18"/>
          <w:szCs w:val="18"/>
        </w:rPr>
        <w:t xml:space="preserve"> </w:t>
      </w:r>
    </w:p>
    <w:p w14:paraId="679426B2" w14:textId="77777777" w:rsidR="005A6764" w:rsidRDefault="001A5BAC">
      <w:pPr>
        <w:pStyle w:val="Titre3"/>
        <w:tabs>
          <w:tab w:val="clear" w:pos="9923"/>
        </w:tabs>
        <w:spacing w:before="100" w:beforeAutospacing="1" w:after="100" w:afterAutospacing="1"/>
        <w:ind w:left="709"/>
        <w:jc w:val="left"/>
        <w:rPr>
          <w:rFonts w:ascii="Verdana" w:eastAsia="Times New Roman" w:hAnsi="Verdana" w:cs="Times New Roman"/>
          <w:i w:val="0"/>
          <w:iCs w:val="0"/>
          <w:color w:val="auto"/>
          <w:sz w:val="18"/>
          <w:szCs w:val="18"/>
          <w:lang w:eastAsia="fr-FR"/>
        </w:rPr>
      </w:pPr>
      <w:r>
        <w:rPr>
          <w:rFonts w:ascii="Verdana" w:hAnsi="Verdana"/>
          <w:sz w:val="18"/>
          <w:szCs w:val="18"/>
        </w:rPr>
        <w:t xml:space="preserve">Phase de cadrage : </w:t>
      </w:r>
      <w:r>
        <w:rPr>
          <w:rFonts w:ascii="Verdana" w:eastAsia="Times New Roman" w:hAnsi="Verdana" w:cs="Times New Roman"/>
          <w:b w:val="0"/>
          <w:bCs w:val="0"/>
          <w:i w:val="0"/>
          <w:iCs w:val="0"/>
          <w:color w:val="auto"/>
          <w:sz w:val="18"/>
          <w:szCs w:val="18"/>
          <w:lang w:eastAsia="fr-FR"/>
        </w:rPr>
        <w:t>prévue pour septembre,</w:t>
      </w:r>
      <w:r>
        <w:rPr>
          <w:rFonts w:ascii="Verdana" w:hAnsi="Verdana"/>
          <w:b w:val="0"/>
          <w:bCs w:val="0"/>
          <w:sz w:val="18"/>
          <w:szCs w:val="18"/>
        </w:rPr>
        <w:t xml:space="preserve"> </w:t>
      </w:r>
      <w:r>
        <w:rPr>
          <w:rFonts w:ascii="Verdana" w:eastAsia="Times New Roman" w:hAnsi="Verdana" w:cs="Times New Roman"/>
          <w:b w:val="0"/>
          <w:bCs w:val="0"/>
          <w:i w:val="0"/>
          <w:iCs w:val="0"/>
          <w:color w:val="auto"/>
          <w:sz w:val="18"/>
          <w:szCs w:val="18"/>
          <w:lang w:eastAsia="fr-FR"/>
        </w:rPr>
        <w:t>elle constitue une étape déterminante pour assurer la robustesse et la pertinence du processus d’évaluation et de capitalisation et permettra de poser les fondations méthodologiques et stratégiques du travail évaluatif. Durant cette phase préparatoire, le ou la consultant-e devra :</w:t>
      </w:r>
    </w:p>
    <w:p w14:paraId="399D6FA1"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Collecter, examiner et analyser</w:t>
      </w:r>
      <w:r>
        <w:rPr>
          <w:rFonts w:ascii="Verdana" w:eastAsia="Times New Roman" w:hAnsi="Verdana" w:cs="Times New Roman"/>
          <w:i w:val="0"/>
          <w:iCs w:val="0"/>
          <w:color w:val="auto"/>
          <w:sz w:val="18"/>
          <w:szCs w:val="18"/>
          <w:lang w:eastAsia="fr-FR"/>
        </w:rPr>
        <w:t xml:space="preserve"> l’ensemble des documents stratégiques, techniques et opérationnels du projet, afin de saisir les spécificités de l’intervention ainsi que son ancrage dans les politiques nationales et les priorités du bailleur.</w:t>
      </w:r>
    </w:p>
    <w:p w14:paraId="67D03BB8"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Cartographier les parties prenantes</w:t>
      </w:r>
      <w:r>
        <w:rPr>
          <w:rFonts w:ascii="Verdana" w:eastAsia="Times New Roman" w:hAnsi="Verdana" w:cs="Times New Roman"/>
          <w:i w:val="0"/>
          <w:iCs w:val="0"/>
          <w:color w:val="auto"/>
          <w:sz w:val="18"/>
          <w:szCs w:val="18"/>
          <w:lang w:eastAsia="fr-FR"/>
        </w:rPr>
        <w:t>, en distinguant les différents niveaux d’engagement et en identifiant les rôles, responsabilités, attentes et interactions dans le cadre du projet.</w:t>
      </w:r>
    </w:p>
    <w:p w14:paraId="3A8FDF94"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lastRenderedPageBreak/>
        <w:t>Reconstruire et clarifier la logique d’intervention</w:t>
      </w:r>
      <w:r>
        <w:rPr>
          <w:rFonts w:ascii="Verdana" w:eastAsia="Times New Roman" w:hAnsi="Verdana" w:cs="Times New Roman"/>
          <w:i w:val="0"/>
          <w:iCs w:val="0"/>
          <w:color w:val="auto"/>
          <w:sz w:val="18"/>
          <w:szCs w:val="18"/>
          <w:lang w:eastAsia="fr-FR"/>
        </w:rPr>
        <w:t>, en s’appuyant sur le cadre logique existant et les contributions des ateliers internes déjà menés, afin de i) expliciter la chaîne de résultats attendus, ii) examiner la cohérence interne entre les activités, les moyens mobilisés et les objectifs stratégiques, iii) identifier les hypothèses et postulats de départ, explicites ou implicites, qui ont structuré la conception du projet, et en analyser la pertinence à la lumière de la mise en œuvre effective.</w:t>
      </w:r>
    </w:p>
    <w:p w14:paraId="3C811386"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Préciser le cadre de la mission</w:t>
      </w:r>
      <w:r>
        <w:rPr>
          <w:rFonts w:ascii="Verdana" w:eastAsia="Times New Roman" w:hAnsi="Verdana" w:cs="Times New Roman"/>
          <w:i w:val="0"/>
          <w:iCs w:val="0"/>
          <w:color w:val="auto"/>
          <w:sz w:val="18"/>
          <w:szCs w:val="18"/>
          <w:lang w:eastAsia="fr-FR"/>
        </w:rPr>
        <w:t>, en affinant les éléments fournis dans les présents TDR. Il s’agira de i) cibler les questions évaluatives prioritaires, en lien avec les usages attendus de l’évaluation/ capitalisation, ii) définir les critères de jugement et les étapes du raisonnement évaluatif, iii) formuler les indicateurs de mesure appropriés, en précisant les sources d’information disponibles ou à mobiliser.</w:t>
      </w:r>
    </w:p>
    <w:p w14:paraId="3ED6BE97" w14:textId="77777777" w:rsidR="005A6764" w:rsidRDefault="001A5BAC">
      <w:pPr>
        <w:tabs>
          <w:tab w:val="clear" w:pos="9923"/>
        </w:tabs>
        <w:spacing w:before="100" w:beforeAutospacing="1" w:after="100" w:afterAutospacing="1"/>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À l’issue de cette phase, le prestataire soumettra un document de cadrage méthodologique, structurant la démarche évaluative envisagée et de capitalisation. Ce document fera l’objet d’un échange formel avec le comité de pilotage de l’évaluation &amp; capitalisation, dans un esprit de dialogue constructif, afin de valider collectivement les choix méthodologiques, d’en vérifier la faisabilité, et de s’assurer de l’adhésion des parties prenantes, en particulier de l’équipe projet.</w:t>
      </w:r>
    </w:p>
    <w:p w14:paraId="4F5A8890" w14:textId="77777777" w:rsidR="005A6764" w:rsidRDefault="001A5BAC">
      <w:pPr>
        <w:pStyle w:val="Titre3"/>
        <w:tabs>
          <w:tab w:val="clear" w:pos="9923"/>
        </w:tabs>
        <w:spacing w:before="0" w:after="0"/>
        <w:ind w:left="709"/>
        <w:rPr>
          <w:rFonts w:ascii="Verdana" w:eastAsia="Times New Roman" w:hAnsi="Verdana" w:cs="Times New Roman"/>
          <w:i w:val="0"/>
          <w:iCs w:val="0"/>
          <w:color w:val="auto"/>
          <w:sz w:val="18"/>
          <w:szCs w:val="18"/>
          <w:lang w:eastAsia="fr-FR"/>
        </w:rPr>
      </w:pPr>
      <w:r>
        <w:rPr>
          <w:rFonts w:ascii="Verdana" w:hAnsi="Verdana"/>
          <w:sz w:val="18"/>
          <w:szCs w:val="18"/>
        </w:rPr>
        <w:t xml:space="preserve">Phase documentaire : </w:t>
      </w:r>
      <w:r>
        <w:rPr>
          <w:rFonts w:ascii="Verdana" w:eastAsia="Times New Roman" w:hAnsi="Verdana" w:cs="Times New Roman"/>
          <w:b w:val="0"/>
          <w:bCs w:val="0"/>
          <w:i w:val="0"/>
          <w:iCs w:val="0"/>
          <w:color w:val="auto"/>
          <w:sz w:val="18"/>
          <w:szCs w:val="18"/>
          <w:lang w:eastAsia="fr-FR"/>
        </w:rPr>
        <w:t xml:space="preserve">La phase documentaire constitue une étape essentielle de préparation à l’analyse de terrain. Elle permettra de poser les bases d’une compréhension approfondie du projet EFOR et de son environnement d’intervention, tout en assurant une mise en cohérence entre les données disponibles et les objectifs de l’évaluation et de la capitalisation. </w:t>
      </w:r>
    </w:p>
    <w:p w14:paraId="5F35D0C1"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Dans ce cadre, le ou la consultant·e devra élaborer une note d’analyse descriptive et analytique du projet, qui fera office de synthèse initiale et devra être impérativement transmise au projet avant le début de la mission sur le terrain. Ce document constituera une première production formalisée de la mission, visant à assurer un alignement méthodologique avec les parties prenantes du projet.</w:t>
      </w:r>
    </w:p>
    <w:p w14:paraId="2E967127" w14:textId="77777777" w:rsidR="005A6764" w:rsidRPr="00C96268"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La note devra inclure les éléments suivants :</w:t>
      </w:r>
    </w:p>
    <w:p w14:paraId="5C7FB45E" w14:textId="77777777" w:rsidR="00C96268" w:rsidRPr="00C96268" w:rsidRDefault="00C96268" w:rsidP="00C96268">
      <w:pPr>
        <w:pStyle w:val="NormalWeb"/>
        <w:spacing w:before="0" w:beforeAutospacing="0" w:after="0" w:afterAutospacing="0"/>
        <w:ind w:left="709"/>
        <w:rPr>
          <w:rFonts w:ascii="Verdana" w:hAnsi="Verdana"/>
          <w:i w:val="0"/>
          <w:iCs w:val="0"/>
          <w:sz w:val="18"/>
          <w:szCs w:val="18"/>
        </w:rPr>
      </w:pPr>
      <w:r w:rsidRPr="00C96268">
        <w:rPr>
          <w:rFonts w:ascii="Verdana" w:hAnsi="Verdana"/>
          <w:i w:val="0"/>
          <w:iCs w:val="0"/>
          <w:color w:val="auto"/>
          <w:sz w:val="18"/>
          <w:szCs w:val="18"/>
        </w:rPr>
        <w:t xml:space="preserve">La </w:t>
      </w:r>
      <w:r w:rsidRPr="00C96268">
        <w:rPr>
          <w:rStyle w:val="lev"/>
          <w:rFonts w:ascii="Verdana" w:hAnsi="Verdana"/>
          <w:b w:val="0"/>
          <w:bCs w:val="0"/>
          <w:i w:val="0"/>
          <w:iCs w:val="0"/>
          <w:color w:val="auto"/>
          <w:sz w:val="18"/>
          <w:szCs w:val="18"/>
        </w:rPr>
        <w:t>note documentaire</w:t>
      </w:r>
      <w:r w:rsidRPr="00C96268">
        <w:rPr>
          <w:rFonts w:ascii="Verdana" w:hAnsi="Verdana"/>
          <w:i w:val="0"/>
          <w:iCs w:val="0"/>
          <w:color w:val="auto"/>
          <w:sz w:val="18"/>
          <w:szCs w:val="18"/>
        </w:rPr>
        <w:t xml:space="preserve"> constitue un livrable analytique clé qui précède la mission terrain et vise à asseoir une compréhension partagée du projet EFOR, de son environnement d’intervention et des enjeux clefs de l’évaluation. Elle ne se limite pas à une description du projet, mais constitue un </w:t>
      </w:r>
      <w:r w:rsidRPr="00C96268">
        <w:rPr>
          <w:rStyle w:val="lev"/>
          <w:rFonts w:ascii="Verdana" w:hAnsi="Verdana"/>
          <w:b w:val="0"/>
          <w:bCs w:val="0"/>
          <w:i w:val="0"/>
          <w:iCs w:val="0"/>
          <w:color w:val="auto"/>
          <w:sz w:val="18"/>
          <w:szCs w:val="18"/>
        </w:rPr>
        <w:t>outil structurant d’alignement méthodologique, d’analyse critique et de préparation de l’enquête de terrain.</w:t>
      </w:r>
      <w:r>
        <w:rPr>
          <w:rStyle w:val="lev"/>
          <w:rFonts w:ascii="Verdana" w:hAnsi="Verdana"/>
          <w:b w:val="0"/>
          <w:bCs w:val="0"/>
          <w:i w:val="0"/>
          <w:iCs w:val="0"/>
          <w:color w:val="auto"/>
          <w:sz w:val="18"/>
          <w:szCs w:val="18"/>
        </w:rPr>
        <w:t xml:space="preserve"> </w:t>
      </w:r>
      <w:r w:rsidRPr="00C96268">
        <w:rPr>
          <w:rFonts w:ascii="Verdana" w:hAnsi="Verdana"/>
          <w:i w:val="0"/>
          <w:iCs w:val="0"/>
          <w:color w:val="auto"/>
          <w:sz w:val="18"/>
          <w:szCs w:val="18"/>
        </w:rPr>
        <w:t xml:space="preserve">Cette note documentaire devra donc adopter une posture </w:t>
      </w:r>
      <w:r w:rsidRPr="00C96268">
        <w:rPr>
          <w:rStyle w:val="lev"/>
          <w:rFonts w:ascii="Verdana" w:hAnsi="Verdana"/>
          <w:b w:val="0"/>
          <w:bCs w:val="0"/>
          <w:i w:val="0"/>
          <w:iCs w:val="0"/>
          <w:color w:val="auto"/>
          <w:sz w:val="18"/>
          <w:szCs w:val="18"/>
        </w:rPr>
        <w:t>analytique et réflexive</w:t>
      </w:r>
      <w:r w:rsidRPr="00C96268">
        <w:rPr>
          <w:rFonts w:ascii="Verdana" w:hAnsi="Verdana"/>
          <w:i w:val="0"/>
          <w:iCs w:val="0"/>
          <w:color w:val="auto"/>
          <w:sz w:val="18"/>
          <w:szCs w:val="18"/>
        </w:rPr>
        <w:t xml:space="preserve">, en formulant des </w:t>
      </w:r>
      <w:r w:rsidRPr="00C96268">
        <w:rPr>
          <w:rStyle w:val="lev"/>
          <w:rFonts w:ascii="Verdana" w:hAnsi="Verdana"/>
          <w:b w:val="0"/>
          <w:bCs w:val="0"/>
          <w:i w:val="0"/>
          <w:iCs w:val="0"/>
          <w:color w:val="auto"/>
          <w:sz w:val="18"/>
          <w:szCs w:val="18"/>
        </w:rPr>
        <w:t>hypothèses d’évaluation</w:t>
      </w:r>
      <w:r w:rsidRPr="00C96268">
        <w:rPr>
          <w:rFonts w:ascii="Verdana" w:hAnsi="Verdana"/>
          <w:i w:val="0"/>
          <w:iCs w:val="0"/>
          <w:color w:val="auto"/>
          <w:sz w:val="18"/>
          <w:szCs w:val="18"/>
        </w:rPr>
        <w:t xml:space="preserve"> préliminaires et en identifiant les </w:t>
      </w:r>
      <w:r w:rsidRPr="00C96268">
        <w:rPr>
          <w:rStyle w:val="lev"/>
          <w:rFonts w:ascii="Verdana" w:hAnsi="Verdana"/>
          <w:b w:val="0"/>
          <w:bCs w:val="0"/>
          <w:i w:val="0"/>
          <w:iCs w:val="0"/>
          <w:color w:val="auto"/>
          <w:sz w:val="18"/>
          <w:szCs w:val="18"/>
        </w:rPr>
        <w:t>axes d’approfondissement prioritaires</w:t>
      </w:r>
      <w:r w:rsidRPr="00C96268">
        <w:rPr>
          <w:rFonts w:ascii="Verdana" w:hAnsi="Verdana"/>
          <w:i w:val="0"/>
          <w:iCs w:val="0"/>
          <w:color w:val="auto"/>
          <w:sz w:val="18"/>
          <w:szCs w:val="18"/>
        </w:rPr>
        <w:t xml:space="preserve"> à explorer en terrain. Elle viendra </w:t>
      </w:r>
      <w:r w:rsidRPr="00C96268">
        <w:rPr>
          <w:rStyle w:val="lev"/>
          <w:rFonts w:ascii="Verdana" w:hAnsi="Verdana"/>
          <w:b w:val="0"/>
          <w:bCs w:val="0"/>
          <w:i w:val="0"/>
          <w:iCs w:val="0"/>
          <w:color w:val="auto"/>
          <w:sz w:val="18"/>
          <w:szCs w:val="18"/>
        </w:rPr>
        <w:t>alimenter directement la note de cadrage</w:t>
      </w:r>
      <w:r w:rsidRPr="00C96268">
        <w:rPr>
          <w:rFonts w:ascii="Verdana" w:hAnsi="Verdana"/>
          <w:i w:val="0"/>
          <w:iCs w:val="0"/>
          <w:color w:val="auto"/>
          <w:sz w:val="18"/>
          <w:szCs w:val="18"/>
        </w:rPr>
        <w:t>, en interaction avec les critères, les questions évaluatives et la stratégie de collecte.</w:t>
      </w:r>
    </w:p>
    <w:p w14:paraId="2A3753C4" w14:textId="77777777" w:rsidR="00C96268" w:rsidRPr="00C96268" w:rsidRDefault="00C96268" w:rsidP="00C96268">
      <w:pPr>
        <w:pStyle w:val="NormalWeb"/>
        <w:spacing w:before="0" w:beforeAutospacing="0" w:after="0" w:afterAutospacing="0"/>
        <w:ind w:left="709"/>
        <w:rPr>
          <w:rFonts w:ascii="Verdana" w:hAnsi="Verdana"/>
          <w:i w:val="0"/>
          <w:iCs w:val="0"/>
          <w:color w:val="auto"/>
          <w:sz w:val="18"/>
          <w:szCs w:val="18"/>
        </w:rPr>
      </w:pPr>
    </w:p>
    <w:p w14:paraId="279542F9" w14:textId="77777777" w:rsidR="00C96268" w:rsidRPr="00C96268" w:rsidRDefault="00C96268" w:rsidP="00C96268">
      <w:pPr>
        <w:pStyle w:val="Titre4"/>
        <w:spacing w:before="0"/>
        <w:ind w:left="709"/>
        <w:rPr>
          <w:rFonts w:ascii="Verdana" w:hAnsi="Verdana"/>
          <w:color w:val="auto"/>
          <w:sz w:val="18"/>
          <w:szCs w:val="18"/>
        </w:rPr>
      </w:pPr>
      <w:r w:rsidRPr="00C96268">
        <w:rPr>
          <w:rFonts w:ascii="Verdana" w:hAnsi="Verdana"/>
          <w:color w:val="auto"/>
          <w:sz w:val="18"/>
          <w:szCs w:val="18"/>
        </w:rPr>
        <w:t>Elle devra inclure les éléments suivants :</w:t>
      </w:r>
    </w:p>
    <w:p w14:paraId="243709D9" w14:textId="77777777" w:rsidR="00C96268" w:rsidRPr="00C96268" w:rsidRDefault="00C96268" w:rsidP="00C96268">
      <w:pPr>
        <w:pStyle w:val="NormalWeb"/>
        <w:numPr>
          <w:ilvl w:val="0"/>
          <w:numId w:val="27"/>
        </w:numPr>
        <w:tabs>
          <w:tab w:val="clear" w:pos="720"/>
          <w:tab w:val="clear" w:pos="9923"/>
          <w:tab w:val="num" w:pos="1069"/>
        </w:tabs>
        <w:spacing w:before="0" w:beforeAutospacing="0" w:after="0" w:afterAutospacing="0"/>
        <w:ind w:left="1069"/>
        <w:rPr>
          <w:rFonts w:ascii="Verdana" w:hAnsi="Verdana"/>
          <w:i w:val="0"/>
          <w:iCs w:val="0"/>
          <w:sz w:val="18"/>
          <w:szCs w:val="18"/>
        </w:rPr>
      </w:pPr>
      <w:r w:rsidRPr="00C96268">
        <w:rPr>
          <w:rStyle w:val="lev"/>
          <w:rFonts w:ascii="Verdana" w:hAnsi="Verdana"/>
          <w:b w:val="0"/>
          <w:bCs w:val="0"/>
          <w:i w:val="0"/>
          <w:iCs w:val="0"/>
          <w:color w:val="auto"/>
          <w:sz w:val="18"/>
          <w:szCs w:val="18"/>
        </w:rPr>
        <w:t>Une présentation synthétique et analytique du contexte d’intervention</w:t>
      </w:r>
      <w:r w:rsidRPr="00C96268">
        <w:rPr>
          <w:rFonts w:ascii="Verdana" w:hAnsi="Verdana"/>
          <w:i w:val="0"/>
          <w:iCs w:val="0"/>
          <w:color w:val="auto"/>
          <w:sz w:val="18"/>
          <w:szCs w:val="18"/>
        </w:rPr>
        <w:t xml:space="preserve">, incluant les dynamiques institutionnelles, économiques, sociales, climatiques et territoriales dans lesquelles s’inscrit le projet, avec une attention particulière portée aux </w:t>
      </w:r>
      <w:r w:rsidRPr="00C96268">
        <w:rPr>
          <w:rStyle w:val="lev"/>
          <w:rFonts w:ascii="Verdana" w:hAnsi="Verdana"/>
          <w:b w:val="0"/>
          <w:bCs w:val="0"/>
          <w:i w:val="0"/>
          <w:iCs w:val="0"/>
          <w:color w:val="auto"/>
          <w:sz w:val="18"/>
          <w:szCs w:val="18"/>
        </w:rPr>
        <w:t>enjeux du genre et de la résilience climatique</w:t>
      </w:r>
      <w:r w:rsidRPr="00C96268">
        <w:rPr>
          <w:rFonts w:ascii="Verdana" w:hAnsi="Verdana"/>
          <w:b/>
          <w:bCs/>
          <w:i w:val="0"/>
          <w:iCs w:val="0"/>
          <w:color w:val="auto"/>
          <w:sz w:val="18"/>
          <w:szCs w:val="18"/>
        </w:rPr>
        <w:t>.</w:t>
      </w:r>
      <w:r w:rsidRPr="00C96268">
        <w:rPr>
          <w:rFonts w:ascii="Verdana" w:hAnsi="Verdana"/>
          <w:i w:val="0"/>
          <w:iCs w:val="0"/>
          <w:color w:val="auto"/>
          <w:sz w:val="18"/>
          <w:szCs w:val="18"/>
        </w:rPr>
        <w:t xml:space="preserve"> Cette section intégrera une lecture des opportunités et contraintes contextuelles ayant influencé la mise en œuvre.</w:t>
      </w:r>
    </w:p>
    <w:p w14:paraId="6E8196EE" w14:textId="77777777" w:rsidR="00C96268" w:rsidRPr="00C96268" w:rsidRDefault="00C96268" w:rsidP="00C96268">
      <w:pPr>
        <w:pStyle w:val="NormalWeb"/>
        <w:numPr>
          <w:ilvl w:val="0"/>
          <w:numId w:val="27"/>
        </w:numPr>
        <w:tabs>
          <w:tab w:val="clear" w:pos="720"/>
          <w:tab w:val="clear" w:pos="9923"/>
          <w:tab w:val="num" w:pos="1069"/>
        </w:tabs>
        <w:spacing w:before="0" w:beforeAutospacing="0" w:after="0" w:afterAutospacing="0"/>
        <w:ind w:left="1069"/>
        <w:rPr>
          <w:rFonts w:ascii="Verdana" w:hAnsi="Verdana"/>
          <w:i w:val="0"/>
          <w:iCs w:val="0"/>
          <w:color w:val="auto"/>
          <w:sz w:val="18"/>
          <w:szCs w:val="18"/>
        </w:rPr>
      </w:pPr>
      <w:r w:rsidRPr="00C96268">
        <w:rPr>
          <w:rStyle w:val="lev"/>
          <w:rFonts w:ascii="Verdana" w:hAnsi="Verdana"/>
          <w:b w:val="0"/>
          <w:bCs w:val="0"/>
          <w:i w:val="0"/>
          <w:iCs w:val="0"/>
          <w:color w:val="auto"/>
          <w:sz w:val="18"/>
          <w:szCs w:val="18"/>
        </w:rPr>
        <w:t>Une description structurée du projet EFOR</w:t>
      </w:r>
      <w:r w:rsidRPr="00C96268">
        <w:rPr>
          <w:rFonts w:ascii="Verdana" w:hAnsi="Verdana"/>
          <w:i w:val="0"/>
          <w:iCs w:val="0"/>
          <w:color w:val="auto"/>
          <w:sz w:val="18"/>
          <w:szCs w:val="18"/>
        </w:rPr>
        <w:t>, couvrant :</w:t>
      </w:r>
    </w:p>
    <w:p w14:paraId="7C882523" w14:textId="77777777" w:rsidR="00C96268" w:rsidRPr="00C96268" w:rsidRDefault="00C96268" w:rsidP="00C96268">
      <w:pPr>
        <w:pStyle w:val="NormalWeb"/>
        <w:numPr>
          <w:ilvl w:val="1"/>
          <w:numId w:val="27"/>
        </w:numPr>
        <w:tabs>
          <w:tab w:val="clear" w:pos="1440"/>
          <w:tab w:val="clear" w:pos="9923"/>
          <w:tab w:val="num" w:pos="1789"/>
        </w:tabs>
        <w:spacing w:before="0" w:beforeAutospacing="0" w:after="0" w:afterAutospacing="0"/>
        <w:ind w:left="1789"/>
        <w:rPr>
          <w:rFonts w:ascii="Verdana" w:hAnsi="Verdana"/>
          <w:i w:val="0"/>
          <w:iCs w:val="0"/>
          <w:color w:val="auto"/>
          <w:sz w:val="18"/>
          <w:szCs w:val="18"/>
        </w:rPr>
      </w:pPr>
      <w:r w:rsidRPr="00C96268">
        <w:rPr>
          <w:rFonts w:ascii="Verdana" w:hAnsi="Verdana"/>
          <w:i w:val="0"/>
          <w:iCs w:val="0"/>
          <w:color w:val="auto"/>
          <w:sz w:val="18"/>
          <w:szCs w:val="18"/>
        </w:rPr>
        <w:t>ses objectifs stratégiques et opérationnels,</w:t>
      </w:r>
    </w:p>
    <w:p w14:paraId="0E05B983" w14:textId="77777777" w:rsidR="00C96268" w:rsidRPr="00C96268" w:rsidRDefault="00C96268" w:rsidP="00C96268">
      <w:pPr>
        <w:pStyle w:val="NormalWeb"/>
        <w:numPr>
          <w:ilvl w:val="1"/>
          <w:numId w:val="27"/>
        </w:numPr>
        <w:tabs>
          <w:tab w:val="clear" w:pos="1440"/>
          <w:tab w:val="clear" w:pos="9923"/>
          <w:tab w:val="num" w:pos="1789"/>
        </w:tabs>
        <w:spacing w:before="0" w:beforeAutospacing="0" w:after="0" w:afterAutospacing="0"/>
        <w:ind w:left="1789"/>
        <w:rPr>
          <w:rFonts w:ascii="Verdana" w:hAnsi="Verdana"/>
          <w:i w:val="0"/>
          <w:iCs w:val="0"/>
          <w:color w:val="auto"/>
          <w:sz w:val="18"/>
          <w:szCs w:val="18"/>
        </w:rPr>
      </w:pPr>
      <w:r w:rsidRPr="00C96268">
        <w:rPr>
          <w:rFonts w:ascii="Verdana" w:hAnsi="Verdana"/>
          <w:i w:val="0"/>
          <w:iCs w:val="0"/>
          <w:color w:val="auto"/>
          <w:sz w:val="18"/>
          <w:szCs w:val="18"/>
        </w:rPr>
        <w:t>son périmètre d’intervention (géographique, sectoriel, institutionnel),</w:t>
      </w:r>
    </w:p>
    <w:p w14:paraId="0CAA8B91" w14:textId="77777777" w:rsidR="00C96268" w:rsidRPr="00C96268" w:rsidRDefault="00C96268" w:rsidP="00C96268">
      <w:pPr>
        <w:pStyle w:val="NormalWeb"/>
        <w:numPr>
          <w:ilvl w:val="1"/>
          <w:numId w:val="27"/>
        </w:numPr>
        <w:tabs>
          <w:tab w:val="clear" w:pos="1440"/>
          <w:tab w:val="clear" w:pos="9923"/>
          <w:tab w:val="num" w:pos="1789"/>
        </w:tabs>
        <w:spacing w:before="0" w:beforeAutospacing="0" w:after="0" w:afterAutospacing="0"/>
        <w:ind w:left="1789"/>
        <w:rPr>
          <w:rFonts w:ascii="Verdana" w:hAnsi="Verdana"/>
          <w:i w:val="0"/>
          <w:iCs w:val="0"/>
          <w:color w:val="auto"/>
          <w:sz w:val="18"/>
          <w:szCs w:val="18"/>
        </w:rPr>
      </w:pPr>
      <w:r w:rsidRPr="00C96268">
        <w:rPr>
          <w:rFonts w:ascii="Verdana" w:hAnsi="Verdana"/>
          <w:i w:val="0"/>
          <w:iCs w:val="0"/>
          <w:color w:val="auto"/>
          <w:sz w:val="18"/>
          <w:szCs w:val="18"/>
        </w:rPr>
        <w:t>ses modalités de mise en œuvre (acteurs impliqués, outils mobilisés, logique de l’appel à projets, accompagnement des OPA, dispositifs de coordination),</w:t>
      </w:r>
    </w:p>
    <w:p w14:paraId="05B8FD44" w14:textId="77777777" w:rsidR="00C96268" w:rsidRPr="00C96268" w:rsidRDefault="00C96268" w:rsidP="00C96268">
      <w:pPr>
        <w:pStyle w:val="NormalWeb"/>
        <w:numPr>
          <w:ilvl w:val="1"/>
          <w:numId w:val="27"/>
        </w:numPr>
        <w:tabs>
          <w:tab w:val="clear" w:pos="1440"/>
          <w:tab w:val="clear" w:pos="9923"/>
          <w:tab w:val="num" w:pos="1789"/>
        </w:tabs>
        <w:spacing w:before="0" w:beforeAutospacing="0" w:after="0" w:afterAutospacing="0"/>
        <w:ind w:left="1789"/>
        <w:rPr>
          <w:rFonts w:ascii="Verdana" w:hAnsi="Verdana"/>
          <w:i w:val="0"/>
          <w:iCs w:val="0"/>
          <w:sz w:val="18"/>
          <w:szCs w:val="18"/>
        </w:rPr>
      </w:pPr>
      <w:r w:rsidRPr="00C96268">
        <w:rPr>
          <w:rFonts w:ascii="Verdana" w:hAnsi="Verdana"/>
          <w:i w:val="0"/>
          <w:iCs w:val="0"/>
          <w:color w:val="auto"/>
          <w:sz w:val="18"/>
          <w:szCs w:val="18"/>
        </w:rPr>
        <w:t>les dispositifs SERA (Suivi, Évaluation, Redevabilité et Apprentissage), leur articulation au projet et leur évolution depuis le démarrage.</w:t>
      </w:r>
    </w:p>
    <w:p w14:paraId="24D8C709" w14:textId="77777777" w:rsidR="00C96268" w:rsidRPr="00C96268" w:rsidRDefault="00C96268" w:rsidP="00C96268">
      <w:pPr>
        <w:pStyle w:val="NormalWeb"/>
        <w:numPr>
          <w:ilvl w:val="0"/>
          <w:numId w:val="27"/>
        </w:numPr>
        <w:tabs>
          <w:tab w:val="clear" w:pos="720"/>
          <w:tab w:val="clear" w:pos="9923"/>
          <w:tab w:val="num" w:pos="1069"/>
        </w:tabs>
        <w:spacing w:before="0" w:beforeAutospacing="0" w:after="0" w:afterAutospacing="0"/>
        <w:ind w:left="1069"/>
        <w:rPr>
          <w:rFonts w:ascii="Verdana" w:hAnsi="Verdana"/>
          <w:i w:val="0"/>
          <w:iCs w:val="0"/>
          <w:color w:val="auto"/>
          <w:sz w:val="18"/>
          <w:szCs w:val="18"/>
        </w:rPr>
      </w:pPr>
      <w:r w:rsidRPr="00C96268">
        <w:rPr>
          <w:rStyle w:val="lev"/>
          <w:rFonts w:ascii="Verdana" w:hAnsi="Verdana"/>
          <w:b w:val="0"/>
          <w:bCs w:val="0"/>
          <w:i w:val="0"/>
          <w:iCs w:val="0"/>
          <w:color w:val="auto"/>
          <w:sz w:val="18"/>
          <w:szCs w:val="18"/>
        </w:rPr>
        <w:t>Un récit analytique du déroulement du projet sur la période évaluée</w:t>
      </w:r>
      <w:r w:rsidRPr="00C96268">
        <w:rPr>
          <w:rFonts w:ascii="Verdana" w:hAnsi="Verdana"/>
          <w:i w:val="0"/>
          <w:iCs w:val="0"/>
          <w:color w:val="auto"/>
          <w:sz w:val="18"/>
          <w:szCs w:val="18"/>
        </w:rPr>
        <w:t>, mobilisant notamment la ligne du temps co-construite avec l’équipe projet. Ce récit devra :</w:t>
      </w:r>
    </w:p>
    <w:p w14:paraId="2B5879FD" w14:textId="77777777" w:rsidR="00C96268" w:rsidRPr="00C96268" w:rsidRDefault="00C96268" w:rsidP="00C96268">
      <w:pPr>
        <w:pStyle w:val="NormalWeb"/>
        <w:numPr>
          <w:ilvl w:val="1"/>
          <w:numId w:val="27"/>
        </w:numPr>
        <w:tabs>
          <w:tab w:val="clear" w:pos="1440"/>
          <w:tab w:val="clear" w:pos="9923"/>
          <w:tab w:val="num" w:pos="1789"/>
        </w:tabs>
        <w:spacing w:before="0" w:beforeAutospacing="0" w:after="0" w:afterAutospacing="0"/>
        <w:ind w:left="1789"/>
        <w:rPr>
          <w:rFonts w:ascii="Verdana" w:hAnsi="Verdana"/>
          <w:i w:val="0"/>
          <w:iCs w:val="0"/>
          <w:color w:val="auto"/>
          <w:sz w:val="18"/>
          <w:szCs w:val="18"/>
        </w:rPr>
      </w:pPr>
      <w:r w:rsidRPr="00C96268">
        <w:rPr>
          <w:rFonts w:ascii="Verdana" w:hAnsi="Verdana"/>
          <w:i w:val="0"/>
          <w:iCs w:val="0"/>
          <w:color w:val="auto"/>
          <w:sz w:val="18"/>
          <w:szCs w:val="18"/>
        </w:rPr>
        <w:t>retracer les principales phases, jalons et tournants du projet ;</w:t>
      </w:r>
    </w:p>
    <w:p w14:paraId="7C4CB0F4" w14:textId="77777777" w:rsidR="00C96268" w:rsidRPr="00C96268" w:rsidRDefault="00C96268" w:rsidP="00C96268">
      <w:pPr>
        <w:pStyle w:val="NormalWeb"/>
        <w:numPr>
          <w:ilvl w:val="1"/>
          <w:numId w:val="27"/>
        </w:numPr>
        <w:tabs>
          <w:tab w:val="clear" w:pos="1440"/>
          <w:tab w:val="clear" w:pos="9923"/>
          <w:tab w:val="num" w:pos="1789"/>
        </w:tabs>
        <w:spacing w:before="0" w:beforeAutospacing="0" w:after="0" w:afterAutospacing="0"/>
        <w:ind w:left="1789"/>
        <w:rPr>
          <w:rFonts w:ascii="Verdana" w:hAnsi="Verdana"/>
          <w:i w:val="0"/>
          <w:iCs w:val="0"/>
          <w:color w:val="auto"/>
          <w:sz w:val="18"/>
          <w:szCs w:val="18"/>
        </w:rPr>
      </w:pPr>
      <w:r w:rsidRPr="00C96268">
        <w:rPr>
          <w:rFonts w:ascii="Verdana" w:hAnsi="Verdana"/>
          <w:i w:val="0"/>
          <w:iCs w:val="0"/>
          <w:color w:val="auto"/>
          <w:sz w:val="18"/>
          <w:szCs w:val="18"/>
        </w:rPr>
        <w:t>mettre en évidence les ressources mobilisées (financières, humaines, partenariales) ;</w:t>
      </w:r>
    </w:p>
    <w:p w14:paraId="252D7CE0" w14:textId="77777777" w:rsidR="00C96268" w:rsidRPr="00C96268" w:rsidRDefault="00C96268" w:rsidP="00C96268">
      <w:pPr>
        <w:pStyle w:val="NormalWeb"/>
        <w:numPr>
          <w:ilvl w:val="1"/>
          <w:numId w:val="27"/>
        </w:numPr>
        <w:tabs>
          <w:tab w:val="clear" w:pos="1440"/>
          <w:tab w:val="clear" w:pos="9923"/>
          <w:tab w:val="num" w:pos="1789"/>
        </w:tabs>
        <w:spacing w:before="0" w:beforeAutospacing="0" w:after="0" w:afterAutospacing="0"/>
        <w:ind w:left="1789"/>
        <w:rPr>
          <w:rFonts w:ascii="Verdana" w:hAnsi="Verdana"/>
          <w:i w:val="0"/>
          <w:iCs w:val="0"/>
          <w:color w:val="auto"/>
          <w:sz w:val="18"/>
          <w:szCs w:val="18"/>
        </w:rPr>
      </w:pPr>
      <w:r w:rsidRPr="00C96268">
        <w:rPr>
          <w:rFonts w:ascii="Verdana" w:hAnsi="Verdana"/>
          <w:i w:val="0"/>
          <w:iCs w:val="0"/>
          <w:color w:val="auto"/>
          <w:sz w:val="18"/>
          <w:szCs w:val="18"/>
        </w:rPr>
        <w:t>identifier les principaux défis rencontrés et les ajustements ou inflexions stratégiques décidés ;</w:t>
      </w:r>
    </w:p>
    <w:p w14:paraId="5D1C5725" w14:textId="77777777" w:rsidR="00C96268" w:rsidRPr="00C96268" w:rsidRDefault="00C96268" w:rsidP="00C96268">
      <w:pPr>
        <w:pStyle w:val="NormalWeb"/>
        <w:numPr>
          <w:ilvl w:val="1"/>
          <w:numId w:val="27"/>
        </w:numPr>
        <w:tabs>
          <w:tab w:val="clear" w:pos="1440"/>
          <w:tab w:val="clear" w:pos="9923"/>
          <w:tab w:val="num" w:pos="1789"/>
        </w:tabs>
        <w:spacing w:before="0" w:beforeAutospacing="0" w:after="0" w:afterAutospacing="0"/>
        <w:ind w:left="1789"/>
        <w:rPr>
          <w:rFonts w:ascii="Verdana" w:hAnsi="Verdana"/>
          <w:i w:val="0"/>
          <w:iCs w:val="0"/>
          <w:sz w:val="18"/>
          <w:szCs w:val="18"/>
        </w:rPr>
      </w:pPr>
      <w:r w:rsidRPr="00C96268">
        <w:rPr>
          <w:rFonts w:ascii="Verdana" w:hAnsi="Verdana"/>
          <w:i w:val="0"/>
          <w:iCs w:val="0"/>
          <w:color w:val="auto"/>
          <w:sz w:val="18"/>
          <w:szCs w:val="18"/>
        </w:rPr>
        <w:t>pointer les effets ou signaux de changement déjà observés.</w:t>
      </w:r>
    </w:p>
    <w:p w14:paraId="23480201" w14:textId="77777777" w:rsidR="00C96268" w:rsidRPr="00C96268" w:rsidRDefault="00C96268" w:rsidP="00C96268">
      <w:pPr>
        <w:pStyle w:val="NormalWeb"/>
        <w:numPr>
          <w:ilvl w:val="0"/>
          <w:numId w:val="27"/>
        </w:numPr>
        <w:tabs>
          <w:tab w:val="clear" w:pos="720"/>
          <w:tab w:val="clear" w:pos="9923"/>
          <w:tab w:val="num" w:pos="1069"/>
        </w:tabs>
        <w:spacing w:before="0" w:beforeAutospacing="0" w:after="0" w:afterAutospacing="0"/>
        <w:ind w:left="1069"/>
        <w:rPr>
          <w:rFonts w:ascii="Verdana" w:hAnsi="Verdana"/>
          <w:i w:val="0"/>
          <w:iCs w:val="0"/>
          <w:sz w:val="18"/>
          <w:szCs w:val="18"/>
        </w:rPr>
      </w:pPr>
      <w:r w:rsidRPr="00C96268">
        <w:rPr>
          <w:rStyle w:val="lev"/>
          <w:rFonts w:ascii="Verdana" w:hAnsi="Verdana"/>
          <w:b w:val="0"/>
          <w:bCs w:val="0"/>
          <w:i w:val="0"/>
          <w:iCs w:val="0"/>
          <w:color w:val="auto"/>
          <w:sz w:val="18"/>
          <w:szCs w:val="18"/>
        </w:rPr>
        <w:t>Une première formulation d’hypothèses d’évaluation</w:t>
      </w:r>
      <w:r w:rsidRPr="00C96268">
        <w:rPr>
          <w:rFonts w:ascii="Verdana" w:hAnsi="Verdana"/>
          <w:i w:val="0"/>
          <w:iCs w:val="0"/>
          <w:color w:val="auto"/>
          <w:sz w:val="18"/>
          <w:szCs w:val="18"/>
        </w:rPr>
        <w:t xml:space="preserve"> à tester ou affiner lors de la mission de terrain, permettant de formuler les premiers axes critiques autour des critères de pertinence, efficacité, cohérence, durabilité, efficience, etc.</w:t>
      </w:r>
    </w:p>
    <w:p w14:paraId="1C81B8DB" w14:textId="77777777" w:rsidR="00C96268" w:rsidRPr="00C96268" w:rsidRDefault="00C96268" w:rsidP="00C96268">
      <w:pPr>
        <w:pStyle w:val="NormalWeb"/>
        <w:spacing w:before="0" w:beforeAutospacing="0" w:after="0" w:afterAutospacing="0"/>
        <w:ind w:left="1069"/>
        <w:rPr>
          <w:rFonts w:ascii="Verdana" w:hAnsi="Verdana"/>
          <w:i w:val="0"/>
          <w:iCs w:val="0"/>
          <w:color w:val="auto"/>
          <w:sz w:val="18"/>
          <w:szCs w:val="18"/>
        </w:rPr>
      </w:pPr>
    </w:p>
    <w:p w14:paraId="379D70E4" w14:textId="77777777" w:rsidR="00C96268" w:rsidRPr="00C96268" w:rsidRDefault="00C96268" w:rsidP="00C96268">
      <w:pPr>
        <w:pStyle w:val="NormalWeb"/>
        <w:spacing w:before="0" w:beforeAutospacing="0" w:after="0" w:afterAutospacing="0"/>
        <w:ind w:left="709"/>
        <w:rPr>
          <w:rFonts w:ascii="Verdana" w:hAnsi="Verdana"/>
          <w:i w:val="0"/>
          <w:iCs w:val="0"/>
          <w:sz w:val="18"/>
          <w:szCs w:val="18"/>
        </w:rPr>
      </w:pPr>
      <w:r w:rsidRPr="00C96268">
        <w:rPr>
          <w:rFonts w:ascii="Verdana" w:hAnsi="Verdana"/>
          <w:i w:val="0"/>
          <w:iCs w:val="0"/>
          <w:color w:val="auto"/>
          <w:sz w:val="18"/>
          <w:szCs w:val="18"/>
        </w:rPr>
        <w:lastRenderedPageBreak/>
        <w:t xml:space="preserve">Cette note constituera un </w:t>
      </w:r>
      <w:r w:rsidRPr="00C96268">
        <w:rPr>
          <w:rStyle w:val="lev"/>
          <w:rFonts w:ascii="Verdana" w:hAnsi="Verdana"/>
          <w:b w:val="0"/>
          <w:bCs w:val="0"/>
          <w:i w:val="0"/>
          <w:iCs w:val="0"/>
          <w:color w:val="auto"/>
          <w:sz w:val="18"/>
          <w:szCs w:val="18"/>
        </w:rPr>
        <w:t>support de travail intermédiaire</w:t>
      </w:r>
      <w:r w:rsidRPr="00C96268">
        <w:rPr>
          <w:rFonts w:ascii="Verdana" w:hAnsi="Verdana"/>
          <w:i w:val="0"/>
          <w:iCs w:val="0"/>
          <w:color w:val="auto"/>
          <w:sz w:val="18"/>
          <w:szCs w:val="18"/>
        </w:rPr>
        <w:t xml:space="preserve"> utile :</w:t>
      </w:r>
    </w:p>
    <w:p w14:paraId="2E00B1AC" w14:textId="77777777" w:rsidR="00C96268" w:rsidRPr="00C96268" w:rsidRDefault="00C96268" w:rsidP="00C96268">
      <w:pPr>
        <w:pStyle w:val="NormalWeb"/>
        <w:spacing w:before="0" w:beforeAutospacing="0" w:after="0" w:afterAutospacing="0"/>
        <w:ind w:left="709"/>
        <w:rPr>
          <w:rFonts w:ascii="Verdana" w:hAnsi="Verdana"/>
          <w:i w:val="0"/>
          <w:iCs w:val="0"/>
          <w:color w:val="auto"/>
          <w:sz w:val="18"/>
          <w:szCs w:val="18"/>
        </w:rPr>
      </w:pPr>
    </w:p>
    <w:p w14:paraId="6BACDAF7" w14:textId="77777777" w:rsidR="00C96268" w:rsidRPr="00C96268" w:rsidRDefault="00C96268" w:rsidP="00C96268">
      <w:pPr>
        <w:pStyle w:val="NormalWeb"/>
        <w:numPr>
          <w:ilvl w:val="0"/>
          <w:numId w:val="28"/>
        </w:numPr>
        <w:tabs>
          <w:tab w:val="clear" w:pos="720"/>
          <w:tab w:val="clear" w:pos="9923"/>
          <w:tab w:val="num" w:pos="1069"/>
        </w:tabs>
        <w:spacing w:before="0" w:beforeAutospacing="0" w:after="0" w:afterAutospacing="0"/>
        <w:ind w:left="1069"/>
        <w:rPr>
          <w:rFonts w:ascii="Verdana" w:hAnsi="Verdana"/>
          <w:i w:val="0"/>
          <w:iCs w:val="0"/>
          <w:color w:val="auto"/>
          <w:sz w:val="18"/>
          <w:szCs w:val="18"/>
        </w:rPr>
      </w:pPr>
      <w:r w:rsidRPr="00C96268">
        <w:rPr>
          <w:rFonts w:ascii="Verdana" w:hAnsi="Verdana"/>
          <w:i w:val="0"/>
          <w:iCs w:val="0"/>
          <w:color w:val="auto"/>
          <w:sz w:val="18"/>
          <w:szCs w:val="18"/>
        </w:rPr>
        <w:t xml:space="preserve">pour assurer un </w:t>
      </w:r>
      <w:r w:rsidRPr="00C96268">
        <w:rPr>
          <w:rStyle w:val="lev"/>
          <w:rFonts w:ascii="Verdana" w:hAnsi="Verdana"/>
          <w:b w:val="0"/>
          <w:bCs w:val="0"/>
          <w:i w:val="0"/>
          <w:iCs w:val="0"/>
          <w:color w:val="auto"/>
          <w:sz w:val="18"/>
          <w:szCs w:val="18"/>
        </w:rPr>
        <w:t>alignement méthodologique clair avec les équipes projet et les parties prenantes</w:t>
      </w:r>
      <w:r w:rsidRPr="00C96268">
        <w:rPr>
          <w:rFonts w:ascii="Verdana" w:hAnsi="Verdana"/>
          <w:i w:val="0"/>
          <w:iCs w:val="0"/>
          <w:color w:val="auto"/>
          <w:sz w:val="18"/>
          <w:szCs w:val="18"/>
        </w:rPr>
        <w:t xml:space="preserve"> avant la phase de terrain ;</w:t>
      </w:r>
    </w:p>
    <w:p w14:paraId="61591A82" w14:textId="77777777" w:rsidR="00C96268" w:rsidRPr="00C96268" w:rsidRDefault="00C96268" w:rsidP="00C96268">
      <w:pPr>
        <w:pStyle w:val="NormalWeb"/>
        <w:numPr>
          <w:ilvl w:val="0"/>
          <w:numId w:val="28"/>
        </w:numPr>
        <w:tabs>
          <w:tab w:val="clear" w:pos="720"/>
          <w:tab w:val="clear" w:pos="9923"/>
          <w:tab w:val="num" w:pos="1069"/>
        </w:tabs>
        <w:spacing w:before="0" w:beforeAutospacing="0" w:after="0" w:afterAutospacing="0"/>
        <w:ind w:left="1069"/>
        <w:rPr>
          <w:rFonts w:ascii="Verdana" w:hAnsi="Verdana"/>
          <w:i w:val="0"/>
          <w:iCs w:val="0"/>
          <w:color w:val="auto"/>
          <w:sz w:val="18"/>
          <w:szCs w:val="18"/>
        </w:rPr>
      </w:pPr>
      <w:r w:rsidRPr="00C96268">
        <w:rPr>
          <w:rFonts w:ascii="Verdana" w:hAnsi="Verdana"/>
          <w:i w:val="0"/>
          <w:iCs w:val="0"/>
          <w:color w:val="auto"/>
          <w:sz w:val="18"/>
          <w:szCs w:val="18"/>
        </w:rPr>
        <w:t xml:space="preserve">pour </w:t>
      </w:r>
      <w:r w:rsidRPr="00C96268">
        <w:rPr>
          <w:rStyle w:val="lev"/>
          <w:rFonts w:ascii="Verdana" w:hAnsi="Verdana"/>
          <w:b w:val="0"/>
          <w:bCs w:val="0"/>
          <w:i w:val="0"/>
          <w:iCs w:val="0"/>
          <w:color w:val="auto"/>
          <w:sz w:val="18"/>
          <w:szCs w:val="18"/>
        </w:rPr>
        <w:t>préparer les guides d’entretien et les outils de collecte</w:t>
      </w:r>
      <w:r w:rsidRPr="00C96268">
        <w:rPr>
          <w:rFonts w:ascii="Verdana" w:hAnsi="Verdana"/>
          <w:i w:val="0"/>
          <w:iCs w:val="0"/>
          <w:color w:val="auto"/>
          <w:sz w:val="18"/>
          <w:szCs w:val="18"/>
        </w:rPr>
        <w:t xml:space="preserve"> ;</w:t>
      </w:r>
    </w:p>
    <w:p w14:paraId="325AD2E8" w14:textId="77777777" w:rsidR="00C96268" w:rsidRPr="00C96268" w:rsidRDefault="00C96268" w:rsidP="00C96268">
      <w:pPr>
        <w:pStyle w:val="NormalWeb"/>
        <w:numPr>
          <w:ilvl w:val="0"/>
          <w:numId w:val="28"/>
        </w:numPr>
        <w:tabs>
          <w:tab w:val="clear" w:pos="720"/>
          <w:tab w:val="clear" w:pos="9923"/>
          <w:tab w:val="num" w:pos="1069"/>
        </w:tabs>
        <w:spacing w:before="0" w:beforeAutospacing="0" w:after="0" w:afterAutospacing="0"/>
        <w:ind w:left="1069"/>
        <w:rPr>
          <w:rFonts w:ascii="Verdana" w:hAnsi="Verdana"/>
          <w:i w:val="0"/>
          <w:iCs w:val="0"/>
          <w:color w:val="auto"/>
          <w:sz w:val="18"/>
          <w:szCs w:val="18"/>
        </w:rPr>
      </w:pPr>
      <w:r w:rsidRPr="00C96268">
        <w:rPr>
          <w:rFonts w:ascii="Verdana" w:hAnsi="Verdana"/>
          <w:i w:val="0"/>
          <w:iCs w:val="0"/>
          <w:color w:val="auto"/>
          <w:sz w:val="18"/>
          <w:szCs w:val="18"/>
        </w:rPr>
        <w:t xml:space="preserve">pour </w:t>
      </w:r>
      <w:r w:rsidRPr="00C96268">
        <w:rPr>
          <w:rStyle w:val="lev"/>
          <w:rFonts w:ascii="Verdana" w:hAnsi="Verdana"/>
          <w:b w:val="0"/>
          <w:bCs w:val="0"/>
          <w:i w:val="0"/>
          <w:iCs w:val="0"/>
          <w:color w:val="auto"/>
          <w:sz w:val="18"/>
          <w:szCs w:val="18"/>
        </w:rPr>
        <w:t>initier une capitalisation structurée</w:t>
      </w:r>
      <w:r w:rsidRPr="00C96268">
        <w:rPr>
          <w:rFonts w:ascii="Verdana" w:hAnsi="Verdana"/>
          <w:b/>
          <w:bCs/>
          <w:i w:val="0"/>
          <w:iCs w:val="0"/>
          <w:color w:val="auto"/>
          <w:sz w:val="18"/>
          <w:szCs w:val="18"/>
        </w:rPr>
        <w:t xml:space="preserve"> </w:t>
      </w:r>
      <w:r w:rsidRPr="00C96268">
        <w:rPr>
          <w:rFonts w:ascii="Verdana" w:hAnsi="Verdana"/>
          <w:i w:val="0"/>
          <w:iCs w:val="0"/>
          <w:color w:val="auto"/>
          <w:sz w:val="18"/>
          <w:szCs w:val="18"/>
        </w:rPr>
        <w:t>sur les choix et adaptations opérés au fil de la mise en œuvre.</w:t>
      </w:r>
    </w:p>
    <w:p w14:paraId="6159D46A" w14:textId="77777777" w:rsidR="00C96268" w:rsidRPr="00C96268" w:rsidRDefault="00C96268" w:rsidP="00C96268">
      <w:pPr>
        <w:spacing w:after="0"/>
        <w:ind w:left="709"/>
        <w:rPr>
          <w:rFonts w:ascii="Verdana" w:hAnsi="Verdana"/>
          <w:i w:val="0"/>
          <w:iCs w:val="0"/>
          <w:sz w:val="18"/>
          <w:szCs w:val="18"/>
        </w:rPr>
      </w:pPr>
    </w:p>
    <w:p w14:paraId="4E36C0F2" w14:textId="77777777" w:rsidR="005A6764" w:rsidRDefault="001A5BAC" w:rsidP="00C96268">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Cette note devra permettre de mettre en lumière les dynamiques internes du projet et les arbitrages opérés depuis son lancement, afin d’éclairer les analyses ultérieures et de faciliter l’identification des points de bascule, des innovations, des tensions ou des leviers de transformation. Dans le rapport final, cette présentation historique et analytique ne devra pas dépasser 8 pages. Les éléments complémentaires, tels que les chronologies détaillées ou les documents de référence, pourront être placés en annexes.</w:t>
      </w:r>
    </w:p>
    <w:p w14:paraId="2594E6F9" w14:textId="77777777" w:rsidR="005A6764" w:rsidRDefault="005A6764">
      <w:pPr>
        <w:spacing w:after="0"/>
        <w:rPr>
          <w:rFonts w:ascii="Verdana" w:hAnsi="Verdana"/>
          <w:sz w:val="18"/>
          <w:szCs w:val="18"/>
        </w:rPr>
      </w:pPr>
    </w:p>
    <w:p w14:paraId="5C6D96E0" w14:textId="77777777" w:rsidR="005A6764" w:rsidRDefault="001A5BAC">
      <w:pPr>
        <w:pStyle w:val="Titre3"/>
        <w:spacing w:before="0" w:after="0"/>
        <w:rPr>
          <w:rFonts w:ascii="Verdana" w:hAnsi="Verdana"/>
          <w:sz w:val="18"/>
          <w:szCs w:val="18"/>
        </w:rPr>
      </w:pPr>
      <w:r>
        <w:rPr>
          <w:rFonts w:ascii="Verdana" w:hAnsi="Verdana"/>
          <w:sz w:val="18"/>
          <w:szCs w:val="18"/>
        </w:rPr>
        <w:t>Phase de collecte</w:t>
      </w:r>
    </w:p>
    <w:p w14:paraId="734206F5"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La phase de collecte des données primaires constituera un temps fort de l’évaluation &amp; capitalisation à mi-parcours. Elle se déroulera en présentiel, entre septembre et octobre, dans le cadre d’une mission de terrain menée par l’équipe de la mission sur les principaux sites d’intervention du projet.</w:t>
      </w:r>
    </w:p>
    <w:p w14:paraId="4711E14F"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Cette phase vise à documenter de manière fine les perceptions, les résultats et les dynamiques à l’œuvre, en s’appuyant sur une triangulation méthodologique et une approche participative, sensible au genre et aux enjeux de durabilité. La collecte inclura les activités suivantes :</w:t>
      </w:r>
    </w:p>
    <w:p w14:paraId="13FD7ABB"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La mise en œuvre d’un dispositif combiné d’outils qualitatifs et quantitatifs</w:t>
      </w:r>
      <w:r>
        <w:rPr>
          <w:rFonts w:ascii="Verdana" w:eastAsia="Times New Roman" w:hAnsi="Verdana" w:cs="Times New Roman"/>
          <w:i w:val="0"/>
          <w:iCs w:val="0"/>
          <w:color w:val="auto"/>
          <w:sz w:val="18"/>
          <w:szCs w:val="18"/>
          <w:lang w:eastAsia="fr-FR"/>
        </w:rPr>
        <w:t xml:space="preserve">, conçus par l’évaluateur·rice et validés en amont avec le projet. </w:t>
      </w:r>
    </w:p>
    <w:p w14:paraId="7E5A020A"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La réalisation de visites de terrain</w:t>
      </w:r>
      <w:r>
        <w:rPr>
          <w:rFonts w:ascii="Verdana" w:eastAsia="Times New Roman" w:hAnsi="Verdana" w:cs="Times New Roman"/>
          <w:i w:val="0"/>
          <w:iCs w:val="0"/>
          <w:color w:val="auto"/>
          <w:sz w:val="18"/>
          <w:szCs w:val="18"/>
          <w:lang w:eastAsia="fr-FR"/>
        </w:rPr>
        <w:t xml:space="preserve"> sur un panel de sites représentatifs des différentes typologies d’intervention du projet.</w:t>
      </w:r>
    </w:p>
    <w:p w14:paraId="5E0D3CFB"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La conduite d’enquêtes ciblées</w:t>
      </w:r>
      <w:r>
        <w:rPr>
          <w:rFonts w:ascii="Verdana" w:eastAsia="Times New Roman" w:hAnsi="Verdana" w:cs="Times New Roman"/>
          <w:i w:val="0"/>
          <w:iCs w:val="0"/>
          <w:color w:val="auto"/>
          <w:sz w:val="18"/>
          <w:szCs w:val="18"/>
          <w:lang w:eastAsia="fr-FR"/>
        </w:rPr>
        <w:t>, notamment auprès des bénéficiaires finaux et partenaires de terrain.</w:t>
      </w:r>
    </w:p>
    <w:p w14:paraId="3CE9530F"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L’animation de groupes de discussion (focus groupes)</w:t>
      </w:r>
      <w:r>
        <w:rPr>
          <w:rFonts w:ascii="Verdana" w:eastAsia="Times New Roman" w:hAnsi="Verdana" w:cs="Times New Roman"/>
          <w:i w:val="0"/>
          <w:iCs w:val="0"/>
          <w:color w:val="auto"/>
          <w:sz w:val="18"/>
          <w:szCs w:val="18"/>
          <w:lang w:eastAsia="fr-FR"/>
        </w:rPr>
        <w:t>, stratifiés par type d’acteurs, pour approfondir les perceptions, les apprentissages, les leviers et freins au changement, et documenter les dynamiques de collaboration et d’appropriation.</w:t>
      </w:r>
    </w:p>
    <w:p w14:paraId="5E24332D"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L’organisation d’un atelier participatif intermédiaire</w:t>
      </w:r>
      <w:r>
        <w:rPr>
          <w:rFonts w:ascii="Verdana" w:eastAsia="Times New Roman" w:hAnsi="Verdana" w:cs="Times New Roman"/>
          <w:i w:val="0"/>
          <w:iCs w:val="0"/>
          <w:color w:val="auto"/>
          <w:sz w:val="18"/>
          <w:szCs w:val="18"/>
          <w:lang w:eastAsia="fr-FR"/>
        </w:rPr>
        <w:t>, réunissant un panel représentatif des parties prenantes du projet, afin de partager les premiers constats issus de la collecte, valider ou discuter certaines hypothèses, et nourrir les réflexions évaluatives.</w:t>
      </w:r>
    </w:p>
    <w:p w14:paraId="2DCC1F30"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Une réunion de restitution à chaud</w:t>
      </w:r>
      <w:r>
        <w:rPr>
          <w:rFonts w:ascii="Verdana" w:eastAsia="Times New Roman" w:hAnsi="Verdana" w:cs="Times New Roman"/>
          <w:i w:val="0"/>
          <w:iCs w:val="0"/>
          <w:color w:val="auto"/>
          <w:sz w:val="18"/>
          <w:szCs w:val="18"/>
          <w:lang w:eastAsia="fr-FR"/>
        </w:rPr>
        <w:t>, animée par l’équipe d’évaluation &amp; capitalisation en fin de mission terrain, pour partager les résultats préliminaires, recueillir des réactions immédiates, et ajuster si besoin les analyses ou les approfondissements à produire.</w:t>
      </w:r>
    </w:p>
    <w:p w14:paraId="0AD5461D" w14:textId="77777777" w:rsidR="005A6764" w:rsidRDefault="005A6764">
      <w:pPr>
        <w:tabs>
          <w:tab w:val="clear" w:pos="9923"/>
        </w:tabs>
        <w:spacing w:after="0"/>
        <w:ind w:left="709"/>
        <w:rPr>
          <w:rFonts w:ascii="Verdana" w:eastAsia="Times New Roman" w:hAnsi="Verdana" w:cs="Times New Roman"/>
          <w:i w:val="0"/>
          <w:iCs w:val="0"/>
          <w:color w:val="auto"/>
          <w:sz w:val="18"/>
          <w:szCs w:val="18"/>
          <w:lang w:eastAsia="fr-FR"/>
        </w:rPr>
      </w:pPr>
    </w:p>
    <w:p w14:paraId="32EF7990" w14:textId="77777777" w:rsidR="005A6764" w:rsidRDefault="001A5BAC">
      <w:pPr>
        <w:pStyle w:val="Titre3"/>
        <w:spacing w:before="0" w:after="0"/>
        <w:rPr>
          <w:rFonts w:ascii="Verdana" w:hAnsi="Verdana"/>
          <w:sz w:val="18"/>
          <w:szCs w:val="18"/>
        </w:rPr>
      </w:pPr>
      <w:r>
        <w:rPr>
          <w:rFonts w:ascii="Verdana" w:hAnsi="Verdana"/>
          <w:sz w:val="18"/>
          <w:szCs w:val="18"/>
        </w:rPr>
        <w:t>Phase d’analyse et reporting</w:t>
      </w:r>
    </w:p>
    <w:p w14:paraId="2817578A" w14:textId="77777777" w:rsidR="005A6764" w:rsidRDefault="005A6764">
      <w:pPr>
        <w:spacing w:after="0"/>
        <w:rPr>
          <w:rFonts w:ascii="Verdana" w:hAnsi="Verdana"/>
          <w:sz w:val="18"/>
          <w:szCs w:val="18"/>
        </w:rPr>
      </w:pPr>
    </w:p>
    <w:p w14:paraId="228614E3"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À la suite de la collecte des données, la phase d’analyse visera à produire une compréhension approfondie, critique et constructive de la mise en œuvre du projet EFOR, de ses résultats intermédiaires, ainsi que des dynamiques partenariales et territoriales à l’œuvre. Elle mobilisera une démarche rigoureuse fondée sur la triangulation des données issues des différentes, tout en intégrant une lecture sensible aux dimensions transversales (genre, climat, gouvernance participative).</w:t>
      </w:r>
    </w:p>
    <w:p w14:paraId="0CDC1472"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L’évaluateur·rice devra :</w:t>
      </w:r>
    </w:p>
    <w:p w14:paraId="720913EE"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Structurer l’analyse autour des critères d’évaluation</w:t>
      </w:r>
      <w:r>
        <w:rPr>
          <w:rFonts w:ascii="Verdana" w:eastAsia="Times New Roman" w:hAnsi="Verdana" w:cs="Times New Roman"/>
          <w:i w:val="0"/>
          <w:iCs w:val="0"/>
          <w:color w:val="auto"/>
          <w:sz w:val="18"/>
          <w:szCs w:val="18"/>
          <w:lang w:eastAsia="fr-FR"/>
        </w:rPr>
        <w:t xml:space="preserve"> définis dans les TDRs et des axes stratégiques du projet, en croisant systématiquement constats, causes, effets et enseignements ;</w:t>
      </w:r>
    </w:p>
    <w:p w14:paraId="614E8C57"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Dégager les principaux enseignements</w:t>
      </w:r>
      <w:r>
        <w:rPr>
          <w:rFonts w:ascii="Verdana" w:eastAsia="Times New Roman" w:hAnsi="Verdana" w:cs="Times New Roman"/>
          <w:i w:val="0"/>
          <w:iCs w:val="0"/>
          <w:color w:val="auto"/>
          <w:sz w:val="18"/>
          <w:szCs w:val="18"/>
          <w:lang w:eastAsia="fr-FR"/>
        </w:rPr>
        <w:t xml:space="preserve"> sur la pertinence du dispositif mis en œuvre, les marges d’amélioration, les innovations, les conditions d’appropriation par les acteurs locaux, et les perspectives de pérennisation ;</w:t>
      </w:r>
    </w:p>
    <w:p w14:paraId="1D6AE19D"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Formuler des recommandations opérationnelles, contextualisées et stratégiques</w:t>
      </w:r>
      <w:r>
        <w:rPr>
          <w:rFonts w:ascii="Verdana" w:eastAsia="Times New Roman" w:hAnsi="Verdana" w:cs="Times New Roman"/>
          <w:i w:val="0"/>
          <w:iCs w:val="0"/>
          <w:color w:val="auto"/>
          <w:sz w:val="18"/>
          <w:szCs w:val="18"/>
          <w:lang w:eastAsia="fr-FR"/>
        </w:rPr>
        <w:t>, directement utilisables pour alimenter la gestion adaptative du projet et éclairer les décisions relatives à ses orientations futures, en particulier pour la période post-2025.</w:t>
      </w:r>
    </w:p>
    <w:p w14:paraId="285E0F1D" w14:textId="77777777" w:rsidR="005A6764" w:rsidRDefault="005A6764">
      <w:pPr>
        <w:tabs>
          <w:tab w:val="clear" w:pos="9923"/>
        </w:tabs>
        <w:spacing w:after="0"/>
        <w:ind w:left="709"/>
        <w:rPr>
          <w:rFonts w:ascii="Verdana" w:eastAsia="Times New Roman" w:hAnsi="Verdana" w:cs="Times New Roman"/>
          <w:i w:val="0"/>
          <w:iCs w:val="0"/>
          <w:color w:val="auto"/>
          <w:sz w:val="18"/>
          <w:szCs w:val="18"/>
          <w:lang w:eastAsia="fr-FR"/>
        </w:rPr>
      </w:pPr>
    </w:p>
    <w:p w14:paraId="3B76A586"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 xml:space="preserve">En matière de reporting, les livrables attendus sont les suivants : </w:t>
      </w:r>
    </w:p>
    <w:p w14:paraId="51B8E54A"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 xml:space="preserve">Un </w:t>
      </w:r>
      <w:r>
        <w:rPr>
          <w:rFonts w:ascii="Verdana" w:eastAsia="Times New Roman" w:hAnsi="Verdana" w:cs="Times New Roman"/>
          <w:b/>
          <w:bCs/>
          <w:i w:val="0"/>
          <w:iCs w:val="0"/>
          <w:color w:val="auto"/>
          <w:sz w:val="18"/>
          <w:szCs w:val="18"/>
          <w:lang w:eastAsia="fr-FR"/>
        </w:rPr>
        <w:t>rapport provisoire d’évaluation</w:t>
      </w:r>
      <w:r>
        <w:rPr>
          <w:rFonts w:ascii="Verdana" w:eastAsia="Times New Roman" w:hAnsi="Verdana" w:cs="Times New Roman"/>
          <w:i w:val="0"/>
          <w:iCs w:val="0"/>
          <w:color w:val="auto"/>
          <w:sz w:val="18"/>
          <w:szCs w:val="18"/>
          <w:lang w:eastAsia="fr-FR"/>
        </w:rPr>
        <w:t>, structuré de manière claire et analytique, comprenant notamment : un résumé exécutif, la méthodologie mobilisée, les constats et analyses par critère d’évaluation, une section dédiée aux recommandations, des annexes techniques (liste des personnes rencontrées, outils de collecte, documentation consultée, grilles d’entretien, etc.).</w:t>
      </w:r>
    </w:p>
    <w:p w14:paraId="3D411908"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lastRenderedPageBreak/>
        <w:t xml:space="preserve">Une </w:t>
      </w:r>
      <w:r>
        <w:rPr>
          <w:rFonts w:ascii="Verdana" w:eastAsia="Times New Roman" w:hAnsi="Verdana" w:cs="Times New Roman"/>
          <w:b/>
          <w:bCs/>
          <w:i w:val="0"/>
          <w:iCs w:val="0"/>
          <w:color w:val="auto"/>
          <w:sz w:val="18"/>
          <w:szCs w:val="18"/>
          <w:lang w:eastAsia="fr-FR"/>
        </w:rPr>
        <w:t>note de synthèse stratégique</w:t>
      </w:r>
      <w:r>
        <w:rPr>
          <w:rFonts w:ascii="Verdana" w:eastAsia="Times New Roman" w:hAnsi="Verdana" w:cs="Times New Roman"/>
          <w:i w:val="0"/>
          <w:iCs w:val="0"/>
          <w:color w:val="auto"/>
          <w:sz w:val="18"/>
          <w:szCs w:val="18"/>
          <w:lang w:eastAsia="fr-FR"/>
        </w:rPr>
        <w:t xml:space="preserve"> (4-5 pages) mettant en lumière les messages clés, à destination des décideurs et partenaires institutionnels.</w:t>
      </w:r>
    </w:p>
    <w:p w14:paraId="056A16E2"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Fiches de recommandations issues de  l’</w:t>
      </w:r>
      <w:r>
        <w:rPr>
          <w:rFonts w:ascii="Verdana" w:eastAsia="Times New Roman" w:hAnsi="Verdana" w:cs="Times New Roman"/>
          <w:b/>
          <w:bCs/>
          <w:i w:val="0"/>
          <w:iCs w:val="0"/>
          <w:color w:val="auto"/>
          <w:sz w:val="18"/>
          <w:szCs w:val="18"/>
          <w:lang w:eastAsia="fr-FR"/>
        </w:rPr>
        <w:t>atelier de restitution</w:t>
      </w:r>
      <w:r>
        <w:rPr>
          <w:rFonts w:ascii="Verdana" w:eastAsia="Times New Roman" w:hAnsi="Verdana" w:cs="Times New Roman"/>
          <w:i w:val="0"/>
          <w:iCs w:val="0"/>
          <w:color w:val="auto"/>
          <w:sz w:val="18"/>
          <w:szCs w:val="18"/>
          <w:lang w:eastAsia="fr-FR"/>
        </w:rPr>
        <w:t xml:space="preserve"> réunissant les parties prenantes du projet, au cours duquel l’évaluateur·rice présentera les résultats, validera collectivement les recommandations prioritaires, et recueillera les réactions en vue de finaliser le rapport.</w:t>
      </w:r>
    </w:p>
    <w:p w14:paraId="51FCA0CF"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 xml:space="preserve">Un </w:t>
      </w:r>
      <w:r>
        <w:rPr>
          <w:rFonts w:ascii="Verdana" w:eastAsia="Times New Roman" w:hAnsi="Verdana" w:cs="Times New Roman"/>
          <w:b/>
          <w:bCs/>
          <w:i w:val="0"/>
          <w:iCs w:val="0"/>
          <w:color w:val="auto"/>
          <w:sz w:val="18"/>
          <w:szCs w:val="18"/>
          <w:lang w:eastAsia="fr-FR"/>
        </w:rPr>
        <w:t>rapport final</w:t>
      </w:r>
      <w:r>
        <w:rPr>
          <w:rFonts w:ascii="Verdana" w:eastAsia="Times New Roman" w:hAnsi="Verdana" w:cs="Times New Roman"/>
          <w:i w:val="0"/>
          <w:iCs w:val="0"/>
          <w:color w:val="auto"/>
          <w:sz w:val="18"/>
          <w:szCs w:val="18"/>
          <w:lang w:eastAsia="fr-FR"/>
        </w:rPr>
        <w:t>, incluant les éventuelles modifications intégrant les retours reçus lors de la restitution.</w:t>
      </w:r>
    </w:p>
    <w:p w14:paraId="63B214B1" w14:textId="77777777" w:rsidR="005A6764" w:rsidRDefault="005A6764">
      <w:pPr>
        <w:spacing w:after="0"/>
        <w:rPr>
          <w:rFonts w:ascii="Verdana" w:hAnsi="Verdana"/>
          <w:sz w:val="18"/>
          <w:szCs w:val="18"/>
        </w:rPr>
      </w:pPr>
    </w:p>
    <w:p w14:paraId="41D0AEEE" w14:textId="77777777" w:rsidR="005A6764" w:rsidRDefault="001A5BAC">
      <w:pPr>
        <w:pStyle w:val="Titre3"/>
        <w:spacing w:before="0" w:after="0"/>
        <w:rPr>
          <w:rFonts w:ascii="Verdana" w:hAnsi="Verdana"/>
          <w:sz w:val="18"/>
          <w:szCs w:val="18"/>
        </w:rPr>
      </w:pPr>
      <w:r>
        <w:rPr>
          <w:rFonts w:ascii="Verdana" w:hAnsi="Verdana"/>
          <w:sz w:val="18"/>
          <w:szCs w:val="18"/>
        </w:rPr>
        <w:t>Phase de restitution</w:t>
      </w:r>
    </w:p>
    <w:p w14:paraId="7DD3B820" w14:textId="77777777" w:rsidR="005A6764" w:rsidRDefault="005A6764">
      <w:pPr>
        <w:spacing w:after="0"/>
        <w:rPr>
          <w:rFonts w:ascii="Verdana" w:hAnsi="Verdana"/>
          <w:sz w:val="18"/>
          <w:szCs w:val="18"/>
        </w:rPr>
      </w:pPr>
    </w:p>
    <w:p w14:paraId="3E4B9165"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La phase de restitution constitue un moment-clé du processus évaluatif, permettant non seulement de partager les résultats préliminaires et finaux de l’évaluation &amp; capitalisation, mais aussi d’assurer leur appropriation par les différentes parties prenantes et de favoriser la co-construction de recommandations orientées vers l’action et la redevabilité. Deux types de rencontres seront distingués dans cette phase :</w:t>
      </w:r>
    </w:p>
    <w:p w14:paraId="7415AD93"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Les réunions de restitution</w:t>
      </w:r>
      <w:r>
        <w:rPr>
          <w:rFonts w:ascii="Verdana" w:eastAsia="Times New Roman" w:hAnsi="Verdana" w:cs="Times New Roman"/>
          <w:i w:val="0"/>
          <w:iCs w:val="0"/>
          <w:color w:val="auto"/>
          <w:sz w:val="18"/>
          <w:szCs w:val="18"/>
          <w:lang w:eastAsia="fr-FR"/>
        </w:rPr>
        <w:t xml:space="preserve"> : moments de présentation structurée des constats, analyses et recommandations auprès des parties prenantes clés (Expertise France, représentants des ministères partenaires – MARHPM, MFFEPA – et du bailleur AFD), visant à vérifier la compréhension partagée des résultats, clarifier les points sensibles, et recueillir les premières réactions. </w:t>
      </w:r>
    </w:p>
    <w:p w14:paraId="7EB0D117"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b/>
          <w:bCs/>
          <w:i w:val="0"/>
          <w:iCs w:val="0"/>
          <w:color w:val="auto"/>
          <w:sz w:val="18"/>
          <w:szCs w:val="18"/>
          <w:lang w:eastAsia="fr-FR"/>
        </w:rPr>
        <w:t>Les ateliers de co-production</w:t>
      </w:r>
      <w:r>
        <w:rPr>
          <w:rFonts w:ascii="Verdana" w:eastAsia="Times New Roman" w:hAnsi="Verdana" w:cs="Times New Roman"/>
          <w:i w:val="0"/>
          <w:iCs w:val="0"/>
          <w:color w:val="auto"/>
          <w:sz w:val="18"/>
          <w:szCs w:val="18"/>
          <w:lang w:eastAsia="fr-FR"/>
        </w:rPr>
        <w:t xml:space="preserve"> : espaces participatifs rassemblant une diversité d’acteurs du projet (équipe EFOR, bénéficiaires, OSC partenaires, représentant-es régionaux-ales, etc.), conçus pour discuter collectivement des recommandations, les enrichir, les hiérarchiser, et identifier des pistes de mise en œuvre. Ces ateliers auront une fonction d’apprentissage collectif, de valorisation de l’expérience acquise, et d’alignement stratégique en vue de la phase post-évaluation.</w:t>
      </w:r>
    </w:p>
    <w:p w14:paraId="605266C0" w14:textId="77777777" w:rsidR="005A6764" w:rsidRDefault="001A5BAC">
      <w:pPr>
        <w:tabs>
          <w:tab w:val="clear" w:pos="9923"/>
          <w:tab w:val="left" w:pos="1429"/>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 xml:space="preserve">Le consultant devra présenter ses </w:t>
      </w:r>
      <w:r>
        <w:rPr>
          <w:rFonts w:ascii="Verdana" w:eastAsia="Times New Roman" w:hAnsi="Verdana" w:cs="Times New Roman"/>
          <w:b/>
          <w:bCs/>
          <w:i w:val="0"/>
          <w:iCs w:val="0"/>
          <w:color w:val="auto"/>
          <w:sz w:val="18"/>
          <w:szCs w:val="18"/>
          <w:lang w:eastAsia="fr-FR"/>
        </w:rPr>
        <w:t>conclusions générales</w:t>
      </w:r>
      <w:r>
        <w:rPr>
          <w:rFonts w:ascii="Verdana" w:eastAsia="Times New Roman" w:hAnsi="Verdana" w:cs="Times New Roman"/>
          <w:i w:val="0"/>
          <w:iCs w:val="0"/>
          <w:color w:val="auto"/>
          <w:sz w:val="18"/>
          <w:szCs w:val="18"/>
          <w:lang w:eastAsia="fr-FR"/>
        </w:rPr>
        <w:t xml:space="preserve"> de manière structurée, en hiérarchisant les constats selon leur importance stratégique, qualifiant le niveau de confiance associé à chaque conclusion, mettant en lumière les dynamiques les plus significatives, les freins rencontrés, les ajustements réalisés et leurs effets.</w:t>
      </w:r>
    </w:p>
    <w:p w14:paraId="543CB648" w14:textId="77777777" w:rsidR="005A6764" w:rsidRDefault="001A5BAC">
      <w:pPr>
        <w:tabs>
          <w:tab w:val="clear" w:pos="9923"/>
          <w:tab w:val="left" w:pos="1429"/>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 xml:space="preserve">Les </w:t>
      </w:r>
      <w:r>
        <w:rPr>
          <w:rFonts w:ascii="Verdana" w:eastAsia="Times New Roman" w:hAnsi="Verdana" w:cs="Times New Roman"/>
          <w:b/>
          <w:bCs/>
          <w:i w:val="0"/>
          <w:iCs w:val="0"/>
          <w:color w:val="auto"/>
          <w:sz w:val="18"/>
          <w:szCs w:val="18"/>
          <w:lang w:eastAsia="fr-FR"/>
        </w:rPr>
        <w:t>recommandations</w:t>
      </w:r>
      <w:r>
        <w:rPr>
          <w:rFonts w:ascii="Verdana" w:eastAsia="Times New Roman" w:hAnsi="Verdana" w:cs="Times New Roman"/>
          <w:i w:val="0"/>
          <w:iCs w:val="0"/>
          <w:color w:val="auto"/>
          <w:sz w:val="18"/>
          <w:szCs w:val="18"/>
          <w:lang w:eastAsia="fr-FR"/>
        </w:rPr>
        <w:t>, clairement reliées aux conclusions formulées, devront être classées par ordre de priorité (court, moyen, long terme), être formulées de manière opérationnelle, actionnable et contextualisée, intégrer systématiquement les dimensions transversales de genre et de lutte contre les changements climatiques.</w:t>
      </w:r>
    </w:p>
    <w:p w14:paraId="3829BC87" w14:textId="77777777" w:rsidR="005A6764" w:rsidRDefault="001A5BAC">
      <w:pPr>
        <w:tabs>
          <w:tab w:val="clear" w:pos="9923"/>
        </w:tabs>
        <w:spacing w:after="0"/>
        <w:ind w:left="709"/>
        <w:rPr>
          <w:rFonts w:ascii="Verdana" w:eastAsia="Times New Roman" w:hAnsi="Verdana" w:cs="Times New Roman"/>
          <w:i w:val="0"/>
          <w:iCs w:val="0"/>
          <w:color w:val="auto"/>
          <w:sz w:val="18"/>
          <w:szCs w:val="18"/>
          <w:lang w:eastAsia="fr-FR"/>
        </w:rPr>
      </w:pPr>
      <w:r>
        <w:rPr>
          <w:rFonts w:ascii="Verdana" w:eastAsia="Times New Roman" w:hAnsi="Verdana" w:cs="Times New Roman"/>
          <w:i w:val="0"/>
          <w:iCs w:val="0"/>
          <w:color w:val="auto"/>
          <w:sz w:val="18"/>
          <w:szCs w:val="18"/>
          <w:lang w:eastAsia="fr-FR"/>
        </w:rPr>
        <w:t>L’équipe de la mission sera attentive à adapter le format et le langage des restitutions en fonction des publics, et à favoriser l’interactivité et la compréhension commune, dans un esprit de transparence, d’apprentissage partagé et de mobilisation pour l’avenir du projet.</w:t>
      </w:r>
    </w:p>
    <w:p w14:paraId="34324EC0" w14:textId="77777777" w:rsidR="005A6764" w:rsidRDefault="005A6764">
      <w:pPr>
        <w:spacing w:after="0"/>
        <w:rPr>
          <w:rFonts w:ascii="Verdana" w:hAnsi="Verdana"/>
          <w:sz w:val="18"/>
          <w:szCs w:val="18"/>
        </w:rPr>
      </w:pPr>
    </w:p>
    <w:p w14:paraId="0903EF13" w14:textId="77777777" w:rsidR="005A6764" w:rsidRDefault="001A5BAC">
      <w:pPr>
        <w:pStyle w:val="Titre2"/>
        <w:shd w:val="clear" w:color="auto" w:fill="FFFFFF" w:themeFill="background1"/>
        <w:spacing w:after="0" w:line="240" w:lineRule="auto"/>
        <w:rPr>
          <w:rFonts w:ascii="Verdana" w:hAnsi="Verdana"/>
          <w:b/>
          <w:bCs/>
          <w:color w:val="0F243E" w:themeColor="text2" w:themeShade="80"/>
          <w:sz w:val="18"/>
          <w:szCs w:val="18"/>
        </w:rPr>
      </w:pPr>
      <w:bookmarkStart w:id="11" w:name="_Toc70668758"/>
      <w:r>
        <w:rPr>
          <w:rFonts w:ascii="Verdana" w:hAnsi="Verdana"/>
          <w:b/>
          <w:bCs/>
          <w:color w:val="0F243E" w:themeColor="text2" w:themeShade="80"/>
          <w:sz w:val="18"/>
          <w:szCs w:val="18"/>
        </w:rPr>
        <w:t>Livrables attendus</w:t>
      </w:r>
      <w:bookmarkEnd w:id="11"/>
    </w:p>
    <w:p w14:paraId="76F75EC7" w14:textId="77777777" w:rsidR="005A6764" w:rsidRDefault="005A6764">
      <w:pPr>
        <w:spacing w:after="0"/>
        <w:rPr>
          <w:rFonts w:ascii="Verdana" w:hAnsi="Verdana"/>
          <w:sz w:val="18"/>
          <w:szCs w:val="18"/>
        </w:rPr>
      </w:pPr>
    </w:p>
    <w:p w14:paraId="0AFBDEF3" w14:textId="77777777" w:rsidR="005A6764" w:rsidRDefault="001A5BAC">
      <w:pPr>
        <w:spacing w:after="0"/>
        <w:ind w:left="709"/>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L’évaluation et capitalisation du projet EFOR donnera lieu à une production structurée de livrables, visant à documenter de manière rigoureuse l’ensemble du processus évaluatif et à permettre l’appropriation des résultats par les parties prenantes. Tous les livrables devront être soumis par voie électronique (format Word ou Excel) et rédigés en français. Chaque livrable devra respecter les formats qui seront précisés lors de la réunion de cadrage initial.</w:t>
      </w:r>
    </w:p>
    <w:p w14:paraId="7BA4BE0E" w14:textId="77777777" w:rsidR="005A6764" w:rsidRDefault="005A6764">
      <w:pPr>
        <w:spacing w:after="0"/>
        <w:rPr>
          <w:rFonts w:ascii="Verdana" w:eastAsia="Times New Roman" w:hAnsi="Verdana" w:cs="Times New Roman"/>
          <w:i w:val="0"/>
          <w:iCs w:val="0"/>
          <w:sz w:val="18"/>
          <w:szCs w:val="18"/>
          <w:lang w:eastAsia="fr-FR"/>
        </w:rPr>
      </w:pPr>
    </w:p>
    <w:tbl>
      <w:tblPr>
        <w:tblStyle w:val="TableauGrille5Fonc-Accentuation51"/>
        <w:tblW w:w="9355" w:type="dxa"/>
        <w:tblLook w:val="04A0" w:firstRow="1" w:lastRow="0" w:firstColumn="1" w:lastColumn="0" w:noHBand="0" w:noVBand="1"/>
      </w:tblPr>
      <w:tblGrid>
        <w:gridCol w:w="1559"/>
        <w:gridCol w:w="4497"/>
        <w:gridCol w:w="1327"/>
        <w:gridCol w:w="1972"/>
      </w:tblGrid>
      <w:tr w:rsidR="005A6764" w14:paraId="59581816" w14:textId="77777777" w:rsidTr="005A6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7A1C1E9C" w14:textId="77777777" w:rsidR="005A6764" w:rsidRDefault="001A5BAC">
            <w:pPr>
              <w:spacing w:after="0"/>
              <w:rPr>
                <w:rFonts w:ascii="Verdana" w:eastAsia="Times New Roman" w:hAnsi="Verdana" w:cs="Times New Roman"/>
                <w:b w:val="0"/>
                <w:bCs w:val="0"/>
                <w:i w:val="0"/>
                <w:iCs w:val="0"/>
                <w:sz w:val="18"/>
                <w:szCs w:val="18"/>
                <w:lang w:eastAsia="fr-FR"/>
              </w:rPr>
            </w:pPr>
            <w:r>
              <w:rPr>
                <w:rFonts w:ascii="Verdana" w:eastAsia="Times New Roman" w:hAnsi="Verdana" w:cs="Times New Roman"/>
                <w:b w:val="0"/>
                <w:bCs w:val="0"/>
                <w:i w:val="0"/>
                <w:iCs w:val="0"/>
                <w:sz w:val="18"/>
                <w:szCs w:val="18"/>
                <w:lang w:eastAsia="fr-FR"/>
              </w:rPr>
              <w:t>Livrable</w:t>
            </w:r>
          </w:p>
        </w:tc>
        <w:tc>
          <w:tcPr>
            <w:tcW w:w="4497" w:type="dxa"/>
          </w:tcPr>
          <w:p w14:paraId="23CF4CDF" w14:textId="77777777" w:rsidR="005A6764" w:rsidRDefault="001A5BAC">
            <w:pPr>
              <w:spacing w:after="0"/>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i w:val="0"/>
                <w:iCs w:val="0"/>
                <w:sz w:val="18"/>
                <w:szCs w:val="18"/>
                <w:lang w:eastAsia="fr-FR"/>
              </w:rPr>
            </w:pPr>
            <w:r>
              <w:rPr>
                <w:rFonts w:ascii="Verdana" w:eastAsia="Times New Roman" w:hAnsi="Verdana" w:cs="Times New Roman"/>
                <w:b w:val="0"/>
                <w:bCs w:val="0"/>
                <w:i w:val="0"/>
                <w:iCs w:val="0"/>
                <w:sz w:val="18"/>
                <w:szCs w:val="18"/>
                <w:lang w:eastAsia="fr-FR"/>
              </w:rPr>
              <w:t>Contenu principal</w:t>
            </w:r>
          </w:p>
        </w:tc>
        <w:tc>
          <w:tcPr>
            <w:tcW w:w="1327" w:type="dxa"/>
          </w:tcPr>
          <w:p w14:paraId="62C4C6C6" w14:textId="77777777" w:rsidR="005A6764" w:rsidRDefault="001A5BAC">
            <w:pPr>
              <w:spacing w:after="0"/>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i w:val="0"/>
                <w:iCs w:val="0"/>
                <w:sz w:val="18"/>
                <w:szCs w:val="18"/>
                <w:lang w:eastAsia="fr-FR"/>
              </w:rPr>
            </w:pPr>
            <w:r>
              <w:rPr>
                <w:rFonts w:ascii="Verdana" w:eastAsia="Times New Roman" w:hAnsi="Verdana" w:cs="Times New Roman"/>
                <w:b w:val="0"/>
                <w:bCs w:val="0"/>
                <w:i w:val="0"/>
                <w:iCs w:val="0"/>
                <w:sz w:val="18"/>
                <w:szCs w:val="18"/>
                <w:lang w:eastAsia="fr-FR"/>
              </w:rPr>
              <w:t>Nbre pages max.</w:t>
            </w:r>
          </w:p>
        </w:tc>
        <w:tc>
          <w:tcPr>
            <w:tcW w:w="1972" w:type="dxa"/>
          </w:tcPr>
          <w:p w14:paraId="320A89E0" w14:textId="77777777" w:rsidR="005A6764" w:rsidRDefault="001A5BAC">
            <w:pPr>
              <w:spacing w:after="0"/>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i w:val="0"/>
                <w:iCs w:val="0"/>
                <w:sz w:val="18"/>
                <w:szCs w:val="18"/>
                <w:lang w:eastAsia="fr-FR"/>
              </w:rPr>
            </w:pPr>
            <w:r>
              <w:rPr>
                <w:rFonts w:ascii="Verdana" w:eastAsia="Times New Roman" w:hAnsi="Verdana" w:cs="Times New Roman"/>
                <w:b w:val="0"/>
                <w:bCs w:val="0"/>
                <w:i w:val="0"/>
                <w:iCs w:val="0"/>
                <w:sz w:val="18"/>
                <w:szCs w:val="18"/>
                <w:lang w:eastAsia="fr-FR"/>
              </w:rPr>
              <w:t>Échéance estimée</w:t>
            </w:r>
          </w:p>
        </w:tc>
      </w:tr>
      <w:tr w:rsidR="005A6764" w14:paraId="033093CB" w14:textId="77777777" w:rsidTr="005A6764">
        <w:tc>
          <w:tcPr>
            <w:cnfStyle w:val="001000000000" w:firstRow="0" w:lastRow="0" w:firstColumn="1" w:lastColumn="0" w:oddVBand="0" w:evenVBand="0" w:oddHBand="0" w:evenHBand="0" w:firstRowFirstColumn="0" w:firstRowLastColumn="0" w:lastRowFirstColumn="0" w:lastRowLastColumn="0"/>
            <w:tcW w:w="1559" w:type="dxa"/>
          </w:tcPr>
          <w:p w14:paraId="23A0E94C" w14:textId="77777777" w:rsidR="005A6764" w:rsidRDefault="001A5BAC">
            <w:pPr>
              <w:spacing w:after="0"/>
              <w:ind w:left="0"/>
              <w:rPr>
                <w:rFonts w:ascii="Verdana" w:eastAsia="Times New Roman" w:hAnsi="Verdana" w:cs="Times New Roman"/>
                <w:i w:val="0"/>
                <w:iCs w:val="0"/>
                <w:sz w:val="18"/>
                <w:szCs w:val="18"/>
                <w:lang w:eastAsia="fr-FR"/>
              </w:rPr>
            </w:pPr>
            <w:r>
              <w:rPr>
                <w:rFonts w:ascii="Verdana" w:eastAsia="Times New Roman" w:hAnsi="Verdana" w:cs="Times New Roman"/>
                <w:b w:val="0"/>
                <w:bCs w:val="0"/>
                <w:i w:val="0"/>
                <w:iCs w:val="0"/>
                <w:sz w:val="18"/>
                <w:szCs w:val="18"/>
                <w:lang w:eastAsia="fr-FR"/>
              </w:rPr>
              <w:t>Note de cadrage</w:t>
            </w:r>
          </w:p>
        </w:tc>
        <w:tc>
          <w:tcPr>
            <w:tcW w:w="4497" w:type="dxa"/>
            <w:shd w:val="clear" w:color="auto" w:fill="B6DDE8" w:themeFill="accent5" w:themeFillTint="66"/>
          </w:tcPr>
          <w:p w14:paraId="6F22D243"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 Reconstitution actualisée de la logique d’intervention</w:t>
            </w:r>
            <w:r>
              <w:rPr>
                <w:rFonts w:ascii="Verdana" w:eastAsia="Times New Roman" w:hAnsi="Verdana" w:cs="Times New Roman"/>
                <w:i w:val="0"/>
                <w:iCs w:val="0"/>
                <w:sz w:val="18"/>
                <w:szCs w:val="18"/>
                <w:lang w:eastAsia="fr-FR"/>
              </w:rPr>
              <w:br/>
              <w:t>-Revue documentaire initiale</w:t>
            </w:r>
            <w:r>
              <w:rPr>
                <w:rFonts w:ascii="Verdana" w:eastAsia="Times New Roman" w:hAnsi="Verdana" w:cs="Times New Roman"/>
                <w:i w:val="0"/>
                <w:iCs w:val="0"/>
                <w:sz w:val="18"/>
                <w:szCs w:val="18"/>
                <w:lang w:eastAsia="fr-FR"/>
              </w:rPr>
              <w:br/>
              <w:t>- Matrice d’évaluation (questions, hypothèses, indicateurs, sources)</w:t>
            </w:r>
            <w:r>
              <w:rPr>
                <w:rFonts w:ascii="Verdana" w:eastAsia="Times New Roman" w:hAnsi="Verdana" w:cs="Times New Roman"/>
                <w:i w:val="0"/>
                <w:iCs w:val="0"/>
                <w:sz w:val="18"/>
                <w:szCs w:val="18"/>
                <w:lang w:eastAsia="fr-FR"/>
              </w:rPr>
              <w:br/>
              <w:t>- Description de la méthodologie (méthodes de collecte, échantillonnage, outils)</w:t>
            </w:r>
            <w:r>
              <w:rPr>
                <w:rFonts w:ascii="Verdana" w:eastAsia="Times New Roman" w:hAnsi="Verdana" w:cs="Times New Roman"/>
                <w:i w:val="0"/>
                <w:iCs w:val="0"/>
                <w:sz w:val="18"/>
                <w:szCs w:val="18"/>
                <w:lang w:eastAsia="fr-FR"/>
              </w:rPr>
              <w:br/>
              <w:t>- Plan de travail, calendrier, répartition des rôles</w:t>
            </w:r>
            <w:r>
              <w:rPr>
                <w:rFonts w:ascii="Verdana" w:eastAsia="Times New Roman" w:hAnsi="Verdana" w:cs="Times New Roman"/>
                <w:i w:val="0"/>
                <w:iCs w:val="0"/>
                <w:sz w:val="18"/>
                <w:szCs w:val="18"/>
                <w:lang w:eastAsia="fr-FR"/>
              </w:rPr>
              <w:br/>
              <w:t>- Limites et biais potentiels</w:t>
            </w:r>
          </w:p>
        </w:tc>
        <w:tc>
          <w:tcPr>
            <w:tcW w:w="1327" w:type="dxa"/>
            <w:shd w:val="clear" w:color="auto" w:fill="B6DDE8" w:themeFill="accent5" w:themeFillTint="66"/>
          </w:tcPr>
          <w:p w14:paraId="25E94363"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20 + annexes</w:t>
            </w:r>
          </w:p>
        </w:tc>
        <w:tc>
          <w:tcPr>
            <w:tcW w:w="1972" w:type="dxa"/>
            <w:shd w:val="clear" w:color="auto" w:fill="B6DDE8" w:themeFill="accent5" w:themeFillTint="66"/>
          </w:tcPr>
          <w:p w14:paraId="00CAE7F0"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T0 + 15 jours</w:t>
            </w:r>
          </w:p>
        </w:tc>
      </w:tr>
      <w:tr w:rsidR="005A6764" w14:paraId="720C6C1F" w14:textId="77777777" w:rsidTr="005A6764">
        <w:tc>
          <w:tcPr>
            <w:cnfStyle w:val="001000000000" w:firstRow="0" w:lastRow="0" w:firstColumn="1" w:lastColumn="0" w:oddVBand="0" w:evenVBand="0" w:oddHBand="0" w:evenHBand="0" w:firstRowFirstColumn="0" w:firstRowLastColumn="0" w:lastRowFirstColumn="0" w:lastRowLastColumn="0"/>
            <w:tcW w:w="1559" w:type="dxa"/>
          </w:tcPr>
          <w:p w14:paraId="79A28FA9" w14:textId="77777777" w:rsidR="005A6764" w:rsidRDefault="001A5BAC">
            <w:pPr>
              <w:spacing w:after="0"/>
              <w:ind w:left="0"/>
              <w:rPr>
                <w:rFonts w:ascii="Verdana" w:eastAsia="Times New Roman" w:hAnsi="Verdana" w:cs="Times New Roman"/>
                <w:i w:val="0"/>
                <w:iCs w:val="0"/>
                <w:sz w:val="18"/>
                <w:szCs w:val="18"/>
                <w:lang w:eastAsia="fr-FR"/>
              </w:rPr>
            </w:pPr>
            <w:r>
              <w:rPr>
                <w:rFonts w:ascii="Verdana" w:eastAsia="Times New Roman" w:hAnsi="Verdana" w:cs="Times New Roman"/>
                <w:b w:val="0"/>
                <w:bCs w:val="0"/>
                <w:i w:val="0"/>
                <w:iCs w:val="0"/>
                <w:sz w:val="18"/>
                <w:szCs w:val="18"/>
                <w:lang w:eastAsia="fr-FR"/>
              </w:rPr>
              <w:t>Note d’analyse documentaire</w:t>
            </w:r>
          </w:p>
        </w:tc>
        <w:tc>
          <w:tcPr>
            <w:tcW w:w="4497" w:type="dxa"/>
          </w:tcPr>
          <w:p w14:paraId="6C6E4595"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 Présentation analytique du projet et de ses évolutions</w:t>
            </w:r>
            <w:r>
              <w:rPr>
                <w:rFonts w:ascii="Verdana" w:eastAsia="Times New Roman" w:hAnsi="Verdana" w:cs="Times New Roman"/>
                <w:i w:val="0"/>
                <w:iCs w:val="0"/>
                <w:sz w:val="18"/>
                <w:szCs w:val="18"/>
                <w:lang w:eastAsia="fr-FR"/>
              </w:rPr>
              <w:br/>
              <w:t>- Synthèse des documents clés</w:t>
            </w:r>
            <w:r>
              <w:rPr>
                <w:rFonts w:ascii="Verdana" w:eastAsia="Times New Roman" w:hAnsi="Verdana" w:cs="Times New Roman"/>
                <w:i w:val="0"/>
                <w:iCs w:val="0"/>
                <w:sz w:val="18"/>
                <w:szCs w:val="18"/>
                <w:lang w:eastAsia="fr-FR"/>
              </w:rPr>
              <w:br/>
              <w:t xml:space="preserve">- Description du contexte, parties </w:t>
            </w:r>
            <w:r>
              <w:rPr>
                <w:rFonts w:ascii="Verdana" w:eastAsia="Times New Roman" w:hAnsi="Verdana" w:cs="Times New Roman"/>
                <w:i w:val="0"/>
                <w:iCs w:val="0"/>
                <w:sz w:val="18"/>
                <w:szCs w:val="18"/>
                <w:lang w:eastAsia="fr-FR"/>
              </w:rPr>
              <w:lastRenderedPageBreak/>
              <w:t>prenantes, interventions et financements</w:t>
            </w:r>
            <w:r>
              <w:rPr>
                <w:rFonts w:ascii="Verdana" w:eastAsia="Times New Roman" w:hAnsi="Verdana" w:cs="Times New Roman"/>
                <w:i w:val="0"/>
                <w:iCs w:val="0"/>
                <w:sz w:val="18"/>
                <w:szCs w:val="18"/>
                <w:lang w:eastAsia="fr-FR"/>
              </w:rPr>
              <w:br/>
              <w:t>- Points d’attention pour la phase de terrain</w:t>
            </w:r>
          </w:p>
        </w:tc>
        <w:tc>
          <w:tcPr>
            <w:tcW w:w="1327" w:type="dxa"/>
          </w:tcPr>
          <w:p w14:paraId="5D70481C"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lastRenderedPageBreak/>
              <w:t>25-30</w:t>
            </w:r>
          </w:p>
        </w:tc>
        <w:tc>
          <w:tcPr>
            <w:tcW w:w="1972" w:type="dxa"/>
          </w:tcPr>
          <w:p w14:paraId="378B3210"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T0 + 30 jours</w:t>
            </w:r>
          </w:p>
        </w:tc>
      </w:tr>
      <w:tr w:rsidR="005A6764" w14:paraId="40F1A605" w14:textId="77777777" w:rsidTr="005A6764">
        <w:trPr>
          <w:trHeight w:val="1370"/>
        </w:trPr>
        <w:tc>
          <w:tcPr>
            <w:cnfStyle w:val="001000000000" w:firstRow="0" w:lastRow="0" w:firstColumn="1" w:lastColumn="0" w:oddVBand="0" w:evenVBand="0" w:oddHBand="0" w:evenHBand="0" w:firstRowFirstColumn="0" w:firstRowLastColumn="0" w:lastRowFirstColumn="0" w:lastRowLastColumn="0"/>
            <w:tcW w:w="1559" w:type="dxa"/>
          </w:tcPr>
          <w:p w14:paraId="619CD912" w14:textId="77777777" w:rsidR="005A6764" w:rsidRDefault="001A5BAC">
            <w:pPr>
              <w:spacing w:after="0"/>
              <w:ind w:left="0"/>
              <w:rPr>
                <w:rFonts w:ascii="Verdana" w:eastAsia="Times New Roman" w:hAnsi="Verdana" w:cs="Times New Roman"/>
                <w:b w:val="0"/>
                <w:bCs w:val="0"/>
                <w:i w:val="0"/>
                <w:iCs w:val="0"/>
                <w:sz w:val="18"/>
                <w:szCs w:val="18"/>
                <w:lang w:eastAsia="fr-FR"/>
              </w:rPr>
            </w:pPr>
            <w:r>
              <w:rPr>
                <w:rFonts w:ascii="Verdana" w:eastAsia="Times New Roman" w:hAnsi="Verdana" w:cs="Times New Roman"/>
                <w:b w:val="0"/>
                <w:bCs w:val="0"/>
                <w:i w:val="0"/>
                <w:iCs w:val="0"/>
                <w:sz w:val="18"/>
                <w:szCs w:val="18"/>
                <w:lang w:eastAsia="fr-FR"/>
              </w:rPr>
              <w:lastRenderedPageBreak/>
              <w:t xml:space="preserve">Base de données </w:t>
            </w:r>
          </w:p>
          <w:p w14:paraId="59407276" w14:textId="77777777" w:rsidR="005A6764" w:rsidRDefault="005A6764">
            <w:pPr>
              <w:spacing w:after="0"/>
              <w:rPr>
                <w:rFonts w:ascii="Verdana" w:eastAsia="Times New Roman" w:hAnsi="Verdana" w:cs="Times New Roman"/>
                <w:b w:val="0"/>
                <w:bCs w:val="0"/>
                <w:i w:val="0"/>
                <w:iCs w:val="0"/>
                <w:sz w:val="18"/>
                <w:szCs w:val="18"/>
                <w:lang w:eastAsia="fr-FR"/>
              </w:rPr>
            </w:pPr>
          </w:p>
        </w:tc>
        <w:tc>
          <w:tcPr>
            <w:tcW w:w="4497" w:type="dxa"/>
            <w:shd w:val="clear" w:color="auto" w:fill="B6DDE8" w:themeFill="accent5" w:themeFillTint="66"/>
          </w:tcPr>
          <w:p w14:paraId="1873FA6D" w14:textId="77777777" w:rsidR="005A6764" w:rsidRDefault="001A5BA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 Données primaires collectées, nettoyées et anonymisées</w:t>
            </w:r>
            <w:r>
              <w:rPr>
                <w:rFonts w:ascii="Verdana" w:eastAsia="Times New Roman" w:hAnsi="Verdana" w:cs="Times New Roman"/>
                <w:i w:val="0"/>
                <w:iCs w:val="0"/>
                <w:sz w:val="18"/>
                <w:szCs w:val="18"/>
                <w:lang w:eastAsia="fr-FR"/>
              </w:rPr>
              <w:br/>
              <w:t>- Structurées par type, lieu, acteur, et outil</w:t>
            </w:r>
            <w:r>
              <w:rPr>
                <w:rFonts w:ascii="Verdana" w:eastAsia="Times New Roman" w:hAnsi="Verdana" w:cs="Times New Roman"/>
                <w:i w:val="0"/>
                <w:iCs w:val="0"/>
                <w:sz w:val="18"/>
                <w:szCs w:val="18"/>
                <w:lang w:eastAsia="fr-FR"/>
              </w:rPr>
              <w:br/>
              <w:t>- Fournies sous format Excel pour les données quantitatives, Word pour les notes qualitatives</w:t>
            </w:r>
          </w:p>
        </w:tc>
        <w:tc>
          <w:tcPr>
            <w:tcW w:w="1327" w:type="dxa"/>
            <w:shd w:val="clear" w:color="auto" w:fill="B6DDE8" w:themeFill="accent5" w:themeFillTint="66"/>
          </w:tcPr>
          <w:p w14:paraId="345AEE1B"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Volume variable</w:t>
            </w:r>
          </w:p>
        </w:tc>
        <w:tc>
          <w:tcPr>
            <w:tcW w:w="1972" w:type="dxa"/>
            <w:shd w:val="clear" w:color="auto" w:fill="B6DDE8" w:themeFill="accent5" w:themeFillTint="66"/>
          </w:tcPr>
          <w:p w14:paraId="1F6D58BA"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V1 : T0 + 60 jours</w:t>
            </w:r>
            <w:r>
              <w:rPr>
                <w:rFonts w:ascii="Verdana" w:eastAsia="Times New Roman" w:hAnsi="Verdana" w:cs="Times New Roman"/>
                <w:i w:val="0"/>
                <w:iCs w:val="0"/>
                <w:sz w:val="18"/>
                <w:szCs w:val="18"/>
                <w:lang w:eastAsia="fr-FR"/>
              </w:rPr>
              <w:br/>
              <w:t>V2 : T0 + 90 jours</w:t>
            </w:r>
          </w:p>
        </w:tc>
      </w:tr>
      <w:tr w:rsidR="005A6764" w14:paraId="3D0C956F" w14:textId="77777777" w:rsidTr="005A6764">
        <w:tc>
          <w:tcPr>
            <w:cnfStyle w:val="001000000000" w:firstRow="0" w:lastRow="0" w:firstColumn="1" w:lastColumn="0" w:oddVBand="0" w:evenVBand="0" w:oddHBand="0" w:evenHBand="0" w:firstRowFirstColumn="0" w:firstRowLastColumn="0" w:lastRowFirstColumn="0" w:lastRowLastColumn="0"/>
            <w:tcW w:w="1559" w:type="dxa"/>
          </w:tcPr>
          <w:p w14:paraId="117AEE7A" w14:textId="77777777" w:rsidR="005A6764" w:rsidRDefault="001A5BAC">
            <w:pPr>
              <w:spacing w:after="0"/>
              <w:ind w:left="0"/>
              <w:rPr>
                <w:rFonts w:ascii="Verdana" w:eastAsia="Times New Roman" w:hAnsi="Verdana" w:cs="Times New Roman"/>
                <w:i w:val="0"/>
                <w:iCs w:val="0"/>
                <w:sz w:val="18"/>
                <w:szCs w:val="18"/>
                <w:lang w:eastAsia="fr-FR"/>
              </w:rPr>
            </w:pPr>
            <w:r>
              <w:rPr>
                <w:rFonts w:ascii="Verdana" w:eastAsia="Times New Roman" w:hAnsi="Verdana" w:cs="Times New Roman"/>
                <w:b w:val="0"/>
                <w:bCs w:val="0"/>
                <w:i w:val="0"/>
                <w:iCs w:val="0"/>
                <w:sz w:val="18"/>
                <w:szCs w:val="18"/>
                <w:lang w:eastAsia="fr-FR"/>
              </w:rPr>
              <w:t>Rapport intermédiaire / de terrain</w:t>
            </w:r>
          </w:p>
        </w:tc>
        <w:tc>
          <w:tcPr>
            <w:tcW w:w="4497" w:type="dxa"/>
          </w:tcPr>
          <w:p w14:paraId="341B7DEF"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 Résultats préliminaires de la collecte</w:t>
            </w:r>
            <w:r>
              <w:rPr>
                <w:rFonts w:ascii="Verdana" w:eastAsia="Times New Roman" w:hAnsi="Verdana" w:cs="Times New Roman"/>
                <w:i w:val="0"/>
                <w:iCs w:val="0"/>
                <w:sz w:val="18"/>
                <w:szCs w:val="18"/>
                <w:lang w:eastAsia="fr-FR"/>
              </w:rPr>
              <w:br/>
              <w:t>- Premières analyses des données qualitatives et quantitatives</w:t>
            </w:r>
            <w:r>
              <w:rPr>
                <w:rFonts w:ascii="Verdana" w:eastAsia="Times New Roman" w:hAnsi="Verdana" w:cs="Times New Roman"/>
                <w:i w:val="0"/>
                <w:iCs w:val="0"/>
                <w:sz w:val="18"/>
                <w:szCs w:val="18"/>
                <w:lang w:eastAsia="fr-FR"/>
              </w:rPr>
              <w:br/>
              <w:t>- Synthèse des visites terrain, entretiens, focus groupes</w:t>
            </w:r>
            <w:r>
              <w:rPr>
                <w:rFonts w:ascii="Verdana" w:eastAsia="Times New Roman" w:hAnsi="Verdana" w:cs="Times New Roman"/>
                <w:i w:val="0"/>
                <w:iCs w:val="0"/>
                <w:sz w:val="18"/>
                <w:szCs w:val="18"/>
                <w:lang w:eastAsia="fr-FR"/>
              </w:rPr>
              <w:br/>
              <w:t>- Constats initiaux et tendances émergentes</w:t>
            </w:r>
          </w:p>
        </w:tc>
        <w:tc>
          <w:tcPr>
            <w:tcW w:w="1327" w:type="dxa"/>
          </w:tcPr>
          <w:p w14:paraId="1DBB1BD5"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30 + annexes</w:t>
            </w:r>
          </w:p>
        </w:tc>
        <w:tc>
          <w:tcPr>
            <w:tcW w:w="1972" w:type="dxa"/>
          </w:tcPr>
          <w:p w14:paraId="2E278456"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T0 + 60 jours</w:t>
            </w:r>
          </w:p>
        </w:tc>
      </w:tr>
      <w:tr w:rsidR="005A6764" w14:paraId="0A06E0F9" w14:textId="77777777" w:rsidTr="005A6764">
        <w:tc>
          <w:tcPr>
            <w:cnfStyle w:val="001000000000" w:firstRow="0" w:lastRow="0" w:firstColumn="1" w:lastColumn="0" w:oddVBand="0" w:evenVBand="0" w:oddHBand="0" w:evenHBand="0" w:firstRowFirstColumn="0" w:firstRowLastColumn="0" w:lastRowFirstColumn="0" w:lastRowLastColumn="0"/>
            <w:tcW w:w="1559" w:type="dxa"/>
          </w:tcPr>
          <w:p w14:paraId="26CD9406" w14:textId="77777777" w:rsidR="005A6764" w:rsidRDefault="001A5BAC">
            <w:pPr>
              <w:spacing w:after="0"/>
              <w:ind w:left="0"/>
              <w:rPr>
                <w:rFonts w:ascii="Verdana" w:eastAsia="Times New Roman" w:hAnsi="Verdana" w:cs="Times New Roman"/>
                <w:i w:val="0"/>
                <w:iCs w:val="0"/>
                <w:sz w:val="18"/>
                <w:szCs w:val="18"/>
                <w:lang w:eastAsia="fr-FR"/>
              </w:rPr>
            </w:pPr>
            <w:r>
              <w:rPr>
                <w:rFonts w:ascii="Verdana" w:eastAsia="Times New Roman" w:hAnsi="Verdana" w:cs="Times New Roman"/>
                <w:b w:val="0"/>
                <w:bCs w:val="0"/>
                <w:i w:val="0"/>
                <w:iCs w:val="0"/>
                <w:sz w:val="18"/>
                <w:szCs w:val="18"/>
                <w:lang w:eastAsia="fr-FR"/>
              </w:rPr>
              <w:t xml:space="preserve">Rapport final </w:t>
            </w:r>
            <w:r>
              <w:rPr>
                <w:rFonts w:ascii="Verdana" w:eastAsia="Times New Roman" w:hAnsi="Verdana" w:cs="Times New Roman"/>
                <w:i w:val="0"/>
                <w:iCs w:val="0"/>
                <w:sz w:val="18"/>
                <w:szCs w:val="18"/>
                <w:lang w:eastAsia="fr-FR"/>
              </w:rPr>
              <w:t>(provisoire puis définitif)</w:t>
            </w:r>
          </w:p>
        </w:tc>
        <w:tc>
          <w:tcPr>
            <w:tcW w:w="4497" w:type="dxa"/>
            <w:shd w:val="clear" w:color="auto" w:fill="B6DDE8" w:themeFill="accent5" w:themeFillTint="66"/>
          </w:tcPr>
          <w:p w14:paraId="37B475B5"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 Restitution complète des résultats de l’évaluation</w:t>
            </w:r>
            <w:r>
              <w:rPr>
                <w:rFonts w:ascii="Verdana" w:eastAsia="Times New Roman" w:hAnsi="Verdana" w:cs="Times New Roman"/>
                <w:i w:val="0"/>
                <w:iCs w:val="0"/>
                <w:sz w:val="18"/>
                <w:szCs w:val="18"/>
                <w:lang w:eastAsia="fr-FR"/>
              </w:rPr>
              <w:br/>
              <w:t>- Réponses aux questions évaluatives</w:t>
            </w:r>
            <w:r>
              <w:rPr>
                <w:rFonts w:ascii="Verdana" w:eastAsia="Times New Roman" w:hAnsi="Verdana" w:cs="Times New Roman"/>
                <w:i w:val="0"/>
                <w:iCs w:val="0"/>
                <w:sz w:val="18"/>
                <w:szCs w:val="18"/>
                <w:lang w:eastAsia="fr-FR"/>
              </w:rPr>
              <w:br/>
              <w:t>- Leçons tirées, recommandations stratégiques et opérationnelles</w:t>
            </w:r>
            <w:r>
              <w:rPr>
                <w:rFonts w:ascii="Verdana" w:eastAsia="Times New Roman" w:hAnsi="Verdana" w:cs="Times New Roman"/>
                <w:i w:val="0"/>
                <w:iCs w:val="0"/>
                <w:sz w:val="18"/>
                <w:szCs w:val="18"/>
                <w:lang w:eastAsia="fr-FR"/>
              </w:rPr>
              <w:br/>
              <w:t>- Intégration transversale du genre et des changements climatiques</w:t>
            </w:r>
            <w:r>
              <w:rPr>
                <w:rFonts w:ascii="Verdana" w:eastAsia="Times New Roman" w:hAnsi="Verdana" w:cs="Times New Roman"/>
                <w:i w:val="0"/>
                <w:iCs w:val="0"/>
                <w:sz w:val="18"/>
                <w:szCs w:val="18"/>
                <w:lang w:eastAsia="fr-FR"/>
              </w:rPr>
              <w:br/>
              <w:t>- Synthèse analytique de 4 pages</w:t>
            </w:r>
          </w:p>
        </w:tc>
        <w:tc>
          <w:tcPr>
            <w:tcW w:w="1327" w:type="dxa"/>
            <w:shd w:val="clear" w:color="auto" w:fill="B6DDE8" w:themeFill="accent5" w:themeFillTint="66"/>
          </w:tcPr>
          <w:p w14:paraId="21147E31"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40 + annexes</w:t>
            </w:r>
          </w:p>
        </w:tc>
        <w:tc>
          <w:tcPr>
            <w:tcW w:w="1972" w:type="dxa"/>
            <w:shd w:val="clear" w:color="auto" w:fill="B6DDE8" w:themeFill="accent5" w:themeFillTint="66"/>
          </w:tcPr>
          <w:p w14:paraId="2A39E4AF"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Provisoire : T0 + 75 jours</w:t>
            </w:r>
            <w:r>
              <w:rPr>
                <w:rFonts w:ascii="Verdana" w:eastAsia="Times New Roman" w:hAnsi="Verdana" w:cs="Times New Roman"/>
                <w:i w:val="0"/>
                <w:iCs w:val="0"/>
                <w:sz w:val="18"/>
                <w:szCs w:val="18"/>
                <w:lang w:eastAsia="fr-FR"/>
              </w:rPr>
              <w:br/>
              <w:t>Définitif : T0 + 90 jours (ou 15 jours après réception des commentaires)</w:t>
            </w:r>
          </w:p>
        </w:tc>
      </w:tr>
      <w:tr w:rsidR="005A6764" w14:paraId="19694FED" w14:textId="77777777" w:rsidTr="005A6764">
        <w:tc>
          <w:tcPr>
            <w:cnfStyle w:val="001000000000" w:firstRow="0" w:lastRow="0" w:firstColumn="1" w:lastColumn="0" w:oddVBand="0" w:evenVBand="0" w:oddHBand="0" w:evenHBand="0" w:firstRowFirstColumn="0" w:firstRowLastColumn="0" w:lastRowFirstColumn="0" w:lastRowLastColumn="0"/>
            <w:tcW w:w="1559" w:type="dxa"/>
          </w:tcPr>
          <w:p w14:paraId="44F16A4D" w14:textId="77777777" w:rsidR="005A6764" w:rsidRDefault="001A5BAC">
            <w:pPr>
              <w:spacing w:after="0"/>
              <w:ind w:left="0"/>
              <w:rPr>
                <w:rFonts w:ascii="Verdana" w:eastAsia="Times New Roman" w:hAnsi="Verdana" w:cs="Times New Roman"/>
                <w:i w:val="0"/>
                <w:iCs w:val="0"/>
                <w:sz w:val="18"/>
                <w:szCs w:val="18"/>
                <w:lang w:eastAsia="fr-FR"/>
              </w:rPr>
            </w:pPr>
            <w:r>
              <w:rPr>
                <w:rFonts w:ascii="Verdana" w:eastAsia="Times New Roman" w:hAnsi="Verdana" w:cs="Times New Roman"/>
                <w:b w:val="0"/>
                <w:bCs w:val="0"/>
                <w:i w:val="0"/>
                <w:iCs w:val="0"/>
                <w:sz w:val="18"/>
                <w:szCs w:val="18"/>
                <w:lang w:eastAsia="fr-FR"/>
              </w:rPr>
              <w:t>Synthèse format EF</w:t>
            </w:r>
          </w:p>
        </w:tc>
        <w:tc>
          <w:tcPr>
            <w:tcW w:w="4497" w:type="dxa"/>
          </w:tcPr>
          <w:p w14:paraId="7C87EE80"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 Document de communication synthétique</w:t>
            </w:r>
            <w:r>
              <w:rPr>
                <w:rFonts w:ascii="Verdana" w:eastAsia="Times New Roman" w:hAnsi="Verdana" w:cs="Times New Roman"/>
                <w:i w:val="0"/>
                <w:iCs w:val="0"/>
                <w:sz w:val="18"/>
                <w:szCs w:val="18"/>
                <w:lang w:eastAsia="fr-FR"/>
              </w:rPr>
              <w:br/>
              <w:t>- Structuré selon le format standardisé d’Expertise France</w:t>
            </w:r>
            <w:r>
              <w:rPr>
                <w:rFonts w:ascii="Verdana" w:eastAsia="Times New Roman" w:hAnsi="Verdana" w:cs="Times New Roman"/>
                <w:i w:val="0"/>
                <w:iCs w:val="0"/>
                <w:sz w:val="18"/>
                <w:szCs w:val="18"/>
                <w:lang w:eastAsia="fr-FR"/>
              </w:rPr>
              <w:br/>
              <w:t>- Accessible à un public élargi, y compris non spécialiste</w:t>
            </w:r>
          </w:p>
        </w:tc>
        <w:tc>
          <w:tcPr>
            <w:tcW w:w="1327" w:type="dxa"/>
          </w:tcPr>
          <w:p w14:paraId="05D59F3D"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5</w:t>
            </w:r>
          </w:p>
        </w:tc>
        <w:tc>
          <w:tcPr>
            <w:tcW w:w="1972" w:type="dxa"/>
          </w:tcPr>
          <w:p w14:paraId="6F4A88A7"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T0 + 90 jours</w:t>
            </w:r>
          </w:p>
        </w:tc>
      </w:tr>
    </w:tbl>
    <w:p w14:paraId="782C083E" w14:textId="77777777" w:rsidR="005A6764" w:rsidRDefault="005A6764">
      <w:pPr>
        <w:spacing w:after="0"/>
        <w:rPr>
          <w:rFonts w:ascii="Verdana" w:eastAsia="Times New Roman" w:hAnsi="Verdana" w:cs="Times New Roman"/>
          <w:i w:val="0"/>
          <w:iCs w:val="0"/>
          <w:sz w:val="18"/>
          <w:szCs w:val="18"/>
          <w:lang w:eastAsia="fr-FR"/>
        </w:rPr>
      </w:pPr>
    </w:p>
    <w:p w14:paraId="4C4527DC" w14:textId="77777777" w:rsidR="005A6764" w:rsidRDefault="001A5BAC">
      <w:pPr>
        <w:spacing w:after="0"/>
        <w:ind w:left="709"/>
        <w:rPr>
          <w:rFonts w:ascii="Verdana" w:eastAsia="Times New Roman" w:hAnsi="Verdana" w:cs="Times New Roman"/>
          <w:b/>
          <w:bCs/>
          <w:i w:val="0"/>
          <w:iCs w:val="0"/>
          <w:sz w:val="18"/>
          <w:szCs w:val="18"/>
          <w:lang w:eastAsia="fr-FR"/>
        </w:rPr>
      </w:pPr>
      <w:r>
        <w:rPr>
          <w:rFonts w:ascii="Verdana" w:eastAsia="Times New Roman" w:hAnsi="Verdana" w:cs="Times New Roman"/>
          <w:b/>
          <w:bCs/>
          <w:i w:val="0"/>
          <w:iCs w:val="0"/>
          <w:sz w:val="18"/>
          <w:szCs w:val="18"/>
          <w:lang w:eastAsia="fr-FR"/>
        </w:rPr>
        <w:t>Livrables spécifiques par axe de capitalisation :</w:t>
      </w:r>
    </w:p>
    <w:p w14:paraId="14170E26" w14:textId="77777777" w:rsidR="005A6764" w:rsidRDefault="005A6764">
      <w:pPr>
        <w:spacing w:after="0"/>
        <w:ind w:left="709"/>
        <w:rPr>
          <w:rFonts w:ascii="Verdana" w:eastAsia="Times New Roman" w:hAnsi="Verdana" w:cs="Times New Roman"/>
          <w:i w:val="0"/>
          <w:iCs w:val="0"/>
          <w:sz w:val="18"/>
          <w:szCs w:val="18"/>
          <w:lang w:eastAsia="fr-FR"/>
        </w:rPr>
      </w:pPr>
    </w:p>
    <w:p w14:paraId="53867882" w14:textId="77777777" w:rsidR="005A6764" w:rsidRDefault="005A6764">
      <w:pPr>
        <w:spacing w:after="0"/>
        <w:ind w:left="709"/>
        <w:rPr>
          <w:rFonts w:ascii="Verdana" w:eastAsia="Times New Roman" w:hAnsi="Verdana" w:cs="Times New Roman"/>
          <w:i w:val="0"/>
          <w:iCs w:val="0"/>
          <w:sz w:val="18"/>
          <w:szCs w:val="18"/>
          <w:lang w:eastAsia="fr-FR"/>
        </w:rPr>
      </w:pPr>
    </w:p>
    <w:tbl>
      <w:tblPr>
        <w:tblStyle w:val="Grilledutableau"/>
        <w:tblW w:w="0" w:type="auto"/>
        <w:tblInd w:w="709" w:type="dxa"/>
        <w:tblLook w:val="04A0" w:firstRow="1" w:lastRow="0" w:firstColumn="1" w:lastColumn="0" w:noHBand="0" w:noVBand="1"/>
      </w:tblPr>
      <w:tblGrid>
        <w:gridCol w:w="2405"/>
        <w:gridCol w:w="6657"/>
      </w:tblGrid>
      <w:tr w:rsidR="005A6764" w14:paraId="3A87CC90" w14:textId="77777777">
        <w:tc>
          <w:tcPr>
            <w:tcW w:w="2405" w:type="dxa"/>
          </w:tcPr>
          <w:p w14:paraId="68C9EF9C" w14:textId="77777777" w:rsidR="005A6764" w:rsidRDefault="001A5BAC">
            <w:pPr>
              <w:spacing w:after="0"/>
              <w:ind w:left="0"/>
              <w:rPr>
                <w:rFonts w:ascii="Verdana" w:eastAsia="Times New Roman" w:hAnsi="Verdana" w:cs="Times New Roman"/>
                <w:i w:val="0"/>
                <w:iCs w:val="0"/>
                <w:color w:val="auto"/>
                <w:sz w:val="18"/>
                <w:szCs w:val="18"/>
                <w:lang w:eastAsia="fr-FR"/>
              </w:rPr>
            </w:pPr>
            <w:r>
              <w:rPr>
                <w:rStyle w:val="lev"/>
                <w:rFonts w:ascii="Verdana" w:hAnsi="Verdana"/>
                <w:b w:val="0"/>
                <w:bCs w:val="0"/>
                <w:i w:val="0"/>
                <w:iCs w:val="0"/>
                <w:color w:val="auto"/>
                <w:sz w:val="18"/>
                <w:szCs w:val="18"/>
              </w:rPr>
              <w:t>Axe 1 – Diagnostic participatif des OPA</w:t>
            </w:r>
          </w:p>
        </w:tc>
        <w:tc>
          <w:tcPr>
            <w:tcW w:w="6657" w:type="dxa"/>
          </w:tcPr>
          <w:p w14:paraId="25FA3274" w14:textId="77777777" w:rsidR="005A6764" w:rsidRDefault="001A5BAC">
            <w:pPr>
              <w:pStyle w:val="NormalWeb"/>
              <w:numPr>
                <w:ilvl w:val="0"/>
                <w:numId w:val="15"/>
              </w:numPr>
              <w:tabs>
                <w:tab w:val="clear" w:pos="9923"/>
              </w:tabs>
              <w:jc w:val="left"/>
              <w:rPr>
                <w:rFonts w:ascii="Verdana" w:hAnsi="Verdana"/>
                <w:i w:val="0"/>
                <w:iCs w:val="0"/>
                <w:sz w:val="18"/>
                <w:szCs w:val="18"/>
              </w:rPr>
            </w:pPr>
            <w:r>
              <w:rPr>
                <w:rFonts w:ascii="Verdana" w:hAnsi="Verdana"/>
                <w:i w:val="0"/>
                <w:iCs w:val="0"/>
                <w:sz w:val="18"/>
                <w:szCs w:val="18"/>
              </w:rPr>
              <w:t>Note de capitalisation synthétique (6–8 pages)</w:t>
            </w:r>
          </w:p>
          <w:p w14:paraId="0A6E4C82" w14:textId="77777777" w:rsidR="00335FE8" w:rsidRDefault="001A5BAC" w:rsidP="00D134C6">
            <w:pPr>
              <w:pStyle w:val="NormalWeb"/>
              <w:numPr>
                <w:ilvl w:val="0"/>
                <w:numId w:val="15"/>
              </w:numPr>
              <w:tabs>
                <w:tab w:val="clear" w:pos="9923"/>
              </w:tabs>
              <w:jc w:val="left"/>
              <w:rPr>
                <w:rFonts w:ascii="Verdana" w:hAnsi="Verdana"/>
                <w:i w:val="0"/>
                <w:iCs w:val="0"/>
                <w:sz w:val="18"/>
                <w:szCs w:val="18"/>
              </w:rPr>
            </w:pPr>
            <w:r w:rsidRPr="00335FE8">
              <w:rPr>
                <w:rFonts w:ascii="Verdana" w:hAnsi="Verdana"/>
                <w:i w:val="0"/>
                <w:iCs w:val="0"/>
                <w:sz w:val="18"/>
                <w:szCs w:val="18"/>
              </w:rPr>
              <w:t>Fiche technique – méthodologie du diagnostic OPA</w:t>
            </w:r>
          </w:p>
          <w:p w14:paraId="0F8D4B20" w14:textId="0C986679" w:rsidR="005A6764" w:rsidRDefault="001A5BAC">
            <w:pPr>
              <w:pStyle w:val="NormalWeb"/>
              <w:numPr>
                <w:ilvl w:val="0"/>
                <w:numId w:val="15"/>
              </w:numPr>
              <w:tabs>
                <w:tab w:val="clear" w:pos="9923"/>
              </w:tabs>
              <w:ind w:left="0"/>
              <w:jc w:val="left"/>
              <w:rPr>
                <w:rFonts w:ascii="Verdana" w:hAnsi="Verdana"/>
                <w:i w:val="0"/>
                <w:iCs w:val="0"/>
                <w:sz w:val="18"/>
                <w:szCs w:val="18"/>
              </w:rPr>
            </w:pPr>
            <w:r w:rsidRPr="00335FE8">
              <w:rPr>
                <w:rFonts w:ascii="Verdana" w:hAnsi="Verdana"/>
                <w:i w:val="0"/>
                <w:iCs w:val="0"/>
                <w:sz w:val="18"/>
                <w:szCs w:val="18"/>
              </w:rPr>
              <w:t>Matrice comparative des outils utilisés par phase</w:t>
            </w:r>
          </w:p>
        </w:tc>
      </w:tr>
      <w:tr w:rsidR="005A6764" w14:paraId="61F9E05B" w14:textId="77777777">
        <w:trPr>
          <w:trHeight w:val="869"/>
        </w:trPr>
        <w:tc>
          <w:tcPr>
            <w:tcW w:w="2405" w:type="dxa"/>
          </w:tcPr>
          <w:p w14:paraId="06BF8429" w14:textId="77777777" w:rsidR="005A6764" w:rsidRDefault="001A5BAC">
            <w:pPr>
              <w:pStyle w:val="Titre4"/>
              <w:ind w:left="0"/>
              <w:outlineLvl w:val="3"/>
              <w:rPr>
                <w:rFonts w:ascii="Verdana" w:hAnsi="Verdana"/>
                <w:color w:val="auto"/>
                <w:sz w:val="18"/>
                <w:szCs w:val="18"/>
              </w:rPr>
            </w:pPr>
            <w:r>
              <w:rPr>
                <w:rStyle w:val="lev"/>
                <w:rFonts w:ascii="Verdana" w:hAnsi="Verdana"/>
                <w:b w:val="0"/>
                <w:bCs w:val="0"/>
                <w:color w:val="auto"/>
                <w:sz w:val="18"/>
                <w:szCs w:val="18"/>
              </w:rPr>
              <w:t>Axe 2 – Diagnostic genre et appel à projets OSC</w:t>
            </w:r>
          </w:p>
          <w:p w14:paraId="7C3DD62F" w14:textId="77777777" w:rsidR="005A6764" w:rsidRDefault="005A6764">
            <w:pPr>
              <w:spacing w:after="0"/>
              <w:ind w:left="0"/>
              <w:rPr>
                <w:rFonts w:ascii="Verdana" w:eastAsia="Times New Roman" w:hAnsi="Verdana" w:cs="Times New Roman"/>
                <w:i w:val="0"/>
                <w:iCs w:val="0"/>
                <w:color w:val="auto"/>
                <w:sz w:val="18"/>
                <w:szCs w:val="18"/>
                <w:lang w:eastAsia="fr-FR"/>
              </w:rPr>
            </w:pPr>
          </w:p>
        </w:tc>
        <w:tc>
          <w:tcPr>
            <w:tcW w:w="6657" w:type="dxa"/>
          </w:tcPr>
          <w:p w14:paraId="6B4EB93D" w14:textId="77777777" w:rsidR="005A6764" w:rsidRDefault="001A5BAC">
            <w:pPr>
              <w:pStyle w:val="NormalWeb"/>
              <w:numPr>
                <w:ilvl w:val="0"/>
                <w:numId w:val="16"/>
              </w:numPr>
              <w:tabs>
                <w:tab w:val="clear" w:pos="9923"/>
              </w:tabs>
              <w:jc w:val="left"/>
              <w:rPr>
                <w:rFonts w:ascii="Verdana" w:hAnsi="Verdana"/>
                <w:i w:val="0"/>
                <w:iCs w:val="0"/>
                <w:sz w:val="18"/>
                <w:szCs w:val="18"/>
              </w:rPr>
            </w:pPr>
            <w:r>
              <w:rPr>
                <w:rFonts w:ascii="Verdana" w:hAnsi="Verdana"/>
                <w:i w:val="0"/>
                <w:iCs w:val="0"/>
                <w:sz w:val="18"/>
                <w:szCs w:val="18"/>
              </w:rPr>
              <w:t>Étude de capitalisation complète (10–12 pages)</w:t>
            </w:r>
          </w:p>
          <w:p w14:paraId="46255637" w14:textId="77777777" w:rsidR="005A6764" w:rsidRDefault="001A5BAC" w:rsidP="006163B5">
            <w:pPr>
              <w:pStyle w:val="NormalWeb"/>
              <w:numPr>
                <w:ilvl w:val="0"/>
                <w:numId w:val="16"/>
              </w:numPr>
              <w:tabs>
                <w:tab w:val="clear" w:pos="9923"/>
              </w:tabs>
              <w:jc w:val="left"/>
              <w:rPr>
                <w:rFonts w:ascii="Verdana" w:hAnsi="Verdana"/>
                <w:i w:val="0"/>
                <w:iCs w:val="0"/>
                <w:sz w:val="18"/>
                <w:szCs w:val="18"/>
              </w:rPr>
            </w:pPr>
            <w:r>
              <w:rPr>
                <w:rFonts w:ascii="Verdana" w:hAnsi="Verdana"/>
                <w:i w:val="0"/>
                <w:iCs w:val="0"/>
                <w:sz w:val="18"/>
                <w:szCs w:val="18"/>
              </w:rPr>
              <w:t>Podcast ou mini-vidéo pédagogique</w:t>
            </w:r>
            <w:r w:rsidR="006163B5">
              <w:rPr>
                <w:rFonts w:ascii="Verdana" w:hAnsi="Verdana"/>
                <w:i w:val="0"/>
                <w:iCs w:val="0"/>
                <w:sz w:val="18"/>
                <w:szCs w:val="18"/>
              </w:rPr>
              <w:t xml:space="preserve"> (</w:t>
            </w:r>
            <w:r w:rsidR="006163B5" w:rsidRPr="006163B5">
              <w:rPr>
                <w:rFonts w:ascii="Verdana" w:hAnsi="Verdana"/>
                <w:i w:val="0"/>
                <w:iCs w:val="0"/>
                <w:sz w:val="18"/>
                <w:szCs w:val="18"/>
              </w:rPr>
              <w:t>objectif : rendre accessible et mobilisable l’expérience du projet auprès d’un public large. Il ne s’agit pas d’un outil de communication, mais d’un outil pédagogique court conçu à partir de témoignages d’acteurs clés et d’un script structuré autour d’enseignements clefs. Afin de montrer l’intérêt de partir d’un diagnostic participatif genre pour formuler des appels à projets plus inclusifs).</w:t>
            </w:r>
          </w:p>
          <w:p w14:paraId="21695BF7" w14:textId="77777777" w:rsidR="005A6764" w:rsidRDefault="001A5BAC" w:rsidP="006163B5">
            <w:pPr>
              <w:pStyle w:val="Titre4"/>
              <w:numPr>
                <w:ilvl w:val="0"/>
                <w:numId w:val="29"/>
              </w:numPr>
              <w:outlineLvl w:val="3"/>
              <w:rPr>
                <w:rFonts w:ascii="Verdana" w:hAnsi="Verdana"/>
                <w:i/>
                <w:iCs/>
                <w:sz w:val="18"/>
                <w:szCs w:val="18"/>
              </w:rPr>
            </w:pPr>
            <w:r w:rsidRPr="006163B5">
              <w:rPr>
                <w:rFonts w:ascii="Verdana" w:hAnsi="Verdana"/>
                <w:color w:val="auto"/>
                <w:sz w:val="18"/>
                <w:szCs w:val="18"/>
              </w:rPr>
              <w:t>Mini guide pratique : « de l’écoute à l’action »</w:t>
            </w:r>
            <w:r w:rsidR="006163B5" w:rsidRPr="006163B5">
              <w:rPr>
                <w:rFonts w:ascii="Verdana" w:hAnsi="Verdana"/>
                <w:color w:val="auto"/>
                <w:sz w:val="18"/>
                <w:szCs w:val="18"/>
              </w:rPr>
              <w:t xml:space="preserve"> (</w:t>
            </w:r>
            <w:r w:rsidR="006163B5" w:rsidRPr="006163B5">
              <w:rPr>
                <w:rFonts w:ascii="Verdana" w:eastAsiaTheme="minorEastAsia" w:hAnsi="Verdana" w:cs="Arial"/>
                <w:color w:val="auto"/>
                <w:sz w:val="18"/>
                <w:szCs w:val="18"/>
              </w:rPr>
              <w:t xml:space="preserve"> Un document synthétique (4 à 6 pages), destiné aux OSC ou aux projets similaires, pour transposer les apprentissages concrets de la démarche EFOR, depuis la consultation des bénéficiaires jusqu’à leur autonomisation via un appel à projets).</w:t>
            </w:r>
          </w:p>
        </w:tc>
      </w:tr>
      <w:tr w:rsidR="005A6764" w14:paraId="1D5BD338" w14:textId="77777777">
        <w:trPr>
          <w:trHeight w:val="702"/>
        </w:trPr>
        <w:tc>
          <w:tcPr>
            <w:tcW w:w="2405" w:type="dxa"/>
          </w:tcPr>
          <w:p w14:paraId="4A20E3CA" w14:textId="77777777" w:rsidR="005A6764" w:rsidRDefault="001A5BAC">
            <w:pPr>
              <w:pStyle w:val="Titre4"/>
              <w:ind w:left="0"/>
              <w:outlineLvl w:val="3"/>
              <w:rPr>
                <w:rFonts w:ascii="Verdana" w:hAnsi="Verdana"/>
                <w:color w:val="auto"/>
                <w:sz w:val="18"/>
                <w:szCs w:val="18"/>
              </w:rPr>
            </w:pPr>
            <w:r>
              <w:rPr>
                <w:rStyle w:val="lev"/>
                <w:rFonts w:ascii="Verdana" w:hAnsi="Verdana"/>
                <w:b w:val="0"/>
                <w:bCs w:val="0"/>
                <w:color w:val="auto"/>
                <w:sz w:val="18"/>
                <w:szCs w:val="18"/>
              </w:rPr>
              <w:t>Axe 3 – Gouvernance locale et CSO</w:t>
            </w:r>
          </w:p>
          <w:p w14:paraId="6ACFA954" w14:textId="77777777" w:rsidR="005A6764" w:rsidRDefault="005A6764">
            <w:pPr>
              <w:spacing w:after="0"/>
              <w:ind w:left="0"/>
              <w:rPr>
                <w:rFonts w:ascii="Verdana" w:eastAsia="Times New Roman" w:hAnsi="Verdana" w:cs="Times New Roman"/>
                <w:i w:val="0"/>
                <w:iCs w:val="0"/>
                <w:color w:val="auto"/>
                <w:sz w:val="18"/>
                <w:szCs w:val="18"/>
                <w:lang w:eastAsia="fr-FR"/>
              </w:rPr>
            </w:pPr>
          </w:p>
        </w:tc>
        <w:tc>
          <w:tcPr>
            <w:tcW w:w="6657" w:type="dxa"/>
          </w:tcPr>
          <w:p w14:paraId="3B9FD967" w14:textId="77777777" w:rsidR="005A6764" w:rsidRDefault="001A5BAC" w:rsidP="007A28D0">
            <w:pPr>
              <w:pStyle w:val="NormalWeb"/>
              <w:numPr>
                <w:ilvl w:val="0"/>
                <w:numId w:val="17"/>
              </w:numPr>
              <w:tabs>
                <w:tab w:val="clear" w:pos="9923"/>
              </w:tabs>
              <w:jc w:val="left"/>
              <w:rPr>
                <w:rFonts w:ascii="Verdana" w:hAnsi="Verdana"/>
                <w:i w:val="0"/>
                <w:iCs w:val="0"/>
                <w:sz w:val="18"/>
                <w:szCs w:val="18"/>
              </w:rPr>
            </w:pPr>
            <w:r>
              <w:rPr>
                <w:rFonts w:ascii="Verdana" w:hAnsi="Verdana"/>
                <w:i w:val="0"/>
                <w:iCs w:val="0"/>
                <w:sz w:val="18"/>
                <w:szCs w:val="18"/>
              </w:rPr>
              <w:t xml:space="preserve">Fiche de capitalisation institutionnelle </w:t>
            </w:r>
          </w:p>
          <w:p w14:paraId="5F99764A" w14:textId="4D9FE801" w:rsidR="005A6764" w:rsidRDefault="001A5BAC">
            <w:pPr>
              <w:pStyle w:val="NormalWeb"/>
              <w:tabs>
                <w:tab w:val="clear" w:pos="9923"/>
              </w:tabs>
              <w:ind w:left="720"/>
              <w:jc w:val="left"/>
              <w:rPr>
                <w:rFonts w:ascii="Verdana" w:hAnsi="Verdana"/>
                <w:i w:val="0"/>
                <w:iCs w:val="0"/>
                <w:sz w:val="18"/>
                <w:szCs w:val="18"/>
              </w:rPr>
            </w:pPr>
            <w:r>
              <w:rPr>
                <w:rFonts w:ascii="Verdana" w:hAnsi="Verdana"/>
                <w:i w:val="0"/>
                <w:iCs w:val="0"/>
                <w:sz w:val="18"/>
                <w:szCs w:val="18"/>
              </w:rPr>
              <w:t>Étude de cas comparée sur les 3 régions</w:t>
            </w:r>
          </w:p>
        </w:tc>
      </w:tr>
    </w:tbl>
    <w:p w14:paraId="66C2D91E" w14:textId="77777777" w:rsidR="005A6764" w:rsidRDefault="005A6764">
      <w:pPr>
        <w:spacing w:after="0"/>
        <w:ind w:left="709"/>
        <w:rPr>
          <w:rFonts w:ascii="Verdana" w:eastAsia="Times New Roman" w:hAnsi="Verdana" w:cs="Times New Roman"/>
          <w:i w:val="0"/>
          <w:iCs w:val="0"/>
          <w:sz w:val="18"/>
          <w:szCs w:val="18"/>
          <w:lang w:eastAsia="fr-FR"/>
        </w:rPr>
      </w:pPr>
    </w:p>
    <w:p w14:paraId="76D69960" w14:textId="77777777" w:rsidR="005A6764" w:rsidRDefault="001A5BAC">
      <w:pPr>
        <w:spacing w:after="0"/>
        <w:ind w:left="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 xml:space="preserve">En complément, les supports suivants sont également attendus : </w:t>
      </w:r>
      <w:r>
        <w:rPr>
          <w:rFonts w:ascii="Verdana" w:eastAsia="Times New Roman" w:hAnsi="Verdana" w:cs="Times New Roman"/>
          <w:b/>
          <w:bCs/>
          <w:i w:val="0"/>
          <w:iCs w:val="0"/>
          <w:sz w:val="18"/>
          <w:szCs w:val="18"/>
          <w:lang w:eastAsia="fr-FR"/>
        </w:rPr>
        <w:t>Présentations PowerPoint</w:t>
      </w:r>
      <w:r>
        <w:rPr>
          <w:rFonts w:ascii="Verdana" w:eastAsia="Times New Roman" w:hAnsi="Verdana" w:cs="Times New Roman"/>
          <w:i w:val="0"/>
          <w:iCs w:val="0"/>
          <w:sz w:val="18"/>
          <w:szCs w:val="18"/>
          <w:lang w:eastAsia="fr-FR"/>
        </w:rPr>
        <w:t xml:space="preserve"> à chaque étape clé : cadrage, restitution à chaud, restitution finale. </w:t>
      </w:r>
      <w:r>
        <w:rPr>
          <w:rFonts w:ascii="Verdana" w:eastAsia="Times New Roman" w:hAnsi="Verdana" w:cs="Times New Roman"/>
          <w:b/>
          <w:bCs/>
          <w:i w:val="0"/>
          <w:iCs w:val="0"/>
          <w:sz w:val="18"/>
          <w:szCs w:val="18"/>
          <w:lang w:eastAsia="fr-FR"/>
        </w:rPr>
        <w:t>Annexes techniques</w:t>
      </w:r>
      <w:r>
        <w:rPr>
          <w:rFonts w:ascii="Verdana" w:eastAsia="Times New Roman" w:hAnsi="Verdana" w:cs="Times New Roman"/>
          <w:i w:val="0"/>
          <w:iCs w:val="0"/>
          <w:sz w:val="18"/>
          <w:szCs w:val="18"/>
          <w:lang w:eastAsia="fr-FR"/>
        </w:rPr>
        <w:t xml:space="preserve"> : guides d’entretien, grilles d’analyse, tableaux de suivi méthodologique, liste des personnes rencontrées, bibliographie.</w:t>
      </w:r>
    </w:p>
    <w:p w14:paraId="21C6FCE0" w14:textId="77777777" w:rsidR="005A6764" w:rsidRDefault="005A6764">
      <w:pPr>
        <w:spacing w:after="0"/>
        <w:ind w:left="709"/>
        <w:rPr>
          <w:rFonts w:ascii="Verdana" w:eastAsia="Times New Roman" w:hAnsi="Verdana" w:cs="Times New Roman"/>
          <w:b/>
          <w:bCs/>
          <w:i w:val="0"/>
          <w:iCs w:val="0"/>
          <w:sz w:val="18"/>
          <w:szCs w:val="18"/>
          <w:lang w:eastAsia="fr-FR"/>
        </w:rPr>
      </w:pPr>
    </w:p>
    <w:p w14:paraId="69DFE0BC" w14:textId="77777777" w:rsidR="005A6764" w:rsidRDefault="001A5BAC">
      <w:pPr>
        <w:spacing w:after="0"/>
        <w:ind w:left="0"/>
        <w:rPr>
          <w:rFonts w:ascii="Verdana" w:eastAsia="Times New Roman" w:hAnsi="Verdana" w:cs="Times New Roman"/>
          <w:i w:val="0"/>
          <w:iCs w:val="0"/>
          <w:sz w:val="18"/>
          <w:szCs w:val="18"/>
          <w:lang w:eastAsia="fr-FR"/>
        </w:rPr>
      </w:pPr>
      <w:r>
        <w:rPr>
          <w:rFonts w:ascii="Verdana" w:eastAsia="Times New Roman" w:hAnsi="Verdana" w:cs="Times New Roman"/>
          <w:b/>
          <w:bCs/>
          <w:i w:val="0"/>
          <w:iCs w:val="0"/>
          <w:sz w:val="18"/>
          <w:szCs w:val="18"/>
          <w:lang w:eastAsia="fr-FR"/>
        </w:rPr>
        <w:t xml:space="preserve">Modalités de validation : </w:t>
      </w:r>
      <w:r>
        <w:rPr>
          <w:rFonts w:ascii="Verdana" w:eastAsia="Times New Roman" w:hAnsi="Verdana" w:cs="Times New Roman"/>
          <w:i w:val="0"/>
          <w:iCs w:val="0"/>
          <w:sz w:val="18"/>
          <w:szCs w:val="18"/>
          <w:lang w:eastAsia="fr-FR"/>
        </w:rPr>
        <w:t>Le rapport final provisoire fera l’objet d’une revue formelle par le projet et, le cas échéant, les partenaires institutionnels. Les remarques formulées seront transmises dans un délai maximum de 3 semaines après réception. Le rapport définitif, intégrant ces observations, devra être remis dans les 15 jours suivants. Si certaines divergences d’interprétation subsistent entre le consultant et les relecteurs, elles pourront être annexées au rapport final et commentées.</w:t>
      </w:r>
    </w:p>
    <w:p w14:paraId="4CBD7173" w14:textId="77777777" w:rsidR="005A6764" w:rsidRDefault="005A6764">
      <w:pPr>
        <w:spacing w:after="0"/>
        <w:ind w:left="349"/>
        <w:rPr>
          <w:rFonts w:ascii="Verdana" w:eastAsia="Times New Roman" w:hAnsi="Verdana" w:cs="Times New Roman"/>
          <w:sz w:val="18"/>
          <w:szCs w:val="18"/>
          <w:lang w:eastAsia="fr-FR"/>
        </w:rPr>
      </w:pPr>
    </w:p>
    <w:p w14:paraId="1AB62ADC" w14:textId="77777777" w:rsidR="005A6764" w:rsidRDefault="001A5BAC">
      <w:pPr>
        <w:pStyle w:val="Titre1"/>
        <w:spacing w:after="0" w:line="240" w:lineRule="auto"/>
        <w:rPr>
          <w:rFonts w:ascii="Verdana" w:hAnsi="Verdana"/>
          <w:sz w:val="18"/>
          <w:szCs w:val="18"/>
        </w:rPr>
      </w:pPr>
      <w:bookmarkStart w:id="12" w:name="_Toc70668759"/>
      <w:r>
        <w:rPr>
          <w:rFonts w:ascii="Verdana" w:hAnsi="Verdana"/>
          <w:sz w:val="18"/>
          <w:szCs w:val="18"/>
        </w:rPr>
        <w:t>Organisation des travaux</w:t>
      </w:r>
      <w:bookmarkEnd w:id="12"/>
    </w:p>
    <w:p w14:paraId="59970AD8" w14:textId="77777777" w:rsidR="005A6764" w:rsidRDefault="005A6764">
      <w:pPr>
        <w:spacing w:after="0"/>
        <w:rPr>
          <w:rFonts w:ascii="Verdana" w:hAnsi="Verdana"/>
          <w:sz w:val="18"/>
          <w:szCs w:val="18"/>
        </w:rPr>
      </w:pPr>
    </w:p>
    <w:p w14:paraId="1287E0E8" w14:textId="77777777" w:rsidR="005A6764" w:rsidRDefault="001A5BAC">
      <w:pPr>
        <w:pStyle w:val="Titre2"/>
        <w:spacing w:after="0" w:line="240" w:lineRule="auto"/>
        <w:rPr>
          <w:rFonts w:ascii="Verdana" w:hAnsi="Verdana"/>
          <w:sz w:val="18"/>
          <w:szCs w:val="18"/>
        </w:rPr>
      </w:pPr>
      <w:bookmarkStart w:id="13" w:name="_Toc70668760"/>
      <w:r>
        <w:rPr>
          <w:rFonts w:ascii="Verdana" w:hAnsi="Verdana"/>
          <w:sz w:val="18"/>
          <w:szCs w:val="18"/>
        </w:rPr>
        <w:t>Pilotage de l’évaluation et gouvernance du projet</w:t>
      </w:r>
      <w:bookmarkEnd w:id="13"/>
      <w:r>
        <w:rPr>
          <w:rFonts w:ascii="Verdana" w:hAnsi="Verdana"/>
          <w:sz w:val="18"/>
          <w:szCs w:val="18"/>
        </w:rPr>
        <w:t xml:space="preserve"> </w:t>
      </w:r>
    </w:p>
    <w:p w14:paraId="01CBCEFF" w14:textId="77777777" w:rsidR="005A6764" w:rsidRDefault="005A6764">
      <w:pPr>
        <w:spacing w:after="0"/>
        <w:rPr>
          <w:rFonts w:ascii="Verdana" w:hAnsi="Verdana"/>
          <w:sz w:val="18"/>
          <w:szCs w:val="18"/>
        </w:rPr>
      </w:pPr>
    </w:p>
    <w:p w14:paraId="02D0AE49" w14:textId="77777777" w:rsidR="005A6764" w:rsidRDefault="001A5BAC">
      <w:pPr>
        <w:spacing w:after="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L’évaluation et capitalisation est gérée par la Responsable SERA du projet EFOR avec l’aide d’un comité de pilotage composé de la Cheffe de  projet, le Coordinateur SERA EF, du partenaire financier AFD, et des partenaires institutionnels (MARHPM et MFFEPA).</w:t>
      </w:r>
    </w:p>
    <w:p w14:paraId="1ABAC8FE" w14:textId="77777777" w:rsidR="005A6764" w:rsidRDefault="005A6764">
      <w:pPr>
        <w:spacing w:after="0"/>
        <w:rPr>
          <w:rFonts w:ascii="Verdana" w:eastAsia="Times New Roman" w:hAnsi="Verdana" w:cs="Times New Roman"/>
          <w:i w:val="0"/>
          <w:iCs w:val="0"/>
          <w:sz w:val="18"/>
          <w:szCs w:val="18"/>
          <w:lang w:eastAsia="fr-FR"/>
        </w:rPr>
      </w:pPr>
    </w:p>
    <w:p w14:paraId="0ABD71AB" w14:textId="77777777" w:rsidR="005A6764" w:rsidRDefault="001A5BAC">
      <w:pPr>
        <w:spacing w:after="0"/>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Les fonctions principales des membres du comité de pilotage de l’évaluation &amp; capitalisation sont :</w:t>
      </w:r>
    </w:p>
    <w:p w14:paraId="20BE5E34" w14:textId="77777777" w:rsidR="005A6764" w:rsidRDefault="001A5BAC">
      <w:pPr>
        <w:pStyle w:val="Paragraphedeliste"/>
        <w:numPr>
          <w:ilvl w:val="0"/>
          <w:numId w:val="18"/>
        </w:numPr>
        <w:tabs>
          <w:tab w:val="clear" w:pos="9923"/>
        </w:tabs>
        <w:spacing w:after="0"/>
        <w:contextualSpacing/>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De faciliter les contacts entre l’équipe mobilisée, les services de l’AFD et les parties prenantes externes.</w:t>
      </w:r>
    </w:p>
    <w:p w14:paraId="4230A364" w14:textId="77777777" w:rsidR="005A6764" w:rsidRDefault="001A5BAC">
      <w:pPr>
        <w:pStyle w:val="Paragraphedeliste"/>
        <w:numPr>
          <w:ilvl w:val="0"/>
          <w:numId w:val="18"/>
        </w:numPr>
        <w:tabs>
          <w:tab w:val="clear" w:pos="9923"/>
        </w:tabs>
        <w:spacing w:after="0"/>
        <w:contextualSpacing/>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De s’assurer que l’équipe mobiliséea accès à toutes les sources d’information et de documentation liées à l’action à évaluer et les consulte.</w:t>
      </w:r>
    </w:p>
    <w:p w14:paraId="5EF91D80" w14:textId="77777777" w:rsidR="005A6764" w:rsidRDefault="001A5BAC">
      <w:pPr>
        <w:pStyle w:val="Paragraphedeliste"/>
        <w:numPr>
          <w:ilvl w:val="0"/>
          <w:numId w:val="18"/>
        </w:numPr>
        <w:tabs>
          <w:tab w:val="clear" w:pos="9923"/>
        </w:tabs>
        <w:spacing w:after="0"/>
        <w:contextualSpacing/>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De discuter et de commenter les rapports produits par l’équipe de la mission. Les commentaires de chaque membre du groupe de référence sont rassemblés par la Responsable SERA, puis transmis à l’équipe mobilisée.</w:t>
      </w:r>
    </w:p>
    <w:p w14:paraId="15EDA01A" w14:textId="77777777" w:rsidR="005A6764" w:rsidRDefault="001A5BAC">
      <w:pPr>
        <w:pStyle w:val="Paragraphedeliste"/>
        <w:numPr>
          <w:ilvl w:val="0"/>
          <w:numId w:val="18"/>
        </w:numPr>
        <w:tabs>
          <w:tab w:val="clear" w:pos="9923"/>
        </w:tabs>
        <w:spacing w:after="0"/>
        <w:contextualSpacing/>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D’assister le processus de rétroaction (feedback) à partir des résultats, des conclusions, des recommandations et des leçons tirées de l’évaluation &amp; capitalisation.</w:t>
      </w:r>
    </w:p>
    <w:p w14:paraId="5823CECD" w14:textId="77777777" w:rsidR="005A6764" w:rsidRDefault="001A5BAC">
      <w:pPr>
        <w:pStyle w:val="Paragraphedeliste"/>
        <w:numPr>
          <w:ilvl w:val="0"/>
          <w:numId w:val="18"/>
        </w:numPr>
        <w:tabs>
          <w:tab w:val="clear" w:pos="9923"/>
        </w:tabs>
        <w:spacing w:after="0"/>
        <w:contextualSpacing/>
        <w:rPr>
          <w:rFonts w:ascii="Verdana" w:eastAsia="Times New Roman" w:hAnsi="Verdana" w:cs="Times New Roman"/>
          <w:i w:val="0"/>
          <w:iCs w:val="0"/>
          <w:sz w:val="18"/>
          <w:szCs w:val="18"/>
          <w:lang w:eastAsia="fr-FR"/>
        </w:rPr>
      </w:pPr>
      <w:r>
        <w:rPr>
          <w:rFonts w:ascii="Verdana" w:eastAsia="Times New Roman" w:hAnsi="Verdana" w:cs="Times New Roman"/>
          <w:i w:val="0"/>
          <w:iCs w:val="0"/>
          <w:sz w:val="18"/>
          <w:szCs w:val="18"/>
          <w:lang w:eastAsia="fr-FR"/>
        </w:rPr>
        <w:t>D’assurer un bon suivi du plan d’action une fois l’évaluation &amp; capitalisation terminées.</w:t>
      </w:r>
    </w:p>
    <w:p w14:paraId="70C161A4" w14:textId="77777777" w:rsidR="005A6764" w:rsidRDefault="005A6764">
      <w:pPr>
        <w:spacing w:after="0"/>
        <w:rPr>
          <w:rFonts w:ascii="Verdana" w:hAnsi="Verdana"/>
          <w:sz w:val="18"/>
          <w:szCs w:val="18"/>
        </w:rPr>
      </w:pPr>
    </w:p>
    <w:p w14:paraId="45CBC23F" w14:textId="77777777" w:rsidR="005A6764" w:rsidRDefault="001A5BAC">
      <w:pPr>
        <w:pStyle w:val="Titre2"/>
        <w:spacing w:after="0" w:line="240" w:lineRule="auto"/>
        <w:rPr>
          <w:rFonts w:ascii="Verdana" w:hAnsi="Verdana"/>
          <w:sz w:val="18"/>
          <w:szCs w:val="18"/>
        </w:rPr>
      </w:pPr>
      <w:bookmarkStart w:id="14" w:name="_Toc70668761"/>
      <w:r>
        <w:rPr>
          <w:rFonts w:ascii="Verdana" w:hAnsi="Verdana"/>
          <w:sz w:val="18"/>
          <w:szCs w:val="18"/>
        </w:rPr>
        <w:t>Modalités de coordination</w:t>
      </w:r>
      <w:bookmarkEnd w:id="14"/>
    </w:p>
    <w:p w14:paraId="34E7B37E" w14:textId="77777777" w:rsidR="005A6764" w:rsidRDefault="005A6764">
      <w:pPr>
        <w:spacing w:after="0"/>
        <w:rPr>
          <w:rFonts w:ascii="Verdana" w:hAnsi="Verdana"/>
          <w:sz w:val="18"/>
          <w:szCs w:val="18"/>
        </w:rPr>
      </w:pPr>
    </w:p>
    <w:p w14:paraId="37DDC2FD" w14:textId="77777777" w:rsidR="005A6764" w:rsidRDefault="001A5BAC">
      <w:pPr>
        <w:spacing w:after="0"/>
        <w:rPr>
          <w:rFonts w:ascii="Verdana" w:hAnsi="Verdana"/>
          <w:i w:val="0"/>
          <w:iCs w:val="0"/>
          <w:sz w:val="18"/>
          <w:szCs w:val="18"/>
        </w:rPr>
      </w:pPr>
      <w:r>
        <w:rPr>
          <w:rFonts w:ascii="Verdana" w:hAnsi="Verdana"/>
          <w:i w:val="0"/>
          <w:iCs w:val="0"/>
          <w:sz w:val="18"/>
          <w:szCs w:val="18"/>
        </w:rPr>
        <w:t>Il est demandé au consultant d’associer étroitement le projet à la construction de son raisonnement, par des liens réguliers tout au long de la mission, de la note de cadrage jusqu’à la réunion de présentation du rapport provisoire. En particulier, un partage des constats et des premiers éléments d’analyse doit se faire dès la fin de la mission, avant la rédaction du rapport provisoire.</w:t>
      </w:r>
    </w:p>
    <w:p w14:paraId="518E320F" w14:textId="77777777" w:rsidR="005A6764" w:rsidRDefault="005A6764">
      <w:pPr>
        <w:spacing w:after="0"/>
        <w:rPr>
          <w:rFonts w:ascii="Verdana" w:hAnsi="Verdana"/>
          <w:sz w:val="18"/>
          <w:szCs w:val="18"/>
        </w:rPr>
      </w:pPr>
      <w:bookmarkStart w:id="15" w:name="_Toc70668762"/>
    </w:p>
    <w:p w14:paraId="57235498" w14:textId="77777777" w:rsidR="005A6764" w:rsidRDefault="001A5BAC">
      <w:pPr>
        <w:spacing w:after="0"/>
        <w:rPr>
          <w:rFonts w:ascii="Verdana" w:hAnsi="Verdana"/>
          <w:i w:val="0"/>
          <w:iCs w:val="0"/>
          <w:sz w:val="18"/>
          <w:szCs w:val="18"/>
        </w:rPr>
      </w:pPr>
      <w:r>
        <w:rPr>
          <w:rStyle w:val="lev"/>
          <w:rFonts w:ascii="Verdana" w:eastAsiaTheme="majorEastAsia" w:hAnsi="Verdana" w:cstheme="majorBidi"/>
          <w:i w:val="0"/>
          <w:iCs w:val="0"/>
          <w:color w:val="244061" w:themeColor="accent1" w:themeShade="80"/>
          <w:sz w:val="18"/>
          <w:szCs w:val="18"/>
        </w:rPr>
        <w:t>6.2.1 Organisation des missions terrain</w:t>
      </w:r>
      <w:bookmarkEnd w:id="15"/>
      <w:r>
        <w:rPr>
          <w:rStyle w:val="lev"/>
          <w:rFonts w:ascii="Verdana" w:eastAsiaTheme="majorEastAsia" w:hAnsi="Verdana" w:cstheme="majorBidi"/>
          <w:i w:val="0"/>
          <w:iCs w:val="0"/>
          <w:color w:val="244061" w:themeColor="accent1" w:themeShade="80"/>
          <w:sz w:val="18"/>
          <w:szCs w:val="18"/>
        </w:rPr>
        <w:t xml:space="preserve"> :  </w:t>
      </w:r>
      <w:r>
        <w:rPr>
          <w:rFonts w:ascii="Verdana" w:hAnsi="Verdana"/>
          <w:i w:val="0"/>
          <w:iCs w:val="0"/>
          <w:sz w:val="18"/>
          <w:szCs w:val="18"/>
        </w:rPr>
        <w:t xml:space="preserve">La mission de terrain est prévue entre septembre et octobre 2025. Elle sera organisée en étroite collaboration entre l’équipe mobilisée  et le projet EFOR. La </w:t>
      </w:r>
      <w:r>
        <w:rPr>
          <w:rStyle w:val="lev"/>
          <w:rFonts w:ascii="Verdana" w:hAnsi="Verdana"/>
          <w:b w:val="0"/>
          <w:bCs w:val="0"/>
          <w:i w:val="0"/>
          <w:iCs w:val="0"/>
          <w:sz w:val="18"/>
          <w:szCs w:val="18"/>
        </w:rPr>
        <w:t>répartition des responsabilités</w:t>
      </w:r>
      <w:r>
        <w:rPr>
          <w:rFonts w:ascii="Verdana" w:hAnsi="Verdana"/>
          <w:i w:val="0"/>
          <w:iCs w:val="0"/>
          <w:sz w:val="18"/>
          <w:szCs w:val="18"/>
        </w:rPr>
        <w:t xml:space="preserve"> est la suivante :</w:t>
      </w:r>
    </w:p>
    <w:p w14:paraId="017141AF" w14:textId="77777777" w:rsidR="005A6764" w:rsidRDefault="001A5BAC">
      <w:pPr>
        <w:pStyle w:val="NormalWeb"/>
        <w:tabs>
          <w:tab w:val="clear" w:pos="9923"/>
        </w:tabs>
        <w:spacing w:before="0" w:beforeAutospacing="0" w:after="0" w:afterAutospacing="0"/>
        <w:rPr>
          <w:rFonts w:ascii="Verdana" w:hAnsi="Verdana"/>
          <w:i w:val="0"/>
          <w:iCs w:val="0"/>
          <w:sz w:val="18"/>
          <w:szCs w:val="18"/>
        </w:rPr>
      </w:pPr>
      <w:r>
        <w:rPr>
          <w:rStyle w:val="lev"/>
          <w:rFonts w:ascii="Verdana" w:hAnsi="Verdana"/>
          <w:i w:val="0"/>
          <w:iCs w:val="0"/>
          <w:sz w:val="18"/>
          <w:szCs w:val="18"/>
        </w:rPr>
        <w:t xml:space="preserve">L’équipe </w:t>
      </w:r>
      <w:r>
        <w:rPr>
          <w:rFonts w:ascii="Verdana" w:hAnsi="Verdana"/>
          <w:i w:val="0"/>
          <w:iCs w:val="0"/>
          <w:sz w:val="18"/>
          <w:szCs w:val="18"/>
        </w:rPr>
        <w:t>mobilisée est responsable : de l’élaboration du protocole de collecte (outils, échantillonnage, méthode) ; de la planification des entretiens, focus groupes et enquêtes avec les parties prenantes identifiées ; de la rédaction des comptes rendus de visites et d’analyses de données.</w:t>
      </w:r>
    </w:p>
    <w:p w14:paraId="70F190B7" w14:textId="77777777" w:rsidR="005A6764" w:rsidRDefault="001A5BAC">
      <w:pPr>
        <w:pStyle w:val="NormalWeb"/>
        <w:tabs>
          <w:tab w:val="clear" w:pos="9923"/>
          <w:tab w:val="left" w:pos="1440"/>
        </w:tabs>
        <w:spacing w:before="0" w:beforeAutospacing="0" w:after="0" w:afterAutospacing="0"/>
        <w:rPr>
          <w:rFonts w:ascii="Verdana" w:hAnsi="Verdana"/>
          <w:i w:val="0"/>
          <w:iCs w:val="0"/>
          <w:sz w:val="18"/>
          <w:szCs w:val="18"/>
        </w:rPr>
      </w:pPr>
      <w:r>
        <w:rPr>
          <w:rStyle w:val="lev"/>
          <w:rFonts w:ascii="Verdana" w:hAnsi="Verdana"/>
          <w:i w:val="0"/>
          <w:iCs w:val="0"/>
          <w:sz w:val="18"/>
          <w:szCs w:val="18"/>
        </w:rPr>
        <w:t>Le commanditaire</w:t>
      </w:r>
      <w:r>
        <w:rPr>
          <w:rFonts w:ascii="Verdana" w:hAnsi="Verdana"/>
          <w:i w:val="0"/>
          <w:iCs w:val="0"/>
          <w:sz w:val="18"/>
          <w:szCs w:val="18"/>
        </w:rPr>
        <w:t xml:space="preserve">, représenté par </w:t>
      </w:r>
      <w:r>
        <w:rPr>
          <w:rStyle w:val="lev"/>
          <w:rFonts w:ascii="Verdana" w:hAnsi="Verdana"/>
          <w:b w:val="0"/>
          <w:bCs w:val="0"/>
          <w:i w:val="0"/>
          <w:iCs w:val="0"/>
          <w:sz w:val="18"/>
          <w:szCs w:val="18"/>
        </w:rPr>
        <w:t>le projet EFOR</w:t>
      </w:r>
      <w:r>
        <w:rPr>
          <w:rFonts w:ascii="Verdana" w:hAnsi="Verdana"/>
          <w:i w:val="0"/>
          <w:iCs w:val="0"/>
          <w:sz w:val="18"/>
          <w:szCs w:val="18"/>
        </w:rPr>
        <w:t xml:space="preserve">, en lien avec </w:t>
      </w:r>
      <w:r>
        <w:rPr>
          <w:rStyle w:val="lev"/>
          <w:rFonts w:ascii="Verdana" w:hAnsi="Verdana"/>
          <w:b w:val="0"/>
          <w:bCs w:val="0"/>
          <w:i w:val="0"/>
          <w:iCs w:val="0"/>
          <w:sz w:val="18"/>
          <w:szCs w:val="18"/>
        </w:rPr>
        <w:t xml:space="preserve">la cheffe de projet </w:t>
      </w:r>
      <w:r>
        <w:rPr>
          <w:rFonts w:ascii="Verdana" w:hAnsi="Verdana"/>
          <w:i w:val="0"/>
          <w:iCs w:val="0"/>
          <w:sz w:val="18"/>
          <w:szCs w:val="18"/>
        </w:rPr>
        <w:t xml:space="preserve">et </w:t>
      </w:r>
      <w:r>
        <w:rPr>
          <w:rStyle w:val="lev"/>
          <w:rFonts w:ascii="Verdana" w:hAnsi="Verdana"/>
          <w:b w:val="0"/>
          <w:bCs w:val="0"/>
          <w:i w:val="0"/>
          <w:iCs w:val="0"/>
          <w:sz w:val="18"/>
          <w:szCs w:val="18"/>
        </w:rPr>
        <w:t>la responsable SERA</w:t>
      </w:r>
      <w:r>
        <w:rPr>
          <w:rFonts w:ascii="Verdana" w:hAnsi="Verdana"/>
          <w:i w:val="0"/>
          <w:iCs w:val="0"/>
          <w:sz w:val="18"/>
          <w:szCs w:val="18"/>
        </w:rPr>
        <w:t>, assure : la facilitation des contacts locaux avec les partenaires institutionnels, associatifs et bénéficiaires sur les lieux d’intervention ; la coordination en appui à l’équipe d’évaluation &amp; capitalisation, notamment pour l’organisation des ateliers participatifs, des réunions de restitution et des rencontres avec les bénéficiaires ; la mobilisation des équipes régionales du projet selon les besoins.</w:t>
      </w:r>
    </w:p>
    <w:p w14:paraId="7E49BAE2" w14:textId="77777777" w:rsidR="005A6764" w:rsidRDefault="001A5BAC">
      <w:pPr>
        <w:pStyle w:val="NormalWeb"/>
        <w:spacing w:before="0" w:beforeAutospacing="0" w:after="0" w:afterAutospacing="0"/>
        <w:rPr>
          <w:rFonts w:ascii="Verdana" w:hAnsi="Verdana"/>
          <w:i w:val="0"/>
          <w:iCs w:val="0"/>
          <w:sz w:val="18"/>
          <w:szCs w:val="18"/>
        </w:rPr>
      </w:pPr>
      <w:r>
        <w:rPr>
          <w:rFonts w:ascii="Verdana" w:hAnsi="Verdana"/>
          <w:i w:val="0"/>
          <w:iCs w:val="0"/>
          <w:sz w:val="18"/>
          <w:szCs w:val="18"/>
        </w:rPr>
        <w:t xml:space="preserve">La </w:t>
      </w:r>
      <w:r>
        <w:rPr>
          <w:rStyle w:val="lev"/>
          <w:rFonts w:ascii="Verdana" w:hAnsi="Verdana"/>
          <w:b w:val="0"/>
          <w:bCs w:val="0"/>
          <w:i w:val="0"/>
          <w:iCs w:val="0"/>
          <w:sz w:val="18"/>
          <w:szCs w:val="18"/>
        </w:rPr>
        <w:t>responsable SERA</w:t>
      </w:r>
      <w:r>
        <w:rPr>
          <w:rFonts w:ascii="Verdana" w:hAnsi="Verdana"/>
          <w:i w:val="0"/>
          <w:iCs w:val="0"/>
          <w:sz w:val="18"/>
          <w:szCs w:val="18"/>
        </w:rPr>
        <w:t xml:space="preserve">, en coordination étroite avec la cheffe de projet, est </w:t>
      </w:r>
      <w:r>
        <w:rPr>
          <w:rStyle w:val="lev"/>
          <w:rFonts w:ascii="Verdana" w:hAnsi="Verdana"/>
          <w:b w:val="0"/>
          <w:bCs w:val="0"/>
          <w:i w:val="0"/>
          <w:iCs w:val="0"/>
          <w:sz w:val="18"/>
          <w:szCs w:val="18"/>
        </w:rPr>
        <w:t>le point focal sur l’ensemble du processus d’évaluation et de capitalisation</w:t>
      </w:r>
      <w:r>
        <w:rPr>
          <w:rFonts w:ascii="Verdana" w:hAnsi="Verdana"/>
          <w:b/>
          <w:bCs/>
          <w:i w:val="0"/>
          <w:iCs w:val="0"/>
          <w:sz w:val="18"/>
          <w:szCs w:val="18"/>
        </w:rPr>
        <w:t>.</w:t>
      </w:r>
      <w:r>
        <w:rPr>
          <w:rFonts w:ascii="Verdana" w:hAnsi="Verdana"/>
          <w:i w:val="0"/>
          <w:iCs w:val="0"/>
          <w:sz w:val="18"/>
          <w:szCs w:val="18"/>
        </w:rPr>
        <w:t xml:space="preserve"> Elle accompagne les missions de terrain </w:t>
      </w:r>
      <w:r>
        <w:rPr>
          <w:rStyle w:val="lev"/>
          <w:rFonts w:ascii="Verdana" w:hAnsi="Verdana"/>
          <w:b w:val="0"/>
          <w:bCs w:val="0"/>
          <w:i w:val="0"/>
          <w:iCs w:val="0"/>
          <w:sz w:val="18"/>
          <w:szCs w:val="18"/>
        </w:rPr>
        <w:t>selon les besoins et sa disponibilité</w:t>
      </w:r>
      <w:r>
        <w:rPr>
          <w:rFonts w:ascii="Verdana" w:hAnsi="Verdana"/>
          <w:i w:val="0"/>
          <w:iCs w:val="0"/>
          <w:sz w:val="18"/>
          <w:szCs w:val="18"/>
        </w:rPr>
        <w:t>, notamment pour faciliter l'accès aux données, assurer la cohérence méthodologique, et garantir l'intégration des apprentissages dans les dynamiques internes du projet.</w:t>
      </w:r>
    </w:p>
    <w:p w14:paraId="6D9365F6" w14:textId="77777777" w:rsidR="005A6764" w:rsidRDefault="005A6764">
      <w:pPr>
        <w:pStyle w:val="NormalWeb"/>
        <w:spacing w:before="0" w:beforeAutospacing="0" w:after="0" w:afterAutospacing="0"/>
        <w:rPr>
          <w:rFonts w:ascii="Verdana" w:hAnsi="Verdana"/>
          <w:i w:val="0"/>
          <w:iCs w:val="0"/>
          <w:sz w:val="18"/>
          <w:szCs w:val="18"/>
        </w:rPr>
      </w:pPr>
    </w:p>
    <w:p w14:paraId="4ABB83EE" w14:textId="77777777" w:rsidR="005A6764" w:rsidRDefault="001A5BAC">
      <w:pPr>
        <w:pStyle w:val="Titre3"/>
        <w:numPr>
          <w:ilvl w:val="0"/>
          <w:numId w:val="0"/>
        </w:numPr>
        <w:spacing w:before="0" w:after="0"/>
        <w:ind w:left="360"/>
        <w:rPr>
          <w:rFonts w:ascii="Verdana" w:hAnsi="Verdana"/>
          <w:i w:val="0"/>
          <w:iCs w:val="0"/>
          <w:color w:val="auto"/>
          <w:sz w:val="18"/>
          <w:szCs w:val="18"/>
        </w:rPr>
      </w:pPr>
      <w:r>
        <w:rPr>
          <w:rStyle w:val="lev"/>
          <w:rFonts w:ascii="Verdana" w:hAnsi="Verdana"/>
          <w:b/>
          <w:bCs/>
          <w:i w:val="0"/>
          <w:iCs w:val="0"/>
          <w:color w:val="auto"/>
          <w:sz w:val="18"/>
          <w:szCs w:val="18"/>
        </w:rPr>
        <w:t>Moyens matériels mis à disposition par le projet</w:t>
      </w:r>
      <w:r>
        <w:rPr>
          <w:rFonts w:ascii="Verdana" w:hAnsi="Verdana"/>
          <w:i w:val="0"/>
          <w:iCs w:val="0"/>
          <w:color w:val="auto"/>
          <w:sz w:val="18"/>
          <w:szCs w:val="18"/>
        </w:rPr>
        <w:t>:</w:t>
      </w:r>
    </w:p>
    <w:p w14:paraId="16C11B27" w14:textId="77777777" w:rsidR="005A6764" w:rsidRDefault="001A5BAC">
      <w:pPr>
        <w:pStyle w:val="NormalWeb"/>
        <w:numPr>
          <w:ilvl w:val="0"/>
          <w:numId w:val="19"/>
        </w:numPr>
        <w:tabs>
          <w:tab w:val="clear" w:pos="9923"/>
        </w:tabs>
        <w:spacing w:before="0" w:beforeAutospacing="0" w:after="0" w:afterAutospacing="0"/>
        <w:rPr>
          <w:rFonts w:ascii="Verdana" w:hAnsi="Verdana"/>
          <w:i w:val="0"/>
          <w:iCs w:val="0"/>
          <w:color w:val="auto"/>
          <w:sz w:val="18"/>
          <w:szCs w:val="18"/>
        </w:rPr>
      </w:pPr>
      <w:r>
        <w:rPr>
          <w:rFonts w:ascii="Verdana" w:hAnsi="Verdana"/>
          <w:i w:val="0"/>
          <w:iCs w:val="0"/>
          <w:color w:val="auto"/>
          <w:sz w:val="18"/>
          <w:szCs w:val="18"/>
        </w:rPr>
        <w:t>Soutien à la logistique locale (réservations, mobilisation de personnes ressources) ;</w:t>
      </w:r>
    </w:p>
    <w:p w14:paraId="093B6AE8" w14:textId="77777777" w:rsidR="005A6764" w:rsidRDefault="001A5BAC">
      <w:pPr>
        <w:pStyle w:val="NormalWeb"/>
        <w:numPr>
          <w:ilvl w:val="0"/>
          <w:numId w:val="19"/>
        </w:numPr>
        <w:tabs>
          <w:tab w:val="clear" w:pos="9923"/>
        </w:tabs>
        <w:spacing w:before="0" w:beforeAutospacing="0" w:after="0" w:afterAutospacing="0"/>
        <w:rPr>
          <w:rFonts w:ascii="Verdana" w:hAnsi="Verdana"/>
          <w:i w:val="0"/>
          <w:iCs w:val="0"/>
          <w:color w:val="auto"/>
          <w:sz w:val="18"/>
          <w:szCs w:val="18"/>
        </w:rPr>
      </w:pPr>
      <w:r>
        <w:rPr>
          <w:rFonts w:ascii="Verdana" w:hAnsi="Verdana"/>
          <w:i w:val="0"/>
          <w:iCs w:val="0"/>
          <w:color w:val="auto"/>
          <w:sz w:val="18"/>
          <w:szCs w:val="18"/>
        </w:rPr>
        <w:t>Salle pour les ateliers et réunions, le cas échéant ;</w:t>
      </w:r>
    </w:p>
    <w:p w14:paraId="4781018D" w14:textId="77777777" w:rsidR="005A6764" w:rsidRDefault="001A5BAC">
      <w:pPr>
        <w:pStyle w:val="Titre3"/>
        <w:numPr>
          <w:ilvl w:val="0"/>
          <w:numId w:val="0"/>
        </w:numPr>
        <w:spacing w:before="0" w:after="0"/>
        <w:ind w:left="360"/>
        <w:rPr>
          <w:rFonts w:ascii="Verdana" w:hAnsi="Verdana"/>
          <w:i w:val="0"/>
          <w:iCs w:val="0"/>
          <w:color w:val="auto"/>
          <w:sz w:val="18"/>
          <w:szCs w:val="18"/>
        </w:rPr>
      </w:pPr>
      <w:r>
        <w:rPr>
          <w:rStyle w:val="lev"/>
          <w:rFonts w:ascii="Verdana" w:hAnsi="Verdana"/>
          <w:b/>
          <w:bCs/>
          <w:i w:val="0"/>
          <w:iCs w:val="0"/>
          <w:color w:val="auto"/>
          <w:sz w:val="18"/>
          <w:szCs w:val="18"/>
        </w:rPr>
        <w:t xml:space="preserve">Langue de travail : </w:t>
      </w:r>
      <w:r>
        <w:rPr>
          <w:rStyle w:val="lev"/>
          <w:rFonts w:ascii="Verdana" w:hAnsi="Verdana"/>
          <w:i w:val="0"/>
          <w:iCs w:val="0"/>
          <w:color w:val="auto"/>
          <w:sz w:val="18"/>
          <w:szCs w:val="18"/>
        </w:rPr>
        <w:t>l</w:t>
      </w:r>
      <w:r>
        <w:rPr>
          <w:rFonts w:ascii="Verdana" w:hAnsi="Verdana"/>
          <w:i w:val="0"/>
          <w:iCs w:val="0"/>
          <w:color w:val="auto"/>
          <w:sz w:val="18"/>
          <w:szCs w:val="18"/>
        </w:rPr>
        <w:t>’</w:t>
      </w:r>
      <w:r>
        <w:rPr>
          <w:rFonts w:ascii="Verdana" w:hAnsi="Verdana"/>
          <w:b w:val="0"/>
          <w:bCs w:val="0"/>
          <w:i w:val="0"/>
          <w:iCs w:val="0"/>
          <w:color w:val="auto"/>
          <w:sz w:val="18"/>
          <w:szCs w:val="18"/>
        </w:rPr>
        <w:t xml:space="preserve">ensemble de la mission, des échanges et des livrables se fera en </w:t>
      </w:r>
      <w:r>
        <w:rPr>
          <w:rStyle w:val="lev"/>
          <w:rFonts w:ascii="Verdana" w:hAnsi="Verdana"/>
          <w:i w:val="0"/>
          <w:iCs w:val="0"/>
          <w:color w:val="auto"/>
          <w:sz w:val="18"/>
          <w:szCs w:val="18"/>
        </w:rPr>
        <w:t>français</w:t>
      </w:r>
      <w:r>
        <w:rPr>
          <w:rFonts w:ascii="Verdana" w:hAnsi="Verdana"/>
          <w:i w:val="0"/>
          <w:iCs w:val="0"/>
          <w:color w:val="auto"/>
          <w:sz w:val="18"/>
          <w:szCs w:val="18"/>
        </w:rPr>
        <w:t>.</w:t>
      </w:r>
    </w:p>
    <w:p w14:paraId="3B254BB3" w14:textId="77777777" w:rsidR="005A6764" w:rsidRDefault="005A6764">
      <w:pPr>
        <w:spacing w:after="0"/>
        <w:rPr>
          <w:rFonts w:ascii="Verdana" w:hAnsi="Verdana"/>
          <w:color w:val="auto"/>
          <w:sz w:val="18"/>
          <w:szCs w:val="18"/>
        </w:rPr>
      </w:pPr>
    </w:p>
    <w:p w14:paraId="20D5E4D3" w14:textId="77777777" w:rsidR="005A6764" w:rsidRDefault="001A5BAC">
      <w:pPr>
        <w:pStyle w:val="Titre2"/>
        <w:spacing w:after="0" w:line="240" w:lineRule="auto"/>
        <w:rPr>
          <w:rFonts w:ascii="Verdana" w:hAnsi="Verdana"/>
          <w:sz w:val="18"/>
          <w:szCs w:val="18"/>
        </w:rPr>
      </w:pPr>
      <w:bookmarkStart w:id="16" w:name="_Toc70668763"/>
      <w:r>
        <w:rPr>
          <w:rFonts w:ascii="Verdana" w:hAnsi="Verdana"/>
          <w:sz w:val="18"/>
          <w:szCs w:val="18"/>
        </w:rPr>
        <w:t>Calendrier</w:t>
      </w:r>
      <w:bookmarkEnd w:id="16"/>
    </w:p>
    <w:p w14:paraId="48B8417A" w14:textId="77777777" w:rsidR="005A6764" w:rsidRDefault="005A6764">
      <w:pPr>
        <w:spacing w:after="0"/>
        <w:rPr>
          <w:rFonts w:ascii="Verdana" w:hAnsi="Verdana"/>
          <w:sz w:val="18"/>
          <w:szCs w:val="18"/>
        </w:rPr>
      </w:pPr>
    </w:p>
    <w:p w14:paraId="5FB4C274" w14:textId="77777777" w:rsidR="005A6764" w:rsidRDefault="001A5BAC" w:rsidP="00335FE8">
      <w:pPr>
        <w:pStyle w:val="NormalWeb"/>
        <w:spacing w:before="0" w:beforeAutospacing="0" w:after="0" w:afterAutospacing="0"/>
        <w:rPr>
          <w:rFonts w:ascii="Verdana" w:hAnsi="Verdana"/>
          <w:i w:val="0"/>
          <w:iCs w:val="0"/>
          <w:sz w:val="18"/>
          <w:szCs w:val="18"/>
        </w:rPr>
      </w:pPr>
      <w:r>
        <w:rPr>
          <w:rFonts w:ascii="Verdana" w:hAnsi="Verdana"/>
          <w:i w:val="0"/>
          <w:iCs w:val="0"/>
          <w:sz w:val="18"/>
          <w:szCs w:val="18"/>
        </w:rPr>
        <w:t xml:space="preserve">La durée totale de la mission est estimée à </w:t>
      </w:r>
      <w:r>
        <w:rPr>
          <w:rStyle w:val="lev"/>
          <w:rFonts w:ascii="Verdana" w:hAnsi="Verdana"/>
          <w:i w:val="0"/>
          <w:iCs w:val="0"/>
          <w:sz w:val="18"/>
          <w:szCs w:val="18"/>
        </w:rPr>
        <w:t>38 jours ouvrés</w:t>
      </w:r>
      <w:r>
        <w:rPr>
          <w:rFonts w:ascii="Verdana" w:hAnsi="Verdana"/>
          <w:i w:val="0"/>
          <w:iCs w:val="0"/>
          <w:sz w:val="18"/>
          <w:szCs w:val="18"/>
        </w:rPr>
        <w:t xml:space="preserve">, à répartir entre </w:t>
      </w:r>
      <w:r w:rsidR="00335FE8">
        <w:rPr>
          <w:rStyle w:val="lev"/>
          <w:rFonts w:ascii="Verdana" w:hAnsi="Verdana"/>
          <w:i w:val="0"/>
          <w:iCs w:val="0"/>
          <w:sz w:val="18"/>
          <w:szCs w:val="18"/>
        </w:rPr>
        <w:t>Septembre</w:t>
      </w:r>
      <w:r>
        <w:rPr>
          <w:rStyle w:val="lev"/>
          <w:rFonts w:ascii="Verdana" w:hAnsi="Verdana"/>
          <w:i w:val="0"/>
          <w:iCs w:val="0"/>
          <w:sz w:val="18"/>
          <w:szCs w:val="18"/>
        </w:rPr>
        <w:t xml:space="preserve"> et  Novembre 2025</w:t>
      </w:r>
      <w:r>
        <w:rPr>
          <w:rFonts w:ascii="Verdana" w:hAnsi="Verdana"/>
          <w:i w:val="0"/>
          <w:iCs w:val="0"/>
          <w:sz w:val="18"/>
          <w:szCs w:val="18"/>
        </w:rPr>
        <w:t>, selon le calendrier indicatif ci-dessous. Ce calendrier pourra être affiné avec l’équipe sélectionnée lors de la réunion de cadrage.</w:t>
      </w:r>
    </w:p>
    <w:p w14:paraId="3494D3E1" w14:textId="77777777" w:rsidR="005A6764" w:rsidRDefault="005A6764">
      <w:pPr>
        <w:pStyle w:val="NormalWeb"/>
        <w:spacing w:before="0" w:beforeAutospacing="0" w:after="0" w:afterAutospacing="0"/>
        <w:rPr>
          <w:rFonts w:ascii="Verdana" w:hAnsi="Verdana"/>
          <w:i w:val="0"/>
          <w:iCs w:val="0"/>
          <w:sz w:val="18"/>
          <w:szCs w:val="18"/>
        </w:rPr>
      </w:pPr>
    </w:p>
    <w:tbl>
      <w:tblPr>
        <w:tblStyle w:val="TableauGrille6Couleur-Accentuation51"/>
        <w:tblW w:w="9502" w:type="dxa"/>
        <w:tblLayout w:type="fixed"/>
        <w:tblLook w:val="04A0" w:firstRow="1" w:lastRow="0" w:firstColumn="1" w:lastColumn="0" w:noHBand="0" w:noVBand="1"/>
      </w:tblPr>
      <w:tblGrid>
        <w:gridCol w:w="4252"/>
        <w:gridCol w:w="1158"/>
        <w:gridCol w:w="1116"/>
        <w:gridCol w:w="2976"/>
      </w:tblGrid>
      <w:tr w:rsidR="005A6764" w14:paraId="03ABE9FF" w14:textId="77777777" w:rsidTr="005A6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C911C41" w14:textId="77777777" w:rsidR="005A6764" w:rsidRDefault="001A5BAC">
            <w:pPr>
              <w:spacing w:after="0"/>
              <w:jc w:val="left"/>
              <w:rPr>
                <w:rFonts w:ascii="Verdana" w:hAnsi="Verdana"/>
                <w:b w:val="0"/>
                <w:bCs w:val="0"/>
                <w:i w:val="0"/>
                <w:iCs w:val="0"/>
                <w:sz w:val="18"/>
                <w:szCs w:val="18"/>
              </w:rPr>
            </w:pPr>
            <w:r>
              <w:rPr>
                <w:rStyle w:val="lev"/>
                <w:rFonts w:ascii="Verdana" w:hAnsi="Verdana"/>
                <w:b/>
                <w:bCs/>
                <w:i w:val="0"/>
                <w:iCs w:val="0"/>
                <w:sz w:val="18"/>
                <w:szCs w:val="18"/>
              </w:rPr>
              <w:lastRenderedPageBreak/>
              <w:t>Étapes clés</w:t>
            </w:r>
          </w:p>
        </w:tc>
        <w:tc>
          <w:tcPr>
            <w:tcW w:w="1158" w:type="dxa"/>
          </w:tcPr>
          <w:p w14:paraId="75F5C852" w14:textId="77777777" w:rsidR="005A6764" w:rsidRDefault="001A5BAC">
            <w:pPr>
              <w:spacing w:after="0"/>
              <w:ind w:left="0"/>
              <w:jc w:val="left"/>
              <w:cnfStyle w:val="100000000000" w:firstRow="1" w:lastRow="0" w:firstColumn="0" w:lastColumn="0" w:oddVBand="0" w:evenVBand="0" w:oddHBand="0" w:evenHBand="0" w:firstRowFirstColumn="0" w:firstRowLastColumn="0" w:lastRowFirstColumn="0" w:lastRowLastColumn="0"/>
              <w:rPr>
                <w:rStyle w:val="lev"/>
                <w:rFonts w:ascii="Verdana" w:hAnsi="Verdana"/>
                <w:b/>
                <w:bCs/>
                <w:i w:val="0"/>
                <w:iCs w:val="0"/>
                <w:sz w:val="18"/>
                <w:szCs w:val="18"/>
              </w:rPr>
            </w:pPr>
            <w:r>
              <w:rPr>
                <w:rStyle w:val="lev"/>
                <w:rFonts w:ascii="Verdana" w:hAnsi="Verdana"/>
                <w:b/>
                <w:bCs/>
                <w:i w:val="0"/>
                <w:iCs w:val="0"/>
                <w:sz w:val="18"/>
                <w:szCs w:val="18"/>
              </w:rPr>
              <w:t># jours indicatifs</w:t>
            </w:r>
          </w:p>
        </w:tc>
        <w:tc>
          <w:tcPr>
            <w:tcW w:w="1116" w:type="dxa"/>
          </w:tcPr>
          <w:p w14:paraId="7112E267" w14:textId="77777777" w:rsidR="005A6764" w:rsidRDefault="001A5BAC">
            <w:pPr>
              <w:spacing w:after="0"/>
              <w:jc w:val="left"/>
              <w:cnfStyle w:val="100000000000" w:firstRow="1" w:lastRow="0" w:firstColumn="0" w:lastColumn="0" w:oddVBand="0" w:evenVBand="0" w:oddHBand="0" w:evenHBand="0" w:firstRowFirstColumn="0" w:firstRowLastColumn="0" w:lastRowFirstColumn="0" w:lastRowLastColumn="0"/>
              <w:rPr>
                <w:rFonts w:ascii="Verdana" w:hAnsi="Verdana"/>
                <w:b w:val="0"/>
                <w:bCs w:val="0"/>
                <w:i w:val="0"/>
                <w:iCs w:val="0"/>
                <w:sz w:val="18"/>
                <w:szCs w:val="18"/>
              </w:rPr>
            </w:pPr>
            <w:r>
              <w:rPr>
                <w:rStyle w:val="lev"/>
                <w:rFonts w:ascii="Verdana" w:hAnsi="Verdana"/>
                <w:b/>
                <w:bCs/>
                <w:i w:val="0"/>
                <w:iCs w:val="0"/>
                <w:sz w:val="18"/>
                <w:szCs w:val="18"/>
              </w:rPr>
              <w:t>Date</w:t>
            </w:r>
          </w:p>
        </w:tc>
        <w:tc>
          <w:tcPr>
            <w:tcW w:w="2976" w:type="dxa"/>
          </w:tcPr>
          <w:p w14:paraId="7C8489EB" w14:textId="77777777" w:rsidR="005A6764" w:rsidRDefault="001A5BAC">
            <w:pPr>
              <w:spacing w:after="0"/>
              <w:jc w:val="left"/>
              <w:cnfStyle w:val="100000000000" w:firstRow="1" w:lastRow="0" w:firstColumn="0" w:lastColumn="0" w:oddVBand="0" w:evenVBand="0" w:oddHBand="0" w:evenHBand="0" w:firstRowFirstColumn="0" w:firstRowLastColumn="0" w:lastRowFirstColumn="0" w:lastRowLastColumn="0"/>
              <w:rPr>
                <w:rStyle w:val="lev"/>
                <w:rFonts w:ascii="Verdana" w:hAnsi="Verdana"/>
                <w:b/>
                <w:bCs/>
                <w:i w:val="0"/>
                <w:iCs w:val="0"/>
                <w:sz w:val="18"/>
                <w:szCs w:val="18"/>
              </w:rPr>
            </w:pPr>
            <w:r>
              <w:rPr>
                <w:rStyle w:val="lev"/>
                <w:rFonts w:ascii="Verdana" w:hAnsi="Verdana"/>
                <w:b/>
                <w:bCs/>
                <w:i w:val="0"/>
                <w:iCs w:val="0"/>
                <w:sz w:val="18"/>
                <w:szCs w:val="18"/>
              </w:rPr>
              <w:t>Lieu</w:t>
            </w:r>
          </w:p>
        </w:tc>
      </w:tr>
      <w:tr w:rsidR="005A6764" w14:paraId="6B7258ED" w14:textId="77777777" w:rsidTr="005A6764">
        <w:tc>
          <w:tcPr>
            <w:cnfStyle w:val="001000000000" w:firstRow="0" w:lastRow="0" w:firstColumn="1" w:lastColumn="0" w:oddVBand="0" w:evenVBand="0" w:oddHBand="0" w:evenHBand="0" w:firstRowFirstColumn="0" w:firstRowLastColumn="0" w:lastRowFirstColumn="0" w:lastRowLastColumn="0"/>
            <w:tcW w:w="4252" w:type="dxa"/>
          </w:tcPr>
          <w:p w14:paraId="3419DF9C" w14:textId="77777777" w:rsidR="005A6764" w:rsidRDefault="001A5BAC">
            <w:pPr>
              <w:spacing w:after="0"/>
              <w:rPr>
                <w:rFonts w:ascii="Verdana" w:hAnsi="Verdana"/>
                <w:b w:val="0"/>
                <w:bCs w:val="0"/>
                <w:i w:val="0"/>
                <w:iCs w:val="0"/>
                <w:sz w:val="18"/>
                <w:szCs w:val="18"/>
              </w:rPr>
            </w:pPr>
            <w:r>
              <w:rPr>
                <w:rFonts w:ascii="Verdana" w:hAnsi="Verdana"/>
                <w:b w:val="0"/>
                <w:bCs w:val="0"/>
                <w:i w:val="0"/>
                <w:iCs w:val="0"/>
                <w:sz w:val="18"/>
                <w:szCs w:val="18"/>
              </w:rPr>
              <w:t>Date limite de soumission des offres</w:t>
            </w:r>
          </w:p>
        </w:tc>
        <w:tc>
          <w:tcPr>
            <w:tcW w:w="1158" w:type="dxa"/>
          </w:tcPr>
          <w:p w14:paraId="5FA42C6D" w14:textId="77777777" w:rsidR="005A6764" w:rsidRDefault="005A6764">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p>
        </w:tc>
        <w:tc>
          <w:tcPr>
            <w:tcW w:w="1116" w:type="dxa"/>
          </w:tcPr>
          <w:p w14:paraId="384939C0" w14:textId="77777777" w:rsidR="005A6764" w:rsidRDefault="007654DC" w:rsidP="007654DC">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21</w:t>
            </w:r>
            <w:r w:rsidR="001A5BAC">
              <w:rPr>
                <w:rFonts w:ascii="Verdana" w:hAnsi="Verdana"/>
                <w:i w:val="0"/>
                <w:iCs w:val="0"/>
                <w:sz w:val="18"/>
                <w:szCs w:val="18"/>
              </w:rPr>
              <w:t>/08</w:t>
            </w:r>
          </w:p>
        </w:tc>
        <w:tc>
          <w:tcPr>
            <w:tcW w:w="2976" w:type="dxa"/>
          </w:tcPr>
          <w:p w14:paraId="6C3940A8" w14:textId="77777777" w:rsidR="005A6764" w:rsidRDefault="005A6764">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p>
        </w:tc>
      </w:tr>
      <w:tr w:rsidR="005A6764" w14:paraId="3856A21C" w14:textId="77777777" w:rsidTr="005A6764">
        <w:trPr>
          <w:trHeight w:val="67"/>
        </w:trPr>
        <w:tc>
          <w:tcPr>
            <w:cnfStyle w:val="001000000000" w:firstRow="0" w:lastRow="0" w:firstColumn="1" w:lastColumn="0" w:oddVBand="0" w:evenVBand="0" w:oddHBand="0" w:evenHBand="0" w:firstRowFirstColumn="0" w:firstRowLastColumn="0" w:lastRowFirstColumn="0" w:lastRowLastColumn="0"/>
            <w:tcW w:w="4252" w:type="dxa"/>
            <w:shd w:val="clear" w:color="auto" w:fill="DAEEF3" w:themeFill="accent5" w:themeFillTint="33"/>
          </w:tcPr>
          <w:p w14:paraId="1CCA6B85" w14:textId="77777777" w:rsidR="005A6764" w:rsidRDefault="001A5BAC">
            <w:pPr>
              <w:spacing w:after="0"/>
              <w:rPr>
                <w:rFonts w:ascii="Verdana" w:hAnsi="Verdana"/>
                <w:b w:val="0"/>
                <w:bCs w:val="0"/>
                <w:i w:val="0"/>
                <w:iCs w:val="0"/>
                <w:sz w:val="18"/>
                <w:szCs w:val="18"/>
              </w:rPr>
            </w:pPr>
            <w:r>
              <w:rPr>
                <w:rFonts w:ascii="Verdana" w:hAnsi="Verdana"/>
                <w:b w:val="0"/>
                <w:bCs w:val="0"/>
                <w:i w:val="0"/>
                <w:iCs w:val="0"/>
                <w:sz w:val="18"/>
                <w:szCs w:val="18"/>
              </w:rPr>
              <w:t xml:space="preserve">Invitation aux entretiens </w:t>
            </w:r>
          </w:p>
        </w:tc>
        <w:tc>
          <w:tcPr>
            <w:tcW w:w="1158" w:type="dxa"/>
            <w:shd w:val="clear" w:color="auto" w:fill="DAEEF3" w:themeFill="accent5" w:themeFillTint="33"/>
          </w:tcPr>
          <w:p w14:paraId="1C8B84B1" w14:textId="77777777" w:rsidR="005A6764" w:rsidRDefault="005A6764">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p>
        </w:tc>
        <w:tc>
          <w:tcPr>
            <w:tcW w:w="1116" w:type="dxa"/>
            <w:shd w:val="clear" w:color="auto" w:fill="DAEEF3" w:themeFill="accent5" w:themeFillTint="33"/>
          </w:tcPr>
          <w:p w14:paraId="2F6E36B2" w14:textId="77777777" w:rsidR="005A6764" w:rsidRDefault="007654DC" w:rsidP="007654DC">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26</w:t>
            </w:r>
            <w:r w:rsidR="001A5BAC">
              <w:rPr>
                <w:rFonts w:ascii="Verdana" w:hAnsi="Verdana"/>
                <w:i w:val="0"/>
                <w:iCs w:val="0"/>
                <w:sz w:val="18"/>
                <w:szCs w:val="18"/>
              </w:rPr>
              <w:t>/08</w:t>
            </w:r>
          </w:p>
        </w:tc>
        <w:tc>
          <w:tcPr>
            <w:tcW w:w="2976" w:type="dxa"/>
            <w:shd w:val="clear" w:color="auto" w:fill="DAEEF3" w:themeFill="accent5" w:themeFillTint="33"/>
          </w:tcPr>
          <w:p w14:paraId="32350D94" w14:textId="77777777" w:rsidR="005A6764" w:rsidRDefault="005A6764">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p>
        </w:tc>
      </w:tr>
      <w:tr w:rsidR="005A6764" w14:paraId="41708D83" w14:textId="77777777" w:rsidTr="005A6764">
        <w:tc>
          <w:tcPr>
            <w:cnfStyle w:val="001000000000" w:firstRow="0" w:lastRow="0" w:firstColumn="1" w:lastColumn="0" w:oddVBand="0" w:evenVBand="0" w:oddHBand="0" w:evenHBand="0" w:firstRowFirstColumn="0" w:firstRowLastColumn="0" w:lastRowFirstColumn="0" w:lastRowLastColumn="0"/>
            <w:tcW w:w="4252" w:type="dxa"/>
          </w:tcPr>
          <w:p w14:paraId="6E95E09D" w14:textId="77777777" w:rsidR="005A6764" w:rsidRDefault="001A5BAC">
            <w:pPr>
              <w:spacing w:after="0"/>
              <w:rPr>
                <w:rFonts w:ascii="Verdana" w:hAnsi="Verdana"/>
                <w:b w:val="0"/>
                <w:bCs w:val="0"/>
                <w:i w:val="0"/>
                <w:iCs w:val="0"/>
                <w:sz w:val="18"/>
                <w:szCs w:val="18"/>
              </w:rPr>
            </w:pPr>
            <w:r>
              <w:rPr>
                <w:rFonts w:ascii="Verdana" w:hAnsi="Verdana"/>
                <w:b w:val="0"/>
                <w:bCs w:val="0"/>
                <w:i w:val="0"/>
                <w:iCs w:val="0"/>
                <w:sz w:val="18"/>
                <w:szCs w:val="18"/>
              </w:rPr>
              <w:t>Notification de l'offre retenue</w:t>
            </w:r>
          </w:p>
        </w:tc>
        <w:tc>
          <w:tcPr>
            <w:tcW w:w="1158" w:type="dxa"/>
          </w:tcPr>
          <w:p w14:paraId="06D6DC14" w14:textId="77777777" w:rsidR="005A6764" w:rsidRDefault="005A6764">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p>
        </w:tc>
        <w:tc>
          <w:tcPr>
            <w:tcW w:w="1116" w:type="dxa"/>
          </w:tcPr>
          <w:p w14:paraId="7BC59440" w14:textId="77777777" w:rsidR="005A6764" w:rsidRDefault="005B5B25" w:rsidP="005B5B25">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02</w:t>
            </w:r>
            <w:r w:rsidR="001A5BAC">
              <w:rPr>
                <w:rFonts w:ascii="Verdana" w:hAnsi="Verdana"/>
                <w:i w:val="0"/>
                <w:iCs w:val="0"/>
                <w:sz w:val="18"/>
                <w:szCs w:val="18"/>
              </w:rPr>
              <w:t>/0</w:t>
            </w:r>
            <w:r>
              <w:rPr>
                <w:rFonts w:ascii="Verdana" w:hAnsi="Verdana"/>
                <w:i w:val="0"/>
                <w:iCs w:val="0"/>
                <w:sz w:val="18"/>
                <w:szCs w:val="18"/>
              </w:rPr>
              <w:t>9</w:t>
            </w:r>
          </w:p>
        </w:tc>
        <w:tc>
          <w:tcPr>
            <w:tcW w:w="2976" w:type="dxa"/>
          </w:tcPr>
          <w:p w14:paraId="65D542CD" w14:textId="77777777" w:rsidR="005A6764" w:rsidRDefault="005A6764">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p>
        </w:tc>
      </w:tr>
      <w:tr w:rsidR="005A6764" w14:paraId="4E5CC992" w14:textId="77777777" w:rsidTr="005A6764">
        <w:tc>
          <w:tcPr>
            <w:cnfStyle w:val="001000000000" w:firstRow="0" w:lastRow="0" w:firstColumn="1" w:lastColumn="0" w:oddVBand="0" w:evenVBand="0" w:oddHBand="0" w:evenHBand="0" w:firstRowFirstColumn="0" w:firstRowLastColumn="0" w:lastRowFirstColumn="0" w:lastRowLastColumn="0"/>
            <w:tcW w:w="4252" w:type="dxa"/>
            <w:shd w:val="clear" w:color="auto" w:fill="DAEEF3" w:themeFill="accent5" w:themeFillTint="33"/>
          </w:tcPr>
          <w:p w14:paraId="15F1A8AB" w14:textId="77777777" w:rsidR="005A6764" w:rsidRDefault="001A5BAC">
            <w:pPr>
              <w:spacing w:after="0"/>
              <w:rPr>
                <w:rFonts w:ascii="Verdana" w:hAnsi="Verdana"/>
                <w:b w:val="0"/>
                <w:bCs w:val="0"/>
                <w:i w:val="0"/>
                <w:iCs w:val="0"/>
                <w:sz w:val="18"/>
                <w:szCs w:val="18"/>
              </w:rPr>
            </w:pPr>
            <w:r>
              <w:rPr>
                <w:rFonts w:ascii="Verdana" w:hAnsi="Verdana"/>
                <w:b w:val="0"/>
                <w:bCs w:val="0"/>
                <w:i w:val="0"/>
                <w:iCs w:val="0"/>
                <w:sz w:val="18"/>
                <w:szCs w:val="18"/>
              </w:rPr>
              <w:t xml:space="preserve">Signature du contrat </w:t>
            </w:r>
          </w:p>
        </w:tc>
        <w:tc>
          <w:tcPr>
            <w:tcW w:w="1158" w:type="dxa"/>
            <w:shd w:val="clear" w:color="auto" w:fill="DAEEF3" w:themeFill="accent5" w:themeFillTint="33"/>
          </w:tcPr>
          <w:p w14:paraId="72E065EF" w14:textId="77777777" w:rsidR="005A6764" w:rsidRDefault="005A6764">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p>
        </w:tc>
        <w:tc>
          <w:tcPr>
            <w:tcW w:w="1116" w:type="dxa"/>
            <w:shd w:val="clear" w:color="auto" w:fill="DAEEF3" w:themeFill="accent5" w:themeFillTint="33"/>
          </w:tcPr>
          <w:p w14:paraId="25B37C69" w14:textId="77777777" w:rsidR="005A6764" w:rsidRDefault="005B5B25" w:rsidP="005B5B25">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09</w:t>
            </w:r>
            <w:r w:rsidR="001A5BAC">
              <w:rPr>
                <w:rFonts w:ascii="Verdana" w:hAnsi="Verdana"/>
                <w:i w:val="0"/>
                <w:iCs w:val="0"/>
                <w:sz w:val="18"/>
                <w:szCs w:val="18"/>
              </w:rPr>
              <w:t>/0</w:t>
            </w:r>
            <w:r>
              <w:rPr>
                <w:rFonts w:ascii="Verdana" w:hAnsi="Verdana"/>
                <w:i w:val="0"/>
                <w:iCs w:val="0"/>
                <w:sz w:val="18"/>
                <w:szCs w:val="18"/>
              </w:rPr>
              <w:t>9</w:t>
            </w:r>
          </w:p>
        </w:tc>
        <w:tc>
          <w:tcPr>
            <w:tcW w:w="2976" w:type="dxa"/>
            <w:shd w:val="clear" w:color="auto" w:fill="DAEEF3" w:themeFill="accent5" w:themeFillTint="33"/>
          </w:tcPr>
          <w:p w14:paraId="71B881E9"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Tunis</w:t>
            </w:r>
          </w:p>
        </w:tc>
      </w:tr>
      <w:tr w:rsidR="005A6764" w14:paraId="08F4067D" w14:textId="77777777" w:rsidTr="005A6764">
        <w:tc>
          <w:tcPr>
            <w:cnfStyle w:val="001000000000" w:firstRow="0" w:lastRow="0" w:firstColumn="1" w:lastColumn="0" w:oddVBand="0" w:evenVBand="0" w:oddHBand="0" w:evenHBand="0" w:firstRowFirstColumn="0" w:firstRowLastColumn="0" w:lastRowFirstColumn="0" w:lastRowLastColumn="0"/>
            <w:tcW w:w="4252" w:type="dxa"/>
          </w:tcPr>
          <w:p w14:paraId="58ADBEAE" w14:textId="77777777" w:rsidR="005A6764" w:rsidRDefault="001A5BAC">
            <w:pPr>
              <w:spacing w:after="0"/>
              <w:rPr>
                <w:rFonts w:ascii="Verdana" w:hAnsi="Verdana"/>
                <w:b w:val="0"/>
                <w:bCs w:val="0"/>
                <w:i w:val="0"/>
                <w:iCs w:val="0"/>
                <w:sz w:val="18"/>
                <w:szCs w:val="18"/>
              </w:rPr>
            </w:pPr>
            <w:r>
              <w:rPr>
                <w:rFonts w:ascii="Verdana" w:hAnsi="Verdana"/>
                <w:b w:val="0"/>
                <w:bCs w:val="0"/>
                <w:i w:val="0"/>
                <w:iCs w:val="0"/>
                <w:sz w:val="18"/>
                <w:szCs w:val="18"/>
              </w:rPr>
              <w:t>Phase de cadrage et documentaire</w:t>
            </w:r>
          </w:p>
        </w:tc>
        <w:tc>
          <w:tcPr>
            <w:tcW w:w="1158" w:type="dxa"/>
          </w:tcPr>
          <w:p w14:paraId="1C78EE7B" w14:textId="77777777" w:rsidR="005A6764" w:rsidRDefault="001A5BAC">
            <w:pPr>
              <w:spacing w:after="0"/>
              <w:jc w:val="center"/>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7</w:t>
            </w:r>
          </w:p>
        </w:tc>
        <w:tc>
          <w:tcPr>
            <w:tcW w:w="1116" w:type="dxa"/>
          </w:tcPr>
          <w:p w14:paraId="6661B348"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1</w:t>
            </w:r>
            <w:r w:rsidR="005B5B25">
              <w:rPr>
                <w:rFonts w:ascii="Verdana" w:hAnsi="Verdana"/>
                <w:i w:val="0"/>
                <w:iCs w:val="0"/>
                <w:sz w:val="18"/>
                <w:szCs w:val="18"/>
              </w:rPr>
              <w:t>8</w:t>
            </w:r>
            <w:r>
              <w:rPr>
                <w:rFonts w:ascii="Verdana" w:hAnsi="Verdana"/>
                <w:i w:val="0"/>
                <w:iCs w:val="0"/>
                <w:sz w:val="18"/>
                <w:szCs w:val="18"/>
              </w:rPr>
              <w:t>/09</w:t>
            </w:r>
          </w:p>
        </w:tc>
        <w:tc>
          <w:tcPr>
            <w:tcW w:w="2976" w:type="dxa"/>
          </w:tcPr>
          <w:p w14:paraId="4D27BFC0"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Tunis</w:t>
            </w:r>
          </w:p>
        </w:tc>
      </w:tr>
      <w:tr w:rsidR="005A6764" w14:paraId="2790D5EF" w14:textId="77777777" w:rsidTr="005A6764">
        <w:trPr>
          <w:trHeight w:val="146"/>
        </w:trPr>
        <w:tc>
          <w:tcPr>
            <w:cnfStyle w:val="001000000000" w:firstRow="0" w:lastRow="0" w:firstColumn="1" w:lastColumn="0" w:oddVBand="0" w:evenVBand="0" w:oddHBand="0" w:evenHBand="0" w:firstRowFirstColumn="0" w:firstRowLastColumn="0" w:lastRowFirstColumn="0" w:lastRowLastColumn="0"/>
            <w:tcW w:w="4252" w:type="dxa"/>
            <w:shd w:val="clear" w:color="auto" w:fill="DAEEF3" w:themeFill="accent5" w:themeFillTint="33"/>
          </w:tcPr>
          <w:p w14:paraId="14A9A5CE" w14:textId="77777777" w:rsidR="005A6764" w:rsidRDefault="001A5BAC">
            <w:pPr>
              <w:spacing w:after="0"/>
              <w:rPr>
                <w:rFonts w:ascii="Verdana" w:hAnsi="Verdana"/>
                <w:b w:val="0"/>
                <w:bCs w:val="0"/>
                <w:i w:val="0"/>
                <w:iCs w:val="0"/>
                <w:sz w:val="18"/>
                <w:szCs w:val="18"/>
              </w:rPr>
            </w:pPr>
            <w:r>
              <w:rPr>
                <w:rFonts w:ascii="Verdana" w:hAnsi="Verdana"/>
                <w:b w:val="0"/>
                <w:bCs w:val="0"/>
                <w:i w:val="0"/>
                <w:iCs w:val="0"/>
                <w:sz w:val="18"/>
                <w:szCs w:val="18"/>
              </w:rPr>
              <w:t>Mission terrain et collecte de données</w:t>
            </w:r>
          </w:p>
        </w:tc>
        <w:tc>
          <w:tcPr>
            <w:tcW w:w="1158" w:type="dxa"/>
            <w:shd w:val="clear" w:color="auto" w:fill="DAEEF3" w:themeFill="accent5" w:themeFillTint="33"/>
          </w:tcPr>
          <w:p w14:paraId="4B4A92BF" w14:textId="77777777" w:rsidR="005A6764" w:rsidRDefault="001A5BAC">
            <w:pPr>
              <w:spacing w:after="0"/>
              <w:jc w:val="center"/>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20</w:t>
            </w:r>
          </w:p>
        </w:tc>
        <w:tc>
          <w:tcPr>
            <w:tcW w:w="1116" w:type="dxa"/>
            <w:shd w:val="clear" w:color="auto" w:fill="DAEEF3" w:themeFill="accent5" w:themeFillTint="33"/>
          </w:tcPr>
          <w:p w14:paraId="06EC8B19" w14:textId="77777777" w:rsidR="005A6764" w:rsidRDefault="005B5B25">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01/10</w:t>
            </w:r>
          </w:p>
        </w:tc>
        <w:tc>
          <w:tcPr>
            <w:tcW w:w="2976" w:type="dxa"/>
            <w:shd w:val="clear" w:color="auto" w:fill="DAEEF3" w:themeFill="accent5" w:themeFillTint="33"/>
          </w:tcPr>
          <w:p w14:paraId="3BA0EC2A"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Tunis, Béja, Gafsa et Kasserine</w:t>
            </w:r>
          </w:p>
        </w:tc>
      </w:tr>
      <w:tr w:rsidR="005A6764" w14:paraId="1843C418" w14:textId="77777777" w:rsidTr="005A6764">
        <w:tc>
          <w:tcPr>
            <w:cnfStyle w:val="001000000000" w:firstRow="0" w:lastRow="0" w:firstColumn="1" w:lastColumn="0" w:oddVBand="0" w:evenVBand="0" w:oddHBand="0" w:evenHBand="0" w:firstRowFirstColumn="0" w:firstRowLastColumn="0" w:lastRowFirstColumn="0" w:lastRowLastColumn="0"/>
            <w:tcW w:w="4252" w:type="dxa"/>
          </w:tcPr>
          <w:p w14:paraId="7A6C0105" w14:textId="77777777" w:rsidR="005A6764" w:rsidRDefault="001A5BAC">
            <w:pPr>
              <w:spacing w:after="0"/>
              <w:rPr>
                <w:rFonts w:ascii="Verdana" w:hAnsi="Verdana"/>
                <w:b w:val="0"/>
                <w:bCs w:val="0"/>
                <w:i w:val="0"/>
                <w:iCs w:val="0"/>
                <w:sz w:val="18"/>
                <w:szCs w:val="18"/>
              </w:rPr>
            </w:pPr>
            <w:r>
              <w:rPr>
                <w:rFonts w:ascii="Verdana" w:hAnsi="Verdana"/>
                <w:b w:val="0"/>
                <w:bCs w:val="0"/>
                <w:i w:val="0"/>
                <w:iCs w:val="0"/>
                <w:sz w:val="18"/>
                <w:szCs w:val="18"/>
              </w:rPr>
              <w:t>Analyse et élaboration des livrables</w:t>
            </w:r>
          </w:p>
        </w:tc>
        <w:tc>
          <w:tcPr>
            <w:tcW w:w="1158" w:type="dxa"/>
          </w:tcPr>
          <w:p w14:paraId="1C701CCC" w14:textId="77777777" w:rsidR="005A6764" w:rsidRDefault="001A5BAC">
            <w:pPr>
              <w:spacing w:after="0"/>
              <w:jc w:val="center"/>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7</w:t>
            </w:r>
          </w:p>
        </w:tc>
        <w:tc>
          <w:tcPr>
            <w:tcW w:w="1116" w:type="dxa"/>
          </w:tcPr>
          <w:p w14:paraId="140D7AE1" w14:textId="77777777" w:rsidR="005A6764" w:rsidRDefault="00B73281">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10</w:t>
            </w:r>
            <w:r w:rsidR="005B5B25">
              <w:rPr>
                <w:rFonts w:ascii="Verdana" w:hAnsi="Verdana"/>
                <w:i w:val="0"/>
                <w:iCs w:val="0"/>
                <w:sz w:val="18"/>
                <w:szCs w:val="18"/>
              </w:rPr>
              <w:t>/11</w:t>
            </w:r>
          </w:p>
        </w:tc>
        <w:tc>
          <w:tcPr>
            <w:tcW w:w="2976" w:type="dxa"/>
          </w:tcPr>
          <w:p w14:paraId="642FC920" w14:textId="77777777" w:rsidR="005A6764" w:rsidRDefault="005A6764">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p>
        </w:tc>
      </w:tr>
      <w:tr w:rsidR="005A6764" w14:paraId="3FF5F511" w14:textId="77777777" w:rsidTr="005A6764">
        <w:tc>
          <w:tcPr>
            <w:cnfStyle w:val="001000000000" w:firstRow="0" w:lastRow="0" w:firstColumn="1" w:lastColumn="0" w:oddVBand="0" w:evenVBand="0" w:oddHBand="0" w:evenHBand="0" w:firstRowFirstColumn="0" w:firstRowLastColumn="0" w:lastRowFirstColumn="0" w:lastRowLastColumn="0"/>
            <w:tcW w:w="4252" w:type="dxa"/>
            <w:shd w:val="clear" w:color="auto" w:fill="DAEEF3" w:themeFill="accent5" w:themeFillTint="33"/>
          </w:tcPr>
          <w:p w14:paraId="7AC67CAB" w14:textId="77777777" w:rsidR="005A6764" w:rsidRDefault="001A5BAC">
            <w:pPr>
              <w:spacing w:after="0"/>
              <w:rPr>
                <w:rFonts w:ascii="Verdana" w:hAnsi="Verdana"/>
                <w:b w:val="0"/>
                <w:bCs w:val="0"/>
                <w:i w:val="0"/>
                <w:iCs w:val="0"/>
                <w:sz w:val="18"/>
                <w:szCs w:val="18"/>
              </w:rPr>
            </w:pPr>
            <w:r>
              <w:rPr>
                <w:rFonts w:ascii="Verdana" w:hAnsi="Verdana"/>
                <w:b w:val="0"/>
                <w:bCs w:val="0"/>
                <w:i w:val="0"/>
                <w:iCs w:val="0"/>
                <w:sz w:val="18"/>
                <w:szCs w:val="18"/>
              </w:rPr>
              <w:t>Finalisation des rapports et restitution finale</w:t>
            </w:r>
          </w:p>
        </w:tc>
        <w:tc>
          <w:tcPr>
            <w:tcW w:w="1158" w:type="dxa"/>
            <w:shd w:val="clear" w:color="auto" w:fill="DAEEF3" w:themeFill="accent5" w:themeFillTint="33"/>
          </w:tcPr>
          <w:p w14:paraId="2BA9B5EA" w14:textId="77777777" w:rsidR="005A6764" w:rsidRDefault="001A5BAC">
            <w:pPr>
              <w:spacing w:after="0"/>
              <w:jc w:val="center"/>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4</w:t>
            </w:r>
          </w:p>
        </w:tc>
        <w:tc>
          <w:tcPr>
            <w:tcW w:w="1116" w:type="dxa"/>
            <w:shd w:val="clear" w:color="auto" w:fill="DAEEF3" w:themeFill="accent5" w:themeFillTint="33"/>
          </w:tcPr>
          <w:p w14:paraId="28B4AD59" w14:textId="77777777" w:rsidR="005A6764" w:rsidRDefault="005B5B25">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25/11</w:t>
            </w:r>
          </w:p>
        </w:tc>
        <w:tc>
          <w:tcPr>
            <w:tcW w:w="2976" w:type="dxa"/>
            <w:shd w:val="clear" w:color="auto" w:fill="DAEEF3" w:themeFill="accent5" w:themeFillTint="33"/>
          </w:tcPr>
          <w:p w14:paraId="366AF2EB" w14:textId="77777777" w:rsidR="005A6764" w:rsidRDefault="001A5BAC">
            <w:pPr>
              <w:spacing w:after="0"/>
              <w:cnfStyle w:val="000000000000" w:firstRow="0" w:lastRow="0" w:firstColumn="0" w:lastColumn="0" w:oddVBand="0" w:evenVBand="0" w:oddHBand="0" w:evenHBand="0" w:firstRowFirstColumn="0" w:firstRowLastColumn="0" w:lastRowFirstColumn="0" w:lastRowLastColumn="0"/>
              <w:rPr>
                <w:rFonts w:ascii="Verdana" w:hAnsi="Verdana"/>
                <w:i w:val="0"/>
                <w:iCs w:val="0"/>
                <w:sz w:val="18"/>
                <w:szCs w:val="18"/>
              </w:rPr>
            </w:pPr>
            <w:r>
              <w:rPr>
                <w:rFonts w:ascii="Verdana" w:hAnsi="Verdana"/>
                <w:i w:val="0"/>
                <w:iCs w:val="0"/>
                <w:sz w:val="18"/>
                <w:szCs w:val="18"/>
              </w:rPr>
              <w:t>Tunis</w:t>
            </w:r>
          </w:p>
        </w:tc>
      </w:tr>
      <w:tr w:rsidR="005A6764" w14:paraId="7C83BFAA" w14:textId="77777777" w:rsidTr="005A6764">
        <w:tc>
          <w:tcPr>
            <w:cnfStyle w:val="001000000000" w:firstRow="0" w:lastRow="0" w:firstColumn="1" w:lastColumn="0" w:oddVBand="0" w:evenVBand="0" w:oddHBand="0" w:evenHBand="0" w:firstRowFirstColumn="0" w:firstRowLastColumn="0" w:lastRowFirstColumn="0" w:lastRowLastColumn="0"/>
            <w:tcW w:w="4252" w:type="dxa"/>
          </w:tcPr>
          <w:p w14:paraId="59C762E4" w14:textId="77777777" w:rsidR="005A6764" w:rsidRDefault="001A5BAC">
            <w:pPr>
              <w:spacing w:after="0"/>
              <w:rPr>
                <w:rFonts w:ascii="Verdana" w:hAnsi="Verdana"/>
                <w:i w:val="0"/>
                <w:iCs w:val="0"/>
                <w:sz w:val="18"/>
                <w:szCs w:val="18"/>
              </w:rPr>
            </w:pPr>
            <w:r>
              <w:rPr>
                <w:rFonts w:ascii="Verdana" w:hAnsi="Verdana"/>
                <w:i w:val="0"/>
                <w:iCs w:val="0"/>
                <w:sz w:val="18"/>
                <w:szCs w:val="18"/>
              </w:rPr>
              <w:t>Nombre de jours</w:t>
            </w:r>
          </w:p>
        </w:tc>
        <w:tc>
          <w:tcPr>
            <w:tcW w:w="1158" w:type="dxa"/>
          </w:tcPr>
          <w:p w14:paraId="5129BD3D" w14:textId="77777777" w:rsidR="005A6764" w:rsidRDefault="001A5BAC">
            <w:pPr>
              <w:spacing w:after="0"/>
              <w:jc w:val="center"/>
              <w:cnfStyle w:val="000000000000" w:firstRow="0" w:lastRow="0" w:firstColumn="0" w:lastColumn="0" w:oddVBand="0" w:evenVBand="0" w:oddHBand="0" w:evenHBand="0" w:firstRowFirstColumn="0" w:firstRowLastColumn="0" w:lastRowFirstColumn="0" w:lastRowLastColumn="0"/>
              <w:rPr>
                <w:rFonts w:ascii="Verdana" w:hAnsi="Verdana"/>
                <w:b/>
                <w:bCs/>
                <w:i w:val="0"/>
                <w:iCs w:val="0"/>
                <w:sz w:val="18"/>
                <w:szCs w:val="18"/>
              </w:rPr>
            </w:pPr>
            <w:r>
              <w:rPr>
                <w:rFonts w:ascii="Verdana" w:hAnsi="Verdana"/>
                <w:b/>
                <w:bCs/>
                <w:i w:val="0"/>
                <w:iCs w:val="0"/>
                <w:sz w:val="18"/>
                <w:szCs w:val="18"/>
              </w:rPr>
              <w:t xml:space="preserve">38 </w:t>
            </w:r>
          </w:p>
        </w:tc>
        <w:tc>
          <w:tcPr>
            <w:tcW w:w="1116" w:type="dxa"/>
          </w:tcPr>
          <w:p w14:paraId="494DA307" w14:textId="77777777" w:rsidR="005A6764" w:rsidRDefault="005A6764">
            <w:pPr>
              <w:spacing w:after="0"/>
              <w:cnfStyle w:val="000000000000" w:firstRow="0" w:lastRow="0" w:firstColumn="0" w:lastColumn="0" w:oddVBand="0" w:evenVBand="0" w:oddHBand="0" w:evenHBand="0" w:firstRowFirstColumn="0" w:firstRowLastColumn="0" w:lastRowFirstColumn="0" w:lastRowLastColumn="0"/>
              <w:rPr>
                <w:rFonts w:ascii="Verdana" w:hAnsi="Verdana"/>
                <w:b/>
                <w:bCs/>
                <w:i w:val="0"/>
                <w:iCs w:val="0"/>
                <w:sz w:val="18"/>
                <w:szCs w:val="18"/>
              </w:rPr>
            </w:pPr>
          </w:p>
        </w:tc>
        <w:tc>
          <w:tcPr>
            <w:tcW w:w="2976" w:type="dxa"/>
          </w:tcPr>
          <w:p w14:paraId="42742387" w14:textId="77777777" w:rsidR="005A6764" w:rsidRDefault="005A6764">
            <w:pPr>
              <w:spacing w:after="0"/>
              <w:cnfStyle w:val="000000000000" w:firstRow="0" w:lastRow="0" w:firstColumn="0" w:lastColumn="0" w:oddVBand="0" w:evenVBand="0" w:oddHBand="0" w:evenHBand="0" w:firstRowFirstColumn="0" w:firstRowLastColumn="0" w:lastRowFirstColumn="0" w:lastRowLastColumn="0"/>
              <w:rPr>
                <w:rFonts w:ascii="Verdana" w:hAnsi="Verdana"/>
                <w:b/>
                <w:bCs/>
                <w:i w:val="0"/>
                <w:iCs w:val="0"/>
                <w:sz w:val="18"/>
                <w:szCs w:val="18"/>
              </w:rPr>
            </w:pPr>
          </w:p>
        </w:tc>
      </w:tr>
    </w:tbl>
    <w:p w14:paraId="655CE3DA" w14:textId="77777777" w:rsidR="005A6764" w:rsidRDefault="005A6764">
      <w:pPr>
        <w:pStyle w:val="NormalWeb"/>
        <w:spacing w:before="0" w:beforeAutospacing="0" w:after="0" w:afterAutospacing="0"/>
        <w:rPr>
          <w:rFonts w:ascii="Verdana" w:hAnsi="Verdana"/>
          <w:i w:val="0"/>
          <w:iCs w:val="0"/>
          <w:sz w:val="18"/>
          <w:szCs w:val="18"/>
        </w:rPr>
      </w:pPr>
    </w:p>
    <w:p w14:paraId="379E0F38" w14:textId="77777777" w:rsidR="005A6764" w:rsidRDefault="001A5BAC">
      <w:pPr>
        <w:pStyle w:val="NormalWeb"/>
        <w:spacing w:before="0" w:beforeAutospacing="0" w:after="0" w:afterAutospacing="0"/>
        <w:rPr>
          <w:rFonts w:ascii="Verdana" w:hAnsi="Verdana"/>
          <w:i w:val="0"/>
          <w:iCs w:val="0"/>
          <w:sz w:val="18"/>
          <w:szCs w:val="18"/>
        </w:rPr>
      </w:pPr>
      <w:r>
        <w:rPr>
          <w:rFonts w:ascii="Verdana" w:hAnsi="Verdana"/>
          <w:i w:val="0"/>
          <w:iCs w:val="0"/>
          <w:sz w:val="18"/>
          <w:szCs w:val="18"/>
        </w:rPr>
        <w:t>Le soumissionnaire devra proposer dans son offre :</w:t>
      </w:r>
    </w:p>
    <w:p w14:paraId="45BA95D5" w14:textId="77777777" w:rsidR="005A6764" w:rsidRDefault="001A5BAC">
      <w:pPr>
        <w:pStyle w:val="NormalWeb"/>
        <w:numPr>
          <w:ilvl w:val="0"/>
          <w:numId w:val="20"/>
        </w:numPr>
        <w:tabs>
          <w:tab w:val="clear" w:pos="9923"/>
        </w:tabs>
        <w:spacing w:before="0" w:beforeAutospacing="0" w:after="0" w:afterAutospacing="0"/>
        <w:jc w:val="left"/>
        <w:rPr>
          <w:rFonts w:ascii="Verdana" w:hAnsi="Verdana"/>
          <w:i w:val="0"/>
          <w:iCs w:val="0"/>
          <w:sz w:val="18"/>
          <w:szCs w:val="18"/>
        </w:rPr>
      </w:pPr>
      <w:r>
        <w:rPr>
          <w:rFonts w:ascii="Verdana" w:hAnsi="Verdana"/>
          <w:i w:val="0"/>
          <w:iCs w:val="0"/>
          <w:sz w:val="18"/>
          <w:szCs w:val="18"/>
        </w:rPr>
        <w:t xml:space="preserve">un </w:t>
      </w:r>
      <w:r>
        <w:rPr>
          <w:rStyle w:val="lev"/>
          <w:rFonts w:ascii="Verdana" w:hAnsi="Verdana"/>
          <w:b w:val="0"/>
          <w:bCs w:val="0"/>
          <w:i w:val="0"/>
          <w:iCs w:val="0"/>
          <w:sz w:val="18"/>
          <w:szCs w:val="18"/>
        </w:rPr>
        <w:t>plan de travail détaillé</w:t>
      </w:r>
      <w:r>
        <w:rPr>
          <w:rFonts w:ascii="Verdana" w:hAnsi="Verdana"/>
          <w:i w:val="0"/>
          <w:iCs w:val="0"/>
          <w:sz w:val="18"/>
          <w:szCs w:val="18"/>
        </w:rPr>
        <w:t xml:space="preserve"> (par activité et par membre de l’équipe) tenant compte des étapes et délais ci-dessus ;</w:t>
      </w:r>
    </w:p>
    <w:p w14:paraId="2212F8F4" w14:textId="77777777" w:rsidR="005A6764" w:rsidRDefault="001A5BAC">
      <w:pPr>
        <w:pStyle w:val="NormalWeb"/>
        <w:numPr>
          <w:ilvl w:val="0"/>
          <w:numId w:val="20"/>
        </w:numPr>
        <w:tabs>
          <w:tab w:val="clear" w:pos="9923"/>
        </w:tabs>
        <w:spacing w:before="0" w:beforeAutospacing="0" w:after="0" w:afterAutospacing="0"/>
        <w:jc w:val="left"/>
        <w:rPr>
          <w:rFonts w:ascii="Verdana" w:hAnsi="Verdana"/>
          <w:i w:val="0"/>
          <w:iCs w:val="0"/>
          <w:sz w:val="18"/>
          <w:szCs w:val="18"/>
        </w:rPr>
      </w:pPr>
      <w:r>
        <w:rPr>
          <w:rFonts w:ascii="Verdana" w:hAnsi="Verdana"/>
          <w:i w:val="0"/>
          <w:iCs w:val="0"/>
          <w:sz w:val="18"/>
          <w:szCs w:val="18"/>
        </w:rPr>
        <w:t xml:space="preserve">un engagement à assurer une </w:t>
      </w:r>
      <w:r>
        <w:rPr>
          <w:rStyle w:val="lev"/>
          <w:rFonts w:ascii="Verdana" w:hAnsi="Verdana"/>
          <w:b w:val="0"/>
          <w:bCs w:val="0"/>
          <w:i w:val="0"/>
          <w:iCs w:val="0"/>
          <w:sz w:val="18"/>
          <w:szCs w:val="18"/>
        </w:rPr>
        <w:t>souplesse d’adaptation</w:t>
      </w:r>
      <w:r>
        <w:rPr>
          <w:rFonts w:ascii="Verdana" w:hAnsi="Verdana"/>
          <w:i w:val="0"/>
          <w:iCs w:val="0"/>
          <w:sz w:val="18"/>
          <w:szCs w:val="18"/>
        </w:rPr>
        <w:t xml:space="preserve"> en lien avec les contraintes de terrain et les disponibilités des parties prenantes ;</w:t>
      </w:r>
    </w:p>
    <w:p w14:paraId="4CE563AF" w14:textId="77777777" w:rsidR="005A6764" w:rsidRDefault="005A6764">
      <w:pPr>
        <w:spacing w:after="0"/>
        <w:rPr>
          <w:rFonts w:ascii="Verdana" w:hAnsi="Verdana"/>
          <w:sz w:val="18"/>
          <w:szCs w:val="18"/>
        </w:rPr>
      </w:pPr>
    </w:p>
    <w:p w14:paraId="172E0F83" w14:textId="77777777" w:rsidR="005A6764" w:rsidRDefault="001A5BAC">
      <w:pPr>
        <w:pStyle w:val="Titre1"/>
        <w:spacing w:after="0" w:line="240" w:lineRule="auto"/>
        <w:rPr>
          <w:rFonts w:ascii="Verdana" w:hAnsi="Verdana"/>
          <w:sz w:val="18"/>
          <w:szCs w:val="18"/>
        </w:rPr>
      </w:pPr>
      <w:bookmarkStart w:id="17" w:name="_Toc70668764"/>
      <w:r>
        <w:rPr>
          <w:rFonts w:ascii="Verdana" w:hAnsi="Verdana"/>
          <w:sz w:val="18"/>
          <w:szCs w:val="18"/>
        </w:rPr>
        <w:t>Moyens</w:t>
      </w:r>
      <w:bookmarkEnd w:id="17"/>
    </w:p>
    <w:p w14:paraId="5D15CD62" w14:textId="77777777" w:rsidR="005A6764" w:rsidRDefault="001A5BAC">
      <w:pPr>
        <w:pStyle w:val="Titre2"/>
        <w:spacing w:after="0" w:line="240" w:lineRule="auto"/>
        <w:rPr>
          <w:rFonts w:ascii="Verdana" w:hAnsi="Verdana"/>
          <w:sz w:val="18"/>
          <w:szCs w:val="18"/>
        </w:rPr>
      </w:pPr>
      <w:bookmarkStart w:id="18" w:name="_Toc70668765"/>
      <w:r>
        <w:rPr>
          <w:rFonts w:ascii="Verdana" w:hAnsi="Verdana"/>
          <w:sz w:val="18"/>
          <w:szCs w:val="18"/>
        </w:rPr>
        <w:t>Profil(s) demandé(s)</w:t>
      </w:r>
      <w:bookmarkEnd w:id="18"/>
    </w:p>
    <w:p w14:paraId="28751CAB" w14:textId="77777777" w:rsidR="005A6764" w:rsidRDefault="005A6764">
      <w:pPr>
        <w:pStyle w:val="Titre3"/>
        <w:numPr>
          <w:ilvl w:val="0"/>
          <w:numId w:val="0"/>
        </w:numPr>
        <w:spacing w:before="0" w:after="0"/>
        <w:ind w:left="720"/>
        <w:rPr>
          <w:rFonts w:ascii="Verdana" w:hAnsi="Verdana"/>
          <w:sz w:val="18"/>
          <w:szCs w:val="18"/>
        </w:rPr>
      </w:pPr>
    </w:p>
    <w:p w14:paraId="2FD98D76" w14:textId="77777777" w:rsidR="005A6764" w:rsidRDefault="001A5BAC">
      <w:pPr>
        <w:pStyle w:val="Titre3"/>
        <w:spacing w:before="0" w:after="0"/>
        <w:rPr>
          <w:rFonts w:ascii="Verdana" w:hAnsi="Verdana"/>
          <w:sz w:val="18"/>
          <w:szCs w:val="18"/>
        </w:rPr>
      </w:pPr>
      <w:r>
        <w:rPr>
          <w:rFonts w:ascii="Verdana" w:hAnsi="Verdana"/>
          <w:sz w:val="18"/>
          <w:szCs w:val="18"/>
        </w:rPr>
        <w:t xml:space="preserve">Expertises attendues : </w:t>
      </w:r>
    </w:p>
    <w:p w14:paraId="4814AA54" w14:textId="77777777" w:rsidR="005A6764" w:rsidRDefault="005A6764">
      <w:pPr>
        <w:pStyle w:val="Titre3"/>
        <w:numPr>
          <w:ilvl w:val="0"/>
          <w:numId w:val="0"/>
        </w:numPr>
        <w:spacing w:before="0" w:after="0"/>
        <w:ind w:left="720"/>
        <w:rPr>
          <w:rFonts w:ascii="Verdana" w:hAnsi="Verdana"/>
          <w:sz w:val="18"/>
          <w:szCs w:val="18"/>
        </w:rPr>
      </w:pPr>
    </w:p>
    <w:p w14:paraId="5BD736C6" w14:textId="77777777" w:rsidR="005A6764" w:rsidRDefault="001A5BAC">
      <w:pPr>
        <w:numPr>
          <w:ilvl w:val="1"/>
          <w:numId w:val="21"/>
        </w:numPr>
        <w:spacing w:after="0"/>
        <w:ind w:left="900"/>
        <w:rPr>
          <w:rFonts w:ascii="Verdana" w:eastAsia="Arial Unicode MS" w:hAnsi="Verdana"/>
          <w:b/>
          <w:iCs w:val="0"/>
          <w:sz w:val="18"/>
          <w:szCs w:val="18"/>
        </w:rPr>
      </w:pPr>
      <w:r>
        <w:rPr>
          <w:rFonts w:ascii="Verdana" w:eastAsia="Arial Unicode MS" w:hAnsi="Verdana"/>
          <w:b/>
          <w:sz w:val="18"/>
          <w:szCs w:val="18"/>
        </w:rPr>
        <w:t>Nombre d’expert.es attendu pour la mission :</w:t>
      </w:r>
      <w:r>
        <w:rPr>
          <w:rFonts w:ascii="Verdana" w:eastAsia="Arial Unicode MS" w:hAnsi="Verdana"/>
          <w:sz w:val="18"/>
          <w:szCs w:val="18"/>
        </w:rPr>
        <w:t xml:space="preserve"> Un.e ou plusieurs (cabinet d’expertise). </w:t>
      </w:r>
      <w:r>
        <w:rPr>
          <w:rFonts w:ascii="Verdana" w:eastAsia="Arial Unicode MS" w:hAnsi="Verdana"/>
          <w:sz w:val="18"/>
          <w:szCs w:val="18"/>
          <w:u w:val="single"/>
        </w:rPr>
        <w:t>Un effectif minimum de deux personnes</w:t>
      </w:r>
      <w:r>
        <w:rPr>
          <w:rFonts w:ascii="Verdana" w:eastAsia="Arial Unicode MS" w:hAnsi="Verdana"/>
          <w:sz w:val="18"/>
          <w:szCs w:val="18"/>
        </w:rPr>
        <w:t xml:space="preserve"> chargées de la réalisation de la mission est demandé.</w:t>
      </w:r>
    </w:p>
    <w:p w14:paraId="6A5D3719" w14:textId="77777777" w:rsidR="005A6764" w:rsidRDefault="005A6764">
      <w:pPr>
        <w:tabs>
          <w:tab w:val="left" w:pos="1440"/>
        </w:tabs>
        <w:spacing w:after="0"/>
        <w:rPr>
          <w:rFonts w:ascii="Verdana" w:eastAsia="Arial Unicode MS" w:hAnsi="Verdana"/>
          <w:b/>
          <w:sz w:val="18"/>
          <w:szCs w:val="18"/>
        </w:rPr>
      </w:pPr>
    </w:p>
    <w:p w14:paraId="1517ACE0" w14:textId="77777777" w:rsidR="005A6764" w:rsidRDefault="001A5BAC">
      <w:pPr>
        <w:tabs>
          <w:tab w:val="left" w:pos="1440"/>
        </w:tabs>
        <w:spacing w:after="0"/>
        <w:rPr>
          <w:rFonts w:ascii="Verdana" w:eastAsia="Arial Unicode MS" w:hAnsi="Verdana"/>
          <w:b/>
          <w:iCs w:val="0"/>
          <w:sz w:val="18"/>
          <w:szCs w:val="18"/>
        </w:rPr>
      </w:pPr>
      <w:r>
        <w:rPr>
          <w:rFonts w:ascii="Verdana" w:eastAsia="Arial Unicode MS" w:hAnsi="Verdana"/>
          <w:sz w:val="18"/>
          <w:szCs w:val="18"/>
        </w:rPr>
        <w:t xml:space="preserve">Il est ainsi demandé aux candidat.es de monter un consortium capable de couvrir les différents enjeux et objectifs de la mission (voir notamment point 2 ci-après). La mission peut être réalisée par des expert.es indépendant.es associés et/ou un ou plusieurs cabinets de conseils. </w:t>
      </w:r>
    </w:p>
    <w:p w14:paraId="484FCB57" w14:textId="77777777" w:rsidR="005A6764" w:rsidRDefault="005A6764">
      <w:pPr>
        <w:tabs>
          <w:tab w:val="left" w:pos="1440"/>
        </w:tabs>
        <w:spacing w:after="0"/>
        <w:rPr>
          <w:rFonts w:ascii="Verdana" w:eastAsia="Arial Unicode MS" w:hAnsi="Verdana"/>
          <w:b/>
          <w:iCs w:val="0"/>
          <w:sz w:val="18"/>
          <w:szCs w:val="18"/>
        </w:rPr>
      </w:pPr>
    </w:p>
    <w:p w14:paraId="3838AAC3" w14:textId="77777777" w:rsidR="005A6764" w:rsidRDefault="001A5BAC">
      <w:pPr>
        <w:tabs>
          <w:tab w:val="left" w:pos="1440"/>
        </w:tabs>
        <w:spacing w:after="0"/>
        <w:rPr>
          <w:rFonts w:ascii="Verdana" w:eastAsia="Arial Unicode MS" w:hAnsi="Verdana"/>
          <w:b/>
          <w:iCs w:val="0"/>
          <w:sz w:val="18"/>
          <w:szCs w:val="18"/>
        </w:rPr>
      </w:pPr>
      <w:r>
        <w:rPr>
          <w:rFonts w:ascii="Verdana" w:hAnsi="Verdana"/>
          <w:sz w:val="18"/>
          <w:szCs w:val="18"/>
          <w:u w:val="single"/>
        </w:rPr>
        <w:t>Un consortium réunissant à la fois des expertises nationales et internationales et paritaire en matière de genre sera favorisé</w:t>
      </w:r>
      <w:r>
        <w:rPr>
          <w:rFonts w:ascii="Verdana" w:hAnsi="Verdana"/>
          <w:sz w:val="18"/>
          <w:szCs w:val="18"/>
        </w:rPr>
        <w:t>.</w:t>
      </w:r>
    </w:p>
    <w:p w14:paraId="70FBD2BA" w14:textId="77777777" w:rsidR="005A6764" w:rsidRDefault="005A6764">
      <w:pPr>
        <w:tabs>
          <w:tab w:val="left" w:pos="1440"/>
        </w:tabs>
        <w:spacing w:after="0"/>
        <w:rPr>
          <w:rFonts w:ascii="Verdana" w:eastAsia="Arial Unicode MS" w:hAnsi="Verdana"/>
          <w:b/>
          <w:iCs w:val="0"/>
          <w:sz w:val="18"/>
          <w:szCs w:val="18"/>
        </w:rPr>
      </w:pPr>
    </w:p>
    <w:p w14:paraId="07D02C40" w14:textId="77777777" w:rsidR="005A6764" w:rsidRDefault="005A6764">
      <w:pPr>
        <w:tabs>
          <w:tab w:val="left" w:pos="1440"/>
        </w:tabs>
        <w:spacing w:after="0"/>
        <w:rPr>
          <w:rFonts w:ascii="Verdana" w:eastAsia="Arial Unicode MS" w:hAnsi="Verdana"/>
          <w:b/>
          <w:iCs w:val="0"/>
          <w:sz w:val="18"/>
          <w:szCs w:val="18"/>
        </w:rPr>
      </w:pPr>
    </w:p>
    <w:p w14:paraId="583E3E55" w14:textId="77777777" w:rsidR="005A6764" w:rsidRDefault="001A5BAC">
      <w:pPr>
        <w:numPr>
          <w:ilvl w:val="1"/>
          <w:numId w:val="21"/>
        </w:numPr>
        <w:spacing w:after="0"/>
        <w:ind w:left="900"/>
        <w:rPr>
          <w:rFonts w:ascii="Verdana" w:eastAsia="Arial Unicode MS" w:hAnsi="Verdana"/>
          <w:b/>
          <w:iCs w:val="0"/>
          <w:sz w:val="18"/>
          <w:szCs w:val="18"/>
        </w:rPr>
      </w:pPr>
      <w:r>
        <w:rPr>
          <w:rFonts w:ascii="Verdana" w:eastAsia="Arial Unicode MS" w:hAnsi="Verdana"/>
          <w:b/>
          <w:sz w:val="18"/>
          <w:szCs w:val="18"/>
        </w:rPr>
        <w:t>Profil des expert.es désigné.es en charge de l’exécution de la présente mission </w:t>
      </w:r>
    </w:p>
    <w:p w14:paraId="66EA2DB9" w14:textId="77777777" w:rsidR="005A6764" w:rsidRDefault="005A6764">
      <w:pPr>
        <w:spacing w:after="0"/>
        <w:rPr>
          <w:rFonts w:ascii="Verdana" w:hAnsi="Verdana"/>
          <w:b/>
          <w:bCs/>
          <w:color w:val="00000A"/>
          <w:sz w:val="18"/>
          <w:szCs w:val="18"/>
        </w:rPr>
      </w:pPr>
    </w:p>
    <w:p w14:paraId="40E91329" w14:textId="77777777" w:rsidR="005A6764" w:rsidRDefault="001A5BAC">
      <w:pPr>
        <w:spacing w:after="0"/>
        <w:rPr>
          <w:rFonts w:ascii="Verdana" w:hAnsi="Verdana"/>
          <w:b/>
          <w:bCs/>
          <w:color w:val="00000A"/>
          <w:sz w:val="18"/>
          <w:szCs w:val="18"/>
        </w:rPr>
      </w:pPr>
      <w:r>
        <w:rPr>
          <w:rFonts w:ascii="Verdana" w:eastAsia="Arial Unicode MS" w:hAnsi="Verdana"/>
          <w:sz w:val="18"/>
          <w:szCs w:val="18"/>
        </w:rPr>
        <w:t xml:space="preserve">L’équipe candidate doit ainsi couvrir le spectre de qualifications et de compétences suivant : </w:t>
      </w:r>
    </w:p>
    <w:p w14:paraId="4890D686" w14:textId="77777777" w:rsidR="005A6764" w:rsidRDefault="005A6764">
      <w:pPr>
        <w:spacing w:after="0"/>
        <w:rPr>
          <w:rFonts w:ascii="Verdana" w:hAnsi="Verdana"/>
          <w:b/>
          <w:bCs/>
          <w:color w:val="00000A"/>
          <w:sz w:val="18"/>
          <w:szCs w:val="18"/>
        </w:rPr>
      </w:pPr>
    </w:p>
    <w:p w14:paraId="7782A938" w14:textId="77777777" w:rsidR="005A6764" w:rsidRDefault="001A5BAC">
      <w:pPr>
        <w:spacing w:after="0"/>
        <w:rPr>
          <w:rFonts w:ascii="Verdana" w:hAnsi="Verdana"/>
          <w:b/>
          <w:bCs/>
          <w:color w:val="00000A"/>
          <w:sz w:val="18"/>
          <w:szCs w:val="18"/>
        </w:rPr>
      </w:pPr>
      <w:r>
        <w:rPr>
          <w:rFonts w:ascii="Verdana" w:hAnsi="Verdana"/>
          <w:b/>
          <w:bCs/>
          <w:color w:val="00000A"/>
          <w:sz w:val="18"/>
          <w:szCs w:val="18"/>
        </w:rPr>
        <w:t>Qualifications et expérience</w:t>
      </w:r>
    </w:p>
    <w:p w14:paraId="6AA2C1AD" w14:textId="77777777" w:rsidR="005A6764" w:rsidRDefault="001A5BAC">
      <w:pPr>
        <w:numPr>
          <w:ilvl w:val="0"/>
          <w:numId w:val="22"/>
        </w:numPr>
        <w:tabs>
          <w:tab w:val="clear" w:pos="9923"/>
        </w:tabs>
        <w:spacing w:after="0"/>
        <w:contextualSpacing/>
        <w:rPr>
          <w:rFonts w:ascii="Verdana" w:hAnsi="Verdana"/>
          <w:sz w:val="18"/>
          <w:szCs w:val="18"/>
        </w:rPr>
      </w:pPr>
      <w:r>
        <w:rPr>
          <w:rFonts w:ascii="Verdana" w:hAnsi="Verdana"/>
          <w:sz w:val="18"/>
          <w:szCs w:val="18"/>
        </w:rPr>
        <w:t>Titulaire d’un bac +5 dans un domaine pertinent à la mission : agronomie, agroéconomie, sociologie rurale, ingénierie et évaluation de projet, suivi et évaluation ; ou tout domaine approprié</w:t>
      </w:r>
    </w:p>
    <w:p w14:paraId="00ECFF44"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Expérience en évaluation de projets de développement, notamment dans les thématiques abordées par le projet (au moins 8 ans) et/ou dans l’élaboration de systèmes de suivi, d’évaluation et de capitalisation (au moins 8 ans) ;</w:t>
      </w:r>
    </w:p>
    <w:p w14:paraId="1F097905" w14:textId="77777777" w:rsidR="005A6764" w:rsidRDefault="001A5BAC">
      <w:pPr>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Expérience dans l’application et l’évaluation des critères d’évaluation CAD de l’OCDE ; </w:t>
      </w:r>
    </w:p>
    <w:p w14:paraId="497479D4" w14:textId="77777777" w:rsidR="005A6764" w:rsidRDefault="001A5BAC">
      <w:pPr>
        <w:numPr>
          <w:ilvl w:val="0"/>
          <w:numId w:val="22"/>
        </w:numPr>
        <w:tabs>
          <w:tab w:val="clear" w:pos="9923"/>
        </w:tabs>
        <w:spacing w:after="0" w:line="360" w:lineRule="auto"/>
        <w:contextualSpacing/>
        <w:rPr>
          <w:rFonts w:ascii="Verdana" w:hAnsi="Verdana"/>
          <w:sz w:val="18"/>
          <w:szCs w:val="18"/>
        </w:rPr>
      </w:pPr>
      <w:r>
        <w:rPr>
          <w:rFonts w:ascii="Verdana" w:hAnsi="Verdana"/>
          <w:sz w:val="18"/>
          <w:szCs w:val="18"/>
        </w:rPr>
        <w:t xml:space="preserve">Expérience en capitalisation de projets de développement (au moins 5 ans) ; </w:t>
      </w:r>
    </w:p>
    <w:p w14:paraId="14728429"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Expertise (15 ans d’expérience) dans l’évaluation / capitalisation de projets sur le développement rural, le genre et l’agriculture serait nécessaire ;  </w:t>
      </w:r>
    </w:p>
    <w:p w14:paraId="0844D54A"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Expertise dans l’évaluation sensible au genre  </w:t>
      </w:r>
    </w:p>
    <w:p w14:paraId="53B73ACB"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Expérience de coordination multi-parties prenantes : administrations, agences publiques, organisations internationales, etc (au moins 8 ans) ; </w:t>
      </w:r>
    </w:p>
    <w:p w14:paraId="37575F74"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Expérience en matière d’animation et facilitation d’ateliers multi-parties prenantes sur des sujets complexes ; </w:t>
      </w:r>
    </w:p>
    <w:p w14:paraId="2DF5B996"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Une expérience dans des projets similaires ou des connaissances en gestion de projet financé par l’AFD serait un atoût ;</w:t>
      </w:r>
    </w:p>
    <w:p w14:paraId="46DD7E2B"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Très bonne connaissance du contexte tunisien.</w:t>
      </w:r>
    </w:p>
    <w:p w14:paraId="3A3E06D2" w14:textId="77777777" w:rsidR="005A6764" w:rsidRDefault="005A6764" w:rsidP="000F615B">
      <w:pPr>
        <w:pStyle w:val="Paragraphedeliste"/>
        <w:numPr>
          <w:ilvl w:val="0"/>
          <w:numId w:val="0"/>
        </w:numPr>
        <w:tabs>
          <w:tab w:val="clear" w:pos="9923"/>
          <w:tab w:val="left" w:pos="720"/>
        </w:tabs>
        <w:spacing w:after="0"/>
        <w:ind w:left="720"/>
        <w:contextualSpacing/>
        <w:rPr>
          <w:rFonts w:ascii="Verdana" w:hAnsi="Verdana"/>
          <w:sz w:val="18"/>
          <w:szCs w:val="18"/>
        </w:rPr>
      </w:pPr>
    </w:p>
    <w:p w14:paraId="78987FE6" w14:textId="77777777" w:rsidR="005A6764" w:rsidRDefault="001A5BAC">
      <w:pPr>
        <w:spacing w:after="0"/>
        <w:rPr>
          <w:rFonts w:ascii="Verdana" w:hAnsi="Verdana"/>
          <w:sz w:val="18"/>
          <w:szCs w:val="18"/>
        </w:rPr>
      </w:pPr>
      <w:r>
        <w:rPr>
          <w:rFonts w:ascii="Verdana" w:hAnsi="Verdana"/>
          <w:b/>
          <w:bCs/>
          <w:color w:val="00000A"/>
          <w:sz w:val="18"/>
          <w:szCs w:val="18"/>
        </w:rPr>
        <w:lastRenderedPageBreak/>
        <w:t xml:space="preserve">Compétences métier (collecte et analyse de données) </w:t>
      </w:r>
    </w:p>
    <w:p w14:paraId="0D6FA40D"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Excellente connaissance des dispositifs d’évaluation et de capitalisation de programmes et projets de coopération internationale ; </w:t>
      </w:r>
    </w:p>
    <w:p w14:paraId="0EF54631"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Excellente capacités de collecte et d’analyse de données quantitatives et qualitatives ; </w:t>
      </w:r>
    </w:p>
    <w:p w14:paraId="72927381"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Bonne connaissance de l’approche du changement ; </w:t>
      </w:r>
    </w:p>
    <w:p w14:paraId="7766146B"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Excellente capacités en analyse de relations partenariales ; </w:t>
      </w:r>
    </w:p>
    <w:p w14:paraId="222A571E"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Expérience en gestion et protection des données.  </w:t>
      </w:r>
    </w:p>
    <w:p w14:paraId="4D5CD252" w14:textId="77777777" w:rsidR="005A6764" w:rsidRDefault="005A6764">
      <w:pPr>
        <w:pStyle w:val="Paragraphedeliste"/>
        <w:numPr>
          <w:ilvl w:val="0"/>
          <w:numId w:val="0"/>
        </w:numPr>
        <w:spacing w:after="0"/>
        <w:ind w:left="1429"/>
        <w:rPr>
          <w:rFonts w:ascii="Verdana" w:hAnsi="Verdana"/>
          <w:sz w:val="18"/>
          <w:szCs w:val="18"/>
        </w:rPr>
      </w:pPr>
    </w:p>
    <w:p w14:paraId="7CFD6502" w14:textId="77777777" w:rsidR="005A6764" w:rsidRDefault="001A5BAC">
      <w:pPr>
        <w:spacing w:after="0"/>
        <w:rPr>
          <w:rFonts w:ascii="Verdana" w:hAnsi="Verdana"/>
          <w:b/>
          <w:bCs/>
          <w:color w:val="00000A"/>
          <w:sz w:val="18"/>
          <w:szCs w:val="18"/>
        </w:rPr>
      </w:pPr>
      <w:r>
        <w:rPr>
          <w:rFonts w:ascii="Verdana" w:hAnsi="Verdana"/>
          <w:b/>
          <w:bCs/>
          <w:color w:val="00000A"/>
          <w:sz w:val="18"/>
          <w:szCs w:val="18"/>
        </w:rPr>
        <w:t>Compétences métier (démarche participative, co construction, diffusion et valorisation, genre)</w:t>
      </w:r>
    </w:p>
    <w:p w14:paraId="2018FA09"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Compétences en ingénierie pédagogique, y compris capacités à créer et déployer des techniques d’animation interactives et faisant appel à l’intelligence collective ;</w:t>
      </w:r>
    </w:p>
    <w:p w14:paraId="793CEBEE"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Capitalisation et conception de matériel didactique ; </w:t>
      </w:r>
    </w:p>
    <w:p w14:paraId="3134004C" w14:textId="77777777" w:rsidR="005A6764" w:rsidRDefault="001A5BAC">
      <w:pPr>
        <w:pStyle w:val="Paragraphedeliste"/>
        <w:numPr>
          <w:ilvl w:val="0"/>
          <w:numId w:val="22"/>
        </w:numPr>
        <w:spacing w:after="0"/>
        <w:rPr>
          <w:rFonts w:ascii="Verdana" w:hAnsi="Verdana"/>
          <w:sz w:val="18"/>
          <w:szCs w:val="18"/>
        </w:rPr>
      </w:pPr>
      <w:r>
        <w:rPr>
          <w:rFonts w:ascii="Verdana" w:hAnsi="Verdana"/>
          <w:sz w:val="18"/>
          <w:szCs w:val="18"/>
        </w:rPr>
        <w:t xml:space="preserve">Aisance dans la mise en forme et la valorisation de livrables, avec une attention à la clarté, à l’accessibilité des messages et l’attractivité des supports pour en faciliter la diffusion et l’appropriation, selon le public ciblé ; </w:t>
      </w:r>
    </w:p>
    <w:p w14:paraId="32FC40BF" w14:textId="77777777" w:rsidR="005A6764" w:rsidRDefault="001A5BAC">
      <w:pPr>
        <w:pStyle w:val="Paragraphedeliste"/>
        <w:numPr>
          <w:ilvl w:val="0"/>
          <w:numId w:val="22"/>
        </w:numPr>
        <w:spacing w:after="0"/>
        <w:rPr>
          <w:rFonts w:ascii="Verdana" w:hAnsi="Verdana"/>
          <w:sz w:val="18"/>
          <w:szCs w:val="18"/>
        </w:rPr>
      </w:pPr>
      <w:r>
        <w:rPr>
          <w:rFonts w:ascii="Verdana" w:hAnsi="Verdana"/>
          <w:sz w:val="18"/>
          <w:szCs w:val="18"/>
        </w:rPr>
        <w:t>Connaissance avérée des questions sociales et liées à l’égalité des genres  et capacité à les mobiliser dans le cadre de la présente mission.</w:t>
      </w:r>
    </w:p>
    <w:p w14:paraId="124CB0C3" w14:textId="77777777" w:rsidR="005A6764" w:rsidRDefault="005A6764">
      <w:pPr>
        <w:pStyle w:val="Paragraphedeliste"/>
        <w:numPr>
          <w:ilvl w:val="0"/>
          <w:numId w:val="0"/>
        </w:numPr>
        <w:tabs>
          <w:tab w:val="left" w:pos="720"/>
        </w:tabs>
        <w:spacing w:after="0"/>
        <w:ind w:left="720"/>
        <w:rPr>
          <w:rFonts w:ascii="Verdana" w:hAnsi="Verdana"/>
          <w:sz w:val="18"/>
          <w:szCs w:val="18"/>
        </w:rPr>
      </w:pPr>
    </w:p>
    <w:p w14:paraId="2325E65C" w14:textId="77777777" w:rsidR="005A6764" w:rsidRDefault="001A5BAC">
      <w:pPr>
        <w:spacing w:after="0"/>
        <w:rPr>
          <w:rFonts w:ascii="Verdana" w:hAnsi="Verdana"/>
          <w:b/>
          <w:bCs/>
          <w:color w:val="00000A"/>
          <w:sz w:val="18"/>
          <w:szCs w:val="18"/>
        </w:rPr>
      </w:pPr>
      <w:r>
        <w:rPr>
          <w:rFonts w:ascii="Verdana" w:hAnsi="Verdana"/>
          <w:b/>
          <w:bCs/>
          <w:color w:val="00000A"/>
          <w:sz w:val="18"/>
          <w:szCs w:val="18"/>
        </w:rPr>
        <w:t xml:space="preserve">Compétences organisationnelles et communicationnelles </w:t>
      </w:r>
    </w:p>
    <w:p w14:paraId="00030FC6"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Excellentes qualités de communication et d’organisation ; </w:t>
      </w:r>
    </w:p>
    <w:p w14:paraId="1080C2D3"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Forte capacité à travailler en équipe, excellent relationnel dans un contexte multiculturel, flexibilité, sens de l’organisation et réactivité. </w:t>
      </w:r>
    </w:p>
    <w:p w14:paraId="36BECC5B" w14:textId="77777777" w:rsidR="005A6764" w:rsidRDefault="001A5BAC">
      <w:pPr>
        <w:spacing w:after="0"/>
        <w:rPr>
          <w:rFonts w:ascii="Verdana" w:hAnsi="Verdana"/>
          <w:b/>
          <w:bCs/>
          <w:color w:val="00000A"/>
          <w:sz w:val="18"/>
          <w:szCs w:val="18"/>
        </w:rPr>
      </w:pPr>
      <w:r>
        <w:rPr>
          <w:rFonts w:ascii="Verdana" w:hAnsi="Verdana"/>
          <w:b/>
          <w:bCs/>
          <w:color w:val="00000A"/>
          <w:sz w:val="18"/>
          <w:szCs w:val="18"/>
        </w:rPr>
        <w:t>Compétences linguistiques :</w:t>
      </w:r>
    </w:p>
    <w:p w14:paraId="50B28D19"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Excellente maîtrise du français, écrit et parlé (bonnes capacités de rédaction, de synthèse et d’analyse…) ;</w:t>
      </w:r>
    </w:p>
    <w:p w14:paraId="6CDBC58E" w14:textId="77777777" w:rsidR="005A6764" w:rsidRDefault="001A5BAC">
      <w:pPr>
        <w:pStyle w:val="Paragraphedeliste"/>
        <w:numPr>
          <w:ilvl w:val="0"/>
          <w:numId w:val="22"/>
        </w:numPr>
        <w:tabs>
          <w:tab w:val="clear" w:pos="9923"/>
        </w:tabs>
        <w:spacing w:after="0"/>
        <w:contextualSpacing/>
        <w:rPr>
          <w:rFonts w:ascii="Verdana" w:hAnsi="Verdana"/>
          <w:sz w:val="18"/>
          <w:szCs w:val="18"/>
        </w:rPr>
      </w:pPr>
      <w:r>
        <w:rPr>
          <w:rFonts w:ascii="Verdana" w:hAnsi="Verdana"/>
          <w:sz w:val="18"/>
          <w:szCs w:val="18"/>
        </w:rPr>
        <w:t xml:space="preserve">Maîtrise de l’arabe est un  nécessaire. </w:t>
      </w:r>
    </w:p>
    <w:p w14:paraId="4636D1BF" w14:textId="77777777" w:rsidR="005A6764" w:rsidRDefault="005A6764">
      <w:pPr>
        <w:spacing w:after="0"/>
        <w:contextualSpacing/>
        <w:rPr>
          <w:rFonts w:ascii="Verdana" w:hAnsi="Verdana"/>
          <w:color w:val="1A6166"/>
          <w:sz w:val="18"/>
          <w:szCs w:val="18"/>
        </w:rPr>
      </w:pPr>
    </w:p>
    <w:p w14:paraId="40195B49" w14:textId="77777777" w:rsidR="005A6764" w:rsidRDefault="001A5BAC">
      <w:pPr>
        <w:pStyle w:val="Titre3"/>
        <w:spacing w:before="0" w:after="0"/>
        <w:rPr>
          <w:rFonts w:ascii="Verdana" w:eastAsia="Arial Unicode MS" w:hAnsi="Verdana" w:cs="Arial"/>
          <w:i w:val="0"/>
          <w:color w:val="1A6166"/>
          <w:sz w:val="18"/>
          <w:szCs w:val="18"/>
        </w:rPr>
      </w:pPr>
      <w:r>
        <w:rPr>
          <w:rFonts w:ascii="Verdana" w:eastAsia="Arial Unicode MS" w:hAnsi="Verdana" w:cs="Arial"/>
          <w:i w:val="0"/>
          <w:color w:val="1A6166"/>
          <w:sz w:val="18"/>
          <w:szCs w:val="18"/>
        </w:rPr>
        <w:t xml:space="preserve">Organisation attendue de l’équipe </w:t>
      </w:r>
    </w:p>
    <w:p w14:paraId="27CFE3A0" w14:textId="77777777" w:rsidR="005A6764" w:rsidRDefault="001A5BAC">
      <w:pPr>
        <w:tabs>
          <w:tab w:val="left" w:pos="1440"/>
        </w:tabs>
        <w:spacing w:after="0"/>
        <w:rPr>
          <w:rFonts w:ascii="Verdana" w:hAnsi="Verdana"/>
          <w:sz w:val="18"/>
          <w:szCs w:val="18"/>
        </w:rPr>
      </w:pPr>
      <w:r>
        <w:rPr>
          <w:rFonts w:ascii="Verdana" w:eastAsia="Arial Unicode MS" w:hAnsi="Verdana"/>
          <w:sz w:val="18"/>
          <w:szCs w:val="18"/>
          <w:u w:val="single"/>
        </w:rPr>
        <w:t>Un.e coordinateur.rice principal.e devra être désigné.e,</w:t>
      </w:r>
      <w:r>
        <w:rPr>
          <w:rFonts w:ascii="Verdana" w:eastAsia="Arial Unicode MS" w:hAnsi="Verdana"/>
          <w:sz w:val="18"/>
          <w:szCs w:val="18"/>
        </w:rPr>
        <w:t xml:space="preserve"> et les tâches pour chaque membre du consortium devront être précisées ainsi que les modalités de coordination entre chaque entité du consortium, le cas échéant, en particulier si elles sont situées dans deux pays différents (voir Partie 7.2). Cela sera discuté et approuvé lors de la réunion de lancement.</w:t>
      </w:r>
      <w:r>
        <w:rPr>
          <w:rFonts w:ascii="Verdana" w:hAnsi="Verdana"/>
          <w:sz w:val="18"/>
          <w:szCs w:val="18"/>
        </w:rPr>
        <w:t xml:space="preserve"> </w:t>
      </w:r>
    </w:p>
    <w:p w14:paraId="6D5C3E60" w14:textId="77777777" w:rsidR="005A6764" w:rsidRDefault="005A6764">
      <w:pPr>
        <w:tabs>
          <w:tab w:val="left" w:pos="1440"/>
        </w:tabs>
        <w:spacing w:after="0"/>
        <w:rPr>
          <w:rFonts w:ascii="Verdana" w:hAnsi="Verdana"/>
          <w:sz w:val="18"/>
          <w:szCs w:val="18"/>
        </w:rPr>
      </w:pPr>
    </w:p>
    <w:p w14:paraId="06D1CD22" w14:textId="77777777" w:rsidR="005A6764" w:rsidRDefault="001A5BAC">
      <w:pPr>
        <w:tabs>
          <w:tab w:val="left" w:pos="1440"/>
        </w:tabs>
        <w:spacing w:after="0"/>
        <w:rPr>
          <w:rFonts w:ascii="Verdana" w:eastAsia="Arial Unicode MS" w:hAnsi="Verdana"/>
          <w:iCs w:val="0"/>
          <w:sz w:val="18"/>
          <w:szCs w:val="18"/>
        </w:rPr>
      </w:pPr>
      <w:r>
        <w:rPr>
          <w:rFonts w:ascii="Verdana" w:eastAsia="Arial Unicode MS" w:hAnsi="Verdana"/>
          <w:sz w:val="18"/>
          <w:szCs w:val="18"/>
        </w:rPr>
        <w:t>En cas de tout changement souhaité de l’équipe évaluatrice au cours de la mission, Expertise France devra en être informée, et les raisons de ce changement devront être dûment justifiées.</w:t>
      </w:r>
    </w:p>
    <w:p w14:paraId="39B74654" w14:textId="77777777" w:rsidR="005A6764" w:rsidRDefault="005A6764">
      <w:pPr>
        <w:spacing w:after="0"/>
        <w:rPr>
          <w:rFonts w:ascii="Verdana" w:hAnsi="Verdana"/>
          <w:sz w:val="18"/>
          <w:szCs w:val="18"/>
        </w:rPr>
      </w:pPr>
    </w:p>
    <w:p w14:paraId="4711C81A" w14:textId="77777777" w:rsidR="005A6764" w:rsidRDefault="001A5BAC">
      <w:pPr>
        <w:pStyle w:val="Titre2"/>
        <w:spacing w:after="0" w:line="240" w:lineRule="auto"/>
        <w:rPr>
          <w:rFonts w:ascii="Verdana" w:hAnsi="Verdana"/>
          <w:sz w:val="18"/>
          <w:szCs w:val="18"/>
        </w:rPr>
      </w:pPr>
      <w:r>
        <w:rPr>
          <w:rFonts w:ascii="Verdana" w:hAnsi="Verdana"/>
          <w:sz w:val="18"/>
          <w:szCs w:val="18"/>
        </w:rPr>
        <w:t>Contenu des offres</w:t>
      </w:r>
    </w:p>
    <w:p w14:paraId="10366125" w14:textId="77777777" w:rsidR="005A6764" w:rsidRDefault="005A6764">
      <w:pPr>
        <w:spacing w:after="0"/>
        <w:rPr>
          <w:rFonts w:ascii="Verdana" w:hAnsi="Verdana"/>
          <w:sz w:val="18"/>
          <w:szCs w:val="18"/>
        </w:rPr>
      </w:pPr>
    </w:p>
    <w:p w14:paraId="113977CD" w14:textId="77777777" w:rsidR="005A6764" w:rsidRDefault="001A5BAC">
      <w:pPr>
        <w:spacing w:after="0"/>
        <w:rPr>
          <w:rFonts w:ascii="Verdana" w:hAnsi="Verdana"/>
          <w:i w:val="0"/>
          <w:iCs w:val="0"/>
          <w:sz w:val="18"/>
          <w:szCs w:val="18"/>
        </w:rPr>
      </w:pPr>
      <w:r>
        <w:rPr>
          <w:rFonts w:ascii="Verdana" w:hAnsi="Verdana"/>
          <w:i w:val="0"/>
          <w:iCs w:val="0"/>
          <w:sz w:val="18"/>
          <w:szCs w:val="18"/>
        </w:rPr>
        <w:t xml:space="preserve">Les offres devront inclure : </w:t>
      </w:r>
    </w:p>
    <w:p w14:paraId="64B59F27" w14:textId="77777777" w:rsidR="003A44BC" w:rsidRPr="00533A65" w:rsidRDefault="003A44BC" w:rsidP="00533A65">
      <w:pPr>
        <w:pStyle w:val="Paragraphedeliste"/>
        <w:numPr>
          <w:ilvl w:val="0"/>
          <w:numId w:val="30"/>
        </w:numPr>
        <w:spacing w:after="0"/>
        <w:rPr>
          <w:rFonts w:ascii="Verdana" w:hAnsi="Verdana" w:hint="eastAsia"/>
          <w:i w:val="0"/>
          <w:iCs w:val="0"/>
          <w:sz w:val="18"/>
          <w:szCs w:val="18"/>
        </w:rPr>
      </w:pPr>
      <w:r w:rsidRPr="00533A65">
        <w:rPr>
          <w:rFonts w:ascii="Verdana" w:hAnsi="Verdana" w:hint="eastAsia"/>
          <w:i w:val="0"/>
          <w:iCs w:val="0"/>
          <w:sz w:val="18"/>
          <w:szCs w:val="18"/>
        </w:rPr>
        <w:t>Justification d</w:t>
      </w:r>
      <w:r w:rsidRPr="00533A65">
        <w:rPr>
          <w:rFonts w:ascii="Verdana" w:hAnsi="Verdana" w:hint="eastAsia"/>
          <w:i w:val="0"/>
          <w:iCs w:val="0"/>
          <w:sz w:val="18"/>
          <w:szCs w:val="18"/>
        </w:rPr>
        <w:t>’</w:t>
      </w:r>
      <w:r w:rsidRPr="00533A65">
        <w:rPr>
          <w:rFonts w:ascii="Verdana" w:hAnsi="Verdana" w:hint="eastAsia"/>
          <w:i w:val="0"/>
          <w:iCs w:val="0"/>
          <w:sz w:val="18"/>
          <w:szCs w:val="18"/>
        </w:rPr>
        <w:t xml:space="preserve">anregistrement au registre national des entreprises (RNE, K-bis ou </w:t>
      </w:r>
      <w:r w:rsidRPr="00533A65">
        <w:rPr>
          <w:rFonts w:ascii="Verdana" w:hAnsi="Verdana" w:hint="cs"/>
          <w:i w:val="0"/>
          <w:iCs w:val="0"/>
          <w:sz w:val="18"/>
          <w:szCs w:val="18"/>
        </w:rPr>
        <w:t>é</w:t>
      </w:r>
      <w:r w:rsidRPr="00533A65">
        <w:rPr>
          <w:rFonts w:ascii="Verdana" w:hAnsi="Verdana"/>
          <w:i w:val="0"/>
          <w:iCs w:val="0"/>
          <w:sz w:val="18"/>
          <w:szCs w:val="18"/>
        </w:rPr>
        <w:t>quivalent)</w:t>
      </w:r>
    </w:p>
    <w:p w14:paraId="26A79767" w14:textId="77777777" w:rsidR="003A44BC" w:rsidRPr="00533A65" w:rsidRDefault="003A44BC" w:rsidP="00533A65">
      <w:pPr>
        <w:pStyle w:val="Paragraphedeliste"/>
        <w:numPr>
          <w:ilvl w:val="0"/>
          <w:numId w:val="30"/>
        </w:numPr>
        <w:spacing w:after="0"/>
        <w:rPr>
          <w:rFonts w:ascii="Verdana" w:hAnsi="Verdana" w:hint="eastAsia"/>
          <w:i w:val="0"/>
          <w:iCs w:val="0"/>
          <w:sz w:val="18"/>
          <w:szCs w:val="18"/>
        </w:rPr>
      </w:pPr>
      <w:r w:rsidRPr="00533A65">
        <w:rPr>
          <w:rFonts w:ascii="Verdana" w:hAnsi="Verdana" w:hint="eastAsia"/>
          <w:i w:val="0"/>
          <w:iCs w:val="0"/>
          <w:sz w:val="18"/>
          <w:szCs w:val="18"/>
        </w:rPr>
        <w:t xml:space="preserve">Patente pour les prestaires Tunisien (Carte </w:t>
      </w:r>
      <w:r w:rsidRPr="00533A65">
        <w:rPr>
          <w:rFonts w:ascii="Verdana" w:hAnsi="Verdana"/>
          <w:i w:val="0"/>
          <w:iCs w:val="0"/>
          <w:sz w:val="18"/>
          <w:szCs w:val="18"/>
        </w:rPr>
        <w:t>d</w:t>
      </w:r>
      <w:r w:rsidRPr="00533A65">
        <w:rPr>
          <w:rFonts w:ascii="Verdana" w:hAnsi="Verdana" w:hint="eastAsia"/>
          <w:i w:val="0"/>
          <w:iCs w:val="0"/>
          <w:sz w:val="18"/>
          <w:szCs w:val="18"/>
        </w:rPr>
        <w:t>’</w:t>
      </w:r>
      <w:r w:rsidRPr="00533A65">
        <w:rPr>
          <w:rFonts w:ascii="Verdana" w:hAnsi="Verdana"/>
          <w:i w:val="0"/>
          <w:iCs w:val="0"/>
          <w:sz w:val="18"/>
          <w:szCs w:val="18"/>
        </w:rPr>
        <w:t>identit</w:t>
      </w:r>
      <w:r w:rsidRPr="00533A65">
        <w:rPr>
          <w:rFonts w:ascii="Verdana" w:hAnsi="Verdana" w:hint="cs"/>
          <w:i w:val="0"/>
          <w:iCs w:val="0"/>
          <w:sz w:val="18"/>
          <w:szCs w:val="18"/>
        </w:rPr>
        <w:t>é</w:t>
      </w:r>
      <w:r w:rsidRPr="00533A65">
        <w:rPr>
          <w:rFonts w:ascii="Verdana" w:hAnsi="Verdana" w:hint="eastAsia"/>
          <w:i w:val="0"/>
          <w:iCs w:val="0"/>
          <w:sz w:val="18"/>
          <w:szCs w:val="18"/>
        </w:rPr>
        <w:t xml:space="preserve"> fiscale)</w:t>
      </w:r>
    </w:p>
    <w:p w14:paraId="0668040B" w14:textId="77777777" w:rsidR="005A6764" w:rsidRDefault="001A5BAC">
      <w:pPr>
        <w:pStyle w:val="Paragraphedeliste"/>
        <w:numPr>
          <w:ilvl w:val="0"/>
          <w:numId w:val="23"/>
        </w:numPr>
        <w:spacing w:after="0"/>
        <w:rPr>
          <w:rFonts w:ascii="Verdana" w:hAnsi="Verdana"/>
          <w:i w:val="0"/>
          <w:iCs w:val="0"/>
          <w:sz w:val="18"/>
          <w:szCs w:val="18"/>
        </w:rPr>
      </w:pPr>
      <w:r>
        <w:rPr>
          <w:rFonts w:ascii="Verdana" w:hAnsi="Verdana"/>
          <w:i w:val="0"/>
          <w:iCs w:val="0"/>
          <w:sz w:val="18"/>
          <w:szCs w:val="18"/>
        </w:rPr>
        <w:t xml:space="preserve">Une offre technique : compréhension et inputs sur les éléments des termes de référence, méthodologie, composition de l’équipe, les CV et expériences similaires, ainsi que les éléments mentionnés dans ces termes de référence; </w:t>
      </w:r>
    </w:p>
    <w:p w14:paraId="5F6FC142" w14:textId="77777777" w:rsidR="005A6764" w:rsidRDefault="001A5BAC">
      <w:pPr>
        <w:pStyle w:val="Paragraphedeliste"/>
        <w:numPr>
          <w:ilvl w:val="0"/>
          <w:numId w:val="23"/>
        </w:numPr>
        <w:spacing w:after="0"/>
        <w:rPr>
          <w:rFonts w:ascii="Verdana" w:hAnsi="Verdana"/>
          <w:i w:val="0"/>
          <w:iCs w:val="0"/>
          <w:sz w:val="18"/>
          <w:szCs w:val="18"/>
        </w:rPr>
      </w:pPr>
      <w:r>
        <w:rPr>
          <w:rFonts w:ascii="Verdana" w:hAnsi="Verdana"/>
          <w:i w:val="0"/>
          <w:iCs w:val="0"/>
          <w:sz w:val="18"/>
          <w:szCs w:val="18"/>
        </w:rPr>
        <w:t>Une offre financière : budget global de la mission comprenant les éléments budgétaires suivants : coût journalier de chaque intervenant, décomposition des temps d’intervention par intervenant et par étape de travail, coûts annexes, frais de transport (international et local), frais logistiques, frais de traduction etc ; avec propositions de modalités de paiement.</w:t>
      </w:r>
    </w:p>
    <w:p w14:paraId="5D55E1B5" w14:textId="77777777" w:rsidR="005A6764" w:rsidRDefault="005A6764">
      <w:pPr>
        <w:pStyle w:val="Paragraphedeliste"/>
        <w:numPr>
          <w:ilvl w:val="0"/>
          <w:numId w:val="0"/>
        </w:numPr>
        <w:spacing w:after="0"/>
        <w:ind w:left="720"/>
        <w:rPr>
          <w:rFonts w:ascii="Verdana" w:hAnsi="Verdana"/>
          <w:sz w:val="18"/>
          <w:szCs w:val="18"/>
        </w:rPr>
      </w:pPr>
    </w:p>
    <w:p w14:paraId="42C0C9B3" w14:textId="77777777" w:rsidR="005A6764" w:rsidRDefault="001A5BAC">
      <w:pPr>
        <w:pStyle w:val="Titre2"/>
        <w:spacing w:after="0" w:line="240" w:lineRule="auto"/>
        <w:rPr>
          <w:rFonts w:ascii="Verdana" w:hAnsi="Verdana"/>
          <w:b/>
          <w:bCs/>
          <w:sz w:val="18"/>
          <w:szCs w:val="18"/>
        </w:rPr>
      </w:pPr>
      <w:r>
        <w:rPr>
          <w:rFonts w:ascii="Verdana" w:hAnsi="Verdana"/>
          <w:b/>
          <w:bCs/>
          <w:sz w:val="18"/>
          <w:szCs w:val="18"/>
        </w:rPr>
        <w:t>Envoi des offres</w:t>
      </w:r>
    </w:p>
    <w:p w14:paraId="7906B5E9" w14:textId="77777777" w:rsidR="005A6764" w:rsidRDefault="001A5BAC" w:rsidP="0040216F">
      <w:pPr>
        <w:rPr>
          <w:rFonts w:ascii="Verdana" w:hAnsi="Verdana"/>
          <w:b/>
          <w:bCs/>
          <w:i w:val="0"/>
          <w:iCs w:val="0"/>
          <w:sz w:val="18"/>
          <w:szCs w:val="18"/>
        </w:rPr>
      </w:pPr>
      <w:r>
        <w:rPr>
          <w:rFonts w:ascii="Verdana" w:hAnsi="Verdana"/>
          <w:b/>
          <w:bCs/>
          <w:i w:val="0"/>
          <w:iCs w:val="0"/>
          <w:sz w:val="18"/>
          <w:szCs w:val="18"/>
        </w:rPr>
        <w:t xml:space="preserve">Les offres devront être envoyées, en postulant à cette annonce, le </w:t>
      </w:r>
      <w:r w:rsidR="0040216F">
        <w:rPr>
          <w:rFonts w:ascii="Verdana" w:hAnsi="Verdana"/>
          <w:b/>
          <w:bCs/>
          <w:i w:val="0"/>
          <w:iCs w:val="0"/>
          <w:sz w:val="18"/>
          <w:szCs w:val="18"/>
        </w:rPr>
        <w:t>21</w:t>
      </w:r>
      <w:r>
        <w:rPr>
          <w:rFonts w:ascii="Verdana" w:hAnsi="Verdana"/>
          <w:b/>
          <w:bCs/>
          <w:i w:val="0"/>
          <w:iCs w:val="0"/>
          <w:sz w:val="18"/>
          <w:szCs w:val="18"/>
        </w:rPr>
        <w:t xml:space="preserve"> Aout 2025 jusqu’à 23 :59 (h Tunis).</w:t>
      </w:r>
    </w:p>
    <w:p w14:paraId="117D9C57" w14:textId="77777777" w:rsidR="005A6764" w:rsidRDefault="001A5BAC">
      <w:pPr>
        <w:pStyle w:val="Titre2"/>
        <w:spacing w:after="0" w:line="240" w:lineRule="auto"/>
        <w:rPr>
          <w:rFonts w:ascii="Verdana" w:hAnsi="Verdana"/>
          <w:sz w:val="18"/>
          <w:szCs w:val="18"/>
        </w:rPr>
      </w:pPr>
      <w:r>
        <w:rPr>
          <w:rFonts w:ascii="Verdana" w:hAnsi="Verdana"/>
          <w:sz w:val="18"/>
          <w:szCs w:val="18"/>
        </w:rPr>
        <w:t xml:space="preserve">Modalités d’évaluation des offres </w:t>
      </w:r>
    </w:p>
    <w:p w14:paraId="1AE37047" w14:textId="77777777" w:rsidR="005A6764" w:rsidRDefault="005A6764">
      <w:pPr>
        <w:rPr>
          <w:rFonts w:hint="eastAsia"/>
        </w:rPr>
      </w:pPr>
    </w:p>
    <w:p w14:paraId="0C44216D" w14:textId="33A3FDA8" w:rsidR="005A6764" w:rsidRDefault="001A5BAC" w:rsidP="003A44BC">
      <w:pPr>
        <w:spacing w:after="0"/>
        <w:rPr>
          <w:rFonts w:ascii="Verdana" w:hAnsi="Verdana"/>
          <w:i w:val="0"/>
          <w:iCs w:val="0"/>
          <w:sz w:val="18"/>
          <w:szCs w:val="18"/>
        </w:rPr>
      </w:pPr>
      <w:r>
        <w:rPr>
          <w:rFonts w:ascii="Verdana" w:hAnsi="Verdana"/>
          <w:i w:val="0"/>
          <w:iCs w:val="0"/>
          <w:sz w:val="18"/>
          <w:szCs w:val="18"/>
        </w:rPr>
        <w:t>Le projet sélectionnera l’offre qui présente le meilleur rapport qualité</w:t>
      </w:r>
      <w:bookmarkStart w:id="19" w:name="_GoBack"/>
      <w:bookmarkEnd w:id="19"/>
      <w:r>
        <w:rPr>
          <w:rFonts w:ascii="Verdana" w:hAnsi="Verdana"/>
          <w:i w:val="0"/>
          <w:iCs w:val="0"/>
          <w:sz w:val="18"/>
          <w:szCs w:val="18"/>
        </w:rPr>
        <w:t>/prix</w:t>
      </w:r>
      <w:r w:rsidR="003A44BC">
        <w:rPr>
          <w:rFonts w:ascii="Verdana" w:hAnsi="Verdana"/>
          <w:i w:val="0"/>
          <w:iCs w:val="0"/>
          <w:sz w:val="18"/>
          <w:szCs w:val="18"/>
        </w:rPr>
        <w:t>..</w:t>
      </w:r>
    </w:p>
    <w:p w14:paraId="2CC300FB" w14:textId="77777777" w:rsidR="005A6764" w:rsidRDefault="005A6764">
      <w:pPr>
        <w:spacing w:after="0"/>
        <w:rPr>
          <w:rFonts w:ascii="Verdana" w:hAnsi="Verdana"/>
          <w:sz w:val="18"/>
          <w:szCs w:val="18"/>
        </w:rPr>
      </w:pPr>
    </w:p>
    <w:p w14:paraId="5009615E" w14:textId="77777777" w:rsidR="005A6764" w:rsidRDefault="005A6764">
      <w:pPr>
        <w:spacing w:after="0"/>
        <w:rPr>
          <w:rFonts w:ascii="Verdana" w:hAnsi="Verdana"/>
          <w:sz w:val="18"/>
          <w:szCs w:val="18"/>
        </w:rPr>
      </w:pPr>
    </w:p>
    <w:p w14:paraId="12E9383B" w14:textId="77777777" w:rsidR="005A6764" w:rsidRDefault="005A6764">
      <w:pPr>
        <w:spacing w:after="0"/>
        <w:rPr>
          <w:rFonts w:ascii="Verdana" w:hAnsi="Verdana"/>
          <w:sz w:val="18"/>
          <w:szCs w:val="18"/>
        </w:rPr>
      </w:pPr>
    </w:p>
    <w:p w14:paraId="181EE430" w14:textId="77777777" w:rsidR="005A6764" w:rsidRDefault="001A5BAC">
      <w:pPr>
        <w:pStyle w:val="Titre1"/>
        <w:numPr>
          <w:ilvl w:val="0"/>
          <w:numId w:val="24"/>
        </w:numPr>
        <w:spacing w:after="0" w:line="240" w:lineRule="auto"/>
        <w:rPr>
          <w:rFonts w:ascii="Verdana" w:hAnsi="Verdana"/>
          <w:sz w:val="18"/>
          <w:szCs w:val="18"/>
        </w:rPr>
      </w:pPr>
      <w:bookmarkStart w:id="20" w:name="_Toc70668768"/>
      <w:r>
        <w:rPr>
          <w:rFonts w:ascii="Verdana" w:hAnsi="Verdana"/>
          <w:sz w:val="18"/>
          <w:szCs w:val="18"/>
        </w:rPr>
        <w:t>Annexes</w:t>
      </w:r>
      <w:bookmarkEnd w:id="20"/>
      <w:r>
        <w:rPr>
          <w:rFonts w:ascii="Verdana" w:hAnsi="Verdana"/>
          <w:sz w:val="18"/>
          <w:szCs w:val="18"/>
        </w:rPr>
        <w:t xml:space="preserve"> DES TERMES DE REFERENCE</w:t>
      </w:r>
    </w:p>
    <w:p w14:paraId="7424B41D" w14:textId="77777777" w:rsidR="00D030F7" w:rsidRDefault="00D030F7">
      <w:pPr>
        <w:pStyle w:val="puceEF"/>
        <w:numPr>
          <w:ilvl w:val="0"/>
          <w:numId w:val="0"/>
        </w:numPr>
        <w:spacing w:after="0"/>
        <w:ind w:left="709"/>
        <w:rPr>
          <w:rFonts w:ascii="Verdana" w:hAnsi="Verdana"/>
          <w:sz w:val="18"/>
          <w:szCs w:val="18"/>
          <w:lang w:eastAsia="fr-FR"/>
        </w:rPr>
      </w:pPr>
    </w:p>
    <w:p w14:paraId="3F1EC2F5" w14:textId="77777777" w:rsidR="005A6764" w:rsidRDefault="001A5BAC">
      <w:pPr>
        <w:pStyle w:val="puceEF"/>
        <w:numPr>
          <w:ilvl w:val="0"/>
          <w:numId w:val="0"/>
        </w:numPr>
        <w:spacing w:after="0"/>
        <w:ind w:left="709"/>
        <w:rPr>
          <w:rFonts w:ascii="Verdana" w:hAnsi="Verdana"/>
          <w:sz w:val="18"/>
          <w:szCs w:val="18"/>
          <w:lang w:eastAsia="fr-FR"/>
        </w:rPr>
      </w:pPr>
      <w:r>
        <w:rPr>
          <w:rFonts w:ascii="Verdana" w:hAnsi="Verdana"/>
          <w:sz w:val="18"/>
          <w:szCs w:val="18"/>
          <w:lang w:eastAsia="fr-FR"/>
        </w:rPr>
        <w:t>Cadre logique du projet évalué + Théorie de changement</w:t>
      </w:r>
    </w:p>
    <w:p w14:paraId="1A2A05C0" w14:textId="77777777" w:rsidR="005A6764" w:rsidRDefault="005A6764">
      <w:pPr>
        <w:pStyle w:val="puceEF"/>
        <w:numPr>
          <w:ilvl w:val="0"/>
          <w:numId w:val="0"/>
        </w:numPr>
        <w:spacing w:after="0"/>
        <w:ind w:left="1080" w:hanging="360"/>
        <w:rPr>
          <w:rFonts w:ascii="Verdana" w:hAnsi="Verdana"/>
          <w:sz w:val="18"/>
          <w:szCs w:val="18"/>
          <w:lang w:eastAsia="fr-FR"/>
        </w:rPr>
      </w:pPr>
    </w:p>
    <w:sectPr w:rsidR="005A6764">
      <w:pgSz w:w="11900" w:h="16840"/>
      <w:pgMar w:top="1134" w:right="1127" w:bottom="1134" w:left="992" w:header="709" w:footer="59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32395" w14:textId="77777777" w:rsidR="007144C5" w:rsidRDefault="007144C5">
      <w:pPr>
        <w:spacing w:after="0"/>
        <w:rPr>
          <w:rFonts w:hint="eastAsia"/>
        </w:rPr>
      </w:pPr>
      <w:r>
        <w:separator/>
      </w:r>
    </w:p>
  </w:endnote>
  <w:endnote w:type="continuationSeparator" w:id="0">
    <w:p w14:paraId="5131CA89" w14:textId="77777777" w:rsidR="007144C5" w:rsidRDefault="007144C5">
      <w:pPr>
        <w:spacing w:after="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Italic">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Bold">
    <w:altName w:val="Verdana"/>
    <w:charset w:val="00"/>
    <w:family w:val="roman"/>
    <w:pitch w:val="default"/>
  </w:font>
  <w:font w:name="Verdana">
    <w:panose1 w:val="020B0604030504040204"/>
    <w:charset w:val="00"/>
    <w:family w:val="swiss"/>
    <w:pitch w:val="variable"/>
    <w:sig w:usb0="A00006FF" w:usb1="4000205B" w:usb2="00000010" w:usb3="00000000" w:csb0="0000019F" w:csb1="00000000"/>
  </w:font>
  <w:font w:name="MyriadPro-Regular-Identity-H">
    <w:altName w:val="Cambria"/>
    <w:charset w:val="00"/>
    <w:family w:val="roman"/>
    <w:pitch w:val="default"/>
  </w:font>
  <w:font w:name="Verdana-Italic">
    <w:altName w:val="Verdana"/>
    <w:charset w:val="00"/>
    <w:family w:val="roman"/>
    <w:pitch w:val="default"/>
  </w:font>
  <w:font w:name="Times New Roman (Corps CS)">
    <w:altName w:val="Times New Roman"/>
    <w:charset w:val="00"/>
    <w:family w:val="roman"/>
    <w:pitch w:val="default"/>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96E02" w14:textId="77777777" w:rsidR="007654DC" w:rsidRDefault="007654DC">
    <w:pPr>
      <w:pStyle w:val="Pieddepage"/>
      <w:rPr>
        <w:rStyle w:val="Numrodepage"/>
        <w:rFonts w:hint="eastAsia"/>
      </w:rPr>
    </w:pPr>
    <w:r>
      <w:rPr>
        <w:rStyle w:val="Numrodepage"/>
      </w:rPr>
      <w:fldChar w:fldCharType="begin"/>
    </w:r>
    <w:r>
      <w:rPr>
        <w:rStyle w:val="Numrodepage"/>
      </w:rPr>
      <w:instrText xml:space="preserve">PAGE  </w:instrText>
    </w:r>
    <w:r>
      <w:rPr>
        <w:rStyle w:val="Numrodepage"/>
      </w:rPr>
      <w:fldChar w:fldCharType="separate"/>
    </w:r>
    <w:r>
      <w:rPr>
        <w:rStyle w:val="Numrodepage"/>
      </w:rPr>
      <w:t>1</w:t>
    </w:r>
    <w:r>
      <w:rPr>
        <w:rStyle w:val="Numrodepage"/>
      </w:rPr>
      <w:fldChar w:fldCharType="end"/>
    </w:r>
  </w:p>
  <w:p w14:paraId="630E49F8" w14:textId="77777777" w:rsidR="007654DC" w:rsidRDefault="007654DC">
    <w:pPr>
      <w:pStyle w:val="Pieddepage"/>
      <w:rPr>
        <w:rFonts w:hint="eastAs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09156" w14:textId="7964EC3A" w:rsidR="007654DC" w:rsidRDefault="007654DC">
    <w:pPr>
      <w:pStyle w:val="Pieddepage"/>
      <w:rPr>
        <w:rFonts w:hint="eastAsia"/>
      </w:rPr>
    </w:pPr>
    <w:r>
      <w:rPr>
        <w:noProof/>
        <w:lang w:eastAsia="fr-FR"/>
      </w:rPr>
      <w:drawing>
        <wp:anchor distT="0" distB="0" distL="114300" distR="114300" simplePos="0" relativeHeight="251659776" behindDoc="0" locked="0" layoutInCell="1" allowOverlap="1" wp14:anchorId="00995BDC" wp14:editId="1665BA07">
          <wp:simplePos x="0" y="0"/>
          <wp:positionH relativeFrom="column">
            <wp:posOffset>2412365</wp:posOffset>
          </wp:positionH>
          <wp:positionV relativeFrom="paragraph">
            <wp:posOffset>-20320</wp:posOffset>
          </wp:positionV>
          <wp:extent cx="471170" cy="467995"/>
          <wp:effectExtent l="0" t="0" r="5080" b="825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
                    <a:extLst>
                      <a:ext uri="{28A0092B-C50C-407E-A947-70E740481C1C}">
                        <a14:useLocalDpi xmlns:a14="http://schemas.microsoft.com/office/drawing/2010/main" val="0"/>
                      </a:ext>
                    </a:extLst>
                  </a:blip>
                  <a:srcRect l="16298" t="10516" r="13649" b="15858"/>
                  <a:stretch>
                    <a:fillRect/>
                  </a:stretch>
                </pic:blipFill>
                <pic:spPr>
                  <a:xfrm>
                    <a:off x="0" y="0"/>
                    <a:ext cx="471170" cy="467995"/>
                  </a:xfrm>
                  <a:prstGeom prst="rect">
                    <a:avLst/>
                  </a:prstGeom>
                  <a:ln>
                    <a:noFill/>
                  </a:ln>
                </pic:spPr>
              </pic:pic>
            </a:graphicData>
          </a:graphic>
        </wp:anchor>
      </w:drawing>
    </w:r>
    <w:r>
      <w:rPr>
        <w:noProof/>
        <w:lang w:eastAsia="fr-FR"/>
      </w:rPr>
      <w:drawing>
        <wp:anchor distT="0" distB="0" distL="114300" distR="114300" simplePos="0" relativeHeight="251657728" behindDoc="0" locked="0" layoutInCell="1" allowOverlap="1" wp14:anchorId="579E4D60" wp14:editId="6F0B2F01">
          <wp:simplePos x="0" y="0"/>
          <wp:positionH relativeFrom="column">
            <wp:posOffset>1821815</wp:posOffset>
          </wp:positionH>
          <wp:positionV relativeFrom="paragraph">
            <wp:posOffset>3810</wp:posOffset>
          </wp:positionV>
          <wp:extent cx="410210" cy="431800"/>
          <wp:effectExtent l="0" t="0" r="889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2">
                    <a:extLst>
                      <a:ext uri="{28A0092B-C50C-407E-A947-70E740481C1C}">
                        <a14:useLocalDpi xmlns:a14="http://schemas.microsoft.com/office/drawing/2010/main" val="0"/>
                      </a:ext>
                    </a:extLst>
                  </a:blip>
                  <a:srcRect l="5903" t="4514" r="7261" b="4115"/>
                  <a:stretch>
                    <a:fillRect/>
                  </a:stretch>
                </pic:blipFill>
                <pic:spPr>
                  <a:xfrm>
                    <a:off x="0" y="0"/>
                    <a:ext cx="410210" cy="431800"/>
                  </a:xfrm>
                  <a:prstGeom prst="rect">
                    <a:avLst/>
                  </a:prstGeom>
                  <a:ln>
                    <a:noFill/>
                  </a:ln>
                </pic:spPr>
              </pic:pic>
            </a:graphicData>
          </a:graphic>
        </wp:anchor>
      </w:drawing>
    </w:r>
    <w:r>
      <w:rPr>
        <w:rFonts w:ascii="Verdana" w:hAnsi="Verdana"/>
        <w:noProof/>
        <w:sz w:val="18"/>
        <w:szCs w:val="18"/>
        <w:lang w:eastAsia="fr-FR"/>
      </w:rPr>
      <w:drawing>
        <wp:anchor distT="0" distB="0" distL="114300" distR="114300" simplePos="0" relativeHeight="251655680" behindDoc="0" locked="0" layoutInCell="1" allowOverlap="1" wp14:anchorId="1B173AB1" wp14:editId="65335F8E">
          <wp:simplePos x="0" y="0"/>
          <wp:positionH relativeFrom="page">
            <wp:posOffset>1495425</wp:posOffset>
          </wp:positionH>
          <wp:positionV relativeFrom="paragraph">
            <wp:posOffset>3810</wp:posOffset>
          </wp:positionV>
          <wp:extent cx="854075" cy="325755"/>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3">
                    <a:extLst>
                      <a:ext uri="{28A0092B-C50C-407E-A947-70E740481C1C}">
                        <a14:useLocalDpi xmlns:a14="http://schemas.microsoft.com/office/drawing/2010/main" val="0"/>
                      </a:ext>
                    </a:extLst>
                  </a:blip>
                  <a:srcRect t="12262" b="12950"/>
                  <a:stretch>
                    <a:fillRect/>
                  </a:stretch>
                </pic:blipFill>
                <pic:spPr>
                  <a:xfrm>
                    <a:off x="0" y="0"/>
                    <a:ext cx="854075" cy="325755"/>
                  </a:xfrm>
                  <a:prstGeom prst="rect">
                    <a:avLst/>
                  </a:prstGeom>
                  <a:ln>
                    <a:noFill/>
                  </a:ln>
                </pic:spPr>
              </pic:pic>
            </a:graphicData>
          </a:graphic>
        </wp:anchor>
      </w:drawing>
    </w:r>
    <w:r>
      <w:rPr>
        <w:rFonts w:ascii="Verdana" w:hAnsi="Verdana"/>
        <w:noProof/>
        <w:sz w:val="18"/>
        <w:szCs w:val="18"/>
        <w:lang w:eastAsia="fr-FR"/>
      </w:rPr>
      <w:drawing>
        <wp:anchor distT="0" distB="0" distL="114300" distR="114300" simplePos="0" relativeHeight="251658752" behindDoc="0" locked="0" layoutInCell="1" allowOverlap="1" wp14:anchorId="7EE5C0D2" wp14:editId="4F232A41">
          <wp:simplePos x="0" y="0"/>
          <wp:positionH relativeFrom="margin">
            <wp:align>left</wp:align>
          </wp:positionH>
          <wp:positionV relativeFrom="paragraph">
            <wp:posOffset>4445</wp:posOffset>
          </wp:positionV>
          <wp:extent cx="787400" cy="34798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87400" cy="347980"/>
                  </a:xfrm>
                  <a:prstGeom prst="rect">
                    <a:avLst/>
                  </a:prstGeom>
                </pic:spPr>
              </pic:pic>
            </a:graphicData>
          </a:graphic>
        </wp:anchor>
      </w:drawing>
    </w:r>
    <w:r>
      <w:rPr>
        <w:noProof/>
        <w:lang w:eastAsia="fr-FR"/>
      </w:rPr>
      <mc:AlternateContent>
        <mc:Choice Requires="wps">
          <w:drawing>
            <wp:anchor distT="0" distB="0" distL="114300" distR="114300" simplePos="0" relativeHeight="251656704" behindDoc="1" locked="0" layoutInCell="1" allowOverlap="1" wp14:anchorId="1318E418" wp14:editId="3CF33673">
              <wp:simplePos x="0" y="0"/>
              <wp:positionH relativeFrom="column">
                <wp:posOffset>5456555</wp:posOffset>
              </wp:positionH>
              <wp:positionV relativeFrom="paragraph">
                <wp:posOffset>-116205</wp:posOffset>
              </wp:positionV>
              <wp:extent cx="447040" cy="447040"/>
              <wp:effectExtent l="0" t="0" r="10160" b="10160"/>
              <wp:wrapNone/>
              <wp:docPr id="26" name="Ellipse 26"/>
              <wp:cNvGraphicFramePr/>
              <a:graphic xmlns:a="http://schemas.openxmlformats.org/drawingml/2006/main">
                <a:graphicData uri="http://schemas.microsoft.com/office/word/2010/wordprocessingShape">
                  <wps:wsp>
                    <wps:cNvSpPr/>
                    <wps:spPr>
                      <a:xfrm>
                        <a:off x="0" y="0"/>
                        <a:ext cx="447040" cy="447040"/>
                      </a:xfrm>
                      <a:prstGeom prst="ellipse">
                        <a:avLst/>
                      </a:prstGeom>
                      <a:solidFill>
                        <a:srgbClr val="E9E4DE"/>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7CA96D" w14:textId="105BEC51" w:rsidR="007654DC" w:rsidRDefault="007654DC">
                          <w:pPr>
                            <w:pStyle w:val="Pieddepage"/>
                            <w:rPr>
                              <w:rStyle w:val="Numrodepage"/>
                              <w:rFonts w:hint="eastAsia"/>
                              <w:color w:val="004979"/>
                            </w:rPr>
                          </w:pPr>
                          <w:r>
                            <w:rPr>
                              <w:rStyle w:val="Numrodepage"/>
                              <w:color w:val="004979"/>
                            </w:rPr>
                            <w:fldChar w:fldCharType="begin"/>
                          </w:r>
                          <w:r>
                            <w:rPr>
                              <w:rStyle w:val="Numrodepage"/>
                              <w:color w:val="004979"/>
                            </w:rPr>
                            <w:instrText xml:space="preserve">PAGE  </w:instrText>
                          </w:r>
                          <w:r>
                            <w:rPr>
                              <w:rStyle w:val="Numrodepage"/>
                              <w:color w:val="004979"/>
                            </w:rPr>
                            <w:fldChar w:fldCharType="separate"/>
                          </w:r>
                          <w:r w:rsidR="00533A65">
                            <w:rPr>
                              <w:rStyle w:val="Numrodepage"/>
                              <w:rFonts w:hint="eastAsia"/>
                              <w:noProof/>
                              <w:color w:val="004979"/>
                            </w:rPr>
                            <w:t>2</w:t>
                          </w:r>
                          <w:r>
                            <w:rPr>
                              <w:rStyle w:val="Numrodepage"/>
                              <w:color w:val="004979"/>
                            </w:rPr>
                            <w:fldChar w:fldCharType="end"/>
                          </w:r>
                        </w:p>
                        <w:p w14:paraId="1E7C97A9" w14:textId="6FDF715E" w:rsidR="007654DC" w:rsidRDefault="007654DC">
                          <w:pPr>
                            <w:rPr>
                              <w:rFonts w:hint="eastAsia"/>
                            </w:rPr>
                          </w:pPr>
                          <w:r>
                            <w:t>1</w:t>
                          </w:r>
                          <w:r>
                            <w:fldChar w:fldCharType="begin"/>
                          </w:r>
                          <w:r>
                            <w:instrText>PAGE   \* MERGEFORMAT</w:instrText>
                          </w:r>
                          <w:r>
                            <w:fldChar w:fldCharType="separate"/>
                          </w:r>
                          <w:r w:rsidR="00533A65">
                            <w:rPr>
                              <w:rFonts w:hint="eastAsia"/>
                              <w:noProof/>
                            </w:rPr>
                            <w:t>2</w:t>
                          </w:r>
                          <w: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318E418" id="Ellipse 26" o:spid="_x0000_s1026" style="position:absolute;left:0;text-align:left;margin-left:429.65pt;margin-top:-9.15pt;width:35.2pt;height:35.2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" fillcolor="#e9e4de" stroked="f">
              <v:textbox>
                <w:txbxContent>
                  <w:p w14:paraId="597CA96D" w14:textId="105BEC51" w:rsidR="007654DC" w:rsidRDefault="007654DC">
                    <w:pPr>
                      <w:pStyle w:val="Pieddepage"/>
                      <w:rPr>
                        <w:rStyle w:val="Numrodepage"/>
                        <w:rFonts w:hint="eastAsia"/>
                        <w:color w:val="004979"/>
                      </w:rPr>
                    </w:pPr>
                    <w:r>
                      <w:rPr>
                        <w:rStyle w:val="Numrodepage"/>
                        <w:color w:val="004979"/>
                      </w:rPr>
                      <w:fldChar w:fldCharType="begin"/>
                    </w:r>
                    <w:r>
                      <w:rPr>
                        <w:rStyle w:val="Numrodepage"/>
                        <w:color w:val="004979"/>
                      </w:rPr>
                      <w:instrText xml:space="preserve">PAGE  </w:instrText>
                    </w:r>
                    <w:r>
                      <w:rPr>
                        <w:rStyle w:val="Numrodepage"/>
                        <w:color w:val="004979"/>
                      </w:rPr>
                      <w:fldChar w:fldCharType="separate"/>
                    </w:r>
                    <w:r w:rsidR="00533A65">
                      <w:rPr>
                        <w:rStyle w:val="Numrodepage"/>
                        <w:rFonts w:hint="eastAsia"/>
                        <w:noProof/>
                        <w:color w:val="004979"/>
                      </w:rPr>
                      <w:t>2</w:t>
                    </w:r>
                    <w:r>
                      <w:rPr>
                        <w:rStyle w:val="Numrodepage"/>
                        <w:color w:val="004979"/>
                      </w:rPr>
                      <w:fldChar w:fldCharType="end"/>
                    </w:r>
                  </w:p>
                  <w:p w14:paraId="1E7C97A9" w14:textId="6FDF715E" w:rsidR="007654DC" w:rsidRDefault="007654DC">
                    <w:pPr>
                      <w:rPr>
                        <w:rFonts w:hint="eastAsia"/>
                      </w:rPr>
                    </w:pPr>
                    <w:r>
                      <w:t>1</w:t>
                    </w:r>
                    <w:r>
                      <w:fldChar w:fldCharType="begin"/>
                    </w:r>
                    <w:r>
                      <w:instrText>PAGE   \* MERGEFORMAT</w:instrText>
                    </w:r>
                    <w:r>
                      <w:fldChar w:fldCharType="separate"/>
                    </w:r>
                    <w:r w:rsidR="00533A65">
                      <w:rPr>
                        <w:rFonts w:hint="eastAsia"/>
                        <w:noProof/>
                      </w:rPr>
                      <w:t>2</w:t>
                    </w:r>
                    <w:r>
                      <w:fldChar w:fldCharType="end"/>
                    </w:r>
                  </w:p>
                </w:txbxContent>
              </v:textbox>
            </v:oval>
          </w:pict>
        </mc:Fallback>
      </mc:AlternateContent>
    </w:r>
    <w:r>
      <w:tab/>
    </w:r>
    <w:r>
      <w:tab/>
    </w:r>
    <w:r>
      <w:fldChar w:fldCharType="begin"/>
    </w:r>
    <w:r>
      <w:instrText>PAGE   \* MERGEFORMAT</w:instrText>
    </w:r>
    <w:r>
      <w:fldChar w:fldCharType="separate"/>
    </w:r>
    <w:r w:rsidR="00533A65">
      <w:rPr>
        <w:rFonts w:hint="eastAsia"/>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93AE6" w14:textId="77777777" w:rsidR="007144C5" w:rsidRDefault="007144C5">
      <w:pPr>
        <w:spacing w:after="0"/>
        <w:rPr>
          <w:rFonts w:hint="eastAsia"/>
        </w:rPr>
      </w:pPr>
      <w:r>
        <w:separator/>
      </w:r>
    </w:p>
  </w:footnote>
  <w:footnote w:type="continuationSeparator" w:id="0">
    <w:p w14:paraId="5EAD5B88" w14:textId="77777777" w:rsidR="007144C5" w:rsidRDefault="007144C5">
      <w:pPr>
        <w:spacing w:after="0"/>
        <w:rPr>
          <w:rFonts w:hint="eastAsia"/>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9B815" w14:textId="77777777" w:rsidR="007654DC" w:rsidRDefault="007654DC">
    <w:pPr>
      <w:pStyle w:val="En-tte"/>
      <w:jc w:val="center"/>
      <w:rPr>
        <w:rFonts w:hint="eastAsia"/>
      </w:rPr>
    </w:pPr>
    <w:r>
      <w:rPr>
        <w:rFonts w:hint="eastAsia"/>
        <w:noProof/>
        <w:lang w:eastAsia="fr-FR"/>
      </w:rPr>
      <w:drawing>
        <wp:inline distT="0" distB="0" distL="0" distR="0" wp14:anchorId="12A81BEB" wp14:editId="5643C2EA">
          <wp:extent cx="3703320" cy="971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1">
                    <a:extLst>
                      <a:ext uri="{28A0092B-C50C-407E-A947-70E740481C1C}">
                        <a14:useLocalDpi xmlns:a14="http://schemas.microsoft.com/office/drawing/2010/main" val="0"/>
                      </a:ext>
                    </a:extLst>
                  </a:blip>
                  <a:srcRect t="30094" b="32801"/>
                  <a:stretch>
                    <a:fillRect/>
                  </a:stretch>
                </pic:blipFill>
                <pic:spPr>
                  <a:xfrm>
                    <a:off x="0" y="0"/>
                    <a:ext cx="3703853" cy="972000"/>
                  </a:xfrm>
                  <a:prstGeom prst="rect">
                    <a:avLst/>
                  </a:prstGeom>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Listepuces"/>
      <w:lvlText w:val=""/>
      <w:lvlJc w:val="left"/>
      <w:pPr>
        <w:tabs>
          <w:tab w:val="left" w:pos="360"/>
        </w:tabs>
        <w:ind w:left="360" w:hanging="360"/>
      </w:pPr>
      <w:rPr>
        <w:rFonts w:ascii="Symbol" w:hAnsi="Symbol" w:hint="default"/>
      </w:rPr>
    </w:lvl>
  </w:abstractNum>
  <w:abstractNum w:abstractNumId="1" w15:restartNumberingAfterBreak="0">
    <w:nsid w:val="054D05EC"/>
    <w:multiLevelType w:val="multilevel"/>
    <w:tmpl w:val="054D05EC"/>
    <w:lvl w:ilvl="0">
      <w:start w:val="1"/>
      <w:numFmt w:val="bullet"/>
      <w:pStyle w:val="puceEF"/>
      <w:lvlText w:val="»"/>
      <w:lvlJc w:val="left"/>
      <w:pPr>
        <w:ind w:left="1080" w:hanging="360"/>
      </w:pPr>
      <w:rPr>
        <w:rFonts w:ascii="Calibri" w:hAnsi="Calibri" w:hint="default"/>
        <w:b w:val="0"/>
        <w:i w:val="0"/>
        <w:color w:val="4F81BD" w:themeColor="accent1"/>
        <w:sz w:val="21"/>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0BB66A26"/>
    <w:multiLevelType w:val="multilevel"/>
    <w:tmpl w:val="0BB66A26"/>
    <w:lvl w:ilvl="0">
      <w:start w:val="1"/>
      <w:numFmt w:val="upperRoman"/>
      <w:lvlText w:val="%1."/>
      <w:lvlJc w:val="right"/>
      <w:pPr>
        <w:tabs>
          <w:tab w:val="left" w:pos="720"/>
        </w:tabs>
        <w:ind w:left="720" w:hanging="180"/>
      </w:pPr>
      <w:rPr>
        <w:rFonts w:ascii="Calibri" w:hAnsi="Calibri" w:hint="default"/>
        <w:b/>
        <w:i w:val="0"/>
        <w:sz w:val="24"/>
      </w:rPr>
    </w:lvl>
    <w:lvl w:ilvl="1">
      <w:start w:val="1"/>
      <w:numFmt w:val="decimal"/>
      <w:lvlText w:val="%2)"/>
      <w:lvlJc w:val="left"/>
      <w:pPr>
        <w:tabs>
          <w:tab w:val="left" w:pos="1440"/>
        </w:tabs>
        <w:ind w:left="1440" w:hanging="360"/>
      </w:pPr>
      <w:rPr>
        <w:rFonts w:ascii="Calibri" w:hAnsi="Calibri" w:hint="default"/>
        <w:b/>
        <w:i w:val="0"/>
        <w:sz w:val="22"/>
      </w:rPr>
    </w:lvl>
    <w:lvl w:ilvl="2">
      <w:start w:val="1"/>
      <w:numFmt w:val="decimal"/>
      <w:lvlText w:val="%3."/>
      <w:lvlJc w:val="left"/>
      <w:pPr>
        <w:tabs>
          <w:tab w:val="left" w:pos="2340"/>
        </w:tabs>
        <w:ind w:left="2340" w:hanging="360"/>
      </w:pPr>
      <w:rPr>
        <w:rFonts w:ascii="Calibri" w:hAnsi="Calibri" w:hint="default"/>
        <w:b w:val="0"/>
        <w:i w:val="0"/>
        <w:sz w:val="22"/>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0EA87008"/>
    <w:multiLevelType w:val="multilevel"/>
    <w:tmpl w:val="357B6A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7153D5D"/>
    <w:multiLevelType w:val="hybridMultilevel"/>
    <w:tmpl w:val="B950C9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7E6032"/>
    <w:multiLevelType w:val="multilevel"/>
    <w:tmpl w:val="42D8D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F03DEA"/>
    <w:multiLevelType w:val="multilevel"/>
    <w:tmpl w:val="DE0A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DF132E"/>
    <w:multiLevelType w:val="multilevel"/>
    <w:tmpl w:val="30DF132E"/>
    <w:lvl w:ilvl="0">
      <w:start w:val="1"/>
      <w:numFmt w:val="bullet"/>
      <w:lvlText w:val=""/>
      <w:lvlJc w:val="left"/>
      <w:pPr>
        <w:ind w:left="720" w:hanging="360"/>
      </w:pPr>
      <w:rPr>
        <w:rFonts w:ascii="Symbol" w:hAnsi="Symbol" w:hint="default"/>
        <w:color w:val="33AFA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57B6ADF"/>
    <w:multiLevelType w:val="multilevel"/>
    <w:tmpl w:val="357B6A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87B0136"/>
    <w:multiLevelType w:val="multilevel"/>
    <w:tmpl w:val="2FD0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5D5A40"/>
    <w:multiLevelType w:val="multilevel"/>
    <w:tmpl w:val="395D5A40"/>
    <w:lvl w:ilvl="0">
      <w:start w:val="1"/>
      <w:numFmt w:val="lowerLetter"/>
      <w:lvlText w:val="%1."/>
      <w:lvlJc w:val="left"/>
      <w:pPr>
        <w:tabs>
          <w:tab w:val="left" w:pos="360"/>
        </w:tabs>
        <w:ind w:left="360" w:hanging="360"/>
      </w:pPr>
    </w:lvl>
    <w:lvl w:ilvl="1">
      <w:start w:val="1"/>
      <w:numFmt w:val="decimal"/>
      <w:lvlText w:val="%2."/>
      <w:lvlJc w:val="left"/>
      <w:pPr>
        <w:ind w:left="1080" w:hanging="360"/>
      </w:pPr>
      <w:rPr>
        <w:rFonts w:hint="default"/>
        <w:i/>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1" w15:restartNumberingAfterBreak="0">
    <w:nsid w:val="413E2F43"/>
    <w:multiLevelType w:val="multilevel"/>
    <w:tmpl w:val="413E2F43"/>
    <w:lvl w:ilvl="0">
      <w:start w:val="1"/>
      <w:numFmt w:val="decimal"/>
      <w:lvlText w:val="%1."/>
      <w:lvlJc w:val="left"/>
      <w:pPr>
        <w:ind w:left="360" w:hanging="360"/>
      </w:pPr>
      <w:rPr>
        <w:rFonts w:hint="default"/>
        <w:b/>
        <w:bCs/>
        <w:i w:val="0"/>
        <w:iCs w:val="0"/>
        <w:color w:val="004979"/>
        <w:sz w:val="32"/>
        <w:szCs w:val="32"/>
        <w:u w:val="none"/>
      </w:rPr>
    </w:lvl>
    <w:lvl w:ilvl="1">
      <w:start w:val="1"/>
      <w:numFmt w:val="decimal"/>
      <w:pStyle w:val="EXP-Titre2"/>
      <w:lvlText w:val="%1.%2."/>
      <w:lvlJc w:val="left"/>
      <w:pPr>
        <w:ind w:left="792" w:hanging="432"/>
      </w:pPr>
      <w:rPr>
        <w:rFonts w:hint="default"/>
        <w:b/>
        <w:bCs/>
        <w:i w:val="0"/>
        <w:iCs w:val="0"/>
        <w:color w:val="68B1E6"/>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FBC151C"/>
    <w:multiLevelType w:val="multilevel"/>
    <w:tmpl w:val="4FBC151C"/>
    <w:lvl w:ilvl="0">
      <w:start w:val="1"/>
      <w:numFmt w:val="decimal"/>
      <w:lvlText w:val="%1."/>
      <w:lvlJc w:val="left"/>
      <w:pPr>
        <w:tabs>
          <w:tab w:val="left" w:pos="360"/>
        </w:tabs>
        <w:ind w:left="360" w:hanging="360"/>
      </w:pPr>
    </w:lvl>
    <w:lvl w:ilvl="1">
      <w:start w:val="1"/>
      <w:numFmt w:val="lowerLetter"/>
      <w:lvlText w:val="%2."/>
      <w:lvlJc w:val="left"/>
      <w:pPr>
        <w:ind w:left="1080" w:hanging="360"/>
      </w:pPr>
      <w:rPr>
        <w:rFonts w:hint="default"/>
        <w:i/>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3" w15:restartNumberingAfterBreak="0">
    <w:nsid w:val="4FE71B65"/>
    <w:multiLevelType w:val="multilevel"/>
    <w:tmpl w:val="4FE71B65"/>
    <w:lvl w:ilvl="0">
      <w:start w:val="1"/>
      <w:numFmt w:val="bullet"/>
      <w:pStyle w:val="Paragraphedeliste"/>
      <w:lvlText w:val="»"/>
      <w:lvlJc w:val="left"/>
      <w:pPr>
        <w:ind w:left="1429" w:hanging="360"/>
      </w:pPr>
      <w:rPr>
        <w:rFonts w:ascii="Calibri" w:hAnsi="Calibri" w:hint="default"/>
        <w:b w:val="0"/>
        <w:i w:val="0"/>
        <w:color w:val="4F81BD" w:themeColor="accent1"/>
        <w:sz w:val="21"/>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15:restartNumberingAfterBreak="0">
    <w:nsid w:val="50842FED"/>
    <w:multiLevelType w:val="multilevel"/>
    <w:tmpl w:val="50842F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0B03738"/>
    <w:multiLevelType w:val="multilevel"/>
    <w:tmpl w:val="2BD4BEA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50F7618C"/>
    <w:multiLevelType w:val="multilevel"/>
    <w:tmpl w:val="50F7618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51021251"/>
    <w:multiLevelType w:val="multilevel"/>
    <w:tmpl w:val="51021251"/>
    <w:lvl w:ilvl="0">
      <w:start w:val="1"/>
      <w:numFmt w:val="decimal"/>
      <w:lvlText w:val="%1."/>
      <w:lvlJc w:val="left"/>
      <w:pPr>
        <w:tabs>
          <w:tab w:val="left" w:pos="900"/>
        </w:tabs>
        <w:ind w:left="900" w:hanging="360"/>
      </w:pPr>
      <w:rPr>
        <w:rFonts w:hint="default"/>
      </w:rPr>
    </w:lvl>
    <w:lvl w:ilvl="1">
      <w:start w:val="1"/>
      <w:numFmt w:val="bullet"/>
      <w:lvlText w:val=""/>
      <w:lvlJc w:val="left"/>
      <w:pPr>
        <w:tabs>
          <w:tab w:val="left" w:pos="1440"/>
        </w:tabs>
        <w:ind w:left="1440" w:hanging="360"/>
      </w:pPr>
      <w:rPr>
        <w:rFonts w:ascii="Symbol" w:hAnsi="Symbol" w:hint="default"/>
      </w:rPr>
    </w:lvl>
    <w:lvl w:ilvl="2">
      <w:start w:val="6"/>
      <w:numFmt w:val="decimal"/>
      <w:pStyle w:val="heading-2"/>
      <w:lvlText w:val="%3"/>
      <w:lvlJc w:val="left"/>
      <w:pPr>
        <w:tabs>
          <w:tab w:val="left" w:pos="2340"/>
        </w:tabs>
        <w:ind w:left="2340" w:hanging="360"/>
      </w:pPr>
      <w:rPr>
        <w:rFonts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55C94DDA"/>
    <w:multiLevelType w:val="multilevel"/>
    <w:tmpl w:val="55C94DDA"/>
    <w:lvl w:ilvl="0">
      <w:start w:val="1"/>
      <w:numFmt w:val="decimal"/>
      <w:pStyle w:val="EXP-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D11138A"/>
    <w:multiLevelType w:val="multilevel"/>
    <w:tmpl w:val="5D11138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0" w15:restartNumberingAfterBreak="0">
    <w:nsid w:val="5F021D6C"/>
    <w:multiLevelType w:val="multilevel"/>
    <w:tmpl w:val="5F021D6C"/>
    <w:lvl w:ilvl="0">
      <w:start w:val="1"/>
      <w:numFmt w:val="decimal"/>
      <w:lvlText w:val="%1."/>
      <w:lvlJc w:val="left"/>
      <w:pPr>
        <w:ind w:left="792" w:hanging="36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21" w15:restartNumberingAfterBreak="0">
    <w:nsid w:val="602B1E8E"/>
    <w:multiLevelType w:val="multilevel"/>
    <w:tmpl w:val="602B1E8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685A1CD8"/>
    <w:multiLevelType w:val="multilevel"/>
    <w:tmpl w:val="685A1CD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698A21E7"/>
    <w:multiLevelType w:val="multilevel"/>
    <w:tmpl w:val="698A21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AC43C4E"/>
    <w:multiLevelType w:val="multilevel"/>
    <w:tmpl w:val="6AC43C4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71BA47E7"/>
    <w:multiLevelType w:val="multilevel"/>
    <w:tmpl w:val="71BA47E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80"/>
      <w:numFmt w:val="decimal"/>
      <w:lvlText w:val="%3"/>
      <w:lvlJc w:val="left"/>
      <w:pPr>
        <w:ind w:left="2160" w:hanging="360"/>
      </w:pPr>
      <w:rPr>
        <w:rFonts w:hint="default"/>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74844FE5"/>
    <w:multiLevelType w:val="multilevel"/>
    <w:tmpl w:val="74844FE5"/>
    <w:lvl w:ilvl="0">
      <w:start w:val="1"/>
      <w:numFmt w:val="upperRoman"/>
      <w:lvlText w:val="%1."/>
      <w:lvlJc w:val="right"/>
      <w:pPr>
        <w:tabs>
          <w:tab w:val="left" w:pos="720"/>
        </w:tabs>
        <w:ind w:left="720" w:hanging="180"/>
      </w:pPr>
      <w:rPr>
        <w:rFonts w:ascii="Calibri" w:hAnsi="Calibri" w:hint="default"/>
        <w:b/>
        <w:i w:val="0"/>
        <w:sz w:val="24"/>
      </w:rPr>
    </w:lvl>
    <w:lvl w:ilvl="1">
      <w:start w:val="1"/>
      <w:numFmt w:val="decimal"/>
      <w:lvlText w:val="%2)"/>
      <w:lvlJc w:val="left"/>
      <w:pPr>
        <w:tabs>
          <w:tab w:val="left" w:pos="1440"/>
        </w:tabs>
        <w:ind w:left="1440" w:hanging="360"/>
      </w:pPr>
      <w:rPr>
        <w:rFonts w:ascii="Calibri" w:hAnsi="Calibri" w:hint="default"/>
        <w:b/>
        <w:i w:val="0"/>
        <w:sz w:val="22"/>
      </w:rPr>
    </w:lvl>
    <w:lvl w:ilvl="2">
      <w:start w:val="1"/>
      <w:numFmt w:val="decimal"/>
      <w:lvlText w:val="%3."/>
      <w:lvlJc w:val="left"/>
      <w:pPr>
        <w:tabs>
          <w:tab w:val="left" w:pos="2340"/>
        </w:tabs>
        <w:ind w:left="2340" w:hanging="360"/>
      </w:pPr>
      <w:rPr>
        <w:rFonts w:ascii="Calibri" w:hAnsi="Calibri" w:hint="default"/>
        <w:b w:val="0"/>
        <w:i w:val="0"/>
        <w:sz w:val="22"/>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7785016E"/>
    <w:multiLevelType w:val="multilevel"/>
    <w:tmpl w:val="7785016E"/>
    <w:lvl w:ilvl="0">
      <w:start w:val="1"/>
      <w:numFmt w:val="decimal"/>
      <w:lvlText w:val="%1."/>
      <w:lvlJc w:val="left"/>
      <w:pPr>
        <w:tabs>
          <w:tab w:val="left" w:pos="360"/>
        </w:tabs>
        <w:ind w:left="360" w:hanging="360"/>
      </w:pPr>
    </w:lvl>
    <w:lvl w:ilvl="1">
      <w:start w:val="1"/>
      <w:numFmt w:val="decimal"/>
      <w:lvlText w:val="%2."/>
      <w:lvlJc w:val="left"/>
      <w:pPr>
        <w:ind w:left="1080" w:hanging="360"/>
      </w:pPr>
      <w:rPr>
        <w:rFonts w:hint="default"/>
        <w:i/>
      </w:rPr>
    </w:lvl>
    <w:lvl w:ilvl="2">
      <w:start w:val="1"/>
      <w:numFmt w:val="lowerLetter"/>
      <w:lvlText w:val="%3."/>
      <w:lvlJc w:val="left"/>
      <w:pPr>
        <w:ind w:left="1800" w:hanging="360"/>
      </w:pPr>
      <w:rPr>
        <w:rFonts w:hint="default"/>
      </w:r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8" w15:restartNumberingAfterBreak="0">
    <w:nsid w:val="7A3A61E2"/>
    <w:multiLevelType w:val="multilevel"/>
    <w:tmpl w:val="BA1EB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8"/>
    <w:lvlOverride w:ilvl="0">
      <w:lvl w:ilvl="0" w:tentative="1">
        <w:start w:val="1"/>
        <w:numFmt w:val="decimal"/>
        <w:pStyle w:val="EXP-Titre1"/>
        <w:lvlText w:val="%1."/>
        <w:lvlJc w:val="left"/>
        <w:pPr>
          <w:ind w:left="360" w:hanging="360"/>
        </w:pPr>
        <w:rPr>
          <w:b/>
          <w:color w:val="004979"/>
        </w:rPr>
      </w:lvl>
    </w:lvlOverride>
  </w:num>
  <w:num w:numId="3">
    <w:abstractNumId w:val="13"/>
  </w:num>
  <w:num w:numId="4">
    <w:abstractNumId w:val="11"/>
  </w:num>
  <w:num w:numId="5">
    <w:abstractNumId w:val="0"/>
  </w:num>
  <w:num w:numId="6">
    <w:abstractNumId w:val="1"/>
  </w:num>
  <w:num w:numId="7">
    <w:abstractNumId w:val="17"/>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7"/>
  </w:num>
  <w:num w:numId="11">
    <w:abstractNumId w:val="21"/>
  </w:num>
  <w:num w:numId="12">
    <w:abstractNumId w:val="27"/>
  </w:num>
  <w:num w:numId="13">
    <w:abstractNumId w:val="10"/>
  </w:num>
  <w:num w:numId="14">
    <w:abstractNumId w:val="12"/>
  </w:num>
  <w:num w:numId="15">
    <w:abstractNumId w:val="15"/>
  </w:num>
  <w:num w:numId="16">
    <w:abstractNumId w:val="16"/>
  </w:num>
  <w:num w:numId="17">
    <w:abstractNumId w:val="22"/>
  </w:num>
  <w:num w:numId="18">
    <w:abstractNumId w:val="23"/>
  </w:num>
  <w:num w:numId="19">
    <w:abstractNumId w:val="24"/>
  </w:num>
  <w:num w:numId="20">
    <w:abstractNumId w:val="14"/>
  </w:num>
  <w:num w:numId="21">
    <w:abstractNumId w:val="2"/>
  </w:num>
  <w:num w:numId="22">
    <w:abstractNumId w:val="25"/>
  </w:num>
  <w:num w:numId="23">
    <w:abstractNumId w:val="8"/>
  </w:num>
  <w:num w:numId="24">
    <w:abstractNumId w:val="26"/>
  </w:num>
  <w:num w:numId="25">
    <w:abstractNumId w:val="9"/>
  </w:num>
  <w:num w:numId="26">
    <w:abstractNumId w:val="6"/>
  </w:num>
  <w:num w:numId="27">
    <w:abstractNumId w:val="5"/>
  </w:num>
  <w:num w:numId="28">
    <w:abstractNumId w:val="28"/>
  </w:num>
  <w:num w:numId="29">
    <w:abstractNumId w:val="4"/>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9"/>
  <w:hyphenationZone w:val="425"/>
  <w:displayHorizontalDrawingGridEvery w:val="0"/>
  <w:displayVerticalDrawingGridEvery w:val="0"/>
  <w:doNotUseMarginsForDrawingGridOrigin/>
  <w:drawingGridHorizontalOrigin w:val="1800"/>
  <w:drawingGridVerticalOrigin w:val="144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7CF"/>
    <w:rsid w:val="000010E4"/>
    <w:rsid w:val="0001285F"/>
    <w:rsid w:val="00012A27"/>
    <w:rsid w:val="0001352C"/>
    <w:rsid w:val="00014C3F"/>
    <w:rsid w:val="00034C79"/>
    <w:rsid w:val="00035B3A"/>
    <w:rsid w:val="00037106"/>
    <w:rsid w:val="000435EB"/>
    <w:rsid w:val="00047E92"/>
    <w:rsid w:val="00053227"/>
    <w:rsid w:val="0005591B"/>
    <w:rsid w:val="00061D9C"/>
    <w:rsid w:val="00065F20"/>
    <w:rsid w:val="00070000"/>
    <w:rsid w:val="00092246"/>
    <w:rsid w:val="000A0292"/>
    <w:rsid w:val="000A0947"/>
    <w:rsid w:val="000B3B4F"/>
    <w:rsid w:val="000B3C84"/>
    <w:rsid w:val="000C01A0"/>
    <w:rsid w:val="000C0724"/>
    <w:rsid w:val="000D1F95"/>
    <w:rsid w:val="000D4A7C"/>
    <w:rsid w:val="000E25DF"/>
    <w:rsid w:val="000E72F3"/>
    <w:rsid w:val="000E794F"/>
    <w:rsid w:val="000F1641"/>
    <w:rsid w:val="000F17CF"/>
    <w:rsid w:val="000F1E88"/>
    <w:rsid w:val="000F58D2"/>
    <w:rsid w:val="000F615B"/>
    <w:rsid w:val="000F6F34"/>
    <w:rsid w:val="0010002F"/>
    <w:rsid w:val="00104939"/>
    <w:rsid w:val="00105090"/>
    <w:rsid w:val="00116BCF"/>
    <w:rsid w:val="0012164C"/>
    <w:rsid w:val="00123E28"/>
    <w:rsid w:val="00124F71"/>
    <w:rsid w:val="00127B61"/>
    <w:rsid w:val="0013137D"/>
    <w:rsid w:val="001416DF"/>
    <w:rsid w:val="001421F5"/>
    <w:rsid w:val="00142D81"/>
    <w:rsid w:val="00143417"/>
    <w:rsid w:val="00144FDA"/>
    <w:rsid w:val="00145F90"/>
    <w:rsid w:val="0015665A"/>
    <w:rsid w:val="00157565"/>
    <w:rsid w:val="00157F5E"/>
    <w:rsid w:val="00162C6A"/>
    <w:rsid w:val="00166A9A"/>
    <w:rsid w:val="00171D44"/>
    <w:rsid w:val="001737A8"/>
    <w:rsid w:val="00180DA2"/>
    <w:rsid w:val="0019610F"/>
    <w:rsid w:val="00196971"/>
    <w:rsid w:val="00197143"/>
    <w:rsid w:val="001A1379"/>
    <w:rsid w:val="001A3CE7"/>
    <w:rsid w:val="001A521C"/>
    <w:rsid w:val="001A5BAC"/>
    <w:rsid w:val="001A6548"/>
    <w:rsid w:val="001E797C"/>
    <w:rsid w:val="001F6CF9"/>
    <w:rsid w:val="00204F9E"/>
    <w:rsid w:val="002076FA"/>
    <w:rsid w:val="00210795"/>
    <w:rsid w:val="002177FA"/>
    <w:rsid w:val="00226149"/>
    <w:rsid w:val="00234819"/>
    <w:rsid w:val="00234FCE"/>
    <w:rsid w:val="0023669A"/>
    <w:rsid w:val="002372DF"/>
    <w:rsid w:val="002434CD"/>
    <w:rsid w:val="0024421A"/>
    <w:rsid w:val="00247076"/>
    <w:rsid w:val="002502BC"/>
    <w:rsid w:val="00256053"/>
    <w:rsid w:val="002614DF"/>
    <w:rsid w:val="00261ED9"/>
    <w:rsid w:val="00266CB1"/>
    <w:rsid w:val="002730C7"/>
    <w:rsid w:val="002820D2"/>
    <w:rsid w:val="0029788B"/>
    <w:rsid w:val="002A0BA9"/>
    <w:rsid w:val="002A47F6"/>
    <w:rsid w:val="002B0486"/>
    <w:rsid w:val="002B369E"/>
    <w:rsid w:val="002B3B8C"/>
    <w:rsid w:val="002B426F"/>
    <w:rsid w:val="002C2890"/>
    <w:rsid w:val="002C4244"/>
    <w:rsid w:val="002C6EF4"/>
    <w:rsid w:val="002C7B1C"/>
    <w:rsid w:val="002E1DFD"/>
    <w:rsid w:val="002E25C2"/>
    <w:rsid w:val="002E286B"/>
    <w:rsid w:val="002F03AD"/>
    <w:rsid w:val="002F1760"/>
    <w:rsid w:val="002F1DBC"/>
    <w:rsid w:val="002F44EB"/>
    <w:rsid w:val="002F654A"/>
    <w:rsid w:val="00302C46"/>
    <w:rsid w:val="00307E66"/>
    <w:rsid w:val="0031395F"/>
    <w:rsid w:val="0032298B"/>
    <w:rsid w:val="0032444C"/>
    <w:rsid w:val="00335FE8"/>
    <w:rsid w:val="00345E08"/>
    <w:rsid w:val="0035361D"/>
    <w:rsid w:val="00355507"/>
    <w:rsid w:val="0035665F"/>
    <w:rsid w:val="00362538"/>
    <w:rsid w:val="00364005"/>
    <w:rsid w:val="00365020"/>
    <w:rsid w:val="00373B0A"/>
    <w:rsid w:val="0038702F"/>
    <w:rsid w:val="003937A6"/>
    <w:rsid w:val="00394696"/>
    <w:rsid w:val="00394EAD"/>
    <w:rsid w:val="00397F25"/>
    <w:rsid w:val="003A2446"/>
    <w:rsid w:val="003A44BC"/>
    <w:rsid w:val="003A64EB"/>
    <w:rsid w:val="003B0BEA"/>
    <w:rsid w:val="003B2488"/>
    <w:rsid w:val="003C1C5D"/>
    <w:rsid w:val="003C31EB"/>
    <w:rsid w:val="003C799F"/>
    <w:rsid w:val="003D2A70"/>
    <w:rsid w:val="003D3A19"/>
    <w:rsid w:val="003D3AF0"/>
    <w:rsid w:val="003D7005"/>
    <w:rsid w:val="003E42F7"/>
    <w:rsid w:val="003F5234"/>
    <w:rsid w:val="003F586D"/>
    <w:rsid w:val="003F6421"/>
    <w:rsid w:val="003F72D4"/>
    <w:rsid w:val="0040216F"/>
    <w:rsid w:val="004040DA"/>
    <w:rsid w:val="00404706"/>
    <w:rsid w:val="00405F29"/>
    <w:rsid w:val="00412B83"/>
    <w:rsid w:val="00417294"/>
    <w:rsid w:val="00420926"/>
    <w:rsid w:val="004249A2"/>
    <w:rsid w:val="00424A9C"/>
    <w:rsid w:val="00424EF6"/>
    <w:rsid w:val="00425A40"/>
    <w:rsid w:val="00425E9D"/>
    <w:rsid w:val="00433289"/>
    <w:rsid w:val="00434089"/>
    <w:rsid w:val="004365BE"/>
    <w:rsid w:val="00441384"/>
    <w:rsid w:val="0044142E"/>
    <w:rsid w:val="00446B21"/>
    <w:rsid w:val="00456738"/>
    <w:rsid w:val="00456BDF"/>
    <w:rsid w:val="00461A9E"/>
    <w:rsid w:val="0046636D"/>
    <w:rsid w:val="00474919"/>
    <w:rsid w:val="0047644F"/>
    <w:rsid w:val="004766C1"/>
    <w:rsid w:val="004771C5"/>
    <w:rsid w:val="00480278"/>
    <w:rsid w:val="00483F46"/>
    <w:rsid w:val="00485CA7"/>
    <w:rsid w:val="0048650E"/>
    <w:rsid w:val="00493D47"/>
    <w:rsid w:val="004A06EC"/>
    <w:rsid w:val="004C236E"/>
    <w:rsid w:val="004C5D8E"/>
    <w:rsid w:val="004C6E56"/>
    <w:rsid w:val="004C7DC4"/>
    <w:rsid w:val="004D4E41"/>
    <w:rsid w:val="004D61A9"/>
    <w:rsid w:val="004E3ACE"/>
    <w:rsid w:val="004E50DD"/>
    <w:rsid w:val="004F006A"/>
    <w:rsid w:val="004F2806"/>
    <w:rsid w:val="004F2A4C"/>
    <w:rsid w:val="004F4B6C"/>
    <w:rsid w:val="004F7AF1"/>
    <w:rsid w:val="00507913"/>
    <w:rsid w:val="005164A8"/>
    <w:rsid w:val="00520E00"/>
    <w:rsid w:val="00523792"/>
    <w:rsid w:val="00523F65"/>
    <w:rsid w:val="0052793C"/>
    <w:rsid w:val="0053090B"/>
    <w:rsid w:val="00532EFD"/>
    <w:rsid w:val="00533A65"/>
    <w:rsid w:val="005348C6"/>
    <w:rsid w:val="005528CF"/>
    <w:rsid w:val="00552E00"/>
    <w:rsid w:val="00562931"/>
    <w:rsid w:val="00562C0B"/>
    <w:rsid w:val="005633A9"/>
    <w:rsid w:val="00566074"/>
    <w:rsid w:val="00566A2A"/>
    <w:rsid w:val="00570F96"/>
    <w:rsid w:val="00574828"/>
    <w:rsid w:val="00575180"/>
    <w:rsid w:val="005778D5"/>
    <w:rsid w:val="00580E8E"/>
    <w:rsid w:val="0058416C"/>
    <w:rsid w:val="005848A5"/>
    <w:rsid w:val="00592A70"/>
    <w:rsid w:val="005A6764"/>
    <w:rsid w:val="005B12BF"/>
    <w:rsid w:val="005B400A"/>
    <w:rsid w:val="005B461D"/>
    <w:rsid w:val="005B5B25"/>
    <w:rsid w:val="005B7F32"/>
    <w:rsid w:val="005C1730"/>
    <w:rsid w:val="005C4CCB"/>
    <w:rsid w:val="005C6834"/>
    <w:rsid w:val="005D3DAF"/>
    <w:rsid w:val="005E1A3B"/>
    <w:rsid w:val="005E3610"/>
    <w:rsid w:val="005E5928"/>
    <w:rsid w:val="005E7798"/>
    <w:rsid w:val="006006FB"/>
    <w:rsid w:val="00607E11"/>
    <w:rsid w:val="0061489E"/>
    <w:rsid w:val="006163B5"/>
    <w:rsid w:val="00623CD7"/>
    <w:rsid w:val="00644219"/>
    <w:rsid w:val="00650205"/>
    <w:rsid w:val="00653882"/>
    <w:rsid w:val="006546C4"/>
    <w:rsid w:val="0066288D"/>
    <w:rsid w:val="00664432"/>
    <w:rsid w:val="00667487"/>
    <w:rsid w:val="0068034F"/>
    <w:rsid w:val="006903DE"/>
    <w:rsid w:val="006938A8"/>
    <w:rsid w:val="00694D2F"/>
    <w:rsid w:val="00697775"/>
    <w:rsid w:val="006A1E46"/>
    <w:rsid w:val="006A2E13"/>
    <w:rsid w:val="006A2FF3"/>
    <w:rsid w:val="006A4C11"/>
    <w:rsid w:val="006A5D50"/>
    <w:rsid w:val="006A7F39"/>
    <w:rsid w:val="006B1BA8"/>
    <w:rsid w:val="006B660D"/>
    <w:rsid w:val="006B7D0C"/>
    <w:rsid w:val="006C65DA"/>
    <w:rsid w:val="006C6DFD"/>
    <w:rsid w:val="006C7CBD"/>
    <w:rsid w:val="006D2B11"/>
    <w:rsid w:val="006E33E9"/>
    <w:rsid w:val="006E374E"/>
    <w:rsid w:val="006E3AD1"/>
    <w:rsid w:val="006E4427"/>
    <w:rsid w:val="006E4B7D"/>
    <w:rsid w:val="006E5C17"/>
    <w:rsid w:val="006E6C08"/>
    <w:rsid w:val="006E784A"/>
    <w:rsid w:val="006F0107"/>
    <w:rsid w:val="006F45E4"/>
    <w:rsid w:val="006F50C4"/>
    <w:rsid w:val="00705663"/>
    <w:rsid w:val="00707349"/>
    <w:rsid w:val="00713A80"/>
    <w:rsid w:val="007144C5"/>
    <w:rsid w:val="00716F89"/>
    <w:rsid w:val="0072207C"/>
    <w:rsid w:val="00725FC3"/>
    <w:rsid w:val="00727AC9"/>
    <w:rsid w:val="00730A93"/>
    <w:rsid w:val="00742930"/>
    <w:rsid w:val="00745731"/>
    <w:rsid w:val="007472E8"/>
    <w:rsid w:val="007502BF"/>
    <w:rsid w:val="007502F2"/>
    <w:rsid w:val="00752CCE"/>
    <w:rsid w:val="00757D2F"/>
    <w:rsid w:val="00757D65"/>
    <w:rsid w:val="007654DC"/>
    <w:rsid w:val="00770174"/>
    <w:rsid w:val="00772636"/>
    <w:rsid w:val="00776238"/>
    <w:rsid w:val="00776A6D"/>
    <w:rsid w:val="00783FB2"/>
    <w:rsid w:val="0078452C"/>
    <w:rsid w:val="00786ADC"/>
    <w:rsid w:val="007873C9"/>
    <w:rsid w:val="00792C20"/>
    <w:rsid w:val="007A0B61"/>
    <w:rsid w:val="007A0FA6"/>
    <w:rsid w:val="007A28D0"/>
    <w:rsid w:val="007B0836"/>
    <w:rsid w:val="007B3029"/>
    <w:rsid w:val="007B5080"/>
    <w:rsid w:val="007B776F"/>
    <w:rsid w:val="007C529E"/>
    <w:rsid w:val="007D3C39"/>
    <w:rsid w:val="007D43AB"/>
    <w:rsid w:val="007E2C5C"/>
    <w:rsid w:val="007E487C"/>
    <w:rsid w:val="007E7B0B"/>
    <w:rsid w:val="007F5242"/>
    <w:rsid w:val="007F665B"/>
    <w:rsid w:val="007F6C01"/>
    <w:rsid w:val="008021E1"/>
    <w:rsid w:val="00812EBE"/>
    <w:rsid w:val="008225E8"/>
    <w:rsid w:val="0082361C"/>
    <w:rsid w:val="00826183"/>
    <w:rsid w:val="00826633"/>
    <w:rsid w:val="008354A2"/>
    <w:rsid w:val="00850E0A"/>
    <w:rsid w:val="008536D6"/>
    <w:rsid w:val="00854C74"/>
    <w:rsid w:val="0085522F"/>
    <w:rsid w:val="00857B9A"/>
    <w:rsid w:val="00861AB0"/>
    <w:rsid w:val="00871AFE"/>
    <w:rsid w:val="00873CD5"/>
    <w:rsid w:val="00881C2F"/>
    <w:rsid w:val="00882C62"/>
    <w:rsid w:val="008852AF"/>
    <w:rsid w:val="008900B7"/>
    <w:rsid w:val="00890D8C"/>
    <w:rsid w:val="00891F8B"/>
    <w:rsid w:val="008A17E2"/>
    <w:rsid w:val="008B1251"/>
    <w:rsid w:val="008B67BD"/>
    <w:rsid w:val="008C19DE"/>
    <w:rsid w:val="008C6D90"/>
    <w:rsid w:val="008D20AE"/>
    <w:rsid w:val="008D5985"/>
    <w:rsid w:val="008E0FB0"/>
    <w:rsid w:val="008E25BD"/>
    <w:rsid w:val="008F1481"/>
    <w:rsid w:val="008F3E47"/>
    <w:rsid w:val="00902543"/>
    <w:rsid w:val="00910C80"/>
    <w:rsid w:val="00914D7F"/>
    <w:rsid w:val="00921D7E"/>
    <w:rsid w:val="009231FD"/>
    <w:rsid w:val="009332F4"/>
    <w:rsid w:val="00941A0F"/>
    <w:rsid w:val="00943926"/>
    <w:rsid w:val="009465B2"/>
    <w:rsid w:val="0094796B"/>
    <w:rsid w:val="00947CD2"/>
    <w:rsid w:val="00957629"/>
    <w:rsid w:val="00961704"/>
    <w:rsid w:val="009617BD"/>
    <w:rsid w:val="00961B1B"/>
    <w:rsid w:val="00965CBD"/>
    <w:rsid w:val="00970BC9"/>
    <w:rsid w:val="009812C0"/>
    <w:rsid w:val="0098200B"/>
    <w:rsid w:val="00986A7D"/>
    <w:rsid w:val="00992437"/>
    <w:rsid w:val="009A62B4"/>
    <w:rsid w:val="009C1BE7"/>
    <w:rsid w:val="009C3196"/>
    <w:rsid w:val="009C671D"/>
    <w:rsid w:val="009E59BA"/>
    <w:rsid w:val="009E74D4"/>
    <w:rsid w:val="009F132E"/>
    <w:rsid w:val="009F6981"/>
    <w:rsid w:val="00A00986"/>
    <w:rsid w:val="00A03470"/>
    <w:rsid w:val="00A14A76"/>
    <w:rsid w:val="00A14FC9"/>
    <w:rsid w:val="00A20762"/>
    <w:rsid w:val="00A223C9"/>
    <w:rsid w:val="00A22EFA"/>
    <w:rsid w:val="00A230A0"/>
    <w:rsid w:val="00A26A2B"/>
    <w:rsid w:val="00A271B9"/>
    <w:rsid w:val="00A27EAC"/>
    <w:rsid w:val="00A31880"/>
    <w:rsid w:val="00A33646"/>
    <w:rsid w:val="00A3669C"/>
    <w:rsid w:val="00A45A16"/>
    <w:rsid w:val="00A53BE2"/>
    <w:rsid w:val="00A54238"/>
    <w:rsid w:val="00A5571D"/>
    <w:rsid w:val="00A55F80"/>
    <w:rsid w:val="00A573CF"/>
    <w:rsid w:val="00A625EE"/>
    <w:rsid w:val="00A6505B"/>
    <w:rsid w:val="00A7454D"/>
    <w:rsid w:val="00A83B3E"/>
    <w:rsid w:val="00A911D9"/>
    <w:rsid w:val="00A91B44"/>
    <w:rsid w:val="00A93447"/>
    <w:rsid w:val="00AA048B"/>
    <w:rsid w:val="00AA2520"/>
    <w:rsid w:val="00AA4DB2"/>
    <w:rsid w:val="00AB777E"/>
    <w:rsid w:val="00AB7CA4"/>
    <w:rsid w:val="00AC0339"/>
    <w:rsid w:val="00AC3EC6"/>
    <w:rsid w:val="00AD17FA"/>
    <w:rsid w:val="00AD5986"/>
    <w:rsid w:val="00AD61AF"/>
    <w:rsid w:val="00AD7EE1"/>
    <w:rsid w:val="00AE0FAA"/>
    <w:rsid w:val="00AE227D"/>
    <w:rsid w:val="00AE762B"/>
    <w:rsid w:val="00AF765B"/>
    <w:rsid w:val="00AF7DDC"/>
    <w:rsid w:val="00B023D0"/>
    <w:rsid w:val="00B0518F"/>
    <w:rsid w:val="00B2067D"/>
    <w:rsid w:val="00B208A0"/>
    <w:rsid w:val="00B229DA"/>
    <w:rsid w:val="00B264D9"/>
    <w:rsid w:val="00B3192C"/>
    <w:rsid w:val="00B3435B"/>
    <w:rsid w:val="00B353F5"/>
    <w:rsid w:val="00B4170D"/>
    <w:rsid w:val="00B51BF7"/>
    <w:rsid w:val="00B52A50"/>
    <w:rsid w:val="00B62393"/>
    <w:rsid w:val="00B67847"/>
    <w:rsid w:val="00B73281"/>
    <w:rsid w:val="00B806ED"/>
    <w:rsid w:val="00B8183E"/>
    <w:rsid w:val="00B835E4"/>
    <w:rsid w:val="00B8525C"/>
    <w:rsid w:val="00B91380"/>
    <w:rsid w:val="00B932D2"/>
    <w:rsid w:val="00B960FC"/>
    <w:rsid w:val="00BA0BFF"/>
    <w:rsid w:val="00BA288D"/>
    <w:rsid w:val="00BA5859"/>
    <w:rsid w:val="00BA5C11"/>
    <w:rsid w:val="00BB0DE1"/>
    <w:rsid w:val="00BB2C95"/>
    <w:rsid w:val="00BC0DA8"/>
    <w:rsid w:val="00BC7C41"/>
    <w:rsid w:val="00BE49A6"/>
    <w:rsid w:val="00BF0D60"/>
    <w:rsid w:val="00BF23A9"/>
    <w:rsid w:val="00BF3D4B"/>
    <w:rsid w:val="00BF6376"/>
    <w:rsid w:val="00BF6668"/>
    <w:rsid w:val="00C134DA"/>
    <w:rsid w:val="00C176BE"/>
    <w:rsid w:val="00C202AF"/>
    <w:rsid w:val="00C21132"/>
    <w:rsid w:val="00C32478"/>
    <w:rsid w:val="00C32A94"/>
    <w:rsid w:val="00C33791"/>
    <w:rsid w:val="00C355E1"/>
    <w:rsid w:val="00C4684B"/>
    <w:rsid w:val="00C50553"/>
    <w:rsid w:val="00C5712C"/>
    <w:rsid w:val="00C576D2"/>
    <w:rsid w:val="00C7035C"/>
    <w:rsid w:val="00C7071F"/>
    <w:rsid w:val="00C70B47"/>
    <w:rsid w:val="00C755E5"/>
    <w:rsid w:val="00C955FA"/>
    <w:rsid w:val="00C960EA"/>
    <w:rsid w:val="00C96268"/>
    <w:rsid w:val="00CA170B"/>
    <w:rsid w:val="00CA1C03"/>
    <w:rsid w:val="00CB3E59"/>
    <w:rsid w:val="00CC24BE"/>
    <w:rsid w:val="00CD29E4"/>
    <w:rsid w:val="00CD4BE9"/>
    <w:rsid w:val="00CD66DD"/>
    <w:rsid w:val="00CD7134"/>
    <w:rsid w:val="00CD7433"/>
    <w:rsid w:val="00CF1317"/>
    <w:rsid w:val="00CF2344"/>
    <w:rsid w:val="00D030F7"/>
    <w:rsid w:val="00D03871"/>
    <w:rsid w:val="00D10B1F"/>
    <w:rsid w:val="00D141F1"/>
    <w:rsid w:val="00D170EC"/>
    <w:rsid w:val="00D2404F"/>
    <w:rsid w:val="00D24CF3"/>
    <w:rsid w:val="00D30648"/>
    <w:rsid w:val="00D34FDF"/>
    <w:rsid w:val="00D35DBF"/>
    <w:rsid w:val="00D35FFC"/>
    <w:rsid w:val="00D606A7"/>
    <w:rsid w:val="00D608AE"/>
    <w:rsid w:val="00D65A78"/>
    <w:rsid w:val="00D7590E"/>
    <w:rsid w:val="00D80825"/>
    <w:rsid w:val="00D86149"/>
    <w:rsid w:val="00D8703D"/>
    <w:rsid w:val="00D87F27"/>
    <w:rsid w:val="00D923B4"/>
    <w:rsid w:val="00D96767"/>
    <w:rsid w:val="00DA1791"/>
    <w:rsid w:val="00DA5E2B"/>
    <w:rsid w:val="00DB1FCE"/>
    <w:rsid w:val="00DC0303"/>
    <w:rsid w:val="00DC276C"/>
    <w:rsid w:val="00DC365A"/>
    <w:rsid w:val="00DD1AF3"/>
    <w:rsid w:val="00DE3160"/>
    <w:rsid w:val="00DE5907"/>
    <w:rsid w:val="00E119A0"/>
    <w:rsid w:val="00E15787"/>
    <w:rsid w:val="00E20BAD"/>
    <w:rsid w:val="00E27EF2"/>
    <w:rsid w:val="00E31064"/>
    <w:rsid w:val="00E3742A"/>
    <w:rsid w:val="00E37994"/>
    <w:rsid w:val="00E52DE1"/>
    <w:rsid w:val="00E55187"/>
    <w:rsid w:val="00E62AF5"/>
    <w:rsid w:val="00E6599F"/>
    <w:rsid w:val="00E65E35"/>
    <w:rsid w:val="00E71367"/>
    <w:rsid w:val="00E72539"/>
    <w:rsid w:val="00E74951"/>
    <w:rsid w:val="00E81CC2"/>
    <w:rsid w:val="00E82D0E"/>
    <w:rsid w:val="00E87912"/>
    <w:rsid w:val="00E92ED3"/>
    <w:rsid w:val="00EA6044"/>
    <w:rsid w:val="00EB344B"/>
    <w:rsid w:val="00EB6D4E"/>
    <w:rsid w:val="00EB725C"/>
    <w:rsid w:val="00EC619A"/>
    <w:rsid w:val="00EC626C"/>
    <w:rsid w:val="00ED4BA7"/>
    <w:rsid w:val="00EE2045"/>
    <w:rsid w:val="00EE23A9"/>
    <w:rsid w:val="00EE7513"/>
    <w:rsid w:val="00EF3E73"/>
    <w:rsid w:val="00EF6664"/>
    <w:rsid w:val="00EF6D2B"/>
    <w:rsid w:val="00F026EF"/>
    <w:rsid w:val="00F0550C"/>
    <w:rsid w:val="00F06481"/>
    <w:rsid w:val="00F10AAE"/>
    <w:rsid w:val="00F13994"/>
    <w:rsid w:val="00F14B4C"/>
    <w:rsid w:val="00F159B8"/>
    <w:rsid w:val="00F16BD9"/>
    <w:rsid w:val="00F227D4"/>
    <w:rsid w:val="00F30E8A"/>
    <w:rsid w:val="00F3198F"/>
    <w:rsid w:val="00F353F8"/>
    <w:rsid w:val="00F360D6"/>
    <w:rsid w:val="00F36BCE"/>
    <w:rsid w:val="00F37637"/>
    <w:rsid w:val="00F43B36"/>
    <w:rsid w:val="00F50E51"/>
    <w:rsid w:val="00F70CB0"/>
    <w:rsid w:val="00F775C6"/>
    <w:rsid w:val="00F82EBB"/>
    <w:rsid w:val="00F842A8"/>
    <w:rsid w:val="00F85294"/>
    <w:rsid w:val="00F85A62"/>
    <w:rsid w:val="00F874A4"/>
    <w:rsid w:val="00FA0D72"/>
    <w:rsid w:val="00FA1D98"/>
    <w:rsid w:val="00FA6B0C"/>
    <w:rsid w:val="00FB70B3"/>
    <w:rsid w:val="00FB780D"/>
    <w:rsid w:val="00FB7B3E"/>
    <w:rsid w:val="00FC2355"/>
    <w:rsid w:val="00FD342D"/>
    <w:rsid w:val="00FE2ABE"/>
    <w:rsid w:val="00FE2D52"/>
    <w:rsid w:val="00FE527E"/>
    <w:rsid w:val="00FE6B82"/>
    <w:rsid w:val="00FE707F"/>
    <w:rsid w:val="00FF21E2"/>
    <w:rsid w:val="00FF49B5"/>
    <w:rsid w:val="00FF75A3"/>
    <w:rsid w:val="1A855365"/>
    <w:rsid w:val="1B4E7D11"/>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944CDD3"/>
  <w15:docId w15:val="{AD62998D-9A12-46A8-80BD-D77DD3443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unhideWhenUsed="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right" w:leader="dot" w:pos="9923"/>
      </w:tabs>
      <w:spacing w:after="240"/>
      <w:ind w:left="360"/>
      <w:jc w:val="both"/>
    </w:pPr>
    <w:rPr>
      <w:rFonts w:ascii="Calibri-Italic" w:hAnsi="Calibri-Italic" w:cs="Arial"/>
      <w:i/>
      <w:iCs/>
      <w:color w:val="000000"/>
      <w:sz w:val="22"/>
      <w:szCs w:val="22"/>
      <w:lang w:eastAsia="ja-JP"/>
    </w:rPr>
  </w:style>
  <w:style w:type="paragraph" w:styleId="Titre1">
    <w:name w:val="heading 1"/>
    <w:basedOn w:val="EXP-Titre1"/>
    <w:next w:val="Normal"/>
    <w:link w:val="Titre1Car"/>
    <w:uiPriority w:val="9"/>
    <w:qFormat/>
    <w:pPr>
      <w:numPr>
        <w:numId w:val="1"/>
      </w:numPr>
      <w:shd w:val="clear" w:color="auto" w:fill="1F497D" w:themeFill="text2"/>
      <w:outlineLvl w:val="0"/>
    </w:pPr>
  </w:style>
  <w:style w:type="paragraph" w:styleId="Titre2">
    <w:name w:val="heading 2"/>
    <w:basedOn w:val="EXP-Titre2"/>
    <w:next w:val="Normal"/>
    <w:link w:val="Titre2Car"/>
    <w:uiPriority w:val="9"/>
    <w:unhideWhenUsed/>
    <w:qFormat/>
    <w:pPr>
      <w:numPr>
        <w:numId w:val="1"/>
      </w:numPr>
      <w:shd w:val="clear" w:color="auto" w:fill="95B3D7" w:themeFill="accent1" w:themeFillTint="99"/>
      <w:outlineLvl w:val="1"/>
    </w:pPr>
    <w:rPr>
      <w:shd w:val="clear" w:color="auto" w:fill="auto"/>
    </w:rPr>
  </w:style>
  <w:style w:type="paragraph" w:styleId="Titre3">
    <w:name w:val="heading 3"/>
    <w:basedOn w:val="Normal"/>
    <w:next w:val="Normal"/>
    <w:link w:val="Titre3Car"/>
    <w:uiPriority w:val="9"/>
    <w:unhideWhenUsed/>
    <w:qFormat/>
    <w:pPr>
      <w:keepNext/>
      <w:keepLines/>
      <w:numPr>
        <w:ilvl w:val="2"/>
        <w:numId w:val="1"/>
      </w:numPr>
      <w:spacing w:before="40"/>
      <w:outlineLvl w:val="2"/>
    </w:pPr>
    <w:rPr>
      <w:rFonts w:asciiTheme="majorHAnsi" w:eastAsiaTheme="majorEastAsia" w:hAnsiTheme="majorHAnsi" w:cstheme="majorBidi"/>
      <w:b/>
      <w:bCs/>
      <w:color w:val="244061" w:themeColor="accent1" w:themeShade="80"/>
    </w:rPr>
  </w:style>
  <w:style w:type="paragraph" w:styleId="Titre4">
    <w:name w:val="heading 4"/>
    <w:basedOn w:val="Normal"/>
    <w:next w:val="Normal"/>
    <w:link w:val="Titre4Car"/>
    <w:uiPriority w:val="9"/>
    <w:unhideWhenUsed/>
    <w:qFormat/>
    <w:pPr>
      <w:keepNext/>
      <w:keepLines/>
      <w:spacing w:before="40" w:after="0"/>
      <w:outlineLvl w:val="3"/>
    </w:pPr>
    <w:rPr>
      <w:rFonts w:asciiTheme="majorHAnsi" w:eastAsiaTheme="majorEastAsia" w:hAnsiTheme="majorHAnsi" w:cstheme="majorBidi"/>
      <w:i w:val="0"/>
      <w:iCs w:val="0"/>
      <w:color w:val="365F91" w:themeColor="accent1" w:themeShade="BF"/>
    </w:rPr>
  </w:style>
  <w:style w:type="paragraph" w:styleId="Titre5">
    <w:name w:val="heading 5"/>
    <w:basedOn w:val="Normal"/>
    <w:next w:val="Normal"/>
    <w:link w:val="Titre5Car"/>
    <w:uiPriority w:val="9"/>
    <w:unhideWhenUsed/>
    <w:qFormat/>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unhideWhenUsed/>
    <w:qFormat/>
    <w:pPr>
      <w:keepNext/>
      <w:keepLines/>
      <w:numPr>
        <w:ilvl w:val="5"/>
        <w:numId w:val="1"/>
      </w:numPr>
      <w:spacing w:before="40" w:after="0"/>
      <w:outlineLvl w:val="5"/>
    </w:pPr>
    <w:rPr>
      <w:rFonts w:asciiTheme="majorHAnsi" w:eastAsiaTheme="majorEastAsia" w:hAnsiTheme="majorHAnsi" w:cstheme="majorBidi"/>
      <w:color w:val="244061" w:themeColor="accent1" w:themeShade="80"/>
    </w:rPr>
  </w:style>
  <w:style w:type="paragraph" w:styleId="Titre7">
    <w:name w:val="heading 7"/>
    <w:basedOn w:val="Normal"/>
    <w:next w:val="Normal"/>
    <w:link w:val="Titre7Car"/>
    <w:uiPriority w:val="9"/>
    <w:unhideWhenUsed/>
    <w:qFormat/>
    <w:pPr>
      <w:keepNext/>
      <w:keepLines/>
      <w:numPr>
        <w:ilvl w:val="6"/>
        <w:numId w:val="1"/>
      </w:numPr>
      <w:spacing w:before="40" w:after="0"/>
      <w:outlineLvl w:val="6"/>
    </w:pPr>
    <w:rPr>
      <w:rFonts w:asciiTheme="majorHAnsi" w:eastAsiaTheme="majorEastAsia" w:hAnsiTheme="majorHAnsi" w:cstheme="majorBidi"/>
      <w:i w:val="0"/>
      <w:iCs w:val="0"/>
      <w:color w:val="244061" w:themeColor="accent1" w:themeShade="80"/>
    </w:rPr>
  </w:style>
  <w:style w:type="paragraph" w:styleId="Titre8">
    <w:name w:val="heading 8"/>
    <w:basedOn w:val="Normal"/>
    <w:next w:val="Normal"/>
    <w:link w:val="Titre8C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Titre9">
    <w:name w:val="heading 9"/>
    <w:basedOn w:val="Normal"/>
    <w:next w:val="Normal"/>
    <w:link w:val="Titre9C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val="0"/>
      <w:iCs w:val="0"/>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XP-Titre1">
    <w:name w:val="EXP - Titre 1"/>
    <w:basedOn w:val="Paragraphedeliste"/>
    <w:link w:val="EXP-Titre1Car"/>
    <w:autoRedefine/>
    <w:qFormat/>
    <w:pPr>
      <w:numPr>
        <w:numId w:val="2"/>
      </w:numPr>
      <w:spacing w:after="240" w:line="300" w:lineRule="atLeast"/>
    </w:pPr>
    <w:rPr>
      <w:caps/>
      <w:color w:val="FFFFFF" w:themeColor="background1"/>
      <w:shd w:val="clear" w:color="auto" w:fill="004979"/>
    </w:rPr>
  </w:style>
  <w:style w:type="paragraph" w:styleId="Paragraphedeliste">
    <w:name w:val="List Paragraph"/>
    <w:basedOn w:val="Normal"/>
    <w:link w:val="ParagraphedelisteCar"/>
    <w:uiPriority w:val="34"/>
    <w:qFormat/>
    <w:pPr>
      <w:numPr>
        <w:numId w:val="3"/>
      </w:numPr>
      <w:spacing w:after="120"/>
    </w:pPr>
  </w:style>
  <w:style w:type="paragraph" w:customStyle="1" w:styleId="EXP-Titre2">
    <w:name w:val="EXP - Titre 2"/>
    <w:basedOn w:val="Paragraphedeliste"/>
    <w:link w:val="EXP-Titre2Car"/>
    <w:qFormat/>
    <w:pPr>
      <w:numPr>
        <w:ilvl w:val="1"/>
        <w:numId w:val="4"/>
      </w:numPr>
      <w:spacing w:after="240" w:line="300" w:lineRule="atLeast"/>
      <w:ind w:left="709" w:hanging="792"/>
    </w:pPr>
    <w:rPr>
      <w:color w:val="FFFFFF" w:themeColor="background1"/>
      <w:shd w:val="clear" w:color="auto" w:fill="68B1E6"/>
    </w:rPr>
  </w:style>
  <w:style w:type="character" w:styleId="Lienhypertexte">
    <w:name w:val="Hyperlink"/>
    <w:basedOn w:val="Policepardfaut"/>
    <w:uiPriority w:val="99"/>
    <w:unhideWhenUsed/>
    <w:rPr>
      <w:color w:val="0000FF" w:themeColor="hyperlink"/>
      <w:u w:val="single"/>
    </w:rPr>
  </w:style>
  <w:style w:type="character" w:styleId="Appelnotedebasdep">
    <w:name w:val="footnote reference"/>
    <w:basedOn w:val="Policepardfaut"/>
    <w:link w:val="BVIfnrCharCar1CarChar"/>
    <w:unhideWhenUsed/>
    <w:rPr>
      <w:vertAlign w:val="superscript"/>
    </w:rPr>
  </w:style>
  <w:style w:type="paragraph" w:customStyle="1" w:styleId="BVIfnrCharCar1CarChar">
    <w:name w:val="BVI fnr Char Car1 Car Char"/>
    <w:basedOn w:val="Normal"/>
    <w:next w:val="Normal"/>
    <w:link w:val="Appelnotedebasdep"/>
    <w:qFormat/>
    <w:pPr>
      <w:tabs>
        <w:tab w:val="clear" w:pos="9923"/>
      </w:tabs>
      <w:spacing w:after="160" w:line="240" w:lineRule="exact"/>
      <w:ind w:left="0"/>
      <w:jc w:val="left"/>
    </w:pPr>
    <w:rPr>
      <w:rFonts w:asciiTheme="minorHAnsi" w:hAnsiTheme="minorHAnsi" w:cstheme="minorBidi"/>
      <w:i w:val="0"/>
      <w:iCs w:val="0"/>
      <w:color w:val="auto"/>
      <w:sz w:val="20"/>
      <w:szCs w:val="20"/>
      <w:vertAlign w:val="superscript"/>
      <w:lang w:val="en-US"/>
    </w:rPr>
  </w:style>
  <w:style w:type="character" w:styleId="lev">
    <w:name w:val="Strong"/>
    <w:basedOn w:val="Policepardfaut"/>
    <w:uiPriority w:val="22"/>
    <w:qFormat/>
    <w:rPr>
      <w:b/>
      <w:bCs/>
    </w:rPr>
  </w:style>
  <w:style w:type="character" w:styleId="Marquedecommentaire">
    <w:name w:val="annotation reference"/>
    <w:basedOn w:val="Policepardfaut"/>
    <w:uiPriority w:val="99"/>
    <w:semiHidden/>
    <w:unhideWhenUsed/>
    <w:rPr>
      <w:sz w:val="16"/>
      <w:szCs w:val="16"/>
    </w:rPr>
  </w:style>
  <w:style w:type="character" w:styleId="Numrodepage">
    <w:name w:val="page number"/>
    <w:basedOn w:val="Policepardfaut"/>
    <w:uiPriority w:val="99"/>
    <w:semiHidden/>
    <w:unhideWhenUsed/>
  </w:style>
  <w:style w:type="character" w:styleId="Accentuation">
    <w:name w:val="Emphasis"/>
    <w:basedOn w:val="Policepardfaut"/>
    <w:uiPriority w:val="20"/>
    <w:qFormat/>
    <w:rPr>
      <w:i/>
      <w:iCs/>
    </w:rPr>
  </w:style>
  <w:style w:type="character" w:styleId="Lienhypertextesuivivisit">
    <w:name w:val="FollowedHyperlink"/>
    <w:basedOn w:val="Policepardfaut"/>
    <w:uiPriority w:val="99"/>
    <w:semiHidden/>
    <w:unhideWhenUsed/>
    <w:rPr>
      <w:color w:val="800080" w:themeColor="followedHyperlink"/>
      <w:u w:val="single"/>
    </w:rPr>
  </w:style>
  <w:style w:type="paragraph" w:styleId="Notedebasdepage">
    <w:name w:val="footnote text"/>
    <w:basedOn w:val="Normal"/>
    <w:link w:val="NotedebasdepageCar"/>
    <w:semiHidden/>
    <w:unhideWhenUsed/>
    <w:qFormat/>
    <w:pPr>
      <w:spacing w:after="0"/>
    </w:pPr>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paragraph" w:styleId="Commentaire">
    <w:name w:val="annotation text"/>
    <w:basedOn w:val="Normal"/>
    <w:link w:val="CommentaireCar"/>
    <w:uiPriority w:val="99"/>
    <w:unhideWhenUsed/>
    <w:rPr>
      <w:sz w:val="20"/>
      <w:szCs w:val="20"/>
    </w:rPr>
  </w:style>
  <w:style w:type="paragraph" w:styleId="Lgende">
    <w:name w:val="caption"/>
    <w:basedOn w:val="Normal"/>
    <w:next w:val="Normal"/>
    <w:uiPriority w:val="35"/>
    <w:unhideWhenUsed/>
    <w:qFormat/>
    <w:pPr>
      <w:spacing w:after="200"/>
    </w:pPr>
    <w:rPr>
      <w:i w:val="0"/>
      <w:iCs w:val="0"/>
      <w:color w:val="1F497D" w:themeColor="text2"/>
      <w:sz w:val="18"/>
      <w:szCs w:val="18"/>
    </w:rPr>
  </w:style>
  <w:style w:type="paragraph" w:styleId="Textedebulles">
    <w:name w:val="Balloon Text"/>
    <w:basedOn w:val="Normal"/>
    <w:link w:val="TextedebullesCar"/>
    <w:uiPriority w:val="99"/>
    <w:semiHidden/>
    <w:unhideWhenUsed/>
    <w:qFormat/>
    <w:pPr>
      <w:spacing w:after="0"/>
    </w:pPr>
    <w:rPr>
      <w:rFonts w:ascii="Segoe UI" w:hAnsi="Segoe UI" w:cs="Segoe UI"/>
      <w:sz w:val="18"/>
      <w:szCs w:val="18"/>
    </w:rPr>
  </w:style>
  <w:style w:type="paragraph" w:styleId="TM3">
    <w:name w:val="toc 3"/>
    <w:basedOn w:val="Normal"/>
    <w:next w:val="Normal"/>
    <w:autoRedefine/>
    <w:uiPriority w:val="39"/>
    <w:unhideWhenUsed/>
    <w:qFormat/>
    <w:pPr>
      <w:tabs>
        <w:tab w:val="clear" w:pos="9923"/>
      </w:tabs>
      <w:spacing w:after="100"/>
      <w:ind w:left="440"/>
    </w:p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eastAsia="fr-FR"/>
    </w:rPr>
  </w:style>
  <w:style w:type="paragraph" w:styleId="Pieddepage">
    <w:name w:val="footer"/>
    <w:basedOn w:val="Normal"/>
    <w:link w:val="PieddepageCar"/>
    <w:uiPriority w:val="99"/>
    <w:unhideWhenUsed/>
    <w:pPr>
      <w:tabs>
        <w:tab w:val="center" w:pos="4536"/>
        <w:tab w:val="right" w:pos="9072"/>
      </w:tabs>
      <w:spacing w:after="0"/>
    </w:pPr>
  </w:style>
  <w:style w:type="paragraph" w:styleId="En-tte">
    <w:name w:val="header"/>
    <w:basedOn w:val="Normal"/>
    <w:link w:val="En-tteCar"/>
    <w:uiPriority w:val="99"/>
    <w:unhideWhenUsed/>
    <w:qFormat/>
    <w:pPr>
      <w:tabs>
        <w:tab w:val="center" w:pos="4536"/>
        <w:tab w:val="right" w:pos="9072"/>
      </w:tabs>
      <w:spacing w:after="0"/>
    </w:pPr>
  </w:style>
  <w:style w:type="paragraph" w:styleId="TM2">
    <w:name w:val="toc 2"/>
    <w:basedOn w:val="Sansinterligne"/>
    <w:next w:val="Normal"/>
    <w:autoRedefine/>
    <w:uiPriority w:val="39"/>
    <w:unhideWhenUsed/>
    <w:pPr>
      <w:spacing w:after="100"/>
      <w:ind w:left="240"/>
    </w:pPr>
    <w:rPr>
      <w:rFonts w:ascii="Arial" w:hAnsi="Arial"/>
      <w:color w:val="68B1E6"/>
    </w:rPr>
  </w:style>
  <w:style w:type="paragraph" w:styleId="Sansinterligne">
    <w:name w:val="No Spacing"/>
    <w:uiPriority w:val="1"/>
    <w:qFormat/>
    <w:rPr>
      <w:sz w:val="24"/>
      <w:szCs w:val="24"/>
      <w:lang w:eastAsia="ja-JP"/>
    </w:rPr>
  </w:style>
  <w:style w:type="paragraph" w:styleId="Listepuces">
    <w:name w:val="List Bullet"/>
    <w:basedOn w:val="Normal"/>
    <w:uiPriority w:val="99"/>
    <w:semiHidden/>
    <w:unhideWhenUsed/>
    <w:qFormat/>
    <w:pPr>
      <w:numPr>
        <w:numId w:val="5"/>
      </w:numPr>
      <w:contextualSpacing/>
    </w:pPr>
  </w:style>
  <w:style w:type="paragraph" w:styleId="TM1">
    <w:name w:val="toc 1"/>
    <w:basedOn w:val="Sansinterligne"/>
    <w:next w:val="Normal"/>
    <w:autoRedefine/>
    <w:uiPriority w:val="39"/>
    <w:unhideWhenUsed/>
    <w:pPr>
      <w:spacing w:after="100"/>
    </w:pPr>
    <w:rPr>
      <w:rFonts w:ascii="Arial" w:hAnsi="Arial"/>
      <w:b/>
      <w:caps/>
      <w:color w:val="004979"/>
    </w:rPr>
  </w:style>
  <w:style w:type="character" w:customStyle="1" w:styleId="En-tteCar">
    <w:name w:val="En-tête Car"/>
    <w:basedOn w:val="Policepardfaut"/>
    <w:link w:val="En-tte"/>
    <w:uiPriority w:val="99"/>
    <w:rPr>
      <w:sz w:val="24"/>
      <w:szCs w:val="24"/>
      <w:lang w:val="fr-FR"/>
    </w:rPr>
  </w:style>
  <w:style w:type="character" w:customStyle="1" w:styleId="PieddepageCar">
    <w:name w:val="Pied de page Car"/>
    <w:basedOn w:val="Policepardfaut"/>
    <w:link w:val="Pieddepage"/>
    <w:uiPriority w:val="99"/>
    <w:rPr>
      <w:sz w:val="24"/>
      <w:szCs w:val="24"/>
      <w:lang w:val="fr-FR"/>
    </w:rPr>
  </w:style>
  <w:style w:type="character" w:customStyle="1" w:styleId="ParagraphedelisteCar">
    <w:name w:val="Paragraphe de liste Car"/>
    <w:basedOn w:val="Policepardfaut"/>
    <w:link w:val="Paragraphedeliste"/>
    <w:qFormat/>
    <w:rPr>
      <w:rFonts w:ascii="Calibri-Italic" w:hAnsi="Calibri-Italic" w:cs="Arial"/>
      <w:i/>
      <w:iCs/>
      <w:color w:val="000000"/>
      <w:sz w:val="22"/>
      <w:szCs w:val="22"/>
      <w:lang w:val="fr-FR"/>
    </w:rPr>
  </w:style>
  <w:style w:type="character" w:customStyle="1" w:styleId="EXP-Titre1Car">
    <w:name w:val="EXP - Titre 1 Car"/>
    <w:basedOn w:val="ParagraphedelisteCar"/>
    <w:link w:val="EXP-Titre1"/>
    <w:rPr>
      <w:rFonts w:ascii="Calibri-Italic" w:hAnsi="Calibri-Italic" w:cs="Arial"/>
      <w:i/>
      <w:iCs/>
      <w:caps/>
      <w:color w:val="FFFFFF" w:themeColor="background1"/>
      <w:sz w:val="22"/>
      <w:szCs w:val="22"/>
      <w:lang w:val="fr-FR"/>
    </w:rPr>
  </w:style>
  <w:style w:type="paragraph" w:customStyle="1" w:styleId="EXP-Titre3">
    <w:name w:val="EXP - Titre 3"/>
    <w:basedOn w:val="Normal"/>
    <w:link w:val="EXP-Titre3Car"/>
    <w:qFormat/>
    <w:rPr>
      <w:b/>
      <w:color w:val="004979"/>
      <w:shd w:val="clear" w:color="auto" w:fill="E9E4DE"/>
    </w:rPr>
  </w:style>
  <w:style w:type="character" w:customStyle="1" w:styleId="EXP-Titre2Car">
    <w:name w:val="EXP - Titre 2 Car"/>
    <w:basedOn w:val="ParagraphedelisteCar"/>
    <w:link w:val="EXP-Titre2"/>
    <w:rPr>
      <w:rFonts w:ascii="Calibri-Italic" w:hAnsi="Calibri-Italic" w:cs="Arial"/>
      <w:i/>
      <w:iCs/>
      <w:color w:val="FFFFFF" w:themeColor="background1"/>
      <w:sz w:val="22"/>
      <w:szCs w:val="22"/>
      <w:lang w:val="fr-FR"/>
    </w:rPr>
  </w:style>
  <w:style w:type="paragraph" w:customStyle="1" w:styleId="EXP-Titre4">
    <w:name w:val="EXP - Titre 4"/>
    <w:basedOn w:val="Normal"/>
    <w:link w:val="EXP-Titre4Car"/>
    <w:qFormat/>
    <w:rPr>
      <w:b/>
      <w:color w:val="004979"/>
      <w:u w:val="single"/>
    </w:rPr>
  </w:style>
  <w:style w:type="character" w:customStyle="1" w:styleId="EXP-Titre3Car">
    <w:name w:val="EXP - Titre 3 Car"/>
    <w:basedOn w:val="Policepardfaut"/>
    <w:link w:val="EXP-Titre3"/>
    <w:rPr>
      <w:rFonts w:ascii="Arial" w:hAnsi="Arial" w:cs="Arial"/>
      <w:b/>
      <w:color w:val="004979"/>
      <w:sz w:val="22"/>
      <w:szCs w:val="22"/>
      <w:lang w:val="fr-FR"/>
    </w:rPr>
  </w:style>
  <w:style w:type="paragraph" w:customStyle="1" w:styleId="EXP-Contenu">
    <w:name w:val="EXP - Contenu"/>
    <w:basedOn w:val="Normal"/>
    <w:link w:val="EXP-ContenuCar"/>
    <w:qFormat/>
  </w:style>
  <w:style w:type="character" w:customStyle="1" w:styleId="EXP-Titre4Car">
    <w:name w:val="EXP - Titre 4 Car"/>
    <w:basedOn w:val="Policepardfaut"/>
    <w:link w:val="EXP-Titre4"/>
    <w:rPr>
      <w:rFonts w:ascii="Arial" w:hAnsi="Arial" w:cs="Arial"/>
      <w:b/>
      <w:color w:val="004979"/>
      <w:sz w:val="22"/>
      <w:szCs w:val="22"/>
      <w:u w:val="single"/>
      <w:lang w:val="fr-FR"/>
    </w:rPr>
  </w:style>
  <w:style w:type="character" w:customStyle="1" w:styleId="Titre1Car">
    <w:name w:val="Titre 1 Car"/>
    <w:basedOn w:val="Policepardfaut"/>
    <w:link w:val="Titre1"/>
    <w:uiPriority w:val="9"/>
    <w:rPr>
      <w:rFonts w:ascii="Calibri-Italic" w:hAnsi="Calibri-Italic" w:cs="Arial"/>
      <w:i/>
      <w:iCs/>
      <w:caps/>
      <w:color w:val="FFFFFF" w:themeColor="background1"/>
      <w:sz w:val="22"/>
      <w:szCs w:val="22"/>
      <w:shd w:val="clear" w:color="auto" w:fill="1F497D" w:themeFill="text2"/>
      <w:lang w:val="fr-FR"/>
    </w:rPr>
  </w:style>
  <w:style w:type="character" w:customStyle="1" w:styleId="EXP-ContenuCar">
    <w:name w:val="EXP - Contenu Car"/>
    <w:basedOn w:val="Policepardfaut"/>
    <w:link w:val="EXP-Contenu"/>
    <w:rPr>
      <w:rFonts w:ascii="Arial" w:hAnsi="Arial" w:cs="Arial"/>
      <w:sz w:val="22"/>
      <w:szCs w:val="22"/>
      <w:lang w:val="fr-FR"/>
    </w:rPr>
  </w:style>
  <w:style w:type="character" w:customStyle="1" w:styleId="Titre2Car">
    <w:name w:val="Titre 2 Car"/>
    <w:basedOn w:val="Policepardfaut"/>
    <w:link w:val="Titre2"/>
    <w:uiPriority w:val="9"/>
    <w:rPr>
      <w:rFonts w:ascii="Calibri-Italic" w:hAnsi="Calibri-Italic" w:cs="Arial"/>
      <w:i/>
      <w:iCs/>
      <w:color w:val="FFFFFF" w:themeColor="background1"/>
      <w:sz w:val="22"/>
      <w:szCs w:val="22"/>
      <w:shd w:val="clear" w:color="auto" w:fill="95B3D7" w:themeFill="accent1" w:themeFillTint="99"/>
      <w:lang w:val="fr-FR"/>
    </w:rPr>
  </w:style>
  <w:style w:type="character" w:customStyle="1" w:styleId="Titre3Car">
    <w:name w:val="Titre 3 Car"/>
    <w:basedOn w:val="Policepardfaut"/>
    <w:link w:val="Titre3"/>
    <w:uiPriority w:val="9"/>
    <w:rPr>
      <w:rFonts w:asciiTheme="majorHAnsi" w:eastAsiaTheme="majorEastAsia" w:hAnsiTheme="majorHAnsi" w:cstheme="majorBidi"/>
      <w:b/>
      <w:bCs/>
      <w:i/>
      <w:iCs/>
      <w:color w:val="244061" w:themeColor="accent1" w:themeShade="80"/>
      <w:sz w:val="22"/>
      <w:szCs w:val="22"/>
      <w:lang w:val="fr-FR"/>
    </w:rPr>
  </w:style>
  <w:style w:type="character" w:customStyle="1" w:styleId="NotedebasdepageCar">
    <w:name w:val="Note de bas de page Car"/>
    <w:basedOn w:val="Policepardfaut"/>
    <w:link w:val="Notedebasdepage"/>
    <w:semiHidden/>
    <w:rPr>
      <w:lang w:val="fr-FR"/>
    </w:rPr>
  </w:style>
  <w:style w:type="paragraph" w:customStyle="1" w:styleId="En-ttedetabledesmatires1">
    <w:name w:val="En-tête de table des matières1"/>
    <w:basedOn w:val="Titre1"/>
    <w:next w:val="Normal"/>
    <w:uiPriority w:val="39"/>
    <w:unhideWhenUsed/>
    <w:qFormat/>
    <w:pPr>
      <w:spacing w:line="259" w:lineRule="auto"/>
      <w:outlineLvl w:val="9"/>
    </w:pPr>
    <w:rPr>
      <w:lang w:eastAsia="fr-FR"/>
    </w:rPr>
  </w:style>
  <w:style w:type="paragraph" w:customStyle="1" w:styleId="EXPsous-titrefonc">
    <w:name w:val="EXP_sous-titre foncé"/>
    <w:basedOn w:val="Normal"/>
    <w:link w:val="EXPsous-titrefoncCar"/>
    <w:qFormat/>
    <w:pPr>
      <w:spacing w:after="0"/>
    </w:pPr>
    <w:rPr>
      <w:color w:val="FFFFFF" w:themeColor="background1"/>
      <w:sz w:val="50"/>
      <w:szCs w:val="50"/>
      <w:shd w:val="clear" w:color="auto" w:fill="004979"/>
      <w14:props3d w14:extrusionH="0" w14:contourW="12700" w14:prstMaterial="none">
        <w14:contourClr>
          <w14:schemeClr w14:val="bg1"/>
        </w14:contourClr>
      </w14:props3d>
    </w:rPr>
  </w:style>
  <w:style w:type="paragraph" w:customStyle="1" w:styleId="EXP-soustitredfonc">
    <w:name w:val="EXP-sous titre défoncé"/>
    <w:basedOn w:val="Normal"/>
    <w:link w:val="EXP-soustitredfoncCar"/>
    <w:qFormat/>
    <w:pPr>
      <w:spacing w:after="0"/>
    </w:pPr>
    <w:rPr>
      <w:color w:val="C0B5B2"/>
      <w:sz w:val="50"/>
      <w:szCs w:val="50"/>
      <w:shd w:val="clear" w:color="auto" w:fill="FFFFFF"/>
      <w14:props3d w14:extrusionH="0" w14:contourW="12700" w14:prstMaterial="none">
        <w14:contourClr>
          <w14:schemeClr w14:val="bg1"/>
        </w14:contourClr>
      </w14:props3d>
    </w:rPr>
  </w:style>
  <w:style w:type="character" w:customStyle="1" w:styleId="EXPsous-titrefoncCar">
    <w:name w:val="EXP_sous-titre foncé Car"/>
    <w:basedOn w:val="Policepardfaut"/>
    <w:link w:val="EXPsous-titrefonc"/>
    <w:rPr>
      <w:rFonts w:ascii="Arial" w:hAnsi="Arial" w:cs="Arial"/>
      <w:color w:val="FFFFFF" w:themeColor="background1"/>
      <w:sz w:val="50"/>
      <w:szCs w:val="50"/>
      <w:lang w:val="fr-FR"/>
      <w14:props3d w14:extrusionH="0" w14:contourW="12700" w14:prstMaterial="none">
        <w14:contourClr>
          <w14:schemeClr w14:val="bg1"/>
        </w14:contourClr>
      </w14:props3d>
    </w:rPr>
  </w:style>
  <w:style w:type="table" w:styleId="Grilledutableau">
    <w:name w:val="Table Grid"/>
    <w:basedOn w:val="TableauNormal"/>
    <w:uiPriority w:val="5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soustitredfoncCar">
    <w:name w:val="EXP-sous titre défoncé Car"/>
    <w:basedOn w:val="Policepardfaut"/>
    <w:link w:val="EXP-soustitredfonc"/>
    <w:rPr>
      <w:rFonts w:ascii="Arial" w:hAnsi="Arial" w:cs="Arial"/>
      <w:color w:val="C0B5B2"/>
      <w:sz w:val="50"/>
      <w:szCs w:val="50"/>
      <w:lang w:val="fr-FR"/>
      <w14:props3d w14:extrusionH="0" w14:contourW="12700" w14:prstMaterial="none">
        <w14:contourClr>
          <w14:schemeClr w14:val="bg1"/>
        </w14:contourClr>
      </w14:props3d>
    </w:rPr>
  </w:style>
  <w:style w:type="paragraph" w:customStyle="1" w:styleId="2Tableaunormal">
    <w:name w:val="2Tableau_normal"/>
    <w:basedOn w:val="Normal"/>
    <w:link w:val="2TableaunormalCar"/>
    <w:qFormat/>
    <w:pPr>
      <w:tabs>
        <w:tab w:val="clear" w:pos="9923"/>
      </w:tabs>
      <w:spacing w:after="60"/>
      <w:ind w:left="0"/>
    </w:pPr>
    <w:rPr>
      <w:rFonts w:cstheme="minorBidi"/>
      <w:sz w:val="20"/>
      <w:lang w:eastAsia="en-US"/>
    </w:rPr>
  </w:style>
  <w:style w:type="character" w:customStyle="1" w:styleId="2TableaunormalCar">
    <w:name w:val="2Tableau_normal Car"/>
    <w:basedOn w:val="Policepardfaut"/>
    <w:link w:val="2Tableaunormal"/>
    <w:rPr>
      <w:rFonts w:ascii="Arial" w:hAnsi="Arial"/>
      <w:szCs w:val="22"/>
      <w:lang w:val="fr-FR" w:eastAsia="en-US"/>
    </w:rPr>
  </w:style>
  <w:style w:type="character" w:customStyle="1" w:styleId="Mentionnonrsolue1">
    <w:name w:val="Mention non résolue1"/>
    <w:basedOn w:val="Policepardfaut"/>
    <w:uiPriority w:val="99"/>
    <w:semiHidden/>
    <w:unhideWhenUsed/>
    <w:rPr>
      <w:color w:val="605E5C"/>
      <w:shd w:val="clear" w:color="auto" w:fill="E1DFDD"/>
    </w:rPr>
  </w:style>
  <w:style w:type="character" w:customStyle="1" w:styleId="fontstyle01">
    <w:name w:val="fontstyle01"/>
    <w:basedOn w:val="Policepardfaut"/>
    <w:rPr>
      <w:rFonts w:ascii="Verdana-Bold" w:hAnsi="Verdana-Bold" w:hint="default"/>
      <w:b/>
      <w:bCs/>
      <w:color w:val="000000"/>
      <w:sz w:val="20"/>
      <w:szCs w:val="20"/>
    </w:rPr>
  </w:style>
  <w:style w:type="character" w:customStyle="1" w:styleId="fontstyle21">
    <w:name w:val="fontstyle21"/>
    <w:basedOn w:val="Policepardfaut"/>
    <w:rPr>
      <w:rFonts w:ascii="Verdana" w:hAnsi="Verdana" w:hint="default"/>
      <w:color w:val="000000"/>
      <w:sz w:val="18"/>
      <w:szCs w:val="18"/>
    </w:rPr>
  </w:style>
  <w:style w:type="character" w:customStyle="1" w:styleId="Titre4Car">
    <w:name w:val="Titre 4 Car"/>
    <w:basedOn w:val="Policepardfaut"/>
    <w:link w:val="Titre4"/>
    <w:uiPriority w:val="9"/>
    <w:rPr>
      <w:rFonts w:asciiTheme="majorHAnsi" w:eastAsiaTheme="majorEastAsia" w:hAnsiTheme="majorHAnsi" w:cstheme="majorBidi"/>
      <w:i/>
      <w:iCs/>
      <w:color w:val="365F91" w:themeColor="accent1" w:themeShade="BF"/>
      <w:sz w:val="22"/>
      <w:szCs w:val="22"/>
      <w:lang w:val="fr-FR"/>
    </w:rPr>
  </w:style>
  <w:style w:type="paragraph" w:styleId="Citation">
    <w:name w:val="Quote"/>
    <w:basedOn w:val="Normal"/>
    <w:next w:val="Normal"/>
    <w:link w:val="CitationCar"/>
    <w:uiPriority w:val="29"/>
    <w:qFormat/>
    <w:pPr>
      <w:spacing w:before="200" w:after="160"/>
      <w:ind w:left="864" w:right="864"/>
      <w:jc w:val="center"/>
    </w:pPr>
    <w:rPr>
      <w:i w:val="0"/>
      <w:iCs w:val="0"/>
      <w:color w:val="404040" w:themeColor="text1" w:themeTint="BF"/>
    </w:rPr>
  </w:style>
  <w:style w:type="character" w:customStyle="1" w:styleId="CitationCar">
    <w:name w:val="Citation Car"/>
    <w:basedOn w:val="Policepardfaut"/>
    <w:link w:val="Citation"/>
    <w:uiPriority w:val="29"/>
    <w:rPr>
      <w:rFonts w:ascii="Arial" w:hAnsi="Arial" w:cs="Arial"/>
      <w:i/>
      <w:iCs/>
      <w:color w:val="404040" w:themeColor="text1" w:themeTint="BF"/>
      <w:sz w:val="22"/>
      <w:szCs w:val="22"/>
      <w:lang w:val="en-GB"/>
    </w:rPr>
  </w:style>
  <w:style w:type="character" w:customStyle="1" w:styleId="Titre5Car">
    <w:name w:val="Titre 5 Car"/>
    <w:basedOn w:val="Policepardfaut"/>
    <w:link w:val="Titre5"/>
    <w:uiPriority w:val="9"/>
    <w:rPr>
      <w:rFonts w:asciiTheme="majorHAnsi" w:eastAsiaTheme="majorEastAsia" w:hAnsiTheme="majorHAnsi" w:cstheme="majorBidi"/>
      <w:i/>
      <w:iCs/>
      <w:color w:val="365F91" w:themeColor="accent1" w:themeShade="BF"/>
      <w:sz w:val="22"/>
      <w:szCs w:val="22"/>
      <w:lang w:val="fr-FR"/>
    </w:rPr>
  </w:style>
  <w:style w:type="character" w:customStyle="1" w:styleId="Titre6Car">
    <w:name w:val="Titre 6 Car"/>
    <w:basedOn w:val="Policepardfaut"/>
    <w:link w:val="Titre6"/>
    <w:uiPriority w:val="9"/>
    <w:rPr>
      <w:rFonts w:asciiTheme="majorHAnsi" w:eastAsiaTheme="majorEastAsia" w:hAnsiTheme="majorHAnsi" w:cstheme="majorBidi"/>
      <w:i/>
      <w:iCs/>
      <w:color w:val="244061" w:themeColor="accent1" w:themeShade="80"/>
      <w:sz w:val="22"/>
      <w:szCs w:val="22"/>
      <w:lang w:val="fr-FR"/>
    </w:rPr>
  </w:style>
  <w:style w:type="character" w:customStyle="1" w:styleId="Titre7Car">
    <w:name w:val="Titre 7 Car"/>
    <w:basedOn w:val="Policepardfaut"/>
    <w:link w:val="Titre7"/>
    <w:uiPriority w:val="9"/>
    <w:rPr>
      <w:rFonts w:asciiTheme="majorHAnsi" w:eastAsiaTheme="majorEastAsia" w:hAnsiTheme="majorHAnsi" w:cstheme="majorBidi"/>
      <w:color w:val="244061" w:themeColor="accent1" w:themeShade="80"/>
      <w:sz w:val="22"/>
      <w:szCs w:val="22"/>
      <w:lang w:val="fr-FR"/>
    </w:rPr>
  </w:style>
  <w:style w:type="character" w:customStyle="1" w:styleId="Titre8Car">
    <w:name w:val="Titre 8 Car"/>
    <w:basedOn w:val="Policepardfaut"/>
    <w:link w:val="Titre8"/>
    <w:uiPriority w:val="9"/>
    <w:semiHidden/>
    <w:rPr>
      <w:rFonts w:asciiTheme="majorHAnsi" w:eastAsiaTheme="majorEastAsia" w:hAnsiTheme="majorHAnsi" w:cstheme="majorBidi"/>
      <w:i/>
      <w:iCs/>
      <w:color w:val="262626" w:themeColor="text1" w:themeTint="D9"/>
      <w:sz w:val="21"/>
      <w:szCs w:val="21"/>
      <w:lang w:val="fr-FR"/>
    </w:rPr>
  </w:style>
  <w:style w:type="character" w:customStyle="1" w:styleId="Titre9Car">
    <w:name w:val="Titre 9 Car"/>
    <w:basedOn w:val="Policepardfaut"/>
    <w:link w:val="Titre9"/>
    <w:uiPriority w:val="9"/>
    <w:semiHidden/>
    <w:rPr>
      <w:rFonts w:asciiTheme="majorHAnsi" w:eastAsiaTheme="majorEastAsia" w:hAnsiTheme="majorHAnsi" w:cstheme="majorBidi"/>
      <w:color w:val="262626" w:themeColor="text1" w:themeTint="D9"/>
      <w:sz w:val="21"/>
      <w:szCs w:val="21"/>
      <w:lang w:val="fr-FR"/>
    </w:rPr>
  </w:style>
  <w:style w:type="character" w:customStyle="1" w:styleId="fontstyle11">
    <w:name w:val="fontstyle11"/>
    <w:basedOn w:val="Policepardfaut"/>
    <w:rPr>
      <w:rFonts w:ascii="MyriadPro-Regular-Identity-H" w:hAnsi="MyriadPro-Regular-Identity-H" w:hint="default"/>
      <w:color w:val="242021"/>
      <w:sz w:val="18"/>
      <w:szCs w:val="18"/>
    </w:rPr>
  </w:style>
  <w:style w:type="character" w:customStyle="1" w:styleId="fontstyle31">
    <w:name w:val="fontstyle31"/>
    <w:basedOn w:val="Policepardfaut"/>
    <w:rPr>
      <w:rFonts w:ascii="Verdana-Italic" w:hAnsi="Verdana-Italic" w:hint="default"/>
      <w:i/>
      <w:iCs/>
      <w:color w:val="000000"/>
      <w:sz w:val="18"/>
      <w:szCs w:val="18"/>
    </w:rPr>
  </w:style>
  <w:style w:type="character" w:customStyle="1" w:styleId="CommentaireCar">
    <w:name w:val="Commentaire Car"/>
    <w:basedOn w:val="Policepardfaut"/>
    <w:link w:val="Commentaire"/>
    <w:uiPriority w:val="99"/>
    <w:rPr>
      <w:rFonts w:ascii="Arial" w:hAnsi="Arial" w:cs="Arial"/>
      <w:lang w:val="en-GB"/>
    </w:rPr>
  </w:style>
  <w:style w:type="character" w:customStyle="1" w:styleId="ObjetducommentaireCar">
    <w:name w:val="Objet du commentaire Car"/>
    <w:basedOn w:val="CommentaireCar"/>
    <w:link w:val="Objetducommentaire"/>
    <w:uiPriority w:val="99"/>
    <w:semiHidden/>
    <w:qFormat/>
    <w:rPr>
      <w:rFonts w:ascii="Arial" w:hAnsi="Arial" w:cs="Arial"/>
      <w:b/>
      <w:bCs/>
      <w:lang w:val="en-GB"/>
    </w:rPr>
  </w:style>
  <w:style w:type="character" w:customStyle="1" w:styleId="Titre10">
    <w:name w:val="Titre1"/>
    <w:basedOn w:val="Policepardfaut"/>
    <w:qFormat/>
  </w:style>
  <w:style w:type="table" w:customStyle="1" w:styleId="Focus">
    <w:name w:val="Focus"/>
    <w:basedOn w:val="TableauNormal"/>
    <w:uiPriority w:val="99"/>
    <w:qFormat/>
    <w:rPr>
      <w:rFonts w:eastAsiaTheme="minorHAnsi" w:cs="Times New Roman (Corps CS)"/>
      <w:sz w:val="21"/>
      <w:szCs w:val="24"/>
      <w:lang w:eastAsia="en-US"/>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113" w:type="dxa"/>
        <w:left w:w="198" w:type="dxa"/>
        <w:bottom w:w="113" w:type="dxa"/>
        <w:right w:w="198" w:type="dxa"/>
      </w:tblCellMar>
    </w:tblPr>
    <w:tcPr>
      <w:shd w:val="clear" w:color="auto" w:fill="F5F5F5"/>
    </w:tcPr>
    <w:tblStylePr w:type="firstRow">
      <w:rPr>
        <w:rFonts w:asciiTheme="minorHAnsi" w:hAnsiTheme="minorHAnsi"/>
      </w:rPr>
    </w:tblStylePr>
    <w:tblStylePr w:type="lastRow">
      <w:rPr>
        <w:rFonts w:asciiTheme="minorHAnsi" w:hAnsiTheme="minorHAnsi"/>
      </w:rPr>
    </w:tblStylePr>
    <w:tblStylePr w:type="firstCol">
      <w:rPr>
        <w:rFonts w:asciiTheme="minorHAnsi" w:hAnsiTheme="minorHAnsi"/>
      </w:rPr>
    </w:tblStylePr>
    <w:tblStylePr w:type="lastCol">
      <w:rPr>
        <w:rFonts w:asciiTheme="minorHAnsi" w:hAnsiTheme="minorHAnsi"/>
      </w:rPr>
    </w:tblStylePr>
    <w:tblStylePr w:type="band1Vert">
      <w:rPr>
        <w:rFonts w:asciiTheme="minorHAnsi" w:hAnsiTheme="minorHAnsi"/>
      </w:rPr>
    </w:tblStylePr>
    <w:tblStylePr w:type="band2Vert">
      <w:rPr>
        <w:rFonts w:asciiTheme="minorHAnsi" w:hAnsiTheme="minorHAnsi"/>
      </w:rPr>
    </w:tblStylePr>
    <w:tblStylePr w:type="band1Horz">
      <w:rPr>
        <w:rFonts w:asciiTheme="minorHAnsi" w:hAnsiTheme="minorHAnsi"/>
      </w:rPr>
    </w:tblStylePr>
    <w:tblStylePr w:type="band2Horz">
      <w:rPr>
        <w:rFonts w:asciiTheme="minorHAnsi" w:hAnsiTheme="minorHAnsi"/>
      </w:rPr>
    </w:tblStylePr>
    <w:tblStylePr w:type="neCell">
      <w:rPr>
        <w:rFonts w:asciiTheme="minorHAnsi" w:hAnsiTheme="minorHAnsi"/>
      </w:rPr>
    </w:tblStylePr>
    <w:tblStylePr w:type="nwCell">
      <w:rPr>
        <w:rFonts w:asciiTheme="minorHAnsi" w:hAnsiTheme="minorHAnsi"/>
      </w:rPr>
    </w:tblStylePr>
    <w:tblStylePr w:type="seCell">
      <w:rPr>
        <w:rFonts w:asciiTheme="minorHAnsi" w:hAnsiTheme="minorHAnsi"/>
      </w:rPr>
    </w:tblStylePr>
    <w:tblStylePr w:type="swCell">
      <w:rPr>
        <w:rFonts w:asciiTheme="minorHAnsi" w:hAnsiTheme="minorHAnsi"/>
      </w:rPr>
    </w:tblStylePr>
  </w:style>
  <w:style w:type="paragraph" w:customStyle="1" w:styleId="Default">
    <w:name w:val="Default"/>
    <w:qFormat/>
    <w:pPr>
      <w:autoSpaceDE w:val="0"/>
      <w:autoSpaceDN w:val="0"/>
      <w:adjustRightInd w:val="0"/>
    </w:pPr>
    <w:rPr>
      <w:rFonts w:ascii="Verdana" w:eastAsiaTheme="minorHAnsi" w:hAnsi="Verdana" w:cs="Verdana"/>
      <w:color w:val="000000"/>
      <w:sz w:val="24"/>
      <w:szCs w:val="24"/>
      <w:lang w:eastAsia="en-US"/>
    </w:rPr>
  </w:style>
  <w:style w:type="paragraph" w:customStyle="1" w:styleId="StyleStyleChecklist105ptAvant6ptHautPasdebordure">
    <w:name w:val="Style Style Check list + 105 pt Avant : 6 pt Haut: (Pas de bordure)..."/>
    <w:basedOn w:val="Default"/>
    <w:next w:val="Default"/>
    <w:uiPriority w:val="99"/>
    <w:qFormat/>
    <w:rPr>
      <w:rFonts w:cstheme="minorBidi"/>
      <w:color w:val="auto"/>
    </w:rPr>
  </w:style>
  <w:style w:type="paragraph" w:customStyle="1" w:styleId="puceEF">
    <w:name w:val="puce_EF"/>
    <w:basedOn w:val="Paragraphedeliste"/>
    <w:link w:val="puceEFCar"/>
    <w:qFormat/>
    <w:pPr>
      <w:numPr>
        <w:numId w:val="6"/>
      </w:numPr>
    </w:pPr>
  </w:style>
  <w:style w:type="character" w:customStyle="1" w:styleId="puceEFCar">
    <w:name w:val="puce_EF Car"/>
    <w:basedOn w:val="ParagraphedelisteCar"/>
    <w:link w:val="puceEF"/>
    <w:qFormat/>
    <w:rPr>
      <w:rFonts w:ascii="Calibri-Italic" w:hAnsi="Calibri-Italic" w:cs="Arial"/>
      <w:i/>
      <w:iCs/>
      <w:color w:val="000000"/>
      <w:sz w:val="22"/>
      <w:szCs w:val="22"/>
      <w:lang w:val="fr-FR"/>
    </w:rPr>
  </w:style>
  <w:style w:type="table" w:customStyle="1" w:styleId="TableauGrille1Clair-Accentuation11">
    <w:name w:val="Tableau Grille 1 Clair - Accentuation 11"/>
    <w:basedOn w:val="TableauNormal"/>
    <w:uiPriority w:val="46"/>
    <w:qFormat/>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extedebullesCar">
    <w:name w:val="Texte de bulles Car"/>
    <w:basedOn w:val="Policepardfaut"/>
    <w:link w:val="Textedebulles"/>
    <w:uiPriority w:val="99"/>
    <w:semiHidden/>
    <w:qFormat/>
    <w:rPr>
      <w:rFonts w:ascii="Segoe UI" w:hAnsi="Segoe UI" w:cs="Segoe UI"/>
      <w:i/>
      <w:iCs/>
      <w:color w:val="000000"/>
      <w:sz w:val="18"/>
      <w:szCs w:val="18"/>
      <w:lang w:val="fr-FR"/>
    </w:rPr>
  </w:style>
  <w:style w:type="paragraph" w:customStyle="1" w:styleId="heading-2">
    <w:name w:val="heading-2"/>
    <w:basedOn w:val="Normal"/>
    <w:qFormat/>
    <w:pPr>
      <w:numPr>
        <w:ilvl w:val="2"/>
        <w:numId w:val="7"/>
      </w:numPr>
      <w:tabs>
        <w:tab w:val="clear" w:pos="2340"/>
        <w:tab w:val="clear" w:pos="9923"/>
      </w:tabs>
      <w:spacing w:before="100" w:beforeAutospacing="1" w:after="26"/>
      <w:ind w:left="0" w:firstLine="0"/>
      <w:jc w:val="left"/>
    </w:pPr>
    <w:rPr>
      <w:rFonts w:ascii="Arial" w:eastAsia="Times New Roman" w:hAnsi="Arial"/>
      <w:b/>
      <w:bCs/>
      <w:i w:val="0"/>
      <w:iCs w:val="0"/>
      <w:color w:val="000080"/>
      <w:sz w:val="24"/>
      <w:szCs w:val="24"/>
      <w:lang w:eastAsia="fr-FR"/>
    </w:rPr>
  </w:style>
  <w:style w:type="table" w:customStyle="1" w:styleId="TableauListe3-Accentuation11">
    <w:name w:val="Tableau Liste 3 - Accentuation 11"/>
    <w:basedOn w:val="Tableau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68B1DB1-Normal2">
    <w:name w:val="P68B1DB1-Normal2"/>
    <w:basedOn w:val="Normal"/>
    <w:qFormat/>
    <w:rPr>
      <w:rFonts w:eastAsia="Times New Roman" w:hint="eastAsia"/>
      <w:iCs w:val="0"/>
      <w:szCs w:val="20"/>
      <w:lang w:val="en-GB" w:eastAsia="en-GB"/>
    </w:rPr>
  </w:style>
  <w:style w:type="paragraph" w:customStyle="1" w:styleId="P68B1DB1-Normal3">
    <w:name w:val="P68B1DB1-Normal3"/>
    <w:basedOn w:val="Normal"/>
    <w:qFormat/>
    <w:rPr>
      <w:rFonts w:eastAsia="Times New Roman" w:hint="eastAsia"/>
      <w:iCs w:val="0"/>
      <w:szCs w:val="20"/>
      <w:highlight w:val="yellow"/>
      <w:lang w:val="en-GB" w:eastAsia="en-GB"/>
    </w:rPr>
  </w:style>
  <w:style w:type="table" w:customStyle="1" w:styleId="Tableausimple11">
    <w:name w:val="Tableau simple 11"/>
    <w:basedOn w:val="TableauNormal"/>
    <w:uiPriority w:val="41"/>
    <w:qFormat/>
    <w:rPr>
      <w:rFonts w:eastAsiaTheme="minorHAns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lledetableauclaire1">
    <w:name w:val="Grille de tableau claire1"/>
    <w:basedOn w:val="TableauNormal"/>
    <w:uiPriority w:val="40"/>
    <w:qFormat/>
    <w:rPr>
      <w:rFonts w:eastAsiaTheme="minorHAns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Grille3-Accentuation51">
    <w:name w:val="Tableau Grille 3 - Accentuation 51"/>
    <w:basedOn w:val="TableauNormal"/>
    <w:uiPriority w:val="48"/>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eauGrille4-Accentuation51">
    <w:name w:val="Tableau Grille 4 - Accentuation 51"/>
    <w:basedOn w:val="TableauNormal"/>
    <w:uiPriority w:val="49"/>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5Fonc-Accentuation51">
    <w:name w:val="Tableau Grille 5 Foncé - Accentuation 51"/>
    <w:basedOn w:val="Tableau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auGrille6Couleur-Accentuation51">
    <w:name w:val="Tableau Grille 6 Couleur - Accentuation 51"/>
    <w:basedOn w:val="TableauNormal"/>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1Clair-Accentuation51">
    <w:name w:val="Tableau Grille 1 Clair - Accentuation 51"/>
    <w:basedOn w:val="TableauNormal"/>
    <w:uiPriority w:val="46"/>
    <w:qFormat/>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auGrille1Clair-Accentuation12">
    <w:name w:val="Tableau Grille 1 Clair - Accentuation 12"/>
    <w:basedOn w:val="TableauNormal"/>
    <w:uiPriority w:val="46"/>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ragraphedeliste1">
    <w:name w:val="Paragraphe de liste1"/>
    <w:basedOn w:val="Normal"/>
    <w:pPr>
      <w:tabs>
        <w:tab w:val="clear" w:pos="9923"/>
        <w:tab w:val="right" w:leader="dot" w:pos="7440"/>
        <w:tab w:val="right" w:leader="dot" w:pos="30000"/>
      </w:tabs>
      <w:spacing w:before="100" w:beforeAutospacing="1" w:after="100" w:afterAutospacing="1"/>
      <w:ind w:left="0"/>
    </w:pPr>
    <w:rPr>
      <w:rFonts w:eastAsia="MS Mincho"/>
      <w:sz w:val="24"/>
      <w:szCs w:val="24"/>
      <w:lang w:eastAsia="fr-FR"/>
    </w:rPr>
  </w:style>
  <w:style w:type="table" w:customStyle="1" w:styleId="Grilledutableau1">
    <w:name w:val="Grille du tableau1"/>
    <w:basedOn w:val="TableauNormal"/>
    <w:rPr>
      <w:rFonts w:ascii="Times New Roman" w:eastAsia="Cambria" w:hAnsi="Times New Roman" w:cs="Times New Roman"/>
      <w:lang w:eastAsia="en-US"/>
    </w:rPr>
    <w:tblPr>
      <w:tblCellMar>
        <w:left w:w="0" w:type="dxa"/>
        <w:right w:w="0" w:type="dxa"/>
      </w:tblCellMar>
    </w:tblPr>
  </w:style>
  <w:style w:type="paragraph" w:customStyle="1" w:styleId="Rvision1">
    <w:name w:val="Révision1"/>
    <w:hidden/>
    <w:uiPriority w:val="99"/>
    <w:semiHidden/>
    <w:rPr>
      <w:rFonts w:ascii="Calibri-Italic" w:hAnsi="Calibri-Italic" w:cs="Arial"/>
      <w:i/>
      <w:iCs/>
      <w:color w:val="000000"/>
      <w:sz w:val="22"/>
      <w:szCs w:val="22"/>
      <w:lang w:eastAsia="ja-JP"/>
    </w:rPr>
  </w:style>
  <w:style w:type="character" w:customStyle="1" w:styleId="UnresolvedMention">
    <w:name w:val="Unresolved Mention"/>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Name.XSL" StyleName="Gost - Tri par nom"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F7C6B5-A078-4F21-91D7-7C51EFDE7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8671</Words>
  <Characters>47692</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
    </vt:vector>
  </TitlesOfParts>
  <Company>Luciole</Company>
  <LinksUpToDate>false</LinksUpToDate>
  <CharactersWithSpaces>56251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Luciole</dc:creator>
  <cp:lastModifiedBy>Tarak BAOUEB</cp:lastModifiedBy>
  <cp:revision>3</cp:revision>
  <cp:lastPrinted>2025-07-18T09:00:00Z</cp:lastPrinted>
  <dcterms:created xsi:type="dcterms:W3CDTF">2025-07-21T10:32:00Z</dcterms:created>
  <dcterms:modified xsi:type="dcterms:W3CDTF">2025-07-21T14:58:00Z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1036-12.2.0.21931</vt:lpwstr>
  </property>
  <property fmtid="{D5CDD505-2E9C-101B-9397-08002B2CF9AE}" pid="3" name="ICV">
    <vt:lpwstr>2050C8D089B74B1ABBBB1709CF64CF27_13</vt:lpwstr>
  </property>
</Properties>
</file>