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9CD" w14:textId="56717D75" w:rsidR="000525BB" w:rsidRPr="00C03061" w:rsidRDefault="000525BB" w:rsidP="00264B63">
      <w:pPr>
        <w:pStyle w:val="2Tableaunormal"/>
        <w:spacing w:after="0" w:line="276" w:lineRule="auto"/>
        <w:jc w:val="center"/>
        <w:rPr>
          <w:rFonts w:asciiTheme="minorHAnsi" w:hAnsiTheme="minorHAnsi" w:cstheme="minorHAnsi"/>
          <w:sz w:val="22"/>
        </w:rPr>
      </w:pPr>
    </w:p>
    <w:p w14:paraId="7A2328C4" w14:textId="1C44D29E" w:rsidR="000525BB" w:rsidRPr="00C03061" w:rsidRDefault="00264B63" w:rsidP="00264B63">
      <w:pPr>
        <w:pStyle w:val="EXPsous-titrefonc"/>
        <w:spacing w:line="276" w:lineRule="auto"/>
        <w:jc w:val="center"/>
        <w:rPr>
          <w:rFonts w:asciiTheme="minorHAnsi" w:hAnsiTheme="minorHAnsi" w:cstheme="minorHAnsi"/>
          <w:sz w:val="22"/>
          <w:szCs w:val="22"/>
        </w:rPr>
      </w:pPr>
      <w:r w:rsidRPr="00C03061">
        <w:rPr>
          <w:rFonts w:asciiTheme="minorHAnsi" w:hAnsiTheme="minorHAnsi" w:cstheme="minorHAnsi"/>
          <w:noProof/>
          <w:sz w:val="22"/>
          <w:lang w:eastAsia="fr-FR"/>
        </w:rPr>
        <w:drawing>
          <wp:inline distT="0" distB="0" distL="0" distR="0" wp14:anchorId="1750A662" wp14:editId="0C0BACCF">
            <wp:extent cx="2437236" cy="124777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xpertise France - Fond blan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3790" cy="1251131"/>
                    </a:xfrm>
                    <a:prstGeom prst="rect">
                      <a:avLst/>
                    </a:prstGeom>
                    <a:ln>
                      <a:noFill/>
                    </a:ln>
                  </pic:spPr>
                </pic:pic>
              </a:graphicData>
            </a:graphic>
          </wp:inline>
        </w:drawing>
      </w:r>
    </w:p>
    <w:p w14:paraId="31DFEB9A" w14:textId="77777777" w:rsidR="000525BB" w:rsidRPr="00C03061" w:rsidRDefault="000525BB" w:rsidP="00C03061">
      <w:pPr>
        <w:pStyle w:val="EXPsous-titrefonc"/>
        <w:spacing w:line="276" w:lineRule="auto"/>
        <w:rPr>
          <w:rFonts w:asciiTheme="minorHAnsi" w:hAnsiTheme="minorHAnsi" w:cstheme="minorHAnsi"/>
          <w:i w:val="0"/>
          <w:sz w:val="52"/>
          <w:szCs w:val="22"/>
        </w:rPr>
      </w:pPr>
    </w:p>
    <w:p w14:paraId="765E4B48" w14:textId="5D8D1EB7" w:rsidR="000525BB" w:rsidRPr="00C03061" w:rsidRDefault="000525BB" w:rsidP="00264B63">
      <w:pPr>
        <w:pStyle w:val="EXPsous-titrefonc"/>
        <w:spacing w:line="276" w:lineRule="auto"/>
        <w:ind w:left="0"/>
        <w:jc w:val="center"/>
        <w:rPr>
          <w:rFonts w:asciiTheme="minorHAnsi" w:hAnsiTheme="minorHAnsi" w:cstheme="minorHAnsi"/>
          <w:i w:val="0"/>
          <w:sz w:val="52"/>
          <w:szCs w:val="22"/>
        </w:rPr>
      </w:pPr>
      <w:r w:rsidRPr="00C03061">
        <w:rPr>
          <w:rFonts w:asciiTheme="minorHAnsi" w:hAnsiTheme="minorHAnsi" w:cstheme="minorHAnsi"/>
          <w:i w:val="0"/>
          <w:sz w:val="52"/>
          <w:szCs w:val="22"/>
        </w:rPr>
        <w:t>Projet « entrepreneuriat et migration » Tunisie</w:t>
      </w:r>
    </w:p>
    <w:p w14:paraId="1A7B0F48" w14:textId="77777777" w:rsidR="000525BB" w:rsidRPr="00C03061" w:rsidRDefault="000525BB" w:rsidP="00C03061">
      <w:pPr>
        <w:spacing w:after="0" w:line="276" w:lineRule="auto"/>
        <w:jc w:val="both"/>
        <w:rPr>
          <w:rFonts w:asciiTheme="minorHAnsi" w:hAnsiTheme="minorHAnsi" w:cstheme="minorHAnsi"/>
          <w:i/>
          <w:shd w:val="clear" w:color="auto" w:fill="004979"/>
          <w14:props3d w14:extrusionH="0" w14:contourW="12700" w14:prstMaterial="none">
            <w14:contourClr>
              <w14:schemeClr w14:val="bg1"/>
            </w14:contourClr>
          </w14:props3d>
        </w:rPr>
      </w:pPr>
    </w:p>
    <w:p w14:paraId="7E05F606" w14:textId="5E60D9A0" w:rsidR="000525BB" w:rsidRPr="00C03061" w:rsidRDefault="000525BB" w:rsidP="00264B63">
      <w:pPr>
        <w:spacing w:after="0" w:line="276" w:lineRule="auto"/>
        <w:jc w:val="center"/>
        <w:rPr>
          <w:rFonts w:asciiTheme="minorHAnsi" w:hAnsiTheme="minorHAnsi" w:cstheme="minorHAnsi"/>
          <w:i/>
          <w:color w:val="FFFFFF" w:themeColor="background1"/>
          <w:sz w:val="32"/>
          <w:shd w:val="clear" w:color="auto" w:fill="004979"/>
          <w14:props3d w14:extrusionH="0" w14:contourW="12700" w14:prstMaterial="none">
            <w14:contourClr>
              <w14:schemeClr w14:val="bg1"/>
            </w14:contourClr>
          </w14:props3d>
        </w:rPr>
      </w:pPr>
      <w:r w:rsidRPr="00C03061">
        <w:rPr>
          <w:rFonts w:asciiTheme="minorHAnsi" w:hAnsiTheme="minorHAnsi" w:cstheme="minorHAnsi"/>
          <w:color w:val="FFFFFF" w:themeColor="background1"/>
          <w:sz w:val="32"/>
          <w:shd w:val="clear" w:color="auto" w:fill="004979"/>
          <w14:props3d w14:extrusionH="0" w14:contourW="12700" w14:prstMaterial="none">
            <w14:contourClr>
              <w14:schemeClr w14:val="bg1"/>
            </w14:contourClr>
          </w14:props3d>
        </w:rPr>
        <w:t>Termes de référence – Etude d’impact de The DOT et appui à la mi</w:t>
      </w:r>
      <w:r w:rsidR="00264B63">
        <w:rPr>
          <w:rFonts w:asciiTheme="minorHAnsi" w:hAnsiTheme="minorHAnsi" w:cstheme="minorHAnsi"/>
          <w:color w:val="FFFFFF" w:themeColor="background1"/>
          <w:sz w:val="32"/>
          <w:shd w:val="clear" w:color="auto" w:fill="004979"/>
          <w14:props3d w14:extrusionH="0" w14:contourW="12700" w14:prstMaterial="none">
            <w14:contourClr>
              <w14:schemeClr w14:val="bg1"/>
            </w14:contourClr>
          </w14:props3d>
        </w:rPr>
        <w:t>se en place d’un cadre de suivi-évaluation</w:t>
      </w:r>
    </w:p>
    <w:p w14:paraId="61D1DE58" w14:textId="77777777" w:rsidR="000525BB" w:rsidRPr="00C03061" w:rsidRDefault="000525BB" w:rsidP="00C03061">
      <w:pPr>
        <w:spacing w:after="0" w:line="276" w:lineRule="auto"/>
        <w:jc w:val="both"/>
        <w:rPr>
          <w:rFonts w:asciiTheme="minorHAnsi" w:hAnsiTheme="minorHAnsi" w:cstheme="minorHAnsi"/>
          <w:shd w:val="clear" w:color="auto" w:fill="004979"/>
        </w:rPr>
      </w:pPr>
    </w:p>
    <w:p w14:paraId="4B4BCD1B" w14:textId="77777777" w:rsidR="000525BB" w:rsidRPr="00C03061" w:rsidRDefault="000525BB" w:rsidP="00C03061">
      <w:pPr>
        <w:spacing w:after="0" w:line="276" w:lineRule="auto"/>
        <w:jc w:val="both"/>
        <w:rPr>
          <w:rFonts w:asciiTheme="minorHAnsi" w:hAnsiTheme="minorHAnsi" w:cstheme="minorHAnsi"/>
        </w:rPr>
      </w:pPr>
      <w:r w:rsidRPr="00C03061">
        <w:rPr>
          <w:rFonts w:asciiTheme="minorHAnsi" w:hAnsiTheme="minorHAnsi" w:cstheme="minorHAnsi"/>
        </w:rPr>
        <w:br w:type="page"/>
      </w:r>
    </w:p>
    <w:p w14:paraId="5E8EA2C3" w14:textId="77777777" w:rsidR="000525BB" w:rsidRPr="00C03061" w:rsidRDefault="000525BB" w:rsidP="00C03061">
      <w:pPr>
        <w:spacing w:after="0" w:line="276" w:lineRule="auto"/>
        <w:jc w:val="both"/>
        <w:rPr>
          <w:rFonts w:asciiTheme="minorHAnsi" w:hAnsiTheme="minorHAnsi" w:cstheme="minorHAnsi"/>
        </w:rPr>
      </w:pPr>
    </w:p>
    <w:sdt>
      <w:sdtPr>
        <w:rPr>
          <w:rFonts w:asciiTheme="minorHAnsi" w:eastAsiaTheme="minorHAnsi" w:hAnsiTheme="minorHAnsi" w:cstheme="minorHAnsi"/>
          <w:color w:val="auto"/>
          <w:sz w:val="22"/>
          <w:szCs w:val="22"/>
          <w:lang w:eastAsia="en-US"/>
        </w:rPr>
        <w:id w:val="1973935555"/>
        <w:docPartObj>
          <w:docPartGallery w:val="Table of Contents"/>
          <w:docPartUnique/>
        </w:docPartObj>
      </w:sdtPr>
      <w:sdtEndPr>
        <w:rPr>
          <w:b/>
          <w:bCs/>
        </w:rPr>
      </w:sdtEndPr>
      <w:sdtContent>
        <w:p w14:paraId="1DE5A06B" w14:textId="765ADEA7" w:rsidR="000525BB" w:rsidRPr="00C03061" w:rsidRDefault="000525BB" w:rsidP="00C03061">
          <w:pPr>
            <w:pStyle w:val="En-ttedetabledesmatires"/>
            <w:spacing w:line="276" w:lineRule="auto"/>
            <w:jc w:val="both"/>
            <w:rPr>
              <w:rFonts w:asciiTheme="minorHAnsi" w:hAnsiTheme="minorHAnsi" w:cstheme="minorHAnsi"/>
              <w:sz w:val="22"/>
              <w:szCs w:val="22"/>
            </w:rPr>
          </w:pPr>
          <w:r w:rsidRPr="00C03061">
            <w:rPr>
              <w:rFonts w:asciiTheme="minorHAnsi" w:hAnsiTheme="minorHAnsi" w:cstheme="minorHAnsi"/>
              <w:sz w:val="22"/>
              <w:szCs w:val="22"/>
            </w:rPr>
            <w:t>Table des matières</w:t>
          </w:r>
        </w:p>
        <w:p w14:paraId="04466E4E" w14:textId="77777777" w:rsidR="00264B63" w:rsidRDefault="000525BB">
          <w:pPr>
            <w:pStyle w:val="TM1"/>
            <w:rPr>
              <w:rFonts w:asciiTheme="minorHAnsi" w:eastAsiaTheme="minorEastAsia" w:hAnsiTheme="minorHAnsi"/>
              <w:bCs w:val="0"/>
              <w:lang w:eastAsia="fr-FR"/>
            </w:rPr>
          </w:pPr>
          <w:r w:rsidRPr="00C03061">
            <w:rPr>
              <w:rFonts w:asciiTheme="minorHAnsi" w:hAnsiTheme="minorHAnsi" w:cstheme="minorHAnsi"/>
            </w:rPr>
            <w:fldChar w:fldCharType="begin"/>
          </w:r>
          <w:r w:rsidRPr="00C03061">
            <w:rPr>
              <w:rFonts w:asciiTheme="minorHAnsi" w:hAnsiTheme="minorHAnsi" w:cstheme="minorHAnsi"/>
            </w:rPr>
            <w:instrText xml:space="preserve"> TOC \o "1-3" \h \z \u </w:instrText>
          </w:r>
          <w:r w:rsidRPr="00C03061">
            <w:rPr>
              <w:rFonts w:asciiTheme="minorHAnsi" w:hAnsiTheme="minorHAnsi" w:cstheme="minorHAnsi"/>
            </w:rPr>
            <w:fldChar w:fldCharType="separate"/>
          </w:r>
          <w:hyperlink w:anchor="_Toc213859191" w:history="1">
            <w:r w:rsidR="00264B63" w:rsidRPr="00FD42E1">
              <w:rPr>
                <w:rStyle w:val="Lienhypertexte"/>
                <w:rFonts w:cstheme="minorHAnsi"/>
              </w:rPr>
              <w:t>0.</w:t>
            </w:r>
            <w:r w:rsidR="00264B63">
              <w:rPr>
                <w:rFonts w:asciiTheme="minorHAnsi" w:eastAsiaTheme="minorEastAsia" w:hAnsiTheme="minorHAnsi"/>
                <w:bCs w:val="0"/>
                <w:lang w:eastAsia="fr-FR"/>
              </w:rPr>
              <w:tab/>
            </w:r>
            <w:r w:rsidR="00264B63" w:rsidRPr="00FD42E1">
              <w:rPr>
                <w:rStyle w:val="Lienhypertexte"/>
                <w:rFonts w:cstheme="minorHAnsi"/>
              </w:rPr>
              <w:t>Contexte et problématique</w:t>
            </w:r>
            <w:r w:rsidR="00264B63">
              <w:rPr>
                <w:webHidden/>
              </w:rPr>
              <w:tab/>
            </w:r>
            <w:r w:rsidR="00264B63">
              <w:rPr>
                <w:webHidden/>
              </w:rPr>
              <w:fldChar w:fldCharType="begin"/>
            </w:r>
            <w:r w:rsidR="00264B63">
              <w:rPr>
                <w:webHidden/>
              </w:rPr>
              <w:instrText xml:space="preserve"> PAGEREF _Toc213859191 \h </w:instrText>
            </w:r>
            <w:r w:rsidR="00264B63">
              <w:rPr>
                <w:webHidden/>
              </w:rPr>
            </w:r>
            <w:r w:rsidR="00264B63">
              <w:rPr>
                <w:webHidden/>
              </w:rPr>
              <w:fldChar w:fldCharType="end"/>
            </w:r>
          </w:hyperlink>
        </w:p>
        <w:p w14:paraId="1D0251DF" w14:textId="77777777" w:rsidR="00264B63" w:rsidRDefault="00582A51">
          <w:pPr>
            <w:pStyle w:val="TM1"/>
            <w:rPr>
              <w:rFonts w:asciiTheme="minorHAnsi" w:eastAsiaTheme="minorEastAsia" w:hAnsiTheme="minorHAnsi"/>
              <w:bCs w:val="0"/>
              <w:lang w:eastAsia="fr-FR"/>
            </w:rPr>
          </w:pPr>
          <w:hyperlink w:anchor="_Toc213859192" w:history="1">
            <w:r w:rsidR="00264B63" w:rsidRPr="00FD42E1">
              <w:rPr>
                <w:rStyle w:val="Lienhypertexte"/>
                <w:lang w:eastAsia="ja-JP"/>
              </w:rPr>
              <w:t>1.</w:t>
            </w:r>
            <w:r w:rsidR="00264B63">
              <w:rPr>
                <w:rFonts w:asciiTheme="minorHAnsi" w:eastAsiaTheme="minorEastAsia" w:hAnsiTheme="minorHAnsi"/>
                <w:bCs w:val="0"/>
                <w:lang w:eastAsia="fr-FR"/>
              </w:rPr>
              <w:tab/>
            </w:r>
            <w:r w:rsidR="00264B63" w:rsidRPr="00FD42E1">
              <w:rPr>
                <w:rStyle w:val="Lienhypertexte"/>
                <w:rFonts w:cstheme="minorHAnsi"/>
              </w:rPr>
              <w:t>Objectifs et résultats attendus de la mission</w:t>
            </w:r>
            <w:r w:rsidR="00264B63">
              <w:rPr>
                <w:webHidden/>
              </w:rPr>
              <w:tab/>
            </w:r>
            <w:r w:rsidR="00264B63">
              <w:rPr>
                <w:webHidden/>
              </w:rPr>
              <w:fldChar w:fldCharType="begin"/>
            </w:r>
            <w:r w:rsidR="00264B63">
              <w:rPr>
                <w:webHidden/>
              </w:rPr>
              <w:instrText xml:space="preserve"> PAGEREF _Toc213859192 \h </w:instrText>
            </w:r>
            <w:r w:rsidR="00264B63">
              <w:rPr>
                <w:webHidden/>
              </w:rPr>
            </w:r>
            <w:r w:rsidR="00264B63">
              <w:rPr>
                <w:webHidden/>
              </w:rPr>
              <w:fldChar w:fldCharType="end"/>
            </w:r>
          </w:hyperlink>
        </w:p>
        <w:p w14:paraId="7D0B9FF1" w14:textId="77777777" w:rsidR="00264B63" w:rsidRDefault="00582A51">
          <w:pPr>
            <w:pStyle w:val="TM3"/>
            <w:tabs>
              <w:tab w:val="right" w:leader="dot" w:pos="9060"/>
            </w:tabs>
            <w:rPr>
              <w:rFonts w:asciiTheme="minorHAnsi" w:eastAsiaTheme="minorEastAsia" w:hAnsiTheme="minorHAnsi"/>
              <w:lang w:eastAsia="fr-FR"/>
            </w:rPr>
          </w:pPr>
          <w:hyperlink w:anchor="_Toc213859193" w:history="1">
            <w:r w:rsidR="00264B63" w:rsidRPr="00FD42E1">
              <w:rPr>
                <w:rStyle w:val="Lienhypertexte"/>
                <w:rFonts w:eastAsia="MS Gothic" w:cstheme="minorHAnsi"/>
                <w:b/>
                <w:bCs/>
                <w:iCs/>
                <w:lang w:eastAsia="ja-JP"/>
              </w:rPr>
              <w:t>Objectifs et attentes générales de la mission</w:t>
            </w:r>
            <w:r w:rsidR="00264B63">
              <w:rPr>
                <w:webHidden/>
              </w:rPr>
              <w:tab/>
            </w:r>
            <w:r w:rsidR="00264B63">
              <w:rPr>
                <w:webHidden/>
              </w:rPr>
              <w:fldChar w:fldCharType="begin"/>
            </w:r>
            <w:r w:rsidR="00264B63">
              <w:rPr>
                <w:webHidden/>
              </w:rPr>
              <w:instrText xml:space="preserve"> PAGEREF _Toc213859193 \h </w:instrText>
            </w:r>
            <w:r w:rsidR="00264B63">
              <w:rPr>
                <w:webHidden/>
              </w:rPr>
            </w:r>
            <w:r w:rsidR="00264B63">
              <w:rPr>
                <w:webHidden/>
              </w:rPr>
              <w:fldChar w:fldCharType="end"/>
            </w:r>
          </w:hyperlink>
        </w:p>
        <w:p w14:paraId="4203C8C7" w14:textId="77777777" w:rsidR="00264B63" w:rsidRDefault="00582A51">
          <w:pPr>
            <w:pStyle w:val="TM3"/>
            <w:tabs>
              <w:tab w:val="right" w:leader="dot" w:pos="9060"/>
            </w:tabs>
            <w:rPr>
              <w:rFonts w:asciiTheme="minorHAnsi" w:eastAsiaTheme="minorEastAsia" w:hAnsiTheme="minorHAnsi"/>
              <w:lang w:eastAsia="fr-FR"/>
            </w:rPr>
          </w:pPr>
          <w:hyperlink w:anchor="_Toc213859194" w:history="1">
            <w:r w:rsidR="00264B63" w:rsidRPr="00FD42E1">
              <w:rPr>
                <w:rStyle w:val="Lienhypertexte"/>
                <w:rFonts w:eastAsia="MS Gothic" w:cstheme="minorHAnsi"/>
                <w:b/>
                <w:bCs/>
                <w:iCs/>
                <w:lang w:eastAsia="ja-JP"/>
              </w:rPr>
              <w:t>Périmètre de l’évaluation :</w:t>
            </w:r>
            <w:r w:rsidR="00264B63">
              <w:rPr>
                <w:webHidden/>
              </w:rPr>
              <w:tab/>
            </w:r>
            <w:r w:rsidR="00264B63">
              <w:rPr>
                <w:webHidden/>
              </w:rPr>
              <w:fldChar w:fldCharType="begin"/>
            </w:r>
            <w:r w:rsidR="00264B63">
              <w:rPr>
                <w:webHidden/>
              </w:rPr>
              <w:instrText xml:space="preserve"> PAGEREF _Toc213859194 \h </w:instrText>
            </w:r>
            <w:r w:rsidR="00264B63">
              <w:rPr>
                <w:webHidden/>
              </w:rPr>
            </w:r>
            <w:r w:rsidR="00264B63">
              <w:rPr>
                <w:webHidden/>
              </w:rPr>
              <w:fldChar w:fldCharType="end"/>
            </w:r>
          </w:hyperlink>
        </w:p>
        <w:p w14:paraId="263A473F" w14:textId="77777777" w:rsidR="00264B63" w:rsidRDefault="00582A51">
          <w:pPr>
            <w:pStyle w:val="TM1"/>
            <w:rPr>
              <w:rFonts w:asciiTheme="minorHAnsi" w:eastAsiaTheme="minorEastAsia" w:hAnsiTheme="minorHAnsi"/>
              <w:bCs w:val="0"/>
              <w:lang w:eastAsia="fr-FR"/>
            </w:rPr>
          </w:pPr>
          <w:hyperlink w:anchor="_Toc213859195" w:history="1">
            <w:r w:rsidR="00264B63" w:rsidRPr="00FD42E1">
              <w:rPr>
                <w:rStyle w:val="Lienhypertexte"/>
                <w:rFonts w:cstheme="minorHAnsi"/>
              </w:rPr>
              <w:t>2.</w:t>
            </w:r>
            <w:r w:rsidR="00264B63">
              <w:rPr>
                <w:rFonts w:asciiTheme="minorHAnsi" w:eastAsiaTheme="minorEastAsia" w:hAnsiTheme="minorHAnsi"/>
                <w:bCs w:val="0"/>
                <w:lang w:eastAsia="fr-FR"/>
              </w:rPr>
              <w:tab/>
            </w:r>
            <w:r w:rsidR="00264B63" w:rsidRPr="00FD42E1">
              <w:rPr>
                <w:rStyle w:val="Lienhypertexte"/>
                <w:rFonts w:cstheme="minorHAnsi"/>
              </w:rPr>
              <w:t>Déroulé de la mission</w:t>
            </w:r>
            <w:r w:rsidR="00264B63">
              <w:rPr>
                <w:webHidden/>
              </w:rPr>
              <w:tab/>
            </w:r>
            <w:r w:rsidR="00264B63">
              <w:rPr>
                <w:webHidden/>
              </w:rPr>
              <w:fldChar w:fldCharType="begin"/>
            </w:r>
            <w:r w:rsidR="00264B63">
              <w:rPr>
                <w:webHidden/>
              </w:rPr>
              <w:instrText xml:space="preserve"> PAGEREF _Toc213859195 \h </w:instrText>
            </w:r>
            <w:r w:rsidR="00264B63">
              <w:rPr>
                <w:webHidden/>
              </w:rPr>
            </w:r>
            <w:r w:rsidR="00264B63">
              <w:rPr>
                <w:webHidden/>
              </w:rPr>
              <w:fldChar w:fldCharType="end"/>
            </w:r>
          </w:hyperlink>
        </w:p>
        <w:p w14:paraId="24CC0445" w14:textId="77777777" w:rsidR="00264B63" w:rsidRDefault="00582A51">
          <w:pPr>
            <w:pStyle w:val="TM3"/>
            <w:tabs>
              <w:tab w:val="right" w:leader="dot" w:pos="9060"/>
            </w:tabs>
            <w:rPr>
              <w:rFonts w:asciiTheme="minorHAnsi" w:eastAsiaTheme="minorEastAsia" w:hAnsiTheme="minorHAnsi"/>
              <w:lang w:eastAsia="fr-FR"/>
            </w:rPr>
          </w:pPr>
          <w:hyperlink w:anchor="_Toc213859196" w:history="1">
            <w:r w:rsidR="00264B63" w:rsidRPr="00FD42E1">
              <w:rPr>
                <w:rStyle w:val="Lienhypertexte"/>
                <w:rFonts w:eastAsia="MS Gothic" w:cstheme="minorHAnsi"/>
                <w:b/>
                <w:bCs/>
                <w:iCs/>
                <w:lang w:eastAsia="ja-JP"/>
              </w:rPr>
              <w:t>Coordination de la mission</w:t>
            </w:r>
            <w:r w:rsidR="00264B63">
              <w:rPr>
                <w:webHidden/>
              </w:rPr>
              <w:tab/>
            </w:r>
            <w:r w:rsidR="00264B63">
              <w:rPr>
                <w:webHidden/>
              </w:rPr>
              <w:fldChar w:fldCharType="begin"/>
            </w:r>
            <w:r w:rsidR="00264B63">
              <w:rPr>
                <w:webHidden/>
              </w:rPr>
              <w:instrText xml:space="preserve"> PAGEREF _Toc213859196 \h </w:instrText>
            </w:r>
            <w:r w:rsidR="00264B63">
              <w:rPr>
                <w:webHidden/>
              </w:rPr>
            </w:r>
            <w:r w:rsidR="00264B63">
              <w:rPr>
                <w:webHidden/>
              </w:rPr>
              <w:fldChar w:fldCharType="end"/>
            </w:r>
          </w:hyperlink>
        </w:p>
        <w:p w14:paraId="41CC9060" w14:textId="77777777" w:rsidR="00264B63" w:rsidRDefault="00582A51">
          <w:pPr>
            <w:pStyle w:val="TM3"/>
            <w:tabs>
              <w:tab w:val="right" w:leader="dot" w:pos="9060"/>
            </w:tabs>
            <w:rPr>
              <w:rFonts w:asciiTheme="minorHAnsi" w:eastAsiaTheme="minorEastAsia" w:hAnsiTheme="minorHAnsi"/>
              <w:lang w:eastAsia="fr-FR"/>
            </w:rPr>
          </w:pPr>
          <w:hyperlink w:anchor="_Toc213859197" w:history="1">
            <w:r w:rsidR="00264B63" w:rsidRPr="00FD42E1">
              <w:rPr>
                <w:rStyle w:val="Lienhypertexte"/>
                <w:rFonts w:eastAsia="MS Gothic" w:cstheme="minorHAnsi"/>
                <w:b/>
                <w:bCs/>
                <w:iCs/>
                <w:lang w:eastAsia="ja-JP"/>
              </w:rPr>
              <w:t>Phase de démarrage – note de cadrage</w:t>
            </w:r>
            <w:r w:rsidR="00264B63">
              <w:rPr>
                <w:webHidden/>
              </w:rPr>
              <w:tab/>
            </w:r>
            <w:r w:rsidR="00264B63">
              <w:rPr>
                <w:webHidden/>
              </w:rPr>
              <w:fldChar w:fldCharType="begin"/>
            </w:r>
            <w:r w:rsidR="00264B63">
              <w:rPr>
                <w:webHidden/>
              </w:rPr>
              <w:instrText xml:space="preserve"> PAGEREF _Toc213859197 \h </w:instrText>
            </w:r>
            <w:r w:rsidR="00264B63">
              <w:rPr>
                <w:webHidden/>
              </w:rPr>
            </w:r>
            <w:r w:rsidR="00264B63">
              <w:rPr>
                <w:webHidden/>
              </w:rPr>
              <w:fldChar w:fldCharType="end"/>
            </w:r>
          </w:hyperlink>
        </w:p>
        <w:p w14:paraId="5FCB8D63" w14:textId="77777777" w:rsidR="00264B63" w:rsidRDefault="00582A51">
          <w:pPr>
            <w:pStyle w:val="TM3"/>
            <w:tabs>
              <w:tab w:val="right" w:leader="dot" w:pos="9060"/>
            </w:tabs>
            <w:rPr>
              <w:rFonts w:asciiTheme="minorHAnsi" w:eastAsiaTheme="minorEastAsia" w:hAnsiTheme="minorHAnsi"/>
              <w:lang w:eastAsia="fr-FR"/>
            </w:rPr>
          </w:pPr>
          <w:hyperlink w:anchor="_Toc213859198" w:history="1">
            <w:r w:rsidR="00264B63" w:rsidRPr="00FD42E1">
              <w:rPr>
                <w:rStyle w:val="Lienhypertexte"/>
                <w:rFonts w:eastAsia="MS Gothic" w:cstheme="minorHAnsi"/>
                <w:b/>
                <w:bCs/>
                <w:iCs/>
                <w:lang w:eastAsia="ja-JP"/>
              </w:rPr>
              <w:t>Phase de collecte, analyse et co-construction du plan de suivi-évaluation – rapport provisoire</w:t>
            </w:r>
            <w:r w:rsidR="00264B63">
              <w:rPr>
                <w:webHidden/>
              </w:rPr>
              <w:tab/>
            </w:r>
            <w:r w:rsidR="00264B63">
              <w:rPr>
                <w:webHidden/>
              </w:rPr>
              <w:fldChar w:fldCharType="begin"/>
            </w:r>
            <w:r w:rsidR="00264B63">
              <w:rPr>
                <w:webHidden/>
              </w:rPr>
              <w:instrText xml:space="preserve"> PAGEREF _Toc213859198 \h </w:instrText>
            </w:r>
            <w:r w:rsidR="00264B63">
              <w:rPr>
                <w:webHidden/>
              </w:rPr>
            </w:r>
            <w:r w:rsidR="00264B63">
              <w:rPr>
                <w:webHidden/>
              </w:rPr>
              <w:fldChar w:fldCharType="end"/>
            </w:r>
          </w:hyperlink>
        </w:p>
        <w:p w14:paraId="1EFBF8FE" w14:textId="77777777" w:rsidR="00264B63" w:rsidRDefault="00582A51">
          <w:pPr>
            <w:pStyle w:val="TM3"/>
            <w:tabs>
              <w:tab w:val="right" w:leader="dot" w:pos="9060"/>
            </w:tabs>
            <w:rPr>
              <w:rFonts w:asciiTheme="minorHAnsi" w:eastAsiaTheme="minorEastAsia" w:hAnsiTheme="minorHAnsi"/>
              <w:lang w:eastAsia="fr-FR"/>
            </w:rPr>
          </w:pPr>
          <w:hyperlink w:anchor="_Toc213859199" w:history="1">
            <w:r w:rsidR="00264B63" w:rsidRPr="00FD42E1">
              <w:rPr>
                <w:rStyle w:val="Lienhypertexte"/>
                <w:rFonts w:eastAsia="MS Gothic" w:cstheme="minorHAnsi"/>
                <w:b/>
                <w:bCs/>
                <w:iCs/>
                <w:lang w:eastAsia="ja-JP"/>
              </w:rPr>
              <w:t>Livrable final définitif – rapport final</w:t>
            </w:r>
            <w:r w:rsidR="00264B63">
              <w:rPr>
                <w:webHidden/>
              </w:rPr>
              <w:tab/>
            </w:r>
            <w:r w:rsidR="00264B63">
              <w:rPr>
                <w:webHidden/>
              </w:rPr>
              <w:fldChar w:fldCharType="begin"/>
            </w:r>
            <w:r w:rsidR="00264B63">
              <w:rPr>
                <w:webHidden/>
              </w:rPr>
              <w:instrText xml:space="preserve"> PAGEREF _Toc213859199 \h </w:instrText>
            </w:r>
            <w:r w:rsidR="00264B63">
              <w:rPr>
                <w:webHidden/>
              </w:rPr>
            </w:r>
            <w:r w:rsidR="00264B63">
              <w:rPr>
                <w:webHidden/>
              </w:rPr>
              <w:fldChar w:fldCharType="end"/>
            </w:r>
          </w:hyperlink>
        </w:p>
        <w:p w14:paraId="438BDC93" w14:textId="77777777" w:rsidR="00264B63" w:rsidRDefault="00582A51">
          <w:pPr>
            <w:pStyle w:val="TM1"/>
            <w:rPr>
              <w:rFonts w:asciiTheme="minorHAnsi" w:eastAsiaTheme="minorEastAsia" w:hAnsiTheme="minorHAnsi"/>
              <w:bCs w:val="0"/>
              <w:lang w:eastAsia="fr-FR"/>
            </w:rPr>
          </w:pPr>
          <w:hyperlink w:anchor="_Toc213859200" w:history="1">
            <w:r w:rsidR="00264B63" w:rsidRPr="00FD42E1">
              <w:rPr>
                <w:rStyle w:val="Lienhypertexte"/>
              </w:rPr>
              <w:t>3.</w:t>
            </w:r>
            <w:r w:rsidR="00264B63">
              <w:rPr>
                <w:rFonts w:asciiTheme="minorHAnsi" w:eastAsiaTheme="minorEastAsia" w:hAnsiTheme="minorHAnsi"/>
                <w:bCs w:val="0"/>
                <w:lang w:eastAsia="fr-FR"/>
              </w:rPr>
              <w:tab/>
            </w:r>
            <w:r w:rsidR="00264B63" w:rsidRPr="00FD42E1">
              <w:rPr>
                <w:rStyle w:val="Lienhypertexte"/>
              </w:rPr>
              <w:t>Conception de l’offre technique et financière</w:t>
            </w:r>
            <w:r w:rsidR="00264B63">
              <w:rPr>
                <w:webHidden/>
              </w:rPr>
              <w:tab/>
            </w:r>
            <w:r w:rsidR="00264B63">
              <w:rPr>
                <w:webHidden/>
              </w:rPr>
              <w:fldChar w:fldCharType="begin"/>
            </w:r>
            <w:r w:rsidR="00264B63">
              <w:rPr>
                <w:webHidden/>
              </w:rPr>
              <w:instrText xml:space="preserve"> PAGEREF _Toc213859200 \h </w:instrText>
            </w:r>
            <w:r w:rsidR="00264B63">
              <w:rPr>
                <w:webHidden/>
              </w:rPr>
            </w:r>
            <w:r w:rsidR="00264B63">
              <w:rPr>
                <w:webHidden/>
              </w:rPr>
              <w:fldChar w:fldCharType="end"/>
            </w:r>
          </w:hyperlink>
        </w:p>
        <w:p w14:paraId="6799C4FF" w14:textId="77777777" w:rsidR="00264B63" w:rsidRDefault="00582A51">
          <w:pPr>
            <w:pStyle w:val="TM1"/>
            <w:rPr>
              <w:rFonts w:asciiTheme="minorHAnsi" w:eastAsiaTheme="minorEastAsia" w:hAnsiTheme="minorHAnsi"/>
              <w:bCs w:val="0"/>
              <w:lang w:eastAsia="fr-FR"/>
            </w:rPr>
          </w:pPr>
          <w:hyperlink w:anchor="_Toc213859201" w:history="1">
            <w:r w:rsidR="00264B63" w:rsidRPr="00FD42E1">
              <w:rPr>
                <w:rStyle w:val="Lienhypertexte"/>
                <w:rFonts w:cstheme="minorHAnsi"/>
              </w:rPr>
              <w:t>Offre technique</w:t>
            </w:r>
            <w:r w:rsidR="00264B63">
              <w:rPr>
                <w:webHidden/>
              </w:rPr>
              <w:tab/>
            </w:r>
            <w:r w:rsidR="00264B63">
              <w:rPr>
                <w:webHidden/>
              </w:rPr>
              <w:fldChar w:fldCharType="begin"/>
            </w:r>
            <w:r w:rsidR="00264B63">
              <w:rPr>
                <w:webHidden/>
              </w:rPr>
              <w:instrText xml:space="preserve"> PAGEREF _Toc213859201 \h </w:instrText>
            </w:r>
            <w:r w:rsidR="00264B63">
              <w:rPr>
                <w:webHidden/>
              </w:rPr>
            </w:r>
            <w:r w:rsidR="00264B63">
              <w:rPr>
                <w:webHidden/>
              </w:rPr>
              <w:fldChar w:fldCharType="end"/>
            </w:r>
          </w:hyperlink>
        </w:p>
        <w:p w14:paraId="1127636D" w14:textId="77777777" w:rsidR="00264B63" w:rsidRDefault="00582A51">
          <w:pPr>
            <w:pStyle w:val="TM1"/>
            <w:rPr>
              <w:rFonts w:asciiTheme="minorHAnsi" w:eastAsiaTheme="minorEastAsia" w:hAnsiTheme="minorHAnsi"/>
              <w:bCs w:val="0"/>
              <w:lang w:eastAsia="fr-FR"/>
            </w:rPr>
          </w:pPr>
          <w:hyperlink w:anchor="_Toc213859202" w:history="1">
            <w:r w:rsidR="00264B63" w:rsidRPr="00FD42E1">
              <w:rPr>
                <w:rStyle w:val="Lienhypertexte"/>
                <w:rFonts w:cstheme="minorHAnsi"/>
              </w:rPr>
              <w:t>Offre financière</w:t>
            </w:r>
            <w:r w:rsidR="00264B63">
              <w:rPr>
                <w:webHidden/>
              </w:rPr>
              <w:tab/>
            </w:r>
            <w:r w:rsidR="00264B63">
              <w:rPr>
                <w:webHidden/>
              </w:rPr>
              <w:fldChar w:fldCharType="begin"/>
            </w:r>
            <w:r w:rsidR="00264B63">
              <w:rPr>
                <w:webHidden/>
              </w:rPr>
              <w:instrText xml:space="preserve"> PAGEREF _Toc213859202 \h </w:instrText>
            </w:r>
            <w:r w:rsidR="00264B63">
              <w:rPr>
                <w:webHidden/>
              </w:rPr>
            </w:r>
            <w:r w:rsidR="00264B63">
              <w:rPr>
                <w:webHidden/>
              </w:rPr>
              <w:fldChar w:fldCharType="end"/>
            </w:r>
          </w:hyperlink>
        </w:p>
        <w:p w14:paraId="2F1DF895" w14:textId="77777777" w:rsidR="00264B63" w:rsidRDefault="00582A51">
          <w:pPr>
            <w:pStyle w:val="TM1"/>
            <w:rPr>
              <w:rFonts w:asciiTheme="minorHAnsi" w:eastAsiaTheme="minorEastAsia" w:hAnsiTheme="minorHAnsi"/>
              <w:bCs w:val="0"/>
              <w:lang w:eastAsia="fr-FR"/>
            </w:rPr>
          </w:pPr>
          <w:hyperlink w:anchor="_Toc213859203" w:history="1">
            <w:r w:rsidR="00264B63" w:rsidRPr="00FD42E1">
              <w:rPr>
                <w:rStyle w:val="Lienhypertexte"/>
              </w:rPr>
              <w:t>4.</w:t>
            </w:r>
            <w:r w:rsidR="00264B63">
              <w:rPr>
                <w:rFonts w:asciiTheme="minorHAnsi" w:eastAsiaTheme="minorEastAsia" w:hAnsiTheme="minorHAnsi"/>
                <w:bCs w:val="0"/>
                <w:lang w:eastAsia="fr-FR"/>
              </w:rPr>
              <w:tab/>
            </w:r>
            <w:r w:rsidR="00264B63" w:rsidRPr="00FD42E1">
              <w:rPr>
                <w:rStyle w:val="Lienhypertexte"/>
              </w:rPr>
              <w:t>Critères d’évaluation des offres</w:t>
            </w:r>
            <w:r w:rsidR="00264B63">
              <w:rPr>
                <w:webHidden/>
              </w:rPr>
              <w:tab/>
            </w:r>
            <w:r w:rsidR="00264B63">
              <w:rPr>
                <w:webHidden/>
              </w:rPr>
              <w:fldChar w:fldCharType="begin"/>
            </w:r>
            <w:r w:rsidR="00264B63">
              <w:rPr>
                <w:webHidden/>
              </w:rPr>
              <w:instrText xml:space="preserve"> PAGEREF _Toc213859203 \h </w:instrText>
            </w:r>
            <w:r w:rsidR="00264B63">
              <w:rPr>
                <w:webHidden/>
              </w:rPr>
            </w:r>
            <w:r w:rsidR="00264B63">
              <w:rPr>
                <w:webHidden/>
              </w:rPr>
              <w:fldChar w:fldCharType="end"/>
            </w:r>
          </w:hyperlink>
        </w:p>
        <w:p w14:paraId="2BD63782" w14:textId="77777777" w:rsidR="00264B63" w:rsidRDefault="00582A51">
          <w:pPr>
            <w:pStyle w:val="TM1"/>
            <w:rPr>
              <w:rFonts w:asciiTheme="minorHAnsi" w:eastAsiaTheme="minorEastAsia" w:hAnsiTheme="minorHAnsi"/>
              <w:bCs w:val="0"/>
              <w:lang w:eastAsia="fr-FR"/>
            </w:rPr>
          </w:pPr>
          <w:hyperlink w:anchor="_Toc213859204" w:history="1">
            <w:r w:rsidR="00264B63" w:rsidRPr="00FD42E1">
              <w:rPr>
                <w:rStyle w:val="Lienhypertexte"/>
              </w:rPr>
              <w:t>5.</w:t>
            </w:r>
            <w:r w:rsidR="00264B63">
              <w:rPr>
                <w:rFonts w:asciiTheme="minorHAnsi" w:eastAsiaTheme="minorEastAsia" w:hAnsiTheme="minorHAnsi"/>
                <w:bCs w:val="0"/>
                <w:lang w:eastAsia="fr-FR"/>
              </w:rPr>
              <w:tab/>
            </w:r>
            <w:r w:rsidR="00264B63" w:rsidRPr="00FD42E1">
              <w:rPr>
                <w:rStyle w:val="Lienhypertexte"/>
              </w:rPr>
              <w:t>Profil du prestataire</w:t>
            </w:r>
            <w:r w:rsidR="00264B63">
              <w:rPr>
                <w:webHidden/>
              </w:rPr>
              <w:tab/>
            </w:r>
            <w:r w:rsidR="00264B63">
              <w:rPr>
                <w:webHidden/>
              </w:rPr>
              <w:fldChar w:fldCharType="begin"/>
            </w:r>
            <w:r w:rsidR="00264B63">
              <w:rPr>
                <w:webHidden/>
              </w:rPr>
              <w:instrText xml:space="preserve"> PAGEREF _Toc213859204 \h </w:instrText>
            </w:r>
            <w:r w:rsidR="00264B63">
              <w:rPr>
                <w:webHidden/>
              </w:rPr>
            </w:r>
            <w:r w:rsidR="00264B63">
              <w:rPr>
                <w:webHidden/>
              </w:rPr>
              <w:fldChar w:fldCharType="end"/>
            </w:r>
          </w:hyperlink>
        </w:p>
        <w:p w14:paraId="541C45B9" w14:textId="77777777" w:rsidR="00264B63" w:rsidRDefault="00582A51">
          <w:pPr>
            <w:pStyle w:val="TM1"/>
            <w:rPr>
              <w:rFonts w:asciiTheme="minorHAnsi" w:eastAsiaTheme="minorEastAsia" w:hAnsiTheme="minorHAnsi"/>
              <w:bCs w:val="0"/>
              <w:lang w:eastAsia="fr-FR"/>
            </w:rPr>
          </w:pPr>
          <w:hyperlink w:anchor="_Toc213859205" w:history="1">
            <w:r w:rsidR="00264B63" w:rsidRPr="00FD42E1">
              <w:rPr>
                <w:rStyle w:val="Lienhypertexte"/>
                <w:rFonts w:cstheme="minorHAnsi"/>
              </w:rPr>
              <w:t>Profil du prestataire (cabinet et/ou consortium) en charge de l’exécution globale de la présente mission</w:t>
            </w:r>
            <w:r w:rsidR="00264B63">
              <w:rPr>
                <w:webHidden/>
              </w:rPr>
              <w:tab/>
            </w:r>
            <w:r w:rsidR="00264B63">
              <w:rPr>
                <w:webHidden/>
              </w:rPr>
              <w:fldChar w:fldCharType="begin"/>
            </w:r>
            <w:r w:rsidR="00264B63">
              <w:rPr>
                <w:webHidden/>
              </w:rPr>
              <w:instrText xml:space="preserve"> PAGEREF _Toc213859205 \h </w:instrText>
            </w:r>
            <w:r w:rsidR="00264B63">
              <w:rPr>
                <w:webHidden/>
              </w:rPr>
            </w:r>
            <w:r w:rsidR="00264B63">
              <w:rPr>
                <w:webHidden/>
              </w:rPr>
              <w:fldChar w:fldCharType="end"/>
            </w:r>
          </w:hyperlink>
        </w:p>
        <w:p w14:paraId="5BABBFB1" w14:textId="77777777" w:rsidR="00264B63" w:rsidRDefault="00582A51">
          <w:pPr>
            <w:pStyle w:val="TM1"/>
            <w:rPr>
              <w:rFonts w:asciiTheme="minorHAnsi" w:eastAsiaTheme="minorEastAsia" w:hAnsiTheme="minorHAnsi"/>
              <w:bCs w:val="0"/>
              <w:lang w:eastAsia="fr-FR"/>
            </w:rPr>
          </w:pPr>
          <w:hyperlink w:anchor="_Toc213859206" w:history="1">
            <w:r w:rsidR="00264B63" w:rsidRPr="00FD42E1">
              <w:rPr>
                <w:rStyle w:val="Lienhypertexte"/>
                <w:rFonts w:cstheme="minorHAnsi"/>
              </w:rPr>
              <w:t>Binôme d’expert.es en pilotage de l’étude</w:t>
            </w:r>
            <w:r w:rsidR="00264B63">
              <w:rPr>
                <w:webHidden/>
              </w:rPr>
              <w:tab/>
            </w:r>
            <w:r w:rsidR="00264B63">
              <w:rPr>
                <w:webHidden/>
              </w:rPr>
              <w:fldChar w:fldCharType="begin"/>
            </w:r>
            <w:r w:rsidR="00264B63">
              <w:rPr>
                <w:webHidden/>
              </w:rPr>
              <w:instrText xml:space="preserve"> PAGEREF _Toc213859206 \h </w:instrText>
            </w:r>
            <w:r w:rsidR="00264B63">
              <w:rPr>
                <w:webHidden/>
              </w:rPr>
            </w:r>
            <w:r w:rsidR="00264B63">
              <w:rPr>
                <w:webHidden/>
              </w:rPr>
              <w:fldChar w:fldCharType="end"/>
            </w:r>
          </w:hyperlink>
        </w:p>
        <w:p w14:paraId="66E5E24F" w14:textId="77777777" w:rsidR="00264B63" w:rsidRDefault="00582A51">
          <w:pPr>
            <w:pStyle w:val="TM1"/>
            <w:rPr>
              <w:rFonts w:asciiTheme="minorHAnsi" w:eastAsiaTheme="minorEastAsia" w:hAnsiTheme="minorHAnsi"/>
              <w:bCs w:val="0"/>
              <w:lang w:eastAsia="fr-FR"/>
            </w:rPr>
          </w:pPr>
          <w:hyperlink w:anchor="_Toc213859207" w:history="1">
            <w:r w:rsidR="00264B63" w:rsidRPr="00FD42E1">
              <w:rPr>
                <w:rStyle w:val="Lienhypertexte"/>
                <w:rFonts w:cstheme="minorHAnsi"/>
              </w:rPr>
              <w:t>Pool d’expert.es et/ou d’enquêteurs.trices complémentaires</w:t>
            </w:r>
            <w:r w:rsidR="00264B63">
              <w:rPr>
                <w:webHidden/>
              </w:rPr>
              <w:tab/>
            </w:r>
            <w:r w:rsidR="00264B63">
              <w:rPr>
                <w:webHidden/>
              </w:rPr>
              <w:fldChar w:fldCharType="begin"/>
            </w:r>
            <w:r w:rsidR="00264B63">
              <w:rPr>
                <w:webHidden/>
              </w:rPr>
              <w:instrText xml:space="preserve"> PAGEREF _Toc213859207 \h </w:instrText>
            </w:r>
            <w:r w:rsidR="00264B63">
              <w:rPr>
                <w:webHidden/>
              </w:rPr>
            </w:r>
            <w:r w:rsidR="00264B63">
              <w:rPr>
                <w:webHidden/>
              </w:rPr>
              <w:fldChar w:fldCharType="end"/>
            </w:r>
          </w:hyperlink>
        </w:p>
        <w:p w14:paraId="1C27D7F4" w14:textId="77777777" w:rsidR="00264B63" w:rsidRDefault="00582A51">
          <w:pPr>
            <w:pStyle w:val="TM1"/>
            <w:rPr>
              <w:rFonts w:asciiTheme="minorHAnsi" w:eastAsiaTheme="minorEastAsia" w:hAnsiTheme="minorHAnsi"/>
              <w:bCs w:val="0"/>
              <w:lang w:eastAsia="fr-FR"/>
            </w:rPr>
          </w:pPr>
          <w:hyperlink w:anchor="_Toc213859208" w:history="1">
            <w:r w:rsidR="00264B63" w:rsidRPr="00FD42E1">
              <w:rPr>
                <w:rStyle w:val="Lienhypertexte"/>
              </w:rPr>
              <w:t>6.</w:t>
            </w:r>
            <w:r w:rsidR="00264B63">
              <w:rPr>
                <w:rFonts w:asciiTheme="minorHAnsi" w:eastAsiaTheme="minorEastAsia" w:hAnsiTheme="minorHAnsi"/>
                <w:bCs w:val="0"/>
                <w:lang w:eastAsia="fr-FR"/>
              </w:rPr>
              <w:tab/>
            </w:r>
            <w:r w:rsidR="00264B63" w:rsidRPr="00FD42E1">
              <w:rPr>
                <w:rStyle w:val="Lienhypertexte"/>
              </w:rPr>
              <w:t>Annexes (sur demande)</w:t>
            </w:r>
            <w:r w:rsidR="00264B63">
              <w:rPr>
                <w:webHidden/>
              </w:rPr>
              <w:tab/>
            </w:r>
            <w:r w:rsidR="00264B63">
              <w:rPr>
                <w:webHidden/>
              </w:rPr>
              <w:fldChar w:fldCharType="begin"/>
            </w:r>
            <w:r w:rsidR="00264B63">
              <w:rPr>
                <w:webHidden/>
              </w:rPr>
              <w:instrText xml:space="preserve"> PAGEREF _Toc213859208 \h </w:instrText>
            </w:r>
            <w:r w:rsidR="00264B63">
              <w:rPr>
                <w:webHidden/>
              </w:rPr>
            </w:r>
            <w:r w:rsidR="00264B63">
              <w:rPr>
                <w:webHidden/>
              </w:rPr>
              <w:fldChar w:fldCharType="end"/>
            </w:r>
          </w:hyperlink>
        </w:p>
        <w:p w14:paraId="0D47FD05" w14:textId="6D4ED4CB" w:rsidR="000525BB" w:rsidRPr="00C03061" w:rsidRDefault="000525BB" w:rsidP="00C03061">
          <w:pPr>
            <w:spacing w:after="0" w:line="276" w:lineRule="auto"/>
            <w:jc w:val="both"/>
            <w:rPr>
              <w:rFonts w:asciiTheme="minorHAnsi" w:hAnsiTheme="minorHAnsi" w:cstheme="minorHAnsi"/>
            </w:rPr>
          </w:pPr>
          <w:r w:rsidRPr="00C03061">
            <w:rPr>
              <w:rFonts w:asciiTheme="minorHAnsi" w:hAnsiTheme="minorHAnsi" w:cstheme="minorHAnsi"/>
              <w:b/>
              <w:bCs/>
            </w:rPr>
            <w:fldChar w:fldCharType="end"/>
          </w:r>
        </w:p>
      </w:sdtContent>
    </w:sdt>
    <w:p w14:paraId="3A947EC1" w14:textId="6E395C4F" w:rsidR="000525BB" w:rsidRPr="003A38EB" w:rsidRDefault="000525BB" w:rsidP="00C03061">
      <w:pPr>
        <w:spacing w:after="0" w:line="276" w:lineRule="auto"/>
        <w:jc w:val="both"/>
        <w:rPr>
          <w:rFonts w:asciiTheme="minorHAnsi" w:hAnsiTheme="minorHAnsi" w:cstheme="minorHAnsi"/>
        </w:rPr>
      </w:pPr>
      <w:r w:rsidRPr="003A38EB">
        <w:rPr>
          <w:rFonts w:asciiTheme="minorHAnsi" w:hAnsiTheme="minorHAnsi" w:cstheme="minorHAnsi"/>
        </w:rPr>
        <w:br w:type="page"/>
      </w:r>
    </w:p>
    <w:p w14:paraId="4437382C" w14:textId="77777777" w:rsidR="000525BB" w:rsidRPr="003A38EB" w:rsidRDefault="000525BB" w:rsidP="00C03061">
      <w:pPr>
        <w:spacing w:after="0" w:line="276" w:lineRule="auto"/>
        <w:jc w:val="both"/>
        <w:rPr>
          <w:rFonts w:asciiTheme="minorHAnsi" w:hAnsiTheme="minorHAnsi" w:cstheme="minorHAnsi"/>
        </w:rPr>
      </w:pPr>
    </w:p>
    <w:p w14:paraId="2E795F1D" w14:textId="60FD5FA5" w:rsidR="000525BB" w:rsidRDefault="008F0375" w:rsidP="00C03061">
      <w:pPr>
        <w:pStyle w:val="Titre1"/>
        <w:spacing w:after="0" w:line="276" w:lineRule="auto"/>
        <w:rPr>
          <w:rFonts w:asciiTheme="minorHAnsi" w:hAnsiTheme="minorHAnsi" w:cstheme="minorHAnsi"/>
          <w:sz w:val="28"/>
          <w:szCs w:val="22"/>
        </w:rPr>
      </w:pPr>
      <w:bookmarkStart w:id="0" w:name="_Toc213073015"/>
      <w:bookmarkStart w:id="1" w:name="_Toc213074381"/>
      <w:bookmarkStart w:id="2" w:name="_Ref508121651"/>
      <w:bookmarkStart w:id="3" w:name="_Ref508121655"/>
      <w:bookmarkStart w:id="4" w:name="_Toc508619995"/>
      <w:bookmarkStart w:id="5" w:name="_Toc119493821"/>
      <w:bookmarkStart w:id="6" w:name="_Toc160172698"/>
      <w:bookmarkStart w:id="7" w:name="_Toc173484553"/>
      <w:bookmarkStart w:id="8" w:name="_Toc213859191"/>
      <w:bookmarkEnd w:id="0"/>
      <w:bookmarkEnd w:id="1"/>
      <w:r w:rsidRPr="00C03061">
        <w:rPr>
          <w:rFonts w:asciiTheme="minorHAnsi" w:hAnsiTheme="minorHAnsi" w:cstheme="minorHAnsi"/>
          <w:sz w:val="28"/>
          <w:szCs w:val="22"/>
        </w:rPr>
        <w:t>Contexte</w:t>
      </w:r>
      <w:bookmarkEnd w:id="2"/>
      <w:bookmarkEnd w:id="3"/>
      <w:bookmarkEnd w:id="4"/>
      <w:bookmarkEnd w:id="5"/>
      <w:bookmarkEnd w:id="6"/>
      <w:bookmarkEnd w:id="7"/>
      <w:r w:rsidR="004C4946">
        <w:rPr>
          <w:rFonts w:asciiTheme="minorHAnsi" w:hAnsiTheme="minorHAnsi" w:cstheme="minorHAnsi"/>
          <w:sz w:val="28"/>
          <w:szCs w:val="22"/>
        </w:rPr>
        <w:t xml:space="preserve"> et problématique</w:t>
      </w:r>
      <w:bookmarkEnd w:id="8"/>
      <w:r w:rsidR="004C4946">
        <w:rPr>
          <w:rFonts w:asciiTheme="minorHAnsi" w:hAnsiTheme="minorHAnsi" w:cstheme="minorHAnsi"/>
          <w:sz w:val="28"/>
          <w:szCs w:val="22"/>
        </w:rPr>
        <w:t xml:space="preserve"> </w:t>
      </w:r>
    </w:p>
    <w:p w14:paraId="3CEFA117" w14:textId="77777777" w:rsidR="004C4946" w:rsidRPr="00C03061" w:rsidRDefault="004C4946" w:rsidP="00C03061">
      <w:pPr>
        <w:pStyle w:val="Paragraphedeliste"/>
        <w:spacing w:line="276" w:lineRule="auto"/>
        <w:jc w:val="both"/>
      </w:pPr>
    </w:p>
    <w:p w14:paraId="654E18A4" w14:textId="059A9137" w:rsidR="004C4946" w:rsidRPr="00C03061" w:rsidRDefault="004C4946" w:rsidP="00C03061">
      <w:pPr>
        <w:autoSpaceDE w:val="0"/>
        <w:autoSpaceDN w:val="0"/>
        <w:adjustRightInd w:val="0"/>
        <w:spacing w:after="0" w:line="276" w:lineRule="auto"/>
        <w:jc w:val="both"/>
        <w:rPr>
          <w:rFonts w:asciiTheme="minorHAnsi" w:hAnsiTheme="minorHAnsi" w:cstheme="minorHAnsi"/>
          <w:u w:val="single"/>
        </w:rPr>
      </w:pPr>
      <w:r w:rsidRPr="00C03061">
        <w:rPr>
          <w:rFonts w:asciiTheme="minorHAnsi" w:hAnsiTheme="minorHAnsi" w:cstheme="minorHAnsi"/>
          <w:u w:val="single"/>
        </w:rPr>
        <w:t>Le projet « Entrepreneuriat et migration »</w:t>
      </w:r>
      <w:r>
        <w:rPr>
          <w:rFonts w:asciiTheme="minorHAnsi" w:hAnsiTheme="minorHAnsi" w:cstheme="minorHAnsi"/>
          <w:u w:val="single"/>
        </w:rPr>
        <w:t> :</w:t>
      </w:r>
    </w:p>
    <w:p w14:paraId="37FE8AFD" w14:textId="43566ADA" w:rsidR="004C4946" w:rsidRPr="00C03061" w:rsidRDefault="004C4946" w:rsidP="00C03061">
      <w:pPr>
        <w:autoSpaceDE w:val="0"/>
        <w:autoSpaceDN w:val="0"/>
        <w:adjustRightInd w:val="0"/>
        <w:spacing w:after="0" w:line="276" w:lineRule="auto"/>
        <w:jc w:val="both"/>
        <w:rPr>
          <w:rFonts w:asciiTheme="minorHAnsi" w:hAnsiTheme="minorHAnsi" w:cstheme="minorHAnsi"/>
        </w:rPr>
      </w:pPr>
      <w:r w:rsidRPr="00C03061">
        <w:rPr>
          <w:rFonts w:asciiTheme="minorHAnsi" w:hAnsiTheme="minorHAnsi" w:cstheme="minorHAnsi"/>
        </w:rPr>
        <w:t xml:space="preserve">La révolution tunisienne de 2011 a révélé les inégalités socio-économiques et politiques, conduisant à considérer l’entrepreneuriat comme une solution au chômage des jeunes (notamment diplômés et des femmes) et comme un levier dans la lutte contre la migration irrégulière. En parallèle, cette période a vu l’émergence d’acteurs de la société civile et la création de premières initiatives privées de soutien à l’entrepreneuriat. Ces acteurs ont joué un rôle important dans le plaidoyer pour un cadre structurant de soutien à l’entrepreneuriat en Tunisie. Cette dynamique a conduit à la création d’une taskforce sous l’égide de l’ancien ministre des TIC (Nooman Fehri), réunissant institutions publiques, acteurs privés, société civile, investisseurs. Cette dernière a élaboré une stratégie nationale de soutien aux startups tunisiennes, qui visait à stimuler l’écosystème entrepreneurial aboutissant à l’adoption du </w:t>
      </w:r>
      <w:r w:rsidRPr="00C03061">
        <w:rPr>
          <w:rFonts w:asciiTheme="minorHAnsi" w:hAnsiTheme="minorHAnsi" w:cstheme="minorHAnsi"/>
          <w:i/>
          <w:iCs/>
        </w:rPr>
        <w:t xml:space="preserve">Startup Act </w:t>
      </w:r>
      <w:r w:rsidRPr="00C03061">
        <w:rPr>
          <w:rFonts w:asciiTheme="minorHAnsi" w:hAnsiTheme="minorHAnsi" w:cstheme="minorHAnsi"/>
        </w:rPr>
        <w:t>en 2018. Dans ce contexte, l’entrepreneuriat est devenu une des priorités de la coopération franco-tunisienne.</w:t>
      </w:r>
    </w:p>
    <w:p w14:paraId="71715796" w14:textId="77777777" w:rsidR="004C4946" w:rsidRPr="00C03061" w:rsidRDefault="004C4946" w:rsidP="00C03061">
      <w:pPr>
        <w:autoSpaceDE w:val="0"/>
        <w:autoSpaceDN w:val="0"/>
        <w:adjustRightInd w:val="0"/>
        <w:spacing w:after="0" w:line="276" w:lineRule="auto"/>
        <w:jc w:val="both"/>
        <w:rPr>
          <w:rFonts w:asciiTheme="minorHAnsi" w:hAnsiTheme="minorHAnsi" w:cstheme="minorHAnsi"/>
        </w:rPr>
      </w:pPr>
    </w:p>
    <w:p w14:paraId="409EF737" w14:textId="77777777" w:rsidR="004C4946" w:rsidRPr="00C03061" w:rsidRDefault="004C4946" w:rsidP="00C03061">
      <w:pPr>
        <w:autoSpaceDE w:val="0"/>
        <w:autoSpaceDN w:val="0"/>
        <w:adjustRightInd w:val="0"/>
        <w:spacing w:after="0" w:line="276" w:lineRule="auto"/>
        <w:jc w:val="both"/>
        <w:rPr>
          <w:rFonts w:asciiTheme="minorHAnsi" w:hAnsiTheme="minorHAnsi" w:cstheme="minorHAnsi"/>
        </w:rPr>
      </w:pPr>
      <w:r w:rsidRPr="00C03061">
        <w:rPr>
          <w:rFonts w:asciiTheme="minorHAnsi" w:hAnsiTheme="minorHAnsi" w:cstheme="minorHAnsi"/>
        </w:rPr>
        <w:t xml:space="preserve">Depuis 2018, le Groupe AFD soutient le développement de l'innovation et de l'écosystème entrepreneurial en Tunisie, en accompagnant l’adoption du Startup Act. Ce soutien se concentre sur deux axes : l’appui aux politiques publiques et au cadre réglementaire, ainsi que le renforcement des structures d’accompagnement et des entreprises. L’AFD a financé plusieurs projets, tels qu'EnLien (5M EUR) et FAST (5,5M EUR), en partenariat avec la Caisse des Dépôts et Consignations tunisienne et Expertise France. Elle a également soutenu des initiatives comme les centres ELIFE (3M EUR) ainsi que des projets de l’UE tels qu'Innov’i (14,85M EUR) et Greenov’i (12M EUR). EF a par ailleurs acquis aux niveaux national et régional une renommée solide, notamment grâce au projet MEET Africa 2 (8,5M€), également financé par l’AFD et l’UE. La Tunisie figure parmi les principaux bénéficiaires du programme Choose Africa de l’AFD. Plus de 3000 entrepreneurs ont ainsi été soutenus, et plus d’une trentaine de structures d’accompagnement ont été renforcées, faisant du Groupe AFD un acteur clé du soutien à l’écosystème de l’entrepreneuriat et de l’innovation. Le projet Innov’i est devenu une véritable « marque » reconnue au sein de l’écosystème tunisien et international pour son impact positif. </w:t>
      </w:r>
    </w:p>
    <w:p w14:paraId="2B19B3DE" w14:textId="77777777" w:rsidR="004C4946" w:rsidRDefault="004C4946" w:rsidP="00C03061">
      <w:pPr>
        <w:pStyle w:val="Default"/>
        <w:spacing w:line="276" w:lineRule="auto"/>
        <w:jc w:val="both"/>
        <w:rPr>
          <w:rFonts w:asciiTheme="minorHAnsi" w:hAnsiTheme="minorHAnsi" w:cstheme="minorHAnsi"/>
          <w:color w:val="auto"/>
          <w:sz w:val="22"/>
          <w:szCs w:val="22"/>
          <w:lang w:eastAsia="en-US"/>
        </w:rPr>
      </w:pPr>
    </w:p>
    <w:p w14:paraId="49F36571" w14:textId="5B1E0E5C" w:rsidR="004C4946" w:rsidRPr="00C03061" w:rsidRDefault="004C4946" w:rsidP="00C03061">
      <w:pPr>
        <w:pStyle w:val="Default"/>
        <w:spacing w:line="276" w:lineRule="auto"/>
        <w:jc w:val="both"/>
        <w:rPr>
          <w:rFonts w:asciiTheme="minorHAnsi" w:hAnsiTheme="minorHAnsi" w:cstheme="minorHAnsi"/>
          <w:b/>
          <w:color w:val="auto"/>
          <w:sz w:val="22"/>
          <w:szCs w:val="22"/>
          <w:lang w:eastAsia="en-US"/>
        </w:rPr>
      </w:pPr>
      <w:r w:rsidRPr="00C03061">
        <w:rPr>
          <w:rFonts w:asciiTheme="minorHAnsi" w:hAnsiTheme="minorHAnsi" w:cstheme="minorHAnsi"/>
          <w:color w:val="auto"/>
          <w:sz w:val="22"/>
          <w:szCs w:val="22"/>
          <w:lang w:eastAsia="en-US"/>
        </w:rPr>
        <w:t xml:space="preserve">L’AFD vise désormais à pérenniser et étendre à plus grande échelle les acquis de ces projets. Cependant, selon l’analyse de l’écosystème de l’entrepreneuriat et de l’innovation en Tunisie (Quadrant Conseil, 2024), des défis importants demeurent pour asseoir un véritable écosystème de l’innovation et de l’entrepreneuriat mature et pérenne : </w:t>
      </w:r>
      <w:r w:rsidRPr="00C03061">
        <w:rPr>
          <w:rFonts w:asciiTheme="minorHAnsi" w:hAnsiTheme="minorHAnsi" w:cstheme="minorHAnsi"/>
          <w:b/>
          <w:color w:val="auto"/>
          <w:sz w:val="22"/>
          <w:szCs w:val="22"/>
          <w:lang w:eastAsia="en-US"/>
        </w:rPr>
        <w:t xml:space="preserve">fragilité de l’offre d’accompagnement et de financement, acculturation des administrations existantes, etc. </w:t>
      </w:r>
    </w:p>
    <w:p w14:paraId="3996A629" w14:textId="77777777" w:rsidR="004C4946" w:rsidRDefault="004C4946" w:rsidP="00C03061">
      <w:pPr>
        <w:pStyle w:val="Default"/>
        <w:spacing w:line="276" w:lineRule="auto"/>
        <w:jc w:val="both"/>
        <w:rPr>
          <w:rFonts w:asciiTheme="minorHAnsi" w:hAnsiTheme="minorHAnsi" w:cstheme="minorHAnsi"/>
          <w:color w:val="auto"/>
          <w:sz w:val="22"/>
          <w:szCs w:val="22"/>
          <w:lang w:eastAsia="en-US"/>
        </w:rPr>
      </w:pPr>
    </w:p>
    <w:p w14:paraId="19876E81" w14:textId="42E7415C" w:rsidR="004C4946" w:rsidRDefault="004C4946" w:rsidP="00C03061">
      <w:pPr>
        <w:pStyle w:val="Default"/>
        <w:spacing w:line="276" w:lineRule="auto"/>
        <w:jc w:val="both"/>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Le projet « entrepreneuriat et migration » </w:t>
      </w:r>
      <w:r w:rsidRPr="00C03061">
        <w:rPr>
          <w:rFonts w:asciiTheme="minorHAnsi" w:hAnsiTheme="minorHAnsi" w:cstheme="minorHAnsi"/>
          <w:color w:val="auto"/>
          <w:sz w:val="22"/>
          <w:szCs w:val="22"/>
          <w:lang w:eastAsia="en-US"/>
        </w:rPr>
        <w:t xml:space="preserve">capitalise sur ces expériences pour structurer une réponse ambitieuse à travers </w:t>
      </w:r>
      <w:r w:rsidRPr="00C03061">
        <w:rPr>
          <w:rFonts w:asciiTheme="minorHAnsi" w:hAnsiTheme="minorHAnsi" w:cstheme="minorHAnsi"/>
          <w:b/>
          <w:color w:val="auto"/>
          <w:sz w:val="22"/>
          <w:szCs w:val="22"/>
          <w:lang w:eastAsia="en-US"/>
        </w:rPr>
        <w:t>le levier de l’entrepreneuriat, ciblant prioritairement les populations vulnérables — jeunes en région, femmes, migrants de retour — afin de leur offrir des alternatives économiques crédibles et durables à la migration irrégulière</w:t>
      </w:r>
      <w:r w:rsidRPr="00C03061">
        <w:rPr>
          <w:rFonts w:asciiTheme="minorHAnsi" w:hAnsiTheme="minorHAnsi" w:cstheme="minorHAnsi"/>
          <w:color w:val="auto"/>
          <w:sz w:val="22"/>
          <w:szCs w:val="22"/>
          <w:lang w:eastAsia="en-US"/>
        </w:rPr>
        <w:t xml:space="preserve">. Il s’appuie notamment sur la mobilisation de la diaspora tunisienne, en tant qu’acteur économique structurant, et le soutien à l’innovation à travers des hubs régionaux adossés aux centres ELIFE. </w:t>
      </w:r>
    </w:p>
    <w:p w14:paraId="6F4B2E5B" w14:textId="77777777" w:rsidR="004C4946" w:rsidRPr="00C03061" w:rsidRDefault="004C4946" w:rsidP="00C03061">
      <w:pPr>
        <w:pStyle w:val="Default"/>
        <w:spacing w:line="276" w:lineRule="auto"/>
        <w:jc w:val="both"/>
        <w:rPr>
          <w:rFonts w:asciiTheme="minorHAnsi" w:hAnsiTheme="minorHAnsi" w:cstheme="minorHAnsi"/>
          <w:color w:val="auto"/>
          <w:sz w:val="22"/>
          <w:szCs w:val="22"/>
          <w:lang w:eastAsia="en-US"/>
        </w:rPr>
      </w:pPr>
    </w:p>
    <w:p w14:paraId="6F22D3E0" w14:textId="2EE253A7" w:rsidR="004C4946" w:rsidRDefault="004C4946" w:rsidP="00C03061">
      <w:pPr>
        <w:autoSpaceDE w:val="0"/>
        <w:autoSpaceDN w:val="0"/>
        <w:adjustRightInd w:val="0"/>
        <w:spacing w:after="0" w:line="276" w:lineRule="auto"/>
        <w:jc w:val="both"/>
        <w:rPr>
          <w:rFonts w:asciiTheme="minorHAnsi" w:hAnsiTheme="minorHAnsi" w:cstheme="minorHAnsi"/>
          <w:color w:val="000000"/>
          <w:lang w:eastAsia="zh-CN"/>
        </w:rPr>
      </w:pPr>
      <w:r>
        <w:rPr>
          <w:rFonts w:asciiTheme="minorHAnsi" w:hAnsiTheme="minorHAnsi" w:cstheme="minorHAnsi"/>
          <w:bCs/>
          <w:color w:val="000000"/>
          <w:lang w:eastAsia="zh-CN"/>
        </w:rPr>
        <w:t>Si</w:t>
      </w:r>
      <w:r>
        <w:rPr>
          <w:rFonts w:asciiTheme="minorHAnsi" w:hAnsiTheme="minorHAnsi" w:cstheme="minorHAnsi"/>
          <w:b/>
          <w:bCs/>
          <w:color w:val="000000"/>
          <w:lang w:eastAsia="zh-CN"/>
        </w:rPr>
        <w:t xml:space="preserve"> </w:t>
      </w:r>
      <w:r w:rsidRPr="00C03061">
        <w:rPr>
          <w:rFonts w:asciiTheme="minorHAnsi" w:hAnsiTheme="minorHAnsi" w:cstheme="minorHAnsi"/>
          <w:color w:val="000000"/>
          <w:lang w:eastAsia="zh-CN"/>
        </w:rPr>
        <w:t xml:space="preserve">la formation professionnelle </w:t>
      </w:r>
      <w:r>
        <w:rPr>
          <w:rFonts w:asciiTheme="minorHAnsi" w:hAnsiTheme="minorHAnsi" w:cstheme="minorHAnsi"/>
          <w:color w:val="000000"/>
          <w:lang w:eastAsia="zh-CN"/>
        </w:rPr>
        <w:t>reste</w:t>
      </w:r>
      <w:r w:rsidRPr="00C03061">
        <w:rPr>
          <w:rFonts w:asciiTheme="minorHAnsi" w:hAnsiTheme="minorHAnsi" w:cstheme="minorHAnsi"/>
          <w:color w:val="000000"/>
          <w:lang w:eastAsia="zh-CN"/>
        </w:rPr>
        <w:t xml:space="preserve"> un levier clé pour les Tunisiens vulnérables au départ, ou ceux de retour, mais</w:t>
      </w:r>
      <w:r>
        <w:rPr>
          <w:rFonts w:asciiTheme="minorHAnsi" w:hAnsiTheme="minorHAnsi" w:cstheme="minorHAnsi"/>
          <w:color w:val="000000"/>
          <w:lang w:eastAsia="zh-CN"/>
        </w:rPr>
        <w:t xml:space="preserve"> elle</w:t>
      </w:r>
      <w:r w:rsidRPr="00C03061">
        <w:rPr>
          <w:rFonts w:asciiTheme="minorHAnsi" w:hAnsiTheme="minorHAnsi" w:cstheme="minorHAnsi"/>
          <w:color w:val="000000"/>
          <w:lang w:eastAsia="zh-CN"/>
        </w:rPr>
        <w:t xml:space="preserve"> reste peu valorisée dans les dispositifs d’accompagnement. En effet, le parcours de mobilité est insuffisamment structuré pour offrir un accompagnement adapté à une réinsertion professionnelle (dispositifs qui privilégient l’entreprenariat et communiquent peu sur la formation professionnelle). Par ailleurs, dans le cadre de la mobilité encadrée, les centres de formation ne sont mobilisés que de manière marginale (attestations / diplômes nécessaires au dossier administratif). La vision 360 que permet cette mise en commun d’expertises entre la CDC et la Fondation Tunisie pour le Développement, articulée par E</w:t>
      </w:r>
      <w:r>
        <w:rPr>
          <w:rFonts w:asciiTheme="minorHAnsi" w:hAnsiTheme="minorHAnsi" w:cstheme="minorHAnsi"/>
          <w:color w:val="000000"/>
          <w:lang w:eastAsia="zh-CN"/>
        </w:rPr>
        <w:t xml:space="preserve">xpertise </w:t>
      </w:r>
      <w:r w:rsidRPr="00C03061">
        <w:rPr>
          <w:rFonts w:asciiTheme="minorHAnsi" w:hAnsiTheme="minorHAnsi" w:cstheme="minorHAnsi"/>
          <w:color w:val="000000"/>
          <w:lang w:eastAsia="zh-CN"/>
        </w:rPr>
        <w:t>F</w:t>
      </w:r>
      <w:r>
        <w:rPr>
          <w:rFonts w:asciiTheme="minorHAnsi" w:hAnsiTheme="minorHAnsi" w:cstheme="minorHAnsi"/>
          <w:color w:val="000000"/>
          <w:lang w:eastAsia="zh-CN"/>
        </w:rPr>
        <w:t>rance</w:t>
      </w:r>
      <w:r w:rsidRPr="00C03061">
        <w:rPr>
          <w:rFonts w:asciiTheme="minorHAnsi" w:hAnsiTheme="minorHAnsi" w:cstheme="minorHAnsi"/>
          <w:color w:val="000000"/>
          <w:lang w:eastAsia="zh-CN"/>
        </w:rPr>
        <w:t xml:space="preserve">, permettra de rendre le secteur entrepreneurial davantage accessible en région. </w:t>
      </w:r>
    </w:p>
    <w:p w14:paraId="3BAFFF44" w14:textId="77777777" w:rsidR="004C4946" w:rsidRPr="00C03061" w:rsidRDefault="004C4946" w:rsidP="00C03061">
      <w:pPr>
        <w:autoSpaceDE w:val="0"/>
        <w:autoSpaceDN w:val="0"/>
        <w:adjustRightInd w:val="0"/>
        <w:spacing w:after="0" w:line="276" w:lineRule="auto"/>
        <w:jc w:val="both"/>
        <w:rPr>
          <w:rFonts w:asciiTheme="minorHAnsi" w:hAnsiTheme="minorHAnsi" w:cstheme="minorHAnsi"/>
          <w:color w:val="000000"/>
          <w:lang w:eastAsia="zh-CN"/>
        </w:rPr>
      </w:pPr>
    </w:p>
    <w:p w14:paraId="3D5B9480" w14:textId="621ED2BA" w:rsidR="004C4946" w:rsidRDefault="004C4946" w:rsidP="00C03061">
      <w:pPr>
        <w:autoSpaceDE w:val="0"/>
        <w:autoSpaceDN w:val="0"/>
        <w:adjustRightInd w:val="0"/>
        <w:spacing w:after="0" w:line="276" w:lineRule="auto"/>
        <w:jc w:val="both"/>
        <w:rPr>
          <w:rFonts w:asciiTheme="minorHAnsi" w:hAnsiTheme="minorHAnsi" w:cstheme="minorHAnsi"/>
        </w:rPr>
      </w:pPr>
      <w:r w:rsidRPr="00C03061">
        <w:rPr>
          <w:rFonts w:asciiTheme="minorHAnsi" w:hAnsiTheme="minorHAnsi" w:cstheme="minorHAnsi"/>
        </w:rPr>
        <w:t>D’autre part, les rémittences de la diaspora représentent un fort potentiel pour l’économie tunisienne, encore largement sous exploitée. Avec plus de 10% des tunisiens vivant à l’étranger (1,8 million de personnes dont 1 million en France), ces transferts représentent plus de 5% du PIB sur l’année, principalement réalisés en cash. L’étude finale de Diasdev</w:t>
      </w:r>
      <w:r>
        <w:rPr>
          <w:rFonts w:asciiTheme="minorHAnsi" w:hAnsiTheme="minorHAnsi" w:cstheme="minorHAnsi"/>
        </w:rPr>
        <w:t xml:space="preserve"> (projet Expertise France)</w:t>
      </w:r>
      <w:r w:rsidRPr="00C03061">
        <w:rPr>
          <w:rFonts w:asciiTheme="minorHAnsi" w:hAnsiTheme="minorHAnsi" w:cstheme="minorHAnsi"/>
        </w:rPr>
        <w:t xml:space="preserve"> a révélé que 50% des prospects transfèrent des fonds en Tunisie plusieurs fois par an et que 90% d’entre eux le font via des circuits informels de cash to cash. Les principaux freins sont les frais trop élevés, la faible fiabilité technique des solutions proposées et le manque de confiance. Accompagner la Poste et la CDC dans la collecte de cette épargne permettra d’augmenter le volume des fonds sous gestion pour financer des projets publics structurants. </w:t>
      </w:r>
    </w:p>
    <w:p w14:paraId="53871CCF" w14:textId="77777777" w:rsidR="004C4946" w:rsidRPr="00C03061" w:rsidRDefault="004C4946" w:rsidP="00C03061">
      <w:pPr>
        <w:autoSpaceDE w:val="0"/>
        <w:autoSpaceDN w:val="0"/>
        <w:adjustRightInd w:val="0"/>
        <w:spacing w:after="0" w:line="276" w:lineRule="auto"/>
        <w:jc w:val="both"/>
        <w:rPr>
          <w:rFonts w:asciiTheme="minorHAnsi" w:hAnsiTheme="minorHAnsi" w:cstheme="minorHAnsi"/>
        </w:rPr>
      </w:pPr>
    </w:p>
    <w:p w14:paraId="07D3BB48" w14:textId="251852BB" w:rsidR="000525BB" w:rsidRDefault="000525BB" w:rsidP="00C03061">
      <w:pPr>
        <w:autoSpaceDE w:val="0"/>
        <w:autoSpaceDN w:val="0"/>
        <w:adjustRightInd w:val="0"/>
        <w:spacing w:after="0" w:line="276" w:lineRule="auto"/>
        <w:jc w:val="both"/>
        <w:rPr>
          <w:rFonts w:asciiTheme="minorHAnsi" w:hAnsiTheme="minorHAnsi" w:cstheme="minorHAnsi"/>
        </w:rPr>
      </w:pPr>
      <w:r w:rsidRPr="00C03061">
        <w:rPr>
          <w:rFonts w:asciiTheme="minorHAnsi" w:hAnsiTheme="minorHAnsi" w:cstheme="minorHAnsi"/>
        </w:rPr>
        <w:t xml:space="preserve">Le projet « Entrepreneuriat et migration » vise à structurer un appui ambitieux à l’écosystème de l’entrepreneuriat et de l’innovation en Tunisie, avec une attention particulière portée aux jeunes, aux femmes, aux migrants de retour et aux territoires défavorisés. Il a pour objectif général de favoriser une croissance inclusive, de réduire les vulnérabilités à la migration irrégulière et de consolider la dynamique entrepreneuriale existante. </w:t>
      </w:r>
    </w:p>
    <w:p w14:paraId="312A923F" w14:textId="77777777" w:rsidR="004C4946" w:rsidRPr="00C03061" w:rsidRDefault="004C4946" w:rsidP="00C03061">
      <w:pPr>
        <w:autoSpaceDE w:val="0"/>
        <w:autoSpaceDN w:val="0"/>
        <w:adjustRightInd w:val="0"/>
        <w:spacing w:after="0" w:line="276" w:lineRule="auto"/>
        <w:jc w:val="both"/>
        <w:rPr>
          <w:rFonts w:asciiTheme="minorHAnsi" w:hAnsiTheme="minorHAnsi" w:cstheme="minorHAnsi"/>
        </w:rPr>
      </w:pPr>
    </w:p>
    <w:p w14:paraId="60C46DAE" w14:textId="77777777" w:rsidR="000525BB" w:rsidRPr="00C03061" w:rsidRDefault="000525BB" w:rsidP="00C03061">
      <w:pPr>
        <w:autoSpaceDE w:val="0"/>
        <w:autoSpaceDN w:val="0"/>
        <w:adjustRightInd w:val="0"/>
        <w:spacing w:after="0" w:line="276" w:lineRule="auto"/>
        <w:jc w:val="both"/>
        <w:rPr>
          <w:rFonts w:asciiTheme="minorHAnsi" w:hAnsiTheme="minorHAnsi" w:cstheme="minorHAnsi"/>
        </w:rPr>
      </w:pPr>
      <w:r w:rsidRPr="00C03061">
        <w:rPr>
          <w:rFonts w:asciiTheme="minorHAnsi" w:hAnsiTheme="minorHAnsi" w:cstheme="minorHAnsi"/>
        </w:rPr>
        <w:t xml:space="preserve">Le projet s’articule autour de trois composantes : </w:t>
      </w:r>
    </w:p>
    <w:p w14:paraId="6AB092B6" w14:textId="6157BDF1" w:rsidR="000525BB" w:rsidRPr="00C03061" w:rsidRDefault="000525BB" w:rsidP="00BB606A">
      <w:pPr>
        <w:pStyle w:val="Paragraphedeliste"/>
        <w:numPr>
          <w:ilvl w:val="0"/>
          <w:numId w:val="7"/>
        </w:numPr>
        <w:spacing w:line="276" w:lineRule="auto"/>
        <w:jc w:val="both"/>
        <w:rPr>
          <w:rFonts w:asciiTheme="minorHAnsi" w:hAnsiTheme="minorHAnsi" w:cstheme="minorHAnsi"/>
        </w:rPr>
      </w:pPr>
      <w:r w:rsidRPr="00C03061">
        <w:rPr>
          <w:rFonts w:asciiTheme="minorHAnsi" w:hAnsiTheme="minorHAnsi" w:cstheme="minorHAnsi"/>
          <w:b/>
        </w:rPr>
        <w:t xml:space="preserve">Composante 1 </w:t>
      </w:r>
      <w:r w:rsidR="004C4946" w:rsidRPr="00C03061">
        <w:rPr>
          <w:rFonts w:asciiTheme="minorHAnsi" w:hAnsiTheme="minorHAnsi" w:cstheme="minorHAnsi"/>
          <w:b/>
        </w:rPr>
        <w:t>:</w:t>
      </w:r>
      <w:r w:rsidR="004C4946" w:rsidRPr="003A38EB">
        <w:rPr>
          <w:rFonts w:asciiTheme="minorHAnsi" w:hAnsiTheme="minorHAnsi" w:cstheme="minorHAnsi"/>
        </w:rPr>
        <w:t xml:space="preserve"> a</w:t>
      </w:r>
      <w:r w:rsidRPr="00C03061">
        <w:rPr>
          <w:rFonts w:asciiTheme="minorHAnsi" w:hAnsiTheme="minorHAnsi" w:cstheme="minorHAnsi"/>
        </w:rPr>
        <w:t xml:space="preserve">ccompagnement renforcé à l’entrepreneuriat en région via les centres ELIFE Cette composante vise à soutenir les dynamiques entrepreneuriales dans les régions les plus vulnérables, en particulier auprès des jeunes potentiellement tentés par l’émigration et des migrants de retour. </w:t>
      </w:r>
    </w:p>
    <w:p w14:paraId="12F93C8B" w14:textId="208A5137" w:rsidR="000525BB" w:rsidRPr="00C03061" w:rsidRDefault="000525BB" w:rsidP="00BB606A">
      <w:pPr>
        <w:pStyle w:val="Paragraphedeliste"/>
        <w:numPr>
          <w:ilvl w:val="0"/>
          <w:numId w:val="7"/>
        </w:numPr>
        <w:spacing w:line="276" w:lineRule="auto"/>
        <w:jc w:val="both"/>
        <w:rPr>
          <w:rFonts w:asciiTheme="minorHAnsi" w:hAnsiTheme="minorHAnsi" w:cstheme="minorHAnsi"/>
        </w:rPr>
      </w:pPr>
      <w:r w:rsidRPr="00C03061">
        <w:rPr>
          <w:rFonts w:asciiTheme="minorHAnsi" w:hAnsiTheme="minorHAnsi" w:cstheme="minorHAnsi"/>
          <w:b/>
        </w:rPr>
        <w:t xml:space="preserve">Composante 2 </w:t>
      </w:r>
      <w:r w:rsidR="004C4946" w:rsidRPr="00C03061">
        <w:rPr>
          <w:rFonts w:asciiTheme="minorHAnsi" w:hAnsiTheme="minorHAnsi" w:cstheme="minorHAnsi"/>
          <w:b/>
        </w:rPr>
        <w:t>:</w:t>
      </w:r>
      <w:r w:rsidR="004C4946" w:rsidRPr="003A38EB">
        <w:rPr>
          <w:rFonts w:asciiTheme="minorHAnsi" w:hAnsiTheme="minorHAnsi" w:cstheme="minorHAnsi"/>
        </w:rPr>
        <w:t xml:space="preserve"> m</w:t>
      </w:r>
      <w:r w:rsidRPr="00C03061">
        <w:rPr>
          <w:rFonts w:asciiTheme="minorHAnsi" w:hAnsiTheme="minorHAnsi" w:cstheme="minorHAnsi"/>
        </w:rPr>
        <w:t xml:space="preserve">écanismes d’accompagnement innovants pour les TPE/PME et mobilisation de la diaspora économique à travers un guichet de subvention et structuration </w:t>
      </w:r>
    </w:p>
    <w:p w14:paraId="7E944D99" w14:textId="135643A5" w:rsidR="000525BB" w:rsidRPr="00C03061" w:rsidRDefault="000525BB" w:rsidP="00BB606A">
      <w:pPr>
        <w:pStyle w:val="Paragraphedeliste"/>
        <w:numPr>
          <w:ilvl w:val="0"/>
          <w:numId w:val="7"/>
        </w:numPr>
        <w:spacing w:line="276" w:lineRule="auto"/>
        <w:jc w:val="both"/>
        <w:rPr>
          <w:rFonts w:asciiTheme="minorHAnsi" w:hAnsiTheme="minorHAnsi" w:cstheme="minorHAnsi"/>
        </w:rPr>
      </w:pPr>
      <w:r w:rsidRPr="00C03061">
        <w:rPr>
          <w:rFonts w:asciiTheme="minorHAnsi" w:hAnsiTheme="minorHAnsi" w:cstheme="minorHAnsi"/>
          <w:b/>
        </w:rPr>
        <w:t>Composante 3 :</w:t>
      </w:r>
      <w:r w:rsidR="004C4946" w:rsidRPr="003A38EB">
        <w:rPr>
          <w:rFonts w:asciiTheme="minorHAnsi" w:hAnsiTheme="minorHAnsi" w:cstheme="minorHAnsi"/>
        </w:rPr>
        <w:t xml:space="preserve"> p</w:t>
      </w:r>
      <w:r w:rsidRPr="00C03061">
        <w:rPr>
          <w:rFonts w:asciiTheme="minorHAnsi" w:hAnsiTheme="minorHAnsi" w:cstheme="minorHAnsi"/>
        </w:rPr>
        <w:t xml:space="preserve">érennisation du modèle économique de The Dot et The Dot Landing - appui à la diaspora entrepreneuriale (DIASDEV). Cette composante a pour objectif de consolider The Dot comme structure pivot de l’écosystème tunisien de l’innovation et de l’entrepreneuriat. </w:t>
      </w:r>
    </w:p>
    <w:p w14:paraId="0E5A4D72" w14:textId="77777777" w:rsidR="006D359C" w:rsidRPr="00C03061" w:rsidRDefault="006D359C" w:rsidP="00C03061">
      <w:pPr>
        <w:pBdr>
          <w:top w:val="nil"/>
          <w:left w:val="nil"/>
          <w:bottom w:val="nil"/>
          <w:right w:val="nil"/>
          <w:between w:val="nil"/>
        </w:pBdr>
        <w:spacing w:after="0" w:line="276" w:lineRule="auto"/>
        <w:jc w:val="both"/>
        <w:rPr>
          <w:rFonts w:asciiTheme="minorHAnsi" w:hAnsiTheme="minorHAnsi" w:cstheme="minorHAnsi"/>
        </w:rPr>
      </w:pPr>
    </w:p>
    <w:p w14:paraId="39C25CD8" w14:textId="0BEA68A1" w:rsidR="004C4946" w:rsidRPr="00C03061" w:rsidRDefault="004C4946" w:rsidP="00C03061">
      <w:pPr>
        <w:pBdr>
          <w:top w:val="nil"/>
          <w:left w:val="nil"/>
          <w:bottom w:val="nil"/>
          <w:right w:val="nil"/>
          <w:between w:val="nil"/>
        </w:pBdr>
        <w:spacing w:after="0" w:line="276" w:lineRule="auto"/>
        <w:jc w:val="both"/>
        <w:rPr>
          <w:rFonts w:asciiTheme="minorHAnsi" w:hAnsiTheme="minorHAnsi" w:cstheme="minorHAnsi"/>
          <w:u w:val="single"/>
        </w:rPr>
      </w:pPr>
      <w:r w:rsidRPr="00C03061">
        <w:rPr>
          <w:rFonts w:asciiTheme="minorHAnsi" w:hAnsiTheme="minorHAnsi" w:cstheme="minorHAnsi"/>
          <w:u w:val="single"/>
        </w:rPr>
        <w:t xml:space="preserve">Description du bénéficiaire de l’appui – The Dot : </w:t>
      </w:r>
    </w:p>
    <w:p w14:paraId="425C25EA" w14:textId="21BF0F80" w:rsidR="006D359C" w:rsidRPr="00C03061" w:rsidRDefault="006D359C" w:rsidP="00C03061">
      <w:pPr>
        <w:pBdr>
          <w:top w:val="nil"/>
          <w:left w:val="nil"/>
          <w:bottom w:val="nil"/>
          <w:right w:val="nil"/>
          <w:between w:val="nil"/>
        </w:pBdr>
        <w:spacing w:after="0" w:line="276" w:lineRule="auto"/>
        <w:jc w:val="both"/>
        <w:rPr>
          <w:rFonts w:asciiTheme="minorHAnsi" w:hAnsiTheme="minorHAnsi" w:cstheme="minorHAnsi"/>
        </w:rPr>
      </w:pPr>
      <w:r w:rsidRPr="003A38EB">
        <w:rPr>
          <w:rFonts w:asciiTheme="minorHAnsi" w:hAnsiTheme="minorHAnsi" w:cstheme="minorHAnsi"/>
        </w:rPr>
        <w:t>Lancé en juin 2021, The Dot est le premier hub de l'innovation digitale en Tunisie. Ce projet public-privé, fruit d'un partenariat entre le ministère des Technologies de la Communication, la Fondation Tunisie pour le Développement, Expertise France et la GIZ, vise à fédérer l'écosystème entrepreneurial à l'échelle nationale et régionale. The Dot propose divers services destinée l’écosystème entreprenariat tunisiennes et internation</w:t>
      </w:r>
      <w:r w:rsidRPr="00C03061">
        <w:rPr>
          <w:rFonts w:asciiTheme="minorHAnsi" w:hAnsiTheme="minorHAnsi" w:cstheme="minorHAnsi"/>
        </w:rPr>
        <w:t>ales, avec un fort accent sur l'inclusion, la collaboration, et l'innovation.</w:t>
      </w:r>
    </w:p>
    <w:p w14:paraId="0E1F17F8" w14:textId="77777777" w:rsidR="006D359C" w:rsidRPr="00C03061" w:rsidRDefault="006D359C" w:rsidP="00C03061">
      <w:pPr>
        <w:pBdr>
          <w:top w:val="nil"/>
          <w:left w:val="nil"/>
          <w:bottom w:val="nil"/>
          <w:right w:val="nil"/>
          <w:between w:val="nil"/>
        </w:pBdr>
        <w:spacing w:after="0" w:line="276" w:lineRule="auto"/>
        <w:jc w:val="both"/>
        <w:rPr>
          <w:rFonts w:asciiTheme="minorHAnsi" w:hAnsiTheme="minorHAnsi" w:cstheme="minorHAnsi"/>
        </w:rPr>
      </w:pPr>
    </w:p>
    <w:p w14:paraId="1C9CC6C0" w14:textId="11D7CA38" w:rsidR="006D359C" w:rsidRPr="00C03061" w:rsidRDefault="006D359C" w:rsidP="00C03061">
      <w:pPr>
        <w:pBdr>
          <w:top w:val="nil"/>
          <w:left w:val="nil"/>
          <w:bottom w:val="nil"/>
          <w:right w:val="nil"/>
          <w:between w:val="nil"/>
        </w:pBdr>
        <w:spacing w:after="0" w:line="276" w:lineRule="auto"/>
        <w:jc w:val="both"/>
        <w:rPr>
          <w:rFonts w:asciiTheme="minorHAnsi" w:hAnsiTheme="minorHAnsi" w:cstheme="minorHAnsi"/>
        </w:rPr>
      </w:pPr>
      <w:r w:rsidRPr="00C03061">
        <w:rPr>
          <w:rFonts w:asciiTheme="minorHAnsi" w:hAnsiTheme="minorHAnsi" w:cstheme="minorHAnsi"/>
        </w:rPr>
        <w:t>Le hub occupe une superficie de 2 900 m², avec des espaces multifonctionnels dédiés aux événements, au coworking, et à l'accompagnement des entrepreneurs local et international et aux structures d’accompagnement. Depuis son lancement, The Dot a soutenu plus de 150 startups à travers différents programmes comme Dot Camp, Dot Camp+, Nearshoring, Dot Landing, Hub IA, Hub I4.0, Bridge’Up… The Dot est également en partenariat avec plus de 50 acteurs de l'écosystème national et international.</w:t>
      </w:r>
    </w:p>
    <w:p w14:paraId="441E28F3" w14:textId="77777777" w:rsidR="001D1B53" w:rsidRPr="00C03061" w:rsidRDefault="001D1B53" w:rsidP="00C03061">
      <w:pPr>
        <w:pBdr>
          <w:top w:val="nil"/>
          <w:left w:val="nil"/>
          <w:bottom w:val="nil"/>
          <w:right w:val="nil"/>
          <w:between w:val="nil"/>
        </w:pBdr>
        <w:spacing w:after="0" w:line="276" w:lineRule="auto"/>
        <w:jc w:val="both"/>
        <w:rPr>
          <w:rFonts w:asciiTheme="minorHAnsi" w:hAnsiTheme="minorHAnsi" w:cstheme="minorHAnsi"/>
        </w:rPr>
      </w:pPr>
    </w:p>
    <w:p w14:paraId="4581868C" w14:textId="00C4E984" w:rsidR="006D359C" w:rsidRPr="003A38EB" w:rsidRDefault="007B240E" w:rsidP="00C03061">
      <w:pPr>
        <w:pBdr>
          <w:top w:val="nil"/>
          <w:left w:val="nil"/>
          <w:bottom w:val="nil"/>
          <w:right w:val="nil"/>
          <w:between w:val="nil"/>
        </w:pBdr>
        <w:spacing w:after="0" w:line="276" w:lineRule="auto"/>
        <w:jc w:val="both"/>
        <w:rPr>
          <w:rFonts w:asciiTheme="minorHAnsi" w:hAnsiTheme="minorHAnsi" w:cstheme="minorHAnsi"/>
        </w:rPr>
      </w:pPr>
      <w:r>
        <w:rPr>
          <w:rFonts w:asciiTheme="minorHAnsi" w:hAnsiTheme="minorHAnsi" w:cstheme="minorHAnsi"/>
        </w:rPr>
        <w:t>Les o</w:t>
      </w:r>
      <w:r w:rsidR="006D359C" w:rsidRPr="003A38EB">
        <w:rPr>
          <w:rFonts w:asciiTheme="minorHAnsi" w:hAnsiTheme="minorHAnsi" w:cstheme="minorHAnsi"/>
        </w:rPr>
        <w:t xml:space="preserve">bjectifs principaux de The Dot </w:t>
      </w:r>
      <w:r>
        <w:rPr>
          <w:rFonts w:asciiTheme="minorHAnsi" w:hAnsiTheme="minorHAnsi" w:cstheme="minorHAnsi"/>
        </w:rPr>
        <w:t xml:space="preserve">sont </w:t>
      </w:r>
      <w:r w:rsidR="006D359C" w:rsidRPr="003A38EB">
        <w:rPr>
          <w:rFonts w:asciiTheme="minorHAnsi" w:hAnsiTheme="minorHAnsi" w:cstheme="minorHAnsi"/>
        </w:rPr>
        <w:t>:</w:t>
      </w:r>
    </w:p>
    <w:p w14:paraId="151377B0" w14:textId="53A978AC" w:rsidR="006D359C" w:rsidRPr="00C03061" w:rsidRDefault="006D359C" w:rsidP="00BB606A">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C03061">
        <w:rPr>
          <w:rFonts w:asciiTheme="minorHAnsi" w:hAnsiTheme="minorHAnsi" w:cstheme="minorHAnsi"/>
        </w:rPr>
        <w:t>Renforcer l'écosystème entrepreneurial tunisien ;</w:t>
      </w:r>
    </w:p>
    <w:p w14:paraId="1C4519A9" w14:textId="0D542E1E" w:rsidR="006D359C" w:rsidRPr="00C03061" w:rsidRDefault="006D359C" w:rsidP="00BB606A">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C03061">
        <w:rPr>
          <w:rFonts w:asciiTheme="minorHAnsi" w:hAnsiTheme="minorHAnsi" w:cstheme="minorHAnsi"/>
        </w:rPr>
        <w:t>Stimuler l'innovation et le développement économique ;</w:t>
      </w:r>
    </w:p>
    <w:p w14:paraId="0D1CB403" w14:textId="291A57A9" w:rsidR="006D359C" w:rsidRPr="00C03061" w:rsidRDefault="006D359C" w:rsidP="00BB606A">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C03061">
        <w:rPr>
          <w:rFonts w:asciiTheme="minorHAnsi" w:hAnsiTheme="minorHAnsi" w:cstheme="minorHAnsi"/>
        </w:rPr>
        <w:t xml:space="preserve">Accompagner la transformation digitale en </w:t>
      </w:r>
      <w:r w:rsidR="00782534" w:rsidRPr="00C03061">
        <w:rPr>
          <w:rFonts w:asciiTheme="minorHAnsi" w:hAnsiTheme="minorHAnsi" w:cstheme="minorHAnsi"/>
        </w:rPr>
        <w:t>Tunisie ;</w:t>
      </w:r>
    </w:p>
    <w:p w14:paraId="79C2847C" w14:textId="6AFD11C1" w:rsidR="006D359C" w:rsidRPr="00C03061" w:rsidRDefault="006D359C" w:rsidP="00BB606A">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C03061">
        <w:rPr>
          <w:rFonts w:asciiTheme="minorHAnsi" w:hAnsiTheme="minorHAnsi" w:cstheme="minorHAnsi"/>
        </w:rPr>
        <w:t>Faciliter les connexions entre le secteur privé et les institutions publiques ;</w:t>
      </w:r>
    </w:p>
    <w:p w14:paraId="192C8B4A" w14:textId="497E034E" w:rsidR="006D359C" w:rsidRDefault="006D359C" w:rsidP="00BB606A">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sidRPr="00C03061">
        <w:rPr>
          <w:rFonts w:asciiTheme="minorHAnsi" w:hAnsiTheme="minorHAnsi" w:cstheme="minorHAnsi"/>
        </w:rPr>
        <w:t>Promouvoir les collaborations à l'échelle nationale et internationale.</w:t>
      </w:r>
    </w:p>
    <w:p w14:paraId="0251ACDE" w14:textId="77777777" w:rsidR="004C4946" w:rsidRPr="003A38EB" w:rsidRDefault="004C4946" w:rsidP="00C03061">
      <w:pPr>
        <w:pStyle w:val="Paragraphedeliste"/>
        <w:pBdr>
          <w:top w:val="nil"/>
          <w:left w:val="nil"/>
          <w:bottom w:val="nil"/>
          <w:right w:val="nil"/>
          <w:between w:val="nil"/>
        </w:pBdr>
        <w:spacing w:after="0" w:line="276" w:lineRule="auto"/>
        <w:jc w:val="both"/>
        <w:rPr>
          <w:rFonts w:asciiTheme="minorHAnsi" w:hAnsiTheme="minorHAnsi" w:cstheme="minorHAnsi"/>
        </w:rPr>
      </w:pPr>
    </w:p>
    <w:p w14:paraId="3F9086B7" w14:textId="2FD68E42" w:rsidR="007B240E" w:rsidRDefault="007B240E" w:rsidP="00C03061">
      <w:pPr>
        <w:pBdr>
          <w:top w:val="nil"/>
          <w:left w:val="nil"/>
          <w:bottom w:val="nil"/>
          <w:right w:val="nil"/>
          <w:between w:val="nil"/>
        </w:pBdr>
        <w:spacing w:after="0" w:line="276" w:lineRule="auto"/>
        <w:jc w:val="both"/>
        <w:rPr>
          <w:rFonts w:asciiTheme="minorHAnsi" w:hAnsiTheme="minorHAnsi" w:cstheme="minorHAnsi"/>
        </w:rPr>
      </w:pPr>
      <w:r>
        <w:rPr>
          <w:rFonts w:asciiTheme="minorHAnsi" w:hAnsiTheme="minorHAnsi" w:cstheme="minorHAnsi"/>
        </w:rPr>
        <w:t xml:space="preserve">Dans le cadre du projet « entrepreneuriat et migration », plusieurs appuis sont prévus afin de soutenir The Dot dans la stabilisation de son modèle économique et l’essaimage de son modèle. Il est prévu : </w:t>
      </w:r>
    </w:p>
    <w:p w14:paraId="2F4882AA" w14:textId="48AB5C3B" w:rsidR="007B240E" w:rsidRDefault="007B240E" w:rsidP="00BB606A">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Pr>
          <w:rFonts w:asciiTheme="minorHAnsi" w:hAnsiTheme="minorHAnsi" w:cstheme="minorHAnsi"/>
        </w:rPr>
        <w:t xml:space="preserve">Un essaimage du modèle The Dot en région en lien avec les centres ELIFE, implémentés et gérés par la Fondation Tunisie pour le Développement ; </w:t>
      </w:r>
    </w:p>
    <w:p w14:paraId="5A5E49A3" w14:textId="25DCF493" w:rsidR="007B240E" w:rsidRDefault="007B240E" w:rsidP="00BB606A">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Pr>
          <w:rFonts w:asciiTheme="minorHAnsi" w:hAnsiTheme="minorHAnsi" w:cstheme="minorHAnsi"/>
        </w:rPr>
        <w:t xml:space="preserve">Un appui dans la structuration d’un programme de soft landing destinée à la diaspora tunisienne et ; </w:t>
      </w:r>
    </w:p>
    <w:p w14:paraId="16286BBB" w14:textId="46001DA6" w:rsidR="007B240E" w:rsidRDefault="007B240E" w:rsidP="00BB606A">
      <w:pPr>
        <w:pStyle w:val="Paragraphedeliste"/>
        <w:numPr>
          <w:ilvl w:val="0"/>
          <w:numId w:val="3"/>
        </w:numPr>
        <w:pBdr>
          <w:top w:val="nil"/>
          <w:left w:val="nil"/>
          <w:bottom w:val="nil"/>
          <w:right w:val="nil"/>
          <w:between w:val="nil"/>
        </w:pBdr>
        <w:spacing w:after="0" w:line="276" w:lineRule="auto"/>
        <w:jc w:val="both"/>
        <w:rPr>
          <w:rFonts w:asciiTheme="minorHAnsi" w:hAnsiTheme="minorHAnsi" w:cstheme="minorHAnsi"/>
        </w:rPr>
      </w:pPr>
      <w:r>
        <w:rPr>
          <w:rFonts w:asciiTheme="minorHAnsi" w:hAnsiTheme="minorHAnsi" w:cstheme="minorHAnsi"/>
        </w:rPr>
        <w:t xml:space="preserve">Un appui au fonctionnement et à la structuration de The Dot. </w:t>
      </w:r>
    </w:p>
    <w:p w14:paraId="6295FF91" w14:textId="77777777" w:rsidR="007B240E" w:rsidRPr="00C03061" w:rsidRDefault="007B240E" w:rsidP="00C03061">
      <w:pPr>
        <w:pBdr>
          <w:top w:val="nil"/>
          <w:left w:val="nil"/>
          <w:bottom w:val="nil"/>
          <w:right w:val="nil"/>
          <w:between w:val="nil"/>
        </w:pBdr>
        <w:spacing w:after="0" w:line="276" w:lineRule="auto"/>
        <w:ind w:left="360"/>
        <w:jc w:val="both"/>
        <w:rPr>
          <w:rFonts w:asciiTheme="minorHAnsi" w:hAnsiTheme="minorHAnsi" w:cstheme="minorHAnsi"/>
        </w:rPr>
      </w:pPr>
    </w:p>
    <w:p w14:paraId="741733E2" w14:textId="1D3F302B" w:rsidR="004C4946" w:rsidRDefault="004C4946" w:rsidP="00C03061">
      <w:pPr>
        <w:tabs>
          <w:tab w:val="right" w:leader="dot" w:pos="9923"/>
        </w:tabs>
        <w:spacing w:after="0" w:line="276" w:lineRule="auto"/>
        <w:jc w:val="both"/>
        <w:rPr>
          <w:rFonts w:asciiTheme="minorHAnsi" w:hAnsiTheme="minorHAnsi" w:cstheme="minorHAnsi"/>
          <w:iCs/>
          <w:color w:val="000000"/>
          <w:lang w:eastAsia="ja-JP"/>
        </w:rPr>
      </w:pPr>
      <w:r w:rsidRPr="002926E5">
        <w:rPr>
          <w:rFonts w:asciiTheme="minorHAnsi" w:hAnsiTheme="minorHAnsi" w:cstheme="minorHAnsi"/>
          <w:iCs/>
          <w:color w:val="000000"/>
          <w:lang w:eastAsia="ja-JP"/>
        </w:rPr>
        <w:t>Trois ans après son lancement, The Dot s'est solidement établi comme un acteur clé de l'écosystème entrepreneurial, se positionnant en tant qu'agent catalyseur et plateforme de mise en réseau. Dotées d'une expertise approfondie et d'un réseau étendu, les équipes de The Dot sont reconnues pour leur capacité à mener à bien une variété de projets avec succès. The Dot continue ainsi de renforcer l'écosystème entrepreneurial en Tunisie, soutenant l'innovation, la transformation digitale et le développement économique à travers ses diverses initiatives.</w:t>
      </w:r>
    </w:p>
    <w:p w14:paraId="6BC476AA" w14:textId="77777777" w:rsidR="007B240E" w:rsidRPr="002926E5" w:rsidRDefault="007B240E" w:rsidP="00C03061">
      <w:pPr>
        <w:tabs>
          <w:tab w:val="right" w:leader="dot" w:pos="9923"/>
        </w:tabs>
        <w:spacing w:after="0" w:line="276" w:lineRule="auto"/>
        <w:jc w:val="both"/>
        <w:rPr>
          <w:rFonts w:asciiTheme="minorHAnsi" w:hAnsiTheme="minorHAnsi" w:cstheme="minorHAnsi"/>
          <w:iCs/>
          <w:color w:val="000000"/>
          <w:lang w:eastAsia="ja-JP"/>
        </w:rPr>
      </w:pPr>
    </w:p>
    <w:p w14:paraId="053F15B9" w14:textId="42F4C680" w:rsidR="007B240E" w:rsidRDefault="004C4946" w:rsidP="00C03061">
      <w:pPr>
        <w:tabs>
          <w:tab w:val="right" w:leader="dot" w:pos="9923"/>
        </w:tabs>
        <w:spacing w:after="0" w:line="276" w:lineRule="auto"/>
        <w:jc w:val="both"/>
        <w:rPr>
          <w:rFonts w:asciiTheme="minorHAnsi" w:hAnsiTheme="minorHAnsi" w:cstheme="minorHAnsi"/>
          <w:iCs/>
          <w:color w:val="000000"/>
          <w:lang w:eastAsia="ja-JP"/>
        </w:rPr>
      </w:pPr>
      <w:r w:rsidRPr="002926E5">
        <w:rPr>
          <w:rFonts w:asciiTheme="minorHAnsi" w:hAnsiTheme="minorHAnsi" w:cstheme="minorHAnsi"/>
          <w:bCs/>
          <w:iCs/>
          <w:color w:val="000000"/>
          <w:lang w:eastAsia="ja-JP"/>
        </w:rPr>
        <w:t>Cependant</w:t>
      </w:r>
      <w:r w:rsidRPr="002926E5">
        <w:rPr>
          <w:rFonts w:asciiTheme="minorHAnsi" w:hAnsiTheme="minorHAnsi" w:cstheme="minorHAnsi"/>
          <w:iCs/>
          <w:color w:val="000000"/>
          <w:lang w:eastAsia="ja-JP"/>
        </w:rPr>
        <w:t xml:space="preserve">, The Dot souffre d'un </w:t>
      </w:r>
      <w:r w:rsidRPr="00C03061">
        <w:rPr>
          <w:rFonts w:asciiTheme="minorHAnsi" w:hAnsiTheme="minorHAnsi" w:cstheme="minorHAnsi"/>
          <w:iCs/>
          <w:color w:val="000000"/>
          <w:lang w:eastAsia="ja-JP"/>
        </w:rPr>
        <w:t>manque</w:t>
      </w:r>
      <w:r w:rsidR="007B240E">
        <w:rPr>
          <w:rFonts w:asciiTheme="minorHAnsi" w:hAnsiTheme="minorHAnsi" w:cstheme="minorHAnsi"/>
          <w:iCs/>
          <w:color w:val="000000"/>
          <w:lang w:eastAsia="ja-JP"/>
        </w:rPr>
        <w:t xml:space="preserve"> : </w:t>
      </w:r>
    </w:p>
    <w:p w14:paraId="1D45D983" w14:textId="436FF55D" w:rsidR="007B240E" w:rsidRDefault="007B240E" w:rsidP="00BB606A">
      <w:pPr>
        <w:pStyle w:val="Paragraphedeliste"/>
        <w:numPr>
          <w:ilvl w:val="0"/>
          <w:numId w:val="3"/>
        </w:num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D</w:t>
      </w:r>
      <w:r w:rsidR="004C4946" w:rsidRPr="00C03061">
        <w:rPr>
          <w:rFonts w:asciiTheme="minorHAnsi" w:hAnsiTheme="minorHAnsi" w:cstheme="minorHAnsi"/>
          <w:iCs/>
          <w:color w:val="000000"/>
          <w:lang w:eastAsia="ja-JP"/>
        </w:rPr>
        <w:t xml:space="preserve">e mesures précises concernant les </w:t>
      </w:r>
      <w:r w:rsidR="004C4946" w:rsidRPr="00C03061">
        <w:rPr>
          <w:rFonts w:asciiTheme="minorHAnsi" w:hAnsiTheme="minorHAnsi" w:cstheme="minorHAnsi"/>
          <w:b/>
          <w:bCs/>
          <w:iCs/>
          <w:color w:val="000000"/>
          <w:lang w:eastAsia="ja-JP"/>
        </w:rPr>
        <w:t>données économiques</w:t>
      </w:r>
      <w:r w:rsidR="004C4946" w:rsidRPr="00C03061">
        <w:rPr>
          <w:rFonts w:asciiTheme="minorHAnsi" w:hAnsiTheme="minorHAnsi" w:cstheme="minorHAnsi"/>
          <w:iCs/>
          <w:color w:val="000000"/>
          <w:lang w:eastAsia="ja-JP"/>
        </w:rPr>
        <w:t xml:space="preserve"> et les </w:t>
      </w:r>
      <w:r w:rsidR="004C4946" w:rsidRPr="00C03061">
        <w:rPr>
          <w:rFonts w:asciiTheme="minorHAnsi" w:hAnsiTheme="minorHAnsi" w:cstheme="minorHAnsi"/>
          <w:b/>
          <w:bCs/>
          <w:iCs/>
          <w:color w:val="000000"/>
          <w:lang w:eastAsia="ja-JP"/>
        </w:rPr>
        <w:t>effets et impacts</w:t>
      </w:r>
      <w:r w:rsidR="004C4946" w:rsidRPr="00C03061">
        <w:rPr>
          <w:rFonts w:asciiTheme="minorHAnsi" w:hAnsiTheme="minorHAnsi" w:cstheme="minorHAnsi"/>
          <w:iCs/>
          <w:color w:val="000000"/>
          <w:lang w:eastAsia="ja-JP"/>
        </w:rPr>
        <w:t xml:space="preserve"> et </w:t>
      </w:r>
      <w:r w:rsidR="004C4946" w:rsidRPr="00C03061">
        <w:rPr>
          <w:rFonts w:asciiTheme="minorHAnsi" w:hAnsiTheme="minorHAnsi" w:cstheme="minorHAnsi"/>
          <w:b/>
          <w:iCs/>
          <w:color w:val="000000"/>
          <w:lang w:eastAsia="ja-JP"/>
        </w:rPr>
        <w:t>leur durabilité</w:t>
      </w:r>
      <w:r w:rsidR="004C4946" w:rsidRPr="00C03061">
        <w:rPr>
          <w:rFonts w:asciiTheme="minorHAnsi" w:hAnsiTheme="minorHAnsi" w:cstheme="minorHAnsi"/>
          <w:iCs/>
          <w:color w:val="000000"/>
          <w:lang w:eastAsia="ja-JP"/>
        </w:rPr>
        <w:t xml:space="preserve"> sur les bénéficiaires directs (startups) et indirects (acteurs de l’écosystème de l’innovation et de l’entrepreneuriat</w:t>
      </w:r>
      <w:r>
        <w:rPr>
          <w:rFonts w:asciiTheme="minorHAnsi" w:hAnsiTheme="minorHAnsi" w:cstheme="minorHAnsi"/>
          <w:iCs/>
          <w:color w:val="000000"/>
          <w:lang w:eastAsia="ja-JP"/>
        </w:rPr>
        <w:t xml:space="preserve">) et ; </w:t>
      </w:r>
    </w:p>
    <w:p w14:paraId="7D4EC0F5" w14:textId="576E6571" w:rsidR="007B240E" w:rsidRDefault="007B240E" w:rsidP="00BB606A">
      <w:pPr>
        <w:pStyle w:val="Paragraphedeliste"/>
        <w:numPr>
          <w:ilvl w:val="0"/>
          <w:numId w:val="3"/>
        </w:numPr>
        <w:spacing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 xml:space="preserve">D’un </w:t>
      </w:r>
      <w:r w:rsidRPr="00C03061">
        <w:rPr>
          <w:rFonts w:asciiTheme="minorHAnsi" w:hAnsiTheme="minorHAnsi" w:cstheme="minorHAnsi"/>
          <w:b/>
          <w:iCs/>
          <w:color w:val="000000"/>
          <w:lang w:eastAsia="ja-JP"/>
        </w:rPr>
        <w:t>cadre de suivi-évaluation clair</w:t>
      </w:r>
      <w:r>
        <w:rPr>
          <w:rFonts w:asciiTheme="minorHAnsi" w:hAnsiTheme="minorHAnsi" w:cstheme="minorHAnsi"/>
          <w:iCs/>
          <w:color w:val="000000"/>
          <w:lang w:eastAsia="ja-JP"/>
        </w:rPr>
        <w:t xml:space="preserve"> permettant de démontrer son impact et son influence auprès des entrepreneur.es mais également de l’écosystème tunisien. </w:t>
      </w:r>
    </w:p>
    <w:p w14:paraId="0060606F" w14:textId="55F0D19A" w:rsidR="00B255EE" w:rsidRPr="00C03061" w:rsidRDefault="007B240E" w:rsidP="00C03061">
      <w:pPr>
        <w:spacing w:line="276" w:lineRule="auto"/>
        <w:jc w:val="both"/>
      </w:pPr>
      <w:r>
        <w:rPr>
          <w:rFonts w:asciiTheme="minorHAnsi" w:hAnsiTheme="minorHAnsi" w:cstheme="minorHAnsi"/>
          <w:iCs/>
          <w:color w:val="000000"/>
          <w:lang w:eastAsia="ja-JP"/>
        </w:rPr>
        <w:t xml:space="preserve">La présente mission d’inscrit dans ce cadre ; appuyer The Dot à reconstituer son impact au cours des trois dernières années et co-construire avec la structure un cadre de suivi adapté.  </w:t>
      </w:r>
    </w:p>
    <w:p w14:paraId="672412E4" w14:textId="5DDB81C3" w:rsidR="006D359C" w:rsidRPr="00C03061" w:rsidRDefault="00E43FC1" w:rsidP="00C03061">
      <w:pPr>
        <w:pStyle w:val="Titre1"/>
        <w:spacing w:after="0" w:line="276" w:lineRule="auto"/>
        <w:rPr>
          <w:color w:val="000000"/>
          <w:lang w:eastAsia="ja-JP"/>
        </w:rPr>
      </w:pPr>
      <w:bookmarkStart w:id="9" w:name="_Toc213859192"/>
      <w:r>
        <w:rPr>
          <w:rFonts w:asciiTheme="minorHAnsi" w:hAnsiTheme="minorHAnsi" w:cstheme="minorHAnsi"/>
          <w:sz w:val="28"/>
          <w:szCs w:val="22"/>
        </w:rPr>
        <w:t>Objectifs et résultats attendus de la mission</w:t>
      </w:r>
      <w:bookmarkEnd w:id="9"/>
      <w:r>
        <w:rPr>
          <w:rFonts w:asciiTheme="minorHAnsi" w:hAnsiTheme="minorHAnsi" w:cstheme="minorHAnsi"/>
          <w:sz w:val="28"/>
          <w:szCs w:val="22"/>
        </w:rPr>
        <w:t xml:space="preserve"> </w:t>
      </w:r>
    </w:p>
    <w:p w14:paraId="6DF5AEA9" w14:textId="77777777" w:rsidR="006D359C" w:rsidRPr="00C03061" w:rsidRDefault="006D359C" w:rsidP="00C03061">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0" w:name="_Toc213859193"/>
      <w:r w:rsidRPr="00C03061">
        <w:rPr>
          <w:rFonts w:asciiTheme="minorHAnsi" w:eastAsia="MS Gothic" w:hAnsiTheme="minorHAnsi" w:cstheme="minorHAnsi"/>
          <w:b/>
          <w:bCs/>
          <w:iCs/>
          <w:color w:val="243F60"/>
          <w:lang w:eastAsia="ja-JP"/>
        </w:rPr>
        <w:t>Objectifs et attentes générales de la mission</w:t>
      </w:r>
      <w:bookmarkEnd w:id="10"/>
      <w:r w:rsidRPr="00C03061">
        <w:rPr>
          <w:rFonts w:asciiTheme="minorHAnsi" w:eastAsia="MS Gothic" w:hAnsiTheme="minorHAnsi" w:cstheme="minorHAnsi"/>
          <w:b/>
          <w:bCs/>
          <w:iCs/>
          <w:color w:val="243F60"/>
          <w:lang w:eastAsia="ja-JP"/>
        </w:rPr>
        <w:t xml:space="preserve"> </w:t>
      </w:r>
    </w:p>
    <w:p w14:paraId="2DCB4CD9" w14:textId="77777777" w:rsidR="00A85C2C" w:rsidRDefault="006D359C" w:rsidP="00C03061">
      <w:pPr>
        <w:tabs>
          <w:tab w:val="right" w:leader="dot" w:pos="9923"/>
        </w:tabs>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L’objectif principal de cette mission est de </w:t>
      </w:r>
      <w:r w:rsidR="00A85C2C" w:rsidRPr="002A32D5">
        <w:rPr>
          <w:rFonts w:asciiTheme="minorHAnsi" w:hAnsiTheme="minorHAnsi" w:cstheme="minorHAnsi"/>
          <w:iCs/>
          <w:color w:val="000000"/>
          <w:lang w:eastAsia="ja-JP"/>
        </w:rPr>
        <w:t xml:space="preserve">reconstituer et </w:t>
      </w:r>
      <w:r w:rsidRPr="002A32D5">
        <w:rPr>
          <w:rFonts w:asciiTheme="minorHAnsi" w:hAnsiTheme="minorHAnsi" w:cstheme="minorHAnsi"/>
          <w:iCs/>
          <w:color w:val="000000"/>
          <w:lang w:eastAsia="ja-JP"/>
        </w:rPr>
        <w:t xml:space="preserve">collecter des données </w:t>
      </w:r>
      <w:r w:rsidRPr="002A32D5">
        <w:rPr>
          <w:rFonts w:asciiTheme="minorHAnsi" w:hAnsiTheme="minorHAnsi" w:cstheme="minorHAnsi"/>
          <w:b/>
          <w:bCs/>
          <w:iCs/>
          <w:color w:val="000000"/>
          <w:lang w:eastAsia="ja-JP"/>
        </w:rPr>
        <w:t>qualitatives et quantitatives</w:t>
      </w:r>
      <w:r w:rsidRPr="002A32D5">
        <w:rPr>
          <w:rFonts w:asciiTheme="minorHAnsi" w:hAnsiTheme="minorHAnsi" w:cstheme="minorHAnsi"/>
          <w:iCs/>
          <w:color w:val="000000"/>
          <w:lang w:eastAsia="ja-JP"/>
        </w:rPr>
        <w:t xml:space="preserve"> </w:t>
      </w:r>
      <w:r w:rsidR="00A85C2C" w:rsidRPr="002A32D5">
        <w:rPr>
          <w:rFonts w:asciiTheme="minorHAnsi" w:hAnsiTheme="minorHAnsi" w:cstheme="minorHAnsi"/>
          <w:iCs/>
          <w:color w:val="000000"/>
          <w:lang w:eastAsia="ja-JP"/>
        </w:rPr>
        <w:t>sur l’impact de The DOT au cours des 3 dernière années et l’appuyer dans la mise en place d’un cadre de suivi-évaluation adapté.</w:t>
      </w:r>
      <w:r w:rsidR="00A85C2C">
        <w:rPr>
          <w:rFonts w:asciiTheme="minorHAnsi" w:hAnsiTheme="minorHAnsi" w:cstheme="minorHAnsi"/>
          <w:iCs/>
          <w:color w:val="000000"/>
          <w:lang w:eastAsia="ja-JP"/>
        </w:rPr>
        <w:t xml:space="preserve"> </w:t>
      </w:r>
    </w:p>
    <w:p w14:paraId="2A78070F" w14:textId="15EFDBAE" w:rsidR="00A85C2C" w:rsidRDefault="00A85C2C" w:rsidP="00C03061">
      <w:p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 xml:space="preserve"> </w:t>
      </w:r>
    </w:p>
    <w:p w14:paraId="053A7093" w14:textId="35143F5B" w:rsidR="006D359C" w:rsidRPr="003A38EB" w:rsidRDefault="00A85C2C" w:rsidP="00C03061">
      <w:p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 xml:space="preserve">Les objectifs spécifiques sont les suivants : </w:t>
      </w:r>
    </w:p>
    <w:p w14:paraId="368D900A" w14:textId="7DDFF0CF" w:rsidR="009574C4" w:rsidRPr="00C03061" w:rsidRDefault="00F30F6E" w:rsidP="00BB606A">
      <w:pPr>
        <w:pStyle w:val="Paragraphedeliste"/>
        <w:numPr>
          <w:ilvl w:val="0"/>
          <w:numId w:val="4"/>
        </w:numPr>
        <w:tabs>
          <w:tab w:val="right" w:leader="dot" w:pos="9923"/>
        </w:tabs>
        <w:spacing w:after="0" w:line="276" w:lineRule="auto"/>
        <w:jc w:val="both"/>
        <w:rPr>
          <w:rFonts w:asciiTheme="minorHAnsi" w:hAnsiTheme="minorHAnsi" w:cstheme="minorHAnsi"/>
          <w:iCs/>
          <w:color w:val="000000"/>
          <w:lang w:eastAsia="ja-JP"/>
        </w:rPr>
      </w:pPr>
      <w:r w:rsidRPr="00BE1627">
        <w:rPr>
          <w:rFonts w:asciiTheme="minorHAnsi" w:hAnsiTheme="minorHAnsi" w:cstheme="minorHAnsi"/>
          <w:b/>
          <w:iCs/>
          <w:color w:val="000000"/>
          <w:lang w:eastAsia="ja-JP"/>
        </w:rPr>
        <w:t xml:space="preserve">Reconstituer </w:t>
      </w:r>
      <w:r>
        <w:rPr>
          <w:rFonts w:asciiTheme="minorHAnsi" w:hAnsiTheme="minorHAnsi" w:cstheme="minorHAnsi"/>
          <w:b/>
          <w:iCs/>
          <w:color w:val="000000"/>
          <w:lang w:eastAsia="ja-JP"/>
        </w:rPr>
        <w:t xml:space="preserve">et consolider </w:t>
      </w:r>
      <w:r w:rsidRPr="00BE1627">
        <w:rPr>
          <w:rFonts w:asciiTheme="minorHAnsi" w:hAnsiTheme="minorHAnsi" w:cstheme="minorHAnsi"/>
          <w:b/>
          <w:iCs/>
          <w:color w:val="000000"/>
          <w:lang w:eastAsia="ja-JP"/>
        </w:rPr>
        <w:t>les données déjà disponibles sur l’impact de The Dot</w:t>
      </w:r>
      <w:r w:rsidR="002A32D5">
        <w:rPr>
          <w:rFonts w:asciiTheme="minorHAnsi" w:hAnsiTheme="minorHAnsi" w:cstheme="minorHAnsi"/>
          <w:iCs/>
          <w:color w:val="000000"/>
          <w:lang w:eastAsia="ja-JP"/>
        </w:rPr>
        <w:t xml:space="preserve"> </w:t>
      </w:r>
      <w:r>
        <w:rPr>
          <w:rFonts w:asciiTheme="minorHAnsi" w:hAnsiTheme="minorHAnsi" w:cstheme="minorHAnsi"/>
          <w:b/>
          <w:bCs/>
          <w:iCs/>
          <w:color w:val="000000"/>
          <w:lang w:eastAsia="ja-JP"/>
        </w:rPr>
        <w:t>afin de f</w:t>
      </w:r>
      <w:r w:rsidR="006D359C" w:rsidRPr="00C03061">
        <w:rPr>
          <w:rFonts w:asciiTheme="minorHAnsi" w:hAnsiTheme="minorHAnsi" w:cstheme="minorHAnsi"/>
          <w:b/>
          <w:bCs/>
          <w:iCs/>
          <w:color w:val="000000"/>
          <w:lang w:eastAsia="ja-JP"/>
        </w:rPr>
        <w:t>ournir une vue d’ensemble</w:t>
      </w:r>
      <w:r w:rsidR="006D359C" w:rsidRPr="00C03061">
        <w:rPr>
          <w:rFonts w:asciiTheme="minorHAnsi" w:hAnsiTheme="minorHAnsi" w:cstheme="minorHAnsi"/>
          <w:b/>
          <w:iCs/>
          <w:color w:val="000000"/>
          <w:lang w:eastAsia="ja-JP"/>
        </w:rPr>
        <w:t xml:space="preserve"> des acteurs ayant bénéficié de The Dot :</w:t>
      </w:r>
      <w:r w:rsidR="006D359C" w:rsidRPr="00C03061">
        <w:rPr>
          <w:rFonts w:asciiTheme="minorHAnsi" w:hAnsiTheme="minorHAnsi" w:cstheme="minorHAnsi"/>
          <w:iCs/>
          <w:color w:val="000000"/>
          <w:lang w:eastAsia="ja-JP"/>
        </w:rPr>
        <w:t xml:space="preserve"> qui ils sont, les programmes auxquels ils ont bénéficié, et suivre leur évolution post-hébergement, à travers la mesure d’indicateur à définir avec les expert.es. Cela permettra également d’identifier des indicateurs pertinents</w:t>
      </w:r>
      <w:r w:rsidR="002A32D5">
        <w:rPr>
          <w:rFonts w:asciiTheme="minorHAnsi" w:hAnsiTheme="minorHAnsi" w:cstheme="minorHAnsi"/>
          <w:iCs/>
          <w:color w:val="000000"/>
          <w:lang w:eastAsia="ja-JP"/>
        </w:rPr>
        <w:t xml:space="preserve"> manquants et</w:t>
      </w:r>
      <w:r w:rsidR="006D359C" w:rsidRPr="00C03061">
        <w:rPr>
          <w:rFonts w:asciiTheme="minorHAnsi" w:hAnsiTheme="minorHAnsi" w:cstheme="minorHAnsi"/>
          <w:iCs/>
          <w:color w:val="000000"/>
          <w:lang w:eastAsia="ja-JP"/>
        </w:rPr>
        <w:t xml:space="preserve"> à collecter.</w:t>
      </w:r>
      <w:r w:rsidR="006D359C" w:rsidRPr="003A38EB">
        <w:rPr>
          <w:rFonts w:asciiTheme="minorHAnsi" w:hAnsiTheme="minorHAnsi" w:cstheme="minorHAnsi"/>
          <w:iCs/>
          <w:color w:val="000000"/>
          <w:lang w:eastAsia="ja-JP"/>
        </w:rPr>
        <w:t xml:space="preserve"> </w:t>
      </w:r>
    </w:p>
    <w:p w14:paraId="6EAC4364" w14:textId="77777777" w:rsidR="006D359C" w:rsidRPr="00C03061" w:rsidRDefault="006D359C" w:rsidP="00C03061">
      <w:pPr>
        <w:pStyle w:val="Paragraphedeliste"/>
        <w:tabs>
          <w:tab w:val="right" w:leader="dot" w:pos="9923"/>
        </w:tabs>
        <w:spacing w:after="0" w:line="276" w:lineRule="auto"/>
        <w:jc w:val="both"/>
        <w:rPr>
          <w:rFonts w:asciiTheme="minorHAnsi" w:hAnsiTheme="minorHAnsi" w:cstheme="minorHAnsi"/>
          <w:iCs/>
          <w:color w:val="000000"/>
          <w:lang w:eastAsia="ja-JP"/>
        </w:rPr>
      </w:pPr>
    </w:p>
    <w:p w14:paraId="70358DBE" w14:textId="0A5EFF79" w:rsidR="00F30F6E" w:rsidRDefault="006D359C" w:rsidP="00BB606A">
      <w:pPr>
        <w:numPr>
          <w:ilvl w:val="0"/>
          <w:numId w:val="4"/>
        </w:numPr>
        <w:tabs>
          <w:tab w:val="right" w:leader="dot" w:pos="9923"/>
        </w:tabs>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b/>
          <w:bCs/>
          <w:iCs/>
          <w:color w:val="000000"/>
          <w:lang w:eastAsia="ja-JP"/>
        </w:rPr>
        <w:t>Évaluer les effets à moyen terme attribuables à The Dot</w:t>
      </w:r>
      <w:r w:rsidRPr="00C03061">
        <w:rPr>
          <w:rFonts w:asciiTheme="minorHAnsi" w:hAnsiTheme="minorHAnsi" w:cstheme="minorHAnsi"/>
          <w:iCs/>
          <w:color w:val="000000"/>
          <w:lang w:eastAsia="ja-JP"/>
        </w:rPr>
        <w:t xml:space="preserve"> sur les bénéficiaires directs et indirects, en se basant sur des indicateurs à définir (tels que la création de nouvelles opportunités d'emploi, les levées de fonds, etc.). L'analyse visera à déterminer où en sont les bénéficiaires aujourd’hui, quelle part de leur succès ou de leurs défis est imputable à The Dot, et à appuyer ces conclusions par des données quantitatives ou qualitatives robustes pour valider ou réfuter ces résultats. </w:t>
      </w:r>
    </w:p>
    <w:p w14:paraId="797B7E59" w14:textId="501EDE10" w:rsidR="002A32D5" w:rsidRDefault="002A32D5" w:rsidP="002A32D5">
      <w:pPr>
        <w:tabs>
          <w:tab w:val="right" w:leader="dot" w:pos="9923"/>
        </w:tabs>
        <w:spacing w:after="0" w:line="276" w:lineRule="auto"/>
        <w:jc w:val="both"/>
        <w:rPr>
          <w:rFonts w:asciiTheme="minorHAnsi" w:hAnsiTheme="minorHAnsi" w:cstheme="minorHAnsi"/>
          <w:iCs/>
          <w:color w:val="000000"/>
          <w:lang w:eastAsia="ja-JP"/>
        </w:rPr>
      </w:pPr>
    </w:p>
    <w:p w14:paraId="278E86A5" w14:textId="691EB4B9" w:rsidR="006D359C" w:rsidRPr="00C03061" w:rsidRDefault="00F30F6E" w:rsidP="00BB606A">
      <w:pPr>
        <w:pStyle w:val="Paragraphedeliste"/>
        <w:numPr>
          <w:ilvl w:val="0"/>
          <w:numId w:val="4"/>
        </w:numPr>
        <w:spacing w:line="276" w:lineRule="auto"/>
        <w:jc w:val="both"/>
        <w:rPr>
          <w:lang w:eastAsia="ja-JP"/>
        </w:rPr>
      </w:pPr>
      <w:r w:rsidRPr="00C03061">
        <w:rPr>
          <w:rFonts w:asciiTheme="minorHAnsi" w:hAnsiTheme="minorHAnsi" w:cstheme="minorHAnsi"/>
          <w:b/>
          <w:iCs/>
          <w:color w:val="000000"/>
          <w:lang w:eastAsia="ja-JP"/>
        </w:rPr>
        <w:t xml:space="preserve">Proposer un cadre de suivi-évaluation </w:t>
      </w:r>
      <w:r>
        <w:rPr>
          <w:rFonts w:asciiTheme="minorHAnsi" w:hAnsiTheme="minorHAnsi" w:cstheme="minorHAnsi"/>
          <w:b/>
          <w:iCs/>
          <w:color w:val="000000"/>
          <w:lang w:eastAsia="ja-JP"/>
        </w:rPr>
        <w:t xml:space="preserve">simple et </w:t>
      </w:r>
      <w:r w:rsidRPr="00C03061">
        <w:rPr>
          <w:rFonts w:asciiTheme="minorHAnsi" w:hAnsiTheme="minorHAnsi" w:cstheme="minorHAnsi"/>
          <w:b/>
          <w:iCs/>
          <w:color w:val="000000"/>
          <w:lang w:eastAsia="ja-JP"/>
        </w:rPr>
        <w:t>adapté pour The Dot.</w:t>
      </w:r>
      <w:r>
        <w:rPr>
          <w:rFonts w:asciiTheme="minorHAnsi" w:hAnsiTheme="minorHAnsi" w:cstheme="minorHAnsi"/>
          <w:iCs/>
          <w:color w:val="000000"/>
          <w:lang w:eastAsia="ja-JP"/>
        </w:rPr>
        <w:t xml:space="preserve"> Ce cadre devra prendre en compte l’essaimage à venir de The Dot en région, ainsi que l’organisation actuelle de l’organisation. </w:t>
      </w:r>
    </w:p>
    <w:p w14:paraId="21D02024" w14:textId="49B0B2B3" w:rsidR="006D359C" w:rsidRPr="00C03061" w:rsidRDefault="006D359C" w:rsidP="00C03061">
      <w:pPr>
        <w:tabs>
          <w:tab w:val="right" w:leader="dot" w:pos="9923"/>
        </w:tabs>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Ainsi, cette </w:t>
      </w:r>
      <w:r w:rsidR="002A32D5">
        <w:rPr>
          <w:rFonts w:asciiTheme="minorHAnsi" w:hAnsiTheme="minorHAnsi" w:cstheme="minorHAnsi"/>
          <w:iCs/>
          <w:color w:val="000000"/>
          <w:lang w:eastAsia="ja-JP"/>
        </w:rPr>
        <w:t>mission</w:t>
      </w:r>
      <w:r w:rsidRPr="00C03061">
        <w:rPr>
          <w:rFonts w:asciiTheme="minorHAnsi" w:hAnsiTheme="minorHAnsi" w:cstheme="minorHAnsi"/>
          <w:iCs/>
          <w:color w:val="000000"/>
          <w:lang w:eastAsia="ja-JP"/>
        </w:rPr>
        <w:t xml:space="preserve"> a pour but</w:t>
      </w:r>
      <w:r w:rsidR="002A32D5">
        <w:rPr>
          <w:rFonts w:asciiTheme="minorHAnsi" w:hAnsiTheme="minorHAnsi" w:cstheme="minorHAnsi"/>
          <w:iCs/>
          <w:color w:val="000000"/>
          <w:lang w:eastAsia="ja-JP"/>
        </w:rPr>
        <w:t>s</w:t>
      </w:r>
      <w:r w:rsidRPr="00C03061">
        <w:rPr>
          <w:rFonts w:asciiTheme="minorHAnsi" w:hAnsiTheme="minorHAnsi" w:cstheme="minorHAnsi"/>
          <w:iCs/>
          <w:color w:val="000000"/>
          <w:lang w:eastAsia="ja-JP"/>
        </w:rPr>
        <w:t xml:space="preserve"> </w:t>
      </w:r>
      <w:r w:rsidR="002A32D5">
        <w:rPr>
          <w:rFonts w:asciiTheme="minorHAnsi" w:hAnsiTheme="minorHAnsi" w:cstheme="minorHAnsi"/>
          <w:iCs/>
          <w:color w:val="000000"/>
          <w:lang w:eastAsia="ja-JP"/>
        </w:rPr>
        <w:t>(i)</w:t>
      </w:r>
      <w:r w:rsidRPr="00C03061">
        <w:rPr>
          <w:rFonts w:asciiTheme="minorHAnsi" w:hAnsiTheme="minorHAnsi" w:cstheme="minorHAnsi"/>
          <w:iCs/>
          <w:color w:val="000000"/>
          <w:lang w:eastAsia="ja-JP"/>
        </w:rPr>
        <w:t xml:space="preserve"> </w:t>
      </w:r>
      <w:r w:rsidR="002A32D5" w:rsidRPr="00C03061">
        <w:rPr>
          <w:rFonts w:asciiTheme="minorHAnsi" w:hAnsiTheme="minorHAnsi" w:cstheme="minorHAnsi"/>
          <w:iCs/>
          <w:color w:val="000000"/>
          <w:lang w:eastAsia="ja-JP"/>
        </w:rPr>
        <w:t xml:space="preserve">de suivre </w:t>
      </w:r>
      <w:r w:rsidRPr="00C03061">
        <w:rPr>
          <w:rFonts w:asciiTheme="minorHAnsi" w:hAnsiTheme="minorHAnsi" w:cstheme="minorHAnsi"/>
          <w:iCs/>
          <w:color w:val="000000"/>
          <w:lang w:eastAsia="ja-JP"/>
        </w:rPr>
        <w:t>l’évolution des bénéficiaires ayant reçu un appui de The Dot</w:t>
      </w:r>
      <w:r w:rsidR="00F30F6E">
        <w:rPr>
          <w:rFonts w:asciiTheme="minorHAnsi" w:hAnsiTheme="minorHAnsi" w:cstheme="minorHAnsi"/>
          <w:iCs/>
          <w:color w:val="000000"/>
          <w:lang w:eastAsia="ja-JP"/>
        </w:rPr>
        <w:t>,</w:t>
      </w:r>
      <w:r w:rsidR="002A32D5">
        <w:rPr>
          <w:rFonts w:asciiTheme="minorHAnsi" w:hAnsiTheme="minorHAnsi" w:cstheme="minorHAnsi"/>
          <w:iCs/>
          <w:color w:val="000000"/>
          <w:lang w:eastAsia="ja-JP"/>
        </w:rPr>
        <w:t xml:space="preserve"> (ii) </w:t>
      </w:r>
      <w:r w:rsidRPr="00C03061">
        <w:rPr>
          <w:rFonts w:asciiTheme="minorHAnsi" w:hAnsiTheme="minorHAnsi" w:cstheme="minorHAnsi"/>
          <w:iCs/>
          <w:color w:val="000000"/>
          <w:lang w:eastAsia="ja-JP"/>
        </w:rPr>
        <w:t>mesurer la contribution du projet et de ses différentes activités dans leur progression, afin de tirer des conclusions plus globales sur l’effet de the Dot dans l’écosystème</w:t>
      </w:r>
      <w:r w:rsidR="002A32D5">
        <w:rPr>
          <w:rFonts w:asciiTheme="minorHAnsi" w:hAnsiTheme="minorHAnsi" w:cstheme="minorHAnsi"/>
          <w:iCs/>
          <w:color w:val="000000"/>
          <w:lang w:eastAsia="ja-JP"/>
        </w:rPr>
        <w:t xml:space="preserve"> ; et (iii) </w:t>
      </w:r>
      <w:r w:rsidR="00F30F6E">
        <w:rPr>
          <w:rFonts w:asciiTheme="minorHAnsi" w:hAnsiTheme="minorHAnsi" w:cstheme="minorHAnsi"/>
          <w:iCs/>
          <w:color w:val="000000"/>
          <w:lang w:eastAsia="ja-JP"/>
        </w:rPr>
        <w:t xml:space="preserve">doter la structure d’un cadre de suivi-évaluation clair tenant compte de ses évolutions futures. </w:t>
      </w:r>
    </w:p>
    <w:p w14:paraId="486DC165" w14:textId="77777777" w:rsidR="006D359C" w:rsidRPr="00C03061" w:rsidRDefault="006D359C" w:rsidP="00C03061">
      <w:pPr>
        <w:tabs>
          <w:tab w:val="right" w:leader="dot" w:pos="9923"/>
        </w:tabs>
        <w:spacing w:after="0" w:line="276" w:lineRule="auto"/>
        <w:ind w:left="360"/>
        <w:jc w:val="both"/>
        <w:rPr>
          <w:rFonts w:asciiTheme="minorHAnsi" w:hAnsiTheme="minorHAnsi" w:cstheme="minorHAnsi"/>
          <w:iCs/>
          <w:color w:val="000000"/>
          <w:lang w:eastAsia="ja-JP"/>
        </w:rPr>
      </w:pPr>
    </w:p>
    <w:p w14:paraId="08938B60" w14:textId="702E2C35" w:rsidR="006D359C" w:rsidRDefault="006D359C" w:rsidP="00C03061">
      <w:pPr>
        <w:tabs>
          <w:tab w:val="right" w:leader="dot" w:pos="9923"/>
        </w:tabs>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Le document final issu de cette mission devra contenir des données fiables, descriptives et analytiques qui pourront être utilisées à des fins de </w:t>
      </w:r>
      <w:r w:rsidR="00F30F6E">
        <w:rPr>
          <w:rFonts w:asciiTheme="minorHAnsi" w:hAnsiTheme="minorHAnsi" w:cstheme="minorHAnsi"/>
          <w:iCs/>
          <w:color w:val="000000"/>
          <w:lang w:eastAsia="ja-JP"/>
        </w:rPr>
        <w:t xml:space="preserve">situation de référence et </w:t>
      </w:r>
      <w:r w:rsidRPr="00C03061">
        <w:rPr>
          <w:rFonts w:asciiTheme="minorHAnsi" w:hAnsiTheme="minorHAnsi" w:cstheme="minorHAnsi"/>
          <w:iCs/>
          <w:color w:val="000000"/>
          <w:lang w:eastAsia="ja-JP"/>
        </w:rPr>
        <w:t xml:space="preserve">plaidoyer, ou comme support pour répondre à des appels à projets. </w:t>
      </w:r>
    </w:p>
    <w:p w14:paraId="3662E48A" w14:textId="77777777" w:rsidR="00F30F6E" w:rsidRPr="00C03061" w:rsidRDefault="00F30F6E" w:rsidP="00C03061">
      <w:pPr>
        <w:tabs>
          <w:tab w:val="right" w:leader="dot" w:pos="9923"/>
        </w:tabs>
        <w:spacing w:after="0" w:line="276" w:lineRule="auto"/>
        <w:jc w:val="both"/>
        <w:rPr>
          <w:rFonts w:asciiTheme="minorHAnsi" w:hAnsiTheme="minorHAnsi" w:cstheme="minorHAnsi"/>
          <w:iCs/>
          <w:color w:val="000000"/>
          <w:lang w:eastAsia="ja-JP"/>
        </w:rPr>
      </w:pPr>
    </w:p>
    <w:p w14:paraId="5AD14B28" w14:textId="4F314BAC" w:rsidR="006D359C" w:rsidRPr="00C03061" w:rsidRDefault="006D359C" w:rsidP="00C03061">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1" w:name="_Toc213859194"/>
      <w:r w:rsidRPr="00C03061">
        <w:rPr>
          <w:rFonts w:asciiTheme="minorHAnsi" w:eastAsia="MS Gothic" w:hAnsiTheme="minorHAnsi" w:cstheme="minorHAnsi"/>
          <w:b/>
          <w:bCs/>
          <w:iCs/>
          <w:color w:val="243F60"/>
          <w:lang w:eastAsia="ja-JP"/>
        </w:rPr>
        <w:t>Périmètre de l’évaluation :</w:t>
      </w:r>
      <w:bookmarkEnd w:id="11"/>
    </w:p>
    <w:p w14:paraId="7EB77B1C" w14:textId="77777777" w:rsidR="006D359C" w:rsidRPr="00C03061" w:rsidRDefault="006D359C" w:rsidP="00C03061">
      <w:pPr>
        <w:autoSpaceDE w:val="0"/>
        <w:autoSpaceDN w:val="0"/>
        <w:adjustRightInd w:val="0"/>
        <w:spacing w:after="0" w:line="276" w:lineRule="auto"/>
        <w:jc w:val="both"/>
        <w:rPr>
          <w:rFonts w:asciiTheme="minorHAnsi" w:hAnsiTheme="minorHAnsi" w:cstheme="minorHAnsi"/>
          <w:color w:val="000000"/>
          <w:lang w:eastAsia="ja-JP"/>
        </w:rPr>
      </w:pPr>
      <w:r w:rsidRPr="00C03061">
        <w:rPr>
          <w:rFonts w:asciiTheme="minorHAnsi" w:hAnsiTheme="minorHAnsi" w:cstheme="minorHAnsi"/>
          <w:color w:val="000000"/>
          <w:lang w:eastAsia="ja-JP"/>
        </w:rPr>
        <w:t xml:space="preserve">L’évaluation portera sur les éléments suivants : </w:t>
      </w:r>
    </w:p>
    <w:p w14:paraId="5FFADE73" w14:textId="77777777" w:rsidR="006D359C" w:rsidRPr="00C03061" w:rsidRDefault="006D359C" w:rsidP="00C03061">
      <w:pPr>
        <w:autoSpaceDE w:val="0"/>
        <w:autoSpaceDN w:val="0"/>
        <w:adjustRightInd w:val="0"/>
        <w:spacing w:after="0" w:line="276" w:lineRule="auto"/>
        <w:jc w:val="both"/>
        <w:rPr>
          <w:rFonts w:asciiTheme="minorHAnsi" w:hAnsiTheme="minorHAnsi" w:cstheme="minorHAnsi"/>
          <w:color w:val="000000"/>
          <w:lang w:eastAsia="ja-JP"/>
        </w:rPr>
      </w:pPr>
      <w:r w:rsidRPr="00C03061">
        <w:rPr>
          <w:rFonts w:asciiTheme="minorHAnsi" w:hAnsiTheme="minorHAnsi" w:cstheme="minorHAnsi"/>
          <w:b/>
          <w:bCs/>
          <w:color w:val="000000"/>
          <w:lang w:eastAsia="ja-JP"/>
        </w:rPr>
        <w:t xml:space="preserve">Période </w:t>
      </w:r>
      <w:r w:rsidRPr="00C03061">
        <w:rPr>
          <w:rFonts w:asciiTheme="minorHAnsi" w:hAnsiTheme="minorHAnsi" w:cstheme="minorHAnsi"/>
          <w:color w:val="000000"/>
          <w:lang w:eastAsia="ja-JP"/>
        </w:rPr>
        <w:t xml:space="preserve">: 2021-2024 </w:t>
      </w:r>
    </w:p>
    <w:p w14:paraId="3634D697" w14:textId="77777777" w:rsidR="006D359C" w:rsidRPr="00C03061" w:rsidRDefault="006D359C" w:rsidP="00C03061">
      <w:pPr>
        <w:autoSpaceDE w:val="0"/>
        <w:autoSpaceDN w:val="0"/>
        <w:adjustRightInd w:val="0"/>
        <w:spacing w:after="0" w:line="276" w:lineRule="auto"/>
        <w:jc w:val="both"/>
        <w:rPr>
          <w:rFonts w:asciiTheme="minorHAnsi" w:hAnsiTheme="minorHAnsi" w:cstheme="minorHAnsi"/>
          <w:color w:val="000000"/>
          <w:lang w:eastAsia="ja-JP"/>
        </w:rPr>
      </w:pPr>
      <w:r w:rsidRPr="00C03061">
        <w:rPr>
          <w:rFonts w:asciiTheme="minorHAnsi" w:hAnsiTheme="minorHAnsi" w:cstheme="minorHAnsi"/>
          <w:b/>
          <w:bCs/>
          <w:color w:val="000000"/>
          <w:lang w:eastAsia="ja-JP"/>
        </w:rPr>
        <w:t xml:space="preserve">Pays </w:t>
      </w:r>
      <w:r w:rsidRPr="00C03061">
        <w:rPr>
          <w:rFonts w:asciiTheme="minorHAnsi" w:hAnsiTheme="minorHAnsi" w:cstheme="minorHAnsi"/>
          <w:color w:val="000000"/>
          <w:lang w:eastAsia="ja-JP"/>
        </w:rPr>
        <w:t xml:space="preserve">: Tunisie (et quelques acteurs internationaux) </w:t>
      </w:r>
    </w:p>
    <w:p w14:paraId="24193F84" w14:textId="77777777" w:rsidR="006D359C" w:rsidRPr="00C03061" w:rsidRDefault="006D359C" w:rsidP="00C03061">
      <w:pPr>
        <w:autoSpaceDE w:val="0"/>
        <w:autoSpaceDN w:val="0"/>
        <w:adjustRightInd w:val="0"/>
        <w:spacing w:after="0" w:line="276" w:lineRule="auto"/>
        <w:ind w:left="426"/>
        <w:jc w:val="both"/>
        <w:rPr>
          <w:rFonts w:asciiTheme="minorHAnsi" w:hAnsiTheme="minorHAnsi" w:cstheme="minorHAnsi"/>
          <w:color w:val="000000"/>
          <w:lang w:eastAsia="ja-JP"/>
        </w:rPr>
      </w:pPr>
    </w:p>
    <w:p w14:paraId="77A66A90" w14:textId="5F7782FA" w:rsidR="006D359C" w:rsidRPr="00C03061" w:rsidRDefault="006D359C" w:rsidP="00C03061">
      <w:pPr>
        <w:autoSpaceDE w:val="0"/>
        <w:autoSpaceDN w:val="0"/>
        <w:adjustRightInd w:val="0"/>
        <w:spacing w:after="0" w:line="276" w:lineRule="auto"/>
        <w:jc w:val="both"/>
        <w:rPr>
          <w:rFonts w:asciiTheme="minorHAnsi" w:hAnsiTheme="minorHAnsi" w:cstheme="minorHAnsi"/>
          <w:color w:val="000000"/>
          <w:lang w:eastAsia="ja-JP"/>
        </w:rPr>
      </w:pPr>
      <w:r w:rsidRPr="00C03061">
        <w:rPr>
          <w:rFonts w:asciiTheme="minorHAnsi" w:hAnsiTheme="minorHAnsi" w:cstheme="minorHAnsi"/>
          <w:b/>
          <w:bCs/>
          <w:color w:val="000000"/>
          <w:lang w:eastAsia="ja-JP"/>
        </w:rPr>
        <w:t xml:space="preserve">Bénéficiaires </w:t>
      </w:r>
      <w:r w:rsidRPr="00C03061">
        <w:rPr>
          <w:rFonts w:asciiTheme="minorHAnsi" w:hAnsiTheme="minorHAnsi" w:cstheme="minorHAnsi"/>
          <w:color w:val="000000"/>
          <w:lang w:eastAsia="ja-JP"/>
        </w:rPr>
        <w:t>: l’ensemble de l’écosystème de</w:t>
      </w:r>
      <w:r w:rsidR="00B8358C">
        <w:rPr>
          <w:rFonts w:asciiTheme="minorHAnsi" w:hAnsiTheme="minorHAnsi" w:cstheme="minorHAnsi"/>
          <w:color w:val="000000"/>
          <w:lang w:eastAsia="ja-JP"/>
        </w:rPr>
        <w:t xml:space="preserve"> l’entrepreneuriat en Tunisie - environ 250 acteurs </w:t>
      </w:r>
    </w:p>
    <w:p w14:paraId="46531EAF" w14:textId="23E8E7F4" w:rsidR="006D359C" w:rsidRPr="00C03061" w:rsidRDefault="006D359C" w:rsidP="00BB606A">
      <w:pPr>
        <w:pStyle w:val="Paragraphedeliste"/>
        <w:numPr>
          <w:ilvl w:val="0"/>
          <w:numId w:val="5"/>
        </w:numPr>
        <w:autoSpaceDE w:val="0"/>
        <w:autoSpaceDN w:val="0"/>
        <w:adjustRightInd w:val="0"/>
        <w:spacing w:after="0" w:line="276" w:lineRule="auto"/>
        <w:jc w:val="both"/>
        <w:rPr>
          <w:rFonts w:asciiTheme="minorHAnsi" w:hAnsiTheme="minorHAnsi" w:cstheme="minorHAnsi"/>
          <w:i/>
          <w:color w:val="000000"/>
          <w:lang w:eastAsia="ja-JP"/>
        </w:rPr>
      </w:pPr>
      <w:r w:rsidRPr="00C03061">
        <w:rPr>
          <w:rFonts w:asciiTheme="minorHAnsi" w:hAnsiTheme="minorHAnsi" w:cstheme="minorHAnsi"/>
          <w:color w:val="000000"/>
          <w:lang w:eastAsia="ja-JP"/>
        </w:rPr>
        <w:t>Entrepreneurs : Dot camp</w:t>
      </w:r>
      <w:r w:rsidR="00DC369D" w:rsidRPr="00C03061">
        <w:rPr>
          <w:rFonts w:asciiTheme="minorHAnsi" w:hAnsiTheme="minorHAnsi" w:cstheme="minorHAnsi"/>
          <w:color w:val="000000"/>
          <w:lang w:eastAsia="ja-JP"/>
        </w:rPr>
        <w:t>,</w:t>
      </w:r>
      <w:r w:rsidRPr="00C03061">
        <w:rPr>
          <w:rFonts w:asciiTheme="minorHAnsi" w:hAnsiTheme="minorHAnsi" w:cstheme="minorHAnsi"/>
          <w:color w:val="000000"/>
          <w:lang w:eastAsia="ja-JP"/>
        </w:rPr>
        <w:t xml:space="preserve"> Dot landing, </w:t>
      </w:r>
      <w:r w:rsidR="00F36FF2" w:rsidRPr="00C03061">
        <w:rPr>
          <w:rFonts w:asciiTheme="minorHAnsi" w:hAnsiTheme="minorHAnsi" w:cstheme="minorHAnsi"/>
          <w:color w:val="000000"/>
          <w:lang w:eastAsia="ja-JP"/>
        </w:rPr>
        <w:t>Nearshoring, Bridge’Up</w:t>
      </w:r>
      <w:r w:rsidRPr="00C03061">
        <w:rPr>
          <w:rFonts w:asciiTheme="minorHAnsi" w:hAnsiTheme="minorHAnsi" w:cstheme="minorHAnsi"/>
          <w:color w:val="000000"/>
          <w:lang w:eastAsia="ja-JP"/>
        </w:rPr>
        <w:t>, Dot Expert (hors hébergés)</w:t>
      </w:r>
      <w:r w:rsidR="00DC369D" w:rsidRPr="00C03061">
        <w:rPr>
          <w:rFonts w:asciiTheme="minorHAnsi" w:hAnsiTheme="minorHAnsi" w:cstheme="minorHAnsi"/>
          <w:color w:val="000000"/>
          <w:lang w:eastAsia="ja-JP"/>
        </w:rPr>
        <w:t>, etc</w:t>
      </w:r>
      <w:r w:rsidR="00B8358C">
        <w:rPr>
          <w:rFonts w:asciiTheme="minorHAnsi" w:hAnsiTheme="minorHAnsi" w:cstheme="minorHAnsi"/>
          <w:color w:val="000000"/>
          <w:lang w:eastAsia="ja-JP"/>
        </w:rPr>
        <w:t>.</w:t>
      </w:r>
      <w:r w:rsidR="00DC369D" w:rsidRPr="00C03061">
        <w:rPr>
          <w:rFonts w:asciiTheme="minorHAnsi" w:hAnsiTheme="minorHAnsi" w:cstheme="minorHAnsi"/>
          <w:color w:val="000000"/>
          <w:lang w:eastAsia="ja-JP"/>
        </w:rPr>
        <w:t xml:space="preserve"> </w:t>
      </w:r>
      <w:r w:rsidR="00B8358C">
        <w:rPr>
          <w:rFonts w:asciiTheme="minorHAnsi" w:hAnsiTheme="minorHAnsi" w:cstheme="minorHAnsi"/>
          <w:color w:val="000000"/>
          <w:lang w:eastAsia="ja-JP"/>
        </w:rPr>
        <w:t xml:space="preserve">/ </w:t>
      </w:r>
      <w:r w:rsidR="003D095B" w:rsidRPr="00C03061">
        <w:rPr>
          <w:rFonts w:asciiTheme="minorHAnsi" w:hAnsiTheme="minorHAnsi" w:cstheme="minorHAnsi"/>
          <w:color w:val="000000"/>
          <w:lang w:eastAsia="ja-JP"/>
        </w:rPr>
        <w:t xml:space="preserve">au moins </w:t>
      </w:r>
      <w:r w:rsidRPr="00C03061">
        <w:rPr>
          <w:rFonts w:asciiTheme="minorHAnsi" w:hAnsiTheme="minorHAnsi" w:cstheme="minorHAnsi"/>
          <w:color w:val="000000"/>
          <w:lang w:eastAsia="ja-JP"/>
        </w:rPr>
        <w:t>1</w:t>
      </w:r>
      <w:r w:rsidR="003D095B" w:rsidRPr="00C03061">
        <w:rPr>
          <w:rFonts w:asciiTheme="minorHAnsi" w:hAnsiTheme="minorHAnsi" w:cstheme="minorHAnsi"/>
          <w:color w:val="000000"/>
          <w:lang w:eastAsia="ja-JP"/>
        </w:rPr>
        <w:t>50</w:t>
      </w:r>
      <w:r w:rsidRPr="00C03061">
        <w:rPr>
          <w:rFonts w:asciiTheme="minorHAnsi" w:hAnsiTheme="minorHAnsi" w:cstheme="minorHAnsi"/>
          <w:color w:val="000000"/>
          <w:lang w:eastAsia="ja-JP"/>
        </w:rPr>
        <w:t xml:space="preserve"> </w:t>
      </w:r>
      <w:r w:rsidR="00F36FF2" w:rsidRPr="00C03061">
        <w:rPr>
          <w:rFonts w:asciiTheme="minorHAnsi" w:hAnsiTheme="minorHAnsi" w:cstheme="minorHAnsi"/>
          <w:color w:val="000000"/>
          <w:lang w:eastAsia="ja-JP"/>
        </w:rPr>
        <w:t>startups</w:t>
      </w:r>
    </w:p>
    <w:p w14:paraId="7DCCE986" w14:textId="52C7B1CF" w:rsidR="006D359C" w:rsidRPr="00C03061" w:rsidRDefault="006D359C" w:rsidP="00BB606A">
      <w:pPr>
        <w:pStyle w:val="Paragraphedeliste"/>
        <w:numPr>
          <w:ilvl w:val="0"/>
          <w:numId w:val="5"/>
        </w:numPr>
        <w:autoSpaceDE w:val="0"/>
        <w:autoSpaceDN w:val="0"/>
        <w:adjustRightInd w:val="0"/>
        <w:spacing w:after="0" w:line="276" w:lineRule="auto"/>
        <w:jc w:val="both"/>
        <w:rPr>
          <w:rFonts w:asciiTheme="minorHAnsi" w:hAnsiTheme="minorHAnsi" w:cstheme="minorHAnsi"/>
          <w:i/>
          <w:color w:val="000000"/>
          <w:lang w:eastAsia="ja-JP"/>
        </w:rPr>
      </w:pPr>
      <w:r w:rsidRPr="00C03061">
        <w:rPr>
          <w:rFonts w:asciiTheme="minorHAnsi" w:hAnsiTheme="minorHAnsi" w:cstheme="minorHAnsi"/>
          <w:color w:val="000000"/>
          <w:lang w:eastAsia="ja-JP"/>
        </w:rPr>
        <w:t>Fut</w:t>
      </w:r>
      <w:r w:rsidR="00B8358C">
        <w:rPr>
          <w:rFonts w:asciiTheme="minorHAnsi" w:hAnsiTheme="minorHAnsi" w:cstheme="minorHAnsi"/>
          <w:color w:val="000000"/>
          <w:lang w:eastAsia="ja-JP"/>
        </w:rPr>
        <w:t>urs entrepreneurs : Dot Camp + /</w:t>
      </w:r>
      <w:r w:rsidRPr="00C03061">
        <w:rPr>
          <w:rFonts w:asciiTheme="minorHAnsi" w:hAnsiTheme="minorHAnsi" w:cstheme="minorHAnsi"/>
          <w:color w:val="000000"/>
          <w:lang w:eastAsia="ja-JP"/>
        </w:rPr>
        <w:t xml:space="preserve"> 14 entrepreneurs </w:t>
      </w:r>
    </w:p>
    <w:p w14:paraId="3927C499" w14:textId="003A840D" w:rsidR="006D359C" w:rsidRPr="00C03061" w:rsidRDefault="006D359C" w:rsidP="00BB606A">
      <w:pPr>
        <w:pStyle w:val="Paragraphedeliste"/>
        <w:numPr>
          <w:ilvl w:val="0"/>
          <w:numId w:val="5"/>
        </w:numPr>
        <w:autoSpaceDE w:val="0"/>
        <w:autoSpaceDN w:val="0"/>
        <w:adjustRightInd w:val="0"/>
        <w:spacing w:after="0" w:line="276" w:lineRule="auto"/>
        <w:jc w:val="both"/>
        <w:rPr>
          <w:rFonts w:asciiTheme="minorHAnsi" w:hAnsiTheme="minorHAnsi" w:cstheme="minorHAnsi"/>
          <w:i/>
          <w:color w:val="000000"/>
          <w:lang w:eastAsia="ja-JP"/>
        </w:rPr>
      </w:pPr>
      <w:r w:rsidRPr="00C03061">
        <w:rPr>
          <w:rFonts w:asciiTheme="minorHAnsi" w:hAnsiTheme="minorHAnsi" w:cstheme="minorHAnsi"/>
          <w:color w:val="000000"/>
          <w:lang w:eastAsia="ja-JP"/>
        </w:rPr>
        <w:t>ESO/SSO : incubateurs, accélérateu</w:t>
      </w:r>
      <w:r w:rsidR="00B8358C">
        <w:rPr>
          <w:rFonts w:asciiTheme="minorHAnsi" w:hAnsiTheme="minorHAnsi" w:cstheme="minorHAnsi"/>
          <w:color w:val="000000"/>
          <w:lang w:eastAsia="ja-JP"/>
        </w:rPr>
        <w:t>rs, VC, business angels, etc.  /</w:t>
      </w:r>
      <w:r w:rsidR="00205A68" w:rsidRPr="00C03061">
        <w:rPr>
          <w:rFonts w:asciiTheme="minorHAnsi" w:hAnsiTheme="minorHAnsi" w:cstheme="minorHAnsi"/>
          <w:color w:val="000000"/>
          <w:lang w:eastAsia="ja-JP"/>
        </w:rPr>
        <w:t xml:space="preserve"> </w:t>
      </w:r>
      <w:r w:rsidR="003D095B" w:rsidRPr="00C03061">
        <w:rPr>
          <w:rFonts w:asciiTheme="minorHAnsi" w:hAnsiTheme="minorHAnsi" w:cstheme="minorHAnsi"/>
          <w:color w:val="000000"/>
          <w:lang w:eastAsia="ja-JP"/>
        </w:rPr>
        <w:t xml:space="preserve">au moins </w:t>
      </w:r>
      <w:r w:rsidRPr="00C03061">
        <w:rPr>
          <w:rFonts w:asciiTheme="minorHAnsi" w:hAnsiTheme="minorHAnsi" w:cstheme="minorHAnsi"/>
          <w:color w:val="000000"/>
          <w:lang w:eastAsia="ja-JP"/>
        </w:rPr>
        <w:t xml:space="preserve">64 SSOs </w:t>
      </w:r>
    </w:p>
    <w:p w14:paraId="45ADF26E" w14:textId="4CF8EA2C" w:rsidR="006D359C" w:rsidRPr="00C03061" w:rsidRDefault="006D359C" w:rsidP="00BB606A">
      <w:pPr>
        <w:pStyle w:val="Paragraphedeliste"/>
        <w:numPr>
          <w:ilvl w:val="0"/>
          <w:numId w:val="5"/>
        </w:numPr>
        <w:autoSpaceDE w:val="0"/>
        <w:autoSpaceDN w:val="0"/>
        <w:adjustRightInd w:val="0"/>
        <w:spacing w:after="0" w:line="276" w:lineRule="auto"/>
        <w:jc w:val="both"/>
        <w:rPr>
          <w:rFonts w:asciiTheme="minorHAnsi" w:hAnsiTheme="minorHAnsi" w:cstheme="minorHAnsi"/>
          <w:i/>
          <w:color w:val="000000"/>
          <w:lang w:eastAsia="ja-JP"/>
        </w:rPr>
      </w:pPr>
      <w:r w:rsidRPr="00C03061">
        <w:rPr>
          <w:rFonts w:asciiTheme="minorHAnsi" w:hAnsiTheme="minorHAnsi" w:cstheme="minorHAnsi"/>
          <w:color w:val="000000"/>
          <w:lang w:eastAsia="ja-JP"/>
        </w:rPr>
        <w:t xml:space="preserve">Institutions publiques et ministères : </w:t>
      </w:r>
      <w:r w:rsidR="008B0D63" w:rsidRPr="00C03061">
        <w:rPr>
          <w:rFonts w:asciiTheme="minorHAnsi" w:hAnsiTheme="minorHAnsi" w:cstheme="minorHAnsi"/>
          <w:color w:val="000000"/>
          <w:lang w:eastAsia="ja-JP"/>
        </w:rPr>
        <w:t xml:space="preserve">MTC, </w:t>
      </w:r>
      <w:r w:rsidRPr="00C03061">
        <w:rPr>
          <w:rFonts w:asciiTheme="minorHAnsi" w:hAnsiTheme="minorHAnsi" w:cstheme="minorHAnsi"/>
          <w:color w:val="000000"/>
          <w:lang w:eastAsia="ja-JP"/>
        </w:rPr>
        <w:t>l’APII</w:t>
      </w:r>
      <w:r w:rsidR="008B0D63" w:rsidRPr="00C03061">
        <w:rPr>
          <w:rFonts w:asciiTheme="minorHAnsi" w:hAnsiTheme="minorHAnsi" w:cstheme="minorHAnsi"/>
          <w:color w:val="000000"/>
          <w:lang w:eastAsia="ja-JP"/>
        </w:rPr>
        <w:t>, etc</w:t>
      </w:r>
      <w:r w:rsidR="00B8358C">
        <w:rPr>
          <w:rFonts w:asciiTheme="minorHAnsi" w:hAnsiTheme="minorHAnsi" w:cstheme="minorHAnsi"/>
          <w:color w:val="000000"/>
          <w:lang w:eastAsia="ja-JP"/>
        </w:rPr>
        <w:t>.</w:t>
      </w:r>
    </w:p>
    <w:p w14:paraId="1BEAA8A4" w14:textId="03C17622" w:rsidR="000847AC" w:rsidRPr="00C03061" w:rsidRDefault="003D095B" w:rsidP="00BB606A">
      <w:pPr>
        <w:pStyle w:val="Paragraphedeliste"/>
        <w:numPr>
          <w:ilvl w:val="0"/>
          <w:numId w:val="5"/>
        </w:numPr>
        <w:autoSpaceDE w:val="0"/>
        <w:autoSpaceDN w:val="0"/>
        <w:adjustRightInd w:val="0"/>
        <w:spacing w:after="0" w:line="276" w:lineRule="auto"/>
        <w:jc w:val="both"/>
        <w:rPr>
          <w:rFonts w:asciiTheme="minorHAnsi" w:hAnsiTheme="minorHAnsi" w:cstheme="minorHAnsi"/>
          <w:i/>
          <w:color w:val="000000"/>
          <w:lang w:eastAsia="ja-JP"/>
        </w:rPr>
      </w:pPr>
      <w:r w:rsidRPr="00C03061">
        <w:rPr>
          <w:rFonts w:asciiTheme="minorHAnsi" w:hAnsiTheme="minorHAnsi" w:cstheme="minorHAnsi"/>
          <w:color w:val="000000"/>
          <w:lang w:eastAsia="ja-JP"/>
        </w:rPr>
        <w:t>Autres structures</w:t>
      </w:r>
      <w:r w:rsidR="000847AC" w:rsidRPr="00C03061">
        <w:rPr>
          <w:rFonts w:asciiTheme="minorHAnsi" w:hAnsiTheme="minorHAnsi" w:cstheme="minorHAnsi"/>
          <w:color w:val="000000"/>
          <w:lang w:eastAsia="ja-JP"/>
        </w:rPr>
        <w:t xml:space="preserve"> ayant bénéficié des services de The Dot </w:t>
      </w:r>
    </w:p>
    <w:p w14:paraId="0FAB309C" w14:textId="57C244CC" w:rsidR="00622236" w:rsidRPr="00C03061" w:rsidRDefault="00622236" w:rsidP="00BB606A">
      <w:pPr>
        <w:pStyle w:val="Paragraphedeliste"/>
        <w:numPr>
          <w:ilvl w:val="0"/>
          <w:numId w:val="5"/>
        </w:numPr>
        <w:autoSpaceDE w:val="0"/>
        <w:autoSpaceDN w:val="0"/>
        <w:adjustRightInd w:val="0"/>
        <w:spacing w:after="0" w:line="276" w:lineRule="auto"/>
        <w:jc w:val="both"/>
        <w:rPr>
          <w:rFonts w:asciiTheme="minorHAnsi" w:hAnsiTheme="minorHAnsi" w:cstheme="minorHAnsi"/>
          <w:i/>
          <w:color w:val="000000"/>
          <w:lang w:eastAsia="ja-JP"/>
        </w:rPr>
      </w:pPr>
      <w:r w:rsidRPr="00C03061">
        <w:rPr>
          <w:rFonts w:asciiTheme="minorHAnsi" w:hAnsiTheme="minorHAnsi" w:cstheme="minorHAnsi"/>
          <w:color w:val="000000"/>
          <w:lang w:eastAsia="ja-JP"/>
        </w:rPr>
        <w:t xml:space="preserve">Autres structures ayant pu </w:t>
      </w:r>
      <w:r w:rsidR="00D350CD" w:rsidRPr="00C03061">
        <w:rPr>
          <w:rFonts w:asciiTheme="minorHAnsi" w:hAnsiTheme="minorHAnsi" w:cstheme="minorHAnsi"/>
          <w:color w:val="000000"/>
          <w:lang w:eastAsia="ja-JP"/>
        </w:rPr>
        <w:t>bénéficier</w:t>
      </w:r>
      <w:r w:rsidRPr="00C03061">
        <w:rPr>
          <w:rFonts w:asciiTheme="minorHAnsi" w:hAnsiTheme="minorHAnsi" w:cstheme="minorHAnsi"/>
          <w:color w:val="000000"/>
          <w:lang w:eastAsia="ja-JP"/>
        </w:rPr>
        <w:t xml:space="preserve"> du rayonnement de The Dot</w:t>
      </w:r>
    </w:p>
    <w:p w14:paraId="78DA1AF8" w14:textId="77777777" w:rsidR="00D151FA" w:rsidRPr="00C03061" w:rsidRDefault="00D151FA" w:rsidP="00C03061">
      <w:pPr>
        <w:autoSpaceDE w:val="0"/>
        <w:autoSpaceDN w:val="0"/>
        <w:adjustRightInd w:val="0"/>
        <w:spacing w:after="0" w:line="276" w:lineRule="auto"/>
        <w:jc w:val="both"/>
        <w:rPr>
          <w:rFonts w:asciiTheme="minorHAnsi" w:hAnsiTheme="minorHAnsi" w:cstheme="minorHAnsi"/>
          <w:color w:val="000000"/>
          <w:lang w:eastAsia="ja-JP"/>
        </w:rPr>
      </w:pPr>
    </w:p>
    <w:p w14:paraId="46FCFE40" w14:textId="07A031D8" w:rsidR="009131B6" w:rsidRPr="00C03061" w:rsidRDefault="009131B6" w:rsidP="00C03061">
      <w:pPr>
        <w:autoSpaceDE w:val="0"/>
        <w:autoSpaceDN w:val="0"/>
        <w:adjustRightInd w:val="0"/>
        <w:spacing w:after="0" w:line="276" w:lineRule="auto"/>
        <w:jc w:val="both"/>
        <w:rPr>
          <w:rFonts w:asciiTheme="minorHAnsi" w:hAnsiTheme="minorHAnsi" w:cstheme="minorHAnsi"/>
          <w:color w:val="000000"/>
          <w:lang w:eastAsia="ja-JP"/>
        </w:rPr>
      </w:pPr>
      <w:r w:rsidRPr="00C03061">
        <w:rPr>
          <w:rFonts w:asciiTheme="minorHAnsi" w:hAnsiTheme="minorHAnsi" w:cstheme="minorHAnsi"/>
          <w:color w:val="000000"/>
          <w:lang w:eastAsia="ja-JP"/>
        </w:rPr>
        <w:t>Le prestataire recevra l</w:t>
      </w:r>
      <w:r w:rsidR="002A3EC7" w:rsidRPr="00C03061">
        <w:rPr>
          <w:rFonts w:asciiTheme="minorHAnsi" w:hAnsiTheme="minorHAnsi" w:cstheme="minorHAnsi"/>
          <w:color w:val="000000"/>
          <w:lang w:eastAsia="ja-JP"/>
        </w:rPr>
        <w:t xml:space="preserve">es listes de noms et </w:t>
      </w:r>
      <w:r w:rsidR="00434FC0">
        <w:rPr>
          <w:rFonts w:asciiTheme="minorHAnsi" w:hAnsiTheme="minorHAnsi" w:cstheme="minorHAnsi"/>
          <w:color w:val="000000"/>
          <w:lang w:eastAsia="ja-JP"/>
        </w:rPr>
        <w:t xml:space="preserve">de </w:t>
      </w:r>
      <w:r w:rsidR="002A3EC7" w:rsidRPr="00C03061">
        <w:rPr>
          <w:rFonts w:asciiTheme="minorHAnsi" w:hAnsiTheme="minorHAnsi" w:cstheme="minorHAnsi"/>
          <w:color w:val="000000"/>
          <w:lang w:eastAsia="ja-JP"/>
        </w:rPr>
        <w:t>cordonnées pour contacter les bénéficiaires de The Dot</w:t>
      </w:r>
      <w:r w:rsidR="00475788" w:rsidRPr="00C03061">
        <w:rPr>
          <w:rFonts w:asciiTheme="minorHAnsi" w:hAnsiTheme="minorHAnsi" w:cstheme="minorHAnsi"/>
          <w:color w:val="000000"/>
          <w:lang w:eastAsia="ja-JP"/>
        </w:rPr>
        <w:t xml:space="preserve">. La stratégie </w:t>
      </w:r>
      <w:r w:rsidR="002A32D5">
        <w:rPr>
          <w:rFonts w:asciiTheme="minorHAnsi" w:hAnsiTheme="minorHAnsi" w:cstheme="minorHAnsi"/>
          <w:color w:val="000000"/>
          <w:lang w:eastAsia="ja-JP"/>
        </w:rPr>
        <w:t xml:space="preserve">de prise de </w:t>
      </w:r>
      <w:r w:rsidR="00475788" w:rsidRPr="00C03061">
        <w:rPr>
          <w:rFonts w:asciiTheme="minorHAnsi" w:hAnsiTheme="minorHAnsi" w:cstheme="minorHAnsi"/>
          <w:color w:val="000000"/>
          <w:lang w:eastAsia="ja-JP"/>
        </w:rPr>
        <w:t xml:space="preserve">contact </w:t>
      </w:r>
      <w:r w:rsidR="002A32D5">
        <w:rPr>
          <w:rFonts w:asciiTheme="minorHAnsi" w:hAnsiTheme="minorHAnsi" w:cstheme="minorHAnsi"/>
          <w:color w:val="000000"/>
          <w:lang w:eastAsia="ja-JP"/>
        </w:rPr>
        <w:t>avec</w:t>
      </w:r>
      <w:r w:rsidR="00475788" w:rsidRPr="00C03061">
        <w:rPr>
          <w:rFonts w:asciiTheme="minorHAnsi" w:hAnsiTheme="minorHAnsi" w:cstheme="minorHAnsi"/>
          <w:color w:val="000000"/>
          <w:lang w:eastAsia="ja-JP"/>
        </w:rPr>
        <w:t xml:space="preserve"> bénéficiaires </w:t>
      </w:r>
      <w:r w:rsidR="002A32D5">
        <w:rPr>
          <w:rFonts w:asciiTheme="minorHAnsi" w:hAnsiTheme="minorHAnsi" w:cstheme="minorHAnsi"/>
          <w:color w:val="000000"/>
          <w:lang w:eastAsia="ja-JP"/>
        </w:rPr>
        <w:t>sera</w:t>
      </w:r>
      <w:r w:rsidR="00475788" w:rsidRPr="00C03061">
        <w:rPr>
          <w:rFonts w:asciiTheme="minorHAnsi" w:hAnsiTheme="minorHAnsi" w:cstheme="minorHAnsi"/>
          <w:color w:val="000000"/>
          <w:lang w:eastAsia="ja-JP"/>
        </w:rPr>
        <w:t xml:space="preserve"> </w:t>
      </w:r>
      <w:r w:rsidR="002A32D5">
        <w:rPr>
          <w:rFonts w:asciiTheme="minorHAnsi" w:hAnsiTheme="minorHAnsi" w:cstheme="minorHAnsi"/>
          <w:color w:val="000000"/>
          <w:lang w:eastAsia="ja-JP"/>
        </w:rPr>
        <w:t>fixée</w:t>
      </w:r>
      <w:r w:rsidR="00D350CD" w:rsidRPr="00C03061">
        <w:rPr>
          <w:rFonts w:asciiTheme="minorHAnsi" w:hAnsiTheme="minorHAnsi" w:cstheme="minorHAnsi"/>
          <w:color w:val="000000"/>
          <w:lang w:eastAsia="ja-JP"/>
        </w:rPr>
        <w:t xml:space="preserve"> lors des échanges avec les partenaires. </w:t>
      </w:r>
    </w:p>
    <w:p w14:paraId="0B729C83" w14:textId="48D19E27" w:rsidR="00D350CD" w:rsidRPr="003A38EB" w:rsidRDefault="00434FC0" w:rsidP="0005024A">
      <w:pPr>
        <w:autoSpaceDE w:val="0"/>
        <w:autoSpaceDN w:val="0"/>
        <w:adjustRightInd w:val="0"/>
        <w:spacing w:after="0" w:line="276" w:lineRule="auto"/>
        <w:jc w:val="both"/>
        <w:rPr>
          <w:rFonts w:asciiTheme="minorHAnsi" w:hAnsiTheme="minorHAnsi" w:cstheme="minorHAnsi"/>
          <w:color w:val="000000"/>
          <w:lang w:eastAsia="ja-JP"/>
        </w:rPr>
      </w:pPr>
      <w:r w:rsidRPr="00570378">
        <w:rPr>
          <w:rFonts w:asciiTheme="minorHAnsi" w:hAnsiTheme="minorHAnsi" w:cstheme="minorHAnsi"/>
          <w:color w:val="000000"/>
          <w:lang w:eastAsia="ja-JP"/>
        </w:rPr>
        <w:t xml:space="preserve">Le prestataire proposera une méthode pour apprécier au mieux les retours. </w:t>
      </w:r>
      <w:r w:rsidR="00B8358C" w:rsidRPr="00570378">
        <w:rPr>
          <w:rFonts w:asciiTheme="minorHAnsi" w:hAnsiTheme="minorHAnsi" w:cstheme="minorHAnsi"/>
          <w:color w:val="000000"/>
          <w:lang w:eastAsia="ja-JP"/>
        </w:rPr>
        <w:t xml:space="preserve">Le taux de réponse souhaité est de </w:t>
      </w:r>
      <w:r w:rsidR="00570378" w:rsidRPr="00570378">
        <w:rPr>
          <w:rFonts w:asciiTheme="minorHAnsi" w:hAnsiTheme="minorHAnsi" w:cstheme="minorHAnsi"/>
          <w:color w:val="000000"/>
          <w:lang w:eastAsia="ja-JP"/>
        </w:rPr>
        <w:t xml:space="preserve">50 à </w:t>
      </w:r>
      <w:r w:rsidR="00B8358C" w:rsidRPr="00570378">
        <w:rPr>
          <w:rFonts w:asciiTheme="minorHAnsi" w:hAnsiTheme="minorHAnsi" w:cstheme="minorHAnsi"/>
          <w:color w:val="000000"/>
          <w:lang w:eastAsia="ja-JP"/>
        </w:rPr>
        <w:t>70%</w:t>
      </w:r>
      <w:r w:rsidR="00570378" w:rsidRPr="00570378">
        <w:rPr>
          <w:rFonts w:asciiTheme="minorHAnsi" w:hAnsiTheme="minorHAnsi" w:cstheme="minorHAnsi"/>
          <w:color w:val="000000"/>
          <w:lang w:eastAsia="ja-JP"/>
        </w:rPr>
        <w:t xml:space="preserve"> des acteurs.</w:t>
      </w:r>
    </w:p>
    <w:p w14:paraId="6F062AB4" w14:textId="77777777" w:rsidR="00D350CD" w:rsidRPr="00C03061" w:rsidRDefault="00D350CD" w:rsidP="00C03061">
      <w:pPr>
        <w:autoSpaceDE w:val="0"/>
        <w:autoSpaceDN w:val="0"/>
        <w:adjustRightInd w:val="0"/>
        <w:spacing w:after="0" w:line="276" w:lineRule="auto"/>
        <w:jc w:val="both"/>
        <w:rPr>
          <w:rFonts w:asciiTheme="minorHAnsi" w:hAnsiTheme="minorHAnsi" w:cstheme="minorHAnsi"/>
          <w:color w:val="000000"/>
          <w:lang w:eastAsia="ja-JP"/>
        </w:rPr>
      </w:pPr>
    </w:p>
    <w:p w14:paraId="5D3DEC60" w14:textId="2F311165" w:rsidR="006D359C" w:rsidRPr="00C03061" w:rsidRDefault="006D359C" w:rsidP="00C03061">
      <w:pPr>
        <w:autoSpaceDE w:val="0"/>
        <w:autoSpaceDN w:val="0"/>
        <w:adjustRightInd w:val="0"/>
        <w:spacing w:after="0" w:line="276" w:lineRule="auto"/>
        <w:jc w:val="both"/>
        <w:rPr>
          <w:rFonts w:asciiTheme="minorHAnsi" w:hAnsiTheme="minorHAnsi" w:cstheme="minorHAnsi"/>
          <w:b/>
          <w:color w:val="000000"/>
          <w:u w:val="single"/>
          <w:lang w:eastAsia="ja-JP"/>
        </w:rPr>
      </w:pPr>
      <w:r w:rsidRPr="00C03061">
        <w:rPr>
          <w:rFonts w:asciiTheme="minorHAnsi" w:hAnsiTheme="minorHAnsi" w:cstheme="minorHAnsi"/>
          <w:color w:val="000000"/>
          <w:lang w:eastAsia="ja-JP"/>
        </w:rPr>
        <w:t>Exemples d’indicateurs à prendre en compte </w:t>
      </w:r>
      <w:r w:rsidR="002A32D5">
        <w:rPr>
          <w:rFonts w:asciiTheme="minorHAnsi" w:hAnsiTheme="minorHAnsi" w:cstheme="minorHAnsi"/>
          <w:b/>
          <w:color w:val="000000"/>
          <w:u w:val="single"/>
          <w:lang w:eastAsia="ja-JP"/>
        </w:rPr>
        <w:t xml:space="preserve">– à compléter </w:t>
      </w:r>
      <w:r w:rsidR="00570378">
        <w:rPr>
          <w:rFonts w:asciiTheme="minorHAnsi" w:hAnsiTheme="minorHAnsi" w:cstheme="minorHAnsi"/>
          <w:b/>
          <w:color w:val="000000"/>
          <w:u w:val="single"/>
          <w:lang w:eastAsia="ja-JP"/>
        </w:rPr>
        <w:t xml:space="preserve">et affiner </w:t>
      </w:r>
      <w:r w:rsidR="002A32D5">
        <w:rPr>
          <w:rFonts w:asciiTheme="minorHAnsi" w:hAnsiTheme="minorHAnsi" w:cstheme="minorHAnsi"/>
          <w:b/>
          <w:color w:val="000000"/>
          <w:u w:val="single"/>
          <w:lang w:eastAsia="ja-JP"/>
        </w:rPr>
        <w:t xml:space="preserve">pendant la phase de </w:t>
      </w:r>
      <w:r w:rsidRPr="00C03061">
        <w:rPr>
          <w:rFonts w:asciiTheme="minorHAnsi" w:hAnsiTheme="minorHAnsi" w:cstheme="minorHAnsi"/>
          <w:b/>
          <w:color w:val="000000"/>
          <w:u w:val="single"/>
          <w:lang w:eastAsia="ja-JP"/>
        </w:rPr>
        <w:t>cadrage de la mission</w:t>
      </w:r>
      <w:r w:rsidR="00570378">
        <w:rPr>
          <w:rFonts w:asciiTheme="minorHAnsi" w:hAnsiTheme="minorHAnsi" w:cstheme="minorHAnsi"/>
          <w:b/>
          <w:color w:val="000000"/>
          <w:u w:val="single"/>
          <w:lang w:eastAsia="ja-JP"/>
        </w:rPr>
        <w:t xml:space="preserve"> en fonction des données disponibles. </w:t>
      </w:r>
    </w:p>
    <w:p w14:paraId="1A9D1B24" w14:textId="77777777" w:rsidR="00D151FA" w:rsidRPr="00C03061" w:rsidRDefault="00D151FA" w:rsidP="00C03061">
      <w:pPr>
        <w:autoSpaceDE w:val="0"/>
        <w:autoSpaceDN w:val="0"/>
        <w:adjustRightInd w:val="0"/>
        <w:spacing w:after="0" w:line="276" w:lineRule="auto"/>
        <w:jc w:val="both"/>
        <w:rPr>
          <w:rFonts w:asciiTheme="minorHAnsi" w:hAnsiTheme="minorHAnsi" w:cstheme="minorHAnsi"/>
          <w:b/>
          <w:color w:val="000000"/>
          <w:u w:val="single"/>
          <w:lang w:eastAsia="ja-JP"/>
        </w:rPr>
      </w:pPr>
    </w:p>
    <w:tbl>
      <w:tblPr>
        <w:tblStyle w:val="Grilledutableau"/>
        <w:tblW w:w="11199" w:type="dxa"/>
        <w:jc w:val="center"/>
        <w:tblLook w:val="04A0" w:firstRow="1" w:lastRow="0" w:firstColumn="1" w:lastColumn="0" w:noHBand="0" w:noVBand="1"/>
      </w:tblPr>
      <w:tblGrid>
        <w:gridCol w:w="2694"/>
        <w:gridCol w:w="8505"/>
      </w:tblGrid>
      <w:tr w:rsidR="00D151FA" w:rsidRPr="00C03061" w14:paraId="57327D37" w14:textId="77777777" w:rsidTr="00534F8D">
        <w:trPr>
          <w:jc w:val="center"/>
        </w:trPr>
        <w:tc>
          <w:tcPr>
            <w:tcW w:w="2694" w:type="dxa"/>
            <w:shd w:val="clear" w:color="auto" w:fill="FBE4D5" w:themeFill="accent2" w:themeFillTint="33"/>
            <w:vAlign w:val="center"/>
          </w:tcPr>
          <w:p w14:paraId="4F1A864A" w14:textId="11F4ED9D" w:rsidR="00D151FA" w:rsidRPr="00C03061" w:rsidRDefault="00D151FA" w:rsidP="00C03061">
            <w:p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b/>
                <w:bCs/>
                <w:color w:val="000000"/>
                <w:lang w:eastAsia="ja-JP"/>
              </w:rPr>
              <w:t xml:space="preserve">Indicateurs quantitatifs – </w:t>
            </w:r>
            <w:r w:rsidRPr="00C03061">
              <w:rPr>
                <w:rFonts w:asciiTheme="minorHAnsi" w:hAnsiTheme="minorHAnsi" w:cstheme="minorHAnsi"/>
                <w:b/>
                <w:bCs/>
                <w:color w:val="000000"/>
                <w:u w:val="single"/>
                <w:lang w:eastAsia="ja-JP"/>
              </w:rPr>
              <w:t>collecte des données programmes déjà collectés mais à analyser</w:t>
            </w:r>
            <w:r w:rsidRPr="00C03061">
              <w:rPr>
                <w:rFonts w:asciiTheme="minorHAnsi" w:hAnsiTheme="minorHAnsi" w:cstheme="minorHAnsi"/>
                <w:bCs/>
                <w:color w:val="000000"/>
                <w:lang w:eastAsia="ja-JP"/>
              </w:rPr>
              <w:t xml:space="preserve"> </w:t>
            </w:r>
          </w:p>
          <w:p w14:paraId="479EB234" w14:textId="77777777" w:rsidR="00D151FA" w:rsidRPr="00C03061" w:rsidRDefault="00D151FA" w:rsidP="00C03061">
            <w:pPr>
              <w:autoSpaceDE w:val="0"/>
              <w:autoSpaceDN w:val="0"/>
              <w:adjustRightInd w:val="0"/>
              <w:spacing w:after="0" w:line="276" w:lineRule="auto"/>
              <w:jc w:val="both"/>
              <w:rPr>
                <w:rFonts w:asciiTheme="minorHAnsi" w:hAnsiTheme="minorHAnsi" w:cstheme="minorHAnsi"/>
                <w:b/>
                <w:bCs/>
                <w:color w:val="000000"/>
                <w:lang w:eastAsia="ja-JP"/>
              </w:rPr>
            </w:pPr>
          </w:p>
        </w:tc>
        <w:tc>
          <w:tcPr>
            <w:tcW w:w="8505" w:type="dxa"/>
            <w:shd w:val="clear" w:color="auto" w:fill="FBE4D5" w:themeFill="accent2" w:themeFillTint="33"/>
          </w:tcPr>
          <w:p w14:paraId="2E274F41" w14:textId="77777777" w:rsidR="00D151FA" w:rsidRPr="00C03061" w:rsidRDefault="00D151FA" w:rsidP="00BB606A">
            <w:pPr>
              <w:numPr>
                <w:ilvl w:val="0"/>
                <w:numId w:val="8"/>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Nombre de candidatures reçues pour les programmes d'accélération ou d'incubation</w:t>
            </w:r>
          </w:p>
          <w:p w14:paraId="35184CB3" w14:textId="77777777" w:rsidR="00D151FA" w:rsidRPr="00C03061" w:rsidRDefault="00D151FA" w:rsidP="00BB606A">
            <w:pPr>
              <w:numPr>
                <w:ilvl w:val="0"/>
                <w:numId w:val="8"/>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Nombre de startups/projets/SSOs hébergées</w:t>
            </w:r>
          </w:p>
          <w:p w14:paraId="004351F0" w14:textId="77777777" w:rsidR="00D151FA" w:rsidRPr="00C03061" w:rsidRDefault="00D151FA" w:rsidP="00BB606A">
            <w:pPr>
              <w:numPr>
                <w:ilvl w:val="0"/>
                <w:numId w:val="8"/>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Nombre d’événements organisés (ateliers, hackathons, conférences, etc.)</w:t>
            </w:r>
          </w:p>
          <w:p w14:paraId="31AB0EAC" w14:textId="77777777" w:rsidR="00D151FA" w:rsidRPr="00C03061" w:rsidRDefault="00D151FA" w:rsidP="00BB606A">
            <w:pPr>
              <w:numPr>
                <w:ilvl w:val="0"/>
                <w:numId w:val="8"/>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Nombre de participant.es aux événements, ateliers, ou programmes organisés.</w:t>
            </w:r>
          </w:p>
          <w:p w14:paraId="0A5EB5F4" w14:textId="77777777" w:rsidR="00D151FA" w:rsidRPr="00C03061" w:rsidRDefault="00D151FA" w:rsidP="00BB606A">
            <w:pPr>
              <w:numPr>
                <w:ilvl w:val="0"/>
                <w:numId w:val="8"/>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Taux d’occupation des espaces de travail du hub</w:t>
            </w:r>
          </w:p>
          <w:p w14:paraId="6881D0C1" w14:textId="7C4C6A49" w:rsidR="00D151FA" w:rsidRPr="00C03061" w:rsidRDefault="00D151FA" w:rsidP="00BB606A">
            <w:pPr>
              <w:numPr>
                <w:ilvl w:val="0"/>
                <w:numId w:val="8"/>
              </w:num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bCs/>
                <w:color w:val="000000"/>
                <w:lang w:eastAsia="ja-JP"/>
              </w:rPr>
              <w:t xml:space="preserve">Nombre de partenariats tissés entre deux acteur.rices créés par la présence à the Dot  </w:t>
            </w:r>
          </w:p>
        </w:tc>
      </w:tr>
      <w:tr w:rsidR="00D151FA" w:rsidRPr="00C03061" w14:paraId="57401762" w14:textId="77777777" w:rsidTr="00534F8D">
        <w:trPr>
          <w:jc w:val="center"/>
        </w:trPr>
        <w:tc>
          <w:tcPr>
            <w:tcW w:w="2694" w:type="dxa"/>
            <w:shd w:val="clear" w:color="auto" w:fill="FBE4D5" w:themeFill="accent2" w:themeFillTint="33"/>
            <w:vAlign w:val="center"/>
          </w:tcPr>
          <w:p w14:paraId="46FA7F8C" w14:textId="18C494A5" w:rsidR="00D151FA" w:rsidRPr="003A38EB" w:rsidRDefault="00D151FA" w:rsidP="00C03061">
            <w:pPr>
              <w:autoSpaceDE w:val="0"/>
              <w:autoSpaceDN w:val="0"/>
              <w:adjustRightInd w:val="0"/>
              <w:spacing w:after="0" w:line="276" w:lineRule="auto"/>
              <w:jc w:val="both"/>
              <w:rPr>
                <w:rFonts w:asciiTheme="minorHAnsi" w:hAnsiTheme="minorHAnsi" w:cstheme="minorHAnsi"/>
                <w:b/>
                <w:bCs/>
                <w:color w:val="000000"/>
                <w:lang w:eastAsia="ja-JP"/>
              </w:rPr>
            </w:pPr>
            <w:r w:rsidRPr="003A38EB">
              <w:rPr>
                <w:rFonts w:asciiTheme="minorHAnsi" w:hAnsiTheme="minorHAnsi" w:cstheme="minorHAnsi"/>
                <w:b/>
                <w:bCs/>
                <w:color w:val="000000"/>
                <w:lang w:eastAsia="ja-JP"/>
              </w:rPr>
              <w:t xml:space="preserve">Indicateurs quantitatifs – </w:t>
            </w:r>
            <w:r w:rsidRPr="00C03061">
              <w:rPr>
                <w:rFonts w:asciiTheme="minorHAnsi" w:hAnsiTheme="minorHAnsi" w:cstheme="minorHAnsi"/>
                <w:b/>
                <w:bCs/>
                <w:color w:val="000000"/>
                <w:u w:val="single"/>
                <w:lang w:eastAsia="ja-JP"/>
              </w:rPr>
              <w:t>à court/moyen termes</w:t>
            </w:r>
            <w:r w:rsidRPr="00C03061">
              <w:rPr>
                <w:rFonts w:asciiTheme="minorHAnsi" w:hAnsiTheme="minorHAnsi" w:cstheme="minorHAnsi"/>
                <w:bCs/>
                <w:color w:val="000000"/>
                <w:u w:val="single"/>
                <w:lang w:eastAsia="ja-JP"/>
              </w:rPr>
              <w:t xml:space="preserve"> </w:t>
            </w:r>
            <w:r w:rsidRPr="00C03061">
              <w:rPr>
                <w:rFonts w:asciiTheme="minorHAnsi" w:hAnsiTheme="minorHAnsi" w:cstheme="minorHAnsi"/>
                <w:b/>
                <w:bCs/>
                <w:color w:val="000000"/>
                <w:u w:val="single"/>
                <w:lang w:eastAsia="ja-JP"/>
              </w:rPr>
              <w:t>non collectés</w:t>
            </w:r>
          </w:p>
          <w:p w14:paraId="12FBEC2A" w14:textId="77777777" w:rsidR="00D151FA" w:rsidRPr="00C03061" w:rsidRDefault="00D151FA" w:rsidP="00C03061">
            <w:pPr>
              <w:autoSpaceDE w:val="0"/>
              <w:autoSpaceDN w:val="0"/>
              <w:adjustRightInd w:val="0"/>
              <w:spacing w:after="0" w:line="276" w:lineRule="auto"/>
              <w:jc w:val="both"/>
              <w:rPr>
                <w:rFonts w:asciiTheme="minorHAnsi" w:hAnsiTheme="minorHAnsi" w:cstheme="minorHAnsi"/>
                <w:b/>
                <w:bCs/>
                <w:color w:val="000000"/>
                <w:lang w:eastAsia="ja-JP"/>
              </w:rPr>
            </w:pPr>
          </w:p>
        </w:tc>
        <w:tc>
          <w:tcPr>
            <w:tcW w:w="8505" w:type="dxa"/>
            <w:shd w:val="clear" w:color="auto" w:fill="FBE4D5" w:themeFill="accent2" w:themeFillTint="33"/>
          </w:tcPr>
          <w:p w14:paraId="659FB39D" w14:textId="2E965343" w:rsidR="00D151FA" w:rsidRPr="003A38EB" w:rsidRDefault="00D151FA" w:rsidP="00C03061">
            <w:pPr>
              <w:autoSpaceDE w:val="0"/>
              <w:autoSpaceDN w:val="0"/>
              <w:adjustRightInd w:val="0"/>
              <w:spacing w:after="0" w:line="276" w:lineRule="auto"/>
              <w:jc w:val="both"/>
              <w:rPr>
                <w:rFonts w:asciiTheme="minorHAnsi" w:hAnsiTheme="minorHAnsi" w:cstheme="minorHAnsi"/>
                <w:bCs/>
                <w:i/>
                <w:iCs/>
                <w:color w:val="000000"/>
                <w:lang w:eastAsia="ja-JP"/>
              </w:rPr>
            </w:pPr>
            <w:r w:rsidRPr="00C03061">
              <w:rPr>
                <w:rFonts w:asciiTheme="minorHAnsi" w:hAnsiTheme="minorHAnsi" w:cstheme="minorHAnsi"/>
                <w:bCs/>
                <w:i/>
                <w:iCs/>
                <w:color w:val="000000"/>
                <w:lang w:eastAsia="ja-JP"/>
              </w:rPr>
              <w:t>Quels ont été les principaux résultats obtenus par les startups après leur période d’hébergement - en termes de croissance (CA, emplois créés, levées de fonds)</w:t>
            </w:r>
            <w:r w:rsidR="00434FC0">
              <w:rPr>
                <w:rFonts w:asciiTheme="minorHAnsi" w:hAnsiTheme="minorHAnsi" w:cstheme="minorHAnsi"/>
                <w:bCs/>
                <w:i/>
                <w:iCs/>
                <w:color w:val="000000"/>
                <w:lang w:eastAsia="ja-JP"/>
              </w:rPr>
              <w:t xml:space="preserve"> ? </w:t>
            </w:r>
          </w:p>
          <w:p w14:paraId="3ABA7C41" w14:textId="77777777" w:rsidR="00D151FA" w:rsidRPr="00C03061" w:rsidRDefault="00D151FA" w:rsidP="00BB606A">
            <w:pPr>
              <w:pStyle w:val="Paragraphedeliste"/>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Nombre de startups ayant accédé à des financements externes</w:t>
            </w:r>
          </w:p>
          <w:p w14:paraId="1F3DAADF" w14:textId="77777777" w:rsidR="00D151FA" w:rsidRPr="00C03061" w:rsidRDefault="00D151FA"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Montant total des fonds levés par les startups soutenues</w:t>
            </w:r>
          </w:p>
          <w:p w14:paraId="1BD0FE03" w14:textId="7C0D5B2E" w:rsidR="00D151FA" w:rsidRPr="00C03061" w:rsidRDefault="00D151FA"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Nombre de projets ayant atteint le marché</w:t>
            </w:r>
            <w:r w:rsidR="009E0348" w:rsidRPr="00C03061">
              <w:rPr>
                <w:rFonts w:asciiTheme="minorHAnsi" w:hAnsiTheme="minorHAnsi" w:cstheme="minorHAnsi"/>
                <w:bCs/>
                <w:color w:val="000000"/>
                <w:lang w:eastAsia="ja-JP"/>
              </w:rPr>
              <w:t xml:space="preserve"> national et international</w:t>
            </w:r>
          </w:p>
          <w:p w14:paraId="3BAD7A21" w14:textId="77777777" w:rsidR="00D151FA" w:rsidRPr="00C03061" w:rsidRDefault="00D151FA"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Nombre de partenariats signés avec des entreprises, universités ou institutions</w:t>
            </w:r>
          </w:p>
          <w:p w14:paraId="093310F1" w14:textId="77777777" w:rsidR="00D151FA" w:rsidRPr="00C03061" w:rsidRDefault="00D151FA"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color w:val="000000"/>
                <w:lang w:eastAsia="ja-JP"/>
              </w:rPr>
              <w:t>Pourcentage de startups toujours en activité</w:t>
            </w:r>
          </w:p>
          <w:p w14:paraId="071DB5EF" w14:textId="107A998B" w:rsidR="00D151FA" w:rsidRPr="00C03061" w:rsidRDefault="00D151FA"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color w:val="000000"/>
                <w:lang w:eastAsia="ja-JP"/>
              </w:rPr>
              <w:t>Nombre total d’emplois générés par les startups accompagnées</w:t>
            </w:r>
          </w:p>
          <w:p w14:paraId="19D95723" w14:textId="4A611481" w:rsidR="00D151FA" w:rsidRPr="00C03061" w:rsidRDefault="00D151FA"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color w:val="000000"/>
                <w:lang w:eastAsia="ja-JP"/>
              </w:rPr>
              <w:t>Chiffre d’affaires total généré par les entreprises soutenues</w:t>
            </w:r>
          </w:p>
          <w:p w14:paraId="41F08DDD" w14:textId="095C7CBF" w:rsidR="00D151FA" w:rsidRPr="00C03061" w:rsidRDefault="00D151FA"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color w:val="000000"/>
                <w:lang w:eastAsia="ja-JP"/>
              </w:rPr>
              <w:t>Croissance du chiffre d’affaires annuel des startups</w:t>
            </w:r>
          </w:p>
          <w:p w14:paraId="447F414F" w14:textId="3C2A63BC" w:rsidR="00D151FA" w:rsidRPr="00C03061" w:rsidRDefault="00D151FA"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color w:val="000000"/>
                <w:lang w:eastAsia="ja-JP"/>
              </w:rPr>
              <w:t>Pourcentage de startups ayant des clients ou partenaires internationaux</w:t>
            </w:r>
          </w:p>
          <w:p w14:paraId="20A94FF4" w14:textId="77777777" w:rsidR="00D151FA" w:rsidRPr="00C03061" w:rsidRDefault="00D151FA"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color w:val="000000"/>
                <w:lang w:eastAsia="ja-JP"/>
              </w:rPr>
              <w:t>Nombre de brevets déposés ou de technologies nouvelles développées</w:t>
            </w:r>
          </w:p>
          <w:p w14:paraId="4448B51B" w14:textId="02276202" w:rsidR="00C943E1" w:rsidRPr="00C03061" w:rsidRDefault="00C943E1"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color w:val="000000"/>
                <w:lang w:eastAsia="ja-JP"/>
              </w:rPr>
              <w:t xml:space="preserve">Nombre de solutions/produits mis sur le marché </w:t>
            </w:r>
          </w:p>
          <w:p w14:paraId="01903C39" w14:textId="77777777" w:rsidR="002A337B" w:rsidRPr="00C03061" w:rsidRDefault="002A337B"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 xml:space="preserve">Croissance de la valorisation des startups accompagnés </w:t>
            </w:r>
          </w:p>
          <w:p w14:paraId="5155BE72" w14:textId="4887328A" w:rsidR="002A337B" w:rsidRPr="00C03061" w:rsidRDefault="002A337B"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Nombre de sta</w:t>
            </w:r>
            <w:r w:rsidR="004474B4" w:rsidRPr="00C03061">
              <w:rPr>
                <w:rFonts w:asciiTheme="minorHAnsi" w:hAnsiTheme="minorHAnsi" w:cstheme="minorHAnsi"/>
                <w:bCs/>
                <w:color w:val="000000"/>
                <w:lang w:eastAsia="ja-JP"/>
              </w:rPr>
              <w:t>r</w:t>
            </w:r>
            <w:r w:rsidRPr="00C03061">
              <w:rPr>
                <w:rFonts w:asciiTheme="minorHAnsi" w:hAnsiTheme="minorHAnsi" w:cstheme="minorHAnsi"/>
                <w:bCs/>
                <w:color w:val="000000"/>
                <w:lang w:eastAsia="ja-JP"/>
              </w:rPr>
              <w:t xml:space="preserve">tups accompagnés ayant obtenu le Label </w:t>
            </w:r>
            <w:r w:rsidR="00434FC0" w:rsidRPr="00C03061">
              <w:rPr>
                <w:rFonts w:asciiTheme="minorHAnsi" w:hAnsiTheme="minorHAnsi" w:cstheme="minorHAnsi"/>
                <w:bCs/>
                <w:color w:val="000000"/>
                <w:lang w:eastAsia="ja-JP"/>
              </w:rPr>
              <w:t>startup</w:t>
            </w:r>
            <w:r w:rsidRPr="00C03061">
              <w:rPr>
                <w:rFonts w:asciiTheme="minorHAnsi" w:hAnsiTheme="minorHAnsi" w:cstheme="minorHAnsi"/>
                <w:bCs/>
                <w:color w:val="000000"/>
                <w:lang w:eastAsia="ja-JP"/>
              </w:rPr>
              <w:t xml:space="preserve"> act </w:t>
            </w:r>
          </w:p>
          <w:p w14:paraId="77AACF94" w14:textId="3EBFEFF7" w:rsidR="002A337B" w:rsidRPr="00C03061" w:rsidRDefault="002A337B" w:rsidP="00BB606A">
            <w:pPr>
              <w:numPr>
                <w:ilvl w:val="0"/>
                <w:numId w:val="9"/>
              </w:num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Cs/>
                <w:color w:val="000000"/>
                <w:lang w:eastAsia="ja-JP"/>
              </w:rPr>
              <w:t>Nombre de st</w:t>
            </w:r>
            <w:r w:rsidR="004474B4" w:rsidRPr="00C03061">
              <w:rPr>
                <w:rFonts w:asciiTheme="minorHAnsi" w:hAnsiTheme="minorHAnsi" w:cstheme="minorHAnsi"/>
                <w:bCs/>
                <w:color w:val="000000"/>
                <w:lang w:eastAsia="ja-JP"/>
              </w:rPr>
              <w:t>ar</w:t>
            </w:r>
            <w:r w:rsidRPr="00C03061">
              <w:rPr>
                <w:rFonts w:asciiTheme="minorHAnsi" w:hAnsiTheme="minorHAnsi" w:cstheme="minorHAnsi"/>
                <w:bCs/>
                <w:color w:val="000000"/>
                <w:lang w:eastAsia="ja-JP"/>
              </w:rPr>
              <w:t xml:space="preserve">tups accompagnés ayant été primées dans des </w:t>
            </w:r>
            <w:r w:rsidR="00C943E1" w:rsidRPr="00C03061">
              <w:rPr>
                <w:rFonts w:asciiTheme="minorHAnsi" w:hAnsiTheme="minorHAnsi" w:cstheme="minorHAnsi"/>
                <w:bCs/>
                <w:color w:val="000000"/>
                <w:lang w:eastAsia="ja-JP"/>
              </w:rPr>
              <w:t>évènements</w:t>
            </w:r>
            <w:r w:rsidRPr="00C03061">
              <w:rPr>
                <w:rFonts w:asciiTheme="minorHAnsi" w:hAnsiTheme="minorHAnsi" w:cstheme="minorHAnsi"/>
                <w:bCs/>
                <w:color w:val="000000"/>
                <w:lang w:eastAsia="ja-JP"/>
              </w:rPr>
              <w:t xml:space="preserve"> d’envergure nationale et internationale </w:t>
            </w:r>
          </w:p>
          <w:p w14:paraId="60F94E5C" w14:textId="209752A8" w:rsidR="004474B4" w:rsidRPr="00C03061" w:rsidRDefault="00434FC0" w:rsidP="00C03061">
            <w:pPr>
              <w:autoSpaceDE w:val="0"/>
              <w:autoSpaceDN w:val="0"/>
              <w:adjustRightInd w:val="0"/>
              <w:spacing w:after="0" w:line="276" w:lineRule="auto"/>
              <w:jc w:val="both"/>
              <w:rPr>
                <w:rFonts w:asciiTheme="minorHAnsi" w:hAnsiTheme="minorHAnsi" w:cstheme="minorHAnsi"/>
                <w:bCs/>
                <w:color w:val="000000"/>
                <w:lang w:eastAsia="ja-JP"/>
              </w:rPr>
            </w:pPr>
            <w:r w:rsidRPr="00C03061">
              <w:rPr>
                <w:rFonts w:asciiTheme="minorHAnsi" w:hAnsiTheme="minorHAnsi" w:cstheme="minorHAnsi"/>
                <w:b/>
                <w:bCs/>
                <w:color w:val="000000"/>
                <w:u w:val="single"/>
                <w:lang w:eastAsia="ja-JP"/>
              </w:rPr>
              <w:t>N.B</w:t>
            </w:r>
            <w:r>
              <w:rPr>
                <w:rFonts w:asciiTheme="minorHAnsi" w:hAnsiTheme="minorHAnsi" w:cstheme="minorHAnsi"/>
                <w:bCs/>
                <w:color w:val="000000"/>
                <w:lang w:eastAsia="ja-JP"/>
              </w:rPr>
              <w:t> : cette liste d’indicateurs est non exhaustive, elle pourra être revalidée après la phase de cadrage de la mis</w:t>
            </w:r>
            <w:r w:rsidR="00570378">
              <w:rPr>
                <w:rFonts w:asciiTheme="minorHAnsi" w:hAnsiTheme="minorHAnsi" w:cstheme="minorHAnsi"/>
                <w:bCs/>
                <w:color w:val="000000"/>
                <w:lang w:eastAsia="ja-JP"/>
              </w:rPr>
              <w:t xml:space="preserve">sion au regard des </w:t>
            </w:r>
            <w:r>
              <w:rPr>
                <w:rFonts w:asciiTheme="minorHAnsi" w:hAnsiTheme="minorHAnsi" w:cstheme="minorHAnsi"/>
                <w:bCs/>
                <w:color w:val="000000"/>
                <w:lang w:eastAsia="ja-JP"/>
              </w:rPr>
              <w:t>missions principales de The Dot</w:t>
            </w:r>
            <w:r w:rsidR="00570378">
              <w:rPr>
                <w:rFonts w:asciiTheme="minorHAnsi" w:hAnsiTheme="minorHAnsi" w:cstheme="minorHAnsi"/>
                <w:bCs/>
                <w:color w:val="000000"/>
                <w:lang w:eastAsia="ja-JP"/>
              </w:rPr>
              <w:t xml:space="preserve"> et des données disponibles et réellement mobilisables</w:t>
            </w:r>
            <w:r>
              <w:rPr>
                <w:rFonts w:asciiTheme="minorHAnsi" w:hAnsiTheme="minorHAnsi" w:cstheme="minorHAnsi"/>
                <w:bCs/>
                <w:color w:val="000000"/>
                <w:lang w:eastAsia="ja-JP"/>
              </w:rPr>
              <w:t>. Idéalement, p</w:t>
            </w:r>
            <w:r w:rsidR="004474B4" w:rsidRPr="00C03061">
              <w:rPr>
                <w:rFonts w:asciiTheme="minorHAnsi" w:hAnsiTheme="minorHAnsi" w:cstheme="minorHAnsi"/>
                <w:bCs/>
                <w:color w:val="000000"/>
                <w:lang w:eastAsia="ja-JP"/>
              </w:rPr>
              <w:t xml:space="preserve">our chaque indicateur </w:t>
            </w:r>
            <w:r>
              <w:rPr>
                <w:rFonts w:asciiTheme="minorHAnsi" w:hAnsiTheme="minorHAnsi" w:cstheme="minorHAnsi"/>
                <w:bCs/>
                <w:color w:val="000000"/>
                <w:lang w:eastAsia="ja-JP"/>
              </w:rPr>
              <w:t xml:space="preserve">indiquer une </w:t>
            </w:r>
            <w:r w:rsidR="004474B4" w:rsidRPr="00C03061">
              <w:rPr>
                <w:rFonts w:asciiTheme="minorHAnsi" w:hAnsiTheme="minorHAnsi" w:cstheme="minorHAnsi"/>
                <w:bCs/>
                <w:color w:val="000000"/>
                <w:lang w:eastAsia="ja-JP"/>
              </w:rPr>
              <w:t>variation</w:t>
            </w:r>
            <w:r w:rsidR="002A32D5">
              <w:rPr>
                <w:rFonts w:asciiTheme="minorHAnsi" w:hAnsiTheme="minorHAnsi" w:cstheme="minorHAnsi"/>
                <w:bCs/>
                <w:color w:val="000000"/>
                <w:lang w:eastAsia="ja-JP"/>
              </w:rPr>
              <w:t>, demander</w:t>
            </w:r>
            <w:r w:rsidR="004474B4" w:rsidRPr="00C03061">
              <w:rPr>
                <w:rFonts w:asciiTheme="minorHAnsi" w:hAnsiTheme="minorHAnsi" w:cstheme="minorHAnsi"/>
                <w:bCs/>
                <w:color w:val="000000"/>
                <w:lang w:eastAsia="ja-JP"/>
              </w:rPr>
              <w:t xml:space="preserve"> les facteurs boosters et une estimation du taux de contribution (corrélation) de The Dot et de ses activités (à préciser lesquelles)</w:t>
            </w:r>
            <w:r w:rsidR="001C2D6B" w:rsidRPr="00C03061">
              <w:rPr>
                <w:rFonts w:asciiTheme="minorHAnsi" w:hAnsiTheme="minorHAnsi" w:cstheme="minorHAnsi"/>
                <w:bCs/>
                <w:color w:val="000000"/>
                <w:lang w:eastAsia="ja-JP"/>
              </w:rPr>
              <w:t xml:space="preserve">, pour éviter l’attribution simpliste. </w:t>
            </w:r>
            <w:r w:rsidR="004474B4" w:rsidRPr="00C03061">
              <w:rPr>
                <w:rFonts w:asciiTheme="minorHAnsi" w:hAnsiTheme="minorHAnsi" w:cstheme="minorHAnsi"/>
                <w:bCs/>
                <w:color w:val="000000"/>
                <w:lang w:eastAsia="ja-JP"/>
              </w:rPr>
              <w:t xml:space="preserve"> </w:t>
            </w:r>
          </w:p>
        </w:tc>
      </w:tr>
      <w:tr w:rsidR="00D151FA" w:rsidRPr="00C03061" w14:paraId="6995CD98" w14:textId="77777777" w:rsidTr="00534F8D">
        <w:trPr>
          <w:jc w:val="center"/>
        </w:trPr>
        <w:tc>
          <w:tcPr>
            <w:tcW w:w="2694" w:type="dxa"/>
            <w:shd w:val="clear" w:color="auto" w:fill="E2EFD9" w:themeFill="accent6" w:themeFillTint="33"/>
            <w:vAlign w:val="center"/>
          </w:tcPr>
          <w:p w14:paraId="50CDDD06" w14:textId="0C68EFB5" w:rsidR="00D151FA" w:rsidRPr="003A38EB" w:rsidRDefault="00D151FA" w:rsidP="00C03061">
            <w:pPr>
              <w:autoSpaceDE w:val="0"/>
              <w:autoSpaceDN w:val="0"/>
              <w:adjustRightInd w:val="0"/>
              <w:spacing w:after="0" w:line="276" w:lineRule="auto"/>
              <w:jc w:val="both"/>
              <w:rPr>
                <w:rFonts w:asciiTheme="minorHAnsi" w:hAnsiTheme="minorHAnsi" w:cstheme="minorHAnsi"/>
                <w:b/>
                <w:bCs/>
                <w:color w:val="000000"/>
                <w:u w:val="single"/>
                <w:lang w:eastAsia="ja-JP"/>
              </w:rPr>
            </w:pPr>
            <w:r w:rsidRPr="003A38EB">
              <w:rPr>
                <w:rFonts w:asciiTheme="minorHAnsi" w:hAnsiTheme="minorHAnsi" w:cstheme="minorHAnsi"/>
                <w:b/>
                <w:bCs/>
                <w:color w:val="000000"/>
                <w:lang w:eastAsia="ja-JP"/>
              </w:rPr>
              <w:t xml:space="preserve">Indicateurs qualitatifs - </w:t>
            </w:r>
            <w:r w:rsidRPr="00C03061">
              <w:rPr>
                <w:rFonts w:asciiTheme="minorHAnsi" w:hAnsiTheme="minorHAnsi" w:cstheme="minorHAnsi"/>
                <w:b/>
                <w:bCs/>
                <w:color w:val="000000"/>
                <w:u w:val="single"/>
                <w:lang w:eastAsia="ja-JP"/>
              </w:rPr>
              <w:t xml:space="preserve">données programmes </w:t>
            </w:r>
            <w:r w:rsidR="009E0348" w:rsidRPr="00C03061">
              <w:rPr>
                <w:rFonts w:asciiTheme="minorHAnsi" w:hAnsiTheme="minorHAnsi" w:cstheme="minorHAnsi"/>
                <w:b/>
                <w:bCs/>
                <w:color w:val="000000"/>
                <w:u w:val="single"/>
                <w:lang w:eastAsia="ja-JP"/>
              </w:rPr>
              <w:t>non ou</w:t>
            </w:r>
            <w:r w:rsidRPr="00C03061">
              <w:rPr>
                <w:rFonts w:asciiTheme="minorHAnsi" w:hAnsiTheme="minorHAnsi" w:cstheme="minorHAnsi"/>
                <w:b/>
                <w:bCs/>
                <w:color w:val="000000"/>
                <w:u w:val="single"/>
                <w:lang w:eastAsia="ja-JP"/>
              </w:rPr>
              <w:t xml:space="preserve"> partiellement collectés</w:t>
            </w:r>
            <w:r w:rsidRPr="003A38EB">
              <w:rPr>
                <w:rFonts w:asciiTheme="minorHAnsi" w:hAnsiTheme="minorHAnsi" w:cstheme="minorHAnsi"/>
                <w:b/>
                <w:bCs/>
                <w:color w:val="000000"/>
                <w:u w:val="single"/>
                <w:lang w:eastAsia="ja-JP"/>
              </w:rPr>
              <w:t>, à court, moyen et long terme</w:t>
            </w:r>
          </w:p>
          <w:p w14:paraId="04A50188" w14:textId="77777777" w:rsidR="00D151FA" w:rsidRPr="00C03061" w:rsidRDefault="00D151FA" w:rsidP="00C03061">
            <w:pPr>
              <w:autoSpaceDE w:val="0"/>
              <w:autoSpaceDN w:val="0"/>
              <w:adjustRightInd w:val="0"/>
              <w:spacing w:after="0" w:line="276" w:lineRule="auto"/>
              <w:jc w:val="both"/>
              <w:rPr>
                <w:rFonts w:asciiTheme="minorHAnsi" w:hAnsiTheme="minorHAnsi" w:cstheme="minorHAnsi"/>
                <w:b/>
                <w:bCs/>
                <w:color w:val="000000"/>
                <w:u w:val="single"/>
                <w:lang w:eastAsia="ja-JP"/>
              </w:rPr>
            </w:pPr>
          </w:p>
          <w:p w14:paraId="134AF5BD" w14:textId="77777777" w:rsidR="00D151FA" w:rsidRPr="00C03061" w:rsidRDefault="00D151FA" w:rsidP="00C03061">
            <w:pPr>
              <w:autoSpaceDE w:val="0"/>
              <w:autoSpaceDN w:val="0"/>
              <w:adjustRightInd w:val="0"/>
              <w:spacing w:after="0" w:line="276" w:lineRule="auto"/>
              <w:jc w:val="both"/>
              <w:rPr>
                <w:rFonts w:asciiTheme="minorHAnsi" w:hAnsiTheme="minorHAnsi" w:cstheme="minorHAnsi"/>
                <w:b/>
                <w:bCs/>
                <w:color w:val="000000"/>
                <w:lang w:eastAsia="ja-JP"/>
              </w:rPr>
            </w:pPr>
          </w:p>
        </w:tc>
        <w:tc>
          <w:tcPr>
            <w:tcW w:w="8505" w:type="dxa"/>
            <w:shd w:val="clear" w:color="auto" w:fill="E2EFD9" w:themeFill="accent6" w:themeFillTint="33"/>
          </w:tcPr>
          <w:p w14:paraId="55FD8DE1" w14:textId="4A8734A9" w:rsidR="00D151FA" w:rsidRPr="00C03061" w:rsidRDefault="00434FC0" w:rsidP="00C03061">
            <w:pPr>
              <w:autoSpaceDE w:val="0"/>
              <w:autoSpaceDN w:val="0"/>
              <w:adjustRightInd w:val="0"/>
              <w:spacing w:after="0" w:line="276" w:lineRule="auto"/>
              <w:jc w:val="both"/>
              <w:rPr>
                <w:rFonts w:asciiTheme="minorHAnsi" w:hAnsiTheme="minorHAnsi" w:cstheme="minorHAnsi"/>
                <w:i/>
                <w:color w:val="000000"/>
                <w:lang w:eastAsia="ja-JP"/>
              </w:rPr>
            </w:pPr>
            <w:r w:rsidRPr="00C03061">
              <w:rPr>
                <w:rFonts w:asciiTheme="minorHAnsi" w:hAnsiTheme="minorHAnsi" w:cstheme="minorHAnsi"/>
                <w:b/>
                <w:i/>
                <w:iCs/>
                <w:color w:val="000000"/>
                <w:lang w:eastAsia="ja-JP"/>
              </w:rPr>
              <w:t xml:space="preserve">Auprès des </w:t>
            </w:r>
            <w:r w:rsidRPr="00C03061">
              <w:rPr>
                <w:rFonts w:asciiTheme="minorHAnsi" w:hAnsiTheme="minorHAnsi" w:cstheme="minorHAnsi"/>
                <w:b/>
                <w:iCs/>
                <w:color w:val="000000"/>
                <w:lang w:eastAsia="ja-JP"/>
              </w:rPr>
              <w:t>entrepreneur.es</w:t>
            </w:r>
            <w:r w:rsidRPr="00C03061">
              <w:rPr>
                <w:rFonts w:asciiTheme="minorHAnsi" w:hAnsiTheme="minorHAnsi" w:cstheme="minorHAnsi"/>
                <w:b/>
                <w:color w:val="000000"/>
                <w:lang w:eastAsia="ja-JP"/>
              </w:rPr>
              <w:t xml:space="preserve"> : </w:t>
            </w:r>
            <w:r w:rsidRPr="002A32D5">
              <w:rPr>
                <w:rFonts w:asciiTheme="minorHAnsi" w:hAnsiTheme="minorHAnsi" w:cstheme="minorHAnsi"/>
                <w:i/>
                <w:iCs/>
                <w:color w:val="000000"/>
                <w:lang w:eastAsia="ja-JP"/>
              </w:rPr>
              <w:t>q</w:t>
            </w:r>
            <w:r w:rsidR="00D151FA" w:rsidRPr="002A32D5">
              <w:rPr>
                <w:rFonts w:asciiTheme="minorHAnsi" w:hAnsiTheme="minorHAnsi" w:cstheme="minorHAnsi"/>
                <w:i/>
                <w:iCs/>
                <w:color w:val="000000"/>
                <w:lang w:eastAsia="ja-JP"/>
              </w:rPr>
              <w:t>uelles</w:t>
            </w:r>
            <w:r w:rsidR="00D151FA" w:rsidRPr="00C03061">
              <w:rPr>
                <w:rFonts w:asciiTheme="minorHAnsi" w:hAnsiTheme="minorHAnsi" w:cstheme="minorHAnsi"/>
                <w:i/>
                <w:iCs/>
                <w:color w:val="000000"/>
                <w:lang w:eastAsia="ja-JP"/>
              </w:rPr>
              <w:t xml:space="preserve"> activités ont été les plus efficaces pour soutenir la croissance des startups ?</w:t>
            </w:r>
          </w:p>
          <w:p w14:paraId="7B38D7FC" w14:textId="09721CF6" w:rsidR="00D151FA" w:rsidRPr="00C03061" w:rsidRDefault="00D151FA" w:rsidP="00BB606A">
            <w:pPr>
              <w:pStyle w:val="Paragraphedeliste"/>
              <w:numPr>
                <w:ilvl w:val="0"/>
                <w:numId w:val="10"/>
              </w:num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color w:val="000000"/>
                <w:lang w:eastAsia="ja-JP"/>
              </w:rPr>
              <w:t>Feedback des startups sur l</w:t>
            </w:r>
            <w:r w:rsidR="00C943E1" w:rsidRPr="00C03061">
              <w:rPr>
                <w:rFonts w:asciiTheme="minorHAnsi" w:hAnsiTheme="minorHAnsi" w:cstheme="minorHAnsi"/>
                <w:color w:val="000000"/>
                <w:lang w:eastAsia="ja-JP"/>
              </w:rPr>
              <w:t>’impact d</w:t>
            </w:r>
            <w:r w:rsidRPr="00C03061">
              <w:rPr>
                <w:rFonts w:asciiTheme="minorHAnsi" w:hAnsiTheme="minorHAnsi" w:cstheme="minorHAnsi"/>
                <w:color w:val="000000"/>
                <w:lang w:eastAsia="ja-JP"/>
              </w:rPr>
              <w:t xml:space="preserve">es différentes activités </w:t>
            </w:r>
            <w:r w:rsidR="00C943E1" w:rsidRPr="00C03061">
              <w:rPr>
                <w:rFonts w:asciiTheme="minorHAnsi" w:hAnsiTheme="minorHAnsi" w:cstheme="minorHAnsi"/>
                <w:color w:val="000000"/>
                <w:lang w:eastAsia="ja-JP"/>
              </w:rPr>
              <w:t xml:space="preserve">de The Dot </w:t>
            </w:r>
            <w:r w:rsidRPr="00C03061">
              <w:rPr>
                <w:rFonts w:asciiTheme="minorHAnsi" w:hAnsiTheme="minorHAnsi" w:cstheme="minorHAnsi"/>
                <w:color w:val="000000"/>
                <w:lang w:eastAsia="ja-JP"/>
              </w:rPr>
              <w:t xml:space="preserve">sur leur projet </w:t>
            </w:r>
            <w:r w:rsidR="006414AA" w:rsidRPr="00C03061">
              <w:rPr>
                <w:rFonts w:asciiTheme="minorHAnsi" w:hAnsiTheme="minorHAnsi" w:cstheme="minorHAnsi"/>
                <w:color w:val="000000"/>
                <w:lang w:eastAsia="ja-JP"/>
              </w:rPr>
              <w:t>(à détailler par programme</w:t>
            </w:r>
            <w:r w:rsidR="004474B4" w:rsidRPr="00C03061">
              <w:rPr>
                <w:rFonts w:asciiTheme="minorHAnsi" w:hAnsiTheme="minorHAnsi" w:cstheme="minorHAnsi"/>
                <w:color w:val="000000"/>
                <w:lang w:eastAsia="ja-JP"/>
              </w:rPr>
              <w:t xml:space="preserve"> et service</w:t>
            </w:r>
            <w:r w:rsidR="006414AA" w:rsidRPr="00C03061">
              <w:rPr>
                <w:rFonts w:asciiTheme="minorHAnsi" w:hAnsiTheme="minorHAnsi" w:cstheme="minorHAnsi"/>
                <w:color w:val="000000"/>
                <w:lang w:eastAsia="ja-JP"/>
              </w:rPr>
              <w:t>)</w:t>
            </w:r>
            <w:r w:rsidR="001C2D6B" w:rsidRPr="00C03061">
              <w:rPr>
                <w:rFonts w:asciiTheme="minorHAnsi" w:hAnsiTheme="minorHAnsi" w:cstheme="minorHAnsi"/>
                <w:color w:val="000000"/>
                <w:lang w:eastAsia="ja-JP"/>
              </w:rPr>
              <w:t> : satisfaction, adéquation…</w:t>
            </w:r>
            <w:r w:rsidR="00434FC0">
              <w:rPr>
                <w:rFonts w:asciiTheme="minorHAnsi" w:hAnsiTheme="minorHAnsi" w:cstheme="minorHAnsi"/>
                <w:color w:val="000000"/>
                <w:lang w:eastAsia="ja-JP"/>
              </w:rPr>
              <w:t xml:space="preserve"> ; </w:t>
            </w:r>
          </w:p>
          <w:p w14:paraId="4EC2EA4A" w14:textId="6297AEA2" w:rsidR="00D151FA" w:rsidRPr="00C03061" w:rsidRDefault="00D151FA" w:rsidP="00BB606A">
            <w:pPr>
              <w:pStyle w:val="Paragraphedeliste"/>
              <w:numPr>
                <w:ilvl w:val="0"/>
                <w:numId w:val="10"/>
              </w:num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color w:val="000000"/>
                <w:lang w:eastAsia="ja-JP"/>
              </w:rPr>
              <w:t>Taux de recommandation</w:t>
            </w:r>
            <w:r w:rsidR="00434FC0">
              <w:rPr>
                <w:rFonts w:asciiTheme="minorHAnsi" w:hAnsiTheme="minorHAnsi" w:cstheme="minorHAnsi"/>
                <w:color w:val="000000"/>
                <w:lang w:eastAsia="ja-JP"/>
              </w:rPr>
              <w:t xml:space="preserve"> ; </w:t>
            </w:r>
          </w:p>
          <w:p w14:paraId="26A2E995" w14:textId="426A1567" w:rsidR="00D151FA" w:rsidRPr="00C03061" w:rsidRDefault="00D151FA" w:rsidP="00BB606A">
            <w:pPr>
              <w:pStyle w:val="Paragraphedeliste"/>
              <w:numPr>
                <w:ilvl w:val="0"/>
                <w:numId w:val="10"/>
              </w:num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color w:val="000000"/>
                <w:lang w:eastAsia="ja-JP"/>
              </w:rPr>
              <w:t>Qualité des relations établies avec les mentors et investisseurs</w:t>
            </w:r>
            <w:r w:rsidR="00434FC0">
              <w:rPr>
                <w:rFonts w:asciiTheme="minorHAnsi" w:hAnsiTheme="minorHAnsi" w:cstheme="minorHAnsi"/>
                <w:color w:val="000000"/>
                <w:lang w:eastAsia="ja-JP"/>
              </w:rPr>
              <w:t xml:space="preserve"> ; </w:t>
            </w:r>
          </w:p>
          <w:p w14:paraId="52E7C4A8" w14:textId="3FFC0E03" w:rsidR="00D151FA" w:rsidRPr="00C03061" w:rsidRDefault="00D151FA" w:rsidP="00BB606A">
            <w:pPr>
              <w:pStyle w:val="Paragraphedeliste"/>
              <w:numPr>
                <w:ilvl w:val="0"/>
                <w:numId w:val="10"/>
              </w:num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color w:val="000000"/>
                <w:lang w:eastAsia="ja-JP"/>
              </w:rPr>
              <w:t>Qualité des échanges entre pairs</w:t>
            </w:r>
            <w:r w:rsidR="00434FC0">
              <w:rPr>
                <w:rFonts w:asciiTheme="minorHAnsi" w:hAnsiTheme="minorHAnsi" w:cstheme="minorHAnsi"/>
                <w:color w:val="000000"/>
                <w:lang w:eastAsia="ja-JP"/>
              </w:rPr>
              <w:t xml:space="preserve"> ; </w:t>
            </w:r>
          </w:p>
          <w:p w14:paraId="20703E78" w14:textId="053002F9" w:rsidR="00D151FA" w:rsidRPr="00C03061" w:rsidRDefault="002A32D5" w:rsidP="00BB606A">
            <w:pPr>
              <w:pStyle w:val="Paragraphedeliste"/>
              <w:numPr>
                <w:ilvl w:val="0"/>
                <w:numId w:val="10"/>
              </w:numPr>
              <w:autoSpaceDE w:val="0"/>
              <w:autoSpaceDN w:val="0"/>
              <w:adjustRightInd w:val="0"/>
              <w:spacing w:after="0" w:line="276" w:lineRule="auto"/>
              <w:jc w:val="both"/>
              <w:rPr>
                <w:rFonts w:asciiTheme="minorHAnsi" w:hAnsiTheme="minorHAnsi" w:cstheme="minorHAnsi"/>
                <w:b/>
                <w:bCs/>
                <w:color w:val="000000"/>
                <w:lang w:eastAsia="ja-JP"/>
              </w:rPr>
            </w:pPr>
            <w:r>
              <w:rPr>
                <w:rFonts w:asciiTheme="minorHAnsi" w:hAnsiTheme="minorHAnsi" w:cstheme="minorHAnsi"/>
                <w:color w:val="000000"/>
                <w:lang w:eastAsia="ja-JP"/>
              </w:rPr>
              <w:t xml:space="preserve">Evaluation/perception </w:t>
            </w:r>
            <w:r w:rsidR="00D151FA" w:rsidRPr="00C03061">
              <w:rPr>
                <w:rFonts w:asciiTheme="minorHAnsi" w:hAnsiTheme="minorHAnsi" w:cstheme="minorHAnsi"/>
                <w:color w:val="000000"/>
                <w:lang w:eastAsia="ja-JP"/>
              </w:rPr>
              <w:t>du passage des startups d’un stade "</w:t>
            </w:r>
            <w:r w:rsidR="00D151FA" w:rsidRPr="00C03061">
              <w:rPr>
                <w:rFonts w:asciiTheme="minorHAnsi" w:hAnsiTheme="minorHAnsi" w:cstheme="minorHAnsi"/>
                <w:i/>
                <w:color w:val="000000"/>
                <w:lang w:eastAsia="ja-JP"/>
              </w:rPr>
              <w:t>early stage</w:t>
            </w:r>
            <w:r w:rsidR="00D151FA" w:rsidRPr="00C03061">
              <w:rPr>
                <w:rFonts w:asciiTheme="minorHAnsi" w:hAnsiTheme="minorHAnsi" w:cstheme="minorHAnsi"/>
                <w:color w:val="000000"/>
                <w:lang w:eastAsia="ja-JP"/>
              </w:rPr>
              <w:t>" à une phase "</w:t>
            </w:r>
            <w:r w:rsidR="00D151FA" w:rsidRPr="00C03061">
              <w:rPr>
                <w:rFonts w:asciiTheme="minorHAnsi" w:hAnsiTheme="minorHAnsi" w:cstheme="minorHAnsi"/>
                <w:i/>
                <w:color w:val="000000"/>
                <w:lang w:eastAsia="ja-JP"/>
              </w:rPr>
              <w:t>scale</w:t>
            </w:r>
            <w:r w:rsidR="00D151FA" w:rsidRPr="00C03061">
              <w:rPr>
                <w:rFonts w:asciiTheme="minorHAnsi" w:hAnsiTheme="minorHAnsi" w:cstheme="minorHAnsi"/>
                <w:color w:val="000000"/>
                <w:lang w:eastAsia="ja-JP"/>
              </w:rPr>
              <w:t>"</w:t>
            </w:r>
            <w:r w:rsidR="00434FC0">
              <w:rPr>
                <w:rFonts w:asciiTheme="minorHAnsi" w:hAnsiTheme="minorHAnsi" w:cstheme="minorHAnsi"/>
                <w:color w:val="000000"/>
                <w:lang w:eastAsia="ja-JP"/>
              </w:rPr>
              <w:t xml:space="preserve">. </w:t>
            </w:r>
          </w:p>
          <w:p w14:paraId="0098EA5A" w14:textId="77777777" w:rsidR="00434FC0" w:rsidRPr="00C03061" w:rsidRDefault="00434FC0" w:rsidP="00C03061">
            <w:pPr>
              <w:pStyle w:val="Paragraphedeliste"/>
              <w:autoSpaceDE w:val="0"/>
              <w:autoSpaceDN w:val="0"/>
              <w:adjustRightInd w:val="0"/>
              <w:spacing w:after="0" w:line="276" w:lineRule="auto"/>
              <w:jc w:val="both"/>
              <w:rPr>
                <w:rFonts w:asciiTheme="minorHAnsi" w:hAnsiTheme="minorHAnsi" w:cstheme="minorHAnsi"/>
                <w:b/>
                <w:bCs/>
                <w:color w:val="000000"/>
                <w:lang w:eastAsia="ja-JP"/>
              </w:rPr>
            </w:pPr>
          </w:p>
          <w:p w14:paraId="3E78A3B0" w14:textId="108957D2" w:rsidR="00D151FA" w:rsidRPr="00C03061" w:rsidRDefault="00434FC0" w:rsidP="00C03061">
            <w:pPr>
              <w:autoSpaceDE w:val="0"/>
              <w:autoSpaceDN w:val="0"/>
              <w:adjustRightInd w:val="0"/>
              <w:spacing w:after="0" w:line="276" w:lineRule="auto"/>
              <w:jc w:val="both"/>
              <w:rPr>
                <w:rFonts w:asciiTheme="minorHAnsi" w:hAnsiTheme="minorHAnsi" w:cstheme="minorHAnsi"/>
                <w:i/>
                <w:iCs/>
                <w:color w:val="000000"/>
                <w:lang w:eastAsia="ja-JP"/>
              </w:rPr>
            </w:pPr>
            <w:r w:rsidRPr="00C03061">
              <w:rPr>
                <w:rFonts w:asciiTheme="minorHAnsi" w:hAnsiTheme="minorHAnsi" w:cstheme="minorHAnsi"/>
                <w:b/>
                <w:i/>
                <w:color w:val="000000"/>
                <w:lang w:eastAsia="ja-JP"/>
              </w:rPr>
              <w:t xml:space="preserve">Auprès des acteurs de l’écosystème : </w:t>
            </w:r>
            <w:r w:rsidRPr="00C03061">
              <w:rPr>
                <w:rFonts w:asciiTheme="minorHAnsi" w:hAnsiTheme="minorHAnsi" w:cstheme="minorHAnsi"/>
                <w:i/>
                <w:iCs/>
                <w:color w:val="000000"/>
                <w:lang w:eastAsia="ja-JP"/>
              </w:rPr>
              <w:t>q</w:t>
            </w:r>
            <w:r w:rsidR="00D151FA" w:rsidRPr="00C03061">
              <w:rPr>
                <w:rFonts w:asciiTheme="minorHAnsi" w:hAnsiTheme="minorHAnsi" w:cstheme="minorHAnsi"/>
                <w:i/>
                <w:iCs/>
                <w:color w:val="000000"/>
                <w:lang w:eastAsia="ja-JP"/>
              </w:rPr>
              <w:t xml:space="preserve">uels ont été les effets principaux des activités de The Dot sur ESO/SSO ayant bénéficié des appuis de </w:t>
            </w:r>
            <w:r>
              <w:rPr>
                <w:rFonts w:asciiTheme="minorHAnsi" w:hAnsiTheme="minorHAnsi" w:cstheme="minorHAnsi"/>
                <w:i/>
                <w:iCs/>
                <w:color w:val="000000"/>
                <w:lang w:eastAsia="ja-JP"/>
              </w:rPr>
              <w:t>T</w:t>
            </w:r>
            <w:r w:rsidR="00D151FA" w:rsidRPr="00C03061">
              <w:rPr>
                <w:rFonts w:asciiTheme="minorHAnsi" w:hAnsiTheme="minorHAnsi" w:cstheme="minorHAnsi"/>
                <w:i/>
                <w:iCs/>
                <w:color w:val="000000"/>
                <w:lang w:eastAsia="ja-JP"/>
              </w:rPr>
              <w:t xml:space="preserve">he Dot ? </w:t>
            </w:r>
          </w:p>
          <w:p w14:paraId="063CC4F8" w14:textId="7FFABC92" w:rsidR="00D151FA" w:rsidRPr="00C03061" w:rsidRDefault="00D151FA" w:rsidP="00C03061">
            <w:pPr>
              <w:autoSpaceDE w:val="0"/>
              <w:autoSpaceDN w:val="0"/>
              <w:adjustRightInd w:val="0"/>
              <w:spacing w:after="0" w:line="276" w:lineRule="auto"/>
              <w:jc w:val="both"/>
              <w:rPr>
                <w:rFonts w:asciiTheme="minorHAnsi" w:hAnsiTheme="minorHAnsi" w:cstheme="minorHAnsi"/>
                <w:color w:val="000000"/>
                <w:lang w:eastAsia="ja-JP"/>
              </w:rPr>
            </w:pPr>
            <w:r w:rsidRPr="00C03061">
              <w:rPr>
                <w:rFonts w:asciiTheme="minorHAnsi" w:hAnsiTheme="minorHAnsi" w:cstheme="minorHAnsi"/>
                <w:i/>
                <w:iCs/>
                <w:color w:val="000000"/>
                <w:lang w:eastAsia="ja-JP"/>
              </w:rPr>
              <w:t xml:space="preserve">Dans quelle mesure </w:t>
            </w:r>
            <w:r w:rsidRPr="00C03061">
              <w:rPr>
                <w:rFonts w:asciiTheme="minorHAnsi" w:hAnsiTheme="minorHAnsi" w:cstheme="minorHAnsi"/>
                <w:bCs/>
                <w:i/>
                <w:iCs/>
                <w:color w:val="000000"/>
                <w:lang w:eastAsia="ja-JP"/>
              </w:rPr>
              <w:t>The Dot</w:t>
            </w:r>
            <w:r w:rsidRPr="00C03061">
              <w:rPr>
                <w:rFonts w:asciiTheme="minorHAnsi" w:hAnsiTheme="minorHAnsi" w:cstheme="minorHAnsi"/>
                <w:i/>
                <w:iCs/>
                <w:color w:val="000000"/>
                <w:lang w:eastAsia="ja-JP"/>
              </w:rPr>
              <w:t xml:space="preserve"> a contribué à structurer ou à renforcer l’écosystème entrepreneurial en Tunisie (nouveaux réseaux, partenariats, collaboration avec d'autres structures) </w:t>
            </w:r>
            <w:r w:rsidRPr="00C03061">
              <w:rPr>
                <w:rFonts w:asciiTheme="minorHAnsi" w:hAnsiTheme="minorHAnsi" w:cstheme="minorHAnsi"/>
              </w:rPr>
              <w:t>?</w:t>
            </w:r>
          </w:p>
          <w:p w14:paraId="645CFF6F" w14:textId="51FB82B8" w:rsidR="00D151FA" w:rsidRPr="00C03061" w:rsidRDefault="00D151FA" w:rsidP="00BB606A">
            <w:pPr>
              <w:pStyle w:val="Paragraphedeliste"/>
              <w:numPr>
                <w:ilvl w:val="0"/>
                <w:numId w:val="11"/>
              </w:num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color w:val="000000"/>
                <w:lang w:eastAsia="ja-JP"/>
              </w:rPr>
              <w:t>Perception du hub au sein de l’écosystème local</w:t>
            </w:r>
            <w:r w:rsidR="004474B4" w:rsidRPr="00C03061">
              <w:rPr>
                <w:rFonts w:asciiTheme="minorHAnsi" w:hAnsiTheme="minorHAnsi" w:cstheme="minorHAnsi"/>
                <w:color w:val="000000"/>
                <w:lang w:eastAsia="ja-JP"/>
              </w:rPr>
              <w:t xml:space="preserve"> (facteurs de différenciation, contribution de valeur…)</w:t>
            </w:r>
            <w:r w:rsidR="00434FC0">
              <w:rPr>
                <w:rFonts w:asciiTheme="minorHAnsi" w:hAnsiTheme="minorHAnsi" w:cstheme="minorHAnsi"/>
                <w:color w:val="000000"/>
                <w:lang w:eastAsia="ja-JP"/>
              </w:rPr>
              <w:t xml:space="preserve"> ; </w:t>
            </w:r>
          </w:p>
          <w:p w14:paraId="5EC03F02" w14:textId="6D72654D" w:rsidR="00D151FA" w:rsidRPr="00C03061" w:rsidRDefault="00D151FA" w:rsidP="00BB606A">
            <w:pPr>
              <w:pStyle w:val="Paragraphedeliste"/>
              <w:numPr>
                <w:ilvl w:val="0"/>
                <w:numId w:val="11"/>
              </w:num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color w:val="000000"/>
                <w:lang w:eastAsia="ja-JP"/>
              </w:rPr>
              <w:t>Perception des mentors et partenaires</w:t>
            </w:r>
            <w:r w:rsidR="00434FC0">
              <w:rPr>
                <w:rFonts w:asciiTheme="minorHAnsi" w:hAnsiTheme="minorHAnsi" w:cstheme="minorHAnsi"/>
                <w:color w:val="000000"/>
                <w:lang w:eastAsia="ja-JP"/>
              </w:rPr>
              <w:t xml:space="preserve"> ; </w:t>
            </w:r>
          </w:p>
          <w:p w14:paraId="103E08F8" w14:textId="51213076" w:rsidR="00D151FA" w:rsidRPr="00C03061" w:rsidRDefault="00D151FA" w:rsidP="00BB606A">
            <w:pPr>
              <w:pStyle w:val="Paragraphedeliste"/>
              <w:numPr>
                <w:ilvl w:val="0"/>
                <w:numId w:val="11"/>
              </w:num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color w:val="000000"/>
                <w:lang w:eastAsia="ja-JP"/>
              </w:rPr>
              <w:t>Pertinence des projets proposés pour répondre aux défis locaux</w:t>
            </w:r>
            <w:r w:rsidR="00434FC0">
              <w:rPr>
                <w:rFonts w:asciiTheme="minorHAnsi" w:hAnsiTheme="minorHAnsi" w:cstheme="minorHAnsi"/>
                <w:color w:val="000000"/>
                <w:lang w:eastAsia="ja-JP"/>
              </w:rPr>
              <w:t xml:space="preserve"> ; </w:t>
            </w:r>
          </w:p>
          <w:p w14:paraId="51BBAD78" w14:textId="04636199" w:rsidR="00C943E1" w:rsidRPr="00C03061" w:rsidRDefault="00D151FA" w:rsidP="00BB606A">
            <w:pPr>
              <w:pStyle w:val="Paragraphedeliste"/>
              <w:numPr>
                <w:ilvl w:val="0"/>
                <w:numId w:val="11"/>
              </w:numPr>
              <w:autoSpaceDE w:val="0"/>
              <w:autoSpaceDN w:val="0"/>
              <w:adjustRightInd w:val="0"/>
              <w:spacing w:after="0" w:line="276" w:lineRule="auto"/>
              <w:jc w:val="both"/>
              <w:rPr>
                <w:rFonts w:asciiTheme="minorHAnsi" w:hAnsiTheme="minorHAnsi" w:cstheme="minorHAnsi"/>
                <w:b/>
                <w:bCs/>
                <w:color w:val="000000"/>
                <w:lang w:eastAsia="ja-JP"/>
              </w:rPr>
            </w:pPr>
            <w:r w:rsidRPr="00C03061">
              <w:rPr>
                <w:rFonts w:asciiTheme="minorHAnsi" w:hAnsiTheme="minorHAnsi" w:cstheme="minorHAnsi"/>
                <w:color w:val="000000"/>
                <w:lang w:eastAsia="ja-JP"/>
              </w:rPr>
              <w:t>Mesure de l’influence du hub dans la propagation de nouvelles pratiques à d’autres secteurs ou régions</w:t>
            </w:r>
            <w:r w:rsidR="00C943E1" w:rsidRPr="00C03061">
              <w:rPr>
                <w:rFonts w:asciiTheme="minorHAnsi" w:hAnsiTheme="minorHAnsi" w:cstheme="minorHAnsi"/>
                <w:color w:val="000000"/>
                <w:lang w:eastAsia="ja-JP"/>
              </w:rPr>
              <w:t xml:space="preserve"> (</w:t>
            </w:r>
            <w:r w:rsidR="00C943E1" w:rsidRPr="00C03061">
              <w:rPr>
                <w:rFonts w:asciiTheme="minorHAnsi" w:hAnsiTheme="minorHAnsi" w:cstheme="minorHAnsi"/>
                <w:b/>
                <w:color w:val="000000"/>
                <w:lang w:eastAsia="ja-JP"/>
              </w:rPr>
              <w:t>effet d’entrainement</w:t>
            </w:r>
            <w:r w:rsidR="001C2D6B" w:rsidRPr="003A38EB">
              <w:rPr>
                <w:rFonts w:asciiTheme="minorHAnsi" w:hAnsiTheme="minorHAnsi" w:cstheme="minorHAnsi"/>
                <w:b/>
                <w:color w:val="000000"/>
                <w:lang w:eastAsia="ja-JP"/>
              </w:rPr>
              <w:t>) : externalités positives ou négatives</w:t>
            </w:r>
            <w:r w:rsidR="00434FC0">
              <w:rPr>
                <w:rFonts w:asciiTheme="minorHAnsi" w:hAnsiTheme="minorHAnsi" w:cstheme="minorHAnsi"/>
                <w:b/>
                <w:color w:val="000000"/>
                <w:lang w:eastAsia="ja-JP"/>
              </w:rPr>
              <w:t xml:space="preserve">. </w:t>
            </w:r>
          </w:p>
          <w:p w14:paraId="36EAD262" w14:textId="11C7AB20" w:rsidR="00C943E1" w:rsidRPr="00C03061" w:rsidRDefault="00434FC0" w:rsidP="0005024A">
            <w:pPr>
              <w:autoSpaceDE w:val="0"/>
              <w:autoSpaceDN w:val="0"/>
              <w:adjustRightInd w:val="0"/>
              <w:spacing w:after="0" w:line="276" w:lineRule="auto"/>
              <w:jc w:val="both"/>
              <w:rPr>
                <w:rFonts w:asciiTheme="minorHAnsi" w:hAnsiTheme="minorHAnsi" w:cstheme="minorHAnsi"/>
                <w:color w:val="000000"/>
                <w:lang w:eastAsia="ja-JP"/>
              </w:rPr>
            </w:pPr>
            <w:r w:rsidRPr="00C03061">
              <w:rPr>
                <w:rFonts w:asciiTheme="minorHAnsi" w:hAnsiTheme="minorHAnsi" w:cstheme="minorHAnsi"/>
                <w:b/>
                <w:color w:val="000000"/>
                <w:u w:val="single"/>
                <w:lang w:eastAsia="ja-JP"/>
              </w:rPr>
              <w:t>N.B :</w:t>
            </w:r>
            <w:r>
              <w:rPr>
                <w:rFonts w:asciiTheme="minorHAnsi" w:hAnsiTheme="minorHAnsi" w:cstheme="minorHAnsi"/>
                <w:b/>
                <w:color w:val="000000"/>
                <w:lang w:eastAsia="ja-JP"/>
              </w:rPr>
              <w:t xml:space="preserve"> </w:t>
            </w:r>
            <w:r w:rsidRPr="00BE1627">
              <w:rPr>
                <w:rFonts w:asciiTheme="minorHAnsi" w:hAnsiTheme="minorHAnsi" w:cstheme="minorHAnsi"/>
                <w:color w:val="000000"/>
                <w:lang w:eastAsia="ja-JP"/>
              </w:rPr>
              <w:t>Pour chacun de ces indicateurs il serait intéressant d'avoir leur taux d'évolution entre chaque année</w:t>
            </w:r>
            <w:r w:rsidR="0005024A">
              <w:rPr>
                <w:rFonts w:asciiTheme="minorHAnsi" w:hAnsiTheme="minorHAnsi" w:cstheme="minorHAnsi"/>
                <w:color w:val="000000"/>
                <w:lang w:eastAsia="ja-JP"/>
              </w:rPr>
              <w:t xml:space="preserve"> </w:t>
            </w:r>
          </w:p>
        </w:tc>
      </w:tr>
    </w:tbl>
    <w:p w14:paraId="287C9987" w14:textId="77777777" w:rsidR="00D151FA" w:rsidRPr="003A38EB" w:rsidRDefault="00D151FA" w:rsidP="00C03061">
      <w:pPr>
        <w:autoSpaceDE w:val="0"/>
        <w:autoSpaceDN w:val="0"/>
        <w:adjustRightInd w:val="0"/>
        <w:spacing w:after="0" w:line="276" w:lineRule="auto"/>
        <w:jc w:val="both"/>
        <w:rPr>
          <w:rFonts w:asciiTheme="minorHAnsi" w:hAnsiTheme="minorHAnsi" w:cstheme="minorHAnsi"/>
          <w:b/>
          <w:color w:val="000000"/>
          <w:u w:val="single"/>
          <w:lang w:eastAsia="ja-JP"/>
        </w:rPr>
      </w:pPr>
    </w:p>
    <w:p w14:paraId="15445923" w14:textId="0F09DD57" w:rsidR="002A32D5" w:rsidRDefault="002E4E4F" w:rsidP="002A32D5">
      <w:pPr>
        <w:tabs>
          <w:tab w:val="right" w:leader="dot" w:pos="9923"/>
        </w:tabs>
        <w:spacing w:after="0" w:line="276" w:lineRule="auto"/>
        <w:jc w:val="both"/>
        <w:rPr>
          <w:rFonts w:asciiTheme="minorHAnsi" w:hAnsiTheme="minorHAnsi" w:cstheme="minorHAnsi"/>
          <w:b/>
          <w:iCs/>
          <w:color w:val="000000"/>
          <w:lang w:eastAsia="ja-JP"/>
        </w:rPr>
      </w:pPr>
      <w:r w:rsidRPr="00C03061">
        <w:rPr>
          <w:rFonts w:asciiTheme="minorHAnsi" w:hAnsiTheme="minorHAnsi" w:cstheme="minorHAnsi"/>
          <w:iCs/>
          <w:color w:val="000000"/>
          <w:lang w:eastAsia="ja-JP"/>
        </w:rPr>
        <w:t xml:space="preserve">Les </w:t>
      </w:r>
      <w:r w:rsidR="00C63691" w:rsidRPr="00C03061">
        <w:rPr>
          <w:rFonts w:asciiTheme="minorHAnsi" w:hAnsiTheme="minorHAnsi" w:cstheme="minorHAnsi"/>
          <w:iCs/>
          <w:color w:val="000000"/>
          <w:lang w:eastAsia="ja-JP"/>
        </w:rPr>
        <w:t xml:space="preserve">dimensions d’analyse </w:t>
      </w:r>
      <w:r w:rsidR="002A32D5">
        <w:rPr>
          <w:rFonts w:asciiTheme="minorHAnsi" w:hAnsiTheme="minorHAnsi" w:cstheme="minorHAnsi"/>
          <w:iCs/>
          <w:color w:val="000000"/>
          <w:lang w:eastAsia="ja-JP"/>
        </w:rPr>
        <w:t>autour du</w:t>
      </w:r>
      <w:r w:rsidR="002A32D5">
        <w:rPr>
          <w:rFonts w:asciiTheme="minorHAnsi" w:hAnsiTheme="minorHAnsi" w:cstheme="minorHAnsi"/>
          <w:b/>
          <w:iCs/>
          <w:color w:val="000000"/>
          <w:lang w:eastAsia="ja-JP"/>
        </w:rPr>
        <w:t xml:space="preserve"> : </w:t>
      </w:r>
    </w:p>
    <w:p w14:paraId="03BD7EF5" w14:textId="7C168A78" w:rsidR="00782534" w:rsidRPr="002A32D5" w:rsidRDefault="002A32D5" w:rsidP="00BB606A">
      <w:pPr>
        <w:pStyle w:val="Paragraphedeliste"/>
        <w:numPr>
          <w:ilvl w:val="0"/>
          <w:numId w:val="5"/>
        </w:num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b/>
          <w:iCs/>
          <w:color w:val="000000"/>
          <w:lang w:eastAsia="ja-JP"/>
        </w:rPr>
        <w:t>G</w:t>
      </w:r>
      <w:r w:rsidR="00C63691" w:rsidRPr="002A32D5">
        <w:rPr>
          <w:rFonts w:asciiTheme="minorHAnsi" w:hAnsiTheme="minorHAnsi" w:cstheme="minorHAnsi"/>
          <w:b/>
          <w:iCs/>
          <w:color w:val="000000"/>
          <w:lang w:eastAsia="ja-JP"/>
        </w:rPr>
        <w:t>enre</w:t>
      </w:r>
      <w:r w:rsidR="00C63691" w:rsidRPr="002A32D5">
        <w:rPr>
          <w:rFonts w:asciiTheme="minorHAnsi" w:hAnsiTheme="minorHAnsi" w:cstheme="minorHAnsi"/>
          <w:iCs/>
          <w:color w:val="000000"/>
          <w:lang w:eastAsia="ja-JP"/>
        </w:rPr>
        <w:t xml:space="preserve"> pour identifier les impacts </w:t>
      </w:r>
      <w:r w:rsidR="00366D88" w:rsidRPr="002A32D5">
        <w:rPr>
          <w:rFonts w:asciiTheme="minorHAnsi" w:hAnsiTheme="minorHAnsi" w:cstheme="minorHAnsi"/>
          <w:iCs/>
          <w:color w:val="000000"/>
          <w:lang w:eastAsia="ja-JP"/>
        </w:rPr>
        <w:t>différenciés de The Dot sur les femmes et les hommes entrepreneur</w:t>
      </w:r>
      <w:r w:rsidRPr="002A32D5">
        <w:rPr>
          <w:rFonts w:asciiTheme="minorHAnsi" w:hAnsiTheme="minorHAnsi" w:cstheme="minorHAnsi"/>
          <w:iCs/>
          <w:color w:val="000000"/>
          <w:lang w:eastAsia="ja-JP"/>
        </w:rPr>
        <w:t xml:space="preserve">s et </w:t>
      </w:r>
    </w:p>
    <w:p w14:paraId="26F36F02" w14:textId="4F078C5C" w:rsidR="00782534" w:rsidRPr="002A32D5" w:rsidRDefault="002A32D5" w:rsidP="00BB606A">
      <w:pPr>
        <w:pStyle w:val="Paragraphedeliste"/>
        <w:numPr>
          <w:ilvl w:val="0"/>
          <w:numId w:val="5"/>
        </w:num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b/>
          <w:iCs/>
          <w:color w:val="000000"/>
          <w:lang w:eastAsia="ja-JP"/>
        </w:rPr>
        <w:t xml:space="preserve">Des enjeux </w:t>
      </w:r>
      <w:r w:rsidR="00434FC0">
        <w:rPr>
          <w:rFonts w:asciiTheme="minorHAnsi" w:hAnsiTheme="minorHAnsi" w:cstheme="minorHAnsi"/>
          <w:b/>
          <w:iCs/>
          <w:color w:val="000000"/>
          <w:lang w:eastAsia="ja-JP"/>
        </w:rPr>
        <w:t>e</w:t>
      </w:r>
      <w:r>
        <w:rPr>
          <w:rFonts w:asciiTheme="minorHAnsi" w:hAnsiTheme="minorHAnsi" w:cstheme="minorHAnsi"/>
          <w:b/>
          <w:iCs/>
          <w:color w:val="000000"/>
          <w:lang w:eastAsia="ja-JP"/>
        </w:rPr>
        <w:t>nvironnementaux et sociaux</w:t>
      </w:r>
      <w:r>
        <w:rPr>
          <w:rFonts w:asciiTheme="minorHAnsi" w:hAnsiTheme="minorHAnsi" w:cstheme="minorHAnsi"/>
          <w:b/>
          <w:bCs/>
          <w:iCs/>
          <w:color w:val="000000"/>
          <w:lang w:eastAsia="ja-JP"/>
        </w:rPr>
        <w:t xml:space="preserve"> </w:t>
      </w:r>
    </w:p>
    <w:p w14:paraId="547B8005" w14:textId="499FE3EA" w:rsidR="002A32D5" w:rsidRPr="002A32D5" w:rsidRDefault="002A32D5" w:rsidP="002A32D5">
      <w:p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 xml:space="preserve">Pourront être intégrés à l’étude si cela ressort des échanges avec les parties prenantes. </w:t>
      </w:r>
    </w:p>
    <w:p w14:paraId="6A71FDA9" w14:textId="1CB1D435" w:rsidR="00782534" w:rsidRPr="00C03061" w:rsidRDefault="00E43FC1" w:rsidP="00C03061">
      <w:pPr>
        <w:pStyle w:val="Titre1"/>
        <w:spacing w:after="0" w:line="276" w:lineRule="auto"/>
        <w:rPr>
          <w:rFonts w:asciiTheme="minorHAnsi" w:hAnsiTheme="minorHAnsi" w:cstheme="minorHAnsi"/>
          <w:sz w:val="28"/>
          <w:szCs w:val="22"/>
        </w:rPr>
      </w:pPr>
      <w:bookmarkStart w:id="12" w:name="_Toc213859195"/>
      <w:r>
        <w:rPr>
          <w:rFonts w:asciiTheme="minorHAnsi" w:hAnsiTheme="minorHAnsi" w:cstheme="minorHAnsi"/>
          <w:sz w:val="28"/>
          <w:szCs w:val="22"/>
        </w:rPr>
        <w:t>Déroulé de la mission</w:t>
      </w:r>
      <w:bookmarkEnd w:id="12"/>
      <w:r>
        <w:rPr>
          <w:rFonts w:asciiTheme="minorHAnsi" w:hAnsiTheme="minorHAnsi" w:cstheme="minorHAnsi"/>
          <w:sz w:val="28"/>
          <w:szCs w:val="22"/>
        </w:rPr>
        <w:t xml:space="preserve"> </w:t>
      </w:r>
    </w:p>
    <w:p w14:paraId="699B623C" w14:textId="5E7C1B12" w:rsidR="00E43FC1" w:rsidRPr="00C03061" w:rsidRDefault="00E43FC1" w:rsidP="00C03061">
      <w:pPr>
        <w:tabs>
          <w:tab w:val="right" w:leader="dot" w:pos="9923"/>
        </w:tabs>
        <w:spacing w:after="0" w:line="276" w:lineRule="auto"/>
        <w:jc w:val="both"/>
        <w:rPr>
          <w:rFonts w:asciiTheme="minorHAnsi" w:hAnsiTheme="minorHAnsi" w:cstheme="minorHAnsi"/>
          <w:iCs/>
          <w:color w:val="000000"/>
          <w:lang w:eastAsia="ja-JP"/>
        </w:rPr>
      </w:pPr>
    </w:p>
    <w:p w14:paraId="721C4BBF" w14:textId="5490622D" w:rsidR="006D359C" w:rsidRPr="00C03061" w:rsidRDefault="00467ED5" w:rsidP="00C03061">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3" w:name="_Toc213859196"/>
      <w:r>
        <w:rPr>
          <w:rFonts w:asciiTheme="minorHAnsi" w:eastAsia="MS Gothic" w:hAnsiTheme="minorHAnsi" w:cstheme="minorHAnsi"/>
          <w:b/>
          <w:bCs/>
          <w:iCs/>
          <w:color w:val="243F60"/>
          <w:lang w:eastAsia="ja-JP"/>
        </w:rPr>
        <w:t>Coordination de la mission</w:t>
      </w:r>
      <w:bookmarkEnd w:id="13"/>
      <w:r>
        <w:rPr>
          <w:rFonts w:asciiTheme="minorHAnsi" w:eastAsia="MS Gothic" w:hAnsiTheme="minorHAnsi" w:cstheme="minorHAnsi"/>
          <w:b/>
          <w:bCs/>
          <w:iCs/>
          <w:color w:val="243F60"/>
          <w:lang w:eastAsia="ja-JP"/>
        </w:rPr>
        <w:t xml:space="preserve"> </w:t>
      </w:r>
    </w:p>
    <w:p w14:paraId="279CF2B6" w14:textId="61CD3FB1" w:rsidR="009E0348" w:rsidRDefault="009E0348" w:rsidP="00C03061">
      <w:pPr>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L</w:t>
      </w:r>
      <w:r w:rsidR="00570378">
        <w:rPr>
          <w:rFonts w:asciiTheme="minorHAnsi" w:hAnsiTheme="minorHAnsi" w:cstheme="minorHAnsi"/>
          <w:iCs/>
          <w:color w:val="000000"/>
          <w:lang w:eastAsia="ja-JP"/>
        </w:rPr>
        <w:t>a direction de de The Dot et l</w:t>
      </w:r>
      <w:r w:rsidRPr="00C03061">
        <w:rPr>
          <w:rFonts w:asciiTheme="minorHAnsi" w:hAnsiTheme="minorHAnsi" w:cstheme="minorHAnsi"/>
          <w:iCs/>
          <w:color w:val="000000"/>
          <w:lang w:eastAsia="ja-JP"/>
        </w:rPr>
        <w:t xml:space="preserve">es partenaires fondateurs </w:t>
      </w:r>
      <w:r w:rsidR="00467ED5">
        <w:rPr>
          <w:rFonts w:asciiTheme="minorHAnsi" w:hAnsiTheme="minorHAnsi" w:cstheme="minorHAnsi"/>
          <w:iCs/>
          <w:color w:val="000000"/>
          <w:lang w:eastAsia="ja-JP"/>
        </w:rPr>
        <w:t xml:space="preserve">(GIZ, Expertise France et la Fondation Tunisie pour le Développement. L’Agence Française de Développe (AFD) pourra également être associée à ce comité) </w:t>
      </w:r>
      <w:r w:rsidRPr="00C03061">
        <w:rPr>
          <w:rFonts w:asciiTheme="minorHAnsi" w:hAnsiTheme="minorHAnsi" w:cstheme="minorHAnsi"/>
          <w:iCs/>
          <w:color w:val="000000"/>
          <w:lang w:eastAsia="ja-JP"/>
        </w:rPr>
        <w:t>seront constitué</w:t>
      </w:r>
      <w:r w:rsidR="004474B4" w:rsidRPr="00C03061">
        <w:rPr>
          <w:rFonts w:asciiTheme="minorHAnsi" w:hAnsiTheme="minorHAnsi" w:cstheme="minorHAnsi"/>
          <w:iCs/>
          <w:color w:val="000000"/>
          <w:lang w:eastAsia="ja-JP"/>
        </w:rPr>
        <w:t>s</w:t>
      </w:r>
      <w:r w:rsidRPr="00C03061">
        <w:rPr>
          <w:rFonts w:asciiTheme="minorHAnsi" w:hAnsiTheme="minorHAnsi" w:cstheme="minorHAnsi"/>
          <w:iCs/>
          <w:color w:val="000000"/>
          <w:lang w:eastAsia="ja-JP"/>
        </w:rPr>
        <w:t xml:space="preserve"> dans un comité de pilotage. </w:t>
      </w:r>
      <w:r w:rsidR="00467ED5">
        <w:rPr>
          <w:rFonts w:asciiTheme="minorHAnsi" w:hAnsiTheme="minorHAnsi" w:cstheme="minorHAnsi"/>
          <w:iCs/>
          <w:color w:val="000000"/>
          <w:lang w:eastAsia="ja-JP"/>
        </w:rPr>
        <w:t xml:space="preserve">Le comité validera l’ensemble des livrables intermédiaires et finaux de l’étude d’impacts. </w:t>
      </w:r>
      <w:r w:rsidR="009D6A83">
        <w:rPr>
          <w:rFonts w:asciiTheme="minorHAnsi" w:hAnsiTheme="minorHAnsi" w:cstheme="minorHAnsi"/>
          <w:iCs/>
          <w:color w:val="000000"/>
          <w:lang w:eastAsia="ja-JP"/>
        </w:rPr>
        <w:t xml:space="preserve"> </w:t>
      </w:r>
    </w:p>
    <w:p w14:paraId="5D5A61C3" w14:textId="77777777" w:rsidR="009D6A83" w:rsidRPr="00C03061" w:rsidRDefault="009D6A83" w:rsidP="00C03061">
      <w:pPr>
        <w:spacing w:after="0" w:line="276" w:lineRule="auto"/>
        <w:jc w:val="both"/>
        <w:rPr>
          <w:rFonts w:asciiTheme="minorHAnsi" w:hAnsiTheme="minorHAnsi" w:cstheme="minorHAnsi"/>
          <w:iCs/>
          <w:color w:val="000000"/>
          <w:lang w:eastAsia="ja-JP"/>
        </w:rPr>
      </w:pPr>
    </w:p>
    <w:p w14:paraId="59E31312" w14:textId="6E635F96" w:rsidR="009E0348" w:rsidRPr="00C03061" w:rsidRDefault="009E0348" w:rsidP="00C03061">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4" w:name="_Toc213859197"/>
      <w:r w:rsidRPr="00C03061">
        <w:rPr>
          <w:rFonts w:asciiTheme="minorHAnsi" w:eastAsia="MS Gothic" w:hAnsiTheme="minorHAnsi" w:cstheme="minorHAnsi"/>
          <w:b/>
          <w:bCs/>
          <w:iCs/>
          <w:color w:val="243F60"/>
          <w:lang w:eastAsia="ja-JP"/>
        </w:rPr>
        <w:t>Phase de démarrage</w:t>
      </w:r>
      <w:r w:rsidR="00994102">
        <w:rPr>
          <w:rFonts w:asciiTheme="minorHAnsi" w:eastAsia="MS Gothic" w:hAnsiTheme="minorHAnsi" w:cstheme="minorHAnsi"/>
          <w:b/>
          <w:bCs/>
          <w:iCs/>
          <w:color w:val="243F60"/>
          <w:lang w:eastAsia="ja-JP"/>
        </w:rPr>
        <w:t xml:space="preserve"> – note de cadrage</w:t>
      </w:r>
      <w:bookmarkEnd w:id="14"/>
    </w:p>
    <w:p w14:paraId="775F8941" w14:textId="77777777" w:rsidR="009E0348" w:rsidRPr="00C03061" w:rsidRDefault="009E0348" w:rsidP="00C03061">
      <w:pPr>
        <w:tabs>
          <w:tab w:val="right" w:leader="dot" w:pos="9923"/>
        </w:tabs>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Au cours de cette phase préparatoire, l’équipe évaluatrice devra mener une revue documentaire et : </w:t>
      </w:r>
    </w:p>
    <w:p w14:paraId="3029B218" w14:textId="53670E5E" w:rsidR="009D6A83" w:rsidRPr="00501F98" w:rsidRDefault="00570378" w:rsidP="00BB606A">
      <w:pPr>
        <w:pStyle w:val="Paragraphedeliste"/>
        <w:numPr>
          <w:ilvl w:val="0"/>
          <w:numId w:val="12"/>
        </w:num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 xml:space="preserve">Mener des entretiens avec la direction </w:t>
      </w:r>
      <w:r w:rsidR="009D6A83">
        <w:rPr>
          <w:rFonts w:asciiTheme="minorHAnsi" w:hAnsiTheme="minorHAnsi" w:cstheme="minorHAnsi"/>
          <w:iCs/>
          <w:color w:val="000000"/>
          <w:lang w:eastAsia="ja-JP"/>
        </w:rPr>
        <w:t xml:space="preserve">de The Dot et </w:t>
      </w:r>
      <w:r w:rsidR="00467ED5">
        <w:rPr>
          <w:rFonts w:asciiTheme="minorHAnsi" w:hAnsiTheme="minorHAnsi" w:cstheme="minorHAnsi"/>
          <w:iCs/>
          <w:color w:val="000000"/>
          <w:lang w:eastAsia="ja-JP"/>
        </w:rPr>
        <w:t>les partenaires fondateurs</w:t>
      </w:r>
      <w:r w:rsidR="009D6A83">
        <w:rPr>
          <w:rFonts w:asciiTheme="minorHAnsi" w:hAnsiTheme="minorHAnsi" w:cstheme="minorHAnsi"/>
          <w:iCs/>
          <w:color w:val="000000"/>
          <w:lang w:eastAsia="ja-JP"/>
        </w:rPr>
        <w:t xml:space="preserve"> afin d’aligner la vision </w:t>
      </w:r>
      <w:r w:rsidR="00467ED5">
        <w:rPr>
          <w:rFonts w:asciiTheme="minorHAnsi" w:hAnsiTheme="minorHAnsi" w:cstheme="minorHAnsi"/>
          <w:iCs/>
          <w:color w:val="000000"/>
          <w:lang w:eastAsia="ja-JP"/>
        </w:rPr>
        <w:t>de</w:t>
      </w:r>
      <w:r w:rsidR="009D6A83">
        <w:rPr>
          <w:rFonts w:asciiTheme="minorHAnsi" w:hAnsiTheme="minorHAnsi" w:cstheme="minorHAnsi"/>
          <w:iCs/>
          <w:color w:val="000000"/>
          <w:lang w:eastAsia="ja-JP"/>
        </w:rPr>
        <w:t xml:space="preserve"> l’étude d’impact </w:t>
      </w:r>
      <w:r w:rsidR="009D6A83" w:rsidRPr="00501F98">
        <w:rPr>
          <w:rFonts w:asciiTheme="minorHAnsi" w:hAnsiTheme="minorHAnsi" w:cstheme="minorHAnsi"/>
          <w:iCs/>
          <w:color w:val="000000"/>
          <w:lang w:eastAsia="ja-JP"/>
        </w:rPr>
        <w:t>;</w:t>
      </w:r>
    </w:p>
    <w:p w14:paraId="27217C26" w14:textId="55C1D135" w:rsidR="009E0348" w:rsidRDefault="009E0348" w:rsidP="00BB606A">
      <w:pPr>
        <w:pStyle w:val="Paragraphedeliste"/>
        <w:numPr>
          <w:ilvl w:val="0"/>
          <w:numId w:val="12"/>
        </w:numPr>
        <w:tabs>
          <w:tab w:val="right" w:leader="dot" w:pos="9923"/>
        </w:tabs>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Rassembler et consulter toutes les informations et tous les documents relatifs </w:t>
      </w:r>
      <w:r w:rsidR="009D6A83">
        <w:rPr>
          <w:rFonts w:asciiTheme="minorHAnsi" w:hAnsiTheme="minorHAnsi" w:cstheme="minorHAnsi"/>
          <w:iCs/>
          <w:color w:val="000000"/>
          <w:lang w:eastAsia="ja-JP"/>
        </w:rPr>
        <w:t>à l’organisation</w:t>
      </w:r>
      <w:r w:rsidRPr="00C03061">
        <w:rPr>
          <w:rFonts w:asciiTheme="minorHAnsi" w:hAnsiTheme="minorHAnsi" w:cstheme="minorHAnsi"/>
          <w:iCs/>
          <w:color w:val="000000"/>
          <w:lang w:eastAsia="ja-JP"/>
        </w:rPr>
        <w:t xml:space="preserve"> à évaluer et à la compréhension de son contexte, et notamment la base de données des bénéficiaires ; </w:t>
      </w:r>
    </w:p>
    <w:p w14:paraId="5EAF518F" w14:textId="6C4407B4" w:rsidR="009D6A83" w:rsidRPr="00C03061" w:rsidRDefault="009D6A83" w:rsidP="00BB606A">
      <w:pPr>
        <w:pStyle w:val="Paragraphedeliste"/>
        <w:numPr>
          <w:ilvl w:val="0"/>
          <w:numId w:val="12"/>
        </w:num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 xml:space="preserve">Faire un état des lieux des données disponibles </w:t>
      </w:r>
      <w:r w:rsidR="0005024A">
        <w:rPr>
          <w:rFonts w:asciiTheme="minorHAnsi" w:hAnsiTheme="minorHAnsi" w:cstheme="minorHAnsi"/>
          <w:iCs/>
          <w:color w:val="000000"/>
          <w:lang w:eastAsia="ja-JP"/>
        </w:rPr>
        <w:t xml:space="preserve">(complètes ou partielles) </w:t>
      </w:r>
      <w:r>
        <w:rPr>
          <w:rFonts w:asciiTheme="minorHAnsi" w:hAnsiTheme="minorHAnsi" w:cstheme="minorHAnsi"/>
          <w:iCs/>
          <w:color w:val="000000"/>
          <w:lang w:eastAsia="ja-JP"/>
        </w:rPr>
        <w:t>et de celles à collecter, en reconstituant si possible certains indicateurs</w:t>
      </w:r>
      <w:r w:rsidR="00467ED5">
        <w:rPr>
          <w:rFonts w:asciiTheme="minorHAnsi" w:hAnsiTheme="minorHAnsi" w:cstheme="minorHAnsi"/>
          <w:iCs/>
          <w:color w:val="000000"/>
          <w:lang w:eastAsia="ja-JP"/>
        </w:rPr>
        <w:t xml:space="preserve">/données disponibles à ce stade </w:t>
      </w:r>
      <w:r>
        <w:rPr>
          <w:rFonts w:asciiTheme="minorHAnsi" w:hAnsiTheme="minorHAnsi" w:cstheme="minorHAnsi"/>
          <w:iCs/>
          <w:color w:val="000000"/>
          <w:lang w:eastAsia="ja-JP"/>
        </w:rPr>
        <w:t xml:space="preserve">; </w:t>
      </w:r>
    </w:p>
    <w:p w14:paraId="4AA48942" w14:textId="5C712AAD" w:rsidR="009E0348" w:rsidRPr="00C03061" w:rsidRDefault="009E0348" w:rsidP="00BB606A">
      <w:pPr>
        <w:pStyle w:val="Paragraphedeliste"/>
        <w:numPr>
          <w:ilvl w:val="0"/>
          <w:numId w:val="12"/>
        </w:numPr>
        <w:tabs>
          <w:tab w:val="right" w:leader="dot" w:pos="9923"/>
        </w:tabs>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Identifier les parties prenantes relatives au projet et à ses activités</w:t>
      </w:r>
      <w:r w:rsidR="009D6A83">
        <w:rPr>
          <w:rFonts w:asciiTheme="minorHAnsi" w:hAnsiTheme="minorHAnsi" w:cstheme="minorHAnsi"/>
          <w:iCs/>
          <w:color w:val="000000"/>
          <w:lang w:eastAsia="ja-JP"/>
        </w:rPr>
        <w:t xml:space="preserve"> qui seront éventuellement interrogées. </w:t>
      </w:r>
    </w:p>
    <w:p w14:paraId="219FF2E5" w14:textId="0F14618F" w:rsidR="009E0348" w:rsidRPr="00C03061" w:rsidRDefault="009E0348" w:rsidP="00C03061">
      <w:p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A l’issue de cette première phase et à partir de tous ces éléments, l’équipe évaluatrice devra réaliser </w:t>
      </w:r>
      <w:r w:rsidRPr="00C03061">
        <w:rPr>
          <w:rFonts w:asciiTheme="minorHAnsi" w:hAnsiTheme="minorHAnsi" w:cstheme="minorHAnsi"/>
          <w:b/>
          <w:iCs/>
          <w:color w:val="000000"/>
          <w:lang w:eastAsia="ja-JP"/>
        </w:rPr>
        <w:t xml:space="preserve">une note de cadrage </w:t>
      </w:r>
      <w:r w:rsidR="00994102" w:rsidRPr="00C03061">
        <w:rPr>
          <w:rFonts w:asciiTheme="minorHAnsi" w:hAnsiTheme="minorHAnsi" w:cstheme="minorHAnsi"/>
          <w:b/>
          <w:iCs/>
          <w:color w:val="000000"/>
          <w:lang w:eastAsia="ja-JP"/>
        </w:rPr>
        <w:t>(1)</w:t>
      </w:r>
      <w:r w:rsidR="00994102">
        <w:rPr>
          <w:rFonts w:asciiTheme="minorHAnsi" w:hAnsiTheme="minorHAnsi" w:cstheme="minorHAnsi"/>
          <w:iCs/>
          <w:color w:val="000000"/>
          <w:lang w:eastAsia="ja-JP"/>
        </w:rPr>
        <w:t xml:space="preserve"> </w:t>
      </w:r>
      <w:r w:rsidRPr="00C03061">
        <w:rPr>
          <w:rFonts w:asciiTheme="minorHAnsi" w:hAnsiTheme="minorHAnsi" w:cstheme="minorHAnsi"/>
          <w:iCs/>
          <w:color w:val="000000"/>
          <w:lang w:eastAsia="ja-JP"/>
        </w:rPr>
        <w:t xml:space="preserve">comprenant : </w:t>
      </w:r>
    </w:p>
    <w:p w14:paraId="3AA192C8" w14:textId="3068D6C6" w:rsidR="00782534" w:rsidRPr="00C03061" w:rsidRDefault="00782534" w:rsidP="00BB606A">
      <w:pPr>
        <w:pStyle w:val="Paragraphedeliste"/>
        <w:numPr>
          <w:ilvl w:val="0"/>
          <w:numId w:val="13"/>
        </w:num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Une revue de l’écosystème avant le début du projet The Dot ;</w:t>
      </w:r>
    </w:p>
    <w:p w14:paraId="1035F890" w14:textId="69B1F8A6" w:rsidR="009E0348" w:rsidRPr="00C03061" w:rsidRDefault="009E0348" w:rsidP="00BB606A">
      <w:pPr>
        <w:pStyle w:val="Paragraphedeliste"/>
        <w:numPr>
          <w:ilvl w:val="0"/>
          <w:numId w:val="13"/>
        </w:num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Une description du projet ;</w:t>
      </w:r>
    </w:p>
    <w:p w14:paraId="018D56BA" w14:textId="3AB82D54" w:rsidR="009E0348" w:rsidRPr="00C03061" w:rsidRDefault="009E0348" w:rsidP="00BB606A">
      <w:pPr>
        <w:pStyle w:val="Paragraphedeliste"/>
        <w:numPr>
          <w:ilvl w:val="0"/>
          <w:numId w:val="13"/>
        </w:num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Une reconstruction </w:t>
      </w:r>
      <w:r w:rsidR="002A32D5">
        <w:rPr>
          <w:rFonts w:asciiTheme="minorHAnsi" w:hAnsiTheme="minorHAnsi" w:cstheme="minorHAnsi"/>
          <w:iCs/>
          <w:color w:val="000000"/>
          <w:lang w:eastAsia="ja-JP"/>
        </w:rPr>
        <w:t xml:space="preserve">synthétique </w:t>
      </w:r>
      <w:r w:rsidRPr="00C03061">
        <w:rPr>
          <w:rFonts w:asciiTheme="minorHAnsi" w:hAnsiTheme="minorHAnsi" w:cstheme="minorHAnsi"/>
          <w:iCs/>
          <w:color w:val="000000"/>
          <w:lang w:eastAsia="ja-JP"/>
        </w:rPr>
        <w:t xml:space="preserve">de la logique d’intervention des activités </w:t>
      </w:r>
      <w:r w:rsidR="00467ED5">
        <w:rPr>
          <w:rFonts w:asciiTheme="minorHAnsi" w:hAnsiTheme="minorHAnsi" w:cstheme="minorHAnsi"/>
          <w:iCs/>
          <w:color w:val="000000"/>
          <w:lang w:eastAsia="ja-JP"/>
        </w:rPr>
        <w:t xml:space="preserve">et des données déjà disponibles </w:t>
      </w:r>
      <w:r w:rsidRPr="00C03061">
        <w:rPr>
          <w:rFonts w:asciiTheme="minorHAnsi" w:hAnsiTheme="minorHAnsi" w:cstheme="minorHAnsi"/>
          <w:iCs/>
          <w:color w:val="000000"/>
          <w:lang w:eastAsia="ja-JP"/>
        </w:rPr>
        <w:t>;</w:t>
      </w:r>
    </w:p>
    <w:p w14:paraId="2644C9B4" w14:textId="497F07D6" w:rsidR="009E0348" w:rsidRPr="00C03061" w:rsidRDefault="009E0348" w:rsidP="00BB606A">
      <w:pPr>
        <w:pStyle w:val="Paragraphedeliste"/>
        <w:numPr>
          <w:ilvl w:val="0"/>
          <w:numId w:val="13"/>
        </w:num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Un mapping </w:t>
      </w:r>
      <w:r w:rsidR="00467ED5">
        <w:rPr>
          <w:rFonts w:asciiTheme="minorHAnsi" w:hAnsiTheme="minorHAnsi" w:cstheme="minorHAnsi"/>
          <w:iCs/>
          <w:color w:val="000000"/>
          <w:lang w:eastAsia="ja-JP"/>
        </w:rPr>
        <w:t xml:space="preserve">de </w:t>
      </w:r>
      <w:r w:rsidR="00964AE3">
        <w:rPr>
          <w:rFonts w:asciiTheme="minorHAnsi" w:hAnsiTheme="minorHAnsi" w:cstheme="minorHAnsi"/>
          <w:iCs/>
          <w:color w:val="000000"/>
          <w:lang w:eastAsia="ja-JP"/>
        </w:rPr>
        <w:t>T</w:t>
      </w:r>
      <w:r w:rsidRPr="00C03061">
        <w:rPr>
          <w:rFonts w:asciiTheme="minorHAnsi" w:hAnsiTheme="minorHAnsi" w:cstheme="minorHAnsi"/>
          <w:iCs/>
          <w:color w:val="000000"/>
          <w:lang w:eastAsia="ja-JP"/>
        </w:rPr>
        <w:t>he Dot comme un écosystème en lui-même ;</w:t>
      </w:r>
    </w:p>
    <w:p w14:paraId="37FAD7B5" w14:textId="77777777" w:rsidR="009E0348" w:rsidRPr="00C03061" w:rsidRDefault="009E0348" w:rsidP="00BB606A">
      <w:pPr>
        <w:pStyle w:val="Paragraphedeliste"/>
        <w:numPr>
          <w:ilvl w:val="0"/>
          <w:numId w:val="13"/>
        </w:num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Une méthodologie d’intervention globale et précise pour chaque activité identifiée comprenant : </w:t>
      </w:r>
    </w:p>
    <w:p w14:paraId="2D320D84" w14:textId="5DFB643E" w:rsidR="009E0348" w:rsidRPr="00C03061" w:rsidRDefault="009E0348" w:rsidP="00BB606A">
      <w:pPr>
        <w:pStyle w:val="Paragraphedeliste"/>
        <w:numPr>
          <w:ilvl w:val="0"/>
          <w:numId w:val="14"/>
        </w:numPr>
        <w:tabs>
          <w:tab w:val="right" w:leader="dot" w:pos="9923"/>
        </w:tabs>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Les objectifs de la mission, et les principales questions qui serviront à focaliser le travail d’évaluation ; ainsi que les indicateurs fixés </w:t>
      </w:r>
      <w:r w:rsidR="00BA1510" w:rsidRPr="00C03061">
        <w:rPr>
          <w:rFonts w:asciiTheme="minorHAnsi" w:hAnsiTheme="minorHAnsi" w:cstheme="minorHAnsi"/>
          <w:iCs/>
          <w:color w:val="000000"/>
          <w:lang w:eastAsia="ja-JP"/>
        </w:rPr>
        <w:t xml:space="preserve">pour </w:t>
      </w:r>
      <w:r w:rsidRPr="00C03061">
        <w:rPr>
          <w:rFonts w:asciiTheme="minorHAnsi" w:hAnsiTheme="minorHAnsi" w:cstheme="minorHAnsi"/>
          <w:iCs/>
          <w:color w:val="000000"/>
          <w:lang w:eastAsia="ja-JP"/>
        </w:rPr>
        <w:t xml:space="preserve">évaluer les effets </w:t>
      </w:r>
      <w:r w:rsidR="00BA1510" w:rsidRPr="00C03061">
        <w:rPr>
          <w:rFonts w:asciiTheme="minorHAnsi" w:hAnsiTheme="minorHAnsi" w:cstheme="minorHAnsi"/>
          <w:iCs/>
          <w:color w:val="000000"/>
          <w:lang w:eastAsia="ja-JP"/>
        </w:rPr>
        <w:t xml:space="preserve">et étudier l’impact </w:t>
      </w:r>
      <w:r w:rsidRPr="00C03061">
        <w:rPr>
          <w:rFonts w:asciiTheme="minorHAnsi" w:hAnsiTheme="minorHAnsi" w:cstheme="minorHAnsi"/>
          <w:iCs/>
          <w:color w:val="000000"/>
          <w:lang w:eastAsia="ja-JP"/>
        </w:rPr>
        <w:t xml:space="preserve">de </w:t>
      </w:r>
      <w:r w:rsidR="009D6A83">
        <w:rPr>
          <w:rFonts w:asciiTheme="minorHAnsi" w:hAnsiTheme="minorHAnsi" w:cstheme="minorHAnsi"/>
          <w:iCs/>
          <w:color w:val="000000"/>
          <w:lang w:eastAsia="ja-JP"/>
        </w:rPr>
        <w:t>T</w:t>
      </w:r>
      <w:r w:rsidRPr="00C03061">
        <w:rPr>
          <w:rFonts w:asciiTheme="minorHAnsi" w:hAnsiTheme="minorHAnsi" w:cstheme="minorHAnsi"/>
          <w:iCs/>
          <w:color w:val="000000"/>
          <w:lang w:eastAsia="ja-JP"/>
        </w:rPr>
        <w:t>he Dot</w:t>
      </w:r>
      <w:r w:rsidR="009D6A83">
        <w:rPr>
          <w:rFonts w:asciiTheme="minorHAnsi" w:hAnsiTheme="minorHAnsi" w:cstheme="minorHAnsi"/>
          <w:iCs/>
          <w:color w:val="000000"/>
          <w:lang w:eastAsia="ja-JP"/>
        </w:rPr>
        <w:t xml:space="preserve"> ; </w:t>
      </w:r>
    </w:p>
    <w:p w14:paraId="63AF8EBE" w14:textId="77777777" w:rsidR="00467ED5" w:rsidRDefault="009E0348" w:rsidP="00BB606A">
      <w:pPr>
        <w:pStyle w:val="Paragraphedeliste"/>
        <w:numPr>
          <w:ilvl w:val="0"/>
          <w:numId w:val="14"/>
        </w:numPr>
        <w:tabs>
          <w:tab w:val="right" w:leader="dot" w:pos="9923"/>
        </w:tabs>
        <w:spacing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Les étapes de la réalisation de la mission</w:t>
      </w:r>
      <w:r w:rsidR="009D6A83">
        <w:rPr>
          <w:rFonts w:asciiTheme="minorHAnsi" w:hAnsiTheme="minorHAnsi" w:cstheme="minorHAnsi"/>
          <w:iCs/>
          <w:color w:val="000000"/>
          <w:lang w:eastAsia="ja-JP"/>
        </w:rPr>
        <w:t xml:space="preserve"> ; </w:t>
      </w:r>
    </w:p>
    <w:p w14:paraId="743D3926" w14:textId="10419630" w:rsidR="009E0348" w:rsidRPr="00C03061" w:rsidRDefault="00467ED5" w:rsidP="00BB606A">
      <w:pPr>
        <w:pStyle w:val="Paragraphedeliste"/>
        <w:numPr>
          <w:ilvl w:val="0"/>
          <w:numId w:val="14"/>
        </w:numPr>
        <w:tabs>
          <w:tab w:val="right" w:leader="dot" w:pos="9923"/>
        </w:tabs>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 xml:space="preserve">Les indicateurs d’impact complémentaires à collecter/reconstituer ; </w:t>
      </w:r>
    </w:p>
    <w:p w14:paraId="30FDFC6E" w14:textId="7EC8EE1D" w:rsidR="009E0348" w:rsidRPr="00C03061" w:rsidRDefault="009D6A83" w:rsidP="00BB606A">
      <w:pPr>
        <w:pStyle w:val="Paragraphedeliste"/>
        <w:numPr>
          <w:ilvl w:val="0"/>
          <w:numId w:val="14"/>
        </w:numPr>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L’ensemble des éléments</w:t>
      </w:r>
      <w:r w:rsidR="009E0348" w:rsidRPr="00C03061">
        <w:rPr>
          <w:rFonts w:asciiTheme="minorHAnsi" w:hAnsiTheme="minorHAnsi" w:cstheme="minorHAnsi"/>
          <w:iCs/>
          <w:color w:val="000000"/>
          <w:lang w:eastAsia="ja-JP"/>
        </w:rPr>
        <w:t xml:space="preserve"> sur la préparation de la collecte de données comprenant les indicateurs fixés, les méthodologies de collecte de données, les sources, les guides d’entretien, la liste des entretenu-es, questionnaires, etc</w:t>
      </w:r>
      <w:r>
        <w:rPr>
          <w:rFonts w:asciiTheme="minorHAnsi" w:hAnsiTheme="minorHAnsi" w:cstheme="minorHAnsi"/>
          <w:iCs/>
          <w:color w:val="000000"/>
          <w:lang w:eastAsia="ja-JP"/>
        </w:rPr>
        <w:t xml:space="preserve">. ; </w:t>
      </w:r>
    </w:p>
    <w:p w14:paraId="22FC2409" w14:textId="4F26CA87" w:rsidR="00B07B64" w:rsidRPr="00C03061" w:rsidRDefault="009D6A83" w:rsidP="00BB606A">
      <w:pPr>
        <w:pStyle w:val="Paragraphedeliste"/>
        <w:numPr>
          <w:ilvl w:val="0"/>
          <w:numId w:val="14"/>
        </w:numPr>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L’ensemble des éléments</w:t>
      </w:r>
      <w:r w:rsidR="00B07B64" w:rsidRPr="00C03061">
        <w:rPr>
          <w:rFonts w:asciiTheme="minorHAnsi" w:hAnsiTheme="minorHAnsi" w:cstheme="minorHAnsi"/>
          <w:iCs/>
          <w:color w:val="000000"/>
          <w:lang w:eastAsia="ja-JP"/>
        </w:rPr>
        <w:t xml:space="preserve"> sur les techniques d’enquête (projet, validation, échantillon</w:t>
      </w:r>
      <w:r w:rsidR="001C2D6B" w:rsidRPr="00C03061">
        <w:rPr>
          <w:rFonts w:asciiTheme="minorHAnsi" w:hAnsiTheme="minorHAnsi" w:cstheme="minorHAnsi"/>
          <w:iCs/>
          <w:color w:val="000000"/>
          <w:lang w:eastAsia="ja-JP"/>
        </w:rPr>
        <w:t>, hypothèses, mécanismes causaux…</w:t>
      </w:r>
      <w:r w:rsidR="00B07B64" w:rsidRPr="00C03061">
        <w:rPr>
          <w:rFonts w:asciiTheme="minorHAnsi" w:hAnsiTheme="minorHAnsi" w:cstheme="minorHAnsi"/>
          <w:iCs/>
          <w:color w:val="000000"/>
          <w:lang w:eastAsia="ja-JP"/>
        </w:rPr>
        <w:t>) à utiliser et de validation des données (vérification, fiabilisation, agrégation, traitements statistiques, analyse et interprétations, etc.)</w:t>
      </w:r>
      <w:r>
        <w:rPr>
          <w:rFonts w:asciiTheme="minorHAnsi" w:hAnsiTheme="minorHAnsi" w:cstheme="minorHAnsi"/>
          <w:iCs/>
          <w:color w:val="000000"/>
          <w:lang w:eastAsia="ja-JP"/>
        </w:rPr>
        <w:t xml:space="preserve"> ; </w:t>
      </w:r>
    </w:p>
    <w:p w14:paraId="5A3EDE65" w14:textId="2CC11D0D" w:rsidR="009D6A83" w:rsidRPr="00C03061" w:rsidRDefault="009E0348" w:rsidP="00BB606A">
      <w:pPr>
        <w:pStyle w:val="LISTE"/>
        <w:numPr>
          <w:ilvl w:val="0"/>
          <w:numId w:val="14"/>
        </w:numPr>
        <w:spacing w:before="0" w:line="276" w:lineRule="auto"/>
        <w:rPr>
          <w:rFonts w:asciiTheme="minorHAnsi" w:hAnsiTheme="minorHAnsi" w:cstheme="minorHAnsi"/>
          <w:iCs/>
          <w:sz w:val="22"/>
          <w:szCs w:val="22"/>
          <w:lang w:eastAsia="ja-JP"/>
        </w:rPr>
      </w:pPr>
      <w:r w:rsidRPr="00C03061">
        <w:rPr>
          <w:rFonts w:asciiTheme="minorHAnsi" w:hAnsiTheme="minorHAnsi" w:cstheme="minorHAnsi"/>
          <w:iCs/>
          <w:sz w:val="22"/>
          <w:szCs w:val="22"/>
          <w:lang w:eastAsia="ja-JP"/>
        </w:rPr>
        <w:t xml:space="preserve">Un calendrier de réalisation de la mission d’évaluation </w:t>
      </w:r>
      <w:r w:rsidR="001E40F9" w:rsidRPr="00C03061">
        <w:rPr>
          <w:rFonts w:asciiTheme="minorHAnsi" w:hAnsiTheme="minorHAnsi" w:cstheme="minorHAnsi"/>
          <w:iCs/>
          <w:sz w:val="22"/>
          <w:szCs w:val="22"/>
          <w:lang w:eastAsia="ja-JP"/>
        </w:rPr>
        <w:t>actualisé</w:t>
      </w:r>
      <w:r w:rsidR="001E40F9">
        <w:rPr>
          <w:rFonts w:asciiTheme="minorHAnsi" w:hAnsiTheme="minorHAnsi" w:cstheme="minorHAnsi"/>
          <w:iCs/>
          <w:sz w:val="22"/>
          <w:szCs w:val="22"/>
          <w:lang w:eastAsia="ja-JP"/>
        </w:rPr>
        <w:t xml:space="preserve"> ;</w:t>
      </w:r>
      <w:r w:rsidR="009D6A83">
        <w:rPr>
          <w:rFonts w:asciiTheme="minorHAnsi" w:hAnsiTheme="minorHAnsi" w:cstheme="minorHAnsi"/>
          <w:iCs/>
          <w:sz w:val="22"/>
          <w:szCs w:val="22"/>
          <w:lang w:eastAsia="ja-JP"/>
        </w:rPr>
        <w:t xml:space="preserve"> </w:t>
      </w:r>
    </w:p>
    <w:p w14:paraId="4B12517F" w14:textId="77777777" w:rsidR="009D6A83" w:rsidRDefault="009E0348" w:rsidP="00BB606A">
      <w:pPr>
        <w:pStyle w:val="LISTE"/>
        <w:numPr>
          <w:ilvl w:val="0"/>
          <w:numId w:val="14"/>
        </w:numPr>
        <w:spacing w:before="0" w:line="276" w:lineRule="auto"/>
        <w:rPr>
          <w:rFonts w:asciiTheme="minorHAnsi" w:hAnsiTheme="minorHAnsi" w:cstheme="minorHAnsi"/>
          <w:iCs/>
          <w:sz w:val="22"/>
          <w:szCs w:val="22"/>
          <w:lang w:eastAsia="ja-JP"/>
        </w:rPr>
      </w:pPr>
      <w:r w:rsidRPr="00C03061">
        <w:rPr>
          <w:rFonts w:asciiTheme="minorHAnsi" w:hAnsiTheme="minorHAnsi" w:cstheme="minorHAnsi"/>
          <w:iCs/>
          <w:sz w:val="22"/>
          <w:szCs w:val="22"/>
          <w:lang w:eastAsia="ja-JP"/>
        </w:rPr>
        <w:t>Une description des livrable</w:t>
      </w:r>
      <w:r w:rsidR="009D6A83" w:rsidRPr="00C03061">
        <w:rPr>
          <w:rFonts w:asciiTheme="minorHAnsi" w:hAnsiTheme="minorHAnsi" w:cstheme="minorHAnsi"/>
          <w:iCs/>
          <w:sz w:val="22"/>
          <w:szCs w:val="22"/>
          <w:lang w:eastAsia="ja-JP"/>
        </w:rPr>
        <w:t>s</w:t>
      </w:r>
      <w:r w:rsidR="009D6A83">
        <w:rPr>
          <w:rFonts w:asciiTheme="minorHAnsi" w:hAnsiTheme="minorHAnsi" w:cstheme="minorHAnsi"/>
          <w:iCs/>
          <w:sz w:val="22"/>
          <w:szCs w:val="22"/>
          <w:lang w:eastAsia="ja-JP"/>
        </w:rPr>
        <w:t xml:space="preserve">. </w:t>
      </w:r>
    </w:p>
    <w:p w14:paraId="7994F84A" w14:textId="30C2B9D1" w:rsidR="009E0348" w:rsidRPr="00C03061" w:rsidRDefault="009E0348" w:rsidP="00C03061">
      <w:pPr>
        <w:pStyle w:val="LISTE"/>
        <w:numPr>
          <w:ilvl w:val="0"/>
          <w:numId w:val="0"/>
        </w:numPr>
        <w:spacing w:before="0" w:line="276" w:lineRule="auto"/>
        <w:ind w:left="397"/>
        <w:rPr>
          <w:rFonts w:asciiTheme="minorHAnsi" w:hAnsiTheme="minorHAnsi" w:cstheme="minorHAnsi"/>
          <w:iCs/>
          <w:lang w:eastAsia="ja-JP"/>
        </w:rPr>
      </w:pPr>
    </w:p>
    <w:p w14:paraId="630614DC" w14:textId="56A05A8E" w:rsidR="009E0348" w:rsidRPr="00C03061" w:rsidRDefault="00467ED5" w:rsidP="00C03061">
      <w:pPr>
        <w:spacing w:after="0" w:line="276" w:lineRule="auto"/>
        <w:jc w:val="both"/>
        <w:rPr>
          <w:rFonts w:asciiTheme="minorHAnsi" w:hAnsiTheme="minorHAnsi" w:cstheme="minorHAnsi"/>
          <w:iCs/>
          <w:color w:val="000000"/>
          <w:lang w:eastAsia="ja-JP"/>
        </w:rPr>
      </w:pPr>
      <w:r>
        <w:rPr>
          <w:rFonts w:asciiTheme="minorHAnsi" w:hAnsiTheme="minorHAnsi" w:cstheme="minorHAnsi"/>
          <w:iCs/>
          <w:color w:val="000000"/>
          <w:lang w:eastAsia="ja-JP"/>
        </w:rPr>
        <w:t>U</w:t>
      </w:r>
      <w:r w:rsidR="009E0348" w:rsidRPr="00C03061">
        <w:rPr>
          <w:rFonts w:asciiTheme="minorHAnsi" w:hAnsiTheme="minorHAnsi" w:cstheme="minorHAnsi"/>
          <w:iCs/>
          <w:color w:val="000000"/>
          <w:lang w:eastAsia="ja-JP"/>
        </w:rPr>
        <w:t xml:space="preserve">n échange avec le comité de pilotage permettra de discuter avec l’équipe évaluatrice de la manière dont elle entend structurer la démarche évaluative et d’en vérifier la faisabilité. </w:t>
      </w:r>
      <w:r>
        <w:rPr>
          <w:rFonts w:asciiTheme="minorHAnsi" w:hAnsiTheme="minorHAnsi" w:cstheme="minorHAnsi"/>
          <w:iCs/>
          <w:color w:val="000000"/>
          <w:lang w:eastAsia="ja-JP"/>
        </w:rPr>
        <w:t>La note de</w:t>
      </w:r>
      <w:r w:rsidRPr="00BE1627">
        <w:rPr>
          <w:rFonts w:asciiTheme="minorHAnsi" w:hAnsiTheme="minorHAnsi" w:cstheme="minorHAnsi"/>
          <w:iCs/>
          <w:color w:val="000000"/>
          <w:lang w:eastAsia="ja-JP"/>
        </w:rPr>
        <w:t xml:space="preserve"> cadrage fera l’objet </w:t>
      </w:r>
      <w:r>
        <w:rPr>
          <w:rFonts w:asciiTheme="minorHAnsi" w:hAnsiTheme="minorHAnsi" w:cstheme="minorHAnsi"/>
          <w:iCs/>
          <w:color w:val="000000"/>
          <w:lang w:eastAsia="ja-JP"/>
        </w:rPr>
        <w:t xml:space="preserve">d’une validation du comité de pilotage. </w:t>
      </w:r>
    </w:p>
    <w:p w14:paraId="6B9BE94E" w14:textId="77777777" w:rsidR="009E0348" w:rsidRPr="00C03061" w:rsidRDefault="009E0348" w:rsidP="00C03061">
      <w:pPr>
        <w:spacing w:after="0" w:line="276" w:lineRule="auto"/>
        <w:jc w:val="both"/>
        <w:rPr>
          <w:rFonts w:asciiTheme="minorHAnsi" w:hAnsiTheme="minorHAnsi" w:cstheme="minorHAnsi"/>
          <w:iCs/>
          <w:color w:val="000000"/>
          <w:lang w:eastAsia="ja-JP"/>
        </w:rPr>
      </w:pPr>
    </w:p>
    <w:p w14:paraId="110D2FF2" w14:textId="13697F00" w:rsidR="009E0348" w:rsidRPr="00C03061" w:rsidRDefault="009E0348" w:rsidP="00C03061">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5" w:name="_Toc213859198"/>
      <w:r w:rsidRPr="00C03061">
        <w:rPr>
          <w:rFonts w:asciiTheme="minorHAnsi" w:eastAsia="MS Gothic" w:hAnsiTheme="minorHAnsi" w:cstheme="minorHAnsi"/>
          <w:b/>
          <w:bCs/>
          <w:iCs/>
          <w:color w:val="243F60"/>
          <w:lang w:eastAsia="ja-JP"/>
        </w:rPr>
        <w:t xml:space="preserve">Phase de collecte, analyse et co-construction </w:t>
      </w:r>
      <w:r w:rsidR="00994102">
        <w:rPr>
          <w:rFonts w:asciiTheme="minorHAnsi" w:eastAsia="MS Gothic" w:hAnsiTheme="minorHAnsi" w:cstheme="minorHAnsi"/>
          <w:b/>
          <w:bCs/>
          <w:iCs/>
          <w:color w:val="243F60"/>
          <w:lang w:eastAsia="ja-JP"/>
        </w:rPr>
        <w:t>du plan de suivi-évaluation</w:t>
      </w:r>
      <w:r w:rsidRPr="00C03061">
        <w:rPr>
          <w:rFonts w:asciiTheme="minorHAnsi" w:eastAsia="MS Gothic" w:hAnsiTheme="minorHAnsi" w:cstheme="minorHAnsi"/>
          <w:b/>
          <w:bCs/>
          <w:iCs/>
          <w:color w:val="243F60"/>
          <w:lang w:eastAsia="ja-JP"/>
        </w:rPr>
        <w:t xml:space="preserve"> </w:t>
      </w:r>
      <w:r w:rsidR="00994102">
        <w:rPr>
          <w:rFonts w:asciiTheme="minorHAnsi" w:eastAsia="MS Gothic" w:hAnsiTheme="minorHAnsi" w:cstheme="minorHAnsi"/>
          <w:b/>
          <w:bCs/>
          <w:iCs/>
          <w:color w:val="243F60"/>
          <w:lang w:eastAsia="ja-JP"/>
        </w:rPr>
        <w:t>– rapport provisoire</w:t>
      </w:r>
      <w:bookmarkEnd w:id="15"/>
    </w:p>
    <w:p w14:paraId="79B036A0" w14:textId="62AA46F4" w:rsidR="002A32D5" w:rsidRDefault="009E0348" w:rsidP="00C03061">
      <w:p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bCs/>
          <w:iCs/>
          <w:color w:val="000000"/>
          <w:lang w:eastAsia="ja-JP"/>
        </w:rPr>
        <w:t>Des entretiens approfondis</w:t>
      </w:r>
      <w:r w:rsidRPr="00C03061">
        <w:rPr>
          <w:rFonts w:asciiTheme="minorHAnsi" w:hAnsiTheme="minorHAnsi" w:cstheme="minorHAnsi"/>
          <w:iCs/>
          <w:color w:val="000000"/>
          <w:lang w:eastAsia="ja-JP"/>
        </w:rPr>
        <w:t xml:space="preserve"> avec les contributeur·rices pourront être réalisés avant le début de la phase de collecte de données afin d'en garantir l'efficacité.</w:t>
      </w:r>
      <w:r w:rsidR="009D6A83">
        <w:rPr>
          <w:rFonts w:asciiTheme="minorHAnsi" w:hAnsiTheme="minorHAnsi" w:cstheme="minorHAnsi"/>
          <w:iCs/>
          <w:color w:val="000000"/>
          <w:lang w:eastAsia="ja-JP"/>
        </w:rPr>
        <w:t xml:space="preserve"> Le prestataire </w:t>
      </w:r>
      <w:r w:rsidR="00964AE3">
        <w:rPr>
          <w:rFonts w:asciiTheme="minorHAnsi" w:hAnsiTheme="minorHAnsi" w:cstheme="minorHAnsi"/>
          <w:iCs/>
          <w:color w:val="000000"/>
          <w:lang w:eastAsia="ja-JP"/>
        </w:rPr>
        <w:t>est libre de proposer dans</w:t>
      </w:r>
      <w:r w:rsidR="009D6A83">
        <w:rPr>
          <w:rFonts w:asciiTheme="minorHAnsi" w:hAnsiTheme="minorHAnsi" w:cstheme="minorHAnsi"/>
          <w:iCs/>
          <w:color w:val="000000"/>
          <w:lang w:eastAsia="ja-JP"/>
        </w:rPr>
        <w:t xml:space="preserve"> son offre techniqu</w:t>
      </w:r>
      <w:r w:rsidR="00964AE3">
        <w:rPr>
          <w:rFonts w:asciiTheme="minorHAnsi" w:hAnsiTheme="minorHAnsi" w:cstheme="minorHAnsi"/>
          <w:iCs/>
          <w:color w:val="000000"/>
          <w:lang w:eastAsia="ja-JP"/>
        </w:rPr>
        <w:t>e puis dans sa note de cadrage les</w:t>
      </w:r>
      <w:r w:rsidR="009D6A83">
        <w:rPr>
          <w:rFonts w:asciiTheme="minorHAnsi" w:hAnsiTheme="minorHAnsi" w:cstheme="minorHAnsi"/>
          <w:iCs/>
          <w:color w:val="000000"/>
          <w:lang w:eastAsia="ja-JP"/>
        </w:rPr>
        <w:t xml:space="preserve"> méthodologies</w:t>
      </w:r>
      <w:r w:rsidR="00C03061">
        <w:rPr>
          <w:rFonts w:asciiTheme="minorHAnsi" w:hAnsiTheme="minorHAnsi" w:cstheme="minorHAnsi"/>
          <w:iCs/>
          <w:color w:val="000000"/>
          <w:lang w:eastAsia="ja-JP"/>
        </w:rPr>
        <w:t xml:space="preserve"> et outils</w:t>
      </w:r>
      <w:r w:rsidR="009D6A83">
        <w:rPr>
          <w:rFonts w:asciiTheme="minorHAnsi" w:hAnsiTheme="minorHAnsi" w:cstheme="minorHAnsi"/>
          <w:iCs/>
          <w:color w:val="000000"/>
          <w:lang w:eastAsia="ja-JP"/>
        </w:rPr>
        <w:t xml:space="preserve"> de collecte</w:t>
      </w:r>
      <w:r w:rsidR="002A32D5">
        <w:rPr>
          <w:rFonts w:asciiTheme="minorHAnsi" w:hAnsiTheme="minorHAnsi" w:cstheme="minorHAnsi"/>
          <w:iCs/>
          <w:color w:val="000000"/>
          <w:lang w:eastAsia="ja-JP"/>
        </w:rPr>
        <w:t xml:space="preserve"> quantitative et qualitative</w:t>
      </w:r>
      <w:r w:rsidR="009D6A83">
        <w:rPr>
          <w:rFonts w:asciiTheme="minorHAnsi" w:hAnsiTheme="minorHAnsi" w:cstheme="minorHAnsi"/>
          <w:iCs/>
          <w:color w:val="000000"/>
          <w:lang w:eastAsia="ja-JP"/>
        </w:rPr>
        <w:t xml:space="preserve"> ainsi que les outils </w:t>
      </w:r>
      <w:r w:rsidR="002A32D5">
        <w:rPr>
          <w:rFonts w:asciiTheme="minorHAnsi" w:hAnsiTheme="minorHAnsi" w:cstheme="minorHAnsi"/>
          <w:iCs/>
          <w:color w:val="000000"/>
          <w:lang w:eastAsia="ja-JP"/>
        </w:rPr>
        <w:t>qui lui semblent pertinent</w:t>
      </w:r>
      <w:r w:rsidR="00964AE3">
        <w:rPr>
          <w:rFonts w:asciiTheme="minorHAnsi" w:hAnsiTheme="minorHAnsi" w:cstheme="minorHAnsi"/>
          <w:iCs/>
          <w:color w:val="000000"/>
          <w:lang w:eastAsia="ja-JP"/>
        </w:rPr>
        <w:t>s</w:t>
      </w:r>
      <w:r w:rsidR="00467ED5">
        <w:rPr>
          <w:rFonts w:asciiTheme="minorHAnsi" w:hAnsiTheme="minorHAnsi" w:cstheme="minorHAnsi"/>
          <w:iCs/>
          <w:color w:val="000000"/>
          <w:lang w:eastAsia="ja-JP"/>
        </w:rPr>
        <w:t xml:space="preserve"> en vue d’atteindre les objectifs fixés.</w:t>
      </w:r>
      <w:r w:rsidR="00964AE3">
        <w:rPr>
          <w:rFonts w:asciiTheme="minorHAnsi" w:hAnsiTheme="minorHAnsi" w:cstheme="minorHAnsi"/>
          <w:iCs/>
          <w:color w:val="000000"/>
          <w:lang w:eastAsia="ja-JP"/>
        </w:rPr>
        <w:t xml:space="preserve"> Ces éléments seront validés par le comité de pilotage, dans la note de cadrage avant la mise en œuvre de la collecte de données. </w:t>
      </w:r>
    </w:p>
    <w:p w14:paraId="3970DA21" w14:textId="77777777" w:rsidR="002A32D5" w:rsidRDefault="002A32D5" w:rsidP="00C03061">
      <w:pPr>
        <w:tabs>
          <w:tab w:val="right" w:leader="dot" w:pos="9923"/>
        </w:tabs>
        <w:spacing w:before="240" w:after="0" w:line="276" w:lineRule="auto"/>
        <w:jc w:val="both"/>
        <w:rPr>
          <w:rFonts w:asciiTheme="minorHAnsi" w:hAnsiTheme="minorHAnsi" w:cstheme="minorHAnsi"/>
          <w:iCs/>
          <w:color w:val="000000"/>
          <w:lang w:eastAsia="ja-JP"/>
        </w:rPr>
      </w:pPr>
    </w:p>
    <w:tbl>
      <w:tblPr>
        <w:tblStyle w:val="Grilledutableau"/>
        <w:tblW w:w="0" w:type="auto"/>
        <w:tblLook w:val="04A0" w:firstRow="1" w:lastRow="0" w:firstColumn="1" w:lastColumn="0" w:noHBand="0" w:noVBand="1"/>
      </w:tblPr>
      <w:tblGrid>
        <w:gridCol w:w="9060"/>
      </w:tblGrid>
      <w:tr w:rsidR="001E40F9" w14:paraId="61EC852F" w14:textId="77777777" w:rsidTr="001E40F9">
        <w:tc>
          <w:tcPr>
            <w:tcW w:w="9060" w:type="dxa"/>
            <w:shd w:val="clear" w:color="auto" w:fill="D0CECE" w:themeFill="background2" w:themeFillShade="E6"/>
            <w:vAlign w:val="center"/>
          </w:tcPr>
          <w:p w14:paraId="2E4D2E0D" w14:textId="40977F74" w:rsidR="001E40F9" w:rsidRDefault="001E40F9" w:rsidP="002A32D5">
            <w:pPr>
              <w:tabs>
                <w:tab w:val="right" w:leader="dot" w:pos="9923"/>
              </w:tabs>
              <w:spacing w:after="0" w:line="276" w:lineRule="auto"/>
              <w:jc w:val="both"/>
              <w:rPr>
                <w:rFonts w:asciiTheme="minorHAnsi" w:hAnsiTheme="minorHAnsi" w:cstheme="minorHAnsi"/>
                <w:iCs/>
                <w:color w:val="000000"/>
                <w:lang w:eastAsia="ja-JP"/>
              </w:rPr>
            </w:pPr>
            <w:r w:rsidRPr="001E40F9">
              <w:rPr>
                <w:rFonts w:asciiTheme="minorHAnsi" w:hAnsiTheme="minorHAnsi" w:cstheme="minorHAnsi"/>
                <w:b/>
                <w:iCs/>
                <w:color w:val="000000"/>
                <w:u w:val="single"/>
                <w:lang w:eastAsia="ja-JP"/>
              </w:rPr>
              <w:t>N. B :</w:t>
            </w:r>
            <w:r w:rsidRPr="001E40F9">
              <w:rPr>
                <w:rFonts w:asciiTheme="minorHAnsi" w:hAnsiTheme="minorHAnsi" w:cstheme="minorHAnsi"/>
                <w:iCs/>
                <w:color w:val="000000"/>
                <w:lang w:eastAsia="ja-JP"/>
              </w:rPr>
              <w:t xml:space="preserve"> Expertise France privilégie les </w:t>
            </w:r>
            <w:r>
              <w:rPr>
                <w:rFonts w:asciiTheme="minorHAnsi" w:hAnsiTheme="minorHAnsi" w:cstheme="minorHAnsi"/>
                <w:iCs/>
                <w:color w:val="000000"/>
                <w:lang w:eastAsia="ja-JP"/>
              </w:rPr>
              <w:t>collectes de données mixtes, c’est-à-dire via des questionnaire</w:t>
            </w:r>
            <w:r w:rsidR="002A32D5">
              <w:rPr>
                <w:rFonts w:asciiTheme="minorHAnsi" w:hAnsiTheme="minorHAnsi" w:cstheme="minorHAnsi"/>
                <w:iCs/>
                <w:color w:val="000000"/>
                <w:lang w:eastAsia="ja-JP"/>
              </w:rPr>
              <w:t>s</w:t>
            </w:r>
            <w:r>
              <w:rPr>
                <w:rFonts w:asciiTheme="minorHAnsi" w:hAnsiTheme="minorHAnsi" w:cstheme="minorHAnsi"/>
                <w:iCs/>
                <w:color w:val="000000"/>
                <w:lang w:eastAsia="ja-JP"/>
              </w:rPr>
              <w:t xml:space="preserve"> en ligne et/ou du phoning et des </w:t>
            </w:r>
            <w:r w:rsidRPr="001E40F9">
              <w:rPr>
                <w:rFonts w:asciiTheme="minorHAnsi" w:hAnsiTheme="minorHAnsi" w:cstheme="minorHAnsi"/>
                <w:iCs/>
                <w:color w:val="000000"/>
                <w:lang w:eastAsia="ja-JP"/>
              </w:rPr>
              <w:t xml:space="preserve">échanges en présentiel </w:t>
            </w:r>
            <w:r>
              <w:rPr>
                <w:rFonts w:asciiTheme="minorHAnsi" w:hAnsiTheme="minorHAnsi" w:cstheme="minorHAnsi"/>
                <w:iCs/>
                <w:color w:val="000000"/>
                <w:lang w:eastAsia="ja-JP"/>
              </w:rPr>
              <w:t xml:space="preserve">(atelier de co-construction, focus group) </w:t>
            </w:r>
            <w:r w:rsidRPr="001E40F9">
              <w:rPr>
                <w:rFonts w:asciiTheme="minorHAnsi" w:hAnsiTheme="minorHAnsi" w:cstheme="minorHAnsi"/>
                <w:iCs/>
                <w:color w:val="000000"/>
                <w:lang w:eastAsia="ja-JP"/>
              </w:rPr>
              <w:t>avec les bénéficiaires</w:t>
            </w:r>
            <w:r>
              <w:rPr>
                <w:rFonts w:asciiTheme="minorHAnsi" w:hAnsiTheme="minorHAnsi" w:cstheme="minorHAnsi"/>
                <w:iCs/>
                <w:color w:val="000000"/>
                <w:lang w:eastAsia="ja-JP"/>
              </w:rPr>
              <w:t>, notamment pour apprécier les effets écosystémiques de l’action de The Dot</w:t>
            </w:r>
            <w:r w:rsidRPr="001E40F9">
              <w:rPr>
                <w:rFonts w:asciiTheme="minorHAnsi" w:hAnsiTheme="minorHAnsi" w:cstheme="minorHAnsi"/>
                <w:iCs/>
                <w:color w:val="000000"/>
                <w:lang w:eastAsia="ja-JP"/>
              </w:rPr>
              <w:t xml:space="preserve">. </w:t>
            </w:r>
          </w:p>
        </w:tc>
      </w:tr>
    </w:tbl>
    <w:p w14:paraId="656E32A7" w14:textId="118F5664" w:rsidR="009E0348" w:rsidRPr="00C03061" w:rsidRDefault="009E0348" w:rsidP="00C03061">
      <w:p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bCs/>
          <w:iCs/>
          <w:color w:val="000000"/>
          <w:lang w:eastAsia="ja-JP"/>
        </w:rPr>
        <w:t>Suite à la collecte de données</w:t>
      </w:r>
      <w:r w:rsidRPr="00C03061">
        <w:rPr>
          <w:rFonts w:asciiTheme="minorHAnsi" w:hAnsiTheme="minorHAnsi" w:cstheme="minorHAnsi"/>
          <w:iCs/>
          <w:color w:val="000000"/>
          <w:lang w:eastAsia="ja-JP"/>
        </w:rPr>
        <w:t xml:space="preserve">, une réunion de débriefing préliminaire avec l’équipe évaluatrice et le comité de pilotage sera organisée pour discuter des résultats et solliciter des clarifications ou des compléments d’information, si nécessaire. Cette réunion aboutira à la production d’un </w:t>
      </w:r>
      <w:r w:rsidRPr="00C03061">
        <w:rPr>
          <w:rFonts w:asciiTheme="minorHAnsi" w:hAnsiTheme="minorHAnsi" w:cstheme="minorHAnsi"/>
          <w:b/>
          <w:bCs/>
          <w:iCs/>
          <w:color w:val="000000"/>
          <w:lang w:eastAsia="ja-JP"/>
        </w:rPr>
        <w:t>rapport intermédiaire</w:t>
      </w:r>
      <w:r w:rsidR="00994102">
        <w:rPr>
          <w:rFonts w:asciiTheme="minorHAnsi" w:hAnsiTheme="minorHAnsi" w:cstheme="minorHAnsi"/>
          <w:b/>
          <w:bCs/>
          <w:iCs/>
          <w:color w:val="000000"/>
          <w:lang w:eastAsia="ja-JP"/>
        </w:rPr>
        <w:t xml:space="preserve"> (2)</w:t>
      </w:r>
      <w:r w:rsidRPr="00C03061">
        <w:rPr>
          <w:rFonts w:asciiTheme="minorHAnsi" w:hAnsiTheme="minorHAnsi" w:cstheme="minorHAnsi"/>
          <w:iCs/>
          <w:color w:val="000000"/>
          <w:lang w:eastAsia="ja-JP"/>
        </w:rPr>
        <w:t xml:space="preserve"> qui présentera les données collectées pour chaque outil, résumera les premiers résultats</w:t>
      </w:r>
      <w:r w:rsidR="00467ED5">
        <w:rPr>
          <w:rFonts w:asciiTheme="minorHAnsi" w:hAnsiTheme="minorHAnsi" w:cstheme="minorHAnsi"/>
          <w:iCs/>
          <w:color w:val="000000"/>
          <w:lang w:eastAsia="ja-JP"/>
        </w:rPr>
        <w:t xml:space="preserve"> et indicateurs</w:t>
      </w:r>
      <w:r w:rsidRPr="00C03061">
        <w:rPr>
          <w:rFonts w:asciiTheme="minorHAnsi" w:hAnsiTheme="minorHAnsi" w:cstheme="minorHAnsi"/>
          <w:iCs/>
          <w:color w:val="000000"/>
          <w:lang w:eastAsia="ja-JP"/>
        </w:rPr>
        <w:t>, et assurera la traçabilité des constats et conclusions.</w:t>
      </w:r>
      <w:r w:rsidR="00964AE3">
        <w:rPr>
          <w:rFonts w:asciiTheme="minorHAnsi" w:hAnsiTheme="minorHAnsi" w:cstheme="minorHAnsi"/>
          <w:iCs/>
          <w:color w:val="000000"/>
          <w:lang w:eastAsia="ja-JP"/>
        </w:rPr>
        <w:t xml:space="preserve"> </w:t>
      </w:r>
    </w:p>
    <w:p w14:paraId="225BD9CD" w14:textId="345357A2" w:rsidR="00467ED5" w:rsidRDefault="009E0348" w:rsidP="00C03061">
      <w:p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 xml:space="preserve">Une fois la collecte de données et l’analyse terminées, l’équipe évaluatrice organisera avec le comité de pilotage </w:t>
      </w:r>
      <w:r w:rsidR="00994102">
        <w:rPr>
          <w:rFonts w:asciiTheme="minorHAnsi" w:hAnsiTheme="minorHAnsi" w:cstheme="minorHAnsi"/>
          <w:iCs/>
          <w:color w:val="000000"/>
          <w:lang w:eastAsia="ja-JP"/>
        </w:rPr>
        <w:t xml:space="preserve">et éventuellement d’autres parties prenantes dans l’écosystème </w:t>
      </w:r>
      <w:r w:rsidRPr="00C03061">
        <w:rPr>
          <w:rFonts w:asciiTheme="minorHAnsi" w:hAnsiTheme="minorHAnsi" w:cstheme="minorHAnsi"/>
          <w:iCs/>
          <w:color w:val="000000"/>
          <w:lang w:eastAsia="ja-JP"/>
        </w:rPr>
        <w:t xml:space="preserve">un </w:t>
      </w:r>
      <w:r w:rsidRPr="00C03061">
        <w:rPr>
          <w:rFonts w:asciiTheme="minorHAnsi" w:hAnsiTheme="minorHAnsi" w:cstheme="minorHAnsi"/>
          <w:bCs/>
          <w:iCs/>
          <w:color w:val="000000"/>
          <w:lang w:eastAsia="ja-JP"/>
        </w:rPr>
        <w:t xml:space="preserve">atelier de co-construction </w:t>
      </w:r>
      <w:r w:rsidR="00964AE3">
        <w:rPr>
          <w:rFonts w:asciiTheme="minorHAnsi" w:hAnsiTheme="minorHAnsi" w:cstheme="minorHAnsi"/>
          <w:bCs/>
          <w:iCs/>
          <w:color w:val="000000"/>
          <w:lang w:eastAsia="ja-JP"/>
        </w:rPr>
        <w:t>du plan de suivi-évaluation de The Dot</w:t>
      </w:r>
      <w:r w:rsidRPr="00C03061">
        <w:rPr>
          <w:rFonts w:asciiTheme="minorHAnsi" w:hAnsiTheme="minorHAnsi" w:cstheme="minorHAnsi"/>
          <w:iCs/>
          <w:color w:val="000000"/>
          <w:lang w:eastAsia="ja-JP"/>
        </w:rPr>
        <w:t xml:space="preserve">. </w:t>
      </w:r>
      <w:r w:rsidR="00DA7F21">
        <w:rPr>
          <w:rFonts w:asciiTheme="minorHAnsi" w:hAnsiTheme="minorHAnsi" w:cstheme="minorHAnsi"/>
          <w:iCs/>
          <w:color w:val="000000"/>
          <w:lang w:eastAsia="ja-JP"/>
        </w:rPr>
        <w:t xml:space="preserve">Ce plan devra (i) être cohérent avec la capacité organisationnelle de The Dot à collecter des </w:t>
      </w:r>
      <w:r w:rsidR="0005024A">
        <w:rPr>
          <w:rFonts w:asciiTheme="minorHAnsi" w:hAnsiTheme="minorHAnsi" w:cstheme="minorHAnsi"/>
          <w:iCs/>
          <w:color w:val="000000"/>
          <w:lang w:eastAsia="ja-JP"/>
        </w:rPr>
        <w:t>données, (</w:t>
      </w:r>
      <w:r w:rsidR="00DA7F21">
        <w:rPr>
          <w:rFonts w:asciiTheme="minorHAnsi" w:hAnsiTheme="minorHAnsi" w:cstheme="minorHAnsi"/>
          <w:iCs/>
          <w:color w:val="000000"/>
          <w:lang w:eastAsia="ja-JP"/>
        </w:rPr>
        <w:t>ii) s’inspirer et reprendre les indicateurs les plus pertinents collectés dans le cadre de l’étude d’impacts réalisée</w:t>
      </w:r>
      <w:r w:rsidR="0005024A">
        <w:rPr>
          <w:rFonts w:asciiTheme="minorHAnsi" w:hAnsiTheme="minorHAnsi" w:cstheme="minorHAnsi"/>
          <w:iCs/>
          <w:color w:val="000000"/>
          <w:lang w:eastAsia="ja-JP"/>
        </w:rPr>
        <w:t xml:space="preserve"> et (iii) être opérationnel dès la fin de la mission</w:t>
      </w:r>
      <w:r w:rsidR="00DA7F21">
        <w:rPr>
          <w:rFonts w:asciiTheme="minorHAnsi" w:hAnsiTheme="minorHAnsi" w:cstheme="minorHAnsi"/>
          <w:iCs/>
          <w:color w:val="000000"/>
          <w:lang w:eastAsia="ja-JP"/>
        </w:rPr>
        <w:t xml:space="preserve">. </w:t>
      </w:r>
      <w:r w:rsidRPr="00C03061">
        <w:rPr>
          <w:rFonts w:asciiTheme="minorHAnsi" w:hAnsiTheme="minorHAnsi" w:cstheme="minorHAnsi"/>
          <w:iCs/>
          <w:color w:val="000000"/>
          <w:lang w:eastAsia="ja-JP"/>
        </w:rPr>
        <w:t xml:space="preserve">Les résultats de cette réflexion collective alimenteront </w:t>
      </w:r>
      <w:r w:rsidRPr="00C03061">
        <w:rPr>
          <w:rFonts w:asciiTheme="minorHAnsi" w:hAnsiTheme="minorHAnsi" w:cstheme="minorHAnsi"/>
          <w:b/>
          <w:iCs/>
          <w:color w:val="000000"/>
          <w:lang w:eastAsia="ja-JP"/>
        </w:rPr>
        <w:t xml:space="preserve">un </w:t>
      </w:r>
      <w:r w:rsidRPr="00C03061">
        <w:rPr>
          <w:rFonts w:asciiTheme="minorHAnsi" w:hAnsiTheme="minorHAnsi" w:cstheme="minorHAnsi"/>
          <w:b/>
          <w:bCs/>
          <w:iCs/>
          <w:color w:val="000000"/>
          <w:lang w:eastAsia="ja-JP"/>
        </w:rPr>
        <w:t>rapport final</w:t>
      </w:r>
      <w:r w:rsidR="00994102">
        <w:rPr>
          <w:rFonts w:asciiTheme="minorHAnsi" w:hAnsiTheme="minorHAnsi" w:cstheme="minorHAnsi"/>
          <w:b/>
          <w:bCs/>
          <w:iCs/>
          <w:color w:val="000000"/>
          <w:lang w:eastAsia="ja-JP"/>
        </w:rPr>
        <w:t xml:space="preserve"> (3)</w:t>
      </w:r>
      <w:r w:rsidRPr="00C03061">
        <w:rPr>
          <w:rFonts w:asciiTheme="minorHAnsi" w:hAnsiTheme="minorHAnsi" w:cstheme="minorHAnsi"/>
          <w:iCs/>
          <w:color w:val="000000"/>
          <w:lang w:eastAsia="ja-JP"/>
        </w:rPr>
        <w:t xml:space="preserve">, qui comprendra l’ensemble </w:t>
      </w:r>
      <w:r w:rsidR="00964AE3">
        <w:rPr>
          <w:rFonts w:asciiTheme="minorHAnsi" w:hAnsiTheme="minorHAnsi" w:cstheme="minorHAnsi"/>
          <w:iCs/>
          <w:color w:val="000000"/>
          <w:lang w:eastAsia="ja-JP"/>
        </w:rPr>
        <w:t xml:space="preserve">des livrables demandés. </w:t>
      </w:r>
    </w:p>
    <w:p w14:paraId="7C55AB32" w14:textId="77777777" w:rsidR="0005024A" w:rsidRPr="00C03061" w:rsidRDefault="0005024A" w:rsidP="00C03061">
      <w:pPr>
        <w:tabs>
          <w:tab w:val="right" w:leader="dot" w:pos="9923"/>
        </w:tabs>
        <w:spacing w:before="240" w:after="0" w:line="276" w:lineRule="auto"/>
        <w:jc w:val="both"/>
        <w:rPr>
          <w:rFonts w:asciiTheme="minorHAnsi" w:hAnsiTheme="minorHAnsi" w:cstheme="minorHAnsi"/>
          <w:iCs/>
          <w:color w:val="000000"/>
          <w:lang w:eastAsia="ja-JP"/>
        </w:rPr>
      </w:pPr>
    </w:p>
    <w:p w14:paraId="2F15B3A3" w14:textId="59307EE1" w:rsidR="00782534" w:rsidRPr="00C03061" w:rsidRDefault="00782534" w:rsidP="00C03061">
      <w:pPr>
        <w:keepNext/>
        <w:keepLines/>
        <w:numPr>
          <w:ilvl w:val="2"/>
          <w:numId w:val="0"/>
        </w:numPr>
        <w:tabs>
          <w:tab w:val="right" w:leader="dot" w:pos="9923"/>
        </w:tabs>
        <w:spacing w:before="40" w:after="0" w:line="276" w:lineRule="auto"/>
        <w:ind w:left="720" w:hanging="720"/>
        <w:jc w:val="both"/>
        <w:outlineLvl w:val="2"/>
        <w:rPr>
          <w:rFonts w:asciiTheme="minorHAnsi" w:eastAsia="MS Gothic" w:hAnsiTheme="minorHAnsi" w:cstheme="minorHAnsi"/>
          <w:b/>
          <w:bCs/>
          <w:iCs/>
          <w:color w:val="243F60"/>
          <w:lang w:eastAsia="ja-JP"/>
        </w:rPr>
      </w:pPr>
      <w:bookmarkStart w:id="16" w:name="_Toc213859199"/>
      <w:r w:rsidRPr="00C03061">
        <w:rPr>
          <w:rFonts w:asciiTheme="minorHAnsi" w:eastAsia="MS Gothic" w:hAnsiTheme="minorHAnsi" w:cstheme="minorHAnsi"/>
          <w:b/>
          <w:bCs/>
          <w:iCs/>
          <w:color w:val="243F60"/>
          <w:lang w:eastAsia="ja-JP"/>
        </w:rPr>
        <w:t xml:space="preserve">Livrable final définitif </w:t>
      </w:r>
      <w:r w:rsidR="00994102">
        <w:rPr>
          <w:rFonts w:asciiTheme="minorHAnsi" w:eastAsia="MS Gothic" w:hAnsiTheme="minorHAnsi" w:cstheme="minorHAnsi"/>
          <w:b/>
          <w:bCs/>
          <w:iCs/>
          <w:color w:val="243F60"/>
          <w:lang w:eastAsia="ja-JP"/>
        </w:rPr>
        <w:t>– rapport final</w:t>
      </w:r>
      <w:bookmarkEnd w:id="16"/>
      <w:r w:rsidR="00994102">
        <w:rPr>
          <w:rFonts w:asciiTheme="minorHAnsi" w:eastAsia="MS Gothic" w:hAnsiTheme="minorHAnsi" w:cstheme="minorHAnsi"/>
          <w:b/>
          <w:bCs/>
          <w:iCs/>
          <w:color w:val="243F60"/>
          <w:lang w:eastAsia="ja-JP"/>
        </w:rPr>
        <w:t xml:space="preserve"> </w:t>
      </w:r>
    </w:p>
    <w:p w14:paraId="07A65C3D" w14:textId="44208622" w:rsidR="00570378" w:rsidRPr="00570378" w:rsidRDefault="00782534" w:rsidP="00570378">
      <w:pPr>
        <w:jc w:val="both"/>
        <w:rPr>
          <w:rFonts w:ascii="Times New Roman" w:eastAsia="Times New Roman" w:hAnsi="Times New Roman"/>
          <w:lang w:eastAsia="fr-FR"/>
        </w:rPr>
      </w:pPr>
      <w:r w:rsidRPr="00C03061">
        <w:rPr>
          <w:rFonts w:asciiTheme="minorHAnsi" w:hAnsiTheme="minorHAnsi" w:cstheme="minorHAnsi"/>
          <w:iCs/>
          <w:color w:val="000000"/>
          <w:lang w:eastAsia="ja-JP"/>
        </w:rPr>
        <w:t>À la suite des retours des parties prenantes</w:t>
      </w:r>
      <w:r w:rsidR="00994102">
        <w:rPr>
          <w:rFonts w:asciiTheme="minorHAnsi" w:hAnsiTheme="minorHAnsi" w:cstheme="minorHAnsi"/>
          <w:iCs/>
          <w:color w:val="000000"/>
          <w:lang w:eastAsia="ja-JP"/>
        </w:rPr>
        <w:t xml:space="preserve"> et de l’atelier de co-construction</w:t>
      </w:r>
      <w:r w:rsidRPr="00C03061">
        <w:rPr>
          <w:rFonts w:asciiTheme="minorHAnsi" w:hAnsiTheme="minorHAnsi" w:cstheme="minorHAnsi"/>
          <w:iCs/>
          <w:color w:val="000000"/>
          <w:lang w:eastAsia="ja-JP"/>
        </w:rPr>
        <w:t xml:space="preserve">, l’équipe évaluatrice produira </w:t>
      </w:r>
      <w:r w:rsidRPr="00570378">
        <w:rPr>
          <w:rFonts w:asciiTheme="minorHAnsi" w:hAnsiTheme="minorHAnsi" w:cstheme="minorHAnsi"/>
          <w:iCs/>
          <w:color w:val="000000"/>
          <w:lang w:eastAsia="ja-JP"/>
        </w:rPr>
        <w:t>le rapport final</w:t>
      </w:r>
      <w:r w:rsidR="00994102" w:rsidRPr="00570378">
        <w:rPr>
          <w:rFonts w:asciiTheme="minorHAnsi" w:hAnsiTheme="minorHAnsi" w:cstheme="minorHAnsi"/>
          <w:iCs/>
          <w:color w:val="000000"/>
          <w:lang w:eastAsia="ja-JP"/>
        </w:rPr>
        <w:t xml:space="preserve"> </w:t>
      </w:r>
      <w:r w:rsidRPr="00570378">
        <w:rPr>
          <w:rFonts w:asciiTheme="minorHAnsi" w:hAnsiTheme="minorHAnsi" w:cstheme="minorHAnsi"/>
          <w:iCs/>
          <w:color w:val="000000"/>
          <w:lang w:eastAsia="ja-JP"/>
        </w:rPr>
        <w:t>(3)</w:t>
      </w:r>
      <w:r w:rsidRPr="00C03061">
        <w:rPr>
          <w:rFonts w:asciiTheme="minorHAnsi" w:hAnsiTheme="minorHAnsi" w:cstheme="minorHAnsi"/>
          <w:iCs/>
          <w:color w:val="000000"/>
          <w:lang w:eastAsia="ja-JP"/>
        </w:rPr>
        <w:t xml:space="preserve">, comprenant l’ensemble des éléments décrits ci-dessus, ainsi </w:t>
      </w:r>
      <w:r w:rsidR="00994102" w:rsidRPr="00C03061">
        <w:rPr>
          <w:rFonts w:asciiTheme="minorHAnsi" w:hAnsiTheme="minorHAnsi" w:cstheme="minorHAnsi"/>
          <w:iCs/>
          <w:color w:val="000000"/>
          <w:lang w:eastAsia="ja-JP"/>
        </w:rPr>
        <w:t xml:space="preserve">qu’un plan de suivi-évaluation </w:t>
      </w:r>
      <w:r w:rsidR="00570378">
        <w:rPr>
          <w:rFonts w:asciiTheme="minorHAnsi" w:hAnsiTheme="minorHAnsi" w:cstheme="minorHAnsi"/>
          <w:iCs/>
          <w:color w:val="000000"/>
          <w:lang w:eastAsia="ja-JP"/>
        </w:rPr>
        <w:t>et les outils opérationnels et utilisables à l’issue de la mission pour mettre en œuvre ce nouveau cadre SERA (</w:t>
      </w:r>
      <w:r w:rsidR="0005024A">
        <w:rPr>
          <w:rFonts w:asciiTheme="minorHAnsi" w:hAnsiTheme="minorHAnsi" w:cstheme="minorHAnsi"/>
          <w:iCs/>
          <w:color w:val="000000"/>
          <w:lang w:eastAsia="ja-JP"/>
        </w:rPr>
        <w:t>s</w:t>
      </w:r>
      <w:r w:rsidR="00570378" w:rsidRPr="00570378">
        <w:rPr>
          <w:rFonts w:asciiTheme="minorHAnsi" w:hAnsiTheme="minorHAnsi" w:cstheme="minorHAnsi"/>
          <w:iCs/>
          <w:color w:val="000000"/>
          <w:lang w:eastAsia="ja-JP"/>
        </w:rPr>
        <w:t xml:space="preserve">ynthèse exécutive courte orientée décision, un tableau de bord opérationnel facilitant la mise en œuvre </w:t>
      </w:r>
      <w:r w:rsidR="0005024A">
        <w:rPr>
          <w:rFonts w:asciiTheme="minorHAnsi" w:hAnsiTheme="minorHAnsi" w:cstheme="minorHAnsi"/>
          <w:iCs/>
          <w:color w:val="000000"/>
          <w:lang w:eastAsia="ja-JP"/>
        </w:rPr>
        <w:t xml:space="preserve">du cadre SERA </w:t>
      </w:r>
      <w:r w:rsidR="00570378" w:rsidRPr="00570378">
        <w:rPr>
          <w:rFonts w:asciiTheme="minorHAnsi" w:hAnsiTheme="minorHAnsi" w:cstheme="minorHAnsi"/>
          <w:iCs/>
          <w:color w:val="000000"/>
          <w:lang w:eastAsia="ja-JP"/>
        </w:rPr>
        <w:t>en interne)</w:t>
      </w:r>
      <w:r w:rsidR="00570378">
        <w:rPr>
          <w:rFonts w:asciiTheme="minorHAnsi" w:hAnsiTheme="minorHAnsi" w:cstheme="minorHAnsi"/>
          <w:iCs/>
          <w:color w:val="000000"/>
          <w:lang w:eastAsia="ja-JP"/>
        </w:rPr>
        <w:t xml:space="preserve">. </w:t>
      </w:r>
    </w:p>
    <w:p w14:paraId="07D05DBB" w14:textId="77777777" w:rsidR="00782534" w:rsidRPr="00C03061" w:rsidRDefault="00782534" w:rsidP="00C03061">
      <w:pPr>
        <w:tabs>
          <w:tab w:val="right" w:leader="dot" w:pos="9923"/>
        </w:tabs>
        <w:spacing w:before="240" w:after="0" w:line="276" w:lineRule="auto"/>
        <w:jc w:val="both"/>
        <w:rPr>
          <w:rFonts w:asciiTheme="minorHAnsi" w:hAnsiTheme="minorHAnsi" w:cstheme="minorHAnsi"/>
          <w:iCs/>
          <w:color w:val="000000"/>
          <w:lang w:eastAsia="ja-JP"/>
        </w:rPr>
      </w:pPr>
      <w:r w:rsidRPr="00C03061">
        <w:rPr>
          <w:rFonts w:asciiTheme="minorHAnsi" w:hAnsiTheme="minorHAnsi" w:cstheme="minorHAnsi"/>
          <w:iCs/>
          <w:color w:val="000000"/>
          <w:lang w:eastAsia="ja-JP"/>
        </w:rPr>
        <w:t>Une restitution finale sera réalisée à l’issue de la rédaction de ces documents, pouvant faire l’objet de quelques ajustements afin de valider officiellement la dernière version. Si les observations faites expriment des différences d’appréciation non partagées par l’équipe évaluatrice, celles-ci peuvent être annexées au rapport définitif.</w:t>
      </w:r>
    </w:p>
    <w:p w14:paraId="5FA88481" w14:textId="1A4B02B4" w:rsidR="00782534" w:rsidRPr="00C03061" w:rsidRDefault="00E43FC1" w:rsidP="00C03061">
      <w:pPr>
        <w:tabs>
          <w:tab w:val="num" w:pos="1778"/>
        </w:tabs>
        <w:spacing w:before="240" w:after="0" w:line="276" w:lineRule="auto"/>
        <w:jc w:val="both"/>
        <w:rPr>
          <w:rFonts w:asciiTheme="minorHAnsi" w:eastAsia="MS Gothic" w:hAnsiTheme="minorHAnsi" w:cstheme="minorHAnsi"/>
          <w:b/>
          <w:bCs/>
          <w:iCs/>
          <w:color w:val="243F60"/>
          <w:lang w:eastAsia="ja-JP"/>
        </w:rPr>
      </w:pPr>
      <w:r>
        <w:rPr>
          <w:rFonts w:asciiTheme="minorHAnsi" w:eastAsia="MS Gothic" w:hAnsiTheme="minorHAnsi" w:cstheme="minorHAnsi"/>
          <w:b/>
          <w:bCs/>
          <w:iCs/>
          <w:color w:val="243F60"/>
          <w:lang w:eastAsia="ja-JP"/>
        </w:rPr>
        <w:t>C</w:t>
      </w:r>
      <w:r w:rsidR="00782534" w:rsidRPr="00C03061">
        <w:rPr>
          <w:rFonts w:asciiTheme="minorHAnsi" w:eastAsia="MS Gothic" w:hAnsiTheme="minorHAnsi" w:cstheme="minorHAnsi"/>
          <w:b/>
          <w:bCs/>
          <w:iCs/>
          <w:color w:val="243F60"/>
          <w:lang w:eastAsia="ja-JP"/>
        </w:rPr>
        <w:t>alendrier</w:t>
      </w:r>
      <w:r>
        <w:rPr>
          <w:rFonts w:asciiTheme="minorHAnsi" w:eastAsia="MS Gothic" w:hAnsiTheme="minorHAnsi" w:cstheme="minorHAnsi"/>
          <w:b/>
          <w:bCs/>
          <w:iCs/>
          <w:color w:val="243F60"/>
          <w:lang w:eastAsia="ja-JP"/>
        </w:rPr>
        <w:t xml:space="preserve"> de la mission </w:t>
      </w:r>
      <w:r w:rsidR="00782534" w:rsidRPr="00C03061">
        <w:rPr>
          <w:rFonts w:asciiTheme="minorHAnsi" w:eastAsia="MS Gothic" w:hAnsiTheme="minorHAnsi" w:cstheme="minorHAnsi"/>
          <w:b/>
          <w:bCs/>
          <w:iCs/>
          <w:color w:val="243F60"/>
          <w:lang w:eastAsia="ja-JP"/>
        </w:rPr>
        <w:t xml:space="preserve"> </w:t>
      </w:r>
    </w:p>
    <w:p w14:paraId="190DCB5C" w14:textId="694F5133" w:rsidR="00DF18ED" w:rsidRPr="00C03061" w:rsidRDefault="00782534" w:rsidP="00C03061">
      <w:pPr>
        <w:tabs>
          <w:tab w:val="right" w:leader="dot" w:pos="9923"/>
        </w:tabs>
        <w:spacing w:before="240" w:after="0" w:line="276" w:lineRule="auto"/>
        <w:jc w:val="both"/>
        <w:rPr>
          <w:rFonts w:asciiTheme="minorHAnsi" w:hAnsiTheme="minorHAnsi" w:cstheme="minorHAnsi"/>
        </w:rPr>
      </w:pPr>
      <w:r w:rsidRPr="00C03061">
        <w:rPr>
          <w:rFonts w:asciiTheme="minorHAnsi" w:hAnsiTheme="minorHAnsi" w:cstheme="minorHAnsi"/>
          <w:iCs/>
          <w:color w:val="000000"/>
          <w:lang w:eastAsia="ja-JP"/>
        </w:rPr>
        <w:t xml:space="preserve">Les livrables devront être soumis par email sous format Word et PDF. Ils devront être rédigés en français. </w:t>
      </w:r>
      <w:r w:rsidR="00DF18ED" w:rsidRPr="00C03061">
        <w:rPr>
          <w:rFonts w:asciiTheme="minorHAnsi" w:hAnsiTheme="minorHAnsi" w:cstheme="minorHAnsi"/>
        </w:rPr>
        <w:t>Pendant la durée du contrat, des jalons devront être atteints comme indiqué dans le tableau ci-après :</w:t>
      </w:r>
    </w:p>
    <w:tbl>
      <w:tblPr>
        <w:tblStyle w:val="Grilledutableau"/>
        <w:tblW w:w="10348" w:type="dxa"/>
        <w:jc w:val="center"/>
        <w:tblLook w:val="04A0" w:firstRow="1" w:lastRow="0" w:firstColumn="1" w:lastColumn="0" w:noHBand="0" w:noVBand="1"/>
      </w:tblPr>
      <w:tblGrid>
        <w:gridCol w:w="5529"/>
        <w:gridCol w:w="4819"/>
      </w:tblGrid>
      <w:tr w:rsidR="00E43FC1" w:rsidRPr="00C03061" w14:paraId="4C3DE33C" w14:textId="409067F3" w:rsidTr="00534F8D">
        <w:trPr>
          <w:jc w:val="center"/>
        </w:trPr>
        <w:tc>
          <w:tcPr>
            <w:tcW w:w="5529" w:type="dxa"/>
            <w:shd w:val="clear" w:color="auto" w:fill="BDD6EE" w:themeFill="accent1" w:themeFillTint="66"/>
            <w:vAlign w:val="center"/>
          </w:tcPr>
          <w:p w14:paraId="7E2F4C37" w14:textId="77777777" w:rsidR="00E43FC1" w:rsidRPr="00C03061" w:rsidRDefault="00E43FC1" w:rsidP="00C03061">
            <w:pPr>
              <w:spacing w:before="40" w:after="0" w:line="276" w:lineRule="auto"/>
              <w:jc w:val="both"/>
              <w:rPr>
                <w:rFonts w:asciiTheme="minorHAnsi" w:hAnsiTheme="minorHAnsi" w:cstheme="minorHAnsi"/>
                <w:b/>
              </w:rPr>
            </w:pPr>
            <w:r w:rsidRPr="00C03061">
              <w:rPr>
                <w:rFonts w:asciiTheme="minorHAnsi" w:hAnsiTheme="minorHAnsi" w:cstheme="minorHAnsi"/>
                <w:b/>
              </w:rPr>
              <w:t>Jalons / étapes du processus / prestations partielles</w:t>
            </w:r>
          </w:p>
        </w:tc>
        <w:tc>
          <w:tcPr>
            <w:tcW w:w="4819" w:type="dxa"/>
            <w:shd w:val="clear" w:color="auto" w:fill="BDD6EE" w:themeFill="accent1" w:themeFillTint="66"/>
            <w:vAlign w:val="center"/>
          </w:tcPr>
          <w:p w14:paraId="778BE0D9" w14:textId="4AB3837D" w:rsidR="00E43FC1" w:rsidRPr="00C03061" w:rsidRDefault="00E43FC1" w:rsidP="00C03061">
            <w:pPr>
              <w:spacing w:before="40" w:after="0" w:line="276" w:lineRule="auto"/>
              <w:jc w:val="both"/>
              <w:rPr>
                <w:rFonts w:asciiTheme="minorHAnsi" w:hAnsiTheme="minorHAnsi" w:cstheme="minorHAnsi"/>
                <w:b/>
              </w:rPr>
            </w:pPr>
            <w:r>
              <w:rPr>
                <w:rFonts w:asciiTheme="minorHAnsi" w:hAnsiTheme="minorHAnsi" w:cstheme="minorHAnsi"/>
                <w:b/>
              </w:rPr>
              <w:t>Echéances</w:t>
            </w:r>
          </w:p>
        </w:tc>
      </w:tr>
      <w:tr w:rsidR="00E43FC1" w:rsidRPr="00C03061" w14:paraId="7F495AE0" w14:textId="735DF95A" w:rsidTr="00534F8D">
        <w:trPr>
          <w:jc w:val="center"/>
        </w:trPr>
        <w:tc>
          <w:tcPr>
            <w:tcW w:w="5529" w:type="dxa"/>
          </w:tcPr>
          <w:p w14:paraId="045523AA" w14:textId="31AB534A" w:rsidR="00E43FC1" w:rsidRPr="003A38EB" w:rsidRDefault="00E43FC1" w:rsidP="00C03061">
            <w:pPr>
              <w:spacing w:before="40" w:after="0" w:line="276" w:lineRule="auto"/>
              <w:jc w:val="both"/>
              <w:rPr>
                <w:rFonts w:asciiTheme="minorHAnsi" w:hAnsiTheme="minorHAnsi" w:cstheme="minorHAnsi"/>
                <w:iCs/>
                <w:color w:val="000000"/>
              </w:rPr>
            </w:pPr>
            <w:r>
              <w:rPr>
                <w:rFonts w:asciiTheme="minorHAnsi" w:hAnsiTheme="minorHAnsi" w:cstheme="minorHAnsi"/>
                <w:iCs/>
                <w:color w:val="000000"/>
              </w:rPr>
              <w:t xml:space="preserve">Kick off de la mission </w:t>
            </w:r>
          </w:p>
        </w:tc>
        <w:tc>
          <w:tcPr>
            <w:tcW w:w="4819" w:type="dxa"/>
            <w:vAlign w:val="center"/>
          </w:tcPr>
          <w:p w14:paraId="5145D6AC" w14:textId="5BA08263" w:rsidR="00E43FC1" w:rsidRDefault="00E43FC1" w:rsidP="00C03061">
            <w:pPr>
              <w:spacing w:before="40" w:after="0" w:line="276" w:lineRule="auto"/>
              <w:jc w:val="both"/>
              <w:rPr>
                <w:rFonts w:asciiTheme="minorHAnsi" w:hAnsiTheme="minorHAnsi" w:cstheme="minorHAnsi"/>
              </w:rPr>
            </w:pPr>
            <w:r>
              <w:rPr>
                <w:rFonts w:asciiTheme="minorHAnsi" w:hAnsiTheme="minorHAnsi" w:cstheme="minorHAnsi"/>
              </w:rPr>
              <w:t xml:space="preserve">7 jours maximum après la signature du contrat </w:t>
            </w:r>
          </w:p>
        </w:tc>
      </w:tr>
      <w:tr w:rsidR="00E43FC1" w:rsidRPr="00C03061" w14:paraId="7FDBA1F2" w14:textId="1BF9B727" w:rsidTr="00534F8D">
        <w:trPr>
          <w:jc w:val="center"/>
        </w:trPr>
        <w:tc>
          <w:tcPr>
            <w:tcW w:w="5529" w:type="dxa"/>
          </w:tcPr>
          <w:p w14:paraId="7D435F1E" w14:textId="10E55B65" w:rsidR="00E43FC1" w:rsidRPr="00C03061" w:rsidRDefault="00E43FC1" w:rsidP="00C03061">
            <w:pPr>
              <w:spacing w:before="40" w:after="0" w:line="276" w:lineRule="auto"/>
              <w:jc w:val="both"/>
              <w:rPr>
                <w:rFonts w:asciiTheme="minorHAnsi" w:hAnsiTheme="minorHAnsi" w:cstheme="minorHAnsi"/>
              </w:rPr>
            </w:pPr>
            <w:r w:rsidRPr="003A38EB">
              <w:rPr>
                <w:rFonts w:asciiTheme="minorHAnsi" w:hAnsiTheme="minorHAnsi" w:cstheme="minorHAnsi"/>
                <w:iCs/>
                <w:color w:val="000000"/>
              </w:rPr>
              <w:t xml:space="preserve">Soumission </w:t>
            </w:r>
            <w:r w:rsidRPr="00C03061">
              <w:rPr>
                <w:rFonts w:asciiTheme="minorHAnsi" w:hAnsiTheme="minorHAnsi" w:cstheme="minorHAnsi"/>
                <w:iCs/>
                <w:color w:val="000000"/>
                <w:u w:val="single"/>
              </w:rPr>
              <w:t>d’un rapport de cadrage</w:t>
            </w:r>
            <w:r w:rsidRPr="00C03061">
              <w:rPr>
                <w:rFonts w:asciiTheme="minorHAnsi" w:hAnsiTheme="minorHAnsi" w:cstheme="minorHAnsi"/>
                <w:iCs/>
                <w:color w:val="000000"/>
              </w:rPr>
              <w:t xml:space="preserve"> (0) </w:t>
            </w:r>
            <w:r>
              <w:rPr>
                <w:rFonts w:asciiTheme="minorHAnsi" w:hAnsiTheme="minorHAnsi" w:cstheme="minorHAnsi"/>
                <w:iCs/>
                <w:color w:val="000000"/>
              </w:rPr>
              <w:t xml:space="preserve">et échange avec le comité de pilotage pour ajustements et validation </w:t>
            </w:r>
            <w:r w:rsidRPr="00C03061">
              <w:rPr>
                <w:rFonts w:asciiTheme="minorHAnsi" w:hAnsiTheme="minorHAnsi" w:cstheme="minorHAnsi"/>
                <w:iCs/>
                <w:color w:val="000000"/>
              </w:rPr>
              <w:t xml:space="preserve"> - </w:t>
            </w:r>
            <w:r>
              <w:rPr>
                <w:rFonts w:asciiTheme="minorHAnsi" w:hAnsiTheme="minorHAnsi" w:cstheme="minorHAnsi"/>
                <w:iCs/>
                <w:color w:val="000000"/>
              </w:rPr>
              <w:t>20</w:t>
            </w:r>
            <w:r w:rsidRPr="00C03061">
              <w:rPr>
                <w:rFonts w:asciiTheme="minorHAnsi" w:hAnsiTheme="minorHAnsi" w:cstheme="minorHAnsi"/>
                <w:iCs/>
                <w:color w:val="000000"/>
              </w:rPr>
              <w:t xml:space="preserve"> pages maximum hors annexe</w:t>
            </w:r>
            <w:r>
              <w:rPr>
                <w:rFonts w:asciiTheme="minorHAnsi" w:hAnsiTheme="minorHAnsi" w:cstheme="minorHAnsi"/>
                <w:iCs/>
                <w:color w:val="000000"/>
              </w:rPr>
              <w:t>s</w:t>
            </w:r>
          </w:p>
        </w:tc>
        <w:tc>
          <w:tcPr>
            <w:tcW w:w="4819" w:type="dxa"/>
            <w:vAlign w:val="center"/>
          </w:tcPr>
          <w:p w14:paraId="1CA4F870" w14:textId="3D392EEE" w:rsidR="00E43FC1" w:rsidRPr="00C03061" w:rsidRDefault="00E43FC1" w:rsidP="00C03061">
            <w:pPr>
              <w:spacing w:before="40" w:after="0" w:line="276" w:lineRule="auto"/>
              <w:jc w:val="both"/>
              <w:rPr>
                <w:rFonts w:asciiTheme="minorHAnsi" w:hAnsiTheme="minorHAnsi" w:cstheme="minorHAnsi"/>
              </w:rPr>
            </w:pPr>
            <w:r>
              <w:rPr>
                <w:rFonts w:asciiTheme="minorHAnsi" w:hAnsiTheme="minorHAnsi" w:cstheme="minorHAnsi"/>
              </w:rPr>
              <w:t>30</w:t>
            </w:r>
            <w:r w:rsidRPr="00C03061">
              <w:rPr>
                <w:rFonts w:asciiTheme="minorHAnsi" w:hAnsiTheme="minorHAnsi" w:cstheme="minorHAnsi"/>
              </w:rPr>
              <w:t xml:space="preserve"> </w:t>
            </w:r>
            <w:r>
              <w:rPr>
                <w:rFonts w:asciiTheme="minorHAnsi" w:hAnsiTheme="minorHAnsi" w:cstheme="minorHAnsi"/>
              </w:rPr>
              <w:t xml:space="preserve">maximum </w:t>
            </w:r>
            <w:r w:rsidRPr="00C03061">
              <w:rPr>
                <w:rFonts w:asciiTheme="minorHAnsi" w:hAnsiTheme="minorHAnsi" w:cstheme="minorHAnsi"/>
              </w:rPr>
              <w:t xml:space="preserve">après </w:t>
            </w:r>
            <w:r>
              <w:rPr>
                <w:rFonts w:asciiTheme="minorHAnsi" w:hAnsiTheme="minorHAnsi" w:cstheme="minorHAnsi"/>
              </w:rPr>
              <w:t>la signature du contrat</w:t>
            </w:r>
          </w:p>
        </w:tc>
      </w:tr>
      <w:tr w:rsidR="00E43FC1" w:rsidRPr="00C03061" w14:paraId="56B55578" w14:textId="10505B5B" w:rsidTr="00534F8D">
        <w:trPr>
          <w:jc w:val="center"/>
        </w:trPr>
        <w:tc>
          <w:tcPr>
            <w:tcW w:w="5529" w:type="dxa"/>
            <w:vAlign w:val="center"/>
          </w:tcPr>
          <w:p w14:paraId="27E0C923" w14:textId="79E6AD46" w:rsidR="00E43FC1" w:rsidRPr="00C03061" w:rsidRDefault="00E43FC1" w:rsidP="00C03061">
            <w:pPr>
              <w:spacing w:before="40" w:after="0" w:line="276" w:lineRule="auto"/>
              <w:jc w:val="both"/>
              <w:rPr>
                <w:rFonts w:asciiTheme="minorHAnsi" w:hAnsiTheme="minorHAnsi" w:cstheme="minorHAnsi"/>
              </w:rPr>
            </w:pPr>
            <w:r w:rsidRPr="003A38EB">
              <w:rPr>
                <w:rFonts w:asciiTheme="minorHAnsi" w:hAnsiTheme="minorHAnsi" w:cstheme="minorHAnsi"/>
                <w:iCs/>
                <w:color w:val="000000"/>
                <w:u w:val="single"/>
              </w:rPr>
              <w:t>Rapport intermédiaire</w:t>
            </w:r>
            <w:r w:rsidRPr="00C03061">
              <w:rPr>
                <w:rFonts w:asciiTheme="minorHAnsi" w:hAnsiTheme="minorHAnsi" w:cstheme="minorHAnsi"/>
                <w:iCs/>
                <w:color w:val="000000"/>
              </w:rPr>
              <w:t xml:space="preserve"> </w:t>
            </w:r>
            <w:r>
              <w:rPr>
                <w:rFonts w:asciiTheme="minorHAnsi" w:hAnsiTheme="minorHAnsi" w:cstheme="minorHAnsi"/>
                <w:iCs/>
                <w:color w:val="000000"/>
              </w:rPr>
              <w:t xml:space="preserve">comprenant les résultats de la collecte de données et une ébauche du plan de suivi-évaluation </w:t>
            </w:r>
            <w:r w:rsidRPr="00C03061">
              <w:rPr>
                <w:rFonts w:asciiTheme="minorHAnsi" w:hAnsiTheme="minorHAnsi" w:cstheme="minorHAnsi"/>
                <w:iCs/>
                <w:color w:val="000000"/>
              </w:rPr>
              <w:t>(1) - 30 pages maximum hors annexe</w:t>
            </w:r>
            <w:r>
              <w:rPr>
                <w:rFonts w:asciiTheme="minorHAnsi" w:hAnsiTheme="minorHAnsi" w:cstheme="minorHAnsi"/>
                <w:iCs/>
                <w:color w:val="000000"/>
              </w:rPr>
              <w:t>s</w:t>
            </w:r>
          </w:p>
        </w:tc>
        <w:tc>
          <w:tcPr>
            <w:tcW w:w="4819" w:type="dxa"/>
            <w:vAlign w:val="center"/>
          </w:tcPr>
          <w:p w14:paraId="7590FFE1" w14:textId="55CA283E" w:rsidR="00E43FC1" w:rsidRPr="00C03061" w:rsidRDefault="00E43FC1" w:rsidP="00C03061">
            <w:pPr>
              <w:spacing w:before="40" w:after="0" w:line="276" w:lineRule="auto"/>
              <w:jc w:val="both"/>
              <w:rPr>
                <w:rFonts w:asciiTheme="minorHAnsi" w:hAnsiTheme="minorHAnsi" w:cstheme="minorHAnsi"/>
              </w:rPr>
            </w:pPr>
            <w:r w:rsidRPr="00C03061">
              <w:rPr>
                <w:rFonts w:asciiTheme="minorHAnsi" w:hAnsiTheme="minorHAnsi" w:cstheme="minorHAnsi"/>
              </w:rPr>
              <w:t>60</w:t>
            </w:r>
            <w:r>
              <w:rPr>
                <w:rFonts w:asciiTheme="minorHAnsi" w:hAnsiTheme="minorHAnsi" w:cstheme="minorHAnsi"/>
              </w:rPr>
              <w:t xml:space="preserve"> à 90</w:t>
            </w:r>
            <w:r w:rsidRPr="00C03061">
              <w:rPr>
                <w:rFonts w:asciiTheme="minorHAnsi" w:hAnsiTheme="minorHAnsi" w:cstheme="minorHAnsi"/>
              </w:rPr>
              <w:t xml:space="preserve"> jours </w:t>
            </w:r>
            <w:r>
              <w:rPr>
                <w:rFonts w:asciiTheme="minorHAnsi" w:hAnsiTheme="minorHAnsi" w:cstheme="minorHAnsi"/>
              </w:rPr>
              <w:t xml:space="preserve">maximum </w:t>
            </w:r>
            <w:r w:rsidRPr="00C03061">
              <w:rPr>
                <w:rFonts w:asciiTheme="minorHAnsi" w:hAnsiTheme="minorHAnsi" w:cstheme="minorHAnsi"/>
              </w:rPr>
              <w:t xml:space="preserve">après </w:t>
            </w:r>
            <w:r>
              <w:rPr>
                <w:rFonts w:asciiTheme="minorHAnsi" w:hAnsiTheme="minorHAnsi" w:cstheme="minorHAnsi"/>
              </w:rPr>
              <w:t>la signature du contrat</w:t>
            </w:r>
          </w:p>
        </w:tc>
      </w:tr>
      <w:tr w:rsidR="00E43FC1" w:rsidRPr="00C03061" w14:paraId="20EC93CB" w14:textId="62E29445" w:rsidTr="00534F8D">
        <w:trPr>
          <w:jc w:val="center"/>
        </w:trPr>
        <w:tc>
          <w:tcPr>
            <w:tcW w:w="5529" w:type="dxa"/>
            <w:vAlign w:val="center"/>
          </w:tcPr>
          <w:p w14:paraId="22370D8A" w14:textId="682B43AD" w:rsidR="00E43FC1" w:rsidRPr="003A38EB" w:rsidRDefault="00E43FC1" w:rsidP="00C03061">
            <w:pPr>
              <w:spacing w:before="40" w:after="0" w:line="276" w:lineRule="auto"/>
              <w:jc w:val="both"/>
              <w:rPr>
                <w:rFonts w:asciiTheme="minorHAnsi" w:hAnsiTheme="minorHAnsi" w:cstheme="minorHAnsi"/>
                <w:iCs/>
                <w:color w:val="000000"/>
                <w:u w:val="single"/>
              </w:rPr>
            </w:pPr>
            <w:r>
              <w:rPr>
                <w:rFonts w:asciiTheme="minorHAnsi" w:hAnsiTheme="minorHAnsi" w:cstheme="minorHAnsi"/>
                <w:iCs/>
                <w:color w:val="000000"/>
                <w:u w:val="single"/>
              </w:rPr>
              <w:t xml:space="preserve">Atelier de co-construction </w:t>
            </w:r>
            <w:r w:rsidRPr="00C03061">
              <w:rPr>
                <w:rFonts w:asciiTheme="minorHAnsi" w:hAnsiTheme="minorHAnsi" w:cstheme="minorHAnsi"/>
                <w:iCs/>
                <w:color w:val="000000"/>
              </w:rPr>
              <w:t>du plan de suivi-évaluation de The Dot</w:t>
            </w:r>
            <w:r>
              <w:rPr>
                <w:rFonts w:asciiTheme="minorHAnsi" w:hAnsiTheme="minorHAnsi" w:cstheme="minorHAnsi"/>
                <w:iCs/>
                <w:color w:val="000000"/>
                <w:u w:val="single"/>
              </w:rPr>
              <w:t xml:space="preserve"> </w:t>
            </w:r>
          </w:p>
        </w:tc>
        <w:tc>
          <w:tcPr>
            <w:tcW w:w="4819" w:type="dxa"/>
            <w:vAlign w:val="center"/>
          </w:tcPr>
          <w:p w14:paraId="350F2433" w14:textId="3140184F" w:rsidR="00E43FC1" w:rsidRPr="00C03061" w:rsidRDefault="00E43FC1" w:rsidP="00C03061">
            <w:pPr>
              <w:spacing w:before="40" w:after="0" w:line="276" w:lineRule="auto"/>
              <w:jc w:val="both"/>
              <w:rPr>
                <w:rFonts w:asciiTheme="minorHAnsi" w:hAnsiTheme="minorHAnsi" w:cstheme="minorHAnsi"/>
              </w:rPr>
            </w:pPr>
            <w:r>
              <w:rPr>
                <w:rFonts w:asciiTheme="minorHAnsi" w:hAnsiTheme="minorHAnsi" w:cstheme="minorHAnsi"/>
              </w:rPr>
              <w:t>90 à 120 jours maximum après la signature du contrat</w:t>
            </w:r>
          </w:p>
        </w:tc>
      </w:tr>
      <w:tr w:rsidR="00E43FC1" w:rsidRPr="00C03061" w14:paraId="2EC9DE36" w14:textId="176E545B" w:rsidTr="00534F8D">
        <w:trPr>
          <w:jc w:val="center"/>
        </w:trPr>
        <w:tc>
          <w:tcPr>
            <w:tcW w:w="5529" w:type="dxa"/>
            <w:vAlign w:val="center"/>
          </w:tcPr>
          <w:p w14:paraId="7355BAFE" w14:textId="4FEF0A04" w:rsidR="00E43FC1" w:rsidRPr="00C03061" w:rsidRDefault="00E43FC1" w:rsidP="00C03061">
            <w:pPr>
              <w:spacing w:before="40" w:after="0" w:line="276" w:lineRule="auto"/>
              <w:jc w:val="both"/>
              <w:rPr>
                <w:rFonts w:asciiTheme="minorHAnsi" w:hAnsiTheme="minorHAnsi" w:cstheme="minorHAnsi"/>
              </w:rPr>
            </w:pPr>
            <w:r w:rsidRPr="003A38EB">
              <w:rPr>
                <w:rFonts w:asciiTheme="minorHAnsi" w:hAnsiTheme="minorHAnsi" w:cstheme="minorHAnsi"/>
                <w:u w:val="single"/>
              </w:rPr>
              <w:t xml:space="preserve">Rapport final </w:t>
            </w:r>
            <w:r w:rsidR="00570378" w:rsidRPr="00570378">
              <w:rPr>
                <w:rFonts w:asciiTheme="minorHAnsi" w:hAnsiTheme="minorHAnsi" w:cstheme="minorHAnsi"/>
              </w:rPr>
              <w:t>(yc plan SERA</w:t>
            </w:r>
            <w:r w:rsidR="0005024A">
              <w:rPr>
                <w:rFonts w:asciiTheme="minorHAnsi" w:hAnsiTheme="minorHAnsi" w:cstheme="minorHAnsi"/>
              </w:rPr>
              <w:t xml:space="preserve"> simple et utilisable</w:t>
            </w:r>
            <w:r w:rsidR="00570378" w:rsidRPr="00570378">
              <w:rPr>
                <w:rFonts w:asciiTheme="minorHAnsi" w:hAnsiTheme="minorHAnsi" w:cstheme="minorHAnsi"/>
              </w:rPr>
              <w:t>, outils opérationnels de collecte</w:t>
            </w:r>
            <w:r w:rsidR="00570378">
              <w:rPr>
                <w:rFonts w:asciiTheme="minorHAnsi" w:hAnsiTheme="minorHAnsi" w:cstheme="minorHAnsi"/>
              </w:rPr>
              <w:t>, synthèse exécutive orientée décision)</w:t>
            </w:r>
            <w:r w:rsidR="00570378" w:rsidRPr="00570378">
              <w:rPr>
                <w:rFonts w:asciiTheme="minorHAnsi" w:hAnsiTheme="minorHAnsi" w:cstheme="minorHAnsi"/>
              </w:rPr>
              <w:t xml:space="preserve"> </w:t>
            </w:r>
            <w:r w:rsidRPr="00C03061">
              <w:rPr>
                <w:rFonts w:asciiTheme="minorHAnsi" w:hAnsiTheme="minorHAnsi" w:cstheme="minorHAnsi"/>
              </w:rPr>
              <w:t xml:space="preserve">- </w:t>
            </w:r>
            <w:r w:rsidRPr="00C03061">
              <w:rPr>
                <w:rFonts w:asciiTheme="minorHAnsi" w:hAnsiTheme="minorHAnsi" w:cstheme="minorHAnsi"/>
                <w:iCs/>
                <w:color w:val="000000"/>
              </w:rPr>
              <w:t>80 pages maximum hors annexe</w:t>
            </w:r>
            <w:r>
              <w:rPr>
                <w:rFonts w:asciiTheme="minorHAnsi" w:hAnsiTheme="minorHAnsi" w:cstheme="minorHAnsi"/>
                <w:iCs/>
                <w:color w:val="000000"/>
              </w:rPr>
              <w:t>s</w:t>
            </w:r>
          </w:p>
        </w:tc>
        <w:tc>
          <w:tcPr>
            <w:tcW w:w="4819" w:type="dxa"/>
            <w:vAlign w:val="center"/>
          </w:tcPr>
          <w:p w14:paraId="3AF39C8F" w14:textId="729822A1" w:rsidR="00E43FC1" w:rsidRPr="00C03061" w:rsidRDefault="00E43FC1" w:rsidP="00C03061">
            <w:pPr>
              <w:spacing w:before="40" w:after="0" w:line="276" w:lineRule="auto"/>
              <w:jc w:val="both"/>
              <w:rPr>
                <w:rFonts w:asciiTheme="minorHAnsi" w:hAnsiTheme="minorHAnsi" w:cstheme="minorHAnsi"/>
              </w:rPr>
            </w:pPr>
            <w:r>
              <w:rPr>
                <w:rFonts w:asciiTheme="minorHAnsi" w:hAnsiTheme="minorHAnsi" w:cstheme="minorHAnsi"/>
              </w:rPr>
              <w:t>120 à 150</w:t>
            </w:r>
            <w:r w:rsidRPr="00C03061">
              <w:rPr>
                <w:rFonts w:asciiTheme="minorHAnsi" w:hAnsiTheme="minorHAnsi" w:cstheme="minorHAnsi"/>
              </w:rPr>
              <w:t xml:space="preserve"> jours </w:t>
            </w:r>
            <w:r>
              <w:rPr>
                <w:rFonts w:asciiTheme="minorHAnsi" w:hAnsiTheme="minorHAnsi" w:cstheme="minorHAnsi"/>
              </w:rPr>
              <w:t xml:space="preserve">maximum </w:t>
            </w:r>
            <w:r w:rsidRPr="00C03061">
              <w:rPr>
                <w:rFonts w:asciiTheme="minorHAnsi" w:hAnsiTheme="minorHAnsi" w:cstheme="minorHAnsi"/>
              </w:rPr>
              <w:t xml:space="preserve">après </w:t>
            </w:r>
            <w:r>
              <w:rPr>
                <w:rFonts w:asciiTheme="minorHAnsi" w:hAnsiTheme="minorHAnsi" w:cstheme="minorHAnsi"/>
              </w:rPr>
              <w:t>la signature du contrat</w:t>
            </w:r>
          </w:p>
        </w:tc>
      </w:tr>
      <w:tr w:rsidR="00E43FC1" w:rsidRPr="00C03061" w14:paraId="44545C1F" w14:textId="77777777" w:rsidTr="00534F8D">
        <w:trPr>
          <w:jc w:val="center"/>
        </w:trPr>
        <w:tc>
          <w:tcPr>
            <w:tcW w:w="5529" w:type="dxa"/>
            <w:vAlign w:val="center"/>
          </w:tcPr>
          <w:p w14:paraId="3124383B" w14:textId="134C6E5B" w:rsidR="00E43FC1" w:rsidRPr="003A38EB" w:rsidRDefault="00E43FC1" w:rsidP="00C03061">
            <w:pPr>
              <w:spacing w:before="40" w:after="0" w:line="276" w:lineRule="auto"/>
              <w:jc w:val="both"/>
              <w:rPr>
                <w:rFonts w:asciiTheme="minorHAnsi" w:hAnsiTheme="minorHAnsi" w:cstheme="minorHAnsi"/>
                <w:u w:val="single"/>
              </w:rPr>
            </w:pPr>
            <w:r>
              <w:rPr>
                <w:rFonts w:asciiTheme="minorHAnsi" w:hAnsiTheme="minorHAnsi" w:cstheme="minorHAnsi"/>
                <w:u w:val="single"/>
              </w:rPr>
              <w:t xml:space="preserve">Restitution </w:t>
            </w:r>
            <w:r w:rsidRPr="00C03061">
              <w:rPr>
                <w:rFonts w:asciiTheme="minorHAnsi" w:hAnsiTheme="minorHAnsi" w:cstheme="minorHAnsi"/>
              </w:rPr>
              <w:t>– compte-rendu des derniers commentaires</w:t>
            </w:r>
            <w:r>
              <w:rPr>
                <w:rFonts w:asciiTheme="minorHAnsi" w:hAnsiTheme="minorHAnsi" w:cstheme="minorHAnsi"/>
              </w:rPr>
              <w:t xml:space="preserve"> suite à la restitution</w:t>
            </w:r>
            <w:r w:rsidRPr="00C03061">
              <w:rPr>
                <w:rFonts w:asciiTheme="minorHAnsi" w:hAnsiTheme="minorHAnsi" w:cstheme="minorHAnsi"/>
              </w:rPr>
              <w:t xml:space="preserve"> et</w:t>
            </w:r>
            <w:r>
              <w:rPr>
                <w:rFonts w:asciiTheme="minorHAnsi" w:hAnsiTheme="minorHAnsi" w:cstheme="minorHAnsi"/>
                <w:u w:val="single"/>
              </w:rPr>
              <w:t xml:space="preserve"> </w:t>
            </w:r>
            <w:r w:rsidRPr="00C03061">
              <w:rPr>
                <w:rFonts w:asciiTheme="minorHAnsi" w:hAnsiTheme="minorHAnsi" w:cstheme="minorHAnsi"/>
              </w:rPr>
              <w:t>recommandations à annexer au rapport final</w:t>
            </w:r>
          </w:p>
        </w:tc>
        <w:tc>
          <w:tcPr>
            <w:tcW w:w="4819" w:type="dxa"/>
            <w:vAlign w:val="center"/>
          </w:tcPr>
          <w:p w14:paraId="558E04A0" w14:textId="069AB3AB" w:rsidR="00E43FC1" w:rsidRPr="00C03061" w:rsidDel="007A09DF" w:rsidRDefault="00E43FC1" w:rsidP="00C03061">
            <w:pPr>
              <w:spacing w:before="40" w:after="0" w:line="276" w:lineRule="auto"/>
              <w:jc w:val="both"/>
              <w:rPr>
                <w:rFonts w:asciiTheme="minorHAnsi" w:hAnsiTheme="minorHAnsi" w:cstheme="minorHAnsi"/>
              </w:rPr>
            </w:pPr>
            <w:r>
              <w:rPr>
                <w:rFonts w:asciiTheme="minorHAnsi" w:hAnsiTheme="minorHAnsi" w:cstheme="minorHAnsi"/>
              </w:rPr>
              <w:t>180 jours maximum après la signature du contrat</w:t>
            </w:r>
          </w:p>
        </w:tc>
      </w:tr>
    </w:tbl>
    <w:p w14:paraId="0A605740" w14:textId="2369649E" w:rsidR="007A09DF" w:rsidRDefault="00782534" w:rsidP="00C03061">
      <w:pPr>
        <w:pStyle w:val="Standard1"/>
        <w:spacing w:after="0" w:line="276" w:lineRule="auto"/>
        <w:jc w:val="both"/>
        <w:rPr>
          <w:rFonts w:asciiTheme="minorHAnsi" w:hAnsiTheme="minorHAnsi" w:cstheme="minorHAnsi"/>
          <w:lang w:val="fr-FR"/>
        </w:rPr>
      </w:pPr>
      <w:bookmarkStart w:id="17" w:name="_Toc70668759"/>
      <w:r w:rsidRPr="003A38EB">
        <w:rPr>
          <w:rFonts w:asciiTheme="minorHAnsi" w:hAnsiTheme="minorHAnsi" w:cstheme="minorHAnsi"/>
          <w:lang w:val="fr-FR"/>
        </w:rPr>
        <w:t>En outre, un support de présentation PowerPoint devra être produit pour chaque réunion de pilotage</w:t>
      </w:r>
      <w:r w:rsidR="00E43FC1">
        <w:rPr>
          <w:rFonts w:asciiTheme="minorHAnsi" w:hAnsiTheme="minorHAnsi" w:cstheme="minorHAnsi"/>
          <w:lang w:val="fr-FR"/>
        </w:rPr>
        <w:t xml:space="preserve"> et ateliers (co-construction et restitution). L’ensemble des échanges avec le comité de pilotage et les responsables de The Dot devra faire l’objet d’un compte-rendu. </w:t>
      </w:r>
    </w:p>
    <w:p w14:paraId="01C6B488" w14:textId="2C2FA5C5" w:rsidR="006D21F0" w:rsidRPr="00C03061" w:rsidRDefault="007A09DF" w:rsidP="00C03061">
      <w:pPr>
        <w:pStyle w:val="Standard1"/>
        <w:spacing w:after="0" w:line="276" w:lineRule="auto"/>
        <w:jc w:val="both"/>
        <w:rPr>
          <w:rFonts w:asciiTheme="minorHAnsi" w:hAnsiTheme="minorHAnsi" w:cstheme="minorHAnsi"/>
          <w:lang w:val="fr-FR"/>
        </w:rPr>
      </w:pPr>
      <w:r w:rsidRPr="00C03061">
        <w:rPr>
          <w:rFonts w:asciiTheme="minorHAnsi" w:hAnsiTheme="minorHAnsi" w:cstheme="minorHAnsi"/>
          <w:lang w:val="fr-FR"/>
        </w:rPr>
        <w:t xml:space="preserve">La durée de la mission est </w:t>
      </w:r>
      <w:r w:rsidR="001E40F9" w:rsidRPr="00C03061">
        <w:rPr>
          <w:rFonts w:asciiTheme="minorHAnsi" w:hAnsiTheme="minorHAnsi" w:cstheme="minorHAnsi"/>
          <w:lang w:val="fr-FR"/>
        </w:rPr>
        <w:t>estimée</w:t>
      </w:r>
      <w:r w:rsidRPr="00C03061">
        <w:rPr>
          <w:rFonts w:asciiTheme="minorHAnsi" w:hAnsiTheme="minorHAnsi" w:cstheme="minorHAnsi"/>
          <w:lang w:val="fr-FR"/>
        </w:rPr>
        <w:t xml:space="preserve"> à </w:t>
      </w:r>
      <w:r w:rsidRPr="00C03061">
        <w:rPr>
          <w:rFonts w:asciiTheme="minorHAnsi" w:hAnsiTheme="minorHAnsi" w:cstheme="minorHAnsi"/>
          <w:b/>
          <w:u w:val="single"/>
          <w:lang w:val="fr-FR"/>
        </w:rPr>
        <w:t>180 jours maximum (6 mois) à compter de la date de signature</w:t>
      </w:r>
      <w:r>
        <w:rPr>
          <w:rFonts w:asciiTheme="minorHAnsi" w:hAnsiTheme="minorHAnsi" w:cstheme="minorHAnsi"/>
          <w:b/>
          <w:u w:val="single"/>
          <w:lang w:val="fr-FR"/>
        </w:rPr>
        <w:t xml:space="preserve"> du contrat</w:t>
      </w:r>
      <w:r w:rsidRPr="00C03061">
        <w:rPr>
          <w:rFonts w:asciiTheme="minorHAnsi" w:hAnsiTheme="minorHAnsi" w:cstheme="minorHAnsi"/>
          <w:b/>
          <w:u w:val="single"/>
          <w:lang w:val="fr-FR"/>
        </w:rPr>
        <w:t>.</w:t>
      </w:r>
      <w:r w:rsidRPr="00C03061">
        <w:rPr>
          <w:rFonts w:asciiTheme="minorHAnsi" w:hAnsiTheme="minorHAnsi" w:cstheme="minorHAnsi"/>
          <w:lang w:val="fr-FR"/>
        </w:rPr>
        <w:t xml:space="preserve"> </w:t>
      </w:r>
      <w:bookmarkStart w:id="18" w:name="_Ref508122887"/>
      <w:bookmarkStart w:id="19" w:name="_Ref508122898"/>
      <w:bookmarkStart w:id="20" w:name="_Ref508122909"/>
      <w:bookmarkStart w:id="21" w:name="_Toc508619997"/>
      <w:bookmarkStart w:id="22" w:name="_Ref515637130"/>
      <w:bookmarkEnd w:id="17"/>
    </w:p>
    <w:p w14:paraId="73D8D051" w14:textId="2EE2AB3A" w:rsidR="00E43FC1" w:rsidRPr="00C03061" w:rsidRDefault="00C03061" w:rsidP="00C03061">
      <w:pPr>
        <w:pStyle w:val="Titre1"/>
        <w:spacing w:after="0" w:line="276" w:lineRule="auto"/>
        <w:rPr>
          <w:sz w:val="28"/>
        </w:rPr>
      </w:pPr>
      <w:bookmarkStart w:id="23" w:name="_Toc213859200"/>
      <w:bookmarkStart w:id="24" w:name="_Toc119493823"/>
      <w:bookmarkStart w:id="25" w:name="_Ref516123857"/>
      <w:bookmarkStart w:id="26" w:name="_Toc160172700"/>
      <w:bookmarkStart w:id="27" w:name="_Toc173484555"/>
      <w:r>
        <w:rPr>
          <w:sz w:val="28"/>
        </w:rPr>
        <w:t>Conception de l’offre technique et financière</w:t>
      </w:r>
      <w:bookmarkEnd w:id="23"/>
      <w:r>
        <w:rPr>
          <w:sz w:val="28"/>
        </w:rPr>
        <w:t xml:space="preserve"> </w:t>
      </w:r>
    </w:p>
    <w:p w14:paraId="07F37903" w14:textId="57BE9CEC" w:rsidR="00ED7487" w:rsidRPr="00C03061" w:rsidRDefault="00E43FC1" w:rsidP="00C03061">
      <w:pPr>
        <w:pStyle w:val="Titre1"/>
        <w:numPr>
          <w:ilvl w:val="0"/>
          <w:numId w:val="0"/>
        </w:numPr>
        <w:spacing w:after="0" w:line="276" w:lineRule="auto"/>
        <w:rPr>
          <w:rStyle w:val="Titre1Car"/>
          <w:rFonts w:asciiTheme="minorHAnsi" w:hAnsiTheme="minorHAnsi" w:cstheme="minorHAnsi"/>
          <w:b/>
          <w:bCs/>
          <w:szCs w:val="22"/>
        </w:rPr>
      </w:pPr>
      <w:bookmarkStart w:id="28" w:name="_Toc213859201"/>
      <w:r>
        <w:rPr>
          <w:rStyle w:val="Titre1Car"/>
          <w:rFonts w:asciiTheme="minorHAnsi" w:hAnsiTheme="minorHAnsi" w:cstheme="minorHAnsi"/>
          <w:b/>
          <w:szCs w:val="22"/>
        </w:rPr>
        <w:t xml:space="preserve">Offre </w:t>
      </w:r>
      <w:r w:rsidR="00045CE6">
        <w:rPr>
          <w:rStyle w:val="Titre1Car"/>
          <w:rFonts w:asciiTheme="minorHAnsi" w:hAnsiTheme="minorHAnsi" w:cstheme="minorHAnsi"/>
          <w:b/>
          <w:szCs w:val="22"/>
        </w:rPr>
        <w:t>technique</w:t>
      </w:r>
      <w:bookmarkEnd w:id="18"/>
      <w:bookmarkEnd w:id="19"/>
      <w:bookmarkEnd w:id="20"/>
      <w:bookmarkEnd w:id="21"/>
      <w:bookmarkEnd w:id="22"/>
      <w:bookmarkEnd w:id="24"/>
      <w:bookmarkEnd w:id="25"/>
      <w:bookmarkEnd w:id="26"/>
      <w:bookmarkEnd w:id="27"/>
      <w:bookmarkEnd w:id="28"/>
    </w:p>
    <w:p w14:paraId="2C3AE10D" w14:textId="5BCFD11E" w:rsidR="00045CE6" w:rsidRDefault="00045CE6" w:rsidP="00C03061">
      <w:pPr>
        <w:spacing w:after="0" w:line="276" w:lineRule="auto"/>
        <w:jc w:val="both"/>
        <w:rPr>
          <w:rFonts w:asciiTheme="minorHAnsi" w:hAnsiTheme="minorHAnsi" w:cstheme="minorHAnsi"/>
        </w:rPr>
      </w:pPr>
      <w:r>
        <w:rPr>
          <w:rFonts w:asciiTheme="minorHAnsi" w:hAnsiTheme="minorHAnsi" w:cstheme="minorHAnsi"/>
        </w:rPr>
        <w:t xml:space="preserve">Dans son offre technique, le prestataire devra proposer : </w:t>
      </w:r>
    </w:p>
    <w:p w14:paraId="7F97A7B6" w14:textId="61B3A50E" w:rsidR="00045CE6" w:rsidRPr="00C03061" w:rsidRDefault="00045CE6" w:rsidP="00BB606A">
      <w:pPr>
        <w:pStyle w:val="Paragraphedeliste"/>
        <w:numPr>
          <w:ilvl w:val="0"/>
          <w:numId w:val="13"/>
        </w:numPr>
        <w:spacing w:line="276" w:lineRule="auto"/>
        <w:jc w:val="both"/>
        <w:rPr>
          <w:rFonts w:asciiTheme="minorHAnsi" w:hAnsiTheme="minorHAnsi" w:cstheme="minorHAnsi"/>
        </w:rPr>
      </w:pPr>
      <w:r w:rsidRPr="00C03061">
        <w:rPr>
          <w:rFonts w:asciiTheme="minorHAnsi" w:hAnsiTheme="minorHAnsi" w:cstheme="minorHAnsi"/>
        </w:rPr>
        <w:t>Proposer une analyse sur les éléments des termes de référence</w:t>
      </w:r>
      <w:r>
        <w:rPr>
          <w:rFonts w:asciiTheme="minorHAnsi" w:hAnsiTheme="minorHAnsi" w:cstheme="minorHAnsi"/>
        </w:rPr>
        <w:t xml:space="preserve"> ; </w:t>
      </w:r>
    </w:p>
    <w:p w14:paraId="1D2F2D73" w14:textId="25F735FD" w:rsidR="00045CE6" w:rsidRPr="00C03061" w:rsidRDefault="00045CE6" w:rsidP="00BB606A">
      <w:pPr>
        <w:pStyle w:val="Paragraphedeliste"/>
        <w:numPr>
          <w:ilvl w:val="0"/>
          <w:numId w:val="13"/>
        </w:numPr>
        <w:spacing w:line="276" w:lineRule="auto"/>
        <w:jc w:val="both"/>
        <w:rPr>
          <w:rFonts w:asciiTheme="minorHAnsi" w:hAnsiTheme="minorHAnsi" w:cstheme="minorHAnsi"/>
        </w:rPr>
      </w:pPr>
      <w:r w:rsidRPr="00C03061">
        <w:rPr>
          <w:rFonts w:asciiTheme="minorHAnsi" w:hAnsiTheme="minorHAnsi" w:cstheme="minorHAnsi"/>
        </w:rPr>
        <w:t xml:space="preserve">Une </w:t>
      </w:r>
      <w:r w:rsidR="002A32D5">
        <w:rPr>
          <w:rFonts w:asciiTheme="minorHAnsi" w:hAnsiTheme="minorHAnsi" w:cstheme="minorHAnsi"/>
        </w:rPr>
        <w:t>proposition de</w:t>
      </w:r>
      <w:r w:rsidRPr="00C03061">
        <w:rPr>
          <w:rFonts w:asciiTheme="minorHAnsi" w:hAnsiTheme="minorHAnsi" w:cstheme="minorHAnsi"/>
        </w:rPr>
        <w:t xml:space="preserve"> la méthodologie qui sera employée pour la réalisation des activités</w:t>
      </w:r>
      <w:r>
        <w:rPr>
          <w:rFonts w:asciiTheme="minorHAnsi" w:hAnsiTheme="minorHAnsi" w:cstheme="minorHAnsi"/>
        </w:rPr>
        <w:t> </w:t>
      </w:r>
      <w:r w:rsidR="002A32D5">
        <w:rPr>
          <w:rFonts w:asciiTheme="minorHAnsi" w:hAnsiTheme="minorHAnsi" w:cstheme="minorHAnsi"/>
        </w:rPr>
        <w:t xml:space="preserve">tenant compte de la volumétrie de la collecte </w:t>
      </w:r>
      <w:r>
        <w:rPr>
          <w:rFonts w:asciiTheme="minorHAnsi" w:hAnsiTheme="minorHAnsi" w:cstheme="minorHAnsi"/>
        </w:rPr>
        <w:t>(outils, moyens, méthodes d’analyse)</w:t>
      </w:r>
      <w:r w:rsidRPr="00C03061">
        <w:rPr>
          <w:rFonts w:asciiTheme="minorHAnsi" w:hAnsiTheme="minorHAnsi" w:cstheme="minorHAnsi"/>
        </w:rPr>
        <w:t xml:space="preserve"> ;</w:t>
      </w:r>
      <w:r>
        <w:rPr>
          <w:rFonts w:asciiTheme="minorHAnsi" w:hAnsiTheme="minorHAnsi" w:cstheme="minorHAnsi"/>
        </w:rPr>
        <w:t xml:space="preserve"> </w:t>
      </w:r>
    </w:p>
    <w:p w14:paraId="19DBA1AA" w14:textId="2450D31E" w:rsidR="00045CE6" w:rsidRPr="00C03061" w:rsidRDefault="00045CE6" w:rsidP="00BB606A">
      <w:pPr>
        <w:pStyle w:val="Paragraphedeliste"/>
        <w:numPr>
          <w:ilvl w:val="0"/>
          <w:numId w:val="13"/>
        </w:numPr>
        <w:spacing w:line="276" w:lineRule="auto"/>
        <w:jc w:val="both"/>
        <w:rPr>
          <w:rFonts w:asciiTheme="minorHAnsi" w:hAnsiTheme="minorHAnsi" w:cstheme="minorHAnsi"/>
        </w:rPr>
      </w:pPr>
      <w:r w:rsidRPr="00C03061">
        <w:rPr>
          <w:rFonts w:asciiTheme="minorHAnsi" w:hAnsiTheme="minorHAnsi" w:cstheme="minorHAnsi"/>
        </w:rPr>
        <w:t xml:space="preserve">Un </w:t>
      </w:r>
      <w:r>
        <w:rPr>
          <w:rFonts w:asciiTheme="minorHAnsi" w:hAnsiTheme="minorHAnsi" w:cstheme="minorHAnsi"/>
        </w:rPr>
        <w:t xml:space="preserve">planning d’exécution de la prestation ; </w:t>
      </w:r>
    </w:p>
    <w:p w14:paraId="00F02FE5" w14:textId="5CCC9B02" w:rsidR="00045CE6" w:rsidRPr="00C03061" w:rsidRDefault="00045CE6" w:rsidP="00BB606A">
      <w:pPr>
        <w:pStyle w:val="Paragraphedeliste"/>
        <w:numPr>
          <w:ilvl w:val="0"/>
          <w:numId w:val="13"/>
        </w:numPr>
        <w:spacing w:line="276" w:lineRule="auto"/>
        <w:jc w:val="both"/>
        <w:rPr>
          <w:rFonts w:asciiTheme="minorHAnsi" w:hAnsiTheme="minorHAnsi" w:cstheme="minorHAnsi"/>
        </w:rPr>
      </w:pPr>
      <w:r w:rsidRPr="00C03061">
        <w:rPr>
          <w:rFonts w:asciiTheme="minorHAnsi" w:hAnsiTheme="minorHAnsi" w:cstheme="minorHAnsi"/>
        </w:rPr>
        <w:t xml:space="preserve">Établir un planning d’affectation du personnel </w:t>
      </w:r>
      <w:r>
        <w:rPr>
          <w:rFonts w:asciiTheme="minorHAnsi" w:hAnsiTheme="minorHAnsi" w:cstheme="minorHAnsi"/>
        </w:rPr>
        <w:t>en fonction des tâches et objectifs de la mission. C</w:t>
      </w:r>
      <w:r w:rsidRPr="00C03061">
        <w:rPr>
          <w:rFonts w:asciiTheme="minorHAnsi" w:hAnsiTheme="minorHAnsi" w:cstheme="minorHAnsi"/>
        </w:rPr>
        <w:t>e planning devra illustrer les durées d’intervention (périodes et jours d’expert·e</w:t>
      </w:r>
      <w:r w:rsidR="00B8358C">
        <w:rPr>
          <w:rFonts w:asciiTheme="minorHAnsi" w:hAnsiTheme="minorHAnsi" w:cstheme="minorHAnsi"/>
        </w:rPr>
        <w:t xml:space="preserve"> et/ou enquêteurs.trices</w:t>
      </w:r>
      <w:r w:rsidRPr="00C03061">
        <w:rPr>
          <w:rFonts w:asciiTheme="minorHAnsi" w:hAnsiTheme="minorHAnsi" w:cstheme="minorHAnsi"/>
        </w:rPr>
        <w:t>) et les lieux d’intervention des différents membres de l’équipe et les affecter aux étapes mentionnées dans le planning d’exécution</w:t>
      </w:r>
      <w:r>
        <w:rPr>
          <w:rFonts w:asciiTheme="minorHAnsi" w:hAnsiTheme="minorHAnsi" w:cstheme="minorHAnsi"/>
        </w:rPr>
        <w:t xml:space="preserve"> ; </w:t>
      </w:r>
    </w:p>
    <w:p w14:paraId="4609194F" w14:textId="52A7C250" w:rsidR="00045CE6" w:rsidRDefault="00045CE6" w:rsidP="00BB606A">
      <w:pPr>
        <w:pStyle w:val="Paragraphedeliste"/>
        <w:numPr>
          <w:ilvl w:val="0"/>
          <w:numId w:val="13"/>
        </w:numPr>
        <w:spacing w:line="276" w:lineRule="auto"/>
        <w:jc w:val="both"/>
        <w:rPr>
          <w:rFonts w:asciiTheme="minorHAnsi" w:hAnsiTheme="minorHAnsi" w:cstheme="minorHAnsi"/>
        </w:rPr>
      </w:pPr>
      <w:r w:rsidRPr="00C03061">
        <w:rPr>
          <w:rFonts w:asciiTheme="minorHAnsi" w:hAnsiTheme="minorHAnsi" w:cstheme="minorHAnsi"/>
        </w:rPr>
        <w:t>Le(s) Curriculum Vitae du (des) expert(s) désigné(s) pour la mise en œuvre des activités mentionnant les expériences similaires</w:t>
      </w:r>
      <w:r>
        <w:rPr>
          <w:rFonts w:asciiTheme="minorHAnsi" w:hAnsiTheme="minorHAnsi" w:cstheme="minorHAnsi"/>
        </w:rPr>
        <w:t xml:space="preserve"> ; </w:t>
      </w:r>
    </w:p>
    <w:p w14:paraId="08D66330" w14:textId="6EA64BD9" w:rsidR="00045CE6" w:rsidRPr="00C03061" w:rsidRDefault="00045CE6" w:rsidP="00BB606A">
      <w:pPr>
        <w:pStyle w:val="Paragraphedeliste"/>
        <w:numPr>
          <w:ilvl w:val="0"/>
          <w:numId w:val="13"/>
        </w:numPr>
        <w:spacing w:line="276" w:lineRule="auto"/>
        <w:jc w:val="both"/>
        <w:rPr>
          <w:rFonts w:asciiTheme="minorHAnsi" w:hAnsiTheme="minorHAnsi" w:cstheme="minorHAnsi"/>
        </w:rPr>
      </w:pPr>
      <w:r>
        <w:rPr>
          <w:rFonts w:asciiTheme="minorHAnsi" w:hAnsiTheme="minorHAnsi" w:cstheme="minorHAnsi"/>
        </w:rPr>
        <w:t>Des preuves de mise en œuvre d’activités</w:t>
      </w:r>
      <w:r w:rsidR="002A32D5">
        <w:rPr>
          <w:rFonts w:asciiTheme="minorHAnsi" w:hAnsiTheme="minorHAnsi" w:cstheme="minorHAnsi"/>
        </w:rPr>
        <w:t>/études</w:t>
      </w:r>
      <w:r>
        <w:rPr>
          <w:rFonts w:asciiTheme="minorHAnsi" w:hAnsiTheme="minorHAnsi" w:cstheme="minorHAnsi"/>
        </w:rPr>
        <w:t xml:space="preserve"> similaires. </w:t>
      </w:r>
    </w:p>
    <w:p w14:paraId="734BB0F8" w14:textId="558D9DD6" w:rsidR="00045CE6" w:rsidRDefault="00045CE6" w:rsidP="00C03061">
      <w:pPr>
        <w:spacing w:line="276" w:lineRule="auto"/>
        <w:jc w:val="both"/>
        <w:rPr>
          <w:rFonts w:asciiTheme="minorHAnsi" w:hAnsiTheme="minorHAnsi" w:cstheme="minorHAnsi"/>
        </w:rPr>
      </w:pPr>
      <w:r w:rsidRPr="00C03061">
        <w:rPr>
          <w:rFonts w:asciiTheme="minorHAnsi" w:hAnsiTheme="minorHAnsi" w:cstheme="minorHAnsi" w:hint="eastAsia"/>
        </w:rPr>
        <w:t>L</w:t>
      </w:r>
      <w:r w:rsidRPr="00C03061">
        <w:rPr>
          <w:rFonts w:asciiTheme="minorHAnsi" w:hAnsiTheme="minorHAnsi" w:cstheme="minorHAnsi"/>
        </w:rPr>
        <w:t xml:space="preserve">e prestataire </w:t>
      </w:r>
      <w:r>
        <w:rPr>
          <w:rFonts w:asciiTheme="minorHAnsi" w:hAnsiTheme="minorHAnsi" w:cstheme="minorHAnsi"/>
        </w:rPr>
        <w:t>est libre (i) d’ajouter à son offre tous éléments qu’il juge nécessaire afin de démontrer sa capacité à atteindre les objectifs de la mission et (ii) des recommandations et/ou points d’attention sur l</w:t>
      </w:r>
      <w:r w:rsidR="002A32D5">
        <w:rPr>
          <w:rFonts w:asciiTheme="minorHAnsi" w:hAnsiTheme="minorHAnsi" w:cstheme="minorHAnsi"/>
        </w:rPr>
        <w:t>es TDR et l</w:t>
      </w:r>
      <w:r>
        <w:rPr>
          <w:rFonts w:asciiTheme="minorHAnsi" w:hAnsiTheme="minorHAnsi" w:cstheme="minorHAnsi"/>
        </w:rPr>
        <w:t xml:space="preserve">a mise en œuvre de la mission. </w:t>
      </w:r>
    </w:p>
    <w:p w14:paraId="2329BE9A" w14:textId="30608C48" w:rsidR="00045CE6" w:rsidRDefault="00045CE6" w:rsidP="00C03061">
      <w:pPr>
        <w:pStyle w:val="Titre1"/>
        <w:numPr>
          <w:ilvl w:val="0"/>
          <w:numId w:val="0"/>
        </w:numPr>
        <w:spacing w:after="0" w:line="276" w:lineRule="auto"/>
        <w:rPr>
          <w:rStyle w:val="Titre1Car"/>
          <w:rFonts w:asciiTheme="minorHAnsi" w:hAnsiTheme="minorHAnsi" w:cstheme="minorHAnsi"/>
          <w:b/>
          <w:szCs w:val="22"/>
        </w:rPr>
      </w:pPr>
      <w:bookmarkStart w:id="29" w:name="_Toc213859202"/>
      <w:r w:rsidRPr="00C03061">
        <w:rPr>
          <w:rStyle w:val="Titre1Car"/>
          <w:rFonts w:asciiTheme="minorHAnsi" w:hAnsiTheme="minorHAnsi" w:cstheme="minorHAnsi"/>
          <w:b/>
          <w:szCs w:val="22"/>
        </w:rPr>
        <w:t>Offre financière</w:t>
      </w:r>
      <w:bookmarkEnd w:id="29"/>
      <w:r w:rsidRPr="00C03061">
        <w:rPr>
          <w:rStyle w:val="Titre1Car"/>
          <w:rFonts w:asciiTheme="minorHAnsi" w:hAnsiTheme="minorHAnsi" w:cstheme="minorHAnsi"/>
          <w:b/>
          <w:szCs w:val="22"/>
        </w:rPr>
        <w:t xml:space="preserve"> </w:t>
      </w:r>
    </w:p>
    <w:p w14:paraId="02F2749C" w14:textId="5E964DF9" w:rsidR="00045CE6" w:rsidRPr="00C03061" w:rsidRDefault="00045CE6" w:rsidP="00C03061">
      <w:pPr>
        <w:spacing w:after="0" w:line="276" w:lineRule="auto"/>
        <w:jc w:val="both"/>
        <w:rPr>
          <w:rFonts w:asciiTheme="minorHAnsi" w:hAnsiTheme="minorHAnsi" w:cstheme="minorHAnsi"/>
        </w:rPr>
      </w:pPr>
      <w:r>
        <w:rPr>
          <w:rFonts w:asciiTheme="minorHAnsi" w:hAnsiTheme="minorHAnsi" w:cstheme="minorHAnsi"/>
        </w:rPr>
        <w:t xml:space="preserve">Dans son offre financière, le prestataire devra proposer : </w:t>
      </w:r>
    </w:p>
    <w:p w14:paraId="07FBBF88" w14:textId="4E4B4AD8" w:rsidR="00045CE6" w:rsidRDefault="00045CE6" w:rsidP="00BB606A">
      <w:pPr>
        <w:numPr>
          <w:ilvl w:val="0"/>
          <w:numId w:val="15"/>
        </w:numPr>
        <w:autoSpaceDE w:val="0"/>
        <w:spacing w:after="120" w:line="276" w:lineRule="auto"/>
        <w:jc w:val="both"/>
        <w:rPr>
          <w:rFonts w:asciiTheme="minorHAnsi" w:hAnsiTheme="minorHAnsi" w:cstheme="minorHAnsi"/>
        </w:rPr>
      </w:pPr>
      <w:r w:rsidRPr="00C03061">
        <w:rPr>
          <w:rFonts w:asciiTheme="minorHAnsi" w:hAnsiTheme="minorHAnsi" w:cstheme="minorHAnsi"/>
        </w:rPr>
        <w:t>Une décomposition de l’offre financière présentée sous la forme d’un bordereau de prix unitaires indiquant le prix en journée /hommes</w:t>
      </w:r>
      <w:r w:rsidR="002A32D5">
        <w:rPr>
          <w:rFonts w:asciiTheme="minorHAnsi" w:hAnsiTheme="minorHAnsi" w:cstheme="minorHAnsi"/>
        </w:rPr>
        <w:t>.femmes</w:t>
      </w:r>
      <w:r w:rsidRPr="00C03061">
        <w:rPr>
          <w:rFonts w:asciiTheme="minorHAnsi" w:hAnsiTheme="minorHAnsi" w:cstheme="minorHAnsi"/>
        </w:rPr>
        <w:t xml:space="preserve"> et avec une estimation du nombre de jours nécessaires à exécuter la prestation et couvrant l’ensemble des prestations dues au titre du marché ;</w:t>
      </w:r>
    </w:p>
    <w:p w14:paraId="48524900" w14:textId="695246AD" w:rsidR="00CE1272" w:rsidRDefault="00CE1272" w:rsidP="00BB606A">
      <w:pPr>
        <w:pStyle w:val="Paragraphedeliste"/>
        <w:numPr>
          <w:ilvl w:val="0"/>
          <w:numId w:val="15"/>
        </w:numPr>
        <w:tabs>
          <w:tab w:val="right" w:leader="dot" w:pos="9923"/>
        </w:tabs>
        <w:spacing w:after="120" w:line="276" w:lineRule="auto"/>
        <w:contextualSpacing w:val="0"/>
        <w:jc w:val="both"/>
        <w:rPr>
          <w:rFonts w:asciiTheme="minorHAnsi" w:hAnsiTheme="minorHAnsi" w:cstheme="minorHAnsi"/>
        </w:rPr>
      </w:pPr>
      <w:r w:rsidRPr="00C03061">
        <w:rPr>
          <w:rFonts w:asciiTheme="minorHAnsi" w:hAnsiTheme="minorHAnsi" w:cstheme="minorHAnsi"/>
        </w:rPr>
        <w:t xml:space="preserve">L’ensemble des </w:t>
      </w:r>
      <w:r w:rsidRPr="00C03061">
        <w:rPr>
          <w:rFonts w:asciiTheme="minorHAnsi" w:hAnsiTheme="minorHAnsi" w:cstheme="minorHAnsi" w:hint="eastAsia"/>
        </w:rPr>
        <w:t>co</w:t>
      </w:r>
      <w:r w:rsidRPr="00C03061">
        <w:rPr>
          <w:rFonts w:asciiTheme="minorHAnsi" w:hAnsiTheme="minorHAnsi" w:cstheme="minorHAnsi" w:hint="cs"/>
        </w:rPr>
        <w:t>û</w:t>
      </w:r>
      <w:r w:rsidRPr="00C03061">
        <w:rPr>
          <w:rFonts w:asciiTheme="minorHAnsi" w:hAnsiTheme="minorHAnsi" w:cstheme="minorHAnsi" w:hint="eastAsia"/>
        </w:rPr>
        <w:t>ts annexes</w:t>
      </w:r>
      <w:r w:rsidRPr="00C03061">
        <w:rPr>
          <w:rFonts w:asciiTheme="minorHAnsi" w:hAnsiTheme="minorHAnsi" w:cstheme="minorHAnsi"/>
        </w:rPr>
        <w:t> </w:t>
      </w:r>
      <w:r w:rsidRPr="00C03061">
        <w:rPr>
          <w:rFonts w:asciiTheme="minorHAnsi" w:hAnsiTheme="minorHAnsi" w:cstheme="minorHAnsi" w:hint="eastAsia"/>
        </w:rPr>
        <w:t>: frais de transport,</w:t>
      </w:r>
      <w:r>
        <w:rPr>
          <w:rFonts w:asciiTheme="minorHAnsi" w:hAnsiTheme="minorHAnsi" w:cstheme="minorHAnsi"/>
        </w:rPr>
        <w:t xml:space="preserve"> frais de mission,</w:t>
      </w:r>
      <w:r w:rsidRPr="00C03061">
        <w:rPr>
          <w:rFonts w:asciiTheme="minorHAnsi" w:hAnsiTheme="minorHAnsi" w:cstheme="minorHAnsi" w:hint="eastAsia"/>
        </w:rPr>
        <w:t xml:space="preserve"> frais logistiques, frais de traduction</w:t>
      </w:r>
      <w:r>
        <w:rPr>
          <w:rFonts w:asciiTheme="minorHAnsi" w:hAnsiTheme="minorHAnsi" w:cstheme="minorHAnsi"/>
        </w:rPr>
        <w:t xml:space="preserve">. </w:t>
      </w:r>
      <w:r w:rsidRPr="00C03061">
        <w:rPr>
          <w:rFonts w:asciiTheme="minorHAnsi" w:hAnsiTheme="minorHAnsi" w:cstheme="minorHAnsi"/>
        </w:rPr>
        <w:t xml:space="preserve"> </w:t>
      </w:r>
    </w:p>
    <w:p w14:paraId="2B92701C" w14:textId="7AF51222" w:rsidR="00154EE7" w:rsidRPr="00C03061" w:rsidRDefault="00CE1272" w:rsidP="00C03061">
      <w:pPr>
        <w:spacing w:line="276" w:lineRule="auto"/>
        <w:jc w:val="both"/>
        <w:rPr>
          <w:rFonts w:asciiTheme="minorHAnsi" w:hAnsiTheme="minorHAnsi" w:cstheme="minorHAnsi"/>
        </w:rPr>
      </w:pPr>
      <w:r w:rsidRPr="00C03061">
        <w:rPr>
          <w:rFonts w:asciiTheme="minorHAnsi" w:hAnsiTheme="minorHAnsi" w:cstheme="minorHAnsi"/>
          <w:b/>
          <w:u w:val="single"/>
        </w:rPr>
        <w:t>N.B :</w:t>
      </w:r>
      <w:r>
        <w:rPr>
          <w:rFonts w:asciiTheme="minorHAnsi" w:hAnsiTheme="minorHAnsi" w:cstheme="minorHAnsi"/>
        </w:rPr>
        <w:t xml:space="preserve"> les coûts logistiques liés à l’organisation de l’atelier de co-construction et à l’atelier de restitution (location de salle, restauration, déplacement de partenaires, invitations, etc.) seront pris en charge au réel par Expertise France. </w:t>
      </w:r>
    </w:p>
    <w:p w14:paraId="465BCC84" w14:textId="77777777" w:rsidR="00CE1272" w:rsidRPr="00C03061" w:rsidRDefault="00CE1272" w:rsidP="00C03061">
      <w:pPr>
        <w:spacing w:line="276" w:lineRule="auto"/>
        <w:jc w:val="both"/>
      </w:pPr>
      <w:bookmarkStart w:id="30" w:name="_Toc119492755"/>
      <w:bookmarkStart w:id="31" w:name="_Toc119492800"/>
      <w:bookmarkStart w:id="32" w:name="_Toc119492849"/>
      <w:bookmarkStart w:id="33" w:name="_Toc119492965"/>
      <w:bookmarkStart w:id="34" w:name="_Toc119493053"/>
      <w:bookmarkStart w:id="35" w:name="_Toc119493203"/>
      <w:bookmarkStart w:id="36" w:name="_Toc119493827"/>
      <w:bookmarkStart w:id="37" w:name="_Ref508122918"/>
      <w:bookmarkStart w:id="38" w:name="_Ref508122930"/>
      <w:bookmarkStart w:id="39" w:name="_Toc508620005"/>
      <w:bookmarkStart w:id="40" w:name="_Toc119493828"/>
      <w:bookmarkStart w:id="41" w:name="_Toc160172704"/>
      <w:bookmarkStart w:id="42" w:name="_Toc173484559"/>
      <w:bookmarkStart w:id="43" w:name="_GoBack"/>
      <w:bookmarkEnd w:id="30"/>
      <w:bookmarkEnd w:id="31"/>
      <w:bookmarkEnd w:id="32"/>
      <w:bookmarkEnd w:id="33"/>
      <w:bookmarkEnd w:id="34"/>
      <w:bookmarkEnd w:id="35"/>
      <w:bookmarkEnd w:id="36"/>
      <w:bookmarkEnd w:id="43"/>
    </w:p>
    <w:p w14:paraId="66994468" w14:textId="51D4B8C1" w:rsidR="00312415" w:rsidRPr="00C03061" w:rsidRDefault="00CE1272" w:rsidP="00C03061">
      <w:pPr>
        <w:pStyle w:val="Titre1"/>
        <w:spacing w:after="0" w:line="276" w:lineRule="auto"/>
        <w:rPr>
          <w:sz w:val="28"/>
        </w:rPr>
      </w:pPr>
      <w:bookmarkStart w:id="44" w:name="_Toc213859204"/>
      <w:bookmarkEnd w:id="37"/>
      <w:bookmarkEnd w:id="38"/>
      <w:bookmarkEnd w:id="39"/>
      <w:bookmarkEnd w:id="40"/>
      <w:bookmarkEnd w:id="41"/>
      <w:bookmarkEnd w:id="42"/>
      <w:r w:rsidRPr="00C03061">
        <w:rPr>
          <w:sz w:val="28"/>
        </w:rPr>
        <w:t xml:space="preserve">Profil du </w:t>
      </w:r>
      <w:r w:rsidR="001111DA" w:rsidRPr="00C03061">
        <w:rPr>
          <w:sz w:val="28"/>
        </w:rPr>
        <w:t>prestataire</w:t>
      </w:r>
      <w:bookmarkEnd w:id="44"/>
      <w:r w:rsidRPr="00C03061">
        <w:rPr>
          <w:sz w:val="28"/>
        </w:rPr>
        <w:t xml:space="preserve"> </w:t>
      </w:r>
    </w:p>
    <w:p w14:paraId="499B040B" w14:textId="1B7F6E6C" w:rsidR="00C32B7C" w:rsidRPr="00BE1627" w:rsidRDefault="00C32B7C" w:rsidP="00C32B7C">
      <w:pPr>
        <w:pStyle w:val="Titre1"/>
        <w:numPr>
          <w:ilvl w:val="0"/>
          <w:numId w:val="0"/>
        </w:numPr>
        <w:spacing w:after="0" w:line="276" w:lineRule="auto"/>
        <w:rPr>
          <w:rStyle w:val="Titre1Car"/>
          <w:rFonts w:asciiTheme="minorHAnsi" w:hAnsiTheme="minorHAnsi" w:cstheme="minorHAnsi"/>
          <w:b/>
          <w:szCs w:val="22"/>
        </w:rPr>
      </w:pPr>
      <w:bookmarkStart w:id="45" w:name="_Toc213859205"/>
      <w:bookmarkStart w:id="46" w:name="_Toc119493830"/>
      <w:bookmarkStart w:id="47" w:name="_Toc160172706"/>
      <w:bookmarkStart w:id="48" w:name="_Toc173484561"/>
      <w:r w:rsidRPr="00BE1627">
        <w:rPr>
          <w:rStyle w:val="Titre1Car"/>
          <w:rFonts w:asciiTheme="minorHAnsi" w:hAnsiTheme="minorHAnsi" w:cstheme="minorHAnsi"/>
          <w:b/>
          <w:szCs w:val="22"/>
        </w:rPr>
        <w:t xml:space="preserve">Profil </w:t>
      </w:r>
      <w:r>
        <w:rPr>
          <w:rStyle w:val="Titre1Car"/>
          <w:rFonts w:asciiTheme="minorHAnsi" w:hAnsiTheme="minorHAnsi" w:cstheme="minorHAnsi"/>
          <w:b/>
          <w:szCs w:val="22"/>
        </w:rPr>
        <w:t>du prestataire (cabinet</w:t>
      </w:r>
      <w:r w:rsidR="00C03061">
        <w:rPr>
          <w:rStyle w:val="Titre1Car"/>
          <w:rFonts w:asciiTheme="minorHAnsi" w:hAnsiTheme="minorHAnsi" w:cstheme="minorHAnsi"/>
          <w:b/>
          <w:szCs w:val="22"/>
        </w:rPr>
        <w:t xml:space="preserve"> et/ou consortium</w:t>
      </w:r>
      <w:r>
        <w:rPr>
          <w:rStyle w:val="Titre1Car"/>
          <w:rFonts w:asciiTheme="minorHAnsi" w:hAnsiTheme="minorHAnsi" w:cstheme="minorHAnsi"/>
          <w:b/>
          <w:szCs w:val="22"/>
        </w:rPr>
        <w:t>) en</w:t>
      </w:r>
      <w:r w:rsidRPr="00BE1627">
        <w:rPr>
          <w:rStyle w:val="Titre1Car"/>
          <w:rFonts w:asciiTheme="minorHAnsi" w:hAnsiTheme="minorHAnsi" w:cstheme="minorHAnsi"/>
          <w:b/>
          <w:szCs w:val="22"/>
        </w:rPr>
        <w:t xml:space="preserve"> charge de l’exécution </w:t>
      </w:r>
      <w:r>
        <w:rPr>
          <w:rStyle w:val="Titre1Car"/>
          <w:rFonts w:asciiTheme="minorHAnsi" w:hAnsiTheme="minorHAnsi" w:cstheme="minorHAnsi"/>
          <w:b/>
          <w:szCs w:val="22"/>
        </w:rPr>
        <w:t xml:space="preserve">globale </w:t>
      </w:r>
      <w:r w:rsidRPr="00BE1627">
        <w:rPr>
          <w:rStyle w:val="Titre1Car"/>
          <w:rFonts w:asciiTheme="minorHAnsi" w:hAnsiTheme="minorHAnsi" w:cstheme="minorHAnsi"/>
          <w:b/>
          <w:szCs w:val="22"/>
        </w:rPr>
        <w:t>de la présente mission</w:t>
      </w:r>
      <w:bookmarkEnd w:id="45"/>
      <w:r w:rsidRPr="00BE1627">
        <w:rPr>
          <w:rStyle w:val="Titre1Car"/>
          <w:rFonts w:asciiTheme="minorHAnsi" w:hAnsiTheme="minorHAnsi" w:cstheme="minorHAnsi"/>
          <w:b/>
          <w:szCs w:val="22"/>
        </w:rPr>
        <w:t> </w:t>
      </w:r>
    </w:p>
    <w:p w14:paraId="5AF6EC6A" w14:textId="77777777" w:rsidR="00C32B7C" w:rsidRPr="00BE1627" w:rsidRDefault="00C32B7C" w:rsidP="00C32B7C">
      <w:pPr>
        <w:pStyle w:val="Corpsdetexte"/>
        <w:spacing w:before="93" w:line="276" w:lineRule="auto"/>
        <w:ind w:right="133"/>
        <w:jc w:val="both"/>
        <w:rPr>
          <w:rFonts w:ascii="Calibri" w:eastAsia="Arial Unicode MS" w:hAnsi="Calibri" w:cs="Calibri"/>
        </w:rPr>
      </w:pPr>
      <w:r w:rsidRPr="00BE1627">
        <w:rPr>
          <w:rFonts w:ascii="Calibri" w:eastAsia="Arial Unicode MS" w:hAnsi="Calibri" w:cs="Calibri"/>
        </w:rPr>
        <w:t xml:space="preserve">Le prestataire aura une expérience substantielle et réussie et démontrée dans le domaine concerné par la consultation (étude de référence, enquêtes et sondages, études d’impacts, entrepreneuriat, </w:t>
      </w:r>
      <w:r w:rsidRPr="00C03061">
        <w:rPr>
          <w:rFonts w:ascii="Calibri" w:eastAsia="Arial Unicode MS" w:hAnsi="Calibri" w:cs="Calibri"/>
          <w:i/>
        </w:rPr>
        <w:t>ecosystem building</w:t>
      </w:r>
      <w:r w:rsidRPr="00BE1627">
        <w:rPr>
          <w:rFonts w:ascii="Calibri" w:eastAsia="Arial Unicode MS" w:hAnsi="Calibri" w:cs="Calibri"/>
        </w:rPr>
        <w:t xml:space="preserve">, etc.) et devra justifier : </w:t>
      </w:r>
    </w:p>
    <w:p w14:paraId="4DD89737" w14:textId="6A1C1430" w:rsidR="00C32B7C" w:rsidRPr="00BE1627" w:rsidRDefault="00C32B7C" w:rsidP="00BB606A">
      <w:pPr>
        <w:pStyle w:val="Corpsdetexte"/>
        <w:numPr>
          <w:ilvl w:val="0"/>
          <w:numId w:val="15"/>
        </w:numPr>
        <w:spacing w:before="93" w:line="276" w:lineRule="auto"/>
        <w:ind w:right="133"/>
        <w:jc w:val="both"/>
        <w:rPr>
          <w:rFonts w:ascii="Calibri" w:eastAsia="Arial Unicode MS" w:hAnsi="Calibri" w:cs="Calibri"/>
        </w:rPr>
      </w:pPr>
      <w:r>
        <w:rPr>
          <w:rFonts w:ascii="Calibri" w:eastAsia="Arial Unicode MS" w:hAnsi="Calibri" w:cs="Calibri"/>
        </w:rPr>
        <w:t>D’a</w:t>
      </w:r>
      <w:r w:rsidRPr="00BE1627">
        <w:rPr>
          <w:rFonts w:ascii="Calibri" w:eastAsia="Arial Unicode MS" w:hAnsi="Calibri" w:cs="Calibri"/>
        </w:rPr>
        <w:t xml:space="preserve">u moins 5 expériences </w:t>
      </w:r>
      <w:r>
        <w:rPr>
          <w:rFonts w:ascii="Calibri" w:eastAsia="Arial Unicode MS" w:hAnsi="Calibri" w:cs="Calibri"/>
        </w:rPr>
        <w:t xml:space="preserve">similaires justifiée par une attestation de bonne fin d’exécution </w:t>
      </w:r>
      <w:r w:rsidRPr="00BE1627">
        <w:rPr>
          <w:rFonts w:ascii="Calibri" w:eastAsia="Arial Unicode MS" w:hAnsi="Calibri" w:cs="Calibri"/>
        </w:rPr>
        <w:t>;</w:t>
      </w:r>
      <w:r>
        <w:rPr>
          <w:rFonts w:ascii="Calibri" w:eastAsia="Arial Unicode MS" w:hAnsi="Calibri" w:cs="Calibri"/>
        </w:rPr>
        <w:t xml:space="preserve"> </w:t>
      </w:r>
    </w:p>
    <w:p w14:paraId="465E2AB5" w14:textId="12504F84" w:rsidR="00C32B7C" w:rsidRPr="00C03061" w:rsidRDefault="00C32B7C" w:rsidP="00BB606A">
      <w:pPr>
        <w:pStyle w:val="Corpsdetexte"/>
        <w:numPr>
          <w:ilvl w:val="0"/>
          <w:numId w:val="15"/>
        </w:numPr>
        <w:spacing w:before="93" w:line="276" w:lineRule="auto"/>
        <w:ind w:right="133"/>
        <w:jc w:val="both"/>
        <w:rPr>
          <w:rFonts w:ascii="Calibri" w:eastAsia="Arial Unicode MS" w:hAnsi="Calibri" w:cs="Calibri"/>
        </w:rPr>
      </w:pPr>
      <w:r w:rsidRPr="00BE1627">
        <w:rPr>
          <w:rFonts w:ascii="Calibri" w:eastAsia="Arial Unicode MS" w:hAnsi="Calibri" w:cs="Calibri"/>
        </w:rPr>
        <w:t>Au moins 3 expériences précédentes avec un bailleur de fonds (Union européenne, AFD…) et/ou une agence de coopération internationale (GIZ, Expertise France, ENABEL…)</w:t>
      </w:r>
      <w:r>
        <w:rPr>
          <w:rFonts w:ascii="Calibri" w:eastAsia="Arial Unicode MS" w:hAnsi="Calibri" w:cs="Calibri"/>
        </w:rPr>
        <w:t xml:space="preserve"> ; </w:t>
      </w:r>
    </w:p>
    <w:p w14:paraId="00F4FA63" w14:textId="302120DC" w:rsidR="00C32B7C" w:rsidRPr="00C03061" w:rsidRDefault="00C32B7C" w:rsidP="00BB606A">
      <w:pPr>
        <w:pStyle w:val="Corpsdetexte"/>
        <w:numPr>
          <w:ilvl w:val="0"/>
          <w:numId w:val="15"/>
        </w:numPr>
        <w:spacing w:before="93" w:line="276" w:lineRule="auto"/>
        <w:ind w:right="133"/>
        <w:jc w:val="both"/>
        <w:rPr>
          <w:rFonts w:ascii="Calibri" w:eastAsia="Arial Unicode MS" w:hAnsi="Calibri" w:cs="Calibri"/>
        </w:rPr>
      </w:pPr>
      <w:r w:rsidRPr="00BE1627">
        <w:rPr>
          <w:rFonts w:ascii="Calibri" w:eastAsia="Arial Unicode MS" w:hAnsi="Calibri" w:cs="Calibri"/>
        </w:rPr>
        <w:t>Une maitrise</w:t>
      </w:r>
      <w:r>
        <w:rPr>
          <w:rFonts w:ascii="Calibri" w:eastAsia="Arial Unicode MS" w:hAnsi="Calibri" w:cs="Calibri"/>
        </w:rPr>
        <w:t>/spécialisation sur</w:t>
      </w:r>
      <w:r w:rsidRPr="00BE1627">
        <w:rPr>
          <w:rFonts w:ascii="Calibri" w:eastAsia="Arial Unicode MS" w:hAnsi="Calibri" w:cs="Calibri"/>
        </w:rPr>
        <w:t xml:space="preserve"> des </w:t>
      </w:r>
      <w:r>
        <w:rPr>
          <w:rFonts w:ascii="Calibri" w:eastAsia="Arial Unicode MS" w:hAnsi="Calibri" w:cs="Calibri"/>
        </w:rPr>
        <w:t>enjeux d</w:t>
      </w:r>
      <w:r w:rsidRPr="00BE1627">
        <w:rPr>
          <w:rFonts w:ascii="Calibri" w:eastAsia="Arial Unicode MS" w:hAnsi="Calibri" w:cs="Calibri"/>
        </w:rPr>
        <w:t xml:space="preserve">’entrepreneuriat, </w:t>
      </w:r>
      <w:r>
        <w:rPr>
          <w:rFonts w:ascii="Calibri" w:eastAsia="Arial Unicode MS" w:hAnsi="Calibri" w:cs="Calibri"/>
        </w:rPr>
        <w:t>d’appui aux start up et</w:t>
      </w:r>
      <w:r w:rsidRPr="00BE1627">
        <w:rPr>
          <w:rFonts w:ascii="Calibri" w:eastAsia="Arial Unicode MS" w:hAnsi="Calibri" w:cs="Calibri"/>
        </w:rPr>
        <w:t xml:space="preserve"> </w:t>
      </w:r>
      <w:r>
        <w:rPr>
          <w:rFonts w:ascii="Calibri" w:eastAsia="Arial Unicode MS" w:hAnsi="Calibri" w:cs="Calibri"/>
        </w:rPr>
        <w:t>aux</w:t>
      </w:r>
      <w:r w:rsidRPr="00BE1627">
        <w:rPr>
          <w:rFonts w:ascii="Calibri" w:eastAsia="Arial Unicode MS" w:hAnsi="Calibri" w:cs="Calibri"/>
        </w:rPr>
        <w:t xml:space="preserve"> politiques publiques sur l’innovation</w:t>
      </w:r>
      <w:r>
        <w:rPr>
          <w:rFonts w:ascii="Calibri" w:eastAsia="Arial Unicode MS" w:hAnsi="Calibri" w:cs="Calibri"/>
        </w:rPr>
        <w:t>.</w:t>
      </w:r>
    </w:p>
    <w:p w14:paraId="56D03DD1" w14:textId="77777777" w:rsidR="00C03061" w:rsidRDefault="00C03061" w:rsidP="00C03061">
      <w:pPr>
        <w:pStyle w:val="Titre1"/>
        <w:numPr>
          <w:ilvl w:val="0"/>
          <w:numId w:val="0"/>
        </w:numPr>
        <w:spacing w:after="0" w:line="276" w:lineRule="auto"/>
        <w:rPr>
          <w:rStyle w:val="Titre1Car"/>
          <w:rFonts w:asciiTheme="minorHAnsi" w:hAnsiTheme="minorHAnsi" w:cstheme="minorHAnsi"/>
          <w:b/>
          <w:szCs w:val="22"/>
        </w:rPr>
      </w:pPr>
      <w:bookmarkStart w:id="49" w:name="_Toc213859206"/>
      <w:r>
        <w:rPr>
          <w:rStyle w:val="Titre1Car"/>
          <w:rFonts w:asciiTheme="minorHAnsi" w:hAnsiTheme="minorHAnsi" w:cstheme="minorHAnsi"/>
          <w:b/>
          <w:szCs w:val="22"/>
        </w:rPr>
        <w:t>Binôme d’expert.es en pilotage de l’étude</w:t>
      </w:r>
      <w:bookmarkEnd w:id="49"/>
      <w:r>
        <w:rPr>
          <w:rStyle w:val="Titre1Car"/>
          <w:rFonts w:asciiTheme="minorHAnsi" w:hAnsiTheme="minorHAnsi" w:cstheme="minorHAnsi"/>
          <w:b/>
          <w:szCs w:val="22"/>
        </w:rPr>
        <w:t xml:space="preserve"> </w:t>
      </w:r>
    </w:p>
    <w:p w14:paraId="4E0DE75E" w14:textId="04B868E8" w:rsidR="00EE647B" w:rsidRDefault="00AC5F5C" w:rsidP="00C03061">
      <w:pPr>
        <w:tabs>
          <w:tab w:val="right" w:leader="dot" w:pos="9923"/>
        </w:tabs>
        <w:spacing w:after="0" w:line="276" w:lineRule="auto"/>
        <w:jc w:val="both"/>
        <w:rPr>
          <w:rFonts w:ascii="Calibri" w:eastAsia="Arial Unicode MS" w:hAnsi="Calibri" w:cs="Calibri"/>
        </w:rPr>
      </w:pPr>
      <w:r>
        <w:rPr>
          <w:rFonts w:ascii="Calibri" w:eastAsia="Arial Unicode MS" w:hAnsi="Calibri" w:cs="Calibri"/>
        </w:rPr>
        <w:t xml:space="preserve">Le prestataire proposera obligatoirement un binôme d’expert.es composé </w:t>
      </w:r>
      <w:r w:rsidRPr="00C03061">
        <w:rPr>
          <w:rFonts w:ascii="Calibri" w:eastAsia="Arial Unicode MS" w:hAnsi="Calibri" w:cs="Calibri"/>
          <w:b/>
          <w:u w:val="single"/>
        </w:rPr>
        <w:t xml:space="preserve">d’un.e chef.fe de mission </w:t>
      </w:r>
      <w:r w:rsidR="00EE647B">
        <w:rPr>
          <w:rFonts w:ascii="Calibri" w:eastAsia="Arial Unicode MS" w:hAnsi="Calibri" w:cs="Calibri"/>
          <w:b/>
          <w:u w:val="single"/>
        </w:rPr>
        <w:t xml:space="preserve">spécialiste du suivi-évaluation </w:t>
      </w:r>
      <w:r w:rsidRPr="00C03061">
        <w:rPr>
          <w:rFonts w:ascii="Calibri" w:eastAsia="Arial Unicode MS" w:hAnsi="Calibri" w:cs="Calibri"/>
          <w:b/>
          <w:u w:val="single"/>
        </w:rPr>
        <w:t xml:space="preserve">et </w:t>
      </w:r>
      <w:r w:rsidR="00EE647B" w:rsidRPr="00C03061">
        <w:rPr>
          <w:rFonts w:ascii="Calibri" w:eastAsia="Arial Unicode MS" w:hAnsi="Calibri" w:cs="Calibri"/>
          <w:b/>
          <w:u w:val="single"/>
        </w:rPr>
        <w:t>d’</w:t>
      </w:r>
      <w:r w:rsidRPr="00C03061">
        <w:rPr>
          <w:rFonts w:ascii="Calibri" w:eastAsia="Arial Unicode MS" w:hAnsi="Calibri" w:cs="Calibri"/>
          <w:b/>
          <w:u w:val="single"/>
        </w:rPr>
        <w:t xml:space="preserve">un.e expert.e technique </w:t>
      </w:r>
      <w:r w:rsidR="00EE647B" w:rsidRPr="00C03061">
        <w:rPr>
          <w:rFonts w:ascii="Calibri" w:eastAsia="Arial Unicode MS" w:hAnsi="Calibri" w:cs="Calibri"/>
          <w:b/>
          <w:u w:val="single"/>
        </w:rPr>
        <w:t>spécialisé</w:t>
      </w:r>
      <w:r w:rsidR="002A32D5">
        <w:rPr>
          <w:rFonts w:ascii="Calibri" w:eastAsia="Arial Unicode MS" w:hAnsi="Calibri" w:cs="Calibri"/>
          <w:b/>
          <w:u w:val="single"/>
        </w:rPr>
        <w:t>.e</w:t>
      </w:r>
      <w:r w:rsidR="00EE647B" w:rsidRPr="00C03061">
        <w:rPr>
          <w:rFonts w:ascii="Calibri" w:eastAsia="Arial Unicode MS" w:hAnsi="Calibri" w:cs="Calibri"/>
          <w:b/>
          <w:u w:val="single"/>
        </w:rPr>
        <w:t xml:space="preserve"> sur les questions d’innovation/appui aux start up</w:t>
      </w:r>
      <w:r w:rsidR="002A32D5">
        <w:rPr>
          <w:rFonts w:ascii="Calibri" w:eastAsia="Arial Unicode MS" w:hAnsi="Calibri" w:cs="Calibri"/>
          <w:b/>
          <w:u w:val="single"/>
        </w:rPr>
        <w:t>/construction d’écosystème</w:t>
      </w:r>
      <w:r w:rsidR="00EE647B">
        <w:rPr>
          <w:rFonts w:ascii="Calibri" w:eastAsia="Arial Unicode MS" w:hAnsi="Calibri" w:cs="Calibri"/>
        </w:rPr>
        <w:t xml:space="preserve"> </w:t>
      </w:r>
      <w:r>
        <w:rPr>
          <w:rFonts w:ascii="Calibri" w:eastAsia="Arial Unicode MS" w:hAnsi="Calibri" w:cs="Calibri"/>
        </w:rPr>
        <w:t xml:space="preserve">qui assureront le pilotage globale de la mission. </w:t>
      </w:r>
    </w:p>
    <w:p w14:paraId="33497E6F" w14:textId="77777777" w:rsidR="00AC5F5C" w:rsidRDefault="00AC5F5C" w:rsidP="00C03061">
      <w:pPr>
        <w:tabs>
          <w:tab w:val="right" w:leader="dot" w:pos="9923"/>
        </w:tabs>
        <w:spacing w:after="0" w:line="276" w:lineRule="auto"/>
        <w:jc w:val="both"/>
        <w:rPr>
          <w:rFonts w:ascii="Calibri" w:eastAsia="Arial Unicode MS" w:hAnsi="Calibri" w:cs="Calibri"/>
        </w:rPr>
      </w:pPr>
    </w:p>
    <w:p w14:paraId="5BAF050A" w14:textId="752EE865" w:rsidR="001111DA" w:rsidRDefault="00AC5F5C" w:rsidP="00C03061">
      <w:pPr>
        <w:tabs>
          <w:tab w:val="right" w:leader="dot" w:pos="9923"/>
        </w:tabs>
        <w:spacing w:after="0" w:line="276" w:lineRule="auto"/>
        <w:jc w:val="both"/>
        <w:rPr>
          <w:rFonts w:ascii="Calibri" w:eastAsia="Arial Unicode MS" w:hAnsi="Calibri" w:cs="Calibri"/>
        </w:rPr>
      </w:pPr>
      <w:r>
        <w:rPr>
          <w:rFonts w:ascii="Calibri" w:eastAsia="Arial Unicode MS" w:hAnsi="Calibri" w:cs="Calibri"/>
        </w:rPr>
        <w:t>Le binôme d’expert.es en charge du pilotage globale de la mission devr</w:t>
      </w:r>
      <w:r w:rsidR="00EE647B">
        <w:rPr>
          <w:rFonts w:ascii="Calibri" w:eastAsia="Arial Unicode MS" w:hAnsi="Calibri" w:cs="Calibri"/>
        </w:rPr>
        <w:t>a</w:t>
      </w:r>
      <w:r>
        <w:rPr>
          <w:rFonts w:ascii="Calibri" w:eastAsia="Arial Unicode MS" w:hAnsi="Calibri" w:cs="Calibri"/>
        </w:rPr>
        <w:t xml:space="preserve"> présenter les compétences suivantes : </w:t>
      </w:r>
    </w:p>
    <w:p w14:paraId="783E9647" w14:textId="103C38B3" w:rsidR="00AC5F5C" w:rsidRPr="00C03061" w:rsidRDefault="00AC5F5C" w:rsidP="00C03061">
      <w:pPr>
        <w:pStyle w:val="Corpsdetexte"/>
        <w:spacing w:before="93" w:line="276" w:lineRule="auto"/>
        <w:ind w:right="133"/>
        <w:jc w:val="both"/>
        <w:rPr>
          <w:rFonts w:ascii="Calibri" w:eastAsia="Arial Unicode MS" w:hAnsi="Calibri" w:cs="Calibri"/>
          <w:b/>
        </w:rPr>
      </w:pPr>
      <w:r w:rsidRPr="00C03061">
        <w:rPr>
          <w:rFonts w:ascii="Calibri" w:eastAsia="Arial Unicode MS" w:hAnsi="Calibri" w:cs="Calibri"/>
          <w:b/>
        </w:rPr>
        <w:t xml:space="preserve">Le/La chef.fe de mission </w:t>
      </w:r>
      <w:r w:rsidR="00EE647B">
        <w:rPr>
          <w:rFonts w:ascii="Calibri" w:eastAsia="Arial Unicode MS" w:hAnsi="Calibri" w:cs="Calibri"/>
          <w:b/>
        </w:rPr>
        <w:t xml:space="preserve">(spécialiste du suivi-évaluation) </w:t>
      </w:r>
    </w:p>
    <w:p w14:paraId="14181D34" w14:textId="77777777" w:rsidR="00AC5F5C" w:rsidRPr="00BE1627" w:rsidRDefault="00AC5F5C" w:rsidP="00BB606A">
      <w:pPr>
        <w:pStyle w:val="Corpsdetexte"/>
        <w:numPr>
          <w:ilvl w:val="0"/>
          <w:numId w:val="15"/>
        </w:numPr>
        <w:spacing w:line="276" w:lineRule="auto"/>
        <w:ind w:right="133"/>
        <w:jc w:val="both"/>
        <w:rPr>
          <w:rFonts w:ascii="Calibri" w:eastAsia="Arial Unicode MS" w:hAnsi="Calibri" w:cs="Calibri"/>
        </w:rPr>
      </w:pPr>
      <w:r w:rsidRPr="00BE1627">
        <w:rPr>
          <w:rFonts w:ascii="Calibri" w:eastAsia="Arial Unicode MS" w:hAnsi="Calibri" w:cs="Calibri" w:hint="eastAsia"/>
        </w:rPr>
        <w:t>Titulaire d</w:t>
      </w:r>
      <w:r w:rsidRPr="00BE1627">
        <w:rPr>
          <w:rFonts w:ascii="Calibri" w:eastAsia="Arial Unicode MS" w:hAnsi="Calibri" w:cs="Calibri"/>
        </w:rPr>
        <w:t>’</w:t>
      </w:r>
      <w:r w:rsidRPr="00BE1627">
        <w:rPr>
          <w:rFonts w:ascii="Calibri" w:eastAsia="Arial Unicode MS" w:hAnsi="Calibri" w:cs="Calibri" w:hint="eastAsia"/>
        </w:rPr>
        <w:t xml:space="preserve">un </w:t>
      </w:r>
      <w:r w:rsidRPr="00BE1627">
        <w:rPr>
          <w:rFonts w:ascii="Calibri" w:eastAsia="Arial Unicode MS" w:hAnsi="Calibri" w:cs="Calibri"/>
        </w:rPr>
        <w:t xml:space="preserve">bac +5 dans un domaine pertinent </w:t>
      </w:r>
      <w:r w:rsidRPr="00BE1627">
        <w:rPr>
          <w:rFonts w:ascii="Calibri" w:eastAsia="Arial Unicode MS" w:hAnsi="Calibri" w:cs="Calibri" w:hint="cs"/>
        </w:rPr>
        <w:t>à</w:t>
      </w:r>
      <w:r w:rsidRPr="00BE1627">
        <w:rPr>
          <w:rFonts w:ascii="Calibri" w:eastAsia="Arial Unicode MS" w:hAnsi="Calibri" w:cs="Calibri"/>
        </w:rPr>
        <w:t xml:space="preserve"> la mission : commerce international, coop</w:t>
      </w:r>
      <w:r w:rsidRPr="00BE1627">
        <w:rPr>
          <w:rFonts w:ascii="Calibri" w:eastAsia="Arial Unicode MS" w:hAnsi="Calibri" w:cs="Calibri" w:hint="cs"/>
        </w:rPr>
        <w:t>é</w:t>
      </w:r>
      <w:r w:rsidRPr="00BE1627">
        <w:rPr>
          <w:rFonts w:ascii="Calibri" w:eastAsia="Arial Unicode MS" w:hAnsi="Calibri" w:cs="Calibri"/>
        </w:rPr>
        <w:t>ration</w:t>
      </w:r>
      <w:r w:rsidRPr="00BE1627">
        <w:rPr>
          <w:rFonts w:ascii="Calibri" w:eastAsia="Arial Unicode MS" w:hAnsi="Calibri" w:cs="Calibri" w:hint="eastAsia"/>
        </w:rPr>
        <w:t xml:space="preserve"> </w:t>
      </w:r>
      <w:r w:rsidRPr="00BE1627">
        <w:rPr>
          <w:rFonts w:ascii="Calibri" w:eastAsia="Arial Unicode MS" w:hAnsi="Calibri" w:cs="Calibri"/>
        </w:rPr>
        <w:t>internationale, économie/financement du développement, ing</w:t>
      </w:r>
      <w:r w:rsidRPr="00BE1627">
        <w:rPr>
          <w:rFonts w:ascii="Calibri" w:eastAsia="Arial Unicode MS" w:hAnsi="Calibri" w:cs="Calibri" w:hint="cs"/>
        </w:rPr>
        <w:t>é</w:t>
      </w:r>
      <w:r w:rsidRPr="00BE1627">
        <w:rPr>
          <w:rFonts w:ascii="Calibri" w:eastAsia="Arial Unicode MS" w:hAnsi="Calibri" w:cs="Calibri"/>
        </w:rPr>
        <w:t>nierie et évaluation</w:t>
      </w:r>
      <w:r w:rsidRPr="00BE1627">
        <w:rPr>
          <w:rFonts w:ascii="Calibri" w:eastAsia="Arial Unicode MS" w:hAnsi="Calibri" w:cs="Calibri" w:hint="eastAsia"/>
        </w:rPr>
        <w:t xml:space="preserve"> de projet</w:t>
      </w:r>
      <w:r w:rsidRPr="00BE1627">
        <w:rPr>
          <w:rFonts w:ascii="Calibri" w:eastAsia="Arial Unicode MS" w:hAnsi="Calibri" w:cs="Calibri"/>
        </w:rPr>
        <w:t xml:space="preserve"> ; </w:t>
      </w:r>
    </w:p>
    <w:p w14:paraId="7C250DA8" w14:textId="1FFDF59A" w:rsidR="00AC5F5C" w:rsidRPr="00BE1627" w:rsidRDefault="00AC5F5C" w:rsidP="00BB606A">
      <w:pPr>
        <w:pStyle w:val="Corpsdetexte"/>
        <w:numPr>
          <w:ilvl w:val="0"/>
          <w:numId w:val="15"/>
        </w:numPr>
        <w:spacing w:line="276" w:lineRule="auto"/>
        <w:ind w:right="133"/>
        <w:jc w:val="both"/>
        <w:rPr>
          <w:rFonts w:ascii="Calibri" w:eastAsia="Arial Unicode MS" w:hAnsi="Calibri" w:cs="Calibri"/>
        </w:rPr>
      </w:pPr>
      <w:r w:rsidRPr="00BE1627">
        <w:rPr>
          <w:rFonts w:ascii="Calibri" w:eastAsia="Arial Unicode MS" w:hAnsi="Calibri" w:cs="Calibri" w:hint="eastAsia"/>
        </w:rPr>
        <w:t>Exp</w:t>
      </w:r>
      <w:r w:rsidRPr="00BE1627">
        <w:rPr>
          <w:rFonts w:ascii="Calibri" w:eastAsia="Arial Unicode MS" w:hAnsi="Calibri" w:cs="Calibri" w:hint="cs"/>
        </w:rPr>
        <w:t>é</w:t>
      </w:r>
      <w:r w:rsidRPr="00BE1627">
        <w:rPr>
          <w:rFonts w:ascii="Calibri" w:eastAsia="Arial Unicode MS" w:hAnsi="Calibri" w:cs="Calibri" w:hint="eastAsia"/>
        </w:rPr>
        <w:t xml:space="preserve">rience professionnelle </w:t>
      </w:r>
      <w:r w:rsidR="00570378">
        <w:rPr>
          <w:rFonts w:ascii="Calibri" w:eastAsia="Arial Unicode MS" w:hAnsi="Calibri" w:cs="Calibri"/>
        </w:rPr>
        <w:t>de 5 à 8 ans</w:t>
      </w:r>
      <w:r w:rsidRPr="00BE1627">
        <w:rPr>
          <w:rFonts w:ascii="Calibri" w:eastAsia="Arial Unicode MS" w:hAnsi="Calibri" w:cs="Calibri"/>
        </w:rPr>
        <w:t xml:space="preserve"> minimum</w:t>
      </w:r>
      <w:r>
        <w:rPr>
          <w:rFonts w:ascii="Calibri" w:eastAsia="Arial Unicode MS" w:hAnsi="Calibri" w:cs="Calibri"/>
        </w:rPr>
        <w:t xml:space="preserve"> en développement </w:t>
      </w:r>
      <w:r w:rsidRPr="00BE1627">
        <w:rPr>
          <w:rFonts w:ascii="Calibri" w:eastAsia="Arial Unicode MS" w:hAnsi="Calibri" w:cs="Calibri"/>
        </w:rPr>
        <w:t xml:space="preserve">; </w:t>
      </w:r>
    </w:p>
    <w:p w14:paraId="2DEDE603" w14:textId="1156E20E" w:rsidR="00AC5F5C" w:rsidRDefault="00AC5F5C" w:rsidP="00BB606A">
      <w:pPr>
        <w:pStyle w:val="Corpsdetexte"/>
        <w:numPr>
          <w:ilvl w:val="0"/>
          <w:numId w:val="15"/>
        </w:numPr>
        <w:spacing w:line="276" w:lineRule="auto"/>
        <w:ind w:right="133"/>
        <w:jc w:val="both"/>
        <w:rPr>
          <w:rFonts w:ascii="Calibri" w:eastAsia="Arial Unicode MS" w:hAnsi="Calibri" w:cs="Calibri"/>
        </w:rPr>
      </w:pPr>
      <w:r w:rsidRPr="00BE1627">
        <w:rPr>
          <w:rFonts w:ascii="Calibri" w:eastAsia="Arial Unicode MS" w:hAnsi="Calibri" w:cs="Calibri" w:hint="eastAsia"/>
        </w:rPr>
        <w:t>Exp</w:t>
      </w:r>
      <w:r w:rsidRPr="00BE1627">
        <w:rPr>
          <w:rFonts w:ascii="Calibri" w:eastAsia="Arial Unicode MS" w:hAnsi="Calibri" w:cs="Calibri" w:hint="cs"/>
        </w:rPr>
        <w:t>é</w:t>
      </w:r>
      <w:r w:rsidRPr="00BE1627">
        <w:rPr>
          <w:rFonts w:ascii="Calibri" w:eastAsia="Arial Unicode MS" w:hAnsi="Calibri" w:cs="Calibri" w:hint="eastAsia"/>
        </w:rPr>
        <w:t>rience</w:t>
      </w:r>
      <w:r>
        <w:rPr>
          <w:rFonts w:ascii="Calibri" w:eastAsia="Arial Unicode MS" w:hAnsi="Calibri" w:cs="Calibri"/>
        </w:rPr>
        <w:t xml:space="preserve"> et expertise avérée en suivi-évaluation, mesure d’impacts, mise en place de cadre de suivi-évaluation, redevabilité et apprentissage ;</w:t>
      </w:r>
    </w:p>
    <w:p w14:paraId="5E846E89" w14:textId="23F6996B" w:rsidR="00AC5F5C" w:rsidRDefault="00AC5F5C" w:rsidP="00BB606A">
      <w:pPr>
        <w:pStyle w:val="Corpsdetexte"/>
        <w:numPr>
          <w:ilvl w:val="0"/>
          <w:numId w:val="15"/>
        </w:numPr>
        <w:spacing w:line="276" w:lineRule="auto"/>
        <w:ind w:right="133"/>
        <w:jc w:val="both"/>
        <w:rPr>
          <w:rFonts w:ascii="Calibri" w:eastAsia="Arial Unicode MS" w:hAnsi="Calibri" w:cs="Calibri"/>
        </w:rPr>
      </w:pPr>
      <w:r w:rsidRPr="00C03061">
        <w:rPr>
          <w:rFonts w:ascii="Calibri" w:eastAsia="Arial Unicode MS" w:hAnsi="Calibri" w:cs="Calibri"/>
        </w:rPr>
        <w:t>Excellente</w:t>
      </w:r>
      <w:r w:rsidRPr="00C03061">
        <w:rPr>
          <w:rFonts w:ascii="Calibri" w:eastAsia="Arial Unicode MS" w:hAnsi="Calibri" w:cs="Calibri" w:hint="eastAsia"/>
        </w:rPr>
        <w:t xml:space="preserve"> connaissance des dispositifs d</w:t>
      </w:r>
      <w:r w:rsidRPr="00C03061">
        <w:rPr>
          <w:rFonts w:ascii="Calibri" w:eastAsia="Arial Unicode MS" w:hAnsi="Calibri" w:cs="Calibri" w:hint="eastAsia"/>
        </w:rPr>
        <w:t>’</w:t>
      </w:r>
      <w:r w:rsidRPr="00C03061">
        <w:rPr>
          <w:rFonts w:ascii="Calibri" w:eastAsia="Arial Unicode MS" w:hAnsi="Calibri" w:cs="Calibri" w:hint="eastAsia"/>
        </w:rPr>
        <w:t xml:space="preserve">évaluation et de capitalisation </w:t>
      </w:r>
      <w:r w:rsidRPr="00C03061">
        <w:rPr>
          <w:rFonts w:ascii="Calibri" w:eastAsia="Arial Unicode MS" w:hAnsi="Calibri" w:cs="Calibri"/>
        </w:rPr>
        <w:t>de</w:t>
      </w:r>
      <w:r w:rsidRPr="00C03061">
        <w:rPr>
          <w:rFonts w:ascii="Calibri" w:eastAsia="Arial Unicode MS" w:hAnsi="Calibri" w:cs="Calibri" w:hint="eastAsia"/>
        </w:rPr>
        <w:t xml:space="preserve"> programmes et projets de coopération internationale</w:t>
      </w:r>
      <w:r w:rsidR="00EE647B" w:rsidRPr="00C03061">
        <w:rPr>
          <w:rFonts w:ascii="Calibri" w:eastAsia="Arial Unicode MS" w:hAnsi="Calibri" w:cs="Calibri"/>
        </w:rPr>
        <w:t> </w:t>
      </w:r>
      <w:r w:rsidR="00EE647B">
        <w:rPr>
          <w:rFonts w:ascii="Calibri" w:eastAsia="Arial Unicode MS" w:hAnsi="Calibri" w:cs="Calibri"/>
        </w:rPr>
        <w:t xml:space="preserve">; </w:t>
      </w:r>
    </w:p>
    <w:p w14:paraId="11413762" w14:textId="4094FAFC" w:rsidR="00AC5F5C" w:rsidRDefault="00AC5F5C" w:rsidP="00BB606A">
      <w:pPr>
        <w:pStyle w:val="Corpsdetexte"/>
        <w:numPr>
          <w:ilvl w:val="0"/>
          <w:numId w:val="15"/>
        </w:numPr>
        <w:spacing w:line="276" w:lineRule="auto"/>
        <w:ind w:right="133"/>
        <w:jc w:val="both"/>
        <w:rPr>
          <w:rFonts w:ascii="Calibri" w:eastAsia="Arial Unicode MS" w:hAnsi="Calibri" w:cs="Calibri"/>
        </w:rPr>
      </w:pPr>
      <w:r>
        <w:rPr>
          <w:rFonts w:ascii="Calibri" w:eastAsia="Arial Unicode MS" w:hAnsi="Calibri" w:cs="Calibri"/>
        </w:rPr>
        <w:t xml:space="preserve">Au moins 3 expériences similaires auprès d’acteurs de l’écosystème entrepreneurial en </w:t>
      </w:r>
      <w:r w:rsidR="002A32D5">
        <w:rPr>
          <w:rFonts w:ascii="Calibri" w:eastAsia="Arial Unicode MS" w:hAnsi="Calibri" w:cs="Calibri"/>
        </w:rPr>
        <w:t xml:space="preserve">Tunisie et/ou en </w:t>
      </w:r>
      <w:r>
        <w:rPr>
          <w:rFonts w:ascii="Calibri" w:eastAsia="Arial Unicode MS" w:hAnsi="Calibri" w:cs="Calibri"/>
        </w:rPr>
        <w:t xml:space="preserve">Afrique ; </w:t>
      </w:r>
    </w:p>
    <w:p w14:paraId="5E4D97CF" w14:textId="4EE3B6A7" w:rsidR="00EE647B" w:rsidRDefault="00EE647B" w:rsidP="00BB606A">
      <w:pPr>
        <w:pStyle w:val="Corpsdetexte"/>
        <w:numPr>
          <w:ilvl w:val="0"/>
          <w:numId w:val="15"/>
        </w:numPr>
        <w:spacing w:line="276" w:lineRule="auto"/>
        <w:ind w:right="133"/>
        <w:jc w:val="both"/>
        <w:rPr>
          <w:rFonts w:ascii="Calibri" w:eastAsia="Arial Unicode MS" w:hAnsi="Calibri" w:cs="Calibri"/>
        </w:rPr>
      </w:pPr>
      <w:r>
        <w:rPr>
          <w:rFonts w:ascii="Calibri" w:eastAsia="Arial Unicode MS" w:hAnsi="Calibri" w:cs="Calibri"/>
        </w:rPr>
        <w:t xml:space="preserve">Compétence avérée en gestion de projet et étude d’envergure ; </w:t>
      </w:r>
    </w:p>
    <w:p w14:paraId="18A160BA" w14:textId="77777777" w:rsidR="00EE647B" w:rsidRPr="00C03061" w:rsidRDefault="00EE647B" w:rsidP="00BB606A">
      <w:pPr>
        <w:pStyle w:val="Paragraphedeliste"/>
        <w:numPr>
          <w:ilvl w:val="0"/>
          <w:numId w:val="15"/>
        </w:numPr>
        <w:spacing w:after="0" w:line="276" w:lineRule="auto"/>
        <w:jc w:val="both"/>
        <w:rPr>
          <w:rFonts w:ascii="Calibri" w:eastAsia="Arial Unicode MS" w:hAnsi="Calibri" w:cs="Calibri"/>
        </w:rPr>
      </w:pPr>
      <w:r w:rsidRPr="00C03061">
        <w:rPr>
          <w:rFonts w:ascii="Calibri" w:eastAsia="Arial Unicode MS" w:hAnsi="Calibri" w:cs="Calibri"/>
        </w:rPr>
        <w:t xml:space="preserve">Expérience en gestion et mobilisation d’expertise ; </w:t>
      </w:r>
    </w:p>
    <w:p w14:paraId="776BDB95" w14:textId="290AA67A" w:rsidR="00AC5F5C" w:rsidRPr="00C03061" w:rsidRDefault="00AC5F5C" w:rsidP="00BB606A">
      <w:pPr>
        <w:pStyle w:val="Paragraphedeliste"/>
        <w:numPr>
          <w:ilvl w:val="0"/>
          <w:numId w:val="15"/>
        </w:numPr>
        <w:spacing w:after="0" w:line="276" w:lineRule="auto"/>
        <w:jc w:val="both"/>
        <w:rPr>
          <w:rFonts w:ascii="Calibri" w:eastAsia="Arial Unicode MS" w:hAnsi="Calibri" w:cs="Calibri"/>
        </w:rPr>
      </w:pPr>
      <w:r w:rsidRPr="00C03061">
        <w:rPr>
          <w:rFonts w:ascii="Calibri" w:eastAsia="Arial Unicode MS" w:hAnsi="Calibri" w:cs="Calibri" w:hint="eastAsia"/>
        </w:rPr>
        <w:t xml:space="preserve">Expérience en conception, analyse et gestion de base de données. </w:t>
      </w:r>
    </w:p>
    <w:p w14:paraId="0E594369" w14:textId="0CAB9390" w:rsidR="00AC5F5C" w:rsidRDefault="00AC5F5C" w:rsidP="00BB606A">
      <w:pPr>
        <w:pStyle w:val="Paragraphedeliste"/>
        <w:numPr>
          <w:ilvl w:val="0"/>
          <w:numId w:val="15"/>
        </w:numPr>
        <w:spacing w:after="0" w:line="276" w:lineRule="auto"/>
        <w:jc w:val="both"/>
        <w:rPr>
          <w:rFonts w:ascii="Calibri" w:eastAsia="Arial Unicode MS" w:hAnsi="Calibri" w:cs="Calibri"/>
        </w:rPr>
      </w:pPr>
      <w:r w:rsidRPr="00C03061">
        <w:rPr>
          <w:rFonts w:ascii="Calibri" w:eastAsia="Arial Unicode MS" w:hAnsi="Calibri" w:cs="Calibri" w:hint="eastAsia"/>
        </w:rPr>
        <w:t>Excellente capacités en ana</w:t>
      </w:r>
      <w:r w:rsidR="00C03061" w:rsidRPr="00C03061">
        <w:rPr>
          <w:rFonts w:ascii="Calibri" w:eastAsia="Arial Unicode MS" w:hAnsi="Calibri" w:cs="Calibri" w:hint="eastAsia"/>
        </w:rPr>
        <w:t>lyse de relations partenariales</w:t>
      </w:r>
      <w:r w:rsidR="00C03061">
        <w:rPr>
          <w:rFonts w:ascii="Calibri" w:eastAsia="Arial Unicode MS" w:hAnsi="Calibri" w:cs="Calibri"/>
        </w:rPr>
        <w:t> </w:t>
      </w:r>
      <w:r w:rsidR="00C03061" w:rsidRPr="00C03061">
        <w:rPr>
          <w:rFonts w:ascii="Calibri" w:eastAsia="Arial Unicode MS" w:hAnsi="Calibri" w:cs="Calibri" w:hint="eastAsia"/>
        </w:rPr>
        <w:t>;</w:t>
      </w:r>
      <w:r w:rsidR="00C03061">
        <w:rPr>
          <w:rFonts w:ascii="Calibri" w:eastAsia="Arial Unicode MS" w:hAnsi="Calibri" w:cs="Calibri"/>
        </w:rPr>
        <w:t xml:space="preserve"> </w:t>
      </w:r>
    </w:p>
    <w:p w14:paraId="2D48C2F2" w14:textId="5E438710" w:rsidR="00C03061" w:rsidRPr="00C03061" w:rsidRDefault="00C03061" w:rsidP="00BB606A">
      <w:pPr>
        <w:pStyle w:val="Paragraphedeliste"/>
        <w:numPr>
          <w:ilvl w:val="0"/>
          <w:numId w:val="15"/>
        </w:numPr>
        <w:spacing w:after="0" w:line="276" w:lineRule="auto"/>
        <w:jc w:val="both"/>
        <w:rPr>
          <w:rFonts w:ascii="Calibri" w:eastAsia="Arial Unicode MS" w:hAnsi="Calibri" w:cs="Calibri"/>
        </w:rPr>
      </w:pPr>
      <w:r>
        <w:rPr>
          <w:rFonts w:ascii="Calibri" w:eastAsia="Arial Unicode MS" w:hAnsi="Calibri" w:cs="Calibri"/>
        </w:rPr>
        <w:t xml:space="preserve">Capacité à animer des réunions de co-construction multi-acteurs ; </w:t>
      </w:r>
    </w:p>
    <w:p w14:paraId="0A6A0B16" w14:textId="70751451" w:rsidR="00AC5F5C" w:rsidRPr="00C03061" w:rsidRDefault="00AC5F5C" w:rsidP="00BB606A">
      <w:pPr>
        <w:pStyle w:val="Paragraphedeliste"/>
        <w:numPr>
          <w:ilvl w:val="0"/>
          <w:numId w:val="15"/>
        </w:numPr>
        <w:spacing w:after="0" w:line="276" w:lineRule="auto"/>
        <w:jc w:val="both"/>
        <w:rPr>
          <w:rFonts w:ascii="Calibri" w:eastAsia="Arial Unicode MS" w:hAnsi="Calibri" w:cs="Calibri"/>
        </w:rPr>
      </w:pPr>
      <w:r w:rsidRPr="00C03061">
        <w:rPr>
          <w:rFonts w:ascii="Calibri" w:eastAsia="Arial Unicode MS" w:hAnsi="Calibri" w:cs="Calibri"/>
        </w:rPr>
        <w:t>Expérience d’a</w:t>
      </w:r>
      <w:r w:rsidRPr="00C03061">
        <w:rPr>
          <w:rFonts w:ascii="Calibri" w:eastAsia="Arial Unicode MS" w:hAnsi="Calibri" w:cs="Calibri" w:hint="eastAsia"/>
        </w:rPr>
        <w:t>nimation d</w:t>
      </w:r>
      <w:r w:rsidRPr="00C03061">
        <w:rPr>
          <w:rFonts w:ascii="Calibri" w:eastAsia="Arial Unicode MS" w:hAnsi="Calibri" w:cs="Calibri" w:hint="eastAsia"/>
        </w:rPr>
        <w:t>’</w:t>
      </w:r>
      <w:r w:rsidRPr="00C03061">
        <w:rPr>
          <w:rFonts w:ascii="Calibri" w:eastAsia="Arial Unicode MS" w:hAnsi="Calibri" w:cs="Calibri" w:hint="eastAsia"/>
        </w:rPr>
        <w:t>ateliers multi-a</w:t>
      </w:r>
      <w:r w:rsidR="002A32D5">
        <w:rPr>
          <w:rFonts w:ascii="Calibri" w:eastAsia="Arial Unicode MS" w:hAnsi="Calibri" w:cs="Calibri" w:hint="eastAsia"/>
        </w:rPr>
        <w:t>cteurs sur des sujets complexes</w:t>
      </w:r>
      <w:r w:rsidR="002A32D5">
        <w:rPr>
          <w:rFonts w:ascii="Calibri" w:eastAsia="Arial Unicode MS" w:hAnsi="Calibri" w:cs="Calibri"/>
        </w:rPr>
        <w:t> </w:t>
      </w:r>
      <w:r w:rsidR="0005024A">
        <w:rPr>
          <w:rFonts w:ascii="Calibri" w:eastAsia="Arial Unicode MS" w:hAnsi="Calibri" w:cs="Calibri"/>
        </w:rPr>
        <w:t>et ;</w:t>
      </w:r>
    </w:p>
    <w:p w14:paraId="64DA141A" w14:textId="69D2CCD7" w:rsidR="00EE647B" w:rsidRDefault="00EE647B" w:rsidP="00BB606A">
      <w:pPr>
        <w:pStyle w:val="Corpsdetexte"/>
        <w:numPr>
          <w:ilvl w:val="0"/>
          <w:numId w:val="15"/>
        </w:numPr>
        <w:spacing w:line="276" w:lineRule="auto"/>
        <w:ind w:right="133"/>
        <w:jc w:val="both"/>
        <w:rPr>
          <w:rFonts w:ascii="Calibri" w:eastAsia="Arial Unicode MS" w:hAnsi="Calibri" w:cs="Calibri"/>
        </w:rPr>
      </w:pPr>
      <w:r>
        <w:rPr>
          <w:rFonts w:ascii="Calibri" w:eastAsia="Arial Unicode MS" w:hAnsi="Calibri" w:cs="Calibri"/>
        </w:rPr>
        <w:t xml:space="preserve">Excellente capacité de rédaction et de synthèse. </w:t>
      </w:r>
    </w:p>
    <w:p w14:paraId="0591E574" w14:textId="77777777" w:rsidR="00C03061" w:rsidRDefault="00C03061" w:rsidP="00C03061">
      <w:pPr>
        <w:tabs>
          <w:tab w:val="right" w:leader="dot" w:pos="9923"/>
        </w:tabs>
        <w:spacing w:after="0" w:line="276" w:lineRule="auto"/>
        <w:jc w:val="both"/>
        <w:rPr>
          <w:rFonts w:ascii="Calibri" w:eastAsia="Arial Unicode MS" w:hAnsi="Calibri" w:cs="Calibri"/>
          <w:b/>
          <w:iCs/>
        </w:rPr>
      </w:pPr>
    </w:p>
    <w:p w14:paraId="08A0C4FD" w14:textId="5F3CF0DB" w:rsidR="00AC5F5C" w:rsidRDefault="00C32B7C" w:rsidP="00C03061">
      <w:pPr>
        <w:tabs>
          <w:tab w:val="right" w:leader="dot" w:pos="9923"/>
        </w:tabs>
        <w:spacing w:after="0" w:line="276" w:lineRule="auto"/>
        <w:jc w:val="both"/>
        <w:rPr>
          <w:rFonts w:ascii="Calibri" w:eastAsia="Arial Unicode MS" w:hAnsi="Calibri" w:cs="Calibri"/>
          <w:b/>
          <w:iCs/>
        </w:rPr>
      </w:pPr>
      <w:r>
        <w:rPr>
          <w:rFonts w:ascii="Calibri" w:eastAsia="Arial Unicode MS" w:hAnsi="Calibri" w:cs="Calibri"/>
          <w:b/>
          <w:iCs/>
        </w:rPr>
        <w:t>L’expert.e technique spécialisé</w:t>
      </w:r>
      <w:r w:rsidR="00C03061">
        <w:rPr>
          <w:rFonts w:ascii="Calibri" w:eastAsia="Arial Unicode MS" w:hAnsi="Calibri" w:cs="Calibri"/>
          <w:b/>
          <w:iCs/>
        </w:rPr>
        <w:t>.e</w:t>
      </w:r>
      <w:r>
        <w:rPr>
          <w:rFonts w:ascii="Calibri" w:eastAsia="Arial Unicode MS" w:hAnsi="Calibri" w:cs="Calibri"/>
          <w:b/>
          <w:iCs/>
        </w:rPr>
        <w:t xml:space="preserve"> sur les questions </w:t>
      </w:r>
      <w:r w:rsidR="002A32D5">
        <w:rPr>
          <w:rFonts w:ascii="Calibri" w:eastAsia="Arial Unicode MS" w:hAnsi="Calibri" w:cs="Calibri"/>
          <w:b/>
          <w:iCs/>
        </w:rPr>
        <w:t>d’innovation/appui aux start up/</w:t>
      </w:r>
      <w:r w:rsidR="002A32D5" w:rsidRPr="002A32D5">
        <w:rPr>
          <w:rFonts w:ascii="Calibri" w:eastAsia="Arial Unicode MS" w:hAnsi="Calibri" w:cs="Calibri"/>
          <w:b/>
          <w:i/>
          <w:iCs/>
        </w:rPr>
        <w:t>ecosystem building</w:t>
      </w:r>
    </w:p>
    <w:p w14:paraId="20A20EB0" w14:textId="2FEFD349" w:rsidR="00C32B7C" w:rsidRPr="00BE1627" w:rsidRDefault="00C32B7C" w:rsidP="00BB606A">
      <w:pPr>
        <w:pStyle w:val="Corpsdetexte"/>
        <w:numPr>
          <w:ilvl w:val="0"/>
          <w:numId w:val="15"/>
        </w:numPr>
        <w:spacing w:line="276" w:lineRule="auto"/>
        <w:ind w:right="133"/>
        <w:jc w:val="both"/>
        <w:rPr>
          <w:rFonts w:ascii="Calibri" w:eastAsia="Arial Unicode MS" w:hAnsi="Calibri" w:cs="Calibri"/>
        </w:rPr>
      </w:pPr>
      <w:r w:rsidRPr="00BE1627">
        <w:rPr>
          <w:rFonts w:ascii="Calibri" w:eastAsia="Arial Unicode MS" w:hAnsi="Calibri" w:cs="Calibri" w:hint="eastAsia"/>
        </w:rPr>
        <w:t>Titulaire d</w:t>
      </w:r>
      <w:r w:rsidRPr="00BE1627">
        <w:rPr>
          <w:rFonts w:ascii="Calibri" w:eastAsia="Arial Unicode MS" w:hAnsi="Calibri" w:cs="Calibri"/>
        </w:rPr>
        <w:t>’</w:t>
      </w:r>
      <w:r w:rsidRPr="00BE1627">
        <w:rPr>
          <w:rFonts w:ascii="Calibri" w:eastAsia="Arial Unicode MS" w:hAnsi="Calibri" w:cs="Calibri" w:hint="eastAsia"/>
        </w:rPr>
        <w:t xml:space="preserve">un </w:t>
      </w:r>
      <w:r w:rsidRPr="00BE1627">
        <w:rPr>
          <w:rFonts w:ascii="Calibri" w:eastAsia="Arial Unicode MS" w:hAnsi="Calibri" w:cs="Calibri"/>
        </w:rPr>
        <w:t xml:space="preserve">bac +5 dans un domaine pertinent </w:t>
      </w:r>
      <w:r w:rsidRPr="00BE1627">
        <w:rPr>
          <w:rFonts w:ascii="Calibri" w:eastAsia="Arial Unicode MS" w:hAnsi="Calibri" w:cs="Calibri" w:hint="cs"/>
        </w:rPr>
        <w:t>à</w:t>
      </w:r>
      <w:r w:rsidRPr="00BE1627">
        <w:rPr>
          <w:rFonts w:ascii="Calibri" w:eastAsia="Arial Unicode MS" w:hAnsi="Calibri" w:cs="Calibri"/>
        </w:rPr>
        <w:t xml:space="preserve"> la mission : </w:t>
      </w:r>
      <w:r w:rsidR="00C03061">
        <w:rPr>
          <w:rFonts w:ascii="Calibri" w:eastAsia="Arial Unicode MS" w:hAnsi="Calibri" w:cs="Calibri"/>
        </w:rPr>
        <w:t xml:space="preserve">management des entreprises et des organisations, innovation, numérique, développement, coopération internationale, IA, etc. </w:t>
      </w:r>
      <w:r w:rsidR="00C03061" w:rsidRPr="00BE1627">
        <w:rPr>
          <w:rFonts w:ascii="Calibri" w:eastAsia="Arial Unicode MS" w:hAnsi="Calibri" w:cs="Calibri"/>
        </w:rPr>
        <w:t>;</w:t>
      </w:r>
      <w:r w:rsidRPr="00BE1627">
        <w:rPr>
          <w:rFonts w:ascii="Calibri" w:eastAsia="Arial Unicode MS" w:hAnsi="Calibri" w:cs="Calibri"/>
        </w:rPr>
        <w:t xml:space="preserve"> </w:t>
      </w:r>
    </w:p>
    <w:p w14:paraId="041A36E8" w14:textId="2FA6C219" w:rsidR="00C32B7C" w:rsidRPr="00BE1627" w:rsidRDefault="00C32B7C" w:rsidP="00BB606A">
      <w:pPr>
        <w:pStyle w:val="Corpsdetexte"/>
        <w:numPr>
          <w:ilvl w:val="0"/>
          <w:numId w:val="15"/>
        </w:numPr>
        <w:spacing w:line="276" w:lineRule="auto"/>
        <w:ind w:right="133"/>
        <w:jc w:val="both"/>
        <w:rPr>
          <w:rFonts w:ascii="Calibri" w:eastAsia="Arial Unicode MS" w:hAnsi="Calibri" w:cs="Calibri"/>
        </w:rPr>
      </w:pPr>
      <w:r w:rsidRPr="00BE1627">
        <w:rPr>
          <w:rFonts w:ascii="Calibri" w:eastAsia="Arial Unicode MS" w:hAnsi="Calibri" w:cs="Calibri" w:hint="eastAsia"/>
        </w:rPr>
        <w:t>Exp</w:t>
      </w:r>
      <w:r w:rsidRPr="00BE1627">
        <w:rPr>
          <w:rFonts w:ascii="Calibri" w:eastAsia="Arial Unicode MS" w:hAnsi="Calibri" w:cs="Calibri" w:hint="cs"/>
        </w:rPr>
        <w:t>é</w:t>
      </w:r>
      <w:r w:rsidRPr="00BE1627">
        <w:rPr>
          <w:rFonts w:ascii="Calibri" w:eastAsia="Arial Unicode MS" w:hAnsi="Calibri" w:cs="Calibri" w:hint="eastAsia"/>
        </w:rPr>
        <w:t xml:space="preserve">rience professionnelle </w:t>
      </w:r>
      <w:r>
        <w:rPr>
          <w:rFonts w:ascii="Calibri" w:eastAsia="Arial Unicode MS" w:hAnsi="Calibri" w:cs="Calibri"/>
        </w:rPr>
        <w:t xml:space="preserve">de 5 à 8 </w:t>
      </w:r>
      <w:r w:rsidRPr="00BE1627">
        <w:rPr>
          <w:rFonts w:ascii="Calibri" w:eastAsia="Arial Unicode MS" w:hAnsi="Calibri" w:cs="Calibri"/>
        </w:rPr>
        <w:t>ans minimum</w:t>
      </w:r>
      <w:r>
        <w:rPr>
          <w:rFonts w:ascii="Calibri" w:eastAsia="Arial Unicode MS" w:hAnsi="Calibri" w:cs="Calibri"/>
        </w:rPr>
        <w:t xml:space="preserve"> au sein de l’environnement </w:t>
      </w:r>
      <w:r w:rsidRPr="002A32D5">
        <w:rPr>
          <w:rFonts w:ascii="Calibri" w:eastAsia="Arial Unicode MS" w:hAnsi="Calibri" w:cs="Calibri"/>
          <w:i/>
        </w:rPr>
        <w:t>start up</w:t>
      </w:r>
      <w:r w:rsidR="002A32D5">
        <w:rPr>
          <w:rFonts w:ascii="Calibri" w:eastAsia="Arial Unicode MS" w:hAnsi="Calibri" w:cs="Calibri"/>
        </w:rPr>
        <w:t xml:space="preserve"> en Tunisie et/ou en Afrique</w:t>
      </w:r>
      <w:r>
        <w:rPr>
          <w:rFonts w:ascii="Calibri" w:eastAsia="Arial Unicode MS" w:hAnsi="Calibri" w:cs="Calibri"/>
        </w:rPr>
        <w:t xml:space="preserve"> </w:t>
      </w:r>
      <w:r w:rsidRPr="00BE1627">
        <w:rPr>
          <w:rFonts w:ascii="Calibri" w:eastAsia="Arial Unicode MS" w:hAnsi="Calibri" w:cs="Calibri"/>
        </w:rPr>
        <w:t xml:space="preserve">; </w:t>
      </w:r>
    </w:p>
    <w:p w14:paraId="608AC76B" w14:textId="50BC6D33" w:rsidR="00C32B7C" w:rsidRDefault="00C32B7C" w:rsidP="00BB606A">
      <w:pPr>
        <w:pStyle w:val="Corpsdetexte"/>
        <w:numPr>
          <w:ilvl w:val="0"/>
          <w:numId w:val="15"/>
        </w:numPr>
        <w:spacing w:line="276" w:lineRule="auto"/>
        <w:ind w:right="133"/>
        <w:jc w:val="both"/>
        <w:rPr>
          <w:rFonts w:ascii="Calibri" w:eastAsia="Arial Unicode MS" w:hAnsi="Calibri" w:cs="Calibri"/>
        </w:rPr>
      </w:pPr>
      <w:r w:rsidRPr="00BE1627">
        <w:rPr>
          <w:rFonts w:ascii="Calibri" w:eastAsia="Arial Unicode MS" w:hAnsi="Calibri" w:cs="Calibri"/>
        </w:rPr>
        <w:t>Excellente</w:t>
      </w:r>
      <w:r w:rsidRPr="00BE1627">
        <w:rPr>
          <w:rFonts w:ascii="Calibri" w:eastAsia="Arial Unicode MS" w:hAnsi="Calibri" w:cs="Calibri" w:hint="eastAsia"/>
        </w:rPr>
        <w:t xml:space="preserve"> connaissance </w:t>
      </w:r>
      <w:r>
        <w:rPr>
          <w:rFonts w:ascii="Calibri" w:eastAsia="Arial Unicode MS" w:hAnsi="Calibri" w:cs="Calibri"/>
        </w:rPr>
        <w:t xml:space="preserve">de l’écosystème </w:t>
      </w:r>
      <w:r w:rsidRPr="002A32D5">
        <w:rPr>
          <w:rFonts w:ascii="Calibri" w:eastAsia="Arial Unicode MS" w:hAnsi="Calibri" w:cs="Calibri"/>
          <w:i/>
        </w:rPr>
        <w:t>start up</w:t>
      </w:r>
      <w:r>
        <w:rPr>
          <w:rFonts w:ascii="Calibri" w:eastAsia="Arial Unicode MS" w:hAnsi="Calibri" w:cs="Calibri"/>
        </w:rPr>
        <w:t xml:space="preserve"> et de ses acteurs en Tunisie </w:t>
      </w:r>
      <w:r w:rsidRPr="00BE1627">
        <w:rPr>
          <w:rFonts w:ascii="Calibri" w:eastAsia="Arial Unicode MS" w:hAnsi="Calibri" w:cs="Calibri"/>
        </w:rPr>
        <w:t>;</w:t>
      </w:r>
      <w:r>
        <w:rPr>
          <w:rFonts w:ascii="Calibri" w:eastAsia="Arial Unicode MS" w:hAnsi="Calibri" w:cs="Calibri"/>
        </w:rPr>
        <w:t xml:space="preserve"> </w:t>
      </w:r>
    </w:p>
    <w:p w14:paraId="5DFC9FAD" w14:textId="051BBAFB" w:rsidR="00C32B7C" w:rsidRPr="00C03061" w:rsidRDefault="00C32B7C" w:rsidP="00BB606A">
      <w:pPr>
        <w:pStyle w:val="Corpsdetexte"/>
        <w:numPr>
          <w:ilvl w:val="0"/>
          <w:numId w:val="15"/>
        </w:numPr>
        <w:spacing w:line="276" w:lineRule="auto"/>
        <w:ind w:right="133"/>
        <w:jc w:val="both"/>
        <w:rPr>
          <w:rFonts w:ascii="Calibri" w:eastAsia="Arial Unicode MS" w:hAnsi="Calibri" w:cs="Calibri"/>
        </w:rPr>
      </w:pPr>
      <w:r>
        <w:rPr>
          <w:rFonts w:ascii="Calibri" w:eastAsia="Arial Unicode MS" w:hAnsi="Calibri" w:cs="Calibri"/>
        </w:rPr>
        <w:t>Compétence avérée en gestion de projet</w:t>
      </w:r>
      <w:r w:rsidR="00C03061">
        <w:rPr>
          <w:rFonts w:ascii="Calibri" w:eastAsia="Arial Unicode MS" w:hAnsi="Calibri" w:cs="Calibri"/>
        </w:rPr>
        <w:t xml:space="preserve"> et mise en œuvre de programme d’incubation de </w:t>
      </w:r>
      <w:r w:rsidR="00C03061" w:rsidRPr="002A32D5">
        <w:rPr>
          <w:rFonts w:ascii="Calibri" w:eastAsia="Arial Unicode MS" w:hAnsi="Calibri" w:cs="Calibri"/>
          <w:i/>
        </w:rPr>
        <w:t>start up</w:t>
      </w:r>
      <w:r w:rsidR="00C03061">
        <w:rPr>
          <w:rFonts w:ascii="Calibri" w:eastAsia="Arial Unicode MS" w:hAnsi="Calibri" w:cs="Calibri"/>
        </w:rPr>
        <w:t xml:space="preserve"> </w:t>
      </w:r>
      <w:r>
        <w:rPr>
          <w:rFonts w:ascii="Calibri" w:eastAsia="Arial Unicode MS" w:hAnsi="Calibri" w:cs="Calibri"/>
        </w:rPr>
        <w:t xml:space="preserve">; </w:t>
      </w:r>
    </w:p>
    <w:p w14:paraId="248F8864" w14:textId="77777777" w:rsidR="002A32D5" w:rsidRDefault="002A32D5" w:rsidP="00BB606A">
      <w:pPr>
        <w:pStyle w:val="Paragraphedeliste"/>
        <w:numPr>
          <w:ilvl w:val="0"/>
          <w:numId w:val="15"/>
        </w:numPr>
        <w:spacing w:after="0" w:line="276" w:lineRule="auto"/>
        <w:jc w:val="both"/>
        <w:rPr>
          <w:rFonts w:ascii="Calibri" w:eastAsia="Arial Unicode MS" w:hAnsi="Calibri" w:cs="Calibri"/>
        </w:rPr>
      </w:pPr>
      <w:r w:rsidRPr="00C03061">
        <w:rPr>
          <w:rFonts w:ascii="Calibri" w:eastAsia="Arial Unicode MS" w:hAnsi="Calibri" w:cs="Calibri" w:hint="eastAsia"/>
        </w:rPr>
        <w:t>Excellente capacités en analyse de relations partenariales</w:t>
      </w:r>
      <w:r>
        <w:rPr>
          <w:rFonts w:ascii="Calibri" w:eastAsia="Arial Unicode MS" w:hAnsi="Calibri" w:cs="Calibri"/>
        </w:rPr>
        <w:t> </w:t>
      </w:r>
      <w:r w:rsidRPr="00C03061">
        <w:rPr>
          <w:rFonts w:ascii="Calibri" w:eastAsia="Arial Unicode MS" w:hAnsi="Calibri" w:cs="Calibri" w:hint="eastAsia"/>
        </w:rPr>
        <w:t>;</w:t>
      </w:r>
      <w:r>
        <w:rPr>
          <w:rFonts w:ascii="Calibri" w:eastAsia="Arial Unicode MS" w:hAnsi="Calibri" w:cs="Calibri"/>
        </w:rPr>
        <w:t xml:space="preserve"> </w:t>
      </w:r>
    </w:p>
    <w:p w14:paraId="3F869680" w14:textId="1B2B1FE6" w:rsidR="00C32B7C" w:rsidRPr="00BE1627" w:rsidRDefault="00C32B7C" w:rsidP="00BB606A">
      <w:pPr>
        <w:pStyle w:val="Paragraphedeliste"/>
        <w:numPr>
          <w:ilvl w:val="0"/>
          <w:numId w:val="15"/>
        </w:numPr>
        <w:spacing w:after="0" w:line="276" w:lineRule="auto"/>
        <w:jc w:val="both"/>
        <w:rPr>
          <w:rFonts w:ascii="Calibri" w:eastAsia="Arial Unicode MS" w:hAnsi="Calibri" w:cs="Calibri"/>
        </w:rPr>
      </w:pPr>
      <w:r w:rsidRPr="00BE1627">
        <w:rPr>
          <w:rFonts w:ascii="Calibri" w:eastAsia="Arial Unicode MS" w:hAnsi="Calibri" w:cs="Calibri" w:hint="eastAsia"/>
        </w:rPr>
        <w:t xml:space="preserve">Excellente capacités </w:t>
      </w:r>
      <w:r w:rsidR="00C03061">
        <w:rPr>
          <w:rFonts w:ascii="Calibri" w:eastAsia="Arial Unicode MS" w:hAnsi="Calibri" w:cs="Calibri"/>
        </w:rPr>
        <w:t xml:space="preserve">d’animation et d’utilisation d’outils d’intelligence collective ; </w:t>
      </w:r>
    </w:p>
    <w:p w14:paraId="54B84E05" w14:textId="1A100A60" w:rsidR="00C32B7C" w:rsidRDefault="00C32B7C" w:rsidP="00BB606A">
      <w:pPr>
        <w:pStyle w:val="Corpsdetexte"/>
        <w:numPr>
          <w:ilvl w:val="0"/>
          <w:numId w:val="15"/>
        </w:numPr>
        <w:spacing w:line="276" w:lineRule="auto"/>
        <w:ind w:right="133"/>
        <w:jc w:val="both"/>
        <w:rPr>
          <w:rFonts w:ascii="Calibri" w:eastAsia="Arial Unicode MS" w:hAnsi="Calibri" w:cs="Calibri"/>
        </w:rPr>
      </w:pPr>
      <w:r>
        <w:rPr>
          <w:rFonts w:ascii="Calibri" w:eastAsia="Arial Unicode MS" w:hAnsi="Calibri" w:cs="Calibri"/>
        </w:rPr>
        <w:t>Maîtrise de l’arabe </w:t>
      </w:r>
      <w:r w:rsidR="00C03061">
        <w:rPr>
          <w:rFonts w:ascii="Calibri" w:eastAsia="Arial Unicode MS" w:hAnsi="Calibri" w:cs="Calibri"/>
        </w:rPr>
        <w:t xml:space="preserve">tunisien </w:t>
      </w:r>
      <w:r>
        <w:rPr>
          <w:rFonts w:ascii="Calibri" w:eastAsia="Arial Unicode MS" w:hAnsi="Calibri" w:cs="Calibri"/>
        </w:rPr>
        <w:t xml:space="preserve">; </w:t>
      </w:r>
    </w:p>
    <w:p w14:paraId="1F68FEB7" w14:textId="77777777" w:rsidR="00C32B7C" w:rsidRDefault="00C32B7C" w:rsidP="00BB606A">
      <w:pPr>
        <w:pStyle w:val="Corpsdetexte"/>
        <w:numPr>
          <w:ilvl w:val="0"/>
          <w:numId w:val="15"/>
        </w:numPr>
        <w:spacing w:line="276" w:lineRule="auto"/>
        <w:ind w:right="133"/>
        <w:jc w:val="both"/>
        <w:rPr>
          <w:rFonts w:ascii="Calibri" w:eastAsia="Arial Unicode MS" w:hAnsi="Calibri" w:cs="Calibri"/>
        </w:rPr>
      </w:pPr>
      <w:r>
        <w:rPr>
          <w:rFonts w:ascii="Calibri" w:eastAsia="Arial Unicode MS" w:hAnsi="Calibri" w:cs="Calibri"/>
        </w:rPr>
        <w:t xml:space="preserve">Excellente capacité de rédaction et de synthèse. </w:t>
      </w:r>
    </w:p>
    <w:p w14:paraId="087B8F2D" w14:textId="77777777" w:rsidR="00C32B7C" w:rsidRPr="00C03061" w:rsidRDefault="00C32B7C" w:rsidP="00C03061">
      <w:pPr>
        <w:tabs>
          <w:tab w:val="right" w:leader="dot" w:pos="9923"/>
        </w:tabs>
        <w:spacing w:after="0" w:line="276" w:lineRule="auto"/>
        <w:jc w:val="both"/>
        <w:rPr>
          <w:rFonts w:ascii="Calibri" w:eastAsia="Arial Unicode MS" w:hAnsi="Calibri" w:cs="Calibri"/>
          <w:b/>
          <w:iCs/>
        </w:rPr>
      </w:pPr>
    </w:p>
    <w:p w14:paraId="512F898B" w14:textId="188BEFB1" w:rsidR="00C03061" w:rsidRPr="00C03061" w:rsidRDefault="00C03061" w:rsidP="00C03061">
      <w:pPr>
        <w:pStyle w:val="Titre1"/>
        <w:numPr>
          <w:ilvl w:val="0"/>
          <w:numId w:val="0"/>
        </w:numPr>
        <w:spacing w:after="0" w:line="276" w:lineRule="auto"/>
        <w:rPr>
          <w:rStyle w:val="Titre1Car"/>
          <w:rFonts w:asciiTheme="minorHAnsi" w:hAnsiTheme="minorHAnsi" w:cstheme="minorHAnsi"/>
          <w:b/>
          <w:szCs w:val="22"/>
        </w:rPr>
      </w:pPr>
      <w:bookmarkStart w:id="50" w:name="_Toc213859207"/>
      <w:r>
        <w:rPr>
          <w:rStyle w:val="Titre1Car"/>
          <w:rFonts w:asciiTheme="minorHAnsi" w:hAnsiTheme="minorHAnsi" w:cstheme="minorHAnsi"/>
          <w:b/>
          <w:szCs w:val="22"/>
        </w:rPr>
        <w:t>Pool d’expert.es et/ou d’enquêteurs.trices complémentaires</w:t>
      </w:r>
      <w:bookmarkEnd w:id="50"/>
      <w:r>
        <w:rPr>
          <w:rStyle w:val="Titre1Car"/>
          <w:rFonts w:asciiTheme="minorHAnsi" w:hAnsiTheme="minorHAnsi" w:cstheme="minorHAnsi"/>
          <w:b/>
          <w:szCs w:val="22"/>
        </w:rPr>
        <w:t xml:space="preserve"> </w:t>
      </w:r>
    </w:p>
    <w:p w14:paraId="78A35804" w14:textId="13124DC2" w:rsidR="00C03061" w:rsidRDefault="00C03061" w:rsidP="00C03061">
      <w:pPr>
        <w:tabs>
          <w:tab w:val="right" w:leader="dot" w:pos="9923"/>
        </w:tabs>
        <w:spacing w:after="0" w:line="276" w:lineRule="auto"/>
        <w:jc w:val="both"/>
        <w:rPr>
          <w:rFonts w:ascii="Calibri" w:eastAsia="Arial Unicode MS" w:hAnsi="Calibri" w:cs="Calibri"/>
        </w:rPr>
      </w:pPr>
      <w:r>
        <w:rPr>
          <w:rFonts w:ascii="Calibri" w:eastAsia="Arial Unicode MS" w:hAnsi="Calibri" w:cs="Calibri"/>
        </w:rPr>
        <w:t xml:space="preserve">Le prestataire est ensuite libre de proposer un pool d’expert.es et d’enquêteurs.trices complémentaires dont les compétences doivent être pertinentes pour atteindre l’objectif de la mission. L’intervention de ces expert.es devra être détaillée et expliquée dans l’offre technique. </w:t>
      </w:r>
    </w:p>
    <w:p w14:paraId="5D5D0AA6" w14:textId="537AA9BB" w:rsidR="00C03061" w:rsidRDefault="00C03061" w:rsidP="00C03061">
      <w:pPr>
        <w:tabs>
          <w:tab w:val="right" w:leader="dot" w:pos="9923"/>
        </w:tabs>
        <w:spacing w:after="0" w:line="276" w:lineRule="auto"/>
        <w:jc w:val="both"/>
        <w:rPr>
          <w:rFonts w:ascii="Calibri" w:eastAsia="Arial Unicode MS" w:hAnsi="Calibri" w:cs="Calibri"/>
        </w:rPr>
      </w:pPr>
    </w:p>
    <w:p w14:paraId="5247E99D" w14:textId="1A8038ED" w:rsidR="00C03061" w:rsidRDefault="00C03061" w:rsidP="00C03061">
      <w:pPr>
        <w:pStyle w:val="Titre1"/>
        <w:spacing w:after="0" w:line="276" w:lineRule="auto"/>
        <w:rPr>
          <w:sz w:val="28"/>
        </w:rPr>
      </w:pPr>
      <w:bookmarkStart w:id="51" w:name="_Toc213859208"/>
      <w:r>
        <w:rPr>
          <w:sz w:val="28"/>
        </w:rPr>
        <w:t>Annexes (sur demande)</w:t>
      </w:r>
      <w:bookmarkEnd w:id="51"/>
      <w:r>
        <w:rPr>
          <w:sz w:val="28"/>
        </w:rPr>
        <w:t xml:space="preserve"> </w:t>
      </w:r>
    </w:p>
    <w:p w14:paraId="4414A168" w14:textId="59458380" w:rsidR="00C03061" w:rsidRPr="00B8358C" w:rsidRDefault="00B8358C" w:rsidP="00BB606A">
      <w:pPr>
        <w:pStyle w:val="Paragraphedeliste"/>
        <w:numPr>
          <w:ilvl w:val="0"/>
          <w:numId w:val="15"/>
        </w:numPr>
        <w:rPr>
          <w:rFonts w:ascii="Calibri" w:eastAsia="Arial Unicode MS" w:hAnsi="Calibri" w:cs="Calibri"/>
        </w:rPr>
      </w:pPr>
      <w:r>
        <w:rPr>
          <w:rFonts w:ascii="Calibri" w:eastAsia="Arial Unicode MS" w:hAnsi="Calibri" w:cs="Calibri"/>
        </w:rPr>
        <w:t xml:space="preserve">Présentation de The Dot et des différents programmes </w:t>
      </w:r>
    </w:p>
    <w:p w14:paraId="03501FF6" w14:textId="77777777" w:rsidR="001111DA" w:rsidRPr="00C03061" w:rsidRDefault="001111DA" w:rsidP="00C03061">
      <w:pPr>
        <w:spacing w:after="0" w:line="276" w:lineRule="auto"/>
        <w:jc w:val="both"/>
        <w:rPr>
          <w:rFonts w:asciiTheme="minorHAnsi" w:hAnsiTheme="minorHAnsi" w:cstheme="minorHAnsi"/>
        </w:rPr>
      </w:pPr>
    </w:p>
    <w:bookmarkEnd w:id="46"/>
    <w:bookmarkEnd w:id="47"/>
    <w:bookmarkEnd w:id="48"/>
    <w:p w14:paraId="09E1F2F9" w14:textId="77777777" w:rsidR="008261A9" w:rsidRPr="00C03061" w:rsidRDefault="008261A9" w:rsidP="00C03061">
      <w:pPr>
        <w:pStyle w:val="Aufzhlung"/>
        <w:numPr>
          <w:ilvl w:val="0"/>
          <w:numId w:val="0"/>
        </w:numPr>
        <w:spacing w:line="276" w:lineRule="auto"/>
        <w:ind w:left="425" w:hanging="425"/>
        <w:jc w:val="both"/>
        <w:rPr>
          <w:rFonts w:asciiTheme="minorHAnsi" w:hAnsiTheme="minorHAnsi" w:cstheme="minorHAnsi"/>
          <w:lang w:val="fr-FR"/>
        </w:rPr>
      </w:pPr>
    </w:p>
    <w:sectPr w:rsidR="008261A9" w:rsidRPr="00C03061" w:rsidSect="009949F8">
      <w:headerReference w:type="default" r:id="rId12"/>
      <w:footerReference w:type="default" r:id="rId13"/>
      <w:headerReference w:type="first" r:id="rId14"/>
      <w:footerReference w:type="first" r:id="rId15"/>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834AC" w14:textId="77777777" w:rsidR="00582A51" w:rsidRDefault="00582A51" w:rsidP="00E0714A">
      <w:r>
        <w:separator/>
      </w:r>
    </w:p>
    <w:p w14:paraId="1A1974D1" w14:textId="77777777" w:rsidR="00582A51" w:rsidRDefault="00582A51"/>
  </w:endnote>
  <w:endnote w:type="continuationSeparator" w:id="0">
    <w:p w14:paraId="588C19AC" w14:textId="77777777" w:rsidR="00582A51" w:rsidRDefault="00582A51" w:rsidP="00E0714A">
      <w:r>
        <w:continuationSeparator/>
      </w:r>
    </w:p>
    <w:p w14:paraId="11C1CF40" w14:textId="77777777" w:rsidR="00582A51" w:rsidRDefault="00582A51"/>
  </w:endnote>
  <w:endnote w:type="continuationNotice" w:id="1">
    <w:p w14:paraId="3CE25036" w14:textId="77777777" w:rsidR="00582A51" w:rsidRDefault="00582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Calibri-Italic">
    <w:altName w:val="Calibri"/>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D442" w14:textId="05F4CA9C" w:rsidR="00C03061" w:rsidRPr="00B53644" w:rsidRDefault="00C03061" w:rsidP="00B53644">
    <w:pPr>
      <w:tabs>
        <w:tab w:val="left" w:pos="7740"/>
      </w:tabs>
      <w:jc w:val="right"/>
      <w:rPr>
        <w:rFonts w:cs="Arial"/>
        <w:szCs w:val="18"/>
      </w:rPr>
    </w:pPr>
    <w:r>
      <w:rPr>
        <w:rFonts w:cs="Arial"/>
      </w:rPr>
      <w:fldChar w:fldCharType="begin"/>
    </w:r>
    <w:r>
      <w:rPr>
        <w:rFonts w:cs="Arial"/>
      </w:rPr>
      <w:instrText xml:space="preserve"> PAGE  \* Arabic  \* MERGEFORMAT </w:instrText>
    </w:r>
    <w:r>
      <w:rPr>
        <w:rFonts w:cs="Arial"/>
      </w:rPr>
      <w:fldChar w:fldCharType="separate"/>
    </w:r>
    <w:r w:rsidR="00534F8D">
      <w:rPr>
        <w:rFonts w:cs="Arial"/>
        <w:noProof/>
      </w:rPr>
      <w:t>12</w:t>
    </w:r>
    <w:r>
      <w:rPr>
        <w:rFonts w:cs="Aria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94A3" w14:textId="609A55AC" w:rsidR="00C03061" w:rsidRPr="001B29A4" w:rsidRDefault="00C03061" w:rsidP="00B53644">
    <w:pPr>
      <w:pStyle w:val="Pieddepage"/>
      <w:tabs>
        <w:tab w:val="clear" w:pos="4536"/>
      </w:tabs>
      <w:rPr>
        <w:sz w:val="20"/>
        <w:szCs w:val="20"/>
      </w:rPr>
    </w:pPr>
    <w:r>
      <w:rPr>
        <w:sz w:val="14"/>
      </w:rPr>
      <w:t xml:space="preserve">Termes de référence – étude d’impact The Dot </w:t>
    </w:r>
    <w:r>
      <w:rPr>
        <w:sz w:val="13"/>
      </w:rPr>
      <w:tab/>
    </w:r>
    <w:r w:rsidRPr="001B29A4">
      <w:rPr>
        <w:sz w:val="20"/>
        <w:szCs w:val="20"/>
      </w:rPr>
      <w:fldChar w:fldCharType="begin"/>
    </w:r>
    <w:r w:rsidRPr="001B29A4">
      <w:rPr>
        <w:sz w:val="20"/>
        <w:szCs w:val="20"/>
      </w:rPr>
      <w:instrText xml:space="preserve"> PAGE  \* Arabic  \* MERGEFORMAT </w:instrText>
    </w:r>
    <w:r w:rsidRPr="001B29A4">
      <w:rPr>
        <w:sz w:val="20"/>
        <w:szCs w:val="20"/>
      </w:rPr>
      <w:fldChar w:fldCharType="separate"/>
    </w:r>
    <w:r w:rsidR="00582A51">
      <w:rPr>
        <w:noProof/>
        <w:sz w:val="20"/>
        <w:szCs w:val="20"/>
      </w:rPr>
      <w:t>1</w:t>
    </w:r>
    <w:r w:rsidRPr="001B29A4">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B9426" w14:textId="77777777" w:rsidR="00582A51" w:rsidRDefault="00582A51" w:rsidP="00E0714A">
      <w:r>
        <w:separator/>
      </w:r>
    </w:p>
    <w:p w14:paraId="4BAF3A5D" w14:textId="77777777" w:rsidR="00582A51" w:rsidRDefault="00582A51"/>
  </w:footnote>
  <w:footnote w:type="continuationSeparator" w:id="0">
    <w:p w14:paraId="7F446D79" w14:textId="77777777" w:rsidR="00582A51" w:rsidRDefault="00582A51" w:rsidP="00E0714A">
      <w:r>
        <w:continuationSeparator/>
      </w:r>
    </w:p>
    <w:p w14:paraId="7F28B83C" w14:textId="77777777" w:rsidR="00582A51" w:rsidRDefault="00582A51"/>
  </w:footnote>
  <w:footnote w:type="continuationNotice" w:id="1">
    <w:p w14:paraId="62D9A367" w14:textId="77777777" w:rsidR="00582A51" w:rsidRDefault="00582A51">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C03061" w:rsidRPr="00703906" w14:paraId="125A7A95" w14:textId="77777777" w:rsidTr="00AD54AE">
      <w:tc>
        <w:tcPr>
          <w:tcW w:w="3361" w:type="pct"/>
          <w:vAlign w:val="bottom"/>
        </w:tcPr>
        <w:p w14:paraId="5A61A730" w14:textId="77777777" w:rsidR="00C03061" w:rsidRPr="00B6676B" w:rsidRDefault="00C03061" w:rsidP="00C44FDA">
          <w:pPr>
            <w:pStyle w:val="Titre1"/>
            <w:numPr>
              <w:ilvl w:val="0"/>
              <w:numId w:val="0"/>
            </w:numPr>
            <w:ind w:left="432"/>
            <w:rPr>
              <w:lang w:eastAsia="de-DE"/>
            </w:rPr>
          </w:pPr>
        </w:p>
      </w:tc>
      <w:tc>
        <w:tcPr>
          <w:tcW w:w="1639" w:type="pct"/>
        </w:tcPr>
        <w:p w14:paraId="6F57B227" w14:textId="6D76C151" w:rsidR="00C03061" w:rsidRPr="00703906" w:rsidRDefault="00C03061" w:rsidP="005915AE">
          <w:pPr>
            <w:tabs>
              <w:tab w:val="right" w:pos="9356"/>
            </w:tabs>
            <w:spacing w:after="0"/>
            <w:rPr>
              <w:rFonts w:eastAsia="Times New Roman" w:cs="Times New Roman"/>
              <w:sz w:val="20"/>
              <w:szCs w:val="20"/>
            </w:rPr>
          </w:pPr>
        </w:p>
      </w:tc>
    </w:tr>
  </w:tbl>
  <w:p w14:paraId="341D55B6" w14:textId="77777777" w:rsidR="00C03061" w:rsidRDefault="00C03061" w:rsidP="00B53644">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14" w:type="pct"/>
      <w:tblLayout w:type="fixed"/>
      <w:tblCellMar>
        <w:left w:w="0" w:type="dxa"/>
        <w:right w:w="0" w:type="dxa"/>
      </w:tblCellMar>
      <w:tblLook w:val="00A0" w:firstRow="1" w:lastRow="0" w:firstColumn="1" w:lastColumn="0" w:noHBand="0" w:noVBand="0"/>
    </w:tblPr>
    <w:tblGrid>
      <w:gridCol w:w="6520"/>
      <w:gridCol w:w="3120"/>
    </w:tblGrid>
    <w:tr w:rsidR="00C03061" w:rsidRPr="00703906" w14:paraId="2CCEB05A" w14:textId="77777777" w:rsidTr="00ED7613">
      <w:tc>
        <w:tcPr>
          <w:tcW w:w="3382" w:type="pct"/>
          <w:vAlign w:val="bottom"/>
        </w:tcPr>
        <w:p w14:paraId="2B8C140E" w14:textId="73C710F2" w:rsidR="00C03061" w:rsidRPr="00C44FDA" w:rsidRDefault="00C03061" w:rsidP="001F6EA2">
          <w:pPr>
            <w:rPr>
              <w:b/>
              <w:bCs/>
              <w:sz w:val="28"/>
              <w:szCs w:val="28"/>
            </w:rPr>
          </w:pPr>
        </w:p>
      </w:tc>
      <w:tc>
        <w:tcPr>
          <w:tcW w:w="1618" w:type="pct"/>
        </w:tcPr>
        <w:p w14:paraId="37EA265E" w14:textId="63A5AEB9" w:rsidR="00264B63" w:rsidRDefault="00264B63" w:rsidP="005915AE">
          <w:pPr>
            <w:tabs>
              <w:tab w:val="right" w:pos="9356"/>
            </w:tabs>
            <w:spacing w:after="0"/>
            <w:rPr>
              <w:rFonts w:eastAsia="Times New Roman" w:cs="Times New Roman"/>
              <w:sz w:val="20"/>
              <w:szCs w:val="20"/>
            </w:rPr>
          </w:pPr>
        </w:p>
        <w:p w14:paraId="662CD45C" w14:textId="5A562FD5" w:rsidR="00C03061" w:rsidRPr="00264B63" w:rsidRDefault="00264B63" w:rsidP="00264B63">
          <w:pPr>
            <w:jc w:val="right"/>
            <w:rPr>
              <w:rFonts w:eastAsia="Times New Roman" w:cs="Times New Roman"/>
              <w:sz w:val="20"/>
              <w:szCs w:val="20"/>
            </w:rPr>
          </w:pPr>
          <w:r>
            <w:rPr>
              <w:noProof/>
              <w:lang w:eastAsia="fr-FR"/>
            </w:rPr>
            <w:drawing>
              <wp:inline distT="0" distB="0" distL="0" distR="0" wp14:anchorId="4388E70B" wp14:editId="7DAC5DD1">
                <wp:extent cx="596900" cy="596900"/>
                <wp:effectExtent l="0" t="0" r="0" b="0"/>
                <wp:docPr id="2" name="Image 2" descr="The Dot | Tu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ot | Tun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a:ln>
                          <a:noFill/>
                        </a:ln>
                      </pic:spPr>
                    </pic:pic>
                  </a:graphicData>
                </a:graphic>
              </wp:inline>
            </w:drawing>
          </w:r>
        </w:p>
      </w:tc>
    </w:tr>
  </w:tbl>
  <w:p w14:paraId="10503C1F" w14:textId="36E21996" w:rsidR="00C03061" w:rsidRDefault="00264B63" w:rsidP="00B53644">
    <w:pPr>
      <w:spacing w:after="0"/>
    </w:pPr>
    <w:r>
      <w:rPr>
        <w:noProof/>
        <w:lang w:eastAsia="fr-FR"/>
      </w:rPr>
      <w:drawing>
        <wp:anchor distT="0" distB="0" distL="114300" distR="114300" simplePos="0" relativeHeight="251658240" behindDoc="1" locked="0" layoutInCell="1" allowOverlap="1" wp14:anchorId="0AA34417" wp14:editId="03ADA63E">
          <wp:simplePos x="0" y="0"/>
          <wp:positionH relativeFrom="margin">
            <wp:posOffset>-584200</wp:posOffset>
          </wp:positionH>
          <wp:positionV relativeFrom="margin">
            <wp:posOffset>-1011555</wp:posOffset>
          </wp:positionV>
          <wp:extent cx="4140200" cy="6286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29713" b="19570"/>
                  <a:stretch/>
                </pic:blipFill>
                <pic:spPr bwMode="auto">
                  <a:xfrm>
                    <a:off x="0" y="0"/>
                    <a:ext cx="414020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796"/>
    <w:multiLevelType w:val="hybridMultilevel"/>
    <w:tmpl w:val="BE7ACA5E"/>
    <w:lvl w:ilvl="0" w:tplc="1B00280A">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4C71D8"/>
    <w:multiLevelType w:val="hybridMultilevel"/>
    <w:tmpl w:val="0C743B68"/>
    <w:lvl w:ilvl="0" w:tplc="6DF83286">
      <w:start w:val="1"/>
      <w:numFmt w:val="bullet"/>
      <w:pStyle w:val="LISTE"/>
      <w:lvlText w:val=""/>
      <w:lvlJc w:val="left"/>
      <w:pPr>
        <w:ind w:left="794" w:hanging="397"/>
      </w:pPr>
      <w:rPr>
        <w:rFonts w:ascii="Symbol" w:hAnsi="Symbol" w:hint="default"/>
        <w:color w:val="20827A"/>
        <w:position w:val="0"/>
      </w:rPr>
    </w:lvl>
    <w:lvl w:ilvl="1" w:tplc="040C0003">
      <w:start w:val="1"/>
      <w:numFmt w:val="bullet"/>
      <w:lvlText w:val="o"/>
      <w:lvlJc w:val="left"/>
      <w:pPr>
        <w:ind w:left="1837" w:hanging="360"/>
      </w:pPr>
      <w:rPr>
        <w:rFonts w:ascii="Courier New" w:hAnsi="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2" w15:restartNumberingAfterBreak="0">
    <w:nsid w:val="0E1918DE"/>
    <w:multiLevelType w:val="hybridMultilevel"/>
    <w:tmpl w:val="4312787E"/>
    <w:lvl w:ilvl="0" w:tplc="ED9284AC">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07BB7"/>
    <w:multiLevelType w:val="multilevel"/>
    <w:tmpl w:val="4E06B970"/>
    <w:lvl w:ilvl="0">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172B0F98"/>
    <w:multiLevelType w:val="multilevel"/>
    <w:tmpl w:val="EA78809A"/>
    <w:lvl w:ilvl="0">
      <w:start w:val="7"/>
      <w:numFmt w:val="bullet"/>
      <w:lvlText w:val="-"/>
      <w:lvlJc w:val="left"/>
      <w:pPr>
        <w:tabs>
          <w:tab w:val="num" w:pos="720"/>
        </w:tabs>
        <w:ind w:left="720" w:hanging="360"/>
      </w:pPr>
      <w:rPr>
        <w:rFonts w:ascii="Times New Roman" w:eastAsia="Times New Roman" w:hAnsi="Times New Roman" w:cs="Times New Roman"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Calibri" w:hAnsi="Calibri" w:cs="Times New Roman" w:hint="default"/>
        <w:b w:val="0"/>
        <w:i w:val="0"/>
        <w:color w:val="5B9BD5" w:themeColor="accent1"/>
        <w:sz w:val="21"/>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C18EC"/>
    <w:multiLevelType w:val="hybridMultilevel"/>
    <w:tmpl w:val="80EEAAE2"/>
    <w:lvl w:ilvl="0" w:tplc="3FF407FE">
      <w:start w:val="7"/>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C6949"/>
    <w:multiLevelType w:val="multilevel"/>
    <w:tmpl w:val="E4AAD352"/>
    <w:lvl w:ilvl="0">
      <w:start w:val="7"/>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A0708"/>
    <w:multiLevelType w:val="hybridMultilevel"/>
    <w:tmpl w:val="4B42A070"/>
    <w:lvl w:ilvl="0" w:tplc="A984A6D2">
      <w:start w:val="15"/>
      <w:numFmt w:val="bullet"/>
      <w:lvlText w:val="-"/>
      <w:lvlJc w:val="left"/>
      <w:pPr>
        <w:ind w:left="786" w:hanging="360"/>
      </w:pPr>
      <w:rPr>
        <w:rFonts w:ascii="Calibri" w:eastAsia="MS Mincho" w:hAnsi="Calibri" w:cs="Calibri" w:hint="default"/>
        <w:i w:val="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375620C0"/>
    <w:multiLevelType w:val="hybridMultilevel"/>
    <w:tmpl w:val="56E631E0"/>
    <w:lvl w:ilvl="0" w:tplc="3FF407FE">
      <w:start w:val="7"/>
      <w:numFmt w:val="bullet"/>
      <w:lvlText w:val="-"/>
      <w:lvlJc w:val="left"/>
      <w:pPr>
        <w:ind w:left="1080" w:hanging="360"/>
      </w:pPr>
      <w:rPr>
        <w:rFonts w:ascii="Times New Roman" w:eastAsia="Times New Roman"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7EF7C37"/>
    <w:multiLevelType w:val="multilevel"/>
    <w:tmpl w:val="B8644E6C"/>
    <w:lvl w:ilvl="0">
      <w:start w:val="1"/>
      <w:numFmt w:val="decimal"/>
      <w:lvlText w:val="%1-"/>
      <w:lvlJc w:val="left"/>
      <w:pPr>
        <w:tabs>
          <w:tab w:val="num" w:pos="720"/>
        </w:tabs>
        <w:ind w:left="720" w:hanging="360"/>
      </w:pPr>
      <w:rPr>
        <w:rFonts w:ascii="Calibri" w:eastAsia="MS Mincho" w:hAnsi="Calibri" w:cs="Calibri"/>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E47DD"/>
    <w:multiLevelType w:val="hybridMultilevel"/>
    <w:tmpl w:val="6B647B86"/>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0035478"/>
    <w:multiLevelType w:val="multilevel"/>
    <w:tmpl w:val="9704EF54"/>
    <w:lvl w:ilvl="0">
      <w:start w:val="7"/>
      <w:numFmt w:val="bullet"/>
      <w:lvlText w:val="-"/>
      <w:lvlJc w:val="left"/>
      <w:pPr>
        <w:tabs>
          <w:tab w:val="num" w:pos="720"/>
        </w:tabs>
        <w:ind w:left="720" w:hanging="360"/>
      </w:pPr>
      <w:rPr>
        <w:rFonts w:ascii="Times New Roman" w:eastAsia="Times New Roman" w:hAnsi="Times New Roman" w:cs="Times New Roman"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Calibri" w:hAnsi="Calibri" w:cs="Times New Roman" w:hint="default"/>
        <w:b w:val="0"/>
        <w:i w:val="0"/>
        <w:color w:val="5B9BD5" w:themeColor="accent1"/>
        <w:sz w:val="21"/>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D6452"/>
    <w:multiLevelType w:val="hybridMultilevel"/>
    <w:tmpl w:val="5DDAE508"/>
    <w:lvl w:ilvl="0" w:tplc="04070001">
      <w:start w:val="1"/>
      <w:numFmt w:val="bullet"/>
      <w:lvlText w:val=""/>
      <w:lvlJc w:val="left"/>
      <w:pPr>
        <w:ind w:left="425" w:hanging="425"/>
      </w:pPr>
      <w:rPr>
        <w:rFonts w:ascii="Symbol" w:hAnsi="Symbol" w:hint="default"/>
      </w:rPr>
    </w:lvl>
    <w:lvl w:ilvl="1" w:tplc="17E85ED0">
      <w:start w:val="1"/>
      <w:numFmt w:val="bullet"/>
      <w:pStyle w:val="Aufzhlung"/>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2914D9"/>
    <w:multiLevelType w:val="hybridMultilevel"/>
    <w:tmpl w:val="DD885E7E"/>
    <w:lvl w:ilvl="0" w:tplc="9FE0E8E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5A0C41"/>
    <w:multiLevelType w:val="hybridMultilevel"/>
    <w:tmpl w:val="AD10B348"/>
    <w:lvl w:ilvl="0" w:tplc="3FF407FE">
      <w:start w:val="7"/>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336805"/>
    <w:multiLevelType w:val="hybridMultilevel"/>
    <w:tmpl w:val="C29C7BB8"/>
    <w:lvl w:ilvl="0" w:tplc="3FF407FE">
      <w:start w:val="7"/>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9"/>
  </w:num>
  <w:num w:numId="5">
    <w:abstractNumId w:val="7"/>
  </w:num>
  <w:num w:numId="6">
    <w:abstractNumId w:val="1"/>
  </w:num>
  <w:num w:numId="7">
    <w:abstractNumId w:val="15"/>
  </w:num>
  <w:num w:numId="8">
    <w:abstractNumId w:val="6"/>
  </w:num>
  <w:num w:numId="9">
    <w:abstractNumId w:val="8"/>
  </w:num>
  <w:num w:numId="10">
    <w:abstractNumId w:val="5"/>
  </w:num>
  <w:num w:numId="11">
    <w:abstractNumId w:val="14"/>
  </w:num>
  <w:num w:numId="12">
    <w:abstractNumId w:val="11"/>
  </w:num>
  <w:num w:numId="13">
    <w:abstractNumId w:val="4"/>
  </w:num>
  <w:num w:numId="14">
    <w:abstractNumId w:val="10"/>
  </w:num>
  <w:num w:numId="15">
    <w:abstractNumId w:val="13"/>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0" w:nlCheck="1" w:checkStyle="0"/>
  <w:activeWritingStyle w:appName="MSWord" w:lang="fr-FR" w:vendorID="64" w:dllVersion="0" w:nlCheck="1" w:checkStyle="0"/>
  <w:activeWritingStyle w:appName="MSWord" w:lang="fr-CA" w:vendorID="64" w:dllVersion="0" w:nlCheck="1" w:checkStyle="0"/>
  <w:activeWritingStyle w:appName="MSWord" w:lang="de-DE"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131078" w:nlCheck="1" w:checkStyle="0"/>
  <w:activeWritingStyle w:appName="MSWord" w:lang="de-DE" w:vendorID="64" w:dllVersion="131078" w:nlCheck="1" w:checkStyle="0"/>
  <w:activeWritingStyle w:appName="MSWord" w:lang="fr-CA"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9C"/>
    <w:rsid w:val="00000FB5"/>
    <w:rsid w:val="00001E7E"/>
    <w:rsid w:val="00004156"/>
    <w:rsid w:val="00004A34"/>
    <w:rsid w:val="00006F9E"/>
    <w:rsid w:val="000111A7"/>
    <w:rsid w:val="00013ACB"/>
    <w:rsid w:val="00014220"/>
    <w:rsid w:val="000143A9"/>
    <w:rsid w:val="00016C83"/>
    <w:rsid w:val="000212CC"/>
    <w:rsid w:val="0002289A"/>
    <w:rsid w:val="00026058"/>
    <w:rsid w:val="000271C9"/>
    <w:rsid w:val="000309EA"/>
    <w:rsid w:val="00031A47"/>
    <w:rsid w:val="000338FB"/>
    <w:rsid w:val="0003452B"/>
    <w:rsid w:val="000345DC"/>
    <w:rsid w:val="00034B81"/>
    <w:rsid w:val="00035A49"/>
    <w:rsid w:val="0003643C"/>
    <w:rsid w:val="00036EA7"/>
    <w:rsid w:val="000370F0"/>
    <w:rsid w:val="00037179"/>
    <w:rsid w:val="000407E6"/>
    <w:rsid w:val="000413DD"/>
    <w:rsid w:val="0004304D"/>
    <w:rsid w:val="00045300"/>
    <w:rsid w:val="000454C0"/>
    <w:rsid w:val="00045CE6"/>
    <w:rsid w:val="00046531"/>
    <w:rsid w:val="00047954"/>
    <w:rsid w:val="0005024A"/>
    <w:rsid w:val="00050339"/>
    <w:rsid w:val="000508A6"/>
    <w:rsid w:val="000525BB"/>
    <w:rsid w:val="00056555"/>
    <w:rsid w:val="000568C5"/>
    <w:rsid w:val="00057DB3"/>
    <w:rsid w:val="000602B2"/>
    <w:rsid w:val="00062C30"/>
    <w:rsid w:val="00063135"/>
    <w:rsid w:val="00063314"/>
    <w:rsid w:val="00071EFB"/>
    <w:rsid w:val="000728DD"/>
    <w:rsid w:val="00072A14"/>
    <w:rsid w:val="0007512A"/>
    <w:rsid w:val="00076716"/>
    <w:rsid w:val="00084080"/>
    <w:rsid w:val="000847AC"/>
    <w:rsid w:val="0008504A"/>
    <w:rsid w:val="00087383"/>
    <w:rsid w:val="00091427"/>
    <w:rsid w:val="000948B1"/>
    <w:rsid w:val="000A212F"/>
    <w:rsid w:val="000A3E8F"/>
    <w:rsid w:val="000A4E04"/>
    <w:rsid w:val="000A5419"/>
    <w:rsid w:val="000A5ACB"/>
    <w:rsid w:val="000B3B19"/>
    <w:rsid w:val="000B459A"/>
    <w:rsid w:val="000B5271"/>
    <w:rsid w:val="000B6CE3"/>
    <w:rsid w:val="000C0691"/>
    <w:rsid w:val="000C4BA2"/>
    <w:rsid w:val="000C5076"/>
    <w:rsid w:val="000C66C1"/>
    <w:rsid w:val="000D199D"/>
    <w:rsid w:val="000D1C8B"/>
    <w:rsid w:val="000D3026"/>
    <w:rsid w:val="000D6320"/>
    <w:rsid w:val="000D6DE5"/>
    <w:rsid w:val="000D7093"/>
    <w:rsid w:val="000D753E"/>
    <w:rsid w:val="000E17B8"/>
    <w:rsid w:val="000E2119"/>
    <w:rsid w:val="000E2DEB"/>
    <w:rsid w:val="000E36EB"/>
    <w:rsid w:val="000E398F"/>
    <w:rsid w:val="000E472C"/>
    <w:rsid w:val="000E476C"/>
    <w:rsid w:val="000E7C27"/>
    <w:rsid w:val="000F0D4B"/>
    <w:rsid w:val="000F273F"/>
    <w:rsid w:val="000F2805"/>
    <w:rsid w:val="0010080F"/>
    <w:rsid w:val="00101563"/>
    <w:rsid w:val="00101E6E"/>
    <w:rsid w:val="00102ED7"/>
    <w:rsid w:val="00105063"/>
    <w:rsid w:val="0010656C"/>
    <w:rsid w:val="001111DA"/>
    <w:rsid w:val="00111290"/>
    <w:rsid w:val="001158AE"/>
    <w:rsid w:val="00116941"/>
    <w:rsid w:val="00120B66"/>
    <w:rsid w:val="00122948"/>
    <w:rsid w:val="001230F3"/>
    <w:rsid w:val="001261F8"/>
    <w:rsid w:val="001301FB"/>
    <w:rsid w:val="0013040B"/>
    <w:rsid w:val="001339DB"/>
    <w:rsid w:val="00134A22"/>
    <w:rsid w:val="00136D71"/>
    <w:rsid w:val="001375BB"/>
    <w:rsid w:val="001407CD"/>
    <w:rsid w:val="001422E5"/>
    <w:rsid w:val="0014340B"/>
    <w:rsid w:val="001437A5"/>
    <w:rsid w:val="001463B5"/>
    <w:rsid w:val="0015027D"/>
    <w:rsid w:val="00151895"/>
    <w:rsid w:val="00154A69"/>
    <w:rsid w:val="00154E0D"/>
    <w:rsid w:val="00154EE7"/>
    <w:rsid w:val="0015515B"/>
    <w:rsid w:val="00166FFC"/>
    <w:rsid w:val="0017039C"/>
    <w:rsid w:val="00173278"/>
    <w:rsid w:val="00173882"/>
    <w:rsid w:val="00177AF5"/>
    <w:rsid w:val="00177E80"/>
    <w:rsid w:val="0018037D"/>
    <w:rsid w:val="00180E03"/>
    <w:rsid w:val="001810AB"/>
    <w:rsid w:val="00183028"/>
    <w:rsid w:val="00183566"/>
    <w:rsid w:val="00183F49"/>
    <w:rsid w:val="001840DB"/>
    <w:rsid w:val="00184F8A"/>
    <w:rsid w:val="0018528F"/>
    <w:rsid w:val="00185628"/>
    <w:rsid w:val="001935C5"/>
    <w:rsid w:val="0019484C"/>
    <w:rsid w:val="0019602B"/>
    <w:rsid w:val="0019640D"/>
    <w:rsid w:val="001973B3"/>
    <w:rsid w:val="00197687"/>
    <w:rsid w:val="001A11F2"/>
    <w:rsid w:val="001A24BF"/>
    <w:rsid w:val="001A469A"/>
    <w:rsid w:val="001A5ACE"/>
    <w:rsid w:val="001A74E0"/>
    <w:rsid w:val="001A78C9"/>
    <w:rsid w:val="001B01FE"/>
    <w:rsid w:val="001B17E7"/>
    <w:rsid w:val="001B29A4"/>
    <w:rsid w:val="001B4579"/>
    <w:rsid w:val="001B4C07"/>
    <w:rsid w:val="001C0598"/>
    <w:rsid w:val="001C0EB5"/>
    <w:rsid w:val="001C16E1"/>
    <w:rsid w:val="001C1F14"/>
    <w:rsid w:val="001C2D6B"/>
    <w:rsid w:val="001C46E0"/>
    <w:rsid w:val="001C76AA"/>
    <w:rsid w:val="001D1B53"/>
    <w:rsid w:val="001D2107"/>
    <w:rsid w:val="001D374E"/>
    <w:rsid w:val="001D3D89"/>
    <w:rsid w:val="001D4035"/>
    <w:rsid w:val="001D464D"/>
    <w:rsid w:val="001D53A3"/>
    <w:rsid w:val="001D66F9"/>
    <w:rsid w:val="001E0C26"/>
    <w:rsid w:val="001E33FE"/>
    <w:rsid w:val="001E40F9"/>
    <w:rsid w:val="001E4FC2"/>
    <w:rsid w:val="001E6B25"/>
    <w:rsid w:val="001F6EA2"/>
    <w:rsid w:val="002004AD"/>
    <w:rsid w:val="00202740"/>
    <w:rsid w:val="00202D3A"/>
    <w:rsid w:val="00204111"/>
    <w:rsid w:val="00205A68"/>
    <w:rsid w:val="0020635D"/>
    <w:rsid w:val="00206AC4"/>
    <w:rsid w:val="00207501"/>
    <w:rsid w:val="00207F94"/>
    <w:rsid w:val="00213577"/>
    <w:rsid w:val="002137B4"/>
    <w:rsid w:val="00213CF0"/>
    <w:rsid w:val="00217377"/>
    <w:rsid w:val="00217577"/>
    <w:rsid w:val="00217880"/>
    <w:rsid w:val="00220103"/>
    <w:rsid w:val="002201F2"/>
    <w:rsid w:val="00220FD6"/>
    <w:rsid w:val="0022271C"/>
    <w:rsid w:val="002246EA"/>
    <w:rsid w:val="002267CB"/>
    <w:rsid w:val="002267E9"/>
    <w:rsid w:val="00227C9D"/>
    <w:rsid w:val="002301BA"/>
    <w:rsid w:val="00230C30"/>
    <w:rsid w:val="00236833"/>
    <w:rsid w:val="00243D8E"/>
    <w:rsid w:val="00245431"/>
    <w:rsid w:val="00245DBC"/>
    <w:rsid w:val="00247BB5"/>
    <w:rsid w:val="00247DD3"/>
    <w:rsid w:val="00250A5C"/>
    <w:rsid w:val="00250BFE"/>
    <w:rsid w:val="0025205A"/>
    <w:rsid w:val="00252826"/>
    <w:rsid w:val="00255E57"/>
    <w:rsid w:val="00256AFA"/>
    <w:rsid w:val="002573E8"/>
    <w:rsid w:val="00257BAC"/>
    <w:rsid w:val="00262757"/>
    <w:rsid w:val="00264B63"/>
    <w:rsid w:val="002719FE"/>
    <w:rsid w:val="00271AA1"/>
    <w:rsid w:val="00272C33"/>
    <w:rsid w:val="0027582B"/>
    <w:rsid w:val="00276243"/>
    <w:rsid w:val="0027677E"/>
    <w:rsid w:val="0028169B"/>
    <w:rsid w:val="00282B9E"/>
    <w:rsid w:val="00286B69"/>
    <w:rsid w:val="00286D14"/>
    <w:rsid w:val="0028712E"/>
    <w:rsid w:val="00291D5A"/>
    <w:rsid w:val="00293AF1"/>
    <w:rsid w:val="002A32D5"/>
    <w:rsid w:val="002A337B"/>
    <w:rsid w:val="002A3EC7"/>
    <w:rsid w:val="002A42EC"/>
    <w:rsid w:val="002A7BB9"/>
    <w:rsid w:val="002A7BF3"/>
    <w:rsid w:val="002B004A"/>
    <w:rsid w:val="002B062F"/>
    <w:rsid w:val="002B2E95"/>
    <w:rsid w:val="002B4395"/>
    <w:rsid w:val="002B51B2"/>
    <w:rsid w:val="002C1998"/>
    <w:rsid w:val="002C1A2F"/>
    <w:rsid w:val="002D07B9"/>
    <w:rsid w:val="002D0F27"/>
    <w:rsid w:val="002D3DE1"/>
    <w:rsid w:val="002D44CF"/>
    <w:rsid w:val="002D4660"/>
    <w:rsid w:val="002D50F6"/>
    <w:rsid w:val="002D5309"/>
    <w:rsid w:val="002E0DCC"/>
    <w:rsid w:val="002E1BE7"/>
    <w:rsid w:val="002E3913"/>
    <w:rsid w:val="002E4E4F"/>
    <w:rsid w:val="002E58F7"/>
    <w:rsid w:val="002E75FD"/>
    <w:rsid w:val="002F2360"/>
    <w:rsid w:val="002F304F"/>
    <w:rsid w:val="002F52B1"/>
    <w:rsid w:val="002F68DC"/>
    <w:rsid w:val="00300697"/>
    <w:rsid w:val="0030370B"/>
    <w:rsid w:val="00311D17"/>
    <w:rsid w:val="0031213E"/>
    <w:rsid w:val="00312415"/>
    <w:rsid w:val="00312AB8"/>
    <w:rsid w:val="003168D2"/>
    <w:rsid w:val="00316D51"/>
    <w:rsid w:val="0031705C"/>
    <w:rsid w:val="003176D7"/>
    <w:rsid w:val="003177E8"/>
    <w:rsid w:val="00317A2F"/>
    <w:rsid w:val="00325297"/>
    <w:rsid w:val="00325404"/>
    <w:rsid w:val="00330897"/>
    <w:rsid w:val="00336C6B"/>
    <w:rsid w:val="00337876"/>
    <w:rsid w:val="0034355B"/>
    <w:rsid w:val="00343AC1"/>
    <w:rsid w:val="00344B64"/>
    <w:rsid w:val="00345225"/>
    <w:rsid w:val="00345D6C"/>
    <w:rsid w:val="003473E4"/>
    <w:rsid w:val="00347BE0"/>
    <w:rsid w:val="003518C6"/>
    <w:rsid w:val="003519A6"/>
    <w:rsid w:val="0035230A"/>
    <w:rsid w:val="00352962"/>
    <w:rsid w:val="00354A72"/>
    <w:rsid w:val="0035715F"/>
    <w:rsid w:val="00364161"/>
    <w:rsid w:val="0036439B"/>
    <w:rsid w:val="00366D88"/>
    <w:rsid w:val="00371E85"/>
    <w:rsid w:val="00372039"/>
    <w:rsid w:val="00372BB8"/>
    <w:rsid w:val="00375D70"/>
    <w:rsid w:val="00376A37"/>
    <w:rsid w:val="00377419"/>
    <w:rsid w:val="00377D14"/>
    <w:rsid w:val="00382DB1"/>
    <w:rsid w:val="00383D58"/>
    <w:rsid w:val="00386264"/>
    <w:rsid w:val="00387923"/>
    <w:rsid w:val="00392EF2"/>
    <w:rsid w:val="003954A5"/>
    <w:rsid w:val="0039631E"/>
    <w:rsid w:val="003964A7"/>
    <w:rsid w:val="003977F3"/>
    <w:rsid w:val="00397DA3"/>
    <w:rsid w:val="003A38EB"/>
    <w:rsid w:val="003B021F"/>
    <w:rsid w:val="003B251C"/>
    <w:rsid w:val="003B306D"/>
    <w:rsid w:val="003B58EC"/>
    <w:rsid w:val="003B6611"/>
    <w:rsid w:val="003C5BE2"/>
    <w:rsid w:val="003C7562"/>
    <w:rsid w:val="003C77AB"/>
    <w:rsid w:val="003D095B"/>
    <w:rsid w:val="003D2CC9"/>
    <w:rsid w:val="003E0B3A"/>
    <w:rsid w:val="003E127D"/>
    <w:rsid w:val="003E2891"/>
    <w:rsid w:val="003E29DA"/>
    <w:rsid w:val="003E3BBB"/>
    <w:rsid w:val="003E4814"/>
    <w:rsid w:val="003E5CAF"/>
    <w:rsid w:val="003F0562"/>
    <w:rsid w:val="003F174D"/>
    <w:rsid w:val="003F57AD"/>
    <w:rsid w:val="003F6027"/>
    <w:rsid w:val="003F67B7"/>
    <w:rsid w:val="003F7170"/>
    <w:rsid w:val="00400CCB"/>
    <w:rsid w:val="004012DB"/>
    <w:rsid w:val="0040428E"/>
    <w:rsid w:val="00404657"/>
    <w:rsid w:val="00406DBB"/>
    <w:rsid w:val="0041431A"/>
    <w:rsid w:val="00420445"/>
    <w:rsid w:val="00420E8E"/>
    <w:rsid w:val="00421048"/>
    <w:rsid w:val="00423B0A"/>
    <w:rsid w:val="00425666"/>
    <w:rsid w:val="004277D0"/>
    <w:rsid w:val="00430FFC"/>
    <w:rsid w:val="0043244F"/>
    <w:rsid w:val="004324F1"/>
    <w:rsid w:val="00432930"/>
    <w:rsid w:val="00434FC0"/>
    <w:rsid w:val="004420F1"/>
    <w:rsid w:val="004422E4"/>
    <w:rsid w:val="00445699"/>
    <w:rsid w:val="004468CD"/>
    <w:rsid w:val="004474B4"/>
    <w:rsid w:val="00447DC9"/>
    <w:rsid w:val="00452CF1"/>
    <w:rsid w:val="0045323B"/>
    <w:rsid w:val="00454030"/>
    <w:rsid w:val="00456031"/>
    <w:rsid w:val="004561DD"/>
    <w:rsid w:val="004611B1"/>
    <w:rsid w:val="00462165"/>
    <w:rsid w:val="00463ACE"/>
    <w:rsid w:val="0046486A"/>
    <w:rsid w:val="00466109"/>
    <w:rsid w:val="00466670"/>
    <w:rsid w:val="00467ED5"/>
    <w:rsid w:val="00470F4E"/>
    <w:rsid w:val="00472FB4"/>
    <w:rsid w:val="00475225"/>
    <w:rsid w:val="00475788"/>
    <w:rsid w:val="004757FC"/>
    <w:rsid w:val="00482068"/>
    <w:rsid w:val="00483DA9"/>
    <w:rsid w:val="004842A1"/>
    <w:rsid w:val="004861B5"/>
    <w:rsid w:val="0048687C"/>
    <w:rsid w:val="004905D8"/>
    <w:rsid w:val="00494F21"/>
    <w:rsid w:val="0049516E"/>
    <w:rsid w:val="004951AF"/>
    <w:rsid w:val="00495C36"/>
    <w:rsid w:val="004966FB"/>
    <w:rsid w:val="00497D12"/>
    <w:rsid w:val="004A4180"/>
    <w:rsid w:val="004B187C"/>
    <w:rsid w:val="004B1CFA"/>
    <w:rsid w:val="004B214D"/>
    <w:rsid w:val="004B49A7"/>
    <w:rsid w:val="004B58D2"/>
    <w:rsid w:val="004B7745"/>
    <w:rsid w:val="004B7B6A"/>
    <w:rsid w:val="004C180E"/>
    <w:rsid w:val="004C1A2C"/>
    <w:rsid w:val="004C2EE1"/>
    <w:rsid w:val="004C3083"/>
    <w:rsid w:val="004C4946"/>
    <w:rsid w:val="004C5496"/>
    <w:rsid w:val="004C556E"/>
    <w:rsid w:val="004C5F2E"/>
    <w:rsid w:val="004C7058"/>
    <w:rsid w:val="004D2EC8"/>
    <w:rsid w:val="004D3F9C"/>
    <w:rsid w:val="004D5EE2"/>
    <w:rsid w:val="004D6182"/>
    <w:rsid w:val="004E05E3"/>
    <w:rsid w:val="004E118E"/>
    <w:rsid w:val="004E22EF"/>
    <w:rsid w:val="004E3CC5"/>
    <w:rsid w:val="004E625C"/>
    <w:rsid w:val="004E6E31"/>
    <w:rsid w:val="004E747D"/>
    <w:rsid w:val="004F04FA"/>
    <w:rsid w:val="004F27E4"/>
    <w:rsid w:val="004F62AD"/>
    <w:rsid w:val="004F6B8C"/>
    <w:rsid w:val="00500961"/>
    <w:rsid w:val="00501F41"/>
    <w:rsid w:val="0050244C"/>
    <w:rsid w:val="0050323C"/>
    <w:rsid w:val="00507850"/>
    <w:rsid w:val="00513F61"/>
    <w:rsid w:val="005151D9"/>
    <w:rsid w:val="0051633D"/>
    <w:rsid w:val="005173D6"/>
    <w:rsid w:val="00517F89"/>
    <w:rsid w:val="005213FA"/>
    <w:rsid w:val="0052438C"/>
    <w:rsid w:val="00526E09"/>
    <w:rsid w:val="0053227D"/>
    <w:rsid w:val="00534F8D"/>
    <w:rsid w:val="0053584A"/>
    <w:rsid w:val="005358D3"/>
    <w:rsid w:val="00535966"/>
    <w:rsid w:val="00535B50"/>
    <w:rsid w:val="00536EED"/>
    <w:rsid w:val="00545D21"/>
    <w:rsid w:val="00550B38"/>
    <w:rsid w:val="005515B2"/>
    <w:rsid w:val="005519AB"/>
    <w:rsid w:val="00553EB2"/>
    <w:rsid w:val="0055401F"/>
    <w:rsid w:val="00554D05"/>
    <w:rsid w:val="00555035"/>
    <w:rsid w:val="00556025"/>
    <w:rsid w:val="00557465"/>
    <w:rsid w:val="00557FF6"/>
    <w:rsid w:val="00560C32"/>
    <w:rsid w:val="00561038"/>
    <w:rsid w:val="005610A1"/>
    <w:rsid w:val="00562B86"/>
    <w:rsid w:val="00563689"/>
    <w:rsid w:val="005638E6"/>
    <w:rsid w:val="00566EFA"/>
    <w:rsid w:val="00570378"/>
    <w:rsid w:val="0057048A"/>
    <w:rsid w:val="005709CD"/>
    <w:rsid w:val="00570B68"/>
    <w:rsid w:val="00571484"/>
    <w:rsid w:val="00576B56"/>
    <w:rsid w:val="00582413"/>
    <w:rsid w:val="00582510"/>
    <w:rsid w:val="00582A51"/>
    <w:rsid w:val="00582C44"/>
    <w:rsid w:val="005835D8"/>
    <w:rsid w:val="005840C8"/>
    <w:rsid w:val="00584E61"/>
    <w:rsid w:val="005867C2"/>
    <w:rsid w:val="00587A49"/>
    <w:rsid w:val="00590490"/>
    <w:rsid w:val="005915AE"/>
    <w:rsid w:val="005917A4"/>
    <w:rsid w:val="00594206"/>
    <w:rsid w:val="00594B78"/>
    <w:rsid w:val="00595E24"/>
    <w:rsid w:val="00596335"/>
    <w:rsid w:val="00597D33"/>
    <w:rsid w:val="005A236D"/>
    <w:rsid w:val="005A33DD"/>
    <w:rsid w:val="005A5E43"/>
    <w:rsid w:val="005A62FF"/>
    <w:rsid w:val="005A6ABE"/>
    <w:rsid w:val="005B09AC"/>
    <w:rsid w:val="005B0D69"/>
    <w:rsid w:val="005B2AA7"/>
    <w:rsid w:val="005B2CB4"/>
    <w:rsid w:val="005B3714"/>
    <w:rsid w:val="005B53B4"/>
    <w:rsid w:val="005B58A0"/>
    <w:rsid w:val="005B615F"/>
    <w:rsid w:val="005B66CF"/>
    <w:rsid w:val="005B6A5F"/>
    <w:rsid w:val="005B6A73"/>
    <w:rsid w:val="005B79B8"/>
    <w:rsid w:val="005C0D27"/>
    <w:rsid w:val="005C200C"/>
    <w:rsid w:val="005C2FB0"/>
    <w:rsid w:val="005C3E48"/>
    <w:rsid w:val="005C4FB5"/>
    <w:rsid w:val="005C6F14"/>
    <w:rsid w:val="005D0181"/>
    <w:rsid w:val="005D21D3"/>
    <w:rsid w:val="005D2F70"/>
    <w:rsid w:val="005D55E9"/>
    <w:rsid w:val="005E165E"/>
    <w:rsid w:val="005E4DDB"/>
    <w:rsid w:val="005E709B"/>
    <w:rsid w:val="005F13DF"/>
    <w:rsid w:val="00600E4D"/>
    <w:rsid w:val="006020C2"/>
    <w:rsid w:val="006035C9"/>
    <w:rsid w:val="00612D12"/>
    <w:rsid w:val="00612F23"/>
    <w:rsid w:val="00613B77"/>
    <w:rsid w:val="00614240"/>
    <w:rsid w:val="00614E7C"/>
    <w:rsid w:val="00620FB2"/>
    <w:rsid w:val="00622236"/>
    <w:rsid w:val="00623F5C"/>
    <w:rsid w:val="0062498B"/>
    <w:rsid w:val="00624AFE"/>
    <w:rsid w:val="00630733"/>
    <w:rsid w:val="006316FE"/>
    <w:rsid w:val="00631DFB"/>
    <w:rsid w:val="00632612"/>
    <w:rsid w:val="00632FD5"/>
    <w:rsid w:val="006337A2"/>
    <w:rsid w:val="00635A47"/>
    <w:rsid w:val="006409EB"/>
    <w:rsid w:val="00640EE6"/>
    <w:rsid w:val="006414AA"/>
    <w:rsid w:val="00643764"/>
    <w:rsid w:val="00643ACD"/>
    <w:rsid w:val="00643D5F"/>
    <w:rsid w:val="006458E3"/>
    <w:rsid w:val="00646D22"/>
    <w:rsid w:val="00647234"/>
    <w:rsid w:val="006505BD"/>
    <w:rsid w:val="00653D65"/>
    <w:rsid w:val="006549C4"/>
    <w:rsid w:val="00657329"/>
    <w:rsid w:val="00660CD8"/>
    <w:rsid w:val="00661E4A"/>
    <w:rsid w:val="00661F9A"/>
    <w:rsid w:val="0066224A"/>
    <w:rsid w:val="00665B80"/>
    <w:rsid w:val="00665C33"/>
    <w:rsid w:val="006670D1"/>
    <w:rsid w:val="00674B95"/>
    <w:rsid w:val="00676462"/>
    <w:rsid w:val="00681584"/>
    <w:rsid w:val="00681AE3"/>
    <w:rsid w:val="00683C4C"/>
    <w:rsid w:val="006842AD"/>
    <w:rsid w:val="00685FCD"/>
    <w:rsid w:val="0068790D"/>
    <w:rsid w:val="006902D2"/>
    <w:rsid w:val="00691139"/>
    <w:rsid w:val="006A18CB"/>
    <w:rsid w:val="006A2AAD"/>
    <w:rsid w:val="006A4FE5"/>
    <w:rsid w:val="006A7786"/>
    <w:rsid w:val="006B104F"/>
    <w:rsid w:val="006B55AF"/>
    <w:rsid w:val="006B704F"/>
    <w:rsid w:val="006C0731"/>
    <w:rsid w:val="006C314D"/>
    <w:rsid w:val="006C338B"/>
    <w:rsid w:val="006C3F7A"/>
    <w:rsid w:val="006C54C6"/>
    <w:rsid w:val="006D01ED"/>
    <w:rsid w:val="006D0720"/>
    <w:rsid w:val="006D0DFA"/>
    <w:rsid w:val="006D21F0"/>
    <w:rsid w:val="006D31DA"/>
    <w:rsid w:val="006D359C"/>
    <w:rsid w:val="006D797D"/>
    <w:rsid w:val="006E1642"/>
    <w:rsid w:val="006E1B6A"/>
    <w:rsid w:val="006E289B"/>
    <w:rsid w:val="006E4B7F"/>
    <w:rsid w:val="006E7C8F"/>
    <w:rsid w:val="006F0781"/>
    <w:rsid w:val="006F1C0F"/>
    <w:rsid w:val="007004B9"/>
    <w:rsid w:val="00701CE7"/>
    <w:rsid w:val="00703906"/>
    <w:rsid w:val="007042DB"/>
    <w:rsid w:val="007043DE"/>
    <w:rsid w:val="00706FB2"/>
    <w:rsid w:val="007072BB"/>
    <w:rsid w:val="00710819"/>
    <w:rsid w:val="007112C0"/>
    <w:rsid w:val="007144DD"/>
    <w:rsid w:val="007167A2"/>
    <w:rsid w:val="00717672"/>
    <w:rsid w:val="007205A2"/>
    <w:rsid w:val="00722B9D"/>
    <w:rsid w:val="00734100"/>
    <w:rsid w:val="00743104"/>
    <w:rsid w:val="00743E5D"/>
    <w:rsid w:val="00745FAD"/>
    <w:rsid w:val="00746006"/>
    <w:rsid w:val="0074693B"/>
    <w:rsid w:val="00750E76"/>
    <w:rsid w:val="0075144B"/>
    <w:rsid w:val="0075150D"/>
    <w:rsid w:val="00751CDB"/>
    <w:rsid w:val="00752DD0"/>
    <w:rsid w:val="007542A0"/>
    <w:rsid w:val="00754CF6"/>
    <w:rsid w:val="00755E48"/>
    <w:rsid w:val="007566DA"/>
    <w:rsid w:val="007649D0"/>
    <w:rsid w:val="00765293"/>
    <w:rsid w:val="0076733C"/>
    <w:rsid w:val="00770129"/>
    <w:rsid w:val="0077088B"/>
    <w:rsid w:val="007708BF"/>
    <w:rsid w:val="0077092E"/>
    <w:rsid w:val="00772056"/>
    <w:rsid w:val="0077654F"/>
    <w:rsid w:val="00777255"/>
    <w:rsid w:val="00777E06"/>
    <w:rsid w:val="00780319"/>
    <w:rsid w:val="007816B6"/>
    <w:rsid w:val="00782534"/>
    <w:rsid w:val="0078385E"/>
    <w:rsid w:val="007848FE"/>
    <w:rsid w:val="007857E5"/>
    <w:rsid w:val="00786027"/>
    <w:rsid w:val="00786DC5"/>
    <w:rsid w:val="00790D47"/>
    <w:rsid w:val="00791EC0"/>
    <w:rsid w:val="0079526F"/>
    <w:rsid w:val="007A09DF"/>
    <w:rsid w:val="007A1B1E"/>
    <w:rsid w:val="007A23D2"/>
    <w:rsid w:val="007A4A48"/>
    <w:rsid w:val="007A613C"/>
    <w:rsid w:val="007B0887"/>
    <w:rsid w:val="007B0D93"/>
    <w:rsid w:val="007B240E"/>
    <w:rsid w:val="007B33A5"/>
    <w:rsid w:val="007B4941"/>
    <w:rsid w:val="007B540E"/>
    <w:rsid w:val="007B6255"/>
    <w:rsid w:val="007B7F40"/>
    <w:rsid w:val="007C2C12"/>
    <w:rsid w:val="007C3884"/>
    <w:rsid w:val="007C3CEC"/>
    <w:rsid w:val="007C4516"/>
    <w:rsid w:val="007C5934"/>
    <w:rsid w:val="007C59E3"/>
    <w:rsid w:val="007C79C8"/>
    <w:rsid w:val="007D595E"/>
    <w:rsid w:val="007D70EB"/>
    <w:rsid w:val="007D71C2"/>
    <w:rsid w:val="007E0C88"/>
    <w:rsid w:val="007E5AC5"/>
    <w:rsid w:val="007E7263"/>
    <w:rsid w:val="007F0D7C"/>
    <w:rsid w:val="007F3FDA"/>
    <w:rsid w:val="007F46FC"/>
    <w:rsid w:val="007F4F68"/>
    <w:rsid w:val="0080067F"/>
    <w:rsid w:val="00800CAB"/>
    <w:rsid w:val="00801C22"/>
    <w:rsid w:val="00802188"/>
    <w:rsid w:val="00804ED0"/>
    <w:rsid w:val="0080621D"/>
    <w:rsid w:val="0080748B"/>
    <w:rsid w:val="00807E88"/>
    <w:rsid w:val="0081205E"/>
    <w:rsid w:val="008157B8"/>
    <w:rsid w:val="008237D6"/>
    <w:rsid w:val="008261A9"/>
    <w:rsid w:val="00826527"/>
    <w:rsid w:val="00826BB4"/>
    <w:rsid w:val="00831997"/>
    <w:rsid w:val="00831D36"/>
    <w:rsid w:val="008343BA"/>
    <w:rsid w:val="008357CA"/>
    <w:rsid w:val="00836BA5"/>
    <w:rsid w:val="00836F83"/>
    <w:rsid w:val="0084039D"/>
    <w:rsid w:val="008406B7"/>
    <w:rsid w:val="00844842"/>
    <w:rsid w:val="00844ED0"/>
    <w:rsid w:val="0084594A"/>
    <w:rsid w:val="008460FC"/>
    <w:rsid w:val="00851495"/>
    <w:rsid w:val="00854ADE"/>
    <w:rsid w:val="00860559"/>
    <w:rsid w:val="00866303"/>
    <w:rsid w:val="00871CA4"/>
    <w:rsid w:val="00872500"/>
    <w:rsid w:val="00872CFB"/>
    <w:rsid w:val="00874EDA"/>
    <w:rsid w:val="00875896"/>
    <w:rsid w:val="00880075"/>
    <w:rsid w:val="00880D29"/>
    <w:rsid w:val="0088162D"/>
    <w:rsid w:val="00882813"/>
    <w:rsid w:val="00892942"/>
    <w:rsid w:val="00895E9F"/>
    <w:rsid w:val="00896877"/>
    <w:rsid w:val="008975CB"/>
    <w:rsid w:val="0089ED59"/>
    <w:rsid w:val="008A0593"/>
    <w:rsid w:val="008A3D4E"/>
    <w:rsid w:val="008A6124"/>
    <w:rsid w:val="008B0025"/>
    <w:rsid w:val="008B0D63"/>
    <w:rsid w:val="008B44C5"/>
    <w:rsid w:val="008B46DA"/>
    <w:rsid w:val="008B535F"/>
    <w:rsid w:val="008C0117"/>
    <w:rsid w:val="008C05C5"/>
    <w:rsid w:val="008C0F45"/>
    <w:rsid w:val="008C196C"/>
    <w:rsid w:val="008C4F61"/>
    <w:rsid w:val="008D1562"/>
    <w:rsid w:val="008D2802"/>
    <w:rsid w:val="008D4B57"/>
    <w:rsid w:val="008D587A"/>
    <w:rsid w:val="008E255C"/>
    <w:rsid w:val="008E3CD5"/>
    <w:rsid w:val="008F0375"/>
    <w:rsid w:val="008F291D"/>
    <w:rsid w:val="008F2D0C"/>
    <w:rsid w:val="008F30EA"/>
    <w:rsid w:val="008F4CAE"/>
    <w:rsid w:val="00902006"/>
    <w:rsid w:val="009038D7"/>
    <w:rsid w:val="00903A4B"/>
    <w:rsid w:val="009061E3"/>
    <w:rsid w:val="0090643A"/>
    <w:rsid w:val="0090763A"/>
    <w:rsid w:val="009105BC"/>
    <w:rsid w:val="0091081D"/>
    <w:rsid w:val="00910A69"/>
    <w:rsid w:val="00910E4B"/>
    <w:rsid w:val="009117D0"/>
    <w:rsid w:val="00912F7C"/>
    <w:rsid w:val="009131B6"/>
    <w:rsid w:val="00913961"/>
    <w:rsid w:val="00914C61"/>
    <w:rsid w:val="009154B2"/>
    <w:rsid w:val="00915A88"/>
    <w:rsid w:val="00922747"/>
    <w:rsid w:val="009242F6"/>
    <w:rsid w:val="00924526"/>
    <w:rsid w:val="00925C8F"/>
    <w:rsid w:val="009271E4"/>
    <w:rsid w:val="009273A4"/>
    <w:rsid w:val="00931494"/>
    <w:rsid w:val="00931CD6"/>
    <w:rsid w:val="00932FCD"/>
    <w:rsid w:val="009333D5"/>
    <w:rsid w:val="009374FF"/>
    <w:rsid w:val="00940CFE"/>
    <w:rsid w:val="009425B0"/>
    <w:rsid w:val="00945176"/>
    <w:rsid w:val="00945641"/>
    <w:rsid w:val="00946A22"/>
    <w:rsid w:val="00950218"/>
    <w:rsid w:val="009524DA"/>
    <w:rsid w:val="00953AE1"/>
    <w:rsid w:val="00954D10"/>
    <w:rsid w:val="009574C4"/>
    <w:rsid w:val="0096048A"/>
    <w:rsid w:val="009610E5"/>
    <w:rsid w:val="00961B28"/>
    <w:rsid w:val="0096202B"/>
    <w:rsid w:val="009642DB"/>
    <w:rsid w:val="00964694"/>
    <w:rsid w:val="00964AE3"/>
    <w:rsid w:val="00965058"/>
    <w:rsid w:val="009652B2"/>
    <w:rsid w:val="0096628C"/>
    <w:rsid w:val="00967E7E"/>
    <w:rsid w:val="009702B9"/>
    <w:rsid w:val="00971A4D"/>
    <w:rsid w:val="00971A5D"/>
    <w:rsid w:val="00972EE6"/>
    <w:rsid w:val="00973190"/>
    <w:rsid w:val="009747BD"/>
    <w:rsid w:val="0097620A"/>
    <w:rsid w:val="00976D05"/>
    <w:rsid w:val="00980660"/>
    <w:rsid w:val="00980CBC"/>
    <w:rsid w:val="00983A8B"/>
    <w:rsid w:val="0099066B"/>
    <w:rsid w:val="00990A6A"/>
    <w:rsid w:val="009938F5"/>
    <w:rsid w:val="00993DD4"/>
    <w:rsid w:val="00994102"/>
    <w:rsid w:val="009949F8"/>
    <w:rsid w:val="0099789B"/>
    <w:rsid w:val="009A0FD5"/>
    <w:rsid w:val="009A1E37"/>
    <w:rsid w:val="009A1FE7"/>
    <w:rsid w:val="009A23FA"/>
    <w:rsid w:val="009A25BD"/>
    <w:rsid w:val="009A357B"/>
    <w:rsid w:val="009A38BE"/>
    <w:rsid w:val="009A5046"/>
    <w:rsid w:val="009A7650"/>
    <w:rsid w:val="009B3637"/>
    <w:rsid w:val="009B5321"/>
    <w:rsid w:val="009B5957"/>
    <w:rsid w:val="009B772D"/>
    <w:rsid w:val="009C3CAB"/>
    <w:rsid w:val="009C4E7F"/>
    <w:rsid w:val="009C663F"/>
    <w:rsid w:val="009C71C7"/>
    <w:rsid w:val="009D0A13"/>
    <w:rsid w:val="009D172B"/>
    <w:rsid w:val="009D25FC"/>
    <w:rsid w:val="009D29B8"/>
    <w:rsid w:val="009D6A83"/>
    <w:rsid w:val="009E0348"/>
    <w:rsid w:val="009E076C"/>
    <w:rsid w:val="009E165A"/>
    <w:rsid w:val="009E2BA9"/>
    <w:rsid w:val="009E3598"/>
    <w:rsid w:val="009E4ED1"/>
    <w:rsid w:val="009F0CA5"/>
    <w:rsid w:val="009F383A"/>
    <w:rsid w:val="009F47D4"/>
    <w:rsid w:val="009F755F"/>
    <w:rsid w:val="009F7D87"/>
    <w:rsid w:val="00A00157"/>
    <w:rsid w:val="00A0171D"/>
    <w:rsid w:val="00A0379A"/>
    <w:rsid w:val="00A05110"/>
    <w:rsid w:val="00A06EC9"/>
    <w:rsid w:val="00A13949"/>
    <w:rsid w:val="00A1440D"/>
    <w:rsid w:val="00A14D16"/>
    <w:rsid w:val="00A200F2"/>
    <w:rsid w:val="00A25035"/>
    <w:rsid w:val="00A256E9"/>
    <w:rsid w:val="00A25C45"/>
    <w:rsid w:val="00A2768A"/>
    <w:rsid w:val="00A34148"/>
    <w:rsid w:val="00A342D6"/>
    <w:rsid w:val="00A35429"/>
    <w:rsid w:val="00A35B94"/>
    <w:rsid w:val="00A37364"/>
    <w:rsid w:val="00A40A18"/>
    <w:rsid w:val="00A40A48"/>
    <w:rsid w:val="00A40F62"/>
    <w:rsid w:val="00A41C68"/>
    <w:rsid w:val="00A464F6"/>
    <w:rsid w:val="00A51172"/>
    <w:rsid w:val="00A51C36"/>
    <w:rsid w:val="00A53905"/>
    <w:rsid w:val="00A53D80"/>
    <w:rsid w:val="00A60EE0"/>
    <w:rsid w:val="00A62734"/>
    <w:rsid w:val="00A6284D"/>
    <w:rsid w:val="00A62BD5"/>
    <w:rsid w:val="00A66213"/>
    <w:rsid w:val="00A6711A"/>
    <w:rsid w:val="00A7041C"/>
    <w:rsid w:val="00A70DFB"/>
    <w:rsid w:val="00A723F5"/>
    <w:rsid w:val="00A72510"/>
    <w:rsid w:val="00A72F81"/>
    <w:rsid w:val="00A74DDA"/>
    <w:rsid w:val="00A76D28"/>
    <w:rsid w:val="00A76D60"/>
    <w:rsid w:val="00A81198"/>
    <w:rsid w:val="00A84E25"/>
    <w:rsid w:val="00A85C2C"/>
    <w:rsid w:val="00A85F7A"/>
    <w:rsid w:val="00A869D3"/>
    <w:rsid w:val="00A8762A"/>
    <w:rsid w:val="00A915B1"/>
    <w:rsid w:val="00A9261F"/>
    <w:rsid w:val="00A92834"/>
    <w:rsid w:val="00A959AA"/>
    <w:rsid w:val="00A95A3E"/>
    <w:rsid w:val="00A95DF1"/>
    <w:rsid w:val="00A96A63"/>
    <w:rsid w:val="00AA259D"/>
    <w:rsid w:val="00AA2A44"/>
    <w:rsid w:val="00AA3F0C"/>
    <w:rsid w:val="00AA4051"/>
    <w:rsid w:val="00AA7D9D"/>
    <w:rsid w:val="00AA7DA3"/>
    <w:rsid w:val="00AB2185"/>
    <w:rsid w:val="00AC21B2"/>
    <w:rsid w:val="00AC5F5C"/>
    <w:rsid w:val="00AC675E"/>
    <w:rsid w:val="00AD0FA9"/>
    <w:rsid w:val="00AD11A8"/>
    <w:rsid w:val="00AD12E2"/>
    <w:rsid w:val="00AD1C4D"/>
    <w:rsid w:val="00AD2622"/>
    <w:rsid w:val="00AD3ADD"/>
    <w:rsid w:val="00AD4176"/>
    <w:rsid w:val="00AD4D4A"/>
    <w:rsid w:val="00AD54AE"/>
    <w:rsid w:val="00AD54BA"/>
    <w:rsid w:val="00AD63DC"/>
    <w:rsid w:val="00AD6471"/>
    <w:rsid w:val="00AD6CA9"/>
    <w:rsid w:val="00AE05EC"/>
    <w:rsid w:val="00AE0DC2"/>
    <w:rsid w:val="00AE19BB"/>
    <w:rsid w:val="00AE2579"/>
    <w:rsid w:val="00AF3789"/>
    <w:rsid w:val="00AF421B"/>
    <w:rsid w:val="00AF75F2"/>
    <w:rsid w:val="00B00C10"/>
    <w:rsid w:val="00B00CAB"/>
    <w:rsid w:val="00B03DB3"/>
    <w:rsid w:val="00B04E43"/>
    <w:rsid w:val="00B05CCB"/>
    <w:rsid w:val="00B0608C"/>
    <w:rsid w:val="00B07543"/>
    <w:rsid w:val="00B07B64"/>
    <w:rsid w:val="00B11ED3"/>
    <w:rsid w:val="00B1275D"/>
    <w:rsid w:val="00B13224"/>
    <w:rsid w:val="00B2138B"/>
    <w:rsid w:val="00B21AC5"/>
    <w:rsid w:val="00B2250F"/>
    <w:rsid w:val="00B22D18"/>
    <w:rsid w:val="00B2300C"/>
    <w:rsid w:val="00B255EE"/>
    <w:rsid w:val="00B2706B"/>
    <w:rsid w:val="00B27C69"/>
    <w:rsid w:val="00B319BE"/>
    <w:rsid w:val="00B3338A"/>
    <w:rsid w:val="00B36CD9"/>
    <w:rsid w:val="00B3799A"/>
    <w:rsid w:val="00B40BC7"/>
    <w:rsid w:val="00B420D9"/>
    <w:rsid w:val="00B4273D"/>
    <w:rsid w:val="00B44A1A"/>
    <w:rsid w:val="00B45ACE"/>
    <w:rsid w:val="00B50637"/>
    <w:rsid w:val="00B52C78"/>
    <w:rsid w:val="00B53644"/>
    <w:rsid w:val="00B53C19"/>
    <w:rsid w:val="00B56D5B"/>
    <w:rsid w:val="00B56FC9"/>
    <w:rsid w:val="00B57BD8"/>
    <w:rsid w:val="00B600EC"/>
    <w:rsid w:val="00B6011C"/>
    <w:rsid w:val="00B625C6"/>
    <w:rsid w:val="00B6431C"/>
    <w:rsid w:val="00B64F50"/>
    <w:rsid w:val="00B6676B"/>
    <w:rsid w:val="00B70158"/>
    <w:rsid w:val="00B7334A"/>
    <w:rsid w:val="00B73C3F"/>
    <w:rsid w:val="00B75FB7"/>
    <w:rsid w:val="00B75FC2"/>
    <w:rsid w:val="00B76709"/>
    <w:rsid w:val="00B772A1"/>
    <w:rsid w:val="00B774FB"/>
    <w:rsid w:val="00B77EA3"/>
    <w:rsid w:val="00B80A03"/>
    <w:rsid w:val="00B8358C"/>
    <w:rsid w:val="00B85309"/>
    <w:rsid w:val="00B86200"/>
    <w:rsid w:val="00B9095F"/>
    <w:rsid w:val="00B91120"/>
    <w:rsid w:val="00B9201B"/>
    <w:rsid w:val="00B932BE"/>
    <w:rsid w:val="00B962E0"/>
    <w:rsid w:val="00B97D8E"/>
    <w:rsid w:val="00BA1510"/>
    <w:rsid w:val="00BA1F8B"/>
    <w:rsid w:val="00BA2490"/>
    <w:rsid w:val="00BA66DF"/>
    <w:rsid w:val="00BA7F4E"/>
    <w:rsid w:val="00BB10CE"/>
    <w:rsid w:val="00BB1A8E"/>
    <w:rsid w:val="00BB1C21"/>
    <w:rsid w:val="00BB22F8"/>
    <w:rsid w:val="00BB3945"/>
    <w:rsid w:val="00BB3EFE"/>
    <w:rsid w:val="00BB606A"/>
    <w:rsid w:val="00BB6E2D"/>
    <w:rsid w:val="00BB7278"/>
    <w:rsid w:val="00BB798F"/>
    <w:rsid w:val="00BC045C"/>
    <w:rsid w:val="00BC5C79"/>
    <w:rsid w:val="00BC61E6"/>
    <w:rsid w:val="00BD0428"/>
    <w:rsid w:val="00BD0EF4"/>
    <w:rsid w:val="00BD2643"/>
    <w:rsid w:val="00BD3D80"/>
    <w:rsid w:val="00BD47D0"/>
    <w:rsid w:val="00BD5B6A"/>
    <w:rsid w:val="00BD6F29"/>
    <w:rsid w:val="00BE15FA"/>
    <w:rsid w:val="00BE2E2E"/>
    <w:rsid w:val="00BE3072"/>
    <w:rsid w:val="00BE3ADC"/>
    <w:rsid w:val="00BE4819"/>
    <w:rsid w:val="00BE5AE6"/>
    <w:rsid w:val="00BE609B"/>
    <w:rsid w:val="00BF1282"/>
    <w:rsid w:val="00BF1694"/>
    <w:rsid w:val="00BF25DB"/>
    <w:rsid w:val="00BF2E2D"/>
    <w:rsid w:val="00BF47EB"/>
    <w:rsid w:val="00C01581"/>
    <w:rsid w:val="00C02342"/>
    <w:rsid w:val="00C02884"/>
    <w:rsid w:val="00C03061"/>
    <w:rsid w:val="00C04D20"/>
    <w:rsid w:val="00C0608B"/>
    <w:rsid w:val="00C072B8"/>
    <w:rsid w:val="00C076C1"/>
    <w:rsid w:val="00C10C2F"/>
    <w:rsid w:val="00C16F93"/>
    <w:rsid w:val="00C219AC"/>
    <w:rsid w:val="00C21A42"/>
    <w:rsid w:val="00C22AF9"/>
    <w:rsid w:val="00C22CAB"/>
    <w:rsid w:val="00C23902"/>
    <w:rsid w:val="00C26BF7"/>
    <w:rsid w:val="00C2781B"/>
    <w:rsid w:val="00C314FD"/>
    <w:rsid w:val="00C32B7C"/>
    <w:rsid w:val="00C333D8"/>
    <w:rsid w:val="00C35493"/>
    <w:rsid w:val="00C3679E"/>
    <w:rsid w:val="00C3B199"/>
    <w:rsid w:val="00C413D0"/>
    <w:rsid w:val="00C413FC"/>
    <w:rsid w:val="00C43979"/>
    <w:rsid w:val="00C43F88"/>
    <w:rsid w:val="00C44FDA"/>
    <w:rsid w:val="00C501F1"/>
    <w:rsid w:val="00C5024F"/>
    <w:rsid w:val="00C5076C"/>
    <w:rsid w:val="00C51B48"/>
    <w:rsid w:val="00C53A4D"/>
    <w:rsid w:val="00C54D17"/>
    <w:rsid w:val="00C55FB7"/>
    <w:rsid w:val="00C63333"/>
    <w:rsid w:val="00C635E0"/>
    <w:rsid w:val="00C63691"/>
    <w:rsid w:val="00C65286"/>
    <w:rsid w:val="00C65AD4"/>
    <w:rsid w:val="00C74E23"/>
    <w:rsid w:val="00C751AA"/>
    <w:rsid w:val="00C825EA"/>
    <w:rsid w:val="00C85F16"/>
    <w:rsid w:val="00C92F78"/>
    <w:rsid w:val="00C943E1"/>
    <w:rsid w:val="00CA023E"/>
    <w:rsid w:val="00CA50F9"/>
    <w:rsid w:val="00CA61E4"/>
    <w:rsid w:val="00CA7F42"/>
    <w:rsid w:val="00CB2397"/>
    <w:rsid w:val="00CB3BDC"/>
    <w:rsid w:val="00CB43A1"/>
    <w:rsid w:val="00CB5781"/>
    <w:rsid w:val="00CC6BEF"/>
    <w:rsid w:val="00CC76D7"/>
    <w:rsid w:val="00CD01E9"/>
    <w:rsid w:val="00CD398E"/>
    <w:rsid w:val="00CD73DA"/>
    <w:rsid w:val="00CE0810"/>
    <w:rsid w:val="00CE1272"/>
    <w:rsid w:val="00CE3878"/>
    <w:rsid w:val="00CE6319"/>
    <w:rsid w:val="00CE6C4D"/>
    <w:rsid w:val="00CF29AD"/>
    <w:rsid w:val="00CF3232"/>
    <w:rsid w:val="00CF3735"/>
    <w:rsid w:val="00CF387F"/>
    <w:rsid w:val="00CF7A1E"/>
    <w:rsid w:val="00D00E61"/>
    <w:rsid w:val="00D00FFC"/>
    <w:rsid w:val="00D01C53"/>
    <w:rsid w:val="00D0377E"/>
    <w:rsid w:val="00D038B4"/>
    <w:rsid w:val="00D04ECB"/>
    <w:rsid w:val="00D0683F"/>
    <w:rsid w:val="00D06C85"/>
    <w:rsid w:val="00D10771"/>
    <w:rsid w:val="00D1094A"/>
    <w:rsid w:val="00D11465"/>
    <w:rsid w:val="00D119F1"/>
    <w:rsid w:val="00D12821"/>
    <w:rsid w:val="00D15025"/>
    <w:rsid w:val="00D151FA"/>
    <w:rsid w:val="00D154A3"/>
    <w:rsid w:val="00D15ACE"/>
    <w:rsid w:val="00D20351"/>
    <w:rsid w:val="00D2239F"/>
    <w:rsid w:val="00D22BB4"/>
    <w:rsid w:val="00D24BE6"/>
    <w:rsid w:val="00D24EE7"/>
    <w:rsid w:val="00D26D6D"/>
    <w:rsid w:val="00D276A9"/>
    <w:rsid w:val="00D305B3"/>
    <w:rsid w:val="00D34462"/>
    <w:rsid w:val="00D350CD"/>
    <w:rsid w:val="00D353F8"/>
    <w:rsid w:val="00D365E6"/>
    <w:rsid w:val="00D36AE1"/>
    <w:rsid w:val="00D418BF"/>
    <w:rsid w:val="00D42741"/>
    <w:rsid w:val="00D46190"/>
    <w:rsid w:val="00D461C8"/>
    <w:rsid w:val="00D52801"/>
    <w:rsid w:val="00D52B96"/>
    <w:rsid w:val="00D550FC"/>
    <w:rsid w:val="00D552E1"/>
    <w:rsid w:val="00D578FA"/>
    <w:rsid w:val="00D609F6"/>
    <w:rsid w:val="00D60E83"/>
    <w:rsid w:val="00D61D67"/>
    <w:rsid w:val="00D62458"/>
    <w:rsid w:val="00D6728E"/>
    <w:rsid w:val="00D728D7"/>
    <w:rsid w:val="00D75474"/>
    <w:rsid w:val="00D76A88"/>
    <w:rsid w:val="00D80C18"/>
    <w:rsid w:val="00D816C4"/>
    <w:rsid w:val="00D82382"/>
    <w:rsid w:val="00D82F55"/>
    <w:rsid w:val="00D92EA1"/>
    <w:rsid w:val="00D932F2"/>
    <w:rsid w:val="00DA10B5"/>
    <w:rsid w:val="00DA1F5E"/>
    <w:rsid w:val="00DA33CD"/>
    <w:rsid w:val="00DA7F21"/>
    <w:rsid w:val="00DB231E"/>
    <w:rsid w:val="00DB3883"/>
    <w:rsid w:val="00DB57C5"/>
    <w:rsid w:val="00DB66C3"/>
    <w:rsid w:val="00DC0F10"/>
    <w:rsid w:val="00DC1445"/>
    <w:rsid w:val="00DC369D"/>
    <w:rsid w:val="00DC51D1"/>
    <w:rsid w:val="00DC5251"/>
    <w:rsid w:val="00DC5943"/>
    <w:rsid w:val="00DC6148"/>
    <w:rsid w:val="00DC6C69"/>
    <w:rsid w:val="00DD18B6"/>
    <w:rsid w:val="00DD4065"/>
    <w:rsid w:val="00DD447B"/>
    <w:rsid w:val="00DD45A1"/>
    <w:rsid w:val="00DD4AB2"/>
    <w:rsid w:val="00DE1D92"/>
    <w:rsid w:val="00DE43EF"/>
    <w:rsid w:val="00DF081A"/>
    <w:rsid w:val="00DF0F3C"/>
    <w:rsid w:val="00DF18ED"/>
    <w:rsid w:val="00DF5379"/>
    <w:rsid w:val="00DF794F"/>
    <w:rsid w:val="00E00DD1"/>
    <w:rsid w:val="00E06C87"/>
    <w:rsid w:val="00E0714A"/>
    <w:rsid w:val="00E07694"/>
    <w:rsid w:val="00E07A32"/>
    <w:rsid w:val="00E07F32"/>
    <w:rsid w:val="00E10F2E"/>
    <w:rsid w:val="00E15733"/>
    <w:rsid w:val="00E16269"/>
    <w:rsid w:val="00E16D47"/>
    <w:rsid w:val="00E2320B"/>
    <w:rsid w:val="00E232C8"/>
    <w:rsid w:val="00E25A38"/>
    <w:rsid w:val="00E26B75"/>
    <w:rsid w:val="00E31379"/>
    <w:rsid w:val="00E3157E"/>
    <w:rsid w:val="00E323B4"/>
    <w:rsid w:val="00E37389"/>
    <w:rsid w:val="00E37C18"/>
    <w:rsid w:val="00E40C51"/>
    <w:rsid w:val="00E431FB"/>
    <w:rsid w:val="00E43FC1"/>
    <w:rsid w:val="00E4440E"/>
    <w:rsid w:val="00E4548E"/>
    <w:rsid w:val="00E45D32"/>
    <w:rsid w:val="00E46C6D"/>
    <w:rsid w:val="00E47DC2"/>
    <w:rsid w:val="00E500F4"/>
    <w:rsid w:val="00E5173A"/>
    <w:rsid w:val="00E51746"/>
    <w:rsid w:val="00E539CF"/>
    <w:rsid w:val="00E542FF"/>
    <w:rsid w:val="00E54DCD"/>
    <w:rsid w:val="00E56E79"/>
    <w:rsid w:val="00E571F3"/>
    <w:rsid w:val="00E60AC7"/>
    <w:rsid w:val="00E617F6"/>
    <w:rsid w:val="00E63C3A"/>
    <w:rsid w:val="00E66801"/>
    <w:rsid w:val="00E66900"/>
    <w:rsid w:val="00E708A8"/>
    <w:rsid w:val="00E72A45"/>
    <w:rsid w:val="00E8063F"/>
    <w:rsid w:val="00E80A91"/>
    <w:rsid w:val="00E82F33"/>
    <w:rsid w:val="00E8487C"/>
    <w:rsid w:val="00E850F9"/>
    <w:rsid w:val="00E8738C"/>
    <w:rsid w:val="00E900B9"/>
    <w:rsid w:val="00E9171E"/>
    <w:rsid w:val="00E932FC"/>
    <w:rsid w:val="00E94543"/>
    <w:rsid w:val="00E959E4"/>
    <w:rsid w:val="00E97A0D"/>
    <w:rsid w:val="00EA0FA8"/>
    <w:rsid w:val="00EA3471"/>
    <w:rsid w:val="00EA3815"/>
    <w:rsid w:val="00EA3D04"/>
    <w:rsid w:val="00EA3F6C"/>
    <w:rsid w:val="00EB0708"/>
    <w:rsid w:val="00EB1168"/>
    <w:rsid w:val="00EB2872"/>
    <w:rsid w:val="00EB4042"/>
    <w:rsid w:val="00EB65C6"/>
    <w:rsid w:val="00EC01F6"/>
    <w:rsid w:val="00EC224A"/>
    <w:rsid w:val="00EC5936"/>
    <w:rsid w:val="00EC7844"/>
    <w:rsid w:val="00EC7D61"/>
    <w:rsid w:val="00ED7487"/>
    <w:rsid w:val="00ED7613"/>
    <w:rsid w:val="00ED76EA"/>
    <w:rsid w:val="00EE0062"/>
    <w:rsid w:val="00EE1F31"/>
    <w:rsid w:val="00EE647B"/>
    <w:rsid w:val="00EE7A8D"/>
    <w:rsid w:val="00EF53D3"/>
    <w:rsid w:val="00EF6210"/>
    <w:rsid w:val="00EF6773"/>
    <w:rsid w:val="00EF7372"/>
    <w:rsid w:val="00F02069"/>
    <w:rsid w:val="00F04FE6"/>
    <w:rsid w:val="00F06860"/>
    <w:rsid w:val="00F11CAA"/>
    <w:rsid w:val="00F1256D"/>
    <w:rsid w:val="00F153E5"/>
    <w:rsid w:val="00F21B26"/>
    <w:rsid w:val="00F30AA3"/>
    <w:rsid w:val="00F30F6E"/>
    <w:rsid w:val="00F317F5"/>
    <w:rsid w:val="00F3180D"/>
    <w:rsid w:val="00F36F32"/>
    <w:rsid w:val="00F36FF2"/>
    <w:rsid w:val="00F40687"/>
    <w:rsid w:val="00F40A4D"/>
    <w:rsid w:val="00F40D00"/>
    <w:rsid w:val="00F4596F"/>
    <w:rsid w:val="00F50941"/>
    <w:rsid w:val="00F50DE7"/>
    <w:rsid w:val="00F51DEA"/>
    <w:rsid w:val="00F53F8A"/>
    <w:rsid w:val="00F55B2E"/>
    <w:rsid w:val="00F55BE0"/>
    <w:rsid w:val="00F607D1"/>
    <w:rsid w:val="00F621F7"/>
    <w:rsid w:val="00F62E08"/>
    <w:rsid w:val="00F668A2"/>
    <w:rsid w:val="00F70B13"/>
    <w:rsid w:val="00F70DF5"/>
    <w:rsid w:val="00F75116"/>
    <w:rsid w:val="00F76F78"/>
    <w:rsid w:val="00F7709B"/>
    <w:rsid w:val="00F83784"/>
    <w:rsid w:val="00F85AB2"/>
    <w:rsid w:val="00F908F8"/>
    <w:rsid w:val="00F918F1"/>
    <w:rsid w:val="00F9487F"/>
    <w:rsid w:val="00F96CD1"/>
    <w:rsid w:val="00F974BC"/>
    <w:rsid w:val="00F976D3"/>
    <w:rsid w:val="00FA5BE6"/>
    <w:rsid w:val="00FA6704"/>
    <w:rsid w:val="00FB02F9"/>
    <w:rsid w:val="00FB0E54"/>
    <w:rsid w:val="00FB162C"/>
    <w:rsid w:val="00FB20B6"/>
    <w:rsid w:val="00FB2606"/>
    <w:rsid w:val="00FB2C05"/>
    <w:rsid w:val="00FB47DD"/>
    <w:rsid w:val="00FB5330"/>
    <w:rsid w:val="00FB7437"/>
    <w:rsid w:val="00FB76D3"/>
    <w:rsid w:val="00FC0A10"/>
    <w:rsid w:val="00FC1433"/>
    <w:rsid w:val="00FC3EC9"/>
    <w:rsid w:val="00FD131D"/>
    <w:rsid w:val="00FD2778"/>
    <w:rsid w:val="00FD5EA0"/>
    <w:rsid w:val="00FD659B"/>
    <w:rsid w:val="00FD75CB"/>
    <w:rsid w:val="00FE5713"/>
    <w:rsid w:val="00FE642E"/>
    <w:rsid w:val="00FE7035"/>
    <w:rsid w:val="00FF14F6"/>
    <w:rsid w:val="00FF1A39"/>
    <w:rsid w:val="00FF20D4"/>
    <w:rsid w:val="00FF213F"/>
    <w:rsid w:val="00FF273A"/>
    <w:rsid w:val="00FF3DD6"/>
    <w:rsid w:val="00FF4353"/>
    <w:rsid w:val="00FF4382"/>
    <w:rsid w:val="00FF5E40"/>
    <w:rsid w:val="010EA76D"/>
    <w:rsid w:val="012B9263"/>
    <w:rsid w:val="017A9CF9"/>
    <w:rsid w:val="0188192A"/>
    <w:rsid w:val="01A537F5"/>
    <w:rsid w:val="01C05ABE"/>
    <w:rsid w:val="02883606"/>
    <w:rsid w:val="02E1D8F7"/>
    <w:rsid w:val="02EB40D8"/>
    <w:rsid w:val="02F6FEB0"/>
    <w:rsid w:val="03591523"/>
    <w:rsid w:val="0362FC52"/>
    <w:rsid w:val="03700FFA"/>
    <w:rsid w:val="0398B9D5"/>
    <w:rsid w:val="03C6684E"/>
    <w:rsid w:val="03E4F0D4"/>
    <w:rsid w:val="0449B0D2"/>
    <w:rsid w:val="044A0AC8"/>
    <w:rsid w:val="04650DDB"/>
    <w:rsid w:val="049AE9C6"/>
    <w:rsid w:val="04BF2274"/>
    <w:rsid w:val="04C6AA58"/>
    <w:rsid w:val="0516028D"/>
    <w:rsid w:val="05B51076"/>
    <w:rsid w:val="06329FB5"/>
    <w:rsid w:val="06462783"/>
    <w:rsid w:val="0680969E"/>
    <w:rsid w:val="07EE767A"/>
    <w:rsid w:val="080FB3DF"/>
    <w:rsid w:val="08382C58"/>
    <w:rsid w:val="08EB1309"/>
    <w:rsid w:val="0916C6A0"/>
    <w:rsid w:val="09659615"/>
    <w:rsid w:val="09E4435B"/>
    <w:rsid w:val="09FE589C"/>
    <w:rsid w:val="0A644583"/>
    <w:rsid w:val="0A9055E9"/>
    <w:rsid w:val="0A996EA4"/>
    <w:rsid w:val="0B69CF32"/>
    <w:rsid w:val="0C3232D2"/>
    <w:rsid w:val="0C32F283"/>
    <w:rsid w:val="0C3E1C67"/>
    <w:rsid w:val="0C526DD3"/>
    <w:rsid w:val="0C57A870"/>
    <w:rsid w:val="0CE91E32"/>
    <w:rsid w:val="0CEFD822"/>
    <w:rsid w:val="0D1A81A1"/>
    <w:rsid w:val="0D1BB79D"/>
    <w:rsid w:val="0D328563"/>
    <w:rsid w:val="0D36816B"/>
    <w:rsid w:val="0D7D0B10"/>
    <w:rsid w:val="0DAF3609"/>
    <w:rsid w:val="0DBA2E0E"/>
    <w:rsid w:val="0DF09318"/>
    <w:rsid w:val="0E1858A2"/>
    <w:rsid w:val="0E3CFEA1"/>
    <w:rsid w:val="0E8A40D0"/>
    <w:rsid w:val="0E8C878B"/>
    <w:rsid w:val="0E9046A2"/>
    <w:rsid w:val="0EB787FE"/>
    <w:rsid w:val="0ED10A6A"/>
    <w:rsid w:val="0EE0EF13"/>
    <w:rsid w:val="0F60278E"/>
    <w:rsid w:val="0F61E709"/>
    <w:rsid w:val="0F72C380"/>
    <w:rsid w:val="0F7B28A2"/>
    <w:rsid w:val="0F7F6B76"/>
    <w:rsid w:val="0FE50BE9"/>
    <w:rsid w:val="100B5638"/>
    <w:rsid w:val="1053585F"/>
    <w:rsid w:val="1094DDF8"/>
    <w:rsid w:val="10C50EB7"/>
    <w:rsid w:val="111ABB0C"/>
    <w:rsid w:val="113E376E"/>
    <w:rsid w:val="117A557F"/>
    <w:rsid w:val="118BA9EC"/>
    <w:rsid w:val="119CE871"/>
    <w:rsid w:val="11AFAA9C"/>
    <w:rsid w:val="11C7E764"/>
    <w:rsid w:val="12450077"/>
    <w:rsid w:val="126BF2D1"/>
    <w:rsid w:val="12E5F82B"/>
    <w:rsid w:val="13A16D5A"/>
    <w:rsid w:val="13D02DA9"/>
    <w:rsid w:val="13DB5D28"/>
    <w:rsid w:val="14599442"/>
    <w:rsid w:val="14677938"/>
    <w:rsid w:val="146A4926"/>
    <w:rsid w:val="14924888"/>
    <w:rsid w:val="14FAEA07"/>
    <w:rsid w:val="157829A8"/>
    <w:rsid w:val="15BD2097"/>
    <w:rsid w:val="15D4744D"/>
    <w:rsid w:val="15F7F44F"/>
    <w:rsid w:val="16061987"/>
    <w:rsid w:val="161666C3"/>
    <w:rsid w:val="16336B26"/>
    <w:rsid w:val="164322F0"/>
    <w:rsid w:val="164975F2"/>
    <w:rsid w:val="16B58DB1"/>
    <w:rsid w:val="174382B6"/>
    <w:rsid w:val="1751B2C0"/>
    <w:rsid w:val="17DEF351"/>
    <w:rsid w:val="17E7C6CB"/>
    <w:rsid w:val="18624F78"/>
    <w:rsid w:val="18720FF4"/>
    <w:rsid w:val="1887C516"/>
    <w:rsid w:val="18B03AA4"/>
    <w:rsid w:val="18B441FB"/>
    <w:rsid w:val="18ED8321"/>
    <w:rsid w:val="1904A602"/>
    <w:rsid w:val="1938BC29"/>
    <w:rsid w:val="197A8AEF"/>
    <w:rsid w:val="1A00601F"/>
    <w:rsid w:val="1A290750"/>
    <w:rsid w:val="1A7C8AE8"/>
    <w:rsid w:val="1AE15FED"/>
    <w:rsid w:val="1BEBE2BD"/>
    <w:rsid w:val="1C1CFB2E"/>
    <w:rsid w:val="1C44C621"/>
    <w:rsid w:val="1C694A38"/>
    <w:rsid w:val="1C7D41A4"/>
    <w:rsid w:val="1CEC46BC"/>
    <w:rsid w:val="1D1E2BD5"/>
    <w:rsid w:val="1D2C58BA"/>
    <w:rsid w:val="1D41AC89"/>
    <w:rsid w:val="1D5F036A"/>
    <w:rsid w:val="1D929F99"/>
    <w:rsid w:val="1D9EC77C"/>
    <w:rsid w:val="1DABC7F6"/>
    <w:rsid w:val="1EB05221"/>
    <w:rsid w:val="1EEBC602"/>
    <w:rsid w:val="1F25A24B"/>
    <w:rsid w:val="1F59945B"/>
    <w:rsid w:val="1F65E93D"/>
    <w:rsid w:val="1FD763A7"/>
    <w:rsid w:val="208BEAA5"/>
    <w:rsid w:val="20A0BEC0"/>
    <w:rsid w:val="20CA405B"/>
    <w:rsid w:val="21579ECC"/>
    <w:rsid w:val="2207B763"/>
    <w:rsid w:val="22194C30"/>
    <w:rsid w:val="22397F0F"/>
    <w:rsid w:val="224D77A0"/>
    <w:rsid w:val="22B407A5"/>
    <w:rsid w:val="23160BB0"/>
    <w:rsid w:val="234DD887"/>
    <w:rsid w:val="23614663"/>
    <w:rsid w:val="23916F5A"/>
    <w:rsid w:val="23A61519"/>
    <w:rsid w:val="23C0C6C3"/>
    <w:rsid w:val="2401E11D"/>
    <w:rsid w:val="241B097A"/>
    <w:rsid w:val="244882F3"/>
    <w:rsid w:val="2473273B"/>
    <w:rsid w:val="2491556F"/>
    <w:rsid w:val="24CCB300"/>
    <w:rsid w:val="25B6D9DB"/>
    <w:rsid w:val="25E29D0E"/>
    <w:rsid w:val="25FF182D"/>
    <w:rsid w:val="26008D0B"/>
    <w:rsid w:val="262285BB"/>
    <w:rsid w:val="26379468"/>
    <w:rsid w:val="265590C6"/>
    <w:rsid w:val="265936F0"/>
    <w:rsid w:val="26C20029"/>
    <w:rsid w:val="26C2E30C"/>
    <w:rsid w:val="278E6D1E"/>
    <w:rsid w:val="27994FBD"/>
    <w:rsid w:val="288FD537"/>
    <w:rsid w:val="2896341D"/>
    <w:rsid w:val="28C7357B"/>
    <w:rsid w:val="28CC0D87"/>
    <w:rsid w:val="29033562"/>
    <w:rsid w:val="291D3E87"/>
    <w:rsid w:val="29234929"/>
    <w:rsid w:val="29788FB9"/>
    <w:rsid w:val="29933F6A"/>
    <w:rsid w:val="29C599C1"/>
    <w:rsid w:val="2A45AD14"/>
    <w:rsid w:val="2A63522C"/>
    <w:rsid w:val="2A9C0672"/>
    <w:rsid w:val="2AD09670"/>
    <w:rsid w:val="2AD3FF13"/>
    <w:rsid w:val="2B23A108"/>
    <w:rsid w:val="2B45E4E0"/>
    <w:rsid w:val="2B79D3B0"/>
    <w:rsid w:val="2BA050CE"/>
    <w:rsid w:val="2C09F40D"/>
    <w:rsid w:val="2C348917"/>
    <w:rsid w:val="2C3D2910"/>
    <w:rsid w:val="2C8551C5"/>
    <w:rsid w:val="2C9794FE"/>
    <w:rsid w:val="2CC24FA4"/>
    <w:rsid w:val="2D20AC50"/>
    <w:rsid w:val="2DDF8A52"/>
    <w:rsid w:val="2DE2842B"/>
    <w:rsid w:val="2E074BBB"/>
    <w:rsid w:val="2E215F8F"/>
    <w:rsid w:val="2E5B41CA"/>
    <w:rsid w:val="2EE25771"/>
    <w:rsid w:val="2EF66A7F"/>
    <w:rsid w:val="2EFFBCBE"/>
    <w:rsid w:val="2F335B4E"/>
    <w:rsid w:val="2F7772AB"/>
    <w:rsid w:val="2F8448D9"/>
    <w:rsid w:val="2F90326E"/>
    <w:rsid w:val="2F9F1652"/>
    <w:rsid w:val="2FA9BE77"/>
    <w:rsid w:val="3132FAA8"/>
    <w:rsid w:val="31E9B1BC"/>
    <w:rsid w:val="32214DC6"/>
    <w:rsid w:val="324DD42F"/>
    <w:rsid w:val="328244C9"/>
    <w:rsid w:val="32B37ED4"/>
    <w:rsid w:val="32DEDE3D"/>
    <w:rsid w:val="3385AEFC"/>
    <w:rsid w:val="33F4EF8A"/>
    <w:rsid w:val="33FBDD95"/>
    <w:rsid w:val="3460D672"/>
    <w:rsid w:val="351499A9"/>
    <w:rsid w:val="3539B599"/>
    <w:rsid w:val="356EA367"/>
    <w:rsid w:val="3585DF7B"/>
    <w:rsid w:val="35BEE6DD"/>
    <w:rsid w:val="364BC5E6"/>
    <w:rsid w:val="36CC0D1D"/>
    <w:rsid w:val="371E7B16"/>
    <w:rsid w:val="377861BF"/>
    <w:rsid w:val="37BAB938"/>
    <w:rsid w:val="3845AEA6"/>
    <w:rsid w:val="385F9C88"/>
    <w:rsid w:val="38751C7A"/>
    <w:rsid w:val="38BFC2CF"/>
    <w:rsid w:val="38CE0A98"/>
    <w:rsid w:val="38D2DCEE"/>
    <w:rsid w:val="38FD17FF"/>
    <w:rsid w:val="390F369E"/>
    <w:rsid w:val="399B8BF9"/>
    <w:rsid w:val="39AB1860"/>
    <w:rsid w:val="3A000439"/>
    <w:rsid w:val="3A8F33F1"/>
    <w:rsid w:val="3AA0EA79"/>
    <w:rsid w:val="3AB0FB4C"/>
    <w:rsid w:val="3AFEB3A7"/>
    <w:rsid w:val="3B31AC9E"/>
    <w:rsid w:val="3B380D0E"/>
    <w:rsid w:val="3B39C4D2"/>
    <w:rsid w:val="3B3D5CCC"/>
    <w:rsid w:val="3B9C7204"/>
    <w:rsid w:val="3BC51769"/>
    <w:rsid w:val="3C4714C9"/>
    <w:rsid w:val="3C56BC09"/>
    <w:rsid w:val="3C99BDB2"/>
    <w:rsid w:val="3D5A327F"/>
    <w:rsid w:val="3D7FAE48"/>
    <w:rsid w:val="3E227E49"/>
    <w:rsid w:val="3EB3E7A3"/>
    <w:rsid w:val="3EFCB82B"/>
    <w:rsid w:val="3F44F4ED"/>
    <w:rsid w:val="3FCAEFA2"/>
    <w:rsid w:val="40144E9A"/>
    <w:rsid w:val="40317AF3"/>
    <w:rsid w:val="403B57CF"/>
    <w:rsid w:val="404E7A81"/>
    <w:rsid w:val="406D1016"/>
    <w:rsid w:val="40CE0719"/>
    <w:rsid w:val="40F8D4E6"/>
    <w:rsid w:val="413A3913"/>
    <w:rsid w:val="41539346"/>
    <w:rsid w:val="41A92E8F"/>
    <w:rsid w:val="41E64290"/>
    <w:rsid w:val="42086CD3"/>
    <w:rsid w:val="425CF1C6"/>
    <w:rsid w:val="4344D6B7"/>
    <w:rsid w:val="439B1002"/>
    <w:rsid w:val="43A80BEC"/>
    <w:rsid w:val="43ADFF24"/>
    <w:rsid w:val="43C01974"/>
    <w:rsid w:val="44305244"/>
    <w:rsid w:val="44428DFB"/>
    <w:rsid w:val="4444A753"/>
    <w:rsid w:val="44481CBD"/>
    <w:rsid w:val="44516B79"/>
    <w:rsid w:val="446F82E2"/>
    <w:rsid w:val="4492B1EC"/>
    <w:rsid w:val="44A97FC0"/>
    <w:rsid w:val="44EC9BF5"/>
    <w:rsid w:val="45F527F5"/>
    <w:rsid w:val="46B92589"/>
    <w:rsid w:val="46D34091"/>
    <w:rsid w:val="46DBDDF6"/>
    <w:rsid w:val="478D5345"/>
    <w:rsid w:val="47ABFB0F"/>
    <w:rsid w:val="47C53D42"/>
    <w:rsid w:val="47D36585"/>
    <w:rsid w:val="47E614C1"/>
    <w:rsid w:val="48027A45"/>
    <w:rsid w:val="48196C32"/>
    <w:rsid w:val="48243CB7"/>
    <w:rsid w:val="482C4538"/>
    <w:rsid w:val="48470BC4"/>
    <w:rsid w:val="48C68B0A"/>
    <w:rsid w:val="49672A29"/>
    <w:rsid w:val="4A3A6EB1"/>
    <w:rsid w:val="4A4D113B"/>
    <w:rsid w:val="4AD8271C"/>
    <w:rsid w:val="4AFD0C2F"/>
    <w:rsid w:val="4BA5E88C"/>
    <w:rsid w:val="4BAB1290"/>
    <w:rsid w:val="4BB6F03A"/>
    <w:rsid w:val="4BD28759"/>
    <w:rsid w:val="4BE1EB3E"/>
    <w:rsid w:val="4C1F495F"/>
    <w:rsid w:val="4C291DC6"/>
    <w:rsid w:val="4CA952BF"/>
    <w:rsid w:val="4CC6B6AA"/>
    <w:rsid w:val="4CE55571"/>
    <w:rsid w:val="4CF37088"/>
    <w:rsid w:val="4D17AFC8"/>
    <w:rsid w:val="4D1C49A5"/>
    <w:rsid w:val="4D28747E"/>
    <w:rsid w:val="4D63ADFE"/>
    <w:rsid w:val="4DB52727"/>
    <w:rsid w:val="4DC69423"/>
    <w:rsid w:val="4E32B959"/>
    <w:rsid w:val="4E34ACF1"/>
    <w:rsid w:val="4E6ACE87"/>
    <w:rsid w:val="4E74E91B"/>
    <w:rsid w:val="4E7F923B"/>
    <w:rsid w:val="4E937E3B"/>
    <w:rsid w:val="4EB7FCAB"/>
    <w:rsid w:val="4ED0BB70"/>
    <w:rsid w:val="4ED2055B"/>
    <w:rsid w:val="4EFF7E5F"/>
    <w:rsid w:val="4F69FCC5"/>
    <w:rsid w:val="4F8F3F17"/>
    <w:rsid w:val="4FA3F7C1"/>
    <w:rsid w:val="4FA549E3"/>
    <w:rsid w:val="4FD767CC"/>
    <w:rsid w:val="4FEF6FC4"/>
    <w:rsid w:val="5009C223"/>
    <w:rsid w:val="501416FA"/>
    <w:rsid w:val="506C8BD1"/>
    <w:rsid w:val="50B33152"/>
    <w:rsid w:val="51AC89DD"/>
    <w:rsid w:val="51B534FC"/>
    <w:rsid w:val="51BFB0AE"/>
    <w:rsid w:val="51C24223"/>
    <w:rsid w:val="51E39907"/>
    <w:rsid w:val="525444F3"/>
    <w:rsid w:val="5302ED23"/>
    <w:rsid w:val="5311A9C9"/>
    <w:rsid w:val="532F3832"/>
    <w:rsid w:val="5367D4A2"/>
    <w:rsid w:val="53833E68"/>
    <w:rsid w:val="53DD993E"/>
    <w:rsid w:val="53E5C067"/>
    <w:rsid w:val="545E40EC"/>
    <w:rsid w:val="549EBD84"/>
    <w:rsid w:val="54D5AB62"/>
    <w:rsid w:val="54DA100B"/>
    <w:rsid w:val="54E42A9F"/>
    <w:rsid w:val="551AA251"/>
    <w:rsid w:val="5526D497"/>
    <w:rsid w:val="55769593"/>
    <w:rsid w:val="55F7D254"/>
    <w:rsid w:val="561A6208"/>
    <w:rsid w:val="5639F6E2"/>
    <w:rsid w:val="563A8DE5"/>
    <w:rsid w:val="56DBCD55"/>
    <w:rsid w:val="57506C77"/>
    <w:rsid w:val="57618358"/>
    <w:rsid w:val="57F1D325"/>
    <w:rsid w:val="58096951"/>
    <w:rsid w:val="583CCB5A"/>
    <w:rsid w:val="5853D6AA"/>
    <w:rsid w:val="5866AFB0"/>
    <w:rsid w:val="58CEE328"/>
    <w:rsid w:val="595C9DB2"/>
    <w:rsid w:val="59A9BE95"/>
    <w:rsid w:val="5A067C20"/>
    <w:rsid w:val="5A7F8936"/>
    <w:rsid w:val="5B45E905"/>
    <w:rsid w:val="5B8F8DD8"/>
    <w:rsid w:val="5B90758C"/>
    <w:rsid w:val="5BCF82C6"/>
    <w:rsid w:val="5BFB7A31"/>
    <w:rsid w:val="5D1FBFE9"/>
    <w:rsid w:val="5D60BA61"/>
    <w:rsid w:val="5D66B508"/>
    <w:rsid w:val="5E031153"/>
    <w:rsid w:val="5E2886F1"/>
    <w:rsid w:val="5E360322"/>
    <w:rsid w:val="5E601AEB"/>
    <w:rsid w:val="5E7CBA92"/>
    <w:rsid w:val="5EB1A6D3"/>
    <w:rsid w:val="5F067B86"/>
    <w:rsid w:val="5F992AD0"/>
    <w:rsid w:val="5FE1702B"/>
    <w:rsid w:val="609E55CA"/>
    <w:rsid w:val="60B16647"/>
    <w:rsid w:val="60F523AE"/>
    <w:rsid w:val="613ABCAD"/>
    <w:rsid w:val="620054D9"/>
    <w:rsid w:val="62088A8A"/>
    <w:rsid w:val="623EC44A"/>
    <w:rsid w:val="623F52A6"/>
    <w:rsid w:val="636AADB7"/>
    <w:rsid w:val="63874CAA"/>
    <w:rsid w:val="63BF261D"/>
    <w:rsid w:val="63D264C5"/>
    <w:rsid w:val="63D5F68C"/>
    <w:rsid w:val="63D85912"/>
    <w:rsid w:val="64157B90"/>
    <w:rsid w:val="64201D20"/>
    <w:rsid w:val="642B3D1C"/>
    <w:rsid w:val="6447973F"/>
    <w:rsid w:val="65231D0B"/>
    <w:rsid w:val="6571C6ED"/>
    <w:rsid w:val="6594ACD5"/>
    <w:rsid w:val="6598FD01"/>
    <w:rsid w:val="65B39F47"/>
    <w:rsid w:val="6630BB54"/>
    <w:rsid w:val="6649AA8F"/>
    <w:rsid w:val="66B0C7CE"/>
    <w:rsid w:val="66B3EEC5"/>
    <w:rsid w:val="67122F7B"/>
    <w:rsid w:val="674F6FA8"/>
    <w:rsid w:val="67CD14AC"/>
    <w:rsid w:val="6803D603"/>
    <w:rsid w:val="685871D1"/>
    <w:rsid w:val="6881CBA8"/>
    <w:rsid w:val="6886450C"/>
    <w:rsid w:val="68A8BB7D"/>
    <w:rsid w:val="68E01CCA"/>
    <w:rsid w:val="6904D07C"/>
    <w:rsid w:val="6913500E"/>
    <w:rsid w:val="694C34C4"/>
    <w:rsid w:val="6950EC6A"/>
    <w:rsid w:val="6971928C"/>
    <w:rsid w:val="6A399498"/>
    <w:rsid w:val="6A49FE68"/>
    <w:rsid w:val="6A51C3B5"/>
    <w:rsid w:val="6A9E3F8E"/>
    <w:rsid w:val="6AC494BE"/>
    <w:rsid w:val="6B1FD2A6"/>
    <w:rsid w:val="6B6B8239"/>
    <w:rsid w:val="6B7CFC43"/>
    <w:rsid w:val="6B80537D"/>
    <w:rsid w:val="6B90605F"/>
    <w:rsid w:val="6B949A87"/>
    <w:rsid w:val="6B964473"/>
    <w:rsid w:val="6C03EE59"/>
    <w:rsid w:val="6C1662B8"/>
    <w:rsid w:val="6C7210F9"/>
    <w:rsid w:val="6C9C00C9"/>
    <w:rsid w:val="6CEF6F92"/>
    <w:rsid w:val="6D670F1A"/>
    <w:rsid w:val="6D81361C"/>
    <w:rsid w:val="6D896477"/>
    <w:rsid w:val="6DB602A8"/>
    <w:rsid w:val="6DBCAA63"/>
    <w:rsid w:val="6DC6D8D8"/>
    <w:rsid w:val="6DFA88AD"/>
    <w:rsid w:val="6E5D3C0C"/>
    <w:rsid w:val="6E5D9494"/>
    <w:rsid w:val="6EA02D3E"/>
    <w:rsid w:val="6ECE1806"/>
    <w:rsid w:val="6F1B2038"/>
    <w:rsid w:val="6F2534D8"/>
    <w:rsid w:val="6F7BCB45"/>
    <w:rsid w:val="6FB64B49"/>
    <w:rsid w:val="6FFB68C6"/>
    <w:rsid w:val="701A5DE7"/>
    <w:rsid w:val="702533E3"/>
    <w:rsid w:val="70A1DD27"/>
    <w:rsid w:val="70F3B3AD"/>
    <w:rsid w:val="71077E3A"/>
    <w:rsid w:val="71190112"/>
    <w:rsid w:val="716FE866"/>
    <w:rsid w:val="71918FEC"/>
    <w:rsid w:val="71C2ECBB"/>
    <w:rsid w:val="721D6286"/>
    <w:rsid w:val="724AF432"/>
    <w:rsid w:val="7280B0B4"/>
    <w:rsid w:val="7297BCA6"/>
    <w:rsid w:val="72E1551E"/>
    <w:rsid w:val="732AE48B"/>
    <w:rsid w:val="738C69BE"/>
    <w:rsid w:val="73FF6396"/>
    <w:rsid w:val="74139541"/>
    <w:rsid w:val="7436140B"/>
    <w:rsid w:val="75887C3D"/>
    <w:rsid w:val="759344DA"/>
    <w:rsid w:val="762874E7"/>
    <w:rsid w:val="76391941"/>
    <w:rsid w:val="764DEA85"/>
    <w:rsid w:val="76D81126"/>
    <w:rsid w:val="76DCFEBC"/>
    <w:rsid w:val="76E03528"/>
    <w:rsid w:val="77AD5FD0"/>
    <w:rsid w:val="77F01FA1"/>
    <w:rsid w:val="7800D170"/>
    <w:rsid w:val="78539C3E"/>
    <w:rsid w:val="785D5AC4"/>
    <w:rsid w:val="787C0589"/>
    <w:rsid w:val="78A4B0F9"/>
    <w:rsid w:val="78F41F26"/>
    <w:rsid w:val="79972BC0"/>
    <w:rsid w:val="79CC15CD"/>
    <w:rsid w:val="7A429C20"/>
    <w:rsid w:val="7A463050"/>
    <w:rsid w:val="7A7BCFEE"/>
    <w:rsid w:val="7A9AE105"/>
    <w:rsid w:val="7AB50320"/>
    <w:rsid w:val="7AEA514D"/>
    <w:rsid w:val="7B8210CC"/>
    <w:rsid w:val="7B9E39EC"/>
    <w:rsid w:val="7BB3A64B"/>
    <w:rsid w:val="7BB8C5B7"/>
    <w:rsid w:val="7C4125F0"/>
    <w:rsid w:val="7CCBBC2F"/>
    <w:rsid w:val="7CFC6C14"/>
    <w:rsid w:val="7D5FAACC"/>
    <w:rsid w:val="7D9494D9"/>
    <w:rsid w:val="7DC589C4"/>
    <w:rsid w:val="7DD281C7"/>
    <w:rsid w:val="7E3427E9"/>
    <w:rsid w:val="7E3AD816"/>
    <w:rsid w:val="7E40B62C"/>
    <w:rsid w:val="7E5BFC5A"/>
    <w:rsid w:val="7E888A9D"/>
    <w:rsid w:val="7E88A178"/>
    <w:rsid w:val="7EA47486"/>
    <w:rsid w:val="7EEA4C99"/>
    <w:rsid w:val="7F917F18"/>
    <w:rsid w:val="7FAD08BD"/>
    <w:rsid w:val="7FB16A6E"/>
    <w:rsid w:val="7FCA58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4F61A"/>
  <w15:docId w15:val="{A60627E9-C641-4856-B5F2-703D8800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3A"/>
    <w:pPr>
      <w:spacing w:after="240" w:line="240" w:lineRule="auto"/>
    </w:pPr>
    <w:rPr>
      <w:rFonts w:ascii="Arial" w:hAnsi="Arial"/>
      <w:lang w:eastAsia="en-US"/>
    </w:rPr>
  </w:style>
  <w:style w:type="paragraph" w:styleId="Titre1">
    <w:name w:val="heading 1"/>
    <w:aliases w:val="1. Überschrift"/>
    <w:basedOn w:val="Normal"/>
    <w:next w:val="Normal"/>
    <w:link w:val="Titre1Car"/>
    <w:uiPriority w:val="1"/>
    <w:qFormat/>
    <w:rsid w:val="00C44FDA"/>
    <w:pPr>
      <w:keepNext/>
      <w:keepLines/>
      <w:numPr>
        <w:numId w:val="2"/>
      </w:numPr>
      <w:spacing w:before="240"/>
      <w:jc w:val="both"/>
      <w:outlineLvl w:val="0"/>
    </w:pPr>
    <w:rPr>
      <w:rFonts w:eastAsiaTheme="majorEastAsia" w:cstheme="majorBidi"/>
      <w:b/>
      <w:bCs/>
      <w:szCs w:val="28"/>
    </w:rPr>
  </w:style>
  <w:style w:type="paragraph" w:styleId="Titre2">
    <w:name w:val="heading 2"/>
    <w:aliases w:val="2. Überschrift"/>
    <w:basedOn w:val="Normal"/>
    <w:next w:val="Normal"/>
    <w:link w:val="Titre2Car"/>
    <w:uiPriority w:val="1"/>
    <w:unhideWhenUsed/>
    <w:qFormat/>
    <w:rsid w:val="006D797D"/>
    <w:pPr>
      <w:keepNext/>
      <w:keepLines/>
      <w:spacing w:before="240"/>
      <w:ind w:left="576" w:hanging="576"/>
      <w:jc w:val="both"/>
      <w:outlineLvl w:val="1"/>
    </w:pPr>
    <w:rPr>
      <w:rFonts w:eastAsiaTheme="majorEastAsia" w:cstheme="majorBidi"/>
      <w:b/>
      <w:bCs/>
      <w:szCs w:val="26"/>
    </w:rPr>
  </w:style>
  <w:style w:type="paragraph" w:styleId="Titre3">
    <w:name w:val="heading 3"/>
    <w:aliases w:val="3. Überschrift"/>
    <w:basedOn w:val="Normal"/>
    <w:next w:val="Normal"/>
    <w:link w:val="Titre3Car"/>
    <w:uiPriority w:val="1"/>
    <w:unhideWhenUsed/>
    <w:qFormat/>
    <w:rsid w:val="00676462"/>
    <w:pPr>
      <w:keepNext/>
      <w:keepLines/>
      <w:numPr>
        <w:ilvl w:val="2"/>
        <w:numId w:val="2"/>
      </w:numPr>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8237D6"/>
    <w:pPr>
      <w:keepNext/>
      <w:keepLines/>
      <w:numPr>
        <w:ilvl w:val="3"/>
        <w:numId w:val="2"/>
      </w:numPr>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8237D6"/>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902006"/>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902006"/>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90200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0200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iPriority w:val="99"/>
    <w:unhideWhenUsed/>
    <w:rsid w:val="00676462"/>
    <w:pPr>
      <w:tabs>
        <w:tab w:val="center" w:pos="4536"/>
        <w:tab w:val="right" w:pos="9072"/>
      </w:tabs>
    </w:pPr>
  </w:style>
  <w:style w:type="character" w:customStyle="1" w:styleId="PieddepageCar">
    <w:name w:val="Pied de page Car"/>
    <w:basedOn w:val="Policepardfaut"/>
    <w:link w:val="Pieddepage"/>
    <w:uiPriority w:val="99"/>
    <w:rsid w:val="00676462"/>
    <w:rPr>
      <w:rFonts w:ascii="Arial" w:eastAsiaTheme="minorHAnsi" w:hAnsi="Arial"/>
      <w:lang w:eastAsia="en-US"/>
    </w:rPr>
  </w:style>
  <w:style w:type="paragraph" w:styleId="Sansinterligne">
    <w:name w:val="No Spacing"/>
    <w:basedOn w:val="Normal"/>
    <w:uiPriority w:val="4"/>
    <w:unhideWhenUsed/>
    <w:rsid w:val="00676462"/>
  </w:style>
  <w:style w:type="paragraph" w:styleId="En-tte">
    <w:name w:val="header"/>
    <w:basedOn w:val="Normal"/>
    <w:link w:val="En-tteCar"/>
    <w:unhideWhenUsed/>
    <w:rsid w:val="00676462"/>
    <w:pPr>
      <w:tabs>
        <w:tab w:val="center" w:pos="4536"/>
        <w:tab w:val="right" w:pos="9072"/>
      </w:tabs>
    </w:pPr>
  </w:style>
  <w:style w:type="character" w:customStyle="1" w:styleId="En-tteCar">
    <w:name w:val="En-tête Car"/>
    <w:basedOn w:val="Policepardfaut"/>
    <w:link w:val="En-tte"/>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uiPriority w:val="59"/>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1"/>
    <w:rsid w:val="00C44FDA"/>
    <w:rPr>
      <w:rFonts w:ascii="Arial" w:eastAsiaTheme="majorEastAsia" w:hAnsi="Arial" w:cstheme="majorBidi"/>
      <w:b/>
      <w:bCs/>
      <w:szCs w:val="28"/>
      <w:lang w:eastAsia="en-US"/>
    </w:rPr>
  </w:style>
  <w:style w:type="character" w:customStyle="1" w:styleId="Titre2Car">
    <w:name w:val="Titre 2 Car"/>
    <w:aliases w:val="2. Überschrift Car"/>
    <w:basedOn w:val="Policepardfaut"/>
    <w:link w:val="Titre2"/>
    <w:uiPriority w:val="1"/>
    <w:rsid w:val="006D797D"/>
    <w:rPr>
      <w:rFonts w:ascii="Arial" w:eastAsiaTheme="majorEastAsia" w:hAnsi="Arial" w:cstheme="majorBidi"/>
      <w:b/>
      <w:bCs/>
      <w:szCs w:val="26"/>
      <w:lang w:eastAsia="en-US"/>
    </w:rPr>
  </w:style>
  <w:style w:type="character" w:customStyle="1" w:styleId="Titre3Car">
    <w:name w:val="Titre 3 Car"/>
    <w:aliases w:val="3. Überschrift Car"/>
    <w:basedOn w:val="Policepardfaut"/>
    <w:link w:val="Titre3"/>
    <w:uiPriority w:val="1"/>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8237D6"/>
    <w:rPr>
      <w:rFonts w:ascii="Arial" w:eastAsiaTheme="majorEastAsia" w:hAnsi="Arial" w:cstheme="majorBidi"/>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semiHidden/>
    <w:rsid w:val="008237D6"/>
    <w:rPr>
      <w:rFonts w:asciiTheme="majorHAnsi" w:eastAsiaTheme="majorEastAsia" w:hAnsiTheme="majorHAnsi" w:cstheme="majorBidi"/>
      <w:color w:val="2E74B5" w:themeColor="accent1" w:themeShade="BF"/>
      <w:lang w:eastAsia="en-US"/>
    </w:rPr>
  </w:style>
  <w:style w:type="paragraph" w:styleId="Paragraphedeliste">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ParagraphedelisteCar"/>
    <w:uiPriority w:val="34"/>
    <w:qFormat/>
    <w:rsid w:val="00AD4D4A"/>
    <w:pPr>
      <w:ind w:left="720"/>
      <w:contextualSpacing/>
    </w:pPr>
  </w:style>
  <w:style w:type="paragraph" w:customStyle="1" w:styleId="ZulschenderText">
    <w:name w:val="Zu löschender Text"/>
    <w:basedOn w:val="Normal"/>
    <w:link w:val="ZulschenderTextZchn"/>
    <w:qFormat/>
    <w:rsid w:val="0075144B"/>
    <w:pPr>
      <w:spacing w:before="240"/>
    </w:pPr>
    <w:rPr>
      <w:i/>
      <w:color w:val="FF0000"/>
    </w:rPr>
  </w:style>
  <w:style w:type="paragraph" w:styleId="TM2">
    <w:name w:val="toc 2"/>
    <w:basedOn w:val="Normal"/>
    <w:next w:val="Normal"/>
    <w:autoRedefine/>
    <w:uiPriority w:val="39"/>
    <w:unhideWhenUsed/>
    <w:rsid w:val="00B57BD8"/>
    <w:pPr>
      <w:tabs>
        <w:tab w:val="right" w:leader="dot" w:pos="9061"/>
      </w:tabs>
      <w:spacing w:after="0"/>
      <w:ind w:left="567"/>
    </w:pPr>
  </w:style>
  <w:style w:type="character" w:customStyle="1" w:styleId="ZulschenderTextZchn">
    <w:name w:val="Zu löschender Text Zchn"/>
    <w:basedOn w:val="Policepardfaut"/>
    <w:link w:val="ZulschenderText"/>
    <w:rsid w:val="0075144B"/>
    <w:rPr>
      <w:rFonts w:ascii="Arial" w:hAnsi="Arial"/>
      <w:i/>
      <w:color w:val="FF0000"/>
      <w:lang w:eastAsia="en-US"/>
    </w:rPr>
  </w:style>
  <w:style w:type="paragraph" w:styleId="TM1">
    <w:name w:val="toc 1"/>
    <w:basedOn w:val="Normal"/>
    <w:next w:val="Normal"/>
    <w:autoRedefine/>
    <w:uiPriority w:val="39"/>
    <w:unhideWhenUsed/>
    <w:rsid w:val="009610E5"/>
    <w:pPr>
      <w:tabs>
        <w:tab w:val="left" w:pos="567"/>
        <w:tab w:val="right" w:leader="dot" w:pos="9061"/>
      </w:tabs>
      <w:spacing w:before="240" w:after="0"/>
      <w:ind w:left="567" w:hanging="567"/>
    </w:pPr>
    <w:rPr>
      <w:bCs/>
    </w:rPr>
  </w:style>
  <w:style w:type="character" w:styleId="Lienhypertexte">
    <w:name w:val="Hyperlink"/>
    <w:basedOn w:val="Policepardfau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Policepardfaut"/>
    <w:link w:val="ZwischenberschriftohneAbstand"/>
    <w:rsid w:val="0030370B"/>
    <w:rPr>
      <w:rFonts w:ascii="Arial" w:hAnsi="Arial"/>
      <w:lang w:eastAsia="en-US"/>
    </w:rPr>
  </w:style>
  <w:style w:type="character" w:customStyle="1" w:styleId="ZwischenberschriftmitAbstandZchn">
    <w:name w:val="Zwischenüberschrift mit Abstand Zchn"/>
    <w:basedOn w:val="Policepardfaut"/>
    <w:link w:val="ZwischenberschriftmitAbstand"/>
    <w:rsid w:val="00B70158"/>
    <w:rPr>
      <w:rFonts w:ascii="Arial" w:hAnsi="Arial"/>
      <w:lang w:eastAsia="en-US"/>
    </w:rPr>
  </w:style>
  <w:style w:type="paragraph" w:styleId="TM3">
    <w:name w:val="toc 3"/>
    <w:basedOn w:val="Normal"/>
    <w:next w:val="Normal"/>
    <w:autoRedefine/>
    <w:uiPriority w:val="39"/>
    <w:unhideWhenUsed/>
    <w:rsid w:val="0019640D"/>
    <w:pPr>
      <w:spacing w:after="100"/>
    </w:pPr>
  </w:style>
  <w:style w:type="paragraph" w:styleId="TM4">
    <w:name w:val="toc 4"/>
    <w:basedOn w:val="Normal"/>
    <w:next w:val="Normal"/>
    <w:autoRedefine/>
    <w:uiPriority w:val="39"/>
    <w:semiHidden/>
    <w:unhideWhenUsed/>
    <w:rsid w:val="0019640D"/>
    <w:pPr>
      <w:spacing w:after="100"/>
    </w:pPr>
  </w:style>
  <w:style w:type="character" w:styleId="Marquedecommentaire">
    <w:name w:val="annotation reference"/>
    <w:basedOn w:val="Policepardfaut"/>
    <w:uiPriority w:val="99"/>
    <w:semiHidden/>
    <w:unhideWhenUsed/>
    <w:rsid w:val="00EC5936"/>
    <w:rPr>
      <w:sz w:val="16"/>
      <w:szCs w:val="16"/>
    </w:rPr>
  </w:style>
  <w:style w:type="paragraph" w:styleId="Commentaire">
    <w:name w:val="annotation text"/>
    <w:basedOn w:val="Normal"/>
    <w:link w:val="CommentaireCar"/>
    <w:uiPriority w:val="99"/>
    <w:unhideWhenUsed/>
    <w:rsid w:val="00EC5936"/>
    <w:rPr>
      <w:sz w:val="20"/>
      <w:szCs w:val="20"/>
    </w:rPr>
  </w:style>
  <w:style w:type="character" w:customStyle="1" w:styleId="CommentaireCar">
    <w:name w:val="Commentaire Car"/>
    <w:basedOn w:val="Policepardfaut"/>
    <w:link w:val="Commentaire"/>
    <w:uiPriority w:val="99"/>
    <w:rsid w:val="00EC5936"/>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EC5936"/>
    <w:rPr>
      <w:b/>
      <w:bCs/>
    </w:rPr>
  </w:style>
  <w:style w:type="character" w:customStyle="1" w:styleId="ObjetducommentaireCar">
    <w:name w:val="Objet du commentaire Car"/>
    <w:basedOn w:val="CommentaireCar"/>
    <w:link w:val="Objetducommentaire"/>
    <w:uiPriority w:val="99"/>
    <w:semiHidden/>
    <w:rsid w:val="00EC5936"/>
    <w:rPr>
      <w:rFonts w:ascii="Arial" w:hAnsi="Arial"/>
      <w:b/>
      <w:bCs/>
      <w:sz w:val="20"/>
      <w:szCs w:val="20"/>
      <w:lang w:eastAsia="en-US"/>
    </w:rPr>
  </w:style>
  <w:style w:type="paragraph" w:styleId="R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Policepardfaut"/>
    <w:uiPriority w:val="99"/>
    <w:semiHidden/>
    <w:unhideWhenUsed/>
    <w:rsid w:val="005C0D27"/>
    <w:rPr>
      <w:color w:val="605E5C"/>
      <w:shd w:val="clear" w:color="auto" w:fill="E1DFDD"/>
    </w:rPr>
  </w:style>
  <w:style w:type="character" w:styleId="Lienhypertextesuivivisit">
    <w:name w:val="FollowedHyperlink"/>
    <w:basedOn w:val="Policepardfaut"/>
    <w:uiPriority w:val="99"/>
    <w:semiHidden/>
    <w:unhideWhenUsed/>
    <w:rsid w:val="005C0D27"/>
    <w:rPr>
      <w:color w:val="954F72" w:themeColor="followedHyperlink"/>
      <w:u w:val="single"/>
    </w:rPr>
  </w:style>
  <w:style w:type="character" w:customStyle="1" w:styleId="normaltextrun">
    <w:name w:val="normaltextrun"/>
    <w:basedOn w:val="Policepardfaut"/>
    <w:rsid w:val="005C0D27"/>
  </w:style>
  <w:style w:type="paragraph" w:styleId="NormalWeb">
    <w:name w:val="Normal (Web)"/>
    <w:basedOn w:val="Normal"/>
    <w:uiPriority w:val="99"/>
    <w:semiHidden/>
    <w:unhideWhenUsed/>
    <w:rsid w:val="005C0D27"/>
    <w:pPr>
      <w:spacing w:before="100" w:beforeAutospacing="1" w:after="100" w:afterAutospacing="1"/>
    </w:pPr>
    <w:rPr>
      <w:rFonts w:ascii="Times New Roman" w:eastAsia="Times New Roman" w:hAnsi="Times New Roman" w:cs="Times New Roman"/>
      <w:sz w:val="24"/>
      <w:szCs w:val="24"/>
      <w:lang w:eastAsia="de-DE"/>
    </w:rPr>
  </w:style>
  <w:style w:type="character" w:styleId="Textedelespacerserv">
    <w:name w:val="Placeholder Text"/>
    <w:basedOn w:val="Policepardfaut"/>
    <w:uiPriority w:val="99"/>
    <w:semiHidden/>
    <w:rsid w:val="003F7170"/>
    <w:rPr>
      <w:color w:val="808080"/>
    </w:rPr>
  </w:style>
  <w:style w:type="character" w:customStyle="1" w:styleId="ui-provider">
    <w:name w:val="ui-provider"/>
    <w:basedOn w:val="Policepardfaut"/>
    <w:rsid w:val="005835D8"/>
  </w:style>
  <w:style w:type="character" w:customStyle="1" w:styleId="Titre6Car">
    <w:name w:val="Titre 6 Car"/>
    <w:basedOn w:val="Policepardfaut"/>
    <w:link w:val="Titre6"/>
    <w:uiPriority w:val="9"/>
    <w:semiHidden/>
    <w:rsid w:val="00902006"/>
    <w:rPr>
      <w:rFonts w:asciiTheme="majorHAnsi" w:eastAsiaTheme="majorEastAsia" w:hAnsiTheme="majorHAnsi" w:cstheme="majorBidi"/>
      <w:color w:val="1F4D78" w:themeColor="accent1" w:themeShade="7F"/>
      <w:lang w:eastAsia="en-US"/>
    </w:rPr>
  </w:style>
  <w:style w:type="character" w:customStyle="1" w:styleId="Titre7Car">
    <w:name w:val="Titre 7 Car"/>
    <w:basedOn w:val="Policepardfaut"/>
    <w:link w:val="Titre7"/>
    <w:uiPriority w:val="9"/>
    <w:semiHidden/>
    <w:rsid w:val="00902006"/>
    <w:rPr>
      <w:rFonts w:asciiTheme="majorHAnsi" w:eastAsiaTheme="majorEastAsia" w:hAnsiTheme="majorHAnsi" w:cstheme="majorBidi"/>
      <w:i/>
      <w:iCs/>
      <w:color w:val="1F4D78" w:themeColor="accent1" w:themeShade="7F"/>
      <w:lang w:eastAsia="en-US"/>
    </w:rPr>
  </w:style>
  <w:style w:type="character" w:customStyle="1" w:styleId="Titre8Car">
    <w:name w:val="Titre 8 Car"/>
    <w:basedOn w:val="Policepardfaut"/>
    <w:link w:val="Titre8"/>
    <w:uiPriority w:val="9"/>
    <w:semiHidden/>
    <w:rsid w:val="00902006"/>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902006"/>
    <w:rPr>
      <w:rFonts w:asciiTheme="majorHAnsi" w:eastAsiaTheme="majorEastAsia" w:hAnsiTheme="majorHAnsi" w:cstheme="majorBidi"/>
      <w:i/>
      <w:iCs/>
      <w:color w:val="272727" w:themeColor="text1" w:themeTint="D8"/>
      <w:sz w:val="21"/>
      <w:szCs w:val="21"/>
      <w:lang w:eastAsia="en-US"/>
    </w:rPr>
  </w:style>
  <w:style w:type="paragraph" w:customStyle="1" w:styleId="Standard1">
    <w:name w:val="Standard 1"/>
    <w:basedOn w:val="Normal"/>
    <w:link w:val="Standard1Zchn"/>
    <w:qFormat/>
    <w:rsid w:val="0075144B"/>
    <w:pPr>
      <w:spacing w:before="240"/>
    </w:pPr>
    <w:rPr>
      <w:lang w:val="de-DE"/>
    </w:rPr>
  </w:style>
  <w:style w:type="character" w:customStyle="1" w:styleId="Standard1Zchn">
    <w:name w:val="Standard 1 Zchn"/>
    <w:basedOn w:val="Policepardfaut"/>
    <w:link w:val="Standard1"/>
    <w:rsid w:val="0075144B"/>
    <w:rPr>
      <w:rFonts w:ascii="Arial" w:hAnsi="Arial"/>
      <w:lang w:val="de-DE" w:eastAsia="en-US"/>
    </w:rPr>
  </w:style>
  <w:style w:type="paragraph" w:customStyle="1" w:styleId="Aufzhlung">
    <w:name w:val="Aufzählung"/>
    <w:basedOn w:val="Paragraphedeliste"/>
    <w:link w:val="AufzhlungZchn"/>
    <w:qFormat/>
    <w:rsid w:val="0075144B"/>
    <w:pPr>
      <w:numPr>
        <w:ilvl w:val="1"/>
        <w:numId w:val="1"/>
      </w:numPr>
      <w:spacing w:after="0"/>
    </w:pPr>
    <w:rPr>
      <w:lang w:val="de-DE"/>
    </w:rPr>
  </w:style>
  <w:style w:type="character" w:customStyle="1" w:styleId="ParagraphedelisteCar">
    <w:name w:val="Paragraphe de liste Car"/>
    <w:aliases w:val="List Paragraph Aktis Car,Bullet Points Car,Párrafo de lista Car,Recommendation Car,OBC Bullet Car,Recommendatio Car,Dot pt Car,F5 List Paragraph Car,List Paragraph1 Car,No Spacing1 Car,List Paragraph Char Char Char Car"/>
    <w:basedOn w:val="Policepardfaut"/>
    <w:link w:val="Paragraphedeliste"/>
    <w:uiPriority w:val="34"/>
    <w:qFormat/>
    <w:rsid w:val="0075144B"/>
    <w:rPr>
      <w:rFonts w:ascii="Arial" w:hAnsi="Arial"/>
      <w:lang w:eastAsia="en-US"/>
    </w:rPr>
  </w:style>
  <w:style w:type="character" w:customStyle="1" w:styleId="AufzhlungZchn">
    <w:name w:val="Aufzählung Zchn"/>
    <w:basedOn w:val="ParagraphedelisteCar"/>
    <w:link w:val="Aufzhlung"/>
    <w:rsid w:val="0075144B"/>
    <w:rPr>
      <w:rFonts w:ascii="Arial" w:hAnsi="Arial"/>
      <w:lang w:val="de-DE" w:eastAsia="en-US"/>
    </w:rPr>
  </w:style>
  <w:style w:type="paragraph" w:customStyle="1" w:styleId="LISTE">
    <w:name w:val="LISTE"/>
    <w:basedOn w:val="Normal"/>
    <w:qFormat/>
    <w:rsid w:val="009E0348"/>
    <w:pPr>
      <w:widowControl w:val="0"/>
      <w:numPr>
        <w:numId w:val="6"/>
      </w:numPr>
      <w:autoSpaceDE w:val="0"/>
      <w:autoSpaceDN w:val="0"/>
      <w:adjustRightInd w:val="0"/>
      <w:spacing w:before="120" w:after="0" w:line="247" w:lineRule="auto"/>
      <w:jc w:val="both"/>
      <w:textAlignment w:val="center"/>
    </w:pPr>
    <w:rPr>
      <w:rFonts w:ascii="Perpetua" w:hAnsi="Perpetua" w:cs="Perpetua"/>
      <w:color w:val="000000"/>
      <w:sz w:val="26"/>
      <w:szCs w:val="26"/>
      <w:lang w:val="fr-CA"/>
    </w:rPr>
  </w:style>
  <w:style w:type="table" w:customStyle="1" w:styleId="TableauGrille1Clair-Accentuation11">
    <w:name w:val="Tableau Grille 1 Clair - Accentuation 11"/>
    <w:basedOn w:val="TableauNormal"/>
    <w:next w:val="TableauGrille1Clair-Accentuation1"/>
    <w:uiPriority w:val="46"/>
    <w:rsid w:val="00782534"/>
    <w:pPr>
      <w:spacing w:after="0" w:line="240" w:lineRule="auto"/>
    </w:pPr>
    <w:rPr>
      <w:rFonts w:eastAsia="MS Mincho"/>
      <w:sz w:val="20"/>
      <w:szCs w:val="20"/>
      <w:lang w:val="en-US"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8253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EXPsous-titrefonc">
    <w:name w:val="EXP_sous-titre foncé"/>
    <w:basedOn w:val="Normal"/>
    <w:link w:val="EXPsous-titrefoncCar"/>
    <w:qFormat/>
    <w:rsid w:val="000525BB"/>
    <w:pPr>
      <w:tabs>
        <w:tab w:val="right" w:leader="dot" w:pos="9923"/>
      </w:tabs>
      <w:spacing w:after="0"/>
      <w:ind w:left="360"/>
      <w:jc w:val="both"/>
    </w:pPr>
    <w:rPr>
      <w:rFonts w:ascii="Calibri-Italic" w:eastAsiaTheme="minorEastAsia" w:hAnsi="Calibri-Italic" w:cs="Arial"/>
      <w:i/>
      <w:iCs/>
      <w:color w:val="FFFFFF" w:themeColor="background1"/>
      <w:sz w:val="50"/>
      <w:szCs w:val="50"/>
      <w:shd w:val="clear" w:color="auto" w:fill="004979"/>
      <w:lang w:eastAsia="ja-JP"/>
      <w14:props3d w14:extrusionH="0" w14:contourW="12700" w14:prstMaterial="none">
        <w14:contourClr>
          <w14:schemeClr w14:val="bg1"/>
        </w14:contourClr>
      </w14:props3d>
    </w:rPr>
  </w:style>
  <w:style w:type="character" w:customStyle="1" w:styleId="EXPsous-titrefoncCar">
    <w:name w:val="EXP_sous-titre foncé Car"/>
    <w:basedOn w:val="Policepardfaut"/>
    <w:link w:val="EXPsous-titrefonc"/>
    <w:rsid w:val="000525BB"/>
    <w:rPr>
      <w:rFonts w:ascii="Calibri-Italic" w:eastAsiaTheme="minorEastAsia" w:hAnsi="Calibri-Italic" w:cs="Arial"/>
      <w:i/>
      <w:iCs/>
      <w:color w:val="FFFFFF" w:themeColor="background1"/>
      <w:sz w:val="50"/>
      <w:szCs w:val="50"/>
      <w:lang w:eastAsia="ja-JP"/>
      <w14:props3d w14:extrusionH="0" w14:contourW="12700" w14:prstMaterial="none">
        <w14:contourClr>
          <w14:schemeClr w14:val="bg1"/>
        </w14:contourClr>
      </w14:props3d>
    </w:rPr>
  </w:style>
  <w:style w:type="paragraph" w:customStyle="1" w:styleId="2Tableaunormal">
    <w:name w:val="2Tableau_normal"/>
    <w:basedOn w:val="Normal"/>
    <w:link w:val="2TableaunormalCar"/>
    <w:qFormat/>
    <w:rsid w:val="000525BB"/>
    <w:pPr>
      <w:spacing w:after="60"/>
      <w:jc w:val="both"/>
    </w:pPr>
    <w:rPr>
      <w:rFonts w:ascii="Calibri-Italic" w:eastAsiaTheme="minorEastAsia" w:hAnsi="Calibri-Italic"/>
      <w:i/>
      <w:iCs/>
      <w:color w:val="000000"/>
      <w:sz w:val="20"/>
    </w:rPr>
  </w:style>
  <w:style w:type="character" w:customStyle="1" w:styleId="2TableaunormalCar">
    <w:name w:val="2Tableau_normal Car"/>
    <w:basedOn w:val="Policepardfaut"/>
    <w:link w:val="2Tableaunormal"/>
    <w:rsid w:val="000525BB"/>
    <w:rPr>
      <w:rFonts w:ascii="Calibri-Italic" w:eastAsiaTheme="minorEastAsia" w:hAnsi="Calibri-Italic"/>
      <w:i/>
      <w:iCs/>
      <w:color w:val="000000"/>
      <w:sz w:val="20"/>
      <w:lang w:eastAsia="en-US"/>
    </w:rPr>
  </w:style>
  <w:style w:type="paragraph" w:styleId="En-ttedetabledesmatires">
    <w:name w:val="TOC Heading"/>
    <w:basedOn w:val="Titre1"/>
    <w:next w:val="Normal"/>
    <w:uiPriority w:val="39"/>
    <w:unhideWhenUsed/>
    <w:qFormat/>
    <w:rsid w:val="000525BB"/>
    <w:pPr>
      <w:numPr>
        <w:numId w:val="0"/>
      </w:numPr>
      <w:spacing w:after="0" w:line="259" w:lineRule="auto"/>
      <w:jc w:val="left"/>
      <w:outlineLvl w:val="9"/>
    </w:pPr>
    <w:rPr>
      <w:rFonts w:asciiTheme="majorHAnsi" w:hAnsiTheme="majorHAnsi"/>
      <w:b w:val="0"/>
      <w:bCs w:val="0"/>
      <w:color w:val="2E74B5" w:themeColor="accent1" w:themeShade="BF"/>
      <w:sz w:val="32"/>
      <w:szCs w:val="32"/>
      <w:lang w:eastAsia="fr-FR"/>
    </w:rPr>
  </w:style>
  <w:style w:type="paragraph" w:styleId="Corpsdetexte">
    <w:name w:val="Body Text"/>
    <w:basedOn w:val="Normal"/>
    <w:link w:val="CorpsdetexteCar"/>
    <w:uiPriority w:val="1"/>
    <w:qFormat/>
    <w:rsid w:val="001111DA"/>
    <w:pPr>
      <w:widowControl w:val="0"/>
      <w:autoSpaceDE w:val="0"/>
      <w:autoSpaceDN w:val="0"/>
      <w:spacing w:after="0"/>
    </w:pPr>
    <w:rPr>
      <w:rFonts w:ascii="Arial MT" w:eastAsia="Arial MT" w:hAnsi="Arial MT" w:cs="Arial MT"/>
    </w:rPr>
  </w:style>
  <w:style w:type="character" w:customStyle="1" w:styleId="CorpsdetexteCar">
    <w:name w:val="Corps de texte Car"/>
    <w:basedOn w:val="Policepardfaut"/>
    <w:link w:val="Corpsdetexte"/>
    <w:uiPriority w:val="1"/>
    <w:rsid w:val="001111DA"/>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3305">
      <w:bodyDiv w:val="1"/>
      <w:marLeft w:val="0"/>
      <w:marRight w:val="0"/>
      <w:marTop w:val="0"/>
      <w:marBottom w:val="0"/>
      <w:divBdr>
        <w:top w:val="none" w:sz="0" w:space="0" w:color="auto"/>
        <w:left w:val="none" w:sz="0" w:space="0" w:color="auto"/>
        <w:bottom w:val="none" w:sz="0" w:space="0" w:color="auto"/>
        <w:right w:val="none" w:sz="0" w:space="0" w:color="auto"/>
      </w:divBdr>
    </w:div>
    <w:div w:id="126433748">
      <w:bodyDiv w:val="1"/>
      <w:marLeft w:val="0"/>
      <w:marRight w:val="0"/>
      <w:marTop w:val="0"/>
      <w:marBottom w:val="0"/>
      <w:divBdr>
        <w:top w:val="none" w:sz="0" w:space="0" w:color="auto"/>
        <w:left w:val="none" w:sz="0" w:space="0" w:color="auto"/>
        <w:bottom w:val="none" w:sz="0" w:space="0" w:color="auto"/>
        <w:right w:val="none" w:sz="0" w:space="0" w:color="auto"/>
      </w:divBdr>
    </w:div>
    <w:div w:id="307783738">
      <w:bodyDiv w:val="1"/>
      <w:marLeft w:val="0"/>
      <w:marRight w:val="0"/>
      <w:marTop w:val="0"/>
      <w:marBottom w:val="0"/>
      <w:divBdr>
        <w:top w:val="none" w:sz="0" w:space="0" w:color="auto"/>
        <w:left w:val="none" w:sz="0" w:space="0" w:color="auto"/>
        <w:bottom w:val="none" w:sz="0" w:space="0" w:color="auto"/>
        <w:right w:val="none" w:sz="0" w:space="0" w:color="auto"/>
      </w:divBdr>
    </w:div>
    <w:div w:id="492382379">
      <w:bodyDiv w:val="1"/>
      <w:marLeft w:val="0"/>
      <w:marRight w:val="0"/>
      <w:marTop w:val="0"/>
      <w:marBottom w:val="0"/>
      <w:divBdr>
        <w:top w:val="none" w:sz="0" w:space="0" w:color="auto"/>
        <w:left w:val="none" w:sz="0" w:space="0" w:color="auto"/>
        <w:bottom w:val="none" w:sz="0" w:space="0" w:color="auto"/>
        <w:right w:val="none" w:sz="0" w:space="0" w:color="auto"/>
      </w:divBdr>
    </w:div>
    <w:div w:id="642319477">
      <w:bodyDiv w:val="1"/>
      <w:marLeft w:val="0"/>
      <w:marRight w:val="0"/>
      <w:marTop w:val="0"/>
      <w:marBottom w:val="0"/>
      <w:divBdr>
        <w:top w:val="none" w:sz="0" w:space="0" w:color="auto"/>
        <w:left w:val="none" w:sz="0" w:space="0" w:color="auto"/>
        <w:bottom w:val="none" w:sz="0" w:space="0" w:color="auto"/>
        <w:right w:val="none" w:sz="0" w:space="0" w:color="auto"/>
      </w:divBdr>
    </w:div>
    <w:div w:id="684211438">
      <w:bodyDiv w:val="1"/>
      <w:marLeft w:val="0"/>
      <w:marRight w:val="0"/>
      <w:marTop w:val="0"/>
      <w:marBottom w:val="0"/>
      <w:divBdr>
        <w:top w:val="none" w:sz="0" w:space="0" w:color="auto"/>
        <w:left w:val="none" w:sz="0" w:space="0" w:color="auto"/>
        <w:bottom w:val="none" w:sz="0" w:space="0" w:color="auto"/>
        <w:right w:val="none" w:sz="0" w:space="0" w:color="auto"/>
      </w:divBdr>
    </w:div>
    <w:div w:id="817461351">
      <w:bodyDiv w:val="1"/>
      <w:marLeft w:val="0"/>
      <w:marRight w:val="0"/>
      <w:marTop w:val="0"/>
      <w:marBottom w:val="0"/>
      <w:divBdr>
        <w:top w:val="none" w:sz="0" w:space="0" w:color="auto"/>
        <w:left w:val="none" w:sz="0" w:space="0" w:color="auto"/>
        <w:bottom w:val="none" w:sz="0" w:space="0" w:color="auto"/>
        <w:right w:val="none" w:sz="0" w:space="0" w:color="auto"/>
      </w:divBdr>
      <w:divsChild>
        <w:div w:id="91708444">
          <w:marLeft w:val="0"/>
          <w:marRight w:val="0"/>
          <w:marTop w:val="0"/>
          <w:marBottom w:val="0"/>
          <w:divBdr>
            <w:top w:val="none" w:sz="0" w:space="0" w:color="auto"/>
            <w:left w:val="none" w:sz="0" w:space="0" w:color="auto"/>
            <w:bottom w:val="none" w:sz="0" w:space="0" w:color="auto"/>
            <w:right w:val="none" w:sz="0" w:space="0" w:color="auto"/>
          </w:divBdr>
        </w:div>
        <w:div w:id="1244755005">
          <w:marLeft w:val="0"/>
          <w:marRight w:val="0"/>
          <w:marTop w:val="0"/>
          <w:marBottom w:val="0"/>
          <w:divBdr>
            <w:top w:val="none" w:sz="0" w:space="0" w:color="auto"/>
            <w:left w:val="none" w:sz="0" w:space="0" w:color="auto"/>
            <w:bottom w:val="none" w:sz="0" w:space="0" w:color="auto"/>
            <w:right w:val="none" w:sz="0" w:space="0" w:color="auto"/>
          </w:divBdr>
        </w:div>
        <w:div w:id="1348172600">
          <w:marLeft w:val="0"/>
          <w:marRight w:val="0"/>
          <w:marTop w:val="0"/>
          <w:marBottom w:val="0"/>
          <w:divBdr>
            <w:top w:val="none" w:sz="0" w:space="0" w:color="auto"/>
            <w:left w:val="none" w:sz="0" w:space="0" w:color="auto"/>
            <w:bottom w:val="none" w:sz="0" w:space="0" w:color="auto"/>
            <w:right w:val="none" w:sz="0" w:space="0" w:color="auto"/>
          </w:divBdr>
        </w:div>
      </w:divsChild>
    </w:div>
    <w:div w:id="853569900">
      <w:bodyDiv w:val="1"/>
      <w:marLeft w:val="0"/>
      <w:marRight w:val="0"/>
      <w:marTop w:val="0"/>
      <w:marBottom w:val="0"/>
      <w:divBdr>
        <w:top w:val="none" w:sz="0" w:space="0" w:color="auto"/>
        <w:left w:val="none" w:sz="0" w:space="0" w:color="auto"/>
        <w:bottom w:val="none" w:sz="0" w:space="0" w:color="auto"/>
        <w:right w:val="none" w:sz="0" w:space="0" w:color="auto"/>
      </w:divBdr>
    </w:div>
    <w:div w:id="906301727">
      <w:bodyDiv w:val="1"/>
      <w:marLeft w:val="0"/>
      <w:marRight w:val="0"/>
      <w:marTop w:val="0"/>
      <w:marBottom w:val="0"/>
      <w:divBdr>
        <w:top w:val="none" w:sz="0" w:space="0" w:color="auto"/>
        <w:left w:val="none" w:sz="0" w:space="0" w:color="auto"/>
        <w:bottom w:val="none" w:sz="0" w:space="0" w:color="auto"/>
        <w:right w:val="none" w:sz="0" w:space="0" w:color="auto"/>
      </w:divBdr>
    </w:div>
    <w:div w:id="1040863956">
      <w:bodyDiv w:val="1"/>
      <w:marLeft w:val="0"/>
      <w:marRight w:val="0"/>
      <w:marTop w:val="0"/>
      <w:marBottom w:val="0"/>
      <w:divBdr>
        <w:top w:val="none" w:sz="0" w:space="0" w:color="auto"/>
        <w:left w:val="none" w:sz="0" w:space="0" w:color="auto"/>
        <w:bottom w:val="none" w:sz="0" w:space="0" w:color="auto"/>
        <w:right w:val="none" w:sz="0" w:space="0" w:color="auto"/>
      </w:divBdr>
    </w:div>
    <w:div w:id="1041323154">
      <w:bodyDiv w:val="1"/>
      <w:marLeft w:val="0"/>
      <w:marRight w:val="0"/>
      <w:marTop w:val="0"/>
      <w:marBottom w:val="0"/>
      <w:divBdr>
        <w:top w:val="none" w:sz="0" w:space="0" w:color="auto"/>
        <w:left w:val="none" w:sz="0" w:space="0" w:color="auto"/>
        <w:bottom w:val="none" w:sz="0" w:space="0" w:color="auto"/>
        <w:right w:val="none" w:sz="0" w:space="0" w:color="auto"/>
      </w:divBdr>
    </w:div>
    <w:div w:id="1083603437">
      <w:bodyDiv w:val="1"/>
      <w:marLeft w:val="0"/>
      <w:marRight w:val="0"/>
      <w:marTop w:val="0"/>
      <w:marBottom w:val="0"/>
      <w:divBdr>
        <w:top w:val="none" w:sz="0" w:space="0" w:color="auto"/>
        <w:left w:val="none" w:sz="0" w:space="0" w:color="auto"/>
        <w:bottom w:val="none" w:sz="0" w:space="0" w:color="auto"/>
        <w:right w:val="none" w:sz="0" w:space="0" w:color="auto"/>
      </w:divBdr>
    </w:div>
    <w:div w:id="1318413287">
      <w:bodyDiv w:val="1"/>
      <w:marLeft w:val="0"/>
      <w:marRight w:val="0"/>
      <w:marTop w:val="0"/>
      <w:marBottom w:val="0"/>
      <w:divBdr>
        <w:top w:val="none" w:sz="0" w:space="0" w:color="auto"/>
        <w:left w:val="none" w:sz="0" w:space="0" w:color="auto"/>
        <w:bottom w:val="none" w:sz="0" w:space="0" w:color="auto"/>
        <w:right w:val="none" w:sz="0" w:space="0" w:color="auto"/>
      </w:divBdr>
    </w:div>
    <w:div w:id="1337424032">
      <w:bodyDiv w:val="1"/>
      <w:marLeft w:val="0"/>
      <w:marRight w:val="0"/>
      <w:marTop w:val="0"/>
      <w:marBottom w:val="0"/>
      <w:divBdr>
        <w:top w:val="none" w:sz="0" w:space="0" w:color="auto"/>
        <w:left w:val="none" w:sz="0" w:space="0" w:color="auto"/>
        <w:bottom w:val="none" w:sz="0" w:space="0" w:color="auto"/>
        <w:right w:val="none" w:sz="0" w:space="0" w:color="auto"/>
      </w:divBdr>
    </w:div>
    <w:div w:id="1494419816">
      <w:bodyDiv w:val="1"/>
      <w:marLeft w:val="0"/>
      <w:marRight w:val="0"/>
      <w:marTop w:val="0"/>
      <w:marBottom w:val="0"/>
      <w:divBdr>
        <w:top w:val="none" w:sz="0" w:space="0" w:color="auto"/>
        <w:left w:val="none" w:sz="0" w:space="0" w:color="auto"/>
        <w:bottom w:val="none" w:sz="0" w:space="0" w:color="auto"/>
        <w:right w:val="none" w:sz="0" w:space="0" w:color="auto"/>
      </w:divBdr>
    </w:div>
    <w:div w:id="1544445790">
      <w:bodyDiv w:val="1"/>
      <w:marLeft w:val="0"/>
      <w:marRight w:val="0"/>
      <w:marTop w:val="0"/>
      <w:marBottom w:val="0"/>
      <w:divBdr>
        <w:top w:val="none" w:sz="0" w:space="0" w:color="auto"/>
        <w:left w:val="none" w:sz="0" w:space="0" w:color="auto"/>
        <w:bottom w:val="none" w:sz="0" w:space="0" w:color="auto"/>
        <w:right w:val="none" w:sz="0" w:space="0" w:color="auto"/>
      </w:divBdr>
    </w:div>
    <w:div w:id="1573543693">
      <w:bodyDiv w:val="1"/>
      <w:marLeft w:val="0"/>
      <w:marRight w:val="0"/>
      <w:marTop w:val="0"/>
      <w:marBottom w:val="0"/>
      <w:divBdr>
        <w:top w:val="none" w:sz="0" w:space="0" w:color="auto"/>
        <w:left w:val="none" w:sz="0" w:space="0" w:color="auto"/>
        <w:bottom w:val="none" w:sz="0" w:space="0" w:color="auto"/>
        <w:right w:val="none" w:sz="0" w:space="0" w:color="auto"/>
      </w:divBdr>
    </w:div>
    <w:div w:id="1574775296">
      <w:bodyDiv w:val="1"/>
      <w:marLeft w:val="0"/>
      <w:marRight w:val="0"/>
      <w:marTop w:val="0"/>
      <w:marBottom w:val="0"/>
      <w:divBdr>
        <w:top w:val="none" w:sz="0" w:space="0" w:color="auto"/>
        <w:left w:val="none" w:sz="0" w:space="0" w:color="auto"/>
        <w:bottom w:val="none" w:sz="0" w:space="0" w:color="auto"/>
        <w:right w:val="none" w:sz="0" w:space="0" w:color="auto"/>
      </w:divBdr>
    </w:div>
    <w:div w:id="1629048874">
      <w:bodyDiv w:val="1"/>
      <w:marLeft w:val="0"/>
      <w:marRight w:val="0"/>
      <w:marTop w:val="0"/>
      <w:marBottom w:val="0"/>
      <w:divBdr>
        <w:top w:val="none" w:sz="0" w:space="0" w:color="auto"/>
        <w:left w:val="none" w:sz="0" w:space="0" w:color="auto"/>
        <w:bottom w:val="none" w:sz="0" w:space="0" w:color="auto"/>
        <w:right w:val="none" w:sz="0" w:space="0" w:color="auto"/>
      </w:divBdr>
    </w:div>
    <w:div w:id="1838417452">
      <w:bodyDiv w:val="1"/>
      <w:marLeft w:val="0"/>
      <w:marRight w:val="0"/>
      <w:marTop w:val="0"/>
      <w:marBottom w:val="0"/>
      <w:divBdr>
        <w:top w:val="none" w:sz="0" w:space="0" w:color="auto"/>
        <w:left w:val="none" w:sz="0" w:space="0" w:color="auto"/>
        <w:bottom w:val="none" w:sz="0" w:space="0" w:color="auto"/>
        <w:right w:val="none" w:sz="0" w:space="0" w:color="auto"/>
      </w:divBdr>
    </w:div>
    <w:div w:id="1875193457">
      <w:bodyDiv w:val="1"/>
      <w:marLeft w:val="0"/>
      <w:marRight w:val="0"/>
      <w:marTop w:val="0"/>
      <w:marBottom w:val="0"/>
      <w:divBdr>
        <w:top w:val="none" w:sz="0" w:space="0" w:color="auto"/>
        <w:left w:val="none" w:sz="0" w:space="0" w:color="auto"/>
        <w:bottom w:val="none" w:sz="0" w:space="0" w:color="auto"/>
        <w:right w:val="none" w:sz="0" w:space="0" w:color="auto"/>
      </w:divBdr>
    </w:div>
    <w:div w:id="211740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Downloads\41-14-tor-vertraege-unter-eu-schwellenwert-f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614142-b424-49a6-ab7b-0d015f5ee933">
      <UserInfo>
        <DisplayName>Feiereisen, Philipp GIZ</DisplayName>
        <AccountId>7</AccountId>
        <AccountType/>
      </UserInfo>
    </SharedWithUsers>
    <TaxCatchAll xmlns="484c8c59-755d-4516-b8d2-1621b38262b4" xsi:nil="true"/>
    <lcf76f155ced4ddcb4097134ff3c332f xmlns="54b88117-05a4-4fff-86eb-b0c2ed880e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39A381E548394B85B5429759376E0A" ma:contentTypeVersion="18" ma:contentTypeDescription="Ein neues Dokument erstellen." ma:contentTypeScope="" ma:versionID="c3de80b8c524680f146aff5b0654e094">
  <xsd:schema xmlns:xsd="http://www.w3.org/2001/XMLSchema" xmlns:xs="http://www.w3.org/2001/XMLSchema" xmlns:p="http://schemas.microsoft.com/office/2006/metadata/properties" xmlns:ns2="54b88117-05a4-4fff-86eb-b0c2ed880e27" xmlns:ns3="56614142-b424-49a6-ab7b-0d015f5ee933" xmlns:ns4="484c8c59-755d-4516-b8d2-1621b38262b4" targetNamespace="http://schemas.microsoft.com/office/2006/metadata/properties" ma:root="true" ma:fieldsID="a6f5d232043334fd688d504227ece440" ns2:_="" ns3:_="" ns4:_="">
    <xsd:import namespace="54b88117-05a4-4fff-86eb-b0c2ed880e27"/>
    <xsd:import namespace="56614142-b424-49a6-ab7b-0d015f5ee933"/>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88117-05a4-4fff-86eb-b0c2ed880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4142-b424-49a6-ab7b-0d015f5ee93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3adb9a-43ed-4ce0-a830-ec4298c474f7}" ma:internalName="TaxCatchAll" ma:showField="CatchAllData" ma:web="56614142-b424-49a6-ab7b-0d015f5ee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8B5B1-58AE-4C78-BB73-8DCD7177348A}">
  <ds:schemaRefs>
    <ds:schemaRef ds:uri="http://schemas.microsoft.com/sharepoint/v3/contenttype/forms"/>
  </ds:schemaRefs>
</ds:datastoreItem>
</file>

<file path=customXml/itemProps2.xml><?xml version="1.0" encoding="utf-8"?>
<ds:datastoreItem xmlns:ds="http://schemas.openxmlformats.org/officeDocument/2006/customXml" ds:itemID="{EF6927B6-3CEC-491A-9AE8-9C2615320F0E}">
  <ds:schemaRefs>
    <ds:schemaRef ds:uri="http://schemas.microsoft.com/office/2006/metadata/properties"/>
    <ds:schemaRef ds:uri="http://schemas.microsoft.com/office/infopath/2007/PartnerControls"/>
    <ds:schemaRef ds:uri="56614142-b424-49a6-ab7b-0d015f5ee933"/>
    <ds:schemaRef ds:uri="484c8c59-755d-4516-b8d2-1621b38262b4"/>
    <ds:schemaRef ds:uri="54b88117-05a4-4fff-86eb-b0c2ed880e27"/>
  </ds:schemaRefs>
</ds:datastoreItem>
</file>

<file path=customXml/itemProps3.xml><?xml version="1.0" encoding="utf-8"?>
<ds:datastoreItem xmlns:ds="http://schemas.openxmlformats.org/officeDocument/2006/customXml" ds:itemID="{5D68ABD0-310A-4AB9-966E-24C489A9A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88117-05a4-4fff-86eb-b0c2ed880e27"/>
    <ds:schemaRef ds:uri="56614142-b424-49a6-ab7b-0d015f5ee933"/>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30C59-20A5-4F95-B9AB-05014E4F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41-14-tor-vertraege-unter-eu-schwellenwert-fr</Template>
  <TotalTime>0</TotalTime>
  <Pages>12</Pages>
  <Words>4852</Words>
  <Characters>26686</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41-14-5, Leistungsbeschreibung (ToR) für die Beschaffung von Dienstleistungen unterhalb des EU Schwellenwertes, deutsch, Stand Juli 2024</vt:lpstr>
    </vt:vector>
  </TitlesOfParts>
  <Company>GIZ GmbH</Company>
  <LinksUpToDate>false</LinksUpToDate>
  <CharactersWithSpaces>31476</CharactersWithSpaces>
  <SharedDoc>false</SharedDoc>
  <HLinks>
    <vt:vector size="162" baseType="variant">
      <vt:variant>
        <vt:i4>7143548</vt:i4>
      </vt:variant>
      <vt:variant>
        <vt:i4>174</vt:i4>
      </vt:variant>
      <vt:variant>
        <vt:i4>0</vt:i4>
      </vt:variant>
      <vt:variant>
        <vt:i4>5</vt:i4>
      </vt:variant>
      <vt:variant>
        <vt:lpwstr>https://dms.giz.de/dms/llisapi.dll?func=ll&amp;objId=346759449&amp;objAction=browse&amp;viewType=1</vt:lpwstr>
      </vt:variant>
      <vt:variant>
        <vt:lpwstr/>
      </vt:variant>
      <vt:variant>
        <vt:i4>65605</vt:i4>
      </vt:variant>
      <vt:variant>
        <vt:i4>171</vt:i4>
      </vt:variant>
      <vt:variant>
        <vt:i4>0</vt:i4>
      </vt:variant>
      <vt:variant>
        <vt:i4>5</vt:i4>
      </vt:variant>
      <vt:variant>
        <vt:lpwstr>https://gizonline.sharepoint.com/sites/news2023/SitePages/en-us/bc4561a0-a677-48c0-9942-3c9a4d8a9a2a.aspx</vt:lpwstr>
      </vt:variant>
      <vt:variant>
        <vt:lpwstr/>
      </vt:variant>
      <vt:variant>
        <vt:i4>1507391</vt:i4>
      </vt:variant>
      <vt:variant>
        <vt:i4>146</vt:i4>
      </vt:variant>
      <vt:variant>
        <vt:i4>0</vt:i4>
      </vt:variant>
      <vt:variant>
        <vt:i4>5</vt:i4>
      </vt:variant>
      <vt:variant>
        <vt:lpwstr/>
      </vt:variant>
      <vt:variant>
        <vt:lpwstr>_Toc173484576</vt:lpwstr>
      </vt:variant>
      <vt:variant>
        <vt:i4>1507391</vt:i4>
      </vt:variant>
      <vt:variant>
        <vt:i4>140</vt:i4>
      </vt:variant>
      <vt:variant>
        <vt:i4>0</vt:i4>
      </vt:variant>
      <vt:variant>
        <vt:i4>5</vt:i4>
      </vt:variant>
      <vt:variant>
        <vt:lpwstr/>
      </vt:variant>
      <vt:variant>
        <vt:lpwstr>_Toc173484575</vt:lpwstr>
      </vt:variant>
      <vt:variant>
        <vt:i4>1507391</vt:i4>
      </vt:variant>
      <vt:variant>
        <vt:i4>134</vt:i4>
      </vt:variant>
      <vt:variant>
        <vt:i4>0</vt:i4>
      </vt:variant>
      <vt:variant>
        <vt:i4>5</vt:i4>
      </vt:variant>
      <vt:variant>
        <vt:lpwstr/>
      </vt:variant>
      <vt:variant>
        <vt:lpwstr>_Toc173484574</vt:lpwstr>
      </vt:variant>
      <vt:variant>
        <vt:i4>1507391</vt:i4>
      </vt:variant>
      <vt:variant>
        <vt:i4>128</vt:i4>
      </vt:variant>
      <vt:variant>
        <vt:i4>0</vt:i4>
      </vt:variant>
      <vt:variant>
        <vt:i4>5</vt:i4>
      </vt:variant>
      <vt:variant>
        <vt:lpwstr/>
      </vt:variant>
      <vt:variant>
        <vt:lpwstr>_Toc173484573</vt:lpwstr>
      </vt:variant>
      <vt:variant>
        <vt:i4>1507391</vt:i4>
      </vt:variant>
      <vt:variant>
        <vt:i4>122</vt:i4>
      </vt:variant>
      <vt:variant>
        <vt:i4>0</vt:i4>
      </vt:variant>
      <vt:variant>
        <vt:i4>5</vt:i4>
      </vt:variant>
      <vt:variant>
        <vt:lpwstr/>
      </vt:variant>
      <vt:variant>
        <vt:lpwstr>_Toc173484572</vt:lpwstr>
      </vt:variant>
      <vt:variant>
        <vt:i4>1507391</vt:i4>
      </vt:variant>
      <vt:variant>
        <vt:i4>116</vt:i4>
      </vt:variant>
      <vt:variant>
        <vt:i4>0</vt:i4>
      </vt:variant>
      <vt:variant>
        <vt:i4>5</vt:i4>
      </vt:variant>
      <vt:variant>
        <vt:lpwstr/>
      </vt:variant>
      <vt:variant>
        <vt:lpwstr>_Toc173484571</vt:lpwstr>
      </vt:variant>
      <vt:variant>
        <vt:i4>1507391</vt:i4>
      </vt:variant>
      <vt:variant>
        <vt:i4>110</vt:i4>
      </vt:variant>
      <vt:variant>
        <vt:i4>0</vt:i4>
      </vt:variant>
      <vt:variant>
        <vt:i4>5</vt:i4>
      </vt:variant>
      <vt:variant>
        <vt:lpwstr/>
      </vt:variant>
      <vt:variant>
        <vt:lpwstr>_Toc173484570</vt:lpwstr>
      </vt:variant>
      <vt:variant>
        <vt:i4>1441855</vt:i4>
      </vt:variant>
      <vt:variant>
        <vt:i4>104</vt:i4>
      </vt:variant>
      <vt:variant>
        <vt:i4>0</vt:i4>
      </vt:variant>
      <vt:variant>
        <vt:i4>5</vt:i4>
      </vt:variant>
      <vt:variant>
        <vt:lpwstr/>
      </vt:variant>
      <vt:variant>
        <vt:lpwstr>_Toc173484569</vt:lpwstr>
      </vt:variant>
      <vt:variant>
        <vt:i4>1441855</vt:i4>
      </vt:variant>
      <vt:variant>
        <vt:i4>98</vt:i4>
      </vt:variant>
      <vt:variant>
        <vt:i4>0</vt:i4>
      </vt:variant>
      <vt:variant>
        <vt:i4>5</vt:i4>
      </vt:variant>
      <vt:variant>
        <vt:lpwstr/>
      </vt:variant>
      <vt:variant>
        <vt:lpwstr>_Toc173484568</vt:lpwstr>
      </vt:variant>
      <vt:variant>
        <vt:i4>1441855</vt:i4>
      </vt:variant>
      <vt:variant>
        <vt:i4>92</vt:i4>
      </vt:variant>
      <vt:variant>
        <vt:i4>0</vt:i4>
      </vt:variant>
      <vt:variant>
        <vt:i4>5</vt:i4>
      </vt:variant>
      <vt:variant>
        <vt:lpwstr/>
      </vt:variant>
      <vt:variant>
        <vt:lpwstr>_Toc173484567</vt:lpwstr>
      </vt:variant>
      <vt:variant>
        <vt:i4>1441855</vt:i4>
      </vt:variant>
      <vt:variant>
        <vt:i4>86</vt:i4>
      </vt:variant>
      <vt:variant>
        <vt:i4>0</vt:i4>
      </vt:variant>
      <vt:variant>
        <vt:i4>5</vt:i4>
      </vt:variant>
      <vt:variant>
        <vt:lpwstr/>
      </vt:variant>
      <vt:variant>
        <vt:lpwstr>_Toc173484566</vt:lpwstr>
      </vt:variant>
      <vt:variant>
        <vt:i4>1441855</vt:i4>
      </vt:variant>
      <vt:variant>
        <vt:i4>80</vt:i4>
      </vt:variant>
      <vt:variant>
        <vt:i4>0</vt:i4>
      </vt:variant>
      <vt:variant>
        <vt:i4>5</vt:i4>
      </vt:variant>
      <vt:variant>
        <vt:lpwstr/>
      </vt:variant>
      <vt:variant>
        <vt:lpwstr>_Toc173484565</vt:lpwstr>
      </vt:variant>
      <vt:variant>
        <vt:i4>1441855</vt:i4>
      </vt:variant>
      <vt:variant>
        <vt:i4>74</vt:i4>
      </vt:variant>
      <vt:variant>
        <vt:i4>0</vt:i4>
      </vt:variant>
      <vt:variant>
        <vt:i4>5</vt:i4>
      </vt:variant>
      <vt:variant>
        <vt:lpwstr/>
      </vt:variant>
      <vt:variant>
        <vt:lpwstr>_Toc173484564</vt:lpwstr>
      </vt:variant>
      <vt:variant>
        <vt:i4>1441855</vt:i4>
      </vt:variant>
      <vt:variant>
        <vt:i4>68</vt:i4>
      </vt:variant>
      <vt:variant>
        <vt:i4>0</vt:i4>
      </vt:variant>
      <vt:variant>
        <vt:i4>5</vt:i4>
      </vt:variant>
      <vt:variant>
        <vt:lpwstr/>
      </vt:variant>
      <vt:variant>
        <vt:lpwstr>_Toc173484563</vt:lpwstr>
      </vt:variant>
      <vt:variant>
        <vt:i4>1441855</vt:i4>
      </vt:variant>
      <vt:variant>
        <vt:i4>62</vt:i4>
      </vt:variant>
      <vt:variant>
        <vt:i4>0</vt:i4>
      </vt:variant>
      <vt:variant>
        <vt:i4>5</vt:i4>
      </vt:variant>
      <vt:variant>
        <vt:lpwstr/>
      </vt:variant>
      <vt:variant>
        <vt:lpwstr>_Toc173484562</vt:lpwstr>
      </vt:variant>
      <vt:variant>
        <vt:i4>1441855</vt:i4>
      </vt:variant>
      <vt:variant>
        <vt:i4>56</vt:i4>
      </vt:variant>
      <vt:variant>
        <vt:i4>0</vt:i4>
      </vt:variant>
      <vt:variant>
        <vt:i4>5</vt:i4>
      </vt:variant>
      <vt:variant>
        <vt:lpwstr/>
      </vt:variant>
      <vt:variant>
        <vt:lpwstr>_Toc173484561</vt:lpwstr>
      </vt:variant>
      <vt:variant>
        <vt:i4>1441855</vt:i4>
      </vt:variant>
      <vt:variant>
        <vt:i4>50</vt:i4>
      </vt:variant>
      <vt:variant>
        <vt:i4>0</vt:i4>
      </vt:variant>
      <vt:variant>
        <vt:i4>5</vt:i4>
      </vt:variant>
      <vt:variant>
        <vt:lpwstr/>
      </vt:variant>
      <vt:variant>
        <vt:lpwstr>_Toc173484560</vt:lpwstr>
      </vt:variant>
      <vt:variant>
        <vt:i4>1376319</vt:i4>
      </vt:variant>
      <vt:variant>
        <vt:i4>44</vt:i4>
      </vt:variant>
      <vt:variant>
        <vt:i4>0</vt:i4>
      </vt:variant>
      <vt:variant>
        <vt:i4>5</vt:i4>
      </vt:variant>
      <vt:variant>
        <vt:lpwstr/>
      </vt:variant>
      <vt:variant>
        <vt:lpwstr>_Toc173484559</vt:lpwstr>
      </vt:variant>
      <vt:variant>
        <vt:i4>1376319</vt:i4>
      </vt:variant>
      <vt:variant>
        <vt:i4>38</vt:i4>
      </vt:variant>
      <vt:variant>
        <vt:i4>0</vt:i4>
      </vt:variant>
      <vt:variant>
        <vt:i4>5</vt:i4>
      </vt:variant>
      <vt:variant>
        <vt:lpwstr/>
      </vt:variant>
      <vt:variant>
        <vt:lpwstr>_Toc173484558</vt:lpwstr>
      </vt:variant>
      <vt:variant>
        <vt:i4>1376319</vt:i4>
      </vt:variant>
      <vt:variant>
        <vt:i4>32</vt:i4>
      </vt:variant>
      <vt:variant>
        <vt:i4>0</vt:i4>
      </vt:variant>
      <vt:variant>
        <vt:i4>5</vt:i4>
      </vt:variant>
      <vt:variant>
        <vt:lpwstr/>
      </vt:variant>
      <vt:variant>
        <vt:lpwstr>_Toc173484557</vt:lpwstr>
      </vt:variant>
      <vt:variant>
        <vt:i4>1376319</vt:i4>
      </vt:variant>
      <vt:variant>
        <vt:i4>26</vt:i4>
      </vt:variant>
      <vt:variant>
        <vt:i4>0</vt:i4>
      </vt:variant>
      <vt:variant>
        <vt:i4>5</vt:i4>
      </vt:variant>
      <vt:variant>
        <vt:lpwstr/>
      </vt:variant>
      <vt:variant>
        <vt:lpwstr>_Toc173484556</vt:lpwstr>
      </vt:variant>
      <vt:variant>
        <vt:i4>1376319</vt:i4>
      </vt:variant>
      <vt:variant>
        <vt:i4>20</vt:i4>
      </vt:variant>
      <vt:variant>
        <vt:i4>0</vt:i4>
      </vt:variant>
      <vt:variant>
        <vt:i4>5</vt:i4>
      </vt:variant>
      <vt:variant>
        <vt:lpwstr/>
      </vt:variant>
      <vt:variant>
        <vt:lpwstr>_Toc173484555</vt:lpwstr>
      </vt:variant>
      <vt:variant>
        <vt:i4>1376319</vt:i4>
      </vt:variant>
      <vt:variant>
        <vt:i4>14</vt:i4>
      </vt:variant>
      <vt:variant>
        <vt:i4>0</vt:i4>
      </vt:variant>
      <vt:variant>
        <vt:i4>5</vt:i4>
      </vt:variant>
      <vt:variant>
        <vt:lpwstr/>
      </vt:variant>
      <vt:variant>
        <vt:lpwstr>_Toc173484554</vt:lpwstr>
      </vt:variant>
      <vt:variant>
        <vt:i4>1376319</vt:i4>
      </vt:variant>
      <vt:variant>
        <vt:i4>8</vt:i4>
      </vt:variant>
      <vt:variant>
        <vt:i4>0</vt:i4>
      </vt:variant>
      <vt:variant>
        <vt:i4>5</vt:i4>
      </vt:variant>
      <vt:variant>
        <vt:lpwstr/>
      </vt:variant>
      <vt:variant>
        <vt:lpwstr>_Toc173484553</vt:lpwstr>
      </vt:variant>
      <vt:variant>
        <vt:i4>1376319</vt:i4>
      </vt:variant>
      <vt:variant>
        <vt:i4>2</vt:i4>
      </vt:variant>
      <vt:variant>
        <vt:i4>0</vt:i4>
      </vt:variant>
      <vt:variant>
        <vt:i4>5</vt:i4>
      </vt:variant>
      <vt:variant>
        <vt:lpwstr/>
      </vt:variant>
      <vt:variant>
        <vt:lpwstr>_Toc173484552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41-14-5, Leistungsbeschreibung (ToR) für die Beschaffung von Dienstleistungen unterhalb des EU Schwellenwertes, deutsch, Stand Juli 2024</dc:title>
  <dc:subject/>
  <dc:creator>Magda Mahjoub</dc:creator>
  <cp:keywords/>
  <dc:description/>
  <cp:lastModifiedBy>Ahmed Zied BENNOUR</cp:lastModifiedBy>
  <cp:revision>2</cp:revision>
  <cp:lastPrinted>2018-06-01T15:44:00Z</cp:lastPrinted>
  <dcterms:created xsi:type="dcterms:W3CDTF">2025-12-15T10:33:00Z</dcterms:created>
  <dcterms:modified xsi:type="dcterms:W3CDTF">2025-12-15T10:33:00Z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0x0101005C39A381E548394B85B5429759376E0A</vt:lpwstr>
  </property>
  <property fmtid="{D5CDD505-2E9C-101B-9397-08002B2CF9AE}" pid="3" name="MediaServiceImageTags">
    <vt:lpwstr/>
  </property>
</Properties>
</file>