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4433D" w14:textId="04BB4E51" w:rsidR="00D56E8F" w:rsidRDefault="00982F4F" w:rsidP="00D56E8F">
      <w:pPr>
        <w:pStyle w:val="Titre1"/>
        <w:jc w:val="right"/>
      </w:pPr>
      <w:r>
        <w:t>Aout</w:t>
      </w:r>
      <w:r w:rsidR="00B15A53">
        <w:t xml:space="preserve"> </w:t>
      </w:r>
      <w:r w:rsidR="0069647C">
        <w:t>202</w:t>
      </w:r>
      <w:r w:rsidR="00B15A53">
        <w:t>3</w:t>
      </w:r>
    </w:p>
    <w:p w14:paraId="41442100" w14:textId="77777777" w:rsidR="00D56E8F" w:rsidRDefault="00D56E8F" w:rsidP="00D56E8F">
      <w:pPr>
        <w:ind w:right="-141"/>
        <w:jc w:val="both"/>
        <w:rPr>
          <w:rFonts w:eastAsia="Times New Roman"/>
          <w:b/>
          <w:bCs/>
          <w:szCs w:val="20"/>
        </w:rPr>
      </w:pPr>
    </w:p>
    <w:p w14:paraId="6DB2CC6D" w14:textId="77777777" w:rsidR="00D56E8F" w:rsidRPr="00700E4E" w:rsidRDefault="00D56E8F" w:rsidP="00D56E8F">
      <w:pPr>
        <w:ind w:right="-141"/>
        <w:jc w:val="both"/>
        <w:rPr>
          <w:rFonts w:eastAsia="Times New Roman"/>
          <w:szCs w:val="20"/>
        </w:rPr>
      </w:pPr>
      <w:r w:rsidRPr="00700E4E">
        <w:rPr>
          <w:rFonts w:eastAsia="Times New Roman"/>
          <w:b/>
          <w:bCs/>
          <w:szCs w:val="20"/>
        </w:rPr>
        <w:t>Expertise France</w:t>
      </w:r>
      <w:r w:rsidRPr="00700E4E">
        <w:rPr>
          <w:rFonts w:eastAsia="Times New Roman"/>
          <w:szCs w:val="20"/>
        </w:rPr>
        <w:t>, agence française d’expertise technique internationale, participe à la politique de coopération, d’aide au développement et d’influence économique de la France, en répondant à la demande croissante en expertise des pays pour construire des politiques publiques qui répondent à leurs défis institutionnels, économiques, démographiques, sociaux et environnementaux.</w:t>
      </w:r>
    </w:p>
    <w:p w14:paraId="207BF054" w14:textId="338F1ADC" w:rsidR="00D56E8F" w:rsidRDefault="00D56E8F" w:rsidP="00D56E8F">
      <w:pPr>
        <w:ind w:right="-141"/>
        <w:jc w:val="both"/>
        <w:rPr>
          <w:rFonts w:eastAsia="Times New Roman"/>
          <w:szCs w:val="20"/>
        </w:rPr>
      </w:pPr>
      <w:r w:rsidRPr="00700E4E">
        <w:rPr>
          <w:rFonts w:eastAsia="Times New Roman"/>
          <w:szCs w:val="20"/>
        </w:rPr>
        <w:t>Expertise France accompagne ses partenaires dans la mise en place de politiques publiques dans les domaines du développement durable, du développement économique, des finances publiques, de la gouvernance et droits humains, de la protection sociale et de l’emploi, de la santé, et des questions relatives à la stabilité, la sûreté et la sécurité.</w:t>
      </w:r>
      <w:r w:rsidR="00B15A53">
        <w:rPr>
          <w:rFonts w:eastAsia="Times New Roman"/>
          <w:szCs w:val="20"/>
        </w:rPr>
        <w:t xml:space="preserve"> </w:t>
      </w:r>
    </w:p>
    <w:p w14:paraId="4DBF95DD" w14:textId="77777777" w:rsidR="00B75463" w:rsidRDefault="00B75463" w:rsidP="00D56E8F">
      <w:pPr>
        <w:ind w:right="-141"/>
        <w:jc w:val="both"/>
        <w:rPr>
          <w:rFonts w:eastAsia="Times New Roman"/>
          <w:szCs w:val="20"/>
        </w:rPr>
      </w:pPr>
    </w:p>
    <w:p w14:paraId="52A4B96A" w14:textId="30409C3A" w:rsidR="00C877E9" w:rsidRDefault="00EA7397" w:rsidP="00D56E8F">
      <w:pPr>
        <w:ind w:right="-141"/>
        <w:jc w:val="both"/>
      </w:pPr>
      <w:r>
        <w:t xml:space="preserve">Sous </w:t>
      </w:r>
      <w:r w:rsidR="00324231">
        <w:t xml:space="preserve">la </w:t>
      </w:r>
      <w:r w:rsidR="00C877E9" w:rsidRPr="0098123E">
        <w:t xml:space="preserve">Direction des </w:t>
      </w:r>
      <w:r w:rsidR="00C877E9">
        <w:t>O</w:t>
      </w:r>
      <w:r w:rsidR="00C877E9" w:rsidRPr="0098123E">
        <w:t xml:space="preserve">pérations – Département Gouvernance – Pôle Transparence, </w:t>
      </w:r>
      <w:r w:rsidR="00C877E9">
        <w:t>G</w:t>
      </w:r>
      <w:r w:rsidR="00C877E9" w:rsidRPr="0098123E">
        <w:t xml:space="preserve">estion et </w:t>
      </w:r>
      <w:r w:rsidR="00C877E9">
        <w:t>R</w:t>
      </w:r>
      <w:r w:rsidR="00C877E9" w:rsidRPr="0098123E">
        <w:t>edevabilité publiques</w:t>
      </w:r>
      <w:r w:rsidR="00012B08">
        <w:t xml:space="preserve"> (TGR)</w:t>
      </w:r>
      <w:r w:rsidR="00C877E9">
        <w:t>.</w:t>
      </w:r>
    </w:p>
    <w:p w14:paraId="403CEAEB" w14:textId="77777777" w:rsidR="00C877E9" w:rsidRPr="00700E4E" w:rsidRDefault="00C877E9" w:rsidP="00D56E8F">
      <w:pPr>
        <w:ind w:right="-141"/>
        <w:jc w:val="both"/>
        <w:rPr>
          <w:rFonts w:eastAsia="Times New Roman"/>
          <w:szCs w:val="20"/>
        </w:rPr>
      </w:pPr>
    </w:p>
    <w:p w14:paraId="49E526D6" w14:textId="4FC8F9A0" w:rsidR="00B75463" w:rsidRDefault="00B75463" w:rsidP="00B75463">
      <w:pPr>
        <w:ind w:right="-141"/>
        <w:jc w:val="both"/>
        <w:rPr>
          <w:rFonts w:eastAsia="Times New Roman"/>
          <w:szCs w:val="20"/>
        </w:rPr>
      </w:pPr>
      <w:r w:rsidRPr="00700E4E">
        <w:rPr>
          <w:rFonts w:eastAsia="Times New Roman"/>
          <w:b/>
          <w:szCs w:val="20"/>
        </w:rPr>
        <w:t>Expertise France</w:t>
      </w:r>
      <w:r w:rsidRPr="00700E4E">
        <w:rPr>
          <w:rFonts w:eastAsia="Times New Roman"/>
          <w:szCs w:val="20"/>
        </w:rPr>
        <w:t xml:space="preserve"> rec</w:t>
      </w:r>
      <w:r w:rsidR="009E1F6E">
        <w:rPr>
          <w:rFonts w:eastAsia="Times New Roman"/>
          <w:szCs w:val="20"/>
        </w:rPr>
        <w:t>herche</w:t>
      </w:r>
      <w:r w:rsidRPr="00700E4E">
        <w:rPr>
          <w:rFonts w:eastAsia="Times New Roman"/>
          <w:szCs w:val="20"/>
        </w:rPr>
        <w:t> :</w:t>
      </w:r>
    </w:p>
    <w:p w14:paraId="6A6DFD3D" w14:textId="77777777" w:rsidR="0028002D" w:rsidRPr="00700E4E" w:rsidRDefault="0028002D" w:rsidP="00B75463">
      <w:pPr>
        <w:ind w:right="-141"/>
        <w:jc w:val="both"/>
        <w:rPr>
          <w:rFonts w:eastAsia="Times New Roman"/>
          <w:szCs w:val="20"/>
        </w:rPr>
      </w:pPr>
    </w:p>
    <w:p w14:paraId="770FBAA1" w14:textId="7813433E" w:rsidR="00B75463" w:rsidRDefault="00B75463" w:rsidP="007E0879">
      <w:pPr>
        <w:ind w:left="2124" w:right="-141"/>
        <w:jc w:val="both"/>
        <w:rPr>
          <w:rFonts w:eastAsia="Times New Roman"/>
          <w:b/>
          <w:szCs w:val="20"/>
        </w:rPr>
      </w:pPr>
      <w:r w:rsidRPr="00700E4E">
        <w:rPr>
          <w:rFonts w:eastAsia="Times New Roman"/>
          <w:b/>
          <w:szCs w:val="20"/>
        </w:rPr>
        <w:t xml:space="preserve">Un(e) </w:t>
      </w:r>
      <w:r w:rsidR="009E1F6E">
        <w:rPr>
          <w:rFonts w:eastAsia="Times New Roman"/>
          <w:b/>
          <w:szCs w:val="20"/>
        </w:rPr>
        <w:t>Expert(</w:t>
      </w:r>
      <w:r w:rsidR="007859B8">
        <w:rPr>
          <w:rFonts w:eastAsia="Times New Roman"/>
          <w:b/>
          <w:szCs w:val="20"/>
        </w:rPr>
        <w:t>e</w:t>
      </w:r>
      <w:r w:rsidR="00742F44">
        <w:rPr>
          <w:rFonts w:eastAsia="Times New Roman"/>
          <w:b/>
          <w:szCs w:val="20"/>
        </w:rPr>
        <w:t>)</w:t>
      </w:r>
      <w:r w:rsidRPr="00700E4E">
        <w:rPr>
          <w:rFonts w:eastAsia="Times New Roman"/>
          <w:b/>
          <w:szCs w:val="20"/>
        </w:rPr>
        <w:t xml:space="preserve"> </w:t>
      </w:r>
      <w:r w:rsidR="00781078" w:rsidRPr="00CE6B4F">
        <w:rPr>
          <w:rFonts w:eastAsia="Times New Roman"/>
          <w:b/>
          <w:szCs w:val="20"/>
        </w:rPr>
        <w:t xml:space="preserve">Un(e) Expert(e) pour la réalisation d’une </w:t>
      </w:r>
      <w:r w:rsidR="00781078" w:rsidRPr="00CE6B4F">
        <w:rPr>
          <w:rFonts w:eastAsia="Times New Roman"/>
          <w:b/>
          <w:bCs/>
          <w:szCs w:val="20"/>
        </w:rPr>
        <w:t>étude visant à appuyer l’intégration des aspects environnementaux dans la gouvernance publique du secteur extractif au Sénégal</w:t>
      </w:r>
    </w:p>
    <w:p w14:paraId="500F5ADC" w14:textId="77777777" w:rsidR="00E97AB8" w:rsidRDefault="00E97AB8" w:rsidP="00E97AB8">
      <w:pPr>
        <w:ind w:right="-141"/>
        <w:jc w:val="both"/>
        <w:rPr>
          <w:szCs w:val="20"/>
        </w:rPr>
      </w:pPr>
    </w:p>
    <w:p w14:paraId="026E0EFA" w14:textId="69234DC4" w:rsidR="00BF21CD" w:rsidRDefault="00BF21CD" w:rsidP="00BF21CD">
      <w:pPr>
        <w:ind w:right="-141"/>
        <w:jc w:val="both"/>
        <w:rPr>
          <w:rFonts w:eastAsia="Times New Roman"/>
          <w:szCs w:val="20"/>
        </w:rPr>
      </w:pPr>
      <w:r w:rsidRPr="00700E4E">
        <w:rPr>
          <w:rFonts w:eastAsia="Times New Roman"/>
          <w:b/>
          <w:szCs w:val="20"/>
        </w:rPr>
        <w:t>Type de contrat</w:t>
      </w:r>
      <w:r w:rsidRPr="008967FE">
        <w:rPr>
          <w:rFonts w:eastAsia="Times New Roman"/>
          <w:b/>
          <w:szCs w:val="20"/>
        </w:rPr>
        <w:t> :</w:t>
      </w:r>
      <w:r w:rsidRPr="00700E4E">
        <w:rPr>
          <w:rFonts w:eastAsia="Times New Roman"/>
          <w:szCs w:val="20"/>
        </w:rPr>
        <w:t xml:space="preserve"> </w:t>
      </w:r>
      <w:r>
        <w:rPr>
          <w:rFonts w:eastAsia="Times New Roman"/>
          <w:szCs w:val="20"/>
        </w:rPr>
        <w:tab/>
        <w:t>Contrat de Prestation de Services</w:t>
      </w:r>
      <w:r w:rsidR="00541AC0">
        <w:rPr>
          <w:rFonts w:eastAsia="Times New Roman"/>
          <w:szCs w:val="20"/>
        </w:rPr>
        <w:t xml:space="preserve"> (indépendant/ expert individuel)</w:t>
      </w:r>
      <w:r>
        <w:rPr>
          <w:rFonts w:eastAsia="Times New Roman"/>
          <w:szCs w:val="20"/>
        </w:rPr>
        <w:t xml:space="preserve"> </w:t>
      </w:r>
    </w:p>
    <w:p w14:paraId="1A31E937" w14:textId="2D5158F6" w:rsidR="00324231" w:rsidRPr="00700E4E" w:rsidRDefault="00324231" w:rsidP="00BF21CD">
      <w:pPr>
        <w:ind w:right="-141"/>
        <w:jc w:val="both"/>
        <w:rPr>
          <w:rFonts w:eastAsia="Times New Roman"/>
          <w:szCs w:val="20"/>
        </w:rPr>
      </w:pPr>
      <w:r w:rsidRPr="00541AC0">
        <w:rPr>
          <w:rFonts w:eastAsia="Times New Roman"/>
          <w:b/>
          <w:szCs w:val="20"/>
        </w:rPr>
        <w:t>Type d’expertise</w:t>
      </w:r>
      <w:r>
        <w:rPr>
          <w:rFonts w:eastAsia="Times New Roman"/>
          <w:szCs w:val="20"/>
        </w:rPr>
        <w:t xml:space="preserve"> : </w:t>
      </w:r>
      <w:r>
        <w:rPr>
          <w:rFonts w:eastAsia="Times New Roman"/>
          <w:szCs w:val="20"/>
        </w:rPr>
        <w:tab/>
      </w:r>
      <w:r w:rsidRPr="00530A62">
        <w:rPr>
          <w:rFonts w:eastAsia="Times New Roman"/>
          <w:szCs w:val="20"/>
        </w:rPr>
        <w:t>Court terme</w:t>
      </w:r>
    </w:p>
    <w:p w14:paraId="53413967" w14:textId="52B07220" w:rsidR="00BF21CD" w:rsidRDefault="00BF21CD" w:rsidP="00BF21CD">
      <w:pPr>
        <w:ind w:right="-141"/>
        <w:jc w:val="both"/>
        <w:rPr>
          <w:rFonts w:eastAsia="Times New Roman"/>
          <w:szCs w:val="20"/>
        </w:rPr>
      </w:pPr>
      <w:r>
        <w:rPr>
          <w:rFonts w:eastAsia="Times New Roman"/>
          <w:b/>
          <w:szCs w:val="20"/>
        </w:rPr>
        <w:t>Durée :</w:t>
      </w:r>
      <w:r w:rsidRPr="00740059">
        <w:rPr>
          <w:rFonts w:eastAsia="Times New Roman"/>
          <w:szCs w:val="20"/>
        </w:rPr>
        <w:tab/>
      </w:r>
      <w:r w:rsidRPr="00740059">
        <w:rPr>
          <w:rFonts w:eastAsia="Times New Roman"/>
          <w:szCs w:val="20"/>
        </w:rPr>
        <w:tab/>
      </w:r>
      <w:r w:rsidRPr="00740059">
        <w:rPr>
          <w:rFonts w:eastAsia="Times New Roman"/>
          <w:szCs w:val="20"/>
        </w:rPr>
        <w:tab/>
      </w:r>
      <w:r w:rsidR="001A6313">
        <w:rPr>
          <w:rFonts w:eastAsia="Times New Roman"/>
          <w:szCs w:val="20"/>
        </w:rPr>
        <w:t>30</w:t>
      </w:r>
      <w:r w:rsidRPr="00ED7CA3">
        <w:rPr>
          <w:rFonts w:eastAsia="Times New Roman"/>
          <w:szCs w:val="20"/>
        </w:rPr>
        <w:t xml:space="preserve"> jours </w:t>
      </w:r>
      <w:r w:rsidR="008E3DE3">
        <w:rPr>
          <w:rFonts w:eastAsia="Times New Roman"/>
          <w:szCs w:val="20"/>
        </w:rPr>
        <w:t xml:space="preserve">sur </w:t>
      </w:r>
      <w:r w:rsidR="00EA5905">
        <w:rPr>
          <w:rFonts w:eastAsia="Times New Roman"/>
          <w:szCs w:val="20"/>
        </w:rPr>
        <w:t>6</w:t>
      </w:r>
      <w:r w:rsidR="00625CD3">
        <w:rPr>
          <w:rFonts w:eastAsia="Times New Roman"/>
          <w:szCs w:val="20"/>
        </w:rPr>
        <w:t xml:space="preserve"> </w:t>
      </w:r>
      <w:r w:rsidR="008E3DE3">
        <w:rPr>
          <w:rFonts w:eastAsia="Times New Roman"/>
          <w:szCs w:val="20"/>
        </w:rPr>
        <w:t>mois</w:t>
      </w:r>
    </w:p>
    <w:p w14:paraId="69913368" w14:textId="330F380C" w:rsidR="00BF21CD" w:rsidRPr="00ED7CA3" w:rsidRDefault="00ED7CA3" w:rsidP="00E97AB8">
      <w:pPr>
        <w:ind w:right="-141"/>
        <w:jc w:val="both"/>
        <w:rPr>
          <w:b/>
          <w:szCs w:val="20"/>
        </w:rPr>
      </w:pPr>
      <w:r w:rsidRPr="00ED7CA3">
        <w:rPr>
          <w:b/>
          <w:szCs w:val="20"/>
        </w:rPr>
        <w:t xml:space="preserve">Lieu : </w:t>
      </w:r>
      <w:r>
        <w:rPr>
          <w:b/>
          <w:szCs w:val="20"/>
        </w:rPr>
        <w:tab/>
      </w:r>
      <w:r>
        <w:rPr>
          <w:b/>
          <w:szCs w:val="20"/>
        </w:rPr>
        <w:tab/>
      </w:r>
      <w:r>
        <w:rPr>
          <w:b/>
          <w:szCs w:val="20"/>
        </w:rPr>
        <w:tab/>
      </w:r>
      <w:r w:rsidR="00285E6E" w:rsidRPr="00285E6E">
        <w:rPr>
          <w:szCs w:val="20"/>
        </w:rPr>
        <w:t>A</w:t>
      </w:r>
      <w:r w:rsidRPr="00285E6E">
        <w:rPr>
          <w:szCs w:val="20"/>
        </w:rPr>
        <w:t xml:space="preserve"> </w:t>
      </w:r>
      <w:r w:rsidRPr="00ED7CA3">
        <w:rPr>
          <w:szCs w:val="20"/>
        </w:rPr>
        <w:t>distance</w:t>
      </w:r>
      <w:r w:rsidR="000D4FE5">
        <w:rPr>
          <w:szCs w:val="20"/>
        </w:rPr>
        <w:t xml:space="preserve"> et </w:t>
      </w:r>
      <w:r w:rsidRPr="00ED7CA3">
        <w:rPr>
          <w:szCs w:val="20"/>
        </w:rPr>
        <w:t>mission</w:t>
      </w:r>
      <w:r w:rsidR="00625CD3">
        <w:rPr>
          <w:szCs w:val="20"/>
        </w:rPr>
        <w:t>(</w:t>
      </w:r>
      <w:r w:rsidR="001A6313">
        <w:rPr>
          <w:szCs w:val="20"/>
        </w:rPr>
        <w:t>s</w:t>
      </w:r>
      <w:r w:rsidR="00625CD3">
        <w:rPr>
          <w:szCs w:val="20"/>
        </w:rPr>
        <w:t>)</w:t>
      </w:r>
      <w:r w:rsidRPr="00ED7CA3">
        <w:rPr>
          <w:szCs w:val="20"/>
        </w:rPr>
        <w:t xml:space="preserve"> de terrain</w:t>
      </w:r>
      <w:r>
        <w:rPr>
          <w:b/>
          <w:szCs w:val="20"/>
        </w:rPr>
        <w:t xml:space="preserve"> </w:t>
      </w:r>
    </w:p>
    <w:p w14:paraId="1F65B968" w14:textId="77777777" w:rsidR="00A01C5E" w:rsidRDefault="00A01C5E" w:rsidP="0039104D"/>
    <w:p w14:paraId="6F10D6DC" w14:textId="549088C8" w:rsidR="00970050" w:rsidRPr="0039104D" w:rsidRDefault="00970050" w:rsidP="0039104D">
      <w:pPr>
        <w:rPr>
          <w:b/>
          <w:u w:val="single"/>
        </w:rPr>
      </w:pPr>
      <w:r w:rsidRPr="0069428E">
        <w:rPr>
          <w:b/>
          <w:u w:val="single"/>
        </w:rPr>
        <w:t>Description de la mission</w:t>
      </w:r>
      <w:r w:rsidRPr="0039104D">
        <w:rPr>
          <w:b/>
          <w:u w:val="single"/>
        </w:rPr>
        <w:t xml:space="preserve"> </w:t>
      </w:r>
    </w:p>
    <w:p w14:paraId="740FB6A5" w14:textId="77777777" w:rsidR="00670335" w:rsidRPr="007859B8" w:rsidRDefault="00670335" w:rsidP="0039104D">
      <w:pPr>
        <w:rPr>
          <w:rFonts w:cstheme="minorHAnsi"/>
        </w:rPr>
      </w:pPr>
    </w:p>
    <w:p w14:paraId="44BA7C48" w14:textId="590723DE" w:rsidR="0002682C" w:rsidRDefault="00366BE6" w:rsidP="00A86E71">
      <w:pPr>
        <w:jc w:val="both"/>
      </w:pPr>
      <w:r w:rsidRPr="00A86E71">
        <w:t>L'expert(e) aura pour mission pr</w:t>
      </w:r>
      <w:r w:rsidR="0055663E">
        <w:t xml:space="preserve">incipale </w:t>
      </w:r>
      <w:r w:rsidRPr="00A86E71">
        <w:t xml:space="preserve">de conduire une étude sur le suivi des impacts sociaux et environnementaux de l'exploitation minière au Sénégal, et </w:t>
      </w:r>
      <w:r w:rsidR="0002682C">
        <w:t>d’en r</w:t>
      </w:r>
      <w:r w:rsidRPr="00A86E71">
        <w:t>approche</w:t>
      </w:r>
      <w:r w:rsidR="0002682C">
        <w:t xml:space="preserve">r </w:t>
      </w:r>
      <w:r w:rsidR="0055663E">
        <w:t>la gestion publique de ces impacts au regard du standard de la N</w:t>
      </w:r>
      <w:r w:rsidRPr="00A86E71">
        <w:t xml:space="preserve">orme 2023 de </w:t>
      </w:r>
      <w:r w:rsidR="0055663E">
        <w:t>l’Initiative pour la Transparence des Industries Extractives (</w:t>
      </w:r>
      <w:r w:rsidRPr="00A86E71">
        <w:t>ITIE</w:t>
      </w:r>
      <w:r w:rsidR="0055663E">
        <w:t>)</w:t>
      </w:r>
      <w:r w:rsidRPr="00A86E71">
        <w:t xml:space="preserve"> sur les questions environnementales. Il/Elle évaluera par exemple le niveau d’information des communautés riveraines </w:t>
      </w:r>
      <w:r w:rsidR="00F4454E">
        <w:t xml:space="preserve">des mines </w:t>
      </w:r>
      <w:r w:rsidRPr="00A86E71">
        <w:t>sur les risques environnementaux et la possibilité qui leur est donnée de discuter des mesures de compensation de manière éclairée</w:t>
      </w:r>
      <w:r w:rsidR="00F4454E">
        <w:t>, en référence à l’E</w:t>
      </w:r>
      <w:r w:rsidRPr="00A86E71">
        <w:t xml:space="preserve">xigence 2.2a </w:t>
      </w:r>
      <w:r w:rsidR="00F4454E">
        <w:t>de la n</w:t>
      </w:r>
      <w:r w:rsidRPr="00A86E71">
        <w:t xml:space="preserve">orme. </w:t>
      </w:r>
    </w:p>
    <w:p w14:paraId="4CEEC529" w14:textId="77777777" w:rsidR="00AC3B02" w:rsidRDefault="00AC3B02" w:rsidP="00A86E71">
      <w:pPr>
        <w:jc w:val="both"/>
      </w:pPr>
    </w:p>
    <w:p w14:paraId="7F0E8158" w14:textId="77777777" w:rsidR="00AC3B02" w:rsidRDefault="00F4454E" w:rsidP="00A86E71">
      <w:pPr>
        <w:jc w:val="both"/>
      </w:pPr>
      <w:r>
        <w:t>Egalement</w:t>
      </w:r>
      <w:r w:rsidR="00366BE6" w:rsidRPr="00A86E71">
        <w:t xml:space="preserve">, l'expert(e) sera chargé(e) de recueillir et de présenter des exemples de bonnes pratiques de suivi des impacts sociaux et environnementaux des industries extractives </w:t>
      </w:r>
      <w:r>
        <w:t xml:space="preserve">dans la région </w:t>
      </w:r>
      <w:r w:rsidR="00366BE6" w:rsidRPr="00A86E71">
        <w:t xml:space="preserve">Afrique. </w:t>
      </w:r>
    </w:p>
    <w:p w14:paraId="0CD5C8A1" w14:textId="77777777" w:rsidR="00AC3B02" w:rsidRDefault="00AC3B02" w:rsidP="00A86E71">
      <w:pPr>
        <w:jc w:val="both"/>
      </w:pPr>
    </w:p>
    <w:p w14:paraId="2F36A436" w14:textId="6A8509CC" w:rsidR="0069428E" w:rsidRPr="00A86E71" w:rsidRDefault="00B93A1C" w:rsidP="00A86E71">
      <w:pPr>
        <w:jc w:val="both"/>
      </w:pPr>
      <w:r>
        <w:t xml:space="preserve">Enfin, </w:t>
      </w:r>
      <w:r w:rsidR="00366BE6" w:rsidRPr="00A86E71">
        <w:t xml:space="preserve">l'expert(e) passera en revue les codes juridiques du secteur extractif au Sénégal, </w:t>
      </w:r>
      <w:r>
        <w:t xml:space="preserve">pour </w:t>
      </w:r>
      <w:r w:rsidR="00366BE6" w:rsidRPr="00A86E71">
        <w:t xml:space="preserve">analyser le cadre légal et réglementaire en lien avec les nouvelles exigences de la norme, et proposer des améliorations ainsi qu'un plan d'action pour une éventuelle mise à jour, notamment en matière de consistance et d’accès </w:t>
      </w:r>
      <w:r w:rsidR="0002682C">
        <w:t xml:space="preserve">à l’information relative </w:t>
      </w:r>
      <w:r w:rsidR="00366BE6" w:rsidRPr="00A86E71">
        <w:t xml:space="preserve">aux </w:t>
      </w:r>
      <w:r>
        <w:t>é</w:t>
      </w:r>
      <w:r w:rsidR="00366BE6" w:rsidRPr="00A86E71">
        <w:t>tude</w:t>
      </w:r>
      <w:r>
        <w:t>s</w:t>
      </w:r>
      <w:r w:rsidR="00366BE6" w:rsidRPr="00A86E71">
        <w:t xml:space="preserve"> d’</w:t>
      </w:r>
      <w:r>
        <w:t>i</w:t>
      </w:r>
      <w:r w:rsidR="00366BE6" w:rsidRPr="00A86E71">
        <w:t xml:space="preserve">mpacts </w:t>
      </w:r>
      <w:r>
        <w:t>e</w:t>
      </w:r>
      <w:r w:rsidR="00366BE6" w:rsidRPr="00A86E71">
        <w:t xml:space="preserve">nvironnementaux et </w:t>
      </w:r>
      <w:r>
        <w:t>s</w:t>
      </w:r>
      <w:r w:rsidR="00366BE6" w:rsidRPr="00A86E71">
        <w:t>ociaux</w:t>
      </w:r>
      <w:r>
        <w:t xml:space="preserve">. </w:t>
      </w:r>
    </w:p>
    <w:p w14:paraId="103476F1" w14:textId="77777777" w:rsidR="00366BE6" w:rsidRDefault="00366BE6" w:rsidP="00A86E71">
      <w:pPr>
        <w:jc w:val="both"/>
      </w:pPr>
    </w:p>
    <w:p w14:paraId="406E6CBD" w14:textId="77777777" w:rsidR="00AC3B02" w:rsidRDefault="00AC3B02" w:rsidP="00AC3B02">
      <w:pPr>
        <w:jc w:val="both"/>
      </w:pPr>
      <w:r>
        <w:t xml:space="preserve">Cette </w:t>
      </w:r>
      <w:r>
        <w:t>mission d’</w:t>
      </w:r>
      <w:r>
        <w:t xml:space="preserve">appui technique </w:t>
      </w:r>
      <w:r>
        <w:t xml:space="preserve">couvrira </w:t>
      </w:r>
      <w:r>
        <w:t xml:space="preserve">donc </w:t>
      </w:r>
      <w:r>
        <w:t xml:space="preserve">trois </w:t>
      </w:r>
      <w:r>
        <w:t>composantes</w:t>
      </w:r>
      <w:r>
        <w:t> :</w:t>
      </w:r>
    </w:p>
    <w:p w14:paraId="00F861D6" w14:textId="47D4E1FF" w:rsidR="00AC3B02" w:rsidRPr="006D4643" w:rsidRDefault="00AC3B02" w:rsidP="00AC3B02">
      <w:pPr>
        <w:jc w:val="both"/>
      </w:pPr>
    </w:p>
    <w:p w14:paraId="53CDF0AF" w14:textId="77777777" w:rsidR="00AC3B02" w:rsidRDefault="00AC3B02" w:rsidP="00AC3B02">
      <w:pPr>
        <w:pStyle w:val="Paragraphedeliste"/>
        <w:numPr>
          <w:ilvl w:val="0"/>
          <w:numId w:val="39"/>
        </w:numPr>
        <w:spacing w:after="160" w:line="259" w:lineRule="auto"/>
        <w:jc w:val="both"/>
      </w:pPr>
      <w:r>
        <w:t>P</w:t>
      </w:r>
      <w:r w:rsidRPr="006D4643">
        <w:t>restation de service</w:t>
      </w:r>
      <w:r>
        <w:t xml:space="preserve"> </w:t>
      </w:r>
      <w:r w:rsidRPr="003D2DDF">
        <w:rPr>
          <w:b/>
          <w:bCs/>
        </w:rPr>
        <w:t>Etude du suivi des impacts sociaux et environnementaux des mines au Sénégal</w:t>
      </w:r>
      <w:r w:rsidRPr="006D4643">
        <w:t>, recommandations pour une mise en œuvre effective d'un mécanisme institutionnel de suivi des impacts</w:t>
      </w:r>
      <w:r>
        <w:t xml:space="preserve"> selon les exigences et recommandations de la norme ITIE, notamment les exigences 2.2 a ii sur la consultation préalable des communautés, dans le cadre de l’octroi des licences. Cette exigence devrait permettre de s’assurer que ces communautés sont </w:t>
      </w:r>
    </w:p>
    <w:p w14:paraId="1E974E48" w14:textId="77777777" w:rsidR="00AC3B02" w:rsidRDefault="00AC3B02" w:rsidP="00AC3B02">
      <w:pPr>
        <w:pStyle w:val="Paragraphedeliste"/>
        <w:numPr>
          <w:ilvl w:val="1"/>
          <w:numId w:val="40"/>
        </w:numPr>
        <w:spacing w:after="160" w:line="259" w:lineRule="auto"/>
        <w:jc w:val="both"/>
      </w:pPr>
      <w:r>
        <w:lastRenderedPageBreak/>
        <w:t xml:space="preserve">d’une part clairement informé des risques de passif environnementaux encourus par l’exploitation d’une ressource extractive (mine et pétrole) – Mine pour des raisons évidentes d’emprise sur le foncier et les cadres de vie et pétrole parce que même si les processus se déroulent en mer, les activités offshore ont des répercussions sur l’économie bleu dont dépendent de nombreuses communautés y compris certaines au Sénégal. Il sera donc question pour l’expert (e) de voir sir le cadre institutionnel actuel permet aux populations qui sont exposées à ces risques d’en avoir pleinement connaissance de discuter des mesures de compensation proposée et de la consistance de ces dernières ; </w:t>
      </w:r>
    </w:p>
    <w:p w14:paraId="2DA2E3E5" w14:textId="77777777" w:rsidR="00AC3B02" w:rsidRDefault="00AC3B02" w:rsidP="00AC3B02">
      <w:pPr>
        <w:pStyle w:val="Paragraphedeliste"/>
        <w:numPr>
          <w:ilvl w:val="1"/>
          <w:numId w:val="40"/>
        </w:numPr>
        <w:spacing w:after="160" w:line="259" w:lineRule="auto"/>
        <w:jc w:val="both"/>
      </w:pPr>
      <w:r>
        <w:t>Cette exigence est renforcée par la nouvelle exigence 6.4 qui demande une publication exhaustive des rapports EIES et de faciliter leur accès au public.</w:t>
      </w:r>
    </w:p>
    <w:p w14:paraId="5D0D8375" w14:textId="77777777" w:rsidR="00AC3B02" w:rsidRPr="006D4643" w:rsidRDefault="00AC3B02" w:rsidP="00AC3B02">
      <w:pPr>
        <w:jc w:val="both"/>
      </w:pPr>
    </w:p>
    <w:p w14:paraId="6A791357" w14:textId="77777777" w:rsidR="00AC3B02" w:rsidRDefault="00AC3B02" w:rsidP="00AC3B02">
      <w:pPr>
        <w:pStyle w:val="Paragraphedeliste"/>
        <w:numPr>
          <w:ilvl w:val="0"/>
          <w:numId w:val="39"/>
        </w:numPr>
        <w:spacing w:after="160" w:line="259" w:lineRule="auto"/>
        <w:jc w:val="both"/>
      </w:pPr>
      <w:r>
        <w:t>P</w:t>
      </w:r>
      <w:r w:rsidRPr="006D4643">
        <w:t xml:space="preserve">restation de service </w:t>
      </w:r>
      <w:r w:rsidRPr="002E3D64">
        <w:rPr>
          <w:b/>
        </w:rPr>
        <w:t xml:space="preserve">Documentation ou Etude Benchmark inclut atelier de présentation, autour d'exemples de bonnes pratiques </w:t>
      </w:r>
      <w:r w:rsidRPr="006D4643">
        <w:t>de mécanismes ou études sur le Suivi des impacts sociaux et environnementaux des industries extractives dans la région Afrique</w:t>
      </w:r>
      <w:r>
        <w:t>. Il s’agira ici de présenter des cas de bonnes pratiques de cadre légaux et institutionnels sur l’environnement qui se rapprochent des exigences 2.2 et 6.4 nouvelles de l’ITIE.</w:t>
      </w:r>
    </w:p>
    <w:p w14:paraId="41E7E9C4" w14:textId="77777777" w:rsidR="00AC3B02" w:rsidRPr="006D4643" w:rsidRDefault="00AC3B02" w:rsidP="00AC3B02">
      <w:pPr>
        <w:jc w:val="both"/>
      </w:pPr>
    </w:p>
    <w:p w14:paraId="78FFD306" w14:textId="77777777" w:rsidR="00AC3B02" w:rsidRPr="006D4643" w:rsidRDefault="00AC3B02" w:rsidP="00AC3B02">
      <w:pPr>
        <w:pStyle w:val="Paragraphedeliste"/>
        <w:numPr>
          <w:ilvl w:val="0"/>
          <w:numId w:val="39"/>
        </w:numPr>
        <w:spacing w:after="160" w:line="259" w:lineRule="auto"/>
        <w:jc w:val="both"/>
      </w:pPr>
      <w:r>
        <w:t>P</w:t>
      </w:r>
      <w:r w:rsidRPr="006D4643">
        <w:t xml:space="preserve">restation de service </w:t>
      </w:r>
      <w:r w:rsidRPr="002E3D64">
        <w:rPr>
          <w:b/>
        </w:rPr>
        <w:t>Revue des codes juridiques du secteur extractif au Sénégal (code</w:t>
      </w:r>
      <w:r>
        <w:rPr>
          <w:b/>
        </w:rPr>
        <w:t>s</w:t>
      </w:r>
      <w:r w:rsidRPr="002E3D64">
        <w:rPr>
          <w:b/>
        </w:rPr>
        <w:t xml:space="preserve"> de l'environnement</w:t>
      </w:r>
      <w:r>
        <w:rPr>
          <w:b/>
        </w:rPr>
        <w:t xml:space="preserve"> et minier</w:t>
      </w:r>
      <w:r w:rsidRPr="002E3D64">
        <w:rPr>
          <w:b/>
        </w:rPr>
        <w:t>)</w:t>
      </w:r>
      <w:r>
        <w:t xml:space="preserve">. L’idée ici est d’effectuer une analyse du cadre légal et règlementaire sénégalais par rapport aux nouvelles exigences de la norme ITIE, et proposer des chantiers d’amélioration au groupe multipartite, dans la mise en œuvre de cette exigence sur les questions environnementales, et proposer une feuille de route en vue d’une mise à jour possible. </w:t>
      </w:r>
    </w:p>
    <w:p w14:paraId="7068D676" w14:textId="77777777" w:rsidR="00AC3B02" w:rsidRPr="00A86E71" w:rsidRDefault="00AC3B02" w:rsidP="00A86E71">
      <w:pPr>
        <w:jc w:val="both"/>
      </w:pPr>
    </w:p>
    <w:p w14:paraId="7ABCF959" w14:textId="77777777" w:rsidR="009F5F72" w:rsidRPr="00A86E71" w:rsidRDefault="009F5F72" w:rsidP="00A86E71">
      <w:pPr>
        <w:jc w:val="both"/>
      </w:pPr>
      <w:r w:rsidRPr="00A86E71">
        <w:t>Il est attendu de l’expert :</w:t>
      </w:r>
    </w:p>
    <w:p w14:paraId="282DFCFB" w14:textId="39BAB5C0" w:rsidR="00874539" w:rsidRPr="00A86E71" w:rsidRDefault="00AB6609" w:rsidP="00A86E71">
      <w:pPr>
        <w:numPr>
          <w:ilvl w:val="0"/>
          <w:numId w:val="38"/>
        </w:numPr>
        <w:jc w:val="both"/>
        <w:rPr>
          <w:rFonts w:ascii="Calibri" w:eastAsia="Times New Roman" w:hAnsi="Calibri" w:cs="Times New Roman"/>
          <w:szCs w:val="20"/>
          <w:lang w:eastAsia="fr-FR"/>
        </w:rPr>
      </w:pPr>
      <w:r>
        <w:rPr>
          <w:rFonts w:ascii="Calibri" w:eastAsia="Times New Roman" w:hAnsi="Calibri" w:cs="Times New Roman"/>
          <w:szCs w:val="20"/>
          <w:lang w:eastAsia="fr-FR"/>
        </w:rPr>
        <w:t xml:space="preserve">Réaliser </w:t>
      </w:r>
      <w:r w:rsidR="00366BE6" w:rsidRPr="00A86E71">
        <w:rPr>
          <w:rFonts w:ascii="Calibri" w:eastAsia="Times New Roman" w:hAnsi="Calibri" w:cs="Times New Roman"/>
          <w:szCs w:val="20"/>
          <w:lang w:eastAsia="fr-FR"/>
        </w:rPr>
        <w:t>une revu</w:t>
      </w:r>
      <w:r w:rsidR="000D4FE5" w:rsidRPr="00A86E71">
        <w:rPr>
          <w:rFonts w:ascii="Calibri" w:eastAsia="Times New Roman" w:hAnsi="Calibri" w:cs="Times New Roman"/>
          <w:szCs w:val="20"/>
          <w:lang w:eastAsia="fr-FR"/>
        </w:rPr>
        <w:t>e</w:t>
      </w:r>
      <w:r w:rsidR="00366BE6" w:rsidRPr="00A86E71">
        <w:rPr>
          <w:rFonts w:ascii="Calibri" w:eastAsia="Times New Roman" w:hAnsi="Calibri" w:cs="Times New Roman"/>
          <w:szCs w:val="20"/>
          <w:lang w:eastAsia="fr-FR"/>
        </w:rPr>
        <w:t xml:space="preserve"> des lois et règlements applicable</w:t>
      </w:r>
      <w:r>
        <w:rPr>
          <w:rFonts w:ascii="Calibri" w:eastAsia="Times New Roman" w:hAnsi="Calibri" w:cs="Times New Roman"/>
          <w:szCs w:val="20"/>
          <w:lang w:eastAsia="fr-FR"/>
        </w:rPr>
        <w:t>s</w:t>
      </w:r>
      <w:r w:rsidR="00366BE6" w:rsidRPr="00A86E71">
        <w:rPr>
          <w:rFonts w:ascii="Calibri" w:eastAsia="Times New Roman" w:hAnsi="Calibri" w:cs="Times New Roman"/>
          <w:szCs w:val="20"/>
          <w:lang w:eastAsia="fr-FR"/>
        </w:rPr>
        <w:t xml:space="preserve"> aux questions </w:t>
      </w:r>
      <w:r>
        <w:rPr>
          <w:rFonts w:ascii="Calibri" w:eastAsia="Times New Roman" w:hAnsi="Calibri" w:cs="Times New Roman"/>
          <w:szCs w:val="20"/>
          <w:lang w:eastAsia="fr-FR"/>
        </w:rPr>
        <w:t xml:space="preserve">environnementales </w:t>
      </w:r>
      <w:r w:rsidR="00366BE6" w:rsidRPr="00A86E71">
        <w:rPr>
          <w:rFonts w:ascii="Calibri" w:eastAsia="Times New Roman" w:hAnsi="Calibri" w:cs="Times New Roman"/>
          <w:szCs w:val="20"/>
          <w:lang w:eastAsia="fr-FR"/>
        </w:rPr>
        <w:t>dans le secteur minier et pétro-gazier naissant</w:t>
      </w:r>
      <w:r w:rsidR="007D7C7D">
        <w:rPr>
          <w:rFonts w:ascii="Calibri" w:eastAsia="Times New Roman" w:hAnsi="Calibri" w:cs="Times New Roman"/>
          <w:szCs w:val="20"/>
          <w:lang w:eastAsia="fr-FR"/>
        </w:rPr>
        <w:t xml:space="preserve"> au Sénégal</w:t>
      </w:r>
      <w:r w:rsidR="00366BE6" w:rsidRPr="00A86E71">
        <w:rPr>
          <w:rFonts w:ascii="Calibri" w:eastAsia="Times New Roman" w:hAnsi="Calibri" w:cs="Times New Roman"/>
          <w:szCs w:val="20"/>
          <w:lang w:eastAsia="fr-FR"/>
        </w:rPr>
        <w:t xml:space="preserve">, et d’évaluer leur efficience en rapport aux nouvelles exigences de la norme ITIE sur les questions environnementales, notamment les </w:t>
      </w:r>
      <w:r w:rsidR="007D7C7D">
        <w:rPr>
          <w:rFonts w:ascii="Calibri" w:eastAsia="Times New Roman" w:hAnsi="Calibri" w:cs="Times New Roman"/>
          <w:szCs w:val="20"/>
          <w:lang w:eastAsia="fr-FR"/>
        </w:rPr>
        <w:t>E</w:t>
      </w:r>
      <w:r w:rsidR="00366BE6" w:rsidRPr="00A86E71">
        <w:rPr>
          <w:rFonts w:ascii="Calibri" w:eastAsia="Times New Roman" w:hAnsi="Calibri" w:cs="Times New Roman"/>
          <w:szCs w:val="20"/>
          <w:lang w:eastAsia="fr-FR"/>
        </w:rPr>
        <w:t>xigences 2.2a</w:t>
      </w:r>
      <w:r w:rsidR="007D7C7D">
        <w:rPr>
          <w:rFonts w:ascii="Calibri" w:eastAsia="Times New Roman" w:hAnsi="Calibri" w:cs="Times New Roman"/>
          <w:szCs w:val="20"/>
          <w:lang w:eastAsia="fr-FR"/>
        </w:rPr>
        <w:t>-</w:t>
      </w:r>
      <w:r w:rsidR="00366BE6" w:rsidRPr="00A86E71">
        <w:rPr>
          <w:rFonts w:ascii="Calibri" w:eastAsia="Times New Roman" w:hAnsi="Calibri" w:cs="Times New Roman"/>
          <w:szCs w:val="20"/>
          <w:lang w:eastAsia="fr-FR"/>
        </w:rPr>
        <w:t>ii, et 6.4</w:t>
      </w:r>
      <w:r w:rsidR="007D7C7D">
        <w:rPr>
          <w:rFonts w:ascii="Calibri" w:eastAsia="Times New Roman" w:hAnsi="Calibri" w:cs="Times New Roman"/>
          <w:szCs w:val="20"/>
          <w:lang w:eastAsia="fr-FR"/>
        </w:rPr>
        <w:t> ;</w:t>
      </w:r>
    </w:p>
    <w:p w14:paraId="049DC48A" w14:textId="4ADB684E" w:rsidR="00366BE6" w:rsidRPr="00A86E71" w:rsidRDefault="007D7C7D" w:rsidP="00A86E71">
      <w:pPr>
        <w:numPr>
          <w:ilvl w:val="0"/>
          <w:numId w:val="38"/>
        </w:numPr>
        <w:jc w:val="both"/>
        <w:rPr>
          <w:rFonts w:ascii="Calibri" w:eastAsia="Times New Roman" w:hAnsi="Calibri" w:cs="Times New Roman"/>
          <w:szCs w:val="20"/>
          <w:lang w:eastAsia="fr-FR"/>
        </w:rPr>
      </w:pPr>
      <w:r>
        <w:rPr>
          <w:rFonts w:ascii="Calibri" w:eastAsia="Times New Roman" w:hAnsi="Calibri" w:cs="Times New Roman"/>
          <w:szCs w:val="20"/>
          <w:lang w:eastAsia="fr-FR"/>
        </w:rPr>
        <w:t>P</w:t>
      </w:r>
      <w:r w:rsidR="00366BE6" w:rsidRPr="00A86E71">
        <w:rPr>
          <w:rFonts w:ascii="Calibri" w:eastAsia="Times New Roman" w:hAnsi="Calibri" w:cs="Times New Roman"/>
          <w:szCs w:val="20"/>
          <w:lang w:eastAsia="fr-FR"/>
        </w:rPr>
        <w:t>résenter à chaque étape de l’analyse des cas qui pourraient servir de Benchmark dans le cadre des discussions au sein du Groupe Multipartite (GMP) du Sénégal</w:t>
      </w:r>
      <w:r>
        <w:rPr>
          <w:rFonts w:ascii="Calibri" w:eastAsia="Times New Roman" w:hAnsi="Calibri" w:cs="Times New Roman"/>
          <w:szCs w:val="20"/>
          <w:lang w:eastAsia="fr-FR"/>
        </w:rPr>
        <w:t> ;</w:t>
      </w:r>
    </w:p>
    <w:p w14:paraId="39D90206" w14:textId="2FCCE0CB" w:rsidR="00366BE6" w:rsidRPr="00A86E71" w:rsidRDefault="007D7C7D" w:rsidP="00A86E71">
      <w:pPr>
        <w:numPr>
          <w:ilvl w:val="0"/>
          <w:numId w:val="38"/>
        </w:numPr>
        <w:jc w:val="both"/>
        <w:rPr>
          <w:rFonts w:ascii="Calibri" w:eastAsia="Times New Roman" w:hAnsi="Calibri" w:cs="Times New Roman"/>
          <w:szCs w:val="20"/>
          <w:lang w:eastAsia="fr-FR"/>
        </w:rPr>
      </w:pPr>
      <w:r>
        <w:rPr>
          <w:rFonts w:ascii="Calibri" w:eastAsia="Times New Roman" w:hAnsi="Calibri" w:cs="Times New Roman"/>
          <w:szCs w:val="20"/>
          <w:lang w:eastAsia="fr-FR"/>
        </w:rPr>
        <w:t>O</w:t>
      </w:r>
      <w:r w:rsidR="009044AA" w:rsidRPr="00A86E71">
        <w:rPr>
          <w:rFonts w:ascii="Calibri" w:eastAsia="Times New Roman" w:hAnsi="Calibri" w:cs="Times New Roman"/>
          <w:szCs w:val="20"/>
          <w:lang w:eastAsia="fr-FR"/>
        </w:rPr>
        <w:t xml:space="preserve">rganiser et animer un atelier de discussion sur la thématique avec des parties prenantes qui seront identifiées ultérieurement, </w:t>
      </w:r>
      <w:r>
        <w:rPr>
          <w:rFonts w:ascii="Calibri" w:eastAsia="Times New Roman" w:hAnsi="Calibri" w:cs="Times New Roman"/>
          <w:szCs w:val="20"/>
          <w:lang w:eastAsia="fr-FR"/>
        </w:rPr>
        <w:t xml:space="preserve">qui </w:t>
      </w:r>
      <w:r w:rsidR="009044AA" w:rsidRPr="00A86E71">
        <w:rPr>
          <w:rFonts w:ascii="Calibri" w:eastAsia="Times New Roman" w:hAnsi="Calibri" w:cs="Times New Roman"/>
          <w:szCs w:val="20"/>
          <w:lang w:eastAsia="fr-FR"/>
        </w:rPr>
        <w:t>incluront les membres du GMP</w:t>
      </w:r>
      <w:r>
        <w:rPr>
          <w:rFonts w:ascii="Calibri" w:eastAsia="Times New Roman" w:hAnsi="Calibri" w:cs="Times New Roman"/>
          <w:szCs w:val="20"/>
          <w:lang w:eastAsia="fr-FR"/>
        </w:rPr>
        <w:t xml:space="preserve">, </w:t>
      </w:r>
      <w:r w:rsidR="009044AA" w:rsidRPr="00A86E71">
        <w:rPr>
          <w:rFonts w:ascii="Calibri" w:eastAsia="Times New Roman" w:hAnsi="Calibri" w:cs="Times New Roman"/>
          <w:szCs w:val="20"/>
          <w:lang w:eastAsia="fr-FR"/>
        </w:rPr>
        <w:t xml:space="preserve">des représentants des ministères sectoriels </w:t>
      </w:r>
      <w:r>
        <w:rPr>
          <w:rFonts w:ascii="Calibri" w:eastAsia="Times New Roman" w:hAnsi="Calibri" w:cs="Times New Roman"/>
          <w:szCs w:val="20"/>
          <w:lang w:eastAsia="fr-FR"/>
        </w:rPr>
        <w:t xml:space="preserve">concernés, </w:t>
      </w:r>
      <w:r w:rsidR="009044AA" w:rsidRPr="00A86E71">
        <w:rPr>
          <w:rFonts w:ascii="Calibri" w:eastAsia="Times New Roman" w:hAnsi="Calibri" w:cs="Times New Roman"/>
          <w:szCs w:val="20"/>
          <w:lang w:eastAsia="fr-FR"/>
        </w:rPr>
        <w:t xml:space="preserve">et du </w:t>
      </w:r>
      <w:r>
        <w:rPr>
          <w:rFonts w:ascii="Calibri" w:eastAsia="Times New Roman" w:hAnsi="Calibri" w:cs="Times New Roman"/>
          <w:szCs w:val="20"/>
          <w:lang w:eastAsia="fr-FR"/>
        </w:rPr>
        <w:t xml:space="preserve">Secrétariat Permanent </w:t>
      </w:r>
      <w:r w:rsidR="009044AA" w:rsidRPr="00A86E71">
        <w:rPr>
          <w:rFonts w:ascii="Calibri" w:eastAsia="Times New Roman" w:hAnsi="Calibri" w:cs="Times New Roman"/>
          <w:szCs w:val="20"/>
          <w:lang w:eastAsia="fr-FR"/>
        </w:rPr>
        <w:t>ITIE Sénégal</w:t>
      </w:r>
      <w:r w:rsidR="002E5444">
        <w:rPr>
          <w:rFonts w:ascii="Calibri" w:eastAsia="Times New Roman" w:hAnsi="Calibri" w:cs="Times New Roman"/>
          <w:szCs w:val="20"/>
          <w:lang w:eastAsia="fr-FR"/>
        </w:rPr>
        <w:t>.</w:t>
      </w:r>
    </w:p>
    <w:p w14:paraId="7E963A56" w14:textId="77777777" w:rsidR="00A70940" w:rsidRDefault="00A70940" w:rsidP="00A014F4">
      <w:pPr>
        <w:jc w:val="both"/>
      </w:pPr>
    </w:p>
    <w:p w14:paraId="47B89C83" w14:textId="1EAF8C0D" w:rsidR="00886894" w:rsidRDefault="00886894" w:rsidP="00886894">
      <w:pPr>
        <w:ind w:firstLine="360"/>
        <w:jc w:val="both"/>
        <w:rPr>
          <w:rFonts w:ascii="Calibri" w:eastAsia="Times New Roman" w:hAnsi="Calibri" w:cs="Times New Roman"/>
          <w:b/>
          <w:i/>
          <w:szCs w:val="20"/>
          <w:lang w:eastAsia="fr-FR"/>
        </w:rPr>
      </w:pPr>
      <w:r w:rsidRPr="00AD0AEA">
        <w:rPr>
          <w:rFonts w:ascii="Calibri" w:eastAsia="Times New Roman" w:hAnsi="Calibri" w:cs="Times New Roman"/>
          <w:b/>
          <w:i/>
          <w:szCs w:val="20"/>
          <w:lang w:eastAsia="fr-FR"/>
        </w:rPr>
        <w:t>Livrables attendus :</w:t>
      </w:r>
    </w:p>
    <w:p w14:paraId="5AB0B0A1" w14:textId="25DEECF9" w:rsidR="002959F5" w:rsidRPr="00A86E71" w:rsidRDefault="009F5F72" w:rsidP="00A86E71">
      <w:pPr>
        <w:numPr>
          <w:ilvl w:val="0"/>
          <w:numId w:val="38"/>
        </w:numPr>
        <w:jc w:val="both"/>
        <w:rPr>
          <w:rFonts w:ascii="Calibri" w:eastAsia="Times New Roman" w:hAnsi="Calibri" w:cs="Times New Roman"/>
          <w:szCs w:val="20"/>
          <w:lang w:eastAsia="fr-FR"/>
        </w:rPr>
      </w:pPr>
      <w:r w:rsidRPr="00A86E71">
        <w:rPr>
          <w:rFonts w:ascii="Calibri" w:eastAsia="Times New Roman" w:hAnsi="Calibri" w:cs="Times New Roman"/>
          <w:szCs w:val="20"/>
          <w:lang w:eastAsia="fr-FR"/>
        </w:rPr>
        <w:t>Rapport de démarrage</w:t>
      </w:r>
      <w:r w:rsidR="00BE24ED" w:rsidRPr="00A86E71">
        <w:rPr>
          <w:rFonts w:ascii="Calibri" w:eastAsia="Times New Roman" w:hAnsi="Calibri" w:cs="Times New Roman"/>
          <w:szCs w:val="20"/>
          <w:lang w:eastAsia="fr-FR"/>
        </w:rPr>
        <w:t xml:space="preserve">, inclut </w:t>
      </w:r>
      <w:r w:rsidRPr="00A86E71">
        <w:rPr>
          <w:rFonts w:ascii="Calibri" w:eastAsia="Times New Roman" w:hAnsi="Calibri" w:cs="Times New Roman"/>
          <w:szCs w:val="20"/>
          <w:lang w:eastAsia="fr-FR"/>
        </w:rPr>
        <w:t xml:space="preserve">présentation de la méthodologie de collecte </w:t>
      </w:r>
      <w:r w:rsidR="00BB2FE4" w:rsidRPr="00A86E71">
        <w:rPr>
          <w:rFonts w:ascii="Calibri" w:eastAsia="Times New Roman" w:hAnsi="Calibri" w:cs="Times New Roman"/>
          <w:szCs w:val="20"/>
          <w:lang w:eastAsia="fr-FR"/>
        </w:rPr>
        <w:t>des données en vue d</w:t>
      </w:r>
      <w:r w:rsidR="009044AA" w:rsidRPr="00A86E71">
        <w:rPr>
          <w:rFonts w:ascii="Calibri" w:eastAsia="Times New Roman" w:hAnsi="Calibri" w:cs="Times New Roman"/>
          <w:szCs w:val="20"/>
          <w:lang w:eastAsia="fr-FR"/>
        </w:rPr>
        <w:t>e la réalisation de cette mission sur l’approche intégrée d’appréciation de la question environnementale dans le cadre de la mise en œuvre de l’ITIE</w:t>
      </w:r>
      <w:r w:rsidR="002A3033">
        <w:rPr>
          <w:rFonts w:ascii="Calibri" w:eastAsia="Times New Roman" w:hAnsi="Calibri" w:cs="Times New Roman"/>
          <w:szCs w:val="20"/>
          <w:lang w:eastAsia="fr-FR"/>
        </w:rPr>
        <w:t> ;</w:t>
      </w:r>
    </w:p>
    <w:p w14:paraId="7CAF4C4F" w14:textId="4FD7058D" w:rsidR="009044AA" w:rsidRPr="00A86E71" w:rsidRDefault="009044AA" w:rsidP="00A86E71">
      <w:pPr>
        <w:numPr>
          <w:ilvl w:val="0"/>
          <w:numId w:val="38"/>
        </w:numPr>
        <w:jc w:val="both"/>
        <w:rPr>
          <w:rFonts w:ascii="Calibri" w:eastAsia="Times New Roman" w:hAnsi="Calibri" w:cs="Times New Roman"/>
          <w:szCs w:val="20"/>
          <w:lang w:eastAsia="fr-FR"/>
        </w:rPr>
      </w:pPr>
      <w:r w:rsidRPr="00A86E71">
        <w:rPr>
          <w:rFonts w:ascii="Calibri" w:eastAsia="Times New Roman" w:hAnsi="Calibri" w:cs="Times New Roman"/>
          <w:szCs w:val="20"/>
          <w:lang w:eastAsia="fr-FR"/>
        </w:rPr>
        <w:t>Un rapport intermédiaire</w:t>
      </w:r>
      <w:r w:rsidR="002A3033">
        <w:rPr>
          <w:rFonts w:ascii="Calibri" w:eastAsia="Times New Roman" w:hAnsi="Calibri" w:cs="Times New Roman"/>
          <w:szCs w:val="20"/>
          <w:lang w:eastAsia="fr-FR"/>
        </w:rPr>
        <w:t>,</w:t>
      </w:r>
      <w:r w:rsidRPr="00A86E71">
        <w:rPr>
          <w:rFonts w:ascii="Calibri" w:eastAsia="Times New Roman" w:hAnsi="Calibri" w:cs="Times New Roman"/>
          <w:szCs w:val="20"/>
          <w:lang w:eastAsia="fr-FR"/>
        </w:rPr>
        <w:t xml:space="preserve"> présentant les premiers résultats obtenus à la suite des informations collectées</w:t>
      </w:r>
      <w:r w:rsidR="002A3033">
        <w:rPr>
          <w:rFonts w:ascii="Calibri" w:eastAsia="Times New Roman" w:hAnsi="Calibri" w:cs="Times New Roman"/>
          <w:szCs w:val="20"/>
          <w:lang w:eastAsia="fr-FR"/>
        </w:rPr>
        <w:t> ;</w:t>
      </w:r>
    </w:p>
    <w:p w14:paraId="2D7A2630" w14:textId="6928AE47" w:rsidR="002959F5" w:rsidRPr="00A86E71" w:rsidRDefault="009044AA" w:rsidP="00A86E71">
      <w:pPr>
        <w:numPr>
          <w:ilvl w:val="0"/>
          <w:numId w:val="38"/>
        </w:numPr>
        <w:jc w:val="both"/>
        <w:rPr>
          <w:rFonts w:ascii="Calibri" w:eastAsia="Times New Roman" w:hAnsi="Calibri" w:cs="Times New Roman"/>
          <w:szCs w:val="20"/>
          <w:lang w:eastAsia="fr-FR"/>
        </w:rPr>
      </w:pPr>
      <w:r w:rsidRPr="00A86E71">
        <w:rPr>
          <w:rFonts w:ascii="Calibri" w:eastAsia="Times New Roman" w:hAnsi="Calibri" w:cs="Times New Roman"/>
          <w:szCs w:val="20"/>
          <w:lang w:eastAsia="fr-FR"/>
        </w:rPr>
        <w:t>Un rapport final</w:t>
      </w:r>
      <w:r w:rsidR="002A3033">
        <w:rPr>
          <w:rFonts w:ascii="Calibri" w:eastAsia="Times New Roman" w:hAnsi="Calibri" w:cs="Times New Roman"/>
          <w:szCs w:val="20"/>
          <w:lang w:eastAsia="fr-FR"/>
        </w:rPr>
        <w:t>,</w:t>
      </w:r>
      <w:r w:rsidRPr="00A86E71">
        <w:rPr>
          <w:rFonts w:ascii="Calibri" w:eastAsia="Times New Roman" w:hAnsi="Calibri" w:cs="Times New Roman"/>
          <w:szCs w:val="20"/>
          <w:lang w:eastAsia="fr-FR"/>
        </w:rPr>
        <w:t xml:space="preserve"> qui inclura une revue des cadres légaux, règlementaires et institutionnels de gestion des questions environnementales en rapport au secteur extractif, des éléments de comparaison avec de bonne</w:t>
      </w:r>
      <w:r w:rsidR="002A3033">
        <w:rPr>
          <w:rFonts w:ascii="Calibri" w:eastAsia="Times New Roman" w:hAnsi="Calibri" w:cs="Times New Roman"/>
          <w:szCs w:val="20"/>
          <w:lang w:eastAsia="fr-FR"/>
        </w:rPr>
        <w:t>s</w:t>
      </w:r>
      <w:r w:rsidRPr="00A86E71">
        <w:rPr>
          <w:rFonts w:ascii="Calibri" w:eastAsia="Times New Roman" w:hAnsi="Calibri" w:cs="Times New Roman"/>
          <w:szCs w:val="20"/>
          <w:lang w:eastAsia="fr-FR"/>
        </w:rPr>
        <w:t xml:space="preserve"> pratique</w:t>
      </w:r>
      <w:r w:rsidR="002A3033">
        <w:rPr>
          <w:rFonts w:ascii="Calibri" w:eastAsia="Times New Roman" w:hAnsi="Calibri" w:cs="Times New Roman"/>
          <w:szCs w:val="20"/>
          <w:lang w:eastAsia="fr-FR"/>
        </w:rPr>
        <w:t>s</w:t>
      </w:r>
      <w:r w:rsidRPr="00A86E71">
        <w:rPr>
          <w:rFonts w:ascii="Calibri" w:eastAsia="Times New Roman" w:hAnsi="Calibri" w:cs="Times New Roman"/>
          <w:szCs w:val="20"/>
          <w:lang w:eastAsia="fr-FR"/>
        </w:rPr>
        <w:t>, et le niveau de conformité aux nouvelles exigences e l’ITIE, notamment en matière de consentement éclair</w:t>
      </w:r>
      <w:r w:rsidR="002A3033">
        <w:rPr>
          <w:rFonts w:ascii="Calibri" w:eastAsia="Times New Roman" w:hAnsi="Calibri" w:cs="Times New Roman"/>
          <w:szCs w:val="20"/>
          <w:lang w:eastAsia="fr-FR"/>
        </w:rPr>
        <w:t xml:space="preserve">é </w:t>
      </w:r>
      <w:r w:rsidRPr="00A86E71">
        <w:rPr>
          <w:rFonts w:ascii="Calibri" w:eastAsia="Times New Roman" w:hAnsi="Calibri" w:cs="Times New Roman"/>
          <w:szCs w:val="20"/>
          <w:lang w:eastAsia="fr-FR"/>
        </w:rPr>
        <w:t>des communautés, et de l’accessibilité des rapports de mise en œuvre sur les questions d’environnement</w:t>
      </w:r>
      <w:r w:rsidR="002A3033">
        <w:rPr>
          <w:rFonts w:ascii="Calibri" w:eastAsia="Times New Roman" w:hAnsi="Calibri" w:cs="Times New Roman"/>
          <w:szCs w:val="20"/>
          <w:lang w:eastAsia="fr-FR"/>
        </w:rPr>
        <w:t> ;</w:t>
      </w:r>
    </w:p>
    <w:p w14:paraId="0F67FB49" w14:textId="58B2CD8E" w:rsidR="009044AA" w:rsidRPr="00A86E71" w:rsidRDefault="009044AA" w:rsidP="00A86E71">
      <w:pPr>
        <w:numPr>
          <w:ilvl w:val="0"/>
          <w:numId w:val="38"/>
        </w:numPr>
        <w:jc w:val="both"/>
        <w:rPr>
          <w:rFonts w:ascii="Calibri" w:eastAsia="Times New Roman" w:hAnsi="Calibri" w:cs="Times New Roman"/>
          <w:szCs w:val="20"/>
          <w:lang w:eastAsia="fr-FR"/>
        </w:rPr>
      </w:pPr>
      <w:r w:rsidRPr="00A86E71">
        <w:rPr>
          <w:rFonts w:ascii="Calibri" w:eastAsia="Times New Roman" w:hAnsi="Calibri" w:cs="Times New Roman"/>
          <w:szCs w:val="20"/>
          <w:lang w:eastAsia="fr-FR"/>
        </w:rPr>
        <w:t>Des recommandations en vue d</w:t>
      </w:r>
      <w:r w:rsidR="002A3033">
        <w:rPr>
          <w:rFonts w:ascii="Calibri" w:eastAsia="Times New Roman" w:hAnsi="Calibri" w:cs="Times New Roman"/>
          <w:szCs w:val="20"/>
          <w:lang w:eastAsia="fr-FR"/>
        </w:rPr>
        <w:t xml:space="preserve">’améliorer la gouvernance publique </w:t>
      </w:r>
      <w:r w:rsidRPr="00A86E71">
        <w:rPr>
          <w:rFonts w:ascii="Calibri" w:eastAsia="Times New Roman" w:hAnsi="Calibri" w:cs="Times New Roman"/>
          <w:szCs w:val="20"/>
          <w:lang w:eastAsia="fr-FR"/>
        </w:rPr>
        <w:t>en la matière</w:t>
      </w:r>
      <w:r w:rsidR="002A3033">
        <w:rPr>
          <w:rFonts w:ascii="Calibri" w:eastAsia="Times New Roman" w:hAnsi="Calibri" w:cs="Times New Roman"/>
          <w:szCs w:val="20"/>
          <w:lang w:eastAsia="fr-FR"/>
        </w:rPr>
        <w:t> ;</w:t>
      </w:r>
    </w:p>
    <w:p w14:paraId="77890451" w14:textId="5E84B2C6" w:rsidR="000037A4" w:rsidRPr="00A86E71" w:rsidRDefault="009044AA" w:rsidP="00A86E71">
      <w:pPr>
        <w:numPr>
          <w:ilvl w:val="0"/>
          <w:numId w:val="38"/>
        </w:numPr>
        <w:jc w:val="both"/>
        <w:rPr>
          <w:rFonts w:ascii="Calibri" w:eastAsia="Times New Roman" w:hAnsi="Calibri" w:cs="Times New Roman"/>
          <w:szCs w:val="20"/>
          <w:lang w:eastAsia="fr-FR"/>
        </w:rPr>
      </w:pPr>
      <w:r w:rsidRPr="00A86E71">
        <w:rPr>
          <w:rFonts w:ascii="Calibri" w:eastAsia="Times New Roman" w:hAnsi="Calibri" w:cs="Times New Roman"/>
          <w:szCs w:val="20"/>
          <w:lang w:eastAsia="fr-FR"/>
        </w:rPr>
        <w:lastRenderedPageBreak/>
        <w:t>Préparation d’une présentation de synthèse de l’étude</w:t>
      </w:r>
      <w:r w:rsidR="00584D90" w:rsidRPr="00584D90">
        <w:rPr>
          <w:rFonts w:ascii="Calibri" w:eastAsia="Times New Roman" w:hAnsi="Calibri" w:cs="Times New Roman"/>
          <w:szCs w:val="20"/>
          <w:lang w:eastAsia="fr-FR"/>
        </w:rPr>
        <w:t xml:space="preserve"> et a</w:t>
      </w:r>
      <w:r w:rsidR="002A3033" w:rsidRPr="00584D90">
        <w:rPr>
          <w:rFonts w:ascii="Calibri" w:eastAsia="Times New Roman" w:hAnsi="Calibri" w:cs="Times New Roman"/>
          <w:szCs w:val="20"/>
          <w:lang w:eastAsia="fr-FR"/>
        </w:rPr>
        <w:t>nimation d</w:t>
      </w:r>
      <w:r w:rsidRPr="00A86E71">
        <w:rPr>
          <w:rFonts w:ascii="Calibri" w:eastAsia="Times New Roman" w:hAnsi="Calibri" w:cs="Times New Roman"/>
          <w:szCs w:val="20"/>
          <w:lang w:eastAsia="fr-FR"/>
        </w:rPr>
        <w:t xml:space="preserve">’un atelier </w:t>
      </w:r>
      <w:r w:rsidR="002A3033" w:rsidRPr="00584D90">
        <w:rPr>
          <w:rFonts w:ascii="Calibri" w:eastAsia="Times New Roman" w:hAnsi="Calibri" w:cs="Times New Roman"/>
          <w:szCs w:val="20"/>
          <w:lang w:eastAsia="fr-FR"/>
        </w:rPr>
        <w:t xml:space="preserve">final </w:t>
      </w:r>
      <w:r w:rsidRPr="00A86E71">
        <w:rPr>
          <w:rFonts w:ascii="Calibri" w:eastAsia="Times New Roman" w:hAnsi="Calibri" w:cs="Times New Roman"/>
          <w:szCs w:val="20"/>
          <w:lang w:eastAsia="fr-FR"/>
        </w:rPr>
        <w:t>sur le sujet</w:t>
      </w:r>
      <w:r w:rsidR="002E5444" w:rsidRPr="00584D90">
        <w:rPr>
          <w:rFonts w:ascii="Calibri" w:eastAsia="Times New Roman" w:hAnsi="Calibri" w:cs="Times New Roman"/>
          <w:szCs w:val="20"/>
          <w:lang w:eastAsia="fr-FR"/>
        </w:rPr>
        <w:t>.</w:t>
      </w:r>
    </w:p>
    <w:p w14:paraId="146B93AA" w14:textId="77777777" w:rsidR="00E978DD" w:rsidRDefault="00E978DD" w:rsidP="00A014F4">
      <w:pPr>
        <w:jc w:val="both"/>
      </w:pPr>
    </w:p>
    <w:p w14:paraId="0F4DC464" w14:textId="43453E2F" w:rsidR="00FA4B67" w:rsidRPr="00A01C5E" w:rsidRDefault="00FA4B67" w:rsidP="00FA4B67">
      <w:pPr>
        <w:pStyle w:val="Titre1"/>
        <w:contextualSpacing/>
        <w:rPr>
          <w:u w:val="single"/>
        </w:rPr>
      </w:pPr>
      <w:r w:rsidRPr="00A01C5E">
        <w:rPr>
          <w:u w:val="single"/>
        </w:rPr>
        <w:t>Description du contexte</w:t>
      </w:r>
      <w:r>
        <w:rPr>
          <w:u w:val="single"/>
        </w:rPr>
        <w:t xml:space="preserve"> et du projet</w:t>
      </w:r>
      <w:r w:rsidRPr="00A01C5E">
        <w:rPr>
          <w:u w:val="single"/>
        </w:rPr>
        <w:t xml:space="preserve"> </w:t>
      </w:r>
      <w:r w:rsidR="001A4941">
        <w:rPr>
          <w:u w:val="single"/>
        </w:rPr>
        <w:t>global</w:t>
      </w:r>
    </w:p>
    <w:p w14:paraId="3573ED3F" w14:textId="77777777" w:rsidR="00FA4B67" w:rsidRDefault="00FA4B67" w:rsidP="00FA4B67"/>
    <w:p w14:paraId="20D10345" w14:textId="34C34BF1" w:rsidR="004826CB" w:rsidRDefault="006E0F76" w:rsidP="00FA4B67">
      <w:pPr>
        <w:jc w:val="both"/>
      </w:pPr>
      <w:r>
        <w:t xml:space="preserve">Le projet </w:t>
      </w:r>
      <w:r w:rsidR="00D65E38">
        <w:t>‘</w:t>
      </w:r>
      <w:r w:rsidR="00D65E38" w:rsidRPr="00530A62">
        <w:rPr>
          <w:i/>
        </w:rPr>
        <w:t>Appui à la gouvernance du secteur des industries extractives au Sénégal et en République du Congo-Brazzaville’</w:t>
      </w:r>
      <w:r w:rsidR="00D65E38">
        <w:t xml:space="preserve"> </w:t>
      </w:r>
      <w:r w:rsidR="00301AD0">
        <w:t xml:space="preserve">a pour objectif </w:t>
      </w:r>
      <w:r w:rsidR="004B5D52">
        <w:t>de soutenir l</w:t>
      </w:r>
      <w:r w:rsidR="007348FD">
        <w:t xml:space="preserve">’amélioration de </w:t>
      </w:r>
      <w:r w:rsidR="00FA4B67">
        <w:t xml:space="preserve">la gouvernance </w:t>
      </w:r>
      <w:r w:rsidR="00D65E38">
        <w:t xml:space="preserve">et de la transparence </w:t>
      </w:r>
      <w:r w:rsidR="00C877E9">
        <w:t xml:space="preserve">du secteur </w:t>
      </w:r>
      <w:r w:rsidR="00FA4B67">
        <w:t>des industries extractives au Sénégal et en République du Congo</w:t>
      </w:r>
      <w:r w:rsidR="004826CB">
        <w:t>.</w:t>
      </w:r>
    </w:p>
    <w:p w14:paraId="518B6D4F" w14:textId="0A9C14D4" w:rsidR="00C877E9" w:rsidRDefault="00301AD0" w:rsidP="00FA4B67">
      <w:pPr>
        <w:jc w:val="both"/>
      </w:pPr>
      <w:r>
        <w:t xml:space="preserve">Le programme d’appui </w:t>
      </w:r>
      <w:r w:rsidR="004B5D52">
        <w:t xml:space="preserve">technique </w:t>
      </w:r>
      <w:r>
        <w:t xml:space="preserve">vise notamment le </w:t>
      </w:r>
      <w:r w:rsidR="007348FD">
        <w:t>renforcement des capacités organisation</w:t>
      </w:r>
      <w:r w:rsidR="004826CB">
        <w:t xml:space="preserve">nelles </w:t>
      </w:r>
      <w:r w:rsidR="007348FD">
        <w:t>et techniques des parties prenantes</w:t>
      </w:r>
      <w:r w:rsidR="00F16379">
        <w:t xml:space="preserve"> </w:t>
      </w:r>
      <w:r w:rsidR="007348FD">
        <w:t>membres des comité</w:t>
      </w:r>
      <w:r w:rsidR="00F16379">
        <w:t>s</w:t>
      </w:r>
      <w:r w:rsidR="007348FD">
        <w:t xml:space="preserve"> </w:t>
      </w:r>
      <w:r w:rsidR="00F16379">
        <w:t>exécutifs nationaux responsables de la mise en œuvre de la norme internationale de l’Initiative pour la Transparence des Industries Extractives (ITIE)</w:t>
      </w:r>
      <w:r w:rsidR="00FA4B67">
        <w:t xml:space="preserve">. </w:t>
      </w:r>
    </w:p>
    <w:p w14:paraId="2AAFC641" w14:textId="77777777" w:rsidR="00B063BA" w:rsidRDefault="00B063BA" w:rsidP="00FA4B67">
      <w:pPr>
        <w:jc w:val="both"/>
      </w:pPr>
    </w:p>
    <w:p w14:paraId="3B4A1101" w14:textId="67A16A45" w:rsidR="00FA4B67" w:rsidRDefault="00FA4B67" w:rsidP="00FA4B67">
      <w:pPr>
        <w:jc w:val="both"/>
      </w:pPr>
      <w:r>
        <w:t>Ce projet ambitionne l’atteinte de trois résultats</w:t>
      </w:r>
      <w:r w:rsidR="006E0F76">
        <w:t xml:space="preserve"> </w:t>
      </w:r>
      <w:r>
        <w:t>au niveau de chacun des pays</w:t>
      </w:r>
      <w:r w:rsidR="004826CB">
        <w:t>, à savoir</w:t>
      </w:r>
      <w:r>
        <w:t xml:space="preserve">: </w:t>
      </w:r>
    </w:p>
    <w:p w14:paraId="44BBF582" w14:textId="60757EBA" w:rsidR="00FA4B67" w:rsidRDefault="00B55838" w:rsidP="003567C1">
      <w:pPr>
        <w:pStyle w:val="Paragraphedeliste"/>
        <w:numPr>
          <w:ilvl w:val="0"/>
          <w:numId w:val="20"/>
        </w:numPr>
        <w:jc w:val="both"/>
      </w:pPr>
      <w:r>
        <w:t>Renforcement de la gouvernance d</w:t>
      </w:r>
      <w:r w:rsidR="003567C1">
        <w:t xml:space="preserve">u </w:t>
      </w:r>
      <w:r>
        <w:t xml:space="preserve">groupe multipartite responsable de la mise en </w:t>
      </w:r>
      <w:r w:rsidR="00FA4B67">
        <w:t xml:space="preserve">œuvre de l’ITIE </w:t>
      </w:r>
      <w:r>
        <w:t>au niveau national</w:t>
      </w:r>
      <w:r w:rsidR="003567C1">
        <w:t xml:space="preserve"> dans chacun des deux pays, et renforcement des capacités des membres des groupes</w:t>
      </w:r>
    </w:p>
    <w:p w14:paraId="79C643B4" w14:textId="09B9CB36" w:rsidR="00FA4B67" w:rsidRDefault="00B55838" w:rsidP="003567C1">
      <w:pPr>
        <w:pStyle w:val="Paragraphedeliste"/>
        <w:numPr>
          <w:ilvl w:val="0"/>
          <w:numId w:val="20"/>
        </w:numPr>
        <w:jc w:val="both"/>
      </w:pPr>
      <w:r>
        <w:t>Re</w:t>
      </w:r>
      <w:r w:rsidR="00FA4B67">
        <w:t xml:space="preserve">nforcement de la transparence dans </w:t>
      </w:r>
      <w:r w:rsidR="003567C1">
        <w:t>les jalons de la chaine du</w:t>
      </w:r>
      <w:r w:rsidR="00FA4B67">
        <w:t xml:space="preserve"> secteur extractif</w:t>
      </w:r>
      <w:r w:rsidR="00F52700">
        <w:t xml:space="preserve">, </w:t>
      </w:r>
      <w:r w:rsidR="00FA4B67">
        <w:t>concernant</w:t>
      </w:r>
      <w:r w:rsidR="00F52700">
        <w:t xml:space="preserve"> </w:t>
      </w:r>
      <w:r w:rsidR="00FA4B67">
        <w:t>l’octroi des licences</w:t>
      </w:r>
      <w:r w:rsidR="00F52700">
        <w:t xml:space="preserve">, </w:t>
      </w:r>
      <w:r w:rsidR="00FA4B67">
        <w:t>les exonérations fiscales</w:t>
      </w:r>
      <w:r w:rsidR="00F52700">
        <w:t xml:space="preserve">, les couts de transferts, </w:t>
      </w:r>
      <w:r w:rsidR="00FA4B67">
        <w:t>l’information budgétaire</w:t>
      </w:r>
      <w:r w:rsidR="00F52700">
        <w:t xml:space="preserve">, etc. </w:t>
      </w:r>
    </w:p>
    <w:p w14:paraId="46205B88" w14:textId="5D9CE15F" w:rsidR="00FA4B67" w:rsidRDefault="003567C1" w:rsidP="003567C1">
      <w:pPr>
        <w:pStyle w:val="Paragraphedeliste"/>
        <w:numPr>
          <w:ilvl w:val="0"/>
          <w:numId w:val="20"/>
        </w:numPr>
        <w:jc w:val="both"/>
      </w:pPr>
      <w:r>
        <w:t>R</w:t>
      </w:r>
      <w:r w:rsidR="00FA4B67">
        <w:t>enforcement de la participation et de l’intégration de</w:t>
      </w:r>
      <w:r w:rsidR="00F52700">
        <w:t xml:space="preserve">s organisations de la </w:t>
      </w:r>
      <w:r w:rsidR="00FA4B67">
        <w:t>société civile</w:t>
      </w:r>
      <w:r w:rsidR="00F52700">
        <w:t xml:space="preserve"> locale</w:t>
      </w:r>
      <w:r w:rsidR="00FA4B67">
        <w:t xml:space="preserve"> dans la gouvernance du secteur et de la prise en compte des dimensions environnementales.</w:t>
      </w:r>
    </w:p>
    <w:p w14:paraId="67FF721A" w14:textId="3C1046DC" w:rsidR="00FA4B67" w:rsidRDefault="00FA4B67" w:rsidP="003567C1">
      <w:pPr>
        <w:jc w:val="both"/>
      </w:pPr>
    </w:p>
    <w:p w14:paraId="481DD415" w14:textId="526F5E8D" w:rsidR="00002B97" w:rsidRDefault="00002B97" w:rsidP="00002B97">
      <w:pPr>
        <w:jc w:val="both"/>
      </w:pPr>
      <w:r>
        <w:t>La durée de la mise en œuvre d</w:t>
      </w:r>
      <w:r w:rsidR="001A4941">
        <w:t>u P</w:t>
      </w:r>
      <w:r>
        <w:t xml:space="preserve">rojet </w:t>
      </w:r>
      <w:r w:rsidR="001A4941">
        <w:t xml:space="preserve">global </w:t>
      </w:r>
      <w:r>
        <w:t xml:space="preserve">est de 12 mois, sur un financement du Ministère français de l’Europe et des Affaires Etrangères. </w:t>
      </w:r>
    </w:p>
    <w:p w14:paraId="06DB5344" w14:textId="77777777" w:rsidR="000D4FE5" w:rsidRDefault="000D4FE5" w:rsidP="00002B97">
      <w:pPr>
        <w:jc w:val="both"/>
      </w:pPr>
    </w:p>
    <w:p w14:paraId="01A45C2F" w14:textId="77777777" w:rsidR="003E55E5" w:rsidRPr="00762394" w:rsidRDefault="00C4596F" w:rsidP="003E55E5">
      <w:pPr>
        <w:pStyle w:val="Titre1"/>
        <w:rPr>
          <w:u w:val="single"/>
        </w:rPr>
      </w:pPr>
      <w:r w:rsidRPr="00762394">
        <w:rPr>
          <w:u w:val="single"/>
        </w:rPr>
        <w:t xml:space="preserve">Profil souhaité </w:t>
      </w:r>
    </w:p>
    <w:p w14:paraId="19711E31" w14:textId="77777777" w:rsidR="00504916" w:rsidRDefault="00504916" w:rsidP="003E55E5">
      <w:pPr>
        <w:rPr>
          <w:i/>
        </w:rPr>
      </w:pPr>
    </w:p>
    <w:p w14:paraId="239FEA3D" w14:textId="4EC3913C" w:rsidR="00504916" w:rsidRPr="00706C09" w:rsidRDefault="002B3CAA" w:rsidP="00504916">
      <w:pPr>
        <w:ind w:firstLine="360"/>
        <w:jc w:val="both"/>
        <w:rPr>
          <w:rFonts w:ascii="Calibri" w:eastAsia="Times New Roman" w:hAnsi="Calibri" w:cs="Times New Roman"/>
          <w:b/>
          <w:i/>
          <w:szCs w:val="20"/>
          <w:lang w:eastAsia="fr-FR"/>
        </w:rPr>
      </w:pPr>
      <w:r>
        <w:rPr>
          <w:rFonts w:ascii="Calibri" w:eastAsia="Times New Roman" w:hAnsi="Calibri" w:cs="Times New Roman"/>
          <w:b/>
          <w:i/>
          <w:szCs w:val="20"/>
          <w:lang w:eastAsia="fr-FR"/>
        </w:rPr>
        <w:t>Qualifications et c</w:t>
      </w:r>
      <w:r w:rsidR="00504916" w:rsidRPr="00706C09">
        <w:rPr>
          <w:rFonts w:ascii="Calibri" w:eastAsia="Times New Roman" w:hAnsi="Calibri" w:cs="Times New Roman"/>
          <w:b/>
          <w:i/>
          <w:szCs w:val="20"/>
          <w:lang w:eastAsia="fr-FR"/>
        </w:rPr>
        <w:t>ompétences :</w:t>
      </w:r>
    </w:p>
    <w:p w14:paraId="79DBBDA1" w14:textId="7C379F16" w:rsidR="006A3C9C" w:rsidRDefault="00E72C27" w:rsidP="00A86E71">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Fo</w:t>
      </w:r>
      <w:r w:rsidR="00AF279F" w:rsidRPr="00AF279F">
        <w:rPr>
          <w:rFonts w:ascii="Calibri" w:eastAsia="Times New Roman" w:hAnsi="Calibri" w:cs="Times New Roman"/>
          <w:szCs w:val="20"/>
          <w:lang w:eastAsia="fr-FR"/>
        </w:rPr>
        <w:t xml:space="preserve">rmation </w:t>
      </w:r>
      <w:r w:rsidR="006A3C9C">
        <w:rPr>
          <w:rFonts w:ascii="Calibri" w:eastAsia="Times New Roman" w:hAnsi="Calibri" w:cs="Times New Roman"/>
          <w:szCs w:val="20"/>
          <w:lang w:eastAsia="fr-FR"/>
        </w:rPr>
        <w:t xml:space="preserve">diplôme </w:t>
      </w:r>
      <w:r w:rsidR="00AF279F" w:rsidRPr="00AF279F">
        <w:rPr>
          <w:rFonts w:ascii="Calibri" w:eastAsia="Times New Roman" w:hAnsi="Calibri" w:cs="Times New Roman"/>
          <w:szCs w:val="20"/>
          <w:lang w:eastAsia="fr-FR"/>
        </w:rPr>
        <w:t xml:space="preserve">en sciences </w:t>
      </w:r>
      <w:r w:rsidR="006A3C9C">
        <w:rPr>
          <w:rFonts w:ascii="Calibri" w:eastAsia="Times New Roman" w:hAnsi="Calibri" w:cs="Times New Roman"/>
          <w:szCs w:val="20"/>
          <w:lang w:eastAsia="fr-FR"/>
        </w:rPr>
        <w:t>de l’environnement</w:t>
      </w:r>
      <w:r w:rsidR="00AF279F" w:rsidRPr="00AF279F">
        <w:rPr>
          <w:rFonts w:ascii="Calibri" w:eastAsia="Times New Roman" w:hAnsi="Calibri" w:cs="Times New Roman"/>
          <w:szCs w:val="20"/>
          <w:lang w:eastAsia="fr-FR"/>
        </w:rPr>
        <w:t xml:space="preserve">, droit de l'environnement, gestion des ressources naturelles ou dans un domaine connexe. </w:t>
      </w:r>
    </w:p>
    <w:p w14:paraId="02BE1A6A" w14:textId="3E561BE4" w:rsidR="00AF279F" w:rsidRPr="00AF279F" w:rsidRDefault="00B063BA" w:rsidP="00A86E71">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Connaissance des n</w:t>
      </w:r>
      <w:r w:rsidR="00AF279F" w:rsidRPr="00AF279F">
        <w:rPr>
          <w:rFonts w:ascii="Calibri" w:eastAsia="Times New Roman" w:hAnsi="Calibri" w:cs="Times New Roman"/>
          <w:szCs w:val="20"/>
          <w:lang w:eastAsia="fr-FR"/>
        </w:rPr>
        <w:t xml:space="preserve">ormes </w:t>
      </w:r>
      <w:r>
        <w:rPr>
          <w:rFonts w:ascii="Calibri" w:eastAsia="Times New Roman" w:hAnsi="Calibri" w:cs="Times New Roman"/>
          <w:szCs w:val="20"/>
          <w:lang w:eastAsia="fr-FR"/>
        </w:rPr>
        <w:t xml:space="preserve">et standards </w:t>
      </w:r>
      <w:r w:rsidR="00AF279F" w:rsidRPr="00AF279F">
        <w:rPr>
          <w:rFonts w:ascii="Calibri" w:eastAsia="Times New Roman" w:hAnsi="Calibri" w:cs="Times New Roman"/>
          <w:szCs w:val="20"/>
          <w:lang w:eastAsia="fr-FR"/>
        </w:rPr>
        <w:t>environnementa</w:t>
      </w:r>
      <w:r>
        <w:rPr>
          <w:rFonts w:ascii="Calibri" w:eastAsia="Times New Roman" w:hAnsi="Calibri" w:cs="Times New Roman"/>
          <w:szCs w:val="20"/>
          <w:lang w:eastAsia="fr-FR"/>
        </w:rPr>
        <w:t>ux</w:t>
      </w:r>
      <w:r w:rsidR="00AF279F" w:rsidRPr="00AF279F">
        <w:rPr>
          <w:rFonts w:ascii="Calibri" w:eastAsia="Times New Roman" w:hAnsi="Calibri" w:cs="Times New Roman"/>
          <w:szCs w:val="20"/>
          <w:lang w:eastAsia="fr-FR"/>
        </w:rPr>
        <w:t xml:space="preserve"> internationa</w:t>
      </w:r>
      <w:r>
        <w:rPr>
          <w:rFonts w:ascii="Calibri" w:eastAsia="Times New Roman" w:hAnsi="Calibri" w:cs="Times New Roman"/>
          <w:szCs w:val="20"/>
          <w:lang w:eastAsia="fr-FR"/>
        </w:rPr>
        <w:t>ux</w:t>
      </w:r>
      <w:r w:rsidR="00AF279F" w:rsidRPr="00AF279F">
        <w:rPr>
          <w:rFonts w:ascii="Calibri" w:eastAsia="Times New Roman" w:hAnsi="Calibri" w:cs="Times New Roman"/>
          <w:szCs w:val="20"/>
          <w:lang w:eastAsia="fr-FR"/>
        </w:rPr>
        <w:t>.</w:t>
      </w:r>
    </w:p>
    <w:p w14:paraId="520807E8" w14:textId="051DE72F" w:rsidR="00AF279F" w:rsidRPr="00AF279F" w:rsidRDefault="00E72C27" w:rsidP="00A86E71">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C</w:t>
      </w:r>
      <w:r w:rsidR="00AF279F" w:rsidRPr="00AF279F">
        <w:rPr>
          <w:rFonts w:ascii="Calibri" w:eastAsia="Times New Roman" w:hAnsi="Calibri" w:cs="Times New Roman"/>
          <w:szCs w:val="20"/>
          <w:lang w:eastAsia="fr-FR"/>
        </w:rPr>
        <w:t>onnaissance du contexte socio-environnemental du Sénégal et du secteur extractif en Afrique serait bénéfique</w:t>
      </w:r>
      <w:r w:rsidR="00B063BA">
        <w:rPr>
          <w:rFonts w:ascii="Calibri" w:eastAsia="Times New Roman" w:hAnsi="Calibri" w:cs="Times New Roman"/>
          <w:szCs w:val="20"/>
          <w:lang w:eastAsia="fr-FR"/>
        </w:rPr>
        <w:t> ; bonne c</w:t>
      </w:r>
      <w:r w:rsidR="00AF279F" w:rsidRPr="00AF279F">
        <w:rPr>
          <w:rFonts w:ascii="Calibri" w:eastAsia="Times New Roman" w:hAnsi="Calibri" w:cs="Times New Roman"/>
          <w:szCs w:val="20"/>
          <w:lang w:eastAsia="fr-FR"/>
        </w:rPr>
        <w:t xml:space="preserve">ompréhension des défis </w:t>
      </w:r>
      <w:r w:rsidR="00B063BA">
        <w:rPr>
          <w:rFonts w:ascii="Calibri" w:eastAsia="Times New Roman" w:hAnsi="Calibri" w:cs="Times New Roman"/>
          <w:szCs w:val="20"/>
          <w:lang w:eastAsia="fr-FR"/>
        </w:rPr>
        <w:t xml:space="preserve">posés </w:t>
      </w:r>
      <w:r w:rsidR="00AF279F" w:rsidRPr="00AF279F">
        <w:rPr>
          <w:rFonts w:ascii="Calibri" w:eastAsia="Times New Roman" w:hAnsi="Calibri" w:cs="Times New Roman"/>
          <w:szCs w:val="20"/>
          <w:lang w:eastAsia="fr-FR"/>
        </w:rPr>
        <w:t>aux communautés locales et des meilleures pratiques en matière de gestion des impacts environnementaux et sociaux.</w:t>
      </w:r>
    </w:p>
    <w:p w14:paraId="1924405A" w14:textId="1550E792" w:rsidR="00AF279F" w:rsidRPr="00AF279F" w:rsidRDefault="00263552" w:rsidP="00A86E71">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C</w:t>
      </w:r>
      <w:r w:rsidR="00AF279F" w:rsidRPr="00AF279F">
        <w:rPr>
          <w:rFonts w:ascii="Calibri" w:eastAsia="Times New Roman" w:hAnsi="Calibri" w:cs="Times New Roman"/>
          <w:szCs w:val="20"/>
          <w:lang w:eastAsia="fr-FR"/>
        </w:rPr>
        <w:t>ompétences en recherche et en analyse</w:t>
      </w:r>
      <w:r>
        <w:rPr>
          <w:rFonts w:ascii="Calibri" w:eastAsia="Times New Roman" w:hAnsi="Calibri" w:cs="Times New Roman"/>
          <w:szCs w:val="20"/>
          <w:lang w:eastAsia="fr-FR"/>
        </w:rPr>
        <w:t xml:space="preserve">, pour assurer l’étude </w:t>
      </w:r>
      <w:r w:rsidR="00AF279F" w:rsidRPr="00AF279F">
        <w:rPr>
          <w:rFonts w:ascii="Calibri" w:eastAsia="Times New Roman" w:hAnsi="Calibri" w:cs="Times New Roman"/>
          <w:szCs w:val="20"/>
          <w:lang w:eastAsia="fr-FR"/>
        </w:rPr>
        <w:t>sur le suivi des impacts sociaux et environnementaux, examiner les codes juridiques, et évaluer le cadre légal et réglementaire en fonction des nouvelles exigences de la norme ITIE.</w:t>
      </w:r>
    </w:p>
    <w:p w14:paraId="1EC58AD9" w14:textId="2776ABFD" w:rsidR="00AF279F" w:rsidRPr="00AF279F" w:rsidRDefault="00263552" w:rsidP="00A86E71">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C</w:t>
      </w:r>
      <w:r w:rsidR="00AF279F" w:rsidRPr="00AF279F">
        <w:rPr>
          <w:rFonts w:ascii="Calibri" w:eastAsia="Times New Roman" w:hAnsi="Calibri" w:cs="Times New Roman"/>
          <w:szCs w:val="20"/>
          <w:lang w:eastAsia="fr-FR"/>
        </w:rPr>
        <w:t>ompétences solides en communication et en présentation</w:t>
      </w:r>
      <w:r>
        <w:rPr>
          <w:rFonts w:ascii="Calibri" w:eastAsia="Times New Roman" w:hAnsi="Calibri" w:cs="Times New Roman"/>
          <w:szCs w:val="20"/>
          <w:lang w:eastAsia="fr-FR"/>
        </w:rPr>
        <w:t xml:space="preserve">, </w:t>
      </w:r>
      <w:r w:rsidR="00AF279F" w:rsidRPr="00AF279F">
        <w:rPr>
          <w:rFonts w:ascii="Calibri" w:eastAsia="Times New Roman" w:hAnsi="Calibri" w:cs="Times New Roman"/>
          <w:szCs w:val="20"/>
          <w:lang w:eastAsia="fr-FR"/>
        </w:rPr>
        <w:t>nécessaires pour présenter des exemples de bonnes pratiques, organiser et animer des ateliers, et préparer rapports et présentations claires et convaincantes.</w:t>
      </w:r>
    </w:p>
    <w:p w14:paraId="1B6C6B9E" w14:textId="3C5B9B7E" w:rsidR="00AF279F" w:rsidRPr="00AF279F" w:rsidRDefault="00263552" w:rsidP="00A86E71">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C</w:t>
      </w:r>
      <w:r w:rsidR="00AF279F" w:rsidRPr="00AF279F">
        <w:rPr>
          <w:rFonts w:ascii="Calibri" w:eastAsia="Times New Roman" w:hAnsi="Calibri" w:cs="Times New Roman"/>
          <w:szCs w:val="20"/>
          <w:lang w:eastAsia="fr-FR"/>
        </w:rPr>
        <w:t>ompétences en gestion de projet pour assurer la livraison en temps voulu des livrables.</w:t>
      </w:r>
    </w:p>
    <w:p w14:paraId="4C91877E" w14:textId="77777777" w:rsidR="008E3DE3" w:rsidRPr="00AC4C4C" w:rsidRDefault="008E3DE3" w:rsidP="00AC4C4C">
      <w:pPr>
        <w:ind w:left="360"/>
        <w:jc w:val="both"/>
        <w:rPr>
          <w:rFonts w:ascii="Calibri" w:eastAsia="Times New Roman" w:hAnsi="Calibri" w:cs="Times New Roman"/>
          <w:szCs w:val="20"/>
          <w:lang w:eastAsia="fr-FR"/>
        </w:rPr>
      </w:pPr>
    </w:p>
    <w:p w14:paraId="4995E298" w14:textId="43E4117D" w:rsidR="00504916" w:rsidRPr="00706C09" w:rsidRDefault="002B3CAA" w:rsidP="00504916">
      <w:pPr>
        <w:ind w:firstLine="360"/>
        <w:jc w:val="both"/>
        <w:rPr>
          <w:rFonts w:ascii="Calibri" w:eastAsia="Times New Roman" w:hAnsi="Calibri" w:cs="Times New Roman"/>
          <w:b/>
          <w:i/>
          <w:szCs w:val="20"/>
          <w:lang w:eastAsia="fr-FR"/>
        </w:rPr>
      </w:pPr>
      <w:r>
        <w:rPr>
          <w:rFonts w:ascii="Calibri" w:eastAsia="Times New Roman" w:hAnsi="Calibri" w:cs="Times New Roman"/>
          <w:b/>
          <w:i/>
          <w:szCs w:val="20"/>
          <w:lang w:eastAsia="fr-FR"/>
        </w:rPr>
        <w:t>Expérience professionnelle</w:t>
      </w:r>
      <w:r w:rsidR="004164E2">
        <w:rPr>
          <w:rFonts w:ascii="Calibri" w:eastAsia="Times New Roman" w:hAnsi="Calibri" w:cs="Times New Roman"/>
          <w:b/>
          <w:i/>
          <w:szCs w:val="20"/>
          <w:lang w:eastAsia="fr-FR"/>
        </w:rPr>
        <w:t xml:space="preserve"> </w:t>
      </w:r>
      <w:r>
        <w:rPr>
          <w:rFonts w:ascii="Calibri" w:eastAsia="Times New Roman" w:hAnsi="Calibri" w:cs="Times New Roman"/>
          <w:b/>
          <w:i/>
          <w:szCs w:val="20"/>
          <w:lang w:eastAsia="fr-FR"/>
        </w:rPr>
        <w:t xml:space="preserve">générale et spécifiques : </w:t>
      </w:r>
    </w:p>
    <w:p w14:paraId="4DB34DFC" w14:textId="6878517C" w:rsidR="00BA528C" w:rsidRPr="006669F5" w:rsidRDefault="00BA528C" w:rsidP="00883C6B">
      <w:pPr>
        <w:numPr>
          <w:ilvl w:val="0"/>
          <w:numId w:val="13"/>
        </w:numPr>
        <w:tabs>
          <w:tab w:val="num" w:pos="0"/>
        </w:tabs>
        <w:ind w:left="714" w:hanging="357"/>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 xml:space="preserve">Capacité à travailler en milieu interculturel, </w:t>
      </w:r>
      <w:r w:rsidR="00EB13F3">
        <w:rPr>
          <w:rFonts w:ascii="Calibri" w:eastAsia="Times New Roman" w:hAnsi="Calibri" w:cs="Times New Roman"/>
          <w:szCs w:val="20"/>
          <w:lang w:eastAsia="fr-FR"/>
        </w:rPr>
        <w:t xml:space="preserve">en relation avec des </w:t>
      </w:r>
      <w:r w:rsidRPr="006669F5">
        <w:rPr>
          <w:rFonts w:ascii="Calibri" w:eastAsia="Times New Roman" w:hAnsi="Calibri" w:cs="Times New Roman"/>
          <w:szCs w:val="20"/>
          <w:lang w:eastAsia="fr-FR"/>
        </w:rPr>
        <w:t>autorités</w:t>
      </w:r>
      <w:r w:rsidR="00EB13F3">
        <w:rPr>
          <w:rFonts w:ascii="Calibri" w:eastAsia="Times New Roman" w:hAnsi="Calibri" w:cs="Times New Roman"/>
          <w:szCs w:val="20"/>
          <w:lang w:eastAsia="fr-FR"/>
        </w:rPr>
        <w:t>, O</w:t>
      </w:r>
      <w:r w:rsidRPr="006669F5">
        <w:rPr>
          <w:rFonts w:ascii="Calibri" w:eastAsia="Times New Roman" w:hAnsi="Calibri" w:cs="Times New Roman"/>
          <w:szCs w:val="20"/>
          <w:lang w:eastAsia="fr-FR"/>
        </w:rPr>
        <w:t xml:space="preserve">SC et </w:t>
      </w:r>
      <w:r w:rsidR="00EB13F3">
        <w:rPr>
          <w:rFonts w:ascii="Calibri" w:eastAsia="Times New Roman" w:hAnsi="Calibri" w:cs="Times New Roman"/>
          <w:szCs w:val="20"/>
          <w:lang w:eastAsia="fr-FR"/>
        </w:rPr>
        <w:t>secteur privé</w:t>
      </w:r>
    </w:p>
    <w:p w14:paraId="2B5C1CB4" w14:textId="2AD7654B" w:rsidR="00BA528C" w:rsidRPr="006669F5" w:rsidRDefault="00BA528C" w:rsidP="00883C6B">
      <w:pPr>
        <w:numPr>
          <w:ilvl w:val="0"/>
          <w:numId w:val="13"/>
        </w:numPr>
        <w:tabs>
          <w:tab w:val="num" w:pos="0"/>
        </w:tabs>
        <w:ind w:left="714" w:hanging="357"/>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La connaissance d</w:t>
      </w:r>
      <w:r w:rsidR="00EB13F3">
        <w:rPr>
          <w:rFonts w:ascii="Calibri" w:eastAsia="Times New Roman" w:hAnsi="Calibri" w:cs="Times New Roman"/>
          <w:szCs w:val="20"/>
          <w:lang w:eastAsia="fr-FR"/>
        </w:rPr>
        <w:t xml:space="preserve">u secteur </w:t>
      </w:r>
      <w:r w:rsidR="00AF279F">
        <w:rPr>
          <w:rFonts w:ascii="Calibri" w:eastAsia="Times New Roman" w:hAnsi="Calibri" w:cs="Times New Roman"/>
          <w:szCs w:val="20"/>
          <w:lang w:eastAsia="fr-FR"/>
        </w:rPr>
        <w:t xml:space="preserve">de l’environnement </w:t>
      </w:r>
      <w:r w:rsidR="004E7463">
        <w:rPr>
          <w:rFonts w:ascii="Calibri" w:eastAsia="Times New Roman" w:hAnsi="Calibri" w:cs="Times New Roman"/>
          <w:szCs w:val="20"/>
          <w:lang w:eastAsia="fr-FR"/>
        </w:rPr>
        <w:t xml:space="preserve">au </w:t>
      </w:r>
      <w:r w:rsidR="006042A6">
        <w:rPr>
          <w:rFonts w:ascii="Calibri" w:eastAsia="Times New Roman" w:hAnsi="Calibri" w:cs="Times New Roman"/>
          <w:szCs w:val="20"/>
          <w:lang w:eastAsia="fr-FR"/>
        </w:rPr>
        <w:t xml:space="preserve">Sénégal </w:t>
      </w:r>
      <w:r w:rsidRPr="006669F5">
        <w:rPr>
          <w:rFonts w:ascii="Calibri" w:eastAsia="Times New Roman" w:hAnsi="Calibri" w:cs="Times New Roman"/>
          <w:szCs w:val="20"/>
          <w:lang w:eastAsia="fr-FR"/>
        </w:rPr>
        <w:t>sera un avantage</w:t>
      </w:r>
    </w:p>
    <w:p w14:paraId="330D56A2" w14:textId="77777777" w:rsidR="006B66F5" w:rsidRDefault="006B66F5" w:rsidP="00504916">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Parfait</w:t>
      </w:r>
      <w:r w:rsidR="008D193B">
        <w:rPr>
          <w:rFonts w:ascii="Calibri" w:eastAsia="Times New Roman" w:hAnsi="Calibri" w:cs="Times New Roman"/>
          <w:szCs w:val="20"/>
          <w:lang w:eastAsia="fr-FR"/>
        </w:rPr>
        <w:t>e</w:t>
      </w:r>
      <w:r>
        <w:rPr>
          <w:rFonts w:ascii="Calibri" w:eastAsia="Times New Roman" w:hAnsi="Calibri" w:cs="Times New Roman"/>
          <w:szCs w:val="20"/>
          <w:lang w:eastAsia="fr-FR"/>
        </w:rPr>
        <w:t xml:space="preserve"> maitrise du français</w:t>
      </w:r>
      <w:r w:rsidR="00F72475">
        <w:rPr>
          <w:rFonts w:ascii="Calibri" w:eastAsia="Times New Roman" w:hAnsi="Calibri" w:cs="Times New Roman"/>
          <w:szCs w:val="20"/>
          <w:lang w:eastAsia="fr-FR"/>
        </w:rPr>
        <w:t xml:space="preserve"> à l’écrit et à l’oral </w:t>
      </w:r>
    </w:p>
    <w:p w14:paraId="05B7D1C5" w14:textId="77777777" w:rsidR="006669F5" w:rsidRDefault="006669F5" w:rsidP="008D193B">
      <w:pPr>
        <w:ind w:left="357"/>
        <w:jc w:val="both"/>
        <w:rPr>
          <w:rFonts w:ascii="Calibri" w:eastAsia="Times New Roman" w:hAnsi="Calibri" w:cs="Times New Roman"/>
          <w:szCs w:val="20"/>
          <w:lang w:eastAsia="fr-FR"/>
        </w:rPr>
      </w:pPr>
    </w:p>
    <w:p w14:paraId="5240E872" w14:textId="46785CA8" w:rsidR="00BF21CD" w:rsidRPr="00BF21CD" w:rsidRDefault="00D55238" w:rsidP="00504916">
      <w:pPr>
        <w:jc w:val="both"/>
        <w:rPr>
          <w:rFonts w:eastAsia="Times New Roman" w:cs="Times New Roman"/>
          <w:szCs w:val="20"/>
        </w:rPr>
      </w:pPr>
      <w:r>
        <w:rPr>
          <w:rFonts w:eastAsia="Times New Roman" w:cs="Times New Roman"/>
          <w:b/>
          <w:szCs w:val="20"/>
        </w:rPr>
        <w:t>Langue</w:t>
      </w:r>
      <w:r w:rsidR="00BF21CD">
        <w:rPr>
          <w:rFonts w:eastAsia="Times New Roman" w:cs="Times New Roman"/>
          <w:b/>
          <w:szCs w:val="20"/>
        </w:rPr>
        <w:t xml:space="preserve"> de travail : </w:t>
      </w:r>
      <w:r w:rsidR="00883C6B" w:rsidRPr="00883C6B">
        <w:rPr>
          <w:rFonts w:eastAsia="Times New Roman" w:cs="Times New Roman"/>
          <w:szCs w:val="20"/>
        </w:rPr>
        <w:t>F</w:t>
      </w:r>
      <w:r w:rsidR="00BF21CD" w:rsidRPr="00883C6B">
        <w:rPr>
          <w:rFonts w:eastAsia="Times New Roman" w:cs="Times New Roman"/>
          <w:szCs w:val="20"/>
        </w:rPr>
        <w:t>r</w:t>
      </w:r>
      <w:r w:rsidR="00BF21CD" w:rsidRPr="00BF21CD">
        <w:rPr>
          <w:rFonts w:eastAsia="Times New Roman" w:cs="Times New Roman"/>
          <w:szCs w:val="20"/>
        </w:rPr>
        <w:t>ançais</w:t>
      </w:r>
    </w:p>
    <w:p w14:paraId="13051345" w14:textId="77777777" w:rsidR="00D55238" w:rsidRPr="00700E4E" w:rsidRDefault="00D55238" w:rsidP="00504916">
      <w:pPr>
        <w:jc w:val="both"/>
        <w:rPr>
          <w:rFonts w:eastAsia="Times New Roman" w:cs="Times New Roman"/>
          <w:b/>
          <w:szCs w:val="20"/>
        </w:rPr>
      </w:pPr>
    </w:p>
    <w:p w14:paraId="1D178370" w14:textId="7D621D50" w:rsidR="00EE1F96" w:rsidRPr="00EE1F96" w:rsidRDefault="00EE1F96" w:rsidP="00EE1F96">
      <w:pPr>
        <w:pStyle w:val="Titre1"/>
        <w:rPr>
          <w:u w:val="single"/>
        </w:rPr>
      </w:pPr>
      <w:r w:rsidRPr="00EE1F96">
        <w:rPr>
          <w:u w:val="single"/>
        </w:rPr>
        <w:lastRenderedPageBreak/>
        <w:t>Informations complémentaires</w:t>
      </w:r>
    </w:p>
    <w:p w14:paraId="190C0680" w14:textId="77777777" w:rsidR="00EE1F96" w:rsidRDefault="00EE1F96" w:rsidP="00AB3E78">
      <w:pPr>
        <w:ind w:right="-141"/>
        <w:jc w:val="both"/>
        <w:rPr>
          <w:rFonts w:eastAsia="Times New Roman"/>
          <w:szCs w:val="20"/>
        </w:rPr>
      </w:pPr>
    </w:p>
    <w:p w14:paraId="7581A6EC" w14:textId="77777777" w:rsidR="00EE1F96" w:rsidRPr="00700B6C" w:rsidRDefault="00EE1F96" w:rsidP="00700B6C">
      <w:r w:rsidRPr="00EE1F96">
        <w:rPr>
          <w:rFonts w:ascii="Calibri" w:eastAsia="Times New Roman" w:hAnsi="Calibri" w:cs="Times New Roman"/>
          <w:b/>
          <w:i/>
          <w:szCs w:val="20"/>
          <w:lang w:eastAsia="fr-FR"/>
        </w:rPr>
        <w:t>Soumission des propositions</w:t>
      </w:r>
      <w:r w:rsidRPr="00EE1F96">
        <w:rPr>
          <w:rFonts w:ascii="Calibri" w:eastAsia="Times New Roman" w:hAnsi="Calibri" w:cs="Times New Roman"/>
          <w:b/>
          <w:i/>
          <w:szCs w:val="20"/>
          <w:lang w:eastAsia="fr-FR"/>
        </w:rPr>
        <w:br/>
      </w:r>
      <w:r w:rsidRPr="00700B6C">
        <w:t>Les prestataires intéressés doivent inclure les documents suivants dans leurs propositions :</w:t>
      </w:r>
    </w:p>
    <w:p w14:paraId="1066E4A3" w14:textId="6BA74D57" w:rsidR="00700B6C" w:rsidRDefault="00EE1F96" w:rsidP="00700B6C">
      <w:r w:rsidRPr="00700B6C">
        <w:t xml:space="preserve">-  Une brève proposition technique détaillant leur compréhension des principaux enjeux du </w:t>
      </w:r>
      <w:r w:rsidR="00700B6C">
        <w:t xml:space="preserve">projet, </w:t>
      </w:r>
      <w:r w:rsidRPr="00700B6C">
        <w:t>du contexte et des termes de référence, une proposition d’organisation du travail ainsi que le calendrier proposé</w:t>
      </w:r>
      <w:r w:rsidR="00B14E35">
        <w:t xml:space="preserve"> ; </w:t>
      </w:r>
    </w:p>
    <w:p w14:paraId="161C09B9" w14:textId="0C4F0283" w:rsidR="00700B6C" w:rsidRDefault="00EE1F96" w:rsidP="00700B6C">
      <w:r w:rsidRPr="00700B6C">
        <w:t>-  CV de</w:t>
      </w:r>
      <w:r w:rsidR="005705B7">
        <w:t xml:space="preserve"> l’</w:t>
      </w:r>
      <w:r w:rsidRPr="00700B6C">
        <w:t>expert proposé pour cette prestation, contenant des informations détaillées sur leurs qualifications, leurs expériences et les références appropriées</w:t>
      </w:r>
      <w:r w:rsidR="00B14E35">
        <w:t xml:space="preserve"> ; </w:t>
      </w:r>
    </w:p>
    <w:p w14:paraId="2A1A19C2" w14:textId="1B9F55DA" w:rsidR="00EE1F96" w:rsidRPr="00700B6C" w:rsidRDefault="00EE1F96" w:rsidP="00700B6C">
      <w:r w:rsidRPr="00700B6C">
        <w:t>-  Une proposition financière détaillée en jours-homme</w:t>
      </w:r>
      <w:r w:rsidR="00047979">
        <w:t xml:space="preserve">, </w:t>
      </w:r>
      <w:r w:rsidR="005F3EFD">
        <w:t>en identifiant le nombre de jours à distance et les jours de terrain, inclu</w:t>
      </w:r>
      <w:r w:rsidR="00B14E35">
        <w:t>s</w:t>
      </w:r>
      <w:r w:rsidR="005F3EFD">
        <w:t xml:space="preserve"> </w:t>
      </w:r>
      <w:r w:rsidR="00B14E35">
        <w:t xml:space="preserve">une </w:t>
      </w:r>
      <w:r w:rsidR="005F3EFD">
        <w:t>estimation des frais de mission</w:t>
      </w:r>
      <w:r w:rsidR="00B14E35">
        <w:t>(s)</w:t>
      </w:r>
      <w:r w:rsidR="005F3EFD">
        <w:t xml:space="preserve"> de déplacement</w:t>
      </w:r>
      <w:r w:rsidR="00B14E35">
        <w:t xml:space="preserve"> sur le terrain</w:t>
      </w:r>
      <w:r w:rsidRPr="00700B6C">
        <w:t>.</w:t>
      </w:r>
    </w:p>
    <w:p w14:paraId="52247BE1" w14:textId="77777777" w:rsidR="00EE1F96" w:rsidRDefault="00EE1F96" w:rsidP="00EE1F96">
      <w:pPr>
        <w:ind w:right="-141"/>
        <w:rPr>
          <w:rFonts w:cstheme="minorHAnsi"/>
        </w:rPr>
      </w:pPr>
    </w:p>
    <w:p w14:paraId="5CB1479E" w14:textId="6705FF3A" w:rsidR="00EE1F96" w:rsidRPr="00EE1F96" w:rsidRDefault="00EE1F96" w:rsidP="00EE1F96">
      <w:pPr>
        <w:ind w:right="-141"/>
        <w:rPr>
          <w:rFonts w:ascii="Calibri" w:eastAsia="Times New Roman" w:hAnsi="Calibri" w:cs="Times New Roman"/>
          <w:b/>
          <w:i/>
          <w:szCs w:val="20"/>
          <w:lang w:eastAsia="fr-FR"/>
        </w:rPr>
      </w:pPr>
      <w:r w:rsidRPr="00EE1F96">
        <w:rPr>
          <w:rFonts w:ascii="Calibri" w:eastAsia="Times New Roman" w:hAnsi="Calibri" w:cs="Times New Roman"/>
          <w:b/>
          <w:i/>
          <w:szCs w:val="20"/>
          <w:lang w:eastAsia="fr-FR"/>
        </w:rPr>
        <w:t>Critères de sélection des candidatures</w:t>
      </w:r>
    </w:p>
    <w:p w14:paraId="41E85D4D" w14:textId="69ED9C5C" w:rsidR="00D55238" w:rsidRDefault="00D55238" w:rsidP="003F436A">
      <w:pPr>
        <w:rPr>
          <w:rFonts w:cstheme="minorHAnsi"/>
        </w:rPr>
      </w:pPr>
      <w:r w:rsidRPr="00D55238">
        <w:rPr>
          <w:rFonts w:cstheme="minorHAnsi"/>
        </w:rPr>
        <w:t>Le processus de sélection des candidats s'opérera selon les critères suivants :</w:t>
      </w:r>
    </w:p>
    <w:p w14:paraId="47626696" w14:textId="09D7A0B3" w:rsidR="00D55238" w:rsidRDefault="00D55238" w:rsidP="00D55238">
      <w:pPr>
        <w:pStyle w:val="Paragraphedeliste"/>
        <w:numPr>
          <w:ilvl w:val="0"/>
          <w:numId w:val="19"/>
        </w:numPr>
        <w:ind w:right="-141"/>
        <w:rPr>
          <w:rFonts w:cstheme="minorHAnsi"/>
        </w:rPr>
      </w:pPr>
      <w:r w:rsidRPr="00D55238">
        <w:rPr>
          <w:rFonts w:cstheme="minorHAnsi"/>
        </w:rPr>
        <w:t>Formation/compétences/expériences du candidat</w:t>
      </w:r>
      <w:r w:rsidR="0036488E" w:rsidRPr="0036488E">
        <w:rPr>
          <w:rFonts w:cstheme="minorHAnsi"/>
        </w:rPr>
        <w:t xml:space="preserve"> </w:t>
      </w:r>
      <w:r w:rsidR="0036488E" w:rsidRPr="00D55238">
        <w:rPr>
          <w:rFonts w:cstheme="minorHAnsi"/>
        </w:rPr>
        <w:t>en lien avec la mission d’expertise</w:t>
      </w:r>
    </w:p>
    <w:p w14:paraId="303CA4A2" w14:textId="174A4DBA" w:rsidR="0036488E" w:rsidRPr="00D55238" w:rsidRDefault="0036488E" w:rsidP="00D55238">
      <w:pPr>
        <w:pStyle w:val="Paragraphedeliste"/>
        <w:numPr>
          <w:ilvl w:val="0"/>
          <w:numId w:val="19"/>
        </w:numPr>
        <w:ind w:right="-141"/>
        <w:rPr>
          <w:rFonts w:cstheme="minorHAnsi"/>
        </w:rPr>
      </w:pPr>
      <w:r w:rsidRPr="005F3EFD">
        <w:rPr>
          <w:rFonts w:cstheme="minorHAnsi"/>
        </w:rPr>
        <w:t>Compréhension des objectifs et de la portée de la mission</w:t>
      </w:r>
    </w:p>
    <w:p w14:paraId="1B878509" w14:textId="77777777" w:rsidR="00047979" w:rsidRPr="00047979" w:rsidRDefault="00047979" w:rsidP="00D55238">
      <w:pPr>
        <w:pStyle w:val="Paragraphedeliste"/>
        <w:numPr>
          <w:ilvl w:val="0"/>
          <w:numId w:val="19"/>
        </w:numPr>
        <w:ind w:right="-141"/>
        <w:rPr>
          <w:rFonts w:cstheme="minorHAnsi"/>
        </w:rPr>
      </w:pPr>
      <w:r w:rsidRPr="005F3EFD">
        <w:rPr>
          <w:rFonts w:cstheme="minorHAnsi"/>
        </w:rPr>
        <w:t>Références et exemples de travaux antérieurs</w:t>
      </w:r>
    </w:p>
    <w:p w14:paraId="466F224C" w14:textId="6AE936F4" w:rsidR="0036488E" w:rsidRPr="0036488E" w:rsidRDefault="0036488E" w:rsidP="00D55238">
      <w:pPr>
        <w:pStyle w:val="Paragraphedeliste"/>
        <w:numPr>
          <w:ilvl w:val="0"/>
          <w:numId w:val="19"/>
        </w:numPr>
        <w:ind w:right="-141"/>
        <w:rPr>
          <w:rFonts w:cstheme="minorHAnsi"/>
        </w:rPr>
      </w:pPr>
      <w:r w:rsidRPr="005F3EFD">
        <w:rPr>
          <w:rFonts w:cstheme="minorHAnsi"/>
        </w:rPr>
        <w:t xml:space="preserve">Pertinence de la méthodologie, du plan de travail et du calendrier proposés </w:t>
      </w:r>
    </w:p>
    <w:p w14:paraId="3A2355E5" w14:textId="024B47ED" w:rsidR="00047979" w:rsidRPr="00047979" w:rsidRDefault="00047979" w:rsidP="00D55238">
      <w:pPr>
        <w:pStyle w:val="Paragraphedeliste"/>
        <w:numPr>
          <w:ilvl w:val="0"/>
          <w:numId w:val="19"/>
        </w:numPr>
        <w:ind w:right="-141"/>
        <w:rPr>
          <w:rFonts w:cstheme="minorHAnsi"/>
        </w:rPr>
      </w:pPr>
      <w:r w:rsidRPr="005F3EFD">
        <w:rPr>
          <w:rFonts w:cstheme="minorHAnsi"/>
        </w:rPr>
        <w:t>Réalisme du budget</w:t>
      </w:r>
      <w:r w:rsidR="0024512A">
        <w:rPr>
          <w:rFonts w:cstheme="minorHAnsi"/>
        </w:rPr>
        <w:t xml:space="preserve"> </w:t>
      </w:r>
    </w:p>
    <w:p w14:paraId="0C323A17" w14:textId="77777777" w:rsidR="00D55238" w:rsidRPr="005F3EFD" w:rsidRDefault="00D55238" w:rsidP="00EE1F96">
      <w:pPr>
        <w:ind w:right="-141"/>
      </w:pPr>
    </w:p>
    <w:p w14:paraId="01D31726" w14:textId="5BDD06A3" w:rsidR="00A6692E" w:rsidRDefault="00D55238" w:rsidP="00EE1F96">
      <w:pPr>
        <w:ind w:right="-141"/>
        <w:rPr>
          <w:rFonts w:ascii="Calibri" w:eastAsia="Times New Roman" w:hAnsi="Calibri" w:cs="Times New Roman"/>
          <w:b/>
          <w:i/>
          <w:szCs w:val="20"/>
          <w:lang w:eastAsia="fr-FR"/>
        </w:rPr>
      </w:pPr>
      <w:r w:rsidRPr="00D55238">
        <w:rPr>
          <w:rFonts w:ascii="Calibri" w:eastAsia="Times New Roman" w:hAnsi="Calibri" w:cs="Times New Roman"/>
          <w:b/>
          <w:i/>
          <w:szCs w:val="20"/>
          <w:lang w:eastAsia="fr-FR"/>
        </w:rPr>
        <w:t xml:space="preserve">Date limite de </w:t>
      </w:r>
      <w:r w:rsidR="006C516F">
        <w:rPr>
          <w:rFonts w:ascii="Calibri" w:eastAsia="Times New Roman" w:hAnsi="Calibri" w:cs="Times New Roman"/>
          <w:b/>
          <w:i/>
          <w:szCs w:val="20"/>
          <w:lang w:eastAsia="fr-FR"/>
        </w:rPr>
        <w:t>dépôt des dossiers</w:t>
      </w:r>
      <w:r>
        <w:rPr>
          <w:rFonts w:ascii="Calibri" w:eastAsia="Times New Roman" w:hAnsi="Calibri" w:cs="Times New Roman"/>
          <w:b/>
          <w:i/>
          <w:szCs w:val="20"/>
          <w:lang w:eastAsia="fr-FR"/>
        </w:rPr>
        <w:t xml:space="preserve"> : </w:t>
      </w:r>
      <w:r w:rsidR="00412B8C" w:rsidRPr="00412B8C">
        <w:rPr>
          <w:rFonts w:ascii="Calibri" w:eastAsia="Times New Roman" w:hAnsi="Calibri" w:cs="Times New Roman"/>
          <w:szCs w:val="20"/>
          <w:lang w:eastAsia="fr-FR"/>
        </w:rPr>
        <w:t>30 aout</w:t>
      </w:r>
      <w:r w:rsidR="00412B8C">
        <w:rPr>
          <w:rFonts w:ascii="Calibri" w:eastAsia="Times New Roman" w:hAnsi="Calibri" w:cs="Times New Roman"/>
          <w:b/>
          <w:i/>
          <w:szCs w:val="20"/>
          <w:lang w:eastAsia="fr-FR"/>
        </w:rPr>
        <w:t xml:space="preserve"> </w:t>
      </w:r>
      <w:r w:rsidR="004E3C46" w:rsidRPr="000D4FE5">
        <w:rPr>
          <w:rFonts w:ascii="Calibri" w:eastAsia="Times New Roman" w:hAnsi="Calibri" w:cs="Times New Roman"/>
          <w:szCs w:val="20"/>
          <w:lang w:eastAsia="fr-FR"/>
        </w:rPr>
        <w:t>2</w:t>
      </w:r>
      <w:r w:rsidR="00AC3DF9" w:rsidRPr="000D4FE5">
        <w:rPr>
          <w:rFonts w:ascii="Calibri" w:eastAsia="Times New Roman" w:hAnsi="Calibri" w:cs="Times New Roman"/>
          <w:szCs w:val="20"/>
          <w:lang w:eastAsia="fr-FR"/>
        </w:rPr>
        <w:t>023</w:t>
      </w:r>
      <w:r w:rsidR="00ED639D">
        <w:rPr>
          <w:rFonts w:ascii="Calibri" w:eastAsia="Times New Roman" w:hAnsi="Calibri" w:cs="Times New Roman"/>
          <w:b/>
          <w:i/>
          <w:szCs w:val="20"/>
          <w:lang w:eastAsia="fr-FR"/>
        </w:rPr>
        <w:t xml:space="preserve"> </w:t>
      </w:r>
      <w:bookmarkStart w:id="0" w:name="_GoBack"/>
      <w:bookmarkEnd w:id="0"/>
    </w:p>
    <w:p w14:paraId="5F5AD8E2" w14:textId="77777777" w:rsidR="008D633A" w:rsidRDefault="008D633A" w:rsidP="00EE1F96">
      <w:pPr>
        <w:ind w:right="-141"/>
        <w:rPr>
          <w:rFonts w:ascii="Calibri" w:eastAsia="Times New Roman" w:hAnsi="Calibri" w:cs="Times New Roman"/>
          <w:b/>
          <w:i/>
          <w:szCs w:val="20"/>
          <w:lang w:eastAsia="fr-FR"/>
        </w:rPr>
      </w:pPr>
    </w:p>
    <w:p w14:paraId="0725DD7A" w14:textId="77777777" w:rsidR="008D633A" w:rsidRDefault="008D633A" w:rsidP="00EE1F96">
      <w:pPr>
        <w:ind w:right="-141"/>
        <w:rPr>
          <w:rFonts w:ascii="Calibri" w:eastAsia="Times New Roman" w:hAnsi="Calibri" w:cs="Times New Roman"/>
          <w:b/>
          <w:i/>
          <w:szCs w:val="20"/>
          <w:lang w:eastAsia="fr-FR"/>
        </w:rPr>
      </w:pPr>
    </w:p>
    <w:sectPr w:rsidR="008D63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1F92" w14:textId="77777777" w:rsidR="00624A7B" w:rsidRDefault="00624A7B" w:rsidP="00970050">
      <w:r>
        <w:separator/>
      </w:r>
    </w:p>
  </w:endnote>
  <w:endnote w:type="continuationSeparator" w:id="0">
    <w:p w14:paraId="79127CC1" w14:textId="77777777" w:rsidR="00624A7B" w:rsidRDefault="00624A7B" w:rsidP="0097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59163" w14:textId="77777777" w:rsidR="00624A7B" w:rsidRDefault="00624A7B" w:rsidP="00970050">
      <w:r>
        <w:separator/>
      </w:r>
    </w:p>
  </w:footnote>
  <w:footnote w:type="continuationSeparator" w:id="0">
    <w:p w14:paraId="5F34524F" w14:textId="77777777" w:rsidR="00624A7B" w:rsidRDefault="00624A7B" w:rsidP="0097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588A" w14:textId="77777777" w:rsidR="00D56E8F" w:rsidRDefault="00D56E8F">
    <w:pPr>
      <w:pStyle w:val="En-tte"/>
    </w:pPr>
    <w:r w:rsidRPr="00607E5E">
      <w:rPr>
        <w:rFonts w:ascii="Arial" w:eastAsia="Times" w:hAnsi="Arial" w:cs="Times New Roman"/>
        <w:noProof/>
        <w:sz w:val="20"/>
        <w:szCs w:val="20"/>
        <w:lang w:eastAsia="fr-FR"/>
      </w:rPr>
      <w:drawing>
        <wp:inline distT="0" distB="0" distL="0" distR="0" wp14:anchorId="4E1AA322" wp14:editId="6EF12C09">
          <wp:extent cx="1170432" cy="599221"/>
          <wp:effectExtent l="0" t="0" r="0" b="0"/>
          <wp:docPr id="3" name="Image 3" descr="C:\Users\allasra.naorgue\Desktop\LOGOS\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sra.naorgue\Desktop\LOGOS\Logo Expertise France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123" cy="6108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CF1"/>
    <w:multiLevelType w:val="hybridMultilevel"/>
    <w:tmpl w:val="E2EC380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8F60773"/>
    <w:multiLevelType w:val="multilevel"/>
    <w:tmpl w:val="2648FB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714B7"/>
    <w:multiLevelType w:val="hybridMultilevel"/>
    <w:tmpl w:val="E7E2573A"/>
    <w:lvl w:ilvl="0" w:tplc="8CC26B66">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B598C"/>
    <w:multiLevelType w:val="hybridMultilevel"/>
    <w:tmpl w:val="4AC2627C"/>
    <w:lvl w:ilvl="0" w:tplc="8CC26B66">
      <w:numFmt w:val="bullet"/>
      <w:lvlText w:val="-"/>
      <w:lvlJc w:val="left"/>
      <w:pPr>
        <w:ind w:left="1068" w:hanging="360"/>
      </w:pPr>
      <w:rPr>
        <w:rFonts w:ascii="Calibri" w:eastAsiaTheme="minorHAnsi" w:hAnsi="Calibri" w:cs="Calibri" w:hint="default"/>
      </w:rPr>
    </w:lvl>
    <w:lvl w:ilvl="1" w:tplc="130E75C0">
      <w:start w:val="41"/>
      <w:numFmt w:val="bullet"/>
      <w:lvlText w:val="-"/>
      <w:lvlJc w:val="left"/>
      <w:pPr>
        <w:ind w:left="1788" w:hanging="36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D244266"/>
    <w:multiLevelType w:val="hybridMultilevel"/>
    <w:tmpl w:val="E826A01A"/>
    <w:lvl w:ilvl="0" w:tplc="B9323E2A">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BB61DD"/>
    <w:multiLevelType w:val="hybridMultilevel"/>
    <w:tmpl w:val="72105D52"/>
    <w:lvl w:ilvl="0" w:tplc="B9323E2A">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982305"/>
    <w:multiLevelType w:val="multilevel"/>
    <w:tmpl w:val="4DE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26655"/>
    <w:multiLevelType w:val="multilevel"/>
    <w:tmpl w:val="420641F6"/>
    <w:lvl w:ilvl="0">
      <w:start w:val="4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E3A24"/>
    <w:multiLevelType w:val="multilevel"/>
    <w:tmpl w:val="656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14E7D"/>
    <w:multiLevelType w:val="hybridMultilevel"/>
    <w:tmpl w:val="B4B86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DB6AE5"/>
    <w:multiLevelType w:val="hybridMultilevel"/>
    <w:tmpl w:val="3508F56A"/>
    <w:lvl w:ilvl="0" w:tplc="040C0005">
      <w:start w:val="1"/>
      <w:numFmt w:val="bullet"/>
      <w:lvlText w:val=""/>
      <w:lvlJc w:val="left"/>
      <w:pPr>
        <w:ind w:left="720" w:hanging="360"/>
      </w:pPr>
      <w:rPr>
        <w:rFonts w:ascii="Wingdings" w:hAnsi="Wingdings"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604712"/>
    <w:multiLevelType w:val="hybridMultilevel"/>
    <w:tmpl w:val="7D269D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79D7E27"/>
    <w:multiLevelType w:val="multilevel"/>
    <w:tmpl w:val="D89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87E06"/>
    <w:multiLevelType w:val="hybridMultilevel"/>
    <w:tmpl w:val="8708C43A"/>
    <w:lvl w:ilvl="0" w:tplc="8CC26B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C30313"/>
    <w:multiLevelType w:val="hybridMultilevel"/>
    <w:tmpl w:val="EF10E022"/>
    <w:lvl w:ilvl="0" w:tplc="4426BB66">
      <w:numFmt w:val="bullet"/>
      <w:lvlText w:val="-"/>
      <w:lvlJc w:val="left"/>
      <w:pPr>
        <w:ind w:left="2484" w:hanging="360"/>
      </w:pPr>
      <w:rPr>
        <w:rFonts w:ascii="Calibri" w:eastAsiaTheme="minorHAnsi" w:hAnsi="Calibri" w:cs="Calibri"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5" w15:restartNumberingAfterBreak="0">
    <w:nsid w:val="39B818FC"/>
    <w:multiLevelType w:val="hybridMultilevel"/>
    <w:tmpl w:val="55389F62"/>
    <w:lvl w:ilvl="0" w:tplc="130E75C0">
      <w:start w:val="41"/>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C1454"/>
    <w:multiLevelType w:val="multilevel"/>
    <w:tmpl w:val="F9524C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1643FB"/>
    <w:multiLevelType w:val="multilevel"/>
    <w:tmpl w:val="483447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C334A"/>
    <w:multiLevelType w:val="multilevel"/>
    <w:tmpl w:val="BF6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00F1D"/>
    <w:multiLevelType w:val="multilevel"/>
    <w:tmpl w:val="1BA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3D0B57"/>
    <w:multiLevelType w:val="multilevel"/>
    <w:tmpl w:val="771E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C5B8B"/>
    <w:multiLevelType w:val="hybridMultilevel"/>
    <w:tmpl w:val="7B74A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4447C91"/>
    <w:multiLevelType w:val="hybridMultilevel"/>
    <w:tmpl w:val="42B23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DB2F95"/>
    <w:multiLevelType w:val="hybridMultilevel"/>
    <w:tmpl w:val="4FB420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896403A"/>
    <w:multiLevelType w:val="hybridMultilevel"/>
    <w:tmpl w:val="61569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3858F9"/>
    <w:multiLevelType w:val="multilevel"/>
    <w:tmpl w:val="48F2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4C70EB"/>
    <w:multiLevelType w:val="multilevel"/>
    <w:tmpl w:val="5EC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F31A83"/>
    <w:multiLevelType w:val="hybridMultilevel"/>
    <w:tmpl w:val="6E869B66"/>
    <w:lvl w:ilvl="0" w:tplc="8CC26B66">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BA423C"/>
    <w:multiLevelType w:val="multilevel"/>
    <w:tmpl w:val="80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155B1"/>
    <w:multiLevelType w:val="hybridMultilevel"/>
    <w:tmpl w:val="635A1412"/>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915650"/>
    <w:multiLevelType w:val="hybridMultilevel"/>
    <w:tmpl w:val="060A1A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0F4B3D"/>
    <w:multiLevelType w:val="multilevel"/>
    <w:tmpl w:val="41782EB6"/>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9B1B7A"/>
    <w:multiLevelType w:val="hybridMultilevel"/>
    <w:tmpl w:val="8BE8CD0C"/>
    <w:lvl w:ilvl="0" w:tplc="130E75C0">
      <w:start w:val="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C1619"/>
    <w:multiLevelType w:val="hybridMultilevel"/>
    <w:tmpl w:val="D4486382"/>
    <w:lvl w:ilvl="0" w:tplc="040C0005">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4820AB"/>
    <w:multiLevelType w:val="multilevel"/>
    <w:tmpl w:val="CF0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EA5429"/>
    <w:multiLevelType w:val="multilevel"/>
    <w:tmpl w:val="2648FB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1433E5"/>
    <w:multiLevelType w:val="hybridMultilevel"/>
    <w:tmpl w:val="A83A2AF2"/>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74E7009D"/>
    <w:multiLevelType w:val="multilevel"/>
    <w:tmpl w:val="5ABA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034D9"/>
    <w:multiLevelType w:val="hybridMultilevel"/>
    <w:tmpl w:val="48DC968E"/>
    <w:lvl w:ilvl="0" w:tplc="59A23402">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B3429A"/>
    <w:multiLevelType w:val="multilevel"/>
    <w:tmpl w:val="98D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3"/>
  </w:num>
  <w:num w:numId="4">
    <w:abstractNumId w:val="2"/>
  </w:num>
  <w:num w:numId="5">
    <w:abstractNumId w:val="37"/>
  </w:num>
  <w:num w:numId="6">
    <w:abstractNumId w:val="7"/>
  </w:num>
  <w:num w:numId="7">
    <w:abstractNumId w:val="6"/>
  </w:num>
  <w:num w:numId="8">
    <w:abstractNumId w:val="27"/>
  </w:num>
  <w:num w:numId="9">
    <w:abstractNumId w:val="14"/>
  </w:num>
  <w:num w:numId="10">
    <w:abstractNumId w:val="4"/>
  </w:num>
  <w:num w:numId="11">
    <w:abstractNumId w:val="5"/>
  </w:num>
  <w:num w:numId="12">
    <w:abstractNumId w:val="32"/>
  </w:num>
  <w:num w:numId="13">
    <w:abstractNumId w:val="33"/>
  </w:num>
  <w:num w:numId="14">
    <w:abstractNumId w:val="38"/>
  </w:num>
  <w:num w:numId="15">
    <w:abstractNumId w:val="36"/>
  </w:num>
  <w:num w:numId="16">
    <w:abstractNumId w:val="24"/>
  </w:num>
  <w:num w:numId="17">
    <w:abstractNumId w:val="10"/>
  </w:num>
  <w:num w:numId="18">
    <w:abstractNumId w:val="28"/>
  </w:num>
  <w:num w:numId="19">
    <w:abstractNumId w:val="9"/>
  </w:num>
  <w:num w:numId="20">
    <w:abstractNumId w:val="30"/>
  </w:num>
  <w:num w:numId="21">
    <w:abstractNumId w:val="18"/>
  </w:num>
  <w:num w:numId="22">
    <w:abstractNumId w:val="12"/>
  </w:num>
  <w:num w:numId="23">
    <w:abstractNumId w:val="0"/>
  </w:num>
  <w:num w:numId="24">
    <w:abstractNumId w:val="39"/>
  </w:num>
  <w:num w:numId="25">
    <w:abstractNumId w:val="23"/>
  </w:num>
  <w:num w:numId="26">
    <w:abstractNumId w:val="11"/>
  </w:num>
  <w:num w:numId="27">
    <w:abstractNumId w:val="21"/>
  </w:num>
  <w:num w:numId="28">
    <w:abstractNumId w:val="22"/>
  </w:num>
  <w:num w:numId="29">
    <w:abstractNumId w:val="35"/>
  </w:num>
  <w:num w:numId="30">
    <w:abstractNumId w:val="1"/>
  </w:num>
  <w:num w:numId="31">
    <w:abstractNumId w:val="8"/>
  </w:num>
  <w:num w:numId="32">
    <w:abstractNumId w:val="26"/>
  </w:num>
  <w:num w:numId="33">
    <w:abstractNumId w:val="34"/>
  </w:num>
  <w:num w:numId="34">
    <w:abstractNumId w:val="19"/>
  </w:num>
  <w:num w:numId="35">
    <w:abstractNumId w:val="25"/>
  </w:num>
  <w:num w:numId="36">
    <w:abstractNumId w:val="17"/>
  </w:num>
  <w:num w:numId="37">
    <w:abstractNumId w:val="20"/>
  </w:num>
  <w:num w:numId="38">
    <w:abstractNumId w:val="29"/>
  </w:num>
  <w:num w:numId="39">
    <w:abstractNumId w:val="1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50"/>
    <w:rsid w:val="00000A7E"/>
    <w:rsid w:val="00000B56"/>
    <w:rsid w:val="00002B97"/>
    <w:rsid w:val="000037A4"/>
    <w:rsid w:val="00012B08"/>
    <w:rsid w:val="00013405"/>
    <w:rsid w:val="00025D16"/>
    <w:rsid w:val="0002682C"/>
    <w:rsid w:val="00027882"/>
    <w:rsid w:val="00035391"/>
    <w:rsid w:val="00041F27"/>
    <w:rsid w:val="00047979"/>
    <w:rsid w:val="00076C1F"/>
    <w:rsid w:val="00082C71"/>
    <w:rsid w:val="000850A0"/>
    <w:rsid w:val="000869A7"/>
    <w:rsid w:val="000967D5"/>
    <w:rsid w:val="000A4650"/>
    <w:rsid w:val="000B6845"/>
    <w:rsid w:val="000D4FE5"/>
    <w:rsid w:val="000E0856"/>
    <w:rsid w:val="000F4E28"/>
    <w:rsid w:val="00115400"/>
    <w:rsid w:val="00122365"/>
    <w:rsid w:val="00126448"/>
    <w:rsid w:val="001303C2"/>
    <w:rsid w:val="001325A1"/>
    <w:rsid w:val="00134947"/>
    <w:rsid w:val="00146803"/>
    <w:rsid w:val="001566B5"/>
    <w:rsid w:val="00184764"/>
    <w:rsid w:val="001A0802"/>
    <w:rsid w:val="001A4941"/>
    <w:rsid w:val="001A6313"/>
    <w:rsid w:val="001A787C"/>
    <w:rsid w:val="001C12BD"/>
    <w:rsid w:val="001E2FE5"/>
    <w:rsid w:val="001E48D7"/>
    <w:rsid w:val="001F1811"/>
    <w:rsid w:val="001F7751"/>
    <w:rsid w:val="00201B6B"/>
    <w:rsid w:val="00225185"/>
    <w:rsid w:val="00230091"/>
    <w:rsid w:val="002310A8"/>
    <w:rsid w:val="0023481B"/>
    <w:rsid w:val="0024512A"/>
    <w:rsid w:val="002501FD"/>
    <w:rsid w:val="002507FD"/>
    <w:rsid w:val="00257B38"/>
    <w:rsid w:val="0026296A"/>
    <w:rsid w:val="00263552"/>
    <w:rsid w:val="00263CB0"/>
    <w:rsid w:val="002642DD"/>
    <w:rsid w:val="0028002D"/>
    <w:rsid w:val="00285E6E"/>
    <w:rsid w:val="002959F5"/>
    <w:rsid w:val="002A3033"/>
    <w:rsid w:val="002A38D8"/>
    <w:rsid w:val="002A3922"/>
    <w:rsid w:val="002A5B8B"/>
    <w:rsid w:val="002B1221"/>
    <w:rsid w:val="002B3CAA"/>
    <w:rsid w:val="002B56DD"/>
    <w:rsid w:val="002B56F6"/>
    <w:rsid w:val="002C721E"/>
    <w:rsid w:val="002D5666"/>
    <w:rsid w:val="002D6FB5"/>
    <w:rsid w:val="002D72B6"/>
    <w:rsid w:val="002E21F3"/>
    <w:rsid w:val="002E3AA6"/>
    <w:rsid w:val="002E5444"/>
    <w:rsid w:val="002F2072"/>
    <w:rsid w:val="002F470E"/>
    <w:rsid w:val="00301AD0"/>
    <w:rsid w:val="00311F74"/>
    <w:rsid w:val="00317644"/>
    <w:rsid w:val="00322342"/>
    <w:rsid w:val="00324231"/>
    <w:rsid w:val="00324D4F"/>
    <w:rsid w:val="00327FF4"/>
    <w:rsid w:val="00334E8F"/>
    <w:rsid w:val="00344952"/>
    <w:rsid w:val="003567C1"/>
    <w:rsid w:val="00360542"/>
    <w:rsid w:val="0036488E"/>
    <w:rsid w:val="00366BE6"/>
    <w:rsid w:val="00382D7E"/>
    <w:rsid w:val="00383011"/>
    <w:rsid w:val="0038388E"/>
    <w:rsid w:val="0039104D"/>
    <w:rsid w:val="00391C88"/>
    <w:rsid w:val="0039260E"/>
    <w:rsid w:val="0039743F"/>
    <w:rsid w:val="003A3DC4"/>
    <w:rsid w:val="003E55E5"/>
    <w:rsid w:val="003F436A"/>
    <w:rsid w:val="00407478"/>
    <w:rsid w:val="00412B8C"/>
    <w:rsid w:val="004164E2"/>
    <w:rsid w:val="0042173E"/>
    <w:rsid w:val="00426C50"/>
    <w:rsid w:val="004549B7"/>
    <w:rsid w:val="00456100"/>
    <w:rsid w:val="00464A0F"/>
    <w:rsid w:val="00466308"/>
    <w:rsid w:val="004666D0"/>
    <w:rsid w:val="00470380"/>
    <w:rsid w:val="004826CB"/>
    <w:rsid w:val="0049758D"/>
    <w:rsid w:val="004A12BE"/>
    <w:rsid w:val="004A578E"/>
    <w:rsid w:val="004B4D11"/>
    <w:rsid w:val="004B5D52"/>
    <w:rsid w:val="004C1531"/>
    <w:rsid w:val="004C2031"/>
    <w:rsid w:val="004E3C46"/>
    <w:rsid w:val="004E7463"/>
    <w:rsid w:val="004F0410"/>
    <w:rsid w:val="004F54D2"/>
    <w:rsid w:val="004F5AA0"/>
    <w:rsid w:val="004F706E"/>
    <w:rsid w:val="005029E7"/>
    <w:rsid w:val="005034B3"/>
    <w:rsid w:val="00504916"/>
    <w:rsid w:val="00506210"/>
    <w:rsid w:val="005157D6"/>
    <w:rsid w:val="00516B75"/>
    <w:rsid w:val="00520D17"/>
    <w:rsid w:val="005234D3"/>
    <w:rsid w:val="005266B8"/>
    <w:rsid w:val="00530A62"/>
    <w:rsid w:val="00532CA0"/>
    <w:rsid w:val="00541AC0"/>
    <w:rsid w:val="005458BE"/>
    <w:rsid w:val="00546391"/>
    <w:rsid w:val="0055663E"/>
    <w:rsid w:val="0055767C"/>
    <w:rsid w:val="00560A5C"/>
    <w:rsid w:val="00564B5A"/>
    <w:rsid w:val="00566AC9"/>
    <w:rsid w:val="005705B7"/>
    <w:rsid w:val="005721B7"/>
    <w:rsid w:val="00584D90"/>
    <w:rsid w:val="00586709"/>
    <w:rsid w:val="005B1201"/>
    <w:rsid w:val="005F3EFD"/>
    <w:rsid w:val="005F4DF9"/>
    <w:rsid w:val="005F745D"/>
    <w:rsid w:val="00600B2A"/>
    <w:rsid w:val="00603848"/>
    <w:rsid w:val="006042A6"/>
    <w:rsid w:val="006048EF"/>
    <w:rsid w:val="00604A69"/>
    <w:rsid w:val="00624A7B"/>
    <w:rsid w:val="00625CD3"/>
    <w:rsid w:val="00626970"/>
    <w:rsid w:val="00653DA5"/>
    <w:rsid w:val="0065546D"/>
    <w:rsid w:val="00656EB5"/>
    <w:rsid w:val="006669F5"/>
    <w:rsid w:val="00670335"/>
    <w:rsid w:val="00674889"/>
    <w:rsid w:val="00676205"/>
    <w:rsid w:val="00683C6F"/>
    <w:rsid w:val="00687002"/>
    <w:rsid w:val="0069428E"/>
    <w:rsid w:val="00695C7B"/>
    <w:rsid w:val="0069647C"/>
    <w:rsid w:val="00696789"/>
    <w:rsid w:val="006A26CB"/>
    <w:rsid w:val="006A3C9C"/>
    <w:rsid w:val="006A5E8C"/>
    <w:rsid w:val="006A7F69"/>
    <w:rsid w:val="006B66F5"/>
    <w:rsid w:val="006C516F"/>
    <w:rsid w:val="006D2202"/>
    <w:rsid w:val="006E0F76"/>
    <w:rsid w:val="006F21FD"/>
    <w:rsid w:val="006F2AAE"/>
    <w:rsid w:val="006F2FD6"/>
    <w:rsid w:val="006F5856"/>
    <w:rsid w:val="00700B6C"/>
    <w:rsid w:val="007115C3"/>
    <w:rsid w:val="007123DB"/>
    <w:rsid w:val="0071539E"/>
    <w:rsid w:val="00715EFC"/>
    <w:rsid w:val="00730BF7"/>
    <w:rsid w:val="00732854"/>
    <w:rsid w:val="007348FD"/>
    <w:rsid w:val="00742F44"/>
    <w:rsid w:val="007435F4"/>
    <w:rsid w:val="00760D08"/>
    <w:rsid w:val="00762394"/>
    <w:rsid w:val="00771CB4"/>
    <w:rsid w:val="00775BC6"/>
    <w:rsid w:val="00781078"/>
    <w:rsid w:val="007859B8"/>
    <w:rsid w:val="00785B82"/>
    <w:rsid w:val="007A53E0"/>
    <w:rsid w:val="007A5B86"/>
    <w:rsid w:val="007B2B07"/>
    <w:rsid w:val="007B6095"/>
    <w:rsid w:val="007C47A7"/>
    <w:rsid w:val="007D7C7D"/>
    <w:rsid w:val="007E0879"/>
    <w:rsid w:val="007E1979"/>
    <w:rsid w:val="00840174"/>
    <w:rsid w:val="00840A38"/>
    <w:rsid w:val="00851F42"/>
    <w:rsid w:val="008552D0"/>
    <w:rsid w:val="00860300"/>
    <w:rsid w:val="00865067"/>
    <w:rsid w:val="00870C64"/>
    <w:rsid w:val="0087417F"/>
    <w:rsid w:val="00874539"/>
    <w:rsid w:val="00875B90"/>
    <w:rsid w:val="00883C6B"/>
    <w:rsid w:val="00886894"/>
    <w:rsid w:val="00896DFE"/>
    <w:rsid w:val="008A65A2"/>
    <w:rsid w:val="008B1274"/>
    <w:rsid w:val="008B1EF5"/>
    <w:rsid w:val="008C08FA"/>
    <w:rsid w:val="008D193B"/>
    <w:rsid w:val="008D1994"/>
    <w:rsid w:val="008D3BEF"/>
    <w:rsid w:val="008D51C5"/>
    <w:rsid w:val="008D633A"/>
    <w:rsid w:val="008E3DE3"/>
    <w:rsid w:val="008E63C6"/>
    <w:rsid w:val="008F2A9A"/>
    <w:rsid w:val="008F42BE"/>
    <w:rsid w:val="008F5BB7"/>
    <w:rsid w:val="009007FE"/>
    <w:rsid w:val="009030AC"/>
    <w:rsid w:val="009044AA"/>
    <w:rsid w:val="00906ACB"/>
    <w:rsid w:val="00916C79"/>
    <w:rsid w:val="009318A1"/>
    <w:rsid w:val="00932F6B"/>
    <w:rsid w:val="009359D4"/>
    <w:rsid w:val="009404E2"/>
    <w:rsid w:val="009576D3"/>
    <w:rsid w:val="00957D90"/>
    <w:rsid w:val="009647AD"/>
    <w:rsid w:val="00970050"/>
    <w:rsid w:val="009713D9"/>
    <w:rsid w:val="0098123E"/>
    <w:rsid w:val="00981EF6"/>
    <w:rsid w:val="00982D7B"/>
    <w:rsid w:val="00982F4F"/>
    <w:rsid w:val="00985FC5"/>
    <w:rsid w:val="009A781B"/>
    <w:rsid w:val="009D2240"/>
    <w:rsid w:val="009D227D"/>
    <w:rsid w:val="009D397B"/>
    <w:rsid w:val="009E1F6E"/>
    <w:rsid w:val="009F1C24"/>
    <w:rsid w:val="009F5F72"/>
    <w:rsid w:val="00A014F4"/>
    <w:rsid w:val="00A015EE"/>
    <w:rsid w:val="00A01C5E"/>
    <w:rsid w:val="00A06FE4"/>
    <w:rsid w:val="00A271D0"/>
    <w:rsid w:val="00A308D8"/>
    <w:rsid w:val="00A36052"/>
    <w:rsid w:val="00A37ACC"/>
    <w:rsid w:val="00A44172"/>
    <w:rsid w:val="00A602B5"/>
    <w:rsid w:val="00A6692E"/>
    <w:rsid w:val="00A70940"/>
    <w:rsid w:val="00A71FC2"/>
    <w:rsid w:val="00A7395A"/>
    <w:rsid w:val="00A74DC4"/>
    <w:rsid w:val="00A85044"/>
    <w:rsid w:val="00A85567"/>
    <w:rsid w:val="00A85975"/>
    <w:rsid w:val="00A86E71"/>
    <w:rsid w:val="00A93173"/>
    <w:rsid w:val="00A931C8"/>
    <w:rsid w:val="00AA2E5E"/>
    <w:rsid w:val="00AB03D7"/>
    <w:rsid w:val="00AB349A"/>
    <w:rsid w:val="00AB3E78"/>
    <w:rsid w:val="00AB6609"/>
    <w:rsid w:val="00AC3B02"/>
    <w:rsid w:val="00AC3DF9"/>
    <w:rsid w:val="00AC4C4C"/>
    <w:rsid w:val="00AD0AEA"/>
    <w:rsid w:val="00AD1848"/>
    <w:rsid w:val="00AE00FF"/>
    <w:rsid w:val="00AE763D"/>
    <w:rsid w:val="00AF1EAF"/>
    <w:rsid w:val="00AF279F"/>
    <w:rsid w:val="00AF3C5B"/>
    <w:rsid w:val="00B022D5"/>
    <w:rsid w:val="00B063BA"/>
    <w:rsid w:val="00B14A9B"/>
    <w:rsid w:val="00B14E35"/>
    <w:rsid w:val="00B15A53"/>
    <w:rsid w:val="00B20E92"/>
    <w:rsid w:val="00B26B14"/>
    <w:rsid w:val="00B44BB0"/>
    <w:rsid w:val="00B46FF2"/>
    <w:rsid w:val="00B47D35"/>
    <w:rsid w:val="00B55838"/>
    <w:rsid w:val="00B64E01"/>
    <w:rsid w:val="00B70A01"/>
    <w:rsid w:val="00B7268C"/>
    <w:rsid w:val="00B75463"/>
    <w:rsid w:val="00B81C2D"/>
    <w:rsid w:val="00B83BA4"/>
    <w:rsid w:val="00B92A97"/>
    <w:rsid w:val="00B93A1C"/>
    <w:rsid w:val="00BA0657"/>
    <w:rsid w:val="00BA2D87"/>
    <w:rsid w:val="00BA528C"/>
    <w:rsid w:val="00BA65A6"/>
    <w:rsid w:val="00BB2FE4"/>
    <w:rsid w:val="00BC5C0D"/>
    <w:rsid w:val="00BE24ED"/>
    <w:rsid w:val="00BF21CD"/>
    <w:rsid w:val="00C009FF"/>
    <w:rsid w:val="00C34216"/>
    <w:rsid w:val="00C40FFA"/>
    <w:rsid w:val="00C41BD9"/>
    <w:rsid w:val="00C43C51"/>
    <w:rsid w:val="00C45163"/>
    <w:rsid w:val="00C4596F"/>
    <w:rsid w:val="00C45F73"/>
    <w:rsid w:val="00C5336F"/>
    <w:rsid w:val="00C57340"/>
    <w:rsid w:val="00C70C1F"/>
    <w:rsid w:val="00C77FB8"/>
    <w:rsid w:val="00C877E9"/>
    <w:rsid w:val="00CB08D0"/>
    <w:rsid w:val="00CD37D8"/>
    <w:rsid w:val="00CE1EC2"/>
    <w:rsid w:val="00CE3248"/>
    <w:rsid w:val="00CF3CAD"/>
    <w:rsid w:val="00CF49F7"/>
    <w:rsid w:val="00D00A29"/>
    <w:rsid w:val="00D031D2"/>
    <w:rsid w:val="00D36469"/>
    <w:rsid w:val="00D476E4"/>
    <w:rsid w:val="00D55238"/>
    <w:rsid w:val="00D55DDB"/>
    <w:rsid w:val="00D56E8F"/>
    <w:rsid w:val="00D65E38"/>
    <w:rsid w:val="00D764C7"/>
    <w:rsid w:val="00D81209"/>
    <w:rsid w:val="00D94A7D"/>
    <w:rsid w:val="00DD27B6"/>
    <w:rsid w:val="00DE325B"/>
    <w:rsid w:val="00DE3CE8"/>
    <w:rsid w:val="00E10E42"/>
    <w:rsid w:val="00E37E6A"/>
    <w:rsid w:val="00E72C27"/>
    <w:rsid w:val="00E7464F"/>
    <w:rsid w:val="00E978DD"/>
    <w:rsid w:val="00E97AB8"/>
    <w:rsid w:val="00EA5905"/>
    <w:rsid w:val="00EA7397"/>
    <w:rsid w:val="00EB13F3"/>
    <w:rsid w:val="00EC2D6F"/>
    <w:rsid w:val="00EC5DA9"/>
    <w:rsid w:val="00EC627B"/>
    <w:rsid w:val="00ED639D"/>
    <w:rsid w:val="00ED7484"/>
    <w:rsid w:val="00ED7CA3"/>
    <w:rsid w:val="00EE1F96"/>
    <w:rsid w:val="00F040F9"/>
    <w:rsid w:val="00F16379"/>
    <w:rsid w:val="00F22FB5"/>
    <w:rsid w:val="00F245AA"/>
    <w:rsid w:val="00F2462B"/>
    <w:rsid w:val="00F3465F"/>
    <w:rsid w:val="00F40926"/>
    <w:rsid w:val="00F41AC1"/>
    <w:rsid w:val="00F41C26"/>
    <w:rsid w:val="00F4454E"/>
    <w:rsid w:val="00F52700"/>
    <w:rsid w:val="00F57264"/>
    <w:rsid w:val="00F61C20"/>
    <w:rsid w:val="00F61D37"/>
    <w:rsid w:val="00F63728"/>
    <w:rsid w:val="00F72475"/>
    <w:rsid w:val="00F724D6"/>
    <w:rsid w:val="00F757BE"/>
    <w:rsid w:val="00F96B17"/>
    <w:rsid w:val="00FA10AC"/>
    <w:rsid w:val="00FA4B67"/>
    <w:rsid w:val="00FA4F5E"/>
    <w:rsid w:val="00FA58F9"/>
    <w:rsid w:val="00FB10A5"/>
    <w:rsid w:val="00FB59F9"/>
    <w:rsid w:val="00FB7514"/>
    <w:rsid w:val="00FC1068"/>
    <w:rsid w:val="00FD31B0"/>
    <w:rsid w:val="00FD5E0F"/>
    <w:rsid w:val="00FE682C"/>
    <w:rsid w:val="00FF287D"/>
    <w:rsid w:val="00FF7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9EBA"/>
  <w15:chartTrackingRefBased/>
  <w15:docId w15:val="{B9E1AC14-D0B8-420D-B2CE-991B0E29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88"/>
    <w:pPr>
      <w:spacing w:after="0" w:line="240" w:lineRule="auto"/>
    </w:pPr>
  </w:style>
  <w:style w:type="paragraph" w:styleId="Titre1">
    <w:name w:val="heading 1"/>
    <w:basedOn w:val="Normal"/>
    <w:next w:val="Normal"/>
    <w:link w:val="Titre1Car"/>
    <w:uiPriority w:val="9"/>
    <w:qFormat/>
    <w:rsid w:val="00A01C5E"/>
    <w:pPr>
      <w:keepNext/>
      <w:keepLines/>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050"/>
    <w:pPr>
      <w:tabs>
        <w:tab w:val="center" w:pos="4536"/>
        <w:tab w:val="right" w:pos="9072"/>
      </w:tabs>
    </w:pPr>
  </w:style>
  <w:style w:type="character" w:customStyle="1" w:styleId="En-tteCar">
    <w:name w:val="En-tête Car"/>
    <w:basedOn w:val="Policepardfaut"/>
    <w:link w:val="En-tte"/>
    <w:uiPriority w:val="99"/>
    <w:rsid w:val="00970050"/>
  </w:style>
  <w:style w:type="paragraph" w:styleId="Pieddepage">
    <w:name w:val="footer"/>
    <w:basedOn w:val="Normal"/>
    <w:link w:val="PieddepageCar"/>
    <w:uiPriority w:val="99"/>
    <w:unhideWhenUsed/>
    <w:rsid w:val="00970050"/>
    <w:pPr>
      <w:tabs>
        <w:tab w:val="center" w:pos="4536"/>
        <w:tab w:val="right" w:pos="9072"/>
      </w:tabs>
    </w:pPr>
  </w:style>
  <w:style w:type="character" w:customStyle="1" w:styleId="PieddepageCar">
    <w:name w:val="Pied de page Car"/>
    <w:basedOn w:val="Policepardfaut"/>
    <w:link w:val="Pieddepage"/>
    <w:uiPriority w:val="99"/>
    <w:rsid w:val="00970050"/>
  </w:style>
  <w:style w:type="paragraph" w:styleId="Paragraphedeliste">
    <w:name w:val="List Paragraph"/>
    <w:aliases w:val="Numbered Paragraph,Main numbered paragraph,References,Numbered List Paragraph,123 List Paragraph,Bullets,List Paragraph (numbered (a)),List Paragraph nowy,Liste 1,List_Paragraph,Multilevel para_II,List Paragraph1,Bullet paras,EC"/>
    <w:basedOn w:val="Normal"/>
    <w:link w:val="ParagraphedelisteCar"/>
    <w:uiPriority w:val="34"/>
    <w:qFormat/>
    <w:rsid w:val="00970050"/>
    <w:pPr>
      <w:ind w:left="720"/>
      <w:contextualSpacing/>
    </w:pPr>
  </w:style>
  <w:style w:type="character" w:customStyle="1" w:styleId="Titre1Car">
    <w:name w:val="Titre 1 Car"/>
    <w:basedOn w:val="Policepardfaut"/>
    <w:link w:val="Titre1"/>
    <w:uiPriority w:val="9"/>
    <w:rsid w:val="00A01C5E"/>
    <w:rPr>
      <w:rFonts w:eastAsiaTheme="majorEastAsia" w:cstheme="majorBidi"/>
      <w:b/>
      <w:szCs w:val="32"/>
    </w:rPr>
  </w:style>
  <w:style w:type="character" w:customStyle="1" w:styleId="ParagraphedelisteCar">
    <w:name w:val="Paragraphe de liste Car"/>
    <w:aliases w:val="Numbered Paragraph Car,Main numbered paragraph Car,References Car,Numbered List Paragraph Car,123 List Paragraph Car,Bullets Car,List Paragraph (numbered (a)) Car,List Paragraph nowy Car,Liste 1 Car,List_Paragraph Car,EC Car"/>
    <w:basedOn w:val="Policepardfaut"/>
    <w:link w:val="Paragraphedeliste"/>
    <w:uiPriority w:val="34"/>
    <w:qFormat/>
    <w:locked/>
    <w:rsid w:val="00EC627B"/>
  </w:style>
  <w:style w:type="character" w:styleId="Marquedecommentaire">
    <w:name w:val="annotation reference"/>
    <w:basedOn w:val="Policepardfaut"/>
    <w:uiPriority w:val="99"/>
    <w:semiHidden/>
    <w:unhideWhenUsed/>
    <w:rsid w:val="00C45163"/>
    <w:rPr>
      <w:sz w:val="16"/>
      <w:szCs w:val="16"/>
    </w:rPr>
  </w:style>
  <w:style w:type="paragraph" w:styleId="Commentaire">
    <w:name w:val="annotation text"/>
    <w:basedOn w:val="Normal"/>
    <w:link w:val="CommentaireCar"/>
    <w:uiPriority w:val="99"/>
    <w:semiHidden/>
    <w:unhideWhenUsed/>
    <w:rsid w:val="00C45163"/>
    <w:rPr>
      <w:sz w:val="20"/>
      <w:szCs w:val="20"/>
    </w:rPr>
  </w:style>
  <w:style w:type="character" w:customStyle="1" w:styleId="CommentaireCar">
    <w:name w:val="Commentaire Car"/>
    <w:basedOn w:val="Policepardfaut"/>
    <w:link w:val="Commentaire"/>
    <w:uiPriority w:val="99"/>
    <w:semiHidden/>
    <w:rsid w:val="00C45163"/>
    <w:rPr>
      <w:sz w:val="20"/>
      <w:szCs w:val="20"/>
    </w:rPr>
  </w:style>
  <w:style w:type="paragraph" w:styleId="Textedebulles">
    <w:name w:val="Balloon Text"/>
    <w:basedOn w:val="Normal"/>
    <w:link w:val="TextedebullesCar"/>
    <w:uiPriority w:val="99"/>
    <w:semiHidden/>
    <w:unhideWhenUsed/>
    <w:rsid w:val="00C451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163"/>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15EFC"/>
    <w:rPr>
      <w:b/>
      <w:bCs/>
    </w:rPr>
  </w:style>
  <w:style w:type="character" w:customStyle="1" w:styleId="ObjetducommentaireCar">
    <w:name w:val="Objet du commentaire Car"/>
    <w:basedOn w:val="CommentaireCar"/>
    <w:link w:val="Objetducommentaire"/>
    <w:uiPriority w:val="99"/>
    <w:semiHidden/>
    <w:rsid w:val="00715EFC"/>
    <w:rPr>
      <w:b/>
      <w:bCs/>
      <w:sz w:val="20"/>
      <w:szCs w:val="20"/>
    </w:rPr>
  </w:style>
  <w:style w:type="paragraph" w:styleId="Rvision">
    <w:name w:val="Revision"/>
    <w:hidden/>
    <w:uiPriority w:val="99"/>
    <w:semiHidden/>
    <w:rsid w:val="00A015EE"/>
    <w:pPr>
      <w:spacing w:after="0" w:line="240" w:lineRule="auto"/>
    </w:pPr>
  </w:style>
  <w:style w:type="character" w:styleId="lev">
    <w:name w:val="Strong"/>
    <w:basedOn w:val="Policepardfaut"/>
    <w:uiPriority w:val="22"/>
    <w:qFormat/>
    <w:rsid w:val="00EE1F96"/>
    <w:rPr>
      <w:b/>
      <w:bCs/>
    </w:rPr>
  </w:style>
  <w:style w:type="paragraph" w:styleId="NormalWeb">
    <w:name w:val="Normal (Web)"/>
    <w:basedOn w:val="Normal"/>
    <w:uiPriority w:val="99"/>
    <w:semiHidden/>
    <w:unhideWhenUsed/>
    <w:rsid w:val="00D5523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D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6301">
      <w:bodyDiv w:val="1"/>
      <w:marLeft w:val="0"/>
      <w:marRight w:val="0"/>
      <w:marTop w:val="0"/>
      <w:marBottom w:val="0"/>
      <w:divBdr>
        <w:top w:val="none" w:sz="0" w:space="0" w:color="auto"/>
        <w:left w:val="none" w:sz="0" w:space="0" w:color="auto"/>
        <w:bottom w:val="none" w:sz="0" w:space="0" w:color="auto"/>
        <w:right w:val="none" w:sz="0" w:space="0" w:color="auto"/>
      </w:divBdr>
    </w:div>
    <w:div w:id="423650601">
      <w:bodyDiv w:val="1"/>
      <w:marLeft w:val="0"/>
      <w:marRight w:val="0"/>
      <w:marTop w:val="0"/>
      <w:marBottom w:val="0"/>
      <w:divBdr>
        <w:top w:val="none" w:sz="0" w:space="0" w:color="auto"/>
        <w:left w:val="none" w:sz="0" w:space="0" w:color="auto"/>
        <w:bottom w:val="none" w:sz="0" w:space="0" w:color="auto"/>
        <w:right w:val="none" w:sz="0" w:space="0" w:color="auto"/>
      </w:divBdr>
    </w:div>
    <w:div w:id="764422639">
      <w:bodyDiv w:val="1"/>
      <w:marLeft w:val="0"/>
      <w:marRight w:val="0"/>
      <w:marTop w:val="0"/>
      <w:marBottom w:val="0"/>
      <w:divBdr>
        <w:top w:val="none" w:sz="0" w:space="0" w:color="auto"/>
        <w:left w:val="none" w:sz="0" w:space="0" w:color="auto"/>
        <w:bottom w:val="none" w:sz="0" w:space="0" w:color="auto"/>
        <w:right w:val="none" w:sz="0" w:space="0" w:color="auto"/>
      </w:divBdr>
    </w:div>
    <w:div w:id="11282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5FAF-D443-4B64-86F8-E54ACD64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1623</Words>
  <Characters>8930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MISSIEL</dc:creator>
  <cp:keywords/>
  <dc:description/>
  <cp:lastModifiedBy>Aurélie PELLETREAU</cp:lastModifiedBy>
  <cp:revision>19</cp:revision>
  <cp:lastPrinted>2023-07-20T07:14:00Z</cp:lastPrinted>
  <dcterms:created xsi:type="dcterms:W3CDTF">2023-08-08T09:04:00Z</dcterms:created>
  <dcterms:modified xsi:type="dcterms:W3CDTF">2023-08-08T10:44:00Z</dcterms:modified>
</cp:coreProperties>
</file>