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00310" w14:textId="77777777" w:rsidR="00D36DF4" w:rsidRPr="007C44B3" w:rsidRDefault="006F2725" w:rsidP="00C85939">
      <w:pPr>
        <w:tabs>
          <w:tab w:val="left" w:pos="6480"/>
        </w:tabs>
        <w:spacing w:before="120"/>
        <w:jc w:val="center"/>
        <w:outlineLvl w:val="0"/>
        <w:rPr>
          <w:rFonts w:ascii="Calibri" w:hAnsi="Calibri"/>
          <w:b/>
          <w:bCs/>
          <w:sz w:val="32"/>
          <w:szCs w:val="32"/>
        </w:rPr>
      </w:pPr>
      <w:r w:rsidRPr="007C44B3">
        <w:rPr>
          <w:rFonts w:ascii="Calibri" w:hAnsi="Calibri"/>
          <w:b/>
          <w:bCs/>
          <w:sz w:val="32"/>
          <w:szCs w:val="32"/>
        </w:rPr>
        <w:t>TERMES DE REFERENCES</w:t>
      </w:r>
    </w:p>
    <w:p w14:paraId="63EAD029" w14:textId="7C947379" w:rsidR="00C85939" w:rsidRPr="007C44B3" w:rsidRDefault="00123AD8" w:rsidP="006B72A4">
      <w:pPr>
        <w:tabs>
          <w:tab w:val="left" w:pos="6480"/>
        </w:tabs>
        <w:spacing w:before="120"/>
        <w:outlineLvl w:val="0"/>
        <w:rPr>
          <w:rFonts w:ascii="Calibri" w:hAnsi="Calibri"/>
          <w:b/>
          <w:bCs/>
          <w:sz w:val="28"/>
          <w:szCs w:val="28"/>
        </w:rPr>
      </w:pPr>
      <w:r w:rsidRPr="007C44B3">
        <w:rPr>
          <w:rFonts w:ascii="Calibri" w:hAnsi="Calibri"/>
          <w:i/>
          <w:sz w:val="22"/>
          <w:szCs w:val="22"/>
        </w:rPr>
        <w:t>Juin 2021</w:t>
      </w:r>
    </w:p>
    <w:p w14:paraId="466ABD86" w14:textId="77777777" w:rsidR="007F1763" w:rsidRPr="007C44B3" w:rsidRDefault="007F1763" w:rsidP="00CE2850">
      <w:pPr>
        <w:spacing w:before="60"/>
        <w:jc w:val="both"/>
        <w:outlineLvl w:val="0"/>
        <w:rPr>
          <w:rFonts w:ascii="Calibri" w:hAnsi="Calibri"/>
          <w:sz w:val="22"/>
          <w:szCs w:val="22"/>
        </w:rPr>
      </w:pPr>
    </w:p>
    <w:p w14:paraId="07F58E75" w14:textId="77777777" w:rsidR="007F1763" w:rsidRPr="007C44B3" w:rsidRDefault="007F1763"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Informations générales</w:t>
      </w:r>
    </w:p>
    <w:p w14:paraId="6ED54A58" w14:textId="0C4E423E" w:rsidR="001D52BD" w:rsidRPr="007C44B3" w:rsidRDefault="001D52BD" w:rsidP="001D52BD">
      <w:pPr>
        <w:ind w:left="180"/>
        <w:rPr>
          <w:rFonts w:ascii="Calibri" w:eastAsia="Arial Unicode MS" w:hAnsi="Calibri" w:cs="Arial Unicode MS"/>
          <w:b/>
          <w:sz w:val="22"/>
          <w:szCs w:val="22"/>
          <w:lang w:eastAsia="en-US"/>
        </w:rPr>
      </w:pPr>
    </w:p>
    <w:tbl>
      <w:tblPr>
        <w:tblW w:w="9564"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2"/>
        <w:gridCol w:w="7512"/>
      </w:tblGrid>
      <w:tr w:rsidR="007C44B3" w:rsidRPr="007C44B3" w14:paraId="1DA201CF" w14:textId="77777777" w:rsidTr="00182235">
        <w:trPr>
          <w:trHeight w:val="652"/>
        </w:trPr>
        <w:tc>
          <w:tcPr>
            <w:tcW w:w="2052" w:type="dxa"/>
            <w:tcBorders>
              <w:top w:val="single" w:sz="4" w:space="0" w:color="auto"/>
              <w:bottom w:val="dashSmallGap" w:sz="4" w:space="0" w:color="auto"/>
              <w:right w:val="single" w:sz="2" w:space="0" w:color="000000"/>
            </w:tcBorders>
            <w:shd w:val="clear" w:color="auto" w:fill="E6E6E6"/>
          </w:tcPr>
          <w:p w14:paraId="07920B0E" w14:textId="77777777" w:rsidR="001D52BD" w:rsidRPr="007C44B3" w:rsidRDefault="001D52BD"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 xml:space="preserve">Références </w:t>
            </w:r>
          </w:p>
        </w:tc>
        <w:tc>
          <w:tcPr>
            <w:tcW w:w="7512" w:type="dxa"/>
            <w:tcBorders>
              <w:top w:val="single" w:sz="4" w:space="0" w:color="auto"/>
              <w:left w:val="single" w:sz="2" w:space="0" w:color="000000"/>
              <w:bottom w:val="dashSmallGap" w:sz="4" w:space="0" w:color="auto"/>
            </w:tcBorders>
          </w:tcPr>
          <w:p w14:paraId="08BEDFF2" w14:textId="18258235" w:rsidR="001D52BD" w:rsidRPr="007C44B3" w:rsidRDefault="001D52BD" w:rsidP="006B72A4">
            <w:pPr>
              <w:spacing w:before="60" w:line="300" w:lineRule="atLeast"/>
              <w:outlineLvl w:val="0"/>
              <w:rPr>
                <w:rFonts w:ascii="Calibri" w:eastAsia="Times" w:hAnsi="Calibri"/>
                <w:b/>
                <w:sz w:val="22"/>
                <w:szCs w:val="22"/>
              </w:rPr>
            </w:pPr>
            <w:r w:rsidRPr="007C44B3">
              <w:rPr>
                <w:rFonts w:ascii="Calibri" w:eastAsia="Times" w:hAnsi="Calibri"/>
                <w:b/>
                <w:sz w:val="22"/>
                <w:szCs w:val="22"/>
              </w:rPr>
              <w:t>Expert</w:t>
            </w:r>
            <w:r w:rsidR="00C73249" w:rsidRPr="007C44B3">
              <w:rPr>
                <w:rFonts w:ascii="Calibri" w:eastAsia="Times" w:hAnsi="Calibri"/>
                <w:b/>
                <w:sz w:val="22"/>
                <w:szCs w:val="22"/>
              </w:rPr>
              <w:t>.e.s</w:t>
            </w:r>
            <w:r w:rsidRPr="007C44B3">
              <w:rPr>
                <w:rFonts w:ascii="Calibri" w:eastAsia="Times" w:hAnsi="Calibri"/>
                <w:b/>
                <w:sz w:val="22"/>
                <w:szCs w:val="22"/>
              </w:rPr>
              <w:t xml:space="preserve"> pour la réalisation de </w:t>
            </w:r>
            <w:r w:rsidRPr="007C44B3">
              <w:rPr>
                <w:rFonts w:ascii="Calibri" w:eastAsia="Times" w:hAnsi="Calibri"/>
                <w:sz w:val="22"/>
                <w:szCs w:val="22"/>
              </w:rPr>
              <w:t xml:space="preserve">l’activité </w:t>
            </w:r>
            <w:r w:rsidRPr="007C44B3">
              <w:rPr>
                <w:rFonts w:ascii="Calibri" w:hAnsi="Calibri"/>
                <w:sz w:val="22"/>
                <w:szCs w:val="22"/>
              </w:rPr>
              <w:t>A1.2.3</w:t>
            </w:r>
            <w:r w:rsidR="006B72A4" w:rsidRPr="007C44B3">
              <w:rPr>
                <w:rFonts w:ascii="Calibri" w:hAnsi="Calibri"/>
                <w:sz w:val="22"/>
                <w:szCs w:val="22"/>
              </w:rPr>
              <w:t>.1</w:t>
            </w:r>
            <w:r w:rsidRPr="007C44B3">
              <w:rPr>
                <w:rFonts w:ascii="Calibri" w:hAnsi="Calibri"/>
                <w:sz w:val="22"/>
                <w:szCs w:val="22"/>
              </w:rPr>
              <w:t xml:space="preserve"> «  Appui à l’organisation d’un diagnostic </w:t>
            </w:r>
            <w:r w:rsidR="00017CD6" w:rsidRPr="007C44B3">
              <w:rPr>
                <w:rFonts w:ascii="Calibri" w:hAnsi="Calibri"/>
                <w:sz w:val="22"/>
                <w:szCs w:val="22"/>
              </w:rPr>
              <w:t xml:space="preserve">institutionnel, </w:t>
            </w:r>
            <w:r w:rsidRPr="007C44B3">
              <w:rPr>
                <w:rFonts w:ascii="Calibri" w:hAnsi="Calibri"/>
                <w:sz w:val="22"/>
                <w:szCs w:val="22"/>
              </w:rPr>
              <w:t>organisationnel et fonctionnel des EPA en santé</w:t>
            </w:r>
            <w:r w:rsidRPr="007C44B3">
              <w:rPr>
                <w:rFonts w:ascii="Calibri" w:eastAsia="Times" w:hAnsi="Calibri"/>
                <w:sz w:val="22"/>
                <w:szCs w:val="22"/>
              </w:rPr>
              <w:t xml:space="preserve"> » dans le cadre du projet PASA2 – volet 1 appui institutionnel / gouvernance en gestion financière du Ministère de la </w:t>
            </w:r>
            <w:r w:rsidR="006B72A4" w:rsidRPr="007C44B3">
              <w:rPr>
                <w:rFonts w:ascii="Calibri" w:eastAsia="Times" w:hAnsi="Calibri"/>
                <w:sz w:val="22"/>
                <w:szCs w:val="22"/>
              </w:rPr>
              <w:t>S</w:t>
            </w:r>
            <w:r w:rsidRPr="007C44B3">
              <w:rPr>
                <w:rFonts w:ascii="Calibri" w:eastAsia="Times" w:hAnsi="Calibri"/>
                <w:sz w:val="22"/>
                <w:szCs w:val="22"/>
              </w:rPr>
              <w:t>anté</w:t>
            </w:r>
            <w:r w:rsidRPr="007C44B3">
              <w:rPr>
                <w:rFonts w:ascii="Calibri" w:eastAsia="Times" w:hAnsi="Calibri"/>
                <w:b/>
                <w:sz w:val="22"/>
                <w:szCs w:val="22"/>
              </w:rPr>
              <w:t xml:space="preserve">        </w:t>
            </w:r>
          </w:p>
        </w:tc>
      </w:tr>
      <w:tr w:rsidR="007C44B3" w:rsidRPr="007C44B3" w14:paraId="4CE443A0" w14:textId="77777777" w:rsidTr="00182235">
        <w:trPr>
          <w:trHeight w:val="652"/>
        </w:trPr>
        <w:tc>
          <w:tcPr>
            <w:tcW w:w="2052" w:type="dxa"/>
            <w:tcBorders>
              <w:top w:val="single" w:sz="4" w:space="0" w:color="auto"/>
              <w:bottom w:val="dashSmallGap" w:sz="4" w:space="0" w:color="auto"/>
              <w:right w:val="single" w:sz="2" w:space="0" w:color="000000"/>
            </w:tcBorders>
            <w:shd w:val="clear" w:color="auto" w:fill="E6E6E6"/>
          </w:tcPr>
          <w:p w14:paraId="6B2C3332" w14:textId="77777777" w:rsidR="001D52BD" w:rsidRPr="007C44B3" w:rsidRDefault="001D52BD"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Intitulé du poste</w:t>
            </w:r>
          </w:p>
        </w:tc>
        <w:tc>
          <w:tcPr>
            <w:tcW w:w="7512" w:type="dxa"/>
            <w:tcBorders>
              <w:top w:val="single" w:sz="4" w:space="0" w:color="auto"/>
              <w:left w:val="single" w:sz="2" w:space="0" w:color="000000"/>
              <w:bottom w:val="dashSmallGap" w:sz="4" w:space="0" w:color="auto"/>
            </w:tcBorders>
          </w:tcPr>
          <w:p w14:paraId="19B4EC91" w14:textId="398E02E5" w:rsidR="001D52BD" w:rsidRPr="007C44B3" w:rsidRDefault="001D52BD" w:rsidP="005C051F">
            <w:pPr>
              <w:spacing w:before="60" w:line="300" w:lineRule="atLeast"/>
              <w:outlineLvl w:val="0"/>
              <w:rPr>
                <w:rFonts w:ascii="Calibri" w:eastAsia="Times" w:hAnsi="Calibri"/>
                <w:sz w:val="22"/>
                <w:szCs w:val="22"/>
              </w:rPr>
            </w:pPr>
            <w:r w:rsidRPr="007C44B3">
              <w:rPr>
                <w:rFonts w:ascii="Calibri" w:eastAsia="Times" w:hAnsi="Calibri"/>
                <w:sz w:val="22"/>
                <w:szCs w:val="22"/>
              </w:rPr>
              <w:t>Expert</w:t>
            </w:r>
            <w:r w:rsidR="00C73249" w:rsidRPr="007C44B3">
              <w:rPr>
                <w:rFonts w:ascii="Calibri" w:eastAsia="Times" w:hAnsi="Calibri"/>
                <w:sz w:val="22"/>
                <w:szCs w:val="22"/>
              </w:rPr>
              <w:t>.e.</w:t>
            </w:r>
            <w:r w:rsidRPr="007C44B3">
              <w:rPr>
                <w:rFonts w:ascii="Calibri" w:eastAsia="Times" w:hAnsi="Calibri"/>
                <w:sz w:val="22"/>
                <w:szCs w:val="22"/>
              </w:rPr>
              <w:t>s en</w:t>
            </w:r>
            <w:r w:rsidR="00D36DF4" w:rsidRPr="007C44B3">
              <w:rPr>
                <w:rFonts w:ascii="Calibri" w:eastAsia="Times" w:hAnsi="Calibri"/>
                <w:sz w:val="22"/>
                <w:szCs w:val="22"/>
              </w:rPr>
              <w:t xml:space="preserve"> gouvernance des organismes publics dans le secteur</w:t>
            </w:r>
            <w:r w:rsidRPr="007C44B3">
              <w:rPr>
                <w:rFonts w:ascii="Calibri" w:eastAsia="Times" w:hAnsi="Calibri"/>
                <w:sz w:val="22"/>
                <w:szCs w:val="22"/>
              </w:rPr>
              <w:t xml:space="preserve"> de la </w:t>
            </w:r>
            <w:r w:rsidR="005C051F" w:rsidRPr="007C44B3">
              <w:rPr>
                <w:rFonts w:ascii="Calibri" w:eastAsia="Times" w:hAnsi="Calibri"/>
                <w:sz w:val="22"/>
                <w:szCs w:val="22"/>
              </w:rPr>
              <w:t>s</w:t>
            </w:r>
            <w:r w:rsidRPr="007C44B3">
              <w:rPr>
                <w:rFonts w:ascii="Calibri" w:eastAsia="Times" w:hAnsi="Calibri"/>
                <w:sz w:val="22"/>
                <w:szCs w:val="22"/>
              </w:rPr>
              <w:t>anté</w:t>
            </w:r>
          </w:p>
        </w:tc>
      </w:tr>
      <w:tr w:rsidR="007C44B3" w:rsidRPr="007C44B3" w14:paraId="0B100B62" w14:textId="77777777" w:rsidTr="00182235">
        <w:trPr>
          <w:trHeight w:val="652"/>
        </w:trPr>
        <w:tc>
          <w:tcPr>
            <w:tcW w:w="2052" w:type="dxa"/>
            <w:tcBorders>
              <w:top w:val="single" w:sz="4" w:space="0" w:color="auto"/>
              <w:bottom w:val="dashSmallGap" w:sz="4" w:space="0" w:color="auto"/>
              <w:right w:val="single" w:sz="2" w:space="0" w:color="000000"/>
            </w:tcBorders>
            <w:shd w:val="clear" w:color="auto" w:fill="E6E6E6"/>
          </w:tcPr>
          <w:p w14:paraId="6C033FDE" w14:textId="77777777" w:rsidR="001D52BD" w:rsidRPr="007C44B3" w:rsidRDefault="001D52BD"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Domaine</w:t>
            </w:r>
          </w:p>
        </w:tc>
        <w:tc>
          <w:tcPr>
            <w:tcW w:w="7512" w:type="dxa"/>
            <w:tcBorders>
              <w:top w:val="single" w:sz="4" w:space="0" w:color="auto"/>
              <w:left w:val="single" w:sz="2" w:space="0" w:color="000000"/>
              <w:bottom w:val="dashSmallGap" w:sz="4" w:space="0" w:color="auto"/>
            </w:tcBorders>
          </w:tcPr>
          <w:p w14:paraId="53B61352" w14:textId="70A7AB36" w:rsidR="001D52BD" w:rsidRPr="007C44B3" w:rsidRDefault="001D52BD" w:rsidP="00BF5704">
            <w:pPr>
              <w:spacing w:before="60" w:line="300" w:lineRule="atLeast"/>
              <w:outlineLvl w:val="0"/>
              <w:rPr>
                <w:rFonts w:ascii="Calibri" w:eastAsia="Times" w:hAnsi="Calibri"/>
                <w:sz w:val="22"/>
                <w:szCs w:val="22"/>
              </w:rPr>
            </w:pPr>
            <w:r w:rsidRPr="007C44B3">
              <w:rPr>
                <w:rFonts w:ascii="Calibri" w:eastAsia="Times" w:hAnsi="Calibri"/>
                <w:sz w:val="22"/>
                <w:szCs w:val="22"/>
              </w:rPr>
              <w:t xml:space="preserve">Gouvernance financière dans le domaine de la </w:t>
            </w:r>
            <w:r w:rsidR="00BF5704" w:rsidRPr="007C44B3">
              <w:rPr>
                <w:rFonts w:ascii="Calibri" w:eastAsia="Times" w:hAnsi="Calibri"/>
                <w:sz w:val="22"/>
                <w:szCs w:val="22"/>
              </w:rPr>
              <w:t>s</w:t>
            </w:r>
            <w:r w:rsidRPr="007C44B3">
              <w:rPr>
                <w:rFonts w:ascii="Calibri" w:eastAsia="Times" w:hAnsi="Calibri"/>
                <w:sz w:val="22"/>
                <w:szCs w:val="22"/>
              </w:rPr>
              <w:t xml:space="preserve">anté </w:t>
            </w:r>
          </w:p>
        </w:tc>
      </w:tr>
      <w:tr w:rsidR="007C44B3" w:rsidRPr="007C44B3" w14:paraId="05795AC7" w14:textId="77777777" w:rsidTr="00182235">
        <w:trPr>
          <w:trHeight w:val="815"/>
        </w:trPr>
        <w:tc>
          <w:tcPr>
            <w:tcW w:w="2052" w:type="dxa"/>
            <w:tcBorders>
              <w:top w:val="single" w:sz="4" w:space="0" w:color="auto"/>
              <w:bottom w:val="dashSmallGap" w:sz="4" w:space="0" w:color="auto"/>
              <w:right w:val="single" w:sz="2" w:space="0" w:color="000000"/>
            </w:tcBorders>
            <w:shd w:val="clear" w:color="auto" w:fill="E6E6E6"/>
          </w:tcPr>
          <w:p w14:paraId="019152DF" w14:textId="77777777" w:rsidR="001D52BD" w:rsidRPr="007C44B3" w:rsidRDefault="001D52BD"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Objet de la mission</w:t>
            </w:r>
          </w:p>
        </w:tc>
        <w:tc>
          <w:tcPr>
            <w:tcW w:w="7512" w:type="dxa"/>
            <w:tcBorders>
              <w:top w:val="single" w:sz="4" w:space="0" w:color="auto"/>
              <w:left w:val="single" w:sz="2" w:space="0" w:color="000000"/>
              <w:bottom w:val="dashSmallGap" w:sz="4" w:space="0" w:color="auto"/>
            </w:tcBorders>
          </w:tcPr>
          <w:p w14:paraId="3F24E531" w14:textId="6B2974C6" w:rsidR="001D52BD" w:rsidRPr="007C44B3" w:rsidRDefault="001D52BD" w:rsidP="00336B58">
            <w:pPr>
              <w:spacing w:before="60" w:line="300" w:lineRule="atLeast"/>
              <w:outlineLvl w:val="0"/>
              <w:rPr>
                <w:rFonts w:ascii="Calibri" w:eastAsia="Times" w:hAnsi="Calibri"/>
                <w:sz w:val="22"/>
                <w:szCs w:val="22"/>
              </w:rPr>
            </w:pPr>
            <w:r w:rsidRPr="007C44B3">
              <w:rPr>
                <w:rFonts w:ascii="Calibri" w:eastAsia="Times" w:hAnsi="Calibri"/>
                <w:sz w:val="22"/>
                <w:szCs w:val="22"/>
              </w:rPr>
              <w:t>Diagnostic</w:t>
            </w:r>
            <w:r w:rsidR="003616E8" w:rsidRPr="007C44B3">
              <w:rPr>
                <w:rFonts w:ascii="Calibri" w:eastAsia="Times" w:hAnsi="Calibri"/>
                <w:sz w:val="22"/>
                <w:szCs w:val="22"/>
              </w:rPr>
              <w:t xml:space="preserve"> institutionnel,</w:t>
            </w:r>
            <w:r w:rsidRPr="007C44B3">
              <w:rPr>
                <w:rFonts w:ascii="Calibri" w:eastAsia="Times" w:hAnsi="Calibri"/>
                <w:sz w:val="22"/>
                <w:szCs w:val="22"/>
              </w:rPr>
              <w:t xml:space="preserve"> organisationnel et fonctionnel des EPA santé du Ministère de la Santé</w:t>
            </w:r>
            <w:r w:rsidR="00336B58" w:rsidRPr="007C44B3">
              <w:rPr>
                <w:rFonts w:ascii="Calibri" w:eastAsia="Times" w:hAnsi="Calibri"/>
                <w:sz w:val="22"/>
                <w:szCs w:val="22"/>
              </w:rPr>
              <w:t xml:space="preserve"> </w:t>
            </w:r>
          </w:p>
        </w:tc>
      </w:tr>
      <w:tr w:rsidR="007C44B3" w:rsidRPr="007C44B3" w14:paraId="7CC50FB1" w14:textId="77777777" w:rsidTr="00182235">
        <w:trPr>
          <w:trHeight w:val="815"/>
        </w:trPr>
        <w:tc>
          <w:tcPr>
            <w:tcW w:w="2052" w:type="dxa"/>
            <w:tcBorders>
              <w:top w:val="single" w:sz="4" w:space="0" w:color="auto"/>
              <w:bottom w:val="dashSmallGap" w:sz="4" w:space="0" w:color="auto"/>
              <w:right w:val="single" w:sz="2" w:space="0" w:color="000000"/>
            </w:tcBorders>
            <w:shd w:val="clear" w:color="auto" w:fill="E6E6E6"/>
          </w:tcPr>
          <w:p w14:paraId="1B29BE7B" w14:textId="6F5255C0" w:rsidR="003A1875" w:rsidRPr="007C44B3" w:rsidRDefault="003A1875"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Périmètre de l’étude</w:t>
            </w:r>
          </w:p>
        </w:tc>
        <w:tc>
          <w:tcPr>
            <w:tcW w:w="7512" w:type="dxa"/>
            <w:tcBorders>
              <w:top w:val="single" w:sz="4" w:space="0" w:color="auto"/>
              <w:left w:val="single" w:sz="2" w:space="0" w:color="000000"/>
              <w:bottom w:val="dashSmallGap" w:sz="4" w:space="0" w:color="auto"/>
            </w:tcBorders>
          </w:tcPr>
          <w:p w14:paraId="2B7D30C7" w14:textId="05569E5D" w:rsidR="003A1875" w:rsidRPr="007C44B3" w:rsidRDefault="00144EA6" w:rsidP="008E14D1">
            <w:pPr>
              <w:spacing w:before="60" w:line="300" w:lineRule="atLeast"/>
              <w:outlineLvl w:val="0"/>
              <w:rPr>
                <w:rFonts w:ascii="Calibri" w:eastAsia="Times" w:hAnsi="Calibri"/>
                <w:sz w:val="22"/>
                <w:szCs w:val="22"/>
              </w:rPr>
            </w:pPr>
            <w:r w:rsidRPr="007C44B3">
              <w:rPr>
                <w:rFonts w:ascii="Calibri" w:eastAsia="Times" w:hAnsi="Calibri"/>
                <w:sz w:val="22"/>
                <w:szCs w:val="22"/>
              </w:rPr>
              <w:t>12 é</w:t>
            </w:r>
            <w:r w:rsidR="003A1875" w:rsidRPr="007C44B3">
              <w:rPr>
                <w:rFonts w:ascii="Calibri" w:eastAsia="Times" w:hAnsi="Calibri"/>
                <w:sz w:val="22"/>
                <w:szCs w:val="22"/>
              </w:rPr>
              <w:t>tablissement publics administratif</w:t>
            </w:r>
            <w:r w:rsidR="00BF5704" w:rsidRPr="007C44B3">
              <w:rPr>
                <w:rFonts w:ascii="Calibri" w:eastAsia="Times" w:hAnsi="Calibri"/>
                <w:sz w:val="22"/>
                <w:szCs w:val="22"/>
              </w:rPr>
              <w:t>s dans le secteur de la s</w:t>
            </w:r>
            <w:r w:rsidR="00C93312" w:rsidRPr="007C44B3">
              <w:rPr>
                <w:rFonts w:ascii="Calibri" w:eastAsia="Times" w:hAnsi="Calibri"/>
                <w:sz w:val="22"/>
                <w:szCs w:val="22"/>
              </w:rPr>
              <w:t>anté (</w:t>
            </w:r>
            <w:r w:rsidR="003A1875" w:rsidRPr="007C44B3">
              <w:rPr>
                <w:rFonts w:ascii="Calibri" w:eastAsia="Times" w:hAnsi="Calibri"/>
                <w:sz w:val="22"/>
                <w:szCs w:val="22"/>
              </w:rPr>
              <w:t>3 hôpitaux Nati</w:t>
            </w:r>
            <w:r w:rsidRPr="007C44B3">
              <w:rPr>
                <w:rFonts w:ascii="Calibri" w:eastAsia="Times" w:hAnsi="Calibri"/>
                <w:sz w:val="22"/>
                <w:szCs w:val="22"/>
              </w:rPr>
              <w:t>onaux, 7 hôpitaux régionaux, l’A</w:t>
            </w:r>
            <w:r w:rsidR="003A1875" w:rsidRPr="007C44B3">
              <w:rPr>
                <w:rFonts w:ascii="Calibri" w:eastAsia="Times" w:hAnsi="Calibri"/>
                <w:sz w:val="22"/>
                <w:szCs w:val="22"/>
              </w:rPr>
              <w:t xml:space="preserve">gence Nationale de </w:t>
            </w:r>
            <w:r w:rsidR="008E14D1" w:rsidRPr="007C44B3">
              <w:rPr>
                <w:rFonts w:ascii="Calibri" w:eastAsia="Times" w:hAnsi="Calibri"/>
                <w:sz w:val="22"/>
                <w:szCs w:val="22"/>
              </w:rPr>
              <w:t>S</w:t>
            </w:r>
            <w:r w:rsidR="003A1875" w:rsidRPr="007C44B3">
              <w:rPr>
                <w:rFonts w:ascii="Calibri" w:eastAsia="Times" w:hAnsi="Calibri"/>
                <w:sz w:val="22"/>
                <w:szCs w:val="22"/>
              </w:rPr>
              <w:t>écurité Sanitaire, l’Institut supérieur de la Santé</w:t>
            </w:r>
            <w:r w:rsidR="00E46BFB" w:rsidRPr="007C44B3">
              <w:rPr>
                <w:rFonts w:ascii="Calibri" w:eastAsia="Times" w:hAnsi="Calibri"/>
                <w:sz w:val="22"/>
                <w:szCs w:val="22"/>
              </w:rPr>
              <w:t xml:space="preserve">) – voir liste détaillée ci-dessous. </w:t>
            </w:r>
          </w:p>
        </w:tc>
      </w:tr>
      <w:tr w:rsidR="007C44B3" w:rsidRPr="007C44B3" w14:paraId="36416BDE" w14:textId="77777777" w:rsidTr="00182235">
        <w:trPr>
          <w:trHeight w:val="315"/>
        </w:trPr>
        <w:tc>
          <w:tcPr>
            <w:tcW w:w="2052" w:type="dxa"/>
            <w:tcBorders>
              <w:top w:val="dashSmallGap" w:sz="4" w:space="0" w:color="auto"/>
              <w:bottom w:val="dashSmallGap" w:sz="4" w:space="0" w:color="auto"/>
              <w:right w:val="single" w:sz="2" w:space="0" w:color="000000"/>
            </w:tcBorders>
            <w:shd w:val="clear" w:color="auto" w:fill="E6E6E6"/>
          </w:tcPr>
          <w:p w14:paraId="1B9C384C" w14:textId="025B0717" w:rsidR="001D52BD" w:rsidRPr="007C44B3" w:rsidRDefault="001D52BD" w:rsidP="003A1875">
            <w:pPr>
              <w:spacing w:before="60" w:line="300" w:lineRule="atLeast"/>
              <w:outlineLvl w:val="0"/>
              <w:rPr>
                <w:rFonts w:ascii="Calibri" w:eastAsia="Times" w:hAnsi="Calibri"/>
                <w:sz w:val="22"/>
                <w:szCs w:val="22"/>
              </w:rPr>
            </w:pPr>
            <w:r w:rsidRPr="007C44B3">
              <w:rPr>
                <w:rFonts w:ascii="Calibri" w:eastAsia="Times" w:hAnsi="Calibri"/>
                <w:sz w:val="22"/>
                <w:szCs w:val="22"/>
              </w:rPr>
              <w:t>Bénéficiaires</w:t>
            </w:r>
          </w:p>
        </w:tc>
        <w:tc>
          <w:tcPr>
            <w:tcW w:w="7512" w:type="dxa"/>
            <w:tcBorders>
              <w:top w:val="dashSmallGap" w:sz="4" w:space="0" w:color="auto"/>
              <w:left w:val="single" w:sz="2" w:space="0" w:color="000000"/>
              <w:bottom w:val="dashSmallGap" w:sz="4" w:space="0" w:color="auto"/>
            </w:tcBorders>
            <w:shd w:val="clear" w:color="auto" w:fill="auto"/>
          </w:tcPr>
          <w:p w14:paraId="5190ACC9" w14:textId="2F21ADAA" w:rsidR="001D52BD" w:rsidRPr="007C44B3" w:rsidRDefault="001D52BD" w:rsidP="001C4903">
            <w:pPr>
              <w:spacing w:before="60" w:line="300" w:lineRule="atLeast"/>
              <w:outlineLvl w:val="0"/>
              <w:rPr>
                <w:rFonts w:ascii="Calibri" w:eastAsia="Times" w:hAnsi="Calibri"/>
                <w:sz w:val="22"/>
                <w:szCs w:val="22"/>
              </w:rPr>
            </w:pPr>
            <w:r w:rsidRPr="007C44B3">
              <w:rPr>
                <w:rFonts w:ascii="Calibri" w:eastAsia="Times" w:hAnsi="Calibri"/>
                <w:sz w:val="22"/>
                <w:szCs w:val="22"/>
              </w:rPr>
              <w:t xml:space="preserve">Les 12 EPA </w:t>
            </w:r>
            <w:r w:rsidR="00FD4F4F" w:rsidRPr="007C44B3">
              <w:rPr>
                <w:rFonts w:ascii="Calibri" w:eastAsia="Times" w:hAnsi="Calibri"/>
                <w:sz w:val="22"/>
                <w:szCs w:val="22"/>
              </w:rPr>
              <w:t>s</w:t>
            </w:r>
            <w:r w:rsidRPr="007C44B3">
              <w:rPr>
                <w:rFonts w:ascii="Calibri" w:eastAsia="Times" w:hAnsi="Calibri"/>
                <w:sz w:val="22"/>
                <w:szCs w:val="22"/>
              </w:rPr>
              <w:t>anté du Ministère de la santé (3</w:t>
            </w:r>
            <w:r w:rsidR="00183CFD" w:rsidRPr="007C44B3">
              <w:rPr>
                <w:rFonts w:ascii="Calibri" w:eastAsia="Times" w:hAnsi="Calibri"/>
                <w:sz w:val="22"/>
                <w:szCs w:val="22"/>
              </w:rPr>
              <w:t xml:space="preserve"> hô</w:t>
            </w:r>
            <w:r w:rsidRPr="007C44B3">
              <w:rPr>
                <w:rFonts w:ascii="Calibri" w:eastAsia="Times" w:hAnsi="Calibri"/>
                <w:sz w:val="22"/>
                <w:szCs w:val="22"/>
              </w:rPr>
              <w:t>pitaux Nationaux, 7</w:t>
            </w:r>
            <w:r w:rsidR="00183CFD" w:rsidRPr="007C44B3">
              <w:rPr>
                <w:rFonts w:ascii="Calibri" w:eastAsia="Times" w:hAnsi="Calibri"/>
                <w:sz w:val="22"/>
                <w:szCs w:val="22"/>
              </w:rPr>
              <w:t xml:space="preserve"> hô</w:t>
            </w:r>
            <w:r w:rsidR="001C4903" w:rsidRPr="007C44B3">
              <w:rPr>
                <w:rFonts w:ascii="Calibri" w:eastAsia="Times" w:hAnsi="Calibri"/>
                <w:sz w:val="22"/>
                <w:szCs w:val="22"/>
              </w:rPr>
              <w:t>pitaux régionaux, l’A</w:t>
            </w:r>
            <w:r w:rsidRPr="007C44B3">
              <w:rPr>
                <w:rFonts w:ascii="Calibri" w:eastAsia="Times" w:hAnsi="Calibri"/>
                <w:sz w:val="22"/>
                <w:szCs w:val="22"/>
              </w:rPr>
              <w:t xml:space="preserve">gence Nationale de </w:t>
            </w:r>
            <w:r w:rsidR="001C4903" w:rsidRPr="007C44B3">
              <w:rPr>
                <w:rFonts w:ascii="Calibri" w:eastAsia="Times" w:hAnsi="Calibri"/>
                <w:sz w:val="22"/>
                <w:szCs w:val="22"/>
              </w:rPr>
              <w:t>S</w:t>
            </w:r>
            <w:r w:rsidRPr="007C44B3">
              <w:rPr>
                <w:rFonts w:ascii="Calibri" w:eastAsia="Times" w:hAnsi="Calibri"/>
                <w:sz w:val="22"/>
                <w:szCs w:val="22"/>
              </w:rPr>
              <w:t>écurité Sanitaire</w:t>
            </w:r>
            <w:r w:rsidR="00183CFD" w:rsidRPr="007C44B3">
              <w:rPr>
                <w:rFonts w:ascii="Calibri" w:eastAsia="Times" w:hAnsi="Calibri"/>
                <w:sz w:val="22"/>
                <w:szCs w:val="22"/>
              </w:rPr>
              <w:t>, l’</w:t>
            </w:r>
            <w:r w:rsidR="00BB5298" w:rsidRPr="007C44B3">
              <w:rPr>
                <w:rFonts w:ascii="Calibri" w:eastAsia="Times" w:hAnsi="Calibri"/>
                <w:bCs/>
                <w:sz w:val="22"/>
                <w:szCs w:val="22"/>
              </w:rPr>
              <w:t>Institut National de Santé Publique</w:t>
            </w:r>
            <w:r w:rsidR="00183CFD" w:rsidRPr="007C44B3">
              <w:rPr>
                <w:rFonts w:ascii="Calibri" w:eastAsia="Times" w:hAnsi="Calibri"/>
                <w:sz w:val="22"/>
                <w:szCs w:val="22"/>
              </w:rPr>
              <w:t xml:space="preserve"> et leurs services de rattachement au niveau central : </w:t>
            </w:r>
            <w:r w:rsidRPr="007C44B3">
              <w:rPr>
                <w:rFonts w:ascii="Calibri" w:eastAsia="Times" w:hAnsi="Calibri"/>
                <w:sz w:val="22"/>
                <w:szCs w:val="22"/>
              </w:rPr>
              <w:t xml:space="preserve">DAF, BSD, IGS, DNEHHS, SNIEM, </w:t>
            </w:r>
            <w:r w:rsidR="00183CFD" w:rsidRPr="007C44B3">
              <w:rPr>
                <w:rFonts w:ascii="Calibri" w:eastAsia="Times" w:hAnsi="Calibri"/>
                <w:sz w:val="22"/>
                <w:szCs w:val="22"/>
              </w:rPr>
              <w:t>et DNPEIP (MEF)</w:t>
            </w:r>
          </w:p>
        </w:tc>
      </w:tr>
      <w:tr w:rsidR="007C44B3" w:rsidRPr="007C44B3" w14:paraId="1E4ECB91" w14:textId="77777777" w:rsidTr="00182235">
        <w:trPr>
          <w:trHeight w:val="330"/>
        </w:trPr>
        <w:tc>
          <w:tcPr>
            <w:tcW w:w="2052" w:type="dxa"/>
            <w:tcBorders>
              <w:top w:val="dashSmallGap" w:sz="4" w:space="0" w:color="auto"/>
              <w:bottom w:val="dashSmallGap" w:sz="4" w:space="0" w:color="auto"/>
              <w:right w:val="single" w:sz="2" w:space="0" w:color="000000"/>
            </w:tcBorders>
            <w:shd w:val="clear" w:color="auto" w:fill="E6E6E6"/>
          </w:tcPr>
          <w:p w14:paraId="06D3FD1E" w14:textId="77777777" w:rsidR="001D52BD" w:rsidRPr="007C44B3" w:rsidRDefault="001D52BD"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Pays</w:t>
            </w:r>
          </w:p>
        </w:tc>
        <w:tc>
          <w:tcPr>
            <w:tcW w:w="7512" w:type="dxa"/>
            <w:tcBorders>
              <w:top w:val="dashSmallGap" w:sz="4" w:space="0" w:color="auto"/>
              <w:left w:val="single" w:sz="2" w:space="0" w:color="000000"/>
              <w:bottom w:val="dashSmallGap" w:sz="4" w:space="0" w:color="auto"/>
            </w:tcBorders>
            <w:shd w:val="clear" w:color="auto" w:fill="auto"/>
            <w:vAlign w:val="bottom"/>
          </w:tcPr>
          <w:p w14:paraId="0DA216BB" w14:textId="77777777" w:rsidR="001D52BD" w:rsidRPr="007C44B3" w:rsidRDefault="001D52BD" w:rsidP="00182235">
            <w:pPr>
              <w:spacing w:before="60" w:line="300" w:lineRule="atLeast"/>
              <w:outlineLvl w:val="0"/>
              <w:rPr>
                <w:rFonts w:ascii="Arial" w:eastAsia="Times" w:hAnsi="Arial"/>
                <w:sz w:val="20"/>
                <w:szCs w:val="20"/>
              </w:rPr>
            </w:pPr>
            <w:r w:rsidRPr="007C44B3">
              <w:rPr>
                <w:rFonts w:ascii="Calibri" w:eastAsia="Times" w:hAnsi="Calibri"/>
                <w:sz w:val="22"/>
                <w:szCs w:val="22"/>
              </w:rPr>
              <w:t>Guinée</w:t>
            </w:r>
          </w:p>
        </w:tc>
      </w:tr>
      <w:tr w:rsidR="007C44B3" w:rsidRPr="007C44B3" w14:paraId="7BBC1F31" w14:textId="77777777" w:rsidTr="00182235">
        <w:trPr>
          <w:trHeight w:val="330"/>
        </w:trPr>
        <w:tc>
          <w:tcPr>
            <w:tcW w:w="2052" w:type="dxa"/>
            <w:tcBorders>
              <w:top w:val="dashSmallGap" w:sz="4" w:space="0" w:color="auto"/>
              <w:bottom w:val="dashSmallGap" w:sz="4" w:space="0" w:color="auto"/>
              <w:right w:val="single" w:sz="2" w:space="0" w:color="000000"/>
            </w:tcBorders>
            <w:shd w:val="clear" w:color="auto" w:fill="E6E6E6"/>
          </w:tcPr>
          <w:p w14:paraId="4FE44607" w14:textId="77777777" w:rsidR="001D52BD" w:rsidRPr="007C44B3" w:rsidRDefault="001D52BD" w:rsidP="00182235">
            <w:pPr>
              <w:spacing w:before="60" w:line="300" w:lineRule="atLeast"/>
              <w:outlineLvl w:val="0"/>
              <w:rPr>
                <w:rFonts w:ascii="Calibri" w:eastAsia="Times" w:hAnsi="Calibri"/>
                <w:sz w:val="22"/>
                <w:szCs w:val="22"/>
              </w:rPr>
            </w:pPr>
            <w:r w:rsidRPr="007C44B3">
              <w:rPr>
                <w:rFonts w:ascii="Calibri" w:eastAsia="Times" w:hAnsi="Calibri"/>
                <w:sz w:val="22"/>
                <w:szCs w:val="22"/>
              </w:rPr>
              <w:t>Durée totale des jours prévus</w:t>
            </w:r>
          </w:p>
        </w:tc>
        <w:tc>
          <w:tcPr>
            <w:tcW w:w="7512" w:type="dxa"/>
            <w:tcBorders>
              <w:top w:val="dashSmallGap" w:sz="4" w:space="0" w:color="auto"/>
              <w:left w:val="single" w:sz="2" w:space="0" w:color="000000"/>
              <w:bottom w:val="dashSmallGap" w:sz="4" w:space="0" w:color="auto"/>
            </w:tcBorders>
          </w:tcPr>
          <w:p w14:paraId="474937D0" w14:textId="672F8950" w:rsidR="009778E9" w:rsidRPr="007C44B3" w:rsidRDefault="009778E9" w:rsidP="009778E9">
            <w:pPr>
              <w:spacing w:line="300" w:lineRule="atLeast"/>
              <w:outlineLvl w:val="0"/>
              <w:rPr>
                <w:rFonts w:ascii="Calibri" w:eastAsia="Times" w:hAnsi="Calibri"/>
                <w:sz w:val="22"/>
                <w:szCs w:val="22"/>
              </w:rPr>
            </w:pPr>
            <w:r w:rsidRPr="007C44B3">
              <w:rPr>
                <w:rFonts w:ascii="Calibri" w:eastAsia="Times" w:hAnsi="Calibri"/>
                <w:sz w:val="22"/>
                <w:szCs w:val="22"/>
              </w:rPr>
              <w:t xml:space="preserve">67 </w:t>
            </w:r>
            <w:r w:rsidR="001D52BD" w:rsidRPr="007C44B3">
              <w:rPr>
                <w:rFonts w:ascii="Calibri" w:eastAsia="Times" w:hAnsi="Calibri"/>
                <w:sz w:val="22"/>
                <w:szCs w:val="22"/>
              </w:rPr>
              <w:t xml:space="preserve">jours </w:t>
            </w:r>
            <w:r w:rsidRPr="007C44B3">
              <w:rPr>
                <w:rFonts w:ascii="Calibri" w:eastAsia="Times" w:hAnsi="Calibri"/>
                <w:sz w:val="22"/>
                <w:szCs w:val="22"/>
              </w:rPr>
              <w:t xml:space="preserve">au total pour 1 binôme d’experts </w:t>
            </w:r>
          </w:p>
          <w:p w14:paraId="035F57E8" w14:textId="45A78940" w:rsidR="001D52BD" w:rsidRPr="007C44B3" w:rsidRDefault="009778E9" w:rsidP="009778E9">
            <w:pPr>
              <w:spacing w:line="300" w:lineRule="atLeast"/>
              <w:outlineLvl w:val="0"/>
              <w:rPr>
                <w:rFonts w:ascii="Calibri" w:eastAsia="Times" w:hAnsi="Calibri"/>
                <w:sz w:val="22"/>
                <w:szCs w:val="22"/>
              </w:rPr>
            </w:pPr>
            <w:r w:rsidRPr="007C44B3">
              <w:rPr>
                <w:rFonts w:ascii="Calibri" w:eastAsia="Times" w:hAnsi="Calibri"/>
                <w:sz w:val="22"/>
                <w:szCs w:val="22"/>
              </w:rPr>
              <w:t>soit 37 jours (expert international) et 30 jours (expert national)</w:t>
            </w:r>
          </w:p>
        </w:tc>
      </w:tr>
    </w:tbl>
    <w:p w14:paraId="7266CAA2" w14:textId="77777777" w:rsidR="007F1763" w:rsidRPr="007C44B3" w:rsidRDefault="007F1763" w:rsidP="00CE2850">
      <w:pPr>
        <w:spacing w:before="60"/>
        <w:jc w:val="both"/>
        <w:outlineLvl w:val="0"/>
        <w:rPr>
          <w:rFonts w:ascii="Calibri" w:hAnsi="Calibri"/>
          <w:sz w:val="22"/>
          <w:szCs w:val="22"/>
        </w:rPr>
      </w:pPr>
    </w:p>
    <w:p w14:paraId="5639991B" w14:textId="77777777" w:rsidR="00671483" w:rsidRPr="007C44B3" w:rsidRDefault="00671483" w:rsidP="00CE2850">
      <w:pPr>
        <w:spacing w:before="60"/>
        <w:jc w:val="both"/>
        <w:outlineLvl w:val="0"/>
        <w:rPr>
          <w:rFonts w:ascii="Calibri" w:hAnsi="Calibri"/>
          <w:sz w:val="22"/>
          <w:szCs w:val="22"/>
        </w:rPr>
      </w:pPr>
    </w:p>
    <w:p w14:paraId="7AB3782C" w14:textId="4725ED83" w:rsidR="001D27F6" w:rsidRPr="007C44B3" w:rsidRDefault="000942EE"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Contexte et j</w:t>
      </w:r>
      <w:r w:rsidR="00965444" w:rsidRPr="007C44B3">
        <w:rPr>
          <w:rFonts w:ascii="Calibri" w:eastAsia="Arial Unicode MS" w:hAnsi="Calibri" w:cs="Arial Unicode MS"/>
          <w:b/>
          <w:sz w:val="22"/>
          <w:szCs w:val="22"/>
          <w:lang w:eastAsia="en-US"/>
        </w:rPr>
        <w:t xml:space="preserve">ustification </w:t>
      </w:r>
      <w:r w:rsidR="00EA4B51" w:rsidRPr="007C44B3">
        <w:rPr>
          <w:rFonts w:ascii="Calibri" w:eastAsia="Arial Unicode MS" w:hAnsi="Calibri" w:cs="Arial Unicode MS"/>
          <w:b/>
          <w:sz w:val="22"/>
          <w:szCs w:val="22"/>
          <w:lang w:eastAsia="en-US"/>
        </w:rPr>
        <w:t>du besoin</w:t>
      </w:r>
    </w:p>
    <w:p w14:paraId="5216283E" w14:textId="77777777" w:rsidR="001441C8" w:rsidRPr="007C44B3" w:rsidRDefault="001441C8" w:rsidP="001D27F6">
      <w:pPr>
        <w:rPr>
          <w:rFonts w:ascii="Calibri" w:hAnsi="Calibri"/>
          <w:sz w:val="22"/>
          <w:szCs w:val="22"/>
        </w:rPr>
      </w:pPr>
    </w:p>
    <w:p w14:paraId="16C84FCA" w14:textId="6BC98BB1" w:rsidR="006F2725" w:rsidRPr="007C44B3" w:rsidRDefault="006F2725" w:rsidP="00DF6355">
      <w:pPr>
        <w:pStyle w:val="Paragraphedeliste2"/>
        <w:numPr>
          <w:ilvl w:val="0"/>
          <w:numId w:val="9"/>
        </w:numPr>
        <w:rPr>
          <w:rFonts w:ascii="Calibri" w:hAnsi="Calibri"/>
          <w:b/>
          <w:sz w:val="22"/>
          <w:szCs w:val="22"/>
          <w:u w:val="single"/>
        </w:rPr>
      </w:pPr>
      <w:r w:rsidRPr="007C44B3">
        <w:rPr>
          <w:rFonts w:ascii="Calibri" w:hAnsi="Calibri"/>
          <w:b/>
          <w:sz w:val="22"/>
          <w:szCs w:val="22"/>
        </w:rPr>
        <w:t xml:space="preserve">Contexte lié au projet PASA2 (EF) </w:t>
      </w:r>
    </w:p>
    <w:p w14:paraId="6123810B" w14:textId="11C17153" w:rsidR="00D76E64" w:rsidRPr="007C44B3" w:rsidRDefault="00D76E64" w:rsidP="00D76E64">
      <w:pPr>
        <w:pStyle w:val="Paragraphedeliste2"/>
        <w:ind w:left="0"/>
        <w:rPr>
          <w:rFonts w:ascii="Calibri" w:hAnsi="Calibri"/>
          <w:b/>
          <w:sz w:val="22"/>
          <w:szCs w:val="22"/>
          <w:u w:val="single"/>
        </w:rPr>
      </w:pPr>
    </w:p>
    <w:p w14:paraId="5FA99C5E" w14:textId="3EFBF7D2" w:rsidR="00A97D3B" w:rsidRPr="007C44B3" w:rsidRDefault="00A97D3B" w:rsidP="00A97D3B">
      <w:pPr>
        <w:pStyle w:val="Paragraphedeliste2"/>
        <w:ind w:left="0"/>
        <w:jc w:val="both"/>
        <w:rPr>
          <w:rFonts w:ascii="Calibri" w:hAnsi="Calibri" w:cs="Tahoma"/>
          <w:bCs/>
          <w:sz w:val="22"/>
          <w:szCs w:val="22"/>
        </w:rPr>
      </w:pPr>
      <w:r w:rsidRPr="007C44B3">
        <w:rPr>
          <w:rFonts w:ascii="Calibri" w:hAnsi="Calibri" w:cs="Tahoma"/>
          <w:bCs/>
          <w:sz w:val="22"/>
          <w:szCs w:val="22"/>
        </w:rPr>
        <w:t xml:space="preserve">Dans le cadre de la mise en œuvre du programme d’appui au renforcement du système de santé en Guinée, une convention entre </w:t>
      </w:r>
      <w:r w:rsidR="000449F9" w:rsidRPr="007C44B3">
        <w:rPr>
          <w:rFonts w:ascii="Calibri" w:hAnsi="Calibri" w:cs="Tahoma"/>
          <w:bCs/>
          <w:sz w:val="22"/>
          <w:szCs w:val="22"/>
        </w:rPr>
        <w:t>la Délégation de l’Union Européenne (DUE)</w:t>
      </w:r>
      <w:r w:rsidRPr="007C44B3">
        <w:rPr>
          <w:rFonts w:ascii="Calibri" w:hAnsi="Calibri" w:cs="Tahoma"/>
          <w:bCs/>
          <w:sz w:val="22"/>
          <w:szCs w:val="22"/>
        </w:rPr>
        <w:t xml:space="preserve"> et Expertise France (EF) a permis de confier une partie de la mise en œuvre de ce projet à Expertise France, l’autre partie étant confiée à la GIZ.</w:t>
      </w:r>
    </w:p>
    <w:p w14:paraId="0A7EE849" w14:textId="77777777" w:rsidR="00EA392E" w:rsidRPr="007C44B3" w:rsidRDefault="00EA392E" w:rsidP="00EA392E">
      <w:pPr>
        <w:jc w:val="both"/>
        <w:rPr>
          <w:rFonts w:ascii="Calibri" w:hAnsi="Calibri" w:cs="Tahoma"/>
          <w:bCs/>
          <w:sz w:val="22"/>
          <w:szCs w:val="22"/>
        </w:rPr>
      </w:pPr>
    </w:p>
    <w:p w14:paraId="41A1E028" w14:textId="3A5B83F8" w:rsidR="00EA392E" w:rsidRPr="007C44B3" w:rsidRDefault="00EA392E" w:rsidP="00EA392E">
      <w:pPr>
        <w:jc w:val="both"/>
        <w:rPr>
          <w:rFonts w:ascii="Calibri" w:hAnsi="Calibri" w:cs="Tahoma"/>
          <w:bCs/>
          <w:sz w:val="22"/>
          <w:szCs w:val="22"/>
        </w:rPr>
      </w:pPr>
      <w:r w:rsidRPr="007C44B3">
        <w:rPr>
          <w:rFonts w:ascii="Calibri" w:hAnsi="Calibri" w:cs="Tahoma"/>
          <w:bCs/>
          <w:sz w:val="22"/>
          <w:szCs w:val="22"/>
        </w:rPr>
        <w:t>Ainsi</w:t>
      </w:r>
      <w:r w:rsidR="000449F9" w:rsidRPr="007C44B3">
        <w:rPr>
          <w:rFonts w:ascii="Calibri" w:hAnsi="Calibri" w:cs="Tahoma"/>
          <w:bCs/>
          <w:sz w:val="22"/>
          <w:szCs w:val="22"/>
        </w:rPr>
        <w:t>,</w:t>
      </w:r>
      <w:r w:rsidRPr="007C44B3">
        <w:rPr>
          <w:rFonts w:ascii="Calibri" w:hAnsi="Calibri" w:cs="Tahoma"/>
          <w:bCs/>
          <w:sz w:val="22"/>
          <w:szCs w:val="22"/>
        </w:rPr>
        <w:t xml:space="preserve"> Expertise France intervient</w:t>
      </w:r>
      <w:r w:rsidR="007307A9" w:rsidRPr="007C44B3">
        <w:rPr>
          <w:rFonts w:ascii="Calibri" w:hAnsi="Calibri" w:cs="Tahoma"/>
          <w:bCs/>
          <w:sz w:val="22"/>
          <w:szCs w:val="22"/>
        </w:rPr>
        <w:t>, dans le cadre de ce projet,</w:t>
      </w:r>
      <w:r w:rsidR="00070B25" w:rsidRPr="007C44B3">
        <w:rPr>
          <w:rFonts w:ascii="Calibri" w:hAnsi="Calibri" w:cs="Tahoma"/>
          <w:bCs/>
          <w:sz w:val="22"/>
          <w:szCs w:val="22"/>
        </w:rPr>
        <w:t xml:space="preserve"> dans deux zones principales :</w:t>
      </w:r>
      <w:r w:rsidRPr="007C44B3">
        <w:rPr>
          <w:rFonts w:ascii="Calibri" w:hAnsi="Calibri" w:cs="Tahoma"/>
          <w:bCs/>
          <w:sz w:val="22"/>
          <w:szCs w:val="22"/>
        </w:rPr>
        <w:t xml:space="preserve"> Conakry et la région cible de </w:t>
      </w:r>
      <w:r w:rsidR="00085374" w:rsidRPr="007C44B3">
        <w:rPr>
          <w:rFonts w:ascii="Calibri" w:hAnsi="Calibri" w:cs="Tahoma"/>
          <w:bCs/>
          <w:sz w:val="22"/>
          <w:szCs w:val="22"/>
        </w:rPr>
        <w:t>Nzérékoré</w:t>
      </w:r>
      <w:r w:rsidRPr="007C44B3">
        <w:rPr>
          <w:rFonts w:ascii="Calibri" w:hAnsi="Calibri" w:cs="Tahoma"/>
          <w:bCs/>
          <w:sz w:val="22"/>
          <w:szCs w:val="22"/>
        </w:rPr>
        <w:t xml:space="preserve"> à laquelle est associée deux préfectures avoisinantes (Kissidougou et Kérouané)</w:t>
      </w:r>
      <w:r w:rsidR="00013FF7" w:rsidRPr="007C44B3">
        <w:rPr>
          <w:rFonts w:ascii="Calibri" w:hAnsi="Calibri" w:cs="Tahoma"/>
          <w:bCs/>
          <w:sz w:val="22"/>
          <w:szCs w:val="22"/>
        </w:rPr>
        <w:t>.</w:t>
      </w:r>
    </w:p>
    <w:p w14:paraId="1AB33135" w14:textId="77777777" w:rsidR="00013FF7" w:rsidRPr="007C44B3" w:rsidRDefault="00013FF7" w:rsidP="00EA392E">
      <w:pPr>
        <w:jc w:val="both"/>
        <w:rPr>
          <w:rFonts w:ascii="Calibri" w:hAnsi="Calibri" w:cs="Tahoma"/>
          <w:bCs/>
          <w:sz w:val="22"/>
          <w:szCs w:val="22"/>
        </w:rPr>
      </w:pPr>
    </w:p>
    <w:p w14:paraId="7A213BBD" w14:textId="107E760C" w:rsidR="00EA392E" w:rsidRPr="007C44B3" w:rsidRDefault="00013FF7" w:rsidP="00EA392E">
      <w:pPr>
        <w:jc w:val="both"/>
        <w:rPr>
          <w:rFonts w:ascii="Calibri" w:hAnsi="Calibri" w:cs="Tahoma"/>
          <w:bCs/>
          <w:sz w:val="22"/>
          <w:szCs w:val="22"/>
        </w:rPr>
      </w:pPr>
      <w:r w:rsidRPr="007C44B3">
        <w:rPr>
          <w:rFonts w:ascii="Calibri" w:hAnsi="Calibri" w:cs="Tahoma"/>
          <w:bCs/>
          <w:sz w:val="22"/>
          <w:szCs w:val="22"/>
        </w:rPr>
        <w:lastRenderedPageBreak/>
        <w:t>Expertise France</w:t>
      </w:r>
      <w:r w:rsidR="004C104F" w:rsidRPr="007C44B3">
        <w:rPr>
          <w:rFonts w:ascii="Calibri" w:hAnsi="Calibri" w:cs="Tahoma"/>
          <w:bCs/>
          <w:sz w:val="22"/>
          <w:szCs w:val="22"/>
        </w:rPr>
        <w:t xml:space="preserve"> a en charge les volets 1 et</w:t>
      </w:r>
      <w:r w:rsidR="00FE0BB9" w:rsidRPr="007C44B3">
        <w:rPr>
          <w:rFonts w:ascii="Calibri" w:hAnsi="Calibri" w:cs="Tahoma"/>
          <w:bCs/>
          <w:sz w:val="22"/>
          <w:szCs w:val="22"/>
        </w:rPr>
        <w:t xml:space="preserve"> 5. Le premier</w:t>
      </w:r>
      <w:r w:rsidR="00EA392E" w:rsidRPr="007C44B3">
        <w:rPr>
          <w:rFonts w:ascii="Calibri" w:hAnsi="Calibri" w:cs="Tahoma"/>
          <w:bCs/>
          <w:sz w:val="22"/>
          <w:szCs w:val="22"/>
        </w:rPr>
        <w:t xml:space="preserve"> porte sur le renforcement de la gouvernance dans le cha</w:t>
      </w:r>
      <w:r w:rsidR="00FE0BB9" w:rsidRPr="007C44B3">
        <w:rPr>
          <w:rFonts w:ascii="Calibri" w:hAnsi="Calibri" w:cs="Tahoma"/>
          <w:bCs/>
          <w:sz w:val="22"/>
          <w:szCs w:val="22"/>
        </w:rPr>
        <w:t>mp de la gestion financière du m</w:t>
      </w:r>
      <w:r w:rsidR="00EA392E" w:rsidRPr="007C44B3">
        <w:rPr>
          <w:rFonts w:ascii="Calibri" w:hAnsi="Calibri" w:cs="Tahoma"/>
          <w:bCs/>
          <w:sz w:val="22"/>
          <w:szCs w:val="22"/>
        </w:rPr>
        <w:t>inistère de la santé, et le second sur l’amélioration des infrastructures sanitaires, de l’équipement et de l</w:t>
      </w:r>
      <w:r w:rsidR="00FE0BB9" w:rsidRPr="007C44B3">
        <w:rPr>
          <w:rFonts w:ascii="Calibri" w:hAnsi="Calibri" w:cs="Tahoma"/>
          <w:bCs/>
          <w:sz w:val="22"/>
          <w:szCs w:val="22"/>
        </w:rPr>
        <w:t>a maintenance</w:t>
      </w:r>
      <w:r w:rsidR="00EA392E" w:rsidRPr="007C44B3">
        <w:rPr>
          <w:rFonts w:ascii="Calibri" w:hAnsi="Calibri" w:cs="Tahoma"/>
          <w:bCs/>
          <w:sz w:val="22"/>
          <w:szCs w:val="22"/>
        </w:rPr>
        <w:t xml:space="preserve">. </w:t>
      </w:r>
    </w:p>
    <w:p w14:paraId="67FDC05D" w14:textId="77777777" w:rsidR="00EA392E" w:rsidRPr="007C44B3" w:rsidRDefault="00EA392E" w:rsidP="00EA392E">
      <w:pPr>
        <w:jc w:val="both"/>
        <w:rPr>
          <w:rFonts w:ascii="Calibri" w:hAnsi="Calibri" w:cs="Tahoma"/>
          <w:bCs/>
          <w:sz w:val="22"/>
          <w:szCs w:val="22"/>
        </w:rPr>
      </w:pPr>
    </w:p>
    <w:p w14:paraId="4E626436" w14:textId="77777777" w:rsidR="00EA392E" w:rsidRPr="007C44B3" w:rsidRDefault="00EA392E" w:rsidP="00EA392E">
      <w:pPr>
        <w:jc w:val="both"/>
        <w:rPr>
          <w:rFonts w:ascii="Calibri" w:hAnsi="Calibri" w:cs="Tahoma"/>
          <w:bCs/>
          <w:sz w:val="22"/>
          <w:szCs w:val="22"/>
          <w:u w:val="single"/>
        </w:rPr>
      </w:pPr>
      <w:r w:rsidRPr="007C44B3">
        <w:rPr>
          <w:rFonts w:ascii="Calibri" w:hAnsi="Calibri" w:cs="Tahoma"/>
          <w:bCs/>
          <w:sz w:val="22"/>
          <w:szCs w:val="22"/>
          <w:u w:val="single"/>
        </w:rPr>
        <w:t>Le volet 1 « Gouvernance financière » s’articule autour de quatre axes :</w:t>
      </w:r>
    </w:p>
    <w:p w14:paraId="78744760" w14:textId="67B954B4" w:rsidR="00EA392E" w:rsidRPr="007C44B3" w:rsidRDefault="00F42098" w:rsidP="00EA392E">
      <w:pPr>
        <w:pStyle w:val="Paragraphedeliste"/>
        <w:numPr>
          <w:ilvl w:val="0"/>
          <w:numId w:val="28"/>
        </w:numPr>
        <w:jc w:val="both"/>
        <w:rPr>
          <w:rFonts w:ascii="Calibri" w:hAnsi="Calibri" w:cs="Tahoma"/>
          <w:bCs/>
          <w:sz w:val="22"/>
          <w:szCs w:val="22"/>
        </w:rPr>
      </w:pPr>
      <w:r w:rsidRPr="007C44B3">
        <w:rPr>
          <w:rFonts w:ascii="Calibri" w:hAnsi="Calibri" w:cs="Tahoma"/>
          <w:bCs/>
          <w:sz w:val="22"/>
          <w:szCs w:val="22"/>
        </w:rPr>
        <w:t>l</w:t>
      </w:r>
      <w:r w:rsidR="00EA392E" w:rsidRPr="007C44B3">
        <w:rPr>
          <w:rFonts w:ascii="Calibri" w:hAnsi="Calibri" w:cs="Tahoma"/>
          <w:bCs/>
          <w:sz w:val="22"/>
          <w:szCs w:val="22"/>
        </w:rPr>
        <w:t>e</w:t>
      </w:r>
      <w:r w:rsidRPr="007C44B3">
        <w:rPr>
          <w:rFonts w:ascii="Calibri" w:hAnsi="Calibri" w:cs="Tahoma"/>
          <w:bCs/>
          <w:sz w:val="22"/>
          <w:szCs w:val="22"/>
        </w:rPr>
        <w:t xml:space="preserve"> renforcement des capacités du m</w:t>
      </w:r>
      <w:r w:rsidR="00EA392E" w:rsidRPr="007C44B3">
        <w:rPr>
          <w:rFonts w:ascii="Calibri" w:hAnsi="Calibri" w:cs="Tahoma"/>
          <w:bCs/>
          <w:sz w:val="22"/>
          <w:szCs w:val="22"/>
        </w:rPr>
        <w:t>inistère de la santé dans l’élaborati</w:t>
      </w:r>
      <w:r w:rsidR="00F043EE" w:rsidRPr="007C44B3">
        <w:rPr>
          <w:rFonts w:ascii="Calibri" w:hAnsi="Calibri" w:cs="Tahoma"/>
          <w:bCs/>
          <w:sz w:val="22"/>
          <w:szCs w:val="22"/>
        </w:rPr>
        <w:t>on et l’exécution budgétaire ;</w:t>
      </w:r>
    </w:p>
    <w:p w14:paraId="5FF3F608" w14:textId="291CECF8" w:rsidR="00EA392E" w:rsidRPr="007C44B3" w:rsidRDefault="00F42098" w:rsidP="00EA392E">
      <w:pPr>
        <w:pStyle w:val="Paragraphedeliste"/>
        <w:numPr>
          <w:ilvl w:val="0"/>
          <w:numId w:val="28"/>
        </w:numPr>
        <w:jc w:val="both"/>
        <w:rPr>
          <w:rFonts w:ascii="Calibri" w:hAnsi="Calibri" w:cs="Tahoma"/>
          <w:bCs/>
          <w:sz w:val="22"/>
          <w:szCs w:val="22"/>
        </w:rPr>
      </w:pPr>
      <w:r w:rsidRPr="007C44B3">
        <w:rPr>
          <w:rFonts w:ascii="Calibri" w:hAnsi="Calibri" w:cs="Tahoma"/>
          <w:bCs/>
          <w:sz w:val="22"/>
          <w:szCs w:val="22"/>
        </w:rPr>
        <w:t>l</w:t>
      </w:r>
      <w:r w:rsidR="00D26257" w:rsidRPr="007C44B3">
        <w:rPr>
          <w:rFonts w:ascii="Calibri" w:hAnsi="Calibri" w:cs="Tahoma"/>
          <w:bCs/>
          <w:sz w:val="22"/>
          <w:szCs w:val="22"/>
        </w:rPr>
        <w:t>e</w:t>
      </w:r>
      <w:r w:rsidR="00EA392E" w:rsidRPr="007C44B3">
        <w:rPr>
          <w:rFonts w:ascii="Calibri" w:hAnsi="Calibri" w:cs="Tahoma"/>
          <w:bCs/>
          <w:sz w:val="22"/>
          <w:szCs w:val="22"/>
        </w:rPr>
        <w:t xml:space="preserve"> renforcement de la gouvernance des Etablissement</w:t>
      </w:r>
      <w:r w:rsidR="00F043EE" w:rsidRPr="007C44B3">
        <w:rPr>
          <w:rFonts w:ascii="Calibri" w:hAnsi="Calibri" w:cs="Tahoma"/>
          <w:bCs/>
          <w:sz w:val="22"/>
          <w:szCs w:val="22"/>
        </w:rPr>
        <w:t>s Publics Administratifs (EPA) ;</w:t>
      </w:r>
    </w:p>
    <w:p w14:paraId="560CB964" w14:textId="3307F039" w:rsidR="00EA392E" w:rsidRPr="007C44B3" w:rsidRDefault="00F42098" w:rsidP="00EA392E">
      <w:pPr>
        <w:pStyle w:val="Paragraphedeliste"/>
        <w:numPr>
          <w:ilvl w:val="0"/>
          <w:numId w:val="28"/>
        </w:numPr>
        <w:jc w:val="both"/>
        <w:rPr>
          <w:rFonts w:ascii="Calibri" w:hAnsi="Calibri" w:cs="Tahoma"/>
          <w:bCs/>
          <w:sz w:val="22"/>
          <w:szCs w:val="22"/>
        </w:rPr>
      </w:pPr>
      <w:r w:rsidRPr="007C44B3">
        <w:rPr>
          <w:rFonts w:ascii="Calibri" w:hAnsi="Calibri" w:cs="Tahoma"/>
          <w:bCs/>
          <w:sz w:val="22"/>
          <w:szCs w:val="22"/>
        </w:rPr>
        <w:t>l</w:t>
      </w:r>
      <w:r w:rsidR="00D26257" w:rsidRPr="007C44B3">
        <w:rPr>
          <w:rFonts w:ascii="Calibri" w:hAnsi="Calibri" w:cs="Tahoma"/>
          <w:bCs/>
          <w:sz w:val="22"/>
          <w:szCs w:val="22"/>
        </w:rPr>
        <w:t>e</w:t>
      </w:r>
      <w:r w:rsidR="00EA392E" w:rsidRPr="007C44B3">
        <w:rPr>
          <w:rFonts w:ascii="Calibri" w:hAnsi="Calibri" w:cs="Tahoma"/>
          <w:bCs/>
          <w:sz w:val="22"/>
          <w:szCs w:val="22"/>
        </w:rPr>
        <w:t xml:space="preserve"> renforcement des capacités de contrôle interne du ministère de la santé</w:t>
      </w:r>
      <w:r w:rsidR="00F043EE" w:rsidRPr="007C44B3">
        <w:rPr>
          <w:rFonts w:ascii="Calibri" w:hAnsi="Calibri" w:cs="Tahoma"/>
          <w:bCs/>
          <w:sz w:val="22"/>
          <w:szCs w:val="22"/>
        </w:rPr>
        <w:t> ;</w:t>
      </w:r>
    </w:p>
    <w:p w14:paraId="0CC98F9F" w14:textId="168DC055" w:rsidR="00EA392E" w:rsidRPr="007C44B3" w:rsidRDefault="00EA392E" w:rsidP="00EA392E">
      <w:pPr>
        <w:pStyle w:val="Paragraphedeliste"/>
        <w:numPr>
          <w:ilvl w:val="0"/>
          <w:numId w:val="28"/>
        </w:numPr>
        <w:jc w:val="both"/>
        <w:rPr>
          <w:rFonts w:ascii="Calibri" w:hAnsi="Calibri" w:cs="Tahoma"/>
          <w:bCs/>
          <w:sz w:val="22"/>
          <w:szCs w:val="22"/>
        </w:rPr>
      </w:pPr>
      <w:r w:rsidRPr="007C44B3">
        <w:rPr>
          <w:rFonts w:ascii="Calibri" w:hAnsi="Calibri" w:cs="Tahoma"/>
          <w:bCs/>
          <w:sz w:val="22"/>
          <w:szCs w:val="22"/>
        </w:rPr>
        <w:t>l’accompagnement du ministère de la santé dans la révision des tarifs de prestations de soins.</w:t>
      </w:r>
    </w:p>
    <w:p w14:paraId="7D2A09E5" w14:textId="39B36E05" w:rsidR="00E537B7" w:rsidRPr="007C44B3" w:rsidRDefault="00E537B7" w:rsidP="00E537B7">
      <w:pPr>
        <w:pStyle w:val="Paragraphedeliste2"/>
        <w:jc w:val="both"/>
        <w:rPr>
          <w:rFonts w:ascii="Calibri" w:hAnsi="Calibri" w:cs="Tahoma"/>
          <w:bCs/>
        </w:rPr>
      </w:pPr>
    </w:p>
    <w:p w14:paraId="3E65737F" w14:textId="6FD5F4CE" w:rsidR="00631934" w:rsidRPr="007C44B3" w:rsidRDefault="00642571" w:rsidP="00EF1C8A">
      <w:pPr>
        <w:pStyle w:val="Paragraphedeliste2"/>
        <w:ind w:left="0"/>
        <w:jc w:val="both"/>
        <w:rPr>
          <w:rFonts w:ascii="Calibri" w:hAnsi="Calibri" w:cs="Tahoma"/>
          <w:bCs/>
          <w:sz w:val="22"/>
          <w:szCs w:val="22"/>
        </w:rPr>
      </w:pPr>
      <w:r w:rsidRPr="007C44B3">
        <w:rPr>
          <w:rFonts w:ascii="Calibri" w:hAnsi="Calibri" w:cs="Tahoma"/>
          <w:bCs/>
          <w:sz w:val="22"/>
          <w:szCs w:val="22"/>
        </w:rPr>
        <w:t>Le</w:t>
      </w:r>
      <w:r w:rsidR="00EF1C8A" w:rsidRPr="007C44B3">
        <w:rPr>
          <w:rFonts w:ascii="Calibri" w:hAnsi="Calibri" w:cs="Tahoma"/>
          <w:bCs/>
          <w:sz w:val="22"/>
          <w:szCs w:val="22"/>
        </w:rPr>
        <w:t xml:space="preserve"> renforcement de la gouvernance des Etablissements Publics Administratifs (EPA), se décline </w:t>
      </w:r>
      <w:r w:rsidR="00631934" w:rsidRPr="007C44B3">
        <w:rPr>
          <w:rFonts w:ascii="Calibri" w:hAnsi="Calibri" w:cs="Tahoma"/>
          <w:bCs/>
          <w:sz w:val="22"/>
          <w:szCs w:val="22"/>
        </w:rPr>
        <w:t xml:space="preserve">lui-même </w:t>
      </w:r>
      <w:r w:rsidR="00EF1C8A" w:rsidRPr="007C44B3">
        <w:rPr>
          <w:rFonts w:ascii="Calibri" w:hAnsi="Calibri" w:cs="Tahoma"/>
          <w:bCs/>
          <w:sz w:val="22"/>
          <w:szCs w:val="22"/>
        </w:rPr>
        <w:t>en six</w:t>
      </w:r>
      <w:r w:rsidR="007118FC" w:rsidRPr="007C44B3">
        <w:rPr>
          <w:rFonts w:ascii="Calibri" w:hAnsi="Calibri" w:cs="Tahoma"/>
          <w:bCs/>
          <w:sz w:val="22"/>
          <w:szCs w:val="22"/>
        </w:rPr>
        <w:t xml:space="preserve"> sous-</w:t>
      </w:r>
      <w:r w:rsidR="00EF1C8A" w:rsidRPr="007C44B3">
        <w:rPr>
          <w:rFonts w:ascii="Calibri" w:hAnsi="Calibri" w:cs="Tahoma"/>
          <w:bCs/>
          <w:sz w:val="22"/>
          <w:szCs w:val="22"/>
        </w:rPr>
        <w:t>activités</w:t>
      </w:r>
      <w:r w:rsidR="00631934" w:rsidRPr="007C44B3">
        <w:rPr>
          <w:rFonts w:ascii="Calibri" w:hAnsi="Calibri" w:cs="Tahoma"/>
          <w:bCs/>
          <w:sz w:val="22"/>
          <w:szCs w:val="22"/>
        </w:rPr>
        <w:t> :</w:t>
      </w:r>
    </w:p>
    <w:p w14:paraId="604A080B" w14:textId="437BC7A1" w:rsidR="00EF1C8A" w:rsidRPr="007C44B3" w:rsidRDefault="00D36DF4" w:rsidP="006B72A4">
      <w:pPr>
        <w:pStyle w:val="Paragraphedeliste2"/>
        <w:numPr>
          <w:ilvl w:val="0"/>
          <w:numId w:val="39"/>
        </w:numPr>
        <w:jc w:val="both"/>
        <w:rPr>
          <w:rFonts w:ascii="Calibri" w:hAnsi="Calibri" w:cs="Tahoma"/>
          <w:bCs/>
          <w:sz w:val="22"/>
          <w:szCs w:val="22"/>
        </w:rPr>
      </w:pPr>
      <w:r w:rsidRPr="007C44B3">
        <w:rPr>
          <w:rFonts w:ascii="Calibri" w:hAnsi="Calibri" w:cs="Tahoma"/>
          <w:bCs/>
          <w:sz w:val="22"/>
          <w:szCs w:val="22"/>
        </w:rPr>
        <w:t xml:space="preserve">1.2.3.1. </w:t>
      </w:r>
      <w:r w:rsidR="00597F5F" w:rsidRPr="007C44B3">
        <w:rPr>
          <w:rFonts w:ascii="Calibri" w:hAnsi="Calibri" w:cs="Tahoma"/>
          <w:bCs/>
          <w:sz w:val="22"/>
          <w:szCs w:val="22"/>
        </w:rPr>
        <w:t>A</w:t>
      </w:r>
      <w:r w:rsidR="00EF1C8A" w:rsidRPr="007C44B3">
        <w:rPr>
          <w:rFonts w:ascii="Calibri" w:hAnsi="Calibri" w:cs="Tahoma"/>
          <w:bCs/>
          <w:sz w:val="22"/>
          <w:szCs w:val="22"/>
        </w:rPr>
        <w:t xml:space="preserve">ppui à l’organisation d’un </w:t>
      </w:r>
      <w:r w:rsidR="003616E8" w:rsidRPr="007C44B3">
        <w:rPr>
          <w:rFonts w:ascii="Calibri" w:hAnsi="Calibri" w:cs="Tahoma"/>
          <w:bCs/>
          <w:sz w:val="22"/>
          <w:szCs w:val="22"/>
        </w:rPr>
        <w:t xml:space="preserve">diagnostic institutionnel, </w:t>
      </w:r>
      <w:r w:rsidR="00EF1C8A" w:rsidRPr="007C44B3">
        <w:rPr>
          <w:rFonts w:ascii="Calibri" w:hAnsi="Calibri" w:cs="Tahoma"/>
          <w:bCs/>
          <w:sz w:val="22"/>
          <w:szCs w:val="22"/>
        </w:rPr>
        <w:t xml:space="preserve">organisationnel </w:t>
      </w:r>
      <w:r w:rsidR="00631934" w:rsidRPr="007C44B3">
        <w:rPr>
          <w:rFonts w:ascii="Calibri" w:hAnsi="Calibri" w:cs="Tahoma"/>
          <w:bCs/>
          <w:sz w:val="22"/>
          <w:szCs w:val="22"/>
        </w:rPr>
        <w:t>et fonctionnel des EPA en santé ;</w:t>
      </w:r>
    </w:p>
    <w:p w14:paraId="11BCD153" w14:textId="52D37767" w:rsidR="00597F5F" w:rsidRPr="007C44B3" w:rsidRDefault="00060F07" w:rsidP="006B72A4">
      <w:pPr>
        <w:pStyle w:val="Paragraphedeliste2"/>
        <w:numPr>
          <w:ilvl w:val="0"/>
          <w:numId w:val="39"/>
        </w:numPr>
        <w:jc w:val="both"/>
        <w:rPr>
          <w:rFonts w:ascii="Calibri" w:hAnsi="Calibri" w:cs="Tahoma"/>
          <w:bCs/>
          <w:sz w:val="22"/>
          <w:szCs w:val="22"/>
        </w:rPr>
      </w:pPr>
      <w:r w:rsidRPr="007C44B3">
        <w:rPr>
          <w:rFonts w:ascii="Calibri" w:hAnsi="Calibri" w:cs="Tahoma"/>
          <w:bCs/>
          <w:sz w:val="22"/>
          <w:szCs w:val="22"/>
        </w:rPr>
        <w:t xml:space="preserve">1.2.3.2. </w:t>
      </w:r>
      <w:r w:rsidR="00597F5F" w:rsidRPr="007C44B3">
        <w:rPr>
          <w:rFonts w:ascii="Calibri" w:hAnsi="Calibri" w:cs="Tahoma"/>
          <w:bCs/>
          <w:sz w:val="22"/>
          <w:szCs w:val="22"/>
        </w:rPr>
        <w:t>Appui au suivi de la conformité du statut des EPA santé ;</w:t>
      </w:r>
    </w:p>
    <w:p w14:paraId="6F11FC87" w14:textId="18FC73CC" w:rsidR="00597F5F" w:rsidRPr="007C44B3" w:rsidRDefault="00060F07" w:rsidP="006B72A4">
      <w:pPr>
        <w:pStyle w:val="Paragraphedeliste2"/>
        <w:numPr>
          <w:ilvl w:val="0"/>
          <w:numId w:val="39"/>
        </w:numPr>
        <w:jc w:val="both"/>
        <w:rPr>
          <w:rFonts w:ascii="Calibri" w:hAnsi="Calibri" w:cs="Tahoma"/>
          <w:bCs/>
          <w:sz w:val="22"/>
          <w:szCs w:val="22"/>
        </w:rPr>
      </w:pPr>
      <w:r w:rsidRPr="007C44B3">
        <w:rPr>
          <w:rFonts w:ascii="Calibri" w:hAnsi="Calibri" w:cs="Tahoma"/>
          <w:bCs/>
          <w:sz w:val="22"/>
          <w:szCs w:val="22"/>
        </w:rPr>
        <w:t xml:space="preserve">1.2.3.3. </w:t>
      </w:r>
      <w:r w:rsidR="00597F5F" w:rsidRPr="007C44B3">
        <w:rPr>
          <w:rFonts w:ascii="Calibri" w:hAnsi="Calibri" w:cs="Tahoma"/>
          <w:bCs/>
          <w:sz w:val="22"/>
          <w:szCs w:val="22"/>
        </w:rPr>
        <w:t>Déclinaison du guide de supervision des EPA pour le secteur santé ;</w:t>
      </w:r>
    </w:p>
    <w:p w14:paraId="562CB089" w14:textId="47054F8B" w:rsidR="00597F5F" w:rsidRPr="007C44B3" w:rsidRDefault="00060F07" w:rsidP="006B72A4">
      <w:pPr>
        <w:pStyle w:val="Paragraphedeliste2"/>
        <w:numPr>
          <w:ilvl w:val="0"/>
          <w:numId w:val="39"/>
        </w:numPr>
        <w:jc w:val="both"/>
        <w:rPr>
          <w:rFonts w:ascii="Calibri" w:hAnsi="Calibri" w:cs="Tahoma"/>
          <w:bCs/>
          <w:sz w:val="22"/>
          <w:szCs w:val="22"/>
        </w:rPr>
      </w:pPr>
      <w:r w:rsidRPr="007C44B3">
        <w:rPr>
          <w:rFonts w:ascii="Calibri" w:hAnsi="Calibri" w:cs="Tahoma"/>
          <w:bCs/>
          <w:sz w:val="22"/>
          <w:szCs w:val="22"/>
        </w:rPr>
        <w:t xml:space="preserve">1.2.3.4. </w:t>
      </w:r>
      <w:r w:rsidR="00F043EE" w:rsidRPr="007C44B3">
        <w:rPr>
          <w:rFonts w:ascii="Calibri" w:hAnsi="Calibri" w:cs="Tahoma"/>
          <w:bCs/>
          <w:sz w:val="22"/>
          <w:szCs w:val="22"/>
        </w:rPr>
        <w:t>Appui technique au m</w:t>
      </w:r>
      <w:r w:rsidR="00597F5F" w:rsidRPr="007C44B3">
        <w:rPr>
          <w:rFonts w:ascii="Calibri" w:hAnsi="Calibri" w:cs="Tahoma"/>
          <w:bCs/>
          <w:sz w:val="22"/>
          <w:szCs w:val="22"/>
        </w:rPr>
        <w:t>inistère de la santé dans l’élaboration des documents cadres spécifiques aux EPA</w:t>
      </w:r>
      <w:r w:rsidR="00B11BBA" w:rsidRPr="007C44B3">
        <w:rPr>
          <w:rFonts w:ascii="Calibri" w:hAnsi="Calibri" w:cs="Tahoma"/>
          <w:bCs/>
          <w:sz w:val="22"/>
          <w:szCs w:val="22"/>
        </w:rPr>
        <w:t> ;</w:t>
      </w:r>
    </w:p>
    <w:p w14:paraId="28B534E3" w14:textId="55B8C50C" w:rsidR="00B11BBA" w:rsidRPr="007C44B3" w:rsidRDefault="00060F07" w:rsidP="005A643E">
      <w:pPr>
        <w:pStyle w:val="Paragraphedeliste2"/>
        <w:numPr>
          <w:ilvl w:val="0"/>
          <w:numId w:val="30"/>
        </w:numPr>
        <w:jc w:val="both"/>
        <w:rPr>
          <w:rFonts w:ascii="Calibri" w:hAnsi="Calibri" w:cs="Tahoma"/>
          <w:bCs/>
          <w:sz w:val="22"/>
          <w:szCs w:val="22"/>
        </w:rPr>
      </w:pPr>
      <w:r w:rsidRPr="007C44B3">
        <w:rPr>
          <w:rFonts w:ascii="Calibri" w:hAnsi="Calibri" w:cs="Tahoma"/>
          <w:bCs/>
          <w:sz w:val="22"/>
          <w:szCs w:val="22"/>
        </w:rPr>
        <w:t xml:space="preserve">1.2.3.5. </w:t>
      </w:r>
      <w:r w:rsidR="00B11BBA" w:rsidRPr="007C44B3">
        <w:rPr>
          <w:rFonts w:ascii="Calibri" w:hAnsi="Calibri" w:cs="Tahoma"/>
          <w:bCs/>
          <w:sz w:val="22"/>
          <w:szCs w:val="22"/>
        </w:rPr>
        <w:t>Appui technique annuel aux EPA dans la complétude des outils de gestion spécifiques aux EPA </w:t>
      </w:r>
      <w:r w:rsidR="00BE4EB6" w:rsidRPr="007C44B3">
        <w:rPr>
          <w:rFonts w:ascii="Calibri" w:hAnsi="Calibri" w:cs="Tahoma"/>
          <w:bCs/>
          <w:sz w:val="22"/>
          <w:szCs w:val="22"/>
        </w:rPr>
        <w:t xml:space="preserve">et formations des EPA </w:t>
      </w:r>
      <w:r w:rsidR="00A9163E" w:rsidRPr="007C44B3">
        <w:rPr>
          <w:rFonts w:ascii="Calibri" w:hAnsi="Calibri" w:cs="Tahoma"/>
          <w:bCs/>
          <w:sz w:val="22"/>
          <w:szCs w:val="22"/>
        </w:rPr>
        <w:t>s</w:t>
      </w:r>
      <w:r w:rsidR="00BE4EB6" w:rsidRPr="007C44B3">
        <w:rPr>
          <w:rFonts w:ascii="Calibri" w:hAnsi="Calibri" w:cs="Tahoma"/>
          <w:bCs/>
          <w:sz w:val="22"/>
          <w:szCs w:val="22"/>
        </w:rPr>
        <w:t>anté sélectionnés sur les outils de gestion spécifiques ;</w:t>
      </w:r>
    </w:p>
    <w:p w14:paraId="10467D26" w14:textId="3C1F2358" w:rsidR="00B11BBA" w:rsidRPr="007C44B3" w:rsidRDefault="005C1E60" w:rsidP="00631934">
      <w:pPr>
        <w:pStyle w:val="Paragraphedeliste2"/>
        <w:numPr>
          <w:ilvl w:val="0"/>
          <w:numId w:val="30"/>
        </w:numPr>
        <w:jc w:val="both"/>
        <w:rPr>
          <w:rFonts w:ascii="Calibri" w:hAnsi="Calibri" w:cs="Tahoma"/>
          <w:bCs/>
          <w:sz w:val="22"/>
          <w:szCs w:val="22"/>
        </w:rPr>
      </w:pPr>
      <w:r w:rsidRPr="007C44B3">
        <w:rPr>
          <w:rFonts w:ascii="Calibri" w:hAnsi="Calibri" w:cs="Tahoma"/>
          <w:bCs/>
          <w:sz w:val="22"/>
          <w:szCs w:val="22"/>
        </w:rPr>
        <w:t>1.2.3.</w:t>
      </w:r>
      <w:r w:rsidR="00BE4EB6" w:rsidRPr="007C44B3">
        <w:rPr>
          <w:rFonts w:ascii="Calibri" w:hAnsi="Calibri" w:cs="Tahoma"/>
          <w:bCs/>
          <w:sz w:val="22"/>
          <w:szCs w:val="22"/>
        </w:rPr>
        <w:t xml:space="preserve">6. </w:t>
      </w:r>
      <w:r w:rsidR="00B11BBA" w:rsidRPr="007C44B3">
        <w:rPr>
          <w:rFonts w:ascii="Calibri" w:hAnsi="Calibri" w:cs="Tahoma"/>
          <w:bCs/>
          <w:sz w:val="22"/>
          <w:szCs w:val="22"/>
        </w:rPr>
        <w:t>Renforcement des EPA en équipement le cas échéant.</w:t>
      </w:r>
    </w:p>
    <w:p w14:paraId="13AE067A" w14:textId="77777777" w:rsidR="00EF1C8A" w:rsidRPr="007C44B3" w:rsidRDefault="00EF1C8A" w:rsidP="00EF1C8A">
      <w:pPr>
        <w:pStyle w:val="Paragraphedeliste2"/>
        <w:ind w:left="0"/>
        <w:jc w:val="both"/>
        <w:rPr>
          <w:rFonts w:ascii="Calibri" w:hAnsi="Calibri" w:cs="Tahoma"/>
          <w:bCs/>
          <w:sz w:val="22"/>
          <w:szCs w:val="22"/>
        </w:rPr>
      </w:pPr>
    </w:p>
    <w:p w14:paraId="14F065C5" w14:textId="6FE663A6" w:rsidR="00E81ABD" w:rsidRPr="007C44B3" w:rsidRDefault="00E537B7" w:rsidP="00E537B7">
      <w:pPr>
        <w:pStyle w:val="Paragraphedeliste2"/>
        <w:ind w:left="0"/>
        <w:jc w:val="both"/>
        <w:rPr>
          <w:rFonts w:ascii="Calibri" w:hAnsi="Calibri" w:cs="Tahoma"/>
          <w:bCs/>
          <w:sz w:val="22"/>
          <w:szCs w:val="22"/>
        </w:rPr>
      </w:pPr>
      <w:r w:rsidRPr="007C44B3">
        <w:rPr>
          <w:rFonts w:ascii="Calibri" w:hAnsi="Calibri" w:cs="Tahoma"/>
          <w:bCs/>
          <w:sz w:val="22"/>
          <w:szCs w:val="22"/>
        </w:rPr>
        <w:t xml:space="preserve">Les feuilles de </w:t>
      </w:r>
      <w:r w:rsidR="0063577A" w:rsidRPr="007C44B3">
        <w:rPr>
          <w:rFonts w:ascii="Calibri" w:hAnsi="Calibri" w:cs="Tahoma"/>
          <w:bCs/>
          <w:sz w:val="22"/>
          <w:szCs w:val="22"/>
        </w:rPr>
        <w:t>routes ont été définies avec la Direction Nationale des Etablissements Hospitaliers et de l’Hygiène Sanitaire (DNEHHS)</w:t>
      </w:r>
      <w:r w:rsidRPr="007C44B3">
        <w:rPr>
          <w:rFonts w:ascii="Calibri" w:hAnsi="Calibri" w:cs="Tahoma"/>
          <w:bCs/>
          <w:sz w:val="22"/>
          <w:szCs w:val="22"/>
        </w:rPr>
        <w:t xml:space="preserve"> afin d’identifier les chantiers prioritaires parmi les activités recensées dans la convention de contribution signée entre les partenaires et la république de Guinée</w:t>
      </w:r>
      <w:r w:rsidR="00E81ABD" w:rsidRPr="007C44B3">
        <w:rPr>
          <w:rFonts w:ascii="Calibri" w:hAnsi="Calibri" w:cs="Tahoma"/>
          <w:bCs/>
          <w:sz w:val="22"/>
          <w:szCs w:val="22"/>
        </w:rPr>
        <w:t>.</w:t>
      </w:r>
      <w:r w:rsidR="00BE4EB6" w:rsidRPr="007C44B3">
        <w:rPr>
          <w:rFonts w:ascii="Calibri" w:hAnsi="Calibri" w:cs="Tahoma"/>
          <w:bCs/>
          <w:sz w:val="22"/>
          <w:szCs w:val="22"/>
        </w:rPr>
        <w:t xml:space="preserve"> Ces feuilles de route seront mises à disposition des consultants retenus. </w:t>
      </w:r>
    </w:p>
    <w:p w14:paraId="687EE6F9" w14:textId="77777777" w:rsidR="00C73249" w:rsidRPr="007C44B3" w:rsidRDefault="00C73249" w:rsidP="00E537B7">
      <w:pPr>
        <w:pStyle w:val="Paragraphedeliste2"/>
        <w:ind w:left="0"/>
        <w:jc w:val="both"/>
        <w:rPr>
          <w:rFonts w:ascii="Calibri" w:hAnsi="Calibri" w:cs="Tahoma"/>
          <w:bCs/>
          <w:sz w:val="22"/>
          <w:szCs w:val="22"/>
        </w:rPr>
      </w:pPr>
    </w:p>
    <w:p w14:paraId="59443F8D" w14:textId="5886DB73" w:rsidR="00B11BBA" w:rsidRPr="007C44B3" w:rsidRDefault="00B11BBA" w:rsidP="00E537B7">
      <w:pPr>
        <w:pStyle w:val="Paragraphedeliste2"/>
        <w:ind w:left="0"/>
        <w:jc w:val="both"/>
        <w:rPr>
          <w:rFonts w:ascii="Calibri" w:hAnsi="Calibri" w:cs="Tahoma"/>
          <w:bCs/>
          <w:sz w:val="22"/>
          <w:szCs w:val="22"/>
        </w:rPr>
      </w:pPr>
      <w:r w:rsidRPr="007C44B3">
        <w:rPr>
          <w:rFonts w:ascii="Calibri" w:hAnsi="Calibri" w:cs="Tahoma"/>
          <w:bCs/>
          <w:sz w:val="22"/>
          <w:szCs w:val="22"/>
        </w:rPr>
        <w:t>Les activités sont intégrées dans leur PAO</w:t>
      </w:r>
      <w:r w:rsidR="003919C5" w:rsidRPr="007C44B3">
        <w:rPr>
          <w:rFonts w:ascii="Calibri" w:hAnsi="Calibri" w:cs="Tahoma"/>
          <w:bCs/>
          <w:sz w:val="22"/>
          <w:szCs w:val="22"/>
        </w:rPr>
        <w:t xml:space="preserve"> annuels</w:t>
      </w:r>
      <w:r w:rsidRPr="007C44B3">
        <w:rPr>
          <w:rFonts w:ascii="Calibri" w:hAnsi="Calibri" w:cs="Tahoma"/>
          <w:bCs/>
          <w:sz w:val="22"/>
          <w:szCs w:val="22"/>
        </w:rPr>
        <w:t xml:space="preserve"> </w:t>
      </w:r>
      <w:r w:rsidR="003919C5" w:rsidRPr="007C44B3">
        <w:rPr>
          <w:rFonts w:ascii="Calibri" w:hAnsi="Calibri" w:cs="Tahoma"/>
          <w:bCs/>
          <w:sz w:val="22"/>
          <w:szCs w:val="22"/>
        </w:rPr>
        <w:t>selon les directives relatives à l’élaboration et la mise en œuvre des PAO de 2018.</w:t>
      </w:r>
    </w:p>
    <w:p w14:paraId="72E4B319" w14:textId="301CAC1C" w:rsidR="00E81ABD" w:rsidRPr="007C44B3" w:rsidRDefault="00E81ABD" w:rsidP="00E81ABD">
      <w:pPr>
        <w:pStyle w:val="Paragraphedeliste2"/>
        <w:ind w:left="0"/>
        <w:jc w:val="both"/>
        <w:rPr>
          <w:rFonts w:ascii="Calibri" w:hAnsi="Calibri" w:cs="Tahoma"/>
          <w:bCs/>
          <w:sz w:val="22"/>
          <w:szCs w:val="22"/>
        </w:rPr>
      </w:pPr>
    </w:p>
    <w:tbl>
      <w:tblPr>
        <w:tblStyle w:val="Grilledutableau"/>
        <w:tblW w:w="0" w:type="auto"/>
        <w:tblLook w:val="04A0" w:firstRow="1" w:lastRow="0" w:firstColumn="1" w:lastColumn="0" w:noHBand="0" w:noVBand="1"/>
      </w:tblPr>
      <w:tblGrid>
        <w:gridCol w:w="9062"/>
      </w:tblGrid>
      <w:tr w:rsidR="00AC5C91" w:rsidRPr="007C44B3" w14:paraId="5397C97B" w14:textId="77777777" w:rsidTr="00AC5C91">
        <w:tc>
          <w:tcPr>
            <w:tcW w:w="9062" w:type="dxa"/>
          </w:tcPr>
          <w:p w14:paraId="798E09E9" w14:textId="720F99EA" w:rsidR="00AC5C91" w:rsidRPr="007C44B3" w:rsidRDefault="00AC5C91" w:rsidP="00AC5C91">
            <w:pPr>
              <w:pStyle w:val="Paragraphedeliste2"/>
              <w:ind w:left="0"/>
              <w:jc w:val="both"/>
              <w:rPr>
                <w:rFonts w:ascii="Calibri" w:hAnsi="Calibri" w:cs="Tahoma"/>
                <w:b/>
                <w:bCs/>
              </w:rPr>
            </w:pPr>
            <w:r w:rsidRPr="007C44B3">
              <w:rPr>
                <w:rFonts w:ascii="Calibri" w:hAnsi="Calibri" w:cs="Tahoma"/>
                <w:b/>
                <w:bCs/>
                <w:sz w:val="22"/>
                <w:szCs w:val="22"/>
              </w:rPr>
              <w:t>Ces TDR ont pour objet de définir les modalités et périmètres de réalisation d’un diagnostic institutionnel, organisationnel et fonctionnel de 12 EPA dans le secteur de la santé et de recruter</w:t>
            </w:r>
            <w:r w:rsidR="00187710" w:rsidRPr="007C44B3">
              <w:rPr>
                <w:rFonts w:ascii="Calibri" w:hAnsi="Calibri" w:cs="Tahoma"/>
                <w:b/>
                <w:bCs/>
                <w:sz w:val="22"/>
                <w:szCs w:val="22"/>
              </w:rPr>
              <w:t xml:space="preserve"> au minimum</w:t>
            </w:r>
            <w:r w:rsidRPr="007C44B3">
              <w:rPr>
                <w:rFonts w:ascii="Calibri" w:hAnsi="Calibri" w:cs="Tahoma"/>
                <w:b/>
                <w:bCs/>
                <w:sz w:val="22"/>
                <w:szCs w:val="22"/>
              </w:rPr>
              <w:t xml:space="preserve"> deux expert.e.s chargé.e.s de cette activité soit un.e expert.e international.e et un.e expert.e national.e. </w:t>
            </w:r>
          </w:p>
          <w:p w14:paraId="78FB166A" w14:textId="77777777" w:rsidR="00AC5C91" w:rsidRPr="007C44B3" w:rsidRDefault="00AC5C91" w:rsidP="00E81ABD">
            <w:pPr>
              <w:pStyle w:val="Paragraphedeliste2"/>
              <w:ind w:left="0"/>
              <w:jc w:val="both"/>
              <w:rPr>
                <w:rFonts w:ascii="Calibri" w:hAnsi="Calibri" w:cs="Tahoma"/>
                <w:b/>
                <w:bCs/>
                <w:sz w:val="22"/>
                <w:szCs w:val="22"/>
              </w:rPr>
            </w:pPr>
          </w:p>
        </w:tc>
      </w:tr>
    </w:tbl>
    <w:p w14:paraId="3351687C" w14:textId="77777777" w:rsidR="009134EB" w:rsidRPr="007C44B3" w:rsidRDefault="009134EB" w:rsidP="00DA3203">
      <w:pPr>
        <w:pStyle w:val="Paragraphedeliste2"/>
        <w:ind w:left="0"/>
        <w:jc w:val="both"/>
        <w:rPr>
          <w:rFonts w:ascii="Calibri" w:hAnsi="Calibri" w:cs="Tahoma"/>
          <w:bCs/>
        </w:rPr>
      </w:pPr>
    </w:p>
    <w:p w14:paraId="1DA9A977" w14:textId="7F932FFD" w:rsidR="006F2725" w:rsidRPr="007C44B3" w:rsidRDefault="006F2725" w:rsidP="00DF6355">
      <w:pPr>
        <w:pStyle w:val="Paragraphedeliste2"/>
        <w:numPr>
          <w:ilvl w:val="0"/>
          <w:numId w:val="9"/>
        </w:numPr>
        <w:rPr>
          <w:rFonts w:ascii="Calibri" w:hAnsi="Calibri"/>
          <w:b/>
          <w:sz w:val="22"/>
          <w:szCs w:val="22"/>
          <w:u w:val="single"/>
        </w:rPr>
      </w:pPr>
      <w:r w:rsidRPr="007C44B3">
        <w:rPr>
          <w:rFonts w:ascii="Calibri" w:hAnsi="Calibri"/>
          <w:b/>
          <w:sz w:val="22"/>
          <w:szCs w:val="22"/>
        </w:rPr>
        <w:t>Contexte lié à l’activité et d</w:t>
      </w:r>
      <w:r w:rsidR="00DA514D" w:rsidRPr="007C44B3">
        <w:rPr>
          <w:rFonts w:ascii="Calibri" w:hAnsi="Calibri"/>
          <w:b/>
          <w:sz w:val="22"/>
          <w:szCs w:val="22"/>
        </w:rPr>
        <w:t xml:space="preserve">escription </w:t>
      </w:r>
      <w:r w:rsidR="009F659E" w:rsidRPr="007C44B3">
        <w:rPr>
          <w:rFonts w:ascii="Calibri" w:hAnsi="Calibri"/>
          <w:b/>
          <w:sz w:val="22"/>
          <w:szCs w:val="22"/>
        </w:rPr>
        <w:t>de l’existant</w:t>
      </w:r>
      <w:r w:rsidR="00CB2E85" w:rsidRPr="007C44B3">
        <w:rPr>
          <w:rFonts w:ascii="Calibri" w:hAnsi="Calibri"/>
          <w:sz w:val="22"/>
          <w:szCs w:val="22"/>
        </w:rPr>
        <w:t xml:space="preserve"> </w:t>
      </w:r>
      <w:r w:rsidR="00DA514D" w:rsidRPr="007C44B3">
        <w:rPr>
          <w:rFonts w:ascii="Calibri" w:hAnsi="Calibri"/>
          <w:sz w:val="22"/>
          <w:szCs w:val="22"/>
        </w:rPr>
        <w:t> </w:t>
      </w:r>
    </w:p>
    <w:p w14:paraId="25570101" w14:textId="77777777" w:rsidR="009A1BCE" w:rsidRPr="007C44B3" w:rsidRDefault="009A1BCE" w:rsidP="009A1BCE">
      <w:pPr>
        <w:pStyle w:val="Paragraphedeliste2"/>
        <w:rPr>
          <w:rFonts w:ascii="Calibri" w:hAnsi="Calibri"/>
          <w:b/>
          <w:sz w:val="22"/>
          <w:szCs w:val="22"/>
          <w:u w:val="single"/>
        </w:rPr>
      </w:pPr>
    </w:p>
    <w:p w14:paraId="20A4D10D" w14:textId="5AC63EDE" w:rsidR="003919C5" w:rsidRPr="007C44B3" w:rsidRDefault="003919C5" w:rsidP="003919C5">
      <w:pPr>
        <w:pStyle w:val="Paragraphedeliste2"/>
        <w:ind w:left="0"/>
        <w:jc w:val="both"/>
        <w:rPr>
          <w:rFonts w:ascii="Calibri" w:hAnsi="Calibri" w:cs="Tahoma"/>
          <w:bCs/>
          <w:sz w:val="22"/>
          <w:szCs w:val="22"/>
        </w:rPr>
      </w:pPr>
      <w:r w:rsidRPr="007C44B3">
        <w:rPr>
          <w:rFonts w:ascii="Calibri" w:hAnsi="Calibri" w:cs="Tahoma"/>
          <w:bCs/>
          <w:sz w:val="22"/>
          <w:szCs w:val="22"/>
        </w:rPr>
        <w:t>Suite aux r</w:t>
      </w:r>
      <w:r w:rsidR="00C73249" w:rsidRPr="007C44B3">
        <w:rPr>
          <w:rFonts w:ascii="Calibri" w:hAnsi="Calibri" w:cs="Tahoma"/>
          <w:bCs/>
          <w:sz w:val="22"/>
          <w:szCs w:val="22"/>
        </w:rPr>
        <w:t>é</w:t>
      </w:r>
      <w:r w:rsidRPr="007C44B3">
        <w:rPr>
          <w:rFonts w:ascii="Calibri" w:hAnsi="Calibri" w:cs="Tahoma"/>
          <w:bCs/>
          <w:sz w:val="22"/>
          <w:szCs w:val="22"/>
        </w:rPr>
        <w:t xml:space="preserve">formes des finances publiques entreprises </w:t>
      </w:r>
      <w:r w:rsidR="00336B58" w:rsidRPr="007C44B3">
        <w:rPr>
          <w:rFonts w:ascii="Calibri" w:hAnsi="Calibri" w:cs="Tahoma"/>
          <w:bCs/>
          <w:sz w:val="22"/>
          <w:szCs w:val="22"/>
        </w:rPr>
        <w:t xml:space="preserve">en Guinée </w:t>
      </w:r>
      <w:r w:rsidRPr="007C44B3">
        <w:rPr>
          <w:rFonts w:ascii="Calibri" w:hAnsi="Calibri" w:cs="Tahoma"/>
          <w:bCs/>
          <w:sz w:val="22"/>
          <w:szCs w:val="22"/>
        </w:rPr>
        <w:t xml:space="preserve">depuis 2012, un ensemble de textes législatifs et règlementaires et des manuels de procédures ont été élaborés et révisés. </w:t>
      </w:r>
    </w:p>
    <w:p w14:paraId="6D107EFC" w14:textId="77777777" w:rsidR="003919C5" w:rsidRPr="007C44B3" w:rsidRDefault="003919C5" w:rsidP="003919C5">
      <w:pPr>
        <w:pStyle w:val="Paragraphedeliste2"/>
        <w:ind w:left="0"/>
        <w:jc w:val="both"/>
        <w:rPr>
          <w:rFonts w:ascii="Calibri" w:hAnsi="Calibri" w:cs="Tahoma"/>
          <w:bCs/>
          <w:sz w:val="22"/>
          <w:szCs w:val="22"/>
        </w:rPr>
      </w:pPr>
    </w:p>
    <w:p w14:paraId="2039EC00" w14:textId="410D06A8" w:rsidR="003919C5" w:rsidRPr="007C44B3" w:rsidRDefault="003919C5" w:rsidP="005A4A42">
      <w:pPr>
        <w:pStyle w:val="Paragraphedeliste2"/>
        <w:ind w:left="0"/>
        <w:jc w:val="both"/>
        <w:rPr>
          <w:rFonts w:ascii="Calibri" w:hAnsi="Calibri" w:cs="Tahoma"/>
          <w:bCs/>
          <w:sz w:val="22"/>
          <w:szCs w:val="22"/>
        </w:rPr>
      </w:pPr>
      <w:r w:rsidRPr="007C44B3">
        <w:rPr>
          <w:rFonts w:ascii="Calibri" w:hAnsi="Calibri" w:cs="Tahoma"/>
          <w:bCs/>
          <w:sz w:val="22"/>
          <w:szCs w:val="22"/>
        </w:rPr>
        <w:t>Tout d’abord, l</w:t>
      </w:r>
      <w:r w:rsidR="00BA5701" w:rsidRPr="007C44B3">
        <w:rPr>
          <w:rFonts w:ascii="Calibri" w:hAnsi="Calibri" w:cs="Tahoma"/>
          <w:bCs/>
          <w:sz w:val="22"/>
          <w:szCs w:val="22"/>
        </w:rPr>
        <w:t xml:space="preserve">a </w:t>
      </w:r>
      <w:r w:rsidR="009B33AA" w:rsidRPr="007C44B3">
        <w:rPr>
          <w:rFonts w:ascii="Calibri" w:hAnsi="Calibri" w:cs="Tahoma"/>
          <w:bCs/>
          <w:sz w:val="22"/>
          <w:szCs w:val="22"/>
        </w:rPr>
        <w:t>structure organisationnelle du m</w:t>
      </w:r>
      <w:r w:rsidR="00B07803" w:rsidRPr="007C44B3">
        <w:rPr>
          <w:rFonts w:ascii="Calibri" w:hAnsi="Calibri" w:cs="Tahoma"/>
          <w:bCs/>
          <w:sz w:val="22"/>
          <w:szCs w:val="22"/>
        </w:rPr>
        <w:t>inistère de la s</w:t>
      </w:r>
      <w:r w:rsidR="00BA5701" w:rsidRPr="007C44B3">
        <w:rPr>
          <w:rFonts w:ascii="Calibri" w:hAnsi="Calibri" w:cs="Tahoma"/>
          <w:bCs/>
          <w:sz w:val="22"/>
          <w:szCs w:val="22"/>
        </w:rPr>
        <w:t>anté, définie par décret n° D/2018/168/PRG/SGG du 16 août 2018 portant organisation et attribution du secteur, classe</w:t>
      </w:r>
      <w:r w:rsidR="00153EDA" w:rsidRPr="007C44B3">
        <w:rPr>
          <w:rFonts w:ascii="Calibri" w:hAnsi="Calibri" w:cs="Tahoma"/>
          <w:bCs/>
          <w:sz w:val="22"/>
          <w:szCs w:val="22"/>
        </w:rPr>
        <w:t xml:space="preserve"> certaines structures de santé</w:t>
      </w:r>
      <w:r w:rsidR="00BA5701" w:rsidRPr="007C44B3">
        <w:rPr>
          <w:rFonts w:ascii="Calibri" w:hAnsi="Calibri" w:cs="Tahoma"/>
          <w:bCs/>
          <w:sz w:val="22"/>
          <w:szCs w:val="22"/>
        </w:rPr>
        <w:t xml:space="preserve"> comme organismes publics</w:t>
      </w:r>
      <w:r w:rsidR="00153EDA" w:rsidRPr="007C44B3">
        <w:rPr>
          <w:rFonts w:ascii="Calibri" w:hAnsi="Calibri" w:cs="Tahoma"/>
          <w:bCs/>
          <w:sz w:val="22"/>
          <w:szCs w:val="22"/>
        </w:rPr>
        <w:t>, donc EPA de santé</w:t>
      </w:r>
      <w:r w:rsidR="00BA5701" w:rsidRPr="007C44B3">
        <w:rPr>
          <w:rFonts w:ascii="Calibri" w:hAnsi="Calibri" w:cs="Tahoma"/>
          <w:bCs/>
          <w:sz w:val="22"/>
          <w:szCs w:val="22"/>
        </w:rPr>
        <w:t xml:space="preserve">. </w:t>
      </w:r>
    </w:p>
    <w:p w14:paraId="61C47FAA" w14:textId="77777777" w:rsidR="00336B58" w:rsidRPr="007C44B3" w:rsidRDefault="00336B58" w:rsidP="005A4A42">
      <w:pPr>
        <w:pStyle w:val="Paragraphedeliste2"/>
        <w:ind w:left="0"/>
        <w:jc w:val="both"/>
        <w:rPr>
          <w:rFonts w:ascii="Calibri" w:hAnsi="Calibri" w:cs="Tahoma"/>
          <w:bCs/>
          <w:sz w:val="22"/>
          <w:szCs w:val="22"/>
        </w:rPr>
      </w:pPr>
    </w:p>
    <w:p w14:paraId="1CC02579" w14:textId="573D4287" w:rsidR="003919C5" w:rsidRPr="007C44B3" w:rsidRDefault="007E4D57" w:rsidP="005A4A42">
      <w:pPr>
        <w:pStyle w:val="Paragraphedeliste2"/>
        <w:ind w:left="0"/>
        <w:jc w:val="both"/>
        <w:rPr>
          <w:rFonts w:ascii="Calibri" w:hAnsi="Calibri" w:cs="Tahoma"/>
          <w:bCs/>
          <w:sz w:val="22"/>
          <w:szCs w:val="22"/>
        </w:rPr>
      </w:pPr>
      <w:r w:rsidRPr="007C44B3">
        <w:rPr>
          <w:rFonts w:ascii="Calibri" w:hAnsi="Calibri" w:cs="Tahoma"/>
          <w:bCs/>
          <w:sz w:val="22"/>
          <w:szCs w:val="22"/>
        </w:rPr>
        <w:lastRenderedPageBreak/>
        <w:t xml:space="preserve">Il s’agit des 03 hôpitaux nationaux (Donka, Ignace Deen et l’hôpital de l’amitié sino-guineen de Kipé), des 07 hôpitaux régionaux (Kindia, Boké, Mamou, Labé, Kankan, Faranah et Nzérékoré), de l’Institut National de Santé Publique (INSP) et de l’Agence Nationale de Sécurité Sanitaire (ANSS). </w:t>
      </w:r>
      <w:r w:rsidR="007A34F3" w:rsidRPr="007C44B3">
        <w:rPr>
          <w:rFonts w:ascii="Calibri" w:hAnsi="Calibri" w:cs="Tahoma"/>
          <w:bCs/>
          <w:sz w:val="22"/>
          <w:szCs w:val="22"/>
        </w:rPr>
        <w:t xml:space="preserve"> </w:t>
      </w:r>
      <w:r w:rsidRPr="007C44B3">
        <w:rPr>
          <w:rFonts w:ascii="Calibri" w:hAnsi="Calibri" w:cs="Tahoma"/>
          <w:bCs/>
          <w:sz w:val="22"/>
          <w:szCs w:val="22"/>
        </w:rPr>
        <w:t>A noter que ces 12 structures feront l’objet d’un diagnostic institutionnel, organisationnel et fonctionnel dans ces présents</w:t>
      </w:r>
      <w:r w:rsidR="003F29C8" w:rsidRPr="007C44B3">
        <w:rPr>
          <w:rFonts w:ascii="Calibri" w:hAnsi="Calibri" w:cs="Tahoma"/>
          <w:bCs/>
          <w:sz w:val="22"/>
          <w:szCs w:val="22"/>
        </w:rPr>
        <w:t>.</w:t>
      </w:r>
    </w:p>
    <w:p w14:paraId="1958DDB7" w14:textId="1ABE463C" w:rsidR="00336B58" w:rsidRPr="007C44B3" w:rsidRDefault="007E4D57" w:rsidP="005A4A42">
      <w:pPr>
        <w:pStyle w:val="Paragraphedeliste2"/>
        <w:ind w:left="0"/>
        <w:jc w:val="both"/>
        <w:rPr>
          <w:rFonts w:ascii="Calibri" w:hAnsi="Calibri" w:cs="Tahoma"/>
          <w:bCs/>
          <w:sz w:val="22"/>
          <w:szCs w:val="22"/>
        </w:rPr>
      </w:pPr>
      <w:r w:rsidRPr="007C44B3">
        <w:rPr>
          <w:rFonts w:ascii="Calibri" w:hAnsi="Calibri" w:cs="Tahoma"/>
          <w:bCs/>
          <w:sz w:val="22"/>
          <w:szCs w:val="22"/>
        </w:rPr>
        <w:t xml:space="preserve"> </w:t>
      </w:r>
    </w:p>
    <w:p w14:paraId="1C5639B7" w14:textId="47340026" w:rsidR="00BA5701" w:rsidRPr="007C44B3" w:rsidRDefault="00572C16" w:rsidP="005A4A42">
      <w:pPr>
        <w:pStyle w:val="Paragraphedeliste2"/>
        <w:ind w:left="0"/>
        <w:jc w:val="both"/>
        <w:rPr>
          <w:rFonts w:ascii="Calibri" w:hAnsi="Calibri" w:cs="Tahoma"/>
          <w:bCs/>
          <w:sz w:val="22"/>
          <w:szCs w:val="22"/>
        </w:rPr>
      </w:pPr>
      <w:r w:rsidRPr="007C44B3">
        <w:rPr>
          <w:rFonts w:ascii="Calibri" w:hAnsi="Calibri" w:cs="Tahoma"/>
          <w:bCs/>
          <w:sz w:val="22"/>
          <w:szCs w:val="22"/>
        </w:rPr>
        <w:t>A rappeler que l</w:t>
      </w:r>
      <w:r w:rsidR="00F41004" w:rsidRPr="007C44B3">
        <w:rPr>
          <w:rFonts w:ascii="Calibri" w:hAnsi="Calibri" w:cs="Tahoma"/>
          <w:bCs/>
          <w:sz w:val="22"/>
          <w:szCs w:val="22"/>
        </w:rPr>
        <w:t xml:space="preserve">es </w:t>
      </w:r>
      <w:r w:rsidR="002A53DB" w:rsidRPr="007C44B3">
        <w:rPr>
          <w:rFonts w:ascii="Calibri" w:hAnsi="Calibri" w:cs="Tahoma"/>
          <w:bCs/>
          <w:sz w:val="22"/>
          <w:szCs w:val="22"/>
        </w:rPr>
        <w:t>H</w:t>
      </w:r>
      <w:r w:rsidR="005E58E9" w:rsidRPr="007C44B3">
        <w:rPr>
          <w:rFonts w:ascii="Calibri" w:hAnsi="Calibri" w:cs="Tahoma"/>
          <w:bCs/>
          <w:sz w:val="22"/>
          <w:szCs w:val="22"/>
        </w:rPr>
        <w:t>ôpitaux Préfectoraux (</w:t>
      </w:r>
      <w:r w:rsidR="00F41004" w:rsidRPr="007C44B3">
        <w:rPr>
          <w:rFonts w:ascii="Calibri" w:hAnsi="Calibri" w:cs="Tahoma"/>
          <w:bCs/>
          <w:sz w:val="22"/>
          <w:szCs w:val="22"/>
        </w:rPr>
        <w:t>HP</w:t>
      </w:r>
      <w:r w:rsidR="005E58E9" w:rsidRPr="007C44B3">
        <w:rPr>
          <w:rFonts w:ascii="Calibri" w:hAnsi="Calibri" w:cs="Tahoma"/>
          <w:bCs/>
          <w:sz w:val="22"/>
          <w:szCs w:val="22"/>
        </w:rPr>
        <w:t>) sont des services rattachés des Directions Préfectorales de la Santé</w:t>
      </w:r>
      <w:r w:rsidR="005336CA" w:rsidRPr="007C44B3">
        <w:rPr>
          <w:rFonts w:ascii="Calibri" w:hAnsi="Calibri" w:cs="Tahoma"/>
          <w:bCs/>
          <w:sz w:val="22"/>
          <w:szCs w:val="22"/>
        </w:rPr>
        <w:t xml:space="preserve"> (DPS)</w:t>
      </w:r>
      <w:r w:rsidR="00EA3FB1" w:rsidRPr="007C44B3">
        <w:rPr>
          <w:rFonts w:ascii="Calibri" w:hAnsi="Calibri" w:cs="Tahoma"/>
          <w:bCs/>
          <w:sz w:val="22"/>
          <w:szCs w:val="22"/>
        </w:rPr>
        <w:t>,</w:t>
      </w:r>
      <w:r w:rsidR="005B675B" w:rsidRPr="007C44B3">
        <w:rPr>
          <w:rFonts w:ascii="Calibri" w:hAnsi="Calibri" w:cs="Tahoma"/>
          <w:bCs/>
          <w:sz w:val="22"/>
          <w:szCs w:val="22"/>
        </w:rPr>
        <w:t xml:space="preserve"> services déconcentrés du ministère de la s</w:t>
      </w:r>
      <w:r w:rsidR="005E58E9" w:rsidRPr="007C44B3">
        <w:rPr>
          <w:rFonts w:ascii="Calibri" w:hAnsi="Calibri" w:cs="Tahoma"/>
          <w:bCs/>
          <w:sz w:val="22"/>
          <w:szCs w:val="22"/>
        </w:rPr>
        <w:t xml:space="preserve">anté bien que leur fonctionnement </w:t>
      </w:r>
      <w:r w:rsidR="00EA3FB1" w:rsidRPr="007C44B3">
        <w:rPr>
          <w:rFonts w:ascii="Calibri" w:hAnsi="Calibri" w:cs="Tahoma"/>
          <w:bCs/>
          <w:sz w:val="22"/>
          <w:szCs w:val="22"/>
        </w:rPr>
        <w:t xml:space="preserve">soit </w:t>
      </w:r>
      <w:r w:rsidR="005E58E9" w:rsidRPr="007C44B3">
        <w:rPr>
          <w:rFonts w:ascii="Calibri" w:hAnsi="Calibri" w:cs="Tahoma"/>
          <w:bCs/>
          <w:sz w:val="22"/>
          <w:szCs w:val="22"/>
        </w:rPr>
        <w:t>similaire aux EPA Santé.</w:t>
      </w:r>
    </w:p>
    <w:p w14:paraId="6206121A" w14:textId="7D76E4E5" w:rsidR="00FE05E3" w:rsidRPr="007C44B3" w:rsidRDefault="00FE05E3" w:rsidP="00264305">
      <w:pPr>
        <w:pStyle w:val="Paragraphedeliste2"/>
        <w:ind w:left="0"/>
        <w:jc w:val="both"/>
        <w:rPr>
          <w:rFonts w:ascii="Calibri" w:hAnsi="Calibri" w:cs="Tahoma"/>
          <w:bCs/>
          <w:sz w:val="22"/>
          <w:szCs w:val="22"/>
        </w:rPr>
      </w:pPr>
    </w:p>
    <w:p w14:paraId="55381535" w14:textId="09BD7889" w:rsidR="00FE05E3" w:rsidRPr="007C44B3" w:rsidRDefault="003919C5" w:rsidP="00264305">
      <w:pPr>
        <w:pStyle w:val="Paragraphedeliste2"/>
        <w:ind w:left="0"/>
        <w:jc w:val="both"/>
        <w:rPr>
          <w:rFonts w:ascii="Calibri" w:hAnsi="Calibri" w:cs="Tahoma"/>
          <w:bCs/>
          <w:sz w:val="22"/>
          <w:szCs w:val="22"/>
        </w:rPr>
      </w:pPr>
      <w:r w:rsidRPr="007C44B3">
        <w:rPr>
          <w:rFonts w:ascii="Calibri" w:hAnsi="Calibri" w:cs="Tahoma"/>
          <w:bCs/>
          <w:sz w:val="22"/>
          <w:szCs w:val="22"/>
        </w:rPr>
        <w:t>Par ailleurs, un corpus de t</w:t>
      </w:r>
      <w:r w:rsidR="00FE05E3" w:rsidRPr="007C44B3">
        <w:rPr>
          <w:rFonts w:ascii="Calibri" w:hAnsi="Calibri" w:cs="Tahoma"/>
          <w:bCs/>
          <w:sz w:val="22"/>
          <w:szCs w:val="22"/>
        </w:rPr>
        <w:t xml:space="preserve">extes </w:t>
      </w:r>
      <w:r w:rsidRPr="007C44B3">
        <w:rPr>
          <w:rFonts w:ascii="Calibri" w:hAnsi="Calibri" w:cs="Tahoma"/>
          <w:bCs/>
          <w:sz w:val="22"/>
          <w:szCs w:val="22"/>
        </w:rPr>
        <w:t xml:space="preserve">régit </w:t>
      </w:r>
      <w:r w:rsidR="00FE05E3" w:rsidRPr="007C44B3">
        <w:rPr>
          <w:rFonts w:ascii="Calibri" w:hAnsi="Calibri" w:cs="Tahoma"/>
          <w:bCs/>
          <w:sz w:val="22"/>
          <w:szCs w:val="22"/>
        </w:rPr>
        <w:t>les établissements publics administratifs de l’Etat en Guinée</w:t>
      </w:r>
      <w:r w:rsidR="00EA3FB1" w:rsidRPr="007C44B3">
        <w:rPr>
          <w:rFonts w:ascii="Calibri" w:hAnsi="Calibri" w:cs="Tahoma"/>
          <w:bCs/>
          <w:sz w:val="22"/>
          <w:szCs w:val="22"/>
        </w:rPr>
        <w:t> :</w:t>
      </w:r>
      <w:r w:rsidR="00FE05E3" w:rsidRPr="007C44B3">
        <w:rPr>
          <w:rFonts w:ascii="Calibri" w:hAnsi="Calibri" w:cs="Tahoma"/>
          <w:bCs/>
          <w:sz w:val="22"/>
          <w:szCs w:val="22"/>
        </w:rPr>
        <w:t xml:space="preserve"> </w:t>
      </w:r>
    </w:p>
    <w:p w14:paraId="1A25411F" w14:textId="77777777" w:rsidR="00FE05E3" w:rsidRPr="007C44B3" w:rsidRDefault="00FE05E3" w:rsidP="00264305">
      <w:pPr>
        <w:pStyle w:val="Paragraphedeliste2"/>
        <w:ind w:left="0"/>
        <w:jc w:val="both"/>
        <w:rPr>
          <w:rFonts w:ascii="Calibri" w:hAnsi="Calibri" w:cs="Tahoma"/>
          <w:bCs/>
          <w:sz w:val="22"/>
          <w:szCs w:val="22"/>
        </w:rPr>
      </w:pPr>
    </w:p>
    <w:p w14:paraId="7125FDBF" w14:textId="0770F1B7" w:rsidR="00FE05E3"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FE05E3" w:rsidRPr="007C44B3">
        <w:rPr>
          <w:rFonts w:ascii="Calibri" w:hAnsi="Calibri" w:cs="Tahoma"/>
          <w:bCs/>
          <w:sz w:val="22"/>
          <w:szCs w:val="22"/>
        </w:rPr>
        <w:t>La loi organique L/2012/012/CNT du 06 août 2012 relative aux lois de finances ;</w:t>
      </w:r>
    </w:p>
    <w:p w14:paraId="4817CD0A" w14:textId="439EED1E" w:rsidR="00FE05E3"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FE05E3" w:rsidRPr="007C44B3">
        <w:rPr>
          <w:rFonts w:ascii="Calibri" w:hAnsi="Calibri" w:cs="Tahoma"/>
          <w:bCs/>
          <w:sz w:val="22"/>
          <w:szCs w:val="22"/>
        </w:rPr>
        <w:t>La loi organique L/2013/046/CNT du 18 janvier 2013 portant organisation, attributions et fonctionnement de la Cour des comptes et le régime disciplinaire de ses membres ;</w:t>
      </w:r>
    </w:p>
    <w:p w14:paraId="3C7110D6" w14:textId="65553478" w:rsidR="00FE05E3" w:rsidRPr="007C44B3" w:rsidRDefault="003D6526" w:rsidP="003D6526">
      <w:pPr>
        <w:pStyle w:val="Paragraphedeliste2"/>
        <w:jc w:val="both"/>
        <w:rPr>
          <w:rFonts w:ascii="Calibri" w:hAnsi="Calibri" w:cs="Tahoma"/>
          <w:b/>
          <w:bCs/>
          <w:sz w:val="22"/>
          <w:szCs w:val="22"/>
        </w:rPr>
      </w:pPr>
      <w:r w:rsidRPr="007C44B3">
        <w:rPr>
          <w:rFonts w:ascii="Calibri" w:hAnsi="Calibri" w:cs="Tahoma"/>
          <w:b/>
          <w:bCs/>
          <w:sz w:val="22"/>
          <w:szCs w:val="22"/>
        </w:rPr>
        <w:t xml:space="preserve">- </w:t>
      </w:r>
      <w:r w:rsidR="00FE05E3" w:rsidRPr="007C44B3">
        <w:rPr>
          <w:rFonts w:ascii="Calibri" w:hAnsi="Calibri" w:cs="Tahoma"/>
          <w:b/>
          <w:bCs/>
          <w:sz w:val="22"/>
          <w:szCs w:val="22"/>
        </w:rPr>
        <w:t>La loi L/2017/056/AN du 08 décembre 2017 modifiant certaines dispositions de la loi</w:t>
      </w:r>
      <w:r w:rsidRPr="007C44B3">
        <w:rPr>
          <w:rFonts w:ascii="Calibri" w:hAnsi="Calibri" w:cs="Tahoma"/>
          <w:b/>
          <w:bCs/>
          <w:sz w:val="22"/>
          <w:szCs w:val="22"/>
        </w:rPr>
        <w:t xml:space="preserve"> </w:t>
      </w:r>
      <w:r w:rsidR="00FE05E3" w:rsidRPr="007C44B3">
        <w:rPr>
          <w:rFonts w:ascii="Calibri" w:hAnsi="Calibri" w:cs="Tahoma"/>
          <w:b/>
          <w:bCs/>
          <w:sz w:val="22"/>
          <w:szCs w:val="22"/>
        </w:rPr>
        <w:t>L/2016/075/AN du 30 décembre 2016 portant gouvernance financière des sociétés et établissements publics en République de Guinée.</w:t>
      </w:r>
    </w:p>
    <w:p w14:paraId="32844CF1" w14:textId="70F08610" w:rsidR="00C947D7"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C947D7" w:rsidRPr="007C44B3">
        <w:rPr>
          <w:rFonts w:ascii="Calibri" w:hAnsi="Calibri" w:cs="Tahoma"/>
          <w:bCs/>
          <w:sz w:val="22"/>
          <w:szCs w:val="22"/>
        </w:rPr>
        <w:t>Le décret D/2013/015/PRG/SGG du 15 janvier 2013 portant règlement général de gestion</w:t>
      </w:r>
      <w:r w:rsidRPr="007C44B3">
        <w:rPr>
          <w:rFonts w:ascii="Calibri" w:hAnsi="Calibri" w:cs="Tahoma"/>
          <w:bCs/>
          <w:sz w:val="22"/>
          <w:szCs w:val="22"/>
        </w:rPr>
        <w:t xml:space="preserve"> </w:t>
      </w:r>
      <w:r w:rsidR="00C947D7" w:rsidRPr="007C44B3">
        <w:rPr>
          <w:rFonts w:ascii="Calibri" w:hAnsi="Calibri" w:cs="Tahoma"/>
          <w:bCs/>
          <w:sz w:val="22"/>
          <w:szCs w:val="22"/>
        </w:rPr>
        <w:t>budgétaire et de comptabilité publique ;</w:t>
      </w:r>
    </w:p>
    <w:p w14:paraId="46A8A1BF" w14:textId="2A1B364B" w:rsidR="00C947D7"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C947D7" w:rsidRPr="007C44B3">
        <w:rPr>
          <w:rFonts w:ascii="Calibri" w:hAnsi="Calibri" w:cs="Tahoma"/>
          <w:bCs/>
          <w:sz w:val="22"/>
          <w:szCs w:val="22"/>
        </w:rPr>
        <w:t>Le décret D/2014/222/PRG/SGG du 31 octobre 2014 portant cadre de gouvernance des finances publiques ;</w:t>
      </w:r>
    </w:p>
    <w:p w14:paraId="17CB6AF5" w14:textId="2DD79978" w:rsidR="00C947D7" w:rsidRPr="007C44B3" w:rsidRDefault="003D6526" w:rsidP="003D6526">
      <w:pPr>
        <w:pStyle w:val="Paragraphedeliste2"/>
        <w:jc w:val="both"/>
        <w:rPr>
          <w:rFonts w:ascii="Calibri" w:hAnsi="Calibri" w:cs="Tahoma"/>
          <w:bCs/>
          <w:sz w:val="22"/>
          <w:szCs w:val="22"/>
        </w:rPr>
      </w:pPr>
      <w:r w:rsidRPr="007C44B3">
        <w:rPr>
          <w:rFonts w:ascii="Calibri" w:hAnsi="Calibri" w:cs="Tahoma"/>
          <w:b/>
          <w:bCs/>
          <w:sz w:val="22"/>
          <w:szCs w:val="22"/>
        </w:rPr>
        <w:t xml:space="preserve">- </w:t>
      </w:r>
      <w:r w:rsidR="00C947D7" w:rsidRPr="007C44B3">
        <w:rPr>
          <w:rFonts w:ascii="Calibri" w:hAnsi="Calibri" w:cs="Tahoma"/>
          <w:b/>
          <w:bCs/>
          <w:sz w:val="22"/>
          <w:szCs w:val="22"/>
        </w:rPr>
        <w:t xml:space="preserve">Le décret D/2018/239/PRG/SGG du 28 septembre 2018 fixant les conditions </w:t>
      </w:r>
      <w:r w:rsidRPr="007C44B3">
        <w:rPr>
          <w:rFonts w:ascii="Calibri" w:hAnsi="Calibri" w:cs="Tahoma"/>
          <w:b/>
          <w:bCs/>
          <w:sz w:val="22"/>
          <w:szCs w:val="22"/>
        </w:rPr>
        <w:t xml:space="preserve">d’application de </w:t>
      </w:r>
      <w:r w:rsidR="00C947D7" w:rsidRPr="007C44B3">
        <w:rPr>
          <w:rFonts w:ascii="Calibri" w:hAnsi="Calibri" w:cs="Tahoma"/>
          <w:b/>
          <w:bCs/>
          <w:sz w:val="22"/>
          <w:szCs w:val="22"/>
        </w:rPr>
        <w:t>la loi L/2017/056/AN du 8 décembre 2017 modifiant certaines</w:t>
      </w:r>
      <w:r w:rsidRPr="007C44B3">
        <w:rPr>
          <w:rFonts w:ascii="Calibri" w:hAnsi="Calibri" w:cs="Tahoma"/>
          <w:b/>
          <w:bCs/>
          <w:sz w:val="22"/>
          <w:szCs w:val="22"/>
        </w:rPr>
        <w:t xml:space="preserve"> </w:t>
      </w:r>
      <w:r w:rsidR="00C947D7" w:rsidRPr="007C44B3">
        <w:rPr>
          <w:rFonts w:ascii="Calibri" w:hAnsi="Calibri" w:cs="Tahoma"/>
          <w:b/>
          <w:bCs/>
          <w:sz w:val="22"/>
          <w:szCs w:val="22"/>
        </w:rPr>
        <w:t>dispositions de la loi L/2016/075/AN du 30 décembre 2016 portant gouvernance</w:t>
      </w:r>
      <w:r w:rsidRPr="007C44B3">
        <w:rPr>
          <w:rFonts w:ascii="Calibri" w:hAnsi="Calibri" w:cs="Tahoma"/>
          <w:b/>
          <w:bCs/>
          <w:sz w:val="22"/>
          <w:szCs w:val="22"/>
        </w:rPr>
        <w:t xml:space="preserve"> financières des sociétés et </w:t>
      </w:r>
      <w:r w:rsidR="00C947D7" w:rsidRPr="007C44B3">
        <w:rPr>
          <w:rFonts w:ascii="Calibri" w:hAnsi="Calibri" w:cs="Tahoma"/>
          <w:b/>
          <w:bCs/>
          <w:sz w:val="22"/>
          <w:szCs w:val="22"/>
        </w:rPr>
        <w:t>établissements publics en République de Guinée</w:t>
      </w:r>
      <w:r w:rsidR="00C947D7" w:rsidRPr="007C44B3">
        <w:rPr>
          <w:rFonts w:ascii="Calibri" w:hAnsi="Calibri" w:cs="Tahoma"/>
          <w:bCs/>
          <w:sz w:val="22"/>
          <w:szCs w:val="22"/>
        </w:rPr>
        <w:t xml:space="preserve"> ;</w:t>
      </w:r>
    </w:p>
    <w:p w14:paraId="45706937" w14:textId="543CCFD2" w:rsidR="00C947D7"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C947D7" w:rsidRPr="007C44B3">
        <w:rPr>
          <w:rFonts w:ascii="Calibri" w:hAnsi="Calibri" w:cs="Tahoma"/>
          <w:bCs/>
          <w:sz w:val="22"/>
          <w:szCs w:val="22"/>
        </w:rPr>
        <w:t>L’arrêté A/2017/6713/MEF/CAB du 15 décembre 2017 portant plan comptable-type des</w:t>
      </w:r>
      <w:r w:rsidRPr="007C44B3">
        <w:rPr>
          <w:rFonts w:ascii="Calibri" w:hAnsi="Calibri" w:cs="Tahoma"/>
          <w:bCs/>
          <w:sz w:val="22"/>
          <w:szCs w:val="22"/>
        </w:rPr>
        <w:t xml:space="preserve"> </w:t>
      </w:r>
      <w:r w:rsidR="00C947D7" w:rsidRPr="007C44B3">
        <w:rPr>
          <w:rFonts w:ascii="Calibri" w:hAnsi="Calibri" w:cs="Tahoma"/>
          <w:bCs/>
          <w:sz w:val="22"/>
          <w:szCs w:val="22"/>
        </w:rPr>
        <w:t>Etablissements publics administratifs ;</w:t>
      </w:r>
    </w:p>
    <w:p w14:paraId="37A09084" w14:textId="65D26E0F" w:rsidR="00C947D7"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C947D7" w:rsidRPr="007C44B3">
        <w:rPr>
          <w:rFonts w:ascii="Calibri" w:hAnsi="Calibri" w:cs="Tahoma"/>
          <w:bCs/>
          <w:sz w:val="22"/>
          <w:szCs w:val="22"/>
        </w:rPr>
        <w:t>L’arrêté conjoint A/2017/5487/MEF/MB/SGG du 06 octobre 2017 portant nomenclature</w:t>
      </w:r>
      <w:r w:rsidR="00AF1DD5" w:rsidRPr="007C44B3">
        <w:rPr>
          <w:rFonts w:ascii="Calibri" w:hAnsi="Calibri" w:cs="Tahoma"/>
          <w:bCs/>
          <w:sz w:val="22"/>
          <w:szCs w:val="22"/>
        </w:rPr>
        <w:t xml:space="preserve"> </w:t>
      </w:r>
      <w:r w:rsidR="00C947D7" w:rsidRPr="007C44B3">
        <w:rPr>
          <w:rFonts w:ascii="Calibri" w:hAnsi="Calibri" w:cs="Tahoma"/>
          <w:bCs/>
          <w:sz w:val="22"/>
          <w:szCs w:val="22"/>
        </w:rPr>
        <w:t>des pièces justificatives des dépenses publiques.</w:t>
      </w:r>
    </w:p>
    <w:p w14:paraId="4D11003B" w14:textId="0B3FD81E" w:rsidR="00AF1DD5" w:rsidRPr="007C44B3" w:rsidRDefault="003D6526" w:rsidP="003D6526">
      <w:pPr>
        <w:pStyle w:val="Paragraphedeliste2"/>
        <w:jc w:val="both"/>
        <w:rPr>
          <w:rFonts w:ascii="Calibri" w:hAnsi="Calibri" w:cs="Tahoma"/>
          <w:bCs/>
          <w:sz w:val="22"/>
          <w:szCs w:val="22"/>
        </w:rPr>
      </w:pPr>
      <w:r w:rsidRPr="007C44B3">
        <w:rPr>
          <w:rFonts w:ascii="Calibri" w:hAnsi="Calibri" w:cs="Tahoma"/>
          <w:bCs/>
          <w:sz w:val="22"/>
          <w:szCs w:val="22"/>
        </w:rPr>
        <w:t xml:space="preserve">- </w:t>
      </w:r>
      <w:r w:rsidR="00F63F4A" w:rsidRPr="007C44B3">
        <w:rPr>
          <w:rFonts w:ascii="Calibri" w:hAnsi="Calibri" w:cs="Tahoma"/>
          <w:bCs/>
          <w:sz w:val="22"/>
          <w:szCs w:val="22"/>
        </w:rPr>
        <w:t>Instruction conjointe N°013611MEF/MB/2019 portant harmonisation de la présentati</w:t>
      </w:r>
      <w:r w:rsidRPr="007C44B3">
        <w:rPr>
          <w:rFonts w:ascii="Calibri" w:hAnsi="Calibri" w:cs="Tahoma"/>
          <w:bCs/>
          <w:sz w:val="22"/>
          <w:szCs w:val="22"/>
        </w:rPr>
        <w:t xml:space="preserve">on des </w:t>
      </w:r>
      <w:r w:rsidR="00F63F4A" w:rsidRPr="007C44B3">
        <w:rPr>
          <w:rFonts w:ascii="Calibri" w:hAnsi="Calibri" w:cs="Tahoma"/>
          <w:bCs/>
          <w:sz w:val="22"/>
          <w:szCs w:val="22"/>
        </w:rPr>
        <w:t>budgets des établissements publics administratifs</w:t>
      </w:r>
      <w:r w:rsidRPr="007C44B3">
        <w:rPr>
          <w:rFonts w:ascii="Calibri" w:hAnsi="Calibri" w:cs="Tahoma"/>
          <w:bCs/>
          <w:sz w:val="22"/>
          <w:szCs w:val="22"/>
        </w:rPr>
        <w:t xml:space="preserve"> etc.</w:t>
      </w:r>
    </w:p>
    <w:p w14:paraId="2B52B3F7" w14:textId="728C673F" w:rsidR="00FD16B2" w:rsidRPr="007C44B3" w:rsidRDefault="00FD16B2" w:rsidP="003D6526">
      <w:pPr>
        <w:pStyle w:val="Paragraphedeliste2"/>
        <w:jc w:val="both"/>
        <w:rPr>
          <w:rFonts w:ascii="Calibri" w:hAnsi="Calibri" w:cs="Tahoma"/>
          <w:bCs/>
          <w:sz w:val="22"/>
          <w:szCs w:val="22"/>
        </w:rPr>
      </w:pPr>
      <w:r w:rsidRPr="007C44B3">
        <w:rPr>
          <w:rFonts w:ascii="Calibri" w:hAnsi="Calibri" w:cs="Tahoma"/>
          <w:bCs/>
          <w:sz w:val="22"/>
          <w:szCs w:val="22"/>
        </w:rPr>
        <w:t>- Guide de supervision des EPA élaboré par le Ministère du Budget en 2019 pour accompagner les ministères de tutelles techniques et les organismes dans la mise en œuvre de cette importante réforme.</w:t>
      </w:r>
    </w:p>
    <w:p w14:paraId="0D479CA7" w14:textId="53B4966E" w:rsidR="00D22D6C" w:rsidRPr="007C44B3" w:rsidRDefault="00D22D6C" w:rsidP="00264305">
      <w:pPr>
        <w:pStyle w:val="Paragraphedeliste2"/>
        <w:ind w:left="0"/>
        <w:jc w:val="both"/>
        <w:rPr>
          <w:rFonts w:ascii="Calibri" w:hAnsi="Calibri" w:cs="Tahoma"/>
          <w:bCs/>
          <w:sz w:val="22"/>
          <w:szCs w:val="22"/>
        </w:rPr>
      </w:pPr>
    </w:p>
    <w:p w14:paraId="70F3FC0A" w14:textId="4C0BA9F3" w:rsidR="006809A0" w:rsidRPr="007C44B3" w:rsidRDefault="006809A0" w:rsidP="006809A0">
      <w:pPr>
        <w:pStyle w:val="Paragraphedeliste2"/>
        <w:jc w:val="both"/>
        <w:rPr>
          <w:rFonts w:ascii="Calibri" w:hAnsi="Calibri" w:cs="Tahoma"/>
          <w:bCs/>
          <w:sz w:val="22"/>
          <w:szCs w:val="22"/>
        </w:rPr>
      </w:pPr>
      <w:r w:rsidRPr="007C44B3">
        <w:rPr>
          <w:rFonts w:ascii="Calibri" w:hAnsi="Calibri" w:cs="Tahoma"/>
          <w:bCs/>
          <w:sz w:val="22"/>
          <w:szCs w:val="22"/>
        </w:rPr>
        <w:t xml:space="preserve">Parmi ces textes cités qui encadrent la redevabilité des établissements publics administratifs et conditionnent leur financement, figure en bonne place la loi n°2017/056/AN du 8 décembre 2017 portant sur la gouvernance financière des sociétés et des établissements publics.  </w:t>
      </w:r>
    </w:p>
    <w:p w14:paraId="5B190205" w14:textId="77777777" w:rsidR="006809A0" w:rsidRPr="007C44B3" w:rsidRDefault="006809A0" w:rsidP="006809A0">
      <w:pPr>
        <w:pStyle w:val="Paragraphedeliste2"/>
        <w:jc w:val="both"/>
        <w:rPr>
          <w:rFonts w:ascii="Calibri" w:hAnsi="Calibri" w:cs="Tahoma"/>
          <w:bCs/>
          <w:sz w:val="22"/>
          <w:szCs w:val="22"/>
        </w:rPr>
      </w:pPr>
    </w:p>
    <w:p w14:paraId="696F535A" w14:textId="77777777" w:rsidR="006809A0" w:rsidRPr="007C44B3" w:rsidRDefault="006809A0" w:rsidP="006809A0">
      <w:pPr>
        <w:pStyle w:val="Paragraphedeliste2"/>
        <w:jc w:val="both"/>
        <w:rPr>
          <w:rFonts w:ascii="Calibri" w:hAnsi="Calibri" w:cs="Tahoma"/>
          <w:bCs/>
          <w:sz w:val="22"/>
          <w:szCs w:val="22"/>
        </w:rPr>
      </w:pPr>
      <w:r w:rsidRPr="007C44B3">
        <w:rPr>
          <w:rFonts w:ascii="Calibri" w:hAnsi="Calibri" w:cs="Tahoma"/>
          <w:bCs/>
          <w:sz w:val="22"/>
          <w:szCs w:val="22"/>
        </w:rPr>
        <w:t>Cette loi permet de clarifier leur statut juridique, définir les conditions de ces organismes, leurs modalités de gouvernance et de tutelle, leurs relations financières avec l’Etat, leurs obligations administratives et fiscales, telles que le reversement de certaines recettes au profit du Trésor Public et l’interdiction du recours à l’endettement.</w:t>
      </w:r>
    </w:p>
    <w:p w14:paraId="6EDDA638" w14:textId="77777777" w:rsidR="006809A0" w:rsidRPr="007C44B3" w:rsidRDefault="006809A0" w:rsidP="006809A0">
      <w:pPr>
        <w:pStyle w:val="Paragraphedeliste2"/>
        <w:jc w:val="both"/>
        <w:rPr>
          <w:rFonts w:ascii="Calibri" w:hAnsi="Calibri" w:cs="Tahoma"/>
          <w:bCs/>
          <w:sz w:val="22"/>
          <w:szCs w:val="22"/>
        </w:rPr>
      </w:pPr>
    </w:p>
    <w:p w14:paraId="483E9C38" w14:textId="77777777" w:rsidR="006809A0" w:rsidRPr="007C44B3" w:rsidRDefault="006809A0" w:rsidP="006809A0">
      <w:pPr>
        <w:pStyle w:val="Paragraphedeliste2"/>
        <w:jc w:val="both"/>
        <w:rPr>
          <w:rFonts w:ascii="Calibri" w:hAnsi="Calibri" w:cs="Tahoma"/>
          <w:bCs/>
          <w:sz w:val="22"/>
          <w:szCs w:val="22"/>
        </w:rPr>
      </w:pPr>
      <w:r w:rsidRPr="007C44B3">
        <w:rPr>
          <w:rFonts w:ascii="Calibri" w:hAnsi="Calibri" w:cs="Tahoma"/>
          <w:bCs/>
          <w:sz w:val="22"/>
          <w:szCs w:val="22"/>
        </w:rPr>
        <w:t xml:space="preserve">En outre, ces textes précisent que le budget et les comptes prévisionnels doivent être systématiquement transmis à la tutelle. Les EPA doivent transmettre une situation </w:t>
      </w:r>
      <w:r w:rsidRPr="007C44B3">
        <w:rPr>
          <w:rFonts w:ascii="Calibri" w:hAnsi="Calibri" w:cs="Tahoma"/>
          <w:bCs/>
          <w:sz w:val="22"/>
          <w:szCs w:val="22"/>
        </w:rPr>
        <w:lastRenderedPageBreak/>
        <w:t>trimestrielle sur l’exécution des recettes et des dépenses à leur tutelle. Les EPA doivent aussi transmettre les comptes arrêtés, ceux-ci doivent être approuvés.</w:t>
      </w:r>
    </w:p>
    <w:p w14:paraId="24FBDD26" w14:textId="77777777" w:rsidR="006809A0" w:rsidRPr="007C44B3" w:rsidRDefault="006809A0" w:rsidP="006809A0">
      <w:pPr>
        <w:pStyle w:val="Paragraphedeliste2"/>
        <w:jc w:val="both"/>
        <w:rPr>
          <w:rFonts w:ascii="Calibri" w:hAnsi="Calibri" w:cs="Tahoma"/>
          <w:bCs/>
          <w:sz w:val="22"/>
          <w:szCs w:val="22"/>
        </w:rPr>
      </w:pPr>
    </w:p>
    <w:p w14:paraId="6AED1CC3" w14:textId="22D11B24" w:rsidR="005E58E9" w:rsidRPr="007C44B3" w:rsidRDefault="006809A0" w:rsidP="006809A0">
      <w:pPr>
        <w:pStyle w:val="Paragraphedeliste2"/>
        <w:ind w:left="0"/>
        <w:jc w:val="both"/>
        <w:rPr>
          <w:rFonts w:ascii="Calibri" w:hAnsi="Calibri" w:cs="Tahoma"/>
          <w:bCs/>
          <w:sz w:val="22"/>
          <w:szCs w:val="22"/>
        </w:rPr>
      </w:pPr>
      <w:r w:rsidRPr="007C44B3">
        <w:rPr>
          <w:rFonts w:ascii="Calibri" w:hAnsi="Calibri" w:cs="Tahoma"/>
          <w:bCs/>
          <w:sz w:val="22"/>
          <w:szCs w:val="22"/>
        </w:rPr>
        <w:t>La réforme des organismes publics dont les établissements publics de santé (essentiellement hospitaliers), introduit par ladite loi induit la mise en conformité des organismes publics aux nouvelles dispositions légales et règlementaires.</w:t>
      </w:r>
      <w:r w:rsidR="00264200" w:rsidRPr="007C44B3">
        <w:rPr>
          <w:rFonts w:ascii="Calibri" w:hAnsi="Calibri" w:cs="Tahoma"/>
          <w:bCs/>
          <w:sz w:val="22"/>
          <w:szCs w:val="22"/>
        </w:rPr>
        <w:t xml:space="preserve"> </w:t>
      </w:r>
    </w:p>
    <w:p w14:paraId="4B0AEF92" w14:textId="5CB853F4" w:rsidR="00205B5D" w:rsidRPr="007C44B3" w:rsidRDefault="00205B5D" w:rsidP="006809A0">
      <w:pPr>
        <w:pStyle w:val="Paragraphedeliste2"/>
        <w:ind w:left="0"/>
        <w:jc w:val="both"/>
        <w:rPr>
          <w:rFonts w:ascii="Calibri" w:hAnsi="Calibri" w:cs="Tahoma"/>
          <w:bCs/>
          <w:sz w:val="22"/>
          <w:szCs w:val="22"/>
        </w:rPr>
      </w:pPr>
    </w:p>
    <w:p w14:paraId="36E90F54" w14:textId="77777777" w:rsidR="00205B5D" w:rsidRPr="007C44B3" w:rsidRDefault="00205B5D" w:rsidP="00205B5D">
      <w:pPr>
        <w:pStyle w:val="Paragraphedeliste2"/>
        <w:ind w:left="0"/>
        <w:jc w:val="both"/>
        <w:rPr>
          <w:rFonts w:ascii="Calibri" w:hAnsi="Calibri" w:cs="Tahoma"/>
          <w:bCs/>
          <w:sz w:val="22"/>
          <w:szCs w:val="22"/>
        </w:rPr>
      </w:pPr>
      <w:r w:rsidRPr="007C44B3">
        <w:rPr>
          <w:rFonts w:ascii="Calibri" w:hAnsi="Calibri" w:cs="Tahoma"/>
          <w:bCs/>
          <w:sz w:val="22"/>
          <w:szCs w:val="22"/>
        </w:rPr>
        <w:t xml:space="preserve">En 2020, un guide détaillé de supervision des EPA a été élaboré et validé par le gouvernement. Ce guide sert de référence dans le suivi des EPA. </w:t>
      </w:r>
    </w:p>
    <w:p w14:paraId="44313534" w14:textId="77777777" w:rsidR="006809A0" w:rsidRPr="007C44B3" w:rsidRDefault="006809A0" w:rsidP="00264200">
      <w:pPr>
        <w:pStyle w:val="Paragraphedeliste2"/>
        <w:ind w:left="0"/>
        <w:jc w:val="both"/>
        <w:rPr>
          <w:rFonts w:ascii="Calibri" w:hAnsi="Calibri" w:cs="Tahoma"/>
          <w:bCs/>
          <w:sz w:val="22"/>
          <w:szCs w:val="22"/>
        </w:rPr>
      </w:pPr>
    </w:p>
    <w:p w14:paraId="60DDE42E" w14:textId="77777777" w:rsidR="00C271CF" w:rsidRPr="007C44B3" w:rsidRDefault="005E58E9" w:rsidP="00264200">
      <w:pPr>
        <w:pStyle w:val="Paragraphedeliste2"/>
        <w:ind w:left="0"/>
        <w:jc w:val="both"/>
        <w:rPr>
          <w:rFonts w:ascii="Calibri" w:hAnsi="Calibri" w:cs="Tahoma"/>
          <w:bCs/>
          <w:sz w:val="22"/>
          <w:szCs w:val="22"/>
        </w:rPr>
      </w:pPr>
      <w:r w:rsidRPr="007C44B3">
        <w:rPr>
          <w:rFonts w:ascii="Calibri" w:hAnsi="Calibri" w:cs="Tahoma"/>
          <w:bCs/>
          <w:sz w:val="22"/>
          <w:szCs w:val="22"/>
        </w:rPr>
        <w:t>Ainsi,</w:t>
      </w:r>
      <w:r w:rsidR="00264200" w:rsidRPr="007C44B3">
        <w:rPr>
          <w:rFonts w:ascii="Calibri" w:hAnsi="Calibri" w:cs="Tahoma"/>
          <w:bCs/>
          <w:sz w:val="22"/>
          <w:szCs w:val="22"/>
        </w:rPr>
        <w:t xml:space="preserve"> en vertu de la circulaire n°00091/MB/CAB du 17 février 2021, les établissements publics administratifs (EPA) devront appuyer leurs propositions de dépenses de transfert par un ensemble d'informations financières et non financières à savoir : </w:t>
      </w:r>
    </w:p>
    <w:p w14:paraId="13148357" w14:textId="7722E894" w:rsidR="00C271CF" w:rsidRPr="007C44B3" w:rsidRDefault="00264200" w:rsidP="006B72A4">
      <w:pPr>
        <w:pStyle w:val="Paragraphedeliste2"/>
        <w:numPr>
          <w:ilvl w:val="0"/>
          <w:numId w:val="38"/>
        </w:numPr>
        <w:jc w:val="both"/>
        <w:rPr>
          <w:rFonts w:ascii="Calibri" w:hAnsi="Calibri" w:cs="Tahoma"/>
          <w:bCs/>
          <w:sz w:val="22"/>
          <w:szCs w:val="22"/>
        </w:rPr>
      </w:pPr>
      <w:r w:rsidRPr="007C44B3">
        <w:rPr>
          <w:rFonts w:ascii="Calibri" w:hAnsi="Calibri" w:cs="Tahoma"/>
          <w:bCs/>
          <w:sz w:val="22"/>
          <w:szCs w:val="22"/>
        </w:rPr>
        <w:t>un projet de budget 2022</w:t>
      </w:r>
      <w:r w:rsidRPr="007C44B3">
        <w:rPr>
          <w:sz w:val="22"/>
          <w:szCs w:val="22"/>
        </w:rPr>
        <w:t xml:space="preserve"> </w:t>
      </w:r>
      <w:r w:rsidRPr="007C44B3">
        <w:rPr>
          <w:rFonts w:ascii="Calibri" w:hAnsi="Calibri" w:cs="Tahoma"/>
          <w:bCs/>
          <w:sz w:val="22"/>
          <w:szCs w:val="22"/>
        </w:rPr>
        <w:t>conformément à l'instruction conjointe N°013611MEF/MB/2019 portant harmonisation de la présentation des budgets des établissements publics administratifs et approuvé par le conseil d'administration</w:t>
      </w:r>
      <w:r w:rsidR="002843B0" w:rsidRPr="007C44B3">
        <w:rPr>
          <w:rFonts w:ascii="Calibri" w:hAnsi="Calibri" w:cs="Tahoma"/>
          <w:bCs/>
          <w:sz w:val="22"/>
          <w:szCs w:val="22"/>
        </w:rPr>
        <w:t xml:space="preserve"> </w:t>
      </w:r>
      <w:r w:rsidRPr="007C44B3">
        <w:rPr>
          <w:rFonts w:ascii="Calibri" w:hAnsi="Calibri" w:cs="Tahoma"/>
          <w:bCs/>
          <w:sz w:val="22"/>
          <w:szCs w:val="22"/>
        </w:rPr>
        <w:t>(CA)</w:t>
      </w:r>
    </w:p>
    <w:p w14:paraId="2629F92F" w14:textId="1504778A" w:rsidR="00C271CF" w:rsidRPr="007C44B3" w:rsidRDefault="00264200" w:rsidP="006B72A4">
      <w:pPr>
        <w:pStyle w:val="Paragraphedeliste2"/>
        <w:numPr>
          <w:ilvl w:val="0"/>
          <w:numId w:val="38"/>
        </w:numPr>
        <w:jc w:val="both"/>
        <w:rPr>
          <w:rFonts w:ascii="Calibri" w:hAnsi="Calibri" w:cs="Tahoma"/>
          <w:bCs/>
          <w:sz w:val="22"/>
          <w:szCs w:val="22"/>
        </w:rPr>
      </w:pPr>
      <w:r w:rsidRPr="007C44B3">
        <w:rPr>
          <w:rFonts w:ascii="Calibri" w:hAnsi="Calibri" w:cs="Tahoma"/>
          <w:bCs/>
          <w:sz w:val="22"/>
          <w:szCs w:val="22"/>
        </w:rPr>
        <w:t>un rapport d'activité 2020</w:t>
      </w:r>
    </w:p>
    <w:p w14:paraId="38B8CD2C" w14:textId="01516F7A" w:rsidR="00C271CF" w:rsidRPr="007C44B3" w:rsidRDefault="00264200" w:rsidP="006B72A4">
      <w:pPr>
        <w:pStyle w:val="Paragraphedeliste2"/>
        <w:numPr>
          <w:ilvl w:val="0"/>
          <w:numId w:val="38"/>
        </w:numPr>
        <w:jc w:val="both"/>
        <w:rPr>
          <w:rFonts w:ascii="Calibri" w:hAnsi="Calibri" w:cs="Tahoma"/>
          <w:bCs/>
          <w:sz w:val="22"/>
          <w:szCs w:val="22"/>
        </w:rPr>
      </w:pPr>
      <w:r w:rsidRPr="007C44B3">
        <w:rPr>
          <w:rFonts w:ascii="Calibri" w:hAnsi="Calibri" w:cs="Tahoma"/>
          <w:bCs/>
          <w:sz w:val="22"/>
          <w:szCs w:val="22"/>
        </w:rPr>
        <w:t>un plan d'action 2021</w:t>
      </w:r>
    </w:p>
    <w:p w14:paraId="7277A14C" w14:textId="057831F8" w:rsidR="00C271CF" w:rsidRPr="007C44B3" w:rsidRDefault="00264200" w:rsidP="006B72A4">
      <w:pPr>
        <w:pStyle w:val="Paragraphedeliste2"/>
        <w:numPr>
          <w:ilvl w:val="0"/>
          <w:numId w:val="38"/>
        </w:numPr>
        <w:jc w:val="both"/>
        <w:rPr>
          <w:rFonts w:ascii="Calibri" w:hAnsi="Calibri" w:cs="Tahoma"/>
          <w:bCs/>
          <w:sz w:val="22"/>
          <w:szCs w:val="22"/>
        </w:rPr>
      </w:pPr>
      <w:r w:rsidRPr="007C44B3">
        <w:rPr>
          <w:rFonts w:ascii="Calibri" w:hAnsi="Calibri" w:cs="Tahoma"/>
          <w:bCs/>
          <w:sz w:val="22"/>
          <w:szCs w:val="22"/>
        </w:rPr>
        <w:t>l'évolution des ressources propres 2019/2020/2021</w:t>
      </w:r>
    </w:p>
    <w:p w14:paraId="11EBF008" w14:textId="7BC2CBD0" w:rsidR="00264200" w:rsidRPr="007C44B3" w:rsidRDefault="00264200" w:rsidP="006B72A4">
      <w:pPr>
        <w:pStyle w:val="Paragraphedeliste2"/>
        <w:numPr>
          <w:ilvl w:val="0"/>
          <w:numId w:val="38"/>
        </w:numPr>
        <w:jc w:val="both"/>
        <w:rPr>
          <w:rFonts w:ascii="Calibri" w:hAnsi="Calibri" w:cs="Tahoma"/>
          <w:bCs/>
          <w:sz w:val="22"/>
          <w:szCs w:val="22"/>
        </w:rPr>
      </w:pPr>
      <w:r w:rsidRPr="007C44B3">
        <w:rPr>
          <w:rFonts w:ascii="Calibri" w:hAnsi="Calibri" w:cs="Tahoma"/>
          <w:bCs/>
          <w:sz w:val="22"/>
          <w:szCs w:val="22"/>
        </w:rPr>
        <w:t>les états financiers approuvés par le CA et validés par le contrôleur financier et les tutelles technique et financière.</w:t>
      </w:r>
    </w:p>
    <w:p w14:paraId="2ABACE75" w14:textId="77777777" w:rsidR="00C271CF" w:rsidRPr="007C44B3" w:rsidRDefault="00C271CF" w:rsidP="006B72A4">
      <w:pPr>
        <w:pStyle w:val="Paragraphedeliste2"/>
        <w:ind w:left="1080"/>
        <w:jc w:val="both"/>
        <w:rPr>
          <w:rFonts w:ascii="Calibri" w:hAnsi="Calibri" w:cs="Tahoma"/>
          <w:bCs/>
          <w:sz w:val="22"/>
          <w:szCs w:val="22"/>
        </w:rPr>
      </w:pPr>
    </w:p>
    <w:p w14:paraId="5136EDEA" w14:textId="39102EE5" w:rsidR="00264200" w:rsidRPr="007C44B3" w:rsidRDefault="00264200" w:rsidP="00264305">
      <w:pPr>
        <w:pStyle w:val="Paragraphedeliste2"/>
        <w:ind w:left="0"/>
        <w:jc w:val="both"/>
        <w:rPr>
          <w:rFonts w:ascii="Calibri" w:hAnsi="Calibri" w:cs="Tahoma"/>
          <w:b/>
          <w:bCs/>
          <w:sz w:val="22"/>
          <w:szCs w:val="22"/>
        </w:rPr>
      </w:pPr>
      <w:r w:rsidRPr="007C44B3">
        <w:rPr>
          <w:rFonts w:ascii="Calibri" w:hAnsi="Calibri" w:cs="Tahoma"/>
          <w:b/>
          <w:bCs/>
          <w:i/>
          <w:sz w:val="22"/>
          <w:szCs w:val="22"/>
        </w:rPr>
        <w:t>A noter</w:t>
      </w:r>
      <w:r w:rsidR="005E58E9" w:rsidRPr="007C44B3">
        <w:rPr>
          <w:rFonts w:ascii="Calibri" w:hAnsi="Calibri" w:cs="Tahoma"/>
          <w:b/>
          <w:bCs/>
          <w:i/>
          <w:sz w:val="22"/>
          <w:szCs w:val="22"/>
        </w:rPr>
        <w:t> :</w:t>
      </w:r>
      <w:r w:rsidRPr="007C44B3">
        <w:rPr>
          <w:rFonts w:ascii="Calibri" w:hAnsi="Calibri" w:cs="Tahoma"/>
          <w:b/>
          <w:bCs/>
          <w:i/>
          <w:sz w:val="22"/>
          <w:szCs w:val="22"/>
        </w:rPr>
        <w:t xml:space="preserve"> le PREFIP révisé prévoit aussi de renforcer l’exhaustivité des opérations financières de l’Etat (programme n° 6). Il s’agit d’intégrer les informations sur les recettes et les dépenses des EPA dans les annexes de la loi de finances</w:t>
      </w:r>
      <w:r w:rsidRPr="007C44B3">
        <w:rPr>
          <w:rFonts w:ascii="Calibri" w:hAnsi="Calibri" w:cs="Tahoma"/>
          <w:b/>
          <w:bCs/>
          <w:sz w:val="22"/>
          <w:szCs w:val="22"/>
        </w:rPr>
        <w:t>.</w:t>
      </w:r>
    </w:p>
    <w:p w14:paraId="1204D882" w14:textId="271FB6F5" w:rsidR="00F407D3" w:rsidRPr="007C44B3" w:rsidRDefault="00F407D3" w:rsidP="000C4444">
      <w:pPr>
        <w:pStyle w:val="Paragraphedeliste2"/>
        <w:ind w:left="0"/>
        <w:jc w:val="both"/>
        <w:rPr>
          <w:rFonts w:ascii="Calibri" w:hAnsi="Calibri" w:cs="Tahoma"/>
          <w:bCs/>
          <w:sz w:val="22"/>
          <w:szCs w:val="22"/>
        </w:rPr>
      </w:pPr>
    </w:p>
    <w:p w14:paraId="5DF2EE7A" w14:textId="42C8DCD9" w:rsidR="00943BC0" w:rsidRPr="007C44B3" w:rsidRDefault="00943BC0" w:rsidP="00943BC0">
      <w:pPr>
        <w:pStyle w:val="Paragraphedeliste2"/>
        <w:ind w:left="0"/>
        <w:jc w:val="both"/>
        <w:rPr>
          <w:rFonts w:ascii="Calibri" w:hAnsi="Calibri" w:cs="Tahoma"/>
          <w:bCs/>
          <w:sz w:val="22"/>
          <w:szCs w:val="22"/>
        </w:rPr>
      </w:pPr>
      <w:r w:rsidRPr="007C44B3">
        <w:rPr>
          <w:rFonts w:ascii="Calibri" w:hAnsi="Calibri" w:cs="Tahoma"/>
          <w:bCs/>
          <w:sz w:val="22"/>
          <w:szCs w:val="22"/>
        </w:rPr>
        <w:t>Ces nouvelles dispositions doivent permettre d’améliorer la gouvernance d’ensemble de ces entités publiques, en conformité avec la LORF de 2012.</w:t>
      </w:r>
    </w:p>
    <w:p w14:paraId="687BDC98" w14:textId="5E963F15" w:rsidR="00031F6B" w:rsidRPr="007C44B3" w:rsidRDefault="00031F6B" w:rsidP="00031F6B">
      <w:pPr>
        <w:pStyle w:val="Paragraphedeliste2"/>
        <w:ind w:left="0"/>
        <w:jc w:val="both"/>
        <w:rPr>
          <w:rFonts w:ascii="Calibri" w:hAnsi="Calibri" w:cs="Tahoma"/>
          <w:bCs/>
          <w:sz w:val="22"/>
          <w:szCs w:val="22"/>
        </w:rPr>
      </w:pPr>
    </w:p>
    <w:p w14:paraId="61F6479C" w14:textId="77777777" w:rsidR="007272C4" w:rsidRPr="007C44B3" w:rsidRDefault="007272C4" w:rsidP="007272C4">
      <w:pPr>
        <w:pStyle w:val="Paragraphedeliste2"/>
        <w:ind w:left="0"/>
        <w:jc w:val="both"/>
        <w:rPr>
          <w:rFonts w:ascii="Calibri" w:hAnsi="Calibri" w:cs="Tahoma"/>
          <w:bCs/>
          <w:sz w:val="22"/>
          <w:szCs w:val="22"/>
        </w:rPr>
      </w:pPr>
      <w:r w:rsidRPr="007C44B3">
        <w:rPr>
          <w:rFonts w:ascii="Calibri" w:hAnsi="Calibri" w:cs="Tahoma"/>
          <w:bCs/>
          <w:sz w:val="22"/>
          <w:szCs w:val="22"/>
        </w:rPr>
        <w:t xml:space="preserve">Cependant, force est de constater que les EPA en général et ceux du secteur de la santé en particulier ne sont pas alignés aux nouveaux textes les régissant et les hôpitaux connaissent des nombreux problèmes, insuffisances et faiblesses liés à des causes diverses avec des conséquences sur la délivrance des services de santé à la population. </w:t>
      </w:r>
    </w:p>
    <w:p w14:paraId="59CBC905" w14:textId="63B5D25D" w:rsidR="00E57189" w:rsidRPr="007C44B3" w:rsidRDefault="00E57189" w:rsidP="000C4444">
      <w:pPr>
        <w:pStyle w:val="Paragraphedeliste2"/>
        <w:ind w:left="0"/>
        <w:jc w:val="both"/>
        <w:rPr>
          <w:rFonts w:ascii="Calibri" w:hAnsi="Calibri" w:cs="Tahoma"/>
          <w:bCs/>
          <w:sz w:val="22"/>
          <w:szCs w:val="22"/>
        </w:rPr>
      </w:pPr>
    </w:p>
    <w:p w14:paraId="51542C6D" w14:textId="5FC11C65" w:rsidR="00E57189" w:rsidRPr="007C44B3" w:rsidRDefault="00E57189" w:rsidP="000C4444">
      <w:pPr>
        <w:pStyle w:val="Paragraphedeliste2"/>
        <w:ind w:left="0"/>
        <w:jc w:val="both"/>
        <w:rPr>
          <w:rFonts w:ascii="Calibri" w:hAnsi="Calibri" w:cs="Tahoma"/>
          <w:bCs/>
          <w:sz w:val="22"/>
          <w:szCs w:val="22"/>
          <w:u w:val="single"/>
        </w:rPr>
      </w:pPr>
      <w:r w:rsidRPr="007C44B3">
        <w:rPr>
          <w:rFonts w:ascii="Calibri" w:hAnsi="Calibri" w:cs="Tahoma"/>
          <w:bCs/>
          <w:sz w:val="22"/>
          <w:szCs w:val="22"/>
          <w:u w:val="single"/>
        </w:rPr>
        <w:t xml:space="preserve">Ces faiblesses et insuffisances sont entre autres : </w:t>
      </w:r>
    </w:p>
    <w:p w14:paraId="41F13CAA" w14:textId="155FD116" w:rsidR="00FD3FEC" w:rsidRPr="007C44B3" w:rsidRDefault="00FD3FEC" w:rsidP="000C4444">
      <w:pPr>
        <w:pStyle w:val="Paragraphedeliste2"/>
        <w:ind w:left="0"/>
        <w:jc w:val="both"/>
        <w:rPr>
          <w:rFonts w:ascii="Calibri" w:hAnsi="Calibri" w:cs="Tahoma"/>
          <w:bCs/>
          <w:sz w:val="22"/>
          <w:szCs w:val="22"/>
        </w:rPr>
      </w:pPr>
    </w:p>
    <w:p w14:paraId="7969E4EC"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manque de conformité de ceux de la santé à la loi 056 notamment : </w:t>
      </w:r>
    </w:p>
    <w:p w14:paraId="6E8022CC"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absence de conformité des statuts</w:t>
      </w:r>
    </w:p>
    <w:p w14:paraId="44C3F00F"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conseil d’administration non mis en place dans certains hôpitaux (EPA)</w:t>
      </w:r>
    </w:p>
    <w:p w14:paraId="2BDD4458"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absence de contrat programme</w:t>
      </w:r>
    </w:p>
    <w:p w14:paraId="6293B617"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manque de cadre global d’évaluation de la performance</w:t>
      </w:r>
    </w:p>
    <w:p w14:paraId="57BD6D31"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inexistence de cartographie des risques budgétaires et financiers</w:t>
      </w:r>
    </w:p>
    <w:p w14:paraId="1912CCAA"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faiblesse de la gouvernance</w:t>
      </w:r>
    </w:p>
    <w:p w14:paraId="014263C3"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non application du guide de supervision des EPA</w:t>
      </w:r>
    </w:p>
    <w:p w14:paraId="6AF9E6AF"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faiblesse de prestations de soins de qualité et de l’offre des services de base à la population </w:t>
      </w:r>
    </w:p>
    <w:p w14:paraId="1013C648"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faiblesse d’accès aux soins de santé</w:t>
      </w:r>
    </w:p>
    <w:p w14:paraId="61AA7D2A"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niveau d’utilisation des services de santé très bas </w:t>
      </w:r>
    </w:p>
    <w:p w14:paraId="64909942"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lastRenderedPageBreak/>
        <w:t>faiblesse de répartition du personnel de la santé dans les EPA</w:t>
      </w:r>
    </w:p>
    <w:p w14:paraId="1A54737D"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faiblesse de qualifications ou des ressources humaines</w:t>
      </w:r>
    </w:p>
    <w:p w14:paraId="34DF3536"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inadéquation des ressources humaines en gestion financière au niveau des services administratif et financier</w:t>
      </w:r>
    </w:p>
    <w:p w14:paraId="7209384C"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faiblesse de la déconcentration budgétaire et de la délégation de crédits  </w:t>
      </w:r>
    </w:p>
    <w:p w14:paraId="66C1BA16"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faible appropriation du processus d’élaboration et d’exécution du budget par les services financiers des EPA</w:t>
      </w:r>
    </w:p>
    <w:p w14:paraId="310CCF36"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une nouvelle nomenclature budgétaire non vulgarisée </w:t>
      </w:r>
    </w:p>
    <w:p w14:paraId="53760FB3"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des procédures de passation de marché peu maîtrisées</w:t>
      </w:r>
    </w:p>
    <w:p w14:paraId="734531FF"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faibles capacités de gestion financières et comptables </w:t>
      </w:r>
    </w:p>
    <w:p w14:paraId="409BFA06"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inadéquation des tarifs officiels de prestations de soins par rapport aux coûts réels, avec pour conséquence un reste à charge pour le patient très élevé</w:t>
      </w:r>
    </w:p>
    <w:p w14:paraId="3AD391B8"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absence de logiciel comptable</w:t>
      </w:r>
    </w:p>
    <w:p w14:paraId="618A1C01"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faible qualité et un retard dans la production des pièces justificatives</w:t>
      </w:r>
    </w:p>
    <w:p w14:paraId="0A613C3E" w14:textId="77777777" w:rsidR="00D8602E"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 xml:space="preserve">faiblesse de la remontée des informations financières à la DAF du ministère </w:t>
      </w:r>
    </w:p>
    <w:p w14:paraId="085E3D2D" w14:textId="4F50BCE3" w:rsidR="00CB707B" w:rsidRPr="007C44B3" w:rsidRDefault="00D8602E" w:rsidP="00D8602E">
      <w:pPr>
        <w:pStyle w:val="Paragraphedeliste2"/>
        <w:numPr>
          <w:ilvl w:val="0"/>
          <w:numId w:val="18"/>
        </w:numPr>
        <w:jc w:val="both"/>
        <w:rPr>
          <w:rFonts w:ascii="Calibri" w:hAnsi="Calibri" w:cs="Tahoma"/>
          <w:bCs/>
          <w:sz w:val="22"/>
          <w:szCs w:val="22"/>
        </w:rPr>
      </w:pPr>
      <w:r w:rsidRPr="007C44B3">
        <w:rPr>
          <w:rFonts w:ascii="Calibri" w:hAnsi="Calibri" w:cs="Tahoma"/>
          <w:bCs/>
          <w:sz w:val="22"/>
          <w:szCs w:val="22"/>
        </w:rPr>
        <w:t>la faiblesse et le non-respect du délai de production des documents comptables</w:t>
      </w:r>
    </w:p>
    <w:p w14:paraId="7628D2B4" w14:textId="2D73D757" w:rsidR="00D43657" w:rsidRPr="007C44B3" w:rsidRDefault="00B643EF" w:rsidP="000C4444">
      <w:pPr>
        <w:pStyle w:val="Paragraphedeliste2"/>
        <w:ind w:left="0"/>
        <w:jc w:val="both"/>
        <w:rPr>
          <w:rFonts w:ascii="Calibri" w:hAnsi="Calibri" w:cs="Tahoma"/>
          <w:bCs/>
          <w:sz w:val="22"/>
          <w:szCs w:val="22"/>
        </w:rPr>
      </w:pPr>
      <w:r w:rsidRPr="007C44B3">
        <w:rPr>
          <w:rFonts w:ascii="Calibri" w:hAnsi="Calibri" w:cs="Tahoma"/>
          <w:bCs/>
          <w:sz w:val="22"/>
          <w:szCs w:val="22"/>
        </w:rPr>
        <w:t xml:space="preserve"> </w:t>
      </w:r>
    </w:p>
    <w:p w14:paraId="18383AEE" w14:textId="592652F9" w:rsidR="00440873" w:rsidRPr="007C44B3" w:rsidRDefault="00AF4452" w:rsidP="00B643EF">
      <w:pPr>
        <w:pStyle w:val="Paragraphedeliste2"/>
        <w:jc w:val="both"/>
        <w:rPr>
          <w:rFonts w:ascii="Calibri" w:hAnsi="Calibri" w:cs="Tahoma"/>
          <w:bCs/>
          <w:sz w:val="22"/>
          <w:szCs w:val="22"/>
        </w:rPr>
      </w:pPr>
      <w:r w:rsidRPr="007C44B3">
        <w:rPr>
          <w:rFonts w:ascii="Calibri" w:hAnsi="Calibri" w:cs="Tahoma"/>
          <w:bCs/>
          <w:sz w:val="22"/>
          <w:szCs w:val="22"/>
        </w:rPr>
        <w:t xml:space="preserve">Ces insuffisances constatées justifient la réalisation d’un diagnostic </w:t>
      </w:r>
      <w:r w:rsidR="003616E8" w:rsidRPr="007C44B3">
        <w:rPr>
          <w:rFonts w:ascii="Calibri" w:hAnsi="Calibri" w:cs="Tahoma"/>
          <w:bCs/>
          <w:sz w:val="22"/>
          <w:szCs w:val="22"/>
        </w:rPr>
        <w:t xml:space="preserve">institutionnel, </w:t>
      </w:r>
      <w:r w:rsidRPr="007C44B3">
        <w:rPr>
          <w:rFonts w:ascii="Calibri" w:hAnsi="Calibri" w:cs="Tahoma"/>
          <w:bCs/>
          <w:sz w:val="22"/>
          <w:szCs w:val="22"/>
        </w:rPr>
        <w:t>organisationnel et fonctionnel des EPA de santé</w:t>
      </w:r>
      <w:r w:rsidR="006F35B4" w:rsidRPr="007C44B3">
        <w:rPr>
          <w:rFonts w:ascii="Calibri" w:hAnsi="Calibri" w:cs="Tahoma"/>
          <w:bCs/>
          <w:sz w:val="22"/>
          <w:szCs w:val="22"/>
        </w:rPr>
        <w:t>,</w:t>
      </w:r>
      <w:r w:rsidR="00E5253C" w:rsidRPr="007C44B3">
        <w:rPr>
          <w:rFonts w:ascii="Calibri" w:hAnsi="Calibri" w:cs="Tahoma"/>
          <w:bCs/>
          <w:sz w:val="22"/>
          <w:szCs w:val="22"/>
        </w:rPr>
        <w:t xml:space="preserve"> afin</w:t>
      </w:r>
      <w:r w:rsidR="00DC1D10" w:rsidRPr="007C44B3">
        <w:rPr>
          <w:rFonts w:ascii="Calibri" w:hAnsi="Calibri" w:cs="Tahoma"/>
          <w:bCs/>
          <w:sz w:val="22"/>
          <w:szCs w:val="22"/>
        </w:rPr>
        <w:t xml:space="preserve"> de </w:t>
      </w:r>
      <w:r w:rsidR="006F35B4" w:rsidRPr="007C44B3">
        <w:rPr>
          <w:rFonts w:ascii="Calibri" w:hAnsi="Calibri" w:cs="Tahoma"/>
          <w:bCs/>
          <w:sz w:val="22"/>
          <w:szCs w:val="22"/>
        </w:rPr>
        <w:t xml:space="preserve">mettre en place un appui adapté, pour leur </w:t>
      </w:r>
      <w:r w:rsidR="00DC1D10" w:rsidRPr="007C44B3">
        <w:rPr>
          <w:rFonts w:ascii="Calibri" w:hAnsi="Calibri" w:cs="Tahoma"/>
          <w:bCs/>
          <w:sz w:val="22"/>
          <w:szCs w:val="22"/>
        </w:rPr>
        <w:t xml:space="preserve">permettre d’être </w:t>
      </w:r>
      <w:r w:rsidR="000937EB" w:rsidRPr="007C44B3">
        <w:rPr>
          <w:rFonts w:ascii="Calibri" w:hAnsi="Calibri" w:cs="Tahoma"/>
          <w:bCs/>
          <w:sz w:val="22"/>
          <w:szCs w:val="22"/>
        </w:rPr>
        <w:t>aligné</w:t>
      </w:r>
      <w:r w:rsidR="00DC1D10" w:rsidRPr="007C44B3">
        <w:rPr>
          <w:rFonts w:ascii="Calibri" w:hAnsi="Calibri" w:cs="Tahoma"/>
          <w:bCs/>
          <w:sz w:val="22"/>
          <w:szCs w:val="22"/>
        </w:rPr>
        <w:t>s aux réformes entreprises</w:t>
      </w:r>
      <w:r w:rsidR="006F35B4" w:rsidRPr="007C44B3">
        <w:rPr>
          <w:rFonts w:ascii="Calibri" w:hAnsi="Calibri" w:cs="Tahoma"/>
          <w:bCs/>
          <w:sz w:val="22"/>
          <w:szCs w:val="22"/>
        </w:rPr>
        <w:t>,</w:t>
      </w:r>
      <w:r w:rsidR="00DC1D10" w:rsidRPr="007C44B3">
        <w:rPr>
          <w:rFonts w:ascii="Calibri" w:hAnsi="Calibri" w:cs="Tahoma"/>
          <w:bCs/>
          <w:sz w:val="22"/>
          <w:szCs w:val="22"/>
        </w:rPr>
        <w:t xml:space="preserve"> et d’offrir des soins de qualité à la population</w:t>
      </w:r>
      <w:r w:rsidR="00B643EF" w:rsidRPr="007C44B3">
        <w:rPr>
          <w:rFonts w:ascii="Calibri" w:hAnsi="Calibri" w:cs="Tahoma"/>
          <w:bCs/>
          <w:sz w:val="22"/>
          <w:szCs w:val="22"/>
        </w:rPr>
        <w:t xml:space="preserve"> (Audit Institutionnel, Organisationnel et Fonctionnel du Ministère de la Santé et interview des services concernés)</w:t>
      </w:r>
      <w:r w:rsidR="00DC1D10" w:rsidRPr="007C44B3">
        <w:rPr>
          <w:rFonts w:ascii="Calibri" w:hAnsi="Calibri" w:cs="Tahoma"/>
          <w:bCs/>
          <w:sz w:val="22"/>
          <w:szCs w:val="22"/>
        </w:rPr>
        <w:t xml:space="preserve">. </w:t>
      </w:r>
      <w:r w:rsidR="00E5253C" w:rsidRPr="007C44B3">
        <w:rPr>
          <w:rFonts w:ascii="Calibri" w:hAnsi="Calibri" w:cs="Tahoma"/>
          <w:bCs/>
          <w:sz w:val="22"/>
          <w:szCs w:val="22"/>
        </w:rPr>
        <w:t xml:space="preserve"> </w:t>
      </w:r>
    </w:p>
    <w:p w14:paraId="4947E4FD" w14:textId="68D33178" w:rsidR="00AE0A16" w:rsidRPr="007C44B3" w:rsidRDefault="00AE0A16" w:rsidP="00AE0A16">
      <w:pPr>
        <w:pStyle w:val="Paragraphedeliste2"/>
        <w:ind w:left="0"/>
        <w:rPr>
          <w:rFonts w:ascii="Calibri" w:hAnsi="Calibri" w:cs="Tahoma"/>
          <w:bCs/>
        </w:rPr>
      </w:pPr>
    </w:p>
    <w:p w14:paraId="5BDC986F" w14:textId="2FCCF9B6" w:rsidR="00CB7AA1" w:rsidRPr="007C44B3" w:rsidRDefault="00CB7AA1" w:rsidP="009D69F0">
      <w:pPr>
        <w:ind w:left="1056"/>
        <w:jc w:val="both"/>
        <w:rPr>
          <w:rFonts w:cs="Calibri"/>
        </w:rPr>
      </w:pPr>
    </w:p>
    <w:p w14:paraId="38D0CCF7" w14:textId="3B3A146C" w:rsidR="001D27F6" w:rsidRPr="007C44B3" w:rsidRDefault="00965444"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Objectifs et résultats poursuivis</w:t>
      </w:r>
      <w:r w:rsidR="00124890" w:rsidRPr="007C44B3">
        <w:rPr>
          <w:rFonts w:ascii="Calibri" w:eastAsia="Arial Unicode MS" w:hAnsi="Calibri" w:cs="Arial Unicode MS"/>
          <w:b/>
          <w:sz w:val="22"/>
          <w:szCs w:val="22"/>
          <w:lang w:eastAsia="en-US"/>
        </w:rPr>
        <w:t xml:space="preserve"> </w:t>
      </w:r>
    </w:p>
    <w:p w14:paraId="3D53F620" w14:textId="77777777" w:rsidR="001D27F6" w:rsidRPr="007C44B3" w:rsidRDefault="001D27F6" w:rsidP="00C85939">
      <w:pPr>
        <w:jc w:val="both"/>
        <w:rPr>
          <w:rFonts w:ascii="Calibri" w:hAnsi="Calibri"/>
          <w:sz w:val="22"/>
          <w:szCs w:val="22"/>
        </w:rPr>
      </w:pPr>
    </w:p>
    <w:p w14:paraId="5915EDA9" w14:textId="3AEBBDC1" w:rsidR="00475709" w:rsidRPr="007C44B3" w:rsidRDefault="001D27F6"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Objectif général</w:t>
      </w:r>
      <w:r w:rsidR="0076595C" w:rsidRPr="007C44B3">
        <w:rPr>
          <w:rFonts w:ascii="Calibri" w:eastAsia="Arial Unicode MS" w:hAnsi="Calibri" w:cs="Arial Unicode MS"/>
          <w:b/>
          <w:sz w:val="22"/>
          <w:szCs w:val="22"/>
          <w:lang w:eastAsia="en-US"/>
        </w:rPr>
        <w:t xml:space="preserve"> </w:t>
      </w:r>
    </w:p>
    <w:p w14:paraId="394B4389" w14:textId="77777777" w:rsidR="009236DE" w:rsidRPr="007C44B3" w:rsidRDefault="009236DE" w:rsidP="009236DE">
      <w:pPr>
        <w:jc w:val="both"/>
        <w:rPr>
          <w:rFonts w:ascii="Calibri" w:hAnsi="Calibri"/>
          <w:sz w:val="22"/>
          <w:szCs w:val="22"/>
        </w:rPr>
      </w:pPr>
    </w:p>
    <w:p w14:paraId="176AC221" w14:textId="39ADF0FB" w:rsidR="0019451A" w:rsidRPr="007C44B3" w:rsidRDefault="00D43657" w:rsidP="006C2FA8">
      <w:pPr>
        <w:jc w:val="both"/>
        <w:rPr>
          <w:rFonts w:ascii="Calibri" w:hAnsi="Calibri" w:cs="Tahoma"/>
          <w:bCs/>
          <w:sz w:val="22"/>
          <w:szCs w:val="22"/>
        </w:rPr>
      </w:pPr>
      <w:r w:rsidRPr="007C44B3">
        <w:rPr>
          <w:rFonts w:ascii="Calibri" w:hAnsi="Calibri" w:cs="Tahoma"/>
          <w:bCs/>
          <w:sz w:val="22"/>
          <w:szCs w:val="22"/>
        </w:rPr>
        <w:t>Réaliser un diagnostic</w:t>
      </w:r>
      <w:r w:rsidR="003D683B" w:rsidRPr="007C44B3">
        <w:rPr>
          <w:rFonts w:ascii="Calibri" w:hAnsi="Calibri" w:cs="Tahoma"/>
          <w:bCs/>
          <w:sz w:val="22"/>
          <w:szCs w:val="22"/>
        </w:rPr>
        <w:t xml:space="preserve"> </w:t>
      </w:r>
      <w:r w:rsidR="003616E8" w:rsidRPr="007C44B3">
        <w:rPr>
          <w:rFonts w:ascii="Calibri" w:hAnsi="Calibri" w:cs="Tahoma"/>
          <w:bCs/>
          <w:sz w:val="22"/>
          <w:szCs w:val="22"/>
        </w:rPr>
        <w:t xml:space="preserve">institutionnel, </w:t>
      </w:r>
      <w:r w:rsidR="003D683B" w:rsidRPr="007C44B3">
        <w:rPr>
          <w:rFonts w:ascii="Calibri" w:hAnsi="Calibri" w:cs="Tahoma"/>
          <w:bCs/>
          <w:sz w:val="22"/>
          <w:szCs w:val="22"/>
        </w:rPr>
        <w:t>organisationnel e</w:t>
      </w:r>
      <w:r w:rsidR="001760B5" w:rsidRPr="007C44B3">
        <w:rPr>
          <w:rFonts w:ascii="Calibri" w:hAnsi="Calibri" w:cs="Tahoma"/>
          <w:bCs/>
          <w:sz w:val="22"/>
          <w:szCs w:val="22"/>
        </w:rPr>
        <w:t xml:space="preserve">t </w:t>
      </w:r>
      <w:r w:rsidRPr="007C44B3">
        <w:rPr>
          <w:rFonts w:ascii="Calibri" w:hAnsi="Calibri" w:cs="Tahoma"/>
          <w:bCs/>
          <w:sz w:val="22"/>
          <w:szCs w:val="22"/>
        </w:rPr>
        <w:t>fonctionnel</w:t>
      </w:r>
      <w:r w:rsidR="001760B5" w:rsidRPr="007C44B3">
        <w:rPr>
          <w:rFonts w:ascii="Calibri" w:hAnsi="Calibri" w:cs="Tahoma"/>
          <w:bCs/>
          <w:sz w:val="22"/>
          <w:szCs w:val="22"/>
        </w:rPr>
        <w:t xml:space="preserve"> </w:t>
      </w:r>
      <w:r w:rsidRPr="007C44B3">
        <w:rPr>
          <w:rFonts w:ascii="Calibri" w:hAnsi="Calibri" w:cs="Tahoma"/>
          <w:bCs/>
          <w:sz w:val="22"/>
          <w:szCs w:val="22"/>
        </w:rPr>
        <w:t xml:space="preserve">(incluant les aspects liés au statut juridique et légal) </w:t>
      </w:r>
      <w:r w:rsidR="001760B5" w:rsidRPr="007C44B3">
        <w:rPr>
          <w:rFonts w:ascii="Calibri" w:hAnsi="Calibri" w:cs="Tahoma"/>
          <w:bCs/>
          <w:sz w:val="22"/>
          <w:szCs w:val="22"/>
        </w:rPr>
        <w:t>de</w:t>
      </w:r>
      <w:r w:rsidRPr="007C44B3">
        <w:rPr>
          <w:rFonts w:ascii="Calibri" w:hAnsi="Calibri" w:cs="Tahoma"/>
          <w:bCs/>
          <w:sz w:val="22"/>
          <w:szCs w:val="22"/>
        </w:rPr>
        <w:t>s</w:t>
      </w:r>
      <w:r w:rsidR="003D683B" w:rsidRPr="007C44B3">
        <w:rPr>
          <w:rFonts w:ascii="Calibri" w:hAnsi="Calibri" w:cs="Tahoma"/>
          <w:bCs/>
          <w:sz w:val="22"/>
          <w:szCs w:val="22"/>
        </w:rPr>
        <w:t xml:space="preserve"> 12 Etablissements Publics Administratifs (EPA) de santé et leur</w:t>
      </w:r>
      <w:r w:rsidRPr="007C44B3">
        <w:rPr>
          <w:rFonts w:ascii="Calibri" w:hAnsi="Calibri" w:cs="Tahoma"/>
          <w:bCs/>
          <w:sz w:val="22"/>
          <w:szCs w:val="22"/>
        </w:rPr>
        <w:t xml:space="preserve"> relation avec le niveau central</w:t>
      </w:r>
      <w:r w:rsidR="00586B83" w:rsidRPr="007C44B3">
        <w:rPr>
          <w:rFonts w:ascii="Calibri" w:hAnsi="Calibri" w:cs="Tahoma"/>
          <w:bCs/>
          <w:sz w:val="22"/>
          <w:szCs w:val="22"/>
        </w:rPr>
        <w:t xml:space="preserve"> (DAF, BSD, IGS, DNEHHS.</w:t>
      </w:r>
      <w:r w:rsidR="00C32FC6" w:rsidRPr="007C44B3">
        <w:rPr>
          <w:rFonts w:ascii="Calibri" w:hAnsi="Calibri" w:cs="Tahoma"/>
          <w:bCs/>
          <w:sz w:val="22"/>
          <w:szCs w:val="22"/>
        </w:rPr>
        <w:t>.</w:t>
      </w:r>
      <w:r w:rsidR="00586B83" w:rsidRPr="007C44B3">
        <w:rPr>
          <w:rFonts w:ascii="Calibri" w:hAnsi="Calibri" w:cs="Tahoma"/>
          <w:bCs/>
          <w:sz w:val="22"/>
          <w:szCs w:val="22"/>
        </w:rPr>
        <w:t>.)</w:t>
      </w:r>
      <w:r w:rsidR="004A7564" w:rsidRPr="007C44B3">
        <w:rPr>
          <w:rFonts w:ascii="Calibri" w:hAnsi="Calibri" w:cs="Tahoma"/>
          <w:bCs/>
          <w:sz w:val="22"/>
          <w:szCs w:val="22"/>
        </w:rPr>
        <w:t>.</w:t>
      </w:r>
    </w:p>
    <w:p w14:paraId="7FCA020D" w14:textId="1998695C" w:rsidR="004A7564" w:rsidRPr="007C44B3" w:rsidRDefault="004A7564" w:rsidP="006C2FA8">
      <w:pPr>
        <w:jc w:val="both"/>
        <w:rPr>
          <w:rFonts w:ascii="Calibri" w:hAnsi="Calibri" w:cs="Tahoma"/>
          <w:bCs/>
          <w:sz w:val="22"/>
          <w:szCs w:val="22"/>
        </w:rPr>
      </w:pPr>
    </w:p>
    <w:p w14:paraId="070EBA67" w14:textId="24287916" w:rsidR="000B6B9A" w:rsidRPr="007C44B3" w:rsidRDefault="00F11561" w:rsidP="006C2FA8">
      <w:pPr>
        <w:jc w:val="both"/>
        <w:rPr>
          <w:rFonts w:ascii="Calibri" w:hAnsi="Calibri" w:cs="Tahoma"/>
          <w:bCs/>
          <w:sz w:val="22"/>
          <w:szCs w:val="22"/>
        </w:rPr>
      </w:pPr>
      <w:r w:rsidRPr="007C44B3">
        <w:rPr>
          <w:rFonts w:ascii="Calibri" w:hAnsi="Calibri" w:cs="Tahoma"/>
          <w:bCs/>
          <w:sz w:val="22"/>
          <w:szCs w:val="22"/>
        </w:rPr>
        <w:t>Sélectionner</w:t>
      </w:r>
      <w:r w:rsidR="000B6B9A" w:rsidRPr="007C44B3">
        <w:rPr>
          <w:rFonts w:ascii="Calibri" w:hAnsi="Calibri" w:cs="Tahoma"/>
          <w:bCs/>
          <w:sz w:val="22"/>
          <w:szCs w:val="22"/>
        </w:rPr>
        <w:t xml:space="preserve"> les EPA les plus conformes aux </w:t>
      </w:r>
      <w:r w:rsidRPr="007C44B3">
        <w:rPr>
          <w:rFonts w:ascii="Calibri" w:hAnsi="Calibri" w:cs="Tahoma"/>
          <w:bCs/>
          <w:sz w:val="22"/>
          <w:szCs w:val="22"/>
        </w:rPr>
        <w:t>règlementations</w:t>
      </w:r>
      <w:r w:rsidR="000B6B9A" w:rsidRPr="007C44B3">
        <w:rPr>
          <w:rFonts w:ascii="Calibri" w:hAnsi="Calibri" w:cs="Tahoma"/>
          <w:bCs/>
          <w:sz w:val="22"/>
          <w:szCs w:val="22"/>
        </w:rPr>
        <w:t xml:space="preserve"> devant faire l’objet d’une assistance</w:t>
      </w:r>
      <w:r w:rsidRPr="007C44B3">
        <w:rPr>
          <w:rFonts w:ascii="Calibri" w:hAnsi="Calibri" w:cs="Tahoma"/>
          <w:bCs/>
          <w:sz w:val="22"/>
          <w:szCs w:val="22"/>
        </w:rPr>
        <w:t xml:space="preserve"> spécifique aux outils de programmation et de gestion financière.</w:t>
      </w:r>
      <w:r w:rsidR="000B6B9A" w:rsidRPr="007C44B3">
        <w:rPr>
          <w:rFonts w:ascii="Calibri" w:hAnsi="Calibri" w:cs="Tahoma"/>
          <w:bCs/>
          <w:sz w:val="22"/>
          <w:szCs w:val="22"/>
        </w:rPr>
        <w:t xml:space="preserve"> </w:t>
      </w:r>
    </w:p>
    <w:p w14:paraId="166DA11D" w14:textId="77777777" w:rsidR="000B6B9A" w:rsidRPr="007C44B3" w:rsidRDefault="000B6B9A" w:rsidP="006C2FA8">
      <w:pPr>
        <w:jc w:val="both"/>
        <w:rPr>
          <w:rFonts w:ascii="Calibri" w:hAnsi="Calibri" w:cs="Tahoma"/>
          <w:bCs/>
          <w:sz w:val="22"/>
          <w:szCs w:val="22"/>
        </w:rPr>
      </w:pPr>
    </w:p>
    <w:p w14:paraId="776239FF" w14:textId="1B089D8E" w:rsidR="00D43657" w:rsidRPr="007C44B3" w:rsidRDefault="007F409D" w:rsidP="006C2FA8">
      <w:pPr>
        <w:jc w:val="both"/>
        <w:rPr>
          <w:rFonts w:ascii="Calibri" w:hAnsi="Calibri" w:cs="Tahoma"/>
          <w:bCs/>
          <w:sz w:val="22"/>
          <w:szCs w:val="22"/>
        </w:rPr>
      </w:pPr>
      <w:r w:rsidRPr="007C44B3">
        <w:rPr>
          <w:rFonts w:ascii="Calibri" w:hAnsi="Calibri" w:cs="Tahoma"/>
          <w:bCs/>
          <w:sz w:val="22"/>
          <w:szCs w:val="22"/>
        </w:rPr>
        <w:t>Formuler par la suite des</w:t>
      </w:r>
      <w:r w:rsidR="00D43657" w:rsidRPr="007C44B3">
        <w:rPr>
          <w:rFonts w:ascii="Calibri" w:hAnsi="Calibri" w:cs="Tahoma"/>
          <w:bCs/>
          <w:sz w:val="22"/>
          <w:szCs w:val="22"/>
        </w:rPr>
        <w:t xml:space="preserve"> recommandations visant à les rendre plus performant</w:t>
      </w:r>
      <w:r w:rsidR="00C32FC6" w:rsidRPr="007C44B3">
        <w:rPr>
          <w:rFonts w:ascii="Calibri" w:hAnsi="Calibri" w:cs="Tahoma"/>
          <w:bCs/>
          <w:sz w:val="22"/>
          <w:szCs w:val="22"/>
        </w:rPr>
        <w:t>s dans le respect des lois et rè</w:t>
      </w:r>
      <w:r w:rsidR="00D43657" w:rsidRPr="007C44B3">
        <w:rPr>
          <w:rFonts w:ascii="Calibri" w:hAnsi="Calibri" w:cs="Tahoma"/>
          <w:bCs/>
          <w:sz w:val="22"/>
          <w:szCs w:val="22"/>
        </w:rPr>
        <w:t>glementations</w:t>
      </w:r>
      <w:r w:rsidR="00C44193" w:rsidRPr="007C44B3">
        <w:rPr>
          <w:rFonts w:ascii="Calibri" w:hAnsi="Calibri" w:cs="Tahoma"/>
          <w:bCs/>
          <w:sz w:val="22"/>
          <w:szCs w:val="22"/>
        </w:rPr>
        <w:t>, sous la forme d’une feuille de route</w:t>
      </w:r>
      <w:r w:rsidR="0019433D" w:rsidRPr="007C44B3">
        <w:rPr>
          <w:rFonts w:ascii="Calibri" w:hAnsi="Calibri" w:cs="Tahoma"/>
          <w:bCs/>
          <w:sz w:val="22"/>
          <w:szCs w:val="22"/>
        </w:rPr>
        <w:t xml:space="preserve"> et d’un accompagnement adapté à chaque établissement</w:t>
      </w:r>
      <w:r w:rsidR="00D43657" w:rsidRPr="007C44B3">
        <w:rPr>
          <w:rFonts w:ascii="Calibri" w:hAnsi="Calibri" w:cs="Tahoma"/>
          <w:bCs/>
          <w:sz w:val="22"/>
          <w:szCs w:val="22"/>
        </w:rPr>
        <w:t>.</w:t>
      </w:r>
    </w:p>
    <w:p w14:paraId="75A619EB" w14:textId="77777777" w:rsidR="00475709" w:rsidRPr="007C44B3" w:rsidRDefault="00475709" w:rsidP="00C85939">
      <w:pPr>
        <w:tabs>
          <w:tab w:val="num" w:pos="900"/>
        </w:tabs>
        <w:ind w:left="900" w:hanging="360"/>
        <w:jc w:val="both"/>
        <w:rPr>
          <w:rFonts w:ascii="Calibri" w:hAnsi="Calibri"/>
          <w:sz w:val="22"/>
          <w:szCs w:val="22"/>
        </w:rPr>
      </w:pPr>
    </w:p>
    <w:p w14:paraId="003D337A" w14:textId="77777777" w:rsidR="001D27F6" w:rsidRPr="007C44B3" w:rsidRDefault="001D27F6"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Objectif</w:t>
      </w:r>
      <w:r w:rsidR="004F0DD7" w:rsidRPr="007C44B3">
        <w:rPr>
          <w:rFonts w:ascii="Calibri" w:eastAsia="Arial Unicode MS" w:hAnsi="Calibri" w:cs="Arial Unicode MS"/>
          <w:b/>
          <w:sz w:val="22"/>
          <w:szCs w:val="22"/>
          <w:lang w:eastAsia="en-US"/>
        </w:rPr>
        <w:t>s</w:t>
      </w:r>
      <w:r w:rsidRPr="007C44B3">
        <w:rPr>
          <w:rFonts w:ascii="Calibri" w:eastAsia="Arial Unicode MS" w:hAnsi="Calibri" w:cs="Arial Unicode MS"/>
          <w:b/>
          <w:sz w:val="22"/>
          <w:szCs w:val="22"/>
          <w:lang w:eastAsia="en-US"/>
        </w:rPr>
        <w:t xml:space="preserve"> spécifique</w:t>
      </w:r>
      <w:r w:rsidR="004F0DD7" w:rsidRPr="007C44B3">
        <w:rPr>
          <w:rFonts w:ascii="Calibri" w:eastAsia="Arial Unicode MS" w:hAnsi="Calibri" w:cs="Arial Unicode MS"/>
          <w:b/>
          <w:sz w:val="22"/>
          <w:szCs w:val="22"/>
          <w:lang w:eastAsia="en-US"/>
        </w:rPr>
        <w:t>s</w:t>
      </w:r>
    </w:p>
    <w:p w14:paraId="46EC8066" w14:textId="008AA1B7" w:rsidR="00CB7AA1" w:rsidRPr="007C44B3" w:rsidRDefault="00CB7AA1" w:rsidP="00C85939">
      <w:pPr>
        <w:jc w:val="both"/>
        <w:rPr>
          <w:rFonts w:asciiTheme="minorHAnsi" w:hAnsiTheme="minorHAnsi" w:cstheme="minorHAnsi"/>
          <w:sz w:val="22"/>
          <w:szCs w:val="22"/>
        </w:rPr>
      </w:pPr>
    </w:p>
    <w:p w14:paraId="616A96A9" w14:textId="7A37D73F" w:rsidR="00F21CCE" w:rsidRPr="007C44B3" w:rsidRDefault="00F21CCE" w:rsidP="00C85939">
      <w:pPr>
        <w:jc w:val="both"/>
        <w:rPr>
          <w:rFonts w:ascii="Calibri" w:hAnsi="Calibri" w:cs="Tahoma"/>
          <w:bCs/>
          <w:sz w:val="22"/>
          <w:szCs w:val="22"/>
        </w:rPr>
      </w:pPr>
      <w:r w:rsidRPr="007C44B3">
        <w:rPr>
          <w:rFonts w:ascii="Calibri" w:hAnsi="Calibri" w:cs="Tahoma"/>
          <w:bCs/>
          <w:sz w:val="22"/>
          <w:szCs w:val="22"/>
        </w:rPr>
        <w:t>De cet objectif global, découlent des objectifs spécifiques suivants :</w:t>
      </w:r>
    </w:p>
    <w:p w14:paraId="5856015A" w14:textId="77777777" w:rsidR="00F21CCE" w:rsidRPr="007C44B3" w:rsidRDefault="00F21CCE" w:rsidP="00C85939">
      <w:pPr>
        <w:jc w:val="both"/>
        <w:rPr>
          <w:rFonts w:cs="Calibri"/>
          <w:sz w:val="22"/>
          <w:szCs w:val="22"/>
        </w:rPr>
      </w:pPr>
    </w:p>
    <w:p w14:paraId="029703EC" w14:textId="77777777" w:rsidR="003415CE" w:rsidRPr="007C44B3" w:rsidRDefault="008715AB" w:rsidP="00D43657">
      <w:pPr>
        <w:numPr>
          <w:ilvl w:val="0"/>
          <w:numId w:val="5"/>
        </w:numPr>
        <w:jc w:val="both"/>
        <w:rPr>
          <w:rFonts w:ascii="Calibri" w:hAnsi="Calibri" w:cs="Tahoma"/>
          <w:bCs/>
          <w:sz w:val="22"/>
          <w:szCs w:val="22"/>
        </w:rPr>
      </w:pPr>
      <w:r w:rsidRPr="007C44B3">
        <w:rPr>
          <w:rFonts w:ascii="Calibri" w:hAnsi="Calibri" w:cs="Tahoma"/>
          <w:bCs/>
          <w:sz w:val="22"/>
          <w:szCs w:val="22"/>
        </w:rPr>
        <w:t>Analyser</w:t>
      </w:r>
      <w:r w:rsidR="003415CE" w:rsidRPr="007C44B3">
        <w:rPr>
          <w:rFonts w:ascii="Calibri" w:hAnsi="Calibri" w:cs="Tahoma"/>
          <w:bCs/>
          <w:sz w:val="22"/>
          <w:szCs w:val="22"/>
        </w:rPr>
        <w:t xml:space="preserve"> les schémas organisationnels,</w:t>
      </w:r>
      <w:r w:rsidR="00815082" w:rsidRPr="007C44B3">
        <w:rPr>
          <w:rFonts w:ascii="Calibri" w:hAnsi="Calibri" w:cs="Tahoma"/>
          <w:bCs/>
          <w:sz w:val="22"/>
          <w:szCs w:val="22"/>
        </w:rPr>
        <w:t xml:space="preserve"> institut</w:t>
      </w:r>
      <w:r w:rsidR="007507E5" w:rsidRPr="007C44B3">
        <w:rPr>
          <w:rFonts w:ascii="Calibri" w:hAnsi="Calibri" w:cs="Tahoma"/>
          <w:bCs/>
          <w:sz w:val="22"/>
          <w:szCs w:val="22"/>
        </w:rPr>
        <w:t>ionnels</w:t>
      </w:r>
      <w:r w:rsidR="003415CE" w:rsidRPr="007C44B3">
        <w:rPr>
          <w:rFonts w:ascii="Calibri" w:hAnsi="Calibri" w:cs="Tahoma"/>
          <w:bCs/>
          <w:sz w:val="22"/>
          <w:szCs w:val="22"/>
        </w:rPr>
        <w:t xml:space="preserve"> et</w:t>
      </w:r>
      <w:r w:rsidR="00D43657" w:rsidRPr="007C44B3">
        <w:rPr>
          <w:rFonts w:ascii="Calibri" w:hAnsi="Calibri" w:cs="Tahoma"/>
          <w:bCs/>
          <w:sz w:val="22"/>
          <w:szCs w:val="22"/>
        </w:rPr>
        <w:t xml:space="preserve"> </w:t>
      </w:r>
      <w:r w:rsidR="007507E5" w:rsidRPr="007C44B3">
        <w:rPr>
          <w:rFonts w:ascii="Calibri" w:hAnsi="Calibri" w:cs="Tahoma"/>
          <w:bCs/>
          <w:sz w:val="22"/>
          <w:szCs w:val="22"/>
        </w:rPr>
        <w:t xml:space="preserve">les </w:t>
      </w:r>
      <w:r w:rsidR="0037601E" w:rsidRPr="007C44B3">
        <w:rPr>
          <w:rFonts w:ascii="Calibri" w:hAnsi="Calibri" w:cs="Tahoma"/>
          <w:bCs/>
          <w:sz w:val="22"/>
          <w:szCs w:val="22"/>
        </w:rPr>
        <w:t>modes de fonctionnement</w:t>
      </w:r>
      <w:r w:rsidR="003415CE" w:rsidRPr="007C44B3">
        <w:rPr>
          <w:rFonts w:ascii="Calibri" w:hAnsi="Calibri" w:cs="Tahoma"/>
          <w:bCs/>
          <w:sz w:val="22"/>
          <w:szCs w:val="22"/>
        </w:rPr>
        <w:t xml:space="preserve"> des EPA</w:t>
      </w:r>
      <w:r w:rsidR="0037601E" w:rsidRPr="007C44B3">
        <w:rPr>
          <w:rFonts w:ascii="Calibri" w:hAnsi="Calibri" w:cs="Tahoma"/>
          <w:bCs/>
          <w:sz w:val="22"/>
          <w:szCs w:val="22"/>
        </w:rPr>
        <w:t xml:space="preserve"> </w:t>
      </w:r>
      <w:r w:rsidR="00D43657" w:rsidRPr="007C44B3">
        <w:rPr>
          <w:rFonts w:ascii="Calibri" w:hAnsi="Calibri" w:cs="Tahoma"/>
          <w:bCs/>
          <w:sz w:val="22"/>
          <w:szCs w:val="22"/>
        </w:rPr>
        <w:t>ainsi que leur efficacité</w:t>
      </w:r>
      <w:r w:rsidR="007507E5" w:rsidRPr="007C44B3">
        <w:rPr>
          <w:rFonts w:ascii="Calibri" w:hAnsi="Calibri" w:cs="Tahoma"/>
          <w:bCs/>
          <w:sz w:val="22"/>
          <w:szCs w:val="22"/>
        </w:rPr>
        <w:t xml:space="preserve">, </w:t>
      </w:r>
    </w:p>
    <w:p w14:paraId="481178C8" w14:textId="0B922650" w:rsidR="00D43657" w:rsidRPr="007C44B3" w:rsidRDefault="003415CE" w:rsidP="00D43657">
      <w:pPr>
        <w:numPr>
          <w:ilvl w:val="0"/>
          <w:numId w:val="5"/>
        </w:numPr>
        <w:jc w:val="both"/>
        <w:rPr>
          <w:rFonts w:ascii="Calibri" w:hAnsi="Calibri" w:cs="Tahoma"/>
          <w:bCs/>
          <w:sz w:val="22"/>
          <w:szCs w:val="22"/>
        </w:rPr>
      </w:pPr>
      <w:r w:rsidRPr="007C44B3">
        <w:rPr>
          <w:rFonts w:ascii="Calibri" w:hAnsi="Calibri" w:cs="Tahoma"/>
          <w:bCs/>
          <w:sz w:val="22"/>
          <w:szCs w:val="22"/>
        </w:rPr>
        <w:t xml:space="preserve">Faire la </w:t>
      </w:r>
      <w:r w:rsidR="007507E5" w:rsidRPr="007C44B3">
        <w:rPr>
          <w:rFonts w:ascii="Calibri" w:hAnsi="Calibri" w:cs="Tahoma"/>
          <w:bCs/>
          <w:sz w:val="22"/>
          <w:szCs w:val="22"/>
        </w:rPr>
        <w:t>revue des portefeuilles des EPA</w:t>
      </w:r>
      <w:r w:rsidR="00FE282F" w:rsidRPr="007C44B3">
        <w:rPr>
          <w:rFonts w:ascii="Calibri" w:hAnsi="Calibri" w:cs="Tahoma"/>
          <w:bCs/>
          <w:sz w:val="22"/>
          <w:szCs w:val="22"/>
        </w:rPr>
        <w:t> ;</w:t>
      </w:r>
      <w:r w:rsidR="00D43657" w:rsidRPr="007C44B3">
        <w:rPr>
          <w:rFonts w:ascii="Calibri" w:hAnsi="Calibri" w:cs="Tahoma"/>
          <w:bCs/>
          <w:sz w:val="22"/>
          <w:szCs w:val="22"/>
        </w:rPr>
        <w:t xml:space="preserve"> </w:t>
      </w:r>
    </w:p>
    <w:p w14:paraId="0EDA64A2" w14:textId="5095E2A8" w:rsidR="0037601E" w:rsidRPr="007C44B3" w:rsidRDefault="0037601E" w:rsidP="00182235">
      <w:pPr>
        <w:numPr>
          <w:ilvl w:val="0"/>
          <w:numId w:val="5"/>
        </w:numPr>
        <w:jc w:val="both"/>
        <w:rPr>
          <w:rFonts w:ascii="Calibri" w:hAnsi="Calibri" w:cs="Tahoma"/>
          <w:bCs/>
          <w:sz w:val="22"/>
          <w:szCs w:val="22"/>
        </w:rPr>
      </w:pPr>
      <w:r w:rsidRPr="007C44B3">
        <w:rPr>
          <w:rFonts w:ascii="Calibri" w:hAnsi="Calibri" w:cs="Tahoma"/>
          <w:bCs/>
          <w:sz w:val="22"/>
          <w:szCs w:val="22"/>
        </w:rPr>
        <w:lastRenderedPageBreak/>
        <w:t xml:space="preserve">Analyser les </w:t>
      </w:r>
      <w:r w:rsidR="005070F7" w:rsidRPr="007C44B3">
        <w:rPr>
          <w:rFonts w:ascii="Calibri" w:hAnsi="Calibri" w:cs="Tahoma"/>
          <w:bCs/>
          <w:sz w:val="22"/>
          <w:szCs w:val="22"/>
        </w:rPr>
        <w:t xml:space="preserve">ressources </w:t>
      </w:r>
      <w:r w:rsidRPr="007C44B3">
        <w:rPr>
          <w:rFonts w:ascii="Calibri" w:hAnsi="Calibri" w:cs="Tahoma"/>
          <w:bCs/>
          <w:sz w:val="22"/>
          <w:szCs w:val="22"/>
        </w:rPr>
        <w:t>humain</w:t>
      </w:r>
      <w:r w:rsidR="005070F7" w:rsidRPr="007C44B3">
        <w:rPr>
          <w:rFonts w:ascii="Calibri" w:hAnsi="Calibri" w:cs="Tahoma"/>
          <w:bCs/>
          <w:sz w:val="22"/>
          <w:szCs w:val="22"/>
        </w:rPr>
        <w:t>e</w:t>
      </w:r>
      <w:r w:rsidRPr="007C44B3">
        <w:rPr>
          <w:rFonts w:ascii="Calibri" w:hAnsi="Calibri" w:cs="Tahoma"/>
          <w:bCs/>
          <w:sz w:val="22"/>
          <w:szCs w:val="22"/>
        </w:rPr>
        <w:t>s</w:t>
      </w:r>
      <w:r w:rsidR="005070F7" w:rsidRPr="007C44B3">
        <w:rPr>
          <w:rFonts w:ascii="Calibri" w:hAnsi="Calibri" w:cs="Tahoma"/>
          <w:bCs/>
          <w:sz w:val="22"/>
          <w:szCs w:val="22"/>
        </w:rPr>
        <w:t xml:space="preserve">, les moyens </w:t>
      </w:r>
      <w:r w:rsidRPr="007C44B3">
        <w:rPr>
          <w:rFonts w:ascii="Calibri" w:hAnsi="Calibri" w:cs="Tahoma"/>
          <w:bCs/>
          <w:sz w:val="22"/>
          <w:szCs w:val="22"/>
        </w:rPr>
        <w:t>administratifs, matériels et financiers et leur système de gestion</w:t>
      </w:r>
      <w:r w:rsidR="002057C5" w:rsidRPr="007C44B3">
        <w:rPr>
          <w:rFonts w:ascii="Calibri" w:hAnsi="Calibri" w:cs="Tahoma"/>
          <w:bCs/>
          <w:sz w:val="22"/>
          <w:szCs w:val="22"/>
        </w:rPr>
        <w:t>, soit le fonctionnement et la</w:t>
      </w:r>
      <w:r w:rsidR="002057C5" w:rsidRPr="007C44B3">
        <w:rPr>
          <w:rFonts w:asciiTheme="minorHAnsi" w:hAnsiTheme="minorHAnsi" w:cstheme="minorHAnsi"/>
          <w:sz w:val="22"/>
          <w:szCs w:val="22"/>
        </w:rPr>
        <w:t xml:space="preserve"> gestion budgétaire des EPA santé, en adéquation avec la législation et à la réglementation ainsi que</w:t>
      </w:r>
      <w:r w:rsidR="00CF7F1F" w:rsidRPr="007C44B3">
        <w:rPr>
          <w:rFonts w:asciiTheme="minorHAnsi" w:hAnsiTheme="minorHAnsi" w:cstheme="minorHAnsi"/>
          <w:sz w:val="22"/>
          <w:szCs w:val="22"/>
        </w:rPr>
        <w:t xml:space="preserve"> les normes comptables</w:t>
      </w:r>
      <w:r w:rsidR="002057C5" w:rsidRPr="007C44B3">
        <w:rPr>
          <w:rFonts w:asciiTheme="minorHAnsi" w:hAnsiTheme="minorHAnsi" w:cstheme="minorHAnsi"/>
          <w:sz w:val="22"/>
          <w:szCs w:val="22"/>
        </w:rPr>
        <w:t xml:space="preserve"> (</w:t>
      </w:r>
      <w:r w:rsidR="00AF2F23" w:rsidRPr="007C44B3">
        <w:rPr>
          <w:rFonts w:asciiTheme="minorHAnsi" w:hAnsiTheme="minorHAnsi" w:cstheme="minorHAnsi"/>
          <w:sz w:val="22"/>
          <w:szCs w:val="22"/>
        </w:rPr>
        <w:t>p</w:t>
      </w:r>
      <w:r w:rsidR="00CF7F1F" w:rsidRPr="007C44B3">
        <w:rPr>
          <w:rFonts w:asciiTheme="minorHAnsi" w:hAnsiTheme="minorHAnsi" w:cstheme="minorHAnsi"/>
          <w:sz w:val="22"/>
          <w:szCs w:val="22"/>
        </w:rPr>
        <w:t xml:space="preserve">lan comptable national, </w:t>
      </w:r>
      <w:r w:rsidR="002057C5" w:rsidRPr="007C44B3">
        <w:rPr>
          <w:rFonts w:asciiTheme="minorHAnsi" w:hAnsiTheme="minorHAnsi" w:cstheme="minorHAnsi"/>
          <w:sz w:val="22"/>
          <w:szCs w:val="22"/>
        </w:rPr>
        <w:t>procédures</w:t>
      </w:r>
      <w:r w:rsidR="00CF7F1F" w:rsidRPr="007C44B3">
        <w:rPr>
          <w:rFonts w:asciiTheme="minorHAnsi" w:hAnsiTheme="minorHAnsi" w:cstheme="minorHAnsi"/>
          <w:sz w:val="22"/>
          <w:szCs w:val="22"/>
        </w:rPr>
        <w:t xml:space="preserve"> comptables et </w:t>
      </w:r>
      <w:r w:rsidR="002057C5" w:rsidRPr="007C44B3">
        <w:rPr>
          <w:rFonts w:asciiTheme="minorHAnsi" w:hAnsiTheme="minorHAnsi" w:cstheme="minorHAnsi"/>
          <w:sz w:val="22"/>
          <w:szCs w:val="22"/>
        </w:rPr>
        <w:t>budgétaires…)</w:t>
      </w:r>
    </w:p>
    <w:p w14:paraId="48D840D3" w14:textId="37231C08" w:rsidR="002057C5" w:rsidRPr="007C44B3" w:rsidRDefault="0037601E" w:rsidP="00AF2F23">
      <w:pPr>
        <w:pStyle w:val="Paragraphedeliste"/>
        <w:numPr>
          <w:ilvl w:val="0"/>
          <w:numId w:val="5"/>
        </w:numPr>
        <w:jc w:val="both"/>
        <w:rPr>
          <w:rFonts w:asciiTheme="minorHAnsi" w:hAnsiTheme="minorHAnsi" w:cstheme="minorHAnsi"/>
          <w:sz w:val="22"/>
          <w:szCs w:val="22"/>
        </w:rPr>
      </w:pPr>
      <w:r w:rsidRPr="007C44B3">
        <w:rPr>
          <w:rFonts w:ascii="Calibri" w:hAnsi="Calibri" w:cs="Tahoma"/>
          <w:bCs/>
          <w:sz w:val="22"/>
          <w:szCs w:val="22"/>
        </w:rPr>
        <w:t>Faire un état des lieux des services (notamment les services financiers), analyser l’adéquation des attributions, missions et mandats ainsi</w:t>
      </w:r>
      <w:r w:rsidR="00AF2F23" w:rsidRPr="007C44B3">
        <w:rPr>
          <w:rFonts w:ascii="Calibri" w:hAnsi="Calibri" w:cs="Tahoma"/>
          <w:bCs/>
          <w:sz w:val="22"/>
          <w:szCs w:val="22"/>
        </w:rPr>
        <w:t xml:space="preserve"> que</w:t>
      </w:r>
      <w:r w:rsidRPr="007C44B3">
        <w:rPr>
          <w:rFonts w:ascii="Calibri" w:hAnsi="Calibri" w:cs="Tahoma"/>
          <w:bCs/>
          <w:sz w:val="22"/>
          <w:szCs w:val="22"/>
        </w:rPr>
        <w:t xml:space="preserve"> leur fonctionnement </w:t>
      </w:r>
      <w:r w:rsidR="00B12DE1" w:rsidRPr="007C44B3">
        <w:rPr>
          <w:rFonts w:ascii="Calibri" w:hAnsi="Calibri" w:cs="Tahoma"/>
          <w:bCs/>
          <w:sz w:val="22"/>
          <w:szCs w:val="22"/>
        </w:rPr>
        <w:t xml:space="preserve">en interne et leur </w:t>
      </w:r>
      <w:r w:rsidR="00C87737" w:rsidRPr="007C44B3">
        <w:rPr>
          <w:rFonts w:asciiTheme="minorHAnsi" w:hAnsiTheme="minorHAnsi" w:cstheme="minorHAnsi"/>
          <w:sz w:val="22"/>
          <w:szCs w:val="22"/>
        </w:rPr>
        <w:t>r</w:t>
      </w:r>
      <w:r w:rsidR="00B12DE1" w:rsidRPr="007C44B3">
        <w:rPr>
          <w:rFonts w:asciiTheme="minorHAnsi" w:hAnsiTheme="minorHAnsi" w:cstheme="minorHAnsi"/>
          <w:sz w:val="22"/>
          <w:szCs w:val="22"/>
        </w:rPr>
        <w:t>elation avec les représentants des tutelles techniques et financières (niveaux régional et national).</w:t>
      </w:r>
    </w:p>
    <w:p w14:paraId="68B41092" w14:textId="054BFDCA" w:rsidR="00D43657" w:rsidRPr="007C44B3" w:rsidDel="00DD2164" w:rsidRDefault="00D43657" w:rsidP="00AF2F23">
      <w:pPr>
        <w:numPr>
          <w:ilvl w:val="0"/>
          <w:numId w:val="5"/>
        </w:numPr>
        <w:jc w:val="both"/>
        <w:rPr>
          <w:rFonts w:ascii="Calibri" w:hAnsi="Calibri" w:cs="Tahoma"/>
          <w:bCs/>
          <w:sz w:val="22"/>
          <w:szCs w:val="22"/>
        </w:rPr>
      </w:pPr>
      <w:r w:rsidRPr="007C44B3" w:rsidDel="00DD2164">
        <w:rPr>
          <w:rFonts w:ascii="Calibri" w:hAnsi="Calibri" w:cs="Tahoma"/>
          <w:bCs/>
          <w:sz w:val="22"/>
          <w:szCs w:val="22"/>
        </w:rPr>
        <w:t>Analyser</w:t>
      </w:r>
      <w:r w:rsidR="00586B83" w:rsidRPr="007C44B3" w:rsidDel="00DD2164">
        <w:rPr>
          <w:rFonts w:ascii="Calibri" w:hAnsi="Calibri" w:cs="Tahoma"/>
          <w:bCs/>
          <w:sz w:val="22"/>
          <w:szCs w:val="22"/>
        </w:rPr>
        <w:t xml:space="preserve"> les forces, les faiblesses</w:t>
      </w:r>
      <w:r w:rsidR="00525923" w:rsidRPr="007C44B3">
        <w:rPr>
          <w:rFonts w:ascii="Calibri" w:hAnsi="Calibri" w:cs="Tahoma"/>
          <w:bCs/>
          <w:sz w:val="22"/>
          <w:szCs w:val="22"/>
        </w:rPr>
        <w:t>, les menaces et les opportunités</w:t>
      </w:r>
      <w:r w:rsidR="00586B83" w:rsidRPr="007C44B3" w:rsidDel="00DD2164">
        <w:rPr>
          <w:rFonts w:ascii="Calibri" w:hAnsi="Calibri" w:cs="Tahoma"/>
          <w:bCs/>
          <w:sz w:val="22"/>
          <w:szCs w:val="22"/>
        </w:rPr>
        <w:t xml:space="preserve"> </w:t>
      </w:r>
      <w:r w:rsidRPr="007C44B3" w:rsidDel="00DD2164">
        <w:rPr>
          <w:rFonts w:ascii="Calibri" w:hAnsi="Calibri" w:cs="Tahoma"/>
          <w:bCs/>
          <w:sz w:val="22"/>
          <w:szCs w:val="22"/>
        </w:rPr>
        <w:t>de l’organisation et le fonctionnement</w:t>
      </w:r>
      <w:r w:rsidR="0037601E" w:rsidRPr="007C44B3" w:rsidDel="00DD2164">
        <w:rPr>
          <w:rFonts w:ascii="Calibri" w:hAnsi="Calibri" w:cs="Tahoma"/>
          <w:bCs/>
          <w:sz w:val="22"/>
          <w:szCs w:val="22"/>
        </w:rPr>
        <w:t xml:space="preserve"> </w:t>
      </w:r>
      <w:r w:rsidRPr="007C44B3" w:rsidDel="00DD2164">
        <w:rPr>
          <w:rFonts w:ascii="Calibri" w:hAnsi="Calibri" w:cs="Tahoma"/>
          <w:bCs/>
          <w:sz w:val="22"/>
          <w:szCs w:val="22"/>
        </w:rPr>
        <w:t xml:space="preserve">; </w:t>
      </w:r>
    </w:p>
    <w:p w14:paraId="6516B68C" w14:textId="69AF9690" w:rsidR="00397B08" w:rsidRPr="007C44B3" w:rsidRDefault="004D206E" w:rsidP="00AF2F23">
      <w:pPr>
        <w:numPr>
          <w:ilvl w:val="0"/>
          <w:numId w:val="5"/>
        </w:numPr>
        <w:jc w:val="both"/>
        <w:rPr>
          <w:rFonts w:ascii="Calibri" w:hAnsi="Calibri" w:cs="Tahoma"/>
          <w:bCs/>
          <w:sz w:val="22"/>
          <w:szCs w:val="22"/>
        </w:rPr>
      </w:pPr>
      <w:r w:rsidRPr="007C44B3">
        <w:rPr>
          <w:rFonts w:ascii="Calibri" w:hAnsi="Calibri" w:cs="Tahoma"/>
          <w:bCs/>
          <w:sz w:val="22"/>
          <w:szCs w:val="22"/>
        </w:rPr>
        <w:t>Proposer d</w:t>
      </w:r>
      <w:r w:rsidR="00397B08" w:rsidRPr="007C44B3">
        <w:rPr>
          <w:rFonts w:ascii="Calibri" w:hAnsi="Calibri" w:cs="Tahoma"/>
          <w:bCs/>
          <w:sz w:val="22"/>
          <w:szCs w:val="22"/>
        </w:rPr>
        <w:t>es</w:t>
      </w:r>
      <w:r w:rsidRPr="007C44B3">
        <w:rPr>
          <w:rFonts w:ascii="Calibri" w:hAnsi="Calibri" w:cs="Tahoma"/>
          <w:bCs/>
          <w:sz w:val="22"/>
          <w:szCs w:val="22"/>
        </w:rPr>
        <w:t xml:space="preserve"> recommandations visant à améliorer l’organisation et le fonctionnement des structures sélectionnées. A ce titre l’étude proposera à la fois des mesures d’organisation, des outils et des méthodes</w:t>
      </w:r>
      <w:r w:rsidR="002D1081" w:rsidRPr="007C44B3">
        <w:rPr>
          <w:rFonts w:ascii="Calibri" w:hAnsi="Calibri" w:cs="Tahoma"/>
          <w:bCs/>
          <w:sz w:val="22"/>
          <w:szCs w:val="22"/>
        </w:rPr>
        <w:t> ;</w:t>
      </w:r>
    </w:p>
    <w:p w14:paraId="2091E9B5" w14:textId="576591DC" w:rsidR="002D1081" w:rsidRPr="007C44B3" w:rsidRDefault="007B2C4E" w:rsidP="00AF2F23">
      <w:pPr>
        <w:pStyle w:val="Paragraphedeliste"/>
        <w:numPr>
          <w:ilvl w:val="0"/>
          <w:numId w:val="5"/>
        </w:numPr>
        <w:jc w:val="both"/>
        <w:rPr>
          <w:rFonts w:ascii="Calibri" w:hAnsi="Calibri" w:cs="Tahoma"/>
          <w:bCs/>
          <w:sz w:val="22"/>
          <w:szCs w:val="22"/>
        </w:rPr>
      </w:pPr>
      <w:r w:rsidRPr="007C44B3">
        <w:rPr>
          <w:rFonts w:ascii="Calibri" w:hAnsi="Calibri" w:cs="Tahoma"/>
          <w:bCs/>
          <w:sz w:val="22"/>
          <w:szCs w:val="22"/>
        </w:rPr>
        <w:t>E</w:t>
      </w:r>
      <w:r w:rsidR="002D1081" w:rsidRPr="007C44B3">
        <w:rPr>
          <w:rFonts w:ascii="Calibri" w:hAnsi="Calibri" w:cs="Tahoma"/>
          <w:bCs/>
          <w:sz w:val="22"/>
          <w:szCs w:val="22"/>
        </w:rPr>
        <w:t>valuer les besoins d’appuis techniques et en formation :</w:t>
      </w:r>
    </w:p>
    <w:p w14:paraId="549ED0AC" w14:textId="7C0EDFC5" w:rsidR="002D1081" w:rsidRPr="007C44B3" w:rsidRDefault="002D1081" w:rsidP="00AF2F23">
      <w:pPr>
        <w:ind w:left="1416"/>
        <w:jc w:val="both"/>
        <w:rPr>
          <w:rFonts w:ascii="Calibri" w:hAnsi="Calibri" w:cs="Tahoma"/>
          <w:bCs/>
          <w:sz w:val="22"/>
          <w:szCs w:val="22"/>
        </w:rPr>
      </w:pPr>
      <w:r w:rsidRPr="007C44B3">
        <w:rPr>
          <w:rFonts w:ascii="Calibri" w:hAnsi="Calibri" w:cs="Tahoma"/>
          <w:bCs/>
          <w:sz w:val="22"/>
          <w:szCs w:val="22"/>
        </w:rPr>
        <w:t>- pour la mise en place des mesures d’organisation, des nouvelles procédures, des outils et méthodes proposés</w:t>
      </w:r>
    </w:p>
    <w:p w14:paraId="61AB83F9" w14:textId="10300914" w:rsidR="002D1081" w:rsidRPr="007C44B3" w:rsidRDefault="002D1081" w:rsidP="00AF2F23">
      <w:pPr>
        <w:ind w:left="1416"/>
        <w:jc w:val="both"/>
        <w:rPr>
          <w:rFonts w:ascii="Calibri" w:hAnsi="Calibri" w:cs="Tahoma"/>
          <w:bCs/>
          <w:sz w:val="22"/>
          <w:szCs w:val="22"/>
        </w:rPr>
      </w:pPr>
      <w:r w:rsidRPr="007C44B3">
        <w:rPr>
          <w:rFonts w:ascii="Calibri" w:hAnsi="Calibri" w:cs="Tahoma"/>
          <w:bCs/>
          <w:sz w:val="22"/>
          <w:szCs w:val="22"/>
        </w:rPr>
        <w:t>- pour le renforcement des compétences des agents des EPA ;</w:t>
      </w:r>
    </w:p>
    <w:p w14:paraId="1DACADAB" w14:textId="718FCAFA" w:rsidR="002D1081" w:rsidRPr="007C44B3" w:rsidRDefault="002D1081" w:rsidP="00AF2F23">
      <w:pPr>
        <w:ind w:left="1416"/>
        <w:jc w:val="both"/>
        <w:rPr>
          <w:rFonts w:ascii="Calibri" w:hAnsi="Calibri" w:cs="Tahoma"/>
          <w:bCs/>
          <w:sz w:val="22"/>
          <w:szCs w:val="22"/>
        </w:rPr>
      </w:pPr>
      <w:r w:rsidRPr="007C44B3">
        <w:rPr>
          <w:rFonts w:ascii="Calibri" w:hAnsi="Calibri" w:cs="Tahoma"/>
          <w:bCs/>
          <w:sz w:val="22"/>
          <w:szCs w:val="22"/>
        </w:rPr>
        <w:t>- Pour l’accompagnement du changement induit par les évolutions proposées</w:t>
      </w:r>
    </w:p>
    <w:p w14:paraId="2ED2F5D5" w14:textId="13031A58" w:rsidR="000942EE" w:rsidRPr="007C44B3" w:rsidRDefault="00397B08" w:rsidP="00AF2F23">
      <w:pPr>
        <w:pStyle w:val="Paragraphedeliste"/>
        <w:numPr>
          <w:ilvl w:val="0"/>
          <w:numId w:val="5"/>
        </w:numPr>
        <w:jc w:val="both"/>
        <w:rPr>
          <w:rFonts w:ascii="Calibri" w:hAnsi="Calibri" w:cs="Tahoma"/>
          <w:bCs/>
          <w:sz w:val="22"/>
          <w:szCs w:val="22"/>
        </w:rPr>
      </w:pPr>
      <w:r w:rsidRPr="007C44B3">
        <w:rPr>
          <w:rFonts w:ascii="Calibri" w:hAnsi="Calibri" w:cs="Tahoma"/>
          <w:bCs/>
          <w:sz w:val="22"/>
          <w:szCs w:val="22"/>
        </w:rPr>
        <w:t>P</w:t>
      </w:r>
      <w:r w:rsidR="002D1081" w:rsidRPr="007C44B3">
        <w:rPr>
          <w:rFonts w:ascii="Calibri" w:hAnsi="Calibri" w:cs="Tahoma"/>
          <w:bCs/>
          <w:sz w:val="22"/>
          <w:szCs w:val="22"/>
        </w:rPr>
        <w:t>roposer une</w:t>
      </w:r>
      <w:r w:rsidRPr="007C44B3">
        <w:rPr>
          <w:rFonts w:ascii="Calibri" w:hAnsi="Calibri" w:cs="Tahoma"/>
          <w:bCs/>
          <w:sz w:val="22"/>
          <w:szCs w:val="22"/>
        </w:rPr>
        <w:t xml:space="preserve"> feuille de route à laquelle serait associé un calendrier de réalisation des activités</w:t>
      </w:r>
      <w:r w:rsidR="00B977DD" w:rsidRPr="007C44B3">
        <w:rPr>
          <w:rFonts w:ascii="Calibri" w:hAnsi="Calibri" w:cs="Tahoma"/>
          <w:bCs/>
          <w:sz w:val="22"/>
          <w:szCs w:val="22"/>
        </w:rPr>
        <w:t>.</w:t>
      </w:r>
      <w:r w:rsidR="00FC0372" w:rsidRPr="007C44B3">
        <w:rPr>
          <w:rFonts w:ascii="Calibri" w:hAnsi="Calibri" w:cs="Tahoma"/>
          <w:bCs/>
          <w:sz w:val="22"/>
          <w:szCs w:val="22"/>
        </w:rPr>
        <w:t xml:space="preserve">  </w:t>
      </w:r>
    </w:p>
    <w:p w14:paraId="70428A63" w14:textId="77777777" w:rsidR="00475709" w:rsidRPr="007C44B3" w:rsidRDefault="00475709" w:rsidP="00C85939">
      <w:pPr>
        <w:jc w:val="both"/>
        <w:rPr>
          <w:rFonts w:ascii="Calibri" w:hAnsi="Calibri"/>
          <w:sz w:val="22"/>
          <w:szCs w:val="22"/>
        </w:rPr>
      </w:pPr>
    </w:p>
    <w:p w14:paraId="43C3EFA0" w14:textId="77777777" w:rsidR="00965444" w:rsidRPr="007C44B3" w:rsidRDefault="00965444"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Résultats à atteindre</w:t>
      </w:r>
    </w:p>
    <w:p w14:paraId="76CFD6B8" w14:textId="77777777" w:rsidR="009B5A5E" w:rsidRPr="007C44B3" w:rsidRDefault="009B5A5E" w:rsidP="001245E2">
      <w:pPr>
        <w:jc w:val="both"/>
        <w:rPr>
          <w:rFonts w:ascii="Calibri" w:hAnsi="Calibri"/>
          <w:sz w:val="22"/>
          <w:szCs w:val="22"/>
        </w:rPr>
      </w:pPr>
    </w:p>
    <w:p w14:paraId="61D8A8A9" w14:textId="77777777" w:rsidR="00AF2F23" w:rsidRPr="007C44B3" w:rsidRDefault="00AF2F23" w:rsidP="00AF2F23">
      <w:pPr>
        <w:pStyle w:val="Paragraphedeliste"/>
        <w:numPr>
          <w:ilvl w:val="0"/>
          <w:numId w:val="12"/>
        </w:numPr>
        <w:jc w:val="both"/>
        <w:rPr>
          <w:rFonts w:ascii="Calibri" w:hAnsi="Calibri"/>
          <w:sz w:val="22"/>
          <w:szCs w:val="22"/>
        </w:rPr>
      </w:pPr>
      <w:r w:rsidRPr="007C44B3">
        <w:rPr>
          <w:rFonts w:ascii="Calibri" w:hAnsi="Calibri" w:cs="Tahoma"/>
          <w:bCs/>
          <w:sz w:val="22"/>
          <w:szCs w:val="22"/>
        </w:rPr>
        <w:t>un diagnostic institutionnel, organisationnel et fonctionnel sur la gestion des EPA santé et leur relation avec les administrations de tutelle au niveau central et déconcentré est réalisé ;</w:t>
      </w:r>
    </w:p>
    <w:p w14:paraId="4FCB4D6F" w14:textId="77777777" w:rsidR="00AF2F23" w:rsidRPr="007C44B3" w:rsidRDefault="00AF2F23" w:rsidP="00AF2F23">
      <w:pPr>
        <w:pStyle w:val="Paragraphedeliste"/>
        <w:numPr>
          <w:ilvl w:val="0"/>
          <w:numId w:val="12"/>
        </w:numPr>
        <w:jc w:val="both"/>
        <w:rPr>
          <w:rFonts w:ascii="Calibri" w:hAnsi="Calibri"/>
          <w:sz w:val="22"/>
          <w:szCs w:val="22"/>
        </w:rPr>
      </w:pPr>
      <w:r w:rsidRPr="007C44B3">
        <w:rPr>
          <w:rFonts w:ascii="Calibri" w:hAnsi="Calibri" w:cs="Tahoma"/>
          <w:bCs/>
          <w:sz w:val="22"/>
          <w:szCs w:val="22"/>
        </w:rPr>
        <w:t>un rapport contenant l’état des lieux des 12 EPA, le diagnostic, des recommandations, des besoins d’appuis techniques et formations est proposé ;</w:t>
      </w:r>
    </w:p>
    <w:p w14:paraId="456686B2" w14:textId="779B2E11" w:rsidR="00AF2F23" w:rsidRPr="007C44B3" w:rsidRDefault="00AF2F23" w:rsidP="00AF2F23">
      <w:pPr>
        <w:pStyle w:val="Paragraphedeliste"/>
        <w:numPr>
          <w:ilvl w:val="0"/>
          <w:numId w:val="12"/>
        </w:numPr>
        <w:jc w:val="both"/>
        <w:rPr>
          <w:rFonts w:ascii="Calibri" w:hAnsi="Calibri"/>
          <w:sz w:val="22"/>
          <w:szCs w:val="22"/>
        </w:rPr>
      </w:pPr>
      <w:r w:rsidRPr="007C44B3">
        <w:rPr>
          <w:rFonts w:ascii="Calibri" w:hAnsi="Calibri" w:cs="Tahoma"/>
          <w:bCs/>
          <w:sz w:val="22"/>
          <w:szCs w:val="22"/>
        </w:rPr>
        <w:t xml:space="preserve">une synthèse de deux pages du rapport de diagnostic avec les résultats </w:t>
      </w:r>
      <w:r w:rsidR="00D623E8" w:rsidRPr="007C44B3">
        <w:rPr>
          <w:rFonts w:ascii="Calibri" w:hAnsi="Calibri" w:cs="Tahoma"/>
          <w:bCs/>
          <w:sz w:val="22"/>
          <w:szCs w:val="22"/>
        </w:rPr>
        <w:t>essentiels</w:t>
      </w:r>
      <w:r w:rsidRPr="007C44B3">
        <w:rPr>
          <w:rFonts w:ascii="Calibri" w:hAnsi="Calibri" w:cs="Tahoma"/>
          <w:bCs/>
          <w:sz w:val="22"/>
          <w:szCs w:val="22"/>
        </w:rPr>
        <w:t xml:space="preserve"> est réalisée ;</w:t>
      </w:r>
    </w:p>
    <w:p w14:paraId="094A3FAC" w14:textId="77777777" w:rsidR="00AF2F23" w:rsidRPr="007C44B3" w:rsidRDefault="00AF2F23" w:rsidP="00AF2F23">
      <w:pPr>
        <w:pStyle w:val="Paragraphedeliste"/>
        <w:numPr>
          <w:ilvl w:val="0"/>
          <w:numId w:val="12"/>
        </w:numPr>
        <w:jc w:val="both"/>
        <w:rPr>
          <w:rFonts w:ascii="Calibri" w:hAnsi="Calibri"/>
          <w:sz w:val="22"/>
          <w:szCs w:val="22"/>
        </w:rPr>
      </w:pPr>
      <w:r w:rsidRPr="007C44B3">
        <w:rPr>
          <w:rFonts w:ascii="Calibri" w:hAnsi="Calibri" w:cs="Tahoma"/>
          <w:bCs/>
          <w:sz w:val="22"/>
          <w:szCs w:val="22"/>
        </w:rPr>
        <w:t>une feuille route budgétisée est rédigée et mise à jour au regard des observations du ministère pour sa bonne opérationnalisation ;</w:t>
      </w:r>
    </w:p>
    <w:p w14:paraId="7539FAC0" w14:textId="28238EC6" w:rsidR="002057C5" w:rsidRPr="007C44B3" w:rsidRDefault="00AF2F23" w:rsidP="00AF2F23">
      <w:pPr>
        <w:pStyle w:val="Paragraphedeliste"/>
        <w:numPr>
          <w:ilvl w:val="0"/>
          <w:numId w:val="12"/>
        </w:numPr>
        <w:jc w:val="both"/>
        <w:rPr>
          <w:rFonts w:ascii="Calibri" w:hAnsi="Calibri"/>
          <w:sz w:val="22"/>
          <w:szCs w:val="22"/>
        </w:rPr>
      </w:pPr>
      <w:r w:rsidRPr="007C44B3">
        <w:rPr>
          <w:rFonts w:ascii="Calibri" w:hAnsi="Calibri" w:cs="Tahoma"/>
          <w:bCs/>
          <w:sz w:val="22"/>
          <w:szCs w:val="22"/>
        </w:rPr>
        <w:t>une séance de restitution du rapport et de la feuille de route est réalisée au ministère de la santé en présence de tous les partenaires techniques et financiers et de la DUE</w:t>
      </w:r>
      <w:r w:rsidR="00B568B6" w:rsidRPr="007C44B3">
        <w:rPr>
          <w:rFonts w:ascii="Calibri" w:hAnsi="Calibri" w:cs="Tahoma"/>
          <w:bCs/>
          <w:sz w:val="22"/>
          <w:szCs w:val="22"/>
        </w:rPr>
        <w:t xml:space="preserve"> </w:t>
      </w:r>
      <w:r w:rsidRPr="007C44B3">
        <w:rPr>
          <w:rFonts w:ascii="Calibri" w:hAnsi="Calibri" w:cs="Tahoma"/>
          <w:bCs/>
          <w:sz w:val="22"/>
          <w:szCs w:val="22"/>
        </w:rPr>
        <w:t xml:space="preserve">(le bailleur). </w:t>
      </w:r>
      <w:r w:rsidR="006266F0" w:rsidRPr="007C44B3">
        <w:rPr>
          <w:rFonts w:ascii="Calibri" w:hAnsi="Calibri" w:cs="Tahoma"/>
          <w:bCs/>
          <w:sz w:val="22"/>
          <w:szCs w:val="22"/>
        </w:rPr>
        <w:t xml:space="preserve"> </w:t>
      </w:r>
    </w:p>
    <w:p w14:paraId="655954D9" w14:textId="77777777" w:rsidR="00AF63C1" w:rsidRPr="007C44B3" w:rsidRDefault="00AF63C1" w:rsidP="00C85939">
      <w:pPr>
        <w:jc w:val="both"/>
        <w:rPr>
          <w:rFonts w:ascii="Calibri" w:hAnsi="Calibri"/>
          <w:sz w:val="22"/>
          <w:szCs w:val="22"/>
        </w:rPr>
      </w:pPr>
    </w:p>
    <w:p w14:paraId="2F18E5D2" w14:textId="285A5328" w:rsidR="00965444" w:rsidRPr="007C44B3" w:rsidRDefault="00965444"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Description de la mission</w:t>
      </w:r>
      <w:r w:rsidR="00444282" w:rsidRPr="007C44B3">
        <w:rPr>
          <w:rFonts w:ascii="Calibri" w:eastAsia="Arial Unicode MS" w:hAnsi="Calibri" w:cs="Arial Unicode MS"/>
          <w:b/>
          <w:sz w:val="22"/>
          <w:szCs w:val="22"/>
          <w:lang w:eastAsia="en-US"/>
        </w:rPr>
        <w:t xml:space="preserve"> </w:t>
      </w:r>
    </w:p>
    <w:p w14:paraId="69356CB9" w14:textId="77777777" w:rsidR="00965444" w:rsidRPr="007C44B3" w:rsidRDefault="00965444" w:rsidP="00C85939">
      <w:pPr>
        <w:jc w:val="both"/>
        <w:rPr>
          <w:rFonts w:ascii="Calibri" w:hAnsi="Calibri"/>
          <w:sz w:val="22"/>
          <w:szCs w:val="22"/>
        </w:rPr>
      </w:pPr>
    </w:p>
    <w:p w14:paraId="4198E154" w14:textId="4FE1E097" w:rsidR="001D27F6" w:rsidRPr="007C44B3" w:rsidRDefault="00965444"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Activités prévues</w:t>
      </w:r>
    </w:p>
    <w:p w14:paraId="2771DA66" w14:textId="77777777" w:rsidR="00450E08" w:rsidRPr="007C44B3" w:rsidRDefault="00450E08" w:rsidP="00450E08">
      <w:pPr>
        <w:tabs>
          <w:tab w:val="num" w:pos="2355"/>
        </w:tabs>
        <w:ind w:left="900"/>
        <w:jc w:val="both"/>
        <w:rPr>
          <w:rFonts w:ascii="Calibri" w:eastAsia="Arial Unicode MS" w:hAnsi="Calibri" w:cs="Arial Unicode MS"/>
          <w:b/>
          <w:sz w:val="22"/>
          <w:szCs w:val="22"/>
          <w:lang w:eastAsia="en-US"/>
        </w:rPr>
      </w:pPr>
    </w:p>
    <w:p w14:paraId="78BBE69D" w14:textId="77777777" w:rsidR="00C558B8" w:rsidRPr="007C44B3" w:rsidRDefault="00C558B8" w:rsidP="00C85939">
      <w:pPr>
        <w:jc w:val="both"/>
        <w:rPr>
          <w:rFonts w:ascii="Calibri" w:hAnsi="Calibri" w:cs="Calibri"/>
          <w:i/>
          <w:sz w:val="8"/>
          <w:szCs w:val="8"/>
        </w:rPr>
      </w:pPr>
    </w:p>
    <w:p w14:paraId="06B98B3B" w14:textId="385B464B" w:rsidR="00450E08" w:rsidRPr="007C44B3" w:rsidRDefault="00450E08" w:rsidP="00450E08">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7C44B3">
        <w:rPr>
          <w:rFonts w:ascii="Calibri" w:hAnsi="Calibri"/>
          <w:b/>
          <w:sz w:val="22"/>
          <w:szCs w:val="22"/>
        </w:rPr>
        <w:t>L’expert</w:t>
      </w:r>
      <w:r w:rsidR="007B25AD" w:rsidRPr="007C44B3">
        <w:rPr>
          <w:rFonts w:ascii="Calibri" w:hAnsi="Calibri"/>
          <w:b/>
          <w:sz w:val="22"/>
          <w:szCs w:val="22"/>
        </w:rPr>
        <w:t>.e</w:t>
      </w:r>
      <w:r w:rsidRPr="007C44B3">
        <w:rPr>
          <w:rFonts w:ascii="Calibri" w:hAnsi="Calibri"/>
          <w:b/>
          <w:sz w:val="22"/>
          <w:szCs w:val="22"/>
        </w:rPr>
        <w:t xml:space="preserve"> international</w:t>
      </w:r>
      <w:r w:rsidR="007B25AD" w:rsidRPr="007C44B3">
        <w:rPr>
          <w:rFonts w:ascii="Calibri" w:hAnsi="Calibri"/>
          <w:b/>
          <w:sz w:val="22"/>
          <w:szCs w:val="22"/>
        </w:rPr>
        <w:t>.e</w:t>
      </w:r>
      <w:r w:rsidRPr="007C44B3">
        <w:rPr>
          <w:rFonts w:ascii="Calibri" w:hAnsi="Calibri"/>
          <w:b/>
          <w:sz w:val="22"/>
          <w:szCs w:val="22"/>
        </w:rPr>
        <w:t xml:space="preserve"> conduit les travaux et travaillera en collaboration</w:t>
      </w:r>
      <w:r w:rsidR="00EB6926" w:rsidRPr="007C44B3">
        <w:rPr>
          <w:rFonts w:ascii="Calibri" w:hAnsi="Calibri"/>
          <w:b/>
          <w:sz w:val="22"/>
          <w:szCs w:val="22"/>
        </w:rPr>
        <w:t xml:space="preserve"> avec</w:t>
      </w:r>
      <w:r w:rsidRPr="007C44B3">
        <w:rPr>
          <w:rFonts w:ascii="Calibri" w:hAnsi="Calibri"/>
          <w:b/>
          <w:sz w:val="22"/>
          <w:szCs w:val="22"/>
        </w:rPr>
        <w:t xml:space="preserve"> l’expert</w:t>
      </w:r>
      <w:r w:rsidR="007B25AD" w:rsidRPr="007C44B3">
        <w:rPr>
          <w:rFonts w:ascii="Calibri" w:hAnsi="Calibri"/>
          <w:b/>
          <w:sz w:val="22"/>
          <w:szCs w:val="22"/>
        </w:rPr>
        <w:t>.e</w:t>
      </w:r>
      <w:r w:rsidRPr="007C44B3">
        <w:rPr>
          <w:rFonts w:ascii="Calibri" w:hAnsi="Calibri"/>
          <w:b/>
          <w:sz w:val="22"/>
          <w:szCs w:val="22"/>
        </w:rPr>
        <w:t xml:space="preserve"> national</w:t>
      </w:r>
      <w:r w:rsidR="007B25AD" w:rsidRPr="007C44B3">
        <w:rPr>
          <w:rFonts w:ascii="Calibri" w:hAnsi="Calibri"/>
          <w:b/>
          <w:sz w:val="22"/>
          <w:szCs w:val="22"/>
        </w:rPr>
        <w:t>.e</w:t>
      </w:r>
      <w:r w:rsidRPr="007C44B3">
        <w:rPr>
          <w:rFonts w:ascii="Calibri" w:hAnsi="Calibri"/>
          <w:b/>
          <w:sz w:val="22"/>
          <w:szCs w:val="22"/>
        </w:rPr>
        <w:t xml:space="preserve"> afin de réaliser le diagnostic </w:t>
      </w:r>
      <w:r w:rsidR="00EB6926" w:rsidRPr="007C44B3">
        <w:rPr>
          <w:rFonts w:ascii="Calibri" w:hAnsi="Calibri"/>
          <w:b/>
          <w:sz w:val="22"/>
          <w:szCs w:val="22"/>
        </w:rPr>
        <w:t xml:space="preserve">et les déplacements nécessaires. </w:t>
      </w:r>
    </w:p>
    <w:p w14:paraId="1E384EF9" w14:textId="05FE2A6F" w:rsidR="00EB6926" w:rsidRPr="007C44B3" w:rsidRDefault="00EB6926" w:rsidP="00450E08">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7C44B3">
        <w:rPr>
          <w:rFonts w:ascii="Calibri" w:hAnsi="Calibri"/>
          <w:b/>
          <w:sz w:val="22"/>
          <w:szCs w:val="22"/>
        </w:rPr>
        <w:t xml:space="preserve">Les livrables sont </w:t>
      </w:r>
      <w:r w:rsidR="00B1039E" w:rsidRPr="007C44B3">
        <w:rPr>
          <w:rFonts w:ascii="Calibri" w:hAnsi="Calibri"/>
          <w:b/>
          <w:sz w:val="22"/>
          <w:szCs w:val="22"/>
        </w:rPr>
        <w:t>produits en</w:t>
      </w:r>
      <w:r w:rsidR="007B25AD" w:rsidRPr="007C44B3">
        <w:rPr>
          <w:rFonts w:ascii="Calibri" w:hAnsi="Calibri"/>
          <w:b/>
          <w:sz w:val="22"/>
          <w:szCs w:val="22"/>
        </w:rPr>
        <w:t xml:space="preserve"> </w:t>
      </w:r>
      <w:r w:rsidRPr="007C44B3">
        <w:rPr>
          <w:rFonts w:ascii="Calibri" w:hAnsi="Calibri"/>
          <w:b/>
          <w:sz w:val="22"/>
          <w:szCs w:val="22"/>
        </w:rPr>
        <w:t xml:space="preserve">concertation entre les experts et </w:t>
      </w:r>
      <w:r w:rsidR="007B25AD" w:rsidRPr="007C44B3">
        <w:rPr>
          <w:rFonts w:ascii="Calibri" w:hAnsi="Calibri"/>
          <w:b/>
          <w:sz w:val="22"/>
          <w:szCs w:val="22"/>
        </w:rPr>
        <w:t xml:space="preserve">en </w:t>
      </w:r>
      <w:r w:rsidRPr="007C44B3">
        <w:rPr>
          <w:rFonts w:ascii="Calibri" w:hAnsi="Calibri"/>
          <w:b/>
          <w:sz w:val="22"/>
          <w:szCs w:val="22"/>
        </w:rPr>
        <w:t>co-construction avec les bénéficiaires du diagnostic</w:t>
      </w:r>
      <w:r w:rsidR="007B25AD" w:rsidRPr="007C44B3">
        <w:rPr>
          <w:rFonts w:ascii="Calibri" w:hAnsi="Calibri"/>
          <w:b/>
          <w:sz w:val="22"/>
          <w:szCs w:val="22"/>
        </w:rPr>
        <w:t>.</w:t>
      </w:r>
    </w:p>
    <w:p w14:paraId="1E32CC1A" w14:textId="77777777" w:rsidR="00450E08" w:rsidRPr="007C44B3" w:rsidRDefault="00450E08" w:rsidP="00F17A78">
      <w:pPr>
        <w:jc w:val="both"/>
        <w:rPr>
          <w:rFonts w:ascii="Calibri" w:hAnsi="Calibri"/>
          <w:sz w:val="22"/>
          <w:szCs w:val="22"/>
        </w:rPr>
      </w:pPr>
    </w:p>
    <w:p w14:paraId="5B8B184F" w14:textId="00F0CEE8" w:rsidR="00F17A78" w:rsidRPr="007C44B3" w:rsidRDefault="007B25AD" w:rsidP="00F17A78">
      <w:pPr>
        <w:jc w:val="both"/>
        <w:rPr>
          <w:rFonts w:ascii="Calibri" w:hAnsi="Calibri" w:cs="Calibri"/>
          <w:sz w:val="22"/>
          <w:szCs w:val="22"/>
        </w:rPr>
      </w:pPr>
      <w:r w:rsidRPr="007C44B3">
        <w:rPr>
          <w:rFonts w:ascii="Calibri" w:hAnsi="Calibri"/>
          <w:sz w:val="22"/>
          <w:szCs w:val="22"/>
        </w:rPr>
        <w:t>Les consultant.e.s</w:t>
      </w:r>
      <w:r w:rsidR="00F17A78" w:rsidRPr="007C44B3">
        <w:rPr>
          <w:rFonts w:ascii="Calibri" w:hAnsi="Calibri"/>
          <w:sz w:val="22"/>
          <w:szCs w:val="22"/>
        </w:rPr>
        <w:t xml:space="preserve"> </w:t>
      </w:r>
      <w:r w:rsidR="004305E2" w:rsidRPr="007C44B3">
        <w:rPr>
          <w:rFonts w:ascii="Calibri" w:hAnsi="Calibri" w:cs="Calibri"/>
          <w:sz w:val="22"/>
          <w:szCs w:val="22"/>
        </w:rPr>
        <w:t>devront conduire les activités suivantes</w:t>
      </w:r>
      <w:r w:rsidR="0093284B" w:rsidRPr="007C44B3">
        <w:rPr>
          <w:rFonts w:ascii="Calibri" w:hAnsi="Calibri" w:cs="Calibri"/>
          <w:sz w:val="22"/>
          <w:szCs w:val="22"/>
        </w:rPr>
        <w:t xml:space="preserve"> </w:t>
      </w:r>
      <w:r w:rsidR="0093284B" w:rsidRPr="007C44B3">
        <w:rPr>
          <w:rFonts w:ascii="Calibri" w:hAnsi="Calibri" w:cs="Calibri"/>
          <w:b/>
          <w:i/>
          <w:sz w:val="22"/>
          <w:szCs w:val="22"/>
        </w:rPr>
        <w:t>(liste non exhaustive)</w:t>
      </w:r>
      <w:r w:rsidR="004305E2" w:rsidRPr="007C44B3">
        <w:rPr>
          <w:rFonts w:ascii="Calibri" w:hAnsi="Calibri" w:cs="Calibri"/>
          <w:sz w:val="22"/>
          <w:szCs w:val="22"/>
        </w:rPr>
        <w:t> :</w:t>
      </w:r>
    </w:p>
    <w:p w14:paraId="49290E63" w14:textId="77777777" w:rsidR="00450E08" w:rsidRPr="007C44B3" w:rsidRDefault="00450E08" w:rsidP="00F17A78">
      <w:pPr>
        <w:jc w:val="both"/>
        <w:rPr>
          <w:rFonts w:ascii="Calibri" w:hAnsi="Calibri" w:cs="Calibri"/>
          <w:sz w:val="22"/>
          <w:szCs w:val="22"/>
        </w:rPr>
      </w:pPr>
    </w:p>
    <w:p w14:paraId="1780384A" w14:textId="66DA276E" w:rsidR="007221B0" w:rsidRPr="007C44B3" w:rsidRDefault="00D94B19" w:rsidP="00BF1DCD">
      <w:pPr>
        <w:jc w:val="both"/>
        <w:rPr>
          <w:rFonts w:ascii="Calibri" w:hAnsi="Calibri"/>
          <w:sz w:val="22"/>
          <w:szCs w:val="22"/>
          <w:u w:val="single"/>
        </w:rPr>
      </w:pPr>
      <w:r w:rsidRPr="007C44B3">
        <w:rPr>
          <w:rFonts w:ascii="Calibri" w:hAnsi="Calibri"/>
          <w:sz w:val="22"/>
          <w:szCs w:val="22"/>
          <w:u w:val="single"/>
        </w:rPr>
        <w:lastRenderedPageBreak/>
        <w:t>Phase I : p</w:t>
      </w:r>
      <w:r w:rsidR="007221B0" w:rsidRPr="007C44B3">
        <w:rPr>
          <w:rFonts w:ascii="Calibri" w:hAnsi="Calibri"/>
          <w:sz w:val="22"/>
          <w:szCs w:val="22"/>
          <w:u w:val="single"/>
        </w:rPr>
        <w:t xml:space="preserve">réparation de la mission </w:t>
      </w:r>
    </w:p>
    <w:p w14:paraId="2CFC261C" w14:textId="77777777" w:rsidR="007221B0" w:rsidRPr="007C44B3" w:rsidRDefault="007221B0" w:rsidP="00BF1DCD">
      <w:pPr>
        <w:jc w:val="both"/>
        <w:rPr>
          <w:rFonts w:ascii="Calibri" w:hAnsi="Calibri"/>
          <w:sz w:val="22"/>
          <w:szCs w:val="22"/>
        </w:rPr>
      </w:pPr>
    </w:p>
    <w:p w14:paraId="2F7ADDCB" w14:textId="77777777" w:rsidR="00E94968" w:rsidRPr="007C44B3" w:rsidRDefault="00E94968" w:rsidP="00E94968">
      <w:pPr>
        <w:pStyle w:val="Paragraphedeliste"/>
        <w:numPr>
          <w:ilvl w:val="0"/>
          <w:numId w:val="22"/>
        </w:numPr>
        <w:jc w:val="both"/>
        <w:rPr>
          <w:rFonts w:ascii="Calibri" w:hAnsi="Calibri"/>
          <w:sz w:val="22"/>
          <w:szCs w:val="22"/>
        </w:rPr>
      </w:pPr>
      <w:r w:rsidRPr="007C44B3">
        <w:rPr>
          <w:rFonts w:ascii="Calibri" w:hAnsi="Calibri"/>
          <w:sz w:val="22"/>
          <w:szCs w:val="22"/>
        </w:rPr>
        <w:t>Prise de connaissance des textes législatifs et réglementaires pertinents à la mission (LORF, RGGBCP, cadre de gouvernance, Loi L/2017/0056/AN, Décret D/2018/239/PRG/SGG, décret de création du ministère de la santé, décrets de création et statuts des EPA de santé, décret portant organisation et fonctionnement de la DNEHHS, guide de supervision des EPA …), les manuels de procédures, les modules de formation… ;</w:t>
      </w:r>
    </w:p>
    <w:p w14:paraId="179B7304" w14:textId="77777777" w:rsidR="00E94968" w:rsidRPr="007C44B3" w:rsidRDefault="00E94968" w:rsidP="00E94968">
      <w:pPr>
        <w:pStyle w:val="Paragraphedeliste"/>
        <w:numPr>
          <w:ilvl w:val="0"/>
          <w:numId w:val="22"/>
        </w:numPr>
        <w:jc w:val="both"/>
        <w:rPr>
          <w:rFonts w:ascii="Calibri" w:hAnsi="Calibri"/>
          <w:sz w:val="22"/>
          <w:szCs w:val="22"/>
        </w:rPr>
      </w:pPr>
      <w:r w:rsidRPr="007C44B3">
        <w:rPr>
          <w:rFonts w:ascii="Calibri" w:hAnsi="Calibri"/>
          <w:b/>
          <w:sz w:val="22"/>
          <w:szCs w:val="22"/>
          <w:u w:val="single"/>
        </w:rPr>
        <w:t>Mener des réunions de cadrage, avec Expertise France et toutes les parties prenantes, relatives à la consultance (clarification des besoins et des attentes, définition de la méthodologie de collecte et d’un plan de travail ainsi que leur validation</w:t>
      </w:r>
      <w:r w:rsidRPr="007C44B3">
        <w:rPr>
          <w:rFonts w:ascii="Calibri" w:hAnsi="Calibri"/>
          <w:sz w:val="22"/>
          <w:szCs w:val="22"/>
        </w:rPr>
        <w:t> ;</w:t>
      </w:r>
    </w:p>
    <w:p w14:paraId="2E7BD753" w14:textId="41AA6F32" w:rsidR="00E8445B" w:rsidRPr="007C44B3" w:rsidRDefault="00E94968" w:rsidP="00E94968">
      <w:pPr>
        <w:pStyle w:val="Paragraphedeliste"/>
        <w:numPr>
          <w:ilvl w:val="0"/>
          <w:numId w:val="22"/>
        </w:numPr>
        <w:jc w:val="both"/>
        <w:rPr>
          <w:rFonts w:ascii="Calibri" w:hAnsi="Calibri"/>
          <w:sz w:val="22"/>
          <w:szCs w:val="22"/>
        </w:rPr>
      </w:pPr>
      <w:r w:rsidRPr="007C44B3">
        <w:rPr>
          <w:rFonts w:ascii="Calibri" w:hAnsi="Calibri"/>
          <w:sz w:val="22"/>
          <w:szCs w:val="22"/>
        </w:rPr>
        <w:t>Elaborer un cadre conceptuel et une méthodologie adaptée afin de recueillir les données de diagnostic.</w:t>
      </w:r>
      <w:r w:rsidR="00E8445B" w:rsidRPr="007C44B3">
        <w:rPr>
          <w:rFonts w:ascii="Calibri" w:hAnsi="Calibri"/>
          <w:sz w:val="22"/>
          <w:szCs w:val="22"/>
        </w:rPr>
        <w:t xml:space="preserve"> </w:t>
      </w:r>
    </w:p>
    <w:p w14:paraId="2B32FFD5" w14:textId="77777777" w:rsidR="00182235" w:rsidRPr="007C44B3" w:rsidRDefault="00182235" w:rsidP="00182235">
      <w:pPr>
        <w:pStyle w:val="Paragraphedeliste"/>
        <w:jc w:val="both"/>
        <w:rPr>
          <w:rFonts w:ascii="Calibri" w:hAnsi="Calibri"/>
          <w:sz w:val="22"/>
          <w:szCs w:val="22"/>
        </w:rPr>
      </w:pPr>
    </w:p>
    <w:p w14:paraId="2B94230A" w14:textId="5259D1F4" w:rsidR="009355ED" w:rsidRPr="007C44B3" w:rsidRDefault="009355ED" w:rsidP="00C32FC6">
      <w:pPr>
        <w:jc w:val="both"/>
        <w:rPr>
          <w:rFonts w:ascii="Calibri" w:hAnsi="Calibri"/>
          <w:sz w:val="22"/>
          <w:szCs w:val="22"/>
          <w:u w:val="single"/>
        </w:rPr>
      </w:pPr>
      <w:r w:rsidRPr="007C44B3">
        <w:rPr>
          <w:rFonts w:ascii="Calibri" w:hAnsi="Calibri"/>
          <w:sz w:val="22"/>
          <w:szCs w:val="22"/>
          <w:u w:val="single"/>
        </w:rPr>
        <w:t>Phase I</w:t>
      </w:r>
      <w:r w:rsidR="00182235" w:rsidRPr="007C44B3">
        <w:rPr>
          <w:rFonts w:ascii="Calibri" w:hAnsi="Calibri"/>
          <w:sz w:val="22"/>
          <w:szCs w:val="22"/>
          <w:u w:val="single"/>
        </w:rPr>
        <w:t xml:space="preserve">I : </w:t>
      </w:r>
      <w:r w:rsidR="00A249C0" w:rsidRPr="007C44B3">
        <w:rPr>
          <w:rFonts w:ascii="Calibri" w:hAnsi="Calibri"/>
          <w:sz w:val="22"/>
          <w:szCs w:val="22"/>
          <w:u w:val="single"/>
        </w:rPr>
        <w:t>M</w:t>
      </w:r>
      <w:r w:rsidR="00182235" w:rsidRPr="007C44B3">
        <w:rPr>
          <w:rFonts w:ascii="Calibri" w:hAnsi="Calibri"/>
          <w:sz w:val="22"/>
          <w:szCs w:val="22"/>
          <w:u w:val="single"/>
        </w:rPr>
        <w:t xml:space="preserve">ise en </w:t>
      </w:r>
      <w:r w:rsidR="00D26257" w:rsidRPr="007C44B3">
        <w:rPr>
          <w:rFonts w:ascii="Calibri" w:hAnsi="Calibri"/>
          <w:sz w:val="22"/>
          <w:szCs w:val="22"/>
          <w:u w:val="single"/>
        </w:rPr>
        <w:t>œuvre</w:t>
      </w:r>
      <w:r w:rsidRPr="007C44B3">
        <w:rPr>
          <w:rFonts w:ascii="Calibri" w:hAnsi="Calibri"/>
          <w:sz w:val="22"/>
          <w:szCs w:val="22"/>
          <w:u w:val="single"/>
        </w:rPr>
        <w:t xml:space="preserve"> du diagnostic </w:t>
      </w:r>
      <w:r w:rsidR="0093284B" w:rsidRPr="007C44B3">
        <w:rPr>
          <w:rFonts w:ascii="Calibri" w:hAnsi="Calibri" w:cs="Calibri"/>
          <w:b/>
          <w:i/>
          <w:sz w:val="22"/>
          <w:szCs w:val="22"/>
        </w:rPr>
        <w:t>(liste non exhaustive)</w:t>
      </w:r>
      <w:r w:rsidR="0093284B" w:rsidRPr="007C44B3">
        <w:rPr>
          <w:rFonts w:ascii="Calibri" w:hAnsi="Calibri" w:cs="Calibri"/>
          <w:sz w:val="22"/>
          <w:szCs w:val="22"/>
        </w:rPr>
        <w:t> </w:t>
      </w:r>
      <w:r w:rsidRPr="007C44B3">
        <w:rPr>
          <w:rFonts w:ascii="Calibri" w:hAnsi="Calibri"/>
          <w:sz w:val="22"/>
          <w:szCs w:val="22"/>
          <w:u w:val="single"/>
        </w:rPr>
        <w:t>:</w:t>
      </w:r>
    </w:p>
    <w:p w14:paraId="6332F2A6" w14:textId="3B36E47A" w:rsidR="00FA6696" w:rsidRPr="007C44B3" w:rsidRDefault="00FA6696" w:rsidP="00C32FC6">
      <w:pPr>
        <w:jc w:val="both"/>
        <w:rPr>
          <w:rFonts w:ascii="Calibri" w:hAnsi="Calibri"/>
          <w:sz w:val="22"/>
          <w:szCs w:val="22"/>
        </w:rPr>
      </w:pPr>
    </w:p>
    <w:p w14:paraId="46A0432B" w14:textId="5E464E18" w:rsidR="004A4BD5" w:rsidRPr="007C44B3" w:rsidRDefault="004305E2" w:rsidP="00FA6696">
      <w:pPr>
        <w:pStyle w:val="Paragraphedeliste"/>
        <w:numPr>
          <w:ilvl w:val="0"/>
          <w:numId w:val="23"/>
        </w:numPr>
        <w:jc w:val="both"/>
        <w:rPr>
          <w:rFonts w:ascii="Calibri" w:hAnsi="Calibri"/>
          <w:sz w:val="22"/>
          <w:szCs w:val="22"/>
        </w:rPr>
      </w:pPr>
      <w:r w:rsidRPr="007C44B3">
        <w:rPr>
          <w:rFonts w:ascii="Calibri" w:hAnsi="Calibri"/>
          <w:sz w:val="22"/>
          <w:szCs w:val="22"/>
        </w:rPr>
        <w:t xml:space="preserve">Réaliser </w:t>
      </w:r>
      <w:r w:rsidR="004A4BD5" w:rsidRPr="007C44B3">
        <w:rPr>
          <w:rFonts w:ascii="Calibri" w:hAnsi="Calibri"/>
          <w:sz w:val="22"/>
          <w:szCs w:val="22"/>
        </w:rPr>
        <w:t>les entretiens avec les interlocuteurs des structures concernées</w:t>
      </w:r>
      <w:r w:rsidR="002F56B3" w:rsidRPr="007C44B3">
        <w:rPr>
          <w:rFonts w:ascii="Calibri" w:hAnsi="Calibri"/>
          <w:sz w:val="22"/>
          <w:szCs w:val="22"/>
        </w:rPr>
        <w:t xml:space="preserve"> ou associées</w:t>
      </w:r>
      <w:r w:rsidR="004A4BD5" w:rsidRPr="007C44B3">
        <w:rPr>
          <w:rFonts w:ascii="Calibri" w:hAnsi="Calibri"/>
          <w:sz w:val="22"/>
          <w:szCs w:val="22"/>
        </w:rPr>
        <w:t xml:space="preserve"> ; </w:t>
      </w:r>
    </w:p>
    <w:p w14:paraId="21B71D5F" w14:textId="5AD85C46" w:rsidR="002639D1" w:rsidRPr="007C44B3" w:rsidRDefault="002639D1" w:rsidP="002639D1">
      <w:pPr>
        <w:pStyle w:val="Paragraphedeliste"/>
        <w:numPr>
          <w:ilvl w:val="0"/>
          <w:numId w:val="23"/>
        </w:numPr>
        <w:jc w:val="both"/>
        <w:rPr>
          <w:rFonts w:ascii="Calibri" w:hAnsi="Calibri"/>
          <w:sz w:val="22"/>
          <w:szCs w:val="22"/>
        </w:rPr>
      </w:pPr>
      <w:r w:rsidRPr="007C44B3">
        <w:rPr>
          <w:rFonts w:ascii="Calibri" w:hAnsi="Calibri"/>
          <w:sz w:val="22"/>
          <w:szCs w:val="22"/>
        </w:rPr>
        <w:t xml:space="preserve">Faire un état des lieux du schéma </w:t>
      </w:r>
      <w:r w:rsidR="00797468" w:rsidRPr="007C44B3">
        <w:rPr>
          <w:rFonts w:ascii="Calibri" w:hAnsi="Calibri"/>
          <w:sz w:val="22"/>
          <w:szCs w:val="22"/>
        </w:rPr>
        <w:t xml:space="preserve">institutionnel, </w:t>
      </w:r>
      <w:r w:rsidRPr="007C44B3">
        <w:rPr>
          <w:rFonts w:ascii="Calibri" w:hAnsi="Calibri"/>
          <w:sz w:val="22"/>
          <w:szCs w:val="22"/>
        </w:rPr>
        <w:t>organisationnel et fonctionnel des EPA ;</w:t>
      </w:r>
    </w:p>
    <w:p w14:paraId="3D61525F" w14:textId="1FA68474" w:rsidR="00EF5762" w:rsidRPr="007C44B3" w:rsidRDefault="002639D1" w:rsidP="00EF5762">
      <w:pPr>
        <w:pStyle w:val="Paragraphedeliste"/>
        <w:numPr>
          <w:ilvl w:val="0"/>
          <w:numId w:val="23"/>
        </w:numPr>
        <w:jc w:val="both"/>
        <w:rPr>
          <w:rFonts w:ascii="Calibri" w:hAnsi="Calibri"/>
          <w:sz w:val="22"/>
          <w:szCs w:val="22"/>
        </w:rPr>
      </w:pPr>
      <w:r w:rsidRPr="007C44B3">
        <w:rPr>
          <w:rFonts w:ascii="Calibri" w:hAnsi="Calibri"/>
          <w:sz w:val="22"/>
          <w:szCs w:val="22"/>
        </w:rPr>
        <w:t>Examiner les relations, d’une part, entre les EPA et le niveau central et, d’autre part, entre les EPA et les DRS, DPS, HP ;</w:t>
      </w:r>
    </w:p>
    <w:p w14:paraId="5631D397" w14:textId="362E3229" w:rsidR="00862210" w:rsidRPr="007C44B3" w:rsidRDefault="00EF5762" w:rsidP="00862210">
      <w:pPr>
        <w:pStyle w:val="Paragraphedeliste"/>
        <w:numPr>
          <w:ilvl w:val="0"/>
          <w:numId w:val="23"/>
        </w:numPr>
        <w:jc w:val="both"/>
        <w:rPr>
          <w:rFonts w:ascii="Calibri" w:hAnsi="Calibri"/>
          <w:sz w:val="22"/>
          <w:szCs w:val="22"/>
        </w:rPr>
      </w:pPr>
      <w:r w:rsidRPr="007C44B3">
        <w:rPr>
          <w:rFonts w:ascii="Calibri" w:hAnsi="Calibri"/>
          <w:sz w:val="22"/>
          <w:szCs w:val="22"/>
        </w:rPr>
        <w:t>Examiner</w:t>
      </w:r>
      <w:r w:rsidR="0044417D" w:rsidRPr="007C44B3">
        <w:rPr>
          <w:rFonts w:ascii="Calibri" w:hAnsi="Calibri"/>
          <w:sz w:val="22"/>
          <w:szCs w:val="22"/>
        </w:rPr>
        <w:t xml:space="preserve"> également</w:t>
      </w:r>
      <w:r w:rsidRPr="007C44B3">
        <w:rPr>
          <w:rFonts w:ascii="Calibri" w:hAnsi="Calibri"/>
          <w:sz w:val="22"/>
          <w:szCs w:val="22"/>
        </w:rPr>
        <w:t xml:space="preserve"> les relations entre EPA</w:t>
      </w:r>
      <w:r w:rsidR="0044417D" w:rsidRPr="007C44B3">
        <w:rPr>
          <w:rFonts w:ascii="Calibri" w:hAnsi="Calibri"/>
          <w:sz w:val="22"/>
          <w:szCs w:val="22"/>
        </w:rPr>
        <w:t xml:space="preserve"> et</w:t>
      </w:r>
      <w:r w:rsidRPr="007C44B3">
        <w:rPr>
          <w:rFonts w:ascii="Calibri" w:hAnsi="Calibri"/>
          <w:sz w:val="22"/>
          <w:szCs w:val="22"/>
        </w:rPr>
        <w:t xml:space="preserve"> les autres institutions gouvernementales (Ministères chargés de budget, des finances, de la décentralisation…)</w:t>
      </w:r>
      <w:r w:rsidR="00F37DE4" w:rsidRPr="007C44B3">
        <w:rPr>
          <w:rFonts w:ascii="Calibri" w:hAnsi="Calibri"/>
          <w:sz w:val="22"/>
          <w:szCs w:val="22"/>
        </w:rPr>
        <w:t xml:space="preserve"> </w:t>
      </w:r>
      <w:r w:rsidRPr="007C44B3">
        <w:rPr>
          <w:rFonts w:ascii="Calibri" w:hAnsi="Calibri"/>
          <w:sz w:val="22"/>
          <w:szCs w:val="22"/>
        </w:rPr>
        <w:t>;</w:t>
      </w:r>
    </w:p>
    <w:p w14:paraId="439EC818" w14:textId="25472DD5" w:rsidR="00862210" w:rsidRPr="007C44B3" w:rsidRDefault="00862210" w:rsidP="00862210">
      <w:pPr>
        <w:pStyle w:val="Paragraphedeliste"/>
        <w:numPr>
          <w:ilvl w:val="0"/>
          <w:numId w:val="23"/>
        </w:numPr>
        <w:jc w:val="both"/>
        <w:rPr>
          <w:rFonts w:ascii="Calibri" w:hAnsi="Calibri"/>
          <w:sz w:val="22"/>
          <w:szCs w:val="22"/>
        </w:rPr>
      </w:pPr>
      <w:r w:rsidRPr="007C44B3">
        <w:rPr>
          <w:rFonts w:ascii="Calibri" w:hAnsi="Calibri"/>
          <w:sz w:val="22"/>
          <w:szCs w:val="22"/>
        </w:rPr>
        <w:t>Analyser l’environnement juridique et réglementaire interne et externe des EPA ainsi que les outils existants ;</w:t>
      </w:r>
    </w:p>
    <w:p w14:paraId="6C69E913" w14:textId="77777777" w:rsidR="003616E8" w:rsidRPr="007C44B3" w:rsidRDefault="003616E8" w:rsidP="006B72A4">
      <w:pPr>
        <w:pStyle w:val="Paragraphedeliste"/>
        <w:jc w:val="both"/>
        <w:rPr>
          <w:rFonts w:ascii="Calibri" w:hAnsi="Calibri"/>
          <w:sz w:val="22"/>
          <w:szCs w:val="22"/>
        </w:rPr>
      </w:pPr>
    </w:p>
    <w:p w14:paraId="055A837E" w14:textId="5C63284D" w:rsidR="00871568" w:rsidRPr="007C44B3" w:rsidRDefault="00871568" w:rsidP="006B72A4">
      <w:pPr>
        <w:pStyle w:val="Paragraphedeliste"/>
        <w:numPr>
          <w:ilvl w:val="0"/>
          <w:numId w:val="23"/>
        </w:numPr>
        <w:jc w:val="both"/>
        <w:rPr>
          <w:rFonts w:ascii="Calibri" w:hAnsi="Calibri"/>
          <w:sz w:val="22"/>
          <w:szCs w:val="22"/>
        </w:rPr>
      </w:pPr>
      <w:r w:rsidRPr="007C44B3">
        <w:rPr>
          <w:rFonts w:ascii="Calibri" w:hAnsi="Calibri"/>
          <w:sz w:val="22"/>
          <w:szCs w:val="22"/>
        </w:rPr>
        <w:t>En outre,</w:t>
      </w:r>
      <w:r w:rsidR="00862210" w:rsidRPr="007C44B3">
        <w:rPr>
          <w:rFonts w:ascii="Calibri" w:hAnsi="Calibri"/>
          <w:sz w:val="22"/>
          <w:szCs w:val="22"/>
        </w:rPr>
        <w:t xml:space="preserve"> le</w:t>
      </w:r>
      <w:r w:rsidR="00811392" w:rsidRPr="007C44B3">
        <w:rPr>
          <w:rFonts w:ascii="Calibri" w:hAnsi="Calibri"/>
          <w:sz w:val="22"/>
          <w:szCs w:val="22"/>
        </w:rPr>
        <w:t>/la</w:t>
      </w:r>
      <w:r w:rsidR="00862210" w:rsidRPr="007C44B3">
        <w:rPr>
          <w:rFonts w:ascii="Calibri" w:hAnsi="Calibri"/>
          <w:sz w:val="22"/>
          <w:szCs w:val="22"/>
        </w:rPr>
        <w:t xml:space="preserve"> </w:t>
      </w:r>
      <w:r w:rsidR="00811392" w:rsidRPr="007C44B3">
        <w:rPr>
          <w:rFonts w:ascii="Calibri" w:hAnsi="Calibri"/>
          <w:sz w:val="22"/>
          <w:szCs w:val="22"/>
        </w:rPr>
        <w:t xml:space="preserve">consultant.e </w:t>
      </w:r>
      <w:r w:rsidR="00862210" w:rsidRPr="007C44B3">
        <w:rPr>
          <w:rFonts w:ascii="Calibri" w:hAnsi="Calibri"/>
          <w:sz w:val="22"/>
          <w:szCs w:val="22"/>
        </w:rPr>
        <w:t>doit s’assurer</w:t>
      </w:r>
      <w:r w:rsidR="004305E2" w:rsidRPr="007C44B3">
        <w:rPr>
          <w:rFonts w:ascii="Calibri" w:hAnsi="Calibri"/>
          <w:sz w:val="22"/>
          <w:szCs w:val="22"/>
        </w:rPr>
        <w:t xml:space="preserve"> de</w:t>
      </w:r>
      <w:r w:rsidR="00862210" w:rsidRPr="007C44B3">
        <w:rPr>
          <w:rFonts w:ascii="Calibri" w:hAnsi="Calibri"/>
          <w:sz w:val="22"/>
          <w:szCs w:val="22"/>
        </w:rPr>
        <w:t xml:space="preserve"> </w:t>
      </w:r>
      <w:r w:rsidR="004305E2" w:rsidRPr="007C44B3">
        <w:rPr>
          <w:rFonts w:ascii="Calibri" w:hAnsi="Calibri"/>
          <w:b/>
          <w:sz w:val="22"/>
          <w:szCs w:val="22"/>
        </w:rPr>
        <w:t xml:space="preserve">(liste non exhaustive) </w:t>
      </w:r>
    </w:p>
    <w:p w14:paraId="2462A2E1" w14:textId="5A654827" w:rsidR="006E7E84" w:rsidRPr="007C44B3" w:rsidRDefault="006E7E84" w:rsidP="006E7E84">
      <w:pPr>
        <w:pStyle w:val="Paragraphedeliste"/>
        <w:numPr>
          <w:ilvl w:val="0"/>
          <w:numId w:val="21"/>
        </w:numPr>
        <w:jc w:val="both"/>
        <w:rPr>
          <w:rFonts w:ascii="Calibri" w:hAnsi="Calibri"/>
          <w:sz w:val="22"/>
          <w:szCs w:val="22"/>
        </w:rPr>
      </w:pPr>
      <w:r w:rsidRPr="007C44B3">
        <w:rPr>
          <w:rFonts w:ascii="Calibri" w:hAnsi="Calibri"/>
          <w:sz w:val="22"/>
          <w:szCs w:val="22"/>
        </w:rPr>
        <w:t>L’existence de la conformité des statuts (existence de conseils d’administration par exemple</w:t>
      </w:r>
      <w:r w:rsidR="008A051D" w:rsidRPr="007C44B3">
        <w:rPr>
          <w:rFonts w:ascii="Calibri" w:hAnsi="Calibri"/>
          <w:sz w:val="22"/>
          <w:szCs w:val="22"/>
        </w:rPr>
        <w:t xml:space="preserve"> et nomination des membres</w:t>
      </w:r>
      <w:r w:rsidRPr="007C44B3">
        <w:rPr>
          <w:rFonts w:ascii="Calibri" w:hAnsi="Calibri"/>
          <w:sz w:val="22"/>
          <w:szCs w:val="22"/>
        </w:rPr>
        <w:t>…) ;</w:t>
      </w:r>
    </w:p>
    <w:p w14:paraId="26362562" w14:textId="77777777" w:rsidR="006E7E84" w:rsidRPr="007C44B3" w:rsidRDefault="006E7E84" w:rsidP="006E7E84">
      <w:pPr>
        <w:pStyle w:val="Paragraphedeliste"/>
        <w:numPr>
          <w:ilvl w:val="0"/>
          <w:numId w:val="21"/>
        </w:numPr>
        <w:jc w:val="both"/>
        <w:rPr>
          <w:rFonts w:ascii="Calibri" w:hAnsi="Calibri"/>
          <w:sz w:val="22"/>
          <w:szCs w:val="22"/>
        </w:rPr>
      </w:pPr>
      <w:r w:rsidRPr="007C44B3">
        <w:rPr>
          <w:rFonts w:ascii="Calibri" w:hAnsi="Calibri"/>
          <w:sz w:val="22"/>
          <w:szCs w:val="22"/>
        </w:rPr>
        <w:t>L’existence d’autres documents règlementaires (manuel de procédures, règlement intérieur etc…) ;</w:t>
      </w:r>
    </w:p>
    <w:p w14:paraId="7BC451A9" w14:textId="77777777" w:rsidR="00A905D8" w:rsidRPr="007C44B3" w:rsidRDefault="00A905D8" w:rsidP="00A905D8">
      <w:pPr>
        <w:pStyle w:val="Paragraphedeliste"/>
        <w:numPr>
          <w:ilvl w:val="0"/>
          <w:numId w:val="21"/>
        </w:numPr>
        <w:jc w:val="both"/>
        <w:rPr>
          <w:rFonts w:ascii="Calibri" w:hAnsi="Calibri"/>
          <w:sz w:val="22"/>
          <w:szCs w:val="22"/>
        </w:rPr>
      </w:pPr>
      <w:r w:rsidRPr="007C44B3">
        <w:rPr>
          <w:rFonts w:ascii="Calibri" w:hAnsi="Calibri"/>
          <w:sz w:val="22"/>
          <w:szCs w:val="22"/>
        </w:rPr>
        <w:t>L’existence des moyens en ressources humaines (effectif, compétences, besoins etc.) et en matérielles ;</w:t>
      </w:r>
    </w:p>
    <w:p w14:paraId="3FDC0C4E" w14:textId="4B7D3AC9" w:rsidR="00871568" w:rsidRPr="007C44B3" w:rsidRDefault="004305E2" w:rsidP="00871568">
      <w:pPr>
        <w:pStyle w:val="Paragraphedeliste"/>
        <w:numPr>
          <w:ilvl w:val="0"/>
          <w:numId w:val="21"/>
        </w:numPr>
        <w:jc w:val="both"/>
        <w:rPr>
          <w:rFonts w:ascii="Calibri" w:hAnsi="Calibri"/>
          <w:sz w:val="22"/>
          <w:szCs w:val="22"/>
        </w:rPr>
      </w:pPr>
      <w:r w:rsidRPr="007C44B3">
        <w:rPr>
          <w:rFonts w:ascii="Calibri" w:hAnsi="Calibri"/>
          <w:sz w:val="22"/>
          <w:szCs w:val="22"/>
        </w:rPr>
        <w:t>La</w:t>
      </w:r>
      <w:r w:rsidR="00862210" w:rsidRPr="007C44B3">
        <w:rPr>
          <w:rFonts w:ascii="Calibri" w:hAnsi="Calibri"/>
          <w:sz w:val="22"/>
          <w:szCs w:val="22"/>
        </w:rPr>
        <w:t xml:space="preserve"> séparation de fonction</w:t>
      </w:r>
      <w:r w:rsidR="00A905D8" w:rsidRPr="007C44B3">
        <w:rPr>
          <w:rFonts w:ascii="Calibri" w:hAnsi="Calibri"/>
          <w:sz w:val="22"/>
          <w:szCs w:val="22"/>
        </w:rPr>
        <w:t>s d’ordonnateurs et comptables ;</w:t>
      </w:r>
    </w:p>
    <w:p w14:paraId="6B68B319" w14:textId="23E77288" w:rsidR="004305E2" w:rsidRPr="007C44B3" w:rsidRDefault="004305E2">
      <w:pPr>
        <w:pStyle w:val="Paragraphedeliste"/>
        <w:numPr>
          <w:ilvl w:val="0"/>
          <w:numId w:val="21"/>
        </w:numPr>
        <w:jc w:val="both"/>
      </w:pPr>
      <w:r w:rsidRPr="007C44B3">
        <w:rPr>
          <w:rFonts w:ascii="Calibri" w:hAnsi="Calibri"/>
          <w:sz w:val="22"/>
          <w:szCs w:val="22"/>
        </w:rPr>
        <w:t xml:space="preserve">Le </w:t>
      </w:r>
      <w:r w:rsidR="00862210" w:rsidRPr="007C44B3">
        <w:rPr>
          <w:rFonts w:ascii="Calibri" w:hAnsi="Calibri"/>
          <w:sz w:val="22"/>
          <w:szCs w:val="22"/>
        </w:rPr>
        <w:t>respect des attributions des différents acteurs (liens fonctionnels</w:t>
      </w:r>
      <w:r w:rsidR="00871568" w:rsidRPr="007C44B3">
        <w:rPr>
          <w:rFonts w:ascii="Calibri" w:hAnsi="Calibri"/>
          <w:sz w:val="22"/>
          <w:szCs w:val="22"/>
        </w:rPr>
        <w:t>)</w:t>
      </w:r>
      <w:r w:rsidR="00A905D8" w:rsidRPr="007C44B3">
        <w:rPr>
          <w:rFonts w:ascii="Calibri" w:hAnsi="Calibri"/>
          <w:sz w:val="22"/>
          <w:szCs w:val="22"/>
        </w:rPr>
        <w:t> ;</w:t>
      </w:r>
    </w:p>
    <w:p w14:paraId="1EF10C69" w14:textId="22A16A2A" w:rsidR="004305E2" w:rsidRPr="007C44B3" w:rsidRDefault="00B633D8" w:rsidP="00182235">
      <w:pPr>
        <w:pStyle w:val="Paragraphedeliste"/>
        <w:numPr>
          <w:ilvl w:val="0"/>
          <w:numId w:val="21"/>
        </w:numPr>
        <w:jc w:val="both"/>
        <w:rPr>
          <w:rFonts w:ascii="Calibri" w:hAnsi="Calibri"/>
          <w:sz w:val="22"/>
          <w:szCs w:val="22"/>
        </w:rPr>
      </w:pPr>
      <w:r w:rsidRPr="007C44B3">
        <w:rPr>
          <w:rFonts w:ascii="Calibri" w:hAnsi="Calibri" w:cs="Tahoma"/>
          <w:bCs/>
          <w:sz w:val="22"/>
          <w:szCs w:val="22"/>
        </w:rPr>
        <w:t xml:space="preserve">Les acteurs et les modalités de </w:t>
      </w:r>
      <w:r w:rsidRPr="007C44B3">
        <w:rPr>
          <w:rFonts w:asciiTheme="minorHAnsi" w:hAnsiTheme="minorHAnsi" w:cstheme="minorHAnsi"/>
          <w:sz w:val="22"/>
          <w:szCs w:val="22"/>
        </w:rPr>
        <w:t>gestion du budget et de la comptabilité des EPA santé : état des lieux sur les conditions d’élaboration et d’exécution budgétaires et comptables (procédures budgétaires et comptables, nomenclature budgétaire et plan comptable …)</w:t>
      </w:r>
    </w:p>
    <w:p w14:paraId="2C608F1E" w14:textId="64565292" w:rsidR="00B633D8" w:rsidRPr="007C44B3" w:rsidRDefault="00B633D8" w:rsidP="00B633D8">
      <w:pPr>
        <w:pStyle w:val="Paragraphedeliste"/>
        <w:numPr>
          <w:ilvl w:val="0"/>
          <w:numId w:val="21"/>
        </w:numPr>
        <w:jc w:val="both"/>
        <w:rPr>
          <w:rFonts w:ascii="Calibri" w:hAnsi="Calibri"/>
          <w:sz w:val="22"/>
          <w:szCs w:val="22"/>
        </w:rPr>
      </w:pPr>
      <w:r w:rsidRPr="007C44B3">
        <w:rPr>
          <w:rFonts w:ascii="Calibri" w:hAnsi="Calibri"/>
          <w:sz w:val="22"/>
          <w:szCs w:val="22"/>
        </w:rPr>
        <w:t>Le respect des procédures budgétaires et comptables, du délai de production et l’exhaustivité des documents de reporting</w:t>
      </w:r>
      <w:r w:rsidRPr="007C44B3">
        <w:rPr>
          <w:rFonts w:ascii="Calibri" w:hAnsi="Calibri" w:cs="Tahoma"/>
          <w:bCs/>
          <w:sz w:val="22"/>
          <w:szCs w:val="22"/>
        </w:rPr>
        <w:t>.</w:t>
      </w:r>
      <w:r w:rsidR="00A63E72" w:rsidRPr="007C44B3">
        <w:rPr>
          <w:rFonts w:ascii="Calibri" w:hAnsi="Calibri" w:cs="Tahoma"/>
          <w:bCs/>
          <w:sz w:val="22"/>
          <w:szCs w:val="22"/>
        </w:rPr>
        <w:t xml:space="preserve"> </w:t>
      </w:r>
      <w:r w:rsidR="008A051D" w:rsidRPr="007C44B3">
        <w:rPr>
          <w:rFonts w:ascii="Calibri" w:hAnsi="Calibri" w:cs="Tahoma"/>
          <w:bCs/>
          <w:sz w:val="22"/>
          <w:szCs w:val="22"/>
        </w:rPr>
        <w:t xml:space="preserve">Les aspects financiers (suivi des risques financiers liés aux 12 EAP devront être particulièrement analysés. Un état des lieux des risques financiers liés à ces EPA devra être dressé. </w:t>
      </w:r>
    </w:p>
    <w:p w14:paraId="197BF0FE" w14:textId="77777777" w:rsidR="004305E2" w:rsidRPr="007C44B3" w:rsidRDefault="004305E2" w:rsidP="004305E2">
      <w:pPr>
        <w:pStyle w:val="Paragraphedeliste"/>
        <w:ind w:left="1455"/>
        <w:jc w:val="both"/>
        <w:rPr>
          <w:rFonts w:ascii="Calibri" w:hAnsi="Calibri"/>
          <w:sz w:val="22"/>
          <w:szCs w:val="22"/>
        </w:rPr>
      </w:pPr>
    </w:p>
    <w:p w14:paraId="64551EF6" w14:textId="5873DBCC" w:rsidR="009355ED" w:rsidRPr="007C44B3" w:rsidRDefault="009355ED" w:rsidP="006B72A4">
      <w:pPr>
        <w:pStyle w:val="Paragraphedeliste"/>
        <w:numPr>
          <w:ilvl w:val="0"/>
          <w:numId w:val="40"/>
        </w:numPr>
        <w:jc w:val="both"/>
        <w:rPr>
          <w:rFonts w:ascii="Calibri" w:hAnsi="Calibri"/>
          <w:sz w:val="22"/>
          <w:szCs w:val="22"/>
        </w:rPr>
      </w:pPr>
      <w:r w:rsidRPr="007C44B3">
        <w:rPr>
          <w:rFonts w:ascii="Calibri" w:hAnsi="Calibri"/>
          <w:sz w:val="22"/>
          <w:szCs w:val="22"/>
        </w:rPr>
        <w:t>Recueillir des renseignements ou des informations </w:t>
      </w:r>
      <w:r w:rsidR="00720EE1" w:rsidRPr="007C44B3">
        <w:rPr>
          <w:rFonts w:ascii="Calibri" w:hAnsi="Calibri"/>
          <w:sz w:val="22"/>
          <w:szCs w:val="22"/>
        </w:rPr>
        <w:t>nécessaires à la mission ;</w:t>
      </w:r>
    </w:p>
    <w:p w14:paraId="5DCFE5D9" w14:textId="0DFE799E" w:rsidR="009355ED" w:rsidRPr="007C44B3" w:rsidRDefault="009355ED" w:rsidP="006B72A4">
      <w:pPr>
        <w:pStyle w:val="Paragraphedeliste"/>
        <w:numPr>
          <w:ilvl w:val="0"/>
          <w:numId w:val="40"/>
        </w:numPr>
        <w:jc w:val="both"/>
        <w:rPr>
          <w:rFonts w:ascii="Calibri" w:hAnsi="Calibri"/>
          <w:sz w:val="22"/>
          <w:szCs w:val="22"/>
        </w:rPr>
      </w:pPr>
      <w:r w:rsidRPr="007C44B3">
        <w:rPr>
          <w:rFonts w:ascii="Calibri" w:hAnsi="Calibri"/>
          <w:sz w:val="22"/>
          <w:szCs w:val="22"/>
        </w:rPr>
        <w:t>Com</w:t>
      </w:r>
      <w:r w:rsidR="00862210" w:rsidRPr="007C44B3">
        <w:rPr>
          <w:rFonts w:ascii="Calibri" w:hAnsi="Calibri"/>
          <w:sz w:val="22"/>
          <w:szCs w:val="22"/>
        </w:rPr>
        <w:t>piler les résultats et p</w:t>
      </w:r>
      <w:r w:rsidRPr="007C44B3">
        <w:rPr>
          <w:rFonts w:ascii="Calibri" w:hAnsi="Calibri"/>
          <w:sz w:val="22"/>
          <w:szCs w:val="22"/>
        </w:rPr>
        <w:t xml:space="preserve">réparer un rapport détaillé </w:t>
      </w:r>
    </w:p>
    <w:p w14:paraId="063CD8AB" w14:textId="77777777" w:rsidR="00182235" w:rsidRPr="007C44B3" w:rsidRDefault="00182235" w:rsidP="00182235">
      <w:pPr>
        <w:jc w:val="both"/>
        <w:rPr>
          <w:rFonts w:ascii="Calibri" w:hAnsi="Calibri"/>
          <w:sz w:val="22"/>
          <w:szCs w:val="22"/>
        </w:rPr>
      </w:pPr>
    </w:p>
    <w:p w14:paraId="190AFCCC" w14:textId="3F0240CC" w:rsidR="00F5626D" w:rsidRPr="007C44B3" w:rsidRDefault="00F5626D" w:rsidP="00C32FC6">
      <w:pPr>
        <w:jc w:val="both"/>
        <w:rPr>
          <w:rFonts w:ascii="Calibri" w:hAnsi="Calibri"/>
          <w:sz w:val="22"/>
          <w:szCs w:val="22"/>
          <w:u w:val="single"/>
        </w:rPr>
      </w:pPr>
      <w:r w:rsidRPr="007C44B3">
        <w:rPr>
          <w:rFonts w:ascii="Calibri" w:hAnsi="Calibri"/>
          <w:sz w:val="22"/>
          <w:szCs w:val="22"/>
          <w:u w:val="single"/>
        </w:rPr>
        <w:t>Phase III : Phase de définition de recommandations et de rédaction d</w:t>
      </w:r>
      <w:r w:rsidR="000473BC" w:rsidRPr="007C44B3">
        <w:rPr>
          <w:rFonts w:ascii="Calibri" w:hAnsi="Calibri"/>
          <w:sz w:val="22"/>
          <w:szCs w:val="22"/>
          <w:u w:val="single"/>
        </w:rPr>
        <w:t>u</w:t>
      </w:r>
      <w:r w:rsidRPr="007C44B3">
        <w:rPr>
          <w:rFonts w:ascii="Calibri" w:hAnsi="Calibri"/>
          <w:sz w:val="22"/>
          <w:szCs w:val="22"/>
          <w:u w:val="single"/>
        </w:rPr>
        <w:t xml:space="preserve"> rapport final</w:t>
      </w:r>
      <w:r w:rsidR="0093284B" w:rsidRPr="007C44B3">
        <w:rPr>
          <w:rFonts w:ascii="Calibri" w:hAnsi="Calibri"/>
          <w:sz w:val="22"/>
          <w:szCs w:val="22"/>
          <w:u w:val="single"/>
        </w:rPr>
        <w:t xml:space="preserve"> </w:t>
      </w:r>
      <w:r w:rsidR="0093284B" w:rsidRPr="007C44B3">
        <w:rPr>
          <w:rFonts w:ascii="Calibri" w:hAnsi="Calibri" w:cs="Calibri"/>
          <w:b/>
          <w:i/>
          <w:sz w:val="22"/>
          <w:szCs w:val="22"/>
        </w:rPr>
        <w:t>(liste non exhaustive)</w:t>
      </w:r>
      <w:r w:rsidRPr="007C44B3">
        <w:rPr>
          <w:rFonts w:ascii="Calibri" w:hAnsi="Calibri"/>
          <w:sz w:val="22"/>
          <w:szCs w:val="22"/>
        </w:rPr>
        <w:t xml:space="preserve"> :</w:t>
      </w:r>
    </w:p>
    <w:p w14:paraId="5590E2BE" w14:textId="77777777" w:rsidR="00F5626D" w:rsidRPr="007C44B3" w:rsidRDefault="00F5626D" w:rsidP="00F5626D">
      <w:pPr>
        <w:jc w:val="both"/>
        <w:rPr>
          <w:rFonts w:ascii="Calibri" w:hAnsi="Calibri"/>
          <w:sz w:val="22"/>
          <w:szCs w:val="22"/>
          <w:u w:val="single"/>
        </w:rPr>
      </w:pPr>
    </w:p>
    <w:p w14:paraId="5F47565A" w14:textId="692A86FA" w:rsidR="00A905D8" w:rsidRPr="007C44B3" w:rsidRDefault="00F5626D" w:rsidP="006B72A4">
      <w:pPr>
        <w:rPr>
          <w:rFonts w:ascii="Calibri" w:hAnsi="Calibri"/>
          <w:sz w:val="22"/>
          <w:szCs w:val="22"/>
        </w:rPr>
      </w:pPr>
      <w:r w:rsidRPr="007C44B3">
        <w:rPr>
          <w:rFonts w:ascii="Calibri" w:hAnsi="Calibri"/>
          <w:sz w:val="22"/>
          <w:szCs w:val="22"/>
        </w:rPr>
        <w:t>Au cours de cette dernière phase, le</w:t>
      </w:r>
      <w:r w:rsidR="00811392" w:rsidRPr="007C44B3">
        <w:rPr>
          <w:rFonts w:ascii="Calibri" w:hAnsi="Calibri"/>
          <w:sz w:val="22"/>
          <w:szCs w:val="22"/>
        </w:rPr>
        <w:t>/la consultant.e</w:t>
      </w:r>
      <w:r w:rsidRPr="007C44B3">
        <w:rPr>
          <w:rFonts w:ascii="Calibri" w:hAnsi="Calibri"/>
          <w:sz w:val="22"/>
          <w:szCs w:val="22"/>
        </w:rPr>
        <w:t xml:space="preserve"> rédigera un rapport comprenant </w:t>
      </w:r>
      <w:r w:rsidR="00FB2372" w:rsidRPr="007C44B3">
        <w:rPr>
          <w:rFonts w:ascii="Calibri" w:hAnsi="Calibri"/>
          <w:sz w:val="22"/>
          <w:szCs w:val="22"/>
        </w:rPr>
        <w:t xml:space="preserve">le diagnostic et </w:t>
      </w:r>
      <w:r w:rsidRPr="007C44B3">
        <w:rPr>
          <w:rFonts w:ascii="Calibri" w:hAnsi="Calibri"/>
          <w:sz w:val="22"/>
          <w:szCs w:val="22"/>
        </w:rPr>
        <w:t>une série de recommandations sur l’amélioration et le développement institutionnel</w:t>
      </w:r>
      <w:r w:rsidR="001830E8" w:rsidRPr="007C44B3">
        <w:rPr>
          <w:rFonts w:ascii="Calibri" w:hAnsi="Calibri"/>
          <w:sz w:val="22"/>
          <w:szCs w:val="22"/>
        </w:rPr>
        <w:t>,</w:t>
      </w:r>
      <w:r w:rsidRPr="007C44B3">
        <w:rPr>
          <w:rFonts w:ascii="Calibri" w:hAnsi="Calibri"/>
          <w:sz w:val="22"/>
          <w:szCs w:val="22"/>
        </w:rPr>
        <w:t xml:space="preserve"> organisationnel</w:t>
      </w:r>
      <w:r w:rsidR="001830E8" w:rsidRPr="007C44B3">
        <w:rPr>
          <w:rFonts w:ascii="Calibri" w:hAnsi="Calibri"/>
          <w:sz w:val="22"/>
          <w:szCs w:val="22"/>
        </w:rPr>
        <w:t xml:space="preserve"> et fonctionnel</w:t>
      </w:r>
      <w:r w:rsidRPr="007C44B3">
        <w:rPr>
          <w:rFonts w:ascii="Calibri" w:hAnsi="Calibri"/>
          <w:sz w:val="22"/>
          <w:szCs w:val="22"/>
        </w:rPr>
        <w:t xml:space="preserve"> des EPA</w:t>
      </w:r>
      <w:r w:rsidR="00A249C0" w:rsidRPr="007C44B3">
        <w:rPr>
          <w:rFonts w:ascii="Calibri" w:hAnsi="Calibri"/>
          <w:sz w:val="22"/>
          <w:szCs w:val="22"/>
        </w:rPr>
        <w:t xml:space="preserve">. </w:t>
      </w:r>
      <w:r w:rsidR="00D32F3A" w:rsidRPr="007C44B3">
        <w:rPr>
          <w:rFonts w:ascii="Calibri" w:hAnsi="Calibri"/>
          <w:sz w:val="22"/>
          <w:szCs w:val="22"/>
        </w:rPr>
        <w:t>Le</w:t>
      </w:r>
      <w:r w:rsidR="00811392" w:rsidRPr="007C44B3">
        <w:rPr>
          <w:rFonts w:ascii="Calibri" w:hAnsi="Calibri"/>
          <w:sz w:val="22"/>
          <w:szCs w:val="22"/>
        </w:rPr>
        <w:t>/la consultant.e</w:t>
      </w:r>
      <w:r w:rsidR="00D32F3A" w:rsidRPr="007C44B3">
        <w:rPr>
          <w:rFonts w:ascii="Calibri" w:hAnsi="Calibri"/>
          <w:sz w:val="22"/>
          <w:szCs w:val="22"/>
        </w:rPr>
        <w:t xml:space="preserve"> développera une feuille de route</w:t>
      </w:r>
      <w:r w:rsidR="000473BC" w:rsidRPr="007C44B3">
        <w:rPr>
          <w:rFonts w:ascii="Calibri" w:hAnsi="Calibri"/>
          <w:sz w:val="22"/>
          <w:szCs w:val="22"/>
        </w:rPr>
        <w:t xml:space="preserve"> opérationnelle</w:t>
      </w:r>
      <w:r w:rsidR="00D32F3A" w:rsidRPr="007C44B3">
        <w:rPr>
          <w:rFonts w:ascii="Calibri" w:hAnsi="Calibri"/>
          <w:sz w:val="22"/>
          <w:szCs w:val="22"/>
        </w:rPr>
        <w:t xml:space="preserve"> pour la mise en œuvre des recommandations</w:t>
      </w:r>
      <w:r w:rsidR="000473BC" w:rsidRPr="007C44B3">
        <w:rPr>
          <w:rFonts w:ascii="Calibri" w:hAnsi="Calibri"/>
          <w:sz w:val="22"/>
          <w:szCs w:val="22"/>
        </w:rPr>
        <w:t xml:space="preserve"> (avec un chronogramme et des jalons à réaliser)</w:t>
      </w:r>
      <w:r w:rsidR="00D32F3A" w:rsidRPr="007C44B3">
        <w:rPr>
          <w:rFonts w:ascii="Calibri" w:hAnsi="Calibri"/>
          <w:sz w:val="22"/>
          <w:szCs w:val="22"/>
        </w:rPr>
        <w:t xml:space="preserve">. </w:t>
      </w:r>
    </w:p>
    <w:p w14:paraId="68ED2867" w14:textId="77777777" w:rsidR="00A905D8" w:rsidRPr="007C44B3" w:rsidRDefault="00A905D8" w:rsidP="00A174D6">
      <w:pPr>
        <w:ind w:left="720"/>
        <w:rPr>
          <w:rFonts w:ascii="Calibri" w:hAnsi="Calibri"/>
          <w:sz w:val="22"/>
          <w:szCs w:val="22"/>
        </w:rPr>
      </w:pPr>
    </w:p>
    <w:p w14:paraId="462F073D" w14:textId="6B0ACC9A" w:rsidR="00D32F3A" w:rsidRPr="007C44B3" w:rsidRDefault="00D32F3A" w:rsidP="006B72A4">
      <w:pPr>
        <w:rPr>
          <w:rFonts w:ascii="Calibri" w:hAnsi="Calibri"/>
          <w:sz w:val="22"/>
          <w:szCs w:val="22"/>
        </w:rPr>
      </w:pPr>
      <w:r w:rsidRPr="007C44B3">
        <w:rPr>
          <w:rFonts w:ascii="Calibri" w:hAnsi="Calibri"/>
          <w:sz w:val="22"/>
          <w:szCs w:val="22"/>
        </w:rPr>
        <w:t>Ces documents seront</w:t>
      </w:r>
      <w:r w:rsidR="00A249C0" w:rsidRPr="007C44B3">
        <w:rPr>
          <w:rFonts w:ascii="Calibri" w:hAnsi="Calibri"/>
          <w:sz w:val="22"/>
          <w:szCs w:val="22"/>
        </w:rPr>
        <w:t xml:space="preserve"> </w:t>
      </w:r>
      <w:r w:rsidRPr="007C44B3">
        <w:rPr>
          <w:rFonts w:ascii="Calibri" w:hAnsi="Calibri"/>
          <w:sz w:val="22"/>
          <w:szCs w:val="22"/>
        </w:rPr>
        <w:t>présentés et validés lors d’un atelier à Conakry regroupant toutes les parties prenantes</w:t>
      </w:r>
      <w:r w:rsidR="00A249C0" w:rsidRPr="007C44B3">
        <w:rPr>
          <w:rFonts w:ascii="Calibri" w:hAnsi="Calibri"/>
          <w:sz w:val="22"/>
          <w:szCs w:val="22"/>
        </w:rPr>
        <w:t>, avec la participation du/de la consultant.e.</w:t>
      </w:r>
    </w:p>
    <w:p w14:paraId="5A73B0C9" w14:textId="4FFD8701" w:rsidR="00F5626D" w:rsidRPr="007C44B3" w:rsidRDefault="00F5626D" w:rsidP="00F5626D">
      <w:pPr>
        <w:ind w:left="708"/>
        <w:jc w:val="both"/>
        <w:rPr>
          <w:rFonts w:ascii="Calibri" w:hAnsi="Calibri"/>
          <w:sz w:val="22"/>
          <w:szCs w:val="22"/>
          <w:u w:val="single"/>
        </w:rPr>
      </w:pPr>
    </w:p>
    <w:p w14:paraId="4E1D844F" w14:textId="729B234B" w:rsidR="009355ED" w:rsidRPr="007C44B3" w:rsidRDefault="009355ED" w:rsidP="00C32FC6">
      <w:pPr>
        <w:jc w:val="both"/>
        <w:rPr>
          <w:rFonts w:ascii="Calibri" w:hAnsi="Calibri"/>
          <w:sz w:val="22"/>
          <w:szCs w:val="22"/>
          <w:u w:val="single"/>
        </w:rPr>
      </w:pPr>
      <w:r w:rsidRPr="007C44B3">
        <w:rPr>
          <w:rFonts w:ascii="Calibri" w:hAnsi="Calibri"/>
          <w:sz w:val="22"/>
          <w:szCs w:val="22"/>
          <w:u w:val="single"/>
        </w:rPr>
        <w:t xml:space="preserve">Phase </w:t>
      </w:r>
      <w:r w:rsidR="00A174D6" w:rsidRPr="007C44B3">
        <w:rPr>
          <w:rFonts w:ascii="Calibri" w:hAnsi="Calibri"/>
          <w:sz w:val="22"/>
          <w:szCs w:val="22"/>
          <w:u w:val="single"/>
        </w:rPr>
        <w:t>IV</w:t>
      </w:r>
      <w:r w:rsidRPr="007C44B3">
        <w:rPr>
          <w:rFonts w:ascii="Calibri" w:hAnsi="Calibri"/>
          <w:sz w:val="22"/>
          <w:szCs w:val="22"/>
          <w:u w:val="single"/>
        </w:rPr>
        <w:t xml:space="preserve"> : </w:t>
      </w:r>
      <w:r w:rsidR="00BE5A08" w:rsidRPr="007C44B3">
        <w:rPr>
          <w:rFonts w:ascii="Calibri" w:hAnsi="Calibri"/>
          <w:sz w:val="22"/>
          <w:szCs w:val="22"/>
          <w:u w:val="single"/>
        </w:rPr>
        <w:t>Organisation de l’atelier de restitution et de diffusion des principales conclusions de la mission :</w:t>
      </w:r>
    </w:p>
    <w:p w14:paraId="5D69B3AC" w14:textId="77777777" w:rsidR="009355ED" w:rsidRPr="007C44B3" w:rsidRDefault="009355ED" w:rsidP="00C32FC6">
      <w:pPr>
        <w:ind w:left="708"/>
        <w:jc w:val="both"/>
        <w:rPr>
          <w:rFonts w:ascii="Calibri" w:hAnsi="Calibri"/>
          <w:sz w:val="22"/>
          <w:szCs w:val="22"/>
        </w:rPr>
      </w:pPr>
    </w:p>
    <w:p w14:paraId="3B1EB9AE" w14:textId="74A8F15F" w:rsidR="009355ED" w:rsidRPr="007C44B3" w:rsidRDefault="009355ED" w:rsidP="00C32FC6">
      <w:pPr>
        <w:pStyle w:val="Paragraphedeliste"/>
        <w:numPr>
          <w:ilvl w:val="0"/>
          <w:numId w:val="35"/>
        </w:numPr>
        <w:jc w:val="both"/>
        <w:rPr>
          <w:rFonts w:ascii="Calibri" w:hAnsi="Calibri"/>
          <w:sz w:val="22"/>
          <w:szCs w:val="22"/>
        </w:rPr>
      </w:pPr>
      <w:r w:rsidRPr="007C44B3">
        <w:rPr>
          <w:rFonts w:ascii="Calibri" w:hAnsi="Calibri"/>
          <w:sz w:val="22"/>
          <w:szCs w:val="22"/>
        </w:rPr>
        <w:t xml:space="preserve">Présentation du travail effectué (résultat du diagnostic </w:t>
      </w:r>
      <w:r w:rsidR="00017CD6" w:rsidRPr="007C44B3">
        <w:rPr>
          <w:rFonts w:ascii="Calibri" w:hAnsi="Calibri"/>
          <w:sz w:val="22"/>
          <w:szCs w:val="22"/>
        </w:rPr>
        <w:t xml:space="preserve">institutionnel, </w:t>
      </w:r>
      <w:r w:rsidRPr="007C44B3">
        <w:rPr>
          <w:rFonts w:ascii="Calibri" w:hAnsi="Calibri"/>
          <w:sz w:val="22"/>
          <w:szCs w:val="22"/>
        </w:rPr>
        <w:t>organisationnel et fonctionnel)</w:t>
      </w:r>
      <w:r w:rsidR="00534DDA" w:rsidRPr="007C44B3">
        <w:rPr>
          <w:rFonts w:ascii="Calibri" w:hAnsi="Calibri"/>
          <w:sz w:val="22"/>
          <w:szCs w:val="22"/>
        </w:rPr>
        <w:t> ;</w:t>
      </w:r>
    </w:p>
    <w:p w14:paraId="61BE8B41" w14:textId="7A2B6CD2" w:rsidR="009355ED" w:rsidRPr="007C44B3" w:rsidRDefault="009355ED" w:rsidP="00C32FC6">
      <w:pPr>
        <w:pStyle w:val="Paragraphedeliste"/>
        <w:numPr>
          <w:ilvl w:val="0"/>
          <w:numId w:val="35"/>
        </w:numPr>
        <w:jc w:val="both"/>
        <w:rPr>
          <w:rFonts w:ascii="Calibri" w:hAnsi="Calibri"/>
          <w:sz w:val="22"/>
          <w:szCs w:val="22"/>
        </w:rPr>
      </w:pPr>
      <w:r w:rsidRPr="007C44B3">
        <w:rPr>
          <w:rFonts w:ascii="Calibri" w:hAnsi="Calibri"/>
          <w:sz w:val="22"/>
          <w:szCs w:val="22"/>
        </w:rPr>
        <w:t>Présentation de la feuille de route</w:t>
      </w:r>
      <w:r w:rsidR="00B764CF" w:rsidRPr="007C44B3">
        <w:rPr>
          <w:rFonts w:ascii="Calibri" w:hAnsi="Calibri"/>
          <w:sz w:val="22"/>
          <w:szCs w:val="22"/>
        </w:rPr>
        <w:t> ;</w:t>
      </w:r>
    </w:p>
    <w:p w14:paraId="65F119E6" w14:textId="786316F7" w:rsidR="009355ED" w:rsidRPr="007C44B3" w:rsidRDefault="009355ED" w:rsidP="00C32FC6">
      <w:pPr>
        <w:pStyle w:val="Paragraphedeliste"/>
        <w:numPr>
          <w:ilvl w:val="0"/>
          <w:numId w:val="35"/>
        </w:numPr>
        <w:jc w:val="both"/>
        <w:rPr>
          <w:rFonts w:ascii="Calibri" w:hAnsi="Calibri"/>
          <w:sz w:val="22"/>
          <w:szCs w:val="22"/>
        </w:rPr>
      </w:pPr>
      <w:r w:rsidRPr="007C44B3">
        <w:rPr>
          <w:rFonts w:ascii="Calibri" w:hAnsi="Calibri"/>
          <w:sz w:val="22"/>
          <w:szCs w:val="22"/>
        </w:rPr>
        <w:t>Présentation des nouveaux d’outils de travail ou proposition d’amélioration d’outils existants</w:t>
      </w:r>
      <w:r w:rsidR="00B764CF" w:rsidRPr="007C44B3">
        <w:rPr>
          <w:rFonts w:ascii="Calibri" w:hAnsi="Calibri"/>
          <w:sz w:val="22"/>
          <w:szCs w:val="22"/>
        </w:rPr>
        <w:t> ;</w:t>
      </w:r>
    </w:p>
    <w:p w14:paraId="6BAB622E" w14:textId="05148ED7" w:rsidR="000473BC" w:rsidRPr="007C44B3" w:rsidRDefault="00A97055" w:rsidP="000473BC">
      <w:pPr>
        <w:pStyle w:val="Paragraphedeliste"/>
        <w:numPr>
          <w:ilvl w:val="0"/>
          <w:numId w:val="35"/>
        </w:numPr>
        <w:jc w:val="both"/>
        <w:rPr>
          <w:rFonts w:ascii="Calibri" w:hAnsi="Calibri"/>
          <w:sz w:val="22"/>
          <w:szCs w:val="22"/>
        </w:rPr>
      </w:pPr>
      <w:r w:rsidRPr="007C44B3">
        <w:rPr>
          <w:rFonts w:ascii="Calibri" w:hAnsi="Calibri"/>
          <w:sz w:val="22"/>
          <w:szCs w:val="22"/>
        </w:rPr>
        <w:t>Echanges éventuels et v</w:t>
      </w:r>
      <w:r w:rsidR="00B764CF" w:rsidRPr="007C44B3">
        <w:rPr>
          <w:rFonts w:ascii="Calibri" w:hAnsi="Calibri"/>
          <w:sz w:val="22"/>
          <w:szCs w:val="22"/>
        </w:rPr>
        <w:t>alidation des travaux</w:t>
      </w:r>
      <w:r w:rsidRPr="007C44B3">
        <w:rPr>
          <w:rFonts w:ascii="Calibri" w:hAnsi="Calibri"/>
          <w:sz w:val="22"/>
          <w:szCs w:val="22"/>
        </w:rPr>
        <w:t xml:space="preserve"> par EF</w:t>
      </w:r>
    </w:p>
    <w:p w14:paraId="1200166E" w14:textId="77777777" w:rsidR="000473BC" w:rsidRPr="007C44B3" w:rsidRDefault="000473BC" w:rsidP="006B72A4">
      <w:pPr>
        <w:ind w:left="720"/>
        <w:jc w:val="both"/>
        <w:rPr>
          <w:rFonts w:ascii="Calibri" w:hAnsi="Calibri"/>
          <w:sz w:val="22"/>
          <w:szCs w:val="22"/>
        </w:rPr>
      </w:pPr>
    </w:p>
    <w:p w14:paraId="2A37E2C2" w14:textId="31986A3E" w:rsidR="000473BC" w:rsidRPr="007C44B3" w:rsidRDefault="000473BC" w:rsidP="006B72A4">
      <w:pPr>
        <w:rPr>
          <w:rFonts w:ascii="Calibri" w:hAnsi="Calibri"/>
          <w:sz w:val="22"/>
          <w:szCs w:val="22"/>
        </w:rPr>
      </w:pPr>
      <w:r w:rsidRPr="007C44B3">
        <w:rPr>
          <w:rFonts w:ascii="Calibri" w:hAnsi="Calibri"/>
          <w:sz w:val="22"/>
          <w:szCs w:val="22"/>
        </w:rPr>
        <w:t xml:space="preserve">Phase V (optionnelle) : Appui au suivi de la mise en conformité du statut des EPA en santé et déclinaison du guide de supervision des EPA </w:t>
      </w:r>
      <w:r w:rsidR="00EB0B8B" w:rsidRPr="007C44B3">
        <w:rPr>
          <w:rFonts w:ascii="Calibri" w:hAnsi="Calibri"/>
          <w:sz w:val="22"/>
          <w:szCs w:val="22"/>
        </w:rPr>
        <w:t xml:space="preserve">pour le secteur de la Santé </w:t>
      </w:r>
    </w:p>
    <w:p w14:paraId="0A0B890E" w14:textId="6863EC9B" w:rsidR="00CF0CDF" w:rsidRPr="007C44B3" w:rsidRDefault="00CF0CDF" w:rsidP="0001701F">
      <w:pPr>
        <w:jc w:val="both"/>
        <w:rPr>
          <w:rFonts w:ascii="Calibri" w:hAnsi="Calibri"/>
          <w:sz w:val="22"/>
          <w:szCs w:val="22"/>
        </w:rPr>
      </w:pPr>
    </w:p>
    <w:p w14:paraId="2BE17D43" w14:textId="315675E0" w:rsidR="00965444" w:rsidRPr="007C44B3" w:rsidRDefault="00965444" w:rsidP="00DF6355">
      <w:pPr>
        <w:numPr>
          <w:ilvl w:val="1"/>
          <w:numId w:val="2"/>
        </w:numPr>
        <w:tabs>
          <w:tab w:val="num" w:pos="900"/>
        </w:tabs>
        <w:ind w:left="900"/>
        <w:jc w:val="both"/>
        <w:rPr>
          <w:rFonts w:ascii="Calibri" w:eastAsia="Arial Unicode MS" w:hAnsi="Calibri" w:cs="Arial Unicode MS"/>
          <w:b/>
          <w:lang w:eastAsia="en-US"/>
        </w:rPr>
      </w:pPr>
      <w:r w:rsidRPr="007C44B3">
        <w:rPr>
          <w:rFonts w:ascii="Calibri" w:eastAsia="Arial Unicode MS" w:hAnsi="Calibri" w:cs="Arial Unicode MS"/>
          <w:b/>
          <w:lang w:eastAsia="en-US"/>
        </w:rPr>
        <w:t>Livrables</w:t>
      </w:r>
      <w:r w:rsidR="003A7507" w:rsidRPr="007C44B3">
        <w:rPr>
          <w:rFonts w:ascii="Calibri" w:eastAsia="Arial Unicode MS" w:hAnsi="Calibri" w:cs="Arial Unicode MS"/>
          <w:b/>
          <w:lang w:eastAsia="en-US"/>
        </w:rPr>
        <w:t xml:space="preserve"> attendus</w:t>
      </w:r>
    </w:p>
    <w:p w14:paraId="5CF4D476" w14:textId="77777777" w:rsidR="00982D5A" w:rsidRPr="007C44B3" w:rsidRDefault="00982D5A" w:rsidP="00982D5A">
      <w:pPr>
        <w:tabs>
          <w:tab w:val="num" w:pos="2355"/>
        </w:tabs>
        <w:ind w:left="900"/>
        <w:jc w:val="both"/>
        <w:rPr>
          <w:rFonts w:ascii="Calibri" w:eastAsia="Arial Unicode MS" w:hAnsi="Calibri" w:cs="Arial Unicode MS"/>
          <w:b/>
          <w:lang w:eastAsia="en-US"/>
        </w:rPr>
      </w:pPr>
    </w:p>
    <w:p w14:paraId="048F350E" w14:textId="77777777" w:rsidR="00965444" w:rsidRPr="007C44B3" w:rsidRDefault="00965444" w:rsidP="009236DE">
      <w:pPr>
        <w:jc w:val="both"/>
        <w:rPr>
          <w:rFonts w:ascii="Calibri" w:eastAsia="Arial Unicode MS" w:hAnsi="Calibri" w:cs="Arial Unicode MS"/>
          <w:b/>
          <w:sz w:val="22"/>
          <w:szCs w:val="22"/>
          <w:lang w:eastAsia="en-US"/>
        </w:rPr>
      </w:pPr>
    </w:p>
    <w:tbl>
      <w:tblPr>
        <w:tblStyle w:val="Grilledutableau"/>
        <w:tblW w:w="0" w:type="auto"/>
        <w:tblInd w:w="360" w:type="dxa"/>
        <w:tblLook w:val="04A0" w:firstRow="1" w:lastRow="0" w:firstColumn="1" w:lastColumn="0" w:noHBand="0" w:noVBand="1"/>
      </w:tblPr>
      <w:tblGrid>
        <w:gridCol w:w="5872"/>
        <w:gridCol w:w="2830"/>
      </w:tblGrid>
      <w:tr w:rsidR="007C44B3" w:rsidRPr="007C44B3" w14:paraId="06F4BD3E" w14:textId="77777777" w:rsidTr="000630CD">
        <w:tc>
          <w:tcPr>
            <w:tcW w:w="5872" w:type="dxa"/>
          </w:tcPr>
          <w:p w14:paraId="00060501" w14:textId="5D8D1EDB" w:rsidR="000630CD" w:rsidRPr="007C44B3" w:rsidRDefault="000630CD" w:rsidP="000630CD">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Livrables</w:t>
            </w:r>
          </w:p>
        </w:tc>
        <w:tc>
          <w:tcPr>
            <w:tcW w:w="2830" w:type="dxa"/>
          </w:tcPr>
          <w:p w14:paraId="01FAA0BA" w14:textId="09E5990B" w:rsidR="000630CD" w:rsidRPr="007C44B3" w:rsidRDefault="000630CD" w:rsidP="000630CD">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Date de livraison</w:t>
            </w:r>
          </w:p>
        </w:tc>
      </w:tr>
      <w:tr w:rsidR="007C44B3" w:rsidRPr="007C44B3" w14:paraId="2FBD2C5B" w14:textId="77777777" w:rsidTr="000630CD">
        <w:tc>
          <w:tcPr>
            <w:tcW w:w="5872" w:type="dxa"/>
          </w:tcPr>
          <w:p w14:paraId="19CC8555" w14:textId="00B88CE6" w:rsidR="00A905D8" w:rsidRPr="007C44B3" w:rsidRDefault="00A905D8" w:rsidP="00A905D8">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 xml:space="preserve">Un </w:t>
            </w:r>
            <w:r w:rsidR="00F42B41" w:rsidRPr="007C44B3">
              <w:rPr>
                <w:rFonts w:ascii="Calibri" w:eastAsia="Arial Unicode MS" w:hAnsi="Calibri" w:cs="Arial Unicode MS"/>
                <w:sz w:val="22"/>
                <w:szCs w:val="22"/>
                <w:lang w:eastAsia="en-US"/>
              </w:rPr>
              <w:t xml:space="preserve">diagnostic synthétique </w:t>
            </w:r>
            <w:r w:rsidRPr="007C44B3">
              <w:rPr>
                <w:rFonts w:ascii="Calibri" w:eastAsia="Arial Unicode MS" w:hAnsi="Calibri" w:cs="Arial Unicode MS"/>
                <w:sz w:val="22"/>
                <w:szCs w:val="22"/>
                <w:lang w:eastAsia="en-US"/>
              </w:rPr>
              <w:t>analysant</w:t>
            </w:r>
            <w:r w:rsidR="00A97055" w:rsidRPr="007C44B3">
              <w:rPr>
                <w:rFonts w:ascii="Calibri" w:eastAsia="Arial Unicode MS" w:hAnsi="Calibri" w:cs="Arial Unicode MS"/>
                <w:sz w:val="22"/>
                <w:szCs w:val="22"/>
                <w:lang w:eastAsia="en-US"/>
              </w:rPr>
              <w:t xml:space="preserve"> </w:t>
            </w:r>
            <w:r w:rsidR="009D4EDC" w:rsidRPr="007C44B3">
              <w:rPr>
                <w:rFonts w:ascii="Calibri" w:eastAsia="Arial Unicode MS" w:hAnsi="Calibri" w:cs="Arial Unicode MS"/>
                <w:sz w:val="22"/>
                <w:szCs w:val="22"/>
                <w:lang w:eastAsia="en-US"/>
              </w:rPr>
              <w:t>la situation</w:t>
            </w:r>
            <w:r w:rsidR="00A97055" w:rsidRPr="007C44B3">
              <w:rPr>
                <w:rFonts w:ascii="Calibri" w:eastAsia="Arial Unicode MS" w:hAnsi="Calibri" w:cs="Arial Unicode MS"/>
                <w:sz w:val="22"/>
                <w:szCs w:val="22"/>
                <w:lang w:eastAsia="en-US"/>
              </w:rPr>
              <w:t xml:space="preserve"> institutionne</w:t>
            </w:r>
            <w:r w:rsidR="009D4EDC" w:rsidRPr="007C44B3">
              <w:rPr>
                <w:rFonts w:ascii="Calibri" w:eastAsia="Arial Unicode MS" w:hAnsi="Calibri" w:cs="Arial Unicode MS"/>
                <w:sz w:val="22"/>
                <w:szCs w:val="22"/>
                <w:lang w:eastAsia="en-US"/>
              </w:rPr>
              <w:t>l</w:t>
            </w:r>
            <w:r w:rsidR="00A97055" w:rsidRPr="007C44B3">
              <w:rPr>
                <w:rFonts w:ascii="Calibri" w:eastAsia="Arial Unicode MS" w:hAnsi="Calibri" w:cs="Arial Unicode MS"/>
                <w:sz w:val="22"/>
                <w:szCs w:val="22"/>
                <w:lang w:eastAsia="en-US"/>
              </w:rPr>
              <w:t>l</w:t>
            </w:r>
            <w:r w:rsidR="009D4EDC" w:rsidRPr="007C44B3">
              <w:rPr>
                <w:rFonts w:ascii="Calibri" w:eastAsia="Arial Unicode MS" w:hAnsi="Calibri" w:cs="Arial Unicode MS"/>
                <w:sz w:val="22"/>
                <w:szCs w:val="22"/>
                <w:lang w:eastAsia="en-US"/>
              </w:rPr>
              <w:t>e</w:t>
            </w:r>
            <w:r w:rsidR="00A97055" w:rsidRPr="007C44B3">
              <w:rPr>
                <w:rFonts w:ascii="Calibri" w:eastAsia="Arial Unicode MS" w:hAnsi="Calibri" w:cs="Arial Unicode MS"/>
                <w:sz w:val="22"/>
                <w:szCs w:val="22"/>
                <w:lang w:eastAsia="en-US"/>
              </w:rPr>
              <w:t>,</w:t>
            </w:r>
            <w:r w:rsidRPr="007C44B3">
              <w:rPr>
                <w:rFonts w:ascii="Calibri" w:eastAsia="Arial Unicode MS" w:hAnsi="Calibri" w:cs="Arial Unicode MS"/>
                <w:sz w:val="22"/>
                <w:szCs w:val="22"/>
                <w:lang w:eastAsia="en-US"/>
              </w:rPr>
              <w:t xml:space="preserve"> l</w:t>
            </w:r>
            <w:r w:rsidR="003E196E" w:rsidRPr="007C44B3">
              <w:rPr>
                <w:rFonts w:ascii="Calibri" w:eastAsia="Arial Unicode MS" w:hAnsi="Calibri" w:cs="Arial Unicode MS"/>
                <w:sz w:val="22"/>
                <w:szCs w:val="22"/>
                <w:lang w:eastAsia="en-US"/>
              </w:rPr>
              <w:t>’</w:t>
            </w:r>
            <w:r w:rsidRPr="007C44B3">
              <w:rPr>
                <w:rFonts w:ascii="Calibri" w:eastAsia="Arial Unicode MS" w:hAnsi="Calibri" w:cs="Arial Unicode MS"/>
                <w:sz w:val="22"/>
                <w:szCs w:val="22"/>
                <w:lang w:eastAsia="en-US"/>
              </w:rPr>
              <w:t xml:space="preserve">organisation et le fonctionnement des </w:t>
            </w:r>
            <w:r w:rsidR="00A97055" w:rsidRPr="007C44B3">
              <w:rPr>
                <w:rFonts w:ascii="Calibri" w:eastAsia="Arial Unicode MS" w:hAnsi="Calibri" w:cs="Arial Unicode MS"/>
                <w:sz w:val="22"/>
                <w:szCs w:val="22"/>
                <w:lang w:eastAsia="en-US"/>
              </w:rPr>
              <w:t xml:space="preserve">12 </w:t>
            </w:r>
            <w:r w:rsidRPr="007C44B3">
              <w:rPr>
                <w:rFonts w:ascii="Calibri" w:eastAsia="Arial Unicode MS" w:hAnsi="Calibri" w:cs="Arial Unicode MS"/>
                <w:sz w:val="22"/>
                <w:szCs w:val="22"/>
                <w:lang w:eastAsia="en-US"/>
              </w:rPr>
              <w:t xml:space="preserve">EPA santé ainsi que les </w:t>
            </w:r>
            <w:r w:rsidR="00F42B41" w:rsidRPr="007C44B3">
              <w:rPr>
                <w:rFonts w:ascii="Calibri" w:eastAsia="Arial Unicode MS" w:hAnsi="Calibri" w:cs="Arial Unicode MS"/>
                <w:sz w:val="22"/>
                <w:szCs w:val="22"/>
                <w:lang w:eastAsia="en-US"/>
              </w:rPr>
              <w:t>dysfonction</w:t>
            </w:r>
            <w:r w:rsidRPr="007C44B3">
              <w:rPr>
                <w:rFonts w:ascii="Calibri" w:eastAsia="Arial Unicode MS" w:hAnsi="Calibri" w:cs="Arial Unicode MS"/>
                <w:sz w:val="22"/>
                <w:szCs w:val="22"/>
                <w:lang w:eastAsia="en-US"/>
              </w:rPr>
              <w:t>nements</w:t>
            </w:r>
            <w:r w:rsidR="00F42B41" w:rsidRPr="007C44B3">
              <w:rPr>
                <w:rFonts w:ascii="Calibri" w:eastAsia="Arial Unicode MS" w:hAnsi="Calibri" w:cs="Arial Unicode MS"/>
                <w:sz w:val="22"/>
                <w:szCs w:val="22"/>
                <w:lang w:eastAsia="en-US"/>
              </w:rPr>
              <w:t xml:space="preserve"> de l’organisation</w:t>
            </w:r>
            <w:r w:rsidR="006266F0" w:rsidRPr="007C44B3">
              <w:rPr>
                <w:rFonts w:ascii="Calibri" w:eastAsia="Arial Unicode MS" w:hAnsi="Calibri" w:cs="Arial Unicode MS"/>
                <w:sz w:val="22"/>
                <w:szCs w:val="22"/>
                <w:lang w:eastAsia="en-US"/>
              </w:rPr>
              <w:t xml:space="preserve"> </w:t>
            </w:r>
          </w:p>
          <w:p w14:paraId="50BAB746" w14:textId="4699E438" w:rsidR="000630CD" w:rsidRPr="007C44B3" w:rsidRDefault="000630CD" w:rsidP="00A905D8">
            <w:pPr>
              <w:pStyle w:val="Paragraphedeliste"/>
              <w:jc w:val="both"/>
              <w:rPr>
                <w:rFonts w:ascii="Calibri" w:eastAsia="Arial Unicode MS" w:hAnsi="Calibri" w:cs="Arial Unicode MS"/>
                <w:sz w:val="22"/>
                <w:szCs w:val="22"/>
                <w:lang w:eastAsia="en-US"/>
              </w:rPr>
            </w:pPr>
          </w:p>
        </w:tc>
        <w:tc>
          <w:tcPr>
            <w:tcW w:w="2830" w:type="dxa"/>
          </w:tcPr>
          <w:p w14:paraId="2615DC9D" w14:textId="2611865C" w:rsidR="000630CD" w:rsidRPr="007C44B3" w:rsidRDefault="00A905D8" w:rsidP="00A905D8">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T0 + 15</w:t>
            </w:r>
            <w:r w:rsidR="000630CD" w:rsidRPr="007C44B3">
              <w:rPr>
                <w:rFonts w:ascii="Calibri" w:eastAsia="Arial Unicode MS" w:hAnsi="Calibri" w:cs="Arial Unicode MS"/>
                <w:sz w:val="22"/>
                <w:szCs w:val="22"/>
                <w:lang w:eastAsia="en-US"/>
              </w:rPr>
              <w:t xml:space="preserve"> jours</w:t>
            </w:r>
          </w:p>
        </w:tc>
      </w:tr>
      <w:tr w:rsidR="007C44B3" w:rsidRPr="007C44B3" w14:paraId="4B9BB415" w14:textId="77777777" w:rsidTr="000630CD">
        <w:tc>
          <w:tcPr>
            <w:tcW w:w="5872" w:type="dxa"/>
          </w:tcPr>
          <w:p w14:paraId="6F9DAE0A" w14:textId="77777777" w:rsidR="003A1D47" w:rsidRPr="007C44B3" w:rsidRDefault="00A86E43" w:rsidP="001900E1">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 xml:space="preserve">Un rapport </w:t>
            </w:r>
            <w:r w:rsidR="0090444F" w:rsidRPr="007C44B3">
              <w:rPr>
                <w:rFonts w:ascii="Calibri" w:eastAsia="Arial Unicode MS" w:hAnsi="Calibri" w:cs="Arial Unicode MS"/>
                <w:sz w:val="22"/>
                <w:szCs w:val="22"/>
                <w:lang w:eastAsia="en-US"/>
              </w:rPr>
              <w:t xml:space="preserve">intégrant le diagnostic et </w:t>
            </w:r>
            <w:r w:rsidRPr="007C44B3">
              <w:rPr>
                <w:rFonts w:ascii="Calibri" w:eastAsia="Arial Unicode MS" w:hAnsi="Calibri" w:cs="Arial Unicode MS"/>
                <w:sz w:val="22"/>
                <w:szCs w:val="22"/>
                <w:lang w:eastAsia="en-US"/>
              </w:rPr>
              <w:t>proposant des</w:t>
            </w:r>
            <w:r w:rsidR="00A905D8" w:rsidRPr="007C44B3">
              <w:rPr>
                <w:rFonts w:ascii="Calibri" w:eastAsia="Arial Unicode MS" w:hAnsi="Calibri" w:cs="Arial Unicode MS"/>
                <w:sz w:val="22"/>
                <w:szCs w:val="22"/>
                <w:lang w:eastAsia="en-US"/>
              </w:rPr>
              <w:t xml:space="preserve"> </w:t>
            </w:r>
            <w:r w:rsidR="006266F0" w:rsidRPr="007C44B3">
              <w:rPr>
                <w:rFonts w:ascii="Calibri" w:eastAsia="Arial Unicode MS" w:hAnsi="Calibri" w:cs="Arial Unicode MS"/>
                <w:sz w:val="22"/>
                <w:szCs w:val="22"/>
                <w:lang w:eastAsia="en-US"/>
              </w:rPr>
              <w:t>a</w:t>
            </w:r>
            <w:r w:rsidR="00A905D8" w:rsidRPr="007C44B3">
              <w:rPr>
                <w:rFonts w:ascii="Calibri" w:eastAsia="Arial Unicode MS" w:hAnsi="Calibri" w:cs="Arial Unicode MS"/>
                <w:sz w:val="22"/>
                <w:szCs w:val="22"/>
                <w:lang w:eastAsia="en-US"/>
              </w:rPr>
              <w:t>mélioration</w:t>
            </w:r>
            <w:r w:rsidR="001900E1" w:rsidRPr="007C44B3">
              <w:rPr>
                <w:rFonts w:ascii="Calibri" w:eastAsia="Arial Unicode MS" w:hAnsi="Calibri" w:cs="Arial Unicode MS"/>
                <w:sz w:val="22"/>
                <w:szCs w:val="22"/>
                <w:lang w:eastAsia="en-US"/>
              </w:rPr>
              <w:t>s,</w:t>
            </w:r>
            <w:r w:rsidR="00A905D8" w:rsidRPr="007C44B3">
              <w:rPr>
                <w:rFonts w:ascii="Calibri" w:eastAsia="Arial Unicode MS" w:hAnsi="Calibri" w:cs="Arial Unicode MS"/>
                <w:sz w:val="22"/>
                <w:szCs w:val="22"/>
                <w:lang w:eastAsia="en-US"/>
              </w:rPr>
              <w:t xml:space="preserve"> des outils de gestion et de</w:t>
            </w:r>
            <w:r w:rsidR="0090444F" w:rsidRPr="007C44B3">
              <w:rPr>
                <w:rFonts w:ascii="Calibri" w:eastAsia="Arial Unicode MS" w:hAnsi="Calibri" w:cs="Arial Unicode MS"/>
                <w:sz w:val="22"/>
                <w:szCs w:val="22"/>
                <w:lang w:eastAsia="en-US"/>
              </w:rPr>
              <w:t>s</w:t>
            </w:r>
            <w:r w:rsidR="00A905D8" w:rsidRPr="007C44B3">
              <w:rPr>
                <w:rFonts w:ascii="Calibri" w:eastAsia="Arial Unicode MS" w:hAnsi="Calibri" w:cs="Arial Unicode MS"/>
                <w:sz w:val="22"/>
                <w:szCs w:val="22"/>
                <w:lang w:eastAsia="en-US"/>
              </w:rPr>
              <w:t xml:space="preserve"> méthodes adaptées</w:t>
            </w:r>
            <w:r w:rsidR="006266F0" w:rsidRPr="007C44B3">
              <w:rPr>
                <w:rFonts w:ascii="Calibri" w:eastAsia="Arial Unicode MS" w:hAnsi="Calibri" w:cs="Arial Unicode MS"/>
                <w:sz w:val="22"/>
                <w:szCs w:val="22"/>
                <w:lang w:eastAsia="en-US"/>
              </w:rPr>
              <w:t xml:space="preserve">. </w:t>
            </w:r>
            <w:r w:rsidR="00A905D8" w:rsidRPr="007C44B3">
              <w:rPr>
                <w:rFonts w:ascii="Calibri" w:eastAsia="Arial Unicode MS" w:hAnsi="Calibri" w:cs="Arial Unicode MS"/>
                <w:sz w:val="22"/>
                <w:szCs w:val="22"/>
                <w:lang w:eastAsia="en-US"/>
              </w:rPr>
              <w:t xml:space="preserve"> Ces propositions seront accompagnées de notes formalisant l’utilisation de ces outils, méthodes et systèmes développés</w:t>
            </w:r>
          </w:p>
          <w:p w14:paraId="4FA76DB1" w14:textId="389CEFA3" w:rsidR="009D4EDC" w:rsidRPr="007C44B3" w:rsidRDefault="009D4EDC" w:rsidP="006B72A4">
            <w:pPr>
              <w:jc w:val="both"/>
              <w:rPr>
                <w:rFonts w:ascii="Calibri" w:eastAsia="Arial Unicode MS" w:hAnsi="Calibri" w:cs="Arial Unicode MS"/>
                <w:sz w:val="22"/>
                <w:szCs w:val="22"/>
                <w:lang w:eastAsia="en-US"/>
              </w:rPr>
            </w:pPr>
          </w:p>
        </w:tc>
        <w:tc>
          <w:tcPr>
            <w:tcW w:w="2830" w:type="dxa"/>
          </w:tcPr>
          <w:p w14:paraId="652806DA" w14:textId="2FFA1142" w:rsidR="003A1D47" w:rsidRPr="007C44B3" w:rsidRDefault="00A905D8" w:rsidP="000630CD">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T0 + 15 jours</w:t>
            </w:r>
          </w:p>
        </w:tc>
      </w:tr>
      <w:tr w:rsidR="007C44B3" w:rsidRPr="007C44B3" w14:paraId="743FEB43" w14:textId="77777777" w:rsidTr="00F04BFB">
        <w:tc>
          <w:tcPr>
            <w:tcW w:w="5872" w:type="dxa"/>
          </w:tcPr>
          <w:p w14:paraId="0B5DE89F" w14:textId="43020F46" w:rsidR="00C32FC6" w:rsidRPr="007C44B3" w:rsidRDefault="00C32FC6" w:rsidP="00C32FC6">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 xml:space="preserve">Un </w:t>
            </w:r>
            <w:r w:rsidR="009D4EDC" w:rsidRPr="007C44B3">
              <w:rPr>
                <w:rFonts w:ascii="Calibri" w:eastAsia="Arial Unicode MS" w:hAnsi="Calibri" w:cs="Arial Unicode MS"/>
                <w:sz w:val="22"/>
                <w:szCs w:val="22"/>
                <w:lang w:eastAsia="en-US"/>
              </w:rPr>
              <w:t>p</w:t>
            </w:r>
            <w:r w:rsidRPr="007C44B3">
              <w:rPr>
                <w:rFonts w:ascii="Calibri" w:eastAsia="Arial Unicode MS" w:hAnsi="Calibri" w:cs="Arial Unicode MS"/>
                <w:sz w:val="22"/>
                <w:szCs w:val="22"/>
                <w:lang w:eastAsia="en-US"/>
              </w:rPr>
              <w:t>lan de formation et d’accompagnement en adéquation avec les propositions</w:t>
            </w:r>
          </w:p>
          <w:p w14:paraId="406BB8BC" w14:textId="359218F7" w:rsidR="00FC2671" w:rsidRPr="007C44B3" w:rsidRDefault="00FC2671" w:rsidP="00C32FC6">
            <w:pPr>
              <w:ind w:left="360"/>
              <w:jc w:val="both"/>
              <w:rPr>
                <w:rFonts w:ascii="Calibri" w:eastAsia="Arial Unicode MS" w:hAnsi="Calibri" w:cs="Arial Unicode MS"/>
                <w:sz w:val="22"/>
                <w:szCs w:val="22"/>
                <w:lang w:eastAsia="en-US"/>
              </w:rPr>
            </w:pPr>
          </w:p>
        </w:tc>
        <w:tc>
          <w:tcPr>
            <w:tcW w:w="2830" w:type="dxa"/>
          </w:tcPr>
          <w:p w14:paraId="7F9AE494" w14:textId="5F2C1C49" w:rsidR="005A0EBB" w:rsidRPr="007C44B3" w:rsidRDefault="00A905D8" w:rsidP="005A0EBB">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T0 + 15 jours</w:t>
            </w:r>
          </w:p>
        </w:tc>
      </w:tr>
      <w:tr w:rsidR="007C44B3" w:rsidRPr="007C44B3" w14:paraId="384DBF9E" w14:textId="77777777" w:rsidTr="00C32FC6">
        <w:trPr>
          <w:trHeight w:val="856"/>
        </w:trPr>
        <w:tc>
          <w:tcPr>
            <w:tcW w:w="5872" w:type="dxa"/>
          </w:tcPr>
          <w:p w14:paraId="7B87C812" w14:textId="2A9D5585" w:rsidR="0016219B" w:rsidRPr="007C44B3" w:rsidRDefault="0016219B" w:rsidP="00C32FC6">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Une feuille de route sur les modalités des travaux de mise en conformité + assistance technique sur l’élaboration des documents cadres et remplissage des outils spécifiques des EPA</w:t>
            </w:r>
          </w:p>
        </w:tc>
        <w:tc>
          <w:tcPr>
            <w:tcW w:w="2830" w:type="dxa"/>
          </w:tcPr>
          <w:p w14:paraId="23135918" w14:textId="77777777" w:rsidR="0016219B" w:rsidRPr="007C44B3" w:rsidRDefault="0016219B" w:rsidP="00F04BFB">
            <w:pPr>
              <w:jc w:val="both"/>
              <w:rPr>
                <w:rFonts w:ascii="Calibri" w:eastAsia="Arial Unicode MS" w:hAnsi="Calibri" w:cs="Arial Unicode MS"/>
                <w:sz w:val="22"/>
                <w:szCs w:val="22"/>
                <w:lang w:eastAsia="en-US"/>
              </w:rPr>
            </w:pPr>
          </w:p>
        </w:tc>
      </w:tr>
      <w:tr w:rsidR="007C44B3" w:rsidRPr="007C44B3" w14:paraId="4BE9565C" w14:textId="77777777" w:rsidTr="00C32FC6">
        <w:trPr>
          <w:trHeight w:val="856"/>
        </w:trPr>
        <w:tc>
          <w:tcPr>
            <w:tcW w:w="5872" w:type="dxa"/>
          </w:tcPr>
          <w:p w14:paraId="66FEAC7A" w14:textId="7C760540" w:rsidR="00EF6139" w:rsidRPr="007C44B3" w:rsidRDefault="00C32FC6" w:rsidP="00C32FC6">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U</w:t>
            </w:r>
            <w:r w:rsidR="006266F0" w:rsidRPr="007C44B3">
              <w:rPr>
                <w:rFonts w:ascii="Calibri" w:eastAsia="Arial Unicode MS" w:hAnsi="Calibri" w:cs="Arial Unicode MS"/>
                <w:sz w:val="22"/>
                <w:szCs w:val="22"/>
                <w:lang w:eastAsia="en-US"/>
              </w:rPr>
              <w:t>ne f</w:t>
            </w:r>
            <w:r w:rsidR="00794D67" w:rsidRPr="007C44B3">
              <w:rPr>
                <w:rFonts w:ascii="Calibri" w:eastAsia="Arial Unicode MS" w:hAnsi="Calibri" w:cs="Arial Unicode MS"/>
                <w:sz w:val="22"/>
                <w:szCs w:val="22"/>
                <w:lang w:eastAsia="en-US"/>
              </w:rPr>
              <w:t>euille de route</w:t>
            </w:r>
            <w:r w:rsidR="006266F0" w:rsidRPr="007C44B3">
              <w:rPr>
                <w:rFonts w:ascii="Calibri" w:eastAsia="Arial Unicode MS" w:hAnsi="Calibri" w:cs="Arial Unicode MS"/>
                <w:sz w:val="22"/>
                <w:szCs w:val="22"/>
                <w:lang w:eastAsia="en-US"/>
              </w:rPr>
              <w:t xml:space="preserve"> sur </w:t>
            </w:r>
            <w:r w:rsidR="00A905D8" w:rsidRPr="007C44B3">
              <w:rPr>
                <w:rFonts w:ascii="Calibri" w:eastAsia="Arial Unicode MS" w:hAnsi="Calibri" w:cs="Arial Unicode MS"/>
                <w:sz w:val="22"/>
                <w:szCs w:val="22"/>
                <w:lang w:eastAsia="en-US"/>
              </w:rPr>
              <w:t>la</w:t>
            </w:r>
            <w:r w:rsidR="00382B4D" w:rsidRPr="007C44B3">
              <w:rPr>
                <w:rFonts w:ascii="Calibri" w:eastAsia="Arial Unicode MS" w:hAnsi="Calibri" w:cs="Arial Unicode MS"/>
                <w:sz w:val="22"/>
                <w:szCs w:val="22"/>
                <w:lang w:eastAsia="en-US"/>
              </w:rPr>
              <w:t xml:space="preserve"> mis</w:t>
            </w:r>
            <w:r w:rsidR="00A905D8" w:rsidRPr="007C44B3">
              <w:rPr>
                <w:rFonts w:ascii="Calibri" w:eastAsia="Arial Unicode MS" w:hAnsi="Calibri" w:cs="Arial Unicode MS"/>
                <w:sz w:val="22"/>
                <w:szCs w:val="22"/>
                <w:lang w:eastAsia="en-US"/>
              </w:rPr>
              <w:t>e</w:t>
            </w:r>
            <w:r w:rsidR="00382B4D" w:rsidRPr="007C44B3">
              <w:rPr>
                <w:rFonts w:ascii="Calibri" w:eastAsia="Arial Unicode MS" w:hAnsi="Calibri" w:cs="Arial Unicode MS"/>
                <w:sz w:val="22"/>
                <w:szCs w:val="22"/>
                <w:lang w:eastAsia="en-US"/>
              </w:rPr>
              <w:t xml:space="preserve"> en œuvre des recommandations</w:t>
            </w:r>
            <w:r w:rsidR="006266F0" w:rsidRPr="007C44B3">
              <w:rPr>
                <w:rFonts w:ascii="Calibri" w:eastAsia="Arial Unicode MS" w:hAnsi="Calibri" w:cs="Arial Unicode MS"/>
                <w:sz w:val="22"/>
                <w:szCs w:val="22"/>
                <w:lang w:eastAsia="en-US"/>
              </w:rPr>
              <w:t xml:space="preserve"> </w:t>
            </w:r>
            <w:r w:rsidR="00A86E43" w:rsidRPr="007C44B3">
              <w:rPr>
                <w:rFonts w:ascii="Calibri" w:eastAsia="Arial Unicode MS" w:hAnsi="Calibri" w:cs="Arial Unicode MS"/>
                <w:sz w:val="22"/>
                <w:szCs w:val="22"/>
                <w:lang w:eastAsia="en-US"/>
              </w:rPr>
              <w:t>à restituer auprès du</w:t>
            </w:r>
            <w:r w:rsidR="006266F0" w:rsidRPr="007C44B3">
              <w:rPr>
                <w:rFonts w:ascii="Calibri" w:eastAsia="Arial Unicode MS" w:hAnsi="Calibri" w:cs="Arial Unicode MS"/>
                <w:sz w:val="22"/>
                <w:szCs w:val="22"/>
                <w:lang w:eastAsia="en-US"/>
              </w:rPr>
              <w:t xml:space="preserve"> ministère de la Santé</w:t>
            </w:r>
          </w:p>
        </w:tc>
        <w:tc>
          <w:tcPr>
            <w:tcW w:w="2830" w:type="dxa"/>
          </w:tcPr>
          <w:p w14:paraId="532BA1C1" w14:textId="3B4F89D9" w:rsidR="00EF6139" w:rsidRPr="007C44B3" w:rsidRDefault="00A905D8" w:rsidP="00F04BFB">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T0 + 15 jours</w:t>
            </w:r>
          </w:p>
        </w:tc>
      </w:tr>
      <w:tr w:rsidR="007C44B3" w:rsidRPr="007C44B3" w14:paraId="3111C030" w14:textId="77777777" w:rsidTr="00C32FC6">
        <w:trPr>
          <w:trHeight w:val="856"/>
        </w:trPr>
        <w:tc>
          <w:tcPr>
            <w:tcW w:w="5872" w:type="dxa"/>
          </w:tcPr>
          <w:p w14:paraId="4A8B5D4E" w14:textId="77777777" w:rsidR="003E196E" w:rsidRPr="007C44B3" w:rsidRDefault="003E196E" w:rsidP="003E196E">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lastRenderedPageBreak/>
              <w:t>Des rapports provisoires et le rapport final servant à valider les étapes majeures ou à présenter les travaux au ministère de la Santé</w:t>
            </w:r>
          </w:p>
          <w:p w14:paraId="42688B94" w14:textId="77777777" w:rsidR="003E196E" w:rsidRPr="007C44B3" w:rsidRDefault="003E196E" w:rsidP="006B72A4">
            <w:pPr>
              <w:pStyle w:val="Paragraphedeliste"/>
              <w:jc w:val="both"/>
              <w:rPr>
                <w:rFonts w:ascii="Calibri" w:eastAsia="Arial Unicode MS" w:hAnsi="Calibri" w:cs="Arial Unicode MS"/>
                <w:sz w:val="22"/>
                <w:szCs w:val="22"/>
                <w:lang w:eastAsia="en-US"/>
              </w:rPr>
            </w:pPr>
          </w:p>
        </w:tc>
        <w:tc>
          <w:tcPr>
            <w:tcW w:w="2830" w:type="dxa"/>
          </w:tcPr>
          <w:p w14:paraId="3FBF8302" w14:textId="5F8763E2" w:rsidR="003E196E" w:rsidRPr="007C44B3" w:rsidRDefault="003E196E" w:rsidP="003E196E">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T0 + 15 jours</w:t>
            </w:r>
          </w:p>
        </w:tc>
      </w:tr>
      <w:tr w:rsidR="003E196E" w:rsidRPr="007C44B3" w14:paraId="3D822294" w14:textId="77777777" w:rsidTr="00C32FC6">
        <w:trPr>
          <w:trHeight w:val="856"/>
        </w:trPr>
        <w:tc>
          <w:tcPr>
            <w:tcW w:w="5872" w:type="dxa"/>
          </w:tcPr>
          <w:p w14:paraId="155596B5" w14:textId="66F1DCB4" w:rsidR="003E196E" w:rsidRPr="007C44B3" w:rsidRDefault="003E196E" w:rsidP="003E196E">
            <w:pPr>
              <w:pStyle w:val="Paragraphedeliste"/>
              <w:numPr>
                <w:ilvl w:val="0"/>
                <w:numId w:val="6"/>
              </w:num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Une présentation PowerPoint validée pour la restitution</w:t>
            </w:r>
          </w:p>
        </w:tc>
        <w:tc>
          <w:tcPr>
            <w:tcW w:w="2830" w:type="dxa"/>
          </w:tcPr>
          <w:p w14:paraId="0F835C8C" w14:textId="232CB585" w:rsidR="003E196E" w:rsidRPr="007C44B3" w:rsidRDefault="003E196E" w:rsidP="003E196E">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T0 + 15 jours</w:t>
            </w:r>
          </w:p>
        </w:tc>
      </w:tr>
    </w:tbl>
    <w:p w14:paraId="068BBA85" w14:textId="4F4EEABB" w:rsidR="00AF63C1" w:rsidRPr="007C44B3" w:rsidRDefault="00AF63C1" w:rsidP="00E61983">
      <w:pPr>
        <w:jc w:val="both"/>
        <w:rPr>
          <w:rFonts w:ascii="Calibri" w:eastAsia="Arial Unicode MS" w:hAnsi="Calibri" w:cs="Arial Unicode MS"/>
          <w:b/>
          <w:sz w:val="22"/>
          <w:szCs w:val="22"/>
          <w:lang w:eastAsia="en-US"/>
        </w:rPr>
      </w:pPr>
    </w:p>
    <w:p w14:paraId="397F2D33" w14:textId="3CC12244" w:rsidR="00965444" w:rsidRPr="007C44B3" w:rsidRDefault="00DE0F23"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Coordination</w:t>
      </w:r>
    </w:p>
    <w:p w14:paraId="5EF5CFCC" w14:textId="77777777" w:rsidR="00965444" w:rsidRPr="007C44B3" w:rsidRDefault="00965444" w:rsidP="009236DE">
      <w:pPr>
        <w:jc w:val="both"/>
        <w:rPr>
          <w:rFonts w:ascii="Calibri" w:hAnsi="Calibri"/>
          <w:sz w:val="22"/>
          <w:szCs w:val="22"/>
        </w:rPr>
      </w:pPr>
    </w:p>
    <w:p w14:paraId="342760AC" w14:textId="4110C15B" w:rsidR="00982D5A" w:rsidRPr="007C44B3" w:rsidRDefault="00982D5A" w:rsidP="00982D5A">
      <w:pPr>
        <w:jc w:val="both"/>
        <w:rPr>
          <w:rFonts w:ascii="Calibri" w:hAnsi="Calibri" w:cs="Tahoma"/>
          <w:bCs/>
          <w:sz w:val="22"/>
          <w:szCs w:val="22"/>
        </w:rPr>
      </w:pPr>
      <w:r w:rsidRPr="007C44B3">
        <w:rPr>
          <w:rFonts w:ascii="Calibri" w:hAnsi="Calibri" w:cs="Tahoma"/>
          <w:bCs/>
          <w:sz w:val="22"/>
          <w:szCs w:val="22"/>
        </w:rPr>
        <w:t xml:space="preserve">En cas de groupement de </w:t>
      </w:r>
      <w:r w:rsidR="00811392" w:rsidRPr="007C44B3">
        <w:rPr>
          <w:rFonts w:ascii="Calibri" w:hAnsi="Calibri" w:cs="Tahoma"/>
          <w:bCs/>
          <w:sz w:val="22"/>
          <w:szCs w:val="22"/>
        </w:rPr>
        <w:t xml:space="preserve">consultant.e.s </w:t>
      </w:r>
      <w:r w:rsidRPr="007C44B3">
        <w:rPr>
          <w:rFonts w:ascii="Calibri" w:hAnsi="Calibri" w:cs="Tahoma"/>
          <w:bCs/>
          <w:sz w:val="22"/>
          <w:szCs w:val="22"/>
        </w:rPr>
        <w:t>répondant au TDR, le groupement devra désigner un interlocuteur pour assurer la coordination de la mise en œuvre de projet.</w:t>
      </w:r>
    </w:p>
    <w:p w14:paraId="65B46798" w14:textId="77777777" w:rsidR="00982D5A" w:rsidRPr="007C44B3" w:rsidRDefault="00982D5A" w:rsidP="00982D5A">
      <w:pPr>
        <w:jc w:val="both"/>
        <w:rPr>
          <w:rFonts w:ascii="Calibri" w:hAnsi="Calibri" w:cs="Tahoma"/>
          <w:bCs/>
          <w:sz w:val="22"/>
          <w:szCs w:val="22"/>
        </w:rPr>
      </w:pPr>
    </w:p>
    <w:p w14:paraId="29731520" w14:textId="3AD68598" w:rsidR="00982D5A" w:rsidRPr="007C44B3" w:rsidRDefault="00982D5A" w:rsidP="00982D5A">
      <w:pPr>
        <w:jc w:val="both"/>
        <w:rPr>
          <w:rFonts w:ascii="Calibri" w:hAnsi="Calibri" w:cs="Tahoma"/>
          <w:bCs/>
          <w:sz w:val="22"/>
          <w:szCs w:val="22"/>
        </w:rPr>
      </w:pPr>
      <w:r w:rsidRPr="007C44B3">
        <w:rPr>
          <w:rFonts w:ascii="Calibri" w:hAnsi="Calibri" w:cs="Tahoma"/>
          <w:bCs/>
          <w:sz w:val="22"/>
          <w:szCs w:val="22"/>
        </w:rPr>
        <w:t xml:space="preserve">Madame Phkarnavy GERARD, Responsable volet 1 et AT de la DAF du MS du PASA2 sera l’interlocuteur unique </w:t>
      </w:r>
      <w:r w:rsidR="00811392" w:rsidRPr="007C44B3">
        <w:rPr>
          <w:rFonts w:ascii="Calibri" w:hAnsi="Calibri" w:cs="Tahoma"/>
          <w:bCs/>
          <w:sz w:val="22"/>
          <w:szCs w:val="22"/>
        </w:rPr>
        <w:t>du/de la consultant.e</w:t>
      </w:r>
      <w:r w:rsidRPr="007C44B3">
        <w:rPr>
          <w:rFonts w:ascii="Calibri" w:hAnsi="Calibri" w:cs="Tahoma"/>
          <w:bCs/>
          <w:sz w:val="22"/>
          <w:szCs w:val="22"/>
        </w:rPr>
        <w:t xml:space="preserve"> pour Expertise France, à défaut son équipe et le chef de projet. </w:t>
      </w:r>
    </w:p>
    <w:p w14:paraId="3EFE324F" w14:textId="77777777" w:rsidR="00982D5A" w:rsidRPr="007C44B3" w:rsidRDefault="00982D5A" w:rsidP="00982D5A">
      <w:pPr>
        <w:jc w:val="both"/>
        <w:rPr>
          <w:rFonts w:ascii="Calibri" w:hAnsi="Calibri" w:cs="Tahoma"/>
          <w:bCs/>
          <w:sz w:val="22"/>
          <w:szCs w:val="22"/>
        </w:rPr>
      </w:pPr>
      <w:r w:rsidRPr="007C44B3">
        <w:rPr>
          <w:rFonts w:ascii="Calibri" w:hAnsi="Calibri" w:cs="Tahoma"/>
          <w:bCs/>
          <w:sz w:val="22"/>
          <w:szCs w:val="22"/>
        </w:rPr>
        <w:t>Courriel :</w:t>
      </w:r>
    </w:p>
    <w:p w14:paraId="38DCD7B1" w14:textId="7F61B566" w:rsidR="00982D5A" w:rsidRPr="007C44B3" w:rsidRDefault="00982D5A" w:rsidP="00182235">
      <w:pPr>
        <w:pStyle w:val="Paragraphedeliste"/>
        <w:numPr>
          <w:ilvl w:val="0"/>
          <w:numId w:val="32"/>
        </w:numPr>
        <w:rPr>
          <w:rFonts w:ascii="Calibri" w:hAnsi="Calibri" w:cs="Tahoma"/>
          <w:bCs/>
          <w:sz w:val="22"/>
          <w:szCs w:val="22"/>
        </w:rPr>
      </w:pPr>
      <w:r w:rsidRPr="007C44B3">
        <w:rPr>
          <w:rFonts w:ascii="Calibri" w:hAnsi="Calibri" w:cs="Tahoma"/>
          <w:bCs/>
          <w:sz w:val="22"/>
          <w:szCs w:val="22"/>
        </w:rPr>
        <w:t xml:space="preserve">Equipe volet 1 PASA2 : </w:t>
      </w:r>
      <w:hyperlink r:id="rId8" w:history="1">
        <w:r w:rsidRPr="007C44B3">
          <w:rPr>
            <w:rStyle w:val="Lienhypertexte"/>
            <w:rFonts w:ascii="Calibri" w:hAnsi="Calibri" w:cs="Tahoma"/>
            <w:bCs/>
            <w:color w:val="auto"/>
            <w:sz w:val="22"/>
            <w:szCs w:val="22"/>
          </w:rPr>
          <w:t>phkarnavy.gerard@expertisefrance.fr</w:t>
        </w:r>
      </w:hyperlink>
      <w:r w:rsidRPr="007C44B3">
        <w:rPr>
          <w:rFonts w:ascii="Calibri" w:hAnsi="Calibri" w:cs="Tahoma"/>
          <w:bCs/>
          <w:sz w:val="22"/>
          <w:szCs w:val="22"/>
        </w:rPr>
        <w:t xml:space="preserve"> </w:t>
      </w:r>
      <w:r w:rsidR="00BC4E07" w:rsidRPr="007C44B3">
        <w:rPr>
          <w:rFonts w:ascii="Calibri" w:hAnsi="Calibri" w:cs="Tahoma"/>
          <w:bCs/>
          <w:sz w:val="22"/>
          <w:szCs w:val="22"/>
        </w:rPr>
        <w:t>/</w:t>
      </w:r>
      <w:r w:rsidR="004A60F2" w:rsidRPr="007C44B3">
        <w:rPr>
          <w:rFonts w:ascii="Calibri" w:hAnsi="Calibri" w:cs="Tahoma"/>
          <w:bCs/>
          <w:sz w:val="22"/>
          <w:szCs w:val="22"/>
        </w:rPr>
        <w:t xml:space="preserve"> </w:t>
      </w:r>
      <w:hyperlink r:id="rId9" w:history="1">
        <w:r w:rsidRPr="007C44B3">
          <w:rPr>
            <w:rStyle w:val="Lienhypertexte"/>
            <w:rFonts w:ascii="Calibri" w:hAnsi="Calibri" w:cs="Tahoma"/>
            <w:bCs/>
            <w:color w:val="auto"/>
            <w:sz w:val="22"/>
            <w:szCs w:val="22"/>
          </w:rPr>
          <w:t>Lamine.kaba@expertisefrance.fr</w:t>
        </w:r>
      </w:hyperlink>
      <w:r w:rsidRPr="007C44B3">
        <w:rPr>
          <w:rFonts w:ascii="Calibri" w:hAnsi="Calibri" w:cs="Tahoma"/>
          <w:bCs/>
          <w:sz w:val="22"/>
          <w:szCs w:val="22"/>
        </w:rPr>
        <w:t xml:space="preserve"> </w:t>
      </w:r>
      <w:r w:rsidR="00BC4E07" w:rsidRPr="007C44B3">
        <w:rPr>
          <w:rFonts w:ascii="Calibri" w:hAnsi="Calibri" w:cs="Tahoma"/>
          <w:bCs/>
          <w:sz w:val="22"/>
          <w:szCs w:val="22"/>
        </w:rPr>
        <w:t xml:space="preserve">/ </w:t>
      </w:r>
      <w:hyperlink r:id="rId10" w:history="1">
        <w:r w:rsidRPr="007C44B3">
          <w:rPr>
            <w:rStyle w:val="Lienhypertexte"/>
            <w:rFonts w:ascii="Calibri" w:hAnsi="Calibri" w:cs="Tahoma"/>
            <w:bCs/>
            <w:color w:val="auto"/>
            <w:sz w:val="22"/>
            <w:szCs w:val="22"/>
          </w:rPr>
          <w:t>Moundjirou.sow@expertisefrance.fr</w:t>
        </w:r>
      </w:hyperlink>
      <w:r w:rsidRPr="007C44B3">
        <w:rPr>
          <w:rFonts w:ascii="Calibri" w:hAnsi="Calibri" w:cs="Tahoma"/>
          <w:bCs/>
          <w:sz w:val="22"/>
          <w:szCs w:val="22"/>
        </w:rPr>
        <w:t xml:space="preserve"> </w:t>
      </w:r>
    </w:p>
    <w:p w14:paraId="0B4B76B9" w14:textId="4EE85565" w:rsidR="00982D5A" w:rsidRPr="007C44B3" w:rsidRDefault="00982D5A" w:rsidP="00982D5A">
      <w:pPr>
        <w:pStyle w:val="Paragraphedeliste"/>
        <w:numPr>
          <w:ilvl w:val="0"/>
          <w:numId w:val="32"/>
        </w:numPr>
        <w:rPr>
          <w:rFonts w:ascii="Calibri" w:hAnsi="Calibri"/>
          <w:sz w:val="22"/>
          <w:szCs w:val="22"/>
        </w:rPr>
      </w:pPr>
      <w:r w:rsidRPr="007C44B3">
        <w:rPr>
          <w:rFonts w:ascii="Calibri" w:hAnsi="Calibri"/>
          <w:sz w:val="22"/>
          <w:szCs w:val="22"/>
        </w:rPr>
        <w:t xml:space="preserve">Chef de </w:t>
      </w:r>
      <w:r w:rsidR="00D26257" w:rsidRPr="007C44B3">
        <w:rPr>
          <w:rFonts w:ascii="Calibri" w:hAnsi="Calibri"/>
          <w:sz w:val="22"/>
          <w:szCs w:val="22"/>
        </w:rPr>
        <w:t>projet</w:t>
      </w:r>
      <w:r w:rsidRPr="007C44B3">
        <w:rPr>
          <w:rFonts w:ascii="Calibri" w:hAnsi="Calibri"/>
          <w:sz w:val="22"/>
          <w:szCs w:val="22"/>
        </w:rPr>
        <w:t xml:space="preserve"> PASA2 : </w:t>
      </w:r>
      <w:hyperlink r:id="rId11" w:history="1">
        <w:r w:rsidRPr="007C44B3">
          <w:rPr>
            <w:rStyle w:val="Lienhypertexte"/>
            <w:rFonts w:ascii="Calibri" w:hAnsi="Calibri"/>
            <w:color w:val="auto"/>
            <w:sz w:val="22"/>
            <w:szCs w:val="22"/>
          </w:rPr>
          <w:t>mamadou.dieng@expertisefrance.fr</w:t>
        </w:r>
      </w:hyperlink>
    </w:p>
    <w:p w14:paraId="69164D61" w14:textId="77777777" w:rsidR="00982D5A" w:rsidRPr="007C44B3" w:rsidRDefault="00982D5A" w:rsidP="00982D5A">
      <w:pPr>
        <w:pStyle w:val="Paragraphedeliste"/>
        <w:jc w:val="both"/>
        <w:rPr>
          <w:rFonts w:ascii="Calibri" w:hAnsi="Calibri"/>
          <w:sz w:val="22"/>
          <w:szCs w:val="22"/>
        </w:rPr>
      </w:pPr>
    </w:p>
    <w:p w14:paraId="17A36898" w14:textId="77777777" w:rsidR="00982D5A" w:rsidRPr="007C44B3" w:rsidRDefault="00982D5A" w:rsidP="00982D5A">
      <w:pPr>
        <w:jc w:val="both"/>
        <w:rPr>
          <w:rFonts w:ascii="Calibri" w:hAnsi="Calibri"/>
          <w:sz w:val="22"/>
          <w:szCs w:val="22"/>
        </w:rPr>
      </w:pPr>
      <w:r w:rsidRPr="007C44B3">
        <w:rPr>
          <w:rFonts w:ascii="Calibri" w:hAnsi="Calibri"/>
          <w:sz w:val="22"/>
          <w:szCs w:val="22"/>
        </w:rPr>
        <w:t>Une première réunion aura lieu dès la signature du contrat. Elle sera suivie des réunions autant que nécessaires (explication, renseignements complémentaires, l’état d’avancement des missions, pré-validation, validation et éventuellement les difficultés rencontrées…).</w:t>
      </w:r>
    </w:p>
    <w:p w14:paraId="6278FA25" w14:textId="77777777" w:rsidR="004A60F2" w:rsidRPr="007C44B3" w:rsidRDefault="004A60F2" w:rsidP="00982D5A">
      <w:pPr>
        <w:jc w:val="both"/>
        <w:rPr>
          <w:rFonts w:ascii="Calibri" w:hAnsi="Calibri"/>
          <w:sz w:val="22"/>
          <w:szCs w:val="22"/>
        </w:rPr>
      </w:pPr>
    </w:p>
    <w:p w14:paraId="72F04756" w14:textId="77777777" w:rsidR="00982D5A" w:rsidRPr="007C44B3" w:rsidRDefault="00982D5A" w:rsidP="00982D5A">
      <w:pPr>
        <w:jc w:val="both"/>
        <w:rPr>
          <w:rFonts w:ascii="Calibri" w:hAnsi="Calibri"/>
          <w:sz w:val="22"/>
          <w:szCs w:val="22"/>
        </w:rPr>
      </w:pPr>
      <w:r w:rsidRPr="007C44B3">
        <w:rPr>
          <w:rFonts w:ascii="Calibri" w:hAnsi="Calibri"/>
          <w:sz w:val="22"/>
          <w:szCs w:val="22"/>
        </w:rPr>
        <w:t>En outre une coordination étroite avec l’équipe du volet 1, devra impérativement être mise en place dès la préparation de la mission et jusqu’à leur finalisation.</w:t>
      </w:r>
    </w:p>
    <w:p w14:paraId="5DFAFC2C" w14:textId="77777777" w:rsidR="003A7507" w:rsidRPr="007C44B3" w:rsidRDefault="003A7507" w:rsidP="003A7507">
      <w:pPr>
        <w:rPr>
          <w:rFonts w:ascii="Calibri" w:hAnsi="Calibri"/>
          <w:sz w:val="22"/>
          <w:szCs w:val="22"/>
        </w:rPr>
      </w:pPr>
    </w:p>
    <w:p w14:paraId="00A8F97B" w14:textId="501272B5" w:rsidR="003A7507" w:rsidRPr="007C44B3" w:rsidRDefault="003A7507"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Lieu, Durée et Modalités d’exécution</w:t>
      </w:r>
      <w:r w:rsidR="00EA4D88" w:rsidRPr="007C44B3">
        <w:rPr>
          <w:rFonts w:ascii="Calibri" w:eastAsia="Arial Unicode MS" w:hAnsi="Calibri" w:cs="Arial Unicode MS"/>
          <w:b/>
          <w:sz w:val="22"/>
          <w:szCs w:val="22"/>
          <w:lang w:eastAsia="en-US"/>
        </w:rPr>
        <w:t xml:space="preserve"> </w:t>
      </w:r>
    </w:p>
    <w:p w14:paraId="6D77A0D3" w14:textId="77777777" w:rsidR="003A7507" w:rsidRPr="007C44B3" w:rsidRDefault="003A7507" w:rsidP="003A7507">
      <w:pPr>
        <w:rPr>
          <w:rFonts w:ascii="Calibri" w:hAnsi="Calibri"/>
          <w:sz w:val="22"/>
          <w:szCs w:val="22"/>
        </w:rPr>
      </w:pPr>
    </w:p>
    <w:p w14:paraId="2161A0E3" w14:textId="79B2CF56" w:rsidR="003A7507" w:rsidRPr="007C44B3" w:rsidRDefault="003776A0" w:rsidP="00DF6355">
      <w:pPr>
        <w:numPr>
          <w:ilvl w:val="1"/>
          <w:numId w:val="2"/>
        </w:numPr>
        <w:tabs>
          <w:tab w:val="num" w:pos="900"/>
        </w:tabs>
        <w:ind w:left="90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L</w:t>
      </w:r>
      <w:r w:rsidR="00853E0C" w:rsidRPr="007C44B3">
        <w:rPr>
          <w:rFonts w:ascii="Calibri" w:eastAsia="Arial Unicode MS" w:hAnsi="Calibri" w:cs="Arial Unicode MS"/>
          <w:b/>
          <w:sz w:val="22"/>
          <w:szCs w:val="22"/>
          <w:lang w:eastAsia="en-US"/>
        </w:rPr>
        <w:t xml:space="preserve">ieu et </w:t>
      </w:r>
      <w:r w:rsidRPr="007C44B3">
        <w:rPr>
          <w:rFonts w:ascii="Calibri" w:eastAsia="Arial Unicode MS" w:hAnsi="Calibri" w:cs="Arial Unicode MS"/>
          <w:b/>
          <w:sz w:val="22"/>
          <w:szCs w:val="22"/>
          <w:lang w:eastAsia="en-US"/>
        </w:rPr>
        <w:t>p</w:t>
      </w:r>
      <w:r w:rsidR="003A7507" w:rsidRPr="007C44B3">
        <w:rPr>
          <w:rFonts w:ascii="Calibri" w:eastAsia="Arial Unicode MS" w:hAnsi="Calibri" w:cs="Arial Unicode MS"/>
          <w:b/>
          <w:sz w:val="22"/>
          <w:szCs w:val="22"/>
          <w:lang w:eastAsia="en-US"/>
        </w:rPr>
        <w:t xml:space="preserve">ériode de mise en œuvre : </w:t>
      </w:r>
    </w:p>
    <w:p w14:paraId="3965E893" w14:textId="33CACE60" w:rsidR="003A7507" w:rsidRPr="007C44B3" w:rsidRDefault="003A7507" w:rsidP="003A7507">
      <w:pPr>
        <w:ind w:left="1080"/>
        <w:rPr>
          <w:rFonts w:ascii="Calibri" w:hAnsi="Calibri"/>
          <w:sz w:val="22"/>
          <w:szCs w:val="22"/>
        </w:rPr>
      </w:pPr>
    </w:p>
    <w:p w14:paraId="3F1E87E4" w14:textId="608817E2" w:rsidR="004F21FF" w:rsidRPr="007C44B3" w:rsidRDefault="004F21FF" w:rsidP="004F21FF">
      <w:pPr>
        <w:jc w:val="both"/>
        <w:rPr>
          <w:rFonts w:ascii="Calibri" w:hAnsi="Calibri"/>
          <w:sz w:val="22"/>
          <w:szCs w:val="22"/>
        </w:rPr>
      </w:pPr>
      <w:r w:rsidRPr="007C44B3">
        <w:rPr>
          <w:rFonts w:ascii="Calibri" w:hAnsi="Calibri"/>
          <w:sz w:val="22"/>
          <w:szCs w:val="22"/>
        </w:rPr>
        <w:t>La m</w:t>
      </w:r>
      <w:r w:rsidR="00850FC1" w:rsidRPr="007C44B3">
        <w:rPr>
          <w:rFonts w:ascii="Calibri" w:hAnsi="Calibri"/>
          <w:sz w:val="22"/>
          <w:szCs w:val="22"/>
        </w:rPr>
        <w:t xml:space="preserve">ission </w:t>
      </w:r>
      <w:r w:rsidRPr="007C44B3">
        <w:rPr>
          <w:rFonts w:ascii="Calibri" w:hAnsi="Calibri"/>
          <w:sz w:val="22"/>
          <w:szCs w:val="22"/>
        </w:rPr>
        <w:t>nécessitera des déplacements dans la capitale de</w:t>
      </w:r>
      <w:r w:rsidR="00850FC1" w:rsidRPr="007C44B3">
        <w:rPr>
          <w:rFonts w:ascii="Calibri" w:hAnsi="Calibri"/>
          <w:sz w:val="22"/>
          <w:szCs w:val="22"/>
        </w:rPr>
        <w:t xml:space="preserve"> Conakry</w:t>
      </w:r>
      <w:r w:rsidR="00565B14" w:rsidRPr="007C44B3">
        <w:rPr>
          <w:rFonts w:ascii="Calibri" w:hAnsi="Calibri"/>
          <w:sz w:val="22"/>
          <w:szCs w:val="22"/>
        </w:rPr>
        <w:t xml:space="preserve"> et dans les 7 régions administratives</w:t>
      </w:r>
      <w:r w:rsidRPr="007C44B3">
        <w:rPr>
          <w:rFonts w:ascii="Calibri" w:hAnsi="Calibri"/>
          <w:sz w:val="22"/>
          <w:szCs w:val="22"/>
        </w:rPr>
        <w:t xml:space="preserve"> de la Guinée.</w:t>
      </w:r>
    </w:p>
    <w:p w14:paraId="7144CFF3" w14:textId="77777777" w:rsidR="004F21FF" w:rsidRPr="007C44B3" w:rsidRDefault="004F21FF" w:rsidP="00850FC1">
      <w:pPr>
        <w:rPr>
          <w:rFonts w:ascii="Calibri" w:hAnsi="Calibri"/>
          <w:sz w:val="22"/>
          <w:szCs w:val="22"/>
        </w:rPr>
      </w:pPr>
    </w:p>
    <w:p w14:paraId="065C09E0" w14:textId="025ED0D7" w:rsidR="00850FC1" w:rsidRPr="007C44B3" w:rsidRDefault="00850FC1" w:rsidP="00850FC1">
      <w:pPr>
        <w:rPr>
          <w:rFonts w:ascii="Calibri" w:hAnsi="Calibri"/>
          <w:sz w:val="22"/>
          <w:szCs w:val="22"/>
        </w:rPr>
      </w:pPr>
      <w:r w:rsidRPr="007C44B3">
        <w:rPr>
          <w:rFonts w:ascii="Calibri" w:hAnsi="Calibri"/>
          <w:sz w:val="22"/>
          <w:szCs w:val="22"/>
        </w:rPr>
        <w:t>La durée de la missi</w:t>
      </w:r>
      <w:r w:rsidR="0094766A" w:rsidRPr="007C44B3">
        <w:rPr>
          <w:rFonts w:ascii="Calibri" w:hAnsi="Calibri"/>
          <w:sz w:val="22"/>
          <w:szCs w:val="22"/>
        </w:rPr>
        <w:t xml:space="preserve">on est </w:t>
      </w:r>
      <w:r w:rsidR="004F21FF" w:rsidRPr="007C44B3">
        <w:rPr>
          <w:rFonts w:ascii="Calibri" w:hAnsi="Calibri"/>
          <w:sz w:val="22"/>
          <w:szCs w:val="22"/>
        </w:rPr>
        <w:t>estimée à</w:t>
      </w:r>
      <w:r w:rsidR="0094766A" w:rsidRPr="007C44B3">
        <w:rPr>
          <w:rFonts w:ascii="Calibri" w:hAnsi="Calibri"/>
          <w:sz w:val="22"/>
          <w:szCs w:val="22"/>
        </w:rPr>
        <w:t xml:space="preserve"> </w:t>
      </w:r>
      <w:r w:rsidR="00B10CB9" w:rsidRPr="007C44B3">
        <w:rPr>
          <w:rFonts w:ascii="Calibri" w:hAnsi="Calibri"/>
          <w:sz w:val="22"/>
          <w:szCs w:val="22"/>
        </w:rPr>
        <w:t>67</w:t>
      </w:r>
      <w:r w:rsidRPr="007C44B3">
        <w:rPr>
          <w:rFonts w:ascii="Calibri" w:hAnsi="Calibri"/>
          <w:sz w:val="22"/>
          <w:szCs w:val="22"/>
        </w:rPr>
        <w:t xml:space="preserve"> jours </w:t>
      </w:r>
      <w:r w:rsidR="00B10CB9" w:rsidRPr="007C44B3">
        <w:rPr>
          <w:rFonts w:ascii="Calibri" w:hAnsi="Calibri"/>
          <w:sz w:val="22"/>
          <w:szCs w:val="22"/>
        </w:rPr>
        <w:t>ouvrés</w:t>
      </w:r>
      <w:r w:rsidR="0094766A" w:rsidRPr="007C44B3">
        <w:rPr>
          <w:rFonts w:ascii="Calibri" w:hAnsi="Calibri"/>
          <w:sz w:val="22"/>
          <w:szCs w:val="22"/>
        </w:rPr>
        <w:t xml:space="preserve"> dont </w:t>
      </w:r>
      <w:r w:rsidR="000C4C71" w:rsidRPr="007C44B3">
        <w:rPr>
          <w:rFonts w:ascii="Calibri" w:hAnsi="Calibri"/>
          <w:sz w:val="22"/>
          <w:szCs w:val="22"/>
        </w:rPr>
        <w:t xml:space="preserve">(cf. détails §5 « planning ») </w:t>
      </w:r>
      <w:r w:rsidRPr="007C44B3">
        <w:rPr>
          <w:rFonts w:ascii="Calibri" w:hAnsi="Calibri"/>
          <w:sz w:val="22"/>
          <w:szCs w:val="22"/>
        </w:rPr>
        <w:t>:</w:t>
      </w:r>
    </w:p>
    <w:p w14:paraId="5326E7B3" w14:textId="77777777" w:rsidR="00E60F40" w:rsidRPr="007C44B3" w:rsidRDefault="00E60F40" w:rsidP="00850FC1">
      <w:pPr>
        <w:rPr>
          <w:rFonts w:ascii="Calibri" w:hAnsi="Calibri"/>
          <w:sz w:val="22"/>
          <w:szCs w:val="22"/>
        </w:rPr>
      </w:pPr>
    </w:p>
    <w:p w14:paraId="12C4ABFA" w14:textId="37497C98" w:rsidR="00850FC1" w:rsidRPr="007C44B3" w:rsidRDefault="00995733" w:rsidP="00850FC1">
      <w:pPr>
        <w:pStyle w:val="Paragraphedeliste"/>
        <w:numPr>
          <w:ilvl w:val="0"/>
          <w:numId w:val="16"/>
        </w:numPr>
        <w:rPr>
          <w:rFonts w:ascii="Calibri" w:hAnsi="Calibri"/>
          <w:sz w:val="22"/>
          <w:szCs w:val="22"/>
        </w:rPr>
      </w:pPr>
      <w:r w:rsidRPr="007C44B3">
        <w:rPr>
          <w:rFonts w:ascii="Calibri" w:hAnsi="Calibri"/>
          <w:sz w:val="22"/>
          <w:szCs w:val="22"/>
        </w:rPr>
        <w:t>37</w:t>
      </w:r>
      <w:r w:rsidR="00850FC1" w:rsidRPr="007C44B3">
        <w:rPr>
          <w:rFonts w:ascii="Calibri" w:hAnsi="Calibri"/>
          <w:sz w:val="22"/>
          <w:szCs w:val="22"/>
        </w:rPr>
        <w:t xml:space="preserve"> jours</w:t>
      </w:r>
      <w:r w:rsidR="00B10CB9" w:rsidRPr="007C44B3">
        <w:rPr>
          <w:rFonts w:ascii="Calibri" w:hAnsi="Calibri"/>
          <w:sz w:val="22"/>
          <w:szCs w:val="22"/>
        </w:rPr>
        <w:t xml:space="preserve"> pour un expert international </w:t>
      </w:r>
      <w:r w:rsidR="00B10CB9" w:rsidRPr="007C44B3">
        <w:rPr>
          <w:rFonts w:ascii="Calibri" w:hAnsi="Calibri"/>
          <w:b/>
          <w:sz w:val="22"/>
          <w:szCs w:val="22"/>
        </w:rPr>
        <w:t>avec des d</w:t>
      </w:r>
      <w:r w:rsidR="004F21FF" w:rsidRPr="007C44B3">
        <w:rPr>
          <w:rFonts w:ascii="Calibri" w:hAnsi="Calibri"/>
          <w:b/>
          <w:sz w:val="22"/>
          <w:szCs w:val="22"/>
        </w:rPr>
        <w:t>éplacements dans la capitale et les régions de la Guinée</w:t>
      </w:r>
      <w:r w:rsidR="005C3907" w:rsidRPr="007C44B3">
        <w:rPr>
          <w:rFonts w:ascii="Calibri" w:hAnsi="Calibri"/>
          <w:sz w:val="22"/>
          <w:szCs w:val="22"/>
        </w:rPr>
        <w:t xml:space="preserve"> (passage dans les 3 </w:t>
      </w:r>
      <w:r w:rsidR="004F21FF" w:rsidRPr="007C44B3">
        <w:rPr>
          <w:rFonts w:ascii="Calibri" w:hAnsi="Calibri"/>
          <w:sz w:val="22"/>
          <w:szCs w:val="22"/>
        </w:rPr>
        <w:t>hôpitaux Nationaux, l’ANSS, l’institut national de la santé publique (INSP) et</w:t>
      </w:r>
      <w:r w:rsidR="005C3907" w:rsidRPr="007C44B3">
        <w:rPr>
          <w:rFonts w:ascii="Calibri" w:hAnsi="Calibri"/>
          <w:sz w:val="22"/>
          <w:szCs w:val="22"/>
        </w:rPr>
        <w:t xml:space="preserve"> les 7 HR des régions adminis</w:t>
      </w:r>
      <w:r w:rsidR="004F21FF" w:rsidRPr="007C44B3">
        <w:rPr>
          <w:rFonts w:ascii="Calibri" w:hAnsi="Calibri"/>
          <w:sz w:val="22"/>
          <w:szCs w:val="22"/>
        </w:rPr>
        <w:t>tr</w:t>
      </w:r>
      <w:r w:rsidR="00B10CB9" w:rsidRPr="007C44B3">
        <w:rPr>
          <w:rFonts w:ascii="Calibri" w:hAnsi="Calibri"/>
          <w:sz w:val="22"/>
          <w:szCs w:val="22"/>
        </w:rPr>
        <w:t xml:space="preserve">atives </w:t>
      </w:r>
      <w:r w:rsidR="00E60F40" w:rsidRPr="007C44B3">
        <w:rPr>
          <w:rFonts w:ascii="Calibri" w:hAnsi="Calibri"/>
          <w:sz w:val="22"/>
          <w:szCs w:val="22"/>
        </w:rPr>
        <w:t>;</w:t>
      </w:r>
    </w:p>
    <w:p w14:paraId="54A67860" w14:textId="0C021818" w:rsidR="00850FC1" w:rsidRPr="007C44B3" w:rsidRDefault="00B10CB9" w:rsidP="00FF4AF2">
      <w:pPr>
        <w:pStyle w:val="Paragraphedeliste"/>
        <w:numPr>
          <w:ilvl w:val="0"/>
          <w:numId w:val="16"/>
        </w:numPr>
        <w:rPr>
          <w:rFonts w:ascii="Calibri" w:hAnsi="Calibri"/>
          <w:sz w:val="22"/>
          <w:szCs w:val="22"/>
        </w:rPr>
      </w:pPr>
      <w:r w:rsidRPr="007C44B3">
        <w:rPr>
          <w:rFonts w:ascii="Calibri" w:hAnsi="Calibri"/>
          <w:sz w:val="22"/>
          <w:szCs w:val="22"/>
        </w:rPr>
        <w:t xml:space="preserve">30 </w:t>
      </w:r>
      <w:r w:rsidR="0001310E" w:rsidRPr="007C44B3">
        <w:rPr>
          <w:rFonts w:ascii="Calibri" w:hAnsi="Calibri"/>
          <w:sz w:val="22"/>
          <w:szCs w:val="22"/>
        </w:rPr>
        <w:t xml:space="preserve">jours </w:t>
      </w:r>
      <w:r w:rsidRPr="007C44B3">
        <w:rPr>
          <w:rFonts w:ascii="Calibri" w:hAnsi="Calibri"/>
          <w:sz w:val="22"/>
          <w:szCs w:val="22"/>
        </w:rPr>
        <w:t xml:space="preserve">pour un expert national pour accompagner l’expert international dans la réalisation du diagnostic (préparation, déplacements, </w:t>
      </w:r>
      <w:r w:rsidR="004A60F2" w:rsidRPr="007C44B3">
        <w:rPr>
          <w:rFonts w:ascii="Calibri" w:hAnsi="Calibri"/>
          <w:sz w:val="22"/>
          <w:szCs w:val="22"/>
        </w:rPr>
        <w:t xml:space="preserve">contribution à la </w:t>
      </w:r>
      <w:r w:rsidRPr="007C44B3">
        <w:rPr>
          <w:rFonts w:ascii="Calibri" w:hAnsi="Calibri"/>
          <w:sz w:val="22"/>
          <w:szCs w:val="22"/>
        </w:rPr>
        <w:t xml:space="preserve">rédaction des rapports et feuille de route, </w:t>
      </w:r>
      <w:r w:rsidR="004A60F2" w:rsidRPr="007C44B3">
        <w:rPr>
          <w:rFonts w:ascii="Calibri" w:hAnsi="Calibri"/>
          <w:sz w:val="22"/>
          <w:szCs w:val="22"/>
        </w:rPr>
        <w:t>contribution à la</w:t>
      </w:r>
      <w:r w:rsidRPr="007C44B3">
        <w:rPr>
          <w:rFonts w:ascii="Calibri" w:hAnsi="Calibri"/>
          <w:sz w:val="22"/>
          <w:szCs w:val="22"/>
        </w:rPr>
        <w:t xml:space="preserve"> restitution </w:t>
      </w:r>
      <w:r w:rsidR="000C4C71" w:rsidRPr="007C44B3">
        <w:rPr>
          <w:rFonts w:ascii="Calibri" w:hAnsi="Calibri"/>
          <w:sz w:val="22"/>
          <w:szCs w:val="22"/>
        </w:rPr>
        <w:t>auprès du ministère de la Santé</w:t>
      </w:r>
      <w:r w:rsidR="004A60F2" w:rsidRPr="007C44B3">
        <w:rPr>
          <w:rFonts w:ascii="Calibri" w:hAnsi="Calibri"/>
          <w:sz w:val="22"/>
          <w:szCs w:val="22"/>
        </w:rPr>
        <w:t>)</w:t>
      </w:r>
    </w:p>
    <w:p w14:paraId="1897A694" w14:textId="77777777" w:rsidR="00850FC1" w:rsidRPr="007C44B3" w:rsidRDefault="00850FC1" w:rsidP="003A7507">
      <w:pPr>
        <w:ind w:left="1080"/>
        <w:rPr>
          <w:rFonts w:ascii="Calibri" w:hAnsi="Calibri"/>
          <w:sz w:val="22"/>
          <w:szCs w:val="22"/>
        </w:rPr>
      </w:pPr>
    </w:p>
    <w:p w14:paraId="15982D84" w14:textId="768EFDFC" w:rsidR="003A7507" w:rsidRPr="007C44B3" w:rsidRDefault="003A7507" w:rsidP="00DF6355">
      <w:pPr>
        <w:numPr>
          <w:ilvl w:val="1"/>
          <w:numId w:val="2"/>
        </w:numPr>
        <w:tabs>
          <w:tab w:val="num" w:pos="900"/>
        </w:tabs>
        <w:ind w:left="900"/>
        <w:jc w:val="both"/>
        <w:rPr>
          <w:rFonts w:ascii="Calibri" w:hAnsi="Calibri"/>
          <w:sz w:val="22"/>
          <w:szCs w:val="22"/>
        </w:rPr>
      </w:pPr>
      <w:r w:rsidRPr="007C44B3">
        <w:rPr>
          <w:rFonts w:ascii="Calibri" w:eastAsia="Arial Unicode MS" w:hAnsi="Calibri" w:cs="Arial Unicode MS"/>
          <w:b/>
          <w:sz w:val="22"/>
          <w:szCs w:val="22"/>
          <w:lang w:eastAsia="en-US"/>
        </w:rPr>
        <w:t>Date de démarrage :</w:t>
      </w:r>
      <w:r w:rsidR="00060146" w:rsidRPr="007C44B3">
        <w:rPr>
          <w:rFonts w:ascii="Calibri" w:eastAsia="Arial Unicode MS" w:hAnsi="Calibri" w:cs="Arial Unicode MS"/>
          <w:b/>
          <w:sz w:val="22"/>
          <w:szCs w:val="22"/>
          <w:lang w:eastAsia="en-US"/>
        </w:rPr>
        <w:t xml:space="preserve"> </w:t>
      </w:r>
    </w:p>
    <w:p w14:paraId="0A16D9D4" w14:textId="44A39606" w:rsidR="00AC0DEF" w:rsidRPr="007C44B3" w:rsidRDefault="00AC0DEF" w:rsidP="00AC0DEF">
      <w:pPr>
        <w:jc w:val="both"/>
        <w:rPr>
          <w:rFonts w:ascii="Calibri" w:hAnsi="Calibri"/>
          <w:sz w:val="22"/>
          <w:szCs w:val="22"/>
        </w:rPr>
      </w:pPr>
    </w:p>
    <w:p w14:paraId="5E1C5968" w14:textId="77777777" w:rsidR="00EA4D88" w:rsidRPr="007C44B3" w:rsidRDefault="00EA4D88" w:rsidP="00EA4D88">
      <w:pPr>
        <w:pStyle w:val="Paragraphedeliste"/>
        <w:rPr>
          <w:rFonts w:ascii="Calibri" w:hAnsi="Calibri"/>
          <w:sz w:val="22"/>
          <w:szCs w:val="22"/>
        </w:rPr>
      </w:pPr>
      <w:r w:rsidRPr="007C44B3">
        <w:rPr>
          <w:rFonts w:ascii="Calibri" w:hAnsi="Calibri"/>
          <w:sz w:val="22"/>
          <w:szCs w:val="22"/>
        </w:rPr>
        <w:t>La mission débutera dès le recrutement de l’expert ou des experts :</w:t>
      </w:r>
    </w:p>
    <w:p w14:paraId="52BF436A" w14:textId="77777777" w:rsidR="00EA4D88" w:rsidRPr="007C44B3" w:rsidRDefault="00EA4D88" w:rsidP="00AC0DEF">
      <w:pPr>
        <w:jc w:val="both"/>
        <w:rPr>
          <w:rFonts w:ascii="Calibri" w:hAnsi="Calibri"/>
          <w:sz w:val="22"/>
          <w:szCs w:val="22"/>
        </w:rPr>
      </w:pPr>
    </w:p>
    <w:p w14:paraId="2FC22AC2" w14:textId="3326144A" w:rsidR="00EA4D88" w:rsidRPr="007C44B3" w:rsidRDefault="00EA4D88" w:rsidP="00EA4D88">
      <w:pPr>
        <w:pStyle w:val="Paragraphedeliste"/>
        <w:numPr>
          <w:ilvl w:val="0"/>
          <w:numId w:val="14"/>
        </w:numPr>
        <w:rPr>
          <w:rFonts w:ascii="Calibri" w:hAnsi="Calibri"/>
          <w:sz w:val="22"/>
          <w:szCs w:val="22"/>
        </w:rPr>
      </w:pPr>
      <w:r w:rsidRPr="007C44B3">
        <w:rPr>
          <w:rFonts w:ascii="Calibri" w:hAnsi="Calibri"/>
          <w:sz w:val="22"/>
          <w:szCs w:val="22"/>
        </w:rPr>
        <w:t>Le recrutement (planification initiale prévue en juin 2021</w:t>
      </w:r>
      <w:r w:rsidR="00D26257" w:rsidRPr="007C44B3">
        <w:rPr>
          <w:rFonts w:ascii="Calibri" w:hAnsi="Calibri"/>
          <w:sz w:val="22"/>
          <w:szCs w:val="22"/>
        </w:rPr>
        <w:t>),</w:t>
      </w:r>
      <w:r w:rsidR="00B10CB9" w:rsidRPr="007C44B3">
        <w:rPr>
          <w:rFonts w:ascii="Calibri" w:hAnsi="Calibri"/>
          <w:sz w:val="22"/>
          <w:szCs w:val="22"/>
        </w:rPr>
        <w:t xml:space="preserve"> </w:t>
      </w:r>
    </w:p>
    <w:p w14:paraId="3476C18C" w14:textId="6DEDD586" w:rsidR="00EA4D88" w:rsidRPr="007C44B3" w:rsidRDefault="00784721" w:rsidP="00EA4D88">
      <w:pPr>
        <w:pStyle w:val="Paragraphedeliste"/>
        <w:numPr>
          <w:ilvl w:val="0"/>
          <w:numId w:val="14"/>
        </w:numPr>
        <w:rPr>
          <w:rFonts w:ascii="Calibri" w:hAnsi="Calibri"/>
          <w:sz w:val="22"/>
          <w:szCs w:val="22"/>
        </w:rPr>
      </w:pPr>
      <w:r w:rsidRPr="007C44B3">
        <w:rPr>
          <w:rFonts w:ascii="Calibri" w:hAnsi="Calibri"/>
          <w:sz w:val="22"/>
          <w:szCs w:val="22"/>
        </w:rPr>
        <w:t>L’exécution de la mission</w:t>
      </w:r>
      <w:r w:rsidR="00EA4D88" w:rsidRPr="007C44B3">
        <w:rPr>
          <w:rFonts w:ascii="Calibri" w:hAnsi="Calibri"/>
          <w:sz w:val="22"/>
          <w:szCs w:val="22"/>
        </w:rPr>
        <w:t xml:space="preserve"> (plani</w:t>
      </w:r>
      <w:r w:rsidR="00A46D4B" w:rsidRPr="007C44B3">
        <w:rPr>
          <w:rFonts w:ascii="Calibri" w:hAnsi="Calibri"/>
          <w:sz w:val="22"/>
          <w:szCs w:val="22"/>
        </w:rPr>
        <w:t xml:space="preserve">fication initiale </w:t>
      </w:r>
      <w:r w:rsidR="0095553E" w:rsidRPr="007C44B3">
        <w:rPr>
          <w:rFonts w:ascii="Calibri" w:hAnsi="Calibri"/>
          <w:sz w:val="22"/>
          <w:szCs w:val="22"/>
        </w:rPr>
        <w:t>d</w:t>
      </w:r>
      <w:r w:rsidR="00F20DD4" w:rsidRPr="007C44B3">
        <w:rPr>
          <w:rFonts w:ascii="Calibri" w:hAnsi="Calibri"/>
          <w:sz w:val="22"/>
          <w:szCs w:val="22"/>
        </w:rPr>
        <w:t>u début des prestations pour début septembre 2021)</w:t>
      </w:r>
    </w:p>
    <w:p w14:paraId="19AA9632" w14:textId="77777777" w:rsidR="00EA4D88" w:rsidRPr="007C44B3" w:rsidRDefault="00EA4D88" w:rsidP="00AC0DEF">
      <w:pPr>
        <w:jc w:val="both"/>
        <w:rPr>
          <w:rFonts w:ascii="Calibri" w:hAnsi="Calibri"/>
          <w:sz w:val="22"/>
          <w:szCs w:val="22"/>
        </w:rPr>
      </w:pPr>
    </w:p>
    <w:p w14:paraId="4476555E" w14:textId="34B7F467" w:rsidR="003A7507" w:rsidRPr="007C44B3" w:rsidRDefault="003A7507" w:rsidP="00DF6355">
      <w:pPr>
        <w:numPr>
          <w:ilvl w:val="1"/>
          <w:numId w:val="2"/>
        </w:numPr>
        <w:tabs>
          <w:tab w:val="num" w:pos="900"/>
        </w:tabs>
        <w:ind w:left="900"/>
        <w:jc w:val="both"/>
        <w:rPr>
          <w:rFonts w:ascii="Calibri" w:hAnsi="Calibri"/>
          <w:sz w:val="22"/>
          <w:szCs w:val="22"/>
        </w:rPr>
      </w:pPr>
      <w:r w:rsidRPr="007C44B3">
        <w:rPr>
          <w:rFonts w:ascii="Calibri" w:eastAsia="Arial Unicode MS" w:hAnsi="Calibri" w:cs="Arial Unicode MS"/>
          <w:b/>
          <w:sz w:val="22"/>
          <w:szCs w:val="22"/>
          <w:lang w:eastAsia="en-US"/>
        </w:rPr>
        <w:t xml:space="preserve">Date de fin : </w:t>
      </w:r>
    </w:p>
    <w:p w14:paraId="68133FA5" w14:textId="0CF46E49" w:rsidR="006B5831" w:rsidRPr="007C44B3" w:rsidRDefault="006B5831" w:rsidP="006B5831">
      <w:pPr>
        <w:pStyle w:val="Paragraphedeliste"/>
        <w:rPr>
          <w:rFonts w:ascii="Calibri" w:hAnsi="Calibri"/>
          <w:sz w:val="22"/>
          <w:szCs w:val="22"/>
        </w:rPr>
      </w:pPr>
    </w:p>
    <w:p w14:paraId="2CDE3B23" w14:textId="2C9567A7" w:rsidR="000174EF" w:rsidRPr="007C44B3" w:rsidRDefault="00FF4AF2" w:rsidP="000174EF">
      <w:pPr>
        <w:rPr>
          <w:rFonts w:ascii="Calibri" w:hAnsi="Calibri"/>
          <w:sz w:val="22"/>
          <w:szCs w:val="22"/>
        </w:rPr>
      </w:pPr>
      <w:r w:rsidRPr="007C44B3">
        <w:rPr>
          <w:rFonts w:ascii="Calibri" w:hAnsi="Calibri"/>
          <w:sz w:val="22"/>
          <w:szCs w:val="22"/>
        </w:rPr>
        <w:t>La date de fin</w:t>
      </w:r>
      <w:r w:rsidR="00492CE6" w:rsidRPr="007C44B3">
        <w:rPr>
          <w:rFonts w:ascii="Calibri" w:hAnsi="Calibri"/>
          <w:sz w:val="22"/>
          <w:szCs w:val="22"/>
        </w:rPr>
        <w:t xml:space="preserve"> de la mission est prévue pour</w:t>
      </w:r>
      <w:r w:rsidR="004F21FF" w:rsidRPr="007C44B3">
        <w:rPr>
          <w:rFonts w:ascii="Calibri" w:hAnsi="Calibri"/>
          <w:sz w:val="22"/>
          <w:szCs w:val="22"/>
        </w:rPr>
        <w:t xml:space="preserve"> une date limite de décembre</w:t>
      </w:r>
      <w:r w:rsidR="00492CE6" w:rsidRPr="007C44B3">
        <w:rPr>
          <w:rFonts w:ascii="Calibri" w:hAnsi="Calibri"/>
          <w:sz w:val="22"/>
          <w:szCs w:val="22"/>
        </w:rPr>
        <w:t xml:space="preserve"> 20</w:t>
      </w:r>
      <w:r w:rsidRPr="007C44B3">
        <w:rPr>
          <w:rFonts w:ascii="Calibri" w:hAnsi="Calibri"/>
          <w:sz w:val="22"/>
          <w:szCs w:val="22"/>
        </w:rPr>
        <w:t>21.</w:t>
      </w:r>
      <w:r w:rsidR="00492CE6" w:rsidRPr="007C44B3">
        <w:rPr>
          <w:rFonts w:ascii="Calibri" w:hAnsi="Calibri"/>
          <w:sz w:val="22"/>
          <w:szCs w:val="22"/>
        </w:rPr>
        <w:t xml:space="preserve"> </w:t>
      </w:r>
    </w:p>
    <w:p w14:paraId="7AB62F55" w14:textId="77777777" w:rsidR="00182235" w:rsidRPr="007C44B3" w:rsidRDefault="00182235" w:rsidP="000174EF">
      <w:pPr>
        <w:rPr>
          <w:rFonts w:ascii="Calibri" w:hAnsi="Calibri"/>
          <w:sz w:val="22"/>
          <w:szCs w:val="22"/>
        </w:rPr>
      </w:pPr>
    </w:p>
    <w:p w14:paraId="2606381B" w14:textId="6446A174" w:rsidR="003A7507" w:rsidRPr="007C44B3" w:rsidRDefault="003A7507"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 xml:space="preserve">Planning/calendrier : </w:t>
      </w:r>
    </w:p>
    <w:p w14:paraId="0E18B734" w14:textId="77777777" w:rsidR="0060389B" w:rsidRPr="007C44B3" w:rsidRDefault="0060389B" w:rsidP="0060389B">
      <w:pPr>
        <w:pStyle w:val="Paragraphedeliste"/>
        <w:rPr>
          <w:rFonts w:ascii="Calibri" w:eastAsia="Arial Unicode MS" w:hAnsi="Calibri" w:cs="Arial Unicode MS"/>
          <w:b/>
          <w:sz w:val="22"/>
          <w:szCs w:val="22"/>
          <w:lang w:eastAsia="en-US"/>
        </w:rPr>
      </w:pPr>
    </w:p>
    <w:p w14:paraId="2ACBEEA3" w14:textId="77777777" w:rsidR="003A7507" w:rsidRPr="007C44B3" w:rsidRDefault="003A7507" w:rsidP="003A7507">
      <w:pPr>
        <w:jc w:val="both"/>
        <w:rPr>
          <w:rFonts w:ascii="Calibri" w:hAnsi="Calibri"/>
          <w:i/>
          <w:sz w:val="22"/>
          <w:szCs w:val="22"/>
        </w:rPr>
      </w:pPr>
      <w:r w:rsidRPr="007C44B3">
        <w:rPr>
          <w:rFonts w:ascii="Calibri" w:hAnsi="Calibri"/>
          <w:i/>
          <w:sz w:val="22"/>
          <w:szCs w:val="22"/>
        </w:rPr>
        <w:t>Le calendrier prévisionnel d’exécution des missions se présente comme suit :</w:t>
      </w:r>
    </w:p>
    <w:p w14:paraId="6C8EA2D4" w14:textId="77777777" w:rsidR="009236DE" w:rsidRPr="007C44B3" w:rsidRDefault="009236DE" w:rsidP="009236DE">
      <w:pPr>
        <w:tabs>
          <w:tab w:val="left" w:pos="2145"/>
        </w:tabs>
        <w:rPr>
          <w:rFonts w:ascii="Calibri" w:hAnsi="Calibri"/>
          <w:sz w:val="22"/>
          <w:szCs w:val="22"/>
        </w:rPr>
      </w:pPr>
      <w:r w:rsidRPr="007C44B3">
        <w:rPr>
          <w:rFonts w:ascii="Calibri" w:hAnsi="Calibri"/>
          <w:sz w:val="22"/>
          <w:szCs w:val="22"/>
        </w:rPr>
        <w:tab/>
      </w:r>
    </w:p>
    <w:tbl>
      <w:tblPr>
        <w:tblStyle w:val="Grilledutableau1"/>
        <w:tblW w:w="0" w:type="auto"/>
        <w:jc w:val="center"/>
        <w:tblLook w:val="04A0" w:firstRow="1" w:lastRow="0" w:firstColumn="1" w:lastColumn="0" w:noHBand="0" w:noVBand="1"/>
      </w:tblPr>
      <w:tblGrid>
        <w:gridCol w:w="3640"/>
        <w:gridCol w:w="1303"/>
        <w:gridCol w:w="1119"/>
        <w:gridCol w:w="1639"/>
        <w:gridCol w:w="1361"/>
      </w:tblGrid>
      <w:tr w:rsidR="007C44B3" w:rsidRPr="007C44B3" w14:paraId="34B37B3D" w14:textId="77777777" w:rsidTr="00C012A8">
        <w:trPr>
          <w:trHeight w:val="288"/>
          <w:jc w:val="center"/>
        </w:trPr>
        <w:tc>
          <w:tcPr>
            <w:tcW w:w="3756" w:type="dxa"/>
            <w:tcBorders>
              <w:bottom w:val="nil"/>
            </w:tcBorders>
            <w:shd w:val="clear" w:color="auto" w:fill="D9D9D9" w:themeFill="background1" w:themeFillShade="D9"/>
          </w:tcPr>
          <w:p w14:paraId="37098106" w14:textId="77777777" w:rsidR="00A549E0" w:rsidRPr="007C44B3" w:rsidRDefault="00A549E0" w:rsidP="00A549E0">
            <w:pPr>
              <w:jc w:val="center"/>
              <w:rPr>
                <w:rFonts w:ascii="Calibri" w:eastAsia="Times New Roman" w:hAnsi="Calibri" w:cs="Times New Roman"/>
                <w:b/>
                <w:lang w:eastAsia="fr-FR"/>
              </w:rPr>
            </w:pPr>
            <w:r w:rsidRPr="007C44B3">
              <w:rPr>
                <w:rFonts w:ascii="Calibri" w:hAnsi="Calibri"/>
                <w:b/>
              </w:rPr>
              <w:t>Activités</w:t>
            </w:r>
          </w:p>
        </w:tc>
        <w:tc>
          <w:tcPr>
            <w:tcW w:w="1187" w:type="dxa"/>
            <w:vMerge w:val="restart"/>
            <w:shd w:val="clear" w:color="auto" w:fill="D9D9D9" w:themeFill="background1" w:themeFillShade="D9"/>
          </w:tcPr>
          <w:p w14:paraId="02A78D23" w14:textId="77777777" w:rsidR="00A549E0" w:rsidRPr="007C44B3" w:rsidRDefault="00A549E0" w:rsidP="007B7543">
            <w:pPr>
              <w:jc w:val="center"/>
              <w:rPr>
                <w:rFonts w:ascii="Calibri" w:hAnsi="Calibri"/>
                <w:b/>
              </w:rPr>
            </w:pPr>
            <w:r w:rsidRPr="007C44B3">
              <w:rPr>
                <w:rFonts w:ascii="Calibri" w:hAnsi="Calibri"/>
                <w:b/>
              </w:rPr>
              <w:t>Lieu</w:t>
            </w:r>
          </w:p>
        </w:tc>
        <w:tc>
          <w:tcPr>
            <w:tcW w:w="1119" w:type="dxa"/>
            <w:vMerge w:val="restart"/>
            <w:shd w:val="clear" w:color="auto" w:fill="D9D9D9" w:themeFill="background1" w:themeFillShade="D9"/>
          </w:tcPr>
          <w:p w14:paraId="70DE35E7" w14:textId="77777777" w:rsidR="00A549E0" w:rsidRPr="007C44B3" w:rsidRDefault="00A549E0" w:rsidP="007B7543">
            <w:pPr>
              <w:jc w:val="center"/>
              <w:rPr>
                <w:rFonts w:ascii="Calibri" w:hAnsi="Calibri"/>
                <w:b/>
              </w:rPr>
            </w:pPr>
            <w:r w:rsidRPr="007C44B3">
              <w:rPr>
                <w:rFonts w:ascii="Calibri" w:hAnsi="Calibri"/>
                <w:b/>
              </w:rPr>
              <w:t>Période</w:t>
            </w:r>
          </w:p>
        </w:tc>
        <w:tc>
          <w:tcPr>
            <w:tcW w:w="1639" w:type="dxa"/>
            <w:vMerge w:val="restart"/>
            <w:shd w:val="clear" w:color="auto" w:fill="D9D9D9" w:themeFill="background1" w:themeFillShade="D9"/>
          </w:tcPr>
          <w:p w14:paraId="17C6D5FC" w14:textId="77777777" w:rsidR="00A549E0" w:rsidRPr="007C44B3" w:rsidRDefault="00A549E0" w:rsidP="00A549E0">
            <w:pPr>
              <w:jc w:val="center"/>
              <w:rPr>
                <w:rFonts w:ascii="Calibri" w:hAnsi="Calibri"/>
                <w:b/>
              </w:rPr>
            </w:pPr>
            <w:r w:rsidRPr="007C44B3">
              <w:rPr>
                <w:rFonts w:ascii="Calibri" w:hAnsi="Calibri"/>
                <w:b/>
              </w:rPr>
              <w:t>Durée (H/J)</w:t>
            </w:r>
          </w:p>
          <w:p w14:paraId="420BE0B7" w14:textId="1B31AFED" w:rsidR="00A549E0" w:rsidRPr="007C44B3" w:rsidRDefault="00C012A8" w:rsidP="00A549E0">
            <w:pPr>
              <w:spacing w:line="276" w:lineRule="auto"/>
              <w:jc w:val="center"/>
              <w:rPr>
                <w:rFonts w:ascii="Calibri" w:eastAsia="Times New Roman" w:hAnsi="Calibri" w:cs="Times New Roman"/>
                <w:b/>
                <w:lang w:eastAsia="fr-FR"/>
              </w:rPr>
            </w:pPr>
            <w:r w:rsidRPr="007C44B3">
              <w:rPr>
                <w:rFonts w:ascii="Calibri" w:hAnsi="Calibri"/>
                <w:b/>
              </w:rPr>
              <w:t>Expert international</w:t>
            </w:r>
            <w:r w:rsidR="00A549E0" w:rsidRPr="007C44B3">
              <w:rPr>
                <w:rFonts w:ascii="Calibri" w:hAnsi="Calibri"/>
                <w:b/>
              </w:rPr>
              <w:t> :</w:t>
            </w:r>
          </w:p>
        </w:tc>
        <w:tc>
          <w:tcPr>
            <w:tcW w:w="1361" w:type="dxa"/>
            <w:vMerge w:val="restart"/>
            <w:shd w:val="clear" w:color="auto" w:fill="D9D9D9" w:themeFill="background1" w:themeFillShade="D9"/>
          </w:tcPr>
          <w:p w14:paraId="7EBD3EAA" w14:textId="77777777" w:rsidR="00C012A8" w:rsidRPr="007C44B3" w:rsidRDefault="00C012A8" w:rsidP="00C012A8">
            <w:pPr>
              <w:jc w:val="center"/>
              <w:rPr>
                <w:rFonts w:ascii="Calibri" w:hAnsi="Calibri"/>
                <w:b/>
              </w:rPr>
            </w:pPr>
            <w:r w:rsidRPr="007C44B3">
              <w:rPr>
                <w:rFonts w:ascii="Calibri" w:hAnsi="Calibri"/>
                <w:b/>
              </w:rPr>
              <w:t>Durée (H/J)</w:t>
            </w:r>
          </w:p>
          <w:p w14:paraId="31FF92E7" w14:textId="3AD09F61" w:rsidR="00A549E0" w:rsidRPr="007C44B3" w:rsidRDefault="00C012A8" w:rsidP="00C012A8">
            <w:pPr>
              <w:spacing w:line="276" w:lineRule="auto"/>
              <w:jc w:val="center"/>
              <w:rPr>
                <w:rFonts w:ascii="Calibri" w:eastAsia="Times New Roman" w:hAnsi="Calibri" w:cs="Times New Roman"/>
                <w:b/>
                <w:lang w:eastAsia="fr-FR"/>
              </w:rPr>
            </w:pPr>
            <w:r w:rsidRPr="007C44B3">
              <w:rPr>
                <w:rFonts w:ascii="Calibri" w:hAnsi="Calibri"/>
                <w:b/>
              </w:rPr>
              <w:t>Expert national :</w:t>
            </w:r>
          </w:p>
        </w:tc>
      </w:tr>
      <w:tr w:rsidR="007C44B3" w:rsidRPr="007C44B3" w14:paraId="588506C0" w14:textId="77777777" w:rsidTr="00C012A8">
        <w:trPr>
          <w:trHeight w:val="81"/>
          <w:jc w:val="center"/>
        </w:trPr>
        <w:tc>
          <w:tcPr>
            <w:tcW w:w="3756" w:type="dxa"/>
            <w:tcBorders>
              <w:top w:val="nil"/>
            </w:tcBorders>
            <w:shd w:val="clear" w:color="auto" w:fill="D9D9D9" w:themeFill="background1" w:themeFillShade="D9"/>
          </w:tcPr>
          <w:p w14:paraId="648BAC66" w14:textId="77777777" w:rsidR="00A549E0" w:rsidRPr="007C44B3" w:rsidRDefault="00A549E0" w:rsidP="00AC0DEF">
            <w:pPr>
              <w:rPr>
                <w:sz w:val="20"/>
                <w:szCs w:val="20"/>
              </w:rPr>
            </w:pPr>
          </w:p>
        </w:tc>
        <w:tc>
          <w:tcPr>
            <w:tcW w:w="1187" w:type="dxa"/>
            <w:vMerge/>
            <w:shd w:val="clear" w:color="auto" w:fill="D9D9D9" w:themeFill="background1" w:themeFillShade="D9"/>
          </w:tcPr>
          <w:p w14:paraId="5D61ABB4" w14:textId="77777777" w:rsidR="00A549E0" w:rsidRPr="007C44B3" w:rsidRDefault="00A549E0" w:rsidP="00AC0DEF">
            <w:pPr>
              <w:spacing w:line="276" w:lineRule="auto"/>
              <w:jc w:val="center"/>
              <w:rPr>
                <w:sz w:val="20"/>
                <w:szCs w:val="20"/>
              </w:rPr>
            </w:pPr>
          </w:p>
        </w:tc>
        <w:tc>
          <w:tcPr>
            <w:tcW w:w="1119" w:type="dxa"/>
            <w:vMerge/>
            <w:shd w:val="clear" w:color="auto" w:fill="D9D9D9" w:themeFill="background1" w:themeFillShade="D9"/>
          </w:tcPr>
          <w:p w14:paraId="070512C1" w14:textId="77777777" w:rsidR="00A549E0" w:rsidRPr="007C44B3" w:rsidRDefault="00A549E0" w:rsidP="00AC0DEF">
            <w:pPr>
              <w:spacing w:line="276" w:lineRule="auto"/>
              <w:jc w:val="center"/>
              <w:rPr>
                <w:sz w:val="20"/>
                <w:szCs w:val="20"/>
              </w:rPr>
            </w:pPr>
          </w:p>
        </w:tc>
        <w:tc>
          <w:tcPr>
            <w:tcW w:w="1639" w:type="dxa"/>
            <w:vMerge/>
            <w:shd w:val="clear" w:color="auto" w:fill="D9D9D9" w:themeFill="background1" w:themeFillShade="D9"/>
          </w:tcPr>
          <w:p w14:paraId="68AD1AFA" w14:textId="77777777" w:rsidR="00A549E0" w:rsidRPr="007C44B3" w:rsidRDefault="00A549E0" w:rsidP="00AC0DEF">
            <w:pPr>
              <w:spacing w:line="276" w:lineRule="auto"/>
              <w:jc w:val="center"/>
              <w:rPr>
                <w:sz w:val="20"/>
                <w:szCs w:val="20"/>
              </w:rPr>
            </w:pPr>
          </w:p>
        </w:tc>
        <w:tc>
          <w:tcPr>
            <w:tcW w:w="1361" w:type="dxa"/>
            <w:vMerge/>
            <w:shd w:val="clear" w:color="auto" w:fill="D9D9D9" w:themeFill="background1" w:themeFillShade="D9"/>
          </w:tcPr>
          <w:p w14:paraId="53F0D0BF" w14:textId="77777777" w:rsidR="00A549E0" w:rsidRPr="007C44B3" w:rsidRDefault="00A549E0" w:rsidP="00AC0DEF">
            <w:pPr>
              <w:spacing w:line="276" w:lineRule="auto"/>
              <w:jc w:val="center"/>
              <w:rPr>
                <w:sz w:val="20"/>
                <w:szCs w:val="20"/>
              </w:rPr>
            </w:pPr>
          </w:p>
        </w:tc>
      </w:tr>
      <w:tr w:rsidR="007C44B3" w:rsidRPr="007C44B3" w14:paraId="4C36463F" w14:textId="77777777" w:rsidTr="00C012A8">
        <w:trPr>
          <w:jc w:val="center"/>
        </w:trPr>
        <w:tc>
          <w:tcPr>
            <w:tcW w:w="3756" w:type="dxa"/>
          </w:tcPr>
          <w:p w14:paraId="628C96BC" w14:textId="52D318BC" w:rsidR="00C012A8" w:rsidRPr="007C44B3" w:rsidRDefault="00C012A8" w:rsidP="00C012A8">
            <w:pPr>
              <w:rPr>
                <w:sz w:val="20"/>
                <w:szCs w:val="20"/>
              </w:rPr>
            </w:pPr>
            <w:r w:rsidRPr="007C44B3">
              <w:rPr>
                <w:sz w:val="20"/>
                <w:szCs w:val="20"/>
              </w:rPr>
              <w:t>Préparation de la mission</w:t>
            </w:r>
            <w:r w:rsidR="004E6DFB" w:rsidRPr="007C44B3">
              <w:rPr>
                <w:sz w:val="20"/>
                <w:szCs w:val="20"/>
              </w:rPr>
              <w:t xml:space="preserve"> (</w:t>
            </w:r>
            <w:r w:rsidRPr="007C44B3">
              <w:rPr>
                <w:sz w:val="20"/>
                <w:szCs w:val="20"/>
              </w:rPr>
              <w:t>appropriation des cadres juridiques, réglementaires et techniques des EPA santé)</w:t>
            </w:r>
          </w:p>
          <w:p w14:paraId="0260EC04" w14:textId="04251087" w:rsidR="004E6DFB" w:rsidRPr="007C44B3" w:rsidRDefault="004E6DFB" w:rsidP="00C012A8">
            <w:pPr>
              <w:rPr>
                <w:sz w:val="20"/>
                <w:szCs w:val="20"/>
              </w:rPr>
            </w:pPr>
            <w:r w:rsidRPr="007C44B3">
              <w:rPr>
                <w:sz w:val="20"/>
                <w:szCs w:val="20"/>
              </w:rPr>
              <w:t>Concertation avec l’expert national</w:t>
            </w:r>
          </w:p>
        </w:tc>
        <w:tc>
          <w:tcPr>
            <w:tcW w:w="1187" w:type="dxa"/>
          </w:tcPr>
          <w:p w14:paraId="5B4AF705" w14:textId="58256360" w:rsidR="00C012A8" w:rsidRPr="007C44B3" w:rsidRDefault="00C012A8" w:rsidP="003E196E">
            <w:pPr>
              <w:jc w:val="center"/>
              <w:rPr>
                <w:sz w:val="20"/>
                <w:szCs w:val="20"/>
              </w:rPr>
            </w:pPr>
            <w:r w:rsidRPr="007C44B3">
              <w:rPr>
                <w:sz w:val="20"/>
                <w:szCs w:val="20"/>
              </w:rPr>
              <w:t xml:space="preserve">Bureau </w:t>
            </w:r>
            <w:r w:rsidR="00811392" w:rsidRPr="007C44B3">
              <w:rPr>
                <w:sz w:val="20"/>
                <w:szCs w:val="20"/>
              </w:rPr>
              <w:t>consultant.e</w:t>
            </w:r>
            <w:r w:rsidRPr="007C44B3">
              <w:rPr>
                <w:sz w:val="20"/>
                <w:szCs w:val="20"/>
              </w:rPr>
              <w:t>/ Conakry</w:t>
            </w:r>
          </w:p>
        </w:tc>
        <w:tc>
          <w:tcPr>
            <w:tcW w:w="1119" w:type="dxa"/>
          </w:tcPr>
          <w:p w14:paraId="65F3630B" w14:textId="2D6230B8" w:rsidR="00C012A8" w:rsidRPr="007C44B3" w:rsidRDefault="00F87BBB" w:rsidP="00C012A8">
            <w:pPr>
              <w:jc w:val="center"/>
              <w:rPr>
                <w:sz w:val="20"/>
                <w:szCs w:val="20"/>
              </w:rPr>
            </w:pPr>
            <w:r w:rsidRPr="007C44B3">
              <w:rPr>
                <w:sz w:val="20"/>
                <w:szCs w:val="20"/>
              </w:rPr>
              <w:t xml:space="preserve">Août </w:t>
            </w:r>
            <w:r w:rsidR="004E6DFB" w:rsidRPr="007C44B3">
              <w:rPr>
                <w:sz w:val="20"/>
                <w:szCs w:val="20"/>
              </w:rPr>
              <w:t>2021</w:t>
            </w:r>
          </w:p>
        </w:tc>
        <w:tc>
          <w:tcPr>
            <w:tcW w:w="1639" w:type="dxa"/>
          </w:tcPr>
          <w:p w14:paraId="452B80E0" w14:textId="52B5A3D4" w:rsidR="00C012A8" w:rsidRPr="007C44B3" w:rsidRDefault="00C012A8" w:rsidP="00C012A8">
            <w:pPr>
              <w:jc w:val="center"/>
              <w:rPr>
                <w:sz w:val="20"/>
                <w:szCs w:val="20"/>
              </w:rPr>
            </w:pPr>
            <w:r w:rsidRPr="007C44B3">
              <w:rPr>
                <w:sz w:val="20"/>
                <w:szCs w:val="20"/>
              </w:rPr>
              <w:t>5 jrs</w:t>
            </w:r>
          </w:p>
        </w:tc>
        <w:tc>
          <w:tcPr>
            <w:tcW w:w="1361" w:type="dxa"/>
          </w:tcPr>
          <w:p w14:paraId="30FBF016" w14:textId="64C819AE" w:rsidR="00C012A8" w:rsidRPr="007C44B3" w:rsidRDefault="00C012A8" w:rsidP="00C012A8">
            <w:pPr>
              <w:jc w:val="center"/>
              <w:rPr>
                <w:sz w:val="20"/>
                <w:szCs w:val="20"/>
              </w:rPr>
            </w:pPr>
            <w:r w:rsidRPr="007C44B3">
              <w:rPr>
                <w:sz w:val="20"/>
                <w:szCs w:val="20"/>
              </w:rPr>
              <w:t>2 jrs</w:t>
            </w:r>
          </w:p>
        </w:tc>
      </w:tr>
      <w:tr w:rsidR="007C44B3" w:rsidRPr="007C44B3" w14:paraId="15AB5A12" w14:textId="77777777" w:rsidTr="00C012A8">
        <w:trPr>
          <w:jc w:val="center"/>
        </w:trPr>
        <w:tc>
          <w:tcPr>
            <w:tcW w:w="3756" w:type="dxa"/>
          </w:tcPr>
          <w:p w14:paraId="5931B8F3" w14:textId="2BBDA12A" w:rsidR="00C012A8" w:rsidRPr="007C44B3" w:rsidRDefault="00C012A8" w:rsidP="000C4C71">
            <w:pPr>
              <w:rPr>
                <w:sz w:val="20"/>
                <w:szCs w:val="20"/>
              </w:rPr>
            </w:pPr>
            <w:r w:rsidRPr="007C44B3">
              <w:rPr>
                <w:sz w:val="20"/>
                <w:szCs w:val="20"/>
              </w:rPr>
              <w:t>Mise en œuvre du diagnostic (</w:t>
            </w:r>
            <w:r w:rsidR="000C4C71" w:rsidRPr="007C44B3">
              <w:rPr>
                <w:sz w:val="20"/>
                <w:szCs w:val="20"/>
              </w:rPr>
              <w:t>déplacements et entretien  pour les 1</w:t>
            </w:r>
            <w:r w:rsidR="006A245C" w:rsidRPr="007C44B3">
              <w:rPr>
                <w:sz w:val="20"/>
                <w:szCs w:val="20"/>
              </w:rPr>
              <w:t>2 EPA santé ciblés</w:t>
            </w:r>
            <w:r w:rsidRPr="007C44B3">
              <w:rPr>
                <w:sz w:val="20"/>
                <w:szCs w:val="20"/>
              </w:rPr>
              <w:t>)</w:t>
            </w:r>
            <w:r w:rsidR="004E6DFB" w:rsidRPr="007C44B3">
              <w:rPr>
                <w:sz w:val="20"/>
                <w:szCs w:val="20"/>
              </w:rPr>
              <w:t xml:space="preserve"> par les 2 experts</w:t>
            </w:r>
          </w:p>
        </w:tc>
        <w:tc>
          <w:tcPr>
            <w:tcW w:w="1187" w:type="dxa"/>
          </w:tcPr>
          <w:p w14:paraId="639128DA" w14:textId="71A1D236" w:rsidR="00C012A8" w:rsidRPr="007C44B3" w:rsidRDefault="00C012A8" w:rsidP="00C012A8">
            <w:pPr>
              <w:jc w:val="center"/>
              <w:rPr>
                <w:rFonts w:cs="Calibri"/>
              </w:rPr>
            </w:pPr>
            <w:r w:rsidRPr="007C44B3">
              <w:rPr>
                <w:sz w:val="20"/>
                <w:szCs w:val="20"/>
              </w:rPr>
              <w:t>Conakry + Régions de Guinée</w:t>
            </w:r>
          </w:p>
        </w:tc>
        <w:tc>
          <w:tcPr>
            <w:tcW w:w="1119" w:type="dxa"/>
          </w:tcPr>
          <w:p w14:paraId="52D92696" w14:textId="4CA7C52A" w:rsidR="004E6DFB" w:rsidRPr="007C44B3" w:rsidRDefault="00F87BBB" w:rsidP="00C012A8">
            <w:pPr>
              <w:jc w:val="center"/>
              <w:rPr>
                <w:rFonts w:cs="Calibri"/>
              </w:rPr>
            </w:pPr>
            <w:r w:rsidRPr="007C44B3">
              <w:rPr>
                <w:sz w:val="20"/>
                <w:szCs w:val="20"/>
              </w:rPr>
              <w:t>Septembre 2021</w:t>
            </w:r>
          </w:p>
        </w:tc>
        <w:tc>
          <w:tcPr>
            <w:tcW w:w="1639" w:type="dxa"/>
          </w:tcPr>
          <w:p w14:paraId="6FAA17D7" w14:textId="6220465C" w:rsidR="00C012A8" w:rsidRPr="007C44B3" w:rsidRDefault="00C012A8" w:rsidP="00C012A8">
            <w:pPr>
              <w:jc w:val="center"/>
              <w:rPr>
                <w:sz w:val="20"/>
                <w:szCs w:val="20"/>
              </w:rPr>
            </w:pPr>
            <w:r w:rsidRPr="007C44B3">
              <w:rPr>
                <w:sz w:val="20"/>
                <w:szCs w:val="20"/>
              </w:rPr>
              <w:t>25 jrs</w:t>
            </w:r>
          </w:p>
        </w:tc>
        <w:tc>
          <w:tcPr>
            <w:tcW w:w="1361" w:type="dxa"/>
          </w:tcPr>
          <w:p w14:paraId="6B617AA7" w14:textId="021690EE" w:rsidR="00C012A8" w:rsidRPr="007C44B3" w:rsidRDefault="00C012A8" w:rsidP="00C012A8">
            <w:pPr>
              <w:jc w:val="center"/>
              <w:rPr>
                <w:sz w:val="20"/>
                <w:szCs w:val="20"/>
              </w:rPr>
            </w:pPr>
            <w:r w:rsidRPr="007C44B3">
              <w:rPr>
                <w:sz w:val="20"/>
                <w:szCs w:val="20"/>
              </w:rPr>
              <w:t>25 jrs</w:t>
            </w:r>
          </w:p>
        </w:tc>
      </w:tr>
      <w:tr w:rsidR="007C44B3" w:rsidRPr="007C44B3" w14:paraId="5B512B66" w14:textId="77777777" w:rsidTr="00C012A8">
        <w:trPr>
          <w:jc w:val="center"/>
        </w:trPr>
        <w:tc>
          <w:tcPr>
            <w:tcW w:w="3756" w:type="dxa"/>
          </w:tcPr>
          <w:p w14:paraId="5A08B83F" w14:textId="7A310267" w:rsidR="00C012A8" w:rsidRPr="007C44B3" w:rsidRDefault="00C012A8" w:rsidP="00C012A8">
            <w:pPr>
              <w:rPr>
                <w:sz w:val="20"/>
                <w:szCs w:val="20"/>
              </w:rPr>
            </w:pPr>
            <w:r w:rsidRPr="007C44B3">
              <w:rPr>
                <w:sz w:val="20"/>
                <w:szCs w:val="20"/>
              </w:rPr>
              <w:t>Formulation d</w:t>
            </w:r>
            <w:r w:rsidR="0095553E" w:rsidRPr="007C44B3">
              <w:rPr>
                <w:sz w:val="20"/>
                <w:szCs w:val="20"/>
              </w:rPr>
              <w:t>u diagnostic, d</w:t>
            </w:r>
            <w:r w:rsidRPr="007C44B3">
              <w:rPr>
                <w:sz w:val="20"/>
                <w:szCs w:val="20"/>
              </w:rPr>
              <w:t>es</w:t>
            </w:r>
            <w:r w:rsidR="00A83A1A" w:rsidRPr="007C44B3">
              <w:rPr>
                <w:sz w:val="20"/>
                <w:szCs w:val="20"/>
              </w:rPr>
              <w:t xml:space="preserve"> recommandations et r</w:t>
            </w:r>
            <w:r w:rsidR="00382B5A" w:rsidRPr="007C44B3">
              <w:rPr>
                <w:sz w:val="20"/>
                <w:szCs w:val="20"/>
              </w:rPr>
              <w:t>édaction du</w:t>
            </w:r>
            <w:r w:rsidRPr="007C44B3">
              <w:rPr>
                <w:sz w:val="20"/>
                <w:szCs w:val="20"/>
              </w:rPr>
              <w:t xml:space="preserve"> rapport final</w:t>
            </w:r>
          </w:p>
          <w:p w14:paraId="69AB32B0" w14:textId="41071DA2" w:rsidR="004E6DFB" w:rsidRPr="007C44B3" w:rsidRDefault="004E6DFB" w:rsidP="00C012A8">
            <w:pPr>
              <w:rPr>
                <w:sz w:val="20"/>
                <w:szCs w:val="20"/>
              </w:rPr>
            </w:pPr>
            <w:r w:rsidRPr="007C44B3">
              <w:rPr>
                <w:sz w:val="20"/>
                <w:szCs w:val="20"/>
              </w:rPr>
              <w:t>Concertation et relecture par expert national</w:t>
            </w:r>
          </w:p>
        </w:tc>
        <w:tc>
          <w:tcPr>
            <w:tcW w:w="1187" w:type="dxa"/>
          </w:tcPr>
          <w:p w14:paraId="67C47515" w14:textId="27CD7569" w:rsidR="00C012A8" w:rsidRPr="007C44B3" w:rsidRDefault="00C012A8" w:rsidP="00C012A8">
            <w:pPr>
              <w:jc w:val="center"/>
              <w:rPr>
                <w:sz w:val="20"/>
                <w:szCs w:val="20"/>
              </w:rPr>
            </w:pPr>
            <w:r w:rsidRPr="007C44B3">
              <w:rPr>
                <w:sz w:val="20"/>
                <w:szCs w:val="20"/>
              </w:rPr>
              <w:t>Conakry + Régions de Guinée</w:t>
            </w:r>
          </w:p>
        </w:tc>
        <w:tc>
          <w:tcPr>
            <w:tcW w:w="1119" w:type="dxa"/>
          </w:tcPr>
          <w:p w14:paraId="1B4599A3" w14:textId="77777777" w:rsidR="00C012A8" w:rsidRPr="007C44B3" w:rsidRDefault="004E6DFB" w:rsidP="00C012A8">
            <w:pPr>
              <w:jc w:val="center"/>
              <w:rPr>
                <w:sz w:val="20"/>
                <w:szCs w:val="20"/>
              </w:rPr>
            </w:pPr>
            <w:r w:rsidRPr="007C44B3">
              <w:rPr>
                <w:sz w:val="20"/>
                <w:szCs w:val="20"/>
              </w:rPr>
              <w:t xml:space="preserve">Octobre </w:t>
            </w:r>
          </w:p>
          <w:p w14:paraId="76CC9D16" w14:textId="09D80950" w:rsidR="004E6DFB" w:rsidRPr="007C44B3" w:rsidRDefault="004E6DFB" w:rsidP="00C012A8">
            <w:pPr>
              <w:jc w:val="center"/>
              <w:rPr>
                <w:sz w:val="20"/>
                <w:szCs w:val="20"/>
              </w:rPr>
            </w:pPr>
            <w:r w:rsidRPr="007C44B3">
              <w:rPr>
                <w:sz w:val="20"/>
                <w:szCs w:val="20"/>
              </w:rPr>
              <w:t>2021</w:t>
            </w:r>
          </w:p>
        </w:tc>
        <w:tc>
          <w:tcPr>
            <w:tcW w:w="1639" w:type="dxa"/>
          </w:tcPr>
          <w:p w14:paraId="22B35BDD" w14:textId="374684A6" w:rsidR="00C012A8" w:rsidRPr="007C44B3" w:rsidRDefault="00C012A8" w:rsidP="00C012A8">
            <w:pPr>
              <w:jc w:val="center"/>
              <w:rPr>
                <w:sz w:val="20"/>
                <w:szCs w:val="20"/>
              </w:rPr>
            </w:pPr>
            <w:r w:rsidRPr="007C44B3">
              <w:rPr>
                <w:sz w:val="20"/>
                <w:szCs w:val="20"/>
              </w:rPr>
              <w:t>5 jrs</w:t>
            </w:r>
          </w:p>
        </w:tc>
        <w:tc>
          <w:tcPr>
            <w:tcW w:w="1361" w:type="dxa"/>
          </w:tcPr>
          <w:p w14:paraId="55D80553" w14:textId="55A32E4E" w:rsidR="00C012A8" w:rsidRPr="007C44B3" w:rsidRDefault="00C012A8" w:rsidP="00C012A8">
            <w:pPr>
              <w:jc w:val="center"/>
              <w:rPr>
                <w:sz w:val="20"/>
                <w:szCs w:val="20"/>
              </w:rPr>
            </w:pPr>
            <w:r w:rsidRPr="007C44B3">
              <w:rPr>
                <w:sz w:val="20"/>
                <w:szCs w:val="20"/>
              </w:rPr>
              <w:t>2 Jrs</w:t>
            </w:r>
          </w:p>
        </w:tc>
      </w:tr>
      <w:tr w:rsidR="007C44B3" w:rsidRPr="007C44B3" w14:paraId="35692C9E" w14:textId="77777777" w:rsidTr="00C012A8">
        <w:trPr>
          <w:jc w:val="center"/>
        </w:trPr>
        <w:tc>
          <w:tcPr>
            <w:tcW w:w="3756" w:type="dxa"/>
          </w:tcPr>
          <w:p w14:paraId="531F557F" w14:textId="2E355AFF" w:rsidR="00C012A8" w:rsidRPr="007C44B3" w:rsidRDefault="00C012A8" w:rsidP="00C012A8">
            <w:pPr>
              <w:rPr>
                <w:sz w:val="20"/>
                <w:szCs w:val="20"/>
              </w:rPr>
            </w:pPr>
            <w:r w:rsidRPr="007C44B3">
              <w:rPr>
                <w:sz w:val="20"/>
                <w:szCs w:val="20"/>
              </w:rPr>
              <w:t>Organisation de l’atelier de restitution et de diffusion des principales conclusions de la mission</w:t>
            </w:r>
            <w:r w:rsidR="00382B5A" w:rsidRPr="007C44B3">
              <w:rPr>
                <w:sz w:val="20"/>
                <w:szCs w:val="20"/>
              </w:rPr>
              <w:t xml:space="preserve"> (</w:t>
            </w:r>
            <w:r w:rsidR="004E6DFB" w:rsidRPr="007C44B3">
              <w:rPr>
                <w:sz w:val="20"/>
                <w:szCs w:val="20"/>
              </w:rPr>
              <w:t>par les 2 experts)</w:t>
            </w:r>
          </w:p>
          <w:p w14:paraId="53FAD79F" w14:textId="71EE0414" w:rsidR="004E6DFB" w:rsidRPr="007C44B3" w:rsidRDefault="004E6DFB" w:rsidP="00C012A8">
            <w:pPr>
              <w:rPr>
                <w:sz w:val="20"/>
                <w:szCs w:val="20"/>
              </w:rPr>
            </w:pPr>
          </w:p>
        </w:tc>
        <w:tc>
          <w:tcPr>
            <w:tcW w:w="1187" w:type="dxa"/>
          </w:tcPr>
          <w:p w14:paraId="592EDA5C" w14:textId="6A007A46" w:rsidR="00C012A8" w:rsidRPr="007C44B3" w:rsidRDefault="00C012A8" w:rsidP="00C012A8">
            <w:pPr>
              <w:jc w:val="center"/>
              <w:rPr>
                <w:sz w:val="20"/>
                <w:szCs w:val="20"/>
              </w:rPr>
            </w:pPr>
            <w:r w:rsidRPr="007C44B3">
              <w:rPr>
                <w:sz w:val="20"/>
                <w:szCs w:val="20"/>
              </w:rPr>
              <w:t>Conakry + Régions de Guinée</w:t>
            </w:r>
          </w:p>
        </w:tc>
        <w:tc>
          <w:tcPr>
            <w:tcW w:w="1119" w:type="dxa"/>
          </w:tcPr>
          <w:p w14:paraId="281E140C" w14:textId="77777777" w:rsidR="00C012A8" w:rsidRPr="007C44B3" w:rsidRDefault="004E6DFB" w:rsidP="00C012A8">
            <w:pPr>
              <w:jc w:val="center"/>
              <w:rPr>
                <w:sz w:val="20"/>
                <w:szCs w:val="20"/>
              </w:rPr>
            </w:pPr>
            <w:r w:rsidRPr="007C44B3">
              <w:rPr>
                <w:sz w:val="20"/>
                <w:szCs w:val="20"/>
              </w:rPr>
              <w:t xml:space="preserve">Octobre </w:t>
            </w:r>
          </w:p>
          <w:p w14:paraId="757BCEF7" w14:textId="3616D1D0" w:rsidR="004E6DFB" w:rsidRPr="007C44B3" w:rsidRDefault="004E6DFB" w:rsidP="00C012A8">
            <w:pPr>
              <w:jc w:val="center"/>
              <w:rPr>
                <w:sz w:val="20"/>
                <w:szCs w:val="20"/>
              </w:rPr>
            </w:pPr>
            <w:r w:rsidRPr="007C44B3">
              <w:rPr>
                <w:sz w:val="20"/>
                <w:szCs w:val="20"/>
              </w:rPr>
              <w:t>2021</w:t>
            </w:r>
          </w:p>
        </w:tc>
        <w:tc>
          <w:tcPr>
            <w:tcW w:w="1639" w:type="dxa"/>
          </w:tcPr>
          <w:p w14:paraId="29BFC7E0" w14:textId="14DA6D9D" w:rsidR="00C012A8" w:rsidRPr="007C44B3" w:rsidRDefault="00C012A8" w:rsidP="00C012A8">
            <w:pPr>
              <w:jc w:val="center"/>
              <w:rPr>
                <w:sz w:val="20"/>
                <w:szCs w:val="20"/>
              </w:rPr>
            </w:pPr>
            <w:r w:rsidRPr="007C44B3">
              <w:rPr>
                <w:sz w:val="20"/>
                <w:szCs w:val="20"/>
              </w:rPr>
              <w:t>2 jrs</w:t>
            </w:r>
          </w:p>
        </w:tc>
        <w:tc>
          <w:tcPr>
            <w:tcW w:w="1361" w:type="dxa"/>
          </w:tcPr>
          <w:p w14:paraId="3D63B6D0" w14:textId="17A1B154" w:rsidR="00C012A8" w:rsidRPr="007C44B3" w:rsidRDefault="006A245C" w:rsidP="006A245C">
            <w:pPr>
              <w:jc w:val="center"/>
              <w:rPr>
                <w:sz w:val="20"/>
                <w:szCs w:val="20"/>
              </w:rPr>
            </w:pPr>
            <w:r w:rsidRPr="007C44B3">
              <w:rPr>
                <w:sz w:val="20"/>
                <w:szCs w:val="20"/>
              </w:rPr>
              <w:t>1</w:t>
            </w:r>
            <w:r w:rsidR="00C012A8" w:rsidRPr="007C44B3">
              <w:rPr>
                <w:sz w:val="20"/>
                <w:szCs w:val="20"/>
              </w:rPr>
              <w:t xml:space="preserve"> jrs</w:t>
            </w:r>
          </w:p>
        </w:tc>
      </w:tr>
      <w:tr w:rsidR="007C44B3" w:rsidRPr="007C44B3" w14:paraId="252E6628" w14:textId="77777777" w:rsidTr="00C012A8">
        <w:trPr>
          <w:jc w:val="center"/>
        </w:trPr>
        <w:tc>
          <w:tcPr>
            <w:tcW w:w="3756" w:type="dxa"/>
            <w:shd w:val="clear" w:color="auto" w:fill="D9D9D9" w:themeFill="background1" w:themeFillShade="D9"/>
          </w:tcPr>
          <w:p w14:paraId="0FEA262C" w14:textId="77777777" w:rsidR="00C012A8" w:rsidRPr="007C44B3" w:rsidRDefault="00C012A8" w:rsidP="00C012A8">
            <w:pPr>
              <w:spacing w:line="276" w:lineRule="auto"/>
              <w:jc w:val="center"/>
              <w:rPr>
                <w:b/>
                <w:bCs/>
                <w:sz w:val="20"/>
                <w:szCs w:val="20"/>
              </w:rPr>
            </w:pPr>
            <w:r w:rsidRPr="007C44B3">
              <w:rPr>
                <w:b/>
                <w:bCs/>
                <w:sz w:val="20"/>
                <w:szCs w:val="20"/>
              </w:rPr>
              <w:t xml:space="preserve">Total </w:t>
            </w:r>
          </w:p>
        </w:tc>
        <w:tc>
          <w:tcPr>
            <w:tcW w:w="1187" w:type="dxa"/>
            <w:shd w:val="clear" w:color="auto" w:fill="D9D9D9" w:themeFill="background1" w:themeFillShade="D9"/>
          </w:tcPr>
          <w:p w14:paraId="24C7291F" w14:textId="77777777" w:rsidR="00C012A8" w:rsidRPr="007C44B3" w:rsidRDefault="00C012A8" w:rsidP="00C012A8">
            <w:pPr>
              <w:spacing w:line="276" w:lineRule="auto"/>
              <w:jc w:val="center"/>
              <w:rPr>
                <w:b/>
                <w:sz w:val="20"/>
                <w:szCs w:val="20"/>
              </w:rPr>
            </w:pPr>
          </w:p>
        </w:tc>
        <w:tc>
          <w:tcPr>
            <w:tcW w:w="1119" w:type="dxa"/>
            <w:shd w:val="clear" w:color="auto" w:fill="D9D9D9" w:themeFill="background1" w:themeFillShade="D9"/>
          </w:tcPr>
          <w:p w14:paraId="07815A84" w14:textId="77777777" w:rsidR="00C012A8" w:rsidRPr="007C44B3" w:rsidRDefault="00C012A8" w:rsidP="00C012A8">
            <w:pPr>
              <w:spacing w:line="276" w:lineRule="auto"/>
              <w:jc w:val="center"/>
              <w:rPr>
                <w:b/>
                <w:sz w:val="20"/>
                <w:szCs w:val="20"/>
              </w:rPr>
            </w:pPr>
          </w:p>
        </w:tc>
        <w:tc>
          <w:tcPr>
            <w:tcW w:w="1639" w:type="dxa"/>
            <w:shd w:val="clear" w:color="auto" w:fill="D9D9D9" w:themeFill="background1" w:themeFillShade="D9"/>
          </w:tcPr>
          <w:p w14:paraId="087A1BAD" w14:textId="29FDE9BF" w:rsidR="00C012A8" w:rsidRPr="007C44B3" w:rsidRDefault="00C012A8" w:rsidP="00C012A8">
            <w:pPr>
              <w:spacing w:line="276" w:lineRule="auto"/>
              <w:jc w:val="center"/>
              <w:rPr>
                <w:b/>
                <w:bCs/>
                <w:sz w:val="20"/>
                <w:szCs w:val="20"/>
              </w:rPr>
            </w:pPr>
            <w:r w:rsidRPr="007C44B3">
              <w:rPr>
                <w:b/>
                <w:bCs/>
                <w:sz w:val="20"/>
                <w:szCs w:val="20"/>
              </w:rPr>
              <w:t xml:space="preserve">37 jrs </w:t>
            </w:r>
          </w:p>
        </w:tc>
        <w:tc>
          <w:tcPr>
            <w:tcW w:w="1361" w:type="dxa"/>
            <w:shd w:val="clear" w:color="auto" w:fill="D9D9D9" w:themeFill="background1" w:themeFillShade="D9"/>
          </w:tcPr>
          <w:p w14:paraId="4F846548" w14:textId="09D86147" w:rsidR="00C012A8" w:rsidRPr="007C44B3" w:rsidRDefault="004E6DFB" w:rsidP="006266F0">
            <w:pPr>
              <w:spacing w:line="276" w:lineRule="auto"/>
              <w:jc w:val="center"/>
              <w:rPr>
                <w:b/>
                <w:bCs/>
                <w:sz w:val="20"/>
                <w:szCs w:val="20"/>
              </w:rPr>
            </w:pPr>
            <w:r w:rsidRPr="007C44B3">
              <w:rPr>
                <w:b/>
                <w:bCs/>
                <w:sz w:val="20"/>
                <w:szCs w:val="20"/>
              </w:rPr>
              <w:t>3</w:t>
            </w:r>
            <w:r w:rsidR="006266F0" w:rsidRPr="007C44B3">
              <w:rPr>
                <w:b/>
                <w:bCs/>
                <w:sz w:val="20"/>
                <w:szCs w:val="20"/>
              </w:rPr>
              <w:t>0</w:t>
            </w:r>
            <w:r w:rsidRPr="007C44B3">
              <w:rPr>
                <w:b/>
                <w:bCs/>
                <w:sz w:val="20"/>
                <w:szCs w:val="20"/>
              </w:rPr>
              <w:t xml:space="preserve"> </w:t>
            </w:r>
            <w:r w:rsidR="006A245C" w:rsidRPr="007C44B3">
              <w:rPr>
                <w:b/>
                <w:bCs/>
                <w:sz w:val="20"/>
                <w:szCs w:val="20"/>
              </w:rPr>
              <w:t xml:space="preserve"> jrs</w:t>
            </w:r>
          </w:p>
        </w:tc>
      </w:tr>
    </w:tbl>
    <w:p w14:paraId="149B0105" w14:textId="3E6D9E5C" w:rsidR="003A0700" w:rsidRPr="007C44B3" w:rsidRDefault="003A0700" w:rsidP="001D27F6">
      <w:pPr>
        <w:rPr>
          <w:rFonts w:ascii="Calibri" w:hAnsi="Calibri"/>
          <w:sz w:val="22"/>
          <w:szCs w:val="22"/>
        </w:rPr>
      </w:pPr>
    </w:p>
    <w:p w14:paraId="5955BD34" w14:textId="217E8B25" w:rsidR="006A245C" w:rsidRPr="007C44B3" w:rsidRDefault="006A245C" w:rsidP="001D27F6">
      <w:pPr>
        <w:rPr>
          <w:rFonts w:ascii="Calibri" w:hAnsi="Calibri"/>
          <w:b/>
          <w:i/>
          <w:sz w:val="22"/>
          <w:szCs w:val="22"/>
          <w:u w:val="single"/>
        </w:rPr>
      </w:pPr>
      <w:r w:rsidRPr="007C44B3">
        <w:rPr>
          <w:rFonts w:ascii="Calibri" w:hAnsi="Calibri"/>
          <w:b/>
          <w:i/>
          <w:sz w:val="22"/>
          <w:szCs w:val="22"/>
          <w:u w:val="single"/>
        </w:rPr>
        <w:t xml:space="preserve">La durée est indicative, si nécessaire elle pourra être aménagée </w:t>
      </w:r>
      <w:r w:rsidR="004E6DFB" w:rsidRPr="007C44B3">
        <w:rPr>
          <w:rFonts w:ascii="Calibri" w:hAnsi="Calibri"/>
          <w:b/>
          <w:i/>
          <w:sz w:val="22"/>
          <w:szCs w:val="22"/>
          <w:u w:val="single"/>
        </w:rPr>
        <w:t>aprè</w:t>
      </w:r>
      <w:r w:rsidR="00A83A1A" w:rsidRPr="007C44B3">
        <w:rPr>
          <w:rFonts w:ascii="Calibri" w:hAnsi="Calibri"/>
          <w:b/>
          <w:i/>
          <w:sz w:val="22"/>
          <w:szCs w:val="22"/>
          <w:u w:val="single"/>
        </w:rPr>
        <w:t>s</w:t>
      </w:r>
      <w:r w:rsidRPr="007C44B3">
        <w:rPr>
          <w:rFonts w:ascii="Calibri" w:hAnsi="Calibri"/>
          <w:b/>
          <w:i/>
          <w:sz w:val="22"/>
          <w:szCs w:val="22"/>
          <w:u w:val="single"/>
        </w:rPr>
        <w:t xml:space="preserve"> accord des parties.</w:t>
      </w:r>
    </w:p>
    <w:p w14:paraId="7C12B908" w14:textId="77777777" w:rsidR="006A245C" w:rsidRPr="007C44B3" w:rsidRDefault="006A245C" w:rsidP="001D27F6">
      <w:pPr>
        <w:rPr>
          <w:rFonts w:ascii="Calibri" w:hAnsi="Calibri"/>
          <w:i/>
          <w:sz w:val="22"/>
          <w:szCs w:val="22"/>
        </w:rPr>
      </w:pPr>
    </w:p>
    <w:p w14:paraId="1982EB1F" w14:textId="109DB4F8" w:rsidR="001D27F6" w:rsidRPr="007C44B3" w:rsidRDefault="0047117E"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 xml:space="preserve">Expertise </w:t>
      </w:r>
      <w:r w:rsidR="002C6EDB" w:rsidRPr="007C44B3">
        <w:rPr>
          <w:rFonts w:ascii="Calibri" w:eastAsia="Arial Unicode MS" w:hAnsi="Calibri" w:cs="Arial Unicode MS"/>
          <w:b/>
          <w:sz w:val="22"/>
          <w:szCs w:val="22"/>
          <w:lang w:eastAsia="en-US"/>
        </w:rPr>
        <w:t>et profil</w:t>
      </w:r>
      <w:r w:rsidR="001D27F6" w:rsidRPr="007C44B3">
        <w:rPr>
          <w:rFonts w:ascii="Calibri" w:eastAsia="Arial Unicode MS" w:hAnsi="Calibri" w:cs="Arial Unicode MS"/>
          <w:b/>
          <w:sz w:val="22"/>
          <w:szCs w:val="22"/>
          <w:lang w:eastAsia="en-US"/>
        </w:rPr>
        <w:t xml:space="preserve"> demandé</w:t>
      </w:r>
      <w:r w:rsidR="002C6EDB" w:rsidRPr="007C44B3">
        <w:rPr>
          <w:rFonts w:ascii="Calibri" w:eastAsia="Arial Unicode MS" w:hAnsi="Calibri" w:cs="Arial Unicode MS"/>
          <w:b/>
          <w:sz w:val="22"/>
          <w:szCs w:val="22"/>
          <w:lang w:eastAsia="en-US"/>
        </w:rPr>
        <w:t>s</w:t>
      </w:r>
      <w:r w:rsidR="0015772C" w:rsidRPr="007C44B3">
        <w:rPr>
          <w:rFonts w:ascii="Calibri" w:eastAsia="Arial Unicode MS" w:hAnsi="Calibri" w:cs="Arial Unicode MS"/>
          <w:b/>
          <w:sz w:val="22"/>
          <w:szCs w:val="22"/>
          <w:lang w:eastAsia="en-US"/>
        </w:rPr>
        <w:t xml:space="preserve"> (EF</w:t>
      </w:r>
      <w:r w:rsidR="0060389B" w:rsidRPr="007C44B3">
        <w:rPr>
          <w:rFonts w:ascii="Calibri" w:eastAsia="Arial Unicode MS" w:hAnsi="Calibri" w:cs="Arial Unicode MS"/>
          <w:b/>
          <w:sz w:val="22"/>
          <w:szCs w:val="22"/>
          <w:lang w:eastAsia="en-US"/>
        </w:rPr>
        <w:t xml:space="preserve"> sauf cas particulier avec structures bénéficiaires</w:t>
      </w:r>
      <w:r w:rsidR="0015772C" w:rsidRPr="007C44B3">
        <w:rPr>
          <w:rFonts w:ascii="Calibri" w:eastAsia="Arial Unicode MS" w:hAnsi="Calibri" w:cs="Arial Unicode MS"/>
          <w:b/>
          <w:sz w:val="22"/>
          <w:szCs w:val="22"/>
          <w:lang w:eastAsia="en-US"/>
        </w:rPr>
        <w:t>)</w:t>
      </w:r>
    </w:p>
    <w:p w14:paraId="4E82B09E" w14:textId="77777777" w:rsidR="001441C8" w:rsidRPr="007C44B3" w:rsidRDefault="001441C8" w:rsidP="00C85939">
      <w:pPr>
        <w:ind w:left="540"/>
        <w:jc w:val="both"/>
        <w:rPr>
          <w:rFonts w:ascii="Calibri" w:eastAsia="Arial Unicode MS" w:hAnsi="Calibri" w:cs="Arial Unicode MS"/>
          <w:b/>
          <w:sz w:val="22"/>
          <w:szCs w:val="22"/>
          <w:lang w:eastAsia="en-US"/>
        </w:rPr>
      </w:pPr>
    </w:p>
    <w:p w14:paraId="06BE8B9F" w14:textId="4E7EF595" w:rsidR="003A7185" w:rsidRPr="007C44B3" w:rsidRDefault="00B66BE6"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Nombre d’experts</w:t>
      </w:r>
      <w:r w:rsidR="00BB0137" w:rsidRPr="007C44B3">
        <w:rPr>
          <w:rFonts w:ascii="Calibri" w:eastAsia="Arial Unicode MS" w:hAnsi="Calibri" w:cs="Arial Unicode MS"/>
          <w:b/>
          <w:sz w:val="22"/>
          <w:szCs w:val="22"/>
          <w:lang w:eastAsia="en-US"/>
        </w:rPr>
        <w:t xml:space="preserve"> par mission</w:t>
      </w:r>
      <w:r w:rsidRPr="007C44B3">
        <w:rPr>
          <w:rFonts w:ascii="Calibri" w:eastAsia="Arial Unicode MS" w:hAnsi="Calibri" w:cs="Arial Unicode MS"/>
          <w:b/>
          <w:sz w:val="22"/>
          <w:szCs w:val="22"/>
          <w:lang w:eastAsia="en-US"/>
        </w:rPr>
        <w:t> :</w:t>
      </w:r>
      <w:r w:rsidR="00EC3375" w:rsidRPr="007C44B3">
        <w:rPr>
          <w:rFonts w:ascii="Calibri" w:eastAsia="Arial Unicode MS" w:hAnsi="Calibri" w:cs="Arial Unicode MS"/>
          <w:sz w:val="22"/>
          <w:szCs w:val="22"/>
          <w:lang w:eastAsia="en-US"/>
        </w:rPr>
        <w:t xml:space="preserve"> </w:t>
      </w:r>
    </w:p>
    <w:p w14:paraId="1D0A9713" w14:textId="77777777" w:rsidR="00F8162B" w:rsidRPr="007C44B3" w:rsidRDefault="00F8162B" w:rsidP="00C85939">
      <w:pPr>
        <w:jc w:val="both"/>
        <w:rPr>
          <w:rFonts w:ascii="Calibri" w:eastAsia="Arial Unicode MS" w:hAnsi="Calibri" w:cs="Arial Unicode MS"/>
          <w:sz w:val="22"/>
          <w:szCs w:val="22"/>
          <w:lang w:eastAsia="en-US"/>
        </w:rPr>
      </w:pPr>
    </w:p>
    <w:p w14:paraId="56FF0DA7" w14:textId="12F05980" w:rsidR="003A7185" w:rsidRPr="007C44B3" w:rsidRDefault="00F8162B" w:rsidP="00C85939">
      <w:pPr>
        <w:jc w:val="both"/>
        <w:rPr>
          <w:rFonts w:ascii="Calibri" w:eastAsia="Arial Unicode MS" w:hAnsi="Calibri" w:cs="Arial Unicode MS"/>
          <w:sz w:val="22"/>
          <w:szCs w:val="22"/>
          <w:lang w:eastAsia="en-US"/>
        </w:rPr>
      </w:pPr>
      <w:r w:rsidRPr="007C44B3">
        <w:rPr>
          <w:rFonts w:ascii="Calibri" w:eastAsia="Arial Unicode MS" w:hAnsi="Calibri" w:cs="Arial Unicode MS"/>
          <w:sz w:val="22"/>
          <w:szCs w:val="22"/>
          <w:lang w:eastAsia="en-US"/>
        </w:rPr>
        <w:t xml:space="preserve">Un expert </w:t>
      </w:r>
      <w:r w:rsidR="00847471" w:rsidRPr="007C44B3">
        <w:rPr>
          <w:rFonts w:ascii="Calibri" w:eastAsia="Arial Unicode MS" w:hAnsi="Calibri" w:cs="Arial Unicode MS"/>
          <w:sz w:val="22"/>
          <w:szCs w:val="22"/>
          <w:lang w:eastAsia="en-US"/>
        </w:rPr>
        <w:t>international et un expert national ou groupement d’experts</w:t>
      </w:r>
      <w:r w:rsidR="00CB2030" w:rsidRPr="007C44B3">
        <w:rPr>
          <w:rFonts w:ascii="Calibri" w:eastAsia="Arial Unicode MS" w:hAnsi="Calibri" w:cs="Arial Unicode MS"/>
          <w:sz w:val="22"/>
          <w:szCs w:val="22"/>
          <w:lang w:eastAsia="en-US"/>
        </w:rPr>
        <w:t xml:space="preserve"> sont prévus pour cette mission</w:t>
      </w:r>
      <w:r w:rsidR="00847471" w:rsidRPr="007C44B3">
        <w:rPr>
          <w:rFonts w:ascii="Calibri" w:eastAsia="Arial Unicode MS" w:hAnsi="Calibri" w:cs="Arial Unicode MS"/>
          <w:sz w:val="22"/>
          <w:szCs w:val="22"/>
          <w:lang w:eastAsia="en-US"/>
        </w:rPr>
        <w:t>.</w:t>
      </w:r>
    </w:p>
    <w:p w14:paraId="62537BD2" w14:textId="77777777" w:rsidR="00F8162B" w:rsidRPr="007C44B3" w:rsidRDefault="00F8162B" w:rsidP="00C85939">
      <w:pPr>
        <w:jc w:val="both"/>
        <w:rPr>
          <w:rFonts w:ascii="Calibri" w:eastAsia="Arial Unicode MS" w:hAnsi="Calibri" w:cs="Arial Unicode MS"/>
          <w:sz w:val="22"/>
          <w:szCs w:val="22"/>
          <w:lang w:eastAsia="en-US"/>
        </w:rPr>
      </w:pPr>
    </w:p>
    <w:p w14:paraId="11BBB708" w14:textId="5C93AD8B" w:rsidR="003A7185" w:rsidRPr="007C44B3" w:rsidRDefault="00B66BE6" w:rsidP="00DF6355">
      <w:pPr>
        <w:numPr>
          <w:ilvl w:val="1"/>
          <w:numId w:val="2"/>
        </w:numPr>
        <w:tabs>
          <w:tab w:val="num" w:pos="900"/>
        </w:tabs>
        <w:ind w:left="900"/>
        <w:jc w:val="both"/>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Profil d</w:t>
      </w:r>
      <w:r w:rsidR="00C90734" w:rsidRPr="007C44B3">
        <w:rPr>
          <w:rFonts w:ascii="Calibri" w:eastAsia="Arial Unicode MS" w:hAnsi="Calibri" w:cs="Arial Unicode MS"/>
          <w:b/>
          <w:sz w:val="22"/>
          <w:szCs w:val="22"/>
          <w:lang w:eastAsia="en-US"/>
        </w:rPr>
        <w:t>e l</w:t>
      </w:r>
      <w:r w:rsidRPr="007C44B3">
        <w:rPr>
          <w:rFonts w:ascii="Calibri" w:eastAsia="Arial Unicode MS" w:hAnsi="Calibri" w:cs="Arial Unicode MS"/>
          <w:b/>
          <w:sz w:val="22"/>
          <w:szCs w:val="22"/>
          <w:lang w:eastAsia="en-US"/>
        </w:rPr>
        <w:t>’expert</w:t>
      </w:r>
      <w:r w:rsidR="00C90734" w:rsidRPr="007C44B3">
        <w:rPr>
          <w:rFonts w:ascii="Calibri" w:eastAsia="Arial Unicode MS" w:hAnsi="Calibri" w:cs="Arial Unicode MS"/>
          <w:b/>
          <w:sz w:val="22"/>
          <w:szCs w:val="22"/>
          <w:lang w:eastAsia="en-US"/>
        </w:rPr>
        <w:t xml:space="preserve"> (des experts) désigné(s) en charge de l’exécution du contrat</w:t>
      </w:r>
    </w:p>
    <w:p w14:paraId="69696EF1" w14:textId="77777777" w:rsidR="003A7185" w:rsidRPr="007C44B3" w:rsidRDefault="003A7185" w:rsidP="00C85939">
      <w:pPr>
        <w:jc w:val="both"/>
        <w:rPr>
          <w:rFonts w:ascii="Calibri" w:hAnsi="Calibri"/>
          <w:sz w:val="22"/>
          <w:szCs w:val="22"/>
          <w:u w:val="single"/>
        </w:rPr>
      </w:pPr>
    </w:p>
    <w:p w14:paraId="3A1970AA" w14:textId="31EC6F1B" w:rsidR="009236DE" w:rsidRPr="007C44B3" w:rsidRDefault="009236DE" w:rsidP="00DF6355">
      <w:pPr>
        <w:numPr>
          <w:ilvl w:val="0"/>
          <w:numId w:val="3"/>
        </w:numPr>
        <w:tabs>
          <w:tab w:val="num" w:pos="720"/>
        </w:tabs>
        <w:jc w:val="both"/>
        <w:rPr>
          <w:rFonts w:ascii="Calibri" w:hAnsi="Calibri"/>
          <w:iCs/>
          <w:sz w:val="22"/>
          <w:szCs w:val="22"/>
          <w:u w:val="single"/>
        </w:rPr>
      </w:pPr>
      <w:r w:rsidRPr="007C44B3">
        <w:rPr>
          <w:rFonts w:ascii="Calibri" w:hAnsi="Calibri"/>
          <w:iCs/>
          <w:sz w:val="22"/>
          <w:szCs w:val="22"/>
          <w:u w:val="single"/>
        </w:rPr>
        <w:t>Qualifications et compétences :</w:t>
      </w:r>
    </w:p>
    <w:p w14:paraId="566F32E1" w14:textId="77777777" w:rsidR="000C1311" w:rsidRPr="007C44B3" w:rsidRDefault="000C1311" w:rsidP="000C1311">
      <w:pPr>
        <w:ind w:left="1980"/>
        <w:jc w:val="both"/>
        <w:rPr>
          <w:rFonts w:ascii="Calibri" w:hAnsi="Calibri"/>
          <w:iCs/>
          <w:sz w:val="22"/>
          <w:szCs w:val="22"/>
          <w:u w:val="single"/>
        </w:rPr>
      </w:pPr>
    </w:p>
    <w:p w14:paraId="7D03FBBA" w14:textId="5B43BEF0" w:rsidR="009236DE" w:rsidRPr="007C44B3" w:rsidRDefault="004E5A3F" w:rsidP="00DF6355">
      <w:pPr>
        <w:numPr>
          <w:ilvl w:val="0"/>
          <w:numId w:val="1"/>
        </w:numPr>
        <w:jc w:val="both"/>
        <w:rPr>
          <w:rFonts w:ascii="Calibri" w:hAnsi="Calibri"/>
          <w:b/>
          <w:sz w:val="22"/>
          <w:szCs w:val="22"/>
        </w:rPr>
      </w:pPr>
      <w:r w:rsidRPr="007C44B3">
        <w:rPr>
          <w:rFonts w:ascii="Calibri" w:hAnsi="Calibri"/>
          <w:sz w:val="22"/>
          <w:szCs w:val="22"/>
        </w:rPr>
        <w:t>Etre détenteur d’un diplôme universi</w:t>
      </w:r>
      <w:r w:rsidR="00937EAA" w:rsidRPr="007C44B3">
        <w:rPr>
          <w:rFonts w:ascii="Calibri" w:hAnsi="Calibri"/>
          <w:sz w:val="22"/>
          <w:szCs w:val="22"/>
        </w:rPr>
        <w:t xml:space="preserve">taire de niveau BAC + 5 minimum en </w:t>
      </w:r>
      <w:r w:rsidR="004A5D1D" w:rsidRPr="007C44B3">
        <w:rPr>
          <w:rFonts w:ascii="Calibri" w:hAnsi="Calibri"/>
          <w:sz w:val="22"/>
          <w:szCs w:val="22"/>
        </w:rPr>
        <w:t>sciences</w:t>
      </w:r>
      <w:r w:rsidR="000C1311" w:rsidRPr="007C44B3">
        <w:rPr>
          <w:rFonts w:ascii="Calibri" w:hAnsi="Calibri"/>
          <w:sz w:val="22"/>
          <w:szCs w:val="22"/>
        </w:rPr>
        <w:t xml:space="preserve"> économiques</w:t>
      </w:r>
      <w:r w:rsidRPr="007C44B3">
        <w:rPr>
          <w:rFonts w:ascii="Calibri" w:hAnsi="Calibri"/>
          <w:sz w:val="22"/>
          <w:szCs w:val="22"/>
        </w:rPr>
        <w:t>,</w:t>
      </w:r>
      <w:r w:rsidR="000C1311" w:rsidRPr="007C44B3">
        <w:rPr>
          <w:rFonts w:ascii="Calibri" w:hAnsi="Calibri"/>
          <w:sz w:val="22"/>
          <w:szCs w:val="22"/>
        </w:rPr>
        <w:t xml:space="preserve"> </w:t>
      </w:r>
      <w:r w:rsidR="0013235B" w:rsidRPr="007C44B3">
        <w:rPr>
          <w:rFonts w:ascii="Calibri" w:hAnsi="Calibri"/>
          <w:sz w:val="22"/>
          <w:szCs w:val="22"/>
        </w:rPr>
        <w:t xml:space="preserve">administration publique, </w:t>
      </w:r>
      <w:r w:rsidR="000C1311" w:rsidRPr="007C44B3">
        <w:rPr>
          <w:rFonts w:ascii="Calibri" w:hAnsi="Calibri"/>
          <w:sz w:val="22"/>
          <w:szCs w:val="22"/>
        </w:rPr>
        <w:t>droit,</w:t>
      </w:r>
      <w:r w:rsidRPr="007C44B3">
        <w:rPr>
          <w:rFonts w:ascii="Calibri" w:hAnsi="Calibri"/>
          <w:sz w:val="22"/>
          <w:szCs w:val="22"/>
        </w:rPr>
        <w:t xml:space="preserve"> finances publique</w:t>
      </w:r>
      <w:r w:rsidR="000C1311" w:rsidRPr="007C44B3">
        <w:rPr>
          <w:rFonts w:ascii="Calibri" w:hAnsi="Calibri"/>
          <w:sz w:val="22"/>
          <w:szCs w:val="22"/>
        </w:rPr>
        <w:t>s ou équivalent</w:t>
      </w:r>
      <w:r w:rsidR="00DF4EFD" w:rsidRPr="007C44B3">
        <w:rPr>
          <w:rFonts w:ascii="Calibri" w:hAnsi="Calibri"/>
          <w:sz w:val="22"/>
          <w:szCs w:val="22"/>
        </w:rPr>
        <w:t xml:space="preserve">, </w:t>
      </w:r>
      <w:r w:rsidR="00DF4EFD" w:rsidRPr="007C44B3">
        <w:rPr>
          <w:rFonts w:ascii="Calibri" w:hAnsi="Calibri"/>
          <w:b/>
          <w:sz w:val="22"/>
          <w:szCs w:val="22"/>
        </w:rPr>
        <w:t xml:space="preserve">notamment </w:t>
      </w:r>
      <w:r w:rsidR="00DF4EFD" w:rsidRPr="007C44B3">
        <w:rPr>
          <w:rFonts w:ascii="Calibri" w:hAnsi="Calibri"/>
          <w:b/>
          <w:sz w:val="22"/>
          <w:szCs w:val="22"/>
        </w:rPr>
        <w:lastRenderedPageBreak/>
        <w:t xml:space="preserve">un diplôme en gestion </w:t>
      </w:r>
      <w:r w:rsidR="00847471" w:rsidRPr="007C44B3">
        <w:rPr>
          <w:rFonts w:ascii="Calibri" w:hAnsi="Calibri"/>
          <w:b/>
          <w:sz w:val="22"/>
          <w:szCs w:val="22"/>
        </w:rPr>
        <w:t xml:space="preserve">institutionnelle et organisationnelle du secteur de </w:t>
      </w:r>
      <w:r w:rsidR="0095553E" w:rsidRPr="007C44B3">
        <w:rPr>
          <w:rFonts w:ascii="Calibri" w:hAnsi="Calibri"/>
          <w:b/>
          <w:sz w:val="22"/>
          <w:szCs w:val="22"/>
        </w:rPr>
        <w:t>la s</w:t>
      </w:r>
      <w:r w:rsidR="00847471" w:rsidRPr="007C44B3">
        <w:rPr>
          <w:rFonts w:ascii="Calibri" w:hAnsi="Calibri"/>
          <w:b/>
          <w:sz w:val="22"/>
          <w:szCs w:val="22"/>
        </w:rPr>
        <w:t>anté (</w:t>
      </w:r>
      <w:r w:rsidR="00DF4EFD" w:rsidRPr="007C44B3">
        <w:rPr>
          <w:rFonts w:ascii="Calibri" w:hAnsi="Calibri"/>
          <w:b/>
          <w:sz w:val="22"/>
          <w:szCs w:val="22"/>
        </w:rPr>
        <w:t>systèmes de santé et/ou des administration publiques de la Santé</w:t>
      </w:r>
      <w:r w:rsidR="00847471" w:rsidRPr="007C44B3">
        <w:rPr>
          <w:rFonts w:ascii="Calibri" w:hAnsi="Calibri"/>
          <w:b/>
          <w:sz w:val="22"/>
          <w:szCs w:val="22"/>
        </w:rPr>
        <w:t>)</w:t>
      </w:r>
      <w:r w:rsidR="00C012A8" w:rsidRPr="007C44B3">
        <w:rPr>
          <w:rFonts w:ascii="Calibri" w:hAnsi="Calibri"/>
          <w:b/>
          <w:sz w:val="22"/>
          <w:szCs w:val="22"/>
        </w:rPr>
        <w:t> ;</w:t>
      </w:r>
    </w:p>
    <w:p w14:paraId="2B4F4E11" w14:textId="1F4BBCDA" w:rsidR="00517C4D" w:rsidRPr="007C44B3" w:rsidRDefault="00517C4D" w:rsidP="00DF6355">
      <w:pPr>
        <w:numPr>
          <w:ilvl w:val="0"/>
          <w:numId w:val="1"/>
        </w:numPr>
        <w:jc w:val="both"/>
        <w:rPr>
          <w:rFonts w:ascii="Calibri" w:hAnsi="Calibri"/>
          <w:b/>
          <w:sz w:val="22"/>
          <w:szCs w:val="22"/>
        </w:rPr>
      </w:pPr>
      <w:r w:rsidRPr="007C44B3">
        <w:rPr>
          <w:rFonts w:ascii="Calibri" w:hAnsi="Calibri"/>
          <w:b/>
          <w:sz w:val="22"/>
          <w:szCs w:val="22"/>
        </w:rPr>
        <w:t>Avoir une bonne connaissance des finances publiques et de la gestion des risques financiers liés aux organismes publics</w:t>
      </w:r>
    </w:p>
    <w:p w14:paraId="38CB5035" w14:textId="5100DF7E" w:rsidR="0015772C" w:rsidRPr="007C44B3" w:rsidRDefault="000C1311" w:rsidP="00DF6355">
      <w:pPr>
        <w:numPr>
          <w:ilvl w:val="0"/>
          <w:numId w:val="1"/>
        </w:numPr>
        <w:jc w:val="both"/>
        <w:rPr>
          <w:rFonts w:ascii="Calibri" w:hAnsi="Calibri"/>
          <w:sz w:val="22"/>
          <w:szCs w:val="22"/>
        </w:rPr>
      </w:pPr>
      <w:r w:rsidRPr="007C44B3">
        <w:rPr>
          <w:rFonts w:ascii="Calibri" w:hAnsi="Calibri"/>
          <w:sz w:val="22"/>
          <w:szCs w:val="22"/>
        </w:rPr>
        <w:t>Ma</w:t>
      </w:r>
      <w:r w:rsidR="0013235B" w:rsidRPr="007C44B3">
        <w:rPr>
          <w:rFonts w:ascii="Calibri" w:hAnsi="Calibri"/>
          <w:sz w:val="22"/>
          <w:szCs w:val="22"/>
        </w:rPr>
        <w:t>î</w:t>
      </w:r>
      <w:r w:rsidRPr="007C44B3">
        <w:rPr>
          <w:rFonts w:ascii="Calibri" w:hAnsi="Calibri"/>
          <w:sz w:val="22"/>
          <w:szCs w:val="22"/>
        </w:rPr>
        <w:t>triser parfaitement le français ;</w:t>
      </w:r>
    </w:p>
    <w:p w14:paraId="5CD7A4B2" w14:textId="298ACA9A" w:rsidR="000C1311" w:rsidRPr="007C44B3" w:rsidRDefault="000C1311" w:rsidP="000C1311">
      <w:pPr>
        <w:numPr>
          <w:ilvl w:val="0"/>
          <w:numId w:val="1"/>
        </w:numPr>
        <w:jc w:val="both"/>
        <w:rPr>
          <w:rFonts w:ascii="Calibri" w:hAnsi="Calibri"/>
          <w:sz w:val="22"/>
          <w:szCs w:val="22"/>
        </w:rPr>
      </w:pPr>
      <w:r w:rsidRPr="007C44B3">
        <w:rPr>
          <w:rFonts w:ascii="Calibri" w:hAnsi="Calibri"/>
          <w:sz w:val="22"/>
          <w:szCs w:val="22"/>
        </w:rPr>
        <w:t xml:space="preserve">Avoir une bonne connaissance des logiciels bureautiques </w:t>
      </w:r>
    </w:p>
    <w:p w14:paraId="57D62332" w14:textId="4C8B4A04" w:rsidR="000C1311" w:rsidRPr="007C44B3" w:rsidRDefault="000C1311" w:rsidP="000C1311">
      <w:pPr>
        <w:numPr>
          <w:ilvl w:val="0"/>
          <w:numId w:val="1"/>
        </w:numPr>
        <w:jc w:val="both"/>
        <w:rPr>
          <w:rFonts w:ascii="Calibri" w:hAnsi="Calibri"/>
          <w:sz w:val="22"/>
          <w:szCs w:val="22"/>
        </w:rPr>
      </w:pPr>
      <w:r w:rsidRPr="007C44B3">
        <w:rPr>
          <w:rFonts w:ascii="Calibri" w:hAnsi="Calibri"/>
          <w:sz w:val="22"/>
          <w:szCs w:val="22"/>
        </w:rPr>
        <w:t>Avoir la facilité de communiquer et d’animer un séminaire devant un public</w:t>
      </w:r>
      <w:r w:rsidR="00F87BBB" w:rsidRPr="007C44B3">
        <w:rPr>
          <w:rFonts w:ascii="Calibri" w:hAnsi="Calibri"/>
          <w:sz w:val="22"/>
          <w:szCs w:val="22"/>
        </w:rPr>
        <w:t xml:space="preserve"> de haut niveau</w:t>
      </w:r>
      <w:r w:rsidRPr="007C44B3">
        <w:rPr>
          <w:rFonts w:ascii="Calibri" w:hAnsi="Calibri"/>
          <w:sz w:val="22"/>
          <w:szCs w:val="22"/>
        </w:rPr>
        <w:t xml:space="preserve"> ;</w:t>
      </w:r>
    </w:p>
    <w:p w14:paraId="4D110988" w14:textId="77777777" w:rsidR="000C1311" w:rsidRPr="007C44B3" w:rsidRDefault="000C1311" w:rsidP="000C1311">
      <w:pPr>
        <w:numPr>
          <w:ilvl w:val="0"/>
          <w:numId w:val="1"/>
        </w:numPr>
        <w:jc w:val="both"/>
        <w:rPr>
          <w:rFonts w:ascii="Calibri" w:hAnsi="Calibri"/>
          <w:sz w:val="22"/>
          <w:szCs w:val="22"/>
        </w:rPr>
      </w:pPr>
      <w:r w:rsidRPr="007C44B3">
        <w:rPr>
          <w:rFonts w:ascii="Calibri" w:hAnsi="Calibri"/>
          <w:sz w:val="22"/>
          <w:szCs w:val="22"/>
        </w:rPr>
        <w:t>Savoir être, discrétion et diplomatie</w:t>
      </w:r>
    </w:p>
    <w:p w14:paraId="0CEFDF66" w14:textId="77777777" w:rsidR="000B7D24" w:rsidRPr="007C44B3" w:rsidRDefault="000B7D24" w:rsidP="000B7D24">
      <w:pPr>
        <w:jc w:val="both"/>
        <w:rPr>
          <w:rFonts w:ascii="Calibri" w:hAnsi="Calibri"/>
          <w:sz w:val="22"/>
          <w:szCs w:val="22"/>
        </w:rPr>
      </w:pPr>
    </w:p>
    <w:p w14:paraId="207755A1" w14:textId="34DA3878" w:rsidR="009236DE" w:rsidRPr="007C44B3" w:rsidRDefault="009236DE" w:rsidP="00DF6355">
      <w:pPr>
        <w:numPr>
          <w:ilvl w:val="0"/>
          <w:numId w:val="3"/>
        </w:numPr>
        <w:tabs>
          <w:tab w:val="num" w:pos="720"/>
        </w:tabs>
        <w:jc w:val="both"/>
        <w:rPr>
          <w:rFonts w:ascii="Calibri" w:hAnsi="Calibri"/>
          <w:iCs/>
          <w:sz w:val="22"/>
          <w:szCs w:val="22"/>
          <w:u w:val="single"/>
        </w:rPr>
      </w:pPr>
      <w:r w:rsidRPr="007C44B3">
        <w:rPr>
          <w:rFonts w:ascii="Calibri" w:hAnsi="Calibri"/>
          <w:iCs/>
          <w:sz w:val="22"/>
          <w:szCs w:val="22"/>
          <w:u w:val="single"/>
        </w:rPr>
        <w:t>Expérience</w:t>
      </w:r>
      <w:r w:rsidR="00517C4D" w:rsidRPr="007C44B3">
        <w:rPr>
          <w:rFonts w:ascii="Calibri" w:hAnsi="Calibri"/>
          <w:iCs/>
          <w:sz w:val="22"/>
          <w:szCs w:val="22"/>
          <w:u w:val="single"/>
        </w:rPr>
        <w:t>s</w:t>
      </w:r>
      <w:r w:rsidRPr="007C44B3">
        <w:rPr>
          <w:rFonts w:ascii="Calibri" w:hAnsi="Calibri"/>
          <w:iCs/>
          <w:sz w:val="22"/>
          <w:szCs w:val="22"/>
          <w:u w:val="single"/>
        </w:rPr>
        <w:t xml:space="preserve"> professionnelle</w:t>
      </w:r>
      <w:r w:rsidR="00517C4D" w:rsidRPr="007C44B3">
        <w:rPr>
          <w:rFonts w:ascii="Calibri" w:hAnsi="Calibri"/>
          <w:iCs/>
          <w:sz w:val="22"/>
          <w:szCs w:val="22"/>
          <w:u w:val="single"/>
        </w:rPr>
        <w:t>s</w:t>
      </w:r>
      <w:r w:rsidRPr="007C44B3">
        <w:rPr>
          <w:rFonts w:ascii="Calibri" w:hAnsi="Calibri"/>
          <w:iCs/>
          <w:sz w:val="22"/>
          <w:szCs w:val="22"/>
          <w:u w:val="single"/>
        </w:rPr>
        <w:t xml:space="preserve"> générale</w:t>
      </w:r>
      <w:r w:rsidR="00517C4D" w:rsidRPr="007C44B3">
        <w:rPr>
          <w:rFonts w:ascii="Calibri" w:hAnsi="Calibri"/>
          <w:iCs/>
          <w:sz w:val="22"/>
          <w:szCs w:val="22"/>
          <w:u w:val="single"/>
        </w:rPr>
        <w:t>s</w:t>
      </w:r>
    </w:p>
    <w:p w14:paraId="772DBEBD" w14:textId="77777777" w:rsidR="0041139C" w:rsidRPr="007C44B3" w:rsidRDefault="0041139C" w:rsidP="0041139C">
      <w:pPr>
        <w:ind w:left="1980"/>
        <w:jc w:val="both"/>
        <w:rPr>
          <w:rFonts w:ascii="Calibri" w:hAnsi="Calibri"/>
          <w:iCs/>
          <w:sz w:val="22"/>
          <w:szCs w:val="22"/>
          <w:u w:val="single"/>
        </w:rPr>
      </w:pPr>
    </w:p>
    <w:p w14:paraId="5B8108EE" w14:textId="3B9FC12F" w:rsidR="00F777BC" w:rsidRPr="007C44B3" w:rsidRDefault="00F777BC" w:rsidP="00F777BC">
      <w:pPr>
        <w:numPr>
          <w:ilvl w:val="0"/>
          <w:numId w:val="1"/>
        </w:numPr>
        <w:jc w:val="both"/>
        <w:rPr>
          <w:rFonts w:ascii="Calibri" w:hAnsi="Calibri"/>
          <w:sz w:val="22"/>
          <w:szCs w:val="22"/>
        </w:rPr>
      </w:pPr>
      <w:r w:rsidRPr="007C44B3">
        <w:rPr>
          <w:rFonts w:ascii="Calibri" w:hAnsi="Calibri"/>
          <w:sz w:val="22"/>
          <w:szCs w:val="22"/>
        </w:rPr>
        <w:t>Avoir une bonne expérience du fonctionnement des administrations publiques</w:t>
      </w:r>
      <w:r w:rsidR="004A5D1D" w:rsidRPr="007C44B3">
        <w:rPr>
          <w:rFonts w:ascii="Calibri" w:hAnsi="Calibri"/>
          <w:sz w:val="22"/>
          <w:szCs w:val="22"/>
        </w:rPr>
        <w:t xml:space="preserve"> </w:t>
      </w:r>
      <w:r w:rsidR="008F3C98" w:rsidRPr="007C44B3">
        <w:rPr>
          <w:rFonts w:ascii="Calibri" w:hAnsi="Calibri"/>
          <w:sz w:val="22"/>
          <w:szCs w:val="22"/>
        </w:rPr>
        <w:t>notamment</w:t>
      </w:r>
      <w:r w:rsidR="004A5D1D" w:rsidRPr="007C44B3">
        <w:rPr>
          <w:rFonts w:ascii="Calibri" w:hAnsi="Calibri"/>
          <w:sz w:val="22"/>
          <w:szCs w:val="22"/>
        </w:rPr>
        <w:t xml:space="preserve"> </w:t>
      </w:r>
      <w:r w:rsidR="008F3C98" w:rsidRPr="007C44B3">
        <w:rPr>
          <w:rFonts w:ascii="Calibri" w:hAnsi="Calibri"/>
          <w:sz w:val="22"/>
          <w:szCs w:val="22"/>
        </w:rPr>
        <w:t xml:space="preserve">celle </w:t>
      </w:r>
      <w:r w:rsidR="00327D98" w:rsidRPr="007C44B3">
        <w:rPr>
          <w:rFonts w:ascii="Calibri" w:hAnsi="Calibri"/>
          <w:sz w:val="22"/>
          <w:szCs w:val="22"/>
        </w:rPr>
        <w:t>des organismes publics</w:t>
      </w:r>
      <w:r w:rsidR="008F3C98" w:rsidRPr="007C44B3">
        <w:rPr>
          <w:rFonts w:ascii="Calibri" w:hAnsi="Calibri"/>
          <w:sz w:val="22"/>
          <w:szCs w:val="22"/>
        </w:rPr>
        <w:t xml:space="preserve"> de santé</w:t>
      </w:r>
      <w:r w:rsidR="00C012A8" w:rsidRPr="007C44B3">
        <w:rPr>
          <w:rFonts w:ascii="Calibri" w:hAnsi="Calibri"/>
          <w:sz w:val="22"/>
          <w:szCs w:val="22"/>
        </w:rPr>
        <w:t>, être fonctionnaire ou ancien fonctionnaire d’une administration publique de la Santé sera jugé favorablement ;</w:t>
      </w:r>
    </w:p>
    <w:p w14:paraId="004072D3" w14:textId="62698962" w:rsidR="00F777BC" w:rsidRPr="007C44B3" w:rsidRDefault="00937EAA" w:rsidP="00F777BC">
      <w:pPr>
        <w:numPr>
          <w:ilvl w:val="0"/>
          <w:numId w:val="1"/>
        </w:numPr>
        <w:jc w:val="both"/>
        <w:rPr>
          <w:rFonts w:ascii="Calibri" w:hAnsi="Calibri"/>
          <w:sz w:val="22"/>
          <w:szCs w:val="22"/>
        </w:rPr>
      </w:pPr>
      <w:r w:rsidRPr="007C44B3">
        <w:rPr>
          <w:rFonts w:ascii="Calibri" w:hAnsi="Calibri"/>
          <w:sz w:val="22"/>
          <w:szCs w:val="22"/>
        </w:rPr>
        <w:t xml:space="preserve">Expérience avérée (au moins 10 ans) dans le diagnostic </w:t>
      </w:r>
      <w:r w:rsidR="00797468" w:rsidRPr="007C44B3">
        <w:rPr>
          <w:rFonts w:ascii="Calibri" w:hAnsi="Calibri"/>
          <w:sz w:val="22"/>
          <w:szCs w:val="22"/>
        </w:rPr>
        <w:t xml:space="preserve">institutionnel, </w:t>
      </w:r>
      <w:r w:rsidRPr="007C44B3">
        <w:rPr>
          <w:rFonts w:ascii="Calibri" w:hAnsi="Calibri"/>
          <w:sz w:val="22"/>
          <w:szCs w:val="22"/>
        </w:rPr>
        <w:t>organisationnel et fonctionnel, en particulier dans</w:t>
      </w:r>
      <w:r w:rsidR="00FF6A11" w:rsidRPr="007C44B3">
        <w:rPr>
          <w:rFonts w:ascii="Calibri" w:hAnsi="Calibri"/>
          <w:sz w:val="22"/>
          <w:szCs w:val="22"/>
        </w:rPr>
        <w:t xml:space="preserve"> </w:t>
      </w:r>
      <w:r w:rsidR="00517C4D" w:rsidRPr="007C44B3">
        <w:rPr>
          <w:rFonts w:ascii="Calibri" w:hAnsi="Calibri"/>
          <w:sz w:val="22"/>
          <w:szCs w:val="22"/>
        </w:rPr>
        <w:t>la gouvernance des organismes publics de Santé</w:t>
      </w:r>
    </w:p>
    <w:p w14:paraId="56F44B4B" w14:textId="57F671A5" w:rsidR="00F777BC" w:rsidRPr="007C44B3" w:rsidRDefault="00F777BC" w:rsidP="00327D98">
      <w:pPr>
        <w:numPr>
          <w:ilvl w:val="0"/>
          <w:numId w:val="1"/>
        </w:numPr>
        <w:jc w:val="both"/>
        <w:rPr>
          <w:rFonts w:ascii="Calibri" w:hAnsi="Calibri"/>
          <w:sz w:val="22"/>
          <w:szCs w:val="22"/>
        </w:rPr>
      </w:pPr>
      <w:r w:rsidRPr="007C44B3">
        <w:rPr>
          <w:rFonts w:ascii="Calibri" w:hAnsi="Calibri"/>
          <w:sz w:val="22"/>
          <w:szCs w:val="22"/>
        </w:rPr>
        <w:t>Avoir participé à de</w:t>
      </w:r>
      <w:r w:rsidR="00517C4D" w:rsidRPr="007C44B3">
        <w:rPr>
          <w:rFonts w:ascii="Calibri" w:hAnsi="Calibri"/>
          <w:sz w:val="22"/>
          <w:szCs w:val="22"/>
        </w:rPr>
        <w:t>s</w:t>
      </w:r>
      <w:r w:rsidRPr="007C44B3">
        <w:rPr>
          <w:rFonts w:ascii="Calibri" w:hAnsi="Calibri"/>
          <w:sz w:val="22"/>
          <w:szCs w:val="22"/>
        </w:rPr>
        <w:t xml:space="preserve"> projet</w:t>
      </w:r>
      <w:r w:rsidR="00517C4D" w:rsidRPr="007C44B3">
        <w:rPr>
          <w:rFonts w:ascii="Calibri" w:hAnsi="Calibri"/>
          <w:sz w:val="22"/>
          <w:szCs w:val="22"/>
        </w:rPr>
        <w:t>s</w:t>
      </w:r>
      <w:r w:rsidRPr="007C44B3">
        <w:rPr>
          <w:rFonts w:ascii="Calibri" w:hAnsi="Calibri"/>
          <w:sz w:val="22"/>
          <w:szCs w:val="22"/>
        </w:rPr>
        <w:t xml:space="preserve"> </w:t>
      </w:r>
      <w:r w:rsidR="00327D98" w:rsidRPr="007C44B3">
        <w:rPr>
          <w:rFonts w:ascii="Calibri" w:hAnsi="Calibri"/>
          <w:sz w:val="22"/>
          <w:szCs w:val="22"/>
        </w:rPr>
        <w:t xml:space="preserve">de réformes </w:t>
      </w:r>
      <w:r w:rsidR="00937EAA" w:rsidRPr="007C44B3">
        <w:rPr>
          <w:rFonts w:ascii="Calibri" w:hAnsi="Calibri"/>
          <w:sz w:val="22"/>
          <w:szCs w:val="22"/>
        </w:rPr>
        <w:t>organismes publics de santé</w:t>
      </w:r>
      <w:r w:rsidR="00FF6A11" w:rsidRPr="007C44B3">
        <w:rPr>
          <w:rFonts w:ascii="Calibri" w:hAnsi="Calibri"/>
          <w:sz w:val="22"/>
          <w:szCs w:val="22"/>
        </w:rPr>
        <w:t>.</w:t>
      </w:r>
    </w:p>
    <w:p w14:paraId="2472A98D" w14:textId="007889E9" w:rsidR="00517C4D" w:rsidRPr="007C44B3" w:rsidRDefault="00517C4D" w:rsidP="00327D98">
      <w:pPr>
        <w:numPr>
          <w:ilvl w:val="0"/>
          <w:numId w:val="1"/>
        </w:numPr>
        <w:jc w:val="both"/>
        <w:rPr>
          <w:rFonts w:ascii="Calibri" w:hAnsi="Calibri"/>
          <w:sz w:val="22"/>
          <w:szCs w:val="22"/>
        </w:rPr>
      </w:pPr>
      <w:r w:rsidRPr="007C44B3">
        <w:rPr>
          <w:rFonts w:ascii="Calibri" w:hAnsi="Calibri"/>
          <w:sz w:val="22"/>
          <w:szCs w:val="22"/>
        </w:rPr>
        <w:t xml:space="preserve">Avoir déjà travaillé dans le cadre de projets de coopération avec des bailleurs dans le cadre de missions similaires (notamment en Afrique de l’Ouest). </w:t>
      </w:r>
    </w:p>
    <w:p w14:paraId="13339C22" w14:textId="77777777" w:rsidR="009236DE" w:rsidRPr="007C44B3" w:rsidRDefault="009236DE" w:rsidP="009236DE">
      <w:pPr>
        <w:jc w:val="both"/>
        <w:rPr>
          <w:rFonts w:ascii="Calibri" w:hAnsi="Calibri"/>
          <w:i/>
          <w:sz w:val="22"/>
          <w:szCs w:val="22"/>
          <w:u w:val="single"/>
        </w:rPr>
      </w:pPr>
    </w:p>
    <w:p w14:paraId="3DF98ADC" w14:textId="303AD9BA" w:rsidR="009236DE" w:rsidRPr="007C44B3" w:rsidRDefault="009236DE" w:rsidP="00DF6355">
      <w:pPr>
        <w:numPr>
          <w:ilvl w:val="0"/>
          <w:numId w:val="3"/>
        </w:numPr>
        <w:tabs>
          <w:tab w:val="num" w:pos="720"/>
        </w:tabs>
        <w:jc w:val="both"/>
        <w:rPr>
          <w:rFonts w:ascii="Calibri" w:hAnsi="Calibri"/>
          <w:iCs/>
          <w:sz w:val="22"/>
          <w:szCs w:val="22"/>
          <w:u w:val="single"/>
        </w:rPr>
      </w:pPr>
      <w:r w:rsidRPr="007C44B3">
        <w:rPr>
          <w:rFonts w:ascii="Calibri" w:hAnsi="Calibri"/>
          <w:iCs/>
          <w:sz w:val="22"/>
          <w:szCs w:val="22"/>
          <w:u w:val="single"/>
        </w:rPr>
        <w:t>Expérience professionnelle spécifique</w:t>
      </w:r>
    </w:p>
    <w:p w14:paraId="5CBF90CE" w14:textId="77777777" w:rsidR="00BB1E0F" w:rsidRPr="007C44B3" w:rsidRDefault="00BB1E0F" w:rsidP="00BB1E0F">
      <w:pPr>
        <w:ind w:left="1980"/>
        <w:jc w:val="both"/>
        <w:rPr>
          <w:rFonts w:ascii="Calibri" w:hAnsi="Calibri"/>
          <w:iCs/>
          <w:sz w:val="22"/>
          <w:szCs w:val="22"/>
          <w:u w:val="single"/>
        </w:rPr>
      </w:pPr>
    </w:p>
    <w:p w14:paraId="2950F0D7" w14:textId="05C84E4B" w:rsidR="009236DE" w:rsidRPr="007C44B3" w:rsidRDefault="00BB1E0F" w:rsidP="00DF6355">
      <w:pPr>
        <w:numPr>
          <w:ilvl w:val="0"/>
          <w:numId w:val="1"/>
        </w:numPr>
        <w:jc w:val="both"/>
        <w:rPr>
          <w:rFonts w:ascii="Calibri" w:hAnsi="Calibri"/>
          <w:sz w:val="22"/>
          <w:szCs w:val="22"/>
        </w:rPr>
      </w:pPr>
      <w:r w:rsidRPr="007C44B3">
        <w:rPr>
          <w:rFonts w:ascii="Calibri" w:hAnsi="Calibri"/>
          <w:sz w:val="22"/>
          <w:szCs w:val="22"/>
        </w:rPr>
        <w:t>Avoir une expérience d’au moins 10 ans dans l’accompagnement de la mise en œuvre des réformes de</w:t>
      </w:r>
      <w:r w:rsidR="0013235B" w:rsidRPr="007C44B3">
        <w:rPr>
          <w:rFonts w:ascii="Calibri" w:hAnsi="Calibri"/>
          <w:sz w:val="22"/>
          <w:szCs w:val="22"/>
        </w:rPr>
        <w:t xml:space="preserve"> l’administration publique, de</w:t>
      </w:r>
      <w:r w:rsidRPr="007C44B3">
        <w:rPr>
          <w:rFonts w:ascii="Calibri" w:hAnsi="Calibri"/>
          <w:sz w:val="22"/>
          <w:szCs w:val="22"/>
        </w:rPr>
        <w:t>s finances publiques</w:t>
      </w:r>
      <w:r w:rsidR="0013235B" w:rsidRPr="007C44B3">
        <w:rPr>
          <w:rFonts w:ascii="Calibri" w:hAnsi="Calibri"/>
          <w:sz w:val="22"/>
          <w:szCs w:val="22"/>
        </w:rPr>
        <w:t>,</w:t>
      </w:r>
      <w:r w:rsidRPr="007C44B3">
        <w:rPr>
          <w:rFonts w:ascii="Calibri" w:hAnsi="Calibri"/>
          <w:sz w:val="22"/>
          <w:szCs w:val="22"/>
        </w:rPr>
        <w:t xml:space="preserve"> </w:t>
      </w:r>
      <w:r w:rsidR="004E0597" w:rsidRPr="007C44B3">
        <w:rPr>
          <w:rFonts w:ascii="Calibri" w:hAnsi="Calibri"/>
          <w:sz w:val="22"/>
          <w:szCs w:val="22"/>
        </w:rPr>
        <w:t xml:space="preserve">en particulier </w:t>
      </w:r>
      <w:r w:rsidRPr="007C44B3">
        <w:rPr>
          <w:rFonts w:ascii="Calibri" w:hAnsi="Calibri"/>
          <w:sz w:val="22"/>
          <w:szCs w:val="22"/>
        </w:rPr>
        <w:t>la</w:t>
      </w:r>
      <w:r w:rsidR="008606A9" w:rsidRPr="007C44B3">
        <w:rPr>
          <w:rFonts w:ascii="Calibri" w:hAnsi="Calibri"/>
          <w:sz w:val="22"/>
          <w:szCs w:val="22"/>
        </w:rPr>
        <w:t xml:space="preserve"> réforme des organismes publics</w:t>
      </w:r>
      <w:r w:rsidR="00417574" w:rsidRPr="007C44B3">
        <w:rPr>
          <w:rFonts w:ascii="Calibri" w:hAnsi="Calibri"/>
          <w:sz w:val="22"/>
          <w:szCs w:val="22"/>
        </w:rPr>
        <w:t xml:space="preserve"> de santé</w:t>
      </w:r>
      <w:r w:rsidRPr="007C44B3">
        <w:rPr>
          <w:rFonts w:ascii="Calibri" w:hAnsi="Calibri"/>
          <w:sz w:val="22"/>
          <w:szCs w:val="22"/>
        </w:rPr>
        <w:t> ;</w:t>
      </w:r>
    </w:p>
    <w:p w14:paraId="28863915" w14:textId="5E7BB47A" w:rsidR="00C874FC" w:rsidRPr="007C44B3" w:rsidRDefault="00C874FC" w:rsidP="00DF6355">
      <w:pPr>
        <w:numPr>
          <w:ilvl w:val="0"/>
          <w:numId w:val="1"/>
        </w:numPr>
        <w:jc w:val="both"/>
        <w:rPr>
          <w:rFonts w:ascii="Calibri" w:hAnsi="Calibri"/>
          <w:sz w:val="22"/>
          <w:szCs w:val="22"/>
        </w:rPr>
      </w:pPr>
      <w:r w:rsidRPr="007C44B3">
        <w:rPr>
          <w:rFonts w:ascii="Calibri" w:hAnsi="Calibri"/>
          <w:sz w:val="22"/>
          <w:szCs w:val="22"/>
        </w:rPr>
        <w:t>Avoir une expérience avérée en matière de conception et d’élaboration de</w:t>
      </w:r>
      <w:r w:rsidR="00D63EDA" w:rsidRPr="007C44B3">
        <w:rPr>
          <w:rFonts w:ascii="Calibri" w:hAnsi="Calibri"/>
          <w:sz w:val="22"/>
          <w:szCs w:val="22"/>
        </w:rPr>
        <w:t>s outils de gestion des EPA (les outils comptables, contrat programme</w:t>
      </w:r>
      <w:r w:rsidR="004E0597" w:rsidRPr="007C44B3">
        <w:rPr>
          <w:rFonts w:ascii="Calibri" w:hAnsi="Calibri"/>
          <w:sz w:val="22"/>
          <w:szCs w:val="22"/>
        </w:rPr>
        <w:t>, suivi des risques</w:t>
      </w:r>
      <w:r w:rsidR="00D63EDA" w:rsidRPr="007C44B3">
        <w:rPr>
          <w:rFonts w:ascii="Calibri" w:hAnsi="Calibri"/>
          <w:sz w:val="22"/>
          <w:szCs w:val="22"/>
        </w:rPr>
        <w:t xml:space="preserve"> </w:t>
      </w:r>
      <w:r w:rsidR="00D26257" w:rsidRPr="007C44B3">
        <w:rPr>
          <w:rFonts w:ascii="Calibri" w:hAnsi="Calibri"/>
          <w:sz w:val="22"/>
          <w:szCs w:val="22"/>
        </w:rPr>
        <w:t>etc.</w:t>
      </w:r>
      <w:r w:rsidR="00417574" w:rsidRPr="007C44B3">
        <w:rPr>
          <w:rFonts w:ascii="Calibri" w:hAnsi="Calibri"/>
          <w:sz w:val="22"/>
          <w:szCs w:val="22"/>
        </w:rPr>
        <w:t>)</w:t>
      </w:r>
      <w:r w:rsidR="00D63EDA" w:rsidRPr="007C44B3">
        <w:rPr>
          <w:rFonts w:ascii="Calibri" w:hAnsi="Calibri"/>
          <w:sz w:val="22"/>
          <w:szCs w:val="22"/>
        </w:rPr>
        <w:t> ;</w:t>
      </w:r>
    </w:p>
    <w:p w14:paraId="38EB2839" w14:textId="78110534" w:rsidR="00C874FC" w:rsidRPr="007C44B3" w:rsidRDefault="00C874FC" w:rsidP="00DF6355">
      <w:pPr>
        <w:numPr>
          <w:ilvl w:val="0"/>
          <w:numId w:val="1"/>
        </w:numPr>
        <w:jc w:val="both"/>
        <w:rPr>
          <w:rFonts w:ascii="Calibri" w:hAnsi="Calibri"/>
          <w:sz w:val="22"/>
          <w:szCs w:val="22"/>
        </w:rPr>
      </w:pPr>
      <w:r w:rsidRPr="007C44B3">
        <w:rPr>
          <w:rFonts w:ascii="Calibri" w:hAnsi="Calibri"/>
          <w:sz w:val="22"/>
          <w:szCs w:val="22"/>
        </w:rPr>
        <w:t>Avoir une bonne connaissance du fonctionnement de l’Administration publique, notamment dans les pays africains.</w:t>
      </w:r>
    </w:p>
    <w:p w14:paraId="6B1DC63E" w14:textId="2A8C760D" w:rsidR="009236DE" w:rsidRPr="007C44B3" w:rsidRDefault="00310F15" w:rsidP="00DF6355">
      <w:pPr>
        <w:numPr>
          <w:ilvl w:val="0"/>
          <w:numId w:val="1"/>
        </w:numPr>
        <w:jc w:val="both"/>
        <w:rPr>
          <w:rFonts w:ascii="Calibri" w:hAnsi="Calibri"/>
          <w:sz w:val="22"/>
          <w:szCs w:val="22"/>
        </w:rPr>
      </w:pPr>
      <w:r w:rsidRPr="007C44B3">
        <w:rPr>
          <w:rFonts w:ascii="Calibri" w:hAnsi="Calibri"/>
          <w:sz w:val="22"/>
          <w:szCs w:val="22"/>
        </w:rPr>
        <w:t>Expérience</w:t>
      </w:r>
      <w:r w:rsidR="009236DE" w:rsidRPr="007C44B3">
        <w:rPr>
          <w:rFonts w:ascii="Calibri" w:hAnsi="Calibri"/>
          <w:sz w:val="22"/>
          <w:szCs w:val="22"/>
        </w:rPr>
        <w:t xml:space="preserve"> </w:t>
      </w:r>
      <w:r w:rsidR="00AF63C1" w:rsidRPr="007C44B3">
        <w:rPr>
          <w:rFonts w:ascii="Calibri" w:hAnsi="Calibri"/>
          <w:sz w:val="22"/>
          <w:szCs w:val="22"/>
        </w:rPr>
        <w:t>préalable</w:t>
      </w:r>
      <w:r w:rsidR="00D63EDA" w:rsidRPr="007C44B3">
        <w:rPr>
          <w:rFonts w:ascii="Calibri" w:hAnsi="Calibri"/>
          <w:sz w:val="22"/>
          <w:szCs w:val="22"/>
        </w:rPr>
        <w:t xml:space="preserve"> de renforcement des capacités organisationnelle et institutionnelle</w:t>
      </w:r>
      <w:r w:rsidR="009236DE" w:rsidRPr="007C44B3">
        <w:rPr>
          <w:rFonts w:ascii="Calibri" w:hAnsi="Calibri"/>
          <w:sz w:val="22"/>
          <w:szCs w:val="22"/>
        </w:rPr>
        <w:t>.</w:t>
      </w:r>
    </w:p>
    <w:p w14:paraId="4AC7A15C" w14:textId="71864C0A" w:rsidR="004E0597" w:rsidRPr="007C44B3" w:rsidRDefault="004E0597" w:rsidP="00DF6355">
      <w:pPr>
        <w:numPr>
          <w:ilvl w:val="0"/>
          <w:numId w:val="1"/>
        </w:numPr>
        <w:jc w:val="both"/>
        <w:rPr>
          <w:rFonts w:ascii="Calibri" w:hAnsi="Calibri"/>
          <w:sz w:val="22"/>
          <w:szCs w:val="22"/>
        </w:rPr>
      </w:pPr>
      <w:r w:rsidRPr="007C44B3">
        <w:rPr>
          <w:rFonts w:ascii="Calibri" w:hAnsi="Calibri"/>
          <w:sz w:val="22"/>
          <w:szCs w:val="22"/>
        </w:rPr>
        <w:t xml:space="preserve">Connaître le contexte guinéen sera jugé favorablement. A défaut il est demandé des expériences similaires dans des contextes comparables. </w:t>
      </w:r>
    </w:p>
    <w:p w14:paraId="0CDDF696" w14:textId="77777777" w:rsidR="00934199" w:rsidRPr="007C44B3" w:rsidRDefault="00934199" w:rsidP="00E167A2">
      <w:pPr>
        <w:rPr>
          <w:rFonts w:ascii="Calibri" w:hAnsi="Calibri"/>
          <w:sz w:val="22"/>
          <w:szCs w:val="22"/>
        </w:rPr>
      </w:pPr>
    </w:p>
    <w:p w14:paraId="3A498321" w14:textId="77777777" w:rsidR="00E167A2" w:rsidRPr="007C44B3" w:rsidRDefault="00777EC5" w:rsidP="00DF6355">
      <w:pPr>
        <w:numPr>
          <w:ilvl w:val="0"/>
          <w:numId w:val="2"/>
        </w:numPr>
        <w:shd w:val="clear" w:color="auto" w:fill="E6E6E6"/>
        <w:tabs>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 xml:space="preserve">Compte-rendu </w:t>
      </w:r>
      <w:r w:rsidR="00E167A2" w:rsidRPr="007C44B3">
        <w:rPr>
          <w:rFonts w:ascii="Calibri" w:eastAsia="Arial Unicode MS" w:hAnsi="Calibri" w:cs="Arial Unicode MS"/>
          <w:b/>
          <w:sz w:val="22"/>
          <w:szCs w:val="22"/>
          <w:lang w:eastAsia="en-US"/>
        </w:rPr>
        <w:t>de mission</w:t>
      </w:r>
      <w:r w:rsidRPr="007C44B3">
        <w:rPr>
          <w:rFonts w:ascii="Calibri" w:eastAsia="Arial Unicode MS" w:hAnsi="Calibri" w:cs="Arial Unicode MS"/>
          <w:b/>
          <w:sz w:val="22"/>
          <w:szCs w:val="22"/>
          <w:lang w:eastAsia="en-US"/>
        </w:rPr>
        <w:t>s</w:t>
      </w:r>
    </w:p>
    <w:p w14:paraId="31384A07" w14:textId="77777777" w:rsidR="00E167A2" w:rsidRPr="007C44B3" w:rsidRDefault="00E167A2" w:rsidP="00E167A2">
      <w:pPr>
        <w:jc w:val="both"/>
        <w:rPr>
          <w:rFonts w:ascii="Calibri" w:hAnsi="Calibri"/>
          <w:sz w:val="22"/>
          <w:szCs w:val="22"/>
        </w:rPr>
      </w:pPr>
    </w:p>
    <w:p w14:paraId="577CBB7E" w14:textId="72607214" w:rsidR="001A29FD" w:rsidRPr="007C44B3" w:rsidRDefault="00E167A2" w:rsidP="005568BE">
      <w:pPr>
        <w:jc w:val="both"/>
        <w:rPr>
          <w:rFonts w:ascii="Calibri" w:eastAsia="Arial Unicode MS" w:hAnsi="Calibri" w:cs="Arial Unicode MS"/>
          <w:sz w:val="22"/>
          <w:szCs w:val="22"/>
          <w:lang w:eastAsia="en-US"/>
        </w:rPr>
      </w:pPr>
      <w:r w:rsidRPr="007C44B3">
        <w:rPr>
          <w:rFonts w:ascii="Calibri" w:hAnsi="Calibri"/>
          <w:sz w:val="22"/>
          <w:szCs w:val="22"/>
        </w:rPr>
        <w:t xml:space="preserve">Un </w:t>
      </w:r>
      <w:r w:rsidR="0091201F" w:rsidRPr="007C44B3">
        <w:rPr>
          <w:rFonts w:ascii="Calibri" w:hAnsi="Calibri"/>
          <w:sz w:val="22"/>
          <w:szCs w:val="22"/>
        </w:rPr>
        <w:t xml:space="preserve">compte rendu (suivant </w:t>
      </w:r>
      <w:r w:rsidR="009724D1" w:rsidRPr="007C44B3">
        <w:rPr>
          <w:rFonts w:ascii="Calibri" w:hAnsi="Calibri"/>
          <w:sz w:val="22"/>
          <w:szCs w:val="22"/>
        </w:rPr>
        <w:t xml:space="preserve">le </w:t>
      </w:r>
      <w:r w:rsidR="0091201F" w:rsidRPr="007C44B3">
        <w:rPr>
          <w:rFonts w:ascii="Calibri" w:hAnsi="Calibri"/>
          <w:sz w:val="22"/>
          <w:szCs w:val="22"/>
        </w:rPr>
        <w:t>modèle fourni) devra</w:t>
      </w:r>
      <w:r w:rsidRPr="007C44B3">
        <w:rPr>
          <w:rFonts w:ascii="Calibri" w:hAnsi="Calibri"/>
          <w:sz w:val="22"/>
          <w:szCs w:val="22"/>
        </w:rPr>
        <w:t xml:space="preserve"> être remis</w:t>
      </w:r>
      <w:r w:rsidR="00777EC5" w:rsidRPr="007C44B3">
        <w:rPr>
          <w:rFonts w:ascii="Calibri" w:hAnsi="Calibri"/>
          <w:sz w:val="22"/>
          <w:szCs w:val="22"/>
        </w:rPr>
        <w:t xml:space="preserve"> par </w:t>
      </w:r>
      <w:r w:rsidR="00777EC5" w:rsidRPr="007C44B3">
        <w:rPr>
          <w:rFonts w:ascii="Calibri" w:eastAsia="Arial Unicode MS" w:hAnsi="Calibri" w:cs="Arial Unicode MS"/>
          <w:sz w:val="22"/>
          <w:szCs w:val="22"/>
          <w:lang w:eastAsia="en-US"/>
        </w:rPr>
        <w:t>mail</w:t>
      </w:r>
      <w:r w:rsidR="00A549E0" w:rsidRPr="007C44B3">
        <w:rPr>
          <w:rFonts w:ascii="Calibri" w:eastAsia="Arial Unicode MS" w:hAnsi="Calibri" w:cs="Arial Unicode MS"/>
          <w:sz w:val="22"/>
          <w:szCs w:val="22"/>
          <w:lang w:eastAsia="en-US"/>
        </w:rPr>
        <w:t xml:space="preserve"> </w:t>
      </w:r>
      <w:r w:rsidR="009236DE" w:rsidRPr="007C44B3">
        <w:rPr>
          <w:rFonts w:ascii="Calibri" w:hAnsi="Calibri"/>
          <w:sz w:val="22"/>
          <w:szCs w:val="22"/>
        </w:rPr>
        <w:t>à l’issue de</w:t>
      </w:r>
      <w:r w:rsidR="0091201F" w:rsidRPr="007C44B3">
        <w:rPr>
          <w:rFonts w:ascii="Calibri" w:hAnsi="Calibri"/>
          <w:sz w:val="22"/>
          <w:szCs w:val="22"/>
        </w:rPr>
        <w:t xml:space="preserve"> mission</w:t>
      </w:r>
      <w:r w:rsidR="001A29FD" w:rsidRPr="007C44B3">
        <w:rPr>
          <w:rFonts w:ascii="Calibri" w:hAnsi="Calibri"/>
          <w:sz w:val="22"/>
          <w:szCs w:val="22"/>
        </w:rPr>
        <w:t> : il correspond au livrable r</w:t>
      </w:r>
      <w:r w:rsidR="001A29FD" w:rsidRPr="007C44B3">
        <w:rPr>
          <w:rFonts w:ascii="Calibri" w:eastAsia="Arial Unicode MS" w:hAnsi="Calibri" w:cs="Arial Unicode MS"/>
          <w:sz w:val="22"/>
          <w:szCs w:val="22"/>
          <w:lang w:eastAsia="en-US"/>
        </w:rPr>
        <w:t>a</w:t>
      </w:r>
      <w:r w:rsidR="00D024D8" w:rsidRPr="007C44B3">
        <w:rPr>
          <w:rFonts w:ascii="Calibri" w:eastAsia="Arial Unicode MS" w:hAnsi="Calibri" w:cs="Arial Unicode MS"/>
          <w:sz w:val="22"/>
          <w:szCs w:val="22"/>
          <w:lang w:eastAsia="en-US"/>
        </w:rPr>
        <w:t>pport de fin de mission.</w:t>
      </w:r>
      <w:r w:rsidR="001A29FD" w:rsidRPr="007C44B3">
        <w:rPr>
          <w:rFonts w:ascii="Calibri" w:eastAsia="Arial Unicode MS" w:hAnsi="Calibri" w:cs="Arial Unicode MS"/>
          <w:sz w:val="22"/>
          <w:szCs w:val="22"/>
          <w:lang w:eastAsia="en-US"/>
        </w:rPr>
        <w:t> </w:t>
      </w:r>
    </w:p>
    <w:p w14:paraId="1B1C9BA7" w14:textId="77777777" w:rsidR="00982D5A" w:rsidRPr="007C44B3" w:rsidRDefault="00982D5A" w:rsidP="005568BE">
      <w:pPr>
        <w:jc w:val="both"/>
        <w:rPr>
          <w:rFonts w:ascii="Calibri" w:hAnsi="Calibri"/>
          <w:sz w:val="22"/>
          <w:szCs w:val="22"/>
        </w:rPr>
      </w:pPr>
    </w:p>
    <w:p w14:paraId="6AEEFB5E" w14:textId="77777777" w:rsidR="00982D5A" w:rsidRPr="007C44B3" w:rsidRDefault="00982D5A" w:rsidP="00982D5A">
      <w:pPr>
        <w:numPr>
          <w:ilvl w:val="0"/>
          <w:numId w:val="2"/>
        </w:numPr>
        <w:shd w:val="clear" w:color="auto" w:fill="E6E6E6"/>
        <w:tabs>
          <w:tab w:val="clear" w:pos="1635"/>
          <w:tab w:val="num" w:pos="180"/>
        </w:tabs>
        <w:ind w:left="180"/>
        <w:rPr>
          <w:rFonts w:ascii="Calibri" w:eastAsia="Arial Unicode MS" w:hAnsi="Calibri" w:cs="Arial Unicode MS"/>
          <w:b/>
          <w:sz w:val="22"/>
          <w:szCs w:val="22"/>
          <w:lang w:eastAsia="en-US"/>
        </w:rPr>
      </w:pPr>
      <w:r w:rsidRPr="007C44B3">
        <w:rPr>
          <w:rFonts w:ascii="Calibri" w:eastAsia="Arial Unicode MS" w:hAnsi="Calibri" w:cs="Arial Unicode MS"/>
          <w:b/>
          <w:sz w:val="22"/>
          <w:szCs w:val="22"/>
          <w:lang w:eastAsia="en-US"/>
        </w:rPr>
        <w:t xml:space="preserve">Disponibilité, réponse et rémunération </w:t>
      </w:r>
    </w:p>
    <w:p w14:paraId="6D2E267A" w14:textId="77777777" w:rsidR="00982D5A" w:rsidRPr="007C44B3" w:rsidRDefault="00982D5A" w:rsidP="00982D5A">
      <w:pPr>
        <w:pStyle w:val="Paragraphedeliste"/>
        <w:ind w:left="180"/>
        <w:jc w:val="both"/>
        <w:rPr>
          <w:rFonts w:ascii="Calibri" w:eastAsia="Arial Unicode MS" w:hAnsi="Calibri" w:cs="Arial Unicode MS"/>
          <w:sz w:val="22"/>
          <w:szCs w:val="22"/>
          <w:lang w:eastAsia="en-US"/>
        </w:rPr>
      </w:pPr>
    </w:p>
    <w:p w14:paraId="3F32E788" w14:textId="1D01DE49" w:rsidR="00982D5A" w:rsidRPr="007C44B3" w:rsidRDefault="00982D5A" w:rsidP="00982D5A">
      <w:pPr>
        <w:jc w:val="both"/>
        <w:rPr>
          <w:rFonts w:ascii="Calibri" w:hAnsi="Calibri"/>
          <w:b/>
          <w:sz w:val="22"/>
          <w:szCs w:val="22"/>
          <w:u w:val="single"/>
        </w:rPr>
      </w:pPr>
      <w:r w:rsidRPr="007C44B3">
        <w:rPr>
          <w:rFonts w:ascii="Calibri" w:hAnsi="Calibri"/>
          <w:sz w:val="22"/>
          <w:szCs w:val="22"/>
        </w:rPr>
        <w:t xml:space="preserve">L’expert devra remettre un CV, une offre financière et une note méthodologique de 4 pages maximum pour la sélection des candidatures, </w:t>
      </w:r>
      <w:r w:rsidRPr="007C44B3">
        <w:rPr>
          <w:rFonts w:ascii="Calibri" w:hAnsi="Calibri"/>
          <w:b/>
          <w:sz w:val="22"/>
          <w:szCs w:val="22"/>
          <w:u w:val="single"/>
        </w:rPr>
        <w:t xml:space="preserve">au plus tard </w:t>
      </w:r>
      <w:r w:rsidR="00E201DD">
        <w:rPr>
          <w:rFonts w:ascii="Calibri" w:hAnsi="Calibri"/>
          <w:b/>
          <w:sz w:val="22"/>
          <w:szCs w:val="22"/>
          <w:u w:val="single"/>
        </w:rPr>
        <w:t>le 25/07/2021</w:t>
      </w:r>
      <w:bookmarkStart w:id="0" w:name="_GoBack"/>
      <w:bookmarkEnd w:id="0"/>
    </w:p>
    <w:p w14:paraId="10FB6635" w14:textId="77777777" w:rsidR="00471683" w:rsidRPr="007C44B3" w:rsidRDefault="00471683" w:rsidP="00982D5A">
      <w:pPr>
        <w:jc w:val="both"/>
        <w:rPr>
          <w:rFonts w:ascii="Calibri" w:hAnsi="Calibri"/>
          <w:sz w:val="22"/>
          <w:szCs w:val="22"/>
        </w:rPr>
      </w:pPr>
    </w:p>
    <w:p w14:paraId="1EE91C95" w14:textId="707056FB" w:rsidR="00982D5A" w:rsidRPr="007C44B3" w:rsidRDefault="00982D5A" w:rsidP="00982D5A">
      <w:pPr>
        <w:jc w:val="both"/>
        <w:rPr>
          <w:rFonts w:ascii="Calibri" w:hAnsi="Calibri"/>
          <w:sz w:val="22"/>
          <w:szCs w:val="22"/>
        </w:rPr>
      </w:pPr>
      <w:r w:rsidRPr="007C44B3">
        <w:rPr>
          <w:rFonts w:ascii="Calibri" w:hAnsi="Calibri"/>
          <w:sz w:val="22"/>
          <w:szCs w:val="22"/>
        </w:rPr>
        <w:t>L’offre financière de l’expert sera revue et analysée sur la base des grilles de rémunération d’Expertise France, qui se réserve le droit de négocier le montant. L</w:t>
      </w:r>
      <w:r w:rsidR="00471683" w:rsidRPr="007C44B3">
        <w:rPr>
          <w:rFonts w:ascii="Calibri" w:hAnsi="Calibri"/>
          <w:sz w:val="22"/>
          <w:szCs w:val="22"/>
        </w:rPr>
        <w:t>e versement de la</w:t>
      </w:r>
      <w:r w:rsidRPr="007C44B3">
        <w:rPr>
          <w:rFonts w:ascii="Calibri" w:hAnsi="Calibri"/>
          <w:sz w:val="22"/>
          <w:szCs w:val="22"/>
        </w:rPr>
        <w:t xml:space="preserve"> rémunération sera basée sur la soumission et l’acceptation des livrables</w:t>
      </w:r>
      <w:r w:rsidR="00471683" w:rsidRPr="007C44B3">
        <w:rPr>
          <w:rFonts w:ascii="Calibri" w:hAnsi="Calibri"/>
          <w:sz w:val="22"/>
          <w:szCs w:val="22"/>
        </w:rPr>
        <w:t>,</w:t>
      </w:r>
      <w:r w:rsidRPr="007C44B3">
        <w:rPr>
          <w:rFonts w:ascii="Calibri" w:hAnsi="Calibri"/>
          <w:sz w:val="22"/>
          <w:szCs w:val="22"/>
        </w:rPr>
        <w:t xml:space="preserve"> et sur le nombre de jours travaillés avec fourniture des pièces justificatives correspondantes.</w:t>
      </w:r>
    </w:p>
    <w:p w14:paraId="6FFA413D" w14:textId="77777777" w:rsidR="00982D5A" w:rsidRPr="007C44B3" w:rsidRDefault="00982D5A" w:rsidP="00982D5A">
      <w:pPr>
        <w:jc w:val="both"/>
        <w:rPr>
          <w:rFonts w:ascii="Calibri" w:hAnsi="Calibri"/>
          <w:sz w:val="22"/>
          <w:szCs w:val="22"/>
        </w:rPr>
      </w:pPr>
    </w:p>
    <w:p w14:paraId="6EA5BB71" w14:textId="77777777" w:rsidR="00982D5A" w:rsidRPr="007C44B3" w:rsidRDefault="00982D5A" w:rsidP="00982D5A">
      <w:pPr>
        <w:jc w:val="both"/>
        <w:rPr>
          <w:rFonts w:ascii="Calibri" w:hAnsi="Calibri"/>
          <w:sz w:val="22"/>
          <w:szCs w:val="22"/>
        </w:rPr>
      </w:pPr>
      <w:r w:rsidRPr="007C44B3">
        <w:rPr>
          <w:rFonts w:ascii="Calibri" w:hAnsi="Calibri"/>
          <w:sz w:val="22"/>
          <w:szCs w:val="22"/>
        </w:rPr>
        <w:t xml:space="preserve">Il sera aussi demandé de fournir les documents administratifs nécessaires à la mission : passeport d’une validité de plus de 6 mois, vaccins à jour. </w:t>
      </w:r>
    </w:p>
    <w:p w14:paraId="1113D62E" w14:textId="77777777" w:rsidR="00471683" w:rsidRPr="007C44B3" w:rsidRDefault="00471683" w:rsidP="00982D5A">
      <w:pPr>
        <w:jc w:val="both"/>
        <w:rPr>
          <w:rFonts w:ascii="Calibri" w:hAnsi="Calibri"/>
          <w:sz w:val="22"/>
          <w:szCs w:val="22"/>
        </w:rPr>
      </w:pPr>
    </w:p>
    <w:p w14:paraId="3597CA45" w14:textId="20C5BCD1" w:rsidR="00982D5A" w:rsidRPr="007C44B3" w:rsidRDefault="00982D5A" w:rsidP="00982D5A">
      <w:pPr>
        <w:jc w:val="both"/>
        <w:rPr>
          <w:rFonts w:ascii="Calibri" w:hAnsi="Calibri"/>
          <w:b/>
          <w:sz w:val="22"/>
          <w:szCs w:val="22"/>
        </w:rPr>
      </w:pPr>
      <w:r w:rsidRPr="007C44B3">
        <w:rPr>
          <w:rFonts w:ascii="Calibri" w:hAnsi="Calibri"/>
          <w:b/>
          <w:sz w:val="22"/>
          <w:szCs w:val="22"/>
        </w:rPr>
        <w:t xml:space="preserve">Une forte disponibilité sera demandée sur la durée de la </w:t>
      </w:r>
      <w:r w:rsidR="00811392" w:rsidRPr="007C44B3">
        <w:rPr>
          <w:rFonts w:ascii="Calibri" w:hAnsi="Calibri"/>
          <w:b/>
          <w:sz w:val="22"/>
          <w:szCs w:val="22"/>
        </w:rPr>
        <w:t>consultance</w:t>
      </w:r>
      <w:r w:rsidRPr="007C44B3">
        <w:rPr>
          <w:rFonts w:ascii="Calibri" w:hAnsi="Calibri"/>
          <w:b/>
          <w:sz w:val="22"/>
          <w:szCs w:val="22"/>
        </w:rPr>
        <w:t>, à la fois dans la phase de production des livrables mais aussi dans la phase de restitution.</w:t>
      </w:r>
      <w:r w:rsidR="004E0597" w:rsidRPr="007C44B3">
        <w:rPr>
          <w:rFonts w:ascii="Calibri" w:hAnsi="Calibri"/>
          <w:b/>
          <w:sz w:val="22"/>
          <w:szCs w:val="22"/>
        </w:rPr>
        <w:t xml:space="preserve"> Des déplacements à l’intérieur du pays seront à prévoir afin de mener à bien l’état des lieux des 12 EPA et le diagnostic. La localisation précise des 12 EPA </w:t>
      </w:r>
      <w:r w:rsidR="00C516F6" w:rsidRPr="007C44B3">
        <w:rPr>
          <w:rFonts w:ascii="Calibri" w:hAnsi="Calibri"/>
          <w:b/>
          <w:sz w:val="22"/>
          <w:szCs w:val="22"/>
        </w:rPr>
        <w:t xml:space="preserve">inclus dans le périmètre de l’étude est donnée en annexe. </w:t>
      </w:r>
    </w:p>
    <w:p w14:paraId="1B378A5E" w14:textId="77777777" w:rsidR="00982D5A" w:rsidRPr="007C44B3" w:rsidRDefault="00982D5A" w:rsidP="00982D5A">
      <w:pPr>
        <w:jc w:val="both"/>
        <w:rPr>
          <w:rFonts w:ascii="Calibri" w:hAnsi="Calibri"/>
          <w:sz w:val="22"/>
          <w:szCs w:val="22"/>
        </w:rPr>
      </w:pPr>
    </w:p>
    <w:p w14:paraId="6731BF84" w14:textId="39130C46" w:rsidR="00184C6A" w:rsidRPr="007C44B3" w:rsidRDefault="00982D5A" w:rsidP="003A7507">
      <w:pPr>
        <w:jc w:val="both"/>
        <w:rPr>
          <w:rFonts w:ascii="Calibri" w:eastAsia="Arial Unicode MS" w:hAnsi="Calibri" w:cs="Arial Unicode MS"/>
          <w:b/>
          <w:sz w:val="22"/>
          <w:szCs w:val="22"/>
          <w:lang w:eastAsia="en-US"/>
        </w:rPr>
      </w:pPr>
      <w:r w:rsidRPr="007C44B3">
        <w:rPr>
          <w:rFonts w:ascii="Calibri" w:hAnsi="Calibri"/>
          <w:i/>
          <w:sz w:val="22"/>
          <w:szCs w:val="22"/>
        </w:rPr>
        <w:t xml:space="preserve">NB : Expertise prend en charge les billets d’avion, les formalités de visa, la réservation d’hôtel, le versement des per diem et les déplacements professionnels sur place. </w:t>
      </w:r>
    </w:p>
    <w:p w14:paraId="60ABADAD" w14:textId="77777777" w:rsidR="00184C6A" w:rsidRPr="007C44B3" w:rsidRDefault="00184C6A" w:rsidP="00184C6A">
      <w:pPr>
        <w:rPr>
          <w:rFonts w:ascii="Calibri" w:eastAsia="Arial Unicode MS" w:hAnsi="Calibri" w:cs="Arial Unicode MS"/>
          <w:sz w:val="22"/>
          <w:szCs w:val="22"/>
          <w:lang w:eastAsia="en-US"/>
        </w:rPr>
      </w:pPr>
    </w:p>
    <w:p w14:paraId="7497986A" w14:textId="77777777" w:rsidR="00184C6A" w:rsidRPr="007C44B3" w:rsidRDefault="00184C6A" w:rsidP="00184C6A">
      <w:pPr>
        <w:rPr>
          <w:rFonts w:ascii="Calibri" w:eastAsia="Arial Unicode MS" w:hAnsi="Calibri" w:cs="Arial Unicode MS"/>
          <w:sz w:val="22"/>
          <w:szCs w:val="22"/>
          <w:lang w:eastAsia="en-US"/>
        </w:rPr>
      </w:pPr>
    </w:p>
    <w:p w14:paraId="2ACA9A2B" w14:textId="7BF07C4F" w:rsidR="00184C6A" w:rsidRPr="007C44B3" w:rsidRDefault="00184C6A" w:rsidP="00184C6A">
      <w:pPr>
        <w:rPr>
          <w:rFonts w:ascii="Calibri" w:eastAsia="Arial Unicode MS" w:hAnsi="Calibri" w:cs="Arial Unicode MS"/>
          <w:sz w:val="22"/>
          <w:szCs w:val="22"/>
          <w:lang w:eastAsia="en-US"/>
        </w:rPr>
      </w:pPr>
    </w:p>
    <w:tbl>
      <w:tblPr>
        <w:tblStyle w:val="Grilledutableau"/>
        <w:tblW w:w="9351" w:type="dxa"/>
        <w:tblLook w:val="04A0" w:firstRow="1" w:lastRow="0" w:firstColumn="1" w:lastColumn="0" w:noHBand="0" w:noVBand="1"/>
      </w:tblPr>
      <w:tblGrid>
        <w:gridCol w:w="1222"/>
        <w:gridCol w:w="621"/>
        <w:gridCol w:w="3340"/>
        <w:gridCol w:w="1216"/>
        <w:gridCol w:w="1154"/>
        <w:gridCol w:w="1798"/>
      </w:tblGrid>
      <w:tr w:rsidR="007C44B3" w:rsidRPr="007C44B3" w14:paraId="51702021" w14:textId="77777777" w:rsidTr="007C44B3">
        <w:tc>
          <w:tcPr>
            <w:tcW w:w="1222" w:type="dxa"/>
            <w:shd w:val="clear" w:color="auto" w:fill="BFBFBF" w:themeFill="background1" w:themeFillShade="BF"/>
          </w:tcPr>
          <w:p w14:paraId="1A157643" w14:textId="77777777" w:rsidR="000F77A7" w:rsidRPr="007C44B3" w:rsidRDefault="000F77A7" w:rsidP="007903D1">
            <w:pPr>
              <w:tabs>
                <w:tab w:val="center" w:pos="4536"/>
                <w:tab w:val="left" w:pos="6750"/>
              </w:tabs>
              <w:jc w:val="both"/>
              <w:rPr>
                <w:b/>
              </w:rPr>
            </w:pPr>
            <w:r w:rsidRPr="007C44B3">
              <w:rPr>
                <w:b/>
              </w:rPr>
              <w:t>Tutelle technique</w:t>
            </w:r>
          </w:p>
        </w:tc>
        <w:tc>
          <w:tcPr>
            <w:tcW w:w="626" w:type="dxa"/>
            <w:shd w:val="clear" w:color="auto" w:fill="BFBFBF" w:themeFill="background1" w:themeFillShade="BF"/>
          </w:tcPr>
          <w:p w14:paraId="44669B5E" w14:textId="77777777" w:rsidR="000F77A7" w:rsidRPr="007C44B3" w:rsidRDefault="000F77A7" w:rsidP="007903D1">
            <w:pPr>
              <w:tabs>
                <w:tab w:val="center" w:pos="4536"/>
                <w:tab w:val="left" w:pos="6750"/>
              </w:tabs>
              <w:jc w:val="both"/>
              <w:rPr>
                <w:b/>
              </w:rPr>
            </w:pPr>
            <w:r w:rsidRPr="007C44B3">
              <w:rPr>
                <w:b/>
              </w:rPr>
              <w:t>#</w:t>
            </w:r>
          </w:p>
        </w:tc>
        <w:tc>
          <w:tcPr>
            <w:tcW w:w="3392" w:type="dxa"/>
            <w:shd w:val="clear" w:color="auto" w:fill="BFBFBF" w:themeFill="background1" w:themeFillShade="BF"/>
          </w:tcPr>
          <w:p w14:paraId="2F633360" w14:textId="77777777" w:rsidR="000F77A7" w:rsidRPr="007C44B3" w:rsidRDefault="000F77A7" w:rsidP="007903D1">
            <w:pPr>
              <w:tabs>
                <w:tab w:val="center" w:pos="4536"/>
                <w:tab w:val="left" w:pos="6750"/>
              </w:tabs>
              <w:jc w:val="both"/>
              <w:rPr>
                <w:b/>
              </w:rPr>
            </w:pPr>
            <w:r w:rsidRPr="007C44B3">
              <w:rPr>
                <w:b/>
              </w:rPr>
              <w:t>Organismes publics</w:t>
            </w:r>
          </w:p>
        </w:tc>
        <w:tc>
          <w:tcPr>
            <w:tcW w:w="1129" w:type="dxa"/>
            <w:shd w:val="clear" w:color="auto" w:fill="BFBFBF" w:themeFill="background1" w:themeFillShade="BF"/>
          </w:tcPr>
          <w:p w14:paraId="0BB6B5A2" w14:textId="77777777" w:rsidR="000F77A7" w:rsidRPr="007C44B3" w:rsidRDefault="000F77A7" w:rsidP="007903D1">
            <w:pPr>
              <w:tabs>
                <w:tab w:val="center" w:pos="4536"/>
                <w:tab w:val="left" w:pos="6750"/>
              </w:tabs>
              <w:jc w:val="both"/>
              <w:rPr>
                <w:b/>
              </w:rPr>
            </w:pPr>
            <w:r w:rsidRPr="007C44B3">
              <w:rPr>
                <w:b/>
              </w:rPr>
              <w:t>Lieux</w:t>
            </w:r>
          </w:p>
        </w:tc>
        <w:tc>
          <w:tcPr>
            <w:tcW w:w="1156" w:type="dxa"/>
            <w:shd w:val="clear" w:color="auto" w:fill="BFBFBF" w:themeFill="background1" w:themeFillShade="BF"/>
          </w:tcPr>
          <w:p w14:paraId="7B62AD76" w14:textId="77777777" w:rsidR="000F77A7" w:rsidRPr="007C44B3" w:rsidRDefault="000F77A7" w:rsidP="007903D1">
            <w:pPr>
              <w:tabs>
                <w:tab w:val="center" w:pos="4536"/>
                <w:tab w:val="left" w:pos="6750"/>
              </w:tabs>
              <w:jc w:val="both"/>
              <w:rPr>
                <w:b/>
              </w:rPr>
            </w:pPr>
            <w:r w:rsidRPr="007C44B3">
              <w:rPr>
                <w:b/>
              </w:rPr>
              <w:t>Nbre de jours travaillé</w:t>
            </w:r>
          </w:p>
        </w:tc>
        <w:tc>
          <w:tcPr>
            <w:tcW w:w="1826" w:type="dxa"/>
            <w:shd w:val="clear" w:color="auto" w:fill="BFBFBF" w:themeFill="background1" w:themeFillShade="BF"/>
          </w:tcPr>
          <w:p w14:paraId="13A58F1E" w14:textId="77777777" w:rsidR="000F77A7" w:rsidRPr="007C44B3" w:rsidRDefault="000F77A7" w:rsidP="007903D1">
            <w:pPr>
              <w:tabs>
                <w:tab w:val="center" w:pos="4536"/>
                <w:tab w:val="left" w:pos="6750"/>
              </w:tabs>
              <w:jc w:val="both"/>
              <w:rPr>
                <w:b/>
              </w:rPr>
            </w:pPr>
            <w:r w:rsidRPr="007C44B3">
              <w:rPr>
                <w:b/>
              </w:rPr>
              <w:t>Délai de route</w:t>
            </w:r>
          </w:p>
        </w:tc>
      </w:tr>
      <w:tr w:rsidR="007C44B3" w:rsidRPr="007C44B3" w14:paraId="378287E9" w14:textId="77777777" w:rsidTr="007C44B3">
        <w:tc>
          <w:tcPr>
            <w:tcW w:w="1222" w:type="dxa"/>
            <w:vMerge w:val="restart"/>
          </w:tcPr>
          <w:p w14:paraId="558D6E99" w14:textId="77777777" w:rsidR="000F77A7" w:rsidRPr="007C44B3" w:rsidRDefault="000F77A7" w:rsidP="007903D1">
            <w:pPr>
              <w:tabs>
                <w:tab w:val="center" w:pos="4536"/>
                <w:tab w:val="left" w:pos="6750"/>
              </w:tabs>
              <w:jc w:val="both"/>
              <w:rPr>
                <w:b/>
              </w:rPr>
            </w:pPr>
          </w:p>
          <w:p w14:paraId="2DD8D0E7" w14:textId="77777777" w:rsidR="000F77A7" w:rsidRPr="007C44B3" w:rsidRDefault="000F77A7" w:rsidP="007903D1">
            <w:pPr>
              <w:tabs>
                <w:tab w:val="center" w:pos="4536"/>
                <w:tab w:val="left" w:pos="6750"/>
              </w:tabs>
              <w:jc w:val="both"/>
              <w:rPr>
                <w:b/>
              </w:rPr>
            </w:pPr>
          </w:p>
          <w:p w14:paraId="71D30847" w14:textId="77777777" w:rsidR="000F77A7" w:rsidRPr="007C44B3" w:rsidRDefault="000F77A7" w:rsidP="007903D1">
            <w:pPr>
              <w:tabs>
                <w:tab w:val="center" w:pos="4536"/>
                <w:tab w:val="left" w:pos="6750"/>
              </w:tabs>
              <w:jc w:val="both"/>
              <w:rPr>
                <w:b/>
              </w:rPr>
            </w:pPr>
          </w:p>
          <w:p w14:paraId="47F18E3E" w14:textId="77777777" w:rsidR="000F77A7" w:rsidRPr="007C44B3" w:rsidRDefault="000F77A7" w:rsidP="007903D1">
            <w:pPr>
              <w:tabs>
                <w:tab w:val="center" w:pos="4536"/>
                <w:tab w:val="left" w:pos="6750"/>
              </w:tabs>
              <w:jc w:val="both"/>
              <w:rPr>
                <w:b/>
              </w:rPr>
            </w:pPr>
          </w:p>
          <w:p w14:paraId="18EAC382" w14:textId="77777777" w:rsidR="000F77A7" w:rsidRPr="007C44B3" w:rsidRDefault="000F77A7" w:rsidP="007903D1">
            <w:pPr>
              <w:tabs>
                <w:tab w:val="center" w:pos="4536"/>
                <w:tab w:val="left" w:pos="6750"/>
              </w:tabs>
              <w:jc w:val="both"/>
              <w:rPr>
                <w:b/>
              </w:rPr>
            </w:pPr>
          </w:p>
          <w:p w14:paraId="015B03AF" w14:textId="77777777" w:rsidR="000F77A7" w:rsidRPr="007C44B3" w:rsidRDefault="000F77A7" w:rsidP="007903D1">
            <w:pPr>
              <w:tabs>
                <w:tab w:val="center" w:pos="4536"/>
                <w:tab w:val="left" w:pos="6750"/>
              </w:tabs>
              <w:jc w:val="both"/>
              <w:rPr>
                <w:b/>
              </w:rPr>
            </w:pPr>
          </w:p>
          <w:p w14:paraId="1BA8FF8F" w14:textId="77777777" w:rsidR="000F77A7" w:rsidRPr="007C44B3" w:rsidRDefault="000F77A7" w:rsidP="007903D1">
            <w:pPr>
              <w:tabs>
                <w:tab w:val="center" w:pos="4536"/>
                <w:tab w:val="left" w:pos="6750"/>
              </w:tabs>
              <w:jc w:val="both"/>
              <w:rPr>
                <w:b/>
              </w:rPr>
            </w:pPr>
          </w:p>
          <w:p w14:paraId="3D60C028" w14:textId="77777777" w:rsidR="000F77A7" w:rsidRPr="007C44B3" w:rsidRDefault="000F77A7" w:rsidP="007903D1">
            <w:pPr>
              <w:tabs>
                <w:tab w:val="center" w:pos="4536"/>
                <w:tab w:val="left" w:pos="6750"/>
              </w:tabs>
              <w:jc w:val="both"/>
            </w:pPr>
            <w:r w:rsidRPr="007C44B3">
              <w:t>Santé</w:t>
            </w:r>
          </w:p>
        </w:tc>
        <w:tc>
          <w:tcPr>
            <w:tcW w:w="626" w:type="dxa"/>
          </w:tcPr>
          <w:p w14:paraId="43B88E25" w14:textId="77777777" w:rsidR="000F77A7" w:rsidRPr="007C44B3" w:rsidRDefault="000F77A7" w:rsidP="007903D1">
            <w:pPr>
              <w:tabs>
                <w:tab w:val="center" w:pos="4536"/>
                <w:tab w:val="left" w:pos="6750"/>
              </w:tabs>
              <w:jc w:val="both"/>
            </w:pPr>
            <w:r w:rsidRPr="007C44B3">
              <w:t>1</w:t>
            </w:r>
          </w:p>
        </w:tc>
        <w:tc>
          <w:tcPr>
            <w:tcW w:w="3392" w:type="dxa"/>
          </w:tcPr>
          <w:p w14:paraId="1A31E7E0" w14:textId="77777777" w:rsidR="000F77A7" w:rsidRPr="007C44B3" w:rsidRDefault="000F77A7" w:rsidP="007903D1">
            <w:pPr>
              <w:tabs>
                <w:tab w:val="center" w:pos="4536"/>
                <w:tab w:val="left" w:pos="6750"/>
              </w:tabs>
              <w:jc w:val="both"/>
            </w:pPr>
            <w:r w:rsidRPr="007C44B3">
              <w:t>Hôpital national de Donka</w:t>
            </w:r>
          </w:p>
        </w:tc>
        <w:tc>
          <w:tcPr>
            <w:tcW w:w="1129" w:type="dxa"/>
          </w:tcPr>
          <w:p w14:paraId="07994C54" w14:textId="77777777" w:rsidR="000F77A7" w:rsidRPr="007C44B3" w:rsidRDefault="000F77A7" w:rsidP="007903D1">
            <w:pPr>
              <w:tabs>
                <w:tab w:val="center" w:pos="4536"/>
                <w:tab w:val="left" w:pos="6750"/>
              </w:tabs>
              <w:jc w:val="both"/>
            </w:pPr>
            <w:r w:rsidRPr="007C44B3">
              <w:t>Conakry</w:t>
            </w:r>
          </w:p>
        </w:tc>
        <w:tc>
          <w:tcPr>
            <w:tcW w:w="1156" w:type="dxa"/>
          </w:tcPr>
          <w:p w14:paraId="1F11DEBA" w14:textId="77777777" w:rsidR="000F77A7" w:rsidRPr="007C44B3" w:rsidRDefault="000F77A7" w:rsidP="007903D1">
            <w:pPr>
              <w:tabs>
                <w:tab w:val="center" w:pos="4536"/>
                <w:tab w:val="left" w:pos="6750"/>
              </w:tabs>
              <w:jc w:val="center"/>
            </w:pPr>
            <w:r w:rsidRPr="007C44B3">
              <w:t>2</w:t>
            </w:r>
          </w:p>
        </w:tc>
        <w:tc>
          <w:tcPr>
            <w:tcW w:w="1826" w:type="dxa"/>
          </w:tcPr>
          <w:p w14:paraId="0B9A3F7E" w14:textId="77777777" w:rsidR="000F77A7" w:rsidRPr="007C44B3" w:rsidRDefault="000F77A7" w:rsidP="007903D1">
            <w:pPr>
              <w:tabs>
                <w:tab w:val="center" w:pos="4536"/>
                <w:tab w:val="left" w:pos="6750"/>
              </w:tabs>
              <w:jc w:val="center"/>
            </w:pPr>
          </w:p>
        </w:tc>
      </w:tr>
      <w:tr w:rsidR="007C44B3" w:rsidRPr="007C44B3" w14:paraId="528C0316" w14:textId="77777777" w:rsidTr="007C44B3">
        <w:tc>
          <w:tcPr>
            <w:tcW w:w="1222" w:type="dxa"/>
            <w:vMerge/>
          </w:tcPr>
          <w:p w14:paraId="25A4C5E5" w14:textId="77777777" w:rsidR="000F77A7" w:rsidRPr="007C44B3" w:rsidRDefault="000F77A7" w:rsidP="007903D1">
            <w:pPr>
              <w:tabs>
                <w:tab w:val="center" w:pos="4536"/>
                <w:tab w:val="left" w:pos="6750"/>
              </w:tabs>
              <w:jc w:val="both"/>
              <w:rPr>
                <w:b/>
              </w:rPr>
            </w:pPr>
          </w:p>
        </w:tc>
        <w:tc>
          <w:tcPr>
            <w:tcW w:w="626" w:type="dxa"/>
          </w:tcPr>
          <w:p w14:paraId="3D48AA46" w14:textId="77777777" w:rsidR="000F77A7" w:rsidRPr="007C44B3" w:rsidRDefault="000F77A7" w:rsidP="007903D1">
            <w:pPr>
              <w:tabs>
                <w:tab w:val="center" w:pos="4536"/>
                <w:tab w:val="left" w:pos="6750"/>
              </w:tabs>
              <w:jc w:val="both"/>
            </w:pPr>
            <w:r w:rsidRPr="007C44B3">
              <w:t>2</w:t>
            </w:r>
          </w:p>
        </w:tc>
        <w:tc>
          <w:tcPr>
            <w:tcW w:w="3392" w:type="dxa"/>
          </w:tcPr>
          <w:p w14:paraId="27B90F3B" w14:textId="77777777" w:rsidR="000F77A7" w:rsidRPr="007C44B3" w:rsidRDefault="000F77A7" w:rsidP="007903D1">
            <w:pPr>
              <w:tabs>
                <w:tab w:val="center" w:pos="4536"/>
                <w:tab w:val="left" w:pos="6750"/>
              </w:tabs>
              <w:jc w:val="both"/>
            </w:pPr>
            <w:r w:rsidRPr="007C44B3">
              <w:t>Hôpital national d’Ignace Deen</w:t>
            </w:r>
          </w:p>
        </w:tc>
        <w:tc>
          <w:tcPr>
            <w:tcW w:w="1129" w:type="dxa"/>
          </w:tcPr>
          <w:p w14:paraId="018A0F12" w14:textId="77777777" w:rsidR="000F77A7" w:rsidRPr="007C44B3" w:rsidRDefault="000F77A7" w:rsidP="007903D1">
            <w:pPr>
              <w:tabs>
                <w:tab w:val="center" w:pos="4536"/>
                <w:tab w:val="left" w:pos="6750"/>
              </w:tabs>
              <w:jc w:val="both"/>
              <w:rPr>
                <w:b/>
              </w:rPr>
            </w:pPr>
            <w:r w:rsidRPr="007C44B3">
              <w:t>Conakry</w:t>
            </w:r>
          </w:p>
        </w:tc>
        <w:tc>
          <w:tcPr>
            <w:tcW w:w="1156" w:type="dxa"/>
          </w:tcPr>
          <w:p w14:paraId="2870E7B4" w14:textId="77777777" w:rsidR="000F77A7" w:rsidRPr="007C44B3" w:rsidRDefault="000F77A7" w:rsidP="007903D1">
            <w:pPr>
              <w:tabs>
                <w:tab w:val="center" w:pos="4536"/>
                <w:tab w:val="left" w:pos="6750"/>
              </w:tabs>
              <w:jc w:val="center"/>
            </w:pPr>
            <w:r w:rsidRPr="007C44B3">
              <w:t>2</w:t>
            </w:r>
          </w:p>
        </w:tc>
        <w:tc>
          <w:tcPr>
            <w:tcW w:w="1826" w:type="dxa"/>
          </w:tcPr>
          <w:p w14:paraId="0E75A6C8" w14:textId="77777777" w:rsidR="000F77A7" w:rsidRPr="007C44B3" w:rsidRDefault="000F77A7" w:rsidP="007903D1">
            <w:pPr>
              <w:tabs>
                <w:tab w:val="center" w:pos="4536"/>
                <w:tab w:val="left" w:pos="6750"/>
              </w:tabs>
              <w:jc w:val="center"/>
            </w:pPr>
          </w:p>
        </w:tc>
      </w:tr>
      <w:tr w:rsidR="007C44B3" w:rsidRPr="007C44B3" w14:paraId="7A3A470D" w14:textId="77777777" w:rsidTr="007C44B3">
        <w:tc>
          <w:tcPr>
            <w:tcW w:w="1222" w:type="dxa"/>
            <w:vMerge/>
          </w:tcPr>
          <w:p w14:paraId="605F3C91" w14:textId="77777777" w:rsidR="000F77A7" w:rsidRPr="007C44B3" w:rsidRDefault="000F77A7" w:rsidP="007903D1">
            <w:pPr>
              <w:tabs>
                <w:tab w:val="center" w:pos="4536"/>
                <w:tab w:val="left" w:pos="6750"/>
              </w:tabs>
              <w:jc w:val="both"/>
              <w:rPr>
                <w:b/>
              </w:rPr>
            </w:pPr>
          </w:p>
        </w:tc>
        <w:tc>
          <w:tcPr>
            <w:tcW w:w="626" w:type="dxa"/>
          </w:tcPr>
          <w:p w14:paraId="40A37977" w14:textId="77777777" w:rsidR="000F77A7" w:rsidRPr="007C44B3" w:rsidRDefault="000F77A7" w:rsidP="007903D1">
            <w:pPr>
              <w:tabs>
                <w:tab w:val="center" w:pos="4536"/>
                <w:tab w:val="left" w:pos="6750"/>
              </w:tabs>
              <w:jc w:val="both"/>
            </w:pPr>
            <w:r w:rsidRPr="007C44B3">
              <w:t>3</w:t>
            </w:r>
          </w:p>
        </w:tc>
        <w:tc>
          <w:tcPr>
            <w:tcW w:w="3392" w:type="dxa"/>
          </w:tcPr>
          <w:p w14:paraId="5A77AE8F" w14:textId="77777777" w:rsidR="000F77A7" w:rsidRPr="007C44B3" w:rsidRDefault="000F77A7" w:rsidP="007903D1">
            <w:pPr>
              <w:tabs>
                <w:tab w:val="center" w:pos="4536"/>
                <w:tab w:val="left" w:pos="6750"/>
              </w:tabs>
              <w:jc w:val="both"/>
            </w:pPr>
            <w:r w:rsidRPr="007C44B3">
              <w:t>Hôpital national sino-guinéen de Kipé</w:t>
            </w:r>
          </w:p>
        </w:tc>
        <w:tc>
          <w:tcPr>
            <w:tcW w:w="1129" w:type="dxa"/>
          </w:tcPr>
          <w:p w14:paraId="3C70861B" w14:textId="77777777" w:rsidR="000F77A7" w:rsidRPr="007C44B3" w:rsidRDefault="000F77A7" w:rsidP="007903D1">
            <w:pPr>
              <w:tabs>
                <w:tab w:val="center" w:pos="4536"/>
                <w:tab w:val="left" w:pos="6750"/>
              </w:tabs>
              <w:jc w:val="both"/>
              <w:rPr>
                <w:b/>
              </w:rPr>
            </w:pPr>
            <w:r w:rsidRPr="007C44B3">
              <w:t>Conakry</w:t>
            </w:r>
          </w:p>
        </w:tc>
        <w:tc>
          <w:tcPr>
            <w:tcW w:w="1156" w:type="dxa"/>
          </w:tcPr>
          <w:p w14:paraId="43D591B3" w14:textId="77777777" w:rsidR="000F77A7" w:rsidRPr="007C44B3" w:rsidRDefault="000F77A7" w:rsidP="007903D1">
            <w:pPr>
              <w:tabs>
                <w:tab w:val="center" w:pos="4536"/>
                <w:tab w:val="left" w:pos="6750"/>
              </w:tabs>
              <w:jc w:val="center"/>
            </w:pPr>
            <w:r w:rsidRPr="007C44B3">
              <w:t>2</w:t>
            </w:r>
          </w:p>
        </w:tc>
        <w:tc>
          <w:tcPr>
            <w:tcW w:w="1826" w:type="dxa"/>
          </w:tcPr>
          <w:p w14:paraId="73435C56" w14:textId="77777777" w:rsidR="000F77A7" w:rsidRPr="007C44B3" w:rsidRDefault="000F77A7" w:rsidP="007903D1">
            <w:pPr>
              <w:tabs>
                <w:tab w:val="center" w:pos="4536"/>
                <w:tab w:val="left" w:pos="6750"/>
              </w:tabs>
              <w:jc w:val="center"/>
            </w:pPr>
          </w:p>
        </w:tc>
      </w:tr>
      <w:tr w:rsidR="007C44B3" w:rsidRPr="007C44B3" w14:paraId="46DC3B6E" w14:textId="77777777" w:rsidTr="007C44B3">
        <w:tc>
          <w:tcPr>
            <w:tcW w:w="1222" w:type="dxa"/>
            <w:vMerge/>
          </w:tcPr>
          <w:p w14:paraId="28C4A8A6" w14:textId="77777777" w:rsidR="000F77A7" w:rsidRPr="007C44B3" w:rsidRDefault="000F77A7" w:rsidP="007903D1">
            <w:pPr>
              <w:tabs>
                <w:tab w:val="center" w:pos="4536"/>
                <w:tab w:val="left" w:pos="6750"/>
              </w:tabs>
              <w:jc w:val="both"/>
              <w:rPr>
                <w:b/>
              </w:rPr>
            </w:pPr>
          </w:p>
        </w:tc>
        <w:tc>
          <w:tcPr>
            <w:tcW w:w="626" w:type="dxa"/>
          </w:tcPr>
          <w:p w14:paraId="1B86A393" w14:textId="77777777" w:rsidR="000F77A7" w:rsidRPr="007C44B3" w:rsidRDefault="000F77A7" w:rsidP="007903D1">
            <w:pPr>
              <w:tabs>
                <w:tab w:val="center" w:pos="4536"/>
                <w:tab w:val="left" w:pos="6750"/>
              </w:tabs>
              <w:jc w:val="both"/>
            </w:pPr>
            <w:r w:rsidRPr="007C44B3">
              <w:t>4</w:t>
            </w:r>
          </w:p>
        </w:tc>
        <w:tc>
          <w:tcPr>
            <w:tcW w:w="3392" w:type="dxa"/>
          </w:tcPr>
          <w:p w14:paraId="173E0BE2" w14:textId="77777777" w:rsidR="000F77A7" w:rsidRPr="007C44B3" w:rsidRDefault="000F77A7" w:rsidP="007903D1">
            <w:pPr>
              <w:tabs>
                <w:tab w:val="center" w:pos="4536"/>
                <w:tab w:val="left" w:pos="6750"/>
              </w:tabs>
              <w:jc w:val="both"/>
            </w:pPr>
            <w:r w:rsidRPr="007C44B3">
              <w:t>Hôpital régional de Kindia</w:t>
            </w:r>
          </w:p>
        </w:tc>
        <w:tc>
          <w:tcPr>
            <w:tcW w:w="1129" w:type="dxa"/>
          </w:tcPr>
          <w:p w14:paraId="425A8989" w14:textId="77777777" w:rsidR="000F77A7" w:rsidRPr="007C44B3" w:rsidRDefault="000F77A7" w:rsidP="007903D1">
            <w:pPr>
              <w:tabs>
                <w:tab w:val="center" w:pos="4536"/>
                <w:tab w:val="left" w:pos="6750"/>
              </w:tabs>
              <w:jc w:val="both"/>
              <w:rPr>
                <w:b/>
              </w:rPr>
            </w:pPr>
            <w:r w:rsidRPr="007C44B3">
              <w:t>Kindia</w:t>
            </w:r>
          </w:p>
        </w:tc>
        <w:tc>
          <w:tcPr>
            <w:tcW w:w="1156" w:type="dxa"/>
          </w:tcPr>
          <w:p w14:paraId="265B1B99" w14:textId="77777777" w:rsidR="000F77A7" w:rsidRPr="007C44B3" w:rsidRDefault="000F77A7" w:rsidP="007903D1">
            <w:pPr>
              <w:tabs>
                <w:tab w:val="center" w:pos="4536"/>
                <w:tab w:val="left" w:pos="6750"/>
              </w:tabs>
              <w:jc w:val="center"/>
            </w:pPr>
            <w:r w:rsidRPr="007C44B3">
              <w:t>1</w:t>
            </w:r>
          </w:p>
        </w:tc>
        <w:tc>
          <w:tcPr>
            <w:tcW w:w="1826" w:type="dxa"/>
          </w:tcPr>
          <w:p w14:paraId="103E735C" w14:textId="77777777" w:rsidR="000F77A7" w:rsidRPr="007C44B3" w:rsidRDefault="000F77A7" w:rsidP="007903D1">
            <w:pPr>
              <w:jc w:val="center"/>
            </w:pPr>
            <w:r w:rsidRPr="007C44B3">
              <w:t>1</w:t>
            </w:r>
          </w:p>
        </w:tc>
      </w:tr>
      <w:tr w:rsidR="007C44B3" w:rsidRPr="007C44B3" w14:paraId="4A0A64F6" w14:textId="77777777" w:rsidTr="007C44B3">
        <w:tc>
          <w:tcPr>
            <w:tcW w:w="1222" w:type="dxa"/>
            <w:vMerge/>
          </w:tcPr>
          <w:p w14:paraId="09E0CED8" w14:textId="77777777" w:rsidR="000F77A7" w:rsidRPr="007C44B3" w:rsidRDefault="000F77A7" w:rsidP="007903D1">
            <w:pPr>
              <w:tabs>
                <w:tab w:val="center" w:pos="4536"/>
                <w:tab w:val="left" w:pos="6750"/>
              </w:tabs>
              <w:jc w:val="both"/>
              <w:rPr>
                <w:b/>
              </w:rPr>
            </w:pPr>
          </w:p>
        </w:tc>
        <w:tc>
          <w:tcPr>
            <w:tcW w:w="626" w:type="dxa"/>
          </w:tcPr>
          <w:p w14:paraId="106BECD1" w14:textId="77777777" w:rsidR="000F77A7" w:rsidRPr="007C44B3" w:rsidRDefault="000F77A7" w:rsidP="007903D1">
            <w:pPr>
              <w:tabs>
                <w:tab w:val="center" w:pos="4536"/>
                <w:tab w:val="left" w:pos="6750"/>
              </w:tabs>
              <w:jc w:val="both"/>
            </w:pPr>
            <w:r w:rsidRPr="007C44B3">
              <w:t>5</w:t>
            </w:r>
          </w:p>
        </w:tc>
        <w:tc>
          <w:tcPr>
            <w:tcW w:w="3392" w:type="dxa"/>
          </w:tcPr>
          <w:p w14:paraId="1768D82F" w14:textId="77777777" w:rsidR="000F77A7" w:rsidRPr="007C44B3" w:rsidRDefault="000F77A7" w:rsidP="007903D1">
            <w:pPr>
              <w:tabs>
                <w:tab w:val="center" w:pos="4536"/>
                <w:tab w:val="left" w:pos="6750"/>
              </w:tabs>
              <w:jc w:val="both"/>
            </w:pPr>
            <w:r w:rsidRPr="007C44B3">
              <w:t>Hôpital régional de Labé</w:t>
            </w:r>
          </w:p>
        </w:tc>
        <w:tc>
          <w:tcPr>
            <w:tcW w:w="1129" w:type="dxa"/>
          </w:tcPr>
          <w:p w14:paraId="2C3A36C7" w14:textId="77777777" w:rsidR="000F77A7" w:rsidRPr="007C44B3" w:rsidRDefault="000F77A7" w:rsidP="007903D1">
            <w:pPr>
              <w:tabs>
                <w:tab w:val="center" w:pos="4536"/>
                <w:tab w:val="left" w:pos="6750"/>
              </w:tabs>
              <w:jc w:val="both"/>
              <w:rPr>
                <w:b/>
              </w:rPr>
            </w:pPr>
            <w:r w:rsidRPr="007C44B3">
              <w:t>Labé</w:t>
            </w:r>
          </w:p>
        </w:tc>
        <w:tc>
          <w:tcPr>
            <w:tcW w:w="1156" w:type="dxa"/>
          </w:tcPr>
          <w:p w14:paraId="50543081" w14:textId="77777777" w:rsidR="000F77A7" w:rsidRPr="007C44B3" w:rsidRDefault="000F77A7" w:rsidP="007903D1">
            <w:pPr>
              <w:tabs>
                <w:tab w:val="center" w:pos="4536"/>
                <w:tab w:val="left" w:pos="6750"/>
              </w:tabs>
              <w:jc w:val="center"/>
            </w:pPr>
            <w:r w:rsidRPr="007C44B3">
              <w:t>1</w:t>
            </w:r>
          </w:p>
        </w:tc>
        <w:tc>
          <w:tcPr>
            <w:tcW w:w="1826" w:type="dxa"/>
          </w:tcPr>
          <w:p w14:paraId="48D5B841" w14:textId="77777777" w:rsidR="000F77A7" w:rsidRPr="007C44B3" w:rsidRDefault="000F77A7" w:rsidP="007903D1">
            <w:pPr>
              <w:jc w:val="center"/>
            </w:pPr>
            <w:r w:rsidRPr="007C44B3">
              <w:t>1</w:t>
            </w:r>
          </w:p>
        </w:tc>
      </w:tr>
      <w:tr w:rsidR="007C44B3" w:rsidRPr="007C44B3" w14:paraId="54E3F694" w14:textId="77777777" w:rsidTr="007C44B3">
        <w:tc>
          <w:tcPr>
            <w:tcW w:w="1222" w:type="dxa"/>
            <w:vMerge/>
          </w:tcPr>
          <w:p w14:paraId="0BD018EC" w14:textId="77777777" w:rsidR="000F77A7" w:rsidRPr="007C44B3" w:rsidRDefault="000F77A7" w:rsidP="007903D1">
            <w:pPr>
              <w:tabs>
                <w:tab w:val="center" w:pos="4536"/>
                <w:tab w:val="left" w:pos="6750"/>
              </w:tabs>
              <w:jc w:val="both"/>
              <w:rPr>
                <w:b/>
              </w:rPr>
            </w:pPr>
          </w:p>
        </w:tc>
        <w:tc>
          <w:tcPr>
            <w:tcW w:w="626" w:type="dxa"/>
          </w:tcPr>
          <w:p w14:paraId="4958CA42" w14:textId="77777777" w:rsidR="000F77A7" w:rsidRPr="007C44B3" w:rsidRDefault="000F77A7" w:rsidP="007903D1">
            <w:pPr>
              <w:tabs>
                <w:tab w:val="center" w:pos="4536"/>
                <w:tab w:val="left" w:pos="6750"/>
              </w:tabs>
              <w:jc w:val="both"/>
            </w:pPr>
            <w:r w:rsidRPr="007C44B3">
              <w:t>6</w:t>
            </w:r>
          </w:p>
        </w:tc>
        <w:tc>
          <w:tcPr>
            <w:tcW w:w="3392" w:type="dxa"/>
          </w:tcPr>
          <w:p w14:paraId="6E542C7A" w14:textId="77777777" w:rsidR="000F77A7" w:rsidRPr="007C44B3" w:rsidRDefault="000F77A7" w:rsidP="007903D1">
            <w:pPr>
              <w:tabs>
                <w:tab w:val="center" w:pos="4536"/>
                <w:tab w:val="left" w:pos="6750"/>
              </w:tabs>
              <w:jc w:val="both"/>
            </w:pPr>
            <w:r w:rsidRPr="007C44B3">
              <w:t>Hôpital régional de Kankan</w:t>
            </w:r>
          </w:p>
        </w:tc>
        <w:tc>
          <w:tcPr>
            <w:tcW w:w="1129" w:type="dxa"/>
          </w:tcPr>
          <w:p w14:paraId="2E3B30BE" w14:textId="77777777" w:rsidR="000F77A7" w:rsidRPr="007C44B3" w:rsidRDefault="000F77A7" w:rsidP="007903D1">
            <w:pPr>
              <w:tabs>
                <w:tab w:val="center" w:pos="4536"/>
                <w:tab w:val="left" w:pos="6750"/>
              </w:tabs>
              <w:jc w:val="both"/>
              <w:rPr>
                <w:b/>
              </w:rPr>
            </w:pPr>
            <w:r w:rsidRPr="007C44B3">
              <w:t>Kankan</w:t>
            </w:r>
          </w:p>
        </w:tc>
        <w:tc>
          <w:tcPr>
            <w:tcW w:w="1156" w:type="dxa"/>
          </w:tcPr>
          <w:p w14:paraId="2FC9BC92" w14:textId="77777777" w:rsidR="000F77A7" w:rsidRPr="007C44B3" w:rsidRDefault="000F77A7" w:rsidP="007903D1">
            <w:pPr>
              <w:tabs>
                <w:tab w:val="center" w:pos="4536"/>
                <w:tab w:val="left" w:pos="6750"/>
              </w:tabs>
              <w:jc w:val="center"/>
            </w:pPr>
            <w:r w:rsidRPr="007C44B3">
              <w:t>1</w:t>
            </w:r>
          </w:p>
        </w:tc>
        <w:tc>
          <w:tcPr>
            <w:tcW w:w="1826" w:type="dxa"/>
          </w:tcPr>
          <w:p w14:paraId="6953F4D1" w14:textId="77777777" w:rsidR="000F77A7" w:rsidRPr="007C44B3" w:rsidRDefault="000F77A7" w:rsidP="007903D1">
            <w:pPr>
              <w:jc w:val="center"/>
            </w:pPr>
            <w:r w:rsidRPr="007C44B3">
              <w:t>1</w:t>
            </w:r>
          </w:p>
        </w:tc>
      </w:tr>
      <w:tr w:rsidR="007C44B3" w:rsidRPr="007C44B3" w14:paraId="45759AA7" w14:textId="77777777" w:rsidTr="007C44B3">
        <w:tc>
          <w:tcPr>
            <w:tcW w:w="1222" w:type="dxa"/>
            <w:vMerge/>
          </w:tcPr>
          <w:p w14:paraId="487760E2" w14:textId="77777777" w:rsidR="000F77A7" w:rsidRPr="007C44B3" w:rsidRDefault="000F77A7" w:rsidP="007903D1">
            <w:pPr>
              <w:tabs>
                <w:tab w:val="center" w:pos="4536"/>
                <w:tab w:val="left" w:pos="6750"/>
              </w:tabs>
              <w:jc w:val="both"/>
              <w:rPr>
                <w:b/>
              </w:rPr>
            </w:pPr>
          </w:p>
        </w:tc>
        <w:tc>
          <w:tcPr>
            <w:tcW w:w="626" w:type="dxa"/>
          </w:tcPr>
          <w:p w14:paraId="26CCA521" w14:textId="77777777" w:rsidR="000F77A7" w:rsidRPr="007C44B3" w:rsidRDefault="000F77A7" w:rsidP="007903D1">
            <w:pPr>
              <w:tabs>
                <w:tab w:val="center" w:pos="4536"/>
                <w:tab w:val="left" w:pos="6750"/>
              </w:tabs>
              <w:jc w:val="both"/>
            </w:pPr>
            <w:r w:rsidRPr="007C44B3">
              <w:t>7</w:t>
            </w:r>
          </w:p>
        </w:tc>
        <w:tc>
          <w:tcPr>
            <w:tcW w:w="3392" w:type="dxa"/>
          </w:tcPr>
          <w:p w14:paraId="13E7B377" w14:textId="77777777" w:rsidR="000F77A7" w:rsidRPr="007C44B3" w:rsidRDefault="000F77A7" w:rsidP="007903D1">
            <w:pPr>
              <w:tabs>
                <w:tab w:val="center" w:pos="4536"/>
                <w:tab w:val="left" w:pos="6750"/>
              </w:tabs>
              <w:jc w:val="both"/>
            </w:pPr>
            <w:r w:rsidRPr="007C44B3">
              <w:t>Hôpital régional de Mamou</w:t>
            </w:r>
          </w:p>
        </w:tc>
        <w:tc>
          <w:tcPr>
            <w:tcW w:w="1129" w:type="dxa"/>
          </w:tcPr>
          <w:p w14:paraId="3ADC92DB" w14:textId="77777777" w:rsidR="000F77A7" w:rsidRPr="007C44B3" w:rsidRDefault="000F77A7" w:rsidP="007903D1">
            <w:pPr>
              <w:tabs>
                <w:tab w:val="center" w:pos="4536"/>
                <w:tab w:val="left" w:pos="6750"/>
              </w:tabs>
              <w:jc w:val="both"/>
              <w:rPr>
                <w:b/>
              </w:rPr>
            </w:pPr>
            <w:r w:rsidRPr="007C44B3">
              <w:t>Mamou</w:t>
            </w:r>
          </w:p>
        </w:tc>
        <w:tc>
          <w:tcPr>
            <w:tcW w:w="1156" w:type="dxa"/>
          </w:tcPr>
          <w:p w14:paraId="3AFA9EFF" w14:textId="77777777" w:rsidR="000F77A7" w:rsidRPr="007C44B3" w:rsidRDefault="000F77A7" w:rsidP="007903D1">
            <w:pPr>
              <w:tabs>
                <w:tab w:val="center" w:pos="4536"/>
                <w:tab w:val="left" w:pos="6750"/>
              </w:tabs>
              <w:jc w:val="center"/>
            </w:pPr>
            <w:r w:rsidRPr="007C44B3">
              <w:t>1</w:t>
            </w:r>
          </w:p>
        </w:tc>
        <w:tc>
          <w:tcPr>
            <w:tcW w:w="1826" w:type="dxa"/>
          </w:tcPr>
          <w:p w14:paraId="3BB26265" w14:textId="77777777" w:rsidR="000F77A7" w:rsidRPr="007C44B3" w:rsidRDefault="000F77A7" w:rsidP="007903D1">
            <w:pPr>
              <w:jc w:val="center"/>
            </w:pPr>
            <w:r w:rsidRPr="007C44B3">
              <w:t>1</w:t>
            </w:r>
          </w:p>
        </w:tc>
      </w:tr>
      <w:tr w:rsidR="007C44B3" w:rsidRPr="007C44B3" w14:paraId="0267A556" w14:textId="77777777" w:rsidTr="007C44B3">
        <w:tc>
          <w:tcPr>
            <w:tcW w:w="1222" w:type="dxa"/>
            <w:vMerge/>
          </w:tcPr>
          <w:p w14:paraId="4BBAC9F7" w14:textId="77777777" w:rsidR="000F77A7" w:rsidRPr="007C44B3" w:rsidRDefault="000F77A7" w:rsidP="007903D1">
            <w:pPr>
              <w:tabs>
                <w:tab w:val="center" w:pos="4536"/>
                <w:tab w:val="left" w:pos="6750"/>
              </w:tabs>
              <w:jc w:val="both"/>
              <w:rPr>
                <w:b/>
              </w:rPr>
            </w:pPr>
          </w:p>
        </w:tc>
        <w:tc>
          <w:tcPr>
            <w:tcW w:w="626" w:type="dxa"/>
          </w:tcPr>
          <w:p w14:paraId="57E2E5A4" w14:textId="77777777" w:rsidR="000F77A7" w:rsidRPr="007C44B3" w:rsidRDefault="000F77A7" w:rsidP="007903D1">
            <w:pPr>
              <w:tabs>
                <w:tab w:val="center" w:pos="4536"/>
                <w:tab w:val="left" w:pos="6750"/>
              </w:tabs>
              <w:jc w:val="both"/>
            </w:pPr>
            <w:r w:rsidRPr="007C44B3">
              <w:t>8</w:t>
            </w:r>
          </w:p>
        </w:tc>
        <w:tc>
          <w:tcPr>
            <w:tcW w:w="3392" w:type="dxa"/>
          </w:tcPr>
          <w:p w14:paraId="3690A769" w14:textId="77777777" w:rsidR="000F77A7" w:rsidRPr="007C44B3" w:rsidRDefault="000F77A7" w:rsidP="007903D1">
            <w:pPr>
              <w:tabs>
                <w:tab w:val="center" w:pos="4536"/>
                <w:tab w:val="left" w:pos="6750"/>
              </w:tabs>
              <w:jc w:val="both"/>
            </w:pPr>
            <w:r w:rsidRPr="007C44B3">
              <w:t>Hôpital régional de Boké</w:t>
            </w:r>
          </w:p>
        </w:tc>
        <w:tc>
          <w:tcPr>
            <w:tcW w:w="1129" w:type="dxa"/>
          </w:tcPr>
          <w:p w14:paraId="66733106" w14:textId="77777777" w:rsidR="000F77A7" w:rsidRPr="007C44B3" w:rsidRDefault="000F77A7" w:rsidP="007903D1">
            <w:pPr>
              <w:tabs>
                <w:tab w:val="center" w:pos="4536"/>
                <w:tab w:val="left" w:pos="6750"/>
              </w:tabs>
              <w:jc w:val="both"/>
              <w:rPr>
                <w:b/>
              </w:rPr>
            </w:pPr>
            <w:r w:rsidRPr="007C44B3">
              <w:t>Boké</w:t>
            </w:r>
          </w:p>
        </w:tc>
        <w:tc>
          <w:tcPr>
            <w:tcW w:w="1156" w:type="dxa"/>
          </w:tcPr>
          <w:p w14:paraId="6C2C90C3" w14:textId="77777777" w:rsidR="000F77A7" w:rsidRPr="007C44B3" w:rsidRDefault="000F77A7" w:rsidP="007903D1">
            <w:pPr>
              <w:tabs>
                <w:tab w:val="center" w:pos="4536"/>
                <w:tab w:val="left" w:pos="6750"/>
              </w:tabs>
              <w:jc w:val="center"/>
            </w:pPr>
            <w:r w:rsidRPr="007C44B3">
              <w:t>1</w:t>
            </w:r>
          </w:p>
        </w:tc>
        <w:tc>
          <w:tcPr>
            <w:tcW w:w="1826" w:type="dxa"/>
          </w:tcPr>
          <w:p w14:paraId="04BA8407" w14:textId="77777777" w:rsidR="000F77A7" w:rsidRPr="007C44B3" w:rsidRDefault="000F77A7" w:rsidP="007903D1">
            <w:pPr>
              <w:jc w:val="center"/>
            </w:pPr>
            <w:r w:rsidRPr="007C44B3">
              <w:t>1</w:t>
            </w:r>
          </w:p>
        </w:tc>
      </w:tr>
      <w:tr w:rsidR="007C44B3" w:rsidRPr="007C44B3" w14:paraId="33EE31F4" w14:textId="77777777" w:rsidTr="007C44B3">
        <w:tc>
          <w:tcPr>
            <w:tcW w:w="1222" w:type="dxa"/>
            <w:vMerge/>
          </w:tcPr>
          <w:p w14:paraId="5D3E8ED6" w14:textId="77777777" w:rsidR="000F77A7" w:rsidRPr="007C44B3" w:rsidRDefault="000F77A7" w:rsidP="007903D1">
            <w:pPr>
              <w:tabs>
                <w:tab w:val="center" w:pos="4536"/>
                <w:tab w:val="left" w:pos="6750"/>
              </w:tabs>
              <w:jc w:val="both"/>
              <w:rPr>
                <w:b/>
              </w:rPr>
            </w:pPr>
          </w:p>
        </w:tc>
        <w:tc>
          <w:tcPr>
            <w:tcW w:w="626" w:type="dxa"/>
          </w:tcPr>
          <w:p w14:paraId="43FA833B" w14:textId="77777777" w:rsidR="000F77A7" w:rsidRPr="007C44B3" w:rsidRDefault="000F77A7" w:rsidP="007903D1">
            <w:pPr>
              <w:tabs>
                <w:tab w:val="center" w:pos="4536"/>
                <w:tab w:val="left" w:pos="6750"/>
              </w:tabs>
              <w:jc w:val="both"/>
            </w:pPr>
            <w:r w:rsidRPr="007C44B3">
              <w:t>9</w:t>
            </w:r>
          </w:p>
        </w:tc>
        <w:tc>
          <w:tcPr>
            <w:tcW w:w="3392" w:type="dxa"/>
          </w:tcPr>
          <w:p w14:paraId="7C8956F5" w14:textId="77777777" w:rsidR="000F77A7" w:rsidRPr="007C44B3" w:rsidRDefault="000F77A7" w:rsidP="007903D1">
            <w:pPr>
              <w:tabs>
                <w:tab w:val="center" w:pos="4536"/>
                <w:tab w:val="left" w:pos="6750"/>
              </w:tabs>
              <w:jc w:val="both"/>
            </w:pPr>
            <w:r w:rsidRPr="007C44B3">
              <w:t>Hôpital régional de Faranah</w:t>
            </w:r>
          </w:p>
        </w:tc>
        <w:tc>
          <w:tcPr>
            <w:tcW w:w="1129" w:type="dxa"/>
          </w:tcPr>
          <w:p w14:paraId="3BD9DDC1" w14:textId="77777777" w:rsidR="000F77A7" w:rsidRPr="007C44B3" w:rsidRDefault="000F77A7" w:rsidP="007903D1">
            <w:pPr>
              <w:tabs>
                <w:tab w:val="center" w:pos="4536"/>
                <w:tab w:val="left" w:pos="6750"/>
              </w:tabs>
              <w:jc w:val="both"/>
              <w:rPr>
                <w:b/>
              </w:rPr>
            </w:pPr>
            <w:r w:rsidRPr="007C44B3">
              <w:t>Faranah</w:t>
            </w:r>
          </w:p>
        </w:tc>
        <w:tc>
          <w:tcPr>
            <w:tcW w:w="1156" w:type="dxa"/>
          </w:tcPr>
          <w:p w14:paraId="301D0C8E" w14:textId="77777777" w:rsidR="000F77A7" w:rsidRPr="007C44B3" w:rsidRDefault="000F77A7" w:rsidP="007903D1">
            <w:pPr>
              <w:tabs>
                <w:tab w:val="center" w:pos="4536"/>
                <w:tab w:val="left" w:pos="6750"/>
              </w:tabs>
              <w:jc w:val="center"/>
            </w:pPr>
            <w:r w:rsidRPr="007C44B3">
              <w:t>1</w:t>
            </w:r>
          </w:p>
        </w:tc>
        <w:tc>
          <w:tcPr>
            <w:tcW w:w="1826" w:type="dxa"/>
          </w:tcPr>
          <w:p w14:paraId="65777C73" w14:textId="77777777" w:rsidR="000F77A7" w:rsidRPr="007C44B3" w:rsidRDefault="000F77A7" w:rsidP="007903D1">
            <w:pPr>
              <w:jc w:val="center"/>
            </w:pPr>
            <w:r w:rsidRPr="007C44B3">
              <w:t>1</w:t>
            </w:r>
          </w:p>
        </w:tc>
      </w:tr>
      <w:tr w:rsidR="007C44B3" w:rsidRPr="007C44B3" w14:paraId="27CA9316" w14:textId="77777777" w:rsidTr="007C44B3">
        <w:tc>
          <w:tcPr>
            <w:tcW w:w="1222" w:type="dxa"/>
            <w:vMerge/>
          </w:tcPr>
          <w:p w14:paraId="53FF1FE0" w14:textId="77777777" w:rsidR="000F77A7" w:rsidRPr="007C44B3" w:rsidRDefault="000F77A7" w:rsidP="007903D1">
            <w:pPr>
              <w:tabs>
                <w:tab w:val="center" w:pos="4536"/>
                <w:tab w:val="left" w:pos="6750"/>
              </w:tabs>
              <w:jc w:val="both"/>
              <w:rPr>
                <w:b/>
              </w:rPr>
            </w:pPr>
          </w:p>
        </w:tc>
        <w:tc>
          <w:tcPr>
            <w:tcW w:w="626" w:type="dxa"/>
          </w:tcPr>
          <w:p w14:paraId="7D76C417" w14:textId="77777777" w:rsidR="000F77A7" w:rsidRPr="007C44B3" w:rsidRDefault="000F77A7" w:rsidP="007903D1">
            <w:pPr>
              <w:tabs>
                <w:tab w:val="center" w:pos="4536"/>
                <w:tab w:val="left" w:pos="6750"/>
              </w:tabs>
              <w:jc w:val="both"/>
            </w:pPr>
            <w:r w:rsidRPr="007C44B3">
              <w:t>10</w:t>
            </w:r>
          </w:p>
        </w:tc>
        <w:tc>
          <w:tcPr>
            <w:tcW w:w="3392" w:type="dxa"/>
          </w:tcPr>
          <w:p w14:paraId="504D9FE3" w14:textId="77777777" w:rsidR="000F77A7" w:rsidRPr="007C44B3" w:rsidRDefault="000F77A7" w:rsidP="007903D1">
            <w:pPr>
              <w:tabs>
                <w:tab w:val="center" w:pos="4536"/>
                <w:tab w:val="left" w:pos="6750"/>
              </w:tabs>
              <w:jc w:val="both"/>
            </w:pPr>
            <w:r w:rsidRPr="007C44B3">
              <w:t>Hôpital régional de Nzérékoré</w:t>
            </w:r>
          </w:p>
        </w:tc>
        <w:tc>
          <w:tcPr>
            <w:tcW w:w="1129" w:type="dxa"/>
          </w:tcPr>
          <w:p w14:paraId="4CFBB948" w14:textId="77777777" w:rsidR="000F77A7" w:rsidRPr="007C44B3" w:rsidRDefault="000F77A7" w:rsidP="007903D1">
            <w:pPr>
              <w:tabs>
                <w:tab w:val="center" w:pos="4536"/>
                <w:tab w:val="left" w:pos="6750"/>
              </w:tabs>
              <w:jc w:val="both"/>
              <w:rPr>
                <w:b/>
              </w:rPr>
            </w:pPr>
            <w:r w:rsidRPr="007C44B3">
              <w:t>Nzérékoré</w:t>
            </w:r>
          </w:p>
        </w:tc>
        <w:tc>
          <w:tcPr>
            <w:tcW w:w="1156" w:type="dxa"/>
          </w:tcPr>
          <w:p w14:paraId="6FFFD59F" w14:textId="77777777" w:rsidR="000F77A7" w:rsidRPr="007C44B3" w:rsidRDefault="000F77A7" w:rsidP="007903D1">
            <w:pPr>
              <w:tabs>
                <w:tab w:val="center" w:pos="4536"/>
                <w:tab w:val="left" w:pos="6750"/>
              </w:tabs>
              <w:jc w:val="center"/>
            </w:pPr>
            <w:r w:rsidRPr="007C44B3">
              <w:t>1</w:t>
            </w:r>
          </w:p>
        </w:tc>
        <w:tc>
          <w:tcPr>
            <w:tcW w:w="1826" w:type="dxa"/>
          </w:tcPr>
          <w:p w14:paraId="44B32621" w14:textId="77777777" w:rsidR="000F77A7" w:rsidRPr="007C44B3" w:rsidRDefault="000F77A7" w:rsidP="007903D1">
            <w:pPr>
              <w:jc w:val="center"/>
            </w:pPr>
            <w:r w:rsidRPr="007C44B3">
              <w:t>1</w:t>
            </w:r>
          </w:p>
        </w:tc>
      </w:tr>
      <w:tr w:rsidR="007C44B3" w:rsidRPr="007C44B3" w14:paraId="0BCAD69D" w14:textId="77777777" w:rsidTr="007C44B3">
        <w:tc>
          <w:tcPr>
            <w:tcW w:w="1222" w:type="dxa"/>
            <w:vMerge/>
          </w:tcPr>
          <w:p w14:paraId="21797754" w14:textId="77777777" w:rsidR="000F77A7" w:rsidRPr="007C44B3" w:rsidRDefault="000F77A7" w:rsidP="007903D1">
            <w:pPr>
              <w:tabs>
                <w:tab w:val="center" w:pos="4536"/>
                <w:tab w:val="left" w:pos="6750"/>
              </w:tabs>
              <w:jc w:val="both"/>
              <w:rPr>
                <w:b/>
              </w:rPr>
            </w:pPr>
          </w:p>
        </w:tc>
        <w:tc>
          <w:tcPr>
            <w:tcW w:w="626" w:type="dxa"/>
          </w:tcPr>
          <w:p w14:paraId="4BE39E2B" w14:textId="77777777" w:rsidR="000F77A7" w:rsidRPr="007C44B3" w:rsidRDefault="000F77A7" w:rsidP="007903D1">
            <w:pPr>
              <w:tabs>
                <w:tab w:val="center" w:pos="4536"/>
                <w:tab w:val="left" w:pos="6750"/>
              </w:tabs>
              <w:jc w:val="both"/>
            </w:pPr>
            <w:r w:rsidRPr="007C44B3">
              <w:t>11</w:t>
            </w:r>
          </w:p>
        </w:tc>
        <w:tc>
          <w:tcPr>
            <w:tcW w:w="3392" w:type="dxa"/>
          </w:tcPr>
          <w:p w14:paraId="7637AA7D" w14:textId="77777777" w:rsidR="000F77A7" w:rsidRPr="007C44B3" w:rsidRDefault="000F77A7" w:rsidP="007903D1">
            <w:pPr>
              <w:tabs>
                <w:tab w:val="center" w:pos="4536"/>
                <w:tab w:val="left" w:pos="6750"/>
              </w:tabs>
              <w:jc w:val="both"/>
            </w:pPr>
            <w:r w:rsidRPr="007C44B3">
              <w:t>Agence Nationale de Sécurité Sanitaire (ANSS)</w:t>
            </w:r>
          </w:p>
        </w:tc>
        <w:tc>
          <w:tcPr>
            <w:tcW w:w="1129" w:type="dxa"/>
          </w:tcPr>
          <w:p w14:paraId="50947991" w14:textId="77777777" w:rsidR="000F77A7" w:rsidRPr="007C44B3" w:rsidRDefault="000F77A7" w:rsidP="007903D1">
            <w:pPr>
              <w:tabs>
                <w:tab w:val="center" w:pos="4536"/>
                <w:tab w:val="left" w:pos="6750"/>
              </w:tabs>
              <w:jc w:val="both"/>
              <w:rPr>
                <w:b/>
              </w:rPr>
            </w:pPr>
            <w:r w:rsidRPr="007C44B3">
              <w:t>Conakry</w:t>
            </w:r>
          </w:p>
        </w:tc>
        <w:tc>
          <w:tcPr>
            <w:tcW w:w="1156" w:type="dxa"/>
          </w:tcPr>
          <w:p w14:paraId="6B0888C3" w14:textId="77777777" w:rsidR="000F77A7" w:rsidRPr="007C44B3" w:rsidRDefault="000F77A7" w:rsidP="007903D1">
            <w:pPr>
              <w:tabs>
                <w:tab w:val="center" w:pos="4536"/>
                <w:tab w:val="left" w:pos="6750"/>
              </w:tabs>
              <w:jc w:val="center"/>
            </w:pPr>
            <w:r w:rsidRPr="007C44B3">
              <w:t>2</w:t>
            </w:r>
          </w:p>
        </w:tc>
        <w:tc>
          <w:tcPr>
            <w:tcW w:w="1826" w:type="dxa"/>
          </w:tcPr>
          <w:p w14:paraId="41739FEB" w14:textId="77777777" w:rsidR="000F77A7" w:rsidRPr="007C44B3" w:rsidRDefault="000F77A7" w:rsidP="007903D1">
            <w:pPr>
              <w:jc w:val="center"/>
            </w:pPr>
          </w:p>
        </w:tc>
      </w:tr>
      <w:tr w:rsidR="007C44B3" w:rsidRPr="007C44B3" w14:paraId="5117B12D" w14:textId="77777777" w:rsidTr="007C44B3">
        <w:tc>
          <w:tcPr>
            <w:tcW w:w="1222" w:type="dxa"/>
            <w:vMerge/>
          </w:tcPr>
          <w:p w14:paraId="7F97E926" w14:textId="77777777" w:rsidR="000F77A7" w:rsidRPr="007C44B3" w:rsidRDefault="000F77A7" w:rsidP="007903D1">
            <w:pPr>
              <w:tabs>
                <w:tab w:val="center" w:pos="4536"/>
                <w:tab w:val="left" w:pos="6750"/>
              </w:tabs>
              <w:jc w:val="both"/>
              <w:rPr>
                <w:b/>
              </w:rPr>
            </w:pPr>
          </w:p>
        </w:tc>
        <w:tc>
          <w:tcPr>
            <w:tcW w:w="626" w:type="dxa"/>
          </w:tcPr>
          <w:p w14:paraId="01D845C7" w14:textId="77777777" w:rsidR="000F77A7" w:rsidRPr="007C44B3" w:rsidRDefault="000F77A7" w:rsidP="007903D1">
            <w:pPr>
              <w:tabs>
                <w:tab w:val="center" w:pos="4536"/>
                <w:tab w:val="left" w:pos="6750"/>
              </w:tabs>
              <w:jc w:val="both"/>
            </w:pPr>
            <w:r w:rsidRPr="007C44B3">
              <w:t>12</w:t>
            </w:r>
          </w:p>
        </w:tc>
        <w:tc>
          <w:tcPr>
            <w:tcW w:w="3392" w:type="dxa"/>
          </w:tcPr>
          <w:p w14:paraId="60F99737" w14:textId="77777777" w:rsidR="000F77A7" w:rsidRPr="007C44B3" w:rsidRDefault="000F77A7" w:rsidP="007903D1">
            <w:pPr>
              <w:tabs>
                <w:tab w:val="center" w:pos="4536"/>
                <w:tab w:val="left" w:pos="6750"/>
              </w:tabs>
              <w:jc w:val="both"/>
            </w:pPr>
            <w:r w:rsidRPr="007C44B3">
              <w:t>Institut National de Santé Publique (INSP)</w:t>
            </w:r>
          </w:p>
        </w:tc>
        <w:tc>
          <w:tcPr>
            <w:tcW w:w="1129" w:type="dxa"/>
          </w:tcPr>
          <w:p w14:paraId="622B1476" w14:textId="77777777" w:rsidR="000F77A7" w:rsidRPr="007C44B3" w:rsidRDefault="000F77A7" w:rsidP="007903D1">
            <w:pPr>
              <w:tabs>
                <w:tab w:val="center" w:pos="4536"/>
                <w:tab w:val="left" w:pos="6750"/>
              </w:tabs>
              <w:jc w:val="both"/>
              <w:rPr>
                <w:b/>
              </w:rPr>
            </w:pPr>
            <w:r w:rsidRPr="007C44B3">
              <w:t>Conakry</w:t>
            </w:r>
          </w:p>
        </w:tc>
        <w:tc>
          <w:tcPr>
            <w:tcW w:w="1156" w:type="dxa"/>
          </w:tcPr>
          <w:p w14:paraId="29BCF0E6" w14:textId="77777777" w:rsidR="000F77A7" w:rsidRPr="007C44B3" w:rsidRDefault="000F77A7" w:rsidP="007903D1">
            <w:pPr>
              <w:tabs>
                <w:tab w:val="center" w:pos="4536"/>
                <w:tab w:val="left" w:pos="6750"/>
              </w:tabs>
              <w:jc w:val="center"/>
            </w:pPr>
            <w:r w:rsidRPr="007C44B3">
              <w:t>2</w:t>
            </w:r>
          </w:p>
        </w:tc>
        <w:tc>
          <w:tcPr>
            <w:tcW w:w="1826" w:type="dxa"/>
          </w:tcPr>
          <w:p w14:paraId="50726EF6" w14:textId="77777777" w:rsidR="000F77A7" w:rsidRPr="007C44B3" w:rsidRDefault="000F77A7" w:rsidP="007903D1">
            <w:pPr>
              <w:tabs>
                <w:tab w:val="center" w:pos="4536"/>
                <w:tab w:val="left" w:pos="6750"/>
              </w:tabs>
              <w:jc w:val="center"/>
            </w:pPr>
          </w:p>
        </w:tc>
      </w:tr>
    </w:tbl>
    <w:p w14:paraId="53DDF050" w14:textId="77777777" w:rsidR="003A7507" w:rsidRPr="007C44B3" w:rsidRDefault="003A7507" w:rsidP="00184C6A">
      <w:pPr>
        <w:rPr>
          <w:rFonts w:ascii="Calibri" w:eastAsia="Arial Unicode MS" w:hAnsi="Calibri" w:cs="Arial Unicode MS"/>
          <w:sz w:val="22"/>
          <w:szCs w:val="22"/>
          <w:lang w:eastAsia="en-US"/>
        </w:rPr>
      </w:pPr>
    </w:p>
    <w:sectPr w:rsidR="003A7507" w:rsidRPr="007C44B3" w:rsidSect="00932E04">
      <w:headerReference w:type="even" r:id="rId12"/>
      <w:headerReference w:type="default" r:id="rId13"/>
      <w:footerReference w:type="even" r:id="rId14"/>
      <w:footerReference w:type="default" r:id="rId15"/>
      <w:headerReference w:type="first" r:id="rId16"/>
      <w:footerReference w:type="first" r:id="rId17"/>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EF984" w14:textId="77777777" w:rsidR="00024DC3" w:rsidRDefault="00024DC3">
      <w:r>
        <w:separator/>
      </w:r>
    </w:p>
  </w:endnote>
  <w:endnote w:type="continuationSeparator" w:id="0">
    <w:p w14:paraId="42B7C53F" w14:textId="77777777" w:rsidR="00024DC3" w:rsidRDefault="0002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A7A3" w14:textId="77777777" w:rsidR="000B6B9A" w:rsidRDefault="000B6B9A"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0B6B9A" w:rsidRDefault="000B6B9A" w:rsidP="0056140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AAA1C" w14:textId="0401EFBA" w:rsidR="000B6B9A" w:rsidRPr="00F37989" w:rsidRDefault="000B6B9A"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E94E35">
      <w:rPr>
        <w:rStyle w:val="Numrodepage"/>
        <w:rFonts w:ascii="Calibri" w:hAnsi="Calibri"/>
        <w:noProof/>
        <w:sz w:val="20"/>
        <w:szCs w:val="20"/>
      </w:rPr>
      <w:t>12</w:t>
    </w:r>
    <w:r w:rsidRPr="00F37989">
      <w:rPr>
        <w:rStyle w:val="Numrodepage"/>
        <w:rFonts w:ascii="Calibri" w:hAnsi="Calibri"/>
        <w:sz w:val="20"/>
        <w:szCs w:val="20"/>
      </w:rPr>
      <w:fldChar w:fldCharType="end"/>
    </w:r>
  </w:p>
  <w:p w14:paraId="3FC0A592" w14:textId="77777777" w:rsidR="000B6B9A" w:rsidRDefault="000B6B9A" w:rsidP="00932E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77A7" w14:textId="165ED23B" w:rsidR="000B6B9A" w:rsidRPr="00283E74" w:rsidRDefault="000B6B9A" w:rsidP="00283E74">
    <w:pPr>
      <w:pStyle w:val="Pieddepage"/>
      <w:tabs>
        <w:tab w:val="clear" w:pos="4536"/>
      </w:tabs>
      <w:jc w:val="right"/>
      <w:rPr>
        <w:rFonts w:asciiTheme="minorHAnsi" w:hAnsiTheme="minorHAnsi"/>
        <w:sz w:val="22"/>
      </w:rPr>
    </w:pPr>
    <w:r w:rsidRPr="00283E74">
      <w:rPr>
        <w:rFonts w:asciiTheme="minorHAnsi" w:hAnsiTheme="minorHAnsi"/>
        <w:sz w:val="22"/>
      </w:rPr>
      <w:t xml:space="preserve">Ref : DAJ_M003_v01 </w:t>
    </w:r>
    <w:r w:rsidRPr="00283E74">
      <w:rPr>
        <w:rFonts w:asciiTheme="minorHAnsi" w:hAnsiTheme="minorHAnsi"/>
        <w:sz w:val="22"/>
      </w:rPr>
      <w:tab/>
      <w:t xml:space="preserve"> </w:t>
    </w:r>
    <w:sdt>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E201DD">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E201DD">
              <w:rPr>
                <w:rFonts w:asciiTheme="minorHAnsi" w:hAnsiTheme="minorHAnsi"/>
                <w:b/>
                <w:bCs/>
                <w:noProof/>
                <w:sz w:val="22"/>
              </w:rPr>
              <w:t>12</w:t>
            </w:r>
            <w:r w:rsidRPr="00283E74">
              <w:rPr>
                <w:rFonts w:asciiTheme="minorHAnsi" w:hAnsiTheme="minorHAnsi"/>
                <w:b/>
                <w:bCs/>
                <w:sz w:val="22"/>
              </w:rPr>
              <w:fldChar w:fldCharType="end"/>
            </w:r>
          </w:sdtContent>
        </w:sdt>
      </w:sdtContent>
    </w:sdt>
  </w:p>
  <w:p w14:paraId="7E9E8931" w14:textId="182A89A7" w:rsidR="000B6B9A" w:rsidRPr="00283E74" w:rsidRDefault="000B6B9A"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69531" w14:textId="77777777" w:rsidR="00024DC3" w:rsidRDefault="00024DC3">
      <w:r>
        <w:separator/>
      </w:r>
    </w:p>
  </w:footnote>
  <w:footnote w:type="continuationSeparator" w:id="0">
    <w:p w14:paraId="5CD1A38A" w14:textId="77777777" w:rsidR="00024DC3" w:rsidRDefault="0002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9D88" w14:textId="77777777" w:rsidR="000B6B9A" w:rsidRDefault="000B6B9A">
    <w:pPr>
      <w:pStyle w:val="En-tte"/>
    </w:pPr>
    <w:r>
      <w:rPr>
        <w:noProof/>
      </w:rPr>
      <w:drawing>
        <wp:anchor distT="0" distB="0" distL="114300" distR="114300" simplePos="0" relativeHeight="251651072"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E94E35">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2096;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4378" w14:textId="18C259ED" w:rsidR="000B6B9A" w:rsidRDefault="000B6B9A" w:rsidP="00932E04">
    <w:pPr>
      <w:pStyle w:val="En-tte"/>
      <w:rPr>
        <w:rFonts w:ascii="Calibri" w:hAnsi="Calibri" w:cs="Arial"/>
      </w:rPr>
    </w:pPr>
    <w:r w:rsidRPr="00123AD8">
      <w:rPr>
        <w:rFonts w:ascii="Calibri" w:hAnsi="Calibri" w:cs="Arial"/>
        <w:noProof/>
      </w:rPr>
      <w:drawing>
        <wp:anchor distT="0" distB="0" distL="114300" distR="114300" simplePos="0" relativeHeight="251658240" behindDoc="0" locked="0" layoutInCell="1" allowOverlap="1" wp14:anchorId="768E595C" wp14:editId="4E070573">
          <wp:simplePos x="0" y="0"/>
          <wp:positionH relativeFrom="column">
            <wp:posOffset>897890</wp:posOffset>
          </wp:positionH>
          <wp:positionV relativeFrom="paragraph">
            <wp:posOffset>29210</wp:posOffset>
          </wp:positionV>
          <wp:extent cx="685165" cy="408940"/>
          <wp:effectExtent l="0" t="0" r="635" b="0"/>
          <wp:wrapNone/>
          <wp:docPr id="16"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
                  <a:srcRect/>
                  <a:stretch>
                    <a:fillRect/>
                  </a:stretch>
                </pic:blipFill>
                <pic:spPr>
                  <a:xfrm>
                    <a:off x="0" y="0"/>
                    <a:ext cx="685165" cy="4089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23AD8">
      <w:rPr>
        <w:rFonts w:ascii="Calibri" w:hAnsi="Calibri" w:cs="Arial"/>
        <w:noProof/>
      </w:rPr>
      <w:drawing>
        <wp:anchor distT="0" distB="0" distL="114300" distR="114300" simplePos="0" relativeHeight="251659264" behindDoc="0" locked="0" layoutInCell="1" allowOverlap="1" wp14:anchorId="7E68DD52" wp14:editId="17FF9D1C">
          <wp:simplePos x="0" y="0"/>
          <wp:positionH relativeFrom="margin">
            <wp:posOffset>0</wp:posOffset>
          </wp:positionH>
          <wp:positionV relativeFrom="paragraph">
            <wp:posOffset>40640</wp:posOffset>
          </wp:positionV>
          <wp:extent cx="590550" cy="386080"/>
          <wp:effectExtent l="0" t="0" r="0" b="0"/>
          <wp:wrapNone/>
          <wp:docPr id="17" name="Bild 22" descr="flag_yellow_low_text.jpg"/>
          <wp:cNvGraphicFramePr/>
          <a:graphic xmlns:a="http://schemas.openxmlformats.org/drawingml/2006/main">
            <a:graphicData uri="http://schemas.openxmlformats.org/drawingml/2006/picture">
              <pic:pic xmlns:pic="http://schemas.openxmlformats.org/drawingml/2006/picture">
                <pic:nvPicPr>
                  <pic:cNvPr id="6" name="Bild 22" descr="flag_yellow_low_text.jpg"/>
                  <pic:cNvPicPr/>
                </pic:nvPicPr>
                <pic:blipFill>
                  <a:blip r:embed="rId2"/>
                  <a:srcRect b="14076"/>
                  <a:stretch>
                    <a:fillRect/>
                  </a:stretch>
                </pic:blipFill>
                <pic:spPr>
                  <a:xfrm>
                    <a:off x="0" y="0"/>
                    <a:ext cx="590550" cy="3860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23AD8">
      <w:rPr>
        <w:rFonts w:ascii="Calibri" w:hAnsi="Calibri" w:cs="Arial"/>
        <w:noProof/>
      </w:rPr>
      <w:drawing>
        <wp:anchor distT="0" distB="0" distL="114300" distR="114300" simplePos="0" relativeHeight="251660288" behindDoc="0" locked="0" layoutInCell="1" allowOverlap="1" wp14:anchorId="443AFAA3" wp14:editId="25AE1349">
          <wp:simplePos x="0" y="0"/>
          <wp:positionH relativeFrom="margin">
            <wp:posOffset>4689475</wp:posOffset>
          </wp:positionH>
          <wp:positionV relativeFrom="paragraph">
            <wp:posOffset>53975</wp:posOffset>
          </wp:positionV>
          <wp:extent cx="1071245" cy="359410"/>
          <wp:effectExtent l="0" t="0" r="0" b="2540"/>
          <wp:wrapNone/>
          <wp:docPr id="18" name="Bild 8" descr="gizlogo-unternehmen-de-rgb.png"/>
          <wp:cNvGraphicFramePr/>
          <a:graphic xmlns:a="http://schemas.openxmlformats.org/drawingml/2006/main">
            <a:graphicData uri="http://schemas.openxmlformats.org/drawingml/2006/picture">
              <pic:pic xmlns:pic="http://schemas.openxmlformats.org/drawingml/2006/picture">
                <pic:nvPicPr>
                  <pic:cNvPr id="7" name="Bild 8" descr="gizlogo-unternehmen-de-rgb.png"/>
                  <pic:cNvPicPr/>
                </pic:nvPicPr>
                <pic:blipFill rotWithShape="1">
                  <a:blip r:embed="rId3"/>
                  <a:srcRect l="6344" t="9662" r="11469" b="19082"/>
                  <a:stretch/>
                </pic:blipFill>
                <pic:spPr bwMode="auto">
                  <a:xfrm>
                    <a:off x="0" y="0"/>
                    <a:ext cx="1071245"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3AD8">
      <w:rPr>
        <w:rFonts w:ascii="Calibri" w:hAnsi="Calibri" w:cs="Arial"/>
        <w:noProof/>
      </w:rPr>
      <w:drawing>
        <wp:anchor distT="0" distB="0" distL="114300" distR="114300" simplePos="0" relativeHeight="251661312" behindDoc="0" locked="0" layoutInCell="1" allowOverlap="1" wp14:anchorId="2226A9B8" wp14:editId="4049B549">
          <wp:simplePos x="0" y="0"/>
          <wp:positionH relativeFrom="column">
            <wp:posOffset>1890395</wp:posOffset>
          </wp:positionH>
          <wp:positionV relativeFrom="paragraph">
            <wp:posOffset>34290</wp:posOffset>
          </wp:positionV>
          <wp:extent cx="550545" cy="398780"/>
          <wp:effectExtent l="0" t="0" r="1905" b="1270"/>
          <wp:wrapNone/>
          <wp:docPr id="19" name="Image 7" descr="Description: Description: Logo_de_la_République_française_(1999)"/>
          <wp:cNvGraphicFramePr/>
          <a:graphic xmlns:a="http://schemas.openxmlformats.org/drawingml/2006/main">
            <a:graphicData uri="http://schemas.openxmlformats.org/drawingml/2006/picture">
              <pic:pic xmlns:pic="http://schemas.openxmlformats.org/drawingml/2006/picture">
                <pic:nvPicPr>
                  <pic:cNvPr id="8" name="Image 7" descr="Description: Description: Logo_de_la_République_française_(1999)"/>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54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AD8">
      <w:rPr>
        <w:rFonts w:ascii="Calibri" w:hAnsi="Calibri" w:cs="Arial"/>
        <w:noProof/>
      </w:rPr>
      <w:drawing>
        <wp:anchor distT="0" distB="0" distL="114300" distR="114300" simplePos="0" relativeHeight="251662336" behindDoc="0" locked="0" layoutInCell="1" allowOverlap="1" wp14:anchorId="66BC8942" wp14:editId="69EA9DB6">
          <wp:simplePos x="0" y="0"/>
          <wp:positionH relativeFrom="column">
            <wp:posOffset>2748280</wp:posOffset>
          </wp:positionH>
          <wp:positionV relativeFrom="paragraph">
            <wp:posOffset>-635</wp:posOffset>
          </wp:positionV>
          <wp:extent cx="399415" cy="467995"/>
          <wp:effectExtent l="0" t="0" r="635" b="8255"/>
          <wp:wrapNone/>
          <wp:docPr id="20" name="Image 14"/>
          <wp:cNvGraphicFramePr/>
          <a:graphic xmlns:a="http://schemas.openxmlformats.org/drawingml/2006/main">
            <a:graphicData uri="http://schemas.openxmlformats.org/drawingml/2006/picture">
              <pic:pic xmlns:pic="http://schemas.openxmlformats.org/drawingml/2006/picture">
                <pic:nvPicPr>
                  <pic:cNvPr id="15" name="Imag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9415" cy="467995"/>
                  </a:xfrm>
                  <a:prstGeom prst="rect">
                    <a:avLst/>
                  </a:prstGeom>
                </pic:spPr>
              </pic:pic>
            </a:graphicData>
          </a:graphic>
          <wp14:sizeRelH relativeFrom="margin">
            <wp14:pctWidth>0</wp14:pctWidth>
          </wp14:sizeRelH>
          <wp14:sizeRelV relativeFrom="margin">
            <wp14:pctHeight>0</wp14:pctHeight>
          </wp14:sizeRelV>
        </wp:anchor>
      </w:drawing>
    </w:r>
    <w:r w:rsidRPr="00123AD8">
      <w:rPr>
        <w:rFonts w:ascii="Calibri" w:hAnsi="Calibri" w:cs="Arial"/>
        <w:noProof/>
      </w:rPr>
      <w:drawing>
        <wp:anchor distT="0" distB="0" distL="114300" distR="114300" simplePos="0" relativeHeight="251663360" behindDoc="1" locked="0" layoutInCell="1" allowOverlap="1" wp14:anchorId="68B14F2B" wp14:editId="75370EB7">
          <wp:simplePos x="0" y="0"/>
          <wp:positionH relativeFrom="margin">
            <wp:posOffset>3455035</wp:posOffset>
          </wp:positionH>
          <wp:positionV relativeFrom="paragraph">
            <wp:posOffset>17780</wp:posOffset>
          </wp:positionV>
          <wp:extent cx="927100" cy="431800"/>
          <wp:effectExtent l="0" t="0" r="6350" b="635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F 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0" cy="431800"/>
                  </a:xfrm>
                  <a:prstGeom prst="rect">
                    <a:avLst/>
                  </a:prstGeom>
                </pic:spPr>
              </pic:pic>
            </a:graphicData>
          </a:graphic>
          <wp14:sizeRelH relativeFrom="page">
            <wp14:pctWidth>0</wp14:pctWidth>
          </wp14:sizeRelH>
          <wp14:sizeRelV relativeFrom="page">
            <wp14:pctHeight>0</wp14:pctHeight>
          </wp14:sizeRelV>
        </wp:anchor>
      </w:drawing>
    </w:r>
  </w:p>
  <w:p w14:paraId="1ED50054" w14:textId="0A157D96" w:rsidR="000B6B9A" w:rsidRDefault="000B6B9A" w:rsidP="00932E04">
    <w:pPr>
      <w:pStyle w:val="En-tte"/>
      <w:rPr>
        <w:rFonts w:ascii="Calibri" w:hAnsi="Calibri" w:cs="Arial"/>
      </w:rPr>
    </w:pPr>
  </w:p>
  <w:p w14:paraId="757FA2F4" w14:textId="77777777" w:rsidR="000B6B9A" w:rsidRPr="00707B69" w:rsidRDefault="000B6B9A" w:rsidP="00932E04">
    <w:pPr>
      <w:pStyle w:val="En-tte"/>
      <w:rPr>
        <w:rFonts w:ascii="Calibri" w:hAnsi="Calibri" w:cs="Arial"/>
      </w:rPr>
    </w:pPr>
  </w:p>
  <w:p w14:paraId="73772FA7" w14:textId="5394EC04" w:rsidR="000B6B9A" w:rsidRPr="00273D05" w:rsidRDefault="000B6B9A" w:rsidP="00273D05">
    <w:pPr>
      <w:pStyle w:val="En-tte"/>
      <w:tabs>
        <w:tab w:val="clear" w:pos="4536"/>
        <w:tab w:val="clear" w:pos="9072"/>
        <w:tab w:val="right" w:pos="9781"/>
      </w:tabs>
      <w:rPr>
        <w:rFonts w:ascii="Calibri" w:hAnsi="Calibri" w:cs="Arial"/>
        <w:i/>
        <w:sz w:val="18"/>
        <w:lang w:val="en-US"/>
      </w:rPr>
    </w:pPr>
    <w:r w:rsidRPr="00273D05">
      <w:rPr>
        <w:rFonts w:ascii="Calibri" w:hAnsi="Calibri" w:cs="Arial"/>
        <w:i/>
        <w:smallCaps/>
        <w:lang w:val="en-US"/>
      </w:rPr>
      <w:t>Termes de reference</w:t>
    </w:r>
    <w:r>
      <w:rPr>
        <w:rFonts w:ascii="Calibri" w:hAnsi="Calibri" w:cs="Arial"/>
        <w:i/>
        <w:smallCaps/>
        <w:lang w:val="en-US"/>
      </w:rPr>
      <w:t>s</w:t>
    </w:r>
  </w:p>
  <w:p w14:paraId="3E6C0A6F" w14:textId="0FC1B7B2" w:rsidR="000B6B9A" w:rsidRPr="00972A8E" w:rsidRDefault="000B6B9A"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0B6B9A" w:rsidRPr="00972A8E" w:rsidRDefault="000B6B9A" w:rsidP="00932E04">
    <w:pPr>
      <w:pStyle w:val="En-tte"/>
      <w:tabs>
        <w:tab w:val="clear" w:pos="4536"/>
        <w:tab w:val="clear" w:pos="9072"/>
        <w:tab w:val="right" w:pos="9781"/>
      </w:tabs>
      <w:rPr>
        <w:rFonts w:ascii="Calibri" w:hAnsi="Calibri" w:cs="Arial"/>
        <w:sz w:val="18"/>
        <w:u w:val="single"/>
        <w:lang w:val="en-US"/>
      </w:rPr>
    </w:pPr>
  </w:p>
  <w:p w14:paraId="76B902E6" w14:textId="77777777" w:rsidR="000B6B9A" w:rsidRPr="00932E04" w:rsidRDefault="000B6B9A">
    <w:pPr>
      <w:pStyle w:val="En-tt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C669" w14:textId="476DDEB3" w:rsidR="000B6B9A" w:rsidRDefault="000B6B9A">
    <w:pPr>
      <w:pStyle w:val="En-tte"/>
    </w:pPr>
    <w:r w:rsidRPr="00857B47">
      <w:rPr>
        <w:noProof/>
      </w:rPr>
      <w:t xml:space="preserve"> </w:t>
    </w:r>
    <w:r w:rsidRPr="00123AD8">
      <w:rPr>
        <w:noProof/>
      </w:rPr>
      <w:drawing>
        <wp:anchor distT="0" distB="0" distL="114300" distR="114300" simplePos="0" relativeHeight="251652096" behindDoc="0" locked="0" layoutInCell="1" allowOverlap="1" wp14:anchorId="0D6FEEEB" wp14:editId="1A2D729C">
          <wp:simplePos x="0" y="0"/>
          <wp:positionH relativeFrom="column">
            <wp:posOffset>897890</wp:posOffset>
          </wp:positionH>
          <wp:positionV relativeFrom="paragraph">
            <wp:posOffset>29210</wp:posOffset>
          </wp:positionV>
          <wp:extent cx="685165" cy="408940"/>
          <wp:effectExtent l="0" t="0" r="635" b="0"/>
          <wp:wrapNone/>
          <wp:docPr id="5"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
                  <a:srcRect/>
                  <a:stretch>
                    <a:fillRect/>
                  </a:stretch>
                </pic:blipFill>
                <pic:spPr>
                  <a:xfrm>
                    <a:off x="0" y="0"/>
                    <a:ext cx="685165" cy="4089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23AD8">
      <w:rPr>
        <w:noProof/>
      </w:rPr>
      <w:drawing>
        <wp:anchor distT="0" distB="0" distL="114300" distR="114300" simplePos="0" relativeHeight="251653120" behindDoc="0" locked="0" layoutInCell="1" allowOverlap="1" wp14:anchorId="5C9277DA" wp14:editId="7A0CD456">
          <wp:simplePos x="0" y="0"/>
          <wp:positionH relativeFrom="margin">
            <wp:posOffset>0</wp:posOffset>
          </wp:positionH>
          <wp:positionV relativeFrom="paragraph">
            <wp:posOffset>40640</wp:posOffset>
          </wp:positionV>
          <wp:extent cx="590550" cy="386080"/>
          <wp:effectExtent l="0" t="0" r="0" b="0"/>
          <wp:wrapNone/>
          <wp:docPr id="6" name="Bild 22" descr="flag_yellow_low_text.jpg"/>
          <wp:cNvGraphicFramePr/>
          <a:graphic xmlns:a="http://schemas.openxmlformats.org/drawingml/2006/main">
            <a:graphicData uri="http://schemas.openxmlformats.org/drawingml/2006/picture">
              <pic:pic xmlns:pic="http://schemas.openxmlformats.org/drawingml/2006/picture">
                <pic:nvPicPr>
                  <pic:cNvPr id="6" name="Bild 22" descr="flag_yellow_low_text.jpg"/>
                  <pic:cNvPicPr/>
                </pic:nvPicPr>
                <pic:blipFill>
                  <a:blip r:embed="rId2"/>
                  <a:srcRect b="14076"/>
                  <a:stretch>
                    <a:fillRect/>
                  </a:stretch>
                </pic:blipFill>
                <pic:spPr>
                  <a:xfrm>
                    <a:off x="0" y="0"/>
                    <a:ext cx="590550" cy="3860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23AD8">
      <w:rPr>
        <w:noProof/>
      </w:rPr>
      <w:drawing>
        <wp:anchor distT="0" distB="0" distL="114300" distR="114300" simplePos="0" relativeHeight="251654144" behindDoc="0" locked="0" layoutInCell="1" allowOverlap="1" wp14:anchorId="593AE7E5" wp14:editId="43DF1163">
          <wp:simplePos x="0" y="0"/>
          <wp:positionH relativeFrom="margin">
            <wp:posOffset>4689475</wp:posOffset>
          </wp:positionH>
          <wp:positionV relativeFrom="paragraph">
            <wp:posOffset>53975</wp:posOffset>
          </wp:positionV>
          <wp:extent cx="1071245" cy="359410"/>
          <wp:effectExtent l="0" t="0" r="0" b="2540"/>
          <wp:wrapNone/>
          <wp:docPr id="7" name="Bild 8" descr="gizlogo-unternehmen-de-rgb.png"/>
          <wp:cNvGraphicFramePr/>
          <a:graphic xmlns:a="http://schemas.openxmlformats.org/drawingml/2006/main">
            <a:graphicData uri="http://schemas.openxmlformats.org/drawingml/2006/picture">
              <pic:pic xmlns:pic="http://schemas.openxmlformats.org/drawingml/2006/picture">
                <pic:nvPicPr>
                  <pic:cNvPr id="7" name="Bild 8" descr="gizlogo-unternehmen-de-rgb.png"/>
                  <pic:cNvPicPr/>
                </pic:nvPicPr>
                <pic:blipFill rotWithShape="1">
                  <a:blip r:embed="rId3"/>
                  <a:srcRect l="6344" t="9662" r="11469" b="19082"/>
                  <a:stretch/>
                </pic:blipFill>
                <pic:spPr bwMode="auto">
                  <a:xfrm>
                    <a:off x="0" y="0"/>
                    <a:ext cx="1071245"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3AD8">
      <w:rPr>
        <w:noProof/>
      </w:rPr>
      <w:drawing>
        <wp:anchor distT="0" distB="0" distL="114300" distR="114300" simplePos="0" relativeHeight="251655168" behindDoc="0" locked="0" layoutInCell="1" allowOverlap="1" wp14:anchorId="5FAACA98" wp14:editId="362B1BEF">
          <wp:simplePos x="0" y="0"/>
          <wp:positionH relativeFrom="column">
            <wp:posOffset>1890395</wp:posOffset>
          </wp:positionH>
          <wp:positionV relativeFrom="paragraph">
            <wp:posOffset>34290</wp:posOffset>
          </wp:positionV>
          <wp:extent cx="550545" cy="398780"/>
          <wp:effectExtent l="0" t="0" r="1905" b="1270"/>
          <wp:wrapNone/>
          <wp:docPr id="8" name="Image 7" descr="Description: Description: Logo_de_la_République_française_(1999)"/>
          <wp:cNvGraphicFramePr/>
          <a:graphic xmlns:a="http://schemas.openxmlformats.org/drawingml/2006/main">
            <a:graphicData uri="http://schemas.openxmlformats.org/drawingml/2006/picture">
              <pic:pic xmlns:pic="http://schemas.openxmlformats.org/drawingml/2006/picture">
                <pic:nvPicPr>
                  <pic:cNvPr id="8" name="Image 7" descr="Description: Description: Logo_de_la_République_française_(1999)"/>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54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AD8">
      <w:rPr>
        <w:noProof/>
      </w:rPr>
      <w:drawing>
        <wp:anchor distT="0" distB="0" distL="114300" distR="114300" simplePos="0" relativeHeight="251656192" behindDoc="0" locked="0" layoutInCell="1" allowOverlap="1" wp14:anchorId="2EDB7D30" wp14:editId="355E5A5A">
          <wp:simplePos x="0" y="0"/>
          <wp:positionH relativeFrom="column">
            <wp:posOffset>2748280</wp:posOffset>
          </wp:positionH>
          <wp:positionV relativeFrom="paragraph">
            <wp:posOffset>-635</wp:posOffset>
          </wp:positionV>
          <wp:extent cx="399415" cy="467995"/>
          <wp:effectExtent l="0" t="0" r="635" b="8255"/>
          <wp:wrapNone/>
          <wp:docPr id="15" name="Image 14"/>
          <wp:cNvGraphicFramePr/>
          <a:graphic xmlns:a="http://schemas.openxmlformats.org/drawingml/2006/main">
            <a:graphicData uri="http://schemas.openxmlformats.org/drawingml/2006/picture">
              <pic:pic xmlns:pic="http://schemas.openxmlformats.org/drawingml/2006/picture">
                <pic:nvPicPr>
                  <pic:cNvPr id="15" name="Imag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9415" cy="467995"/>
                  </a:xfrm>
                  <a:prstGeom prst="rect">
                    <a:avLst/>
                  </a:prstGeom>
                </pic:spPr>
              </pic:pic>
            </a:graphicData>
          </a:graphic>
          <wp14:sizeRelH relativeFrom="margin">
            <wp14:pctWidth>0</wp14:pctWidth>
          </wp14:sizeRelH>
          <wp14:sizeRelV relativeFrom="margin">
            <wp14:pctHeight>0</wp14:pctHeight>
          </wp14:sizeRelV>
        </wp:anchor>
      </w:drawing>
    </w:r>
    <w:r w:rsidRPr="00123AD8">
      <w:rPr>
        <w:noProof/>
      </w:rPr>
      <w:drawing>
        <wp:anchor distT="0" distB="0" distL="114300" distR="114300" simplePos="0" relativeHeight="251657216" behindDoc="1" locked="0" layoutInCell="1" allowOverlap="1" wp14:anchorId="7FBD0635" wp14:editId="11A42574">
          <wp:simplePos x="0" y="0"/>
          <wp:positionH relativeFrom="margin">
            <wp:posOffset>3455035</wp:posOffset>
          </wp:positionH>
          <wp:positionV relativeFrom="paragraph">
            <wp:posOffset>17780</wp:posOffset>
          </wp:positionV>
          <wp:extent cx="927100" cy="43180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F 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0"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75E6"/>
    <w:multiLevelType w:val="hybridMultilevel"/>
    <w:tmpl w:val="84120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B5AF7"/>
    <w:multiLevelType w:val="hybridMultilevel"/>
    <w:tmpl w:val="E92CC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F53EA4"/>
    <w:multiLevelType w:val="hybridMultilevel"/>
    <w:tmpl w:val="B3902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A0A0C0C4"/>
    <w:lvl w:ilvl="0" w:tplc="0590D63C">
      <w:start w:val="1"/>
      <w:numFmt w:val="upperRoman"/>
      <w:lvlText w:val="%1."/>
      <w:lvlJc w:val="right"/>
      <w:pPr>
        <w:tabs>
          <w:tab w:val="num" w:pos="1635"/>
        </w:tabs>
        <w:ind w:left="1635" w:hanging="180"/>
      </w:pPr>
      <w:rPr>
        <w:rFonts w:ascii="Calibri" w:hAnsi="Calibri" w:hint="default"/>
        <w:b/>
        <w:i w:val="0"/>
        <w:sz w:val="24"/>
      </w:rPr>
    </w:lvl>
    <w:lvl w:ilvl="1" w:tplc="992E2102">
      <w:start w:val="1"/>
      <w:numFmt w:val="decimal"/>
      <w:lvlText w:val="%2)"/>
      <w:lvlJc w:val="left"/>
      <w:pPr>
        <w:tabs>
          <w:tab w:val="num" w:pos="2355"/>
        </w:tabs>
        <w:ind w:left="2355" w:hanging="360"/>
      </w:pPr>
      <w:rPr>
        <w:rFonts w:ascii="Calibri" w:hAnsi="Calibri" w:hint="default"/>
        <w:b/>
        <w:i w:val="0"/>
        <w:sz w:val="22"/>
      </w:rPr>
    </w:lvl>
    <w:lvl w:ilvl="2" w:tplc="2E562696">
      <w:start w:val="1"/>
      <w:numFmt w:val="decimal"/>
      <w:lvlText w:val="%3."/>
      <w:lvlJc w:val="left"/>
      <w:pPr>
        <w:tabs>
          <w:tab w:val="num" w:pos="3255"/>
        </w:tabs>
        <w:ind w:left="3255" w:hanging="360"/>
      </w:pPr>
      <w:rPr>
        <w:rFonts w:ascii="Calibri" w:hAnsi="Calibri" w:hint="default"/>
        <w:b w:val="0"/>
        <w:i w:val="0"/>
        <w:sz w:val="22"/>
      </w:rPr>
    </w:lvl>
    <w:lvl w:ilvl="3" w:tplc="040C000F" w:tentative="1">
      <w:start w:val="1"/>
      <w:numFmt w:val="decimal"/>
      <w:lvlText w:val="%4."/>
      <w:lvlJc w:val="left"/>
      <w:pPr>
        <w:tabs>
          <w:tab w:val="num" w:pos="3795"/>
        </w:tabs>
        <w:ind w:left="3795" w:hanging="360"/>
      </w:pPr>
    </w:lvl>
    <w:lvl w:ilvl="4" w:tplc="040C0019" w:tentative="1">
      <w:start w:val="1"/>
      <w:numFmt w:val="lowerLetter"/>
      <w:lvlText w:val="%5."/>
      <w:lvlJc w:val="left"/>
      <w:pPr>
        <w:tabs>
          <w:tab w:val="num" w:pos="4515"/>
        </w:tabs>
        <w:ind w:left="4515" w:hanging="360"/>
      </w:pPr>
    </w:lvl>
    <w:lvl w:ilvl="5" w:tplc="040C001B" w:tentative="1">
      <w:start w:val="1"/>
      <w:numFmt w:val="lowerRoman"/>
      <w:lvlText w:val="%6."/>
      <w:lvlJc w:val="right"/>
      <w:pPr>
        <w:tabs>
          <w:tab w:val="num" w:pos="5235"/>
        </w:tabs>
        <w:ind w:left="5235" w:hanging="180"/>
      </w:pPr>
    </w:lvl>
    <w:lvl w:ilvl="6" w:tplc="040C000F" w:tentative="1">
      <w:start w:val="1"/>
      <w:numFmt w:val="decimal"/>
      <w:lvlText w:val="%7."/>
      <w:lvlJc w:val="left"/>
      <w:pPr>
        <w:tabs>
          <w:tab w:val="num" w:pos="5955"/>
        </w:tabs>
        <w:ind w:left="5955" w:hanging="360"/>
      </w:pPr>
    </w:lvl>
    <w:lvl w:ilvl="7" w:tplc="040C0019" w:tentative="1">
      <w:start w:val="1"/>
      <w:numFmt w:val="lowerLetter"/>
      <w:lvlText w:val="%8."/>
      <w:lvlJc w:val="left"/>
      <w:pPr>
        <w:tabs>
          <w:tab w:val="num" w:pos="6675"/>
        </w:tabs>
        <w:ind w:left="6675" w:hanging="360"/>
      </w:pPr>
    </w:lvl>
    <w:lvl w:ilvl="8" w:tplc="040C001B" w:tentative="1">
      <w:start w:val="1"/>
      <w:numFmt w:val="lowerRoman"/>
      <w:lvlText w:val="%9."/>
      <w:lvlJc w:val="right"/>
      <w:pPr>
        <w:tabs>
          <w:tab w:val="num" w:pos="7395"/>
        </w:tabs>
        <w:ind w:left="7395" w:hanging="180"/>
      </w:pPr>
    </w:lvl>
  </w:abstractNum>
  <w:abstractNum w:abstractNumId="4" w15:restartNumberingAfterBreak="0">
    <w:nsid w:val="0F224F17"/>
    <w:multiLevelType w:val="hybridMultilevel"/>
    <w:tmpl w:val="AA7ABF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80A6789"/>
    <w:multiLevelType w:val="hybridMultilevel"/>
    <w:tmpl w:val="6100D7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51F3D"/>
    <w:multiLevelType w:val="hybridMultilevel"/>
    <w:tmpl w:val="12C8FF88"/>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089636F"/>
    <w:multiLevelType w:val="hybridMultilevel"/>
    <w:tmpl w:val="14DE0C36"/>
    <w:lvl w:ilvl="0" w:tplc="FEC45F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096871"/>
    <w:multiLevelType w:val="hybridMultilevel"/>
    <w:tmpl w:val="2E8AA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97100A"/>
    <w:multiLevelType w:val="hybridMultilevel"/>
    <w:tmpl w:val="717AEB92"/>
    <w:lvl w:ilvl="0" w:tplc="694CFE88">
      <w:numFmt w:val="bullet"/>
      <w:lvlText w:val="-"/>
      <w:lvlJc w:val="left"/>
      <w:pPr>
        <w:ind w:left="720" w:hanging="360"/>
      </w:pPr>
      <w:rPr>
        <w:rFonts w:ascii="Calibri" w:eastAsiaTheme="minorEastAsia"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0F055E"/>
    <w:multiLevelType w:val="hybridMultilevel"/>
    <w:tmpl w:val="646888C2"/>
    <w:lvl w:ilvl="0" w:tplc="A16AFB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B13E64"/>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75063D"/>
    <w:multiLevelType w:val="hybridMultilevel"/>
    <w:tmpl w:val="2834D94E"/>
    <w:lvl w:ilvl="0" w:tplc="040C0001">
      <w:start w:val="1"/>
      <w:numFmt w:val="bullet"/>
      <w:lvlText w:val=""/>
      <w:lvlJc w:val="left"/>
      <w:pPr>
        <w:ind w:left="684" w:hanging="360"/>
      </w:pPr>
      <w:rPr>
        <w:rFonts w:ascii="Symbol" w:hAnsi="Symbol" w:hint="default"/>
      </w:rPr>
    </w:lvl>
    <w:lvl w:ilvl="1" w:tplc="040C0003">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14" w15:restartNumberingAfterBreak="0">
    <w:nsid w:val="2EEB317F"/>
    <w:multiLevelType w:val="hybridMultilevel"/>
    <w:tmpl w:val="56AC8B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A140A7"/>
    <w:multiLevelType w:val="hybridMultilevel"/>
    <w:tmpl w:val="3A50707C"/>
    <w:lvl w:ilvl="0" w:tplc="008072B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683C2D"/>
    <w:multiLevelType w:val="hybridMultilevel"/>
    <w:tmpl w:val="B68A6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720C28"/>
    <w:multiLevelType w:val="hybridMultilevel"/>
    <w:tmpl w:val="3B20C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FC4309"/>
    <w:multiLevelType w:val="hybridMultilevel"/>
    <w:tmpl w:val="D026F2D0"/>
    <w:lvl w:ilvl="0" w:tplc="324AB708">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B15D95"/>
    <w:multiLevelType w:val="hybridMultilevel"/>
    <w:tmpl w:val="DD8CF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966DA9"/>
    <w:multiLevelType w:val="hybridMultilevel"/>
    <w:tmpl w:val="7A2C7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A363BB"/>
    <w:multiLevelType w:val="hybridMultilevel"/>
    <w:tmpl w:val="96583646"/>
    <w:lvl w:ilvl="0" w:tplc="D87CB682">
      <w:start w:val="4"/>
      <w:numFmt w:val="bullet"/>
      <w:lvlText w:val="-"/>
      <w:lvlJc w:val="left"/>
      <w:pPr>
        <w:ind w:left="1455" w:hanging="360"/>
      </w:pPr>
      <w:rPr>
        <w:rFonts w:ascii="Arial" w:eastAsiaTheme="minorHAnsi" w:hAnsi="Arial" w:cs="Aria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22"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3" w15:restartNumberingAfterBreak="0">
    <w:nsid w:val="4AD50DE2"/>
    <w:multiLevelType w:val="hybridMultilevel"/>
    <w:tmpl w:val="7DFA67CA"/>
    <w:lvl w:ilvl="0" w:tplc="9EC6B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07011C"/>
    <w:multiLevelType w:val="hybridMultilevel"/>
    <w:tmpl w:val="091CE3E6"/>
    <w:lvl w:ilvl="0" w:tplc="D9E8597A">
      <w:start w:val="4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C0C3C6F"/>
    <w:multiLevelType w:val="hybridMultilevel"/>
    <w:tmpl w:val="41F244C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6" w15:restartNumberingAfterBreak="0">
    <w:nsid w:val="544C2E28"/>
    <w:multiLevelType w:val="hybridMultilevel"/>
    <w:tmpl w:val="F27C3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7A1E84"/>
    <w:multiLevelType w:val="hybridMultilevel"/>
    <w:tmpl w:val="B2B08CE4"/>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28" w15:restartNumberingAfterBreak="0">
    <w:nsid w:val="5CFE51BD"/>
    <w:multiLevelType w:val="hybridMultilevel"/>
    <w:tmpl w:val="FC04E7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6530406A"/>
    <w:multiLevelType w:val="hybridMultilevel"/>
    <w:tmpl w:val="B68CB1F4"/>
    <w:lvl w:ilvl="0" w:tplc="A688276E">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3E4A47"/>
    <w:multiLevelType w:val="hybridMultilevel"/>
    <w:tmpl w:val="CB4CC0A8"/>
    <w:lvl w:ilvl="0" w:tplc="FFE6CC0E">
      <w:start w:val="30"/>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A410CCA"/>
    <w:multiLevelType w:val="hybridMultilevel"/>
    <w:tmpl w:val="C5223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B6015BB"/>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C6B0DC7"/>
    <w:multiLevelType w:val="hybridMultilevel"/>
    <w:tmpl w:val="57F6D6CC"/>
    <w:lvl w:ilvl="0" w:tplc="A16AFB1E">
      <w:numFmt w:val="bullet"/>
      <w:lvlText w:val="-"/>
      <w:lvlJc w:val="left"/>
      <w:pPr>
        <w:ind w:left="1776" w:hanging="360"/>
      </w:pPr>
      <w:rPr>
        <w:rFonts w:ascii="Calibri" w:eastAsia="Times New Roma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F7E0FDE"/>
    <w:multiLevelType w:val="hybridMultilevel"/>
    <w:tmpl w:val="0598F88C"/>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26A1625"/>
    <w:multiLevelType w:val="hybridMultilevel"/>
    <w:tmpl w:val="01961E1A"/>
    <w:lvl w:ilvl="0" w:tplc="B08EE1C0">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F60750"/>
    <w:multiLevelType w:val="hybridMultilevel"/>
    <w:tmpl w:val="8F0E9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246659"/>
    <w:multiLevelType w:val="hybridMultilevel"/>
    <w:tmpl w:val="2870C1B8"/>
    <w:lvl w:ilvl="0" w:tplc="17D82A7C">
      <w:start w:val="6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7F4ECC"/>
    <w:multiLevelType w:val="hybridMultilevel"/>
    <w:tmpl w:val="7F3A7968"/>
    <w:lvl w:ilvl="0" w:tplc="0EE6E4D6">
      <w:start w:val="6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A7402D6"/>
    <w:multiLevelType w:val="hybridMultilevel"/>
    <w:tmpl w:val="FD9A8192"/>
    <w:lvl w:ilvl="0" w:tplc="D87CB68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2"/>
  </w:num>
  <w:num w:numId="4">
    <w:abstractNumId w:val="27"/>
  </w:num>
  <w:num w:numId="5">
    <w:abstractNumId w:val="34"/>
  </w:num>
  <w:num w:numId="6">
    <w:abstractNumId w:val="1"/>
  </w:num>
  <w:num w:numId="7">
    <w:abstractNumId w:val="13"/>
  </w:num>
  <w:num w:numId="8">
    <w:abstractNumId w:val="0"/>
  </w:num>
  <w:num w:numId="9">
    <w:abstractNumId w:val="14"/>
  </w:num>
  <w:num w:numId="10">
    <w:abstractNumId w:val="5"/>
  </w:num>
  <w:num w:numId="11">
    <w:abstractNumId w:val="10"/>
  </w:num>
  <w:num w:numId="12">
    <w:abstractNumId w:val="32"/>
  </w:num>
  <w:num w:numId="13">
    <w:abstractNumId w:val="11"/>
  </w:num>
  <w:num w:numId="14">
    <w:abstractNumId w:val="33"/>
  </w:num>
  <w:num w:numId="15">
    <w:abstractNumId w:val="25"/>
  </w:num>
  <w:num w:numId="16">
    <w:abstractNumId w:val="28"/>
  </w:num>
  <w:num w:numId="17">
    <w:abstractNumId w:val="9"/>
  </w:num>
  <w:num w:numId="18">
    <w:abstractNumId w:val="26"/>
  </w:num>
  <w:num w:numId="19">
    <w:abstractNumId w:val="35"/>
  </w:num>
  <w:num w:numId="20">
    <w:abstractNumId w:val="29"/>
  </w:num>
  <w:num w:numId="21">
    <w:abstractNumId w:val="21"/>
  </w:num>
  <w:num w:numId="22">
    <w:abstractNumId w:val="19"/>
  </w:num>
  <w:num w:numId="23">
    <w:abstractNumId w:val="2"/>
  </w:num>
  <w:num w:numId="24">
    <w:abstractNumId w:val="39"/>
  </w:num>
  <w:num w:numId="25">
    <w:abstractNumId w:val="4"/>
  </w:num>
  <w:num w:numId="26">
    <w:abstractNumId w:val="24"/>
  </w:num>
  <w:num w:numId="27">
    <w:abstractNumId w:val="31"/>
  </w:num>
  <w:num w:numId="28">
    <w:abstractNumId w:val="23"/>
  </w:num>
  <w:num w:numId="29">
    <w:abstractNumId w:val="30"/>
  </w:num>
  <w:num w:numId="30">
    <w:abstractNumId w:val="36"/>
  </w:num>
  <w:num w:numId="31">
    <w:abstractNumId w:val="7"/>
  </w:num>
  <w:num w:numId="32">
    <w:abstractNumId w:val="8"/>
  </w:num>
  <w:num w:numId="33">
    <w:abstractNumId w:val="38"/>
  </w:num>
  <w:num w:numId="34">
    <w:abstractNumId w:val="37"/>
  </w:num>
  <w:num w:numId="35">
    <w:abstractNumId w:val="20"/>
  </w:num>
  <w:num w:numId="36">
    <w:abstractNumId w:val="12"/>
  </w:num>
  <w:num w:numId="37">
    <w:abstractNumId w:val="18"/>
  </w:num>
  <w:num w:numId="38">
    <w:abstractNumId w:val="15"/>
  </w:num>
  <w:num w:numId="39">
    <w:abstractNumId w:val="16"/>
  </w:num>
  <w:num w:numId="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2D92"/>
    <w:rsid w:val="00003C1B"/>
    <w:rsid w:val="000044A3"/>
    <w:rsid w:val="0001278B"/>
    <w:rsid w:val="00012F1E"/>
    <w:rsid w:val="0001310E"/>
    <w:rsid w:val="00013846"/>
    <w:rsid w:val="00013FF7"/>
    <w:rsid w:val="0001457A"/>
    <w:rsid w:val="00016D5B"/>
    <w:rsid w:val="0001701F"/>
    <w:rsid w:val="000174EF"/>
    <w:rsid w:val="00017CD6"/>
    <w:rsid w:val="00022204"/>
    <w:rsid w:val="00022EF5"/>
    <w:rsid w:val="00023D47"/>
    <w:rsid w:val="00024DC3"/>
    <w:rsid w:val="00030FE2"/>
    <w:rsid w:val="0003180A"/>
    <w:rsid w:val="00031F6B"/>
    <w:rsid w:val="00043041"/>
    <w:rsid w:val="00044818"/>
    <w:rsid w:val="000449F9"/>
    <w:rsid w:val="000473BC"/>
    <w:rsid w:val="0005150B"/>
    <w:rsid w:val="00053570"/>
    <w:rsid w:val="00053EEE"/>
    <w:rsid w:val="00055547"/>
    <w:rsid w:val="00057F66"/>
    <w:rsid w:val="00060146"/>
    <w:rsid w:val="000609E2"/>
    <w:rsid w:val="00060F07"/>
    <w:rsid w:val="000630CD"/>
    <w:rsid w:val="00067734"/>
    <w:rsid w:val="0007063D"/>
    <w:rsid w:val="00070B25"/>
    <w:rsid w:val="000733D7"/>
    <w:rsid w:val="00074E17"/>
    <w:rsid w:val="0007621A"/>
    <w:rsid w:val="00076B37"/>
    <w:rsid w:val="00077494"/>
    <w:rsid w:val="00085374"/>
    <w:rsid w:val="00086535"/>
    <w:rsid w:val="000937EB"/>
    <w:rsid w:val="000942EE"/>
    <w:rsid w:val="0009628C"/>
    <w:rsid w:val="000972A8"/>
    <w:rsid w:val="000A1100"/>
    <w:rsid w:val="000A243B"/>
    <w:rsid w:val="000A46FB"/>
    <w:rsid w:val="000A5039"/>
    <w:rsid w:val="000A5EDA"/>
    <w:rsid w:val="000B23F1"/>
    <w:rsid w:val="000B398E"/>
    <w:rsid w:val="000B5012"/>
    <w:rsid w:val="000B5710"/>
    <w:rsid w:val="000B6B9A"/>
    <w:rsid w:val="000B7D24"/>
    <w:rsid w:val="000C0BC1"/>
    <w:rsid w:val="000C1311"/>
    <w:rsid w:val="000C38CD"/>
    <w:rsid w:val="000C4444"/>
    <w:rsid w:val="000C4C71"/>
    <w:rsid w:val="000C4C84"/>
    <w:rsid w:val="000D0C1B"/>
    <w:rsid w:val="000D24E6"/>
    <w:rsid w:val="000D66C3"/>
    <w:rsid w:val="000D7250"/>
    <w:rsid w:val="000D7742"/>
    <w:rsid w:val="000E36D6"/>
    <w:rsid w:val="000E52B3"/>
    <w:rsid w:val="000E75D7"/>
    <w:rsid w:val="000F093B"/>
    <w:rsid w:val="000F23A5"/>
    <w:rsid w:val="000F77A7"/>
    <w:rsid w:val="001013E4"/>
    <w:rsid w:val="0010440D"/>
    <w:rsid w:val="0010576D"/>
    <w:rsid w:val="0010646A"/>
    <w:rsid w:val="00111930"/>
    <w:rsid w:val="001133D5"/>
    <w:rsid w:val="00117055"/>
    <w:rsid w:val="00123AD8"/>
    <w:rsid w:val="001245E2"/>
    <w:rsid w:val="00124890"/>
    <w:rsid w:val="00125AB3"/>
    <w:rsid w:val="0013235B"/>
    <w:rsid w:val="00132452"/>
    <w:rsid w:val="001328D9"/>
    <w:rsid w:val="001343FC"/>
    <w:rsid w:val="00135AF5"/>
    <w:rsid w:val="0013603F"/>
    <w:rsid w:val="00136642"/>
    <w:rsid w:val="001441C8"/>
    <w:rsid w:val="00144EA6"/>
    <w:rsid w:val="001472AA"/>
    <w:rsid w:val="001473AC"/>
    <w:rsid w:val="00153EDA"/>
    <w:rsid w:val="0015772C"/>
    <w:rsid w:val="00161C54"/>
    <w:rsid w:val="0016219B"/>
    <w:rsid w:val="0016429A"/>
    <w:rsid w:val="0017140E"/>
    <w:rsid w:val="001760B5"/>
    <w:rsid w:val="0017658F"/>
    <w:rsid w:val="0017698D"/>
    <w:rsid w:val="00181B27"/>
    <w:rsid w:val="00182235"/>
    <w:rsid w:val="00182325"/>
    <w:rsid w:val="001830E8"/>
    <w:rsid w:val="00183CFD"/>
    <w:rsid w:val="00184C6A"/>
    <w:rsid w:val="001861DC"/>
    <w:rsid w:val="001863CA"/>
    <w:rsid w:val="00186586"/>
    <w:rsid w:val="00187710"/>
    <w:rsid w:val="00187A5C"/>
    <w:rsid w:val="00187AD4"/>
    <w:rsid w:val="001900E1"/>
    <w:rsid w:val="001927C4"/>
    <w:rsid w:val="001932A0"/>
    <w:rsid w:val="00193A47"/>
    <w:rsid w:val="0019433D"/>
    <w:rsid w:val="0019451A"/>
    <w:rsid w:val="00196348"/>
    <w:rsid w:val="00196D71"/>
    <w:rsid w:val="001A29FD"/>
    <w:rsid w:val="001A3CA0"/>
    <w:rsid w:val="001A6DB9"/>
    <w:rsid w:val="001B1630"/>
    <w:rsid w:val="001B1681"/>
    <w:rsid w:val="001B2430"/>
    <w:rsid w:val="001B3C20"/>
    <w:rsid w:val="001B4C0F"/>
    <w:rsid w:val="001B6004"/>
    <w:rsid w:val="001B7333"/>
    <w:rsid w:val="001C0DF6"/>
    <w:rsid w:val="001C24FE"/>
    <w:rsid w:val="001C4903"/>
    <w:rsid w:val="001C4F02"/>
    <w:rsid w:val="001C534A"/>
    <w:rsid w:val="001C6D6C"/>
    <w:rsid w:val="001C7D87"/>
    <w:rsid w:val="001D27F6"/>
    <w:rsid w:val="001D52BD"/>
    <w:rsid w:val="001D6119"/>
    <w:rsid w:val="001D68C5"/>
    <w:rsid w:val="001E1A97"/>
    <w:rsid w:val="001E5EB8"/>
    <w:rsid w:val="001E6E76"/>
    <w:rsid w:val="001F0555"/>
    <w:rsid w:val="001F15E6"/>
    <w:rsid w:val="001F3B9A"/>
    <w:rsid w:val="0020249E"/>
    <w:rsid w:val="002057C5"/>
    <w:rsid w:val="00205906"/>
    <w:rsid w:val="00205B5D"/>
    <w:rsid w:val="00206241"/>
    <w:rsid w:val="0022442F"/>
    <w:rsid w:val="00225704"/>
    <w:rsid w:val="00225A55"/>
    <w:rsid w:val="00240366"/>
    <w:rsid w:val="00240AC0"/>
    <w:rsid w:val="00252982"/>
    <w:rsid w:val="00257A40"/>
    <w:rsid w:val="00257AA9"/>
    <w:rsid w:val="00261EB0"/>
    <w:rsid w:val="002639D1"/>
    <w:rsid w:val="00264200"/>
    <w:rsid w:val="00264305"/>
    <w:rsid w:val="00266CD0"/>
    <w:rsid w:val="00270CD3"/>
    <w:rsid w:val="0027163F"/>
    <w:rsid w:val="00272A12"/>
    <w:rsid w:val="00273D05"/>
    <w:rsid w:val="00281B2F"/>
    <w:rsid w:val="002824FF"/>
    <w:rsid w:val="00283E74"/>
    <w:rsid w:val="0028419A"/>
    <w:rsid w:val="002843B0"/>
    <w:rsid w:val="00284DDE"/>
    <w:rsid w:val="0029031D"/>
    <w:rsid w:val="002928B4"/>
    <w:rsid w:val="00292DA8"/>
    <w:rsid w:val="002A0B24"/>
    <w:rsid w:val="002A361E"/>
    <w:rsid w:val="002A53DB"/>
    <w:rsid w:val="002A5D08"/>
    <w:rsid w:val="002A679A"/>
    <w:rsid w:val="002B06CA"/>
    <w:rsid w:val="002B2329"/>
    <w:rsid w:val="002B2F5C"/>
    <w:rsid w:val="002B55DC"/>
    <w:rsid w:val="002B6697"/>
    <w:rsid w:val="002C2D52"/>
    <w:rsid w:val="002C6EDB"/>
    <w:rsid w:val="002D06F4"/>
    <w:rsid w:val="002D1081"/>
    <w:rsid w:val="002D315A"/>
    <w:rsid w:val="002D45B5"/>
    <w:rsid w:val="002D64BE"/>
    <w:rsid w:val="002E1097"/>
    <w:rsid w:val="002E2558"/>
    <w:rsid w:val="002E69E0"/>
    <w:rsid w:val="002F56B3"/>
    <w:rsid w:val="002F56B7"/>
    <w:rsid w:val="00304DFC"/>
    <w:rsid w:val="00310F15"/>
    <w:rsid w:val="00316FA2"/>
    <w:rsid w:val="00320ED4"/>
    <w:rsid w:val="003245E3"/>
    <w:rsid w:val="0032691A"/>
    <w:rsid w:val="00327D98"/>
    <w:rsid w:val="00330042"/>
    <w:rsid w:val="00330B91"/>
    <w:rsid w:val="00332A25"/>
    <w:rsid w:val="00334FC4"/>
    <w:rsid w:val="00336B58"/>
    <w:rsid w:val="00336C7F"/>
    <w:rsid w:val="00340C05"/>
    <w:rsid w:val="003415CE"/>
    <w:rsid w:val="00342D93"/>
    <w:rsid w:val="00347970"/>
    <w:rsid w:val="0035147B"/>
    <w:rsid w:val="0035719D"/>
    <w:rsid w:val="003616E8"/>
    <w:rsid w:val="00361C7F"/>
    <w:rsid w:val="00361E2D"/>
    <w:rsid w:val="00364483"/>
    <w:rsid w:val="0036493B"/>
    <w:rsid w:val="00364C49"/>
    <w:rsid w:val="00365C25"/>
    <w:rsid w:val="003668A9"/>
    <w:rsid w:val="00367B92"/>
    <w:rsid w:val="00373D7B"/>
    <w:rsid w:val="0037601E"/>
    <w:rsid w:val="003776A0"/>
    <w:rsid w:val="00377D28"/>
    <w:rsid w:val="00382B4D"/>
    <w:rsid w:val="00382B5A"/>
    <w:rsid w:val="00382B7D"/>
    <w:rsid w:val="003866F4"/>
    <w:rsid w:val="00387871"/>
    <w:rsid w:val="00387B14"/>
    <w:rsid w:val="00390C30"/>
    <w:rsid w:val="003919C5"/>
    <w:rsid w:val="003932C6"/>
    <w:rsid w:val="00397B08"/>
    <w:rsid w:val="003A0700"/>
    <w:rsid w:val="003A1875"/>
    <w:rsid w:val="003A1D47"/>
    <w:rsid w:val="003A27B2"/>
    <w:rsid w:val="003A3449"/>
    <w:rsid w:val="003A453E"/>
    <w:rsid w:val="003A7185"/>
    <w:rsid w:val="003A7507"/>
    <w:rsid w:val="003A7687"/>
    <w:rsid w:val="003B3CEE"/>
    <w:rsid w:val="003B72EB"/>
    <w:rsid w:val="003B78EE"/>
    <w:rsid w:val="003B79B7"/>
    <w:rsid w:val="003C09BC"/>
    <w:rsid w:val="003C17E1"/>
    <w:rsid w:val="003D6526"/>
    <w:rsid w:val="003D683B"/>
    <w:rsid w:val="003D72CA"/>
    <w:rsid w:val="003E03C9"/>
    <w:rsid w:val="003E196E"/>
    <w:rsid w:val="003E2C2C"/>
    <w:rsid w:val="003E53EE"/>
    <w:rsid w:val="003F0D53"/>
    <w:rsid w:val="003F29C8"/>
    <w:rsid w:val="003F4F5B"/>
    <w:rsid w:val="003F6C22"/>
    <w:rsid w:val="004033D2"/>
    <w:rsid w:val="00407D70"/>
    <w:rsid w:val="0041139C"/>
    <w:rsid w:val="00411FD0"/>
    <w:rsid w:val="0041571A"/>
    <w:rsid w:val="00415F6D"/>
    <w:rsid w:val="0041736E"/>
    <w:rsid w:val="00417574"/>
    <w:rsid w:val="0042182F"/>
    <w:rsid w:val="004252AC"/>
    <w:rsid w:val="00426B9E"/>
    <w:rsid w:val="004305E2"/>
    <w:rsid w:val="00434315"/>
    <w:rsid w:val="00436698"/>
    <w:rsid w:val="00440873"/>
    <w:rsid w:val="00441938"/>
    <w:rsid w:val="0044417D"/>
    <w:rsid w:val="00444282"/>
    <w:rsid w:val="00450E08"/>
    <w:rsid w:val="00452CC8"/>
    <w:rsid w:val="00454F87"/>
    <w:rsid w:val="004550CA"/>
    <w:rsid w:val="004601E8"/>
    <w:rsid w:val="0047117E"/>
    <w:rsid w:val="00471683"/>
    <w:rsid w:val="00472205"/>
    <w:rsid w:val="0047342F"/>
    <w:rsid w:val="00474880"/>
    <w:rsid w:val="00475709"/>
    <w:rsid w:val="004766D0"/>
    <w:rsid w:val="00480059"/>
    <w:rsid w:val="004836DF"/>
    <w:rsid w:val="00483E58"/>
    <w:rsid w:val="00486CE2"/>
    <w:rsid w:val="00486DF5"/>
    <w:rsid w:val="00487220"/>
    <w:rsid w:val="004900F4"/>
    <w:rsid w:val="004903CB"/>
    <w:rsid w:val="00492A00"/>
    <w:rsid w:val="00492CE6"/>
    <w:rsid w:val="00493DE3"/>
    <w:rsid w:val="00495740"/>
    <w:rsid w:val="004A4BD5"/>
    <w:rsid w:val="004A529D"/>
    <w:rsid w:val="004A5D1D"/>
    <w:rsid w:val="004A60F2"/>
    <w:rsid w:val="004A7564"/>
    <w:rsid w:val="004B27A3"/>
    <w:rsid w:val="004B28ED"/>
    <w:rsid w:val="004B3702"/>
    <w:rsid w:val="004B4F74"/>
    <w:rsid w:val="004B6D62"/>
    <w:rsid w:val="004B73C3"/>
    <w:rsid w:val="004B7D32"/>
    <w:rsid w:val="004C104F"/>
    <w:rsid w:val="004C1CB9"/>
    <w:rsid w:val="004C1D0E"/>
    <w:rsid w:val="004C6295"/>
    <w:rsid w:val="004D1711"/>
    <w:rsid w:val="004D206E"/>
    <w:rsid w:val="004D28C2"/>
    <w:rsid w:val="004D4687"/>
    <w:rsid w:val="004D4894"/>
    <w:rsid w:val="004D6A1F"/>
    <w:rsid w:val="004D7480"/>
    <w:rsid w:val="004E0597"/>
    <w:rsid w:val="004E4249"/>
    <w:rsid w:val="004E5A3F"/>
    <w:rsid w:val="004E6DFB"/>
    <w:rsid w:val="004F0DD7"/>
    <w:rsid w:val="004F21FF"/>
    <w:rsid w:val="004F3968"/>
    <w:rsid w:val="00504682"/>
    <w:rsid w:val="005070F7"/>
    <w:rsid w:val="005073A3"/>
    <w:rsid w:val="005130C9"/>
    <w:rsid w:val="005147EF"/>
    <w:rsid w:val="00517C4D"/>
    <w:rsid w:val="0052127B"/>
    <w:rsid w:val="00521879"/>
    <w:rsid w:val="00525923"/>
    <w:rsid w:val="0052664B"/>
    <w:rsid w:val="00527F33"/>
    <w:rsid w:val="00532236"/>
    <w:rsid w:val="005323D0"/>
    <w:rsid w:val="005336CA"/>
    <w:rsid w:val="00534DDA"/>
    <w:rsid w:val="005433DB"/>
    <w:rsid w:val="005436DF"/>
    <w:rsid w:val="00544DBE"/>
    <w:rsid w:val="00550528"/>
    <w:rsid w:val="005524AA"/>
    <w:rsid w:val="005543AC"/>
    <w:rsid w:val="0055654E"/>
    <w:rsid w:val="005568BE"/>
    <w:rsid w:val="00560E71"/>
    <w:rsid w:val="00561408"/>
    <w:rsid w:val="00563509"/>
    <w:rsid w:val="005640DD"/>
    <w:rsid w:val="0056500C"/>
    <w:rsid w:val="00565B14"/>
    <w:rsid w:val="00566B92"/>
    <w:rsid w:val="00570273"/>
    <w:rsid w:val="005705AC"/>
    <w:rsid w:val="00572A2F"/>
    <w:rsid w:val="00572C16"/>
    <w:rsid w:val="00573F5D"/>
    <w:rsid w:val="00582DF4"/>
    <w:rsid w:val="0058559F"/>
    <w:rsid w:val="00586B83"/>
    <w:rsid w:val="00590CDA"/>
    <w:rsid w:val="005973E2"/>
    <w:rsid w:val="00597F5F"/>
    <w:rsid w:val="005A0EBB"/>
    <w:rsid w:val="005A2169"/>
    <w:rsid w:val="005A4A42"/>
    <w:rsid w:val="005A643E"/>
    <w:rsid w:val="005A6C35"/>
    <w:rsid w:val="005B0201"/>
    <w:rsid w:val="005B675B"/>
    <w:rsid w:val="005C0011"/>
    <w:rsid w:val="005C051F"/>
    <w:rsid w:val="005C0BC2"/>
    <w:rsid w:val="005C1113"/>
    <w:rsid w:val="005C1E60"/>
    <w:rsid w:val="005C2FA1"/>
    <w:rsid w:val="005C3907"/>
    <w:rsid w:val="005C7514"/>
    <w:rsid w:val="005D278F"/>
    <w:rsid w:val="005D6E37"/>
    <w:rsid w:val="005D7EF1"/>
    <w:rsid w:val="005E014F"/>
    <w:rsid w:val="005E242C"/>
    <w:rsid w:val="005E58E9"/>
    <w:rsid w:val="005F0086"/>
    <w:rsid w:val="005F5E13"/>
    <w:rsid w:val="0060068B"/>
    <w:rsid w:val="006006B1"/>
    <w:rsid w:val="00600B22"/>
    <w:rsid w:val="0060389B"/>
    <w:rsid w:val="00606D3A"/>
    <w:rsid w:val="00612D61"/>
    <w:rsid w:val="00613D07"/>
    <w:rsid w:val="006155D7"/>
    <w:rsid w:val="006236AD"/>
    <w:rsid w:val="006266F0"/>
    <w:rsid w:val="00626C16"/>
    <w:rsid w:val="006279C2"/>
    <w:rsid w:val="00630535"/>
    <w:rsid w:val="00631124"/>
    <w:rsid w:val="00631934"/>
    <w:rsid w:val="00633CCF"/>
    <w:rsid w:val="0063577A"/>
    <w:rsid w:val="00635EC1"/>
    <w:rsid w:val="00640D9F"/>
    <w:rsid w:val="00642571"/>
    <w:rsid w:val="00644EF6"/>
    <w:rsid w:val="00662848"/>
    <w:rsid w:val="00671483"/>
    <w:rsid w:val="006744BE"/>
    <w:rsid w:val="0067642F"/>
    <w:rsid w:val="006809A0"/>
    <w:rsid w:val="00685DE8"/>
    <w:rsid w:val="006915E8"/>
    <w:rsid w:val="006936F4"/>
    <w:rsid w:val="006A16C3"/>
    <w:rsid w:val="006A1BFF"/>
    <w:rsid w:val="006A245C"/>
    <w:rsid w:val="006A2BC5"/>
    <w:rsid w:val="006A4173"/>
    <w:rsid w:val="006A4373"/>
    <w:rsid w:val="006A6352"/>
    <w:rsid w:val="006A6FD8"/>
    <w:rsid w:val="006B4815"/>
    <w:rsid w:val="006B565D"/>
    <w:rsid w:val="006B5831"/>
    <w:rsid w:val="006B72A4"/>
    <w:rsid w:val="006C2A8A"/>
    <w:rsid w:val="006C2FA8"/>
    <w:rsid w:val="006C3237"/>
    <w:rsid w:val="006C3B37"/>
    <w:rsid w:val="006C53A4"/>
    <w:rsid w:val="006C6089"/>
    <w:rsid w:val="006C6B23"/>
    <w:rsid w:val="006D0316"/>
    <w:rsid w:val="006D0357"/>
    <w:rsid w:val="006D26C4"/>
    <w:rsid w:val="006D53E3"/>
    <w:rsid w:val="006D71C7"/>
    <w:rsid w:val="006E197D"/>
    <w:rsid w:val="006E1B8A"/>
    <w:rsid w:val="006E3A86"/>
    <w:rsid w:val="006E45A1"/>
    <w:rsid w:val="006E7E84"/>
    <w:rsid w:val="006F185B"/>
    <w:rsid w:val="006F2725"/>
    <w:rsid w:val="006F35B4"/>
    <w:rsid w:val="00701765"/>
    <w:rsid w:val="00701E58"/>
    <w:rsid w:val="0070566D"/>
    <w:rsid w:val="00707A6A"/>
    <w:rsid w:val="007118FC"/>
    <w:rsid w:val="007161FC"/>
    <w:rsid w:val="00716295"/>
    <w:rsid w:val="00720EE1"/>
    <w:rsid w:val="007221B0"/>
    <w:rsid w:val="007238E0"/>
    <w:rsid w:val="00724D6B"/>
    <w:rsid w:val="00725A3A"/>
    <w:rsid w:val="007272C4"/>
    <w:rsid w:val="007307A9"/>
    <w:rsid w:val="00735923"/>
    <w:rsid w:val="0074075A"/>
    <w:rsid w:val="00742DF1"/>
    <w:rsid w:val="00745F3C"/>
    <w:rsid w:val="00747DDD"/>
    <w:rsid w:val="007507E5"/>
    <w:rsid w:val="00752F7E"/>
    <w:rsid w:val="00760FD2"/>
    <w:rsid w:val="0076221F"/>
    <w:rsid w:val="007648E0"/>
    <w:rsid w:val="0076595C"/>
    <w:rsid w:val="00777EC5"/>
    <w:rsid w:val="00781C92"/>
    <w:rsid w:val="0078270B"/>
    <w:rsid w:val="00784721"/>
    <w:rsid w:val="00785BC6"/>
    <w:rsid w:val="00786CCC"/>
    <w:rsid w:val="00790258"/>
    <w:rsid w:val="007947EE"/>
    <w:rsid w:val="00794D67"/>
    <w:rsid w:val="00797468"/>
    <w:rsid w:val="007A2859"/>
    <w:rsid w:val="007A34F3"/>
    <w:rsid w:val="007A46BD"/>
    <w:rsid w:val="007A5AA8"/>
    <w:rsid w:val="007A6627"/>
    <w:rsid w:val="007A68E0"/>
    <w:rsid w:val="007A6963"/>
    <w:rsid w:val="007A78AB"/>
    <w:rsid w:val="007B25AD"/>
    <w:rsid w:val="007B2C4E"/>
    <w:rsid w:val="007B7543"/>
    <w:rsid w:val="007C44B3"/>
    <w:rsid w:val="007C4CEB"/>
    <w:rsid w:val="007C5930"/>
    <w:rsid w:val="007C5E84"/>
    <w:rsid w:val="007C63F1"/>
    <w:rsid w:val="007D0080"/>
    <w:rsid w:val="007D03AA"/>
    <w:rsid w:val="007D5F0C"/>
    <w:rsid w:val="007D6BDD"/>
    <w:rsid w:val="007E2393"/>
    <w:rsid w:val="007E2C68"/>
    <w:rsid w:val="007E3BA6"/>
    <w:rsid w:val="007E4D57"/>
    <w:rsid w:val="007F1763"/>
    <w:rsid w:val="007F409D"/>
    <w:rsid w:val="00802FB2"/>
    <w:rsid w:val="00803EEE"/>
    <w:rsid w:val="00804E0D"/>
    <w:rsid w:val="0080529D"/>
    <w:rsid w:val="00807BE1"/>
    <w:rsid w:val="00811392"/>
    <w:rsid w:val="00811A93"/>
    <w:rsid w:val="00814193"/>
    <w:rsid w:val="00815082"/>
    <w:rsid w:val="00816671"/>
    <w:rsid w:val="00817BDC"/>
    <w:rsid w:val="00826321"/>
    <w:rsid w:val="008311B4"/>
    <w:rsid w:val="008327F1"/>
    <w:rsid w:val="00832DA9"/>
    <w:rsid w:val="00837457"/>
    <w:rsid w:val="00845676"/>
    <w:rsid w:val="00847471"/>
    <w:rsid w:val="00850FC1"/>
    <w:rsid w:val="00851ADF"/>
    <w:rsid w:val="0085260C"/>
    <w:rsid w:val="00853E0C"/>
    <w:rsid w:val="00854757"/>
    <w:rsid w:val="008570BD"/>
    <w:rsid w:val="00857B47"/>
    <w:rsid w:val="008606A9"/>
    <w:rsid w:val="00861094"/>
    <w:rsid w:val="00862210"/>
    <w:rsid w:val="00862455"/>
    <w:rsid w:val="00862471"/>
    <w:rsid w:val="00864569"/>
    <w:rsid w:val="00871568"/>
    <w:rsid w:val="008715AB"/>
    <w:rsid w:val="0087205E"/>
    <w:rsid w:val="00872AFB"/>
    <w:rsid w:val="00877568"/>
    <w:rsid w:val="0088517C"/>
    <w:rsid w:val="008904E9"/>
    <w:rsid w:val="008909A8"/>
    <w:rsid w:val="008916C2"/>
    <w:rsid w:val="00892817"/>
    <w:rsid w:val="00892CCE"/>
    <w:rsid w:val="00894FD8"/>
    <w:rsid w:val="00895092"/>
    <w:rsid w:val="008A051D"/>
    <w:rsid w:val="008A0691"/>
    <w:rsid w:val="008A1BC0"/>
    <w:rsid w:val="008A1C44"/>
    <w:rsid w:val="008A3A79"/>
    <w:rsid w:val="008A59C4"/>
    <w:rsid w:val="008B1BBD"/>
    <w:rsid w:val="008B3831"/>
    <w:rsid w:val="008B4752"/>
    <w:rsid w:val="008B48A6"/>
    <w:rsid w:val="008B4930"/>
    <w:rsid w:val="008B4C74"/>
    <w:rsid w:val="008B5921"/>
    <w:rsid w:val="008B5A29"/>
    <w:rsid w:val="008C0578"/>
    <w:rsid w:val="008C11EB"/>
    <w:rsid w:val="008C28AA"/>
    <w:rsid w:val="008C3560"/>
    <w:rsid w:val="008D1077"/>
    <w:rsid w:val="008D4C2F"/>
    <w:rsid w:val="008D5785"/>
    <w:rsid w:val="008E04B6"/>
    <w:rsid w:val="008E14D1"/>
    <w:rsid w:val="008E1C01"/>
    <w:rsid w:val="008E2E66"/>
    <w:rsid w:val="008E7E3F"/>
    <w:rsid w:val="008F0CD2"/>
    <w:rsid w:val="008F1577"/>
    <w:rsid w:val="008F1B46"/>
    <w:rsid w:val="008F3C98"/>
    <w:rsid w:val="008F436C"/>
    <w:rsid w:val="008F5EE2"/>
    <w:rsid w:val="008F67FA"/>
    <w:rsid w:val="0090138E"/>
    <w:rsid w:val="0090444F"/>
    <w:rsid w:val="009047A0"/>
    <w:rsid w:val="009064FD"/>
    <w:rsid w:val="00906B81"/>
    <w:rsid w:val="00910088"/>
    <w:rsid w:val="0091155A"/>
    <w:rsid w:val="00911946"/>
    <w:rsid w:val="0091201F"/>
    <w:rsid w:val="009124F9"/>
    <w:rsid w:val="009134EB"/>
    <w:rsid w:val="00923430"/>
    <w:rsid w:val="009236DE"/>
    <w:rsid w:val="00923BF9"/>
    <w:rsid w:val="00924A77"/>
    <w:rsid w:val="00925D18"/>
    <w:rsid w:val="0093284B"/>
    <w:rsid w:val="00932C58"/>
    <w:rsid w:val="00932E04"/>
    <w:rsid w:val="009334C8"/>
    <w:rsid w:val="00934199"/>
    <w:rsid w:val="009355ED"/>
    <w:rsid w:val="00936230"/>
    <w:rsid w:val="00937EAA"/>
    <w:rsid w:val="0094011E"/>
    <w:rsid w:val="0094211D"/>
    <w:rsid w:val="00943846"/>
    <w:rsid w:val="00943BC0"/>
    <w:rsid w:val="009466B1"/>
    <w:rsid w:val="0094766A"/>
    <w:rsid w:val="0095075C"/>
    <w:rsid w:val="0095553E"/>
    <w:rsid w:val="00955AE8"/>
    <w:rsid w:val="00957A01"/>
    <w:rsid w:val="009649DE"/>
    <w:rsid w:val="00965444"/>
    <w:rsid w:val="00966CC3"/>
    <w:rsid w:val="009724D1"/>
    <w:rsid w:val="00972757"/>
    <w:rsid w:val="00975325"/>
    <w:rsid w:val="009758EA"/>
    <w:rsid w:val="00977464"/>
    <w:rsid w:val="009778E9"/>
    <w:rsid w:val="00980DC7"/>
    <w:rsid w:val="00982D5A"/>
    <w:rsid w:val="00982D83"/>
    <w:rsid w:val="00983637"/>
    <w:rsid w:val="00983FF0"/>
    <w:rsid w:val="00985C08"/>
    <w:rsid w:val="00987F7F"/>
    <w:rsid w:val="00991D1D"/>
    <w:rsid w:val="009924C1"/>
    <w:rsid w:val="00995208"/>
    <w:rsid w:val="00995733"/>
    <w:rsid w:val="0099778B"/>
    <w:rsid w:val="009A0825"/>
    <w:rsid w:val="009A1BCE"/>
    <w:rsid w:val="009A2D83"/>
    <w:rsid w:val="009A38B1"/>
    <w:rsid w:val="009B0B4E"/>
    <w:rsid w:val="009B33AA"/>
    <w:rsid w:val="009B43CE"/>
    <w:rsid w:val="009B5A5E"/>
    <w:rsid w:val="009C2050"/>
    <w:rsid w:val="009C44D7"/>
    <w:rsid w:val="009C4AB0"/>
    <w:rsid w:val="009D4EDC"/>
    <w:rsid w:val="009D5C40"/>
    <w:rsid w:val="009D69F0"/>
    <w:rsid w:val="009D6EC9"/>
    <w:rsid w:val="009E67BD"/>
    <w:rsid w:val="009F0E99"/>
    <w:rsid w:val="009F29F4"/>
    <w:rsid w:val="009F35C4"/>
    <w:rsid w:val="009F3C23"/>
    <w:rsid w:val="009F659E"/>
    <w:rsid w:val="00A00A62"/>
    <w:rsid w:val="00A073AF"/>
    <w:rsid w:val="00A07538"/>
    <w:rsid w:val="00A07668"/>
    <w:rsid w:val="00A07A18"/>
    <w:rsid w:val="00A10213"/>
    <w:rsid w:val="00A12C3E"/>
    <w:rsid w:val="00A14686"/>
    <w:rsid w:val="00A146B3"/>
    <w:rsid w:val="00A174D6"/>
    <w:rsid w:val="00A211B9"/>
    <w:rsid w:val="00A219C2"/>
    <w:rsid w:val="00A21B0C"/>
    <w:rsid w:val="00A249C0"/>
    <w:rsid w:val="00A25884"/>
    <w:rsid w:val="00A25CED"/>
    <w:rsid w:val="00A3395A"/>
    <w:rsid w:val="00A33C69"/>
    <w:rsid w:val="00A40DDD"/>
    <w:rsid w:val="00A41328"/>
    <w:rsid w:val="00A42F98"/>
    <w:rsid w:val="00A46D4B"/>
    <w:rsid w:val="00A526D7"/>
    <w:rsid w:val="00A549E0"/>
    <w:rsid w:val="00A600C0"/>
    <w:rsid w:val="00A60925"/>
    <w:rsid w:val="00A62141"/>
    <w:rsid w:val="00A63E72"/>
    <w:rsid w:val="00A65205"/>
    <w:rsid w:val="00A65AB4"/>
    <w:rsid w:val="00A65DAA"/>
    <w:rsid w:val="00A671D9"/>
    <w:rsid w:val="00A6723C"/>
    <w:rsid w:val="00A67B64"/>
    <w:rsid w:val="00A7622C"/>
    <w:rsid w:val="00A8033C"/>
    <w:rsid w:val="00A8373B"/>
    <w:rsid w:val="00A83A1A"/>
    <w:rsid w:val="00A84C5B"/>
    <w:rsid w:val="00A84C65"/>
    <w:rsid w:val="00A85C53"/>
    <w:rsid w:val="00A865CB"/>
    <w:rsid w:val="00A86E43"/>
    <w:rsid w:val="00A8726A"/>
    <w:rsid w:val="00A905D8"/>
    <w:rsid w:val="00A9163E"/>
    <w:rsid w:val="00A9389E"/>
    <w:rsid w:val="00A9628E"/>
    <w:rsid w:val="00A97055"/>
    <w:rsid w:val="00A97D3B"/>
    <w:rsid w:val="00AA201F"/>
    <w:rsid w:val="00AA259D"/>
    <w:rsid w:val="00AA7E82"/>
    <w:rsid w:val="00AB203F"/>
    <w:rsid w:val="00AB398B"/>
    <w:rsid w:val="00AB6853"/>
    <w:rsid w:val="00AB7B52"/>
    <w:rsid w:val="00AC0593"/>
    <w:rsid w:val="00AC0DEF"/>
    <w:rsid w:val="00AC0E07"/>
    <w:rsid w:val="00AC26E5"/>
    <w:rsid w:val="00AC26F6"/>
    <w:rsid w:val="00AC3A0C"/>
    <w:rsid w:val="00AC47A6"/>
    <w:rsid w:val="00AC5C91"/>
    <w:rsid w:val="00AC6B72"/>
    <w:rsid w:val="00AC785B"/>
    <w:rsid w:val="00AD0D57"/>
    <w:rsid w:val="00AD2535"/>
    <w:rsid w:val="00AD7027"/>
    <w:rsid w:val="00AD7D33"/>
    <w:rsid w:val="00AE0A16"/>
    <w:rsid w:val="00AE37C6"/>
    <w:rsid w:val="00AE3DE7"/>
    <w:rsid w:val="00AE410D"/>
    <w:rsid w:val="00AE5C77"/>
    <w:rsid w:val="00AE6FBD"/>
    <w:rsid w:val="00AF0CFE"/>
    <w:rsid w:val="00AF17CE"/>
    <w:rsid w:val="00AF1DD5"/>
    <w:rsid w:val="00AF24A3"/>
    <w:rsid w:val="00AF2BC4"/>
    <w:rsid w:val="00AF2F23"/>
    <w:rsid w:val="00AF4452"/>
    <w:rsid w:val="00AF45DD"/>
    <w:rsid w:val="00AF63C1"/>
    <w:rsid w:val="00AF703C"/>
    <w:rsid w:val="00B02F58"/>
    <w:rsid w:val="00B059E6"/>
    <w:rsid w:val="00B07803"/>
    <w:rsid w:val="00B07A7F"/>
    <w:rsid w:val="00B1039E"/>
    <w:rsid w:val="00B10CB9"/>
    <w:rsid w:val="00B11BBA"/>
    <w:rsid w:val="00B12DE1"/>
    <w:rsid w:val="00B16192"/>
    <w:rsid w:val="00B171B0"/>
    <w:rsid w:val="00B21F84"/>
    <w:rsid w:val="00B239C7"/>
    <w:rsid w:val="00B24880"/>
    <w:rsid w:val="00B27244"/>
    <w:rsid w:val="00B273CE"/>
    <w:rsid w:val="00B32294"/>
    <w:rsid w:val="00B323D0"/>
    <w:rsid w:val="00B32E29"/>
    <w:rsid w:val="00B37501"/>
    <w:rsid w:val="00B40E67"/>
    <w:rsid w:val="00B42C0A"/>
    <w:rsid w:val="00B4707E"/>
    <w:rsid w:val="00B50929"/>
    <w:rsid w:val="00B568B6"/>
    <w:rsid w:val="00B56CEF"/>
    <w:rsid w:val="00B56F8C"/>
    <w:rsid w:val="00B57214"/>
    <w:rsid w:val="00B57243"/>
    <w:rsid w:val="00B633D8"/>
    <w:rsid w:val="00B63A59"/>
    <w:rsid w:val="00B63DCD"/>
    <w:rsid w:val="00B643EF"/>
    <w:rsid w:val="00B64DF6"/>
    <w:rsid w:val="00B64E1D"/>
    <w:rsid w:val="00B66BE6"/>
    <w:rsid w:val="00B74CAA"/>
    <w:rsid w:val="00B764CF"/>
    <w:rsid w:val="00B77BD0"/>
    <w:rsid w:val="00B871EC"/>
    <w:rsid w:val="00B92A51"/>
    <w:rsid w:val="00B92AB4"/>
    <w:rsid w:val="00B9329C"/>
    <w:rsid w:val="00B96162"/>
    <w:rsid w:val="00B961A6"/>
    <w:rsid w:val="00B977DD"/>
    <w:rsid w:val="00BA5701"/>
    <w:rsid w:val="00BB0137"/>
    <w:rsid w:val="00BB1E0F"/>
    <w:rsid w:val="00BB2484"/>
    <w:rsid w:val="00BB29B0"/>
    <w:rsid w:val="00BB4351"/>
    <w:rsid w:val="00BB4F95"/>
    <w:rsid w:val="00BB5298"/>
    <w:rsid w:val="00BB54FC"/>
    <w:rsid w:val="00BB79D5"/>
    <w:rsid w:val="00BB7FB4"/>
    <w:rsid w:val="00BC2C51"/>
    <w:rsid w:val="00BC4E07"/>
    <w:rsid w:val="00BC7397"/>
    <w:rsid w:val="00BC7653"/>
    <w:rsid w:val="00BD6F9A"/>
    <w:rsid w:val="00BD7CF0"/>
    <w:rsid w:val="00BE0612"/>
    <w:rsid w:val="00BE065F"/>
    <w:rsid w:val="00BE10E9"/>
    <w:rsid w:val="00BE4EB6"/>
    <w:rsid w:val="00BE5439"/>
    <w:rsid w:val="00BE5A08"/>
    <w:rsid w:val="00BE73A8"/>
    <w:rsid w:val="00BF1DCD"/>
    <w:rsid w:val="00BF43B1"/>
    <w:rsid w:val="00BF5704"/>
    <w:rsid w:val="00C012A8"/>
    <w:rsid w:val="00C0132A"/>
    <w:rsid w:val="00C036AD"/>
    <w:rsid w:val="00C04448"/>
    <w:rsid w:val="00C05AC4"/>
    <w:rsid w:val="00C13672"/>
    <w:rsid w:val="00C2284F"/>
    <w:rsid w:val="00C22E53"/>
    <w:rsid w:val="00C2325C"/>
    <w:rsid w:val="00C26234"/>
    <w:rsid w:val="00C2656D"/>
    <w:rsid w:val="00C271CF"/>
    <w:rsid w:val="00C27562"/>
    <w:rsid w:val="00C27EBA"/>
    <w:rsid w:val="00C30A14"/>
    <w:rsid w:val="00C30F75"/>
    <w:rsid w:val="00C32779"/>
    <w:rsid w:val="00C32FC6"/>
    <w:rsid w:val="00C3409C"/>
    <w:rsid w:val="00C37578"/>
    <w:rsid w:val="00C41B22"/>
    <w:rsid w:val="00C44193"/>
    <w:rsid w:val="00C46424"/>
    <w:rsid w:val="00C47B21"/>
    <w:rsid w:val="00C516F6"/>
    <w:rsid w:val="00C53A21"/>
    <w:rsid w:val="00C558B8"/>
    <w:rsid w:val="00C56AB3"/>
    <w:rsid w:val="00C57F1D"/>
    <w:rsid w:val="00C64D75"/>
    <w:rsid w:val="00C7291A"/>
    <w:rsid w:val="00C73249"/>
    <w:rsid w:val="00C74FA7"/>
    <w:rsid w:val="00C75A6A"/>
    <w:rsid w:val="00C75C81"/>
    <w:rsid w:val="00C7752A"/>
    <w:rsid w:val="00C823E2"/>
    <w:rsid w:val="00C82E3A"/>
    <w:rsid w:val="00C834E1"/>
    <w:rsid w:val="00C858E7"/>
    <w:rsid w:val="00C85939"/>
    <w:rsid w:val="00C874FC"/>
    <w:rsid w:val="00C87737"/>
    <w:rsid w:val="00C90734"/>
    <w:rsid w:val="00C9126F"/>
    <w:rsid w:val="00C93312"/>
    <w:rsid w:val="00C93AB4"/>
    <w:rsid w:val="00C947D7"/>
    <w:rsid w:val="00C965FE"/>
    <w:rsid w:val="00C96EB6"/>
    <w:rsid w:val="00CA0458"/>
    <w:rsid w:val="00CA08D3"/>
    <w:rsid w:val="00CA2F29"/>
    <w:rsid w:val="00CA3272"/>
    <w:rsid w:val="00CA7B5D"/>
    <w:rsid w:val="00CB2030"/>
    <w:rsid w:val="00CB2E85"/>
    <w:rsid w:val="00CB5444"/>
    <w:rsid w:val="00CB6554"/>
    <w:rsid w:val="00CB707B"/>
    <w:rsid w:val="00CB7AA1"/>
    <w:rsid w:val="00CC0291"/>
    <w:rsid w:val="00CC0623"/>
    <w:rsid w:val="00CC0FDD"/>
    <w:rsid w:val="00CC1132"/>
    <w:rsid w:val="00CC25EA"/>
    <w:rsid w:val="00CC46BF"/>
    <w:rsid w:val="00CC6FDD"/>
    <w:rsid w:val="00CC7AB2"/>
    <w:rsid w:val="00CD2666"/>
    <w:rsid w:val="00CD4A66"/>
    <w:rsid w:val="00CD74FC"/>
    <w:rsid w:val="00CD7D48"/>
    <w:rsid w:val="00CE209F"/>
    <w:rsid w:val="00CE2850"/>
    <w:rsid w:val="00CE4D4E"/>
    <w:rsid w:val="00CF0B3E"/>
    <w:rsid w:val="00CF0CDF"/>
    <w:rsid w:val="00CF39D9"/>
    <w:rsid w:val="00CF7F1F"/>
    <w:rsid w:val="00D004C1"/>
    <w:rsid w:val="00D024D8"/>
    <w:rsid w:val="00D027A9"/>
    <w:rsid w:val="00D03063"/>
    <w:rsid w:val="00D112C7"/>
    <w:rsid w:val="00D15F32"/>
    <w:rsid w:val="00D162B7"/>
    <w:rsid w:val="00D171B0"/>
    <w:rsid w:val="00D212B1"/>
    <w:rsid w:val="00D216E0"/>
    <w:rsid w:val="00D21AE6"/>
    <w:rsid w:val="00D220C8"/>
    <w:rsid w:val="00D22D6C"/>
    <w:rsid w:val="00D26257"/>
    <w:rsid w:val="00D31392"/>
    <w:rsid w:val="00D32F3A"/>
    <w:rsid w:val="00D349C1"/>
    <w:rsid w:val="00D36DF4"/>
    <w:rsid w:val="00D37AE0"/>
    <w:rsid w:val="00D4352B"/>
    <w:rsid w:val="00D43657"/>
    <w:rsid w:val="00D43D6C"/>
    <w:rsid w:val="00D445A6"/>
    <w:rsid w:val="00D46F68"/>
    <w:rsid w:val="00D52D92"/>
    <w:rsid w:val="00D53D65"/>
    <w:rsid w:val="00D609EC"/>
    <w:rsid w:val="00D623E8"/>
    <w:rsid w:val="00D63D6D"/>
    <w:rsid w:val="00D63EDA"/>
    <w:rsid w:val="00D71362"/>
    <w:rsid w:val="00D714C6"/>
    <w:rsid w:val="00D75F77"/>
    <w:rsid w:val="00D76E64"/>
    <w:rsid w:val="00D83E7A"/>
    <w:rsid w:val="00D8602E"/>
    <w:rsid w:val="00D860B0"/>
    <w:rsid w:val="00D8743B"/>
    <w:rsid w:val="00D94B19"/>
    <w:rsid w:val="00D95E08"/>
    <w:rsid w:val="00DA2688"/>
    <w:rsid w:val="00DA3034"/>
    <w:rsid w:val="00DA3203"/>
    <w:rsid w:val="00DA4D7B"/>
    <w:rsid w:val="00DA514D"/>
    <w:rsid w:val="00DB4D72"/>
    <w:rsid w:val="00DB6203"/>
    <w:rsid w:val="00DC022D"/>
    <w:rsid w:val="00DC1294"/>
    <w:rsid w:val="00DC1D10"/>
    <w:rsid w:val="00DC5E4B"/>
    <w:rsid w:val="00DC7B58"/>
    <w:rsid w:val="00DD02D7"/>
    <w:rsid w:val="00DD197B"/>
    <w:rsid w:val="00DD2164"/>
    <w:rsid w:val="00DD4767"/>
    <w:rsid w:val="00DD7DDE"/>
    <w:rsid w:val="00DE0F23"/>
    <w:rsid w:val="00DE4EEB"/>
    <w:rsid w:val="00DE6A4F"/>
    <w:rsid w:val="00DE7E0A"/>
    <w:rsid w:val="00DF05F7"/>
    <w:rsid w:val="00DF29CF"/>
    <w:rsid w:val="00DF4EFD"/>
    <w:rsid w:val="00DF52C3"/>
    <w:rsid w:val="00DF55BA"/>
    <w:rsid w:val="00DF6355"/>
    <w:rsid w:val="00DF6FFF"/>
    <w:rsid w:val="00E001D3"/>
    <w:rsid w:val="00E02FAD"/>
    <w:rsid w:val="00E04833"/>
    <w:rsid w:val="00E11EE8"/>
    <w:rsid w:val="00E131B9"/>
    <w:rsid w:val="00E167A2"/>
    <w:rsid w:val="00E201DD"/>
    <w:rsid w:val="00E205FE"/>
    <w:rsid w:val="00E229EF"/>
    <w:rsid w:val="00E232E1"/>
    <w:rsid w:val="00E23899"/>
    <w:rsid w:val="00E25E1B"/>
    <w:rsid w:val="00E26C63"/>
    <w:rsid w:val="00E274DF"/>
    <w:rsid w:val="00E27740"/>
    <w:rsid w:val="00E3404E"/>
    <w:rsid w:val="00E3440A"/>
    <w:rsid w:val="00E34A6C"/>
    <w:rsid w:val="00E37122"/>
    <w:rsid w:val="00E45684"/>
    <w:rsid w:val="00E46BFB"/>
    <w:rsid w:val="00E5253C"/>
    <w:rsid w:val="00E537B7"/>
    <w:rsid w:val="00E545B3"/>
    <w:rsid w:val="00E554EE"/>
    <w:rsid w:val="00E55911"/>
    <w:rsid w:val="00E56034"/>
    <w:rsid w:val="00E57189"/>
    <w:rsid w:val="00E57493"/>
    <w:rsid w:val="00E60F40"/>
    <w:rsid w:val="00E61759"/>
    <w:rsid w:val="00E61983"/>
    <w:rsid w:val="00E61D25"/>
    <w:rsid w:val="00E67556"/>
    <w:rsid w:val="00E67B86"/>
    <w:rsid w:val="00E67FC4"/>
    <w:rsid w:val="00E70585"/>
    <w:rsid w:val="00E77A1C"/>
    <w:rsid w:val="00E81ABD"/>
    <w:rsid w:val="00E81FD6"/>
    <w:rsid w:val="00E83726"/>
    <w:rsid w:val="00E8445B"/>
    <w:rsid w:val="00E86382"/>
    <w:rsid w:val="00E87535"/>
    <w:rsid w:val="00E9411A"/>
    <w:rsid w:val="00E94968"/>
    <w:rsid w:val="00E94E35"/>
    <w:rsid w:val="00EA392E"/>
    <w:rsid w:val="00EA3FB1"/>
    <w:rsid w:val="00EA4B51"/>
    <w:rsid w:val="00EA4D88"/>
    <w:rsid w:val="00EA6B2B"/>
    <w:rsid w:val="00EB0B8B"/>
    <w:rsid w:val="00EB193A"/>
    <w:rsid w:val="00EB259E"/>
    <w:rsid w:val="00EB5514"/>
    <w:rsid w:val="00EB68F6"/>
    <w:rsid w:val="00EB6926"/>
    <w:rsid w:val="00EC3375"/>
    <w:rsid w:val="00EC4241"/>
    <w:rsid w:val="00EC5B0D"/>
    <w:rsid w:val="00EC5FEA"/>
    <w:rsid w:val="00EC65E7"/>
    <w:rsid w:val="00EC6BF1"/>
    <w:rsid w:val="00EC7290"/>
    <w:rsid w:val="00ED0508"/>
    <w:rsid w:val="00ED3550"/>
    <w:rsid w:val="00ED7DC3"/>
    <w:rsid w:val="00EE1606"/>
    <w:rsid w:val="00EE7A15"/>
    <w:rsid w:val="00EF1C8A"/>
    <w:rsid w:val="00EF49A3"/>
    <w:rsid w:val="00EF535E"/>
    <w:rsid w:val="00EF5762"/>
    <w:rsid w:val="00EF6139"/>
    <w:rsid w:val="00F00F4F"/>
    <w:rsid w:val="00F0399F"/>
    <w:rsid w:val="00F03AE9"/>
    <w:rsid w:val="00F043EE"/>
    <w:rsid w:val="00F04BFB"/>
    <w:rsid w:val="00F05416"/>
    <w:rsid w:val="00F05694"/>
    <w:rsid w:val="00F06526"/>
    <w:rsid w:val="00F073F3"/>
    <w:rsid w:val="00F07E6C"/>
    <w:rsid w:val="00F112B8"/>
    <w:rsid w:val="00F11561"/>
    <w:rsid w:val="00F1343C"/>
    <w:rsid w:val="00F135FB"/>
    <w:rsid w:val="00F17A78"/>
    <w:rsid w:val="00F17C13"/>
    <w:rsid w:val="00F20B6C"/>
    <w:rsid w:val="00F20DD4"/>
    <w:rsid w:val="00F21CCE"/>
    <w:rsid w:val="00F227CA"/>
    <w:rsid w:val="00F2287D"/>
    <w:rsid w:val="00F306AA"/>
    <w:rsid w:val="00F329E0"/>
    <w:rsid w:val="00F34369"/>
    <w:rsid w:val="00F36F07"/>
    <w:rsid w:val="00F37989"/>
    <w:rsid w:val="00F37DE4"/>
    <w:rsid w:val="00F40574"/>
    <w:rsid w:val="00F407D3"/>
    <w:rsid w:val="00F41004"/>
    <w:rsid w:val="00F42098"/>
    <w:rsid w:val="00F4277C"/>
    <w:rsid w:val="00F42B41"/>
    <w:rsid w:val="00F43099"/>
    <w:rsid w:val="00F431B0"/>
    <w:rsid w:val="00F47E49"/>
    <w:rsid w:val="00F50129"/>
    <w:rsid w:val="00F5043A"/>
    <w:rsid w:val="00F50DBD"/>
    <w:rsid w:val="00F5626D"/>
    <w:rsid w:val="00F57448"/>
    <w:rsid w:val="00F60786"/>
    <w:rsid w:val="00F63C4B"/>
    <w:rsid w:val="00F63F4A"/>
    <w:rsid w:val="00F65667"/>
    <w:rsid w:val="00F67012"/>
    <w:rsid w:val="00F71F65"/>
    <w:rsid w:val="00F76F79"/>
    <w:rsid w:val="00F777BC"/>
    <w:rsid w:val="00F7782D"/>
    <w:rsid w:val="00F8162B"/>
    <w:rsid w:val="00F829AC"/>
    <w:rsid w:val="00F82B31"/>
    <w:rsid w:val="00F84E72"/>
    <w:rsid w:val="00F877F0"/>
    <w:rsid w:val="00F87BBB"/>
    <w:rsid w:val="00FA0D71"/>
    <w:rsid w:val="00FA5D6E"/>
    <w:rsid w:val="00FA6696"/>
    <w:rsid w:val="00FA695A"/>
    <w:rsid w:val="00FB19FA"/>
    <w:rsid w:val="00FB2372"/>
    <w:rsid w:val="00FB3002"/>
    <w:rsid w:val="00FC0372"/>
    <w:rsid w:val="00FC2671"/>
    <w:rsid w:val="00FC3259"/>
    <w:rsid w:val="00FC6E01"/>
    <w:rsid w:val="00FC73CB"/>
    <w:rsid w:val="00FD16B2"/>
    <w:rsid w:val="00FD324A"/>
    <w:rsid w:val="00FD3FEC"/>
    <w:rsid w:val="00FD4F4F"/>
    <w:rsid w:val="00FD673C"/>
    <w:rsid w:val="00FE05E3"/>
    <w:rsid w:val="00FE0BB9"/>
    <w:rsid w:val="00FE10FB"/>
    <w:rsid w:val="00FE1ACD"/>
    <w:rsid w:val="00FE282F"/>
    <w:rsid w:val="00FF27BF"/>
    <w:rsid w:val="00FF440E"/>
    <w:rsid w:val="00FF4AF2"/>
    <w:rsid w:val="00FF6A1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uiPriority w:val="59"/>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aliases w:val="note bp,Car Car Char Car Char Car Car Char Car Char Char,Car Car Car Car Car Car Car Car Char Car Car Char Car Car Car Char Car Char Char Char,ftref,SUPERS,16 Point"/>
    <w:basedOn w:val="Policepardfaut"/>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MCHIP_list paragraph,List Paragraph1,Recommendation,Bioforce zListePuce"/>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character" w:customStyle="1" w:styleId="acopre">
    <w:name w:val="acopre"/>
    <w:basedOn w:val="Policepardfaut"/>
    <w:rsid w:val="00336B58"/>
  </w:style>
  <w:style w:type="character" w:styleId="Accentuation">
    <w:name w:val="Emphasis"/>
    <w:basedOn w:val="Policepardfaut"/>
    <w:uiPriority w:val="20"/>
    <w:qFormat/>
    <w:rsid w:val="00336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01639244">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karnavy.gerard@expertisefranc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adou.dieng@expertisefran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undjirou.sow@expertisefranc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mine.kaba@expertisefranc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5FC5-B532-450A-ABEA-0B9742A7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12</Pages>
  <Words>4271</Words>
  <Characters>24054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28269</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Lorène FLORENTIN</cp:lastModifiedBy>
  <cp:revision>58</cp:revision>
  <cp:lastPrinted>2021-06-30T13:23:00Z</cp:lastPrinted>
  <dcterms:created xsi:type="dcterms:W3CDTF">2021-06-15T11:54:00Z</dcterms:created>
  <dcterms:modified xsi:type="dcterms:W3CDTF">2021-07-05T08:24:00Z</dcterms:modified>
</cp:coreProperties>
</file>