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2EAA1" w14:textId="77777777" w:rsidR="009572C6" w:rsidRDefault="005C66CC">
      <w:pPr>
        <w:spacing w:after="80"/>
        <w:jc w:val="center"/>
      </w:pPr>
      <w:r>
        <w:rPr>
          <w:b/>
          <w:bCs/>
          <w:color w:val="1F4E5F"/>
          <w:sz w:val="32"/>
          <w:szCs w:val="32"/>
        </w:rPr>
        <w:t>TERMES DE RÉFÉRENCE (TdR)</w:t>
      </w:r>
    </w:p>
    <w:p w14:paraId="694FFFEC" w14:textId="77777777" w:rsidR="009572C6" w:rsidRDefault="005C66CC">
      <w:pPr>
        <w:spacing w:after="80"/>
        <w:jc w:val="center"/>
      </w:pPr>
      <w:r>
        <w:rPr>
          <w:i/>
          <w:iCs/>
          <w:sz w:val="26"/>
          <w:szCs w:val="26"/>
        </w:rPr>
        <w:t>« Appui au renforcement des Halles à Marée en Algérie »</w:t>
      </w:r>
    </w:p>
    <w:p w14:paraId="3D19EDFB" w14:textId="7EFBBE96" w:rsidR="009572C6" w:rsidRDefault="005C66CC">
      <w:pPr>
        <w:spacing w:after="240"/>
        <w:jc w:val="center"/>
      </w:pPr>
      <w:r>
        <w:rPr>
          <w:color w:val="595959"/>
          <w:sz w:val="20"/>
          <w:szCs w:val="20"/>
        </w:rPr>
        <w:t xml:space="preserve">Programme Économie Bleue, Pêche et Aquaculture – </w:t>
      </w:r>
      <w:r w:rsidR="008C3989">
        <w:rPr>
          <w:color w:val="595959"/>
          <w:sz w:val="20"/>
          <w:szCs w:val="20"/>
        </w:rPr>
        <w:t>Algérie | Mis</w:t>
      </w:r>
      <w:r>
        <w:rPr>
          <w:color w:val="595959"/>
          <w:sz w:val="20"/>
          <w:szCs w:val="20"/>
        </w:rPr>
        <w:t xml:space="preserve"> en œuvre par CAPA </w:t>
      </w:r>
      <w:r w:rsidR="008C3989">
        <w:rPr>
          <w:color w:val="595959"/>
          <w:sz w:val="20"/>
          <w:szCs w:val="20"/>
        </w:rPr>
        <w:t>Consortium | Juin</w:t>
      </w:r>
      <w:r>
        <w:rPr>
          <w:color w:val="595959"/>
          <w:sz w:val="20"/>
          <w:szCs w:val="20"/>
        </w:rPr>
        <w:t xml:space="preserve"> 2026 – Mars </w:t>
      </w:r>
      <w:r w:rsidR="008C3989">
        <w:rPr>
          <w:color w:val="595959"/>
          <w:sz w:val="20"/>
          <w:szCs w:val="20"/>
        </w:rPr>
        <w:t>2027 | 92</w:t>
      </w:r>
      <w:r>
        <w:rPr>
          <w:color w:val="595959"/>
          <w:sz w:val="20"/>
          <w:szCs w:val="20"/>
        </w:rPr>
        <w:t xml:space="preserve"> H/</w:t>
      </w:r>
      <w:r w:rsidR="008C3989">
        <w:rPr>
          <w:color w:val="595959"/>
          <w:sz w:val="20"/>
          <w:szCs w:val="20"/>
        </w:rPr>
        <w:t>J | Expert</w:t>
      </w:r>
      <w:r>
        <w:rPr>
          <w:color w:val="595959"/>
          <w:sz w:val="20"/>
          <w:szCs w:val="20"/>
        </w:rPr>
        <w:t xml:space="preserve"> individuel (lot unique)</w:t>
      </w:r>
    </w:p>
    <w:p w14:paraId="26CB8995" w14:textId="77777777" w:rsidR="009572C6" w:rsidRDefault="005C66CC">
      <w:pPr>
        <w:pStyle w:val="Titre1"/>
      </w:pPr>
      <w:r>
        <w:t>1. Contexte</w:t>
      </w:r>
    </w:p>
    <w:p w14:paraId="6969D2F9" w14:textId="77777777" w:rsidR="009572C6" w:rsidRDefault="005C66CC">
      <w:pPr>
        <w:pStyle w:val="Titre2"/>
      </w:pPr>
      <w:r>
        <w:t>1.1</w:t>
      </w:r>
      <w:r>
        <w:t xml:space="preserve"> Présentation du programme</w:t>
      </w:r>
    </w:p>
    <w:p w14:paraId="1BCF7CFE" w14:textId="77777777" w:rsidR="009572C6" w:rsidRDefault="005C66CC">
      <w:pPr>
        <w:spacing w:after="160"/>
      </w:pPr>
      <w:r>
        <w:t>L'objectif général du projet « Économie Bleue, Pêche et Aquaculture » est de contribuer au développement économique de l'Algérie en développant durablement l'Économie Bleue (EB), notamment dans le secteur de la pêche et de l'aqua</w:t>
      </w:r>
      <w:r>
        <w:t>culture, en cohérence avec les actions que le Gouvernement algérien sera amené à lancer au titre de la mise en œuvre de la Stratégie Nationale pour l'Économie Bleue (SNEB-2030).</w:t>
      </w:r>
    </w:p>
    <w:p w14:paraId="01FACA49" w14:textId="77777777" w:rsidR="009572C6" w:rsidRDefault="005C66CC">
      <w:pPr>
        <w:spacing w:after="160"/>
      </w:pPr>
      <w:r>
        <w:t>Le projet vise en particulier l'activité A.2.2.1 « Appui au développement de l</w:t>
      </w:r>
      <w:r>
        <w:t>a chaîne de valeur de la pêche artisanale », liée au résultat R2.2 « Création de valeur ajoutée accrue et tracée dans le secteur de la pêche ». La logique d'intervention s'articule autour des actions phares de la SNEB, avec une attention particulière porté</w:t>
      </w:r>
      <w:r>
        <w:t>e au développement des activités de pêche et d'aquaculture le long des plus de 2 000 km de bande côtière du pays. Trois objectifs spécifiques structurent l'intervention :</w:t>
      </w:r>
    </w:p>
    <w:p w14:paraId="0D2EF3DE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OS1 – Soutien à la création d'emplois, à l'investissement et à la diversification des</w:t>
      </w:r>
      <w:r>
        <w:t xml:space="preserve"> services (aquaculture, planification des espaces maritimes, innovation).</w:t>
      </w:r>
    </w:p>
    <w:p w14:paraId="5D4E389B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OS2 – Amélioration des revenus et des conditions de travail des pêcheurs artisans.</w:t>
      </w:r>
    </w:p>
    <w:p w14:paraId="1CDE828B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OS3 – Renforcement des capacités pour le suivi, le contrôle et la gestion de la pêche, en réponse a</w:t>
      </w:r>
      <w:r>
        <w:t>ux exigences des instances régionales (CGPM, CICTA).</w:t>
      </w:r>
    </w:p>
    <w:p w14:paraId="1F42DCCC" w14:textId="77777777" w:rsidR="009572C6" w:rsidRDefault="005C66CC">
      <w:pPr>
        <w:pStyle w:val="Titre2"/>
      </w:pPr>
      <w:r>
        <w:t>1.2 Rôle stratégique des Halles à Marée</w:t>
      </w:r>
    </w:p>
    <w:p w14:paraId="631D50D4" w14:textId="77777777" w:rsidR="009572C6" w:rsidRDefault="005C66CC">
      <w:pPr>
        <w:spacing w:after="160"/>
      </w:pPr>
      <w:r>
        <w:t>Les halles à marée constituent la clé de voûte de la chaîne de valeur halieutique. Lieu de la première vente des produits de la mer, elles conditionnent la traçabi</w:t>
      </w:r>
      <w:r>
        <w:t>lité, la qualité sanitaire et le suivi statistique de la production.</w:t>
      </w:r>
    </w:p>
    <w:p w14:paraId="76B2C33B" w14:textId="77777777" w:rsidR="009572C6" w:rsidRDefault="005C66CC">
      <w:pPr>
        <w:spacing w:after="160"/>
      </w:pPr>
      <w:r>
        <w:t xml:space="preserve">Différents programmes de construction et de gestion de halles à marée ont été initiés en Algérie : un programme centralisé (budget MPPH) portant sur 12 halles (6 réalisées, 7 budgétisées </w:t>
      </w:r>
      <w:r>
        <w:t>mais gelées de 2015 à 2021), un programme décentralisé (budget DPA) portant également sur 12 halles (5 réalisées, 4 budgétisées et gelées sur la même période), et le programme Minapêche (budget Min. Transport) portant sur 4 halles, intégralement réalisées.</w:t>
      </w:r>
    </w:p>
    <w:p w14:paraId="42F8B60E" w14:textId="77777777" w:rsidR="009572C6" w:rsidRDefault="005C66CC">
      <w:pPr>
        <w:spacing w:after="160"/>
      </w:pPr>
      <w:r>
        <w:t>Six halles pilotes ont été sélectionnées à l'issue d'un processus de diagnostic et de concertation mené en 2023-2024 : Ténès et Zemmouri (Région Centre), Salamandre et Honaine (Région Ouest — Honaine ayant remplacé Ghazaouet), Annaba et Béjaïa (Région Est</w:t>
      </w:r>
      <w:r>
        <w:t>).</w:t>
      </w:r>
    </w:p>
    <w:p w14:paraId="5A6D083B" w14:textId="77777777" w:rsidR="009572C6" w:rsidRDefault="005C66CC">
      <w:pPr>
        <w:spacing w:after="160"/>
      </w:pPr>
      <w:r>
        <w:t>Sur le plan réglementaire, le Décret exécutif n° 12-111 du 6 mars 2012 définit les halles à marée comme des marchés de gros des produits de la pêche. Sa révision en cours par le Ministère du Commerce prévoit leur requalification en « lieu de première ve</w:t>
      </w:r>
      <w:r>
        <w:t>nte ». D'autres décrets sont également en cours de révision, notamment le Décret exécutif 14-165 du 26 mai 2014 sur les mandataires-grossistes (changement de statut du mandataire-commissionnaire) et le Décret exécutif n° 04-189 du 7 juillet 2004 sur les me</w:t>
      </w:r>
      <w:r>
        <w:t>sures d'hygiène et de salubrité.</w:t>
      </w:r>
    </w:p>
    <w:p w14:paraId="23E1B4C6" w14:textId="77777777" w:rsidR="009572C6" w:rsidRDefault="005C66CC">
      <w:pPr>
        <w:spacing w:after="160"/>
      </w:pPr>
      <w:r>
        <w:t>Les diagnostics réalisés en mai-juin 2024 ont confirmé les dysfonctionnements structurels suivants 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9572C6" w14:paraId="206CE463" w14:textId="77777777">
        <w:trPr>
          <w:tblHeader/>
        </w:trPr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E0D4A4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Domaine</w:t>
            </w:r>
          </w:p>
        </w:tc>
        <w:tc>
          <w:tcPr>
            <w:tcW w:w="5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A60B5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Dysfonctionnements constatés</w:t>
            </w:r>
          </w:p>
        </w:tc>
      </w:tr>
      <w:tr w:rsidR="009572C6" w14:paraId="558158C4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825B45" w14:textId="77777777" w:rsidR="009572C6" w:rsidRDefault="005C66CC">
            <w:r>
              <w:rPr>
                <w:sz w:val="20"/>
                <w:szCs w:val="20"/>
              </w:rPr>
              <w:t>Heures de vente</w:t>
            </w:r>
          </w:p>
        </w:tc>
        <w:tc>
          <w:tcPr>
            <w:tcW w:w="5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42D78" w14:textId="77777777" w:rsidR="009572C6" w:rsidRDefault="005C66CC">
            <w:r>
              <w:rPr>
                <w:sz w:val="20"/>
                <w:szCs w:val="20"/>
              </w:rPr>
              <w:t>Absence d'horaires fixés selon les saisons et les types de métier.</w:t>
            </w:r>
          </w:p>
        </w:tc>
      </w:tr>
      <w:tr w:rsidR="009572C6" w14:paraId="2EE3DE55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3740ED" w14:textId="77777777" w:rsidR="009572C6" w:rsidRDefault="005C66CC">
            <w:r>
              <w:rPr>
                <w:sz w:val="20"/>
                <w:szCs w:val="20"/>
              </w:rPr>
              <w:t>Pesée</w:t>
            </w:r>
          </w:p>
        </w:tc>
        <w:tc>
          <w:tcPr>
            <w:tcW w:w="5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2A941" w14:textId="77777777" w:rsidR="009572C6" w:rsidRDefault="005C66CC">
            <w:r>
              <w:rPr>
                <w:sz w:val="20"/>
                <w:szCs w:val="20"/>
              </w:rPr>
              <w:t>Non systématique ; lorsqu'elle a lieu, effectuée par le mandataire sans contrôle de la halle.</w:t>
            </w:r>
          </w:p>
        </w:tc>
      </w:tr>
      <w:tr w:rsidR="009572C6" w14:paraId="33A1D86E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D533CC" w14:textId="77777777" w:rsidR="009572C6" w:rsidRDefault="005C66CC">
            <w:r>
              <w:rPr>
                <w:sz w:val="20"/>
                <w:szCs w:val="20"/>
              </w:rPr>
              <w:t>Mode de vente</w:t>
            </w:r>
          </w:p>
        </w:tc>
        <w:tc>
          <w:tcPr>
            <w:tcW w:w="5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311FE7" w14:textId="77777777" w:rsidR="009572C6" w:rsidRDefault="005C66CC">
            <w:r>
              <w:rPr>
                <w:sz w:val="20"/>
                <w:szCs w:val="20"/>
              </w:rPr>
              <w:t>Ventes de gré à gré fréquentes, sans enregistrement systématique des données (navire, espèces, tailles, poids, prix).</w:t>
            </w:r>
          </w:p>
        </w:tc>
      </w:tr>
      <w:tr w:rsidR="009572C6" w14:paraId="4075EB93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8C302" w14:textId="77777777" w:rsidR="009572C6" w:rsidRDefault="005C66CC">
            <w:r>
              <w:rPr>
                <w:sz w:val="20"/>
                <w:szCs w:val="20"/>
              </w:rPr>
              <w:t>Traçabilité</w:t>
            </w:r>
          </w:p>
        </w:tc>
        <w:tc>
          <w:tcPr>
            <w:tcW w:w="5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5E15C4" w14:textId="77777777" w:rsidR="009572C6" w:rsidRDefault="005C66CC">
            <w:r>
              <w:rPr>
                <w:sz w:val="20"/>
                <w:szCs w:val="20"/>
              </w:rPr>
              <w:t xml:space="preserve">Documents </w:t>
            </w:r>
            <w:r>
              <w:rPr>
                <w:sz w:val="20"/>
                <w:szCs w:val="20"/>
              </w:rPr>
              <w:t>de traçabilité absents ou non systématiques.</w:t>
            </w:r>
          </w:p>
        </w:tc>
      </w:tr>
      <w:tr w:rsidR="009572C6" w14:paraId="57EBCF27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DB4B7C" w14:textId="77777777" w:rsidR="009572C6" w:rsidRDefault="005C66CC">
            <w:r>
              <w:rPr>
                <w:sz w:val="20"/>
                <w:szCs w:val="20"/>
              </w:rPr>
              <w:t>Hygiène</w:t>
            </w:r>
          </w:p>
        </w:tc>
        <w:tc>
          <w:tcPr>
            <w:tcW w:w="5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B88CC" w14:textId="77777777" w:rsidR="009572C6" w:rsidRDefault="005C66CC">
            <w:r>
              <w:rPr>
                <w:sz w:val="20"/>
                <w:szCs w:val="20"/>
              </w:rPr>
              <w:t>Absence d'agrément sanitaire et de Plan de Maîtrise Sanitaire (PMS).</w:t>
            </w:r>
          </w:p>
        </w:tc>
      </w:tr>
      <w:tr w:rsidR="009572C6" w14:paraId="0D932A5F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76EB3B" w14:textId="77777777" w:rsidR="009572C6" w:rsidRDefault="005C66CC">
            <w:r>
              <w:rPr>
                <w:sz w:val="20"/>
                <w:szCs w:val="20"/>
              </w:rPr>
              <w:t>Identification des acheteurs</w:t>
            </w:r>
          </w:p>
        </w:tc>
        <w:tc>
          <w:tcPr>
            <w:tcW w:w="5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AE4AA" w14:textId="77777777" w:rsidR="009572C6" w:rsidRDefault="005C66CC">
            <w:r>
              <w:rPr>
                <w:sz w:val="20"/>
                <w:szCs w:val="20"/>
              </w:rPr>
              <w:t>Défaut d'inscription au Registre du Commerce des acteurs commerciaux.</w:t>
            </w:r>
          </w:p>
        </w:tc>
      </w:tr>
      <w:tr w:rsidR="009572C6" w14:paraId="5A1F2117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D4578" w14:textId="77777777" w:rsidR="009572C6" w:rsidRDefault="005C66CC">
            <w:r>
              <w:rPr>
                <w:sz w:val="20"/>
                <w:szCs w:val="20"/>
              </w:rPr>
              <w:t>Gestion des halles</w:t>
            </w:r>
          </w:p>
        </w:tc>
        <w:tc>
          <w:tcPr>
            <w:tcW w:w="5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EEE6F6" w14:textId="77777777" w:rsidR="009572C6" w:rsidRDefault="005C66CC">
            <w:r>
              <w:rPr>
                <w:sz w:val="20"/>
                <w:szCs w:val="20"/>
              </w:rPr>
              <w:t xml:space="preserve">Absence de </w:t>
            </w:r>
            <w:r>
              <w:rPr>
                <w:sz w:val="20"/>
                <w:szCs w:val="20"/>
              </w:rPr>
              <w:t>plan de gestion adopté et mis en œuvre permettant un bon fonctionnement de la halle.</w:t>
            </w:r>
          </w:p>
        </w:tc>
      </w:tr>
    </w:tbl>
    <w:p w14:paraId="77455242" w14:textId="77777777" w:rsidR="009572C6" w:rsidRDefault="005C66CC">
      <w:pPr>
        <w:spacing w:before="120" w:after="160"/>
      </w:pPr>
      <w:r>
        <w:t>Les halles à marée avaient déjà bénéficié, par le passé, d'un appui technique via le programme DIVECO 2, qui avait identifié quatre sites pilotes (Alger, Béni Saf, Annaba</w:t>
      </w:r>
      <w:r>
        <w:t xml:space="preserve"> et Salamandre) et permis notamment la mise en place, par arrêté du wali territorialement compétent, du « Conseil de Concertation » comme organe consultatif en appui au gestionnaire de halle.</w:t>
      </w:r>
    </w:p>
    <w:p w14:paraId="3971A530" w14:textId="77777777" w:rsidR="009572C6" w:rsidRDefault="005C66CC">
      <w:pPr>
        <w:pStyle w:val="Titre2"/>
      </w:pPr>
      <w:r>
        <w:t>1.3 Actions déjà engagées et justification de la mission</w:t>
      </w:r>
    </w:p>
    <w:p w14:paraId="57DAFBFA" w14:textId="77777777" w:rsidR="009572C6" w:rsidRDefault="005C66CC">
      <w:pPr>
        <w:spacing w:after="160"/>
      </w:pPr>
      <w:r>
        <w:t xml:space="preserve">Depuis </w:t>
      </w:r>
      <w:r>
        <w:t>fin 2024, les actions structurantes suivantes ont été initiées dans le cadre du programme :</w:t>
      </w:r>
    </w:p>
    <w:p w14:paraId="070181FC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Co-rédaction et signature des règlements d'exploitation et intérieurs des halles à marée.</w:t>
      </w:r>
    </w:p>
    <w:p w14:paraId="5FE4640E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Diagnostics techniques des 6 halles pilotes par un Bureau d'Études Techniq</w:t>
      </w:r>
      <w:r>
        <w:t>ues et par l'ECT PMS.</w:t>
      </w:r>
    </w:p>
    <w:p w14:paraId="57DF602D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Programmation et lancement des travaux de réhabilitation et de fourniture d'équipements.</w:t>
      </w:r>
    </w:p>
    <w:p w14:paraId="2F797830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Formations HACCP et PMS pour les responsables, hygiénistes et services vétérinaires.</w:t>
      </w:r>
    </w:p>
    <w:p w14:paraId="62049B1C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Mise en œuvre des Plans de Maîtrise Sanitaire pour obtention</w:t>
      </w:r>
      <w:r>
        <w:t xml:space="preserve"> de l'agrément sanitaire.</w:t>
      </w:r>
    </w:p>
    <w:p w14:paraId="65BF5A8F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Formations théoriques des gestionnaires et régisseurs de 13 halles à marée.</w:t>
      </w:r>
    </w:p>
    <w:p w14:paraId="79021489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Conception du système Sitphal d'enregistrement, d'étiquetage et de traçabilité, et formation des utilisateurs.</w:t>
      </w:r>
    </w:p>
    <w:p w14:paraId="5FDABDE2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Campagnes de sensibilisation et de vulgaris</w:t>
      </w:r>
      <w:r>
        <w:t>ation auprès des acteurs des wilayas concernées.</w:t>
      </w:r>
    </w:p>
    <w:p w14:paraId="65B37984" w14:textId="77777777" w:rsidR="009572C6" w:rsidRDefault="005C66CC">
      <w:pPr>
        <w:spacing w:before="120" w:after="160"/>
      </w:pPr>
      <w:r>
        <w:t>Afin de consolider et pérenniser ces acquis, une mission d'accompagnement assurée par un expert international unique est nécessaire jusqu'en mars 2027.</w:t>
      </w:r>
    </w:p>
    <w:p w14:paraId="3149A4CE" w14:textId="77777777" w:rsidR="009572C6" w:rsidRDefault="005C66CC">
      <w:pPr>
        <w:pStyle w:val="Titre1"/>
      </w:pPr>
      <w:r>
        <w:t>2. Objectif Global et Résultats Attendus</w:t>
      </w:r>
    </w:p>
    <w:p w14:paraId="7144433B" w14:textId="77777777" w:rsidR="009572C6" w:rsidRDefault="005C66CC">
      <w:pPr>
        <w:pStyle w:val="Titre2"/>
      </w:pPr>
      <w:r>
        <w:t>2.1 Objectif d</w:t>
      </w:r>
      <w:r>
        <w:t>e la mission</w:t>
      </w:r>
    </w:p>
    <w:p w14:paraId="62D42AD0" w14:textId="77777777" w:rsidR="009572C6" w:rsidRDefault="005C66CC">
      <w:pPr>
        <w:spacing w:after="160"/>
      </w:pPr>
      <w:r>
        <w:t>D'ici mars 2027, les 6 halles à marée pilotes identifiées en Algérie sont pleinement opérationnelles, dotées d'un agrément sanitaire, d'un système de traçabilité fonctionnel (Sitphal), de règlements d'exploitation actualisés et d'un modèle éco</w:t>
      </w:r>
      <w:r>
        <w:t>nomique viable, contribuant à la sécurisation durable de la première vente des produits halieutiques.</w:t>
      </w:r>
    </w:p>
    <w:p w14:paraId="007B5B7D" w14:textId="77777777" w:rsidR="009572C6" w:rsidRDefault="005C66CC">
      <w:pPr>
        <w:pStyle w:val="Titre2"/>
      </w:pPr>
      <w:r>
        <w:t>2.2 Composantes, résultats attendus et livrables par axe</w:t>
      </w:r>
    </w:p>
    <w:p w14:paraId="1771696F" w14:textId="77777777" w:rsidR="009572C6" w:rsidRDefault="005C66CC">
      <w:pPr>
        <w:spacing w:after="160"/>
      </w:pPr>
      <w:r>
        <w:lastRenderedPageBreak/>
        <w:t>Les composantes de la mission sont structurées autour des 6 axes (objectifs) validés avec les par</w:t>
      </w:r>
      <w:r>
        <w:t>ties prenantes locales lors des diagnostics de mai-juin 2024, et confiées à l'expert international unique :</w:t>
      </w:r>
    </w:p>
    <w:p w14:paraId="74E68271" w14:textId="77777777" w:rsidR="009572C6" w:rsidRDefault="005C66CC">
      <w:pPr>
        <w:pStyle w:val="Titre2"/>
      </w:pPr>
      <w:r>
        <w:t>Axe 1 – Mise à niveau technique</w:t>
      </w:r>
    </w:p>
    <w:p w14:paraId="4A271A74" w14:textId="77777777" w:rsidR="009572C6" w:rsidRDefault="005C66CC">
      <w:pPr>
        <w:spacing w:after="160"/>
      </w:pPr>
      <w:r>
        <w:rPr>
          <w:b/>
          <w:bCs/>
        </w:rPr>
        <w:t>Composantes :</w:t>
      </w:r>
    </w:p>
    <w:p w14:paraId="592EBDDD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Suivi des appels d'offres et du choix des entreprises prestataires des chantiers de réhabilitation des</w:t>
      </w:r>
      <w:r>
        <w:t xml:space="preserve"> halles à marée pilotes et des équipements.</w:t>
      </w:r>
    </w:p>
    <w:p w14:paraId="7136AC70" w14:textId="77777777" w:rsidR="009572C6" w:rsidRDefault="005C66CC">
      <w:pPr>
        <w:spacing w:before="120" w:after="160"/>
      </w:pPr>
      <w:r>
        <w:rPr>
          <w:b/>
          <w:bCs/>
        </w:rPr>
        <w:t>Résultats attendus :</w:t>
      </w:r>
    </w:p>
    <w:p w14:paraId="598226C4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Les 6 halles à marée pilotes sont réhabilitées, équipées et pleinement opérationnelles dès 2026 ; d'autres halles entament leur processus de renforcement.</w:t>
      </w:r>
    </w:p>
    <w:p w14:paraId="71162490" w14:textId="77777777" w:rsidR="009572C6" w:rsidRDefault="005C66CC">
      <w:pPr>
        <w:spacing w:before="120" w:after="160"/>
      </w:pPr>
      <w:r>
        <w:rPr>
          <w:b/>
          <w:bCs/>
        </w:rPr>
        <w:t>Livrables :</w:t>
      </w:r>
    </w:p>
    <w:p w14:paraId="79858FB6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Rapports d'avancement de</w:t>
      </w:r>
      <w:r>
        <w:t>s chantiers de réhabilitation et d'équipement (intégrés aux rapports trimestriels).</w:t>
      </w:r>
    </w:p>
    <w:p w14:paraId="13E72C6F" w14:textId="77777777" w:rsidR="009572C6" w:rsidRDefault="005C66CC">
      <w:pPr>
        <w:pStyle w:val="Titre2"/>
      </w:pPr>
      <w:r>
        <w:t>Axe 2 – Ressources humaines</w:t>
      </w:r>
    </w:p>
    <w:p w14:paraId="26A066C8" w14:textId="77777777" w:rsidR="009572C6" w:rsidRDefault="005C66CC">
      <w:pPr>
        <w:spacing w:after="160"/>
      </w:pPr>
      <w:r>
        <w:rPr>
          <w:b/>
          <w:bCs/>
        </w:rPr>
        <w:t>Composantes :</w:t>
      </w:r>
    </w:p>
    <w:p w14:paraId="7293D2EE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Formations pratiques des gestionnaires et des régisseurs des halles à marée.</w:t>
      </w:r>
    </w:p>
    <w:p w14:paraId="2C0FF138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Accompagnement des campagnes de sensibilisation auprè</w:t>
      </w:r>
      <w:r>
        <w:t>s des opérateurs des halles à marée.</w:t>
      </w:r>
    </w:p>
    <w:p w14:paraId="7AA5B573" w14:textId="77777777" w:rsidR="009572C6" w:rsidRDefault="005C66CC">
      <w:pPr>
        <w:spacing w:before="120" w:after="160"/>
      </w:pPr>
      <w:r>
        <w:rPr>
          <w:b/>
          <w:bCs/>
        </w:rPr>
        <w:t>Résultats attendus :</w:t>
      </w:r>
    </w:p>
    <w:p w14:paraId="422F0140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Les halles à marée sont dotées des moyens humains nécessaires pour assurer pleinement leur rôle de gestion au service de la filière.</w:t>
      </w:r>
    </w:p>
    <w:p w14:paraId="204FD37C" w14:textId="77777777" w:rsidR="009572C6" w:rsidRDefault="005C66CC">
      <w:pPr>
        <w:spacing w:before="120" w:after="160"/>
      </w:pPr>
      <w:r>
        <w:rPr>
          <w:b/>
          <w:bCs/>
        </w:rPr>
        <w:t>Livrables :</w:t>
      </w:r>
    </w:p>
    <w:p w14:paraId="317110B8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 xml:space="preserve">Bilans des formations (programmes, feuilles de </w:t>
      </w:r>
      <w:r>
        <w:t>présence, évaluations).</w:t>
      </w:r>
    </w:p>
    <w:p w14:paraId="599B200F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Programme et supports de sensibilisation et de vulgarisation.</w:t>
      </w:r>
    </w:p>
    <w:p w14:paraId="2F29C8A6" w14:textId="77777777" w:rsidR="009572C6" w:rsidRDefault="005C66CC">
      <w:pPr>
        <w:pStyle w:val="Titre2"/>
      </w:pPr>
      <w:r>
        <w:t>Axe 3 – Gestion des halles</w:t>
      </w:r>
    </w:p>
    <w:p w14:paraId="7103630A" w14:textId="77777777" w:rsidR="009572C6" w:rsidRDefault="005C66CC">
      <w:pPr>
        <w:spacing w:after="160"/>
      </w:pPr>
      <w:r>
        <w:rPr>
          <w:b/>
          <w:bCs/>
        </w:rPr>
        <w:t>Composantes :</w:t>
      </w:r>
    </w:p>
    <w:p w14:paraId="29FB7590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Ateliers de mise à jour des règlements d'exploitation et intérieurs ; réactivation des Conseils de Concertation.</w:t>
      </w:r>
    </w:p>
    <w:p w14:paraId="2ED9E3C4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Appui à l'organi</w:t>
      </w:r>
      <w:r>
        <w:t>sation d'un voyage d'étude pour une quinzaine de personnes issues des 6 halles pilotes, au niveau des halles à marée d'Espagne et du Portugal.</w:t>
      </w:r>
    </w:p>
    <w:p w14:paraId="7803907F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Audit des halles à marée renforcées pour vérifier leur bon fonctionnement et proposition de modèles économiques p</w:t>
      </w:r>
      <w:r>
        <w:t>ar halle.</w:t>
      </w:r>
    </w:p>
    <w:p w14:paraId="3BCB3E1D" w14:textId="77777777" w:rsidR="009572C6" w:rsidRDefault="005C66CC">
      <w:pPr>
        <w:spacing w:before="120" w:after="160"/>
      </w:pPr>
      <w:r>
        <w:rPr>
          <w:b/>
          <w:bCs/>
        </w:rPr>
        <w:t>Résultats attendus :</w:t>
      </w:r>
    </w:p>
    <w:p w14:paraId="7F1AC09D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Les règlements d'exploitation et intérieurs de toutes les halles sont révisés et signés ; les Conseils de Concertation sont réactivés.</w:t>
      </w:r>
    </w:p>
    <w:p w14:paraId="405C3E52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Le benchmark Espagne-Portugal est réalisé et ses bonnes pratiques sont appliquées.</w:t>
      </w:r>
    </w:p>
    <w:p w14:paraId="2DCFB039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Un rapp</w:t>
      </w:r>
      <w:r>
        <w:t>ort d'audit et un modèle économique viable sont produits pour chacune des 6 halles.</w:t>
      </w:r>
    </w:p>
    <w:p w14:paraId="13A84BC8" w14:textId="77777777" w:rsidR="009572C6" w:rsidRDefault="005C66CC">
      <w:pPr>
        <w:spacing w:before="120" w:after="160"/>
      </w:pPr>
      <w:r>
        <w:rPr>
          <w:b/>
          <w:bCs/>
        </w:rPr>
        <w:t>Livrables :</w:t>
      </w:r>
    </w:p>
    <w:p w14:paraId="3A6FFFAA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lastRenderedPageBreak/>
        <w:t>Règlements d'exploitation et intérieurs révisés (6 halles) et comptes-rendus des Conseils de Concertation.</w:t>
      </w:r>
    </w:p>
    <w:p w14:paraId="75AFE596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Rapport du voyage d'étude Espagne-Portugal et recomma</w:t>
      </w:r>
      <w:r>
        <w:t>ndations.</w:t>
      </w:r>
    </w:p>
    <w:p w14:paraId="78079A9C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Rapport d'audit des 6 halles renforcées.</w:t>
      </w:r>
    </w:p>
    <w:p w14:paraId="56C33AE5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Modèle économique pour chaque halle à marée.</w:t>
      </w:r>
    </w:p>
    <w:p w14:paraId="1AB75682" w14:textId="77777777" w:rsidR="009572C6" w:rsidRDefault="005C66CC">
      <w:pPr>
        <w:pStyle w:val="Titre2"/>
      </w:pPr>
      <w:r>
        <w:t>Axe 4 – Contexte sanitaire</w:t>
      </w:r>
    </w:p>
    <w:p w14:paraId="067E819C" w14:textId="77777777" w:rsidR="009572C6" w:rsidRDefault="005C66CC">
      <w:pPr>
        <w:spacing w:after="160"/>
      </w:pPr>
      <w:r>
        <w:rPr>
          <w:b/>
          <w:bCs/>
        </w:rPr>
        <w:t>Composantes :</w:t>
      </w:r>
    </w:p>
    <w:p w14:paraId="3E3F02FB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Mise en place des Plans de Maîtrise Sanitaire (PMS) dans les 6 halles pilotes.</w:t>
      </w:r>
    </w:p>
    <w:p w14:paraId="126231B3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 xml:space="preserve">Suivi de la conception et de la mise en </w:t>
      </w:r>
      <w:r>
        <w:t>œuvre de l'application « Boîte à outils PMS ».</w:t>
      </w:r>
    </w:p>
    <w:p w14:paraId="5C1963B0" w14:textId="77777777" w:rsidR="009572C6" w:rsidRDefault="005C66CC">
      <w:pPr>
        <w:spacing w:before="120" w:after="160"/>
      </w:pPr>
      <w:r>
        <w:rPr>
          <w:b/>
          <w:bCs/>
        </w:rPr>
        <w:t>Résultats attendus :</w:t>
      </w:r>
    </w:p>
    <w:p w14:paraId="5512319A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Les Plans de Maîtrise Sanitaire sont mis en œuvre et opérationnels dans les 6 halles.</w:t>
      </w:r>
    </w:p>
    <w:p w14:paraId="3605B28B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L'application « Boîte à outils PMS » est déployée et utilisée par les gestionnaires.</w:t>
      </w:r>
    </w:p>
    <w:p w14:paraId="139F50EC" w14:textId="77777777" w:rsidR="009572C6" w:rsidRDefault="005C66CC">
      <w:pPr>
        <w:spacing w:before="120" w:after="160"/>
      </w:pPr>
      <w:r>
        <w:rPr>
          <w:b/>
          <w:bCs/>
        </w:rPr>
        <w:t>Livrables :</w:t>
      </w:r>
    </w:p>
    <w:p w14:paraId="61F019B7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Plans</w:t>
      </w:r>
      <w:r>
        <w:t xml:space="preserve"> de Maîtrise Sanitaire finalisés et validés pour les 6 halles pilotes.</w:t>
      </w:r>
    </w:p>
    <w:p w14:paraId="53177339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Application « Boîte à outils PMS » opérationnelle et testée.</w:t>
      </w:r>
    </w:p>
    <w:p w14:paraId="45AC2135" w14:textId="77777777" w:rsidR="009572C6" w:rsidRDefault="005C66CC">
      <w:pPr>
        <w:pStyle w:val="Titre2"/>
      </w:pPr>
      <w:r>
        <w:t>Axe 5 – Cadre réglementaire</w:t>
      </w:r>
    </w:p>
    <w:p w14:paraId="7782BD60" w14:textId="77777777" w:rsidR="009572C6" w:rsidRDefault="005C66CC">
      <w:pPr>
        <w:spacing w:after="160"/>
      </w:pPr>
      <w:r>
        <w:rPr>
          <w:b/>
          <w:bCs/>
        </w:rPr>
        <w:t>Composantes :</w:t>
      </w:r>
    </w:p>
    <w:p w14:paraId="6DA804E2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Accompagnement à l'obtention des agréments sanitaires pour les 6 halles pilotes.</w:t>
      </w:r>
    </w:p>
    <w:p w14:paraId="61D0396D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A</w:t>
      </w:r>
      <w:r>
        <w:t>ppui à la formalisation des activités des vendeurs et acheteurs par leur inscription au Registre du Commerce.</w:t>
      </w:r>
    </w:p>
    <w:p w14:paraId="0C37F706" w14:textId="77777777" w:rsidR="009572C6" w:rsidRDefault="005C66CC">
      <w:pPr>
        <w:spacing w:before="120" w:after="160"/>
      </w:pPr>
      <w:r>
        <w:rPr>
          <w:b/>
          <w:bCs/>
        </w:rPr>
        <w:t>Résultats attendus :</w:t>
      </w:r>
    </w:p>
    <w:p w14:paraId="5A0C4E49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Les 6 halles ont obtenu leur agrément sanitaire conformément à la réglementation nationale en vigueur.</w:t>
      </w:r>
    </w:p>
    <w:p w14:paraId="25242DB3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Les opérateurs commerc</w:t>
      </w:r>
      <w:r>
        <w:t>iaux exerçant au niveau des halles sont inscrits au Registre du Commerce.</w:t>
      </w:r>
    </w:p>
    <w:p w14:paraId="77F9E412" w14:textId="77777777" w:rsidR="009572C6" w:rsidRDefault="005C66CC">
      <w:pPr>
        <w:spacing w:before="120" w:after="160"/>
      </w:pPr>
      <w:r>
        <w:rPr>
          <w:b/>
          <w:bCs/>
        </w:rPr>
        <w:t>Livrables :</w:t>
      </w:r>
    </w:p>
    <w:p w14:paraId="48AF81A5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Dossiers d'agrément sanitaire déposés et agréments obtenus pour les 6 halles (ou note d'avancement motivée en cas de délais administratifs).</w:t>
      </w:r>
    </w:p>
    <w:p w14:paraId="100D8191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Liste des opérateurs inscrits</w:t>
      </w:r>
      <w:r>
        <w:t xml:space="preserve"> au Registre du Commerce.</w:t>
      </w:r>
    </w:p>
    <w:p w14:paraId="71305D5B" w14:textId="77777777" w:rsidR="009572C6" w:rsidRDefault="005C66CC">
      <w:pPr>
        <w:pStyle w:val="Titre2"/>
      </w:pPr>
      <w:r>
        <w:t>Axe 6 – Traçabilité</w:t>
      </w:r>
    </w:p>
    <w:p w14:paraId="677A6969" w14:textId="77777777" w:rsidR="009572C6" w:rsidRDefault="005C66CC">
      <w:pPr>
        <w:spacing w:after="160"/>
      </w:pPr>
      <w:r>
        <w:rPr>
          <w:b/>
          <w:bCs/>
        </w:rPr>
        <w:t>Composantes :</w:t>
      </w:r>
    </w:p>
    <w:p w14:paraId="5E2ADD00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Formation pratique des gestionnaires et régisseurs au système Sitphal d'enregistrement et de traçabilité des 6 halles pilotes.</w:t>
      </w:r>
    </w:p>
    <w:p w14:paraId="2D6D2C82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Mise en œuvre et paramétrage des équipements du système Sitphal.</w:t>
      </w:r>
    </w:p>
    <w:p w14:paraId="50513318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Supe</w:t>
      </w:r>
      <w:r>
        <w:t>rvision de la conception et du déploiement de la marketplace en ligne regroupant quotidiennement les prévisions d'apports de toutes les halles connectées.</w:t>
      </w:r>
    </w:p>
    <w:p w14:paraId="5621FE94" w14:textId="77777777" w:rsidR="009572C6" w:rsidRDefault="005C66CC">
      <w:pPr>
        <w:spacing w:before="120" w:after="160"/>
      </w:pPr>
      <w:r>
        <w:rPr>
          <w:b/>
          <w:bCs/>
        </w:rPr>
        <w:t>Résultats attendus :</w:t>
      </w:r>
    </w:p>
    <w:p w14:paraId="71304BF4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lastRenderedPageBreak/>
        <w:t>Dès la première vente, les produits halieutiques sont identifiés et tracés ; les</w:t>
      </w:r>
      <w:r>
        <w:t xml:space="preserve"> halles fournissent des statistiques fiables pour le suivi de la production et le suivi scientifique des ressources.</w:t>
      </w:r>
    </w:p>
    <w:p w14:paraId="64DEC7D3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La marketplace en ligne est consultée quotidiennement par les acheteurs, contribuant à une meilleure stabilisation des marchés.</w:t>
      </w:r>
    </w:p>
    <w:p w14:paraId="51A4D0FA" w14:textId="77777777" w:rsidR="009572C6" w:rsidRDefault="005C66CC">
      <w:pPr>
        <w:spacing w:before="120" w:after="160"/>
      </w:pPr>
      <w:r>
        <w:rPr>
          <w:b/>
          <w:bCs/>
        </w:rPr>
        <w:t>Livrables :</w:t>
      </w:r>
    </w:p>
    <w:p w14:paraId="3AF1F32B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Sitphal déployé et opérationnel dans les 6 halles pilotes, avec rapport de formation des utilisateurs.</w:t>
      </w:r>
    </w:p>
    <w:p w14:paraId="6F0A851F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Marketplace en ligne opérationnelle (recette + version production) et statistiques d'utilisation (J+30 après lancement).</w:t>
      </w:r>
    </w:p>
    <w:p w14:paraId="01A1E190" w14:textId="77777777" w:rsidR="009572C6" w:rsidRDefault="005C66CC">
      <w:pPr>
        <w:pStyle w:val="Titre2"/>
      </w:pPr>
      <w:r>
        <w:t>2.3 Indicateurs de résultat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3200"/>
        <w:gridCol w:w="1300"/>
        <w:gridCol w:w="1300"/>
        <w:gridCol w:w="2260"/>
      </w:tblGrid>
      <w:tr w:rsidR="009572C6" w14:paraId="21B64DCC" w14:textId="77777777">
        <w:trPr>
          <w:tblHeader/>
        </w:trPr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5708FC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Axe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083D0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CDA6D2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857B1E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Échéance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0E38D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Source de vérification</w:t>
            </w:r>
          </w:p>
        </w:tc>
      </w:tr>
      <w:tr w:rsidR="009572C6" w14:paraId="0265E10E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D36013" w14:textId="77777777" w:rsidR="009572C6" w:rsidRDefault="005C66CC">
            <w:r>
              <w:rPr>
                <w:sz w:val="20"/>
                <w:szCs w:val="20"/>
              </w:rPr>
              <w:t>Axe 1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19B85A" w14:textId="77777777" w:rsidR="009572C6" w:rsidRDefault="005C66CC">
            <w:r>
              <w:rPr>
                <w:sz w:val="20"/>
                <w:szCs w:val="20"/>
              </w:rPr>
              <w:t>Halles à marée pleinement réhabilitées et équipées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C253C7" w14:textId="77777777" w:rsidR="009572C6" w:rsidRDefault="005C66CC">
            <w:r>
              <w:rPr>
                <w:sz w:val="20"/>
                <w:szCs w:val="20"/>
              </w:rPr>
              <w:t>6/6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14AF2A" w14:textId="77777777" w:rsidR="009572C6" w:rsidRDefault="005C66CC">
            <w:r>
              <w:rPr>
                <w:sz w:val="20"/>
                <w:szCs w:val="20"/>
              </w:rPr>
              <w:t>Mars 2027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90CF1A" w14:textId="77777777" w:rsidR="009572C6" w:rsidRDefault="005C66CC">
            <w:r>
              <w:rPr>
                <w:sz w:val="20"/>
                <w:szCs w:val="20"/>
              </w:rPr>
              <w:t>Rapport d'audit final</w:t>
            </w:r>
          </w:p>
        </w:tc>
      </w:tr>
      <w:tr w:rsidR="009572C6" w14:paraId="286F8C2D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7789F0" w14:textId="77777777" w:rsidR="009572C6" w:rsidRDefault="005C66CC">
            <w:r>
              <w:rPr>
                <w:sz w:val="20"/>
                <w:szCs w:val="20"/>
              </w:rPr>
              <w:t>Axe 2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F38A58" w14:textId="77777777" w:rsidR="009572C6" w:rsidRDefault="005C66CC">
            <w:r>
              <w:rPr>
                <w:sz w:val="20"/>
                <w:szCs w:val="20"/>
              </w:rPr>
              <w:t>Gestionnaires / régisseurs formés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0F0765" w14:textId="77777777" w:rsidR="009572C6" w:rsidRDefault="005C66CC">
            <w:r>
              <w:rPr>
                <w:sz w:val="20"/>
                <w:szCs w:val="20"/>
              </w:rPr>
              <w:t>≥ 13 halles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9B74B9" w14:textId="77777777" w:rsidR="009572C6" w:rsidRDefault="005C66CC">
            <w:r>
              <w:rPr>
                <w:sz w:val="20"/>
                <w:szCs w:val="20"/>
              </w:rPr>
              <w:t>En continu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D9BE8A" w14:textId="77777777" w:rsidR="009572C6" w:rsidRDefault="005C66CC">
            <w:r>
              <w:rPr>
                <w:sz w:val="20"/>
                <w:szCs w:val="20"/>
              </w:rPr>
              <w:t>Feuilles de présence + attestations</w:t>
            </w:r>
          </w:p>
        </w:tc>
      </w:tr>
      <w:tr w:rsidR="009572C6" w14:paraId="667D3201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15E3B" w14:textId="77777777" w:rsidR="009572C6" w:rsidRDefault="005C66CC">
            <w:r>
              <w:rPr>
                <w:sz w:val="20"/>
                <w:szCs w:val="20"/>
              </w:rPr>
              <w:t>Axe 2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68ED00" w14:textId="77777777" w:rsidR="009572C6" w:rsidRDefault="005C66CC">
            <w:r>
              <w:rPr>
                <w:sz w:val="20"/>
                <w:szCs w:val="20"/>
              </w:rPr>
              <w:t>Supports de sensibilisation / vulgarisation élaborés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90499" w14:textId="77777777" w:rsidR="009572C6" w:rsidRDefault="005C66CC">
            <w:r>
              <w:rPr>
                <w:sz w:val="20"/>
                <w:szCs w:val="20"/>
              </w:rPr>
              <w:t>À définir avec le Chef de Projet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123520" w14:textId="77777777" w:rsidR="009572C6" w:rsidRDefault="005C66CC">
            <w:r>
              <w:rPr>
                <w:sz w:val="20"/>
                <w:szCs w:val="20"/>
              </w:rPr>
              <w:t>En continu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8CFAC5" w14:textId="77777777" w:rsidR="009572C6" w:rsidRDefault="005C66CC">
            <w:r>
              <w:rPr>
                <w:sz w:val="20"/>
                <w:szCs w:val="20"/>
              </w:rPr>
              <w:t>Supports validés</w:t>
            </w:r>
          </w:p>
        </w:tc>
      </w:tr>
      <w:tr w:rsidR="009572C6" w14:paraId="4D2BACD7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F4336B" w14:textId="77777777" w:rsidR="009572C6" w:rsidRDefault="005C66CC">
            <w:r>
              <w:rPr>
                <w:sz w:val="20"/>
                <w:szCs w:val="20"/>
              </w:rPr>
              <w:t>Axe 3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656EA9" w14:textId="77777777" w:rsidR="009572C6" w:rsidRDefault="005C66CC">
            <w:r>
              <w:rPr>
                <w:sz w:val="20"/>
                <w:szCs w:val="20"/>
              </w:rPr>
              <w:t>Règlements d'exploitation et intérieurs révisés et signés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52F454" w14:textId="77777777" w:rsidR="009572C6" w:rsidRDefault="005C66CC">
            <w:r>
              <w:rPr>
                <w:sz w:val="20"/>
                <w:szCs w:val="20"/>
              </w:rPr>
              <w:t>6/6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74176E" w14:textId="2042EE82" w:rsidR="009572C6" w:rsidRDefault="008C3989">
            <w:r>
              <w:rPr>
                <w:sz w:val="20"/>
                <w:szCs w:val="20"/>
              </w:rPr>
              <w:t>Nov. 2026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3936D" w14:textId="77777777" w:rsidR="009572C6" w:rsidRDefault="005C66CC">
            <w:r>
              <w:rPr>
                <w:sz w:val="20"/>
                <w:szCs w:val="20"/>
              </w:rPr>
              <w:t>Documents signés</w:t>
            </w:r>
          </w:p>
        </w:tc>
      </w:tr>
      <w:tr w:rsidR="009572C6" w14:paraId="0DDA240E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29D28" w14:textId="77777777" w:rsidR="009572C6" w:rsidRDefault="005C66CC">
            <w:r>
              <w:rPr>
                <w:sz w:val="20"/>
                <w:szCs w:val="20"/>
              </w:rPr>
              <w:t>Axe 3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A3D455" w14:textId="77777777" w:rsidR="009572C6" w:rsidRDefault="005C66CC">
            <w:r>
              <w:rPr>
                <w:sz w:val="20"/>
                <w:szCs w:val="20"/>
              </w:rPr>
              <w:t xml:space="preserve">Rapport du voyage d'étude </w:t>
            </w:r>
            <w:r>
              <w:rPr>
                <w:sz w:val="20"/>
                <w:szCs w:val="20"/>
              </w:rPr>
              <w:t>Espagne-Portugal diffusé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5A1AF" w14:textId="77777777" w:rsidR="009572C6" w:rsidRDefault="005C66CC">
            <w:r>
              <w:rPr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E8AA7C" w14:textId="77777777" w:rsidR="009572C6" w:rsidRDefault="005C66CC">
            <w:r>
              <w:rPr>
                <w:sz w:val="20"/>
                <w:szCs w:val="20"/>
              </w:rPr>
              <w:t>Déc. 2026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E1572E" w14:textId="77777777" w:rsidR="009572C6" w:rsidRDefault="005C66CC">
            <w:r>
              <w:rPr>
                <w:sz w:val="20"/>
                <w:szCs w:val="20"/>
              </w:rPr>
              <w:t>Rapport validé + liste de diffusion</w:t>
            </w:r>
          </w:p>
        </w:tc>
      </w:tr>
      <w:tr w:rsidR="009572C6" w14:paraId="65D63CA9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A5E43D" w14:textId="77777777" w:rsidR="009572C6" w:rsidRDefault="005C66CC">
            <w:r>
              <w:rPr>
                <w:sz w:val="20"/>
                <w:szCs w:val="20"/>
              </w:rPr>
              <w:t>Axe 3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19FA5" w14:textId="77777777" w:rsidR="009572C6" w:rsidRDefault="005C66CC">
            <w:r>
              <w:rPr>
                <w:sz w:val="20"/>
                <w:szCs w:val="20"/>
              </w:rPr>
              <w:t>Modèles économiques produits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C67294" w14:textId="77777777" w:rsidR="009572C6" w:rsidRDefault="005C66CC">
            <w:r>
              <w:rPr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6787F" w14:textId="77777777" w:rsidR="009572C6" w:rsidRDefault="005C66CC">
            <w:r>
              <w:rPr>
                <w:sz w:val="20"/>
                <w:szCs w:val="20"/>
              </w:rPr>
              <w:t>Mars 2027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E98D15" w14:textId="77777777" w:rsidR="009572C6" w:rsidRDefault="005C66CC">
            <w:r>
              <w:rPr>
                <w:sz w:val="20"/>
                <w:szCs w:val="20"/>
              </w:rPr>
              <w:t>Modèles validés par le programme</w:t>
            </w:r>
          </w:p>
        </w:tc>
      </w:tr>
      <w:tr w:rsidR="009572C6" w14:paraId="0E8214C4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E21E05" w14:textId="77777777" w:rsidR="009572C6" w:rsidRDefault="005C66CC">
            <w:r>
              <w:rPr>
                <w:sz w:val="20"/>
                <w:szCs w:val="20"/>
              </w:rPr>
              <w:t>Axe 4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A6A4F9" w14:textId="77777777" w:rsidR="009572C6" w:rsidRDefault="005C66CC">
            <w:r>
              <w:rPr>
                <w:sz w:val="20"/>
                <w:szCs w:val="20"/>
              </w:rPr>
              <w:t>Plans de Maîtrise Sanitaire validés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3A14D" w14:textId="77777777" w:rsidR="009572C6" w:rsidRDefault="005C66CC">
            <w:r>
              <w:rPr>
                <w:sz w:val="20"/>
                <w:szCs w:val="20"/>
              </w:rPr>
              <w:t>6/6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FCD54" w14:textId="77777777" w:rsidR="009572C6" w:rsidRDefault="005C66CC">
            <w:r>
              <w:rPr>
                <w:sz w:val="20"/>
                <w:szCs w:val="20"/>
              </w:rPr>
              <w:t>Déc. 2026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14FEDC" w14:textId="77777777" w:rsidR="009572C6" w:rsidRDefault="005C66CC">
            <w:r>
              <w:rPr>
                <w:sz w:val="20"/>
                <w:szCs w:val="20"/>
              </w:rPr>
              <w:t xml:space="preserve">PMS signés par gestionnaires et services </w:t>
            </w:r>
            <w:r>
              <w:rPr>
                <w:sz w:val="20"/>
                <w:szCs w:val="20"/>
              </w:rPr>
              <w:t>vétérinaires</w:t>
            </w:r>
          </w:p>
        </w:tc>
      </w:tr>
      <w:tr w:rsidR="009572C6" w14:paraId="4AE9A3FB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36AB0" w14:textId="77777777" w:rsidR="009572C6" w:rsidRDefault="005C66CC">
            <w:r>
              <w:rPr>
                <w:sz w:val="20"/>
                <w:szCs w:val="20"/>
              </w:rPr>
              <w:t>Axe 4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0A05B" w14:textId="77777777" w:rsidR="009572C6" w:rsidRDefault="005C66CC">
            <w:r>
              <w:rPr>
                <w:sz w:val="20"/>
                <w:szCs w:val="20"/>
              </w:rPr>
              <w:t>Application « Boîte à outils PMS » opérationnelle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14824C" w14:textId="77777777" w:rsidR="009572C6" w:rsidRDefault="005C66CC">
            <w:r>
              <w:rPr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D78323" w14:textId="77777777" w:rsidR="009572C6" w:rsidRDefault="005C66CC">
            <w:r>
              <w:rPr>
                <w:sz w:val="20"/>
                <w:szCs w:val="20"/>
              </w:rPr>
              <w:t>Nov. 2026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CEB45A" w14:textId="77777777" w:rsidR="009572C6" w:rsidRDefault="005C66CC">
            <w:r>
              <w:rPr>
                <w:sz w:val="20"/>
                <w:szCs w:val="20"/>
              </w:rPr>
              <w:t>PV de recette fonctionnelle signé</w:t>
            </w:r>
          </w:p>
        </w:tc>
      </w:tr>
      <w:tr w:rsidR="009572C6" w14:paraId="76CC0C36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44B25F" w14:textId="77777777" w:rsidR="009572C6" w:rsidRDefault="005C66CC">
            <w:r>
              <w:rPr>
                <w:sz w:val="20"/>
                <w:szCs w:val="20"/>
              </w:rPr>
              <w:t>Axe 5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BA659" w14:textId="77777777" w:rsidR="009572C6" w:rsidRDefault="005C66CC">
            <w:r>
              <w:rPr>
                <w:sz w:val="20"/>
                <w:szCs w:val="20"/>
              </w:rPr>
              <w:t>Agréments sanitaires obtenus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A99B3F" w14:textId="77777777" w:rsidR="009572C6" w:rsidRDefault="005C66CC">
            <w:r>
              <w:rPr>
                <w:sz w:val="20"/>
                <w:szCs w:val="20"/>
              </w:rPr>
              <w:t>6/6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58BDC" w14:textId="298A8B2C" w:rsidR="009572C6" w:rsidRDefault="008C3989">
            <w:r>
              <w:rPr>
                <w:sz w:val="20"/>
                <w:szCs w:val="20"/>
              </w:rPr>
              <w:t>Mars 2027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C37E2B" w14:textId="77777777" w:rsidR="009572C6" w:rsidRDefault="005C66CC">
            <w:r>
              <w:rPr>
                <w:sz w:val="20"/>
                <w:szCs w:val="20"/>
              </w:rPr>
              <w:t>Certificats officiels ou note circonstanciée</w:t>
            </w:r>
          </w:p>
        </w:tc>
      </w:tr>
      <w:tr w:rsidR="009572C6" w14:paraId="631EE5BD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FD7698" w14:textId="77777777" w:rsidR="009572C6" w:rsidRDefault="005C66CC">
            <w:r>
              <w:rPr>
                <w:sz w:val="20"/>
                <w:szCs w:val="20"/>
              </w:rPr>
              <w:t>Axe 5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BB6C2C" w14:textId="77777777" w:rsidR="009572C6" w:rsidRDefault="005C66CC">
            <w:r>
              <w:rPr>
                <w:sz w:val="20"/>
                <w:szCs w:val="20"/>
              </w:rPr>
              <w:t xml:space="preserve">Opérateurs inscrits au Registre du </w:t>
            </w:r>
            <w:r>
              <w:rPr>
                <w:sz w:val="20"/>
                <w:szCs w:val="20"/>
              </w:rPr>
              <w:t>Commerce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1D4B7" w14:textId="77777777" w:rsidR="009572C6" w:rsidRDefault="005C66CC">
            <w:r>
              <w:rPr>
                <w:sz w:val="20"/>
                <w:szCs w:val="20"/>
              </w:rPr>
              <w:t>À définir avec les parties prenantes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BA265A" w14:textId="2DBEAC88" w:rsidR="009572C6" w:rsidRDefault="008C3989">
            <w:r>
              <w:rPr>
                <w:sz w:val="20"/>
                <w:szCs w:val="20"/>
              </w:rPr>
              <w:t>Janv. 2027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E3B8A" w14:textId="77777777" w:rsidR="009572C6" w:rsidRDefault="005C66CC">
            <w:r>
              <w:rPr>
                <w:sz w:val="20"/>
                <w:szCs w:val="20"/>
              </w:rPr>
              <w:t>Attestations RC</w:t>
            </w:r>
          </w:p>
        </w:tc>
      </w:tr>
      <w:tr w:rsidR="009572C6" w14:paraId="293BD30A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605DE0" w14:textId="77777777" w:rsidR="009572C6" w:rsidRDefault="005C66CC">
            <w:r>
              <w:rPr>
                <w:sz w:val="20"/>
                <w:szCs w:val="20"/>
              </w:rPr>
              <w:t>Axe 6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FE2887" w14:textId="77777777" w:rsidR="009572C6" w:rsidRDefault="005C66CC">
            <w:r>
              <w:rPr>
                <w:sz w:val="20"/>
                <w:szCs w:val="20"/>
              </w:rPr>
              <w:t>Halles connectées au système Sitphal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587D4" w14:textId="77777777" w:rsidR="009572C6" w:rsidRDefault="005C66CC">
            <w:r>
              <w:rPr>
                <w:sz w:val="20"/>
                <w:szCs w:val="20"/>
              </w:rPr>
              <w:t>6/6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8A01D" w14:textId="7DED5FEE" w:rsidR="009572C6" w:rsidRDefault="008C3989">
            <w:r>
              <w:rPr>
                <w:sz w:val="20"/>
                <w:szCs w:val="20"/>
              </w:rPr>
              <w:t>Mars 2027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3590A" w14:textId="77777777" w:rsidR="009572C6" w:rsidRDefault="005C66CC">
            <w:r>
              <w:rPr>
                <w:sz w:val="20"/>
                <w:szCs w:val="20"/>
              </w:rPr>
              <w:t>PV de mise en service par halle</w:t>
            </w:r>
          </w:p>
        </w:tc>
      </w:tr>
      <w:tr w:rsidR="009572C6" w14:paraId="6420FDA3" w14:textId="77777777"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1BEA84" w14:textId="77777777" w:rsidR="009572C6" w:rsidRDefault="005C66CC">
            <w:r>
              <w:rPr>
                <w:sz w:val="20"/>
                <w:szCs w:val="20"/>
              </w:rPr>
              <w:t>Axe 6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00B986" w14:textId="77777777" w:rsidR="009572C6" w:rsidRDefault="005C66CC">
            <w:r>
              <w:rPr>
                <w:sz w:val="20"/>
                <w:szCs w:val="20"/>
              </w:rPr>
              <w:t>Marketplace en ligne consultée quotidiennement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DA0EFE" w14:textId="77777777" w:rsidR="009572C6" w:rsidRDefault="005C66CC">
            <w:r>
              <w:rPr>
                <w:sz w:val="20"/>
                <w:szCs w:val="20"/>
              </w:rPr>
              <w:t>≥ 80 % des jours ouvrables (J+30)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DDA6C" w14:textId="093663F2" w:rsidR="009572C6" w:rsidRDefault="008C3989">
            <w:r>
              <w:rPr>
                <w:sz w:val="20"/>
                <w:szCs w:val="20"/>
              </w:rPr>
              <w:t>Mars 2027</w:t>
            </w:r>
          </w:p>
        </w:tc>
        <w:tc>
          <w:tcPr>
            <w:tcW w:w="22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314B43" w14:textId="77777777" w:rsidR="009572C6" w:rsidRDefault="005C66CC">
            <w:r>
              <w:rPr>
                <w:sz w:val="20"/>
                <w:szCs w:val="20"/>
              </w:rPr>
              <w:t>Statistiques plateforme</w:t>
            </w:r>
          </w:p>
        </w:tc>
      </w:tr>
    </w:tbl>
    <w:p w14:paraId="60AF4E2C" w14:textId="77777777" w:rsidR="009572C6" w:rsidRDefault="005C66CC">
      <w:pPr>
        <w:pStyle w:val="Titre1"/>
      </w:pPr>
      <w:r>
        <w:lastRenderedPageBreak/>
        <w:t>3. Profil de l'Expert International</w:t>
      </w:r>
    </w:p>
    <w:p w14:paraId="4056E6C5" w14:textId="77777777" w:rsidR="009572C6" w:rsidRDefault="005C66CC">
      <w:pPr>
        <w:spacing w:after="160"/>
      </w:pPr>
      <w:r>
        <w:rPr>
          <w:b/>
          <w:bCs/>
        </w:rPr>
        <w:t xml:space="preserve">Intitulé du poste : </w:t>
      </w:r>
      <w:r>
        <w:t>Expert International en commercialisation des produits de la pêche et de l'aquaculture</w:t>
      </w:r>
    </w:p>
    <w:p w14:paraId="60DFE5E9" w14:textId="77777777" w:rsidR="009572C6" w:rsidRDefault="005C66CC">
      <w:pPr>
        <w:spacing w:after="160"/>
      </w:pPr>
      <w:r>
        <w:rPr>
          <w:b/>
          <w:bCs/>
        </w:rPr>
        <w:t xml:space="preserve">Catégorie : </w:t>
      </w:r>
      <w:r>
        <w:t>Expert Senior (&gt; 20 ans d'expérience).</w:t>
      </w:r>
    </w:p>
    <w:p w14:paraId="08840D64" w14:textId="77777777" w:rsidR="009572C6" w:rsidRDefault="005C66CC">
      <w:pPr>
        <w:spacing w:after="160"/>
      </w:pPr>
      <w:r>
        <w:rPr>
          <w:b/>
          <w:bCs/>
        </w:rPr>
        <w:t>Qualifications et compétences :</w:t>
      </w:r>
    </w:p>
    <w:p w14:paraId="4D025E77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Diplôme universitaire (Bac+4 minimum) en industrie agroalimentaire, distribution ou commercialisation des produits agroalimentaires, ou expérience équivalente de plus de 20 ans.</w:t>
      </w:r>
    </w:p>
    <w:p w14:paraId="6EEECA5A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 xml:space="preserve">Parfaite maîtrise de la langue française ; la connaissance de l'arabe est un </w:t>
      </w:r>
      <w:r>
        <w:t>atout.</w:t>
      </w:r>
    </w:p>
    <w:p w14:paraId="59D5D7B4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Pratique de l'élaboration de rapports et de documentation technique.</w:t>
      </w:r>
    </w:p>
    <w:p w14:paraId="7BC0FBB7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Maîtrise de l'outil informatique (MS Office : Word, Excel, PowerPoint…).</w:t>
      </w:r>
    </w:p>
    <w:p w14:paraId="358587D4" w14:textId="77777777" w:rsidR="009572C6" w:rsidRDefault="005C66CC">
      <w:pPr>
        <w:spacing w:before="120" w:after="160"/>
      </w:pPr>
      <w:r>
        <w:rPr>
          <w:b/>
          <w:bCs/>
        </w:rPr>
        <w:t>Expérience générale :</w:t>
      </w:r>
    </w:p>
    <w:p w14:paraId="5EB89CAA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Minimum 20 ans dans la commercialisation de première vente et les marchés des produit</w:t>
      </w:r>
      <w:r>
        <w:t>s de la pêche et de l'aquaculture.</w:t>
      </w:r>
    </w:p>
    <w:p w14:paraId="6B5F1EFD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Expérience dans la conception de référentiels méthodologiques (plans de gestion, plans de maîtrise sanitaire, cahiers des charges, guides de bonnes pratiques).</w:t>
      </w:r>
    </w:p>
    <w:p w14:paraId="3B34CC11" w14:textId="77777777" w:rsidR="009572C6" w:rsidRDefault="005C66CC">
      <w:pPr>
        <w:spacing w:before="120" w:after="160"/>
      </w:pPr>
      <w:r>
        <w:rPr>
          <w:b/>
          <w:bCs/>
        </w:rPr>
        <w:t>Expérience spécifique :</w:t>
      </w:r>
    </w:p>
    <w:p w14:paraId="73858143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 xml:space="preserve">Très bonne connaissance des systèmes </w:t>
      </w:r>
      <w:r>
        <w:t>de première vente en halles à marée.</w:t>
      </w:r>
    </w:p>
    <w:p w14:paraId="63BCE66B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Très bonne connaissance du contexte des halles à marée en Algérie.</w:t>
      </w:r>
    </w:p>
    <w:p w14:paraId="60E0731B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Bonne connaissance de la traçabilité des produits halieutiques.</w:t>
      </w:r>
    </w:p>
    <w:p w14:paraId="1DACC3A7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Une ou deux expériences dans un projet européen seraient un atout, notamment en Algérie.</w:t>
      </w:r>
    </w:p>
    <w:p w14:paraId="07DAA647" w14:textId="77777777" w:rsidR="009572C6" w:rsidRDefault="005C66CC">
      <w:pPr>
        <w:pStyle w:val="Paragraphedeliste"/>
        <w:numPr>
          <w:ilvl w:val="0"/>
          <w:numId w:val="2"/>
        </w:numPr>
        <w:spacing w:after="100"/>
      </w:pPr>
      <w:r>
        <w:t>Expérience en coopération internationale appréciée.</w:t>
      </w:r>
    </w:p>
    <w:p w14:paraId="6A29A5A4" w14:textId="77777777" w:rsidR="009572C6" w:rsidRDefault="005C66CC">
      <w:pPr>
        <w:pStyle w:val="Titre1"/>
      </w:pPr>
      <w:r>
        <w:t>4. Déroulement et Calendrier de la Mission</w:t>
      </w:r>
    </w:p>
    <w:p w14:paraId="5AC47917" w14:textId="77777777" w:rsidR="009572C6" w:rsidRDefault="005C66CC">
      <w:pPr>
        <w:spacing w:after="160"/>
      </w:pPr>
      <w:r>
        <w:t>Sous la supervision de l'Expert Référent Pêche et Aquaculture et en coordination avec l'expert national pêche, la mission sera réalisée par un expert internatio</w:t>
      </w:r>
      <w:r>
        <w:t>nal, de juin 2026 à mars 2027. Un budget de 92 H/J est requis, incluant le temps nécessaire aux déplacements et à la rédaction des rapports. La date de démarrage est prévue en juin 2026. Le tableau ci-dessous est récapitulatif et sera affiné avec le Chef d</w:t>
      </w:r>
      <w:r>
        <w:t>e Projet Adjoint lors de la prise de poste.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5860"/>
        <w:gridCol w:w="1800"/>
      </w:tblGrid>
      <w:tr w:rsidR="009572C6" w14:paraId="7F2DF06A" w14:textId="77777777">
        <w:trPr>
          <w:tblHeader/>
        </w:trPr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665281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Période</w:t>
            </w:r>
          </w:p>
        </w:tc>
        <w:tc>
          <w:tcPr>
            <w:tcW w:w="58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77EEF5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Composantes prioritaires</w:t>
            </w:r>
          </w:p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1733DF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H/J indicatifs</w:t>
            </w:r>
          </w:p>
        </w:tc>
      </w:tr>
      <w:tr w:rsidR="009572C6" w14:paraId="4E29B7D6" w14:textId="77777777"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6CFCD5" w14:textId="77777777" w:rsidR="009572C6" w:rsidRDefault="005C66CC">
            <w:r>
              <w:rPr>
                <w:sz w:val="20"/>
                <w:szCs w:val="20"/>
              </w:rPr>
              <w:t>Juin 2026</w:t>
            </w:r>
          </w:p>
        </w:tc>
        <w:tc>
          <w:tcPr>
            <w:tcW w:w="58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2C47A1" w14:textId="77777777" w:rsidR="009572C6" w:rsidRDefault="005C66CC">
            <w:r>
              <w:rPr>
                <w:sz w:val="20"/>
                <w:szCs w:val="20"/>
              </w:rPr>
              <w:t>Démarrage de la mission ; suivi des AO chantiers de réhabilitation et d'équipements ; suivi des activités des ECT nationaux (Sitphal, PMS, sensibilisatio</w:t>
            </w:r>
            <w:r>
              <w:rPr>
                <w:sz w:val="20"/>
                <w:szCs w:val="20"/>
              </w:rPr>
              <w:t>n). Livrable 1 : rapport de démarrage et avancement des chantiers.</w:t>
            </w:r>
          </w:p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C4B393" w14:textId="77777777" w:rsidR="009572C6" w:rsidRDefault="005C66CC">
            <w:r>
              <w:rPr>
                <w:sz w:val="20"/>
                <w:szCs w:val="20"/>
              </w:rPr>
              <w:t>~7</w:t>
            </w:r>
          </w:p>
        </w:tc>
      </w:tr>
      <w:tr w:rsidR="009572C6" w14:paraId="09DC62F3" w14:textId="77777777"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7E77BE" w14:textId="77777777" w:rsidR="009572C6" w:rsidRDefault="005C66CC">
            <w:r>
              <w:rPr>
                <w:sz w:val="20"/>
                <w:szCs w:val="20"/>
              </w:rPr>
              <w:t>Juil.–Août 2026</w:t>
            </w:r>
          </w:p>
        </w:tc>
        <w:tc>
          <w:tcPr>
            <w:tcW w:w="58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C4762F" w14:textId="77777777" w:rsidR="009572C6" w:rsidRDefault="005C66CC">
            <w:r>
              <w:rPr>
                <w:sz w:val="20"/>
                <w:szCs w:val="20"/>
              </w:rPr>
              <w:t xml:space="preserve">Suivi chantiers ; ateliers de mise à jour des règlements d'exploitation et réactivation des Conseils de Concertation ; formations pratiques des gestionnaires et </w:t>
            </w:r>
            <w:r>
              <w:rPr>
                <w:sz w:val="20"/>
                <w:szCs w:val="20"/>
              </w:rPr>
              <w:t>régisseurs ; préparation du voyage d'étude Espagne-Portugal ; suivi des ECT nationaux. Livrable 2 : règlements révisés, bilans de formation, CR des Conseils de Concertation.</w:t>
            </w:r>
          </w:p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F6D1D4" w14:textId="77777777" w:rsidR="009572C6" w:rsidRDefault="005C66CC">
            <w:r>
              <w:rPr>
                <w:sz w:val="20"/>
                <w:szCs w:val="20"/>
              </w:rPr>
              <w:t>~20</w:t>
            </w:r>
          </w:p>
        </w:tc>
      </w:tr>
      <w:tr w:rsidR="009572C6" w14:paraId="377C4205" w14:textId="77777777"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CCA8D7" w14:textId="77777777" w:rsidR="009572C6" w:rsidRDefault="005C66CC">
            <w:r>
              <w:rPr>
                <w:sz w:val="20"/>
                <w:szCs w:val="20"/>
              </w:rPr>
              <w:t>Sept.–Oct. 2026</w:t>
            </w:r>
          </w:p>
        </w:tc>
        <w:tc>
          <w:tcPr>
            <w:tcW w:w="58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763285" w14:textId="77777777" w:rsidR="009572C6" w:rsidRDefault="005C66CC">
            <w:r>
              <w:rPr>
                <w:sz w:val="20"/>
                <w:szCs w:val="20"/>
              </w:rPr>
              <w:t xml:space="preserve">Suivi chantiers ; suivi des Plans de Maîtrise Sanitaire, des dossiers d'agrément sanitaire et du déploiement Sitphal ; </w:t>
            </w:r>
            <w:r>
              <w:rPr>
                <w:sz w:val="20"/>
                <w:szCs w:val="20"/>
              </w:rPr>
              <w:lastRenderedPageBreak/>
              <w:t>formation des utilisateurs. Livrable 3 : avancement des chantiers et des dossiers PMS/Sitphal.</w:t>
            </w:r>
          </w:p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D002B" w14:textId="77777777" w:rsidR="009572C6" w:rsidRDefault="005C66CC">
            <w:r>
              <w:rPr>
                <w:sz w:val="20"/>
                <w:szCs w:val="20"/>
              </w:rPr>
              <w:lastRenderedPageBreak/>
              <w:t>~20</w:t>
            </w:r>
          </w:p>
        </w:tc>
      </w:tr>
      <w:tr w:rsidR="009572C6" w14:paraId="65C063B0" w14:textId="77777777"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D8FD6" w14:textId="77777777" w:rsidR="009572C6" w:rsidRDefault="005C66CC">
            <w:r>
              <w:rPr>
                <w:sz w:val="20"/>
                <w:szCs w:val="20"/>
              </w:rPr>
              <w:lastRenderedPageBreak/>
              <w:t>Oct.–Nov. 2026</w:t>
            </w:r>
          </w:p>
        </w:tc>
        <w:tc>
          <w:tcPr>
            <w:tcW w:w="58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83CC4C" w14:textId="77777777" w:rsidR="009572C6" w:rsidRDefault="005C66CC">
            <w:r>
              <w:rPr>
                <w:sz w:val="20"/>
                <w:szCs w:val="20"/>
              </w:rPr>
              <w:t xml:space="preserve">Suivi chantiers ; </w:t>
            </w:r>
            <w:r>
              <w:rPr>
                <w:sz w:val="20"/>
                <w:szCs w:val="20"/>
              </w:rPr>
              <w:t>suivi de la conception et du déploiement de la marketplace ; audit des halles renforcées ; restitution des campagnes de sensibilisation. Livrable 4 : marketplace opérationnelle, rapport d'audit, bilan des campagnes.</w:t>
            </w:r>
          </w:p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16B5C" w14:textId="77777777" w:rsidR="009572C6" w:rsidRDefault="005C66CC">
            <w:r>
              <w:rPr>
                <w:sz w:val="20"/>
                <w:szCs w:val="20"/>
              </w:rPr>
              <w:t>~20</w:t>
            </w:r>
          </w:p>
        </w:tc>
      </w:tr>
      <w:tr w:rsidR="009572C6" w14:paraId="48705DD9" w14:textId="77777777"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BD4AC7" w14:textId="77777777" w:rsidR="009572C6" w:rsidRDefault="005C66CC">
            <w:r>
              <w:rPr>
                <w:sz w:val="20"/>
                <w:szCs w:val="20"/>
              </w:rPr>
              <w:t>Nov.–Déc. 2026</w:t>
            </w:r>
          </w:p>
        </w:tc>
        <w:tc>
          <w:tcPr>
            <w:tcW w:w="58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A8717" w14:textId="77777777" w:rsidR="009572C6" w:rsidRDefault="005C66CC">
            <w:r>
              <w:rPr>
                <w:sz w:val="20"/>
                <w:szCs w:val="20"/>
              </w:rPr>
              <w:t xml:space="preserve">Suivi de la mise en </w:t>
            </w:r>
            <w:r>
              <w:rPr>
                <w:sz w:val="20"/>
                <w:szCs w:val="20"/>
              </w:rPr>
              <w:t>œuvre des PMS et de l'opérationnalité du Sitphal et de la marketplace ; voyage d'étude Espagne-Portugal. Livrable 5 : rapport du voyage d'étude, rapport final d'audit, agréments sanitaires obtenus.</w:t>
            </w:r>
          </w:p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D4C2D" w14:textId="77777777" w:rsidR="009572C6" w:rsidRDefault="005C66CC">
            <w:r>
              <w:rPr>
                <w:sz w:val="20"/>
                <w:szCs w:val="20"/>
              </w:rPr>
              <w:t>~15</w:t>
            </w:r>
          </w:p>
        </w:tc>
      </w:tr>
      <w:tr w:rsidR="009572C6" w14:paraId="6F8E4B52" w14:textId="77777777"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CD1F48" w14:textId="77777777" w:rsidR="009572C6" w:rsidRDefault="005C66CC">
            <w:r>
              <w:rPr>
                <w:sz w:val="20"/>
                <w:szCs w:val="20"/>
              </w:rPr>
              <w:t>Janv.–Mars 2027</w:t>
            </w:r>
          </w:p>
        </w:tc>
        <w:tc>
          <w:tcPr>
            <w:tcW w:w="58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5D1A3" w14:textId="77777777" w:rsidR="009572C6" w:rsidRDefault="005C66CC">
            <w:r>
              <w:rPr>
                <w:sz w:val="20"/>
                <w:szCs w:val="20"/>
              </w:rPr>
              <w:t xml:space="preserve">Synthèse, recommandations et </w:t>
            </w:r>
            <w:r>
              <w:rPr>
                <w:sz w:val="20"/>
                <w:szCs w:val="20"/>
              </w:rPr>
              <w:t>élaboration des modèles économiques par halle ; rapport final de mission. Livrable 6 : modèle économique par halle, rapport final.</w:t>
            </w:r>
          </w:p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B85B2B" w14:textId="77777777" w:rsidR="009572C6" w:rsidRDefault="005C66CC">
            <w:r>
              <w:rPr>
                <w:sz w:val="20"/>
                <w:szCs w:val="20"/>
              </w:rPr>
              <w:t>~10</w:t>
            </w:r>
          </w:p>
        </w:tc>
      </w:tr>
      <w:tr w:rsidR="009572C6" w14:paraId="58C7B27F" w14:textId="77777777"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EC8CAA" w14:textId="77777777" w:rsidR="009572C6" w:rsidRDefault="005C66CC">
            <w:r>
              <w:rPr>
                <w:sz w:val="20"/>
                <w:szCs w:val="20"/>
              </w:rPr>
              <w:t>TOTAL</w:t>
            </w:r>
          </w:p>
        </w:tc>
        <w:tc>
          <w:tcPr>
            <w:tcW w:w="58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DD239C" w14:textId="77777777" w:rsidR="009572C6" w:rsidRDefault="009572C6"/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BE6F2" w14:textId="77777777" w:rsidR="009572C6" w:rsidRDefault="005C66CC">
            <w:r>
              <w:rPr>
                <w:sz w:val="20"/>
                <w:szCs w:val="20"/>
              </w:rPr>
              <w:t>92 H/J</w:t>
            </w:r>
          </w:p>
        </w:tc>
      </w:tr>
    </w:tbl>
    <w:p w14:paraId="00179126" w14:textId="77777777" w:rsidR="009572C6" w:rsidRDefault="005C66CC">
      <w:pPr>
        <w:pStyle w:val="Titre1"/>
      </w:pPr>
      <w:r>
        <w:t>5. Modalités Contractuelles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9572C6" w14:paraId="369DF31D" w14:textId="77777777">
        <w:trPr>
          <w:tblHeader/>
        </w:trPr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281E92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Modalité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29909E" w14:textId="77777777" w:rsidR="009572C6" w:rsidRDefault="005C66CC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9572C6" w14:paraId="4595A338" w14:textId="77777777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8460B9" w14:textId="77777777" w:rsidR="009572C6" w:rsidRDefault="005C66CC">
            <w:r>
              <w:rPr>
                <w:sz w:val="20"/>
                <w:szCs w:val="20"/>
              </w:rPr>
              <w:t>Type de contrat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7F7418" w14:textId="77777777" w:rsidR="009572C6" w:rsidRDefault="005C66CC">
            <w:r>
              <w:rPr>
                <w:sz w:val="20"/>
                <w:szCs w:val="20"/>
              </w:rPr>
              <w:t xml:space="preserve">Contrat de prestation de services — </w:t>
            </w:r>
            <w:r>
              <w:rPr>
                <w:sz w:val="20"/>
                <w:szCs w:val="20"/>
              </w:rPr>
              <w:t>expert international individuel, interventions sur bons de commande trimestriels.</w:t>
            </w:r>
          </w:p>
        </w:tc>
      </w:tr>
      <w:tr w:rsidR="009572C6" w14:paraId="08F6D6AA" w14:textId="77777777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387C5" w14:textId="77777777" w:rsidR="009572C6" w:rsidRDefault="005C66CC">
            <w:r>
              <w:rPr>
                <w:sz w:val="20"/>
                <w:szCs w:val="20"/>
              </w:rPr>
              <w:t>Volume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9C3DAC" w14:textId="77777777" w:rsidR="009572C6" w:rsidRDefault="005C66CC">
            <w:r>
              <w:rPr>
                <w:sz w:val="20"/>
                <w:szCs w:val="20"/>
              </w:rPr>
              <w:t>92 H/J, incluant le temps de déplacement et de rédaction des rapports.</w:t>
            </w:r>
          </w:p>
        </w:tc>
      </w:tr>
      <w:tr w:rsidR="009572C6" w14:paraId="6EC0C650" w14:textId="77777777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95EFCF" w14:textId="77777777" w:rsidR="009572C6" w:rsidRDefault="005C66CC">
            <w:r>
              <w:rPr>
                <w:sz w:val="20"/>
                <w:szCs w:val="20"/>
              </w:rPr>
              <w:t>Durée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D8695" w14:textId="77777777" w:rsidR="009572C6" w:rsidRDefault="005C66CC">
            <w:r>
              <w:rPr>
                <w:sz w:val="20"/>
                <w:szCs w:val="20"/>
              </w:rPr>
              <w:t>Juin 2026 – Mars 2027.</w:t>
            </w:r>
          </w:p>
        </w:tc>
      </w:tr>
      <w:tr w:rsidR="009572C6" w14:paraId="7F498AF0" w14:textId="77777777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84DBA4" w14:textId="77777777" w:rsidR="009572C6" w:rsidRDefault="005C66CC">
            <w:r>
              <w:rPr>
                <w:sz w:val="20"/>
                <w:szCs w:val="20"/>
              </w:rPr>
              <w:t>Lieu de travail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B0C74" w14:textId="77777777" w:rsidR="009572C6" w:rsidRDefault="005C66CC">
            <w:r>
              <w:rPr>
                <w:sz w:val="20"/>
                <w:szCs w:val="20"/>
              </w:rPr>
              <w:t xml:space="preserve">Domicile et Alger, avec déplacements réguliers </w:t>
            </w:r>
            <w:r>
              <w:rPr>
                <w:sz w:val="20"/>
                <w:szCs w:val="20"/>
              </w:rPr>
              <w:t>en région.</w:t>
            </w:r>
          </w:p>
        </w:tc>
      </w:tr>
      <w:tr w:rsidR="009572C6" w14:paraId="1B5BC839" w14:textId="77777777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64205C" w14:textId="77777777" w:rsidR="009572C6" w:rsidRDefault="005C66CC">
            <w:r>
              <w:rPr>
                <w:sz w:val="20"/>
                <w:szCs w:val="20"/>
              </w:rPr>
              <w:t>Frais de déplacement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3A36F8" w14:textId="77777777" w:rsidR="009572C6" w:rsidRDefault="005C66CC">
            <w:r>
              <w:rPr>
                <w:sz w:val="20"/>
                <w:szCs w:val="20"/>
              </w:rPr>
              <w:t>Remboursés sur justificatifs selon les procédures du Programme Économie Bleue.</w:t>
            </w:r>
          </w:p>
        </w:tc>
      </w:tr>
      <w:tr w:rsidR="009572C6" w14:paraId="135808AB" w14:textId="77777777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1CFD90" w14:textId="77777777" w:rsidR="009572C6" w:rsidRDefault="005C66CC">
            <w:r>
              <w:rPr>
                <w:sz w:val="20"/>
                <w:szCs w:val="20"/>
              </w:rPr>
              <w:t>Déclenchement du paiement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384266" w14:textId="77777777" w:rsidR="009572C6" w:rsidRDefault="005C66CC">
            <w:r>
              <w:rPr>
                <w:sz w:val="20"/>
                <w:szCs w:val="20"/>
              </w:rPr>
              <w:t>Clôture du bon de commande trimestriel après validation écrite des livrables correspondants.</w:t>
            </w:r>
          </w:p>
        </w:tc>
      </w:tr>
      <w:tr w:rsidR="009572C6" w14:paraId="1FBB1D54" w14:textId="77777777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131C8" w14:textId="77777777" w:rsidR="009572C6" w:rsidRDefault="005C66CC">
            <w:r>
              <w:rPr>
                <w:sz w:val="20"/>
                <w:szCs w:val="20"/>
              </w:rPr>
              <w:t>Supervision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F9F32" w14:textId="77777777" w:rsidR="009572C6" w:rsidRDefault="005C66CC">
            <w:r>
              <w:rPr>
                <w:sz w:val="20"/>
                <w:szCs w:val="20"/>
              </w:rPr>
              <w:t xml:space="preserve">Expert </w:t>
            </w:r>
            <w:r>
              <w:rPr>
                <w:sz w:val="20"/>
                <w:szCs w:val="20"/>
              </w:rPr>
              <w:t>Référent Pêche et Aquaculture et Chef de Projet Adjoint.</w:t>
            </w:r>
          </w:p>
        </w:tc>
      </w:tr>
      <w:tr w:rsidR="009572C6" w14:paraId="55FE40E8" w14:textId="77777777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60E306" w14:textId="77777777" w:rsidR="009572C6" w:rsidRDefault="005C66CC">
            <w:r>
              <w:rPr>
                <w:sz w:val="20"/>
                <w:szCs w:val="20"/>
              </w:rPr>
              <w:t>Rapportage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F25044" w14:textId="77777777" w:rsidR="009572C6" w:rsidRDefault="005C66CC">
            <w:r>
              <w:rPr>
                <w:sz w:val="20"/>
                <w:szCs w:val="20"/>
              </w:rPr>
              <w:t>Notes méthodologiques ; rapports trimestriels ; rapport final de mission (mars 2027).</w:t>
            </w:r>
          </w:p>
        </w:tc>
      </w:tr>
      <w:tr w:rsidR="009572C6" w14:paraId="0611C023" w14:textId="77777777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CD5F5" w14:textId="77777777" w:rsidR="009572C6" w:rsidRDefault="005C66CC">
            <w:r>
              <w:rPr>
                <w:sz w:val="20"/>
                <w:szCs w:val="20"/>
              </w:rPr>
              <w:t>Propriété intellectuelle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78CB09" w14:textId="77777777" w:rsidR="009572C6" w:rsidRDefault="005C66CC">
            <w:r>
              <w:rPr>
                <w:sz w:val="20"/>
                <w:szCs w:val="20"/>
              </w:rPr>
              <w:t>Toutes les productions (notes, référentiels, outils, supports de formation,</w:t>
            </w:r>
            <w:r>
              <w:rPr>
                <w:sz w:val="20"/>
                <w:szCs w:val="20"/>
              </w:rPr>
              <w:t xml:space="preserve"> rapports, développements numériques) sont la propriété exclusive du Programme Économie Bleue, Pêche et Aquaculture.</w:t>
            </w:r>
          </w:p>
        </w:tc>
      </w:tr>
    </w:tbl>
    <w:p w14:paraId="7204A41A" w14:textId="77777777" w:rsidR="009572C6" w:rsidRDefault="005C66CC">
      <w:pPr>
        <w:pStyle w:val="Titre1"/>
      </w:pPr>
      <w:r>
        <w:t>6. Langue de travail</w:t>
      </w:r>
    </w:p>
    <w:p w14:paraId="37186BC9" w14:textId="77777777" w:rsidR="009572C6" w:rsidRDefault="005C66CC">
      <w:pPr>
        <w:spacing w:after="160"/>
      </w:pPr>
      <w:r>
        <w:t xml:space="preserve">Le français est la langue de travail de la mission. Les rapports de mission et l'ensemble des documents annexés sont </w:t>
      </w:r>
      <w:r>
        <w:t>rédigés en langue française.</w:t>
      </w:r>
    </w:p>
    <w:p w14:paraId="3EEBDF0D" w14:textId="77777777" w:rsidR="009572C6" w:rsidRDefault="005C66CC">
      <w:pPr>
        <w:pStyle w:val="Titre1"/>
      </w:pPr>
      <w:r>
        <w:t>7. Processus de Sélection</w:t>
      </w:r>
    </w:p>
    <w:p w14:paraId="79D8D82D" w14:textId="77777777" w:rsidR="009572C6" w:rsidRDefault="005C66CC">
      <w:pPr>
        <w:spacing w:after="160"/>
      </w:pPr>
      <w:bookmarkStart w:id="0" w:name="_GoBack"/>
      <w:r>
        <w:lastRenderedPageBreak/>
        <w:t>La mission fait l'objet d'un appel à candidatures. Le dossier de candidature comprend : un CV détaillé, une note méthodologique accompagnée d'une proposition financière (3 pages maximum), ainsi que des</w:t>
      </w:r>
      <w:r>
        <w:t xml:space="preserve"> références de missions similaires. La sélection inclut un entretien avec l'équipe de projet.</w:t>
      </w:r>
    </w:p>
    <w:bookmarkEnd w:id="0"/>
    <w:p w14:paraId="0EEA2A1D" w14:textId="77777777" w:rsidR="009572C6" w:rsidRDefault="005C66CC">
      <w:pPr>
        <w:pStyle w:val="Titre1"/>
      </w:pPr>
      <w:r>
        <w:t>8. Dispositions Générales</w:t>
      </w:r>
    </w:p>
    <w:p w14:paraId="485E6670" w14:textId="77777777" w:rsidR="009572C6" w:rsidRDefault="005C66CC">
      <w:pPr>
        <w:spacing w:after="160"/>
      </w:pPr>
      <w:r>
        <w:t xml:space="preserve">Toute production intellectuelle réalisée dans le cadre de cette mission — notes, référentiels, outils, supports de formation, rapports, </w:t>
      </w:r>
      <w:r>
        <w:t>développements numériques (application PMS, plateforme marketplace, système Sitphal) — est la propriété exclusive du Programme Économie Bleue, Pêche et Aquaculture.</w:t>
      </w:r>
    </w:p>
    <w:p w14:paraId="688CB099" w14:textId="77777777" w:rsidR="009572C6" w:rsidRDefault="005C66CC">
      <w:pPr>
        <w:spacing w:after="160"/>
      </w:pPr>
      <w:r>
        <w:t>Toute sous-traitance est soumise à l'accord préalable écrit du Programme. L'expert reste re</w:t>
      </w:r>
      <w:r>
        <w:t>sponsable de la qualité et de la conformité des productions, qu'elles soient réalisées directement ou par un sous-traitant.</w:t>
      </w:r>
    </w:p>
    <w:p w14:paraId="785FDC95" w14:textId="77777777" w:rsidR="009572C6" w:rsidRDefault="005C66CC">
      <w:pPr>
        <w:spacing w:after="160"/>
      </w:pPr>
      <w:r>
        <w:t>Les informations auxquelles l'expert aura accès (données de production, données commerciales des opérateurs, informations des partie</w:t>
      </w:r>
      <w:r>
        <w:t>s prenantes institutionnelles) sont confidentielles et ne peuvent être utilisées en dehors du cadre de la mission.</w:t>
      </w:r>
    </w:p>
    <w:p w14:paraId="109E3BC4" w14:textId="77777777" w:rsidR="009572C6" w:rsidRDefault="005C66CC">
      <w:pPr>
        <w:spacing w:after="160"/>
      </w:pPr>
      <w:r>
        <w:t>Aucun paiement ne sera déclenché sans validation écrite du livrable correspondant par le responsable du programme.</w:t>
      </w:r>
    </w:p>
    <w:sectPr w:rsidR="009572C6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92C8B" w14:textId="77777777" w:rsidR="005C66CC" w:rsidRDefault="005C66CC">
      <w:r>
        <w:separator/>
      </w:r>
    </w:p>
  </w:endnote>
  <w:endnote w:type="continuationSeparator" w:id="0">
    <w:p w14:paraId="05D54D6C" w14:textId="77777777" w:rsidR="005C66CC" w:rsidRDefault="005C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E58B2" w14:textId="1D11B132" w:rsidR="009572C6" w:rsidRDefault="005C66CC">
    <w:pPr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60C54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9D320" w14:textId="77777777" w:rsidR="005C66CC" w:rsidRDefault="005C66CC">
      <w:r>
        <w:separator/>
      </w:r>
    </w:p>
  </w:footnote>
  <w:footnote w:type="continuationSeparator" w:id="0">
    <w:p w14:paraId="58FB9C0C" w14:textId="77777777" w:rsidR="005C66CC" w:rsidRDefault="005C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097A5" w14:textId="77777777" w:rsidR="009572C6" w:rsidRDefault="005C66CC">
    <w:pPr>
      <w:jc w:val="right"/>
    </w:pPr>
    <w:r>
      <w:rPr>
        <w:color w:val="808080"/>
        <w:sz w:val="16"/>
        <w:szCs w:val="16"/>
      </w:rPr>
      <w:t>TdR – Expert International Halles à Marée – Algérie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86E"/>
    <w:multiLevelType w:val="hybridMultilevel"/>
    <w:tmpl w:val="DA86F208"/>
    <w:lvl w:ilvl="0" w:tplc="B3FC490E">
      <w:start w:val="1"/>
      <w:numFmt w:val="bullet"/>
      <w:lvlText w:val="•"/>
      <w:lvlJc w:val="left"/>
      <w:pPr>
        <w:ind w:left="720" w:hanging="360"/>
      </w:pPr>
    </w:lvl>
    <w:lvl w:ilvl="1" w:tplc="1D6889E6">
      <w:numFmt w:val="decimal"/>
      <w:lvlText w:val=""/>
      <w:lvlJc w:val="left"/>
    </w:lvl>
    <w:lvl w:ilvl="2" w:tplc="D3DA1414">
      <w:numFmt w:val="decimal"/>
      <w:lvlText w:val=""/>
      <w:lvlJc w:val="left"/>
    </w:lvl>
    <w:lvl w:ilvl="3" w:tplc="C4FA396E">
      <w:numFmt w:val="decimal"/>
      <w:lvlText w:val=""/>
      <w:lvlJc w:val="left"/>
    </w:lvl>
    <w:lvl w:ilvl="4" w:tplc="A58434A2">
      <w:numFmt w:val="decimal"/>
      <w:lvlText w:val=""/>
      <w:lvlJc w:val="left"/>
    </w:lvl>
    <w:lvl w:ilvl="5" w:tplc="8C60CEDC">
      <w:numFmt w:val="decimal"/>
      <w:lvlText w:val=""/>
      <w:lvlJc w:val="left"/>
    </w:lvl>
    <w:lvl w:ilvl="6" w:tplc="6E308F4A">
      <w:numFmt w:val="decimal"/>
      <w:lvlText w:val=""/>
      <w:lvlJc w:val="left"/>
    </w:lvl>
    <w:lvl w:ilvl="7" w:tplc="6B94A24C">
      <w:numFmt w:val="decimal"/>
      <w:lvlText w:val=""/>
      <w:lvlJc w:val="left"/>
    </w:lvl>
    <w:lvl w:ilvl="8" w:tplc="B01A42E6">
      <w:numFmt w:val="decimal"/>
      <w:lvlText w:val=""/>
      <w:lvlJc w:val="left"/>
    </w:lvl>
  </w:abstractNum>
  <w:abstractNum w:abstractNumId="1" w15:restartNumberingAfterBreak="0">
    <w:nsid w:val="641826CC"/>
    <w:multiLevelType w:val="hybridMultilevel"/>
    <w:tmpl w:val="3A8A42C0"/>
    <w:lvl w:ilvl="0" w:tplc="25D6D664">
      <w:start w:val="1"/>
      <w:numFmt w:val="bullet"/>
      <w:lvlText w:val="●"/>
      <w:lvlJc w:val="left"/>
      <w:pPr>
        <w:ind w:left="720" w:hanging="360"/>
      </w:pPr>
    </w:lvl>
    <w:lvl w:ilvl="1" w:tplc="77707BE0">
      <w:start w:val="1"/>
      <w:numFmt w:val="bullet"/>
      <w:lvlText w:val="○"/>
      <w:lvlJc w:val="left"/>
      <w:pPr>
        <w:ind w:left="1440" w:hanging="360"/>
      </w:pPr>
    </w:lvl>
    <w:lvl w:ilvl="2" w:tplc="B5E49460">
      <w:start w:val="1"/>
      <w:numFmt w:val="bullet"/>
      <w:lvlText w:val="■"/>
      <w:lvlJc w:val="left"/>
      <w:pPr>
        <w:ind w:left="2160" w:hanging="360"/>
      </w:pPr>
    </w:lvl>
    <w:lvl w:ilvl="3" w:tplc="BD948668">
      <w:start w:val="1"/>
      <w:numFmt w:val="bullet"/>
      <w:lvlText w:val="●"/>
      <w:lvlJc w:val="left"/>
      <w:pPr>
        <w:ind w:left="2880" w:hanging="360"/>
      </w:pPr>
    </w:lvl>
    <w:lvl w:ilvl="4" w:tplc="B8EA630E">
      <w:start w:val="1"/>
      <w:numFmt w:val="bullet"/>
      <w:lvlText w:val="○"/>
      <w:lvlJc w:val="left"/>
      <w:pPr>
        <w:ind w:left="3600" w:hanging="360"/>
      </w:pPr>
    </w:lvl>
    <w:lvl w:ilvl="5" w:tplc="AFFCD97A">
      <w:start w:val="1"/>
      <w:numFmt w:val="bullet"/>
      <w:lvlText w:val="■"/>
      <w:lvlJc w:val="left"/>
      <w:pPr>
        <w:ind w:left="4320" w:hanging="360"/>
      </w:pPr>
    </w:lvl>
    <w:lvl w:ilvl="6" w:tplc="DFE03EB8">
      <w:start w:val="1"/>
      <w:numFmt w:val="bullet"/>
      <w:lvlText w:val="●"/>
      <w:lvlJc w:val="left"/>
      <w:pPr>
        <w:ind w:left="5040" w:hanging="360"/>
      </w:pPr>
    </w:lvl>
    <w:lvl w:ilvl="7" w:tplc="A970D654">
      <w:start w:val="1"/>
      <w:numFmt w:val="bullet"/>
      <w:lvlText w:val="●"/>
      <w:lvlJc w:val="left"/>
      <w:pPr>
        <w:ind w:left="5760" w:hanging="360"/>
      </w:pPr>
    </w:lvl>
    <w:lvl w:ilvl="8" w:tplc="F0D4A7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C6"/>
    <w:rsid w:val="005C66CC"/>
    <w:rsid w:val="008C3989"/>
    <w:rsid w:val="009572C6"/>
    <w:rsid w:val="00E60C54"/>
    <w:rsid w:val="00EA341D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AF83"/>
  <w15:docId w15:val="{711E3E63-C124-4F54-A4D6-AAC089A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20" w:after="200"/>
      <w:outlineLvl w:val="0"/>
    </w:pPr>
    <w:rPr>
      <w:b/>
      <w:bCs/>
      <w:color w:val="1F4E5F"/>
      <w:sz w:val="28"/>
      <w:szCs w:val="28"/>
    </w:rPr>
  </w:style>
  <w:style w:type="paragraph" w:styleId="Titre2">
    <w:name w:val="heading 2"/>
    <w:uiPriority w:val="9"/>
    <w:unhideWhenUsed/>
    <w:qFormat/>
    <w:pPr>
      <w:spacing w:before="220" w:after="140"/>
      <w:outlineLvl w:val="1"/>
    </w:pPr>
    <w:rPr>
      <w:b/>
      <w:bCs/>
      <w:color w:val="1F4E5F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2655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Anne-Laure LEREBOULLET</cp:lastModifiedBy>
  <cp:revision>2</cp:revision>
  <dcterms:created xsi:type="dcterms:W3CDTF">2026-06-24T07:35:00Z</dcterms:created>
  <dcterms:modified xsi:type="dcterms:W3CDTF">2026-06-24T07:35:00Z</dcterms:modified>
</cp:coreProperties>
</file>