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61" w:line="259" w:lineRule="auto"/>
        <w:ind w:right="0" w:left="0"/>
        <w:jc w:val="left"/>
        <w:rPr>
          <w:rFonts w:ascii="LOUGUIYAFR" w:hAnsi="LOUGUIYAFR" w:eastAsia="LOUGUIYAFR" w:cs="LOUGUIYAFR"/>
        </w:rPr>
      </w:pPr>
      <w:r>
        <w:rPr>
          <w:lang w:val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-747395</wp:posOffset>
                </wp:positionH>
                <wp:positionV relativeFrom="paragraph">
                  <wp:posOffset>46990</wp:posOffset>
                </wp:positionV>
                <wp:extent cx="474980" cy="481330"/>
                <wp:effectExtent l="0" t="0" r="0" b="0"/>
                <wp:wrapNone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74980" cy="4813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1312;o:allowoverlap:true;o:allowincell:true;mso-position-horizontal-relative:text;margin-left:-58.85pt;mso-position-horizontal:absolute;mso-position-vertical-relative:text;margin-top:3.70pt;mso-position-vertical:absolute;width:37.40pt;height:37.90pt;mso-wrap-distance-left:9.00pt;mso-wrap-distance-top:0.00pt;mso-wrap-distance-right:9.00pt;mso-wrap-distance-bottom:0.00pt;z-index:1;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LOUGUIYAFR" w:hAnsi="LOUGUIYAFR" w:eastAsia="LOUGUIYAFR" w:cs="LOUGUIYAFR"/>
        </w:rPr>
        <w:t xml:space="preserve">  </w:t>
      </w:r>
      <w:r>
        <w:rPr>
          <w:lang w:val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  <wp:simplePos x="0" y="0"/>
                <wp:positionH relativeFrom="column">
                  <wp:posOffset>-900429</wp:posOffset>
                </wp:positionH>
                <wp:positionV relativeFrom="paragraph">
                  <wp:posOffset>-368934</wp:posOffset>
                </wp:positionV>
                <wp:extent cx="8325485" cy="939165"/>
                <wp:effectExtent l="0" t="0" r="0" b="0"/>
                <wp:wrapNone/>
                <wp:docPr id="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/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325485" cy="9391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58240;o:allowoverlap:true;o:allowincell:true;mso-position-horizontal-relative:text;margin-left:-70.90pt;mso-position-horizontal:absolute;mso-position-vertical-relative:text;margin-top:-29.05pt;mso-position-vertical:absolute;width:655.55pt;height:73.95pt;mso-wrap-distance-left:0.00pt;mso-wrap-distance-top:0.00pt;mso-wrap-distance-right:0.00pt;mso-wrap-distance-bottom:0.00pt;z-index:1;">
                <v:imagedata r:id="rId10" o:title=""/>
                <o:lock v:ext="edit" rotation="t"/>
              </v:shape>
            </w:pict>
          </mc:Fallback>
        </mc:AlternateContent>
      </w:r>
      <w:r>
        <w:rPr>
          <w:lang w:val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-852486</wp:posOffset>
                </wp:positionH>
                <wp:positionV relativeFrom="paragraph">
                  <wp:posOffset>-13016</wp:posOffset>
                </wp:positionV>
                <wp:extent cx="3895725" cy="567690"/>
                <wp:effectExtent l="0" t="0" r="0" b="0"/>
                <wp:wrapNone/>
                <wp:docPr id="3" name="Rectangle avec coin arrond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3402900" y="3500918"/>
                          <a:ext cx="3886200" cy="558165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line="240" w:lineRule="auto"/>
                              <w:ind w:right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251659264;o:allowoverlap:true;o:allowincell:true;mso-position-horizontal-relative:text;margin-left:-67.12pt;mso-position-horizontal:absolute;mso-position-vertical-relative:text;margin-top:-1.02pt;mso-position-vertical:absolute;width:306.75pt;height:44.70pt;mso-wrap-distance-left:9.00pt;mso-wrap-distance-top:0.00pt;mso-wrap-distance-right:9.00pt;mso-wrap-distance-bottom:0.00pt;v-text-anchor:middle;visibility:visible;" fillcolor="#FFFFFF" stroked="f">
                <v:textbox inset="0,0,0,0">
                  <w:txbxContent>
                    <w:p>
                      <w:pPr>
                        <w:pBdr/>
                        <w:spacing w:after="0" w:line="240" w:lineRule="auto"/>
                        <w:ind w:right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val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-119378</wp:posOffset>
                </wp:positionH>
                <wp:positionV relativeFrom="paragraph">
                  <wp:posOffset>157480</wp:posOffset>
                </wp:positionV>
                <wp:extent cx="1398905" cy="278765"/>
                <wp:effectExtent l="0" t="0" r="0" b="0"/>
                <wp:wrapNone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398905" cy="278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251660288;o:allowoverlap:true;o:allowincell:true;mso-position-horizontal-relative:text;margin-left:-9.40pt;mso-position-horizontal:absolute;mso-position-vertical-relative:text;margin-top:12.40pt;mso-position-vertical:absolute;width:110.15pt;height:21.95pt;mso-wrap-distance-left:9.00pt;mso-wrap-distance-top:0.00pt;mso-wrap-distance-right:9.00pt;mso-wrap-distance-bottom:0.00pt;z-index:1;">
                <v:imagedata r:id="rId11" o:title=""/>
                <o:lock v:ext="edit" rotation="t"/>
              </v:shape>
            </w:pict>
          </mc:Fallback>
        </mc:AlternateContent>
      </w:r>
      <w:r>
        <w:rPr>
          <w:lang w:val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127635</wp:posOffset>
                </wp:positionV>
                <wp:extent cx="365760" cy="365760"/>
                <wp:effectExtent l="0" t="0" r="0" b="0"/>
                <wp:wrapNone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65760" cy="365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251662336;o:allowoverlap:true;o:allowincell:true;mso-position-horizontal-relative:text;margin-left:142.10pt;mso-position-horizontal:absolute;mso-position-vertical-relative:text;margin-top:10.05pt;mso-position-vertical:absolute;width:28.80pt;height:28.80pt;mso-wrap-distance-left:9.00pt;mso-wrap-distance-top:0.00pt;mso-wrap-distance-right:9.00pt;mso-wrap-distance-bottom:0.00pt;z-index:1;">
                <v:imagedata r:id="rId12" o:title=""/>
                <o:lock v:ext="edit" rotation="t"/>
              </v:shape>
            </w:pict>
          </mc:Fallback>
        </mc:AlternateContent>
      </w:r>
      <w:r>
        <w:rPr>
          <w:lang w:val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2209483</wp:posOffset>
                </wp:positionH>
                <wp:positionV relativeFrom="paragraph">
                  <wp:posOffset>206693</wp:posOffset>
                </wp:positionV>
                <wp:extent cx="828675" cy="321945"/>
                <wp:effectExtent l="0" t="0" r="0" b="0"/>
                <wp:wrapNone/>
                <wp:docPr id="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4936425" y="3623790"/>
                          <a:ext cx="81915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line="240" w:lineRule="auto"/>
                              <w:ind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color w:val="000000"/>
                                <w:sz w:val="8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251663360;o:allowoverlap:true;o:allowincell:true;mso-position-horizontal-relative:text;margin-left:173.98pt;mso-position-horizontal:absolute;mso-position-vertical-relative:text;margin-top:16.28pt;mso-position-vertical:absolute;width:65.25pt;height:25.35pt;mso-wrap-distance-left:2.88pt;mso-wrap-distance-top:2.88pt;mso-wrap-distance-right:2.88pt;mso-wrap-distance-bottom:2.88pt;v-text-anchor:top;visibility:visible;" filled="f" stroked="f">
                <v:textbox inset="0,0,0,0">
                  <w:txbxContent>
                    <w:p>
                      <w:pPr>
                        <w:pBdr/>
                        <w:spacing w:after="0" w:line="240" w:lineRule="auto"/>
                        <w:ind/>
                        <w:rPr/>
                      </w:pPr>
                      <w:r>
                        <w:rPr>
                          <w:rFonts w:ascii="Arial" w:hAnsi="Arial" w:eastAsia="Arial" w:cs="Arial"/>
                          <w:color w:val="000000"/>
                          <w:sz w:val="8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LOUGUIYAFR" w:hAnsi="LOUGUIYAFR" w:eastAsia="LOUGUIYAFR" w:cs="LOUGUIYAFR"/>
        </w:rPr>
      </w:r>
      <w:r>
        <w:rPr>
          <w:rFonts w:ascii="LOUGUIYAFR" w:hAnsi="LOUGUIYAFR" w:eastAsia="LOUGUIYAFR" w:cs="LOUGUIYAFR"/>
        </w:rPr>
      </w:r>
    </w:p>
    <w:p>
      <w:pPr>
        <w:pBdr/>
        <w:spacing w:after="161" w:line="259" w:lineRule="auto"/>
        <w:ind w:right="0" w:left="0"/>
        <w:jc w:val="left"/>
        <w:rPr>
          <w:rFonts w:ascii="LOUGUIYAFR" w:hAnsi="LOUGUIYAFR" w:eastAsia="LOUGUIYAFR" w:cs="LOUGUIYAFR"/>
        </w:rPr>
      </w:pPr>
      <w:r>
        <w:rPr>
          <w:rFonts w:ascii="LOUGUIYAFR" w:hAnsi="LOUGUIYAFR" w:eastAsia="LOUGUIYAFR" w:cs="LOUGUIYAFR"/>
        </w:rPr>
      </w:r>
      <w:r>
        <w:rPr>
          <w:rFonts w:ascii="LOUGUIYAFR" w:hAnsi="LOUGUIYAFR" w:eastAsia="LOUGUIYAFR" w:cs="LOUGUIYAFR"/>
        </w:rPr>
      </w:r>
      <w:r>
        <w:rPr>
          <w:rFonts w:ascii="LOUGUIYAFR" w:hAnsi="LOUGUIYAFR" w:eastAsia="LOUGUIYAFR" w:cs="LOUGUIYAFR"/>
        </w:rPr>
      </w:r>
    </w:p>
    <w:p>
      <w:pPr>
        <w:pBdr/>
        <w:spacing w:after="161" w:line="259" w:lineRule="auto"/>
        <w:ind w:right="0" w:left="0"/>
        <w:jc w:val="left"/>
        <w:rPr>
          <w:rFonts w:ascii="LOUGUIYAFR" w:hAnsi="LOUGUIYAFR" w:eastAsia="LOUGUIYAFR" w:cs="LOUGUIYAFR"/>
          <w:b/>
          <w:bCs/>
          <w:sz w:val="24"/>
          <w:szCs w:val="24"/>
        </w:rPr>
      </w:pPr>
      <w:r>
        <w:rPr>
          <w:rFonts w:ascii="LOUGUIYAFR" w:hAnsi="LOUGUIYAFR" w:eastAsia="LOUGUIYAFR" w:cs="LOUGUIYAFR"/>
          <w:b/>
          <w:bCs/>
          <w:sz w:val="24"/>
          <w:szCs w:val="24"/>
        </w:rPr>
      </w:r>
      <w:r>
        <w:rPr>
          <w:rFonts w:ascii="LOUGUIYAFR" w:hAnsi="LOUGUIYAFR" w:eastAsia="LOUGUIYAFR" w:cs="LOUGUIYAFR"/>
          <w:b/>
          <w:bCs/>
          <w:sz w:val="24"/>
          <w:szCs w:val="24"/>
        </w:rPr>
      </w:r>
      <w:r>
        <w:rPr>
          <w:rFonts w:ascii="LOUGUIYAFR" w:hAnsi="LOUGUIYAFR" w:eastAsia="LOUGUIYAFR" w:cs="LOUGUIYAFR"/>
          <w:b/>
          <w:bCs/>
          <w:sz w:val="24"/>
          <w:szCs w:val="24"/>
        </w:rPr>
      </w:r>
    </w:p>
    <w:p>
      <w:pPr>
        <w:pBdr/>
        <w:tabs>
          <w:tab w:val="center" w:leader="none" w:pos="4519"/>
          <w:tab w:val="center" w:leader="none" w:pos="5448"/>
        </w:tabs>
        <w:spacing w:after="461" w:line="259" w:lineRule="auto"/>
        <w:ind w:right="0" w:left="0"/>
        <w:jc w:val="center"/>
        <w:rPr>
          <w:rFonts w:ascii="LOUGUIYAFR" w:hAnsi="LOUGUIYAFR" w:eastAsia="LOUGUIYAFR" w:cs="LOUGUIYAFR"/>
          <w:b/>
          <w:bCs/>
          <w:color w:val="0e408a"/>
          <w:sz w:val="24"/>
          <w:szCs w:val="24"/>
        </w:rPr>
      </w:pPr>
      <w:r>
        <w:rPr>
          <w:rFonts w:ascii="LOUGUIYAFR" w:hAnsi="LOUGUIYAFR" w:eastAsia="LOUGUIYAFR" w:cs="LOUGUIYAFR"/>
          <w:b/>
          <w:bCs/>
          <w:color w:val="0e408a"/>
          <w:sz w:val="24"/>
          <w:szCs w:val="24"/>
        </w:rPr>
        <w:t xml:space="preserve">Projet d’appui à la Gouvernance Financière et administrative en Mauritanie (PAGFAM)</w:t>
      </w:r>
      <w:r>
        <w:rPr>
          <w:rFonts w:ascii="LOUGUIYAFR" w:hAnsi="LOUGUIYAFR" w:eastAsia="LOUGUIYAFR" w:cs="LOUGUIYAFR"/>
          <w:b/>
          <w:bCs/>
          <w:color w:val="0e408a"/>
          <w:sz w:val="24"/>
          <w:szCs w:val="24"/>
        </w:rPr>
      </w:r>
      <w:r>
        <w:rPr>
          <w:rFonts w:ascii="LOUGUIYAFR" w:hAnsi="LOUGUIYAFR" w:eastAsia="LOUGUIYAFR" w:cs="LOUGUIYAFR"/>
          <w:b/>
          <w:bCs/>
          <w:color w:val="0e408a"/>
          <w:sz w:val="24"/>
          <w:szCs w:val="24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clear" w:color="auto" w:fill="002060"/>
        <w:spacing w:after="171" w:line="259" w:lineRule="auto"/>
        <w:ind w:right="2" w:left="0"/>
        <w:jc w:val="center"/>
        <w:rPr>
          <w:rFonts w:ascii="LOUGUIYAFR" w:hAnsi="LOUGUIYAFR" w:eastAsia="LOUGUIYAFR" w:cs="LOUGUIYAFR"/>
        </w:rPr>
      </w:pPr>
      <w:r>
        <w:rPr>
          <w:rFonts w:ascii="LOUGUIYAFR" w:hAnsi="LOUGUIYAFR" w:eastAsia="LOUGUIYAFR" w:cs="LOUGUIYAFR"/>
          <w:color w:val="ffffff"/>
        </w:rPr>
        <w:t xml:space="preserve">Termes de référence pour Recrutement d'un expert court terme pour une formation sur la méthodologie de conduite d'une mission d'audit</w:t>
      </w:r>
      <w:r>
        <w:rPr>
          <w:rFonts w:ascii="LOUGUIYAFR" w:hAnsi="LOUGUIYAFR" w:eastAsia="LOUGUIYAFR" w:cs="LOUGUIYAFR"/>
        </w:rPr>
      </w:r>
      <w:r>
        <w:rPr>
          <w:rFonts w:ascii="LOUGUIYAFR" w:hAnsi="LOUGUIYAFR" w:eastAsia="LOUGUIYAFR" w:cs="LOUGUIYAFR"/>
        </w:rPr>
      </w:r>
    </w:p>
    <w:p>
      <w:pPr>
        <w:pStyle w:val="892"/>
        <w:numPr>
          <w:ilvl w:val="0"/>
          <w:numId w:val="1"/>
        </w:numPr>
        <w:pBdr/>
        <w:spacing/>
        <w:ind/>
        <w:rPr/>
      </w:pPr>
      <w:r>
        <w:rPr>
          <w:b/>
          <w:bCs/>
        </w:rPr>
        <w:t xml:space="preserve">Résumé</w:t>
      </w:r>
      <w:r>
        <w:t xml:space="preserve"> </w:t>
      </w:r>
      <w:r/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Expertise France recrute un expert pour renforcer les capacités méthodologiques de l'IGE et de l'IGF. L'expert dispensera une formation de 5 jours axée sur la standardisation des procédures</w:t>
      </w:r>
      <w:r>
        <w:rPr>
          <w:sz w:val="24"/>
          <w:szCs w:val="24"/>
        </w:rPr>
        <w:t xml:space="preserve"> d’audit</w:t>
      </w:r>
      <w:r>
        <w:rPr>
          <w:sz w:val="24"/>
          <w:szCs w:val="24"/>
        </w:rPr>
        <w:t xml:space="preserve">, le volet documentaire et les questionnaires types.</w:t>
      </w:r>
      <w:r>
        <w:rPr>
          <w:sz w:val="24"/>
          <w:szCs w:val="24"/>
        </w:rPr>
        <w:t xml:space="preserve"> Il travaillera en étroite collaboration avec les deux experts du PAGFAM : expert placé au niveau de la DGTCP et expert placé au niveau de la Fonction publique.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numPr>
          <w:ilvl w:val="0"/>
          <w:numId w:val="1"/>
        </w:numPr>
        <w:pBdr/>
        <w:spacing/>
        <w:ind/>
        <w:rPr>
          <w:b/>
          <w:bCs/>
        </w:rPr>
      </w:pPr>
      <w:r>
        <w:rPr>
          <w:b/>
          <w:bCs/>
        </w:rPr>
        <w:t xml:space="preserve">Éléments de contexte : 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Le Programme d'Appui à la Gouvernance financière et Administrative en Mauritanie (PAGFAM) est un projet majeur d'assistance</w:t>
      </w:r>
      <w:r>
        <w:rPr>
          <w:sz w:val="24"/>
          <w:szCs w:val="24"/>
        </w:rPr>
        <w:t xml:space="preserve"> technique à la modernisation de l'Etat mauritanien. Doté par l'Union Européenne d'un budget de 7,9 M€ sur la période 2022-2026, il vise à approfondir les résultats sur la gestion des finances publiques et à élargir l'appui à la gouvernance administrative.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numPr>
          <w:ilvl w:val="0"/>
          <w:numId w:val="1"/>
        </w:numPr>
        <w:pBdr/>
        <w:spacing/>
        <w:ind/>
        <w:rPr>
          <w:b/>
          <w:color w:val="000000"/>
        </w:rPr>
      </w:pPr>
      <w:r>
        <w:rPr>
          <w:b/>
        </w:rPr>
        <w:t xml:space="preserve">Justification 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 w:right="0"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Afin d'harmoniser les pratiques et garantir la qualité des travaux selon les normes internationales, il est nécessaire de renforcer la maîtrise de la méthodologie de conduite d</w:t>
      </w:r>
      <w:r>
        <w:rPr>
          <w:color w:val="000000"/>
          <w:sz w:val="24"/>
          <w:szCs w:val="24"/>
        </w:rPr>
        <w:t xml:space="preserve">’un</w:t>
      </w:r>
      <w:r>
        <w:rPr>
          <w:color w:val="000000"/>
          <w:sz w:val="24"/>
          <w:szCs w:val="24"/>
        </w:rPr>
        <w:t xml:space="preserve">e mission</w:t>
      </w:r>
      <w:r>
        <w:rPr>
          <w:color w:val="000000"/>
          <w:sz w:val="24"/>
          <w:szCs w:val="24"/>
        </w:rPr>
        <w:t xml:space="preserve"> d’audit pour les membres de l’IGE et l’IGF</w:t>
      </w:r>
      <w:r>
        <w:rPr>
          <w:color w:val="000000"/>
          <w:sz w:val="24"/>
          <w:szCs w:val="24"/>
        </w:rPr>
        <w:t xml:space="preserve">. Des capacités limitées ont été relevées sur les outils et techniques de contrôle.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2"/>
        <w:numPr>
          <w:ilvl w:val="0"/>
          <w:numId w:val="1"/>
        </w:numPr>
        <w:pBdr/>
        <w:spacing/>
        <w:ind/>
        <w:rPr>
          <w:b/>
        </w:rPr>
      </w:pPr>
      <w:r>
        <w:rPr>
          <w:b/>
        </w:rPr>
        <w:t xml:space="preserve">Objectif </w:t>
      </w:r>
      <w:r>
        <w:rPr>
          <w:b/>
        </w:rPr>
      </w:r>
      <w:r>
        <w:rPr>
          <w:b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 w:right="0"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Doter les inspecteurs d'une boîte à outils complète pour la conduite de mission, en mettant l'accent sur la rigueur documentaire, la formalisation des contrôles et la preuve </w:t>
      </w:r>
      <w:r>
        <w:rPr>
          <w:color w:val="000000"/>
          <w:sz w:val="24"/>
          <w:szCs w:val="24"/>
        </w:rPr>
        <w:t xml:space="preserve">d'audit..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2"/>
        <w:numPr>
          <w:ilvl w:val="0"/>
          <w:numId w:val="1"/>
        </w:numPr>
        <w:pBdr/>
        <w:spacing/>
        <w:ind/>
        <w:rPr>
          <w:b/>
        </w:rPr>
      </w:pPr>
      <w:r>
        <w:rPr>
          <w:b/>
        </w:rPr>
        <w:t xml:space="preserve">Contenu</w:t>
      </w: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>
        <w:t xml:space="preserve">L'expert devra mettre à disposition son expérience </w:t>
      </w:r>
      <w:r>
        <w:t xml:space="preserve">sur:</w:t>
      </w:r>
      <w:r/>
    </w:p>
    <w:p>
      <w:pPr>
        <w:pBdr/>
        <w:spacing/>
        <w:ind/>
        <w:rPr/>
      </w:pPr>
      <w:r/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/>
        <w:rPr>
          <w:color w:val="000000"/>
        </w:rPr>
      </w:pPr>
      <w:r>
        <w:rPr>
          <w:color w:val="000000"/>
        </w:rPr>
        <w:t xml:space="preserve">L'importance du volet documentaire et de la constitution des dossiers de travail.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/>
        <w:rPr>
          <w:color w:val="000000"/>
        </w:rPr>
      </w:pPr>
      <w:r>
        <w:rPr>
          <w:color w:val="000000"/>
        </w:rPr>
        <w:t xml:space="preserve">Les différents types de contrôles (sur pièces, sur place, inopinés).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/>
        <w:rPr>
          <w:color w:val="000000"/>
        </w:rPr>
      </w:pPr>
      <w:r>
        <w:rPr>
          <w:color w:val="000000"/>
        </w:rPr>
        <w:t xml:space="preserve">L'élaboration et l'utilisation de questionnaires de contrôle interne et questionnaires types.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/>
        <w:rPr>
          <w:color w:val="000000"/>
        </w:rPr>
      </w:pPr>
      <w:r>
        <w:rPr>
          <w:color w:val="000000"/>
        </w:rPr>
        <w:t xml:space="preserve">Les techniques d'entretien et de collecte de preuves.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rPr>
          <w:color w:val="000000"/>
        </w:rPr>
      </w:pPr>
      <w:r>
        <w:rPr>
          <w:color w:val="000000"/>
        </w:rPr>
        <w:t xml:space="preserve">La formalisation des feuilles de travail et la supervision.</w:t>
      </w:r>
      <w:r>
        <w:rPr>
          <w:color w:val="000000"/>
        </w:rPr>
      </w:r>
      <w:r>
        <w:rPr>
          <w:color w:val="000000"/>
        </w:rPr>
      </w:r>
    </w:p>
    <w:p>
      <w:pPr>
        <w:pStyle w:val="892"/>
        <w:numPr>
          <w:ilvl w:val="0"/>
          <w:numId w:val="1"/>
        </w:numPr>
        <w:pBdr/>
        <w:spacing/>
        <w:ind/>
        <w:rPr>
          <w:b/>
        </w:rPr>
      </w:pPr>
      <w:r>
        <w:rPr>
          <w:b/>
        </w:rPr>
        <w:t xml:space="preserve">Livrables attendus</w:t>
      </w:r>
      <w:r>
        <w:rPr>
          <w:b/>
        </w:rPr>
      </w:r>
      <w:r>
        <w:rPr>
          <w:b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280" w:line="240" w:lineRule="auto"/>
        <w:ind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Support de formation et cas pratiques.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Modèles de questionnaires types et de programmes de travail.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Modèles de feuilles de travail standardisées.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 w14:paraId="1787E3D3"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none"/>
        </w:rPr>
        <w:t xml:space="preserve">Travail en bînome avec un cadre national, évaluation des apprenants et réalisation d’un rapport final, selon la méthode de travail du Ministère des Finances. 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</w:rPr>
      </w:r>
    </w:p>
    <w:p>
      <w:pPr>
        <w:pStyle w:val="892"/>
        <w:numPr>
          <w:ilvl w:val="0"/>
          <w:numId w:val="1"/>
        </w:numPr>
        <w:pBdr/>
        <w:spacing/>
        <w:ind/>
        <w:rPr>
          <w:b/>
        </w:rPr>
      </w:pPr>
      <w:r>
        <w:rPr>
          <w:b/>
        </w:rPr>
        <w:t xml:space="preserve">Calendrier et durée prévisionnels</w:t>
      </w: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/>
      <w:r/>
    </w:p>
    <w:tbl>
      <w:tblPr>
        <w:tblStyle w:val="904"/>
        <w:tblInd w:w="0" w:type="dxa"/>
        <w:tblW w:w="8356" w:type="dxa"/>
        <w:tblBorders/>
        <w:tblLayout w:type="fixed"/>
        <w:tblLook w:val="0400" w:firstRow="0" w:lastRow="0" w:firstColumn="0" w:lastColumn="0" w:noHBand="0" w:noVBand="1"/>
      </w:tblPr>
      <w:tblGrid>
        <w:gridCol w:w="3895"/>
        <w:gridCol w:w="1955"/>
        <w:gridCol w:w="2506"/>
      </w:tblGrid>
      <w:tr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38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Activité/Description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Durée (Jours)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Chronogramme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38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FORMATION Méthodologie d'audit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10 jours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38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Préparation à distance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iCs/>
              </w:rPr>
              <w:t xml:space="preserve">5 jours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En amont</w:t>
            </w:r>
            <w:r>
              <w:t xml:space="preserve"> pour la préparation et à l’issue pour la rédaction des rapports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38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Formation sur place à Nouakchott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9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 jours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2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Juin 2026</w:t>
            </w:r>
            <w:r/>
          </w:p>
        </w:tc>
      </w:tr>
    </w:tbl>
    <w:p>
      <w:pPr>
        <w:pBdr/>
        <w:spacing/>
        <w:ind/>
        <w:rPr/>
      </w:pPr>
      <w:r/>
      <w:bookmarkStart w:id="0" w:name="_GoBack"/>
      <w:r/>
      <w:bookmarkEnd w:id="0"/>
      <w:r/>
      <w:r/>
    </w:p>
    <w:p>
      <w:pPr>
        <w:pStyle w:val="892"/>
        <w:numPr>
          <w:ilvl w:val="0"/>
          <w:numId w:val="1"/>
        </w:numPr>
        <w:pBdr/>
        <w:spacing/>
        <w:ind/>
        <w:rPr>
          <w:b/>
        </w:rPr>
      </w:pPr>
      <w:r>
        <w:rPr>
          <w:b/>
        </w:rPr>
        <w:t xml:space="preserve">Profil requis</w:t>
      </w:r>
      <w:r>
        <w:rPr>
          <w:b/>
        </w:rPr>
      </w:r>
      <w:r>
        <w:rPr>
          <w:b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 w:right="0" w:lef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 Diplôme supérieur en audit, contrôle ou finances publiques.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 w:right="0" w:lef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 Membre d'un corps de contrôle ou expérience avérée en audit (Cour des Comptes, IGF...).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40" w:lineRule="auto"/>
        <w:ind w:right="0" w:lef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 Expertise en normalisation des procédures d’audit et contrôle interne.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spacing w:after="139" w:line="265" w:lineRule="auto"/>
        <w:ind w:right="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Bdr/>
        <w:spacing w:after="0" w:line="259" w:lineRule="auto"/>
        <w:ind w:right="0" w:left="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sectPr>
      <w:footnotePr/>
      <w:endnotePr/>
      <w:type w:val="nextPage"/>
      <w:pgSz w:h="16838" w:orient="portrait" w:w="11906"/>
      <w:pgMar w:top="567" w:right="1412" w:bottom="1134" w:left="1418" w:header="1191" w:footer="1191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OUGUIYAFR">
    <w:panose1 w:val="02020702060506020403"/>
  </w:font>
  <w:font w:name="Courier New">
    <w:panose1 w:val="02070309020205020404"/>
  </w:font>
  <w:font w:name="Noto Sans Symbols">
    <w:panose1 w:val="02020702060506020403"/>
  </w:font>
  <w:font w:name="Georgia">
    <w:panose1 w:val="02040502050405020303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B63B8"/>
    <w:lvl w:ilvl="0">
      <w:isLgl w:val="false"/>
      <w:lvlJc w:val="left"/>
      <w:lvlText w:val="%1"/>
      <w:numFmt w:val="decimal"/>
      <w:pPr>
        <w:pBdr/>
        <w:spacing/>
        <w:ind w:hanging="432" w:left="432"/>
      </w:pPr>
      <w:rPr>
        <w:color w:val="0e408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tab"/>
    </w:lvl>
  </w:abstractNum>
  <w:abstractNum w:abstractNumId="1">
    <w:nsid w:val="21D34BE6"/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2">
    <w:nsid w:val="5D80529F"/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fr" w:eastAsia="fr-FR" w:bidi="ar-SA"/>
      </w:rPr>
    </w:rPrDefault>
    <w:pPrDefault>
      <w:pPr>
        <w:pBdr/>
        <w:spacing w:after="5" w:afterAutospacing="0" w:before="0" w:beforeAutospacing="0" w:line="266" w:lineRule="auto"/>
        <w:ind w:right="1" w:firstLine="0" w:left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3">
    <w:name w:val="Table Grid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Table Grid Light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89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1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2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3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4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5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6"/>
    <w:basedOn w:val="8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1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2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3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4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5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6"/>
    <w:basedOn w:val="8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1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2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3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4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5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6"/>
    <w:basedOn w:val="8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7"/>
    <w:basedOn w:val="891"/>
    <w:next w:val="891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0">
    <w:name w:val="Heading 8"/>
    <w:basedOn w:val="891"/>
    <w:next w:val="891"/>
    <w:link w:val="8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Heading 9"/>
    <w:basedOn w:val="891"/>
    <w:next w:val="891"/>
    <w:link w:val="8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2">
    <w:name w:val="Heading 1 Char"/>
    <w:basedOn w:val="898"/>
    <w:link w:val="8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3">
    <w:name w:val="Heading 2 Char"/>
    <w:basedOn w:val="898"/>
    <w:link w:val="8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4">
    <w:name w:val="Heading 3 Char"/>
    <w:basedOn w:val="898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5">
    <w:name w:val="Heading 4 Char"/>
    <w:basedOn w:val="898"/>
    <w:link w:val="8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6">
    <w:name w:val="Heading 5 Char"/>
    <w:basedOn w:val="898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7">
    <w:name w:val="Heading 6 Char"/>
    <w:basedOn w:val="898"/>
    <w:link w:val="8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8">
    <w:name w:val="Heading 7 Char"/>
    <w:basedOn w:val="898"/>
    <w:link w:val="83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9">
    <w:name w:val="Heading 8 Char"/>
    <w:basedOn w:val="898"/>
    <w:link w:val="8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9 Char"/>
    <w:basedOn w:val="898"/>
    <w:link w:val="8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Title Char"/>
    <w:basedOn w:val="898"/>
    <w:link w:val="90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52">
    <w:name w:val="Subtitle Char"/>
    <w:basedOn w:val="898"/>
    <w:link w:val="90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91"/>
    <w:next w:val="891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98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91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9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91"/>
    <w:next w:val="891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98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9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91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98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98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9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91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Header Char"/>
    <w:basedOn w:val="898"/>
    <w:link w:val="866"/>
    <w:uiPriority w:val="99"/>
    <w:pPr>
      <w:pBdr/>
      <w:spacing/>
      <w:ind/>
    </w:pPr>
  </w:style>
  <w:style w:type="paragraph" w:styleId="868">
    <w:name w:val="Footer"/>
    <w:basedOn w:val="891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Footer Char"/>
    <w:basedOn w:val="898"/>
    <w:link w:val="868"/>
    <w:uiPriority w:val="99"/>
    <w:pPr>
      <w:pBdr/>
      <w:spacing/>
      <w:ind/>
    </w:pPr>
  </w:style>
  <w:style w:type="paragraph" w:styleId="870">
    <w:name w:val="Caption"/>
    <w:basedOn w:val="891"/>
    <w:next w:val="89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91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98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98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91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98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98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9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9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1"/>
    <w:basedOn w:val="891"/>
    <w:next w:val="891"/>
    <w:uiPriority w:val="39"/>
    <w:unhideWhenUsed/>
    <w:pPr>
      <w:pBdr/>
      <w:spacing w:after="100"/>
      <w:ind/>
    </w:pPr>
  </w:style>
  <w:style w:type="paragraph" w:styleId="880">
    <w:name w:val="toc 2"/>
    <w:basedOn w:val="891"/>
    <w:next w:val="891"/>
    <w:uiPriority w:val="39"/>
    <w:unhideWhenUsed/>
    <w:pPr>
      <w:pBdr/>
      <w:spacing w:after="100"/>
      <w:ind w:left="220"/>
    </w:pPr>
  </w:style>
  <w:style w:type="paragraph" w:styleId="881">
    <w:name w:val="toc 3"/>
    <w:basedOn w:val="891"/>
    <w:next w:val="891"/>
    <w:uiPriority w:val="39"/>
    <w:unhideWhenUsed/>
    <w:pPr>
      <w:pBdr/>
      <w:spacing w:after="100"/>
      <w:ind w:left="440"/>
    </w:pPr>
  </w:style>
  <w:style w:type="paragraph" w:styleId="882">
    <w:name w:val="toc 4"/>
    <w:basedOn w:val="891"/>
    <w:next w:val="891"/>
    <w:uiPriority w:val="39"/>
    <w:unhideWhenUsed/>
    <w:pPr>
      <w:pBdr/>
      <w:spacing w:after="100"/>
      <w:ind w:left="660"/>
    </w:pPr>
  </w:style>
  <w:style w:type="paragraph" w:styleId="883">
    <w:name w:val="toc 5"/>
    <w:basedOn w:val="891"/>
    <w:next w:val="891"/>
    <w:uiPriority w:val="39"/>
    <w:unhideWhenUsed/>
    <w:pPr>
      <w:pBdr/>
      <w:spacing w:after="100"/>
      <w:ind w:left="880"/>
    </w:pPr>
  </w:style>
  <w:style w:type="paragraph" w:styleId="884">
    <w:name w:val="toc 6"/>
    <w:basedOn w:val="891"/>
    <w:next w:val="891"/>
    <w:uiPriority w:val="39"/>
    <w:unhideWhenUsed/>
    <w:pPr>
      <w:pBdr/>
      <w:spacing w:after="100"/>
      <w:ind w:left="1100"/>
    </w:pPr>
  </w:style>
  <w:style w:type="paragraph" w:styleId="885">
    <w:name w:val="toc 7"/>
    <w:basedOn w:val="891"/>
    <w:next w:val="891"/>
    <w:uiPriority w:val="39"/>
    <w:unhideWhenUsed/>
    <w:pPr>
      <w:pBdr/>
      <w:spacing w:after="100"/>
      <w:ind w:left="1320"/>
    </w:pPr>
  </w:style>
  <w:style w:type="paragraph" w:styleId="886">
    <w:name w:val="toc 8"/>
    <w:basedOn w:val="891"/>
    <w:next w:val="891"/>
    <w:uiPriority w:val="39"/>
    <w:unhideWhenUsed/>
    <w:pPr>
      <w:pBdr/>
      <w:spacing w:after="100"/>
      <w:ind w:left="1540"/>
    </w:pPr>
  </w:style>
  <w:style w:type="paragraph" w:styleId="887">
    <w:name w:val="toc 9"/>
    <w:basedOn w:val="891"/>
    <w:next w:val="891"/>
    <w:uiPriority w:val="39"/>
    <w:unhideWhenUsed/>
    <w:pPr>
      <w:pBdr/>
      <w:spacing w:after="100"/>
      <w:ind w:left="1760"/>
    </w:pPr>
  </w:style>
  <w:style w:type="character" w:styleId="888">
    <w:name w:val="Placeholder Text"/>
    <w:basedOn w:val="898"/>
    <w:uiPriority w:val="99"/>
    <w:semiHidden/>
    <w:pPr>
      <w:pBdr/>
      <w:spacing/>
      <w:ind/>
    </w:pPr>
    <w:rPr>
      <w:color w:val="666666"/>
    </w:r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891"/>
    <w:next w:val="891"/>
    <w:uiPriority w:val="99"/>
    <w:unhideWhenUsed/>
    <w:pPr>
      <w:pBdr/>
      <w:spacing w:after="0" w:afterAutospacing="0"/>
      <w:ind/>
    </w:pPr>
  </w:style>
  <w:style w:type="paragraph" w:styleId="891" w:default="1">
    <w:name w:val="Normal"/>
    <w:pPr>
      <w:pBdr/>
      <w:spacing/>
      <w:ind/>
    </w:pPr>
  </w:style>
  <w:style w:type="paragraph" w:styleId="892">
    <w:name w:val="Heading 1"/>
    <w:basedOn w:val="891"/>
    <w:next w:val="891"/>
    <w:pPr>
      <w:keepNext w:val="true"/>
      <w:keepLines w:val="true"/>
      <w:pBdr/>
      <w:spacing w:after="0" w:before="240"/>
      <w:ind w:hanging="432" w:left="432"/>
      <w:outlineLvl w:val="0"/>
    </w:pPr>
    <w:rPr>
      <w:rFonts w:ascii="Calibri" w:hAnsi="Calibri" w:eastAsia="Calibri" w:cs="Calibri"/>
      <w:color w:val="2f5496"/>
      <w:sz w:val="32"/>
      <w:szCs w:val="32"/>
    </w:rPr>
  </w:style>
  <w:style w:type="paragraph" w:styleId="893">
    <w:name w:val="Heading 2"/>
    <w:basedOn w:val="891"/>
    <w:next w:val="891"/>
    <w:pPr>
      <w:keepNext w:val="true"/>
      <w:keepLines w:val="true"/>
      <w:pBdr/>
      <w:spacing w:after="0" w:before="40"/>
      <w:ind w:hanging="576" w:left="576"/>
      <w:outlineLvl w:val="1"/>
    </w:pPr>
    <w:rPr>
      <w:rFonts w:ascii="Calibri" w:hAnsi="Calibri" w:eastAsia="Calibri" w:cs="Calibri"/>
      <w:color w:val="2f5496"/>
      <w:sz w:val="26"/>
      <w:szCs w:val="26"/>
    </w:rPr>
  </w:style>
  <w:style w:type="paragraph" w:styleId="894">
    <w:name w:val="Heading 3"/>
    <w:basedOn w:val="891"/>
    <w:next w:val="891"/>
    <w:pPr>
      <w:keepNext w:val="true"/>
      <w:keepLines w:val="true"/>
      <w:pBdr/>
      <w:spacing w:after="0" w:before="40"/>
      <w:ind w:hanging="720" w:left="720"/>
      <w:outlineLvl w:val="2"/>
    </w:pPr>
    <w:rPr>
      <w:rFonts w:ascii="Calibri" w:hAnsi="Calibri" w:eastAsia="Calibri" w:cs="Calibri"/>
      <w:color w:val="1f3863"/>
      <w:sz w:val="24"/>
      <w:szCs w:val="24"/>
    </w:rPr>
  </w:style>
  <w:style w:type="paragraph" w:styleId="895">
    <w:name w:val="Heading 4"/>
    <w:basedOn w:val="891"/>
    <w:next w:val="891"/>
    <w:pPr>
      <w:keepNext w:val="true"/>
      <w:keepLines w:val="true"/>
      <w:pBdr/>
      <w:spacing w:after="0" w:before="40"/>
      <w:ind w:hanging="864" w:left="864"/>
      <w:outlineLvl w:val="3"/>
    </w:pPr>
    <w:rPr>
      <w:rFonts w:ascii="Calibri" w:hAnsi="Calibri" w:eastAsia="Calibri" w:cs="Calibri"/>
      <w:i/>
      <w:iCs/>
      <w:color w:val="2f5496"/>
    </w:rPr>
  </w:style>
  <w:style w:type="paragraph" w:styleId="896">
    <w:name w:val="Heading 5"/>
    <w:basedOn w:val="891"/>
    <w:next w:val="891"/>
    <w:pPr>
      <w:keepNext w:val="true"/>
      <w:keepLines w:val="true"/>
      <w:pBdr/>
      <w:spacing w:after="0" w:before="40"/>
      <w:ind w:hanging="1008" w:left="1008"/>
      <w:outlineLvl w:val="4"/>
    </w:pPr>
    <w:rPr>
      <w:rFonts w:ascii="Calibri" w:hAnsi="Calibri" w:eastAsia="Calibri" w:cs="Calibri"/>
      <w:color w:val="2f5496"/>
    </w:rPr>
  </w:style>
  <w:style w:type="paragraph" w:styleId="897">
    <w:name w:val="Heading 6"/>
    <w:basedOn w:val="891"/>
    <w:next w:val="891"/>
    <w:pPr>
      <w:keepNext w:val="true"/>
      <w:keepLines w:val="true"/>
      <w:pBdr/>
      <w:spacing w:after="0" w:before="40"/>
      <w:ind w:hanging="1152" w:left="1152"/>
      <w:outlineLvl w:val="5"/>
    </w:pPr>
    <w:rPr>
      <w:rFonts w:ascii="Calibri" w:hAnsi="Calibri" w:eastAsia="Calibri" w:cs="Calibri"/>
      <w:color w:val="1f3863"/>
    </w:rPr>
  </w:style>
  <w:style w:type="character" w:styleId="898" w:default="1">
    <w:name w:val="Default Paragraph Font"/>
    <w:uiPriority w:val="1"/>
    <w:semiHidden/>
    <w:unhideWhenUsed/>
    <w:pPr>
      <w:pBdr/>
      <w:spacing/>
      <w:ind/>
    </w:pPr>
  </w:style>
  <w:style w:type="table" w:styleId="89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0" w:default="1">
    <w:name w:val="No List"/>
    <w:uiPriority w:val="99"/>
    <w:semiHidden/>
    <w:unhideWhenUsed/>
    <w:pPr>
      <w:pBdr/>
      <w:spacing/>
      <w:ind/>
    </w:pPr>
  </w:style>
  <w:style w:type="table" w:styleId="901" w:customStyle="1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2">
    <w:name w:val="Title"/>
    <w:basedOn w:val="891"/>
    <w:next w:val="891"/>
    <w:pPr>
      <w:keepNext w:val="true"/>
      <w:keepLines w:val="true"/>
      <w:pBdr/>
      <w:spacing w:after="120" w:before="480"/>
      <w:ind/>
    </w:pPr>
    <w:rPr>
      <w:b/>
      <w:bCs/>
      <w:sz w:val="72"/>
      <w:szCs w:val="72"/>
    </w:rPr>
  </w:style>
  <w:style w:type="paragraph" w:styleId="903">
    <w:name w:val="Subtitle"/>
    <w:basedOn w:val="891"/>
    <w:next w:val="891"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904" w:customStyle="1">
    <w:name w:val="StGen0"/>
    <w:basedOn w:val="901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jp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jean-michel.marty</dc:creator>
  <cp:lastModifiedBy>all Jean-Michel MARTY</cp:lastModifiedBy>
  <cp:revision>7</cp:revision>
  <dcterms:created xsi:type="dcterms:W3CDTF">2026-01-21T08:57:00Z</dcterms:created>
  <dcterms:modified xsi:type="dcterms:W3CDTF">2026-02-18T10:07:39Z</dcterms:modified>
</cp:coreProperties>
</file>