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3368" w14:textId="458E1EBF" w:rsidR="009231FD" w:rsidRPr="00D86149" w:rsidRDefault="00D141CE" w:rsidP="00D141CE">
      <w:pPr>
        <w:pStyle w:val="2Tableaunormal"/>
        <w:rPr>
          <w:rFonts w:hint="eastAsia"/>
        </w:rPr>
      </w:pPr>
      <w:r w:rsidRPr="00D141CE">
        <w:rPr>
          <w:rFonts w:hint="eastAsia"/>
          <w:noProof/>
          <w:lang w:eastAsia="fr-FR"/>
        </w:rPr>
        <w:drawing>
          <wp:inline distT="0" distB="0" distL="0" distR="0" wp14:anchorId="783E69CA" wp14:editId="0D6D5383">
            <wp:extent cx="2437236" cy="124777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8">
                      <a:extLst>
                        <a:ext uri="{28A0092B-C50C-407E-A947-70E740481C1C}">
                          <a14:useLocalDpi xmlns:a14="http://schemas.microsoft.com/office/drawing/2010/main" val="0"/>
                        </a:ext>
                      </a:extLst>
                    </a:blip>
                    <a:stretch>
                      <a:fillRect/>
                    </a:stretch>
                  </pic:blipFill>
                  <pic:spPr>
                    <a:xfrm>
                      <a:off x="0" y="0"/>
                      <a:ext cx="2443790" cy="1251131"/>
                    </a:xfrm>
                    <a:prstGeom prst="rect">
                      <a:avLst/>
                    </a:prstGeom>
                    <a:ln>
                      <a:noFill/>
                    </a:ln>
                  </pic:spPr>
                </pic:pic>
              </a:graphicData>
            </a:graphic>
          </wp:inline>
        </w:drawing>
      </w:r>
    </w:p>
    <w:p w14:paraId="59AE6B1E" w14:textId="4EECCE26" w:rsidR="009231FD" w:rsidRDefault="009231FD" w:rsidP="0082361C">
      <w:pPr>
        <w:pStyle w:val="EXPsous-titrefonc"/>
        <w:rPr>
          <w:rFonts w:hint="eastAsia"/>
        </w:rPr>
      </w:pPr>
    </w:p>
    <w:p w14:paraId="6DAD6FCD" w14:textId="1C008CB9" w:rsidR="00E86E3B" w:rsidRDefault="00E86E3B" w:rsidP="0082361C">
      <w:pPr>
        <w:pStyle w:val="EXPsous-titrefonc"/>
        <w:rPr>
          <w:rFonts w:hint="eastAsia"/>
        </w:rPr>
      </w:pPr>
    </w:p>
    <w:p w14:paraId="5C2362FB" w14:textId="65EF6532" w:rsidR="00E86E3B" w:rsidRDefault="00E86E3B" w:rsidP="0082361C">
      <w:pPr>
        <w:pStyle w:val="EXPsous-titrefonc"/>
        <w:rPr>
          <w:rFonts w:hint="eastAsia"/>
        </w:rPr>
      </w:pPr>
    </w:p>
    <w:p w14:paraId="2C0A184A" w14:textId="77777777" w:rsidR="00E86E3B" w:rsidRPr="00D86149" w:rsidRDefault="00E86E3B" w:rsidP="0082361C">
      <w:pPr>
        <w:pStyle w:val="EXPsous-titrefonc"/>
        <w:rPr>
          <w:rFonts w:hint="eastAsia"/>
        </w:rPr>
      </w:pPr>
    </w:p>
    <w:p w14:paraId="0C062AD4" w14:textId="6F83CA0E" w:rsidR="009231FD" w:rsidRPr="00D141CE" w:rsidRDefault="009231FD" w:rsidP="0082361C">
      <w:pPr>
        <w:pStyle w:val="EXPsous-titrefonc"/>
        <w:rPr>
          <w:rFonts w:hint="eastAsia"/>
          <w:i w:val="0"/>
        </w:rPr>
      </w:pPr>
    </w:p>
    <w:p w14:paraId="362825C7" w14:textId="7931BAE7" w:rsidR="00493D47" w:rsidRPr="00C11C73" w:rsidRDefault="00573193" w:rsidP="0082361C">
      <w:pPr>
        <w:pStyle w:val="EXPsous-titrefonc"/>
        <w:rPr>
          <w:rFonts w:hint="eastAsia"/>
          <w:i w:val="0"/>
          <w:sz w:val="58"/>
        </w:rPr>
      </w:pPr>
      <w:r w:rsidRPr="00C11C73">
        <w:rPr>
          <w:i w:val="0"/>
          <w:sz w:val="58"/>
        </w:rPr>
        <w:t xml:space="preserve">Projet </w:t>
      </w:r>
      <w:r w:rsidR="00E86E3B">
        <w:rPr>
          <w:i w:val="0"/>
          <w:sz w:val="58"/>
        </w:rPr>
        <w:t xml:space="preserve">Appui </w:t>
      </w:r>
      <w:r w:rsidR="00DA494F" w:rsidRPr="00C11C73">
        <w:rPr>
          <w:i w:val="0"/>
          <w:sz w:val="58"/>
        </w:rPr>
        <w:t>TPE/PME</w:t>
      </w:r>
      <w:r w:rsidRPr="00C11C73">
        <w:rPr>
          <w:i w:val="0"/>
          <w:sz w:val="58"/>
        </w:rPr>
        <w:t xml:space="preserve"> </w:t>
      </w:r>
    </w:p>
    <w:p w14:paraId="7BCC5126" w14:textId="77777777" w:rsidR="00493D47" w:rsidRPr="00C11C73" w:rsidRDefault="00493D47" w:rsidP="0082361C">
      <w:pPr>
        <w:rPr>
          <w:rFonts w:hint="eastAsia"/>
          <w:i w:val="0"/>
          <w:sz w:val="30"/>
          <w:shd w:val="clear" w:color="auto" w:fill="004979"/>
          <w14:props3d w14:extrusionH="0" w14:contourW="12700" w14:prstMaterial="none">
            <w14:contourClr>
              <w14:schemeClr w14:val="bg1"/>
            </w14:contourClr>
          </w14:props3d>
        </w:rPr>
      </w:pPr>
    </w:p>
    <w:p w14:paraId="0CEDC3D7" w14:textId="3A125337" w:rsidR="00A230A0" w:rsidRPr="00C11C73" w:rsidRDefault="00E55187" w:rsidP="0082361C">
      <w:pPr>
        <w:rPr>
          <w:rFonts w:hint="eastAsia"/>
          <w:i w:val="0"/>
          <w:color w:val="FFFFFF" w:themeColor="background1"/>
          <w:sz w:val="30"/>
          <w:shd w:val="clear" w:color="auto" w:fill="004979"/>
          <w14:props3d w14:extrusionH="0" w14:contourW="12700" w14:prstMaterial="none">
            <w14:contourClr>
              <w14:schemeClr w14:val="bg1"/>
            </w14:contourClr>
          </w14:props3d>
        </w:rPr>
      </w:pPr>
      <w:r w:rsidRPr="00C11C73">
        <w:rPr>
          <w:i w:val="0"/>
          <w:color w:val="FFFFFF" w:themeColor="background1"/>
          <w:sz w:val="30"/>
          <w:shd w:val="clear" w:color="auto" w:fill="004979"/>
          <w14:props3d w14:extrusionH="0" w14:contourW="12700" w14:prstMaterial="none">
            <w14:contourClr>
              <w14:schemeClr w14:val="bg1"/>
            </w14:contourClr>
          </w14:props3d>
        </w:rPr>
        <w:t xml:space="preserve">Termes de référence </w:t>
      </w:r>
      <w:r w:rsidR="00573193" w:rsidRPr="00C11C73">
        <w:rPr>
          <w:i w:val="0"/>
          <w:color w:val="FFFFFF" w:themeColor="background1"/>
          <w:sz w:val="30"/>
          <w:shd w:val="clear" w:color="auto" w:fill="004979"/>
          <w14:props3d w14:extrusionH="0" w14:contourW="12700" w14:prstMaterial="none">
            <w14:contourClr>
              <w14:schemeClr w14:val="bg1"/>
            </w14:contourClr>
          </w14:props3d>
        </w:rPr>
        <w:t xml:space="preserve">– Expertise pour la réalisation d’une mission </w:t>
      </w:r>
      <w:r w:rsidR="00DA494F" w:rsidRPr="00C11C73">
        <w:rPr>
          <w:i w:val="0"/>
          <w:color w:val="FFFFFF" w:themeColor="background1"/>
          <w:sz w:val="30"/>
          <w:shd w:val="clear" w:color="auto" w:fill="004979"/>
          <w14:props3d w14:extrusionH="0" w14:contourW="12700" w14:prstMaterial="none">
            <w14:contourClr>
              <w14:schemeClr w14:val="bg1"/>
            </w14:contourClr>
          </w14:props3d>
        </w:rPr>
        <w:t xml:space="preserve">de </w:t>
      </w:r>
      <w:proofErr w:type="spellStart"/>
      <w:r w:rsidR="00DA494F" w:rsidRPr="00C11C73">
        <w:rPr>
          <w:i w:val="0"/>
          <w:color w:val="FFFFFF" w:themeColor="background1"/>
          <w:sz w:val="30"/>
          <w:shd w:val="clear" w:color="auto" w:fill="004979"/>
          <w14:props3d w14:extrusionH="0" w14:contourW="12700" w14:prstMaterial="none">
            <w14:contourClr>
              <w14:schemeClr w14:val="bg1"/>
            </w14:contourClr>
          </w14:props3d>
        </w:rPr>
        <w:t>baseline</w:t>
      </w:r>
      <w:proofErr w:type="spellEnd"/>
      <w:r w:rsidR="00DA494F" w:rsidRPr="00C11C73">
        <w:rPr>
          <w:i w:val="0"/>
          <w:color w:val="FFFFFF" w:themeColor="background1"/>
          <w:sz w:val="30"/>
          <w:shd w:val="clear" w:color="auto" w:fill="004979"/>
          <w14:props3d w14:extrusionH="0" w14:contourW="12700" w14:prstMaterial="none">
            <w14:contourClr>
              <w14:schemeClr w14:val="bg1"/>
            </w14:contourClr>
          </w14:props3d>
        </w:rPr>
        <w:t xml:space="preserve"> du </w:t>
      </w:r>
      <w:proofErr w:type="spellStart"/>
      <w:r w:rsidR="00DA494F" w:rsidRPr="00C11C73">
        <w:rPr>
          <w:i w:val="0"/>
          <w:color w:val="FFFFFF" w:themeColor="background1"/>
          <w:sz w:val="30"/>
          <w:shd w:val="clear" w:color="auto" w:fill="004979"/>
          <w14:props3d w14:extrusionH="0" w14:contourW="12700" w14:prstMaterial="none">
            <w14:contourClr>
              <w14:schemeClr w14:val="bg1"/>
            </w14:contourClr>
          </w14:props3d>
        </w:rPr>
        <w:t>proejt</w:t>
      </w:r>
      <w:proofErr w:type="spellEnd"/>
      <w:r w:rsidR="00DA494F" w:rsidRPr="00C11C73">
        <w:rPr>
          <w:i w:val="0"/>
          <w:color w:val="FFFFFF" w:themeColor="background1"/>
          <w:sz w:val="30"/>
          <w:shd w:val="clear" w:color="auto" w:fill="004979"/>
          <w14:props3d w14:extrusionH="0" w14:contourW="12700" w14:prstMaterial="none">
            <w14:contourClr>
              <w14:schemeClr w14:val="bg1"/>
            </w14:contourClr>
          </w14:props3d>
        </w:rPr>
        <w:t xml:space="preserve"> TPE/PME</w:t>
      </w:r>
    </w:p>
    <w:p w14:paraId="562D4D5B" w14:textId="2FAE4BD6" w:rsidR="002E1DFD" w:rsidRPr="00C11C73" w:rsidRDefault="00DA494F" w:rsidP="002E1DFD">
      <w:pPr>
        <w:rPr>
          <w:rFonts w:hint="eastAsia"/>
          <w:i w:val="0"/>
          <w:color w:val="FFFFFF" w:themeColor="background1"/>
          <w:sz w:val="30"/>
          <w:shd w:val="clear" w:color="auto" w:fill="004979"/>
          <w14:props3d w14:extrusionH="0" w14:contourW="12700" w14:prstMaterial="none">
            <w14:contourClr>
              <w14:schemeClr w14:val="bg1"/>
            </w14:contourClr>
          </w14:props3d>
        </w:rPr>
      </w:pPr>
      <w:r w:rsidRPr="00C11C73">
        <w:rPr>
          <w:i w:val="0"/>
          <w:color w:val="FFFFFF" w:themeColor="background1"/>
          <w:sz w:val="30"/>
          <w:shd w:val="clear" w:color="auto" w:fill="004979"/>
          <w14:props3d w14:extrusionH="0" w14:contourW="12700" w14:prstMaterial="none">
            <w14:contourClr>
              <w14:schemeClr w14:val="bg1"/>
            </w14:contourClr>
          </w14:props3d>
        </w:rPr>
        <w:t xml:space="preserve">Octobre </w:t>
      </w:r>
      <w:r w:rsidR="00573193" w:rsidRPr="00C11C73">
        <w:rPr>
          <w:i w:val="0"/>
          <w:color w:val="FFFFFF" w:themeColor="background1"/>
          <w:sz w:val="30"/>
          <w:shd w:val="clear" w:color="auto" w:fill="004979"/>
          <w14:props3d w14:extrusionH="0" w14:contourW="12700" w14:prstMaterial="none">
            <w14:contourClr>
              <w14:schemeClr w14:val="bg1"/>
            </w14:contourClr>
          </w14:props3d>
        </w:rPr>
        <w:t>2024</w:t>
      </w:r>
    </w:p>
    <w:p w14:paraId="376B2D78" w14:textId="77777777" w:rsidR="005E7798" w:rsidRPr="00D86149" w:rsidRDefault="005E7798" w:rsidP="0082361C">
      <w:pPr>
        <w:rPr>
          <w:rFonts w:hint="eastAsia"/>
          <w:shd w:val="clear" w:color="auto" w:fill="004979"/>
        </w:rPr>
      </w:pPr>
    </w:p>
    <w:p w14:paraId="0D5862A2" w14:textId="5341F67D" w:rsidR="005528CF" w:rsidRPr="00D86149" w:rsidRDefault="005528CF" w:rsidP="0082361C">
      <w:pPr>
        <w:rPr>
          <w:rFonts w:hint="eastAsia"/>
        </w:rPr>
      </w:pPr>
      <w:r w:rsidRPr="00D86149">
        <w:br w:type="page"/>
      </w:r>
    </w:p>
    <w:p w14:paraId="4D7AB1F9" w14:textId="4E1F0F9B" w:rsidR="00E31064" w:rsidRPr="009231FD" w:rsidRDefault="00E31064" w:rsidP="00D34FDF">
      <w:pPr>
        <w:pStyle w:val="En-ttedetabledesmatires"/>
        <w:rPr>
          <w:rFonts w:hint="eastAsia"/>
        </w:rPr>
        <w:sectPr w:rsidR="00E31064" w:rsidRPr="009231FD"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433F116" w14:textId="56FB7DC4" w:rsidR="00365020" w:rsidRPr="00D141CE" w:rsidRDefault="00365020" w:rsidP="0082361C">
      <w:pPr>
        <w:pStyle w:val="Titre1"/>
        <w:numPr>
          <w:ilvl w:val="0"/>
          <w:numId w:val="6"/>
        </w:numPr>
        <w:rPr>
          <w:rFonts w:hint="eastAsia"/>
          <w:i w:val="0"/>
        </w:rPr>
      </w:pPr>
      <w:bookmarkStart w:id="0" w:name="_Toc70668746"/>
      <w:r w:rsidRPr="00D141CE">
        <w:rPr>
          <w:i w:val="0"/>
        </w:rPr>
        <w:lastRenderedPageBreak/>
        <w:t>Information générales</w:t>
      </w:r>
      <w:bookmarkEnd w:id="0"/>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365020" w:rsidRPr="00D141CE" w14:paraId="11BF88FE" w14:textId="77777777" w:rsidTr="00FF4A5C">
        <w:tc>
          <w:tcPr>
            <w:tcW w:w="4597" w:type="dxa"/>
            <w:vAlign w:val="center"/>
          </w:tcPr>
          <w:p w14:paraId="6D51D72F" w14:textId="5702E2BD" w:rsidR="00365020" w:rsidRPr="00D141CE" w:rsidRDefault="00365020" w:rsidP="00FF4A5C">
            <w:pPr>
              <w:ind w:left="0"/>
              <w:jc w:val="left"/>
              <w:rPr>
                <w:i w:val="0"/>
              </w:rPr>
            </w:pPr>
            <w:r w:rsidRPr="00D141CE">
              <w:rPr>
                <w:rFonts w:hint="eastAsia"/>
                <w:i w:val="0"/>
              </w:rPr>
              <w:t>Intitulé de la mission</w:t>
            </w:r>
          </w:p>
        </w:tc>
        <w:tc>
          <w:tcPr>
            <w:tcW w:w="4814" w:type="dxa"/>
            <w:vAlign w:val="center"/>
          </w:tcPr>
          <w:p w14:paraId="77B9109F" w14:textId="575F7B54" w:rsidR="00365020" w:rsidRPr="00D141CE" w:rsidRDefault="00365020" w:rsidP="00FF4A5C">
            <w:pPr>
              <w:ind w:left="0"/>
              <w:rPr>
                <w:i w:val="0"/>
              </w:rPr>
            </w:pPr>
          </w:p>
        </w:tc>
      </w:tr>
      <w:tr w:rsidR="00365020" w:rsidRPr="00D141CE" w14:paraId="6A8F0877" w14:textId="77777777" w:rsidTr="00FF4A5C">
        <w:tc>
          <w:tcPr>
            <w:tcW w:w="4597" w:type="dxa"/>
            <w:vAlign w:val="center"/>
          </w:tcPr>
          <w:p w14:paraId="7BF73B08" w14:textId="24C15962" w:rsidR="00365020" w:rsidRPr="00D141CE" w:rsidRDefault="00365020" w:rsidP="00FF4A5C">
            <w:pPr>
              <w:ind w:left="0"/>
              <w:jc w:val="left"/>
              <w:rPr>
                <w:i w:val="0"/>
              </w:rPr>
            </w:pPr>
            <w:r w:rsidRPr="00D141CE">
              <w:rPr>
                <w:rFonts w:hint="eastAsia"/>
                <w:i w:val="0"/>
              </w:rPr>
              <w:t>Bénéficiaire(s)</w:t>
            </w:r>
          </w:p>
        </w:tc>
        <w:tc>
          <w:tcPr>
            <w:tcW w:w="4814" w:type="dxa"/>
            <w:shd w:val="clear" w:color="auto" w:fill="auto"/>
            <w:vAlign w:val="center"/>
          </w:tcPr>
          <w:p w14:paraId="56A09C0A" w14:textId="3C02E24B" w:rsidR="00365020" w:rsidRPr="00D141CE" w:rsidRDefault="00365020" w:rsidP="00FF4A5C">
            <w:pPr>
              <w:ind w:left="0"/>
              <w:rPr>
                <w:i w:val="0"/>
              </w:rPr>
            </w:pPr>
          </w:p>
        </w:tc>
      </w:tr>
      <w:tr w:rsidR="00365020" w:rsidRPr="00D141CE" w14:paraId="59E66713" w14:textId="77777777" w:rsidTr="00FF4A5C">
        <w:tc>
          <w:tcPr>
            <w:tcW w:w="4597" w:type="dxa"/>
            <w:vAlign w:val="center"/>
          </w:tcPr>
          <w:p w14:paraId="0C44BF76" w14:textId="288ECD95" w:rsidR="00365020" w:rsidRPr="00D141CE" w:rsidRDefault="00365020" w:rsidP="00FF4A5C">
            <w:pPr>
              <w:ind w:left="0"/>
              <w:jc w:val="left"/>
              <w:rPr>
                <w:i w:val="0"/>
              </w:rPr>
            </w:pPr>
            <w:r w:rsidRPr="00D141CE">
              <w:rPr>
                <w:rFonts w:hint="eastAsia"/>
                <w:i w:val="0"/>
              </w:rPr>
              <w:t>Pays</w:t>
            </w:r>
          </w:p>
        </w:tc>
        <w:tc>
          <w:tcPr>
            <w:tcW w:w="4814" w:type="dxa"/>
            <w:vAlign w:val="center"/>
          </w:tcPr>
          <w:p w14:paraId="4471B981" w14:textId="6ED3C953" w:rsidR="00365020" w:rsidRPr="00D141CE" w:rsidRDefault="00573193" w:rsidP="00FF4A5C">
            <w:pPr>
              <w:ind w:left="0"/>
              <w:rPr>
                <w:i w:val="0"/>
                <w:highlight w:val="yellow"/>
              </w:rPr>
            </w:pPr>
            <w:r w:rsidRPr="00D141CE">
              <w:rPr>
                <w:rFonts w:hint="eastAsia"/>
                <w:i w:val="0"/>
              </w:rPr>
              <w:t>T</w:t>
            </w:r>
            <w:r w:rsidRPr="00D141CE">
              <w:rPr>
                <w:i w:val="0"/>
              </w:rPr>
              <w:t>unisie</w:t>
            </w:r>
          </w:p>
        </w:tc>
      </w:tr>
      <w:tr w:rsidR="00D7108E" w:rsidRPr="00D141CE" w14:paraId="409CD2D4" w14:textId="77777777" w:rsidTr="00FF4A5C">
        <w:tc>
          <w:tcPr>
            <w:tcW w:w="4597" w:type="dxa"/>
            <w:vAlign w:val="center"/>
          </w:tcPr>
          <w:p w14:paraId="7CA68447" w14:textId="72FA103B" w:rsidR="00D7108E" w:rsidRDefault="00D7108E" w:rsidP="00A3327C">
            <w:pPr>
              <w:ind w:left="0"/>
              <w:jc w:val="left"/>
              <w:rPr>
                <w:i w:val="0"/>
              </w:rPr>
            </w:pPr>
            <w:r>
              <w:rPr>
                <w:i w:val="0"/>
              </w:rPr>
              <w:t>Nombre de jours minimum requis</w:t>
            </w:r>
          </w:p>
        </w:tc>
        <w:tc>
          <w:tcPr>
            <w:tcW w:w="4814" w:type="dxa"/>
            <w:vAlign w:val="center"/>
          </w:tcPr>
          <w:p w14:paraId="1B2DA197" w14:textId="78C402E0" w:rsidR="00D7108E" w:rsidRPr="00D141CE" w:rsidRDefault="00D7108E" w:rsidP="00FF4A5C">
            <w:pPr>
              <w:ind w:left="0"/>
              <w:rPr>
                <w:i w:val="0"/>
              </w:rPr>
            </w:pPr>
            <w:r>
              <w:rPr>
                <w:i w:val="0"/>
              </w:rPr>
              <w:t>45 jours</w:t>
            </w:r>
          </w:p>
        </w:tc>
      </w:tr>
      <w:tr w:rsidR="008C7673" w:rsidRPr="00D141CE" w14:paraId="3CD65FC8" w14:textId="77777777" w:rsidTr="00FF4A5C">
        <w:tc>
          <w:tcPr>
            <w:tcW w:w="4597" w:type="dxa"/>
            <w:vAlign w:val="center"/>
          </w:tcPr>
          <w:p w14:paraId="02BE5AB6" w14:textId="18F8D6BB" w:rsidR="008C7673" w:rsidRPr="00D141CE" w:rsidRDefault="008C7673" w:rsidP="00FF4A5C">
            <w:pPr>
              <w:ind w:left="0"/>
              <w:jc w:val="left"/>
              <w:rPr>
                <w:i w:val="0"/>
              </w:rPr>
            </w:pPr>
            <w:r>
              <w:rPr>
                <w:i w:val="0"/>
              </w:rPr>
              <w:t>Date limite de candidature</w:t>
            </w:r>
          </w:p>
        </w:tc>
        <w:tc>
          <w:tcPr>
            <w:tcW w:w="4814" w:type="dxa"/>
            <w:vAlign w:val="center"/>
          </w:tcPr>
          <w:p w14:paraId="5BAAA705" w14:textId="51631044" w:rsidR="008C7673" w:rsidRPr="00D141CE" w:rsidRDefault="002E30BA" w:rsidP="00FF4A5C">
            <w:pPr>
              <w:ind w:left="0"/>
              <w:rPr>
                <w:i w:val="0"/>
              </w:rPr>
            </w:pPr>
            <w:r>
              <w:rPr>
                <w:i w:val="0"/>
              </w:rPr>
              <w:t>31/10/2024</w:t>
            </w:r>
            <w:bookmarkStart w:id="1" w:name="_GoBack"/>
            <w:bookmarkEnd w:id="1"/>
          </w:p>
        </w:tc>
      </w:tr>
    </w:tbl>
    <w:p w14:paraId="79D88996" w14:textId="3BCE4007" w:rsidR="00986A7D" w:rsidRPr="00D141CE" w:rsidRDefault="00986A7D" w:rsidP="00592A70">
      <w:pPr>
        <w:pStyle w:val="Titre1"/>
        <w:rPr>
          <w:rFonts w:hint="eastAsia"/>
          <w:i w:val="0"/>
        </w:rPr>
      </w:pPr>
      <w:bookmarkStart w:id="2" w:name="_Toc70668747"/>
      <w:r w:rsidRPr="00D141CE">
        <w:rPr>
          <w:i w:val="0"/>
        </w:rPr>
        <w:t>Contexte</w:t>
      </w:r>
      <w:bookmarkEnd w:id="2"/>
      <w:r w:rsidRPr="00D141CE">
        <w:rPr>
          <w:i w:val="0"/>
        </w:rPr>
        <w:t xml:space="preserve"> </w:t>
      </w:r>
    </w:p>
    <w:p w14:paraId="4FE20F3F" w14:textId="6D02BDC8" w:rsidR="001737A8" w:rsidRPr="00D141CE" w:rsidRDefault="001737A8" w:rsidP="00EB2073">
      <w:pPr>
        <w:pStyle w:val="Titre2"/>
        <w:ind w:left="576"/>
        <w:rPr>
          <w:rFonts w:hint="eastAsia"/>
          <w:i w:val="0"/>
        </w:rPr>
      </w:pPr>
      <w:bookmarkStart w:id="3" w:name="_Toc70668748"/>
      <w:r w:rsidRPr="00D141CE">
        <w:rPr>
          <w:i w:val="0"/>
        </w:rPr>
        <w:t>Contexte général</w:t>
      </w:r>
      <w:bookmarkEnd w:id="3"/>
    </w:p>
    <w:p w14:paraId="0D6C864F" w14:textId="732631F7" w:rsidR="00D141CE" w:rsidRDefault="00D141CE" w:rsidP="00452BA3">
      <w:pPr>
        <w:rPr>
          <w:rFonts w:cstheme="minorHAnsi" w:hint="eastAsia"/>
          <w:b/>
          <w:i w:val="0"/>
        </w:rPr>
      </w:pPr>
      <w:bookmarkStart w:id="4" w:name="_Toc70668749"/>
      <w:r w:rsidRPr="00D141CE">
        <w:rPr>
          <w:rFonts w:cstheme="minorHAnsi"/>
          <w:b/>
          <w:i w:val="0"/>
        </w:rPr>
        <w:t>Contexte pays</w:t>
      </w:r>
    </w:p>
    <w:p w14:paraId="653E0926" w14:textId="77777777" w:rsidR="00167599" w:rsidRPr="00275785" w:rsidRDefault="00167599" w:rsidP="00167599">
      <w:pPr>
        <w:rPr>
          <w:rFonts w:hint="eastAsia"/>
        </w:rPr>
      </w:pPr>
      <w:r w:rsidRPr="00275785">
        <w:t xml:space="preserve">L'économie tunisienne a été durement touchée ces dernières années en raison de l'instabilité politique et de la crise du Covid-19. Le gouvernement tunisien a alloué 4,3 % du PIB aux mesures de soutien d'urgence à la suite de l'épidémie de Covid-19, mais seulement 0,4 % du PIB (environ 135 millions d'euros) a été alloué aux </w:t>
      </w:r>
      <w:r>
        <w:t>T/PME</w:t>
      </w:r>
      <w:r w:rsidRPr="00275785">
        <w:t xml:space="preserve">. Alors que ce soutien aux </w:t>
      </w:r>
      <w:r>
        <w:t>T/PME</w:t>
      </w:r>
      <w:r w:rsidRPr="00275785">
        <w:t xml:space="preserve"> touchées par la pandémie est progressivement supprimé et alors que le contexte international affecte davantage l'économie locale et les perspectives de reprise, les </w:t>
      </w:r>
      <w:r>
        <w:t>T/PME</w:t>
      </w:r>
      <w:r w:rsidRPr="00275785">
        <w:t xml:space="preserve"> tunisiennes ont besoin de financements mais aussi d'autres formes de soutien pour assurer la reprise de leurs activités et poursuivre leur croissance.</w:t>
      </w:r>
    </w:p>
    <w:p w14:paraId="17F1F13E" w14:textId="77777777" w:rsidR="00167599" w:rsidRPr="00275785" w:rsidRDefault="00167599" w:rsidP="00167599">
      <w:pPr>
        <w:rPr>
          <w:rFonts w:hint="eastAsia"/>
        </w:rPr>
      </w:pPr>
      <w:r w:rsidRPr="00275785">
        <w:t>Le crédit aux entreprises est limité par 1) une liquidité bancaire contrainte, 2) l’effet d’éviction induit par l’endettement de l’État sur le marché domestique et 3) une aversion au risque des institutions financières bancaires, notamment sur le segment PME, qui a pour conséquence, soit une prime de risque élevée, soit des demandes de garantie trop importantes, rendant de fait les crédits trop coûteux. Ainsi, et alors même qu’elles sont fortement contributrices au PIB tunisien, en 2017, les PME ont fait face à un déficit de financement estimé à 16 % du PIB (6,87 Md USD).</w:t>
      </w:r>
    </w:p>
    <w:p w14:paraId="37C0835B" w14:textId="77777777" w:rsidR="00167599" w:rsidRPr="00275785" w:rsidRDefault="00167599" w:rsidP="00167599">
      <w:pPr>
        <w:rPr>
          <w:rFonts w:hint="eastAsia"/>
        </w:rPr>
      </w:pPr>
      <w:r w:rsidRPr="00275785">
        <w:t xml:space="preserve">Par ailleurs, face à des structures d’appui publiques aujourd’hui sous-efficientes en Tunisie et afin de permettre aux </w:t>
      </w:r>
      <w:r>
        <w:t>T/PME</w:t>
      </w:r>
      <w:r w:rsidRPr="00275785">
        <w:t xml:space="preserve"> de bénéficier d’un accès facilité à un financement, à un moment ou à un autre de leur cycle de développement, il est nécessaire d’accompagner la fourniture de services d’accompagnement adaptés. </w:t>
      </w:r>
    </w:p>
    <w:p w14:paraId="6F7C1DDC" w14:textId="77777777" w:rsidR="00167599" w:rsidRPr="00275785" w:rsidRDefault="00167599" w:rsidP="00167599">
      <w:pPr>
        <w:rPr>
          <w:rFonts w:hint="eastAsia"/>
        </w:rPr>
      </w:pPr>
      <w:r w:rsidRPr="00275785">
        <w:t>Afin de relever ces défis, le Ministère de l'Économie et de la Planification (MEP) a approché divers bailleurs dont l’</w:t>
      </w:r>
      <w:r>
        <w:t>Agence Française de Développement (</w:t>
      </w:r>
      <w:r w:rsidRPr="00275785">
        <w:t>AFD</w:t>
      </w:r>
      <w:r>
        <w:t>),</w:t>
      </w:r>
      <w:r w:rsidRPr="00275785">
        <w:t xml:space="preserve"> </w:t>
      </w:r>
      <w:r>
        <w:t xml:space="preserve">ainsi que </w:t>
      </w:r>
      <w:r w:rsidRPr="00275785">
        <w:t xml:space="preserve">la Banque européenne d’investissement </w:t>
      </w:r>
      <w:r>
        <w:t xml:space="preserve">(BEI), la </w:t>
      </w:r>
      <w:proofErr w:type="spellStart"/>
      <w:r w:rsidRPr="0090527C">
        <w:rPr>
          <w:rStyle w:val="hgkelc"/>
          <w:bCs/>
        </w:rPr>
        <w:t>Kreditanstalt</w:t>
      </w:r>
      <w:proofErr w:type="spellEnd"/>
      <w:r w:rsidRPr="0090527C">
        <w:rPr>
          <w:rStyle w:val="hgkelc"/>
          <w:bCs/>
        </w:rPr>
        <w:t xml:space="preserve"> </w:t>
      </w:r>
      <w:proofErr w:type="spellStart"/>
      <w:r w:rsidRPr="0090527C">
        <w:rPr>
          <w:rStyle w:val="hgkelc"/>
          <w:bCs/>
        </w:rPr>
        <w:t>für</w:t>
      </w:r>
      <w:proofErr w:type="spellEnd"/>
      <w:r w:rsidRPr="0090527C">
        <w:rPr>
          <w:rStyle w:val="hgkelc"/>
          <w:bCs/>
        </w:rPr>
        <w:t xml:space="preserve"> </w:t>
      </w:r>
      <w:proofErr w:type="spellStart"/>
      <w:r w:rsidRPr="0090527C">
        <w:rPr>
          <w:rStyle w:val="hgkelc"/>
          <w:bCs/>
        </w:rPr>
        <w:t>Wiederaufbau</w:t>
      </w:r>
      <w:proofErr w:type="spellEnd"/>
      <w:r w:rsidRPr="0090527C">
        <w:rPr>
          <w:rStyle w:val="hgkelc"/>
          <w:bCs/>
        </w:rPr>
        <w:t xml:space="preserve"> (KFW)</w:t>
      </w:r>
      <w:r>
        <w:t xml:space="preserve"> </w:t>
      </w:r>
      <w:r w:rsidRPr="00275785">
        <w:t>et la Banque mondiale</w:t>
      </w:r>
      <w:r>
        <w:t>,</w:t>
      </w:r>
      <w:r w:rsidRPr="00275785">
        <w:t xml:space="preserve"> </w:t>
      </w:r>
      <w:r>
        <w:t xml:space="preserve">notamment </w:t>
      </w:r>
      <w:r w:rsidRPr="00275785">
        <w:t xml:space="preserve">pour la mise en place de lignes </w:t>
      </w:r>
      <w:proofErr w:type="gramStart"/>
      <w:r w:rsidRPr="00275785">
        <w:t>de</w:t>
      </w:r>
      <w:proofErr w:type="gramEnd"/>
      <w:r w:rsidRPr="00275785">
        <w:t xml:space="preserve"> crédit rétrocédées à des intermédiaires financiers (banques et sociétés de leasing) pour le financement des </w:t>
      </w:r>
      <w:r>
        <w:t>T/PME</w:t>
      </w:r>
      <w:r w:rsidRPr="00275785">
        <w:t xml:space="preserve"> tunisiennes. L’AFD a ainsi confirmé son intention de mettre à la disposition des autorités tunisiennes une telle ligne à hauteur de 80MEUR. Une partie du prêt sera utilisée pour permettre la consolidation de la dette de PME affectées par les crises successives dont la crise COVID mais jugées viables au sein des banques partenaires afin de redonner une bouffée d’oxygène à ces entreprises pour leur permettre de préserver des emplois. Une autre partie des prêts viendra favoriser l’octroi de nouveaux crédits aux </w:t>
      </w:r>
      <w:r>
        <w:t>T/PME</w:t>
      </w:r>
      <w:r w:rsidRPr="00275785">
        <w:t xml:space="preserve">. Cette ligne vient en complément des lignes d’autres bailleurs, dont celle de la </w:t>
      </w:r>
      <w:r>
        <w:t>BEI et de la Banque mondiale.</w:t>
      </w:r>
    </w:p>
    <w:p w14:paraId="07927F08" w14:textId="77777777" w:rsidR="00167599" w:rsidRPr="00275785" w:rsidRDefault="00167599" w:rsidP="00167599">
      <w:pPr>
        <w:rPr>
          <w:rFonts w:hint="eastAsia"/>
        </w:rPr>
      </w:pPr>
      <w:r w:rsidRPr="00275785">
        <w:t xml:space="preserve">Ces lignes de crédit devraient permettre de promouvoir l’investissement privé et de fournir un appui aux PME tunisiennes afin de leur permettre de surmonter les retombées de la crise et d’accéder à des financements à long terme à même de contribuer à leurs pérennités, de créer de nouveaux emplois et de maintenir des postes existants. Pour permettre à ces mesures d’avoir les résultats escomptés, un </w:t>
      </w:r>
      <w:r w:rsidRPr="00275785">
        <w:lastRenderedPageBreak/>
        <w:t>renforcement de capacités multi-acteurs, à tous les niveaux, est nécessaire afin de travailler en profondeur sur l’écosystème</w:t>
      </w:r>
      <w:r>
        <w:t xml:space="preserve"> d’appui aux T/PME en Tunisie. </w:t>
      </w:r>
    </w:p>
    <w:p w14:paraId="1A1FFDFF" w14:textId="77777777" w:rsidR="00167599" w:rsidRDefault="00167599" w:rsidP="00167599">
      <w:pPr>
        <w:rPr>
          <w:rFonts w:hint="eastAsia"/>
        </w:rPr>
      </w:pPr>
      <w:r w:rsidRPr="00275785">
        <w:t xml:space="preserve">Avec une croissance projetée inférieure à 2% à horizon 2025, des réformes sont nécessaires pour renforcer l’attractivité et la productivité du secteur privé. L’opération proposée est alignée sur les objectifs stratégiques à court et moyen termes du pays, notamment pour éviter une perte supplémentaire de capital et de main-d’œuvre, une crise financière et un ajustement budgétaire forcé. Il soutient le premier domaine d’intervention du Plan de relance économique du gouvernement tunisien pour assurer la survie des PME viables, grâce à un système de consolidation de la dette des PME, de mise à disposition de ressources de long terme pour des nouveaux crédits d’investissements et la proposition d’un programme d’accompagnement technique ambitieux à destination des </w:t>
      </w:r>
      <w:r>
        <w:t>T/PME et des IFP</w:t>
      </w:r>
      <w:r w:rsidRPr="00275785">
        <w:t xml:space="preserve"> afin que ces dernières puissent prétendre à un appui facilitant l’accès au financement. </w:t>
      </w:r>
    </w:p>
    <w:p w14:paraId="7DF61FB4" w14:textId="6A72C450" w:rsidR="00986A7D" w:rsidRPr="00413FEC" w:rsidRDefault="00986A7D" w:rsidP="00EB2073">
      <w:pPr>
        <w:pStyle w:val="Titre2"/>
        <w:ind w:left="576"/>
        <w:rPr>
          <w:rFonts w:hint="eastAsia"/>
          <w:i w:val="0"/>
        </w:rPr>
      </w:pPr>
      <w:r w:rsidRPr="00413FEC">
        <w:rPr>
          <w:i w:val="0"/>
        </w:rPr>
        <w:t>Présentation du projet</w:t>
      </w:r>
      <w:bookmarkEnd w:id="4"/>
      <w:r w:rsidRPr="00413FEC">
        <w:rPr>
          <w:i w:val="0"/>
        </w:rPr>
        <w:t xml:space="preserve"> </w:t>
      </w:r>
    </w:p>
    <w:tbl>
      <w:tblPr>
        <w:tblStyle w:val="Grilledutableau"/>
        <w:tblW w:w="9842" w:type="dxa"/>
        <w:tblLook w:val="04A0" w:firstRow="1" w:lastRow="0" w:firstColumn="1" w:lastColumn="0" w:noHBand="0" w:noVBand="1"/>
      </w:tblPr>
      <w:tblGrid>
        <w:gridCol w:w="2257"/>
        <w:gridCol w:w="7585"/>
      </w:tblGrid>
      <w:tr w:rsidR="00167599" w14:paraId="414400A2" w14:textId="77777777" w:rsidTr="00C11C73">
        <w:trPr>
          <w:trHeight w:val="462"/>
        </w:trPr>
        <w:tc>
          <w:tcPr>
            <w:tcW w:w="2257" w:type="dxa"/>
            <w:tcBorders>
              <w:top w:val="single" w:sz="4" w:space="0" w:color="auto"/>
              <w:left w:val="single" w:sz="4" w:space="0" w:color="auto"/>
              <w:bottom w:val="single" w:sz="4" w:space="0" w:color="auto"/>
              <w:right w:val="single" w:sz="4" w:space="0" w:color="auto"/>
            </w:tcBorders>
            <w:hideMark/>
          </w:tcPr>
          <w:p w14:paraId="22DF72E0" w14:textId="77777777" w:rsidR="00167599" w:rsidRPr="00C11C73" w:rsidRDefault="00167599" w:rsidP="00C11C73">
            <w:pPr>
              <w:spacing w:before="120" w:after="120"/>
              <w:ind w:hanging="328"/>
              <w:jc w:val="left"/>
              <w:rPr>
                <w:rFonts w:eastAsiaTheme="minorEastAsia" w:hint="eastAsia"/>
                <w:b/>
                <w:i w:val="0"/>
                <w:lang w:eastAsia="ja-JP"/>
              </w:rPr>
            </w:pPr>
            <w:r w:rsidRPr="00C11C73">
              <w:rPr>
                <w:b/>
                <w:i w:val="0"/>
              </w:rPr>
              <w:t xml:space="preserve">Titre </w:t>
            </w:r>
          </w:p>
        </w:tc>
        <w:tc>
          <w:tcPr>
            <w:tcW w:w="7585" w:type="dxa"/>
            <w:tcBorders>
              <w:top w:val="single" w:sz="4" w:space="0" w:color="auto"/>
              <w:left w:val="single" w:sz="4" w:space="0" w:color="auto"/>
              <w:bottom w:val="single" w:sz="4" w:space="0" w:color="auto"/>
              <w:right w:val="single" w:sz="4" w:space="0" w:color="auto"/>
            </w:tcBorders>
            <w:hideMark/>
          </w:tcPr>
          <w:p w14:paraId="7146B96A" w14:textId="77777777" w:rsidR="00167599" w:rsidRPr="00C11C73" w:rsidRDefault="00167599" w:rsidP="00C11C73">
            <w:pPr>
              <w:spacing w:before="120" w:after="120"/>
              <w:jc w:val="left"/>
              <w:rPr>
                <w:rFonts w:eastAsiaTheme="minorEastAsia" w:hint="eastAsia"/>
                <w:i w:val="0"/>
                <w:lang w:eastAsia="ja-JP"/>
              </w:rPr>
            </w:pPr>
            <w:r w:rsidRPr="00C11C73">
              <w:rPr>
                <w:i w:val="0"/>
              </w:rPr>
              <w:t>Soutien au programme de relance des T/PME tunisiennes dans un contexte post-crises</w:t>
            </w:r>
          </w:p>
        </w:tc>
      </w:tr>
      <w:tr w:rsidR="00167599" w14:paraId="587FCD98" w14:textId="77777777" w:rsidTr="00C11C73">
        <w:trPr>
          <w:trHeight w:val="793"/>
        </w:trPr>
        <w:tc>
          <w:tcPr>
            <w:tcW w:w="2257" w:type="dxa"/>
            <w:tcBorders>
              <w:top w:val="single" w:sz="4" w:space="0" w:color="auto"/>
              <w:left w:val="single" w:sz="4" w:space="0" w:color="auto"/>
              <w:bottom w:val="single" w:sz="4" w:space="0" w:color="auto"/>
              <w:right w:val="single" w:sz="4" w:space="0" w:color="auto"/>
            </w:tcBorders>
            <w:hideMark/>
          </w:tcPr>
          <w:p w14:paraId="68D91AB2" w14:textId="77777777" w:rsidR="00167599" w:rsidRPr="00C11C73" w:rsidRDefault="00167599" w:rsidP="00C11C73">
            <w:pPr>
              <w:spacing w:before="120" w:after="120"/>
              <w:ind w:hanging="328"/>
              <w:jc w:val="left"/>
              <w:rPr>
                <w:rFonts w:eastAsiaTheme="minorEastAsia" w:hint="eastAsia"/>
                <w:b/>
                <w:i w:val="0"/>
                <w:lang w:eastAsia="ja-JP"/>
              </w:rPr>
            </w:pPr>
            <w:r w:rsidRPr="00C11C73">
              <w:rPr>
                <w:b/>
                <w:i w:val="0"/>
              </w:rPr>
              <w:t xml:space="preserve">Description </w:t>
            </w:r>
          </w:p>
        </w:tc>
        <w:tc>
          <w:tcPr>
            <w:tcW w:w="7585" w:type="dxa"/>
            <w:tcBorders>
              <w:top w:val="single" w:sz="4" w:space="0" w:color="auto"/>
              <w:left w:val="single" w:sz="4" w:space="0" w:color="auto"/>
              <w:bottom w:val="single" w:sz="4" w:space="0" w:color="auto"/>
              <w:right w:val="single" w:sz="4" w:space="0" w:color="auto"/>
            </w:tcBorders>
            <w:hideMark/>
          </w:tcPr>
          <w:p w14:paraId="6BE20251" w14:textId="77777777" w:rsidR="00167599" w:rsidRPr="00C11C73" w:rsidRDefault="00167599" w:rsidP="00C11C73">
            <w:pPr>
              <w:spacing w:after="0"/>
              <w:jc w:val="left"/>
              <w:rPr>
                <w:rFonts w:eastAsiaTheme="minorEastAsia" w:hint="eastAsia"/>
                <w:i w:val="0"/>
                <w:lang w:eastAsia="ja-JP"/>
              </w:rPr>
            </w:pPr>
            <w:r w:rsidRPr="00C11C73">
              <w:rPr>
                <w:i w:val="0"/>
              </w:rPr>
              <w:t xml:space="preserve">Ce projet visa à contribuer à la résilience du tissu de T/PME tunisiennes dans un contexte de crises multiples et la relance d’une croissance économique durable et créatrice d’emplois décents en Tunisie au travers d’un renforcement technique et d’une amélioration de l’accès au financement des T/PME. </w:t>
            </w:r>
          </w:p>
        </w:tc>
      </w:tr>
      <w:tr w:rsidR="00167599" w14:paraId="5A00B63E" w14:textId="77777777" w:rsidTr="00C11C73">
        <w:trPr>
          <w:trHeight w:val="462"/>
        </w:trPr>
        <w:tc>
          <w:tcPr>
            <w:tcW w:w="2257" w:type="dxa"/>
            <w:tcBorders>
              <w:top w:val="single" w:sz="4" w:space="0" w:color="auto"/>
              <w:left w:val="single" w:sz="4" w:space="0" w:color="auto"/>
              <w:bottom w:val="single" w:sz="4" w:space="0" w:color="auto"/>
              <w:right w:val="single" w:sz="4" w:space="0" w:color="auto"/>
            </w:tcBorders>
            <w:hideMark/>
          </w:tcPr>
          <w:p w14:paraId="39FF16E9" w14:textId="5FDF112A" w:rsidR="00167599" w:rsidRPr="00C11C73" w:rsidRDefault="00167599" w:rsidP="00C11C73">
            <w:pPr>
              <w:spacing w:before="120" w:after="120"/>
              <w:ind w:left="32"/>
              <w:jc w:val="left"/>
              <w:rPr>
                <w:rFonts w:eastAsiaTheme="minorEastAsia" w:hint="eastAsia"/>
                <w:b/>
                <w:i w:val="0"/>
                <w:lang w:eastAsia="ja-JP"/>
              </w:rPr>
            </w:pPr>
            <w:r w:rsidRPr="00167599">
              <w:rPr>
                <w:rFonts w:eastAsiaTheme="minorEastAsia"/>
                <w:b/>
                <w:i w:val="0"/>
                <w:lang w:eastAsia="ja-JP"/>
              </w:rPr>
              <w:t>Thématique</w:t>
            </w:r>
            <w:r>
              <w:rPr>
                <w:rFonts w:eastAsiaTheme="minorEastAsia"/>
                <w:b/>
                <w:i w:val="0"/>
                <w:lang w:eastAsia="ja-JP"/>
              </w:rPr>
              <w:t xml:space="preserve"> </w:t>
            </w:r>
            <w:r w:rsidRPr="00C11C73">
              <w:rPr>
                <w:b/>
                <w:i w:val="0"/>
              </w:rPr>
              <w:t xml:space="preserve">associée </w:t>
            </w:r>
          </w:p>
        </w:tc>
        <w:tc>
          <w:tcPr>
            <w:tcW w:w="7585" w:type="dxa"/>
            <w:tcBorders>
              <w:top w:val="single" w:sz="4" w:space="0" w:color="auto"/>
              <w:left w:val="single" w:sz="4" w:space="0" w:color="auto"/>
              <w:bottom w:val="single" w:sz="4" w:space="0" w:color="auto"/>
              <w:right w:val="single" w:sz="4" w:space="0" w:color="auto"/>
            </w:tcBorders>
            <w:hideMark/>
          </w:tcPr>
          <w:p w14:paraId="0A1EC88E" w14:textId="20C2BA57" w:rsidR="00167599" w:rsidRPr="00C11C73" w:rsidRDefault="00167599" w:rsidP="00C11C73">
            <w:pPr>
              <w:spacing w:before="120" w:after="120"/>
              <w:jc w:val="left"/>
              <w:rPr>
                <w:rFonts w:eastAsiaTheme="minorEastAsia" w:hint="eastAsia"/>
                <w:i w:val="0"/>
                <w:lang w:eastAsia="ja-JP"/>
              </w:rPr>
            </w:pPr>
            <w:r w:rsidRPr="00C11C73">
              <w:rPr>
                <w:i w:val="0"/>
              </w:rPr>
              <w:t>Gouvernance économique et financière</w:t>
            </w:r>
          </w:p>
        </w:tc>
      </w:tr>
      <w:tr w:rsidR="00167599" w14:paraId="0A151ED3" w14:textId="77777777" w:rsidTr="00C11C73">
        <w:trPr>
          <w:trHeight w:val="302"/>
        </w:trPr>
        <w:tc>
          <w:tcPr>
            <w:tcW w:w="2257" w:type="dxa"/>
            <w:tcBorders>
              <w:top w:val="single" w:sz="4" w:space="0" w:color="auto"/>
              <w:left w:val="single" w:sz="4" w:space="0" w:color="auto"/>
              <w:bottom w:val="single" w:sz="4" w:space="0" w:color="auto"/>
              <w:right w:val="single" w:sz="4" w:space="0" w:color="auto"/>
            </w:tcBorders>
            <w:hideMark/>
          </w:tcPr>
          <w:p w14:paraId="685C4D60" w14:textId="77777777" w:rsidR="00167599" w:rsidRPr="00C11C73" w:rsidRDefault="00167599" w:rsidP="00C11C73">
            <w:pPr>
              <w:spacing w:before="120" w:after="120"/>
              <w:ind w:hanging="328"/>
              <w:jc w:val="left"/>
              <w:rPr>
                <w:rFonts w:eastAsiaTheme="minorEastAsia" w:hint="eastAsia"/>
                <w:b/>
                <w:i w:val="0"/>
                <w:lang w:eastAsia="ja-JP"/>
              </w:rPr>
            </w:pPr>
            <w:r w:rsidRPr="00C11C73">
              <w:rPr>
                <w:b/>
                <w:i w:val="0"/>
              </w:rPr>
              <w:t>Budget (en M€)</w:t>
            </w:r>
          </w:p>
        </w:tc>
        <w:tc>
          <w:tcPr>
            <w:tcW w:w="7585" w:type="dxa"/>
            <w:tcBorders>
              <w:top w:val="single" w:sz="4" w:space="0" w:color="auto"/>
              <w:left w:val="single" w:sz="4" w:space="0" w:color="auto"/>
              <w:bottom w:val="single" w:sz="4" w:space="0" w:color="auto"/>
              <w:right w:val="single" w:sz="4" w:space="0" w:color="auto"/>
            </w:tcBorders>
            <w:hideMark/>
          </w:tcPr>
          <w:p w14:paraId="38114872" w14:textId="77777777" w:rsidR="00167599" w:rsidRPr="00C11C73" w:rsidRDefault="00167599" w:rsidP="00C11C73">
            <w:pPr>
              <w:spacing w:before="120" w:after="120"/>
              <w:jc w:val="left"/>
              <w:rPr>
                <w:rFonts w:eastAsiaTheme="minorEastAsia" w:hint="eastAsia"/>
                <w:i w:val="0"/>
                <w:lang w:eastAsia="ja-JP"/>
              </w:rPr>
            </w:pPr>
            <w:r w:rsidRPr="00C11C73">
              <w:rPr>
                <w:i w:val="0"/>
              </w:rPr>
              <w:t>8 900 000€</w:t>
            </w:r>
          </w:p>
        </w:tc>
      </w:tr>
      <w:tr w:rsidR="00167599" w14:paraId="06701C5A" w14:textId="77777777" w:rsidTr="00C11C73">
        <w:trPr>
          <w:trHeight w:val="296"/>
        </w:trPr>
        <w:tc>
          <w:tcPr>
            <w:tcW w:w="2257" w:type="dxa"/>
            <w:tcBorders>
              <w:top w:val="single" w:sz="4" w:space="0" w:color="auto"/>
              <w:left w:val="single" w:sz="4" w:space="0" w:color="auto"/>
              <w:bottom w:val="single" w:sz="4" w:space="0" w:color="auto"/>
              <w:right w:val="single" w:sz="4" w:space="0" w:color="auto"/>
            </w:tcBorders>
            <w:hideMark/>
          </w:tcPr>
          <w:p w14:paraId="674C3D39" w14:textId="77777777" w:rsidR="00167599" w:rsidRPr="00C11C73" w:rsidRDefault="00167599" w:rsidP="00C11C73">
            <w:pPr>
              <w:spacing w:before="120" w:after="120"/>
              <w:ind w:hanging="328"/>
              <w:jc w:val="left"/>
              <w:rPr>
                <w:rFonts w:eastAsiaTheme="minorEastAsia" w:hint="eastAsia"/>
                <w:b/>
                <w:i w:val="0"/>
                <w:lang w:eastAsia="ja-JP"/>
              </w:rPr>
            </w:pPr>
            <w:r w:rsidRPr="00C11C73">
              <w:rPr>
                <w:b/>
                <w:i w:val="0"/>
              </w:rPr>
              <w:t xml:space="preserve">Durée </w:t>
            </w:r>
          </w:p>
        </w:tc>
        <w:tc>
          <w:tcPr>
            <w:tcW w:w="7585" w:type="dxa"/>
            <w:tcBorders>
              <w:top w:val="single" w:sz="4" w:space="0" w:color="auto"/>
              <w:left w:val="single" w:sz="4" w:space="0" w:color="auto"/>
              <w:bottom w:val="single" w:sz="4" w:space="0" w:color="auto"/>
              <w:right w:val="single" w:sz="4" w:space="0" w:color="auto"/>
            </w:tcBorders>
            <w:hideMark/>
          </w:tcPr>
          <w:p w14:paraId="72D592DD" w14:textId="7097A10F" w:rsidR="00167599" w:rsidRPr="00C11C73" w:rsidRDefault="00167599" w:rsidP="00C11C73">
            <w:pPr>
              <w:spacing w:before="120" w:after="120"/>
              <w:jc w:val="left"/>
              <w:rPr>
                <w:rFonts w:eastAsiaTheme="minorEastAsia" w:hint="eastAsia"/>
                <w:i w:val="0"/>
                <w:lang w:eastAsia="ja-JP"/>
              </w:rPr>
            </w:pPr>
            <w:r w:rsidRPr="00C11C73">
              <w:rPr>
                <w:i w:val="0"/>
              </w:rPr>
              <w:t>48 mois</w:t>
            </w:r>
            <w:r>
              <w:rPr>
                <w:rFonts w:eastAsiaTheme="minorEastAsia"/>
                <w:i w:val="0"/>
                <w:lang w:eastAsia="ja-JP"/>
              </w:rPr>
              <w:t>, du 1</w:t>
            </w:r>
            <w:r w:rsidRPr="00C11C73">
              <w:rPr>
                <w:rFonts w:hint="eastAsia"/>
                <w:i w:val="0"/>
                <w:vertAlign w:val="superscript"/>
              </w:rPr>
              <w:t>er</w:t>
            </w:r>
            <w:r>
              <w:rPr>
                <w:rFonts w:eastAsiaTheme="minorEastAsia"/>
                <w:i w:val="0"/>
                <w:lang w:eastAsia="ja-JP"/>
              </w:rPr>
              <w:t xml:space="preserve"> juillet 2024 au 30 juin 2028</w:t>
            </w:r>
          </w:p>
        </w:tc>
      </w:tr>
      <w:tr w:rsidR="00167599" w14:paraId="29025716" w14:textId="77777777" w:rsidTr="00C11C73">
        <w:trPr>
          <w:trHeight w:val="302"/>
        </w:trPr>
        <w:tc>
          <w:tcPr>
            <w:tcW w:w="2257" w:type="dxa"/>
            <w:tcBorders>
              <w:top w:val="single" w:sz="4" w:space="0" w:color="auto"/>
              <w:left w:val="single" w:sz="4" w:space="0" w:color="auto"/>
              <w:bottom w:val="single" w:sz="4" w:space="0" w:color="auto"/>
              <w:right w:val="single" w:sz="4" w:space="0" w:color="auto"/>
            </w:tcBorders>
            <w:hideMark/>
          </w:tcPr>
          <w:p w14:paraId="15FC6A1C" w14:textId="47FA689D" w:rsidR="00167599" w:rsidRPr="00C11C73" w:rsidRDefault="00167599" w:rsidP="00C11C73">
            <w:pPr>
              <w:spacing w:before="120" w:after="120"/>
              <w:ind w:hanging="328"/>
              <w:jc w:val="left"/>
              <w:rPr>
                <w:rFonts w:eastAsiaTheme="minorEastAsia" w:hint="eastAsia"/>
                <w:b/>
                <w:i w:val="0"/>
                <w:lang w:eastAsia="ja-JP"/>
              </w:rPr>
            </w:pPr>
            <w:r>
              <w:rPr>
                <w:rFonts w:eastAsiaTheme="minorEastAsia"/>
                <w:b/>
                <w:i w:val="0"/>
                <w:lang w:eastAsia="ja-JP"/>
              </w:rPr>
              <w:t>Périmètre</w:t>
            </w:r>
            <w:r w:rsidRPr="00C11C73">
              <w:rPr>
                <w:b/>
                <w:i w:val="0"/>
              </w:rPr>
              <w:t xml:space="preserve"> </w:t>
            </w:r>
          </w:p>
        </w:tc>
        <w:tc>
          <w:tcPr>
            <w:tcW w:w="7585" w:type="dxa"/>
            <w:tcBorders>
              <w:top w:val="single" w:sz="4" w:space="0" w:color="auto"/>
              <w:left w:val="single" w:sz="4" w:space="0" w:color="auto"/>
              <w:bottom w:val="single" w:sz="4" w:space="0" w:color="auto"/>
              <w:right w:val="single" w:sz="4" w:space="0" w:color="auto"/>
            </w:tcBorders>
            <w:hideMark/>
          </w:tcPr>
          <w:p w14:paraId="0F7F7D9B" w14:textId="2A4352C8" w:rsidR="00167599" w:rsidRPr="00C11C73" w:rsidRDefault="00167599" w:rsidP="00C11C73">
            <w:pPr>
              <w:spacing w:before="120" w:after="120"/>
              <w:jc w:val="left"/>
              <w:rPr>
                <w:rFonts w:eastAsiaTheme="minorEastAsia" w:hint="eastAsia"/>
                <w:i w:val="0"/>
                <w:lang w:eastAsia="ja-JP"/>
              </w:rPr>
            </w:pPr>
            <w:r>
              <w:rPr>
                <w:rFonts w:eastAsiaTheme="minorEastAsia"/>
                <w:i w:val="0"/>
                <w:lang w:eastAsia="ja-JP"/>
              </w:rPr>
              <w:t>T</w:t>
            </w:r>
            <w:r w:rsidR="00DC43D0">
              <w:rPr>
                <w:rFonts w:eastAsiaTheme="minorEastAsia"/>
                <w:i w:val="0"/>
                <w:lang w:eastAsia="ja-JP"/>
              </w:rPr>
              <w:t>oute la T</w:t>
            </w:r>
            <w:r>
              <w:rPr>
                <w:rFonts w:eastAsiaTheme="minorEastAsia"/>
                <w:i w:val="0"/>
                <w:lang w:eastAsia="ja-JP"/>
              </w:rPr>
              <w:t>unisie</w:t>
            </w:r>
            <w:r w:rsidR="00DC43D0">
              <w:rPr>
                <w:rFonts w:eastAsiaTheme="minorEastAsia"/>
                <w:i w:val="0"/>
                <w:lang w:eastAsia="ja-JP"/>
              </w:rPr>
              <w:t xml:space="preserve">, </w:t>
            </w:r>
            <w:r>
              <w:rPr>
                <w:rFonts w:eastAsiaTheme="minorEastAsia"/>
                <w:i w:val="0"/>
                <w:lang w:eastAsia="ja-JP"/>
              </w:rPr>
              <w:t xml:space="preserve">avec des interventions spécifiques dans les </w:t>
            </w:r>
            <w:proofErr w:type="spellStart"/>
            <w:r>
              <w:rPr>
                <w:rFonts w:eastAsiaTheme="minorEastAsia"/>
                <w:i w:val="0"/>
                <w:lang w:eastAsia="ja-JP"/>
              </w:rPr>
              <w:t>governorats</w:t>
            </w:r>
            <w:proofErr w:type="spellEnd"/>
            <w:r>
              <w:rPr>
                <w:rFonts w:eastAsiaTheme="minorEastAsia"/>
                <w:i w:val="0"/>
                <w:lang w:eastAsia="ja-JP"/>
              </w:rPr>
              <w:t xml:space="preserve"> les moins développés</w:t>
            </w:r>
          </w:p>
        </w:tc>
      </w:tr>
      <w:tr w:rsidR="00167599" w14:paraId="77E23655" w14:textId="77777777" w:rsidTr="00C11C73">
        <w:trPr>
          <w:trHeight w:val="302"/>
        </w:trPr>
        <w:tc>
          <w:tcPr>
            <w:tcW w:w="2257" w:type="dxa"/>
            <w:tcBorders>
              <w:top w:val="single" w:sz="4" w:space="0" w:color="auto"/>
              <w:left w:val="single" w:sz="4" w:space="0" w:color="auto"/>
              <w:bottom w:val="single" w:sz="4" w:space="0" w:color="auto"/>
              <w:right w:val="single" w:sz="4" w:space="0" w:color="auto"/>
            </w:tcBorders>
            <w:hideMark/>
          </w:tcPr>
          <w:p w14:paraId="59D3AE2C" w14:textId="77777777" w:rsidR="00167599" w:rsidRPr="00C11C73" w:rsidRDefault="00167599" w:rsidP="00C11C73">
            <w:pPr>
              <w:spacing w:before="120" w:after="120"/>
              <w:ind w:hanging="328"/>
              <w:jc w:val="left"/>
              <w:rPr>
                <w:rFonts w:eastAsiaTheme="minorEastAsia" w:hint="eastAsia"/>
                <w:b/>
                <w:i w:val="0"/>
                <w:lang w:eastAsia="ja-JP"/>
              </w:rPr>
            </w:pPr>
            <w:r w:rsidRPr="00C11C73">
              <w:rPr>
                <w:b/>
                <w:i w:val="0"/>
              </w:rPr>
              <w:t>Bailleurs</w:t>
            </w:r>
          </w:p>
        </w:tc>
        <w:tc>
          <w:tcPr>
            <w:tcW w:w="7585" w:type="dxa"/>
            <w:tcBorders>
              <w:top w:val="single" w:sz="4" w:space="0" w:color="auto"/>
              <w:left w:val="single" w:sz="4" w:space="0" w:color="auto"/>
              <w:bottom w:val="single" w:sz="4" w:space="0" w:color="auto"/>
              <w:right w:val="single" w:sz="4" w:space="0" w:color="auto"/>
            </w:tcBorders>
            <w:hideMark/>
          </w:tcPr>
          <w:p w14:paraId="28CDBD41" w14:textId="77777777" w:rsidR="00167599" w:rsidRPr="00C11C73" w:rsidRDefault="00167599" w:rsidP="00C11C73">
            <w:pPr>
              <w:spacing w:before="120" w:after="120"/>
              <w:jc w:val="left"/>
              <w:rPr>
                <w:rFonts w:eastAsiaTheme="minorEastAsia" w:hint="eastAsia"/>
                <w:i w:val="0"/>
                <w:lang w:eastAsia="ja-JP"/>
              </w:rPr>
            </w:pPr>
            <w:r w:rsidRPr="00C11C73">
              <w:rPr>
                <w:i w:val="0"/>
              </w:rPr>
              <w:t>Union Européenne, Agence Française de Développement (AFD)</w:t>
            </w:r>
          </w:p>
        </w:tc>
      </w:tr>
      <w:tr w:rsidR="00167599" w14:paraId="4253B25D" w14:textId="77777777" w:rsidTr="00C11C73">
        <w:trPr>
          <w:trHeight w:val="622"/>
        </w:trPr>
        <w:tc>
          <w:tcPr>
            <w:tcW w:w="2257" w:type="dxa"/>
            <w:tcBorders>
              <w:top w:val="single" w:sz="4" w:space="0" w:color="auto"/>
              <w:left w:val="single" w:sz="4" w:space="0" w:color="auto"/>
              <w:bottom w:val="single" w:sz="4" w:space="0" w:color="auto"/>
              <w:right w:val="single" w:sz="4" w:space="0" w:color="auto"/>
            </w:tcBorders>
            <w:hideMark/>
          </w:tcPr>
          <w:p w14:paraId="3C4B6546" w14:textId="77777777" w:rsidR="00167599" w:rsidRPr="00C11C73" w:rsidRDefault="00167599" w:rsidP="00C11C73">
            <w:pPr>
              <w:spacing w:before="120" w:after="120"/>
              <w:ind w:hanging="328"/>
              <w:jc w:val="left"/>
              <w:rPr>
                <w:rFonts w:eastAsiaTheme="minorEastAsia" w:hint="eastAsia"/>
                <w:b/>
                <w:i w:val="0"/>
                <w:lang w:eastAsia="ja-JP"/>
              </w:rPr>
            </w:pPr>
            <w:r w:rsidRPr="00C11C73">
              <w:rPr>
                <w:b/>
                <w:i w:val="0"/>
              </w:rPr>
              <w:t>Bénéficiaires</w:t>
            </w:r>
          </w:p>
        </w:tc>
        <w:tc>
          <w:tcPr>
            <w:tcW w:w="7585" w:type="dxa"/>
            <w:tcBorders>
              <w:top w:val="single" w:sz="4" w:space="0" w:color="auto"/>
              <w:left w:val="single" w:sz="4" w:space="0" w:color="auto"/>
              <w:bottom w:val="single" w:sz="4" w:space="0" w:color="auto"/>
              <w:right w:val="single" w:sz="4" w:space="0" w:color="auto"/>
            </w:tcBorders>
            <w:hideMark/>
          </w:tcPr>
          <w:p w14:paraId="3378F4CA" w14:textId="77777777" w:rsidR="00167599" w:rsidRPr="00C11C73" w:rsidRDefault="00167599" w:rsidP="00C11C73">
            <w:pPr>
              <w:spacing w:before="120" w:after="120"/>
              <w:jc w:val="left"/>
              <w:rPr>
                <w:rFonts w:eastAsiaTheme="minorEastAsia" w:hint="eastAsia"/>
                <w:i w:val="0"/>
                <w:lang w:eastAsia="ja-JP"/>
              </w:rPr>
            </w:pPr>
            <w:r w:rsidRPr="00C11C73">
              <w:rPr>
                <w:i w:val="0"/>
              </w:rPr>
              <w:t xml:space="preserve">T/PME tunisiennes, avec un focus sur les entreprises vertes ou à visée social et/ou fondée ou </w:t>
            </w:r>
            <w:proofErr w:type="spellStart"/>
            <w:r w:rsidRPr="00C11C73">
              <w:rPr>
                <w:i w:val="0"/>
              </w:rPr>
              <w:t>co-fondées</w:t>
            </w:r>
            <w:proofErr w:type="spellEnd"/>
            <w:r w:rsidRPr="00C11C73">
              <w:rPr>
                <w:i w:val="0"/>
              </w:rPr>
              <w:t xml:space="preserve"> par des femmes, et/ou implantées dans des régions à faible IDR.</w:t>
            </w:r>
          </w:p>
        </w:tc>
      </w:tr>
    </w:tbl>
    <w:p w14:paraId="1DC93D0A" w14:textId="77777777" w:rsidR="00DC43D0" w:rsidRPr="00C11C73" w:rsidRDefault="00DC43D0" w:rsidP="00C11C73">
      <w:pPr>
        <w:pStyle w:val="P68B1DB1-Normal4"/>
        <w:ind w:left="0"/>
        <w:rPr>
          <w:rFonts w:hint="eastAsia"/>
          <w:lang w:val="fr-FR"/>
        </w:rPr>
      </w:pPr>
    </w:p>
    <w:p w14:paraId="39721276" w14:textId="77777777" w:rsidR="00452BA3" w:rsidRPr="00413FEC" w:rsidRDefault="00452BA3" w:rsidP="00EB2073">
      <w:pPr>
        <w:pStyle w:val="Titre2"/>
        <w:ind w:left="576"/>
        <w:rPr>
          <w:rFonts w:hint="eastAsia"/>
          <w:i w:val="0"/>
        </w:rPr>
      </w:pPr>
      <w:bookmarkStart w:id="5" w:name="_Toc113975878"/>
      <w:bookmarkStart w:id="6" w:name="_Toc132273688"/>
      <w:bookmarkStart w:id="7" w:name="_Toc145500315"/>
      <w:r w:rsidRPr="00413FEC">
        <w:rPr>
          <w:i w:val="0"/>
        </w:rPr>
        <w:t>Objectifs du projet</w:t>
      </w:r>
      <w:bookmarkEnd w:id="5"/>
      <w:bookmarkEnd w:id="6"/>
      <w:bookmarkEnd w:id="7"/>
    </w:p>
    <w:p w14:paraId="4B6F7AA0" w14:textId="77777777" w:rsidR="00DC43D0" w:rsidRPr="00116E27" w:rsidRDefault="00DC43D0" w:rsidP="00DC43D0">
      <w:pPr>
        <w:rPr>
          <w:rFonts w:hint="eastAsia"/>
          <w:i w:val="0"/>
        </w:rPr>
      </w:pPr>
      <w:r w:rsidRPr="00116E27">
        <w:rPr>
          <w:i w:val="0"/>
        </w:rPr>
        <w:t xml:space="preserve">L’objectif général de l’action est de contribuer à la résilience du tissu de T/PME tunisiennes dans un contexte de crises multiples et la relance d’une croissance économique durable et créatrice d’emplois décents en Tunisie au travers d’un renforcement technique et d’une amélioration de l’accès au financement des T/PME. </w:t>
      </w:r>
    </w:p>
    <w:p w14:paraId="0EC02DFC" w14:textId="77777777" w:rsidR="00DC43D0" w:rsidRPr="00116E27" w:rsidRDefault="00DC43D0" w:rsidP="00DC43D0">
      <w:pPr>
        <w:rPr>
          <w:rFonts w:hint="eastAsia"/>
          <w:i w:val="0"/>
        </w:rPr>
      </w:pPr>
      <w:r w:rsidRPr="00116E27">
        <w:rPr>
          <w:i w:val="0"/>
        </w:rPr>
        <w:t xml:space="preserve">La présente Action vise à couvrir trois objectifs spécifiques : </w:t>
      </w:r>
    </w:p>
    <w:p w14:paraId="7DB0D890" w14:textId="77777777" w:rsidR="00DC43D0" w:rsidRPr="00116E27" w:rsidRDefault="00DC43D0" w:rsidP="00DC43D0">
      <w:pPr>
        <w:rPr>
          <w:rFonts w:hint="eastAsia"/>
          <w:i w:val="0"/>
        </w:rPr>
      </w:pPr>
      <w:r w:rsidRPr="00116E27">
        <w:rPr>
          <w:b/>
          <w:i w:val="0"/>
        </w:rPr>
        <w:t>Objectif spécifique 1</w:t>
      </w:r>
      <w:r w:rsidRPr="00116E27">
        <w:rPr>
          <w:i w:val="0"/>
        </w:rPr>
        <w:t xml:space="preserve"> : Renforcer les capacités techniques et financières de la Banque Centrale et des Institutions Financières au travers de l’accompagnement de lignes de crédits visant à faciliter l’accès au financement et favoriser la consolidation du tissu des T/PME affectées par les crises récentes.</w:t>
      </w:r>
    </w:p>
    <w:p w14:paraId="0470F91D" w14:textId="77777777" w:rsidR="00DC43D0" w:rsidRPr="00116E27" w:rsidRDefault="00DC43D0" w:rsidP="00DC43D0">
      <w:pPr>
        <w:rPr>
          <w:rFonts w:hint="eastAsia"/>
          <w:i w:val="0"/>
        </w:rPr>
      </w:pPr>
      <w:r w:rsidRPr="00116E27">
        <w:rPr>
          <w:b/>
          <w:i w:val="0"/>
        </w:rPr>
        <w:lastRenderedPageBreak/>
        <w:t>Objectif spécifique 2</w:t>
      </w:r>
      <w:r w:rsidRPr="00116E27">
        <w:rPr>
          <w:i w:val="0"/>
        </w:rPr>
        <w:t xml:space="preserve"> : Encourager l’octroi de crédits verts et à impact social à destination des T/PME tunisiennes afin de contribuer à une croissance économique vertueuse en matière de développement durable.</w:t>
      </w:r>
    </w:p>
    <w:p w14:paraId="7D11771E" w14:textId="77777777" w:rsidR="00DC43D0" w:rsidRPr="00116E27" w:rsidRDefault="00DC43D0" w:rsidP="00DC43D0">
      <w:pPr>
        <w:rPr>
          <w:rFonts w:hint="eastAsia"/>
          <w:i w:val="0"/>
        </w:rPr>
      </w:pPr>
      <w:r w:rsidRPr="00116E27">
        <w:rPr>
          <w:b/>
          <w:i w:val="0"/>
        </w:rPr>
        <w:t>Objectif spécifique 3</w:t>
      </w:r>
      <w:r w:rsidRPr="00116E27">
        <w:rPr>
          <w:i w:val="0"/>
        </w:rPr>
        <w:t xml:space="preserve"> : Renforcer les capacités des T/PME pour l’accès au financement et structurer l’écosystème d’accompagnement dédié.</w:t>
      </w:r>
    </w:p>
    <w:p w14:paraId="6AF271B5" w14:textId="3059C5D5" w:rsidR="00F35DA8" w:rsidRPr="00DA494F" w:rsidRDefault="00F35DA8" w:rsidP="00DA494F">
      <w:pPr>
        <w:tabs>
          <w:tab w:val="clear" w:pos="9923"/>
        </w:tabs>
        <w:spacing w:line="276" w:lineRule="auto"/>
        <w:ind w:left="1429" w:hanging="360"/>
        <w:contextualSpacing/>
        <w:rPr>
          <w:rFonts w:cstheme="minorHAnsi" w:hint="eastAsia"/>
          <w:bCs/>
          <w:i w:val="0"/>
        </w:rPr>
      </w:pPr>
    </w:p>
    <w:p w14:paraId="28AD5D6B" w14:textId="77777777" w:rsidR="00452BA3" w:rsidRPr="00413FEC" w:rsidRDefault="00452BA3" w:rsidP="00EB2073">
      <w:pPr>
        <w:pStyle w:val="Titre2"/>
        <w:ind w:left="576"/>
        <w:rPr>
          <w:rFonts w:hint="eastAsia"/>
          <w:i w:val="0"/>
        </w:rPr>
      </w:pPr>
      <w:bookmarkStart w:id="8" w:name="_Toc145500316"/>
      <w:r w:rsidRPr="00413FEC">
        <w:rPr>
          <w:i w:val="0"/>
        </w:rPr>
        <w:t>Définition du champ d’action du projet</w:t>
      </w:r>
      <w:bookmarkEnd w:id="8"/>
    </w:p>
    <w:p w14:paraId="28325AA6" w14:textId="77777777" w:rsidR="00DC43D0" w:rsidRPr="00AC7D47" w:rsidRDefault="00DC43D0" w:rsidP="00DC43D0">
      <w:pPr>
        <w:rPr>
          <w:rFonts w:hint="eastAsia"/>
          <w:i w:val="0"/>
        </w:rPr>
      </w:pPr>
      <w:r w:rsidRPr="00AC7D47">
        <w:rPr>
          <w:i w:val="0"/>
        </w:rPr>
        <w:t>L’Action, qui s’adresse au secteur des T/PME tunisiennes dans son ensemble ainsi qu’à l’écosystème dans lequel elles évoluent, a été structurée de manière à faciliter le renforcement des différents acteurs, aussi bien au niveau de la demande (T/PME), que de l’offre (IFP), afin de réduire le déficit de financement entre besoins des T/PME et financements mis à disposition par les institutions financières. Comme présenté ci-dessus, elle vient en complément des lignes de crédit des bailleurs en faveur des T/PME affectées par les crises qui visent à améliorer l’état actuel du marché du crédit en Tunisie et favoriser l’investissement privé grâce à une augmentation de la part des prêts à plus long terme accordés aux T/PME.</w:t>
      </w:r>
    </w:p>
    <w:p w14:paraId="2ECC6819" w14:textId="77777777" w:rsidR="00DC43D0" w:rsidRPr="00275785" w:rsidRDefault="00DC43D0" w:rsidP="00DC43D0">
      <w:pPr>
        <w:rPr>
          <w:rFonts w:hint="eastAsia"/>
        </w:rPr>
      </w:pPr>
      <w:r w:rsidRPr="00275785">
        <w:rPr>
          <w:b/>
        </w:rPr>
        <w:t xml:space="preserve">1) Un programme de renforcement des capacités des acteurs des lignes de crédit à destination des </w:t>
      </w:r>
      <w:r>
        <w:rPr>
          <w:b/>
        </w:rPr>
        <w:t>T/</w:t>
      </w:r>
      <w:r w:rsidRPr="00275785">
        <w:rPr>
          <w:b/>
        </w:rPr>
        <w:t xml:space="preserve">PME, </w:t>
      </w:r>
      <w:r w:rsidRPr="00275785">
        <w:t>qui vise à fournir des services d’assistance technique à :</w:t>
      </w:r>
    </w:p>
    <w:p w14:paraId="72C26018" w14:textId="77777777" w:rsidR="00DC43D0" w:rsidRPr="00AC7D47" w:rsidRDefault="00DC43D0" w:rsidP="00DC43D0">
      <w:pPr>
        <w:pStyle w:val="Sansinterligne"/>
        <w:numPr>
          <w:ilvl w:val="0"/>
          <w:numId w:val="31"/>
        </w:numPr>
        <w:spacing w:before="100" w:after="100" w:line="276" w:lineRule="auto"/>
        <w:contextualSpacing/>
        <w:jc w:val="both"/>
        <w:rPr>
          <w:rFonts w:ascii="Calibri-Italic" w:hAnsi="Calibri-Italic" w:cs="Arial" w:hint="eastAsia"/>
          <w:iCs/>
          <w:color w:val="000000"/>
          <w:sz w:val="22"/>
          <w:szCs w:val="22"/>
        </w:rPr>
      </w:pPr>
      <w:r w:rsidRPr="00AC7D47">
        <w:rPr>
          <w:rFonts w:ascii="Calibri-Italic" w:hAnsi="Calibri-Italic" w:cs="Arial"/>
          <w:iCs/>
          <w:color w:val="000000"/>
          <w:sz w:val="22"/>
          <w:szCs w:val="22"/>
        </w:rPr>
        <w:t>La BCT, à travers le développement d’un soutien dédié pour l’Unité de Coordination de Projet (UCP) qui sera en charge de la mise en œuvre, l’administration et le suivi des lignes de crédit aux T/PME. Cette assistance permettra à l’UCP de se doter de structures, politiques, procédures et outils au niveau des standards internationaux afin d’assurer la meilleure allocation des ressources et le suivi de son portefeuille et de l’impact généré en termes d’emplois, d’</w:t>
      </w:r>
      <w:proofErr w:type="spellStart"/>
      <w:r w:rsidRPr="00AC7D47">
        <w:rPr>
          <w:rFonts w:ascii="Calibri-Italic" w:hAnsi="Calibri-Italic" w:cs="Arial"/>
          <w:iCs/>
          <w:color w:val="000000"/>
          <w:sz w:val="22"/>
          <w:szCs w:val="22"/>
        </w:rPr>
        <w:t>inclusivité</w:t>
      </w:r>
      <w:proofErr w:type="spellEnd"/>
      <w:r w:rsidRPr="00AC7D47">
        <w:rPr>
          <w:rFonts w:ascii="Calibri-Italic" w:hAnsi="Calibri-Italic" w:cs="Arial"/>
          <w:iCs/>
          <w:color w:val="000000"/>
          <w:sz w:val="22"/>
          <w:szCs w:val="22"/>
        </w:rPr>
        <w:t xml:space="preserve"> et de finance verte.</w:t>
      </w:r>
    </w:p>
    <w:p w14:paraId="25ED70D5" w14:textId="77777777" w:rsidR="00DC43D0" w:rsidRPr="00AC7D47" w:rsidRDefault="00DC43D0" w:rsidP="00DC43D0">
      <w:pPr>
        <w:pStyle w:val="Sansinterligne"/>
        <w:numPr>
          <w:ilvl w:val="0"/>
          <w:numId w:val="31"/>
        </w:numPr>
        <w:spacing w:before="100" w:after="100" w:line="276" w:lineRule="auto"/>
        <w:ind w:left="714" w:hanging="357"/>
        <w:contextualSpacing/>
        <w:jc w:val="both"/>
        <w:rPr>
          <w:rFonts w:ascii="Calibri-Italic" w:hAnsi="Calibri-Italic" w:cs="Arial" w:hint="eastAsia"/>
          <w:iCs/>
          <w:color w:val="000000"/>
          <w:sz w:val="22"/>
          <w:szCs w:val="22"/>
        </w:rPr>
      </w:pPr>
      <w:r w:rsidRPr="00AC7D47">
        <w:rPr>
          <w:rFonts w:ascii="Calibri-Italic" w:hAnsi="Calibri-Italic" w:cs="Arial"/>
          <w:iCs/>
          <w:color w:val="000000"/>
          <w:sz w:val="22"/>
          <w:szCs w:val="22"/>
        </w:rPr>
        <w:t>Les IFP, intermédiaires de lignes de crédits pour les T/PME, avec en particulier, un appui permettant de conforter l’analyse des risques des PME de classe 2 et la capacité de ces dernières à préparer des propositions de prêts de qualité, des plans de restructuration de leur dette adaptée. En outre, sur la base d’études diagnostics, cet appui pourra permettre de développer des offres pour les T/PME adaptées à la situation économique tunisienne, de renforcer si besoin leurs capacités en termes de gestion et évaluation des risques, notamment en situation de crises. Le développement de canaux de distribution alternatifs adaptés à des nouveaux segments et toute autre activité liée à structuration interne de l’institution et à sa définition de sa stratégie T/PME seront également éligibles. Cette action vise à assurer la mise à disposition d’une offre et une approche de financement adaptées aux besoins des T/PME, sur l’ensemble du territoire tunisien.</w:t>
      </w:r>
    </w:p>
    <w:p w14:paraId="210E5573" w14:textId="77777777" w:rsidR="00DC43D0" w:rsidRPr="00275785" w:rsidRDefault="00DC43D0" w:rsidP="00DC43D0">
      <w:pPr>
        <w:rPr>
          <w:rFonts w:hint="eastAsia"/>
        </w:rPr>
      </w:pPr>
      <w:r w:rsidRPr="00275785">
        <w:rPr>
          <w:b/>
        </w:rPr>
        <w:t xml:space="preserve">2) Un dispositif de soutien technique et financier aux </w:t>
      </w:r>
      <w:r>
        <w:rPr>
          <w:b/>
        </w:rPr>
        <w:t>T/PME</w:t>
      </w:r>
      <w:r w:rsidRPr="00275785">
        <w:t xml:space="preserve"> articulé autour de trois dispositifs créant un continuum d’accès à l’expertise et au financement à chaque stade de vie de l’entreprise : </w:t>
      </w:r>
    </w:p>
    <w:p w14:paraId="3DF0EDDA" w14:textId="77777777" w:rsidR="00DC43D0" w:rsidRPr="00AC7D47" w:rsidRDefault="00DC43D0" w:rsidP="00DC43D0">
      <w:pPr>
        <w:pStyle w:val="Sansinterligne"/>
        <w:numPr>
          <w:ilvl w:val="0"/>
          <w:numId w:val="31"/>
        </w:numPr>
        <w:spacing w:before="100" w:after="100" w:line="276" w:lineRule="auto"/>
        <w:contextualSpacing/>
        <w:jc w:val="both"/>
        <w:rPr>
          <w:rFonts w:ascii="Calibri-Italic" w:hAnsi="Calibri-Italic" w:cs="Arial" w:hint="eastAsia"/>
          <w:iCs/>
          <w:color w:val="000000"/>
          <w:sz w:val="22"/>
          <w:szCs w:val="22"/>
        </w:rPr>
      </w:pPr>
      <w:r w:rsidRPr="00AC7D47">
        <w:rPr>
          <w:rFonts w:ascii="Calibri-Italic" w:hAnsi="Calibri-Italic" w:cs="Arial"/>
          <w:iCs/>
          <w:color w:val="000000"/>
          <w:sz w:val="22"/>
          <w:szCs w:val="22"/>
        </w:rPr>
        <w:t>Un mécanisme incitatif de primes d’investissement sous forme de subventions adossées aux lignes de crédit de l’AFD et de la BEI pour favoriser l’entrepreneuriat vert et à impact.</w:t>
      </w:r>
    </w:p>
    <w:p w14:paraId="5EE18C33" w14:textId="77777777" w:rsidR="00DC43D0" w:rsidRPr="00AC7D47" w:rsidRDefault="00DC43D0" w:rsidP="00DC43D0">
      <w:pPr>
        <w:pStyle w:val="Sansinterligne"/>
        <w:numPr>
          <w:ilvl w:val="0"/>
          <w:numId w:val="31"/>
        </w:numPr>
        <w:spacing w:before="100" w:after="100" w:line="276" w:lineRule="auto"/>
        <w:contextualSpacing/>
        <w:jc w:val="both"/>
        <w:rPr>
          <w:rFonts w:ascii="Calibri-Italic" w:hAnsi="Calibri-Italic" w:cs="Arial" w:hint="eastAsia"/>
          <w:iCs/>
          <w:color w:val="000000"/>
          <w:sz w:val="22"/>
          <w:szCs w:val="22"/>
        </w:rPr>
      </w:pPr>
      <w:r w:rsidRPr="00AC7D47">
        <w:rPr>
          <w:rFonts w:ascii="Calibri-Italic" w:hAnsi="Calibri-Italic" w:cs="Arial"/>
          <w:iCs/>
          <w:color w:val="000000"/>
          <w:sz w:val="22"/>
          <w:szCs w:val="22"/>
        </w:rPr>
        <w:t>Un appui technique et financier aux TPE en régions au travers de subventions octroyées à des structures d’accompagnement incluant des financements pour les entrepreneurs</w:t>
      </w:r>
    </w:p>
    <w:p w14:paraId="0DCC6FB9" w14:textId="78572D7B" w:rsidR="00DC43D0" w:rsidRPr="00AC7D47" w:rsidRDefault="00DC43D0" w:rsidP="00DC43D0">
      <w:pPr>
        <w:pStyle w:val="Sansinterligne"/>
        <w:numPr>
          <w:ilvl w:val="0"/>
          <w:numId w:val="31"/>
        </w:numPr>
        <w:spacing w:before="100" w:after="100" w:line="276" w:lineRule="auto"/>
        <w:ind w:left="714" w:hanging="357"/>
        <w:contextualSpacing/>
        <w:jc w:val="both"/>
        <w:rPr>
          <w:rFonts w:ascii="Calibri-Italic" w:hAnsi="Calibri-Italic" w:cs="Arial" w:hint="eastAsia"/>
          <w:iCs/>
          <w:color w:val="000000"/>
          <w:sz w:val="22"/>
          <w:szCs w:val="22"/>
        </w:rPr>
      </w:pPr>
      <w:r w:rsidRPr="00AC7D47">
        <w:rPr>
          <w:rFonts w:ascii="Calibri-Italic" w:hAnsi="Calibri-Italic" w:cs="Arial"/>
          <w:iCs/>
          <w:color w:val="000000"/>
          <w:sz w:val="22"/>
          <w:szCs w:val="22"/>
        </w:rPr>
        <w:t xml:space="preserve">Un dispositif d’expertise ouvert </w:t>
      </w:r>
      <w:r>
        <w:rPr>
          <w:rFonts w:ascii="Calibri-Italic" w:hAnsi="Calibri-Italic" w:cs="Arial"/>
          <w:iCs/>
          <w:color w:val="000000"/>
          <w:sz w:val="22"/>
          <w:szCs w:val="22"/>
        </w:rPr>
        <w:t xml:space="preserve">(« guichet unique ») </w:t>
      </w:r>
      <w:r w:rsidRPr="00AC7D47">
        <w:rPr>
          <w:rFonts w:ascii="Calibri-Italic" w:hAnsi="Calibri-Italic" w:cs="Arial"/>
          <w:iCs/>
          <w:color w:val="000000"/>
          <w:sz w:val="22"/>
          <w:szCs w:val="22"/>
        </w:rPr>
        <w:t>aux PME et TPE permettant d’améliorer leur modèle d’affaires et de renforcer leurs capacités pour l’accès au crédit</w:t>
      </w:r>
    </w:p>
    <w:p w14:paraId="76E6D4F6" w14:textId="77777777" w:rsidR="00DC43D0" w:rsidRDefault="00DC43D0" w:rsidP="00DC43D0">
      <w:pPr>
        <w:rPr>
          <w:rFonts w:hint="eastAsia"/>
        </w:rPr>
      </w:pPr>
      <w:r w:rsidRPr="00275785">
        <w:rPr>
          <w:b/>
        </w:rPr>
        <w:t>3) Un programme d’actions de sensibilisation et de communication,</w:t>
      </w:r>
      <w:r w:rsidRPr="00275785">
        <w:t xml:space="preserve"> qui vise à stimuler la demande de ce type de services parmi les </w:t>
      </w:r>
      <w:r>
        <w:t>T/PME</w:t>
      </w:r>
      <w:r w:rsidRPr="00275785">
        <w:t xml:space="preserve">, mais aussi à disséminer les leçons apprises et les bonnes pratiques en terme de support aux entrepreneurs, avec un focus sur les projets à impact social et vert. </w:t>
      </w:r>
    </w:p>
    <w:p w14:paraId="1084C985" w14:textId="77777777" w:rsidR="00DC43D0" w:rsidRPr="00275785" w:rsidRDefault="00DC43D0" w:rsidP="00DC43D0">
      <w:pPr>
        <w:rPr>
          <w:rFonts w:hint="eastAsia"/>
          <w:u w:val="single"/>
        </w:rPr>
      </w:pPr>
      <w:r w:rsidRPr="00275785">
        <w:lastRenderedPageBreak/>
        <w:t xml:space="preserve"> </w:t>
      </w:r>
      <w:r w:rsidRPr="00275785">
        <w:rPr>
          <w:u w:val="single"/>
        </w:rPr>
        <w:t>Résultats attendus</w:t>
      </w:r>
    </w:p>
    <w:p w14:paraId="5133B960" w14:textId="77777777" w:rsidR="00DC43D0" w:rsidRPr="00275785" w:rsidRDefault="00DC43D0" w:rsidP="00DC43D0">
      <w:pPr>
        <w:rPr>
          <w:rFonts w:hint="eastAsia"/>
        </w:rPr>
      </w:pPr>
      <w:r w:rsidRPr="00275785">
        <w:t>Les résultats attendus, correspondants aux objectifs spécifiques du projet, sont les suivants :</w:t>
      </w:r>
    </w:p>
    <w:tbl>
      <w:tblPr>
        <w:tblW w:w="8931" w:type="dxa"/>
        <w:tblCellMar>
          <w:left w:w="70" w:type="dxa"/>
          <w:right w:w="70" w:type="dxa"/>
        </w:tblCellMar>
        <w:tblLook w:val="04A0" w:firstRow="1" w:lastRow="0" w:firstColumn="1" w:lastColumn="0" w:noHBand="0" w:noVBand="1"/>
      </w:tblPr>
      <w:tblGrid>
        <w:gridCol w:w="1156"/>
        <w:gridCol w:w="44"/>
        <w:gridCol w:w="541"/>
        <w:gridCol w:w="9"/>
        <w:gridCol w:w="7529"/>
      </w:tblGrid>
      <w:tr w:rsidR="00DC43D0" w:rsidRPr="008F4605" w14:paraId="664BCAF0" w14:textId="77777777" w:rsidTr="00970A79">
        <w:trPr>
          <w:trHeight w:val="715"/>
        </w:trPr>
        <w:tc>
          <w:tcPr>
            <w:tcW w:w="1188" w:type="dxa"/>
            <w:vMerge w:val="restart"/>
            <w:shd w:val="clear" w:color="333399" w:fill="015F8C"/>
            <w:vAlign w:val="center"/>
            <w:hideMark/>
          </w:tcPr>
          <w:p w14:paraId="485B6B58" w14:textId="77777777" w:rsidR="00DC43D0" w:rsidRPr="00275785" w:rsidRDefault="00DC43D0" w:rsidP="00970A79">
            <w:pPr>
              <w:rPr>
                <w:rFonts w:cs="Times New Roman" w:hint="eastAsia"/>
              </w:rPr>
            </w:pPr>
            <w:r w:rsidRPr="00275785">
              <w:rPr>
                <w:rFonts w:cs="Times New Roman"/>
              </w:rPr>
              <w:t>OS 1</w:t>
            </w:r>
          </w:p>
        </w:tc>
        <w:tc>
          <w:tcPr>
            <w:tcW w:w="202" w:type="dxa"/>
            <w:gridSpan w:val="2"/>
            <w:shd w:val="clear" w:color="FFFFCC" w:fill="FFFFFF"/>
            <w:noWrap/>
            <w:vAlign w:val="center"/>
            <w:hideMark/>
          </w:tcPr>
          <w:p w14:paraId="7631F624" w14:textId="77777777" w:rsidR="00DC43D0" w:rsidRPr="00275785" w:rsidRDefault="00DC43D0" w:rsidP="00970A79">
            <w:pPr>
              <w:rPr>
                <w:rFonts w:cs="Times New Roman" w:hint="eastAsia"/>
              </w:rPr>
            </w:pPr>
            <w:r w:rsidRPr="00275785">
              <w:rPr>
                <w:rFonts w:cs="Times New Roman"/>
              </w:rPr>
              <w:t> </w:t>
            </w:r>
          </w:p>
        </w:tc>
        <w:tc>
          <w:tcPr>
            <w:tcW w:w="7541" w:type="dxa"/>
            <w:gridSpan w:val="2"/>
            <w:shd w:val="clear" w:color="000000" w:fill="E7E6E6"/>
            <w:vAlign w:val="center"/>
            <w:hideMark/>
          </w:tcPr>
          <w:p w14:paraId="75BCC7D9" w14:textId="77777777" w:rsidR="00DC43D0" w:rsidRPr="00275785" w:rsidRDefault="00DC43D0" w:rsidP="00970A79">
            <w:pPr>
              <w:rPr>
                <w:rFonts w:cs="Times New Roman" w:hint="eastAsia"/>
              </w:rPr>
            </w:pPr>
            <w:r w:rsidRPr="00275785">
              <w:rPr>
                <w:rFonts w:cs="Times New Roman"/>
              </w:rPr>
              <w:t xml:space="preserve">Résultat 1.a  La Banque Centrale de Tunisie  se dote d’outils de suivi et contrôle des lignes de crédit à destination des </w:t>
            </w:r>
            <w:r>
              <w:rPr>
                <w:rFonts w:cs="Times New Roman"/>
              </w:rPr>
              <w:t>T/</w:t>
            </w:r>
            <w:r w:rsidRPr="00275785">
              <w:rPr>
                <w:rFonts w:cs="Times New Roman"/>
              </w:rPr>
              <w:t xml:space="preserve">PME (y compris en matière de préservation des emplois) et initie une réflexion sur l’usage de la donnée </w:t>
            </w:r>
          </w:p>
        </w:tc>
      </w:tr>
      <w:tr w:rsidR="00DC43D0" w:rsidRPr="008F4605" w14:paraId="431FE028" w14:textId="77777777" w:rsidTr="00970A79">
        <w:trPr>
          <w:trHeight w:val="714"/>
        </w:trPr>
        <w:tc>
          <w:tcPr>
            <w:tcW w:w="1188" w:type="dxa"/>
            <w:vMerge/>
            <w:vAlign w:val="center"/>
            <w:hideMark/>
          </w:tcPr>
          <w:p w14:paraId="04B543D0" w14:textId="77777777" w:rsidR="00DC43D0" w:rsidRPr="00275785" w:rsidRDefault="00DC43D0" w:rsidP="00970A79">
            <w:pPr>
              <w:rPr>
                <w:rFonts w:cs="Times New Roman" w:hint="eastAsia"/>
              </w:rPr>
            </w:pPr>
          </w:p>
        </w:tc>
        <w:tc>
          <w:tcPr>
            <w:tcW w:w="202" w:type="dxa"/>
            <w:gridSpan w:val="2"/>
            <w:shd w:val="clear" w:color="FFFFCC" w:fill="FFFFFF"/>
            <w:noWrap/>
            <w:vAlign w:val="center"/>
            <w:hideMark/>
          </w:tcPr>
          <w:p w14:paraId="38F7483F" w14:textId="77777777" w:rsidR="00DC43D0" w:rsidRPr="00275785" w:rsidRDefault="00DC43D0" w:rsidP="00970A79">
            <w:pPr>
              <w:rPr>
                <w:rFonts w:cs="Times New Roman" w:hint="eastAsia"/>
              </w:rPr>
            </w:pPr>
            <w:r w:rsidRPr="00275785">
              <w:rPr>
                <w:rFonts w:cs="Times New Roman"/>
              </w:rPr>
              <w:t> </w:t>
            </w:r>
          </w:p>
        </w:tc>
        <w:tc>
          <w:tcPr>
            <w:tcW w:w="7541" w:type="dxa"/>
            <w:gridSpan w:val="2"/>
            <w:shd w:val="clear" w:color="000000" w:fill="E7E6E6"/>
            <w:vAlign w:val="center"/>
            <w:hideMark/>
          </w:tcPr>
          <w:p w14:paraId="019B6FE2" w14:textId="77777777" w:rsidR="00DC43D0" w:rsidRPr="00275785" w:rsidRDefault="00DC43D0" w:rsidP="00970A79">
            <w:pPr>
              <w:spacing w:before="120"/>
              <w:rPr>
                <w:rFonts w:cs="Times New Roman" w:hint="eastAsia"/>
              </w:rPr>
            </w:pPr>
            <w:r w:rsidRPr="00275785">
              <w:rPr>
                <w:rFonts w:cs="Times New Roman"/>
              </w:rPr>
              <w:t xml:space="preserve">Résultat 1.b. Les capacités des IFP sont renforcées en matière de construction d’une offre pertinente dédiée aux </w:t>
            </w:r>
            <w:r>
              <w:rPr>
                <w:rFonts w:cs="Times New Roman"/>
              </w:rPr>
              <w:t>T/PME</w:t>
            </w:r>
            <w:r w:rsidRPr="00275785">
              <w:rPr>
                <w:rFonts w:cs="Times New Roman"/>
              </w:rPr>
              <w:t xml:space="preserve"> et de gestion des risques. </w:t>
            </w:r>
          </w:p>
        </w:tc>
      </w:tr>
      <w:tr w:rsidR="00DC43D0" w:rsidRPr="008F4605" w14:paraId="5FD91E06" w14:textId="77777777" w:rsidTr="00970A79">
        <w:trPr>
          <w:trHeight w:val="675"/>
        </w:trPr>
        <w:tc>
          <w:tcPr>
            <w:tcW w:w="1188" w:type="dxa"/>
            <w:vMerge/>
            <w:vAlign w:val="center"/>
            <w:hideMark/>
          </w:tcPr>
          <w:p w14:paraId="38E73B12" w14:textId="77777777" w:rsidR="00DC43D0" w:rsidRPr="00275785" w:rsidRDefault="00DC43D0" w:rsidP="00970A79">
            <w:pPr>
              <w:rPr>
                <w:rFonts w:cs="Times New Roman" w:hint="eastAsia"/>
              </w:rPr>
            </w:pPr>
          </w:p>
        </w:tc>
        <w:tc>
          <w:tcPr>
            <w:tcW w:w="202" w:type="dxa"/>
            <w:gridSpan w:val="2"/>
            <w:shd w:val="clear" w:color="FFFFCC" w:fill="FFFFFF"/>
            <w:noWrap/>
            <w:vAlign w:val="center"/>
            <w:hideMark/>
          </w:tcPr>
          <w:p w14:paraId="19D1ECFF" w14:textId="77777777" w:rsidR="00DC43D0" w:rsidRPr="00275785" w:rsidRDefault="00DC43D0" w:rsidP="00970A79">
            <w:pPr>
              <w:rPr>
                <w:rFonts w:cs="Times New Roman" w:hint="eastAsia"/>
              </w:rPr>
            </w:pPr>
            <w:r w:rsidRPr="00275785">
              <w:rPr>
                <w:rFonts w:cs="Times New Roman"/>
              </w:rPr>
              <w:t> </w:t>
            </w:r>
          </w:p>
        </w:tc>
        <w:tc>
          <w:tcPr>
            <w:tcW w:w="7541" w:type="dxa"/>
            <w:gridSpan w:val="2"/>
            <w:shd w:val="clear" w:color="000000" w:fill="E7E6E6"/>
            <w:vAlign w:val="center"/>
            <w:hideMark/>
          </w:tcPr>
          <w:p w14:paraId="257DA2BE" w14:textId="77777777" w:rsidR="00DC43D0" w:rsidRPr="00275785" w:rsidRDefault="00DC43D0" w:rsidP="00970A79">
            <w:pPr>
              <w:spacing w:before="120"/>
              <w:rPr>
                <w:rFonts w:cs="Times New Roman" w:hint="eastAsia"/>
              </w:rPr>
            </w:pPr>
            <w:r w:rsidRPr="00275785">
              <w:rPr>
                <w:rFonts w:cs="Times New Roman"/>
              </w:rPr>
              <w:t>Résultat 1.c. Les PME de classe 2, clientes des IFP, accèdent à des crédits de consolidation après revue de leur situation financière et le cas échéant, appui à la restructuration.</w:t>
            </w:r>
          </w:p>
        </w:tc>
      </w:tr>
      <w:tr w:rsidR="00DC43D0" w:rsidRPr="008F4605" w14:paraId="63684736" w14:textId="77777777" w:rsidTr="00970A79">
        <w:trPr>
          <w:trHeight w:val="211"/>
        </w:trPr>
        <w:tc>
          <w:tcPr>
            <w:tcW w:w="1200" w:type="dxa"/>
            <w:gridSpan w:val="2"/>
            <w:shd w:val="clear" w:color="FFFFCC" w:fill="FFFFFF"/>
            <w:noWrap/>
            <w:vAlign w:val="center"/>
            <w:hideMark/>
          </w:tcPr>
          <w:p w14:paraId="2761C591" w14:textId="77777777" w:rsidR="00DC43D0" w:rsidRPr="00275785" w:rsidRDefault="00DC43D0" w:rsidP="00970A79">
            <w:pPr>
              <w:rPr>
                <w:rFonts w:cs="Times New Roman" w:hint="eastAsia"/>
              </w:rPr>
            </w:pPr>
          </w:p>
        </w:tc>
        <w:tc>
          <w:tcPr>
            <w:tcW w:w="202" w:type="dxa"/>
            <w:gridSpan w:val="2"/>
            <w:shd w:val="clear" w:color="FFFFCC" w:fill="FFFFFF"/>
            <w:noWrap/>
            <w:vAlign w:val="center"/>
            <w:hideMark/>
          </w:tcPr>
          <w:p w14:paraId="6CE5090A" w14:textId="77777777" w:rsidR="00DC43D0" w:rsidRPr="00275785" w:rsidRDefault="00DC43D0" w:rsidP="00970A79">
            <w:pPr>
              <w:rPr>
                <w:rFonts w:cs="Times New Roman" w:hint="eastAsia"/>
              </w:rPr>
            </w:pPr>
            <w:r w:rsidRPr="00275785">
              <w:rPr>
                <w:rFonts w:cs="Times New Roman"/>
              </w:rPr>
              <w:t> </w:t>
            </w:r>
          </w:p>
        </w:tc>
        <w:tc>
          <w:tcPr>
            <w:tcW w:w="7529" w:type="dxa"/>
            <w:shd w:val="clear" w:color="auto" w:fill="auto"/>
            <w:noWrap/>
            <w:vAlign w:val="center"/>
            <w:hideMark/>
          </w:tcPr>
          <w:p w14:paraId="2998BBC5" w14:textId="77777777" w:rsidR="00DC43D0" w:rsidRPr="00275785" w:rsidRDefault="00DC43D0" w:rsidP="00970A79">
            <w:pPr>
              <w:rPr>
                <w:rFonts w:cs="Times New Roman" w:hint="eastAsia"/>
              </w:rPr>
            </w:pPr>
          </w:p>
        </w:tc>
      </w:tr>
      <w:tr w:rsidR="00DC43D0" w:rsidRPr="008F4605" w14:paraId="0AD7D445" w14:textId="77777777" w:rsidTr="00970A79">
        <w:trPr>
          <w:trHeight w:val="1306"/>
        </w:trPr>
        <w:tc>
          <w:tcPr>
            <w:tcW w:w="1200" w:type="dxa"/>
            <w:gridSpan w:val="2"/>
            <w:shd w:val="clear" w:color="333399" w:fill="015F8C"/>
            <w:vAlign w:val="center"/>
            <w:hideMark/>
          </w:tcPr>
          <w:p w14:paraId="3280C9DF" w14:textId="77777777" w:rsidR="00DC43D0" w:rsidRPr="00275785" w:rsidRDefault="00DC43D0" w:rsidP="00970A79">
            <w:pPr>
              <w:rPr>
                <w:rFonts w:cs="Times New Roman" w:hint="eastAsia"/>
              </w:rPr>
            </w:pPr>
            <w:r w:rsidRPr="00275785">
              <w:rPr>
                <w:rFonts w:cs="Times New Roman"/>
              </w:rPr>
              <w:t>OS 2</w:t>
            </w:r>
          </w:p>
          <w:p w14:paraId="11CD2F08" w14:textId="77777777" w:rsidR="00DC43D0" w:rsidRPr="00275785" w:rsidRDefault="00DC43D0" w:rsidP="00970A79">
            <w:pPr>
              <w:rPr>
                <w:rFonts w:cs="Times New Roman" w:hint="eastAsia"/>
              </w:rPr>
            </w:pPr>
          </w:p>
        </w:tc>
        <w:tc>
          <w:tcPr>
            <w:tcW w:w="202" w:type="dxa"/>
            <w:gridSpan w:val="2"/>
            <w:shd w:val="clear" w:color="FFFFCC" w:fill="FFFFFF"/>
            <w:noWrap/>
            <w:vAlign w:val="center"/>
            <w:hideMark/>
          </w:tcPr>
          <w:p w14:paraId="0791F02B" w14:textId="77777777" w:rsidR="00DC43D0" w:rsidRPr="00275785" w:rsidRDefault="00DC43D0" w:rsidP="00970A79">
            <w:pPr>
              <w:rPr>
                <w:rFonts w:cs="Times New Roman" w:hint="eastAsia"/>
              </w:rPr>
            </w:pPr>
            <w:r w:rsidRPr="00275785">
              <w:rPr>
                <w:rFonts w:cs="Times New Roman"/>
              </w:rPr>
              <w:t> </w:t>
            </w:r>
          </w:p>
        </w:tc>
        <w:tc>
          <w:tcPr>
            <w:tcW w:w="7529" w:type="dxa"/>
            <w:shd w:val="clear" w:color="000000" w:fill="E7E6E6"/>
            <w:vAlign w:val="center"/>
            <w:hideMark/>
          </w:tcPr>
          <w:p w14:paraId="04B7662F" w14:textId="77777777" w:rsidR="00DC43D0" w:rsidRPr="00275785" w:rsidRDefault="00DC43D0" w:rsidP="00970A79">
            <w:pPr>
              <w:spacing w:before="120"/>
              <w:rPr>
                <w:rFonts w:cs="Times New Roman" w:hint="eastAsia"/>
              </w:rPr>
            </w:pPr>
            <w:r w:rsidRPr="00275785">
              <w:rPr>
                <w:rFonts w:cs="Times New Roman"/>
              </w:rPr>
              <w:t xml:space="preserve">Résultat 2.a.  Des contributions directes en faveur des investissements verts et à impact social entrepris par les </w:t>
            </w:r>
            <w:r>
              <w:rPr>
                <w:rFonts w:cs="Times New Roman"/>
              </w:rPr>
              <w:t>T/PME</w:t>
            </w:r>
            <w:r w:rsidRPr="00275785">
              <w:rPr>
                <w:rFonts w:cs="Times New Roman"/>
              </w:rPr>
              <w:t xml:space="preserve"> sont octroyés aux bénéficiaires des lignes de crédit AFD et BEI </w:t>
            </w:r>
          </w:p>
        </w:tc>
      </w:tr>
      <w:tr w:rsidR="00DC43D0" w:rsidRPr="008F4605" w14:paraId="08A5AFD2" w14:textId="77777777" w:rsidTr="00970A79">
        <w:trPr>
          <w:trHeight w:val="347"/>
        </w:trPr>
        <w:tc>
          <w:tcPr>
            <w:tcW w:w="1200" w:type="dxa"/>
            <w:gridSpan w:val="2"/>
            <w:shd w:val="clear" w:color="auto" w:fill="FFFFFF" w:themeFill="background1"/>
            <w:vAlign w:val="center"/>
          </w:tcPr>
          <w:p w14:paraId="14F72194" w14:textId="77777777" w:rsidR="00DC43D0" w:rsidRPr="00586A44" w:rsidRDefault="00DC43D0" w:rsidP="00970A79">
            <w:pPr>
              <w:rPr>
                <w:rFonts w:cs="Times New Roman" w:hint="eastAsia"/>
              </w:rPr>
            </w:pPr>
          </w:p>
        </w:tc>
        <w:tc>
          <w:tcPr>
            <w:tcW w:w="202" w:type="dxa"/>
            <w:gridSpan w:val="2"/>
            <w:shd w:val="clear" w:color="auto" w:fill="FFFFFF" w:themeFill="background1"/>
            <w:noWrap/>
            <w:vAlign w:val="center"/>
          </w:tcPr>
          <w:p w14:paraId="67CFDB51" w14:textId="77777777" w:rsidR="00DC43D0" w:rsidRPr="00586A44" w:rsidRDefault="00DC43D0" w:rsidP="00970A79">
            <w:pPr>
              <w:rPr>
                <w:rFonts w:cs="Times New Roman" w:hint="eastAsia"/>
              </w:rPr>
            </w:pPr>
          </w:p>
        </w:tc>
        <w:tc>
          <w:tcPr>
            <w:tcW w:w="7529" w:type="dxa"/>
            <w:shd w:val="clear" w:color="auto" w:fill="FFFFFF" w:themeFill="background1"/>
            <w:vAlign w:val="center"/>
          </w:tcPr>
          <w:p w14:paraId="2C1DA73E" w14:textId="77777777" w:rsidR="00DC43D0" w:rsidRPr="00275785" w:rsidRDefault="00DC43D0" w:rsidP="00970A79">
            <w:pPr>
              <w:spacing w:before="120"/>
              <w:rPr>
                <w:rFonts w:cs="Times New Roman" w:hint="eastAsia"/>
              </w:rPr>
            </w:pPr>
          </w:p>
        </w:tc>
      </w:tr>
      <w:tr w:rsidR="00DC43D0" w:rsidRPr="008F4605" w14:paraId="51BED647" w14:textId="77777777" w:rsidTr="00970A79">
        <w:trPr>
          <w:trHeight w:val="1130"/>
        </w:trPr>
        <w:tc>
          <w:tcPr>
            <w:tcW w:w="1200" w:type="dxa"/>
            <w:gridSpan w:val="2"/>
            <w:shd w:val="clear" w:color="333399" w:fill="015F8C"/>
            <w:vAlign w:val="center"/>
            <w:hideMark/>
          </w:tcPr>
          <w:p w14:paraId="5756CAE7" w14:textId="77777777" w:rsidR="00DC43D0" w:rsidRPr="00275785" w:rsidRDefault="00DC43D0" w:rsidP="00970A79">
            <w:pPr>
              <w:rPr>
                <w:rFonts w:cs="Times New Roman" w:hint="eastAsia"/>
              </w:rPr>
            </w:pPr>
            <w:r w:rsidRPr="00275785">
              <w:rPr>
                <w:rFonts w:cs="Times New Roman"/>
              </w:rPr>
              <w:t>OS 3</w:t>
            </w:r>
          </w:p>
        </w:tc>
        <w:tc>
          <w:tcPr>
            <w:tcW w:w="202" w:type="dxa"/>
            <w:gridSpan w:val="2"/>
            <w:shd w:val="clear" w:color="FFFFCC" w:fill="FFFFFF"/>
            <w:noWrap/>
            <w:vAlign w:val="center"/>
            <w:hideMark/>
          </w:tcPr>
          <w:p w14:paraId="37B2E1ED" w14:textId="77777777" w:rsidR="00DC43D0" w:rsidRPr="00275785" w:rsidRDefault="00DC43D0" w:rsidP="00970A79">
            <w:pPr>
              <w:rPr>
                <w:rFonts w:cs="Times New Roman" w:hint="eastAsia"/>
              </w:rPr>
            </w:pPr>
            <w:r w:rsidRPr="00275785">
              <w:rPr>
                <w:rFonts w:cs="Times New Roman"/>
              </w:rPr>
              <w:t> </w:t>
            </w:r>
          </w:p>
        </w:tc>
        <w:tc>
          <w:tcPr>
            <w:tcW w:w="7529" w:type="dxa"/>
            <w:shd w:val="clear" w:color="000000" w:fill="E7E6E6"/>
            <w:vAlign w:val="center"/>
            <w:hideMark/>
          </w:tcPr>
          <w:p w14:paraId="64920B0D" w14:textId="77777777" w:rsidR="00DC43D0" w:rsidRPr="00275785" w:rsidRDefault="00DC43D0" w:rsidP="00970A79">
            <w:pPr>
              <w:spacing w:before="120"/>
              <w:rPr>
                <w:rFonts w:cs="Times New Roman" w:hint="eastAsia"/>
              </w:rPr>
            </w:pPr>
            <w:r w:rsidRPr="00275785">
              <w:rPr>
                <w:rFonts w:cs="Times New Roman"/>
              </w:rPr>
              <w:t xml:space="preserve">Résultat 3a. Les </w:t>
            </w:r>
            <w:r>
              <w:rPr>
                <w:rFonts w:cs="Times New Roman"/>
              </w:rPr>
              <w:t>T/PME</w:t>
            </w:r>
            <w:r w:rsidRPr="00275785">
              <w:rPr>
                <w:rFonts w:cs="Times New Roman"/>
              </w:rPr>
              <w:t xml:space="preserve"> accèdent à des services de conseil et d’expertise en vue de leur développement et de la consolidation de leurs activités via la création ou le soutien d’un ou plusieurs guichets d’expertise « one stop shop » dédiés</w:t>
            </w:r>
          </w:p>
        </w:tc>
      </w:tr>
      <w:tr w:rsidR="00DC43D0" w:rsidRPr="008F4605" w14:paraId="0ED7BD08" w14:textId="77777777" w:rsidTr="00970A79">
        <w:trPr>
          <w:trHeight w:val="423"/>
        </w:trPr>
        <w:tc>
          <w:tcPr>
            <w:tcW w:w="1200" w:type="dxa"/>
            <w:gridSpan w:val="2"/>
            <w:shd w:val="clear" w:color="333399" w:fill="015F8C"/>
            <w:vAlign w:val="center"/>
            <w:hideMark/>
          </w:tcPr>
          <w:p w14:paraId="212F327E" w14:textId="77777777" w:rsidR="00DC43D0" w:rsidRPr="00275785" w:rsidRDefault="00DC43D0" w:rsidP="00970A79">
            <w:pPr>
              <w:rPr>
                <w:rFonts w:cs="Times New Roman" w:hint="eastAsia"/>
              </w:rPr>
            </w:pPr>
          </w:p>
        </w:tc>
        <w:tc>
          <w:tcPr>
            <w:tcW w:w="202" w:type="dxa"/>
            <w:gridSpan w:val="2"/>
            <w:shd w:val="clear" w:color="FFFFCC" w:fill="FFFFFF"/>
            <w:noWrap/>
            <w:vAlign w:val="center"/>
            <w:hideMark/>
          </w:tcPr>
          <w:p w14:paraId="2AB0D74E" w14:textId="77777777" w:rsidR="00DC43D0" w:rsidRPr="00275785" w:rsidRDefault="00DC43D0" w:rsidP="00970A79">
            <w:pPr>
              <w:rPr>
                <w:rFonts w:cs="Times New Roman" w:hint="eastAsia"/>
              </w:rPr>
            </w:pPr>
            <w:r w:rsidRPr="00275785">
              <w:rPr>
                <w:rFonts w:cs="Times New Roman"/>
              </w:rPr>
              <w:t> </w:t>
            </w:r>
          </w:p>
        </w:tc>
        <w:tc>
          <w:tcPr>
            <w:tcW w:w="7529" w:type="dxa"/>
            <w:shd w:val="clear" w:color="000000" w:fill="E7E6E6"/>
            <w:vAlign w:val="center"/>
            <w:hideMark/>
          </w:tcPr>
          <w:p w14:paraId="5D408268" w14:textId="77777777" w:rsidR="00DC43D0" w:rsidRPr="00275785" w:rsidRDefault="00DC43D0" w:rsidP="00970A79">
            <w:pPr>
              <w:spacing w:before="120"/>
              <w:rPr>
                <w:rFonts w:cs="Times New Roman" w:hint="eastAsia"/>
              </w:rPr>
            </w:pPr>
            <w:r w:rsidRPr="00275785">
              <w:rPr>
                <w:rFonts w:cs="Times New Roman"/>
              </w:rPr>
              <w:t>Résultat 3.b Des outils de financement alternatifs sont accessibles pour les TPE dans les gouvernorats de l’intérieur</w:t>
            </w:r>
            <w:r w:rsidRPr="00275785">
              <w:rPr>
                <w:rStyle w:val="Appelnotedebasdep"/>
                <w:rFonts w:cs="Times New Roman"/>
              </w:rPr>
              <w:footnoteReference w:id="1"/>
            </w:r>
            <w:r w:rsidRPr="00275785">
              <w:rPr>
                <w:rFonts w:cs="Times New Roman"/>
              </w:rPr>
              <w:t xml:space="preserve"> et l’offre d’accompagnement adossée aux financements se renforce (appel à projets)</w:t>
            </w:r>
          </w:p>
        </w:tc>
      </w:tr>
      <w:tr w:rsidR="00DC43D0" w:rsidRPr="008F4605" w14:paraId="23BEA727" w14:textId="77777777" w:rsidTr="00970A79">
        <w:trPr>
          <w:trHeight w:val="85"/>
        </w:trPr>
        <w:tc>
          <w:tcPr>
            <w:tcW w:w="1200" w:type="dxa"/>
            <w:gridSpan w:val="2"/>
            <w:shd w:val="clear" w:color="333399" w:fill="015F8C"/>
            <w:vAlign w:val="center"/>
            <w:hideMark/>
          </w:tcPr>
          <w:p w14:paraId="057B88F1" w14:textId="77777777" w:rsidR="00DC43D0" w:rsidRPr="00275785" w:rsidRDefault="00DC43D0" w:rsidP="00970A79">
            <w:pPr>
              <w:rPr>
                <w:rFonts w:cs="Times New Roman" w:hint="eastAsia"/>
              </w:rPr>
            </w:pPr>
          </w:p>
        </w:tc>
        <w:tc>
          <w:tcPr>
            <w:tcW w:w="202" w:type="dxa"/>
            <w:gridSpan w:val="2"/>
            <w:shd w:val="clear" w:color="FFFFCC" w:fill="FFFFFF"/>
            <w:noWrap/>
            <w:vAlign w:val="center"/>
            <w:hideMark/>
          </w:tcPr>
          <w:p w14:paraId="6F413F65" w14:textId="77777777" w:rsidR="00DC43D0" w:rsidRPr="00275785" w:rsidRDefault="00DC43D0" w:rsidP="00970A79">
            <w:pPr>
              <w:rPr>
                <w:rFonts w:cs="Times New Roman" w:hint="eastAsia"/>
              </w:rPr>
            </w:pPr>
            <w:r w:rsidRPr="00275785">
              <w:rPr>
                <w:rFonts w:cs="Times New Roman"/>
              </w:rPr>
              <w:t> </w:t>
            </w:r>
          </w:p>
        </w:tc>
        <w:tc>
          <w:tcPr>
            <w:tcW w:w="7529" w:type="dxa"/>
            <w:shd w:val="clear" w:color="000000" w:fill="E7E6E6"/>
            <w:vAlign w:val="center"/>
            <w:hideMark/>
          </w:tcPr>
          <w:p w14:paraId="3529E839" w14:textId="77777777" w:rsidR="00DC43D0" w:rsidRPr="00275785" w:rsidRDefault="00DC43D0" w:rsidP="00970A79">
            <w:pPr>
              <w:spacing w:before="120"/>
              <w:rPr>
                <w:rFonts w:cs="Times New Roman" w:hint="eastAsia"/>
              </w:rPr>
            </w:pPr>
            <w:r w:rsidRPr="00275785">
              <w:rPr>
                <w:rFonts w:cs="Times New Roman"/>
              </w:rPr>
              <w:t xml:space="preserve">Résultat 3.c La culture financière des </w:t>
            </w:r>
            <w:r>
              <w:rPr>
                <w:rFonts w:cs="Times New Roman"/>
              </w:rPr>
              <w:t>T/PME</w:t>
            </w:r>
            <w:r w:rsidRPr="00275785">
              <w:rPr>
                <w:rFonts w:cs="Times New Roman"/>
              </w:rPr>
              <w:t xml:space="preserve"> se renforce au travers du développement d’actions de sensibilisation et de communication dédiées</w:t>
            </w:r>
          </w:p>
        </w:tc>
      </w:tr>
    </w:tbl>
    <w:p w14:paraId="641F51D7" w14:textId="77777777" w:rsidR="00DC43D0" w:rsidRDefault="00DC43D0" w:rsidP="00DC43D0">
      <w:pPr>
        <w:rPr>
          <w:rFonts w:hint="eastAsia"/>
        </w:rPr>
      </w:pPr>
    </w:p>
    <w:p w14:paraId="64FAE011" w14:textId="49B62E9A" w:rsidR="00DC43D0" w:rsidRPr="00C11C73" w:rsidRDefault="00DC43D0" w:rsidP="00C11C73">
      <w:pPr>
        <w:rPr>
          <w:rFonts w:hint="eastAsia"/>
          <w:i w:val="0"/>
        </w:rPr>
      </w:pPr>
      <w:r w:rsidRPr="00AC7D47">
        <w:rPr>
          <w:i w:val="0"/>
        </w:rPr>
        <w:t xml:space="preserve">L’approche proposée, qui vise à soutenir le secteur dans son ensemble, assure la création d’un impact positif sur l’ensemble de l’économie tunisienne et par conséquent sur sa croissance, la création d’emplois et la réduction de la pauvreté, participant donc à l’atteinte des Objectifs de développement durable (objectif 1, </w:t>
      </w:r>
      <w:r w:rsidRPr="00AC7D47">
        <w:rPr>
          <w:i w:val="0"/>
          <w:lang w:val="fr-BE"/>
        </w:rPr>
        <w:t>Éliminer la pauvreté sous toutes ses formes partout</w:t>
      </w:r>
      <w:r w:rsidRPr="00AC7D47">
        <w:rPr>
          <w:i w:val="0"/>
        </w:rPr>
        <w:t xml:space="preserve">, et 8, </w:t>
      </w:r>
      <w:r w:rsidRPr="00AC7D47">
        <w:rPr>
          <w:i w:val="0"/>
          <w:lang w:val="fr-BE"/>
        </w:rPr>
        <w:t>Promouvoir une croissance économique soutenue, inclusive et durable, le plein emploi productif et un travail décent pour tous</w:t>
      </w:r>
      <w:r w:rsidRPr="00AC7D47">
        <w:rPr>
          <w:i w:val="0"/>
        </w:rPr>
        <w:t xml:space="preserve">). </w:t>
      </w:r>
    </w:p>
    <w:p w14:paraId="62C6ECDD" w14:textId="361D93E2" w:rsidR="00DC43D0" w:rsidRDefault="00DC43D0" w:rsidP="00F35DA8">
      <w:pPr>
        <w:tabs>
          <w:tab w:val="clear" w:pos="9923"/>
        </w:tabs>
        <w:spacing w:line="276" w:lineRule="auto"/>
        <w:contextualSpacing/>
        <w:rPr>
          <w:rFonts w:cstheme="minorHAnsi" w:hint="eastAsia"/>
          <w:bCs/>
          <w:i w:val="0"/>
        </w:rPr>
      </w:pPr>
    </w:p>
    <w:p w14:paraId="5812E619" w14:textId="77777777" w:rsidR="00DC43D0" w:rsidRDefault="00DC43D0" w:rsidP="00F35DA8">
      <w:pPr>
        <w:tabs>
          <w:tab w:val="clear" w:pos="9923"/>
        </w:tabs>
        <w:spacing w:line="276" w:lineRule="auto"/>
        <w:contextualSpacing/>
        <w:rPr>
          <w:rFonts w:cstheme="minorHAnsi" w:hint="eastAsia"/>
          <w:bCs/>
          <w:i w:val="0"/>
        </w:rPr>
        <w:sectPr w:rsidR="00DC43D0" w:rsidSect="00E86E3B">
          <w:pgSz w:w="11900" w:h="16840"/>
          <w:pgMar w:top="1134" w:right="1127" w:bottom="1134" w:left="992" w:header="709" w:footer="590" w:gutter="0"/>
          <w:cols w:space="708"/>
          <w:docGrid w:linePitch="360"/>
        </w:sectPr>
      </w:pPr>
    </w:p>
    <w:p w14:paraId="403067FD" w14:textId="77777777" w:rsidR="001737A8" w:rsidRPr="00413FEC" w:rsidRDefault="001737A8" w:rsidP="001737A8">
      <w:pPr>
        <w:pStyle w:val="Titre1"/>
        <w:rPr>
          <w:rFonts w:hint="eastAsia"/>
          <w:i w:val="0"/>
        </w:rPr>
      </w:pPr>
      <w:bookmarkStart w:id="9" w:name="_Toc70668750"/>
      <w:r w:rsidRPr="00413FEC">
        <w:rPr>
          <w:i w:val="0"/>
        </w:rPr>
        <w:lastRenderedPageBreak/>
        <w:t>OBJECTIFS ET RESULTATS POURSUIVIS</w:t>
      </w:r>
      <w:bookmarkEnd w:id="9"/>
    </w:p>
    <w:p w14:paraId="0C81DE20" w14:textId="69720882" w:rsidR="001737A8" w:rsidRPr="00413FEC" w:rsidRDefault="001737A8" w:rsidP="00EB2073">
      <w:pPr>
        <w:pStyle w:val="Titre2"/>
        <w:ind w:left="576"/>
        <w:rPr>
          <w:rFonts w:hint="eastAsia"/>
          <w:i w:val="0"/>
        </w:rPr>
      </w:pPr>
      <w:bookmarkStart w:id="10" w:name="_Toc70668751"/>
      <w:r w:rsidRPr="00413FEC">
        <w:rPr>
          <w:i w:val="0"/>
        </w:rPr>
        <w:t>Objectifs de la mission</w:t>
      </w:r>
      <w:bookmarkEnd w:id="10"/>
    </w:p>
    <w:p w14:paraId="6D3330A3" w14:textId="4EEBB9A5" w:rsidR="001737A8" w:rsidRPr="00413FEC" w:rsidRDefault="001737A8" w:rsidP="001737A8">
      <w:pPr>
        <w:pStyle w:val="Titre3"/>
        <w:rPr>
          <w:i w:val="0"/>
        </w:rPr>
      </w:pPr>
      <w:r w:rsidRPr="00413FEC">
        <w:rPr>
          <w:i w:val="0"/>
        </w:rPr>
        <w:t>Raison d’être</w:t>
      </w:r>
      <w:r w:rsidR="00F43B36" w:rsidRPr="00413FEC">
        <w:rPr>
          <w:i w:val="0"/>
        </w:rPr>
        <w:t xml:space="preserve"> et objectifs de </w:t>
      </w:r>
      <w:r w:rsidR="00DA494F">
        <w:rPr>
          <w:i w:val="0"/>
        </w:rPr>
        <w:t xml:space="preserve">la </w:t>
      </w:r>
      <w:proofErr w:type="spellStart"/>
      <w:r w:rsidR="00DA494F">
        <w:rPr>
          <w:i w:val="0"/>
        </w:rPr>
        <w:t>baseline</w:t>
      </w:r>
      <w:proofErr w:type="spellEnd"/>
    </w:p>
    <w:p w14:paraId="59B7D430" w14:textId="1ED6A6D7" w:rsidR="00ED145F" w:rsidRPr="00191A71" w:rsidRDefault="00ED145F" w:rsidP="00191A71">
      <w:pPr>
        <w:autoSpaceDE w:val="0"/>
        <w:autoSpaceDN w:val="0"/>
        <w:adjustRightInd w:val="0"/>
        <w:rPr>
          <w:rFonts w:eastAsia="Calibri"/>
          <w:i w:val="0"/>
        </w:rPr>
      </w:pPr>
      <w:r w:rsidRPr="00191A71">
        <w:rPr>
          <w:rFonts w:eastAsia="Calibri"/>
          <w:i w:val="0"/>
        </w:rPr>
        <w:t>Dans le cadre du projet TPE/PME, con</w:t>
      </w:r>
      <w:r w:rsidRPr="00191A71">
        <w:rPr>
          <w:rFonts w:eastAsia="Calibri" w:hint="cs"/>
          <w:i w:val="0"/>
        </w:rPr>
        <w:t>ç</w:t>
      </w:r>
      <w:r w:rsidRPr="00191A71">
        <w:rPr>
          <w:rFonts w:eastAsia="Calibri"/>
          <w:i w:val="0"/>
        </w:rPr>
        <w:t>u pour stimuler la croissance et le d</w:t>
      </w:r>
      <w:r w:rsidRPr="00191A71">
        <w:rPr>
          <w:rFonts w:eastAsia="Calibri" w:hint="cs"/>
          <w:i w:val="0"/>
        </w:rPr>
        <w:t>é</w:t>
      </w:r>
      <w:r w:rsidRPr="00191A71">
        <w:rPr>
          <w:rFonts w:eastAsia="Calibri"/>
          <w:i w:val="0"/>
        </w:rPr>
        <w:t xml:space="preserve">veloppement des petites et moyennes entreprises en Tunisie, </w:t>
      </w:r>
      <w:r w:rsidRPr="00A314DA">
        <w:rPr>
          <w:rFonts w:eastAsia="Calibri"/>
          <w:b/>
          <w:i w:val="0"/>
          <w:u w:val="single"/>
        </w:rPr>
        <w:t>l'</w:t>
      </w:r>
      <w:r w:rsidRPr="00A314DA">
        <w:rPr>
          <w:rFonts w:eastAsia="Calibri" w:hint="cs"/>
          <w:b/>
          <w:i w:val="0"/>
          <w:u w:val="single"/>
        </w:rPr>
        <w:t>é</w:t>
      </w:r>
      <w:r w:rsidRPr="00A314DA">
        <w:rPr>
          <w:rFonts w:eastAsia="Calibri"/>
          <w:b/>
          <w:i w:val="0"/>
          <w:u w:val="single"/>
        </w:rPr>
        <w:t>tude de base joue un r</w:t>
      </w:r>
      <w:r w:rsidRPr="00A314DA">
        <w:rPr>
          <w:rFonts w:eastAsia="Calibri" w:hint="cs"/>
          <w:b/>
          <w:i w:val="0"/>
          <w:u w:val="single"/>
        </w:rPr>
        <w:t>ô</w:t>
      </w:r>
      <w:r w:rsidRPr="00A314DA">
        <w:rPr>
          <w:rFonts w:eastAsia="Calibri"/>
          <w:b/>
          <w:i w:val="0"/>
          <w:u w:val="single"/>
        </w:rPr>
        <w:t xml:space="preserve">le fondamental pour garantir une mise en </w:t>
      </w:r>
      <w:r w:rsidRPr="00A314DA">
        <w:rPr>
          <w:rFonts w:eastAsia="Calibri" w:hint="cs"/>
          <w:b/>
          <w:i w:val="0"/>
          <w:u w:val="single"/>
        </w:rPr>
        <w:t>œ</w:t>
      </w:r>
      <w:r w:rsidRPr="00A314DA">
        <w:rPr>
          <w:rFonts w:eastAsia="Calibri"/>
          <w:b/>
          <w:i w:val="0"/>
          <w:u w:val="single"/>
        </w:rPr>
        <w:t>uvre efficace et align</w:t>
      </w:r>
      <w:r w:rsidRPr="00A314DA">
        <w:rPr>
          <w:rFonts w:eastAsia="Calibri" w:hint="cs"/>
          <w:b/>
          <w:i w:val="0"/>
          <w:u w:val="single"/>
        </w:rPr>
        <w:t>é</w:t>
      </w:r>
      <w:r w:rsidRPr="00A314DA">
        <w:rPr>
          <w:rFonts w:eastAsia="Calibri"/>
          <w:b/>
          <w:i w:val="0"/>
          <w:u w:val="single"/>
        </w:rPr>
        <w:t>e sur les r</w:t>
      </w:r>
      <w:r w:rsidRPr="00A314DA">
        <w:rPr>
          <w:rFonts w:eastAsia="Calibri" w:hint="cs"/>
          <w:b/>
          <w:i w:val="0"/>
          <w:u w:val="single"/>
        </w:rPr>
        <w:t>é</w:t>
      </w:r>
      <w:r w:rsidRPr="00A314DA">
        <w:rPr>
          <w:rFonts w:eastAsia="Calibri"/>
          <w:b/>
          <w:i w:val="0"/>
          <w:u w:val="single"/>
        </w:rPr>
        <w:t>alit</w:t>
      </w:r>
      <w:r w:rsidRPr="00A314DA">
        <w:rPr>
          <w:rFonts w:eastAsia="Calibri" w:hint="cs"/>
          <w:b/>
          <w:i w:val="0"/>
          <w:u w:val="single"/>
        </w:rPr>
        <w:t>é</w:t>
      </w:r>
      <w:r w:rsidRPr="00A314DA">
        <w:rPr>
          <w:rFonts w:eastAsia="Calibri"/>
          <w:b/>
          <w:i w:val="0"/>
          <w:u w:val="single"/>
        </w:rPr>
        <w:t>s du terrain</w:t>
      </w:r>
      <w:r w:rsidRPr="00191A71">
        <w:rPr>
          <w:rFonts w:eastAsia="Calibri"/>
          <w:i w:val="0"/>
        </w:rPr>
        <w:t xml:space="preserve">. Cette </w:t>
      </w:r>
      <w:r w:rsidRPr="00191A71">
        <w:rPr>
          <w:rFonts w:eastAsia="Calibri" w:hint="cs"/>
          <w:i w:val="0"/>
        </w:rPr>
        <w:t>é</w:t>
      </w:r>
      <w:r w:rsidRPr="00191A71">
        <w:rPr>
          <w:rFonts w:eastAsia="Calibri"/>
          <w:i w:val="0"/>
        </w:rPr>
        <w:t>tude est men</w:t>
      </w:r>
      <w:r w:rsidRPr="00191A71">
        <w:rPr>
          <w:rFonts w:eastAsia="Calibri" w:hint="cs"/>
          <w:i w:val="0"/>
        </w:rPr>
        <w:t>é</w:t>
      </w:r>
      <w:r w:rsidRPr="00191A71">
        <w:rPr>
          <w:rFonts w:eastAsia="Calibri"/>
          <w:i w:val="0"/>
        </w:rPr>
        <w:t>e au d</w:t>
      </w:r>
      <w:r w:rsidRPr="00191A71">
        <w:rPr>
          <w:rFonts w:eastAsia="Calibri" w:hint="cs"/>
          <w:i w:val="0"/>
        </w:rPr>
        <w:t>é</w:t>
      </w:r>
      <w:r w:rsidRPr="00191A71">
        <w:rPr>
          <w:rFonts w:eastAsia="Calibri"/>
          <w:i w:val="0"/>
        </w:rPr>
        <w:t>marrage du projet afin d'</w:t>
      </w:r>
      <w:r w:rsidRPr="00191A71">
        <w:rPr>
          <w:rFonts w:eastAsia="Calibri" w:hint="cs"/>
          <w:i w:val="0"/>
        </w:rPr>
        <w:t>é</w:t>
      </w:r>
      <w:r w:rsidRPr="00191A71">
        <w:rPr>
          <w:rFonts w:eastAsia="Calibri"/>
          <w:i w:val="0"/>
        </w:rPr>
        <w:t>valuer les besoins sp</w:t>
      </w:r>
      <w:r w:rsidRPr="00191A71">
        <w:rPr>
          <w:rFonts w:eastAsia="Calibri" w:hint="cs"/>
          <w:i w:val="0"/>
        </w:rPr>
        <w:t>é</w:t>
      </w:r>
      <w:r w:rsidRPr="00191A71">
        <w:rPr>
          <w:rFonts w:eastAsia="Calibri"/>
          <w:i w:val="0"/>
        </w:rPr>
        <w:t>cifiques des b</w:t>
      </w:r>
      <w:r w:rsidRPr="00191A71">
        <w:rPr>
          <w:rFonts w:eastAsia="Calibri" w:hint="cs"/>
          <w:i w:val="0"/>
        </w:rPr>
        <w:t>é</w:t>
      </w:r>
      <w:r w:rsidRPr="00191A71">
        <w:rPr>
          <w:rFonts w:eastAsia="Calibri"/>
          <w:i w:val="0"/>
        </w:rPr>
        <w:t>n</w:t>
      </w:r>
      <w:r w:rsidRPr="00191A71">
        <w:rPr>
          <w:rFonts w:eastAsia="Calibri" w:hint="cs"/>
          <w:i w:val="0"/>
        </w:rPr>
        <w:t>é</w:t>
      </w:r>
      <w:r w:rsidRPr="00191A71">
        <w:rPr>
          <w:rFonts w:eastAsia="Calibri"/>
          <w:i w:val="0"/>
        </w:rPr>
        <w:t>ficiaires (TPE/PME), d'identifier les acteurs cl</w:t>
      </w:r>
      <w:r w:rsidRPr="00191A71">
        <w:rPr>
          <w:rFonts w:eastAsia="Calibri" w:hint="cs"/>
          <w:i w:val="0"/>
        </w:rPr>
        <w:t>é</w:t>
      </w:r>
      <w:r w:rsidRPr="00191A71">
        <w:rPr>
          <w:rFonts w:eastAsia="Calibri"/>
          <w:i w:val="0"/>
        </w:rPr>
        <w:t>s de l'</w:t>
      </w:r>
      <w:r w:rsidRPr="00191A71">
        <w:rPr>
          <w:rFonts w:eastAsia="Calibri" w:hint="cs"/>
          <w:i w:val="0"/>
        </w:rPr>
        <w:t>é</w:t>
      </w:r>
      <w:r w:rsidRPr="00191A71">
        <w:rPr>
          <w:rFonts w:eastAsia="Calibri"/>
          <w:i w:val="0"/>
        </w:rPr>
        <w:t>cosyst</w:t>
      </w:r>
      <w:r w:rsidRPr="00191A71">
        <w:rPr>
          <w:rFonts w:eastAsia="Calibri" w:hint="cs"/>
          <w:i w:val="0"/>
        </w:rPr>
        <w:t>è</w:t>
      </w:r>
      <w:r w:rsidRPr="00191A71">
        <w:rPr>
          <w:rFonts w:eastAsia="Calibri"/>
          <w:i w:val="0"/>
        </w:rPr>
        <w:t>me entrepreneurial, et de v</w:t>
      </w:r>
      <w:r w:rsidRPr="00191A71">
        <w:rPr>
          <w:rFonts w:eastAsia="Calibri" w:hint="cs"/>
          <w:i w:val="0"/>
        </w:rPr>
        <w:t>é</w:t>
      </w:r>
      <w:r w:rsidRPr="00191A71">
        <w:rPr>
          <w:rFonts w:eastAsia="Calibri"/>
          <w:i w:val="0"/>
        </w:rPr>
        <w:t>rifier la coh</w:t>
      </w:r>
      <w:r w:rsidRPr="00191A71">
        <w:rPr>
          <w:rFonts w:eastAsia="Calibri" w:hint="cs"/>
          <w:i w:val="0"/>
        </w:rPr>
        <w:t>é</w:t>
      </w:r>
      <w:r w:rsidRPr="00191A71">
        <w:rPr>
          <w:rFonts w:eastAsia="Calibri"/>
          <w:i w:val="0"/>
        </w:rPr>
        <w:t>rence de la th</w:t>
      </w:r>
      <w:r w:rsidRPr="00191A71">
        <w:rPr>
          <w:rFonts w:eastAsia="Calibri" w:hint="cs"/>
          <w:i w:val="0"/>
        </w:rPr>
        <w:t>é</w:t>
      </w:r>
      <w:r w:rsidRPr="00191A71">
        <w:rPr>
          <w:rFonts w:eastAsia="Calibri"/>
          <w:i w:val="0"/>
        </w:rPr>
        <w:t>orie du changement actuelle avec les objectifs locaux et internationaux du projet. Elle permettra de recueillir des donn</w:t>
      </w:r>
      <w:r w:rsidRPr="00191A71">
        <w:rPr>
          <w:rFonts w:eastAsia="Calibri" w:hint="cs"/>
          <w:i w:val="0"/>
        </w:rPr>
        <w:t>é</w:t>
      </w:r>
      <w:r w:rsidRPr="00191A71">
        <w:rPr>
          <w:rFonts w:eastAsia="Calibri"/>
          <w:i w:val="0"/>
        </w:rPr>
        <w:t>es solides sur l'environnement entrepreneurial, les dynamiques de financement, ainsi que les obstacles et leviers de d</w:t>
      </w:r>
      <w:r w:rsidRPr="00191A71">
        <w:rPr>
          <w:rFonts w:eastAsia="Calibri" w:hint="cs"/>
          <w:i w:val="0"/>
        </w:rPr>
        <w:t>é</w:t>
      </w:r>
      <w:r w:rsidRPr="00191A71">
        <w:rPr>
          <w:rFonts w:eastAsia="Calibri"/>
          <w:i w:val="0"/>
        </w:rPr>
        <w:t>veloppement pour les petites entreprises en Tunisie.</w:t>
      </w:r>
    </w:p>
    <w:p w14:paraId="5254B07D" w14:textId="4E69F037" w:rsidR="00191A71" w:rsidRPr="00191A71" w:rsidRDefault="00ED145F" w:rsidP="00191A71">
      <w:pPr>
        <w:autoSpaceDE w:val="0"/>
        <w:autoSpaceDN w:val="0"/>
        <w:adjustRightInd w:val="0"/>
        <w:rPr>
          <w:rFonts w:eastAsia="Calibri"/>
          <w:i w:val="0"/>
        </w:rPr>
      </w:pPr>
      <w:r w:rsidRPr="00191A71">
        <w:rPr>
          <w:rFonts w:eastAsia="Calibri"/>
          <w:i w:val="0"/>
        </w:rPr>
        <w:t>L'</w:t>
      </w:r>
      <w:r w:rsidRPr="00191A71">
        <w:rPr>
          <w:rFonts w:eastAsia="Calibri" w:hint="cs"/>
          <w:i w:val="0"/>
        </w:rPr>
        <w:t>é</w:t>
      </w:r>
      <w:r w:rsidRPr="00191A71">
        <w:rPr>
          <w:rFonts w:eastAsia="Calibri"/>
          <w:i w:val="0"/>
        </w:rPr>
        <w:t xml:space="preserve">tude de base sera </w:t>
      </w:r>
      <w:r w:rsidRPr="00191A71">
        <w:rPr>
          <w:rFonts w:eastAsia="Calibri" w:hint="cs"/>
          <w:i w:val="0"/>
        </w:rPr>
        <w:t>é</w:t>
      </w:r>
      <w:r w:rsidRPr="00191A71">
        <w:rPr>
          <w:rFonts w:eastAsia="Calibri"/>
          <w:i w:val="0"/>
        </w:rPr>
        <w:t>galement un point d'entr</w:t>
      </w:r>
      <w:r w:rsidRPr="00191A71">
        <w:rPr>
          <w:rFonts w:eastAsia="Calibri" w:hint="cs"/>
          <w:i w:val="0"/>
        </w:rPr>
        <w:t>é</w:t>
      </w:r>
      <w:r w:rsidRPr="00191A71">
        <w:rPr>
          <w:rFonts w:eastAsia="Calibri"/>
          <w:i w:val="0"/>
        </w:rPr>
        <w:t>e crucial pour garantir la transparence et la redevabilit</w:t>
      </w:r>
      <w:r w:rsidRPr="00191A71">
        <w:rPr>
          <w:rFonts w:eastAsia="Calibri" w:hint="cs"/>
          <w:i w:val="0"/>
        </w:rPr>
        <w:t>é</w:t>
      </w:r>
      <w:r w:rsidRPr="00191A71">
        <w:rPr>
          <w:rFonts w:eastAsia="Calibri"/>
          <w:i w:val="0"/>
        </w:rPr>
        <w:t xml:space="preserve"> vis-</w:t>
      </w:r>
      <w:r w:rsidRPr="00191A71">
        <w:rPr>
          <w:rFonts w:eastAsia="Calibri" w:hint="cs"/>
          <w:i w:val="0"/>
        </w:rPr>
        <w:t>à</w:t>
      </w:r>
      <w:r w:rsidRPr="00191A71">
        <w:rPr>
          <w:rFonts w:eastAsia="Calibri"/>
          <w:i w:val="0"/>
        </w:rPr>
        <w:t>-vis du bailleur de fonds (AFD</w:t>
      </w:r>
      <w:r w:rsidR="00A314DA">
        <w:rPr>
          <w:rFonts w:eastAsia="Calibri"/>
          <w:i w:val="0"/>
        </w:rPr>
        <w:t>, UE</w:t>
      </w:r>
      <w:r w:rsidRPr="00191A71">
        <w:rPr>
          <w:rFonts w:eastAsia="Calibri"/>
          <w:i w:val="0"/>
        </w:rPr>
        <w:t>), des partenaires d'ex</w:t>
      </w:r>
      <w:r w:rsidRPr="00191A71">
        <w:rPr>
          <w:rFonts w:eastAsia="Calibri" w:hint="cs"/>
          <w:i w:val="0"/>
        </w:rPr>
        <w:t>é</w:t>
      </w:r>
      <w:r w:rsidRPr="00191A71">
        <w:rPr>
          <w:rFonts w:eastAsia="Calibri"/>
          <w:i w:val="0"/>
        </w:rPr>
        <w:t>cution (Expertise France), et des b</w:t>
      </w:r>
      <w:r w:rsidRPr="00191A71">
        <w:rPr>
          <w:rFonts w:eastAsia="Calibri" w:hint="cs"/>
          <w:i w:val="0"/>
        </w:rPr>
        <w:t>é</w:t>
      </w:r>
      <w:r w:rsidRPr="00191A71">
        <w:rPr>
          <w:rFonts w:eastAsia="Calibri"/>
          <w:i w:val="0"/>
        </w:rPr>
        <w:t>n</w:t>
      </w:r>
      <w:r w:rsidRPr="00191A71">
        <w:rPr>
          <w:rFonts w:eastAsia="Calibri" w:hint="cs"/>
          <w:i w:val="0"/>
        </w:rPr>
        <w:t>é</w:t>
      </w:r>
      <w:r w:rsidRPr="00191A71">
        <w:rPr>
          <w:rFonts w:eastAsia="Calibri"/>
          <w:i w:val="0"/>
        </w:rPr>
        <w:t>ficiaires finaux. En plus d'</w:t>
      </w:r>
      <w:r w:rsidRPr="00191A71">
        <w:rPr>
          <w:rFonts w:eastAsia="Calibri" w:hint="cs"/>
          <w:i w:val="0"/>
        </w:rPr>
        <w:t>é</w:t>
      </w:r>
      <w:r w:rsidRPr="00191A71">
        <w:rPr>
          <w:rFonts w:eastAsia="Calibri"/>
          <w:i w:val="0"/>
        </w:rPr>
        <w:t>clairer les ajustements n</w:t>
      </w:r>
      <w:r w:rsidRPr="00191A71">
        <w:rPr>
          <w:rFonts w:eastAsia="Calibri" w:hint="cs"/>
          <w:i w:val="0"/>
        </w:rPr>
        <w:t>é</w:t>
      </w:r>
      <w:r w:rsidRPr="00191A71">
        <w:rPr>
          <w:rFonts w:eastAsia="Calibri"/>
          <w:i w:val="0"/>
        </w:rPr>
        <w:t xml:space="preserve">cessaires au projet, cette analyse servira </w:t>
      </w:r>
      <w:r w:rsidRPr="00191A71">
        <w:rPr>
          <w:rFonts w:eastAsia="Calibri" w:hint="cs"/>
          <w:i w:val="0"/>
        </w:rPr>
        <w:t>à</w:t>
      </w:r>
      <w:r w:rsidR="00191A71">
        <w:rPr>
          <w:rFonts w:eastAsia="Calibri"/>
          <w:i w:val="0"/>
        </w:rPr>
        <w:t xml:space="preserve"> identifier les bonnes </w:t>
      </w:r>
      <w:r w:rsidRPr="00191A71">
        <w:rPr>
          <w:rFonts w:eastAsia="Calibri"/>
          <w:i w:val="0"/>
        </w:rPr>
        <w:t>pratiques issues de projets similaires (</w:t>
      </w:r>
      <w:proofErr w:type="spellStart"/>
      <w:r w:rsidRPr="00191A71">
        <w:rPr>
          <w:rFonts w:eastAsia="Calibri"/>
          <w:i w:val="0"/>
        </w:rPr>
        <w:t>Greenov</w:t>
      </w:r>
      <w:proofErr w:type="spellEnd"/>
      <w:r w:rsidRPr="00191A71">
        <w:rPr>
          <w:rFonts w:eastAsia="Calibri" w:hint="eastAsia"/>
          <w:i w:val="0"/>
        </w:rPr>
        <w:t>’</w:t>
      </w:r>
      <w:r w:rsidRPr="00191A71">
        <w:rPr>
          <w:rFonts w:eastAsia="Calibri"/>
          <w:i w:val="0"/>
        </w:rPr>
        <w:t xml:space="preserve">i, </w:t>
      </w:r>
      <w:proofErr w:type="spellStart"/>
      <w:r w:rsidRPr="00191A71">
        <w:rPr>
          <w:rFonts w:eastAsia="Calibri"/>
          <w:i w:val="0"/>
        </w:rPr>
        <w:t>Innov</w:t>
      </w:r>
      <w:proofErr w:type="spellEnd"/>
      <w:r w:rsidRPr="00191A71">
        <w:rPr>
          <w:rFonts w:eastAsia="Calibri" w:hint="eastAsia"/>
          <w:i w:val="0"/>
        </w:rPr>
        <w:t>’</w:t>
      </w:r>
      <w:r w:rsidRPr="00191A71">
        <w:rPr>
          <w:rFonts w:eastAsia="Calibri"/>
          <w:i w:val="0"/>
        </w:rPr>
        <w:t>i, FAST,</w:t>
      </w:r>
      <w:r w:rsidR="00A314DA">
        <w:rPr>
          <w:rFonts w:eastAsia="Calibri"/>
          <w:i w:val="0"/>
        </w:rPr>
        <w:t xml:space="preserve"> SUNREF, </w:t>
      </w:r>
      <w:r w:rsidRPr="00191A71">
        <w:rPr>
          <w:rFonts w:eastAsia="Calibri"/>
          <w:i w:val="0"/>
        </w:rPr>
        <w:t xml:space="preserve">etc.) et </w:t>
      </w:r>
      <w:r w:rsidRPr="00191A71">
        <w:rPr>
          <w:rFonts w:eastAsia="Calibri" w:hint="cs"/>
          <w:i w:val="0"/>
        </w:rPr>
        <w:t>à</w:t>
      </w:r>
      <w:r w:rsidRPr="00191A71">
        <w:rPr>
          <w:rFonts w:eastAsia="Calibri"/>
          <w:i w:val="0"/>
        </w:rPr>
        <w:t xml:space="preserve"> faciliter leur int</w:t>
      </w:r>
      <w:r w:rsidRPr="00191A71">
        <w:rPr>
          <w:rFonts w:eastAsia="Calibri" w:hint="cs"/>
          <w:i w:val="0"/>
        </w:rPr>
        <w:t>é</w:t>
      </w:r>
      <w:r w:rsidR="00191A71">
        <w:rPr>
          <w:rFonts w:eastAsia="Calibri"/>
          <w:i w:val="0"/>
        </w:rPr>
        <w:t xml:space="preserve">gration dans le </w:t>
      </w:r>
      <w:r w:rsidRPr="00191A71">
        <w:rPr>
          <w:rFonts w:eastAsia="Calibri"/>
          <w:i w:val="0"/>
        </w:rPr>
        <w:t>projet TPE/PME. Elle renforcera ainsi la capacit</w:t>
      </w:r>
      <w:r w:rsidRPr="00191A71">
        <w:rPr>
          <w:rFonts w:eastAsia="Calibri" w:hint="cs"/>
          <w:i w:val="0"/>
        </w:rPr>
        <w:t>é</w:t>
      </w:r>
      <w:r w:rsidRPr="00191A71">
        <w:rPr>
          <w:rFonts w:eastAsia="Calibri"/>
          <w:i w:val="0"/>
        </w:rPr>
        <w:t xml:space="preserve"> du projet </w:t>
      </w:r>
      <w:r w:rsidRPr="00191A71">
        <w:rPr>
          <w:rFonts w:eastAsia="Calibri" w:hint="cs"/>
          <w:i w:val="0"/>
        </w:rPr>
        <w:t>à</w:t>
      </w:r>
      <w:r w:rsidRPr="00191A71">
        <w:rPr>
          <w:rFonts w:eastAsia="Calibri"/>
          <w:i w:val="0"/>
        </w:rPr>
        <w:t xml:space="preserve"> s</w:t>
      </w:r>
      <w:r w:rsidRPr="00191A71">
        <w:rPr>
          <w:rFonts w:eastAsia="Calibri" w:hint="eastAsia"/>
          <w:i w:val="0"/>
        </w:rPr>
        <w:t>’</w:t>
      </w:r>
      <w:r w:rsidRPr="00191A71">
        <w:rPr>
          <w:rFonts w:eastAsia="Calibri"/>
          <w:i w:val="0"/>
        </w:rPr>
        <w:t>adapter aux d</w:t>
      </w:r>
      <w:r w:rsidRPr="00191A71">
        <w:rPr>
          <w:rFonts w:eastAsia="Calibri" w:hint="cs"/>
          <w:i w:val="0"/>
        </w:rPr>
        <w:t>é</w:t>
      </w:r>
      <w:r w:rsidRPr="00191A71">
        <w:rPr>
          <w:rFonts w:eastAsia="Calibri"/>
          <w:i w:val="0"/>
        </w:rPr>
        <w:t xml:space="preserve">fis </w:t>
      </w:r>
      <w:r w:rsidRPr="00191A71">
        <w:rPr>
          <w:rFonts w:eastAsia="Calibri" w:hint="cs"/>
          <w:i w:val="0"/>
        </w:rPr>
        <w:t>é</w:t>
      </w:r>
      <w:r w:rsidRPr="00191A71">
        <w:rPr>
          <w:rFonts w:eastAsia="Calibri"/>
          <w:i w:val="0"/>
        </w:rPr>
        <w:t>mergents de l'</w:t>
      </w:r>
      <w:r w:rsidRPr="00191A71">
        <w:rPr>
          <w:rFonts w:eastAsia="Calibri" w:hint="cs"/>
          <w:i w:val="0"/>
        </w:rPr>
        <w:t>é</w:t>
      </w:r>
      <w:r w:rsidRPr="00191A71">
        <w:rPr>
          <w:rFonts w:eastAsia="Calibri"/>
          <w:i w:val="0"/>
        </w:rPr>
        <w:t>cosyst</w:t>
      </w:r>
      <w:r w:rsidRPr="00191A71">
        <w:rPr>
          <w:rFonts w:eastAsia="Calibri" w:hint="cs"/>
          <w:i w:val="0"/>
        </w:rPr>
        <w:t>è</w:t>
      </w:r>
      <w:r w:rsidRPr="00191A71">
        <w:rPr>
          <w:rFonts w:eastAsia="Calibri"/>
          <w:i w:val="0"/>
        </w:rPr>
        <w:t xml:space="preserve">me entrepreneurial et </w:t>
      </w:r>
      <w:r w:rsidRPr="00191A71">
        <w:rPr>
          <w:rFonts w:eastAsia="Calibri" w:hint="cs"/>
          <w:i w:val="0"/>
        </w:rPr>
        <w:t>à</w:t>
      </w:r>
      <w:r w:rsidRPr="00191A71">
        <w:rPr>
          <w:rFonts w:eastAsia="Calibri"/>
          <w:i w:val="0"/>
        </w:rPr>
        <w:t xml:space="preserve"> maximiser son impact.</w:t>
      </w:r>
    </w:p>
    <w:p w14:paraId="25FBA367" w14:textId="2962E76B" w:rsidR="001737A8" w:rsidRPr="00191A71" w:rsidRDefault="001737A8" w:rsidP="00191A71">
      <w:pPr>
        <w:pStyle w:val="Titre3"/>
        <w:rPr>
          <w:i w:val="0"/>
        </w:rPr>
      </w:pPr>
      <w:r w:rsidRPr="00191A71">
        <w:rPr>
          <w:i w:val="0"/>
        </w:rPr>
        <w:t xml:space="preserve">Objectifs et attentes générales de la mission </w:t>
      </w:r>
    </w:p>
    <w:p w14:paraId="66DE3ED4" w14:textId="77777777" w:rsidR="00ED145F" w:rsidRDefault="00ED145F" w:rsidP="008F3AC4">
      <w:pPr>
        <w:pStyle w:val="Paragraphedeliste"/>
        <w:numPr>
          <w:ilvl w:val="0"/>
          <w:numId w:val="20"/>
        </w:numPr>
        <w:autoSpaceDE w:val="0"/>
        <w:autoSpaceDN w:val="0"/>
        <w:adjustRightInd w:val="0"/>
        <w:rPr>
          <w:rFonts w:eastAsia="Calibri"/>
          <w:i w:val="0"/>
        </w:rPr>
      </w:pPr>
      <w:r w:rsidRPr="00ED145F">
        <w:rPr>
          <w:rFonts w:eastAsia="Calibri"/>
          <w:b/>
          <w:bCs/>
          <w:i w:val="0"/>
        </w:rPr>
        <w:t>Cartographie des acteurs de l’écosystème entrepreneurial en Tunisie</w:t>
      </w:r>
    </w:p>
    <w:p w14:paraId="28FE83FF" w14:textId="6C6060A8" w:rsidR="00A314DA" w:rsidRDefault="00ED145F" w:rsidP="00ED145F">
      <w:pPr>
        <w:autoSpaceDE w:val="0"/>
        <w:autoSpaceDN w:val="0"/>
        <w:adjustRightInd w:val="0"/>
        <w:rPr>
          <w:rFonts w:eastAsia="Calibri"/>
          <w:i w:val="0"/>
        </w:rPr>
      </w:pPr>
      <w:r w:rsidRPr="00ED145F">
        <w:rPr>
          <w:rFonts w:eastAsia="Calibri"/>
          <w:i w:val="0"/>
        </w:rPr>
        <w:t xml:space="preserve">L’étude devra fournir une cartographie complète des acteurs clés du secteur entrepreneurial, tels que les ministères, agences publiques, </w:t>
      </w:r>
      <w:r w:rsidR="00C04476">
        <w:rPr>
          <w:rFonts w:eastAsia="Calibri"/>
          <w:i w:val="0"/>
        </w:rPr>
        <w:t>institutions de financement (banques</w:t>
      </w:r>
      <w:r w:rsidRPr="00ED145F">
        <w:rPr>
          <w:rFonts w:eastAsia="Calibri"/>
          <w:i w:val="0"/>
        </w:rPr>
        <w:t>,</w:t>
      </w:r>
      <w:r w:rsidR="00C04476">
        <w:rPr>
          <w:rFonts w:eastAsia="Calibri"/>
          <w:i w:val="0"/>
        </w:rPr>
        <w:t xml:space="preserve"> </w:t>
      </w:r>
      <w:proofErr w:type="spellStart"/>
      <w:r w:rsidR="00C04476">
        <w:rPr>
          <w:rFonts w:eastAsia="Calibri"/>
          <w:i w:val="0"/>
        </w:rPr>
        <w:t>micorcrédit</w:t>
      </w:r>
      <w:proofErr w:type="spellEnd"/>
      <w:r w:rsidR="00C04476">
        <w:rPr>
          <w:rFonts w:eastAsia="Calibri"/>
          <w:i w:val="0"/>
        </w:rPr>
        <w:t xml:space="preserve">, leasing, prêt </w:t>
      </w:r>
      <w:proofErr w:type="gramStart"/>
      <w:r w:rsidR="00C04476">
        <w:rPr>
          <w:rFonts w:eastAsia="Calibri"/>
          <w:i w:val="0"/>
        </w:rPr>
        <w:t>d’honneur,  …</w:t>
      </w:r>
      <w:proofErr w:type="gramEnd"/>
      <w:r w:rsidR="00C04476">
        <w:rPr>
          <w:rFonts w:eastAsia="Calibri"/>
          <w:i w:val="0"/>
        </w:rPr>
        <w:t>),</w:t>
      </w:r>
      <w:r w:rsidRPr="00ED145F">
        <w:rPr>
          <w:rFonts w:eastAsia="Calibri"/>
          <w:i w:val="0"/>
        </w:rPr>
        <w:t xml:space="preserve"> </w:t>
      </w:r>
      <w:r w:rsidR="00C04476">
        <w:rPr>
          <w:rFonts w:eastAsia="Calibri"/>
          <w:i w:val="0"/>
        </w:rPr>
        <w:t>structures d’accompagnement à l’entreprenariat (incubateurs, centres d’affaires, …)</w:t>
      </w:r>
      <w:r w:rsidRPr="00ED145F">
        <w:rPr>
          <w:rFonts w:eastAsia="Calibri"/>
          <w:i w:val="0"/>
        </w:rPr>
        <w:t xml:space="preserve">, partenaires internationaux et agences de développement. Elle s’appuiera sur la méthodologie préalablement définie (voir méthodologie plus bas). </w:t>
      </w:r>
    </w:p>
    <w:p w14:paraId="2AAA3B40" w14:textId="7C10BBB8" w:rsidR="00ED145F" w:rsidRPr="00ED145F" w:rsidRDefault="00ED145F" w:rsidP="00ED145F">
      <w:pPr>
        <w:autoSpaceDE w:val="0"/>
        <w:autoSpaceDN w:val="0"/>
        <w:adjustRightInd w:val="0"/>
        <w:rPr>
          <w:rFonts w:eastAsia="Calibri"/>
          <w:i w:val="0"/>
        </w:rPr>
      </w:pPr>
      <w:r w:rsidRPr="00ED145F">
        <w:rPr>
          <w:rFonts w:eastAsia="Calibri"/>
          <w:i w:val="0"/>
        </w:rPr>
        <w:t>Les objectifs spécifiques sont :</w:t>
      </w:r>
    </w:p>
    <w:p w14:paraId="5FAFC616" w14:textId="77777777" w:rsidR="00ED145F" w:rsidRP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 xml:space="preserve">Identifier les </w:t>
      </w:r>
      <w:r w:rsidRPr="00ED145F">
        <w:rPr>
          <w:rFonts w:eastAsia="Calibri"/>
          <w:bCs/>
          <w:i w:val="0"/>
        </w:rPr>
        <w:t>parties prenantes</w:t>
      </w:r>
      <w:r w:rsidRPr="00ED145F">
        <w:rPr>
          <w:rFonts w:eastAsia="Calibri"/>
          <w:i w:val="0"/>
        </w:rPr>
        <w:t xml:space="preserve"> et leurs rôles dans l'écosystème entrepreneurial.</w:t>
      </w:r>
    </w:p>
    <w:p w14:paraId="2DCFC734" w14:textId="77777777" w:rsidR="00213274" w:rsidRPr="00213274" w:rsidRDefault="00213274" w:rsidP="008F3AC4">
      <w:pPr>
        <w:numPr>
          <w:ilvl w:val="0"/>
          <w:numId w:val="19"/>
        </w:numPr>
        <w:autoSpaceDE w:val="0"/>
        <w:autoSpaceDN w:val="0"/>
        <w:adjustRightInd w:val="0"/>
        <w:spacing w:after="0"/>
        <w:rPr>
          <w:rFonts w:eastAsia="Calibri"/>
          <w:i w:val="0"/>
        </w:rPr>
      </w:pPr>
      <w:r w:rsidRPr="00213274">
        <w:rPr>
          <w:rFonts w:eastAsia="Calibri"/>
          <w:i w:val="0"/>
        </w:rPr>
        <w:t>L’étude devra examiner les relations entre ces acteurs pour comprendre leurs collaborations, coopérations, et interdépendances. Cela inclut :</w:t>
      </w:r>
    </w:p>
    <w:p w14:paraId="1719F008" w14:textId="77777777" w:rsidR="00213274" w:rsidRPr="00213274" w:rsidRDefault="00213274" w:rsidP="008F3AC4">
      <w:pPr>
        <w:numPr>
          <w:ilvl w:val="1"/>
          <w:numId w:val="19"/>
        </w:numPr>
        <w:autoSpaceDE w:val="0"/>
        <w:autoSpaceDN w:val="0"/>
        <w:adjustRightInd w:val="0"/>
        <w:spacing w:after="0"/>
        <w:rPr>
          <w:rFonts w:eastAsia="Calibri"/>
          <w:i w:val="0"/>
        </w:rPr>
      </w:pPr>
      <w:r w:rsidRPr="00213274">
        <w:rPr>
          <w:rFonts w:eastAsia="Calibri"/>
          <w:i w:val="0"/>
        </w:rPr>
        <w:t>Les partenariats formels et informels.</w:t>
      </w:r>
    </w:p>
    <w:p w14:paraId="591A2A16" w14:textId="77777777" w:rsidR="00213274" w:rsidRPr="00213274" w:rsidRDefault="00213274" w:rsidP="008F3AC4">
      <w:pPr>
        <w:numPr>
          <w:ilvl w:val="1"/>
          <w:numId w:val="19"/>
        </w:numPr>
        <w:autoSpaceDE w:val="0"/>
        <w:autoSpaceDN w:val="0"/>
        <w:adjustRightInd w:val="0"/>
        <w:spacing w:after="0"/>
        <w:rPr>
          <w:rFonts w:eastAsia="Calibri"/>
          <w:i w:val="0"/>
        </w:rPr>
      </w:pPr>
      <w:r w:rsidRPr="00213274">
        <w:rPr>
          <w:rFonts w:eastAsia="Calibri"/>
          <w:i w:val="0"/>
        </w:rPr>
        <w:t>Les synergies existantes dans le financement et l’accompagnement des TPE/PME.</w:t>
      </w:r>
    </w:p>
    <w:p w14:paraId="5BCD7D42" w14:textId="77777777" w:rsidR="00213274" w:rsidRPr="00213274" w:rsidRDefault="00213274" w:rsidP="008F3AC4">
      <w:pPr>
        <w:numPr>
          <w:ilvl w:val="1"/>
          <w:numId w:val="19"/>
        </w:numPr>
        <w:autoSpaceDE w:val="0"/>
        <w:autoSpaceDN w:val="0"/>
        <w:adjustRightInd w:val="0"/>
        <w:spacing w:after="0"/>
        <w:rPr>
          <w:rFonts w:eastAsia="Calibri"/>
          <w:i w:val="0"/>
        </w:rPr>
      </w:pPr>
      <w:r w:rsidRPr="00213274">
        <w:rPr>
          <w:rFonts w:eastAsia="Calibri"/>
          <w:i w:val="0"/>
        </w:rPr>
        <w:t>Les barrières potentielles à la collaboration.</w:t>
      </w:r>
    </w:p>
    <w:p w14:paraId="686ECECA" w14:textId="77777777" w:rsidR="00213274" w:rsidRPr="00213274" w:rsidRDefault="00213274" w:rsidP="008F3AC4">
      <w:pPr>
        <w:numPr>
          <w:ilvl w:val="0"/>
          <w:numId w:val="19"/>
        </w:numPr>
        <w:autoSpaceDE w:val="0"/>
        <w:autoSpaceDN w:val="0"/>
        <w:adjustRightInd w:val="0"/>
        <w:spacing w:after="0"/>
        <w:rPr>
          <w:rFonts w:eastAsia="Calibri"/>
          <w:i w:val="0"/>
        </w:rPr>
      </w:pPr>
      <w:r w:rsidRPr="00213274">
        <w:rPr>
          <w:rFonts w:eastAsia="Calibri"/>
          <w:i w:val="0"/>
        </w:rPr>
        <w:t>Cartographie des pouvoirs et influences : Il s’agira d’évaluer le pouvoir relatif et l’influence de chaque acteur dans l’écosystème entrepreneurial :</w:t>
      </w:r>
    </w:p>
    <w:p w14:paraId="7DFFFEF6" w14:textId="77777777" w:rsidR="00213274" w:rsidRPr="00213274" w:rsidRDefault="00213274" w:rsidP="008F3AC4">
      <w:pPr>
        <w:numPr>
          <w:ilvl w:val="1"/>
          <w:numId w:val="19"/>
        </w:numPr>
        <w:autoSpaceDE w:val="0"/>
        <w:autoSpaceDN w:val="0"/>
        <w:adjustRightInd w:val="0"/>
        <w:spacing w:after="0"/>
        <w:rPr>
          <w:rFonts w:eastAsia="Calibri"/>
          <w:i w:val="0"/>
        </w:rPr>
      </w:pPr>
      <w:r w:rsidRPr="00213274">
        <w:rPr>
          <w:rFonts w:eastAsia="Calibri"/>
          <w:i w:val="0"/>
        </w:rPr>
        <w:t>Quelles institutions ou organisations exercent une influence dominante dans le secteur ?</w:t>
      </w:r>
    </w:p>
    <w:p w14:paraId="60E50C91" w14:textId="77777777" w:rsidR="00213274" w:rsidRPr="00213274" w:rsidRDefault="00213274" w:rsidP="008F3AC4">
      <w:pPr>
        <w:numPr>
          <w:ilvl w:val="1"/>
          <w:numId w:val="19"/>
        </w:numPr>
        <w:autoSpaceDE w:val="0"/>
        <w:autoSpaceDN w:val="0"/>
        <w:adjustRightInd w:val="0"/>
        <w:spacing w:after="0"/>
        <w:rPr>
          <w:rFonts w:eastAsia="Calibri"/>
          <w:i w:val="0"/>
        </w:rPr>
      </w:pPr>
      <w:r w:rsidRPr="00213274">
        <w:rPr>
          <w:rFonts w:eastAsia="Calibri"/>
          <w:i w:val="0"/>
        </w:rPr>
        <w:t>Quelles sont les relations de dépendance entre les différents acteurs (ex : financement, réglementation) ?</w:t>
      </w:r>
    </w:p>
    <w:p w14:paraId="4E1FF16A" w14:textId="77777777" w:rsidR="00213274" w:rsidRPr="00213274" w:rsidRDefault="00213274" w:rsidP="008F3AC4">
      <w:pPr>
        <w:numPr>
          <w:ilvl w:val="1"/>
          <w:numId w:val="19"/>
        </w:numPr>
        <w:autoSpaceDE w:val="0"/>
        <w:autoSpaceDN w:val="0"/>
        <w:adjustRightInd w:val="0"/>
        <w:spacing w:after="0"/>
        <w:rPr>
          <w:rFonts w:eastAsia="Calibri"/>
          <w:i w:val="0"/>
        </w:rPr>
      </w:pPr>
      <w:r w:rsidRPr="00213274">
        <w:rPr>
          <w:rFonts w:eastAsia="Calibri"/>
          <w:i w:val="0"/>
        </w:rPr>
        <w:t>Quelles sont les opportunités et risques liés à ces relations de pouvoir ?</w:t>
      </w:r>
    </w:p>
    <w:p w14:paraId="02901644" w14:textId="77777777" w:rsidR="00ED145F" w:rsidRPr="00ED145F" w:rsidRDefault="00ED145F" w:rsidP="00ED145F">
      <w:pPr>
        <w:autoSpaceDE w:val="0"/>
        <w:autoSpaceDN w:val="0"/>
        <w:adjustRightInd w:val="0"/>
        <w:spacing w:after="0"/>
        <w:ind w:left="720"/>
        <w:rPr>
          <w:rFonts w:eastAsia="Calibri"/>
          <w:i w:val="0"/>
        </w:rPr>
      </w:pPr>
    </w:p>
    <w:p w14:paraId="344C100C" w14:textId="77777777" w:rsidR="00DD55AC" w:rsidRPr="00DD55AC" w:rsidRDefault="00DD55AC" w:rsidP="008F3AC4">
      <w:pPr>
        <w:pStyle w:val="Paragraphedeliste"/>
        <w:numPr>
          <w:ilvl w:val="0"/>
          <w:numId w:val="20"/>
        </w:numPr>
        <w:autoSpaceDE w:val="0"/>
        <w:autoSpaceDN w:val="0"/>
        <w:adjustRightInd w:val="0"/>
        <w:rPr>
          <w:rFonts w:eastAsia="Calibri"/>
          <w:b/>
          <w:bCs/>
          <w:i w:val="0"/>
        </w:rPr>
      </w:pPr>
      <w:r w:rsidRPr="00DD55AC">
        <w:rPr>
          <w:rFonts w:eastAsia="Calibri"/>
          <w:b/>
          <w:bCs/>
          <w:i w:val="0"/>
        </w:rPr>
        <w:t>Vérification de la théorie du changement et identification des valeurs de référence pour le cadre logique</w:t>
      </w:r>
    </w:p>
    <w:p w14:paraId="24F6D989" w14:textId="77BE5672" w:rsidR="00213274" w:rsidRDefault="00213274" w:rsidP="00213274">
      <w:pPr>
        <w:autoSpaceDE w:val="0"/>
        <w:autoSpaceDN w:val="0"/>
        <w:adjustRightInd w:val="0"/>
        <w:rPr>
          <w:rFonts w:eastAsia="Calibri"/>
          <w:i w:val="0"/>
        </w:rPr>
      </w:pPr>
      <w:r>
        <w:rPr>
          <w:rFonts w:eastAsia="Calibri"/>
          <w:i w:val="0"/>
        </w:rPr>
        <w:t>L’étude devra analyse</w:t>
      </w:r>
      <w:r w:rsidR="00167599">
        <w:rPr>
          <w:rFonts w:eastAsia="Calibri"/>
          <w:i w:val="0"/>
        </w:rPr>
        <w:t>r</w:t>
      </w:r>
      <w:r>
        <w:rPr>
          <w:rFonts w:eastAsia="Calibri"/>
          <w:i w:val="0"/>
        </w:rPr>
        <w:t xml:space="preserve"> la théorie du changement actuelle du projet à la lumière des besoins des partenaires et du contexte local. Il s’agira de vérifier si la théorie du changement : </w:t>
      </w:r>
    </w:p>
    <w:p w14:paraId="69F6570B" w14:textId="2E010BF1" w:rsidR="00DD55AC" w:rsidRDefault="00DD55AC" w:rsidP="008F3AC4">
      <w:pPr>
        <w:numPr>
          <w:ilvl w:val="0"/>
          <w:numId w:val="19"/>
        </w:numPr>
        <w:autoSpaceDE w:val="0"/>
        <w:autoSpaceDN w:val="0"/>
        <w:adjustRightInd w:val="0"/>
        <w:spacing w:after="0"/>
        <w:rPr>
          <w:rFonts w:eastAsia="Calibri"/>
          <w:i w:val="0"/>
        </w:rPr>
      </w:pPr>
      <w:r w:rsidRPr="00DD55AC">
        <w:rPr>
          <w:rFonts w:eastAsia="Calibri"/>
          <w:i w:val="0"/>
        </w:rPr>
        <w:lastRenderedPageBreak/>
        <w:t>R</w:t>
      </w:r>
      <w:r w:rsidRPr="00DD55AC">
        <w:rPr>
          <w:rFonts w:eastAsia="Calibri" w:hint="cs"/>
          <w:i w:val="0"/>
        </w:rPr>
        <w:t>é</w:t>
      </w:r>
      <w:r w:rsidRPr="00DD55AC">
        <w:rPr>
          <w:rFonts w:eastAsia="Calibri"/>
          <w:i w:val="0"/>
        </w:rPr>
        <w:t>pond aux besoins r</w:t>
      </w:r>
      <w:r w:rsidRPr="00DD55AC">
        <w:rPr>
          <w:rFonts w:eastAsia="Calibri" w:hint="cs"/>
          <w:i w:val="0"/>
        </w:rPr>
        <w:t>é</w:t>
      </w:r>
      <w:r w:rsidRPr="00DD55AC">
        <w:rPr>
          <w:rFonts w:eastAsia="Calibri"/>
          <w:i w:val="0"/>
        </w:rPr>
        <w:t>els des TPE/PME et des autres parties prenantes : L</w:t>
      </w:r>
      <w:r w:rsidRPr="00DD55AC">
        <w:rPr>
          <w:rFonts w:eastAsia="Calibri" w:hint="eastAsia"/>
          <w:i w:val="0"/>
        </w:rPr>
        <w:t>’</w:t>
      </w:r>
      <w:r w:rsidRPr="00DD55AC">
        <w:rPr>
          <w:rFonts w:eastAsia="Calibri" w:hint="cs"/>
          <w:i w:val="0"/>
        </w:rPr>
        <w:t>é</w:t>
      </w:r>
      <w:r w:rsidRPr="00DD55AC">
        <w:rPr>
          <w:rFonts w:eastAsia="Calibri"/>
          <w:i w:val="0"/>
        </w:rPr>
        <w:t>tude analysera si les hypoth</w:t>
      </w:r>
      <w:r w:rsidRPr="00DD55AC">
        <w:rPr>
          <w:rFonts w:eastAsia="Calibri" w:hint="cs"/>
          <w:i w:val="0"/>
        </w:rPr>
        <w:t>è</w:t>
      </w:r>
      <w:r w:rsidRPr="00DD55AC">
        <w:rPr>
          <w:rFonts w:eastAsia="Calibri"/>
          <w:i w:val="0"/>
        </w:rPr>
        <w:t>ses de la th</w:t>
      </w:r>
      <w:r w:rsidRPr="00DD55AC">
        <w:rPr>
          <w:rFonts w:eastAsia="Calibri" w:hint="cs"/>
          <w:i w:val="0"/>
        </w:rPr>
        <w:t>é</w:t>
      </w:r>
      <w:r w:rsidRPr="00DD55AC">
        <w:rPr>
          <w:rFonts w:eastAsia="Calibri"/>
          <w:i w:val="0"/>
        </w:rPr>
        <w:t>orie du changement sont en ad</w:t>
      </w:r>
      <w:r w:rsidRPr="00DD55AC">
        <w:rPr>
          <w:rFonts w:eastAsia="Calibri" w:hint="cs"/>
          <w:i w:val="0"/>
        </w:rPr>
        <w:t>é</w:t>
      </w:r>
      <w:r w:rsidRPr="00DD55AC">
        <w:rPr>
          <w:rFonts w:eastAsia="Calibri"/>
          <w:i w:val="0"/>
        </w:rPr>
        <w:t>quation avec les besoins exprim</w:t>
      </w:r>
      <w:r w:rsidRPr="00DD55AC">
        <w:rPr>
          <w:rFonts w:eastAsia="Calibri" w:hint="cs"/>
          <w:i w:val="0"/>
        </w:rPr>
        <w:t>é</w:t>
      </w:r>
      <w:r w:rsidRPr="00DD55AC">
        <w:rPr>
          <w:rFonts w:eastAsia="Calibri"/>
          <w:i w:val="0"/>
        </w:rPr>
        <w:t>s par les b</w:t>
      </w:r>
      <w:r w:rsidRPr="00DD55AC">
        <w:rPr>
          <w:rFonts w:eastAsia="Calibri" w:hint="cs"/>
          <w:i w:val="0"/>
        </w:rPr>
        <w:t>é</w:t>
      </w:r>
      <w:r w:rsidRPr="00DD55AC">
        <w:rPr>
          <w:rFonts w:eastAsia="Calibri"/>
          <w:i w:val="0"/>
        </w:rPr>
        <w:t>n</w:t>
      </w:r>
      <w:r w:rsidRPr="00DD55AC">
        <w:rPr>
          <w:rFonts w:eastAsia="Calibri" w:hint="cs"/>
          <w:i w:val="0"/>
        </w:rPr>
        <w:t>é</w:t>
      </w:r>
      <w:r w:rsidRPr="00DD55AC">
        <w:rPr>
          <w:rFonts w:eastAsia="Calibri"/>
          <w:i w:val="0"/>
        </w:rPr>
        <w:t>ficiaires directs (TPE/PME) et les partenaires (institutions pub</w:t>
      </w:r>
      <w:r w:rsidRPr="00DD55AC">
        <w:rPr>
          <w:rFonts w:eastAsia="Calibri" w:hint="eastAsia"/>
          <w:i w:val="0"/>
        </w:rPr>
        <w:t>liques, incubateurs, agences internationales).</w:t>
      </w:r>
    </w:p>
    <w:p w14:paraId="7933F005" w14:textId="77777777" w:rsidR="00DD55AC" w:rsidRPr="00DD55AC" w:rsidRDefault="00DD55AC" w:rsidP="00DD55AC">
      <w:pPr>
        <w:autoSpaceDE w:val="0"/>
        <w:autoSpaceDN w:val="0"/>
        <w:adjustRightInd w:val="0"/>
        <w:spacing w:after="0"/>
        <w:ind w:left="720"/>
        <w:rPr>
          <w:rFonts w:eastAsia="Calibri"/>
          <w:i w:val="0"/>
        </w:rPr>
      </w:pPr>
    </w:p>
    <w:p w14:paraId="2A7641B9" w14:textId="64853B75" w:rsidR="00DD55AC" w:rsidRDefault="00DD55AC" w:rsidP="008F3AC4">
      <w:pPr>
        <w:numPr>
          <w:ilvl w:val="0"/>
          <w:numId w:val="19"/>
        </w:numPr>
        <w:autoSpaceDE w:val="0"/>
        <w:autoSpaceDN w:val="0"/>
        <w:adjustRightInd w:val="0"/>
        <w:spacing w:after="0"/>
        <w:rPr>
          <w:rFonts w:eastAsia="Calibri"/>
          <w:i w:val="0"/>
        </w:rPr>
      </w:pPr>
      <w:r w:rsidRPr="00DD55AC">
        <w:rPr>
          <w:rFonts w:eastAsia="Calibri"/>
          <w:i w:val="0"/>
        </w:rPr>
        <w:t>Est compatible avec les dynamiques actuelles de l</w:t>
      </w:r>
      <w:r w:rsidRPr="00DD55AC">
        <w:rPr>
          <w:rFonts w:eastAsia="Calibri" w:hint="eastAsia"/>
          <w:i w:val="0"/>
        </w:rPr>
        <w:t>’</w:t>
      </w:r>
      <w:r w:rsidRPr="00DD55AC">
        <w:rPr>
          <w:rFonts w:eastAsia="Calibri" w:hint="cs"/>
          <w:i w:val="0"/>
        </w:rPr>
        <w:t>é</w:t>
      </w:r>
      <w:r w:rsidRPr="00DD55AC">
        <w:rPr>
          <w:rFonts w:eastAsia="Calibri"/>
          <w:i w:val="0"/>
        </w:rPr>
        <w:t>cosyst</w:t>
      </w:r>
      <w:r w:rsidRPr="00DD55AC">
        <w:rPr>
          <w:rFonts w:eastAsia="Calibri" w:hint="cs"/>
          <w:i w:val="0"/>
        </w:rPr>
        <w:t>è</w:t>
      </w:r>
      <w:r w:rsidRPr="00DD55AC">
        <w:rPr>
          <w:rFonts w:eastAsia="Calibri"/>
          <w:i w:val="0"/>
        </w:rPr>
        <w:t>me entrepreneurial tunisien : Il s</w:t>
      </w:r>
      <w:r w:rsidRPr="00DD55AC">
        <w:rPr>
          <w:rFonts w:eastAsia="Calibri" w:hint="eastAsia"/>
          <w:i w:val="0"/>
        </w:rPr>
        <w:t>’</w:t>
      </w:r>
      <w:r w:rsidRPr="00DD55AC">
        <w:rPr>
          <w:rFonts w:eastAsia="Calibri"/>
          <w:i w:val="0"/>
        </w:rPr>
        <w:t>agira de v</w:t>
      </w:r>
      <w:r w:rsidRPr="00DD55AC">
        <w:rPr>
          <w:rFonts w:eastAsia="Calibri" w:hint="cs"/>
          <w:i w:val="0"/>
        </w:rPr>
        <w:t>é</w:t>
      </w:r>
      <w:r w:rsidRPr="00DD55AC">
        <w:rPr>
          <w:rFonts w:eastAsia="Calibri"/>
          <w:i w:val="0"/>
        </w:rPr>
        <w:t>rifier que la th</w:t>
      </w:r>
      <w:r w:rsidRPr="00DD55AC">
        <w:rPr>
          <w:rFonts w:eastAsia="Calibri" w:hint="cs"/>
          <w:i w:val="0"/>
        </w:rPr>
        <w:t>é</w:t>
      </w:r>
      <w:r w:rsidRPr="00DD55AC">
        <w:rPr>
          <w:rFonts w:eastAsia="Calibri"/>
          <w:i w:val="0"/>
        </w:rPr>
        <w:t xml:space="preserve">orie du changement prend bien en compte les </w:t>
      </w:r>
      <w:r w:rsidRPr="00DD55AC">
        <w:rPr>
          <w:rFonts w:eastAsia="Calibri" w:hint="cs"/>
          <w:i w:val="0"/>
        </w:rPr>
        <w:t>é</w:t>
      </w:r>
      <w:r w:rsidRPr="00DD55AC">
        <w:rPr>
          <w:rFonts w:eastAsia="Calibri"/>
          <w:i w:val="0"/>
        </w:rPr>
        <w:t>volutions r</w:t>
      </w:r>
      <w:r w:rsidRPr="00DD55AC">
        <w:rPr>
          <w:rFonts w:eastAsia="Calibri" w:hint="cs"/>
          <w:i w:val="0"/>
        </w:rPr>
        <w:t>é</w:t>
      </w:r>
      <w:r w:rsidRPr="00DD55AC">
        <w:rPr>
          <w:rFonts w:eastAsia="Calibri"/>
          <w:i w:val="0"/>
        </w:rPr>
        <w:t>centes de l'</w:t>
      </w:r>
      <w:r w:rsidRPr="00DD55AC">
        <w:rPr>
          <w:rFonts w:eastAsia="Calibri" w:hint="cs"/>
          <w:i w:val="0"/>
        </w:rPr>
        <w:t>é</w:t>
      </w:r>
      <w:r w:rsidRPr="00DD55AC">
        <w:rPr>
          <w:rFonts w:eastAsia="Calibri"/>
          <w:i w:val="0"/>
        </w:rPr>
        <w:t>cosyst</w:t>
      </w:r>
      <w:r w:rsidRPr="00DD55AC">
        <w:rPr>
          <w:rFonts w:eastAsia="Calibri" w:hint="cs"/>
          <w:i w:val="0"/>
        </w:rPr>
        <w:t>è</w:t>
      </w:r>
      <w:r w:rsidRPr="00DD55AC">
        <w:rPr>
          <w:rFonts w:eastAsia="Calibri"/>
          <w:i w:val="0"/>
        </w:rPr>
        <w:t>me entrepreneurial, notamment en mati</w:t>
      </w:r>
      <w:r w:rsidRPr="00DD55AC">
        <w:rPr>
          <w:rFonts w:eastAsia="Calibri" w:hint="cs"/>
          <w:i w:val="0"/>
        </w:rPr>
        <w:t>è</w:t>
      </w:r>
      <w:r w:rsidRPr="00DD55AC">
        <w:rPr>
          <w:rFonts w:eastAsia="Calibri"/>
          <w:i w:val="0"/>
        </w:rPr>
        <w:t>re de soutien financier, d'accompagnement technique et de politiques publiques en Tunisie. Cette v</w:t>
      </w:r>
      <w:r w:rsidRPr="00DD55AC">
        <w:rPr>
          <w:rFonts w:eastAsia="Calibri" w:hint="cs"/>
          <w:i w:val="0"/>
        </w:rPr>
        <w:t>é</w:t>
      </w:r>
      <w:r w:rsidRPr="00DD55AC">
        <w:rPr>
          <w:rFonts w:eastAsia="Calibri"/>
          <w:i w:val="0"/>
        </w:rPr>
        <w:t>rification inclura l</w:t>
      </w:r>
      <w:r w:rsidRPr="00DD55AC">
        <w:rPr>
          <w:rFonts w:eastAsia="Calibri" w:hint="eastAsia"/>
          <w:i w:val="0"/>
        </w:rPr>
        <w:t>’</w:t>
      </w:r>
      <w:r w:rsidRPr="00DD55AC">
        <w:rPr>
          <w:rFonts w:eastAsia="Calibri"/>
          <w:i w:val="0"/>
        </w:rPr>
        <w:t>identification des acteurs influents et des partenariats strat</w:t>
      </w:r>
      <w:r w:rsidRPr="00DD55AC">
        <w:rPr>
          <w:rFonts w:eastAsia="Calibri" w:hint="cs"/>
          <w:i w:val="0"/>
        </w:rPr>
        <w:t>é</w:t>
      </w:r>
      <w:r w:rsidRPr="00DD55AC">
        <w:rPr>
          <w:rFonts w:eastAsia="Calibri"/>
          <w:i w:val="0"/>
        </w:rPr>
        <w:t xml:space="preserve">giques </w:t>
      </w:r>
      <w:r w:rsidRPr="00DD55AC">
        <w:rPr>
          <w:rFonts w:eastAsia="Calibri" w:hint="cs"/>
          <w:i w:val="0"/>
        </w:rPr>
        <w:t>à</w:t>
      </w:r>
      <w:r w:rsidRPr="00DD55AC">
        <w:rPr>
          <w:rFonts w:eastAsia="Calibri"/>
          <w:i w:val="0"/>
        </w:rPr>
        <w:t xml:space="preserve"> renforcer.</w:t>
      </w:r>
    </w:p>
    <w:p w14:paraId="6646E19A" w14:textId="77777777" w:rsidR="00DD55AC" w:rsidRPr="00DD55AC" w:rsidRDefault="00DD55AC" w:rsidP="00DD55AC">
      <w:pPr>
        <w:autoSpaceDE w:val="0"/>
        <w:autoSpaceDN w:val="0"/>
        <w:adjustRightInd w:val="0"/>
        <w:spacing w:after="0"/>
        <w:ind w:left="720"/>
        <w:rPr>
          <w:rFonts w:eastAsia="Calibri"/>
          <w:i w:val="0"/>
        </w:rPr>
      </w:pPr>
    </w:p>
    <w:p w14:paraId="15C4324C" w14:textId="79ED7771" w:rsidR="00DD55AC" w:rsidRDefault="00DD55AC" w:rsidP="008F3AC4">
      <w:pPr>
        <w:numPr>
          <w:ilvl w:val="0"/>
          <w:numId w:val="19"/>
        </w:numPr>
        <w:autoSpaceDE w:val="0"/>
        <w:autoSpaceDN w:val="0"/>
        <w:adjustRightInd w:val="0"/>
        <w:spacing w:after="0"/>
        <w:rPr>
          <w:rFonts w:eastAsia="Calibri"/>
          <w:i w:val="0"/>
        </w:rPr>
      </w:pPr>
      <w:r w:rsidRPr="00DD55AC">
        <w:rPr>
          <w:rFonts w:eastAsia="Calibri"/>
          <w:i w:val="0"/>
        </w:rPr>
        <w:t>Est en ad</w:t>
      </w:r>
      <w:r w:rsidRPr="00DD55AC">
        <w:rPr>
          <w:rFonts w:eastAsia="Calibri" w:hint="cs"/>
          <w:i w:val="0"/>
        </w:rPr>
        <w:t>é</w:t>
      </w:r>
      <w:r w:rsidRPr="00DD55AC">
        <w:rPr>
          <w:rFonts w:eastAsia="Calibri"/>
          <w:i w:val="0"/>
        </w:rPr>
        <w:t>quation avec les objectifs du projet et le contexte socio-</w:t>
      </w:r>
      <w:r w:rsidRPr="00DD55AC">
        <w:rPr>
          <w:rFonts w:eastAsia="Calibri" w:hint="cs"/>
          <w:i w:val="0"/>
        </w:rPr>
        <w:t>é</w:t>
      </w:r>
      <w:r w:rsidRPr="00DD55AC">
        <w:rPr>
          <w:rFonts w:eastAsia="Calibri"/>
          <w:i w:val="0"/>
        </w:rPr>
        <w:t xml:space="preserve">conomique local : </w:t>
      </w:r>
      <w:r w:rsidR="00213274">
        <w:rPr>
          <w:rFonts w:eastAsia="Calibri"/>
          <w:i w:val="0"/>
        </w:rPr>
        <w:t>l</w:t>
      </w:r>
      <w:r w:rsidRPr="00DD55AC">
        <w:rPr>
          <w:rFonts w:eastAsia="Calibri" w:hint="eastAsia"/>
          <w:i w:val="0"/>
        </w:rPr>
        <w:t>’</w:t>
      </w:r>
      <w:r w:rsidRPr="00DD55AC">
        <w:rPr>
          <w:rFonts w:eastAsia="Calibri" w:hint="cs"/>
          <w:i w:val="0"/>
        </w:rPr>
        <w:t>é</w:t>
      </w:r>
      <w:r w:rsidRPr="00DD55AC">
        <w:rPr>
          <w:rFonts w:eastAsia="Calibri"/>
          <w:i w:val="0"/>
        </w:rPr>
        <w:t>tude s'assurera que la th</w:t>
      </w:r>
      <w:r w:rsidRPr="00DD55AC">
        <w:rPr>
          <w:rFonts w:eastAsia="Calibri" w:hint="cs"/>
          <w:i w:val="0"/>
        </w:rPr>
        <w:t>é</w:t>
      </w:r>
      <w:r w:rsidRPr="00DD55AC">
        <w:rPr>
          <w:rFonts w:eastAsia="Calibri"/>
          <w:i w:val="0"/>
        </w:rPr>
        <w:t>orie du changement correspond aux r</w:t>
      </w:r>
      <w:r w:rsidRPr="00DD55AC">
        <w:rPr>
          <w:rFonts w:eastAsia="Calibri" w:hint="cs"/>
          <w:i w:val="0"/>
        </w:rPr>
        <w:t>é</w:t>
      </w:r>
      <w:r w:rsidRPr="00DD55AC">
        <w:rPr>
          <w:rFonts w:eastAsia="Calibri"/>
          <w:i w:val="0"/>
        </w:rPr>
        <w:t>alit</w:t>
      </w:r>
      <w:r w:rsidRPr="00DD55AC">
        <w:rPr>
          <w:rFonts w:eastAsia="Calibri" w:hint="cs"/>
          <w:i w:val="0"/>
        </w:rPr>
        <w:t>é</w:t>
      </w:r>
      <w:r w:rsidRPr="00DD55AC">
        <w:rPr>
          <w:rFonts w:eastAsia="Calibri"/>
          <w:i w:val="0"/>
        </w:rPr>
        <w:t>s socio-</w:t>
      </w:r>
      <w:r w:rsidRPr="00DD55AC">
        <w:rPr>
          <w:rFonts w:eastAsia="Calibri" w:hint="cs"/>
          <w:i w:val="0"/>
        </w:rPr>
        <w:t>é</w:t>
      </w:r>
      <w:r w:rsidRPr="00DD55AC">
        <w:rPr>
          <w:rFonts w:eastAsia="Calibri"/>
          <w:i w:val="0"/>
        </w:rPr>
        <w:t>conomiques actuelles du pays,</w:t>
      </w:r>
      <w:r>
        <w:rPr>
          <w:rFonts w:eastAsia="Calibri"/>
          <w:i w:val="0"/>
        </w:rPr>
        <w:t xml:space="preserve"> </w:t>
      </w:r>
      <w:r w:rsidRPr="00DD55AC">
        <w:rPr>
          <w:rFonts w:eastAsia="Calibri"/>
          <w:i w:val="0"/>
        </w:rPr>
        <w:t>y compris les d</w:t>
      </w:r>
      <w:r w:rsidRPr="00DD55AC">
        <w:rPr>
          <w:rFonts w:eastAsia="Calibri" w:hint="cs"/>
          <w:i w:val="0"/>
        </w:rPr>
        <w:t>é</w:t>
      </w:r>
      <w:r w:rsidRPr="00DD55AC">
        <w:rPr>
          <w:rFonts w:eastAsia="Calibri"/>
          <w:i w:val="0"/>
        </w:rPr>
        <w:t>fis rencontr</w:t>
      </w:r>
      <w:r w:rsidRPr="00DD55AC">
        <w:rPr>
          <w:rFonts w:eastAsia="Calibri" w:hint="cs"/>
          <w:i w:val="0"/>
        </w:rPr>
        <w:t>é</w:t>
      </w:r>
      <w:r w:rsidRPr="00DD55AC">
        <w:rPr>
          <w:rFonts w:eastAsia="Calibri"/>
          <w:i w:val="0"/>
        </w:rPr>
        <w:t>s par les TPE/PME dans l</w:t>
      </w:r>
      <w:r w:rsidRPr="00DD55AC">
        <w:rPr>
          <w:rFonts w:eastAsia="Calibri" w:hint="eastAsia"/>
          <w:i w:val="0"/>
        </w:rPr>
        <w:t>’</w:t>
      </w:r>
      <w:r w:rsidRPr="00DD55AC">
        <w:rPr>
          <w:rFonts w:eastAsia="Calibri"/>
          <w:i w:val="0"/>
        </w:rPr>
        <w:t>acc</w:t>
      </w:r>
      <w:r w:rsidRPr="00DD55AC">
        <w:rPr>
          <w:rFonts w:eastAsia="Calibri" w:hint="cs"/>
          <w:i w:val="0"/>
        </w:rPr>
        <w:t>è</w:t>
      </w:r>
      <w:r w:rsidRPr="00DD55AC">
        <w:rPr>
          <w:rFonts w:eastAsia="Calibri"/>
          <w:i w:val="0"/>
        </w:rPr>
        <w:t xml:space="preserve">s au financement, au soutien technique, </w:t>
      </w:r>
      <w:r w:rsidR="00213274">
        <w:rPr>
          <w:rFonts w:eastAsia="Calibri"/>
          <w:i w:val="0"/>
        </w:rPr>
        <w:t>et à l’internationalisation</w:t>
      </w:r>
      <w:r w:rsidRPr="00DD55AC">
        <w:rPr>
          <w:rFonts w:eastAsia="Calibri"/>
          <w:i w:val="0"/>
        </w:rPr>
        <w:t>.</w:t>
      </w:r>
    </w:p>
    <w:p w14:paraId="0B41748C" w14:textId="06CA9BFB" w:rsidR="00DD55AC" w:rsidRDefault="00DD55AC" w:rsidP="00DD55AC">
      <w:pPr>
        <w:rPr>
          <w:rFonts w:eastAsia="Calibri"/>
          <w:i w:val="0"/>
        </w:rPr>
      </w:pPr>
    </w:p>
    <w:p w14:paraId="25CE9BC4" w14:textId="2F21E652" w:rsidR="00DD55AC" w:rsidRDefault="00DD55AC" w:rsidP="00167599">
      <w:pPr>
        <w:autoSpaceDE w:val="0"/>
        <w:autoSpaceDN w:val="0"/>
        <w:adjustRightInd w:val="0"/>
        <w:rPr>
          <w:rFonts w:eastAsia="Calibri"/>
          <w:i w:val="0"/>
        </w:rPr>
      </w:pPr>
      <w:r w:rsidRPr="00213274">
        <w:rPr>
          <w:rFonts w:eastAsia="Calibri"/>
          <w:i w:val="0"/>
        </w:rPr>
        <w:t xml:space="preserve">Une fois que la théorie du changement sera validée et ajustée si nécessaire, l’étude devra </w:t>
      </w:r>
      <w:r w:rsidR="00A314DA" w:rsidRPr="00C11C73">
        <w:rPr>
          <w:rFonts w:eastAsia="Calibri"/>
          <w:i w:val="0"/>
          <w:u w:val="single"/>
        </w:rPr>
        <w:t xml:space="preserve">ajuster le cadre de logique </w:t>
      </w:r>
      <w:r w:rsidR="00A314DA">
        <w:rPr>
          <w:rFonts w:eastAsia="Calibri"/>
          <w:i w:val="0"/>
        </w:rPr>
        <w:t xml:space="preserve">en conséquence et </w:t>
      </w:r>
      <w:r w:rsidRPr="00213274">
        <w:rPr>
          <w:rFonts w:eastAsia="Calibri"/>
          <w:i w:val="0"/>
        </w:rPr>
        <w:t xml:space="preserve">identifier les </w:t>
      </w:r>
      <w:r w:rsidRPr="00213274">
        <w:rPr>
          <w:rFonts w:eastAsia="Calibri"/>
          <w:bCs/>
          <w:i w:val="0"/>
        </w:rPr>
        <w:t>valeurs de référence</w:t>
      </w:r>
      <w:r w:rsidRPr="00213274">
        <w:rPr>
          <w:rFonts w:eastAsia="Calibri"/>
          <w:i w:val="0"/>
        </w:rPr>
        <w:t xml:space="preserve"> (</w:t>
      </w:r>
      <w:proofErr w:type="spellStart"/>
      <w:r w:rsidRPr="00213274">
        <w:rPr>
          <w:rFonts w:eastAsia="Calibri"/>
          <w:i w:val="0"/>
        </w:rPr>
        <w:t>baselines</w:t>
      </w:r>
      <w:proofErr w:type="spellEnd"/>
      <w:r w:rsidRPr="00213274">
        <w:rPr>
          <w:rFonts w:eastAsia="Calibri"/>
          <w:i w:val="0"/>
        </w:rPr>
        <w:t>) pour chaque indicateur clé du cadre logique. Ces valeurs serviront à mesurer le</w:t>
      </w:r>
      <w:r w:rsidR="00213274">
        <w:rPr>
          <w:rFonts w:eastAsia="Calibri"/>
          <w:i w:val="0"/>
        </w:rPr>
        <w:t xml:space="preserve">s progrès et l’impact du projet. </w:t>
      </w:r>
      <w:r w:rsidR="00167599">
        <w:rPr>
          <w:rFonts w:eastAsia="Calibri"/>
          <w:i w:val="0"/>
        </w:rPr>
        <w:br/>
        <w:t xml:space="preserve">La reformulation ou l’ajout d’indicateurs visant à mesurer l’impact du projet sur des éléments spécifiques comme l’amélioration de l’accès au financement des femmes entrepreneurs, d’entrepreneurs verts ou sociaux pourront être proposés. </w:t>
      </w:r>
    </w:p>
    <w:p w14:paraId="69199305" w14:textId="77777777" w:rsidR="00ED145F" w:rsidRPr="00ED145F" w:rsidRDefault="00ED145F" w:rsidP="00ED145F">
      <w:pPr>
        <w:autoSpaceDE w:val="0"/>
        <w:autoSpaceDN w:val="0"/>
        <w:adjustRightInd w:val="0"/>
        <w:spacing w:after="0"/>
        <w:ind w:left="720"/>
        <w:rPr>
          <w:rFonts w:eastAsia="Calibri"/>
          <w:i w:val="0"/>
        </w:rPr>
      </w:pPr>
    </w:p>
    <w:p w14:paraId="688581F9" w14:textId="77777777" w:rsidR="00ED145F" w:rsidRPr="00ED145F" w:rsidRDefault="00ED145F" w:rsidP="008F3AC4">
      <w:pPr>
        <w:pStyle w:val="Paragraphedeliste"/>
        <w:numPr>
          <w:ilvl w:val="0"/>
          <w:numId w:val="20"/>
        </w:numPr>
        <w:autoSpaceDE w:val="0"/>
        <w:autoSpaceDN w:val="0"/>
        <w:adjustRightInd w:val="0"/>
        <w:rPr>
          <w:rFonts w:eastAsia="Calibri"/>
          <w:b/>
          <w:bCs/>
          <w:i w:val="0"/>
        </w:rPr>
      </w:pPr>
      <w:r w:rsidRPr="00ED145F">
        <w:rPr>
          <w:rFonts w:eastAsia="Calibri"/>
          <w:b/>
          <w:bCs/>
          <w:i w:val="0"/>
        </w:rPr>
        <w:t>Recommandations pour la mise en œuvre du projet</w:t>
      </w:r>
    </w:p>
    <w:p w14:paraId="065342FF" w14:textId="35571320" w:rsidR="00ED145F" w:rsidRPr="00ED145F" w:rsidRDefault="00ED145F" w:rsidP="00ED145F">
      <w:pPr>
        <w:autoSpaceDE w:val="0"/>
        <w:autoSpaceDN w:val="0"/>
        <w:adjustRightInd w:val="0"/>
        <w:rPr>
          <w:rFonts w:eastAsia="Calibri"/>
          <w:i w:val="0"/>
        </w:rPr>
      </w:pPr>
      <w:r w:rsidRPr="00ED145F">
        <w:rPr>
          <w:rFonts w:eastAsia="Calibri"/>
          <w:i w:val="0"/>
        </w:rPr>
        <w:t xml:space="preserve">Sur la base de la cartographie et de l’analyse des besoins, l’étude devra formuler des </w:t>
      </w:r>
      <w:r w:rsidRPr="00ED145F">
        <w:rPr>
          <w:rFonts w:eastAsia="Calibri"/>
          <w:bCs/>
          <w:i w:val="0"/>
        </w:rPr>
        <w:t>recommandations</w:t>
      </w:r>
      <w:r w:rsidRPr="00ED145F">
        <w:rPr>
          <w:rFonts w:eastAsia="Calibri"/>
          <w:i w:val="0"/>
        </w:rPr>
        <w:t xml:space="preserve"> pour la mise en œuvre du projet. Cela inclut :</w:t>
      </w:r>
    </w:p>
    <w:p w14:paraId="433DDC18" w14:textId="77777777" w:rsidR="00ED145F" w:rsidRP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Des pistes d’ajustement des activités et de la stratégie du projet.</w:t>
      </w:r>
    </w:p>
    <w:p w14:paraId="37316C0C" w14:textId="77777777" w:rsidR="00ED145F" w:rsidRP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Des recommandations pour optimiser la collaboration entre acteurs et renforcer les partenariats.</w:t>
      </w:r>
    </w:p>
    <w:p w14:paraId="740A237F" w14:textId="4868EB97" w:rsid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Des suggestions pour intégrer des mécanismes d’évaluation continue (SERA)</w:t>
      </w:r>
      <w:r w:rsidR="00A314DA">
        <w:rPr>
          <w:rFonts w:eastAsia="Calibri"/>
          <w:i w:val="0"/>
        </w:rPr>
        <w:t xml:space="preserve"> et effectuer la mesure des indicateurs (questionnaire qualitatif, collecte de données à partir de bases existantes, enquête terrain, …)</w:t>
      </w:r>
    </w:p>
    <w:p w14:paraId="4CE5892B" w14:textId="77777777" w:rsidR="00ED145F" w:rsidRPr="00ED145F" w:rsidRDefault="00ED145F" w:rsidP="00ED145F">
      <w:pPr>
        <w:autoSpaceDE w:val="0"/>
        <w:autoSpaceDN w:val="0"/>
        <w:adjustRightInd w:val="0"/>
        <w:spacing w:after="0"/>
        <w:ind w:left="720"/>
        <w:rPr>
          <w:rFonts w:eastAsia="Calibri"/>
          <w:i w:val="0"/>
        </w:rPr>
      </w:pPr>
    </w:p>
    <w:p w14:paraId="23F4655B" w14:textId="643583B2" w:rsidR="00ED145F" w:rsidRPr="00ED145F" w:rsidRDefault="00ED145F" w:rsidP="008F3AC4">
      <w:pPr>
        <w:pStyle w:val="Paragraphedeliste"/>
        <w:numPr>
          <w:ilvl w:val="0"/>
          <w:numId w:val="20"/>
        </w:numPr>
        <w:autoSpaceDE w:val="0"/>
        <w:autoSpaceDN w:val="0"/>
        <w:adjustRightInd w:val="0"/>
        <w:rPr>
          <w:rFonts w:eastAsia="Calibri"/>
          <w:b/>
          <w:bCs/>
          <w:i w:val="0"/>
        </w:rPr>
      </w:pPr>
      <w:r w:rsidRPr="00ED145F">
        <w:rPr>
          <w:rFonts w:eastAsia="Calibri"/>
          <w:b/>
          <w:bCs/>
          <w:i w:val="0"/>
        </w:rPr>
        <w:t>Identification des bonnes pratiques</w:t>
      </w:r>
    </w:p>
    <w:p w14:paraId="1C0A3D41" w14:textId="7C22E2AF" w:rsidR="0063339C" w:rsidRDefault="00ED145F" w:rsidP="00ED145F">
      <w:pPr>
        <w:autoSpaceDE w:val="0"/>
        <w:autoSpaceDN w:val="0"/>
        <w:adjustRightInd w:val="0"/>
        <w:rPr>
          <w:rFonts w:eastAsia="Calibri"/>
          <w:i w:val="0"/>
        </w:rPr>
      </w:pPr>
      <w:r w:rsidRPr="00ED145F">
        <w:rPr>
          <w:rFonts w:eastAsia="Calibri"/>
          <w:i w:val="0"/>
        </w:rPr>
        <w:t xml:space="preserve">L’étude devra recenser les </w:t>
      </w:r>
      <w:r w:rsidRPr="00ED145F">
        <w:rPr>
          <w:rFonts w:eastAsia="Calibri"/>
          <w:bCs/>
          <w:i w:val="0"/>
        </w:rPr>
        <w:t>bonnes pratiques</w:t>
      </w:r>
      <w:r w:rsidRPr="00ED145F">
        <w:rPr>
          <w:rFonts w:eastAsia="Calibri"/>
          <w:i w:val="0"/>
        </w:rPr>
        <w:t xml:space="preserve"> issues de projets similaires (ex : </w:t>
      </w:r>
      <w:proofErr w:type="spellStart"/>
      <w:r w:rsidRPr="00ED145F">
        <w:rPr>
          <w:rFonts w:eastAsia="Calibri"/>
          <w:i w:val="0"/>
        </w:rPr>
        <w:t>Greenov’i</w:t>
      </w:r>
      <w:proofErr w:type="spellEnd"/>
      <w:r w:rsidRPr="00ED145F">
        <w:rPr>
          <w:rFonts w:eastAsia="Calibri"/>
          <w:i w:val="0"/>
        </w:rPr>
        <w:t xml:space="preserve">, </w:t>
      </w:r>
      <w:proofErr w:type="spellStart"/>
      <w:r w:rsidRPr="00ED145F">
        <w:rPr>
          <w:rFonts w:eastAsia="Calibri"/>
          <w:i w:val="0"/>
        </w:rPr>
        <w:t>Innov’i</w:t>
      </w:r>
      <w:proofErr w:type="spellEnd"/>
      <w:r w:rsidRPr="00ED145F">
        <w:rPr>
          <w:rFonts w:eastAsia="Calibri"/>
          <w:i w:val="0"/>
        </w:rPr>
        <w:t xml:space="preserve">, FAST, QAWAFEL, MEETAFRICA 2) et </w:t>
      </w:r>
      <w:r w:rsidRPr="00C11C73">
        <w:rPr>
          <w:rFonts w:eastAsia="Calibri"/>
          <w:i w:val="0"/>
        </w:rPr>
        <w:t xml:space="preserve">proposer des recommandations sur la manière dont ces leçons peuvent être appliquées au projet TPE/PME en Tunisie. </w:t>
      </w:r>
      <w:r w:rsidR="0063339C" w:rsidRPr="00C11C73">
        <w:rPr>
          <w:rFonts w:eastAsia="Calibri"/>
          <w:i w:val="0"/>
        </w:rPr>
        <w:t>Il devra également établir une liste d’indicateur agrégé permettant de mettre en lumière les actions d’Expertise France pour l’entreprenariat en Tun</w:t>
      </w:r>
      <w:r w:rsidR="00C04476" w:rsidRPr="00C11C73">
        <w:rPr>
          <w:rFonts w:eastAsia="Calibri"/>
          <w:i w:val="0"/>
        </w:rPr>
        <w:t>i</w:t>
      </w:r>
      <w:r w:rsidR="0063339C" w:rsidRPr="00C11C73">
        <w:rPr>
          <w:rFonts w:eastAsia="Calibri"/>
          <w:i w:val="0"/>
        </w:rPr>
        <w:t>sie.</w:t>
      </w:r>
      <w:r w:rsidR="0063339C">
        <w:rPr>
          <w:rFonts w:eastAsia="Calibri"/>
          <w:i w:val="0"/>
        </w:rPr>
        <w:t xml:space="preserve"> </w:t>
      </w:r>
    </w:p>
    <w:p w14:paraId="7F9AD278" w14:textId="44195CCF" w:rsidR="00ED145F" w:rsidRPr="00ED145F" w:rsidRDefault="00ED145F" w:rsidP="00ED145F">
      <w:pPr>
        <w:autoSpaceDE w:val="0"/>
        <w:autoSpaceDN w:val="0"/>
        <w:adjustRightInd w:val="0"/>
        <w:rPr>
          <w:rFonts w:eastAsia="Calibri"/>
          <w:i w:val="0"/>
        </w:rPr>
      </w:pPr>
      <w:r w:rsidRPr="00ED145F">
        <w:rPr>
          <w:rFonts w:eastAsia="Calibri"/>
          <w:i w:val="0"/>
        </w:rPr>
        <w:t>Cela inclut :</w:t>
      </w:r>
    </w:p>
    <w:p w14:paraId="718930F7" w14:textId="77777777" w:rsidR="00ED145F" w:rsidRP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Les stratégies ayant réussi à mobiliser efficacement les acteurs de l’écosystème.</w:t>
      </w:r>
    </w:p>
    <w:p w14:paraId="372858CF" w14:textId="77777777" w:rsidR="00ED145F" w:rsidRP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Les approches innovantes en matière de financement, d’accompagnement et de partenariats.</w:t>
      </w:r>
    </w:p>
    <w:p w14:paraId="21E3D864" w14:textId="3B619807" w:rsidR="00ED145F" w:rsidRDefault="00ED145F" w:rsidP="008F3AC4">
      <w:pPr>
        <w:numPr>
          <w:ilvl w:val="0"/>
          <w:numId w:val="19"/>
        </w:numPr>
        <w:autoSpaceDE w:val="0"/>
        <w:autoSpaceDN w:val="0"/>
        <w:adjustRightInd w:val="0"/>
        <w:spacing w:after="0"/>
        <w:rPr>
          <w:rFonts w:eastAsia="Calibri"/>
          <w:i w:val="0"/>
        </w:rPr>
      </w:pPr>
      <w:r w:rsidRPr="00ED145F">
        <w:rPr>
          <w:rFonts w:eastAsia="Calibri"/>
          <w:i w:val="0"/>
        </w:rPr>
        <w:t>Les pratiques durables favorisant la croissance des TPE/PME.</w:t>
      </w:r>
    </w:p>
    <w:p w14:paraId="2A120AFA" w14:textId="77777777" w:rsidR="00DD3EF6" w:rsidRPr="00ED145F" w:rsidRDefault="00DD3EF6" w:rsidP="00DD3EF6">
      <w:pPr>
        <w:autoSpaceDE w:val="0"/>
        <w:autoSpaceDN w:val="0"/>
        <w:adjustRightInd w:val="0"/>
        <w:spacing w:after="0"/>
        <w:ind w:left="720"/>
        <w:rPr>
          <w:rFonts w:eastAsia="Calibri"/>
          <w:i w:val="0"/>
        </w:rPr>
      </w:pPr>
    </w:p>
    <w:p w14:paraId="47773240" w14:textId="09F1F4A1" w:rsidR="00B535FE" w:rsidRPr="00413FEC" w:rsidRDefault="00B535FE" w:rsidP="00B3192C">
      <w:pPr>
        <w:autoSpaceDE w:val="0"/>
        <w:autoSpaceDN w:val="0"/>
        <w:adjustRightInd w:val="0"/>
        <w:rPr>
          <w:rFonts w:asciiTheme="minorHAnsi" w:eastAsia="Times New Roman" w:hAnsiTheme="minorHAnsi" w:cstheme="minorHAnsi"/>
          <w:i w:val="0"/>
          <w:szCs w:val="24"/>
        </w:rPr>
      </w:pPr>
      <w:r>
        <w:rPr>
          <w:rFonts w:eastAsia="Calibri"/>
          <w:i w:val="0"/>
        </w:rPr>
        <w:t xml:space="preserve">Le prestataire devra fournir les éléments de preuves expliquant les analyses, les liens de cause à effet et tenter d’identifier les facteurs générant ou entravant le progrès. Son travail doit encourager la responsabilisation, la prise de décisions, et l’apprentissage. </w:t>
      </w:r>
    </w:p>
    <w:p w14:paraId="3A66E8B1" w14:textId="35E145BE" w:rsidR="001737A8" w:rsidRPr="00413FEC" w:rsidRDefault="001737A8" w:rsidP="00EB2073">
      <w:pPr>
        <w:pStyle w:val="Titre2"/>
        <w:ind w:left="576"/>
        <w:rPr>
          <w:rFonts w:hint="eastAsia"/>
          <w:i w:val="0"/>
        </w:rPr>
      </w:pPr>
      <w:bookmarkStart w:id="11" w:name="_Toc70668753"/>
      <w:r w:rsidRPr="00413FEC">
        <w:rPr>
          <w:i w:val="0"/>
        </w:rPr>
        <w:lastRenderedPageBreak/>
        <w:t>Périmètre de l’évaluation</w:t>
      </w:r>
      <w:bookmarkEnd w:id="11"/>
    </w:p>
    <w:p w14:paraId="198D7107" w14:textId="4D029800" w:rsidR="00404706" w:rsidRPr="00413FEC" w:rsidRDefault="00404706" w:rsidP="006B4302">
      <w:pPr>
        <w:tabs>
          <w:tab w:val="clear" w:pos="9923"/>
        </w:tabs>
        <w:autoSpaceDE w:val="0"/>
        <w:autoSpaceDN w:val="0"/>
        <w:adjustRightInd w:val="0"/>
        <w:spacing w:after="0"/>
        <w:ind w:left="426"/>
        <w:jc w:val="left"/>
        <w:rPr>
          <w:rFonts w:ascii="Calibri" w:hAnsi="Calibri" w:cs="Calibri"/>
          <w:i w:val="0"/>
          <w:iCs w:val="0"/>
        </w:rPr>
      </w:pPr>
      <w:r w:rsidRPr="00413FEC">
        <w:rPr>
          <w:rFonts w:ascii="Calibri" w:hAnsi="Calibri" w:cs="Calibri"/>
          <w:i w:val="0"/>
          <w:iCs w:val="0"/>
        </w:rPr>
        <w:t>L</w:t>
      </w:r>
      <w:r w:rsidR="00DD3EF6">
        <w:rPr>
          <w:rFonts w:ascii="Calibri" w:hAnsi="Calibri" w:cs="Calibri"/>
          <w:i w:val="0"/>
          <w:iCs w:val="0"/>
        </w:rPr>
        <w:t xml:space="preserve">a </w:t>
      </w:r>
      <w:proofErr w:type="spellStart"/>
      <w:r w:rsidR="00DD3EF6">
        <w:rPr>
          <w:rFonts w:ascii="Calibri" w:hAnsi="Calibri" w:cs="Calibri"/>
          <w:i w:val="0"/>
          <w:iCs w:val="0"/>
        </w:rPr>
        <w:t>baseline</w:t>
      </w:r>
      <w:proofErr w:type="spellEnd"/>
      <w:r w:rsidR="00DD3EF6">
        <w:rPr>
          <w:rFonts w:ascii="Calibri" w:hAnsi="Calibri" w:cs="Calibri"/>
          <w:i w:val="0"/>
          <w:iCs w:val="0"/>
        </w:rPr>
        <w:t xml:space="preserve"> </w:t>
      </w:r>
      <w:r w:rsidRPr="00413FEC">
        <w:rPr>
          <w:rFonts w:ascii="Calibri" w:hAnsi="Calibri" w:cs="Calibri"/>
          <w:i w:val="0"/>
          <w:iCs w:val="0"/>
        </w:rPr>
        <w:t xml:space="preserve">portera sur les éléments suivants : </w:t>
      </w:r>
    </w:p>
    <w:p w14:paraId="04255FCB" w14:textId="1032EC81" w:rsidR="006B4302" w:rsidRDefault="00404706" w:rsidP="008F3AC4">
      <w:pPr>
        <w:pStyle w:val="Paragraphedeliste"/>
        <w:numPr>
          <w:ilvl w:val="0"/>
          <w:numId w:val="17"/>
        </w:numPr>
        <w:tabs>
          <w:tab w:val="clear" w:pos="9923"/>
        </w:tabs>
        <w:autoSpaceDE w:val="0"/>
        <w:autoSpaceDN w:val="0"/>
        <w:adjustRightInd w:val="0"/>
        <w:spacing w:after="49"/>
        <w:jc w:val="left"/>
        <w:rPr>
          <w:rFonts w:ascii="Calibri" w:hAnsi="Calibri" w:cs="Calibri"/>
          <w:i w:val="0"/>
          <w:iCs w:val="0"/>
        </w:rPr>
      </w:pPr>
      <w:r w:rsidRPr="006B4302">
        <w:rPr>
          <w:rFonts w:ascii="Calibri" w:hAnsi="Calibri" w:cs="Calibri"/>
          <w:b/>
          <w:bCs/>
          <w:i w:val="0"/>
          <w:iCs w:val="0"/>
        </w:rPr>
        <w:t xml:space="preserve">Période </w:t>
      </w:r>
      <w:r w:rsidRPr="006B4302">
        <w:rPr>
          <w:rFonts w:ascii="Calibri" w:hAnsi="Calibri" w:cs="Calibri"/>
          <w:i w:val="0"/>
          <w:iCs w:val="0"/>
        </w:rPr>
        <w:t xml:space="preserve">: </w:t>
      </w:r>
      <w:r w:rsidR="00DD3EF6">
        <w:rPr>
          <w:rFonts w:ascii="Calibri" w:hAnsi="Calibri" w:cs="Calibri"/>
          <w:i w:val="0"/>
          <w:iCs w:val="0"/>
        </w:rPr>
        <w:t>Octobre 2024 – Janvier 2025</w:t>
      </w:r>
      <w:r w:rsidRPr="006B4302">
        <w:rPr>
          <w:rFonts w:ascii="Calibri" w:hAnsi="Calibri" w:cs="Calibri"/>
          <w:i w:val="0"/>
          <w:iCs w:val="0"/>
        </w:rPr>
        <w:t xml:space="preserve"> ; </w:t>
      </w:r>
    </w:p>
    <w:p w14:paraId="212C6D3F" w14:textId="0A0B497E" w:rsidR="006B4302" w:rsidRDefault="00404706" w:rsidP="008F3AC4">
      <w:pPr>
        <w:pStyle w:val="Paragraphedeliste"/>
        <w:numPr>
          <w:ilvl w:val="0"/>
          <w:numId w:val="17"/>
        </w:numPr>
        <w:tabs>
          <w:tab w:val="clear" w:pos="9923"/>
        </w:tabs>
        <w:autoSpaceDE w:val="0"/>
        <w:autoSpaceDN w:val="0"/>
        <w:adjustRightInd w:val="0"/>
        <w:spacing w:after="49"/>
        <w:jc w:val="left"/>
        <w:rPr>
          <w:rFonts w:ascii="Calibri" w:hAnsi="Calibri" w:cs="Calibri"/>
          <w:i w:val="0"/>
          <w:iCs w:val="0"/>
        </w:rPr>
      </w:pPr>
      <w:r w:rsidRPr="006B4302">
        <w:rPr>
          <w:rFonts w:ascii="Calibri" w:hAnsi="Calibri" w:cs="Calibri"/>
          <w:b/>
          <w:bCs/>
          <w:i w:val="0"/>
          <w:iCs w:val="0"/>
        </w:rPr>
        <w:t xml:space="preserve">Composantes </w:t>
      </w:r>
      <w:r w:rsidRPr="006B4302">
        <w:rPr>
          <w:rFonts w:ascii="Calibri" w:hAnsi="Calibri" w:cs="Calibri"/>
          <w:i w:val="0"/>
          <w:iCs w:val="0"/>
        </w:rPr>
        <w:t xml:space="preserve">: </w:t>
      </w:r>
      <w:r w:rsidR="00DD3EF6">
        <w:rPr>
          <w:rFonts w:ascii="Calibri" w:hAnsi="Calibri" w:cs="Calibri"/>
          <w:i w:val="0"/>
          <w:iCs w:val="0"/>
        </w:rPr>
        <w:t>T</w:t>
      </w:r>
      <w:r w:rsidR="00C71682" w:rsidRPr="006B4302">
        <w:rPr>
          <w:rFonts w:ascii="Calibri" w:hAnsi="Calibri" w:cs="Calibri"/>
          <w:i w:val="0"/>
          <w:iCs w:val="0"/>
        </w:rPr>
        <w:t>outes les composantes ;</w:t>
      </w:r>
      <w:r w:rsidRPr="006B4302">
        <w:rPr>
          <w:rFonts w:ascii="Calibri" w:hAnsi="Calibri" w:cs="Calibri"/>
          <w:i w:val="0"/>
          <w:iCs w:val="0"/>
        </w:rPr>
        <w:t xml:space="preserve"> </w:t>
      </w:r>
    </w:p>
    <w:p w14:paraId="266FE346" w14:textId="77777777" w:rsidR="006B4302" w:rsidRDefault="00404706" w:rsidP="008F3AC4">
      <w:pPr>
        <w:pStyle w:val="Paragraphedeliste"/>
        <w:numPr>
          <w:ilvl w:val="0"/>
          <w:numId w:val="17"/>
        </w:numPr>
        <w:tabs>
          <w:tab w:val="clear" w:pos="9923"/>
        </w:tabs>
        <w:autoSpaceDE w:val="0"/>
        <w:autoSpaceDN w:val="0"/>
        <w:adjustRightInd w:val="0"/>
        <w:spacing w:after="49"/>
        <w:jc w:val="left"/>
        <w:rPr>
          <w:rFonts w:ascii="Calibri" w:hAnsi="Calibri" w:cs="Calibri"/>
          <w:i w:val="0"/>
          <w:iCs w:val="0"/>
        </w:rPr>
      </w:pPr>
      <w:r w:rsidRPr="006B4302">
        <w:rPr>
          <w:rFonts w:ascii="Calibri" w:hAnsi="Calibri" w:cs="Calibri"/>
          <w:b/>
          <w:bCs/>
          <w:i w:val="0"/>
          <w:iCs w:val="0"/>
        </w:rPr>
        <w:t xml:space="preserve">Pays </w:t>
      </w:r>
      <w:r w:rsidRPr="006B4302">
        <w:rPr>
          <w:rFonts w:ascii="Calibri" w:hAnsi="Calibri" w:cs="Calibri"/>
          <w:i w:val="0"/>
          <w:iCs w:val="0"/>
        </w:rPr>
        <w:t xml:space="preserve">: </w:t>
      </w:r>
      <w:r w:rsidR="00C71682" w:rsidRPr="006B4302">
        <w:rPr>
          <w:rFonts w:ascii="Calibri" w:hAnsi="Calibri" w:cs="Calibri"/>
          <w:i w:val="0"/>
          <w:iCs w:val="0"/>
        </w:rPr>
        <w:t>Tunisie</w:t>
      </w:r>
      <w:r w:rsidRPr="006B4302">
        <w:rPr>
          <w:rFonts w:ascii="Calibri" w:hAnsi="Calibri" w:cs="Calibri"/>
          <w:i w:val="0"/>
          <w:iCs w:val="0"/>
        </w:rPr>
        <w:t> ;</w:t>
      </w:r>
    </w:p>
    <w:p w14:paraId="72879799" w14:textId="4E6FE426" w:rsidR="002C6EF4" w:rsidRPr="008D1C8D" w:rsidRDefault="00404706" w:rsidP="008F3AC4">
      <w:pPr>
        <w:pStyle w:val="Paragraphedeliste"/>
        <w:numPr>
          <w:ilvl w:val="0"/>
          <w:numId w:val="17"/>
        </w:numPr>
        <w:tabs>
          <w:tab w:val="clear" w:pos="9923"/>
        </w:tabs>
        <w:autoSpaceDE w:val="0"/>
        <w:autoSpaceDN w:val="0"/>
        <w:adjustRightInd w:val="0"/>
        <w:spacing w:after="49"/>
        <w:jc w:val="left"/>
        <w:rPr>
          <w:rFonts w:ascii="Calibri" w:hAnsi="Calibri" w:cs="Calibri"/>
          <w:i w:val="0"/>
          <w:iCs w:val="0"/>
        </w:rPr>
      </w:pPr>
      <w:r w:rsidRPr="006B4302">
        <w:rPr>
          <w:rFonts w:ascii="Calibri" w:hAnsi="Calibri" w:cs="Calibri"/>
          <w:b/>
          <w:bCs/>
          <w:i w:val="0"/>
          <w:iCs w:val="0"/>
        </w:rPr>
        <w:t xml:space="preserve">Bénéficiaires </w:t>
      </w:r>
      <w:r w:rsidRPr="006B4302">
        <w:rPr>
          <w:rFonts w:ascii="Calibri" w:hAnsi="Calibri" w:cs="Calibri"/>
          <w:i w:val="0"/>
          <w:iCs w:val="0"/>
        </w:rPr>
        <w:t xml:space="preserve">: </w:t>
      </w:r>
      <w:r w:rsidR="00C04476">
        <w:rPr>
          <w:rFonts w:ascii="Calibri" w:hAnsi="Calibri" w:cs="Calibri"/>
          <w:b/>
          <w:i w:val="0"/>
          <w:iCs w:val="0"/>
        </w:rPr>
        <w:t>T/PME tunisiennes</w:t>
      </w:r>
      <w:r w:rsidR="00C04476" w:rsidRPr="00DD3EF6">
        <w:rPr>
          <w:rFonts w:ascii="Calibri" w:hAnsi="Calibri" w:cs="Calibri"/>
          <w:b/>
          <w:i w:val="0"/>
          <w:iCs w:val="0"/>
        </w:rPr>
        <w:t xml:space="preserve">  </w:t>
      </w:r>
    </w:p>
    <w:p w14:paraId="262E711F" w14:textId="77777777" w:rsidR="008D1C8D" w:rsidRPr="008D1C8D" w:rsidRDefault="008D1C8D" w:rsidP="008D1C8D">
      <w:pPr>
        <w:pStyle w:val="Paragraphedeliste"/>
        <w:numPr>
          <w:ilvl w:val="0"/>
          <w:numId w:val="0"/>
        </w:numPr>
        <w:tabs>
          <w:tab w:val="clear" w:pos="9923"/>
        </w:tabs>
        <w:autoSpaceDE w:val="0"/>
        <w:autoSpaceDN w:val="0"/>
        <w:adjustRightInd w:val="0"/>
        <w:spacing w:after="49"/>
        <w:ind w:left="1146"/>
        <w:jc w:val="left"/>
        <w:rPr>
          <w:rFonts w:ascii="Calibri" w:hAnsi="Calibri" w:cs="Calibri"/>
          <w:i w:val="0"/>
          <w:iCs w:val="0"/>
        </w:rPr>
      </w:pPr>
    </w:p>
    <w:p w14:paraId="2282B6F4" w14:textId="05A8BC81" w:rsidR="008D1C8D" w:rsidRPr="008D1C8D" w:rsidRDefault="001737A8" w:rsidP="008D1C8D">
      <w:pPr>
        <w:pStyle w:val="Titre1"/>
        <w:spacing w:after="0"/>
        <w:rPr>
          <w:rFonts w:hint="eastAsia"/>
          <w:i w:val="0"/>
        </w:rPr>
      </w:pPr>
      <w:bookmarkStart w:id="12" w:name="_Toc70668755"/>
      <w:r w:rsidRPr="00F35DA8">
        <w:rPr>
          <w:i w:val="0"/>
        </w:rPr>
        <w:t>Description de la mission</w:t>
      </w:r>
      <w:bookmarkEnd w:id="12"/>
    </w:p>
    <w:p w14:paraId="3162EAA1" w14:textId="4A0019D8" w:rsidR="008D1C8D" w:rsidRPr="008D1C8D" w:rsidRDefault="008D1C8D" w:rsidP="008D1C8D">
      <w:pPr>
        <w:pStyle w:val="Titre2"/>
        <w:ind w:left="576"/>
        <w:rPr>
          <w:rFonts w:hint="eastAsia"/>
          <w:i w:val="0"/>
        </w:rPr>
      </w:pPr>
      <w:r>
        <w:rPr>
          <w:i w:val="0"/>
        </w:rPr>
        <w:t>Suggestion de méthodologie</w:t>
      </w:r>
    </w:p>
    <w:p w14:paraId="35E9169E" w14:textId="5EC9D76E" w:rsidR="00DD3EF6" w:rsidRPr="00DD3EF6" w:rsidRDefault="00DD3EF6" w:rsidP="008F3AC4">
      <w:pPr>
        <w:pStyle w:val="Paragraphedeliste"/>
        <w:numPr>
          <w:ilvl w:val="0"/>
          <w:numId w:val="21"/>
        </w:numPr>
        <w:autoSpaceDE w:val="0"/>
        <w:autoSpaceDN w:val="0"/>
        <w:adjustRightInd w:val="0"/>
        <w:rPr>
          <w:rFonts w:eastAsia="Calibri"/>
          <w:b/>
          <w:bCs/>
          <w:i w:val="0"/>
        </w:rPr>
      </w:pPr>
      <w:r w:rsidRPr="00DD3EF6">
        <w:rPr>
          <w:rFonts w:eastAsia="Calibri"/>
          <w:b/>
          <w:bCs/>
          <w:i w:val="0"/>
        </w:rPr>
        <w:t>Cartographie des acteurs</w:t>
      </w:r>
    </w:p>
    <w:p w14:paraId="4A1586F6" w14:textId="77777777"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 xml:space="preserve">Identification des acteurs : Utilisation d'outils de cartographie tels que Kumu.io ou </w:t>
      </w:r>
      <w:proofErr w:type="spellStart"/>
      <w:r w:rsidRPr="00DD3EF6">
        <w:rPr>
          <w:rFonts w:eastAsia="Calibri"/>
          <w:i w:val="0"/>
        </w:rPr>
        <w:t>Gephi</w:t>
      </w:r>
      <w:proofErr w:type="spellEnd"/>
      <w:r w:rsidRPr="00DD3EF6">
        <w:rPr>
          <w:rFonts w:eastAsia="Calibri"/>
          <w:i w:val="0"/>
        </w:rPr>
        <w:t xml:space="preserve"> pour visualiser les relations entre les acteurs de l’écosystème.</w:t>
      </w:r>
    </w:p>
    <w:p w14:paraId="36E763DC" w14:textId="77777777"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Analyse des pouvoirs et influences : Application d'une matrice d’influence/pouvoir pour déterminer le degré d’influence des acteurs sur l’écosystème.</w:t>
      </w:r>
    </w:p>
    <w:p w14:paraId="65EEB640" w14:textId="35906F14" w:rsid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 xml:space="preserve">Entretiens semi-directifs : Conduire des entretiens avec des représentants des institutions publiques, des </w:t>
      </w:r>
      <w:r w:rsidR="00C04476">
        <w:rPr>
          <w:rFonts w:eastAsia="Calibri"/>
          <w:i w:val="0"/>
        </w:rPr>
        <w:t>structures d’</w:t>
      </w:r>
      <w:proofErr w:type="spellStart"/>
      <w:r w:rsidR="00C04476">
        <w:rPr>
          <w:rFonts w:eastAsia="Calibri"/>
          <w:i w:val="0"/>
        </w:rPr>
        <w:t>accompagenement</w:t>
      </w:r>
      <w:proofErr w:type="spellEnd"/>
      <w:r w:rsidR="00C04476">
        <w:rPr>
          <w:rFonts w:eastAsia="Calibri"/>
          <w:i w:val="0"/>
        </w:rPr>
        <w:t xml:space="preserve"> à l’entreprenariat (SAE)</w:t>
      </w:r>
      <w:r w:rsidRPr="00DD3EF6">
        <w:rPr>
          <w:rFonts w:eastAsia="Calibri"/>
          <w:i w:val="0"/>
        </w:rPr>
        <w:t>, des TPE/PME, et des partenaires financiers pour comprendre leurs objectifs et attentes.</w:t>
      </w:r>
    </w:p>
    <w:p w14:paraId="4A18BBD8" w14:textId="77777777" w:rsidR="00DD3EF6" w:rsidRPr="00DD3EF6" w:rsidRDefault="00DD3EF6" w:rsidP="00DD3EF6">
      <w:pPr>
        <w:autoSpaceDE w:val="0"/>
        <w:autoSpaceDN w:val="0"/>
        <w:adjustRightInd w:val="0"/>
        <w:spacing w:after="0"/>
        <w:ind w:left="720"/>
        <w:rPr>
          <w:rFonts w:eastAsia="Calibri"/>
          <w:i w:val="0"/>
        </w:rPr>
      </w:pPr>
    </w:p>
    <w:p w14:paraId="11D2B275" w14:textId="2C155500" w:rsidR="00DD3EF6" w:rsidRPr="00DD3EF6" w:rsidRDefault="00DD3EF6" w:rsidP="008F3AC4">
      <w:pPr>
        <w:pStyle w:val="Paragraphedeliste"/>
        <w:numPr>
          <w:ilvl w:val="0"/>
          <w:numId w:val="21"/>
        </w:numPr>
        <w:autoSpaceDE w:val="0"/>
        <w:autoSpaceDN w:val="0"/>
        <w:adjustRightInd w:val="0"/>
        <w:rPr>
          <w:rFonts w:eastAsia="Calibri"/>
          <w:b/>
          <w:bCs/>
          <w:i w:val="0"/>
        </w:rPr>
      </w:pPr>
      <w:r w:rsidRPr="00DD3EF6">
        <w:rPr>
          <w:rFonts w:eastAsia="Calibri"/>
          <w:b/>
          <w:bCs/>
          <w:i w:val="0"/>
        </w:rPr>
        <w:t>Vérification de la théorie du changement</w:t>
      </w:r>
    </w:p>
    <w:p w14:paraId="5B14F9FC" w14:textId="010233FA"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Révision documentaire : Étude des documents de projet, y compris les rapports de conception, la théorie du changement actuelle</w:t>
      </w:r>
      <w:r w:rsidR="00C04476">
        <w:rPr>
          <w:rFonts w:eastAsia="Calibri"/>
          <w:i w:val="0"/>
        </w:rPr>
        <w:t xml:space="preserve">, le cadre logique </w:t>
      </w:r>
      <w:r w:rsidRPr="00DD3EF6">
        <w:rPr>
          <w:rFonts w:eastAsia="Calibri"/>
          <w:i w:val="0"/>
        </w:rPr>
        <w:t>et les plans stratégiques.</w:t>
      </w:r>
    </w:p>
    <w:p w14:paraId="4EC71D53" w14:textId="4C90ABE7"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 xml:space="preserve">Ateliers participatifs : Organisation de focus groups avec les partenaires clés (TPE/PME, ministères, </w:t>
      </w:r>
      <w:r w:rsidR="00C04476">
        <w:rPr>
          <w:rFonts w:eastAsia="Calibri"/>
          <w:i w:val="0"/>
        </w:rPr>
        <w:t xml:space="preserve">SAE, institutions financières, </w:t>
      </w:r>
      <w:proofErr w:type="spellStart"/>
      <w:r w:rsidR="00C04476">
        <w:rPr>
          <w:rFonts w:eastAsia="Calibri"/>
          <w:i w:val="0"/>
        </w:rPr>
        <w:t>etc</w:t>
      </w:r>
      <w:proofErr w:type="spellEnd"/>
      <w:r w:rsidRPr="00DD3EF6">
        <w:rPr>
          <w:rFonts w:eastAsia="Calibri"/>
          <w:i w:val="0"/>
        </w:rPr>
        <w:t>) pour évaluer la pertinence de la théorie du changement en fonction des besoins locaux.</w:t>
      </w:r>
    </w:p>
    <w:p w14:paraId="47BCDEC1" w14:textId="11F8E3D7" w:rsidR="00DD3EF6" w:rsidRDefault="00DD3EF6" w:rsidP="008F3AC4">
      <w:pPr>
        <w:numPr>
          <w:ilvl w:val="0"/>
          <w:numId w:val="19"/>
        </w:numPr>
        <w:autoSpaceDE w:val="0"/>
        <w:autoSpaceDN w:val="0"/>
        <w:adjustRightInd w:val="0"/>
        <w:spacing w:after="0"/>
        <w:rPr>
          <w:rFonts w:eastAsia="Calibri"/>
          <w:i w:val="0"/>
        </w:rPr>
      </w:pPr>
      <w:proofErr w:type="spellStart"/>
      <w:r w:rsidRPr="00DD3EF6">
        <w:rPr>
          <w:rFonts w:eastAsia="Calibri"/>
          <w:i w:val="0"/>
        </w:rPr>
        <w:t>Benchmarking</w:t>
      </w:r>
      <w:proofErr w:type="spellEnd"/>
      <w:r w:rsidRPr="00DD3EF6">
        <w:rPr>
          <w:rFonts w:eastAsia="Calibri"/>
          <w:i w:val="0"/>
        </w:rPr>
        <w:t xml:space="preserve"> : Comparaison avec les théories du changement de projets similaires dans la région.</w:t>
      </w:r>
    </w:p>
    <w:p w14:paraId="14497398" w14:textId="77777777" w:rsidR="00DD3EF6" w:rsidRPr="00DD3EF6" w:rsidRDefault="00DD3EF6" w:rsidP="00DD3EF6">
      <w:pPr>
        <w:autoSpaceDE w:val="0"/>
        <w:autoSpaceDN w:val="0"/>
        <w:adjustRightInd w:val="0"/>
        <w:spacing w:after="0"/>
        <w:ind w:left="720"/>
        <w:rPr>
          <w:rFonts w:eastAsia="Calibri"/>
          <w:i w:val="0"/>
        </w:rPr>
      </w:pPr>
    </w:p>
    <w:p w14:paraId="33BA77A4" w14:textId="6066D433" w:rsidR="00DD3EF6" w:rsidRPr="00DD3EF6" w:rsidRDefault="00DD3EF6" w:rsidP="008F3AC4">
      <w:pPr>
        <w:pStyle w:val="Paragraphedeliste"/>
        <w:numPr>
          <w:ilvl w:val="0"/>
          <w:numId w:val="21"/>
        </w:numPr>
        <w:autoSpaceDE w:val="0"/>
        <w:autoSpaceDN w:val="0"/>
        <w:adjustRightInd w:val="0"/>
        <w:rPr>
          <w:rFonts w:eastAsia="Calibri"/>
          <w:b/>
          <w:bCs/>
          <w:i w:val="0"/>
        </w:rPr>
      </w:pPr>
      <w:r w:rsidRPr="00DD3EF6">
        <w:rPr>
          <w:rFonts w:eastAsia="Calibri"/>
          <w:b/>
          <w:bCs/>
          <w:i w:val="0"/>
        </w:rPr>
        <w:t>Recommandations pour la mise en œuvre</w:t>
      </w:r>
    </w:p>
    <w:p w14:paraId="138CAD24" w14:textId="77777777"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Analyse des gaps : Identification des écarts entre la théorie du changement et les besoins réels à travers l’analyse contextuelle.</w:t>
      </w:r>
    </w:p>
    <w:p w14:paraId="16DAFA66" w14:textId="2AE8882B" w:rsid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Propositions de réajustements : Formulation de recommandations pour renforcer les partenariats, améliorer l’accès au financement, et favoriser une mise en œuvre agile.</w:t>
      </w:r>
    </w:p>
    <w:p w14:paraId="146B91B0" w14:textId="49260166" w:rsidR="00C04476" w:rsidRDefault="00C04476" w:rsidP="00C04476">
      <w:pPr>
        <w:numPr>
          <w:ilvl w:val="0"/>
          <w:numId w:val="19"/>
        </w:numPr>
        <w:autoSpaceDE w:val="0"/>
        <w:autoSpaceDN w:val="0"/>
        <w:adjustRightInd w:val="0"/>
        <w:spacing w:after="0"/>
        <w:rPr>
          <w:rFonts w:eastAsia="Calibri"/>
          <w:i w:val="0"/>
        </w:rPr>
      </w:pPr>
      <w:r>
        <w:rPr>
          <w:rFonts w:eastAsia="Calibri"/>
          <w:i w:val="0"/>
        </w:rPr>
        <w:t xml:space="preserve">Recommandations concernant la mise à jour des indicateurs </w:t>
      </w:r>
      <w:r w:rsidRPr="00DD3EF6">
        <w:rPr>
          <w:rFonts w:eastAsia="Calibri"/>
          <w:i w:val="0"/>
        </w:rPr>
        <w:t xml:space="preserve">: </w:t>
      </w:r>
      <w:r>
        <w:rPr>
          <w:rFonts w:eastAsia="Calibri"/>
          <w:i w:val="0"/>
        </w:rPr>
        <w:t xml:space="preserve">méthodologie à utiliser, acteurs clés à inclure, outils digitaux à </w:t>
      </w:r>
      <w:proofErr w:type="gramStart"/>
      <w:r>
        <w:rPr>
          <w:rFonts w:eastAsia="Calibri"/>
          <w:i w:val="0"/>
        </w:rPr>
        <w:t>utiliser,  …</w:t>
      </w:r>
      <w:proofErr w:type="gramEnd"/>
      <w:r>
        <w:rPr>
          <w:rFonts w:eastAsia="Calibri"/>
          <w:i w:val="0"/>
        </w:rPr>
        <w:t xml:space="preserve"> </w:t>
      </w:r>
    </w:p>
    <w:p w14:paraId="35BCA4C6" w14:textId="77777777" w:rsidR="00C04476" w:rsidRDefault="00C04476" w:rsidP="00C11C73">
      <w:pPr>
        <w:autoSpaceDE w:val="0"/>
        <w:autoSpaceDN w:val="0"/>
        <w:adjustRightInd w:val="0"/>
        <w:spacing w:after="0"/>
        <w:ind w:left="720"/>
        <w:rPr>
          <w:rFonts w:eastAsia="Calibri"/>
          <w:i w:val="0"/>
        </w:rPr>
      </w:pPr>
    </w:p>
    <w:p w14:paraId="5FD9EAC7" w14:textId="77777777" w:rsidR="00DD3EF6" w:rsidRPr="00DD3EF6" w:rsidRDefault="00DD3EF6" w:rsidP="00DD3EF6">
      <w:pPr>
        <w:autoSpaceDE w:val="0"/>
        <w:autoSpaceDN w:val="0"/>
        <w:adjustRightInd w:val="0"/>
        <w:spacing w:after="0"/>
        <w:ind w:left="720"/>
        <w:rPr>
          <w:rFonts w:eastAsia="Calibri"/>
          <w:i w:val="0"/>
        </w:rPr>
      </w:pPr>
    </w:p>
    <w:p w14:paraId="69C4D6FF" w14:textId="7AF9EC6F" w:rsidR="00DD3EF6" w:rsidRPr="00DD3EF6" w:rsidRDefault="00DD3EF6" w:rsidP="008F3AC4">
      <w:pPr>
        <w:pStyle w:val="Paragraphedeliste"/>
        <w:numPr>
          <w:ilvl w:val="0"/>
          <w:numId w:val="21"/>
        </w:numPr>
        <w:autoSpaceDE w:val="0"/>
        <w:autoSpaceDN w:val="0"/>
        <w:adjustRightInd w:val="0"/>
        <w:rPr>
          <w:rFonts w:eastAsia="Calibri"/>
          <w:b/>
          <w:bCs/>
          <w:i w:val="0"/>
        </w:rPr>
      </w:pPr>
      <w:r w:rsidRPr="00DD3EF6">
        <w:rPr>
          <w:rFonts w:eastAsia="Calibri"/>
          <w:b/>
          <w:bCs/>
          <w:i w:val="0"/>
        </w:rPr>
        <w:t>Identification des bonnes pratiques</w:t>
      </w:r>
    </w:p>
    <w:p w14:paraId="3F78DA77" w14:textId="461F916B"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Revue des projets existants : Analyse des projets (</w:t>
      </w:r>
      <w:proofErr w:type="spellStart"/>
      <w:r w:rsidRPr="00DD3EF6">
        <w:rPr>
          <w:rFonts w:eastAsia="Calibri"/>
          <w:i w:val="0"/>
        </w:rPr>
        <w:t>Greenov’i</w:t>
      </w:r>
      <w:proofErr w:type="spellEnd"/>
      <w:r w:rsidRPr="00DD3EF6">
        <w:rPr>
          <w:rFonts w:eastAsia="Calibri"/>
          <w:i w:val="0"/>
        </w:rPr>
        <w:t xml:space="preserve">, </w:t>
      </w:r>
      <w:proofErr w:type="spellStart"/>
      <w:r w:rsidRPr="00DD3EF6">
        <w:rPr>
          <w:rFonts w:eastAsia="Calibri"/>
          <w:i w:val="0"/>
        </w:rPr>
        <w:t>Innov’i</w:t>
      </w:r>
      <w:proofErr w:type="spellEnd"/>
      <w:r w:rsidRPr="00DD3EF6">
        <w:rPr>
          <w:rFonts w:eastAsia="Calibri"/>
          <w:i w:val="0"/>
        </w:rPr>
        <w:t>, FAST,</w:t>
      </w:r>
      <w:r w:rsidR="00C04476">
        <w:rPr>
          <w:rFonts w:eastAsia="Calibri"/>
          <w:i w:val="0"/>
        </w:rPr>
        <w:t xml:space="preserve"> SUNREF,</w:t>
      </w:r>
      <w:r w:rsidRPr="00DD3EF6">
        <w:rPr>
          <w:rFonts w:eastAsia="Calibri"/>
          <w:i w:val="0"/>
        </w:rPr>
        <w:t xml:space="preserve"> etc.) pour identifier les pratiques qui peuvent être adaptées au contexte tunisien.</w:t>
      </w:r>
    </w:p>
    <w:p w14:paraId="1A61DB4D" w14:textId="77777777" w:rsidR="00DD3EF6" w:rsidRP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Études de cas : Documenter des études de cas des initiatives réussies en matière de soutien aux TPE/PME et d'accompagnement entrepreneurial.</w:t>
      </w:r>
    </w:p>
    <w:p w14:paraId="4644D269" w14:textId="7C838D91" w:rsidR="00DD3EF6" w:rsidRDefault="00DD3EF6" w:rsidP="008F3AC4">
      <w:pPr>
        <w:numPr>
          <w:ilvl w:val="0"/>
          <w:numId w:val="19"/>
        </w:numPr>
        <w:autoSpaceDE w:val="0"/>
        <w:autoSpaceDN w:val="0"/>
        <w:adjustRightInd w:val="0"/>
        <w:spacing w:after="0"/>
        <w:rPr>
          <w:rFonts w:eastAsia="Calibri"/>
          <w:i w:val="0"/>
        </w:rPr>
      </w:pPr>
      <w:r w:rsidRPr="00DD3EF6">
        <w:rPr>
          <w:rFonts w:eastAsia="Calibri"/>
          <w:i w:val="0"/>
        </w:rPr>
        <w:t>Synthèse des recommandations : Rédaction de recommandations pratiques sur la base des leçons apprises des projets.</w:t>
      </w:r>
    </w:p>
    <w:p w14:paraId="5DDAE2A5" w14:textId="77777777" w:rsidR="008D1C8D" w:rsidRPr="008D1C8D" w:rsidRDefault="008D1C8D" w:rsidP="008D1C8D">
      <w:pPr>
        <w:autoSpaceDE w:val="0"/>
        <w:autoSpaceDN w:val="0"/>
        <w:adjustRightInd w:val="0"/>
        <w:spacing w:after="0"/>
        <w:ind w:left="720"/>
        <w:rPr>
          <w:rFonts w:eastAsia="Calibri"/>
          <w:i w:val="0"/>
        </w:rPr>
      </w:pPr>
    </w:p>
    <w:p w14:paraId="315963D3" w14:textId="722E33F8" w:rsidR="00D96F3F" w:rsidRPr="00F35DA8" w:rsidRDefault="005C4CCB" w:rsidP="008D1C8D">
      <w:pPr>
        <w:rPr>
          <w:rFonts w:hint="eastAsia"/>
          <w:i w:val="0"/>
        </w:rPr>
      </w:pPr>
      <w:r w:rsidRPr="00F35DA8">
        <w:rPr>
          <w:i w:val="0"/>
        </w:rPr>
        <w:t>Il est demandé au</w:t>
      </w:r>
      <w:r w:rsidR="00B535FE">
        <w:rPr>
          <w:i w:val="0"/>
        </w:rPr>
        <w:t xml:space="preserve"> prestataire</w:t>
      </w:r>
      <w:r w:rsidRPr="00F35DA8">
        <w:rPr>
          <w:i w:val="0"/>
        </w:rPr>
        <w:t xml:space="preserve"> d’associer étroitement Expertise France et le comité de pilotage de l’évaluat</w:t>
      </w:r>
      <w:r w:rsidR="00F35DA8" w:rsidRPr="00F35DA8">
        <w:rPr>
          <w:i w:val="0"/>
        </w:rPr>
        <w:t xml:space="preserve">ion </w:t>
      </w:r>
      <w:r w:rsidRPr="00F35DA8">
        <w:rPr>
          <w:i w:val="0"/>
        </w:rPr>
        <w:t>à la construction de son raisonnement, par des liens réguliers tout au long de la mission, de la note de cadrage jusqu’à la réunion de présentation du rapport provisoire. En particulier, un partage des constats et des premiers éléments d’analyse doit se faire dès la fin de la mission, avant la rédaction du rapport provisoire. </w:t>
      </w:r>
    </w:p>
    <w:p w14:paraId="588FC094" w14:textId="32FD1237" w:rsidR="000D2AEF" w:rsidRDefault="000D2AEF" w:rsidP="00EB2073">
      <w:pPr>
        <w:pStyle w:val="Titre2"/>
        <w:ind w:left="576"/>
        <w:rPr>
          <w:rFonts w:hint="eastAsia"/>
          <w:i w:val="0"/>
        </w:rPr>
      </w:pPr>
      <w:bookmarkStart w:id="13" w:name="_Toc70668758"/>
      <w:r>
        <w:rPr>
          <w:i w:val="0"/>
        </w:rPr>
        <w:lastRenderedPageBreak/>
        <w:t>Management des données &amp; contrôle qualité</w:t>
      </w:r>
    </w:p>
    <w:p w14:paraId="2E67DC58" w14:textId="77777777" w:rsidR="000D2AEF" w:rsidRPr="000D2AEF" w:rsidRDefault="000D2AEF" w:rsidP="008F3AC4">
      <w:pPr>
        <w:pStyle w:val="Paragraphedeliste"/>
        <w:numPr>
          <w:ilvl w:val="0"/>
          <w:numId w:val="23"/>
        </w:numPr>
        <w:autoSpaceDE w:val="0"/>
        <w:autoSpaceDN w:val="0"/>
        <w:adjustRightInd w:val="0"/>
        <w:rPr>
          <w:rFonts w:eastAsia="Calibri"/>
          <w:b/>
          <w:bCs/>
          <w:i w:val="0"/>
        </w:rPr>
      </w:pPr>
      <w:r w:rsidRPr="000D2AEF">
        <w:rPr>
          <w:rFonts w:eastAsia="Calibri"/>
          <w:b/>
          <w:bCs/>
          <w:i w:val="0"/>
        </w:rPr>
        <w:t>Gestion des données</w:t>
      </w:r>
    </w:p>
    <w:p w14:paraId="617CE70C" w14:textId="4DD73C51" w:rsidR="000D2AEF" w:rsidRPr="000D2AEF" w:rsidRDefault="000D2AEF" w:rsidP="000D2AEF">
      <w:pPr>
        <w:rPr>
          <w:rFonts w:hint="eastAsia"/>
          <w:i w:val="0"/>
        </w:rPr>
      </w:pPr>
      <w:r w:rsidRPr="000D2AEF">
        <w:rPr>
          <w:i w:val="0"/>
        </w:rPr>
        <w:t xml:space="preserve">La gestion des données sera un volet </w:t>
      </w:r>
      <w:r>
        <w:rPr>
          <w:i w:val="0"/>
        </w:rPr>
        <w:t xml:space="preserve">transverse </w:t>
      </w:r>
      <w:r w:rsidRPr="000D2AEF">
        <w:rPr>
          <w:i w:val="0"/>
        </w:rPr>
        <w:t xml:space="preserve">de l’étude de base. Toutes les données collectées seront stockées de manière sécurisée, avec des procédures rigoureuses pour garantir la </w:t>
      </w:r>
      <w:r w:rsidRPr="000D2AEF">
        <w:rPr>
          <w:bCs/>
          <w:i w:val="0"/>
        </w:rPr>
        <w:t>confidentialité</w:t>
      </w:r>
      <w:r w:rsidRPr="000D2AEF">
        <w:rPr>
          <w:i w:val="0"/>
        </w:rPr>
        <w:t xml:space="preserve"> et l'</w:t>
      </w:r>
      <w:r w:rsidRPr="000D2AEF">
        <w:rPr>
          <w:bCs/>
          <w:i w:val="0"/>
        </w:rPr>
        <w:t>intégrité des données</w:t>
      </w:r>
      <w:r w:rsidRPr="000D2AEF">
        <w:rPr>
          <w:i w:val="0"/>
        </w:rPr>
        <w:t xml:space="preserve">. Un système centralisé de gestion des données (Data Management System) sera mis en place, utilisant des outils tels que </w:t>
      </w:r>
      <w:r w:rsidRPr="000D2AEF">
        <w:rPr>
          <w:bCs/>
          <w:i w:val="0"/>
        </w:rPr>
        <w:t xml:space="preserve">Google </w:t>
      </w:r>
      <w:proofErr w:type="spellStart"/>
      <w:r w:rsidRPr="000D2AEF">
        <w:rPr>
          <w:bCs/>
          <w:i w:val="0"/>
        </w:rPr>
        <w:t>Sheets</w:t>
      </w:r>
      <w:proofErr w:type="spellEnd"/>
      <w:r w:rsidRPr="000D2AEF">
        <w:rPr>
          <w:i w:val="0"/>
        </w:rPr>
        <w:t xml:space="preserve">, </w:t>
      </w:r>
      <w:r w:rsidRPr="000D2AEF">
        <w:rPr>
          <w:bCs/>
          <w:i w:val="0"/>
        </w:rPr>
        <w:t>Microsoft Excel</w:t>
      </w:r>
      <w:r w:rsidRPr="000D2AEF">
        <w:rPr>
          <w:i w:val="0"/>
        </w:rPr>
        <w:t xml:space="preserve"> ou des plateformes spécialisées de gestion de données (ex. : </w:t>
      </w:r>
      <w:proofErr w:type="spellStart"/>
      <w:r w:rsidRPr="000D2AEF">
        <w:rPr>
          <w:bCs/>
          <w:i w:val="0"/>
        </w:rPr>
        <w:t>KoboToolbox</w:t>
      </w:r>
      <w:proofErr w:type="spellEnd"/>
      <w:r w:rsidRPr="000D2AEF">
        <w:rPr>
          <w:i w:val="0"/>
        </w:rPr>
        <w:t xml:space="preserve">, </w:t>
      </w:r>
      <w:proofErr w:type="spellStart"/>
      <w:r w:rsidRPr="000D2AEF">
        <w:rPr>
          <w:bCs/>
          <w:i w:val="0"/>
        </w:rPr>
        <w:t>SurveyCTO</w:t>
      </w:r>
      <w:proofErr w:type="spellEnd"/>
      <w:r w:rsidRPr="000D2AEF">
        <w:rPr>
          <w:i w:val="0"/>
        </w:rPr>
        <w:t xml:space="preserve">). Les données seront structurées selon les catégories d’acteurs, de relations partenariales, et de résultats d’entretiens. Une attention particulière sera accordée à la </w:t>
      </w:r>
      <w:r w:rsidRPr="000D2AEF">
        <w:rPr>
          <w:bCs/>
          <w:i w:val="0"/>
        </w:rPr>
        <w:t>normalisation des formats de données</w:t>
      </w:r>
      <w:r w:rsidRPr="000D2AEF">
        <w:rPr>
          <w:i w:val="0"/>
        </w:rPr>
        <w:t xml:space="preserve"> (ex. : format des réponses, nomenclatures communes) pour permettre une exploitation et une analyse homogène.</w:t>
      </w:r>
    </w:p>
    <w:p w14:paraId="36ACE2F1" w14:textId="77777777" w:rsidR="000D2AEF" w:rsidRPr="000D2AEF" w:rsidRDefault="000D2AEF" w:rsidP="008F3AC4">
      <w:pPr>
        <w:pStyle w:val="Paragraphedeliste"/>
        <w:numPr>
          <w:ilvl w:val="0"/>
          <w:numId w:val="23"/>
        </w:numPr>
        <w:autoSpaceDE w:val="0"/>
        <w:autoSpaceDN w:val="0"/>
        <w:adjustRightInd w:val="0"/>
        <w:rPr>
          <w:rFonts w:eastAsia="Calibri"/>
          <w:b/>
          <w:bCs/>
          <w:i w:val="0"/>
        </w:rPr>
      </w:pPr>
      <w:r w:rsidRPr="000D2AEF">
        <w:rPr>
          <w:rFonts w:eastAsia="Calibri"/>
          <w:b/>
          <w:bCs/>
          <w:i w:val="0"/>
        </w:rPr>
        <w:t>Contrôle qualité</w:t>
      </w:r>
    </w:p>
    <w:p w14:paraId="218B08B3" w14:textId="77777777" w:rsidR="000D2AEF" w:rsidRPr="000D2AEF" w:rsidRDefault="000D2AEF" w:rsidP="000D2AEF">
      <w:pPr>
        <w:rPr>
          <w:rFonts w:hint="eastAsia"/>
          <w:i w:val="0"/>
        </w:rPr>
      </w:pPr>
      <w:r w:rsidRPr="000D2AEF">
        <w:rPr>
          <w:i w:val="0"/>
        </w:rPr>
        <w:t xml:space="preserve">Le contrôle qualité sera assuré à chaque étape de la collecte et de l'analyse des données pour garantir la </w:t>
      </w:r>
      <w:r w:rsidRPr="000D2AEF">
        <w:rPr>
          <w:bCs/>
          <w:i w:val="0"/>
        </w:rPr>
        <w:t>fiabilité et l’exactitude</w:t>
      </w:r>
      <w:r w:rsidRPr="000D2AEF">
        <w:rPr>
          <w:i w:val="0"/>
        </w:rPr>
        <w:t xml:space="preserve"> des résultats de l'étude. Des </w:t>
      </w:r>
      <w:r w:rsidRPr="000D2AEF">
        <w:rPr>
          <w:bCs/>
          <w:i w:val="0"/>
        </w:rPr>
        <w:t>procédures de vérification et de validation des données</w:t>
      </w:r>
      <w:r w:rsidRPr="000D2AEF">
        <w:rPr>
          <w:i w:val="0"/>
        </w:rPr>
        <w:t xml:space="preserve"> seront mises en place, y compris des contrôles de cohérence pour s’assurer que les données recueillies correspondent aux attentes et aux objectifs fixés. Des outils automatisés de contrôle (ex. : validation par croisement de données, détection des incohérences) seront utilisés pour vérifier les données quantitatives.</w:t>
      </w:r>
    </w:p>
    <w:p w14:paraId="31B08EDD" w14:textId="438BD942" w:rsidR="000D2AEF" w:rsidRPr="000D2AEF" w:rsidRDefault="000D2AEF" w:rsidP="000D2AEF">
      <w:pPr>
        <w:rPr>
          <w:rFonts w:hint="eastAsia"/>
        </w:rPr>
      </w:pPr>
      <w:r>
        <w:rPr>
          <w:i w:val="0"/>
        </w:rPr>
        <w:t xml:space="preserve">Une personne en </w:t>
      </w:r>
      <w:r w:rsidRPr="000D2AEF">
        <w:rPr>
          <w:bCs/>
          <w:i w:val="0"/>
        </w:rPr>
        <w:t>interne</w:t>
      </w:r>
      <w:r w:rsidRPr="000D2AEF">
        <w:rPr>
          <w:i w:val="0"/>
        </w:rPr>
        <w:t xml:space="preserve"> </w:t>
      </w:r>
      <w:r>
        <w:rPr>
          <w:i w:val="0"/>
        </w:rPr>
        <w:t xml:space="preserve">au prestataire </w:t>
      </w:r>
      <w:r w:rsidRPr="000D2AEF">
        <w:rPr>
          <w:i w:val="0"/>
        </w:rPr>
        <w:t xml:space="preserve">sera chargé de la validation des informations recueillies à chaque étape du processus, avec une </w:t>
      </w:r>
      <w:r w:rsidRPr="000D2AEF">
        <w:rPr>
          <w:bCs/>
          <w:i w:val="0"/>
        </w:rPr>
        <w:t>double vérification</w:t>
      </w:r>
      <w:r w:rsidRPr="000D2AEF">
        <w:rPr>
          <w:i w:val="0"/>
        </w:rPr>
        <w:t xml:space="preserve"> des réponses issues des enquêtes et des entretiens. D</w:t>
      </w:r>
      <w:r>
        <w:rPr>
          <w:i w:val="0"/>
        </w:rPr>
        <w:t xml:space="preserve">es réunions régulières entre l’équipe en charge de la </w:t>
      </w:r>
      <w:proofErr w:type="spellStart"/>
      <w:r>
        <w:rPr>
          <w:i w:val="0"/>
        </w:rPr>
        <w:t>prestataion</w:t>
      </w:r>
      <w:proofErr w:type="spellEnd"/>
      <w:r>
        <w:rPr>
          <w:i w:val="0"/>
        </w:rPr>
        <w:t xml:space="preserve">, la cheffe de projet et le coordinateur SERA pourront </w:t>
      </w:r>
      <w:proofErr w:type="spellStart"/>
      <w:r>
        <w:rPr>
          <w:i w:val="0"/>
        </w:rPr>
        <w:t>etre</w:t>
      </w:r>
      <w:proofErr w:type="spellEnd"/>
      <w:r>
        <w:rPr>
          <w:i w:val="0"/>
        </w:rPr>
        <w:t xml:space="preserve"> </w:t>
      </w:r>
      <w:r w:rsidRPr="000D2AEF">
        <w:rPr>
          <w:i w:val="0"/>
        </w:rPr>
        <w:t xml:space="preserve">organisées pour ajuster les processus en cas de besoin et pour garantir une </w:t>
      </w:r>
      <w:r w:rsidRPr="000D2AEF">
        <w:rPr>
          <w:bCs/>
          <w:i w:val="0"/>
        </w:rPr>
        <w:t>traçabilité complète</w:t>
      </w:r>
      <w:r w:rsidRPr="000D2AEF">
        <w:rPr>
          <w:i w:val="0"/>
        </w:rPr>
        <w:t xml:space="preserve"> des données. En parallèle, des sessions de </w:t>
      </w:r>
      <w:r w:rsidRPr="000D2AEF">
        <w:rPr>
          <w:bCs/>
          <w:i w:val="0"/>
        </w:rPr>
        <w:t>feedback avec les parties prenantes</w:t>
      </w:r>
      <w:r w:rsidRPr="000D2AEF">
        <w:rPr>
          <w:i w:val="0"/>
        </w:rPr>
        <w:t xml:space="preserve"> seront planifiées pour assurer que les résultats sont cohérents avec les réalités du terrain et les attentes des partenaires.</w:t>
      </w:r>
    </w:p>
    <w:p w14:paraId="3A85F469" w14:textId="020A19E3" w:rsidR="00776A6D" w:rsidRPr="00EB2073" w:rsidRDefault="00776A6D" w:rsidP="00EB2073">
      <w:pPr>
        <w:pStyle w:val="Titre2"/>
        <w:ind w:left="576"/>
        <w:rPr>
          <w:rFonts w:hint="eastAsia"/>
          <w:i w:val="0"/>
        </w:rPr>
      </w:pPr>
      <w:r w:rsidRPr="00EB2073">
        <w:rPr>
          <w:i w:val="0"/>
        </w:rPr>
        <w:t>Livrables attendus</w:t>
      </w:r>
      <w:bookmarkEnd w:id="13"/>
    </w:p>
    <w:p w14:paraId="44259959" w14:textId="2C4C321A" w:rsidR="00417294" w:rsidRPr="00F35DA8" w:rsidRDefault="00417294" w:rsidP="00485CA7">
      <w:pPr>
        <w:rPr>
          <w:rFonts w:hint="eastAsia"/>
          <w:i w:val="0"/>
        </w:rPr>
      </w:pPr>
      <w:r w:rsidRPr="00F35DA8">
        <w:rPr>
          <w:i w:val="0"/>
        </w:rPr>
        <w:t xml:space="preserve">Les livrables devront être soumis par email sous format Word </w:t>
      </w:r>
      <w:r w:rsidR="00EB2073">
        <w:rPr>
          <w:i w:val="0"/>
        </w:rPr>
        <w:t xml:space="preserve">et PDF </w:t>
      </w:r>
      <w:r w:rsidRPr="00F35DA8">
        <w:rPr>
          <w:i w:val="0"/>
        </w:rPr>
        <w:t>aux dest</w:t>
      </w:r>
      <w:r w:rsidR="00837F1B">
        <w:rPr>
          <w:i w:val="0"/>
        </w:rPr>
        <w:t xml:space="preserve">inataires qui seront indiqués au/à la </w:t>
      </w:r>
      <w:proofErr w:type="spellStart"/>
      <w:proofErr w:type="gramStart"/>
      <w:r w:rsidR="00837F1B">
        <w:rPr>
          <w:i w:val="0"/>
        </w:rPr>
        <w:t>consultant.e</w:t>
      </w:r>
      <w:proofErr w:type="spellEnd"/>
      <w:proofErr w:type="gramEnd"/>
      <w:r w:rsidR="00837F1B">
        <w:rPr>
          <w:i w:val="0"/>
        </w:rPr>
        <w:t xml:space="preserve"> </w:t>
      </w:r>
      <w:r w:rsidRPr="00F35DA8">
        <w:rPr>
          <w:i w:val="0"/>
        </w:rPr>
        <w:t>lors de la phase de démarrage. Ils devront être rédigés en</w:t>
      </w:r>
      <w:r w:rsidR="00D46B0C" w:rsidRPr="00F35DA8">
        <w:rPr>
          <w:i w:val="0"/>
        </w:rPr>
        <w:t xml:space="preserve"> français. </w:t>
      </w:r>
    </w:p>
    <w:tbl>
      <w:tblPr>
        <w:tblStyle w:val="TableauGrille1Clair-Accentuation1"/>
        <w:tblW w:w="9355" w:type="dxa"/>
        <w:tblInd w:w="421" w:type="dxa"/>
        <w:tblLook w:val="04A0" w:firstRow="1" w:lastRow="0" w:firstColumn="1" w:lastColumn="0" w:noHBand="0" w:noVBand="1"/>
      </w:tblPr>
      <w:tblGrid>
        <w:gridCol w:w="6520"/>
        <w:gridCol w:w="2835"/>
      </w:tblGrid>
      <w:tr w:rsidR="00EB2073" w:rsidRPr="00F35DA8" w14:paraId="52034336" w14:textId="77777777" w:rsidTr="00EB2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0" w:type="dxa"/>
          </w:tcPr>
          <w:p w14:paraId="7178BE6D" w14:textId="77777777" w:rsidR="00EB2073" w:rsidRPr="00F35DA8" w:rsidRDefault="00EB2073" w:rsidP="00E6599F">
            <w:pPr>
              <w:ind w:left="0"/>
              <w:rPr>
                <w:rFonts w:hint="eastAsia"/>
                <w:i w:val="0"/>
              </w:rPr>
            </w:pPr>
            <w:r w:rsidRPr="00F35DA8">
              <w:rPr>
                <w:rFonts w:hint="eastAsia"/>
                <w:i w:val="0"/>
              </w:rPr>
              <w:t>Livrables</w:t>
            </w:r>
          </w:p>
        </w:tc>
        <w:tc>
          <w:tcPr>
            <w:tcW w:w="2835" w:type="dxa"/>
          </w:tcPr>
          <w:p w14:paraId="36AE69ED" w14:textId="77777777" w:rsidR="00EB2073" w:rsidRDefault="00EB2073" w:rsidP="00E6599F">
            <w:pPr>
              <w:ind w:left="0"/>
              <w:cnfStyle w:val="100000000000" w:firstRow="1" w:lastRow="0" w:firstColumn="0" w:lastColumn="0" w:oddVBand="0" w:evenVBand="0" w:oddHBand="0" w:evenHBand="0" w:firstRowFirstColumn="0" w:firstRowLastColumn="0" w:lastRowFirstColumn="0" w:lastRowLastColumn="0"/>
              <w:rPr>
                <w:rFonts w:hint="eastAsia"/>
                <w:i w:val="0"/>
              </w:rPr>
            </w:pPr>
            <w:r w:rsidRPr="00F35DA8">
              <w:rPr>
                <w:rFonts w:hint="eastAsia"/>
                <w:i w:val="0"/>
              </w:rPr>
              <w:t>Date de livraison</w:t>
            </w:r>
          </w:p>
          <w:p w14:paraId="4A4B9E43" w14:textId="4B0D39DC" w:rsidR="00C04476" w:rsidRPr="00F35DA8" w:rsidRDefault="00C04476" w:rsidP="00167599">
            <w:pPr>
              <w:ind w:left="0"/>
              <w:cnfStyle w:val="100000000000" w:firstRow="1" w:lastRow="0" w:firstColumn="0" w:lastColumn="0" w:oddVBand="0" w:evenVBand="0" w:oddHBand="0" w:evenHBand="0" w:firstRowFirstColumn="0" w:firstRowLastColumn="0" w:lastRowFirstColumn="0" w:lastRowLastColumn="0"/>
              <w:rPr>
                <w:rFonts w:hint="eastAsia"/>
                <w:i w:val="0"/>
              </w:rPr>
            </w:pPr>
            <w:r w:rsidRPr="00C11C73">
              <w:rPr>
                <w:sz w:val="20"/>
              </w:rPr>
              <w:t>T0</w:t>
            </w:r>
            <w:r w:rsidRPr="00C11C73">
              <w:rPr>
                <w:rFonts w:hint="cs"/>
                <w:sz w:val="20"/>
              </w:rPr>
              <w:t> </w:t>
            </w:r>
            <w:r w:rsidRPr="00C11C73">
              <w:rPr>
                <w:sz w:val="20"/>
              </w:rPr>
              <w:t>:</w:t>
            </w:r>
            <w:r w:rsidRPr="00C11C73">
              <w:rPr>
                <w:rFonts w:hint="eastAsia"/>
                <w:sz w:val="20"/>
              </w:rPr>
              <w:t xml:space="preserve"> date du kick-off de la mission</w:t>
            </w:r>
            <w:r>
              <w:rPr>
                <w:b w:val="0"/>
                <w:sz w:val="20"/>
              </w:rPr>
              <w:t>. Les d</w:t>
            </w:r>
            <w:r w:rsidRPr="00C11C73">
              <w:rPr>
                <w:rFonts w:hint="cs"/>
                <w:sz w:val="20"/>
              </w:rPr>
              <w:t>é</w:t>
            </w:r>
            <w:r w:rsidRPr="00C11C73">
              <w:rPr>
                <w:sz w:val="20"/>
              </w:rPr>
              <w:t xml:space="preserve">lais </w:t>
            </w:r>
            <w:r>
              <w:rPr>
                <w:b w:val="0"/>
                <w:sz w:val="20"/>
              </w:rPr>
              <w:t xml:space="preserve">sont </w:t>
            </w:r>
            <w:r w:rsidRPr="00C11C73">
              <w:rPr>
                <w:sz w:val="20"/>
              </w:rPr>
              <w:t>exprim</w:t>
            </w:r>
            <w:r w:rsidRPr="00C11C73">
              <w:rPr>
                <w:rFonts w:hint="cs"/>
                <w:sz w:val="20"/>
              </w:rPr>
              <w:t>é</w:t>
            </w:r>
            <w:r w:rsidRPr="00C11C73">
              <w:rPr>
                <w:sz w:val="20"/>
              </w:rPr>
              <w:t xml:space="preserve">s en </w:t>
            </w:r>
            <w:r>
              <w:rPr>
                <w:b w:val="0"/>
                <w:sz w:val="20"/>
              </w:rPr>
              <w:t xml:space="preserve">jours </w:t>
            </w:r>
            <w:r w:rsidRPr="00C11C73">
              <w:rPr>
                <w:rFonts w:hint="eastAsia"/>
                <w:sz w:val="20"/>
              </w:rPr>
              <w:t>calendaire</w:t>
            </w:r>
            <w:r>
              <w:rPr>
                <w:b w:val="0"/>
                <w:sz w:val="20"/>
              </w:rPr>
              <w:t>s</w:t>
            </w:r>
          </w:p>
        </w:tc>
      </w:tr>
      <w:tr w:rsidR="00EB2073" w:rsidRPr="00F35DA8" w14:paraId="2C2E22F0" w14:textId="77777777" w:rsidTr="00EB2073">
        <w:tc>
          <w:tcPr>
            <w:cnfStyle w:val="001000000000" w:firstRow="0" w:lastRow="0" w:firstColumn="1" w:lastColumn="0" w:oddVBand="0" w:evenVBand="0" w:oddHBand="0" w:evenHBand="0" w:firstRowFirstColumn="0" w:firstRowLastColumn="0" w:lastRowFirstColumn="0" w:lastRowLastColumn="0"/>
            <w:tcW w:w="6520" w:type="dxa"/>
          </w:tcPr>
          <w:p w14:paraId="62364469" w14:textId="77777777" w:rsidR="00EB2073" w:rsidRPr="00837F1B" w:rsidRDefault="00EB2073" w:rsidP="00B806ED">
            <w:pPr>
              <w:pStyle w:val="Paragraphedeliste"/>
              <w:numPr>
                <w:ilvl w:val="0"/>
                <w:numId w:val="11"/>
              </w:numPr>
              <w:rPr>
                <w:rFonts w:hint="eastAsia"/>
                <w:i w:val="0"/>
              </w:rPr>
            </w:pPr>
            <w:r w:rsidRPr="00837F1B">
              <w:rPr>
                <w:rFonts w:hint="eastAsia"/>
                <w:i w:val="0"/>
              </w:rPr>
              <w:t>N</w:t>
            </w:r>
            <w:r w:rsidRPr="00837F1B">
              <w:rPr>
                <w:i w:val="0"/>
              </w:rPr>
              <w:t>ote de cadrage</w:t>
            </w:r>
          </w:p>
        </w:tc>
        <w:tc>
          <w:tcPr>
            <w:tcW w:w="2835" w:type="dxa"/>
          </w:tcPr>
          <w:p w14:paraId="1B627BA5" w14:textId="651F8B98" w:rsidR="00EB2073" w:rsidRPr="00837F1B" w:rsidRDefault="00C04476" w:rsidP="00E6599F">
            <w:pPr>
              <w:ind w:left="0"/>
              <w:cnfStyle w:val="000000000000" w:firstRow="0" w:lastRow="0" w:firstColumn="0" w:lastColumn="0" w:oddVBand="0" w:evenVBand="0" w:oddHBand="0" w:evenHBand="0" w:firstRowFirstColumn="0" w:firstRowLastColumn="0" w:lastRowFirstColumn="0" w:lastRowLastColumn="0"/>
              <w:rPr>
                <w:rFonts w:hint="eastAsia"/>
                <w:i w:val="0"/>
              </w:rPr>
            </w:pPr>
            <w:r>
              <w:rPr>
                <w:i w:val="0"/>
              </w:rPr>
              <w:t xml:space="preserve">T0 + 2 semaines </w:t>
            </w:r>
          </w:p>
        </w:tc>
      </w:tr>
      <w:tr w:rsidR="00EB2073" w:rsidRPr="00F35DA8" w14:paraId="2BB243C0" w14:textId="77777777" w:rsidTr="00EB2073">
        <w:tc>
          <w:tcPr>
            <w:cnfStyle w:val="001000000000" w:firstRow="0" w:lastRow="0" w:firstColumn="1" w:lastColumn="0" w:oddVBand="0" w:evenVBand="0" w:oddHBand="0" w:evenHBand="0" w:firstRowFirstColumn="0" w:firstRowLastColumn="0" w:lastRowFirstColumn="0" w:lastRowLastColumn="0"/>
            <w:tcW w:w="6520" w:type="dxa"/>
          </w:tcPr>
          <w:p w14:paraId="12730654" w14:textId="32A5AF60" w:rsidR="00EB2073" w:rsidRDefault="00EB2073" w:rsidP="005D3BFB">
            <w:pPr>
              <w:pStyle w:val="Paragraphedeliste"/>
              <w:numPr>
                <w:ilvl w:val="0"/>
                <w:numId w:val="11"/>
              </w:numPr>
              <w:rPr>
                <w:rFonts w:hint="eastAsia"/>
                <w:i w:val="0"/>
              </w:rPr>
            </w:pPr>
            <w:r>
              <w:rPr>
                <w:i w:val="0"/>
              </w:rPr>
              <w:t>Objectif 1 : Cartographie</w:t>
            </w:r>
          </w:p>
          <w:p w14:paraId="6D209B2B" w14:textId="7A0A2671" w:rsidR="00EB2073" w:rsidRPr="00EB2073" w:rsidRDefault="00EB2073" w:rsidP="008F3AC4">
            <w:pPr>
              <w:pStyle w:val="Paragraphedeliste"/>
              <w:numPr>
                <w:ilvl w:val="0"/>
                <w:numId w:val="22"/>
              </w:numPr>
              <w:spacing w:after="0"/>
              <w:ind w:left="602"/>
              <w:rPr>
                <w:rFonts w:hint="eastAsia"/>
                <w:b w:val="0"/>
                <w:i w:val="0"/>
              </w:rPr>
            </w:pPr>
            <w:r w:rsidRPr="00EB2073">
              <w:rPr>
                <w:b w:val="0"/>
                <w:i w:val="0"/>
              </w:rPr>
              <w:t>Une cartographie visuelle des acteurs et des relations partenariales avec un focus sur les influences et les liens stratégiques (</w:t>
            </w:r>
            <w:proofErr w:type="spellStart"/>
            <w:r w:rsidRPr="00EB2073">
              <w:rPr>
                <w:b w:val="0"/>
                <w:i w:val="0"/>
              </w:rPr>
              <w:t>Mind</w:t>
            </w:r>
            <w:proofErr w:type="spellEnd"/>
            <w:r w:rsidRPr="00EB2073">
              <w:rPr>
                <w:b w:val="0"/>
                <w:i w:val="0"/>
              </w:rPr>
              <w:t xml:space="preserve"> </w:t>
            </w:r>
            <w:proofErr w:type="spellStart"/>
            <w:r w:rsidRPr="00EB2073">
              <w:rPr>
                <w:b w:val="0"/>
                <w:i w:val="0"/>
              </w:rPr>
              <w:t>mapp</w:t>
            </w:r>
            <w:proofErr w:type="spellEnd"/>
            <w:r w:rsidRPr="00EB2073">
              <w:rPr>
                <w:b w:val="0"/>
                <w:i w:val="0"/>
              </w:rPr>
              <w:t>)</w:t>
            </w:r>
          </w:p>
          <w:p w14:paraId="6A1A9DE5" w14:textId="77777777" w:rsidR="00EB2073" w:rsidRPr="00EB2073" w:rsidRDefault="00EB2073" w:rsidP="008F3AC4">
            <w:pPr>
              <w:pStyle w:val="Paragraphedeliste"/>
              <w:numPr>
                <w:ilvl w:val="0"/>
                <w:numId w:val="22"/>
              </w:numPr>
              <w:spacing w:after="0"/>
              <w:ind w:left="602"/>
              <w:rPr>
                <w:rFonts w:hint="eastAsia"/>
                <w:b w:val="0"/>
                <w:i w:val="0"/>
              </w:rPr>
            </w:pPr>
            <w:r w:rsidRPr="00EB2073">
              <w:rPr>
                <w:b w:val="0"/>
                <w:i w:val="0"/>
              </w:rPr>
              <w:t>Un rapport d’analyse des pouvoirs et influences dans l’écosystème.</w:t>
            </w:r>
          </w:p>
          <w:p w14:paraId="10D46B36" w14:textId="37704BD9" w:rsidR="00EB2073" w:rsidRPr="00EB2073" w:rsidRDefault="00EB2073" w:rsidP="008F3AC4">
            <w:pPr>
              <w:pStyle w:val="Paragraphedeliste"/>
              <w:numPr>
                <w:ilvl w:val="0"/>
                <w:numId w:val="22"/>
              </w:numPr>
              <w:spacing w:after="0"/>
              <w:ind w:left="602"/>
              <w:rPr>
                <w:rFonts w:hint="eastAsia"/>
                <w:i w:val="0"/>
              </w:rPr>
            </w:pPr>
            <w:r w:rsidRPr="00EB2073">
              <w:rPr>
                <w:b w:val="0"/>
                <w:i w:val="0"/>
              </w:rPr>
              <w:t>Une identification des lacunes dans la coopération et des pistes pour optimiser les synergies entre acteurs.</w:t>
            </w:r>
          </w:p>
        </w:tc>
        <w:tc>
          <w:tcPr>
            <w:tcW w:w="2835" w:type="dxa"/>
          </w:tcPr>
          <w:p w14:paraId="66BAEA10" w14:textId="063B20E3" w:rsidR="00EB2073" w:rsidRPr="00837F1B" w:rsidRDefault="00C04476" w:rsidP="00E6599F">
            <w:pPr>
              <w:ind w:left="0"/>
              <w:cnfStyle w:val="000000000000" w:firstRow="0" w:lastRow="0" w:firstColumn="0" w:lastColumn="0" w:oddVBand="0" w:evenVBand="0" w:oddHBand="0" w:evenHBand="0" w:firstRowFirstColumn="0" w:firstRowLastColumn="0" w:lastRowFirstColumn="0" w:lastRowLastColumn="0"/>
              <w:rPr>
                <w:rFonts w:hint="eastAsia"/>
                <w:i w:val="0"/>
              </w:rPr>
            </w:pPr>
            <w:r>
              <w:rPr>
                <w:i w:val="0"/>
              </w:rPr>
              <w:t>T0 + 1,5 mois</w:t>
            </w:r>
          </w:p>
        </w:tc>
      </w:tr>
      <w:tr w:rsidR="00EB2073" w:rsidRPr="00F35DA8" w14:paraId="0B7E437C" w14:textId="77777777" w:rsidTr="00EB2073">
        <w:tc>
          <w:tcPr>
            <w:cnfStyle w:val="001000000000" w:firstRow="0" w:lastRow="0" w:firstColumn="1" w:lastColumn="0" w:oddVBand="0" w:evenVBand="0" w:oddHBand="0" w:evenHBand="0" w:firstRowFirstColumn="0" w:firstRowLastColumn="0" w:lastRowFirstColumn="0" w:lastRowLastColumn="0"/>
            <w:tcW w:w="6520" w:type="dxa"/>
          </w:tcPr>
          <w:p w14:paraId="279F7B17" w14:textId="36130634" w:rsidR="00EB2073" w:rsidRDefault="00EB2073" w:rsidP="00EB2073">
            <w:pPr>
              <w:pStyle w:val="Paragraphedeliste"/>
              <w:numPr>
                <w:ilvl w:val="0"/>
                <w:numId w:val="11"/>
              </w:numPr>
              <w:rPr>
                <w:rFonts w:hint="eastAsia"/>
                <w:i w:val="0"/>
              </w:rPr>
            </w:pPr>
            <w:r>
              <w:rPr>
                <w:i w:val="0"/>
              </w:rPr>
              <w:t>Objectif 2</w:t>
            </w:r>
            <w:proofErr w:type="gramStart"/>
            <w:r>
              <w:rPr>
                <w:i w:val="0"/>
              </w:rPr>
              <w:t> :</w:t>
            </w:r>
            <w:proofErr w:type="spellStart"/>
            <w:r>
              <w:rPr>
                <w:i w:val="0"/>
              </w:rPr>
              <w:t>ToC</w:t>
            </w:r>
            <w:proofErr w:type="spellEnd"/>
            <w:proofErr w:type="gramEnd"/>
            <w:r>
              <w:rPr>
                <w:i w:val="0"/>
              </w:rPr>
              <w:t xml:space="preserve"> &amp; CL</w:t>
            </w:r>
          </w:p>
          <w:p w14:paraId="595C974B" w14:textId="61F912BB" w:rsidR="00EB2073" w:rsidRPr="00EB2073" w:rsidRDefault="00EB2073" w:rsidP="008F3AC4">
            <w:pPr>
              <w:pStyle w:val="Paragraphedeliste"/>
              <w:numPr>
                <w:ilvl w:val="0"/>
                <w:numId w:val="22"/>
              </w:numPr>
              <w:spacing w:after="0"/>
              <w:ind w:left="602"/>
              <w:rPr>
                <w:rFonts w:hint="eastAsia"/>
                <w:b w:val="0"/>
                <w:i w:val="0"/>
              </w:rPr>
            </w:pPr>
            <w:r w:rsidRPr="00EB2073">
              <w:rPr>
                <w:b w:val="0"/>
                <w:i w:val="0"/>
              </w:rPr>
              <w:t xml:space="preserve">Une théorie du changement révisée </w:t>
            </w:r>
          </w:p>
          <w:p w14:paraId="57920C8D" w14:textId="213859FF" w:rsidR="00EB2073" w:rsidRPr="00EB2073" w:rsidRDefault="00EB2073" w:rsidP="008F3AC4">
            <w:pPr>
              <w:pStyle w:val="Paragraphedeliste"/>
              <w:numPr>
                <w:ilvl w:val="0"/>
                <w:numId w:val="22"/>
              </w:numPr>
              <w:spacing w:after="0"/>
              <w:ind w:left="602"/>
              <w:rPr>
                <w:rFonts w:hint="eastAsia"/>
                <w:i w:val="0"/>
              </w:rPr>
            </w:pPr>
            <w:r w:rsidRPr="00EB2073">
              <w:rPr>
                <w:b w:val="0"/>
                <w:i w:val="0"/>
              </w:rPr>
              <w:t>Un cadre logique révisé en accord avec la théorie du changement et les valeurs de référence des indicateurs</w:t>
            </w:r>
          </w:p>
        </w:tc>
        <w:tc>
          <w:tcPr>
            <w:tcW w:w="2835" w:type="dxa"/>
          </w:tcPr>
          <w:p w14:paraId="18F85FC2" w14:textId="25694FB3" w:rsidR="00EB2073" w:rsidRPr="00837F1B" w:rsidRDefault="00C04476" w:rsidP="00EB2073">
            <w:pPr>
              <w:ind w:left="0"/>
              <w:cnfStyle w:val="000000000000" w:firstRow="0" w:lastRow="0" w:firstColumn="0" w:lastColumn="0" w:oddVBand="0" w:evenVBand="0" w:oddHBand="0" w:evenHBand="0" w:firstRowFirstColumn="0" w:firstRowLastColumn="0" w:lastRowFirstColumn="0" w:lastRowLastColumn="0"/>
              <w:rPr>
                <w:rFonts w:hint="eastAsia"/>
                <w:i w:val="0"/>
              </w:rPr>
            </w:pPr>
            <w:r>
              <w:rPr>
                <w:i w:val="0"/>
              </w:rPr>
              <w:t>T0 + 2 mois</w:t>
            </w:r>
          </w:p>
        </w:tc>
      </w:tr>
      <w:tr w:rsidR="00EB2073" w:rsidRPr="00F35DA8" w14:paraId="65FEE809" w14:textId="77777777" w:rsidTr="00EB2073">
        <w:tc>
          <w:tcPr>
            <w:cnfStyle w:val="001000000000" w:firstRow="0" w:lastRow="0" w:firstColumn="1" w:lastColumn="0" w:oddVBand="0" w:evenVBand="0" w:oddHBand="0" w:evenHBand="0" w:firstRowFirstColumn="0" w:firstRowLastColumn="0" w:lastRowFirstColumn="0" w:lastRowLastColumn="0"/>
            <w:tcW w:w="6520" w:type="dxa"/>
          </w:tcPr>
          <w:p w14:paraId="6C9C90BD" w14:textId="0A1DB181" w:rsidR="00EB2073" w:rsidRDefault="00EB2073" w:rsidP="00EB2073">
            <w:pPr>
              <w:pStyle w:val="Paragraphedeliste"/>
              <w:numPr>
                <w:ilvl w:val="0"/>
                <w:numId w:val="11"/>
              </w:numPr>
              <w:rPr>
                <w:rFonts w:hint="eastAsia"/>
                <w:i w:val="0"/>
              </w:rPr>
            </w:pPr>
            <w:r w:rsidRPr="00837F1B">
              <w:rPr>
                <w:i w:val="0"/>
              </w:rPr>
              <w:t>Rapport intermédiaire</w:t>
            </w:r>
            <w:r>
              <w:rPr>
                <w:i w:val="0"/>
              </w:rPr>
              <w:t xml:space="preserve"> (objectif 1, 2, 3 &amp; 4)</w:t>
            </w:r>
          </w:p>
        </w:tc>
        <w:tc>
          <w:tcPr>
            <w:tcW w:w="2835" w:type="dxa"/>
          </w:tcPr>
          <w:p w14:paraId="4D69917B" w14:textId="54235873" w:rsidR="00EB2073" w:rsidRPr="00837F1B" w:rsidRDefault="00C04476" w:rsidP="00EB2073">
            <w:pPr>
              <w:ind w:left="0"/>
              <w:cnfStyle w:val="000000000000" w:firstRow="0" w:lastRow="0" w:firstColumn="0" w:lastColumn="0" w:oddVBand="0" w:evenVBand="0" w:oddHBand="0" w:evenHBand="0" w:firstRowFirstColumn="0" w:firstRowLastColumn="0" w:lastRowFirstColumn="0" w:lastRowLastColumn="0"/>
              <w:rPr>
                <w:rFonts w:hint="eastAsia"/>
                <w:i w:val="0"/>
              </w:rPr>
            </w:pPr>
            <w:r>
              <w:rPr>
                <w:i w:val="0"/>
              </w:rPr>
              <w:t>T0 + 2 mois</w:t>
            </w:r>
          </w:p>
        </w:tc>
      </w:tr>
      <w:tr w:rsidR="00EB2073" w:rsidRPr="00F35DA8" w14:paraId="4DADB542" w14:textId="77777777" w:rsidTr="00EB2073">
        <w:tc>
          <w:tcPr>
            <w:cnfStyle w:val="001000000000" w:firstRow="0" w:lastRow="0" w:firstColumn="1" w:lastColumn="0" w:oddVBand="0" w:evenVBand="0" w:oddHBand="0" w:evenHBand="0" w:firstRowFirstColumn="0" w:firstRowLastColumn="0" w:lastRowFirstColumn="0" w:lastRowLastColumn="0"/>
            <w:tcW w:w="6520" w:type="dxa"/>
          </w:tcPr>
          <w:p w14:paraId="09985C25" w14:textId="48ECB694" w:rsidR="00EB2073" w:rsidRPr="00837F1B" w:rsidRDefault="00EB2073" w:rsidP="00EB2073">
            <w:pPr>
              <w:pStyle w:val="Paragraphedeliste"/>
              <w:numPr>
                <w:ilvl w:val="0"/>
                <w:numId w:val="11"/>
              </w:numPr>
              <w:rPr>
                <w:rFonts w:hint="eastAsia"/>
                <w:i w:val="0"/>
              </w:rPr>
            </w:pPr>
            <w:r w:rsidRPr="00837F1B">
              <w:rPr>
                <w:i w:val="0"/>
              </w:rPr>
              <w:lastRenderedPageBreak/>
              <w:t xml:space="preserve">Rapport final </w:t>
            </w:r>
            <w:r>
              <w:rPr>
                <w:i w:val="0"/>
              </w:rPr>
              <w:t>provisoire (objectif 1, 2, 3 &amp; 4)</w:t>
            </w:r>
          </w:p>
        </w:tc>
        <w:tc>
          <w:tcPr>
            <w:tcW w:w="2835" w:type="dxa"/>
          </w:tcPr>
          <w:p w14:paraId="3513A500" w14:textId="6B05061F" w:rsidR="00EB2073" w:rsidRPr="00837F1B" w:rsidRDefault="00C04476" w:rsidP="00EB2073">
            <w:pPr>
              <w:ind w:left="0"/>
              <w:cnfStyle w:val="000000000000" w:firstRow="0" w:lastRow="0" w:firstColumn="0" w:lastColumn="0" w:oddVBand="0" w:evenVBand="0" w:oddHBand="0" w:evenHBand="0" w:firstRowFirstColumn="0" w:firstRowLastColumn="0" w:lastRowFirstColumn="0" w:lastRowLastColumn="0"/>
              <w:rPr>
                <w:rFonts w:hint="eastAsia"/>
                <w:i w:val="0"/>
              </w:rPr>
            </w:pPr>
            <w:r>
              <w:rPr>
                <w:i w:val="0"/>
              </w:rPr>
              <w:t>T0 + 3 mois</w:t>
            </w:r>
          </w:p>
        </w:tc>
      </w:tr>
      <w:tr w:rsidR="00EB2073" w:rsidRPr="00F35DA8" w14:paraId="34F55AE9" w14:textId="77777777" w:rsidTr="00EB2073">
        <w:tc>
          <w:tcPr>
            <w:cnfStyle w:val="001000000000" w:firstRow="0" w:lastRow="0" w:firstColumn="1" w:lastColumn="0" w:oddVBand="0" w:evenVBand="0" w:oddHBand="0" w:evenHBand="0" w:firstRowFirstColumn="0" w:firstRowLastColumn="0" w:lastRowFirstColumn="0" w:lastRowLastColumn="0"/>
            <w:tcW w:w="6520" w:type="dxa"/>
          </w:tcPr>
          <w:p w14:paraId="71411EF4" w14:textId="21B925A0" w:rsidR="00EB2073" w:rsidRPr="00837F1B" w:rsidRDefault="00EB2073" w:rsidP="00EB2073">
            <w:pPr>
              <w:pStyle w:val="Paragraphedeliste"/>
              <w:numPr>
                <w:ilvl w:val="0"/>
                <w:numId w:val="11"/>
              </w:numPr>
              <w:rPr>
                <w:rFonts w:hint="eastAsia"/>
                <w:i w:val="0"/>
              </w:rPr>
            </w:pPr>
            <w:r>
              <w:rPr>
                <w:i w:val="0"/>
              </w:rPr>
              <w:t xml:space="preserve">Rapport final définitif et </w:t>
            </w:r>
            <w:r w:rsidRPr="00837F1B">
              <w:rPr>
                <w:i w:val="0"/>
              </w:rPr>
              <w:t>synthèse selon le format demandé par EF</w:t>
            </w:r>
            <w:r>
              <w:rPr>
                <w:i w:val="0"/>
              </w:rPr>
              <w:t xml:space="preserve"> (environ 5 pages) (objectif 1, 2, 3 &amp; 4)</w:t>
            </w:r>
          </w:p>
        </w:tc>
        <w:tc>
          <w:tcPr>
            <w:tcW w:w="2835" w:type="dxa"/>
          </w:tcPr>
          <w:p w14:paraId="6A4D5CFE" w14:textId="3AC8C501" w:rsidR="00EB2073" w:rsidRPr="00837F1B" w:rsidRDefault="00C04476" w:rsidP="00EB2073">
            <w:pPr>
              <w:ind w:left="0"/>
              <w:cnfStyle w:val="000000000000" w:firstRow="0" w:lastRow="0" w:firstColumn="0" w:lastColumn="0" w:oddVBand="0" w:evenVBand="0" w:oddHBand="0" w:evenHBand="0" w:firstRowFirstColumn="0" w:firstRowLastColumn="0" w:lastRowFirstColumn="0" w:lastRowLastColumn="0"/>
              <w:rPr>
                <w:rFonts w:hint="eastAsia"/>
                <w:i w:val="0"/>
              </w:rPr>
            </w:pPr>
            <w:r>
              <w:rPr>
                <w:i w:val="0"/>
              </w:rPr>
              <w:t>T0 + 3,5 mois</w:t>
            </w:r>
          </w:p>
        </w:tc>
      </w:tr>
    </w:tbl>
    <w:p w14:paraId="09AC09E9" w14:textId="31CF8A0D" w:rsidR="00417294" w:rsidRPr="00F35DA8" w:rsidRDefault="00417294" w:rsidP="00445FD1">
      <w:pPr>
        <w:spacing w:before="240"/>
        <w:rPr>
          <w:rFonts w:hint="eastAsia"/>
          <w:i w:val="0"/>
        </w:rPr>
      </w:pPr>
      <w:r w:rsidRPr="00F35DA8">
        <w:rPr>
          <w:i w:val="0"/>
        </w:rPr>
        <w:t>En outre, un support de présentation type diaporama devra être produit pour chaque réunion de pilotage.</w:t>
      </w:r>
    </w:p>
    <w:p w14:paraId="2804F40E" w14:textId="436CB5A4" w:rsidR="00417294" w:rsidRPr="00F35DA8" w:rsidRDefault="00417294" w:rsidP="00417294">
      <w:pPr>
        <w:rPr>
          <w:rFonts w:hint="eastAsia"/>
          <w:i w:val="0"/>
        </w:rPr>
      </w:pPr>
      <w:r w:rsidRPr="00F35DA8">
        <w:rPr>
          <w:i w:val="0"/>
        </w:rPr>
        <w:t>Expertise France formulera ses remarques et observations au</w:t>
      </w:r>
      <w:r w:rsidR="00997683">
        <w:rPr>
          <w:i w:val="0"/>
        </w:rPr>
        <w:t xml:space="preserve"> prestataire</w:t>
      </w:r>
      <w:r w:rsidRPr="00F35DA8">
        <w:rPr>
          <w:i w:val="0"/>
        </w:rPr>
        <w:t xml:space="preserve"> dans les trois semaines suivant la réception du rapport provisoire. Il pourra être transmis </w:t>
      </w:r>
      <w:r w:rsidR="00EB2073">
        <w:rPr>
          <w:i w:val="0"/>
        </w:rPr>
        <w:t>aux bailleurs</w:t>
      </w:r>
      <w:r w:rsidR="00445FD1" w:rsidRPr="00F35DA8">
        <w:rPr>
          <w:i w:val="0"/>
        </w:rPr>
        <w:t xml:space="preserve"> </w:t>
      </w:r>
      <w:r w:rsidRPr="00F35DA8">
        <w:rPr>
          <w:i w:val="0"/>
        </w:rPr>
        <w:t>qui pourra également émettre ses commentaires.</w:t>
      </w:r>
    </w:p>
    <w:p w14:paraId="2FAB9F0C" w14:textId="3925F33A" w:rsidR="00776A6D" w:rsidRPr="00F35DA8" w:rsidRDefault="00417294" w:rsidP="00837F1B">
      <w:pPr>
        <w:rPr>
          <w:rFonts w:hint="eastAsia"/>
          <w:i w:val="0"/>
        </w:rPr>
      </w:pPr>
      <w:r w:rsidRPr="00F35DA8">
        <w:rPr>
          <w:i w:val="0"/>
        </w:rPr>
        <w:t xml:space="preserve">Le rapport définitif, intégrant ces observations, devra être disponible </w:t>
      </w:r>
      <w:r w:rsidRPr="00837F1B">
        <w:rPr>
          <w:i w:val="0"/>
        </w:rPr>
        <w:t>dans les 15 jours suivant</w:t>
      </w:r>
      <w:r w:rsidRPr="00F35DA8">
        <w:rPr>
          <w:i w:val="0"/>
        </w:rPr>
        <w:t xml:space="preserve"> la réception des commentaires. Si ces observations expriment des différences d’ap</w:t>
      </w:r>
      <w:r w:rsidR="00837F1B">
        <w:rPr>
          <w:i w:val="0"/>
        </w:rPr>
        <w:t xml:space="preserve">préciation non partagées par </w:t>
      </w:r>
      <w:r w:rsidR="00E47656">
        <w:rPr>
          <w:i w:val="0"/>
        </w:rPr>
        <w:t>le prestataire</w:t>
      </w:r>
      <w:r w:rsidRPr="00F35DA8">
        <w:rPr>
          <w:i w:val="0"/>
        </w:rPr>
        <w:t xml:space="preserve">, celles-ci peuvent être annexées au rapport définitif et commentées par </w:t>
      </w:r>
      <w:r w:rsidR="00E47656">
        <w:rPr>
          <w:i w:val="0"/>
        </w:rPr>
        <w:t>le prestataire</w:t>
      </w:r>
      <w:r w:rsidRPr="00F35DA8">
        <w:rPr>
          <w:i w:val="0"/>
        </w:rPr>
        <w:t xml:space="preserve">. </w:t>
      </w:r>
    </w:p>
    <w:p w14:paraId="6253822D" w14:textId="3FEC4910" w:rsidR="00986A7D" w:rsidRPr="00F35DA8" w:rsidRDefault="00986A7D" w:rsidP="00445FD1">
      <w:pPr>
        <w:pStyle w:val="Titre1"/>
        <w:spacing w:after="0"/>
        <w:rPr>
          <w:rFonts w:hint="eastAsia"/>
          <w:i w:val="0"/>
        </w:rPr>
      </w:pPr>
      <w:bookmarkStart w:id="14" w:name="_Toc70668759"/>
      <w:r w:rsidRPr="00F35DA8">
        <w:rPr>
          <w:i w:val="0"/>
        </w:rPr>
        <w:t>Organisation des travaux</w:t>
      </w:r>
      <w:bookmarkEnd w:id="14"/>
    </w:p>
    <w:p w14:paraId="27E48E1C" w14:textId="3B26E869" w:rsidR="00986A7D" w:rsidRPr="00F35DA8" w:rsidRDefault="00986A7D" w:rsidP="00EB2073">
      <w:pPr>
        <w:pStyle w:val="Titre2"/>
        <w:ind w:left="576"/>
        <w:rPr>
          <w:rFonts w:hint="eastAsia"/>
          <w:i w:val="0"/>
        </w:rPr>
      </w:pPr>
      <w:bookmarkStart w:id="15" w:name="_Toc70668760"/>
      <w:r w:rsidRPr="00F35DA8">
        <w:rPr>
          <w:i w:val="0"/>
        </w:rPr>
        <w:t>Pilotage de l’évaluation et gouvernance du projet</w:t>
      </w:r>
      <w:bookmarkEnd w:id="15"/>
    </w:p>
    <w:p w14:paraId="26542E90" w14:textId="433A8703" w:rsidR="00E6599F" w:rsidRPr="00F35DA8" w:rsidRDefault="00707C74" w:rsidP="00E6599F">
      <w:pPr>
        <w:rPr>
          <w:rFonts w:hint="eastAsia"/>
          <w:i w:val="0"/>
        </w:rPr>
      </w:pPr>
      <w:r>
        <w:rPr>
          <w:i w:val="0"/>
        </w:rPr>
        <w:t xml:space="preserve">La </w:t>
      </w:r>
      <w:proofErr w:type="spellStart"/>
      <w:r>
        <w:rPr>
          <w:i w:val="0"/>
        </w:rPr>
        <w:t>baseline</w:t>
      </w:r>
      <w:proofErr w:type="spellEnd"/>
      <w:r w:rsidR="00E6599F" w:rsidRPr="00F35DA8">
        <w:rPr>
          <w:i w:val="0"/>
        </w:rPr>
        <w:t xml:space="preserve"> </w:t>
      </w:r>
      <w:r>
        <w:rPr>
          <w:i w:val="0"/>
        </w:rPr>
        <w:t>sera</w:t>
      </w:r>
      <w:r w:rsidR="00E6599F" w:rsidRPr="00F35DA8">
        <w:rPr>
          <w:i w:val="0"/>
        </w:rPr>
        <w:t xml:space="preserve"> gérée par </w:t>
      </w:r>
      <w:r w:rsidR="00445FD1" w:rsidRPr="00F35DA8">
        <w:rPr>
          <w:i w:val="0"/>
        </w:rPr>
        <w:t>l</w:t>
      </w:r>
      <w:r>
        <w:rPr>
          <w:i w:val="0"/>
        </w:rPr>
        <w:t xml:space="preserve">a cheffe de projet et le coordinateur SERA de la Direction Pays Tunisie/Libye, </w:t>
      </w:r>
      <w:r w:rsidR="00E6599F" w:rsidRPr="00F35DA8">
        <w:rPr>
          <w:i w:val="0"/>
        </w:rPr>
        <w:t xml:space="preserve">avec l’aide d’un </w:t>
      </w:r>
      <w:r w:rsidR="00EB725C" w:rsidRPr="00F35DA8">
        <w:rPr>
          <w:i w:val="0"/>
        </w:rPr>
        <w:t>comité de pilotage</w:t>
      </w:r>
      <w:r w:rsidR="00E6599F" w:rsidRPr="00F35DA8">
        <w:rPr>
          <w:i w:val="0"/>
        </w:rPr>
        <w:t xml:space="preserve"> composé </w:t>
      </w:r>
      <w:r>
        <w:rPr>
          <w:i w:val="0"/>
        </w:rPr>
        <w:t xml:space="preserve">de la cheffe </w:t>
      </w:r>
      <w:r w:rsidR="006972C9">
        <w:rPr>
          <w:i w:val="0"/>
        </w:rPr>
        <w:t>de pr</w:t>
      </w:r>
      <w:r>
        <w:rPr>
          <w:i w:val="0"/>
        </w:rPr>
        <w:t xml:space="preserve">ojet, le point focal au sein du/des </w:t>
      </w:r>
      <w:proofErr w:type="spellStart"/>
      <w:proofErr w:type="gramStart"/>
      <w:r>
        <w:rPr>
          <w:i w:val="0"/>
        </w:rPr>
        <w:t>partenaire.s</w:t>
      </w:r>
      <w:proofErr w:type="spellEnd"/>
      <w:proofErr w:type="gramEnd"/>
      <w:r>
        <w:rPr>
          <w:i w:val="0"/>
        </w:rPr>
        <w:t xml:space="preserve"> de mise en œuvre et </w:t>
      </w:r>
      <w:r w:rsidR="00541CA4">
        <w:rPr>
          <w:i w:val="0"/>
        </w:rPr>
        <w:t xml:space="preserve">des </w:t>
      </w:r>
      <w:r>
        <w:rPr>
          <w:i w:val="0"/>
        </w:rPr>
        <w:t>bailleur</w:t>
      </w:r>
      <w:r w:rsidR="00541CA4">
        <w:rPr>
          <w:i w:val="0"/>
        </w:rPr>
        <w:t>s</w:t>
      </w:r>
      <w:r>
        <w:rPr>
          <w:i w:val="0"/>
        </w:rPr>
        <w:t xml:space="preserve"> de fonds</w:t>
      </w:r>
      <w:r w:rsidR="006972C9">
        <w:rPr>
          <w:i w:val="0"/>
        </w:rPr>
        <w:t>.</w:t>
      </w:r>
    </w:p>
    <w:p w14:paraId="068B1E9C" w14:textId="418DB80F" w:rsidR="00E6599F" w:rsidRPr="00F35DA8" w:rsidRDefault="00E6599F" w:rsidP="00E6599F">
      <w:pPr>
        <w:rPr>
          <w:rFonts w:hint="eastAsia"/>
          <w:i w:val="0"/>
        </w:rPr>
      </w:pPr>
      <w:r w:rsidRPr="00F35DA8">
        <w:rPr>
          <w:i w:val="0"/>
        </w:rPr>
        <w:t xml:space="preserve">Les fonctions principales des membres du </w:t>
      </w:r>
      <w:r w:rsidR="00EB725C" w:rsidRPr="00F35DA8">
        <w:rPr>
          <w:i w:val="0"/>
        </w:rPr>
        <w:t xml:space="preserve">comité de pilotage </w:t>
      </w:r>
      <w:r w:rsidRPr="00F35DA8">
        <w:rPr>
          <w:i w:val="0"/>
        </w:rPr>
        <w:t>sont :</w:t>
      </w:r>
    </w:p>
    <w:p w14:paraId="22220769" w14:textId="576281AE" w:rsidR="00E6599F" w:rsidRPr="00F35DA8" w:rsidRDefault="00E6599F" w:rsidP="00981B13">
      <w:pPr>
        <w:pStyle w:val="Paragraphedeliste"/>
        <w:numPr>
          <w:ilvl w:val="0"/>
          <w:numId w:val="16"/>
        </w:numPr>
        <w:tabs>
          <w:tab w:val="clear" w:pos="9923"/>
        </w:tabs>
        <w:contextualSpacing/>
        <w:rPr>
          <w:rFonts w:hint="eastAsia"/>
          <w:i w:val="0"/>
        </w:rPr>
      </w:pPr>
      <w:r w:rsidRPr="00F35DA8">
        <w:rPr>
          <w:i w:val="0"/>
        </w:rPr>
        <w:t>De faciliter les contac</w:t>
      </w:r>
      <w:r w:rsidR="00707C74">
        <w:rPr>
          <w:i w:val="0"/>
        </w:rPr>
        <w:t xml:space="preserve">ts entre l’équipe d’évaluation </w:t>
      </w:r>
      <w:r w:rsidRPr="00F35DA8">
        <w:rPr>
          <w:i w:val="0"/>
        </w:rPr>
        <w:t>et</w:t>
      </w:r>
      <w:r w:rsidR="00445FD1" w:rsidRPr="00F35DA8">
        <w:rPr>
          <w:i w:val="0"/>
        </w:rPr>
        <w:t xml:space="preserve"> les parties prenantes externes ;</w:t>
      </w:r>
    </w:p>
    <w:p w14:paraId="0E831E97" w14:textId="7DAEAFB4" w:rsidR="00E6599F" w:rsidRPr="00F35DA8" w:rsidRDefault="00E6599F" w:rsidP="00981B13">
      <w:pPr>
        <w:pStyle w:val="Paragraphedeliste"/>
        <w:numPr>
          <w:ilvl w:val="0"/>
          <w:numId w:val="16"/>
        </w:numPr>
        <w:tabs>
          <w:tab w:val="clear" w:pos="9923"/>
        </w:tabs>
        <w:contextualSpacing/>
        <w:rPr>
          <w:rFonts w:hint="eastAsia"/>
          <w:i w:val="0"/>
        </w:rPr>
      </w:pPr>
      <w:r w:rsidRPr="00F35DA8">
        <w:rPr>
          <w:i w:val="0"/>
        </w:rPr>
        <w:t xml:space="preserve">De s’assurer que l’équipe </w:t>
      </w:r>
      <w:r w:rsidR="00707C74">
        <w:rPr>
          <w:i w:val="0"/>
        </w:rPr>
        <w:t xml:space="preserve">en charge de la </w:t>
      </w:r>
      <w:proofErr w:type="spellStart"/>
      <w:r w:rsidR="00707C74">
        <w:rPr>
          <w:i w:val="0"/>
        </w:rPr>
        <w:t>baseline</w:t>
      </w:r>
      <w:proofErr w:type="spellEnd"/>
      <w:r w:rsidRPr="00F35DA8">
        <w:rPr>
          <w:i w:val="0"/>
        </w:rPr>
        <w:t xml:space="preserve"> a accès à toutes les sources d’information et de documentation liées à l’a</w:t>
      </w:r>
      <w:r w:rsidR="00445FD1" w:rsidRPr="00F35DA8">
        <w:rPr>
          <w:i w:val="0"/>
        </w:rPr>
        <w:t>ction à évaluer et les consulte ;</w:t>
      </w:r>
    </w:p>
    <w:p w14:paraId="495A423B" w14:textId="4FDD73C8" w:rsidR="00E6599F" w:rsidRPr="00F35DA8" w:rsidRDefault="00E6599F" w:rsidP="00981B13">
      <w:pPr>
        <w:pStyle w:val="Paragraphedeliste"/>
        <w:numPr>
          <w:ilvl w:val="0"/>
          <w:numId w:val="16"/>
        </w:numPr>
        <w:tabs>
          <w:tab w:val="clear" w:pos="9923"/>
        </w:tabs>
        <w:contextualSpacing/>
        <w:rPr>
          <w:rFonts w:hint="eastAsia"/>
          <w:i w:val="0"/>
        </w:rPr>
      </w:pPr>
      <w:r w:rsidRPr="00F35DA8">
        <w:rPr>
          <w:i w:val="0"/>
        </w:rPr>
        <w:t xml:space="preserve">De discuter et de commenter les rapports produits par l’équipe </w:t>
      </w:r>
      <w:r w:rsidR="00707C74">
        <w:rPr>
          <w:i w:val="0"/>
        </w:rPr>
        <w:t xml:space="preserve">de la </w:t>
      </w:r>
      <w:proofErr w:type="spellStart"/>
      <w:r w:rsidR="00707C74">
        <w:rPr>
          <w:i w:val="0"/>
        </w:rPr>
        <w:t>baseline</w:t>
      </w:r>
      <w:proofErr w:type="spellEnd"/>
      <w:r w:rsidRPr="00F35DA8">
        <w:rPr>
          <w:i w:val="0"/>
        </w:rPr>
        <w:t>. Les commentaires de chaque membre du groupe de référence sont rassemblés par le chef de projet, puis t</w:t>
      </w:r>
      <w:r w:rsidR="00BA5715">
        <w:rPr>
          <w:i w:val="0"/>
        </w:rPr>
        <w:t>ransmis à l’équipe</w:t>
      </w:r>
      <w:r w:rsidR="00445FD1" w:rsidRPr="00F35DA8">
        <w:rPr>
          <w:i w:val="0"/>
        </w:rPr>
        <w:t> ;</w:t>
      </w:r>
    </w:p>
    <w:p w14:paraId="26ABBA09" w14:textId="62A7FA75" w:rsidR="00E6599F" w:rsidRDefault="00E6599F" w:rsidP="00981B13">
      <w:pPr>
        <w:pStyle w:val="Paragraphedeliste"/>
        <w:numPr>
          <w:ilvl w:val="0"/>
          <w:numId w:val="16"/>
        </w:numPr>
        <w:tabs>
          <w:tab w:val="clear" w:pos="9923"/>
        </w:tabs>
        <w:contextualSpacing/>
        <w:rPr>
          <w:rFonts w:hint="eastAsia"/>
          <w:i w:val="0"/>
        </w:rPr>
      </w:pPr>
      <w:r w:rsidRPr="00F35DA8">
        <w:rPr>
          <w:i w:val="0"/>
        </w:rPr>
        <w:t>D’assister le processus de rétroaction (feedback) à partir des résultats, des conclusions, des recommandations et de</w:t>
      </w:r>
      <w:r w:rsidR="00445FD1" w:rsidRPr="00F35DA8">
        <w:rPr>
          <w:i w:val="0"/>
        </w:rPr>
        <w:t xml:space="preserve">s leçons tirées de </w:t>
      </w:r>
      <w:r w:rsidR="00BA5715">
        <w:rPr>
          <w:i w:val="0"/>
        </w:rPr>
        <w:t xml:space="preserve">la </w:t>
      </w:r>
      <w:proofErr w:type="spellStart"/>
      <w:r w:rsidR="00BA5715">
        <w:rPr>
          <w:i w:val="0"/>
        </w:rPr>
        <w:t>baseline</w:t>
      </w:r>
      <w:proofErr w:type="spellEnd"/>
      <w:r w:rsidR="00445FD1" w:rsidRPr="00F35DA8">
        <w:rPr>
          <w:i w:val="0"/>
        </w:rPr>
        <w:t> ;</w:t>
      </w:r>
    </w:p>
    <w:p w14:paraId="61404D71" w14:textId="77777777" w:rsidR="00BA5715" w:rsidRPr="00F35DA8" w:rsidRDefault="00BA5715" w:rsidP="00BA5715">
      <w:pPr>
        <w:pStyle w:val="Paragraphedeliste"/>
        <w:numPr>
          <w:ilvl w:val="0"/>
          <w:numId w:val="0"/>
        </w:numPr>
        <w:tabs>
          <w:tab w:val="clear" w:pos="9923"/>
        </w:tabs>
        <w:ind w:left="720"/>
        <w:contextualSpacing/>
        <w:rPr>
          <w:rFonts w:hint="eastAsia"/>
          <w:i w:val="0"/>
        </w:rPr>
      </w:pPr>
    </w:p>
    <w:p w14:paraId="6A052149" w14:textId="23B7E247" w:rsidR="00986A7D" w:rsidRPr="00F35DA8" w:rsidRDefault="00986A7D" w:rsidP="00EB2073">
      <w:pPr>
        <w:pStyle w:val="Titre2"/>
        <w:ind w:left="576"/>
        <w:rPr>
          <w:rFonts w:hint="eastAsia"/>
          <w:i w:val="0"/>
        </w:rPr>
      </w:pPr>
      <w:bookmarkStart w:id="16" w:name="_Toc70668761"/>
      <w:r w:rsidRPr="00F35DA8">
        <w:rPr>
          <w:i w:val="0"/>
        </w:rPr>
        <w:t xml:space="preserve">Modalités de </w:t>
      </w:r>
      <w:r w:rsidR="000A0947" w:rsidRPr="00F35DA8">
        <w:rPr>
          <w:i w:val="0"/>
        </w:rPr>
        <w:t>coordination</w:t>
      </w:r>
      <w:bookmarkEnd w:id="16"/>
    </w:p>
    <w:p w14:paraId="2FF6FC26" w14:textId="709F2E6B" w:rsidR="002A47F6" w:rsidRPr="00F35DA8" w:rsidRDefault="002A47F6" w:rsidP="00445FD1">
      <w:pPr>
        <w:rPr>
          <w:rFonts w:asciiTheme="majorHAnsi" w:hAnsiTheme="majorHAnsi"/>
          <w:i w:val="0"/>
        </w:rPr>
      </w:pPr>
      <w:r w:rsidRPr="00F35DA8">
        <w:rPr>
          <w:rFonts w:asciiTheme="majorHAnsi" w:hAnsiTheme="majorHAnsi"/>
          <w:i w:val="0"/>
        </w:rPr>
        <w:t>Il est demandé au</w:t>
      </w:r>
      <w:r w:rsidR="00997683">
        <w:rPr>
          <w:rFonts w:asciiTheme="majorHAnsi" w:hAnsiTheme="majorHAnsi"/>
          <w:i w:val="0"/>
        </w:rPr>
        <w:t xml:space="preserve"> prestataire</w:t>
      </w:r>
      <w:r w:rsidRPr="00F35DA8">
        <w:rPr>
          <w:rFonts w:asciiTheme="majorHAnsi" w:hAnsiTheme="majorHAnsi"/>
          <w:i w:val="0"/>
        </w:rPr>
        <w:t xml:space="preserve"> d</w:t>
      </w:r>
      <w:r w:rsidR="00445FD1" w:rsidRPr="00F35DA8">
        <w:rPr>
          <w:rFonts w:asciiTheme="majorHAnsi" w:hAnsiTheme="majorHAnsi"/>
          <w:i w:val="0"/>
        </w:rPr>
        <w:t>’</w:t>
      </w:r>
      <w:r w:rsidRPr="00F35DA8">
        <w:rPr>
          <w:rFonts w:asciiTheme="majorHAnsi" w:hAnsiTheme="majorHAnsi"/>
          <w:i w:val="0"/>
        </w:rPr>
        <w:t>associer étroitement</w:t>
      </w:r>
      <w:r w:rsidR="00AB211B">
        <w:rPr>
          <w:rFonts w:asciiTheme="majorHAnsi" w:hAnsiTheme="majorHAnsi"/>
          <w:i w:val="0"/>
        </w:rPr>
        <w:t xml:space="preserve"> les membres du comité de pilotage de </w:t>
      </w:r>
      <w:r w:rsidR="00BA5715">
        <w:rPr>
          <w:rFonts w:asciiTheme="majorHAnsi" w:hAnsiTheme="majorHAnsi"/>
          <w:i w:val="0"/>
        </w:rPr>
        <w:t xml:space="preserve">la </w:t>
      </w:r>
      <w:proofErr w:type="spellStart"/>
      <w:r w:rsidR="00BA5715">
        <w:rPr>
          <w:rFonts w:asciiTheme="majorHAnsi" w:hAnsiTheme="majorHAnsi"/>
          <w:i w:val="0"/>
        </w:rPr>
        <w:t>baseline</w:t>
      </w:r>
      <w:proofErr w:type="spellEnd"/>
      <w:r w:rsidR="00AB211B">
        <w:rPr>
          <w:rFonts w:asciiTheme="majorHAnsi" w:hAnsiTheme="majorHAnsi"/>
          <w:i w:val="0"/>
        </w:rPr>
        <w:t xml:space="preserve"> (</w:t>
      </w:r>
      <w:r w:rsidRPr="00F35DA8">
        <w:rPr>
          <w:rFonts w:asciiTheme="majorHAnsi" w:hAnsiTheme="majorHAnsi"/>
          <w:i w:val="0"/>
        </w:rPr>
        <w:t xml:space="preserve">Expertise </w:t>
      </w:r>
      <w:r w:rsidR="00AB211B">
        <w:rPr>
          <w:rFonts w:asciiTheme="majorHAnsi" w:hAnsiTheme="majorHAnsi"/>
          <w:i w:val="0"/>
        </w:rPr>
        <w:t xml:space="preserve">France, </w:t>
      </w:r>
      <w:r w:rsidR="00BA5715">
        <w:rPr>
          <w:rFonts w:asciiTheme="majorHAnsi" w:hAnsiTheme="majorHAnsi"/>
          <w:i w:val="0"/>
        </w:rPr>
        <w:t>partenaires de mise en œuvre et bailleurs)</w:t>
      </w:r>
      <w:r w:rsidRPr="00F35DA8">
        <w:rPr>
          <w:rFonts w:asciiTheme="majorHAnsi" w:hAnsiTheme="majorHAnsi"/>
          <w:i w:val="0"/>
        </w:rPr>
        <w:t xml:space="preserve"> à la construction de son raisonnement, par des liens réguliers tout au long de la mission, de la note de cadrage jusqu’à la réunion de présentation du rapport provisoire. En particulier, un partage des constats et des premiers éléments d’analyse doit se faire dès la fin de la mission, avant la rédaction du rapport provisoire.</w:t>
      </w:r>
    </w:p>
    <w:p w14:paraId="4CF8ADC5" w14:textId="6A8CFC0D" w:rsidR="00986A7D" w:rsidRPr="00F35DA8" w:rsidRDefault="00986A7D" w:rsidP="00EB2073">
      <w:pPr>
        <w:pStyle w:val="Titre2"/>
        <w:ind w:left="576"/>
        <w:rPr>
          <w:rFonts w:hint="eastAsia"/>
          <w:i w:val="0"/>
        </w:rPr>
      </w:pPr>
      <w:bookmarkStart w:id="17" w:name="_Toc70668763"/>
      <w:r w:rsidRPr="00F35DA8">
        <w:rPr>
          <w:i w:val="0"/>
        </w:rPr>
        <w:t>Calendrier</w:t>
      </w:r>
      <w:bookmarkEnd w:id="17"/>
    </w:p>
    <w:p w14:paraId="45073D1A" w14:textId="56287396" w:rsidR="004C5D8E" w:rsidRPr="00F35DA8" w:rsidRDefault="004C5D8E" w:rsidP="004C5D8E">
      <w:pPr>
        <w:rPr>
          <w:rFonts w:hint="eastAsia"/>
          <w:i w:val="0"/>
        </w:rPr>
      </w:pPr>
      <w:r w:rsidRPr="00F35DA8">
        <w:rPr>
          <w:i w:val="0"/>
        </w:rPr>
        <w:t xml:space="preserve">La </w:t>
      </w:r>
      <w:r w:rsidR="009C5476">
        <w:rPr>
          <w:i w:val="0"/>
        </w:rPr>
        <w:t xml:space="preserve">mission se déroulera </w:t>
      </w:r>
      <w:r w:rsidRPr="00F35DA8">
        <w:rPr>
          <w:i w:val="0"/>
        </w:rPr>
        <w:t>entre</w:t>
      </w:r>
      <w:r w:rsidR="00F25F92">
        <w:rPr>
          <w:i w:val="0"/>
        </w:rPr>
        <w:t xml:space="preserve"> octobre 2024 et janvier</w:t>
      </w:r>
      <w:r w:rsidR="004A24F9">
        <w:rPr>
          <w:i w:val="0"/>
        </w:rPr>
        <w:t xml:space="preserve"> 2025</w:t>
      </w:r>
      <w:r w:rsidRPr="00F35DA8">
        <w:rPr>
          <w:i w:val="0"/>
        </w:rPr>
        <w:t xml:space="preserve"> telle que détaillée ci-dessous</w:t>
      </w:r>
      <w:r w:rsidR="004A24F9">
        <w:rPr>
          <w:i w:val="0"/>
        </w:rPr>
        <w:t xml:space="preserve">. </w:t>
      </w:r>
      <w:r w:rsidR="004A24F9">
        <w:rPr>
          <w:rFonts w:hint="eastAsia"/>
          <w:i w:val="0"/>
        </w:rPr>
        <w:t>L</w:t>
      </w:r>
      <w:r w:rsidR="004A24F9">
        <w:rPr>
          <w:i w:val="0"/>
        </w:rPr>
        <w:t>es dates sont pour l’instant données</w:t>
      </w:r>
      <w:r w:rsidRPr="00F35DA8">
        <w:rPr>
          <w:i w:val="0"/>
        </w:rPr>
        <w:t xml:space="preserve"> à titre indicatif</w:t>
      </w:r>
      <w:r w:rsidR="004A24F9">
        <w:rPr>
          <w:i w:val="0"/>
        </w:rPr>
        <w:t xml:space="preserve"> et pourront être révisées</w:t>
      </w:r>
      <w:r w:rsidRPr="00F35DA8">
        <w:rPr>
          <w:i w:val="0"/>
        </w:rPr>
        <w:t xml:space="preserve"> :  </w:t>
      </w:r>
    </w:p>
    <w:tbl>
      <w:tblPr>
        <w:tblStyle w:val="TableauGrille1Clair-Accentuation1"/>
        <w:tblW w:w="9776" w:type="dxa"/>
        <w:tblLayout w:type="fixed"/>
        <w:tblLook w:val="04A0" w:firstRow="1" w:lastRow="0" w:firstColumn="1" w:lastColumn="0" w:noHBand="0" w:noVBand="1"/>
      </w:tblPr>
      <w:tblGrid>
        <w:gridCol w:w="4673"/>
        <w:gridCol w:w="1701"/>
        <w:gridCol w:w="3402"/>
      </w:tblGrid>
      <w:tr w:rsidR="004A24F9" w:rsidRPr="00F35DA8" w14:paraId="003CC87F" w14:textId="77777777" w:rsidTr="004A2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41BFF3C0" w14:textId="77777777" w:rsidR="004A24F9" w:rsidRPr="00F35DA8" w:rsidRDefault="004A24F9" w:rsidP="004A24F9">
            <w:pPr>
              <w:ind w:left="0"/>
              <w:jc w:val="center"/>
              <w:rPr>
                <w:rFonts w:hint="eastAsia"/>
                <w:i w:val="0"/>
              </w:rPr>
            </w:pPr>
            <w:r w:rsidRPr="00F35DA8">
              <w:rPr>
                <w:i w:val="0"/>
              </w:rPr>
              <w:t>Activités</w:t>
            </w:r>
          </w:p>
        </w:tc>
        <w:tc>
          <w:tcPr>
            <w:tcW w:w="1701" w:type="dxa"/>
            <w:vAlign w:val="center"/>
          </w:tcPr>
          <w:p w14:paraId="7BF6D667" w14:textId="77777777" w:rsidR="004A24F9" w:rsidRPr="00F35DA8" w:rsidRDefault="004A24F9" w:rsidP="004A24F9">
            <w:pPr>
              <w:ind w:left="0"/>
              <w:jc w:val="center"/>
              <w:cnfStyle w:val="100000000000" w:firstRow="1" w:lastRow="0" w:firstColumn="0" w:lastColumn="0" w:oddVBand="0" w:evenVBand="0" w:oddHBand="0" w:evenHBand="0" w:firstRowFirstColumn="0" w:firstRowLastColumn="0" w:lastRowFirstColumn="0" w:lastRowLastColumn="0"/>
              <w:rPr>
                <w:rFonts w:hint="eastAsia"/>
                <w:i w:val="0"/>
              </w:rPr>
            </w:pPr>
            <w:r w:rsidRPr="00F35DA8">
              <w:rPr>
                <w:i w:val="0"/>
              </w:rPr>
              <w:t>Lieu</w:t>
            </w:r>
          </w:p>
        </w:tc>
        <w:tc>
          <w:tcPr>
            <w:tcW w:w="3402" w:type="dxa"/>
            <w:vAlign w:val="center"/>
          </w:tcPr>
          <w:p w14:paraId="478C1C76" w14:textId="77777777" w:rsidR="004A24F9" w:rsidRPr="00F35DA8" w:rsidRDefault="004A24F9" w:rsidP="004A24F9">
            <w:pPr>
              <w:ind w:left="0"/>
              <w:jc w:val="center"/>
              <w:cnfStyle w:val="100000000000" w:firstRow="1" w:lastRow="0" w:firstColumn="0" w:lastColumn="0" w:oddVBand="0" w:evenVBand="0" w:oddHBand="0" w:evenHBand="0" w:firstRowFirstColumn="0" w:firstRowLastColumn="0" w:lastRowFirstColumn="0" w:lastRowLastColumn="0"/>
              <w:rPr>
                <w:rFonts w:hint="eastAsia"/>
                <w:i w:val="0"/>
              </w:rPr>
            </w:pPr>
            <w:r w:rsidRPr="00F35DA8">
              <w:rPr>
                <w:i w:val="0"/>
              </w:rPr>
              <w:t>Période</w:t>
            </w:r>
          </w:p>
        </w:tc>
      </w:tr>
      <w:tr w:rsidR="00541CA4" w:rsidRPr="00F35DA8" w14:paraId="46FA183F" w14:textId="77777777" w:rsidTr="004A24F9">
        <w:tc>
          <w:tcPr>
            <w:cnfStyle w:val="001000000000" w:firstRow="0" w:lastRow="0" w:firstColumn="1" w:lastColumn="0" w:oddVBand="0" w:evenVBand="0" w:oddHBand="0" w:evenHBand="0" w:firstRowFirstColumn="0" w:firstRowLastColumn="0" w:lastRowFirstColumn="0" w:lastRowLastColumn="0"/>
            <w:tcW w:w="4673" w:type="dxa"/>
          </w:tcPr>
          <w:p w14:paraId="36E46D0E" w14:textId="77777777" w:rsidR="00541CA4" w:rsidRPr="004A24F9" w:rsidRDefault="00541CA4" w:rsidP="00541CA4">
            <w:pPr>
              <w:pStyle w:val="Paragraphedeliste"/>
              <w:numPr>
                <w:ilvl w:val="0"/>
                <w:numId w:val="12"/>
              </w:numPr>
              <w:rPr>
                <w:rFonts w:hint="eastAsia"/>
                <w:i w:val="0"/>
              </w:rPr>
            </w:pPr>
            <w:r w:rsidRPr="004A24F9">
              <w:rPr>
                <w:i w:val="0"/>
              </w:rPr>
              <w:t>Phase de cadrage</w:t>
            </w:r>
          </w:p>
        </w:tc>
        <w:tc>
          <w:tcPr>
            <w:tcW w:w="1701" w:type="dxa"/>
          </w:tcPr>
          <w:p w14:paraId="74387F69" w14:textId="7BB9DF06"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Tunisie</w:t>
            </w:r>
          </w:p>
        </w:tc>
        <w:tc>
          <w:tcPr>
            <w:tcW w:w="3402" w:type="dxa"/>
          </w:tcPr>
          <w:p w14:paraId="367CD8C1" w14:textId="1588FC8F"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Novembre 2024</w:t>
            </w:r>
          </w:p>
        </w:tc>
      </w:tr>
      <w:tr w:rsidR="00541CA4" w:rsidRPr="00F35DA8" w14:paraId="72BAE2BA" w14:textId="77777777" w:rsidTr="004A24F9">
        <w:tc>
          <w:tcPr>
            <w:cnfStyle w:val="001000000000" w:firstRow="0" w:lastRow="0" w:firstColumn="1" w:lastColumn="0" w:oddVBand="0" w:evenVBand="0" w:oddHBand="0" w:evenHBand="0" w:firstRowFirstColumn="0" w:firstRowLastColumn="0" w:lastRowFirstColumn="0" w:lastRowLastColumn="0"/>
            <w:tcW w:w="4673" w:type="dxa"/>
          </w:tcPr>
          <w:p w14:paraId="77E487EC" w14:textId="651983B9" w:rsidR="00541CA4" w:rsidRPr="004A24F9" w:rsidRDefault="00541CA4" w:rsidP="00541CA4">
            <w:pPr>
              <w:pStyle w:val="Paragraphedeliste"/>
              <w:numPr>
                <w:ilvl w:val="0"/>
                <w:numId w:val="12"/>
              </w:numPr>
              <w:rPr>
                <w:rFonts w:hint="eastAsia"/>
                <w:i w:val="0"/>
              </w:rPr>
            </w:pPr>
            <w:r w:rsidRPr="004A24F9">
              <w:rPr>
                <w:i w:val="0"/>
              </w:rPr>
              <w:t>Collecte de données</w:t>
            </w:r>
          </w:p>
        </w:tc>
        <w:tc>
          <w:tcPr>
            <w:tcW w:w="1701" w:type="dxa"/>
          </w:tcPr>
          <w:p w14:paraId="153F5768" w14:textId="04814453"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Tunisie</w:t>
            </w:r>
          </w:p>
        </w:tc>
        <w:tc>
          <w:tcPr>
            <w:tcW w:w="3402" w:type="dxa"/>
          </w:tcPr>
          <w:p w14:paraId="3A08EF32" w14:textId="7D9C5BF7"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Novembre à Décembre 2024</w:t>
            </w:r>
          </w:p>
        </w:tc>
      </w:tr>
      <w:tr w:rsidR="00541CA4" w:rsidRPr="00F35DA8" w14:paraId="64F10EE7" w14:textId="77777777" w:rsidTr="004A24F9">
        <w:tc>
          <w:tcPr>
            <w:cnfStyle w:val="001000000000" w:firstRow="0" w:lastRow="0" w:firstColumn="1" w:lastColumn="0" w:oddVBand="0" w:evenVBand="0" w:oddHBand="0" w:evenHBand="0" w:firstRowFirstColumn="0" w:firstRowLastColumn="0" w:lastRowFirstColumn="0" w:lastRowLastColumn="0"/>
            <w:tcW w:w="4673" w:type="dxa"/>
          </w:tcPr>
          <w:p w14:paraId="3968BF27" w14:textId="3C0022CD" w:rsidR="00541CA4" w:rsidRPr="004A24F9" w:rsidRDefault="00541CA4" w:rsidP="00541CA4">
            <w:pPr>
              <w:pStyle w:val="Paragraphedeliste"/>
              <w:numPr>
                <w:ilvl w:val="0"/>
                <w:numId w:val="12"/>
              </w:numPr>
              <w:rPr>
                <w:rFonts w:hint="eastAsia"/>
                <w:i w:val="0"/>
              </w:rPr>
            </w:pPr>
            <w:r w:rsidRPr="004A24F9">
              <w:rPr>
                <w:i w:val="0"/>
              </w:rPr>
              <w:t>Analyses et contrôles des sources</w:t>
            </w:r>
          </w:p>
        </w:tc>
        <w:tc>
          <w:tcPr>
            <w:tcW w:w="1701" w:type="dxa"/>
          </w:tcPr>
          <w:p w14:paraId="027A1C21" w14:textId="253D8141"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Tunisie</w:t>
            </w:r>
          </w:p>
        </w:tc>
        <w:tc>
          <w:tcPr>
            <w:tcW w:w="3402" w:type="dxa"/>
          </w:tcPr>
          <w:p w14:paraId="2195D31D" w14:textId="5F34CB61"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Décembre 2024 à Janvier 2025</w:t>
            </w:r>
          </w:p>
        </w:tc>
      </w:tr>
      <w:tr w:rsidR="00541CA4" w:rsidRPr="00F35DA8" w14:paraId="67592DC0" w14:textId="77777777" w:rsidTr="004A24F9">
        <w:tc>
          <w:tcPr>
            <w:cnfStyle w:val="001000000000" w:firstRow="0" w:lastRow="0" w:firstColumn="1" w:lastColumn="0" w:oddVBand="0" w:evenVBand="0" w:oddHBand="0" w:evenHBand="0" w:firstRowFirstColumn="0" w:firstRowLastColumn="0" w:lastRowFirstColumn="0" w:lastRowLastColumn="0"/>
            <w:tcW w:w="4673" w:type="dxa"/>
          </w:tcPr>
          <w:p w14:paraId="0ED5A7AF" w14:textId="77777777" w:rsidR="00541CA4" w:rsidRPr="004A24F9" w:rsidRDefault="00541CA4" w:rsidP="00541CA4">
            <w:pPr>
              <w:pStyle w:val="Paragraphedeliste"/>
              <w:numPr>
                <w:ilvl w:val="0"/>
                <w:numId w:val="12"/>
              </w:numPr>
              <w:rPr>
                <w:rFonts w:hint="eastAsia"/>
                <w:i w:val="0"/>
              </w:rPr>
            </w:pPr>
            <w:r w:rsidRPr="004A24F9">
              <w:rPr>
                <w:i w:val="0"/>
              </w:rPr>
              <w:lastRenderedPageBreak/>
              <w:t>Restitutions finales</w:t>
            </w:r>
          </w:p>
        </w:tc>
        <w:tc>
          <w:tcPr>
            <w:tcW w:w="1701" w:type="dxa"/>
          </w:tcPr>
          <w:p w14:paraId="358EB067" w14:textId="148D612B"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Tunisie</w:t>
            </w:r>
          </w:p>
        </w:tc>
        <w:tc>
          <w:tcPr>
            <w:tcW w:w="3402" w:type="dxa"/>
          </w:tcPr>
          <w:p w14:paraId="3E12325D" w14:textId="40EAAD63" w:rsidR="00541CA4" w:rsidRPr="00F35DA8" w:rsidRDefault="00541CA4" w:rsidP="00541CA4">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Pr>
                <w:i w:val="0"/>
              </w:rPr>
              <w:t>Janvier 2025</w:t>
            </w:r>
          </w:p>
        </w:tc>
      </w:tr>
    </w:tbl>
    <w:p w14:paraId="0BA9CB2A" w14:textId="09041B0F" w:rsidR="007502BF" w:rsidRPr="00D141CE" w:rsidRDefault="007502BF" w:rsidP="00011C79">
      <w:pPr>
        <w:ind w:left="0"/>
        <w:rPr>
          <w:rFonts w:hint="eastAsia"/>
          <w:i w:val="0"/>
        </w:rPr>
      </w:pPr>
    </w:p>
    <w:p w14:paraId="1BA0C768" w14:textId="26BDCA81" w:rsidR="00776A6D" w:rsidRPr="00D141CE" w:rsidRDefault="00776A6D" w:rsidP="0082361C">
      <w:pPr>
        <w:pStyle w:val="Titre1"/>
        <w:rPr>
          <w:rFonts w:hint="eastAsia"/>
          <w:i w:val="0"/>
        </w:rPr>
      </w:pPr>
      <w:bookmarkStart w:id="18" w:name="_Toc70668764"/>
      <w:r w:rsidRPr="00D141CE">
        <w:rPr>
          <w:i w:val="0"/>
        </w:rPr>
        <w:t>Moyens</w:t>
      </w:r>
      <w:bookmarkEnd w:id="18"/>
    </w:p>
    <w:p w14:paraId="3EC97DF2" w14:textId="19142F81" w:rsidR="00776A6D" w:rsidRPr="00D141CE" w:rsidRDefault="00011C79" w:rsidP="00EB2073">
      <w:pPr>
        <w:pStyle w:val="Titre2"/>
        <w:ind w:left="576"/>
        <w:rPr>
          <w:rFonts w:hint="eastAsia"/>
          <w:i w:val="0"/>
        </w:rPr>
      </w:pPr>
      <w:bookmarkStart w:id="19" w:name="_Toc70668765"/>
      <w:r>
        <w:rPr>
          <w:i w:val="0"/>
        </w:rPr>
        <w:t>Profil</w:t>
      </w:r>
      <w:r w:rsidR="00302C46" w:rsidRPr="00D141CE">
        <w:rPr>
          <w:i w:val="0"/>
        </w:rPr>
        <w:t xml:space="preserve"> demandé</w:t>
      </w:r>
      <w:bookmarkEnd w:id="19"/>
    </w:p>
    <w:p w14:paraId="13F1DE9B" w14:textId="0EE9185F" w:rsidR="0072207C" w:rsidRPr="00011C79" w:rsidRDefault="00A23902" w:rsidP="00011C79">
      <w:pPr>
        <w:pStyle w:val="Titre3"/>
        <w:rPr>
          <w:i w:val="0"/>
        </w:rPr>
      </w:pPr>
      <w:r>
        <w:rPr>
          <w:rFonts w:eastAsia="Arial Unicode MS" w:cstheme="majorHAnsi"/>
          <w:i w:val="0"/>
        </w:rPr>
        <w:t>Expertises attendues</w:t>
      </w:r>
    </w:p>
    <w:p w14:paraId="2F40D1B1" w14:textId="2E916D2C" w:rsidR="00A23902" w:rsidRPr="00F25F92" w:rsidRDefault="00A23902" w:rsidP="00981B13">
      <w:pPr>
        <w:numPr>
          <w:ilvl w:val="1"/>
          <w:numId w:val="13"/>
        </w:numPr>
        <w:tabs>
          <w:tab w:val="num" w:pos="900"/>
        </w:tabs>
        <w:spacing w:after="0"/>
        <w:ind w:left="900"/>
        <w:rPr>
          <w:rFonts w:ascii="Calibri" w:eastAsia="Arial Unicode MS" w:hAnsi="Calibri" w:cs="Calibri"/>
          <w:b/>
          <w:i w:val="0"/>
          <w:iCs w:val="0"/>
        </w:rPr>
      </w:pPr>
      <w:r w:rsidRPr="00F25F92">
        <w:rPr>
          <w:rFonts w:ascii="Calibri" w:eastAsia="Arial Unicode MS" w:hAnsi="Calibri" w:cs="Calibri"/>
          <w:b/>
          <w:i w:val="0"/>
        </w:rPr>
        <w:t>Nombre d’</w:t>
      </w:r>
      <w:proofErr w:type="spellStart"/>
      <w:r w:rsidRPr="00F25F92">
        <w:rPr>
          <w:rFonts w:ascii="Calibri" w:eastAsia="Arial Unicode MS" w:hAnsi="Calibri" w:cs="Calibri"/>
          <w:b/>
          <w:i w:val="0"/>
        </w:rPr>
        <w:t>expert.</w:t>
      </w:r>
      <w:proofErr w:type="gramStart"/>
      <w:r w:rsidRPr="00F25F92">
        <w:rPr>
          <w:rFonts w:ascii="Calibri" w:eastAsia="Arial Unicode MS" w:hAnsi="Calibri" w:cs="Calibri"/>
          <w:b/>
          <w:i w:val="0"/>
        </w:rPr>
        <w:t>e.s</w:t>
      </w:r>
      <w:proofErr w:type="spellEnd"/>
      <w:proofErr w:type="gramEnd"/>
      <w:r w:rsidRPr="00F25F92">
        <w:rPr>
          <w:rFonts w:ascii="Calibri" w:eastAsia="Arial Unicode MS" w:hAnsi="Calibri" w:cs="Calibri"/>
          <w:b/>
          <w:i w:val="0"/>
        </w:rPr>
        <w:t xml:space="preserve"> par mission :</w:t>
      </w:r>
      <w:r w:rsidRPr="00F25F92">
        <w:rPr>
          <w:rFonts w:ascii="Calibri" w:eastAsia="Arial Unicode MS" w:hAnsi="Calibri" w:cs="Calibri"/>
          <w:i w:val="0"/>
        </w:rPr>
        <w:t xml:space="preserve"> </w:t>
      </w:r>
      <w:r w:rsidR="00F25F92" w:rsidRPr="00F25F92">
        <w:rPr>
          <w:rFonts w:ascii="Calibri" w:eastAsia="Arial Unicode MS" w:hAnsi="Calibri" w:cs="Calibri"/>
          <w:i w:val="0"/>
        </w:rPr>
        <w:t xml:space="preserve">au moins 2 </w:t>
      </w:r>
      <w:proofErr w:type="spellStart"/>
      <w:r w:rsidR="00F25F92" w:rsidRPr="00F25F92">
        <w:rPr>
          <w:rFonts w:ascii="Calibri" w:eastAsia="Arial Unicode MS" w:hAnsi="Calibri" w:cs="Calibri"/>
          <w:i w:val="0"/>
        </w:rPr>
        <w:t>expert.e.s</w:t>
      </w:r>
      <w:proofErr w:type="spellEnd"/>
      <w:r w:rsidRPr="00F25F92">
        <w:rPr>
          <w:rFonts w:ascii="Calibri" w:eastAsia="Arial Unicode MS" w:hAnsi="Calibri" w:cs="Calibri"/>
          <w:i w:val="0"/>
        </w:rPr>
        <w:t xml:space="preserve"> (</w:t>
      </w:r>
      <w:r w:rsidR="00F25F92" w:rsidRPr="00F25F92">
        <w:rPr>
          <w:rFonts w:ascii="Calibri" w:eastAsia="Arial Unicode MS" w:hAnsi="Calibri" w:cs="Calibri"/>
          <w:i w:val="0"/>
        </w:rPr>
        <w:t xml:space="preserve">individuel ou </w:t>
      </w:r>
      <w:r w:rsidRPr="00F25F92">
        <w:rPr>
          <w:rFonts w:ascii="Calibri" w:eastAsia="Arial Unicode MS" w:hAnsi="Calibri" w:cs="Calibri"/>
          <w:i w:val="0"/>
        </w:rPr>
        <w:t xml:space="preserve">cabinet d’expertise). </w:t>
      </w:r>
    </w:p>
    <w:p w14:paraId="64B934F0" w14:textId="7819C02B" w:rsidR="00A23902" w:rsidRPr="00F25F92" w:rsidRDefault="00A23902" w:rsidP="00981B13">
      <w:pPr>
        <w:numPr>
          <w:ilvl w:val="1"/>
          <w:numId w:val="13"/>
        </w:numPr>
        <w:tabs>
          <w:tab w:val="num" w:pos="900"/>
        </w:tabs>
        <w:spacing w:after="0"/>
        <w:ind w:left="900"/>
        <w:rPr>
          <w:rFonts w:ascii="Calibri" w:eastAsia="Arial Unicode MS" w:hAnsi="Calibri" w:cs="Calibri"/>
          <w:b/>
          <w:i w:val="0"/>
          <w:iCs w:val="0"/>
        </w:rPr>
      </w:pPr>
      <w:r w:rsidRPr="00F25F92">
        <w:rPr>
          <w:rFonts w:ascii="Calibri" w:eastAsia="Arial Unicode MS" w:hAnsi="Calibri" w:cs="Calibri"/>
          <w:b/>
          <w:i w:val="0"/>
        </w:rPr>
        <w:t xml:space="preserve">Profil des </w:t>
      </w:r>
      <w:proofErr w:type="spellStart"/>
      <w:r w:rsidRPr="00F25F92">
        <w:rPr>
          <w:rFonts w:ascii="Calibri" w:eastAsia="Arial Unicode MS" w:hAnsi="Calibri" w:cs="Calibri"/>
          <w:b/>
          <w:i w:val="0"/>
        </w:rPr>
        <w:t>expert.</w:t>
      </w:r>
      <w:proofErr w:type="gramStart"/>
      <w:r w:rsidRPr="00F25F92">
        <w:rPr>
          <w:rFonts w:ascii="Calibri" w:eastAsia="Arial Unicode MS" w:hAnsi="Calibri" w:cs="Calibri"/>
          <w:b/>
          <w:i w:val="0"/>
        </w:rPr>
        <w:t>e.s</w:t>
      </w:r>
      <w:proofErr w:type="spellEnd"/>
      <w:proofErr w:type="gramEnd"/>
      <w:r w:rsidRPr="00F25F92">
        <w:rPr>
          <w:rFonts w:ascii="Calibri" w:eastAsia="Arial Unicode MS" w:hAnsi="Calibri" w:cs="Calibri"/>
          <w:b/>
          <w:i w:val="0"/>
        </w:rPr>
        <w:t xml:space="preserve"> </w:t>
      </w:r>
      <w:proofErr w:type="spellStart"/>
      <w:r w:rsidRPr="00F25F92">
        <w:rPr>
          <w:rFonts w:ascii="Calibri" w:eastAsia="Arial Unicode MS" w:hAnsi="Calibri" w:cs="Calibri"/>
          <w:b/>
          <w:i w:val="0"/>
        </w:rPr>
        <w:t>désigné.e.s</w:t>
      </w:r>
      <w:proofErr w:type="spellEnd"/>
      <w:r w:rsidRPr="00F25F92">
        <w:rPr>
          <w:rFonts w:ascii="Calibri" w:eastAsia="Arial Unicode MS" w:hAnsi="Calibri" w:cs="Calibri"/>
          <w:b/>
          <w:i w:val="0"/>
        </w:rPr>
        <w:t xml:space="preserve"> en charge de l’exécution de la présente mission </w:t>
      </w:r>
    </w:p>
    <w:p w14:paraId="021244C5" w14:textId="77777777" w:rsidR="00A23902" w:rsidRDefault="00A23902" w:rsidP="009C5476">
      <w:pPr>
        <w:spacing w:after="0" w:line="276" w:lineRule="auto"/>
        <w:rPr>
          <w:rFonts w:asciiTheme="majorHAnsi" w:hAnsiTheme="majorHAnsi" w:cstheme="majorHAnsi"/>
          <w:b/>
          <w:bCs/>
          <w:i w:val="0"/>
          <w:color w:val="00000A"/>
        </w:rPr>
      </w:pPr>
    </w:p>
    <w:p w14:paraId="40F5A46B" w14:textId="659E398A" w:rsidR="0072207C" w:rsidRPr="00D141CE" w:rsidRDefault="0072207C" w:rsidP="009C5476">
      <w:pPr>
        <w:spacing w:after="0" w:line="276" w:lineRule="auto"/>
        <w:rPr>
          <w:rFonts w:asciiTheme="majorHAnsi" w:hAnsiTheme="majorHAnsi" w:cstheme="majorHAnsi"/>
          <w:b/>
          <w:bCs/>
          <w:i w:val="0"/>
          <w:color w:val="00000A"/>
        </w:rPr>
      </w:pPr>
      <w:r w:rsidRPr="00D141CE">
        <w:rPr>
          <w:rFonts w:asciiTheme="majorHAnsi" w:hAnsiTheme="majorHAnsi" w:cstheme="majorHAnsi" w:hint="eastAsia"/>
          <w:b/>
          <w:bCs/>
          <w:i w:val="0"/>
          <w:color w:val="00000A"/>
        </w:rPr>
        <w:t>Qualifications et exp</w:t>
      </w:r>
      <w:r w:rsidRPr="00D141CE">
        <w:rPr>
          <w:rFonts w:asciiTheme="majorHAnsi" w:hAnsiTheme="majorHAnsi" w:cstheme="majorHAnsi" w:hint="cs"/>
          <w:b/>
          <w:bCs/>
          <w:i w:val="0"/>
          <w:color w:val="00000A"/>
        </w:rPr>
        <w:t>é</w:t>
      </w:r>
      <w:r w:rsidRPr="00D141CE">
        <w:rPr>
          <w:rFonts w:asciiTheme="majorHAnsi" w:hAnsiTheme="majorHAnsi" w:cstheme="majorHAnsi" w:hint="eastAsia"/>
          <w:b/>
          <w:bCs/>
          <w:i w:val="0"/>
          <w:color w:val="00000A"/>
        </w:rPr>
        <w:t>rience</w:t>
      </w:r>
    </w:p>
    <w:p w14:paraId="3BD17DA9" w14:textId="375A5B27" w:rsidR="000D2AEF" w:rsidRPr="000D2AEF" w:rsidRDefault="000D2AEF" w:rsidP="008F3AC4">
      <w:pPr>
        <w:numPr>
          <w:ilvl w:val="0"/>
          <w:numId w:val="27"/>
        </w:numPr>
        <w:spacing w:after="0"/>
        <w:rPr>
          <w:rFonts w:ascii="Calibri" w:eastAsia="Arial Unicode MS" w:hAnsi="Calibri" w:cs="Calibri"/>
          <w:b/>
          <w:i w:val="0"/>
        </w:rPr>
      </w:pPr>
      <w:r w:rsidRPr="000D2AEF">
        <w:rPr>
          <w:rFonts w:ascii="Calibri" w:eastAsia="Arial Unicode MS" w:hAnsi="Calibri" w:cs="Calibri"/>
          <w:b/>
          <w:i w:val="0"/>
        </w:rPr>
        <w:t>Expérience dans le domaine de l'entrepreneuriat et d</w:t>
      </w:r>
      <w:r w:rsidR="00541CA4">
        <w:rPr>
          <w:rFonts w:ascii="Calibri" w:eastAsia="Arial Unicode MS" w:hAnsi="Calibri" w:cs="Calibri"/>
          <w:b/>
          <w:i w:val="0"/>
        </w:rPr>
        <w:t xml:space="preserve">e l’accès au </w:t>
      </w:r>
      <w:proofErr w:type="spellStart"/>
      <w:r w:rsidR="00541CA4">
        <w:rPr>
          <w:rFonts w:ascii="Calibri" w:eastAsia="Arial Unicode MS" w:hAnsi="Calibri" w:cs="Calibri"/>
          <w:b/>
          <w:i w:val="0"/>
        </w:rPr>
        <w:t>finacement</w:t>
      </w:r>
      <w:proofErr w:type="spellEnd"/>
      <w:r w:rsidR="00541CA4">
        <w:rPr>
          <w:rFonts w:ascii="Calibri" w:eastAsia="Arial Unicode MS" w:hAnsi="Calibri" w:cs="Calibri"/>
          <w:b/>
          <w:i w:val="0"/>
        </w:rPr>
        <w:t xml:space="preserve"> </w:t>
      </w:r>
      <w:r w:rsidRPr="000D2AEF">
        <w:rPr>
          <w:rFonts w:ascii="Calibri" w:eastAsia="Arial Unicode MS" w:hAnsi="Calibri" w:cs="Calibri"/>
          <w:b/>
          <w:i w:val="0"/>
        </w:rPr>
        <w:t>des PME/TPE :</w:t>
      </w:r>
    </w:p>
    <w:p w14:paraId="6ECE812D" w14:textId="31158A09" w:rsidR="000D2AEF" w:rsidRDefault="000D2AEF" w:rsidP="008F3AC4">
      <w:pPr>
        <w:numPr>
          <w:ilvl w:val="0"/>
          <w:numId w:val="24"/>
        </w:numPr>
        <w:spacing w:after="0" w:line="276" w:lineRule="auto"/>
        <w:rPr>
          <w:rFonts w:asciiTheme="majorHAnsi" w:hAnsiTheme="majorHAnsi" w:cstheme="majorHAnsi"/>
          <w:i w:val="0"/>
        </w:rPr>
      </w:pPr>
      <w:r w:rsidRPr="000D2AEF">
        <w:rPr>
          <w:rFonts w:asciiTheme="majorHAnsi" w:hAnsiTheme="majorHAnsi" w:cstheme="majorHAnsi"/>
          <w:i w:val="0"/>
        </w:rPr>
        <w:t xml:space="preserve">Minimum de </w:t>
      </w:r>
      <w:r w:rsidRPr="000D2AEF">
        <w:rPr>
          <w:rFonts w:asciiTheme="majorHAnsi" w:hAnsiTheme="majorHAnsi" w:cstheme="majorHAnsi"/>
          <w:bCs/>
          <w:i w:val="0"/>
        </w:rPr>
        <w:t>7 à 10 ans d’expérience</w:t>
      </w:r>
      <w:r w:rsidRPr="000D2AEF">
        <w:rPr>
          <w:rFonts w:asciiTheme="majorHAnsi" w:hAnsiTheme="majorHAnsi" w:cstheme="majorHAnsi"/>
          <w:i w:val="0"/>
        </w:rPr>
        <w:t xml:space="preserve"> dans la mise en œuvre et/ou l’évaluation de projets de développement entrepreneurial,</w:t>
      </w:r>
      <w:r w:rsidR="00541CA4">
        <w:rPr>
          <w:rFonts w:asciiTheme="majorHAnsi" w:hAnsiTheme="majorHAnsi" w:cstheme="majorHAnsi"/>
          <w:i w:val="0"/>
        </w:rPr>
        <w:t xml:space="preserve"> de renfort de l’accès au financement des T/PME tunisiennes</w:t>
      </w:r>
      <w:r w:rsidRPr="000D2AEF">
        <w:rPr>
          <w:rFonts w:asciiTheme="majorHAnsi" w:hAnsiTheme="majorHAnsi" w:cstheme="majorHAnsi"/>
          <w:i w:val="0"/>
        </w:rPr>
        <w:t xml:space="preserve"> avec une connaissance approfondie des dynamiques des TPE/PME en Tunisie ou dans la région MENA.</w:t>
      </w:r>
    </w:p>
    <w:p w14:paraId="225D4813" w14:textId="6DA6C111" w:rsidR="00541CA4" w:rsidRPr="00167599" w:rsidRDefault="00541CA4" w:rsidP="00167599">
      <w:pPr>
        <w:numPr>
          <w:ilvl w:val="0"/>
          <w:numId w:val="24"/>
        </w:numPr>
        <w:spacing w:after="0" w:line="276" w:lineRule="auto"/>
        <w:rPr>
          <w:rFonts w:asciiTheme="majorHAnsi" w:hAnsiTheme="majorHAnsi" w:cstheme="majorHAnsi"/>
          <w:i w:val="0"/>
        </w:rPr>
      </w:pPr>
      <w:r>
        <w:rPr>
          <w:rFonts w:asciiTheme="majorHAnsi" w:hAnsiTheme="majorHAnsi" w:cstheme="majorHAnsi"/>
          <w:i w:val="0"/>
        </w:rPr>
        <w:t>Expertise démontrée dans la connaissance approfondie des différentes sources de financement existante en Tunisie pour la cible T/PME (dans et en-dehors du Grand Tunis), y compris, celles alimentées par des lignes de crédits en provenance de partenaires techniques et financiers.</w:t>
      </w:r>
    </w:p>
    <w:p w14:paraId="033E91D0" w14:textId="5A9D530F" w:rsidR="000D2AEF" w:rsidRPr="000D2AEF" w:rsidRDefault="000D2AEF" w:rsidP="008F3AC4">
      <w:pPr>
        <w:numPr>
          <w:ilvl w:val="0"/>
          <w:numId w:val="24"/>
        </w:numPr>
        <w:spacing w:after="0" w:line="276" w:lineRule="auto"/>
        <w:rPr>
          <w:rFonts w:asciiTheme="majorHAnsi" w:hAnsiTheme="majorHAnsi" w:cstheme="majorHAnsi"/>
          <w:i w:val="0"/>
        </w:rPr>
      </w:pPr>
      <w:r w:rsidRPr="000D2AEF">
        <w:rPr>
          <w:rFonts w:asciiTheme="majorHAnsi" w:hAnsiTheme="majorHAnsi" w:cstheme="majorHAnsi"/>
          <w:i w:val="0"/>
        </w:rPr>
        <w:t>Expertise démontrée dans l’</w:t>
      </w:r>
      <w:r w:rsidRPr="000D2AEF">
        <w:rPr>
          <w:rFonts w:asciiTheme="majorHAnsi" w:hAnsiTheme="majorHAnsi" w:cstheme="majorHAnsi"/>
          <w:bCs/>
          <w:i w:val="0"/>
        </w:rPr>
        <w:t>analyse des écosystèmes entrepreneuriaux</w:t>
      </w:r>
      <w:r w:rsidRPr="000D2AEF">
        <w:rPr>
          <w:rFonts w:asciiTheme="majorHAnsi" w:hAnsiTheme="majorHAnsi" w:cstheme="majorHAnsi"/>
          <w:i w:val="0"/>
        </w:rPr>
        <w:t>, y compris la cartographie des acteurs, les relations partenariales, et l’analyse des structures de pouvoir et d’influence.</w:t>
      </w:r>
    </w:p>
    <w:p w14:paraId="60885C29" w14:textId="77777777" w:rsidR="000D2AEF" w:rsidRPr="000D2AEF" w:rsidRDefault="000D2AEF" w:rsidP="000D2AEF">
      <w:pPr>
        <w:spacing w:after="0" w:line="276" w:lineRule="auto"/>
        <w:ind w:left="720"/>
        <w:rPr>
          <w:rFonts w:asciiTheme="majorHAnsi" w:hAnsiTheme="majorHAnsi" w:cstheme="majorHAnsi"/>
          <w:i w:val="0"/>
        </w:rPr>
      </w:pPr>
    </w:p>
    <w:p w14:paraId="126C92C9" w14:textId="713A6C40" w:rsidR="000D2AEF" w:rsidRPr="000D2AEF" w:rsidRDefault="000D2AEF" w:rsidP="008F3AC4">
      <w:pPr>
        <w:numPr>
          <w:ilvl w:val="0"/>
          <w:numId w:val="27"/>
        </w:numPr>
        <w:spacing w:after="0"/>
        <w:rPr>
          <w:rFonts w:ascii="Calibri" w:eastAsia="Arial Unicode MS" w:hAnsi="Calibri" w:cs="Calibri"/>
          <w:b/>
          <w:i w:val="0"/>
        </w:rPr>
      </w:pPr>
      <w:r w:rsidRPr="000D2AEF">
        <w:rPr>
          <w:rFonts w:ascii="Calibri" w:eastAsia="Arial Unicode MS" w:hAnsi="Calibri" w:cs="Calibri"/>
          <w:b/>
          <w:i w:val="0"/>
        </w:rPr>
        <w:t>Expérience en suivi-évaluation et gestion de projets (SERA) :</w:t>
      </w:r>
    </w:p>
    <w:p w14:paraId="6A47E1AA" w14:textId="77777777" w:rsidR="000D2AEF" w:rsidRP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 xml:space="preserve">Minimum de </w:t>
      </w:r>
      <w:r w:rsidRPr="000D2AEF">
        <w:rPr>
          <w:rFonts w:asciiTheme="majorHAnsi" w:hAnsiTheme="majorHAnsi" w:cstheme="majorHAnsi"/>
          <w:bCs/>
          <w:i w:val="0"/>
        </w:rPr>
        <w:t>5 ans d’expérience</w:t>
      </w:r>
      <w:r w:rsidRPr="000D2AEF">
        <w:rPr>
          <w:rFonts w:asciiTheme="majorHAnsi" w:hAnsiTheme="majorHAnsi" w:cstheme="majorHAnsi"/>
          <w:i w:val="0"/>
        </w:rPr>
        <w:t xml:space="preserve"> dans le suivi, l’évaluation et l’analyse d’impact de projets financés par des bailleurs de fonds internationaux (AFD, UE, Banque Mondiale, etc.).</w:t>
      </w:r>
    </w:p>
    <w:p w14:paraId="62A933E3" w14:textId="6C554124" w:rsid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 xml:space="preserve">Expérience avérée dans la </w:t>
      </w:r>
      <w:r w:rsidRPr="000D2AEF">
        <w:rPr>
          <w:rFonts w:asciiTheme="majorHAnsi" w:hAnsiTheme="majorHAnsi" w:cstheme="majorHAnsi"/>
          <w:bCs/>
          <w:i w:val="0"/>
        </w:rPr>
        <w:t>vérification et l’ajustement des théories du changement</w:t>
      </w:r>
      <w:r w:rsidRPr="000D2AEF">
        <w:rPr>
          <w:rFonts w:asciiTheme="majorHAnsi" w:hAnsiTheme="majorHAnsi" w:cstheme="majorHAnsi"/>
          <w:i w:val="0"/>
        </w:rPr>
        <w:t>, et dans l'élaboration de cadres logiques, y compris la définition d’indicateurs de performance et l’identification des valeurs de référence (</w:t>
      </w:r>
      <w:proofErr w:type="spellStart"/>
      <w:r w:rsidRPr="000D2AEF">
        <w:rPr>
          <w:rFonts w:asciiTheme="majorHAnsi" w:hAnsiTheme="majorHAnsi" w:cstheme="majorHAnsi"/>
          <w:i w:val="0"/>
        </w:rPr>
        <w:t>baselines</w:t>
      </w:r>
      <w:proofErr w:type="spellEnd"/>
      <w:r w:rsidRPr="000D2AEF">
        <w:rPr>
          <w:rFonts w:asciiTheme="majorHAnsi" w:hAnsiTheme="majorHAnsi" w:cstheme="majorHAnsi"/>
          <w:i w:val="0"/>
        </w:rPr>
        <w:t>).</w:t>
      </w:r>
    </w:p>
    <w:p w14:paraId="1DB0E968" w14:textId="2AFE236D" w:rsidR="00541CA4" w:rsidRPr="000D2AEF" w:rsidRDefault="00541CA4" w:rsidP="008F3AC4">
      <w:pPr>
        <w:numPr>
          <w:ilvl w:val="0"/>
          <w:numId w:val="25"/>
        </w:numPr>
        <w:spacing w:after="0" w:line="276" w:lineRule="auto"/>
        <w:rPr>
          <w:rFonts w:asciiTheme="majorHAnsi" w:hAnsiTheme="majorHAnsi" w:cstheme="majorHAnsi"/>
          <w:i w:val="0"/>
        </w:rPr>
      </w:pPr>
      <w:r>
        <w:rPr>
          <w:rFonts w:asciiTheme="majorHAnsi" w:hAnsiTheme="majorHAnsi" w:cstheme="majorHAnsi"/>
          <w:i w:val="0"/>
        </w:rPr>
        <w:t xml:space="preserve">Expertise démontrée dans l’identification d’indicateurs spécifiques visant les mesures d’impacts sur des cibles telles que les femmes entrepreneurs, les entreprises vertes ou en transition écologique et les entreprises sociales. </w:t>
      </w:r>
    </w:p>
    <w:p w14:paraId="10387258" w14:textId="179D4C4D" w:rsidR="000D2AEF" w:rsidRP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 xml:space="preserve">Familiarité avec les </w:t>
      </w:r>
      <w:r w:rsidRPr="000D2AEF">
        <w:rPr>
          <w:rFonts w:asciiTheme="majorHAnsi" w:hAnsiTheme="majorHAnsi" w:cstheme="majorHAnsi"/>
          <w:bCs/>
          <w:i w:val="0"/>
        </w:rPr>
        <w:t>outils de gestion de données</w:t>
      </w:r>
      <w:r w:rsidRPr="000D2AEF">
        <w:rPr>
          <w:rFonts w:asciiTheme="majorHAnsi" w:hAnsiTheme="majorHAnsi" w:cstheme="majorHAnsi"/>
          <w:i w:val="0"/>
        </w:rPr>
        <w:t xml:space="preserve"> et d’analyse (</w:t>
      </w:r>
      <w:proofErr w:type="spellStart"/>
      <w:r w:rsidRPr="000D2AEF">
        <w:rPr>
          <w:rFonts w:asciiTheme="majorHAnsi" w:hAnsiTheme="majorHAnsi" w:cstheme="majorHAnsi"/>
          <w:i w:val="0"/>
        </w:rPr>
        <w:t>KoboToolbox</w:t>
      </w:r>
      <w:proofErr w:type="spellEnd"/>
      <w:r w:rsidRPr="000D2AEF">
        <w:rPr>
          <w:rFonts w:asciiTheme="majorHAnsi" w:hAnsiTheme="majorHAnsi" w:cstheme="majorHAnsi"/>
          <w:i w:val="0"/>
        </w:rPr>
        <w:t xml:space="preserve">, </w:t>
      </w:r>
      <w:proofErr w:type="spellStart"/>
      <w:r w:rsidRPr="000D2AEF">
        <w:rPr>
          <w:rFonts w:asciiTheme="majorHAnsi" w:hAnsiTheme="majorHAnsi" w:cstheme="majorHAnsi"/>
          <w:i w:val="0"/>
        </w:rPr>
        <w:t>NVivo</w:t>
      </w:r>
      <w:proofErr w:type="spellEnd"/>
      <w:r w:rsidRPr="000D2AEF">
        <w:rPr>
          <w:rFonts w:asciiTheme="majorHAnsi" w:hAnsiTheme="majorHAnsi" w:cstheme="majorHAnsi"/>
          <w:i w:val="0"/>
        </w:rPr>
        <w:t xml:space="preserve">, Excel avancé, </w:t>
      </w:r>
      <w:r w:rsidR="00541CA4">
        <w:rPr>
          <w:rFonts w:asciiTheme="majorHAnsi" w:hAnsiTheme="majorHAnsi" w:cstheme="majorHAnsi"/>
          <w:i w:val="0"/>
        </w:rPr>
        <w:t xml:space="preserve">Power BI, </w:t>
      </w:r>
      <w:r w:rsidRPr="000D2AEF">
        <w:rPr>
          <w:rFonts w:asciiTheme="majorHAnsi" w:hAnsiTheme="majorHAnsi" w:cstheme="majorHAnsi"/>
          <w:i w:val="0"/>
        </w:rPr>
        <w:t>etc.).</w:t>
      </w:r>
    </w:p>
    <w:p w14:paraId="3390E757" w14:textId="77777777" w:rsidR="000D2AEF" w:rsidRPr="000D2AEF" w:rsidRDefault="000D2AEF" w:rsidP="000D2AEF">
      <w:pPr>
        <w:spacing w:after="0" w:line="276" w:lineRule="auto"/>
        <w:ind w:left="720"/>
        <w:rPr>
          <w:rFonts w:asciiTheme="majorHAnsi" w:hAnsiTheme="majorHAnsi" w:cstheme="majorHAnsi"/>
          <w:i w:val="0"/>
        </w:rPr>
      </w:pPr>
    </w:p>
    <w:p w14:paraId="60875C81" w14:textId="07695D24" w:rsidR="000D2AEF" w:rsidRPr="000D2AEF" w:rsidRDefault="000D2AEF" w:rsidP="008F3AC4">
      <w:pPr>
        <w:numPr>
          <w:ilvl w:val="0"/>
          <w:numId w:val="27"/>
        </w:numPr>
        <w:spacing w:after="0"/>
        <w:rPr>
          <w:rFonts w:ascii="Calibri" w:eastAsia="Arial Unicode MS" w:hAnsi="Calibri" w:cs="Calibri"/>
          <w:b/>
          <w:i w:val="0"/>
        </w:rPr>
      </w:pPr>
      <w:r w:rsidRPr="000D2AEF">
        <w:rPr>
          <w:rFonts w:ascii="Calibri" w:eastAsia="Arial Unicode MS" w:hAnsi="Calibri" w:cs="Calibri"/>
          <w:b/>
          <w:i w:val="0"/>
        </w:rPr>
        <w:t>Expérience en gestion de données et contrôle qualité :</w:t>
      </w:r>
    </w:p>
    <w:p w14:paraId="43F4A617" w14:textId="77777777" w:rsidR="000D2AEF" w:rsidRPr="000D2AEF" w:rsidRDefault="000D2AEF" w:rsidP="008F3AC4">
      <w:pPr>
        <w:numPr>
          <w:ilvl w:val="0"/>
          <w:numId w:val="26"/>
        </w:numPr>
        <w:spacing w:after="0" w:line="276" w:lineRule="auto"/>
        <w:rPr>
          <w:rFonts w:asciiTheme="majorHAnsi" w:hAnsiTheme="majorHAnsi" w:cstheme="majorHAnsi"/>
          <w:i w:val="0"/>
        </w:rPr>
      </w:pPr>
      <w:r w:rsidRPr="000D2AEF">
        <w:rPr>
          <w:rFonts w:asciiTheme="majorHAnsi" w:hAnsiTheme="majorHAnsi" w:cstheme="majorHAnsi"/>
          <w:i w:val="0"/>
        </w:rPr>
        <w:t xml:space="preserve">Expertise en </w:t>
      </w:r>
      <w:r w:rsidRPr="000D2AEF">
        <w:rPr>
          <w:rFonts w:asciiTheme="majorHAnsi" w:hAnsiTheme="majorHAnsi" w:cstheme="majorHAnsi"/>
          <w:bCs/>
          <w:i w:val="0"/>
        </w:rPr>
        <w:t>gestion et sécurisation des données</w:t>
      </w:r>
      <w:r w:rsidRPr="000D2AEF">
        <w:rPr>
          <w:rFonts w:asciiTheme="majorHAnsi" w:hAnsiTheme="majorHAnsi" w:cstheme="majorHAnsi"/>
          <w:i w:val="0"/>
        </w:rPr>
        <w:t xml:space="preserve"> dans le cadre d’études de terrain, avec une maîtrise des bonnes pratiques en matière de confidentialité et de protection des données.</w:t>
      </w:r>
    </w:p>
    <w:p w14:paraId="1B94A968" w14:textId="5FF1B615" w:rsidR="000D2AEF" w:rsidRPr="000D2AEF" w:rsidRDefault="000D2AEF" w:rsidP="008F3AC4">
      <w:pPr>
        <w:numPr>
          <w:ilvl w:val="0"/>
          <w:numId w:val="26"/>
        </w:numPr>
        <w:spacing w:after="0" w:line="276" w:lineRule="auto"/>
        <w:rPr>
          <w:rFonts w:asciiTheme="majorHAnsi" w:hAnsiTheme="majorHAnsi" w:cstheme="majorHAnsi"/>
          <w:i w:val="0"/>
        </w:rPr>
      </w:pPr>
      <w:r w:rsidRPr="000D2AEF">
        <w:rPr>
          <w:rFonts w:asciiTheme="majorHAnsi" w:hAnsiTheme="majorHAnsi" w:cstheme="majorHAnsi"/>
          <w:i w:val="0"/>
        </w:rPr>
        <w:t xml:space="preserve">Capacité à mettre en place des </w:t>
      </w:r>
      <w:r w:rsidRPr="000D2AEF">
        <w:rPr>
          <w:rFonts w:asciiTheme="majorHAnsi" w:hAnsiTheme="majorHAnsi" w:cstheme="majorHAnsi"/>
          <w:bCs/>
          <w:i w:val="0"/>
        </w:rPr>
        <w:t>processus de contrôle qualité</w:t>
      </w:r>
      <w:r w:rsidRPr="000D2AEF">
        <w:rPr>
          <w:rFonts w:asciiTheme="majorHAnsi" w:hAnsiTheme="majorHAnsi" w:cstheme="majorHAnsi"/>
          <w:i w:val="0"/>
        </w:rPr>
        <w:t xml:space="preserve"> pour s’assurer de la fiabilité et de l’exactitude des données recueillies.</w:t>
      </w:r>
    </w:p>
    <w:p w14:paraId="56E336CB" w14:textId="77777777" w:rsidR="000D2AEF" w:rsidRPr="000D2AEF" w:rsidRDefault="000D2AEF" w:rsidP="000D2AEF">
      <w:pPr>
        <w:spacing w:after="0" w:line="276" w:lineRule="auto"/>
        <w:ind w:left="720"/>
        <w:rPr>
          <w:rFonts w:asciiTheme="majorHAnsi" w:hAnsiTheme="majorHAnsi" w:cstheme="majorHAnsi"/>
          <w:i w:val="0"/>
        </w:rPr>
      </w:pPr>
    </w:p>
    <w:p w14:paraId="2A66A8F9" w14:textId="6E0B0894" w:rsidR="0072207C" w:rsidRDefault="000D2AEF" w:rsidP="000D2AEF">
      <w:pPr>
        <w:spacing w:after="0" w:line="276" w:lineRule="auto"/>
        <w:rPr>
          <w:rFonts w:asciiTheme="majorHAnsi" w:hAnsiTheme="majorHAnsi" w:cstheme="majorHAnsi"/>
          <w:b/>
          <w:bCs/>
          <w:i w:val="0"/>
          <w:color w:val="00000A"/>
        </w:rPr>
      </w:pPr>
      <w:r w:rsidRPr="000D2AEF">
        <w:rPr>
          <w:rFonts w:asciiTheme="majorHAnsi" w:hAnsiTheme="majorHAnsi" w:cstheme="majorHAnsi" w:hint="eastAsia"/>
          <w:b/>
          <w:bCs/>
          <w:i w:val="0"/>
        </w:rPr>
        <w:t xml:space="preserve"> </w:t>
      </w:r>
      <w:r w:rsidR="0072207C" w:rsidRPr="00D141CE">
        <w:rPr>
          <w:rFonts w:asciiTheme="majorHAnsi" w:hAnsiTheme="majorHAnsi" w:cstheme="majorHAnsi" w:hint="eastAsia"/>
          <w:b/>
          <w:bCs/>
          <w:i w:val="0"/>
          <w:color w:val="00000A"/>
        </w:rPr>
        <w:t>Comp</w:t>
      </w:r>
      <w:r w:rsidR="0072207C" w:rsidRPr="00D141CE">
        <w:rPr>
          <w:rFonts w:asciiTheme="majorHAnsi" w:hAnsiTheme="majorHAnsi" w:cstheme="majorHAnsi" w:hint="cs"/>
          <w:b/>
          <w:bCs/>
          <w:i w:val="0"/>
          <w:color w:val="00000A"/>
        </w:rPr>
        <w:t>é</w:t>
      </w:r>
      <w:r w:rsidR="0072207C" w:rsidRPr="00D141CE">
        <w:rPr>
          <w:rFonts w:asciiTheme="majorHAnsi" w:hAnsiTheme="majorHAnsi" w:cstheme="majorHAnsi" w:hint="eastAsia"/>
          <w:b/>
          <w:bCs/>
          <w:i w:val="0"/>
          <w:color w:val="00000A"/>
        </w:rPr>
        <w:t>tences m</w:t>
      </w:r>
      <w:r w:rsidR="0072207C" w:rsidRPr="00D141CE">
        <w:rPr>
          <w:rFonts w:asciiTheme="majorHAnsi" w:hAnsiTheme="majorHAnsi" w:cstheme="majorHAnsi" w:hint="cs"/>
          <w:b/>
          <w:bCs/>
          <w:i w:val="0"/>
          <w:color w:val="00000A"/>
        </w:rPr>
        <w:t>é</w:t>
      </w:r>
      <w:r w:rsidR="0072207C" w:rsidRPr="00D141CE">
        <w:rPr>
          <w:rFonts w:asciiTheme="majorHAnsi" w:hAnsiTheme="majorHAnsi" w:cstheme="majorHAnsi" w:hint="eastAsia"/>
          <w:b/>
          <w:bCs/>
          <w:i w:val="0"/>
          <w:color w:val="00000A"/>
        </w:rPr>
        <w:t>tier :</w:t>
      </w:r>
    </w:p>
    <w:p w14:paraId="7BC09F55" w14:textId="56D369F3" w:rsidR="000D2AEF" w:rsidRPr="000D2AEF" w:rsidRDefault="000D2AEF" w:rsidP="008F3AC4">
      <w:pPr>
        <w:numPr>
          <w:ilvl w:val="0"/>
          <w:numId w:val="28"/>
        </w:numPr>
        <w:spacing w:after="0"/>
        <w:rPr>
          <w:rFonts w:ascii="Calibri" w:eastAsia="Arial Unicode MS" w:hAnsi="Calibri" w:cs="Calibri"/>
          <w:b/>
          <w:i w:val="0"/>
        </w:rPr>
      </w:pPr>
      <w:r w:rsidRPr="000D2AEF">
        <w:rPr>
          <w:rFonts w:ascii="Calibri" w:eastAsia="Arial Unicode MS" w:hAnsi="Calibri" w:cs="Calibri"/>
          <w:b/>
          <w:i w:val="0"/>
        </w:rPr>
        <w:t>Capacité à conduire des enquêtes et des entretiens :</w:t>
      </w:r>
    </w:p>
    <w:p w14:paraId="3F26BB95" w14:textId="77777777" w:rsid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Expérience dans la conduite de focus groups et d’entretiens semi-directifs avec des parties prenantes variées (secteur public, privé, partenaires internationaux, incubateurs, TPE/PME).</w:t>
      </w:r>
    </w:p>
    <w:p w14:paraId="680A07C6" w14:textId="787252C8" w:rsid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Compétences en analyse qualitative et quantitative, y compris la capacité à extraire des insights pertinents à partir de grands volumes de données.</w:t>
      </w:r>
    </w:p>
    <w:p w14:paraId="54DECBC6" w14:textId="77777777" w:rsidR="000D2AEF" w:rsidRPr="000D2AEF" w:rsidRDefault="000D2AEF" w:rsidP="000D2AEF">
      <w:pPr>
        <w:spacing w:after="0" w:line="276" w:lineRule="auto"/>
        <w:ind w:left="720"/>
        <w:rPr>
          <w:rFonts w:asciiTheme="majorHAnsi" w:hAnsiTheme="majorHAnsi" w:cstheme="majorHAnsi"/>
          <w:i w:val="0"/>
        </w:rPr>
      </w:pPr>
    </w:p>
    <w:p w14:paraId="7BD30234" w14:textId="261532BF" w:rsidR="000D2AEF" w:rsidRPr="000D2AEF" w:rsidRDefault="000D2AEF" w:rsidP="008F3AC4">
      <w:pPr>
        <w:numPr>
          <w:ilvl w:val="0"/>
          <w:numId w:val="28"/>
        </w:numPr>
        <w:spacing w:after="0"/>
        <w:rPr>
          <w:rFonts w:ascii="Calibri" w:eastAsia="Arial Unicode MS" w:hAnsi="Calibri" w:cs="Calibri"/>
          <w:b/>
          <w:i w:val="0"/>
        </w:rPr>
      </w:pPr>
      <w:r w:rsidRPr="000D2AEF">
        <w:rPr>
          <w:rFonts w:ascii="Calibri" w:eastAsia="Arial Unicode MS" w:hAnsi="Calibri" w:cs="Calibri"/>
          <w:b/>
          <w:i w:val="0"/>
        </w:rPr>
        <w:lastRenderedPageBreak/>
        <w:t>Capacité d’analyse stratégique :</w:t>
      </w:r>
    </w:p>
    <w:p w14:paraId="69088DA2" w14:textId="77777777" w:rsidR="000D2AEF" w:rsidRP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Compétence éprouvée dans l’analyse contextuelle, y compris l’évaluation des dynamiques de l’écosystème entrepreneurial, et la capacité à formuler des recommandations stratégiques pour la mise en œuvre de projets complexes.</w:t>
      </w:r>
    </w:p>
    <w:p w14:paraId="082E6CBA" w14:textId="77777777" w:rsidR="000D2AEF" w:rsidRP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Capacité à identifier les synergies entre les acteurs et à proposer des partenariats stratégiques pour renforcer l’impact du projet.</w:t>
      </w:r>
    </w:p>
    <w:p w14:paraId="28D1FA60" w14:textId="7D5A92F6" w:rsidR="0072207C" w:rsidRDefault="0072207C" w:rsidP="000D2AEF">
      <w:pPr>
        <w:spacing w:after="0"/>
        <w:rPr>
          <w:rFonts w:ascii="Calibri" w:eastAsia="Arial Unicode MS" w:hAnsi="Calibri" w:cs="Calibri"/>
          <w:b/>
          <w:i w:val="0"/>
        </w:rPr>
      </w:pPr>
      <w:r w:rsidRPr="000D2AEF">
        <w:rPr>
          <w:rFonts w:ascii="Calibri" w:eastAsia="Arial Unicode MS" w:hAnsi="Calibri" w:cs="Calibri" w:hint="eastAsia"/>
          <w:b/>
          <w:i w:val="0"/>
        </w:rPr>
        <w:t>Comp</w:t>
      </w:r>
      <w:r w:rsidRPr="000D2AEF">
        <w:rPr>
          <w:rFonts w:ascii="Calibri" w:eastAsia="Arial Unicode MS" w:hAnsi="Calibri" w:cs="Calibri" w:hint="cs"/>
          <w:b/>
          <w:i w:val="0"/>
        </w:rPr>
        <w:t>é</w:t>
      </w:r>
      <w:r w:rsidRPr="000D2AEF">
        <w:rPr>
          <w:rFonts w:ascii="Calibri" w:eastAsia="Arial Unicode MS" w:hAnsi="Calibri" w:cs="Calibri" w:hint="eastAsia"/>
          <w:b/>
          <w:i w:val="0"/>
        </w:rPr>
        <w:t>tences administratives :</w:t>
      </w:r>
    </w:p>
    <w:p w14:paraId="16C4D60A" w14:textId="77777777" w:rsidR="000D2AEF" w:rsidRPr="000D2AEF" w:rsidRDefault="000D2AEF" w:rsidP="000D2AEF">
      <w:pPr>
        <w:spacing w:after="0"/>
        <w:rPr>
          <w:rFonts w:ascii="Calibri" w:eastAsia="Arial Unicode MS" w:hAnsi="Calibri" w:cs="Calibri"/>
          <w:b/>
          <w:i w:val="0"/>
        </w:rPr>
      </w:pPr>
    </w:p>
    <w:p w14:paraId="4FB5862E" w14:textId="645D0919" w:rsidR="000D2AEF" w:rsidRPr="000D2AEF" w:rsidRDefault="000D2AEF" w:rsidP="008F3AC4">
      <w:pPr>
        <w:numPr>
          <w:ilvl w:val="0"/>
          <w:numId w:val="29"/>
        </w:numPr>
        <w:spacing w:after="0"/>
        <w:rPr>
          <w:rFonts w:ascii="Calibri" w:eastAsia="Arial Unicode MS" w:hAnsi="Calibri" w:cs="Calibri"/>
          <w:b/>
          <w:i w:val="0"/>
        </w:rPr>
      </w:pPr>
      <w:r w:rsidRPr="000D2AEF">
        <w:rPr>
          <w:rFonts w:ascii="Calibri" w:eastAsia="Arial Unicode MS" w:hAnsi="Calibri" w:cs="Calibri"/>
          <w:b/>
          <w:i w:val="0"/>
        </w:rPr>
        <w:t>Connaissance des procédures de gestion de projets internationaux :</w:t>
      </w:r>
    </w:p>
    <w:p w14:paraId="01E97A57" w14:textId="77777777" w:rsidR="000D2AEF" w:rsidRP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Expérience dans la gestion de projets financés par des bailleurs de fonds internationaux (AFD, UE, Banque Mondiale, etc.), avec une bonne compréhension des exigences administratives associées (</w:t>
      </w:r>
      <w:proofErr w:type="spellStart"/>
      <w:r w:rsidRPr="000D2AEF">
        <w:rPr>
          <w:rFonts w:asciiTheme="majorHAnsi" w:hAnsiTheme="majorHAnsi" w:cstheme="majorHAnsi"/>
          <w:i w:val="0"/>
        </w:rPr>
        <w:t>reporting</w:t>
      </w:r>
      <w:proofErr w:type="spellEnd"/>
      <w:r w:rsidRPr="000D2AEF">
        <w:rPr>
          <w:rFonts w:asciiTheme="majorHAnsi" w:hAnsiTheme="majorHAnsi" w:cstheme="majorHAnsi"/>
          <w:i w:val="0"/>
        </w:rPr>
        <w:t>, redevabilité, etc.).</w:t>
      </w:r>
    </w:p>
    <w:p w14:paraId="75071718" w14:textId="7B85B504" w:rsid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Capacité à gérer des budgets de projet et à assurer la coordination avec les équipes et partenaires concernés.</w:t>
      </w:r>
    </w:p>
    <w:p w14:paraId="537E4E24" w14:textId="77777777" w:rsidR="000D2AEF" w:rsidRPr="000D2AEF" w:rsidRDefault="000D2AEF" w:rsidP="000D2AEF">
      <w:pPr>
        <w:spacing w:after="0" w:line="276" w:lineRule="auto"/>
        <w:ind w:left="720"/>
        <w:rPr>
          <w:rFonts w:asciiTheme="majorHAnsi" w:hAnsiTheme="majorHAnsi" w:cstheme="majorHAnsi"/>
          <w:i w:val="0"/>
        </w:rPr>
      </w:pPr>
    </w:p>
    <w:p w14:paraId="2C0DFC77" w14:textId="486D940E" w:rsidR="000D2AEF" w:rsidRPr="000D2AEF" w:rsidRDefault="000D2AEF" w:rsidP="008F3AC4">
      <w:pPr>
        <w:numPr>
          <w:ilvl w:val="0"/>
          <w:numId w:val="29"/>
        </w:numPr>
        <w:spacing w:after="0"/>
        <w:rPr>
          <w:rFonts w:ascii="Calibri" w:eastAsia="Arial Unicode MS" w:hAnsi="Calibri" w:cs="Calibri"/>
          <w:b/>
          <w:i w:val="0"/>
        </w:rPr>
      </w:pPr>
      <w:r w:rsidRPr="000D2AEF">
        <w:rPr>
          <w:rFonts w:ascii="Calibri" w:eastAsia="Arial Unicode MS" w:hAnsi="Calibri" w:cs="Calibri"/>
          <w:b/>
          <w:i w:val="0"/>
        </w:rPr>
        <w:t>Expérience en rédaction de rapports :</w:t>
      </w:r>
    </w:p>
    <w:p w14:paraId="2F9B3EAB" w14:textId="77777777" w:rsidR="000D2AEF" w:rsidRPr="000D2AEF" w:rsidRDefault="000D2AEF" w:rsidP="008F3AC4">
      <w:pPr>
        <w:numPr>
          <w:ilvl w:val="0"/>
          <w:numId w:val="25"/>
        </w:numPr>
        <w:spacing w:after="0" w:line="276" w:lineRule="auto"/>
        <w:rPr>
          <w:rFonts w:asciiTheme="majorHAnsi" w:hAnsiTheme="majorHAnsi" w:cstheme="majorHAnsi"/>
          <w:i w:val="0"/>
        </w:rPr>
      </w:pPr>
      <w:r w:rsidRPr="000D2AEF">
        <w:rPr>
          <w:rFonts w:asciiTheme="majorHAnsi" w:hAnsiTheme="majorHAnsi" w:cstheme="majorHAnsi"/>
          <w:i w:val="0"/>
        </w:rPr>
        <w:t>Capacité démontrée à rédiger des rapports d’analyse et d’évaluation, clairs, structurés et bien documentés, en conformité avec les attentes des bailleurs de fonds et des parties prenantes.</w:t>
      </w:r>
    </w:p>
    <w:p w14:paraId="28A389E3" w14:textId="71BFED00" w:rsidR="0072207C" w:rsidRPr="00D141CE" w:rsidRDefault="000D2AEF" w:rsidP="000D2AEF">
      <w:pPr>
        <w:spacing w:before="240" w:after="0" w:line="276" w:lineRule="auto"/>
        <w:rPr>
          <w:rFonts w:asciiTheme="majorHAnsi" w:hAnsiTheme="majorHAnsi" w:cstheme="majorHAnsi"/>
          <w:b/>
          <w:bCs/>
          <w:i w:val="0"/>
          <w:color w:val="00000A"/>
        </w:rPr>
      </w:pPr>
      <w:r w:rsidRPr="000D2AEF">
        <w:rPr>
          <w:rFonts w:asciiTheme="majorHAnsi" w:hAnsiTheme="majorHAnsi" w:cstheme="majorHAnsi" w:hint="eastAsia"/>
          <w:b/>
          <w:bCs/>
          <w:i w:val="0"/>
        </w:rPr>
        <w:t xml:space="preserve"> </w:t>
      </w:r>
      <w:r w:rsidR="0072207C" w:rsidRPr="00D141CE">
        <w:rPr>
          <w:rFonts w:asciiTheme="majorHAnsi" w:hAnsiTheme="majorHAnsi" w:cstheme="majorHAnsi" w:hint="eastAsia"/>
          <w:b/>
          <w:bCs/>
          <w:i w:val="0"/>
          <w:color w:val="00000A"/>
        </w:rPr>
        <w:t>Comp</w:t>
      </w:r>
      <w:r w:rsidR="0072207C" w:rsidRPr="00D141CE">
        <w:rPr>
          <w:rFonts w:asciiTheme="majorHAnsi" w:hAnsiTheme="majorHAnsi" w:cstheme="majorHAnsi" w:hint="cs"/>
          <w:b/>
          <w:bCs/>
          <w:i w:val="0"/>
          <w:color w:val="00000A"/>
        </w:rPr>
        <w:t>é</w:t>
      </w:r>
      <w:r w:rsidR="0072207C" w:rsidRPr="00D141CE">
        <w:rPr>
          <w:rFonts w:asciiTheme="majorHAnsi" w:hAnsiTheme="majorHAnsi" w:cstheme="majorHAnsi" w:hint="eastAsia"/>
          <w:b/>
          <w:bCs/>
          <w:i w:val="0"/>
          <w:color w:val="00000A"/>
        </w:rPr>
        <w:t>tences linguistiques :</w:t>
      </w:r>
    </w:p>
    <w:p w14:paraId="610C5559" w14:textId="77777777" w:rsidR="000D2AEF" w:rsidRDefault="000D2AEF" w:rsidP="000D2AEF">
      <w:pPr>
        <w:pStyle w:val="Paragraphedeliste"/>
        <w:numPr>
          <w:ilvl w:val="0"/>
          <w:numId w:val="0"/>
        </w:numPr>
        <w:tabs>
          <w:tab w:val="clear" w:pos="9923"/>
        </w:tabs>
        <w:spacing w:after="0" w:line="276" w:lineRule="auto"/>
        <w:ind w:left="720"/>
        <w:contextualSpacing/>
        <w:jc w:val="left"/>
        <w:rPr>
          <w:rFonts w:asciiTheme="majorHAnsi" w:hAnsiTheme="majorHAnsi" w:cstheme="majorHAnsi"/>
          <w:i w:val="0"/>
        </w:rPr>
      </w:pPr>
    </w:p>
    <w:p w14:paraId="24ED943F" w14:textId="5D069844" w:rsidR="0072207C" w:rsidRDefault="0072207C" w:rsidP="009C5476">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sidRPr="00D141CE">
        <w:rPr>
          <w:rFonts w:asciiTheme="majorHAnsi" w:hAnsiTheme="majorHAnsi" w:cstheme="majorHAnsi" w:hint="eastAsia"/>
          <w:i w:val="0"/>
        </w:rPr>
        <w:t>Excellente ma</w:t>
      </w:r>
      <w:r w:rsidRPr="00D141CE">
        <w:rPr>
          <w:rFonts w:asciiTheme="majorHAnsi" w:hAnsiTheme="majorHAnsi" w:cstheme="majorHAnsi" w:hint="cs"/>
          <w:i w:val="0"/>
        </w:rPr>
        <w:t>î</w:t>
      </w:r>
      <w:r w:rsidRPr="00D141CE">
        <w:rPr>
          <w:rFonts w:asciiTheme="majorHAnsi" w:hAnsiTheme="majorHAnsi" w:cstheme="majorHAnsi" w:hint="eastAsia"/>
          <w:i w:val="0"/>
        </w:rPr>
        <w:t>trise du fran</w:t>
      </w:r>
      <w:r w:rsidRPr="00D141CE">
        <w:rPr>
          <w:rFonts w:asciiTheme="majorHAnsi" w:hAnsiTheme="majorHAnsi" w:cstheme="majorHAnsi" w:hint="cs"/>
          <w:i w:val="0"/>
        </w:rPr>
        <w:t>ç</w:t>
      </w:r>
      <w:r w:rsidRPr="00D141CE">
        <w:rPr>
          <w:rFonts w:asciiTheme="majorHAnsi" w:hAnsiTheme="majorHAnsi" w:cstheme="majorHAnsi" w:hint="eastAsia"/>
          <w:i w:val="0"/>
        </w:rPr>
        <w:t xml:space="preserve">ais, </w:t>
      </w:r>
      <w:r w:rsidRPr="00D141CE">
        <w:rPr>
          <w:rFonts w:asciiTheme="majorHAnsi" w:hAnsiTheme="majorHAnsi" w:cstheme="majorHAnsi" w:hint="cs"/>
          <w:i w:val="0"/>
        </w:rPr>
        <w:t>é</w:t>
      </w:r>
      <w:r w:rsidRPr="00D141CE">
        <w:rPr>
          <w:rFonts w:asciiTheme="majorHAnsi" w:hAnsiTheme="majorHAnsi" w:cstheme="majorHAnsi" w:hint="eastAsia"/>
          <w:i w:val="0"/>
        </w:rPr>
        <w:t>crit et parl</w:t>
      </w:r>
      <w:r w:rsidRPr="00D141CE">
        <w:rPr>
          <w:rFonts w:asciiTheme="majorHAnsi" w:hAnsiTheme="majorHAnsi" w:cstheme="majorHAnsi" w:hint="cs"/>
          <w:i w:val="0"/>
        </w:rPr>
        <w:t>é</w:t>
      </w:r>
      <w:r w:rsidRPr="00D141CE">
        <w:rPr>
          <w:rFonts w:asciiTheme="majorHAnsi" w:hAnsiTheme="majorHAnsi" w:cstheme="majorHAnsi" w:hint="eastAsia"/>
          <w:i w:val="0"/>
        </w:rPr>
        <w:t xml:space="preserve"> (bonnes capacit</w:t>
      </w:r>
      <w:r w:rsidRPr="00D141CE">
        <w:rPr>
          <w:rFonts w:asciiTheme="majorHAnsi" w:hAnsiTheme="majorHAnsi" w:cstheme="majorHAnsi" w:hint="cs"/>
          <w:i w:val="0"/>
        </w:rPr>
        <w:t>é</w:t>
      </w:r>
      <w:r w:rsidRPr="00D141CE">
        <w:rPr>
          <w:rFonts w:asciiTheme="majorHAnsi" w:hAnsiTheme="majorHAnsi" w:cstheme="majorHAnsi" w:hint="eastAsia"/>
          <w:i w:val="0"/>
        </w:rPr>
        <w:t>s de r</w:t>
      </w:r>
      <w:r w:rsidRPr="00D141CE">
        <w:rPr>
          <w:rFonts w:asciiTheme="majorHAnsi" w:hAnsiTheme="majorHAnsi" w:cstheme="majorHAnsi" w:hint="cs"/>
          <w:i w:val="0"/>
        </w:rPr>
        <w:t>é</w:t>
      </w:r>
      <w:r w:rsidRPr="00D141CE">
        <w:rPr>
          <w:rFonts w:asciiTheme="majorHAnsi" w:hAnsiTheme="majorHAnsi" w:cstheme="majorHAnsi" w:hint="eastAsia"/>
          <w:i w:val="0"/>
        </w:rPr>
        <w:t>daction, de synth</w:t>
      </w:r>
      <w:r w:rsidRPr="00D141CE">
        <w:rPr>
          <w:rFonts w:asciiTheme="majorHAnsi" w:hAnsiTheme="majorHAnsi" w:cstheme="majorHAnsi" w:hint="cs"/>
          <w:i w:val="0"/>
        </w:rPr>
        <w:t>è</w:t>
      </w:r>
      <w:r w:rsidRPr="00D141CE">
        <w:rPr>
          <w:rFonts w:asciiTheme="majorHAnsi" w:hAnsiTheme="majorHAnsi" w:cstheme="majorHAnsi" w:hint="eastAsia"/>
          <w:i w:val="0"/>
        </w:rPr>
        <w:t>se et d</w:t>
      </w:r>
      <w:r w:rsidR="00AE083B">
        <w:rPr>
          <w:rFonts w:asciiTheme="majorHAnsi" w:hAnsiTheme="majorHAnsi" w:cstheme="majorHAnsi"/>
          <w:i w:val="0"/>
        </w:rPr>
        <w:t>’</w:t>
      </w:r>
      <w:r w:rsidRPr="00D141CE">
        <w:rPr>
          <w:rFonts w:asciiTheme="majorHAnsi" w:hAnsiTheme="majorHAnsi" w:cstheme="majorHAnsi" w:hint="eastAsia"/>
          <w:i w:val="0"/>
        </w:rPr>
        <w:t>analyse</w:t>
      </w:r>
      <w:r w:rsidR="00961B1B" w:rsidRPr="00D141CE">
        <w:rPr>
          <w:rFonts w:asciiTheme="majorHAnsi" w:hAnsiTheme="majorHAnsi" w:cstheme="majorHAnsi"/>
          <w:i w:val="0"/>
        </w:rPr>
        <w:t>…</w:t>
      </w:r>
      <w:r w:rsidRPr="00D141CE">
        <w:rPr>
          <w:rFonts w:asciiTheme="majorHAnsi" w:hAnsiTheme="majorHAnsi" w:cstheme="majorHAnsi" w:hint="eastAsia"/>
          <w:i w:val="0"/>
        </w:rPr>
        <w:t>) ;</w:t>
      </w:r>
    </w:p>
    <w:p w14:paraId="3A6DE2E1" w14:textId="4FFBC5C5" w:rsidR="00CD7433" w:rsidRDefault="00AE083B" w:rsidP="009C5476">
      <w:pPr>
        <w:pStyle w:val="Paragraphedeliste"/>
        <w:numPr>
          <w:ilvl w:val="0"/>
          <w:numId w:val="10"/>
        </w:numPr>
        <w:tabs>
          <w:tab w:val="clear" w:pos="9923"/>
        </w:tabs>
        <w:spacing w:line="276" w:lineRule="auto"/>
        <w:contextualSpacing/>
        <w:jc w:val="left"/>
        <w:rPr>
          <w:rFonts w:asciiTheme="majorHAnsi" w:hAnsiTheme="majorHAnsi" w:cstheme="majorHAnsi"/>
          <w:i w:val="0"/>
        </w:rPr>
      </w:pPr>
      <w:r>
        <w:rPr>
          <w:rFonts w:asciiTheme="majorHAnsi" w:hAnsiTheme="majorHAnsi" w:cstheme="majorHAnsi"/>
          <w:i w:val="0"/>
        </w:rPr>
        <w:t>Maîtrise de l’arabe (dialecte tunisien).</w:t>
      </w:r>
    </w:p>
    <w:p w14:paraId="1DB0809F" w14:textId="71FF2AF9" w:rsidR="00986A7D" w:rsidRPr="00D141CE" w:rsidRDefault="00A223C9" w:rsidP="00EB2073">
      <w:pPr>
        <w:pStyle w:val="Titre2"/>
        <w:ind w:left="576"/>
        <w:rPr>
          <w:rFonts w:hint="eastAsia"/>
          <w:i w:val="0"/>
        </w:rPr>
      </w:pPr>
      <w:r w:rsidRPr="00D141CE">
        <w:rPr>
          <w:i w:val="0"/>
        </w:rPr>
        <w:t>Contenu des offres</w:t>
      </w:r>
    </w:p>
    <w:p w14:paraId="023AF6ED" w14:textId="009DA008" w:rsidR="00A223C9" w:rsidRPr="00D141CE" w:rsidRDefault="004A24F9" w:rsidP="00FC1281">
      <w:pPr>
        <w:spacing w:after="0"/>
        <w:rPr>
          <w:rFonts w:hint="eastAsia"/>
          <w:i w:val="0"/>
        </w:rPr>
      </w:pPr>
      <w:r>
        <w:rPr>
          <w:i w:val="0"/>
        </w:rPr>
        <w:t xml:space="preserve">Les offres devront inclure : </w:t>
      </w:r>
    </w:p>
    <w:p w14:paraId="2B1FA3F6" w14:textId="1679F9A9" w:rsidR="00A223C9" w:rsidRPr="00D141CE" w:rsidRDefault="00A223C9" w:rsidP="00981B13">
      <w:pPr>
        <w:pStyle w:val="Paragraphedeliste"/>
        <w:numPr>
          <w:ilvl w:val="0"/>
          <w:numId w:val="15"/>
        </w:numPr>
        <w:rPr>
          <w:rFonts w:hint="eastAsia"/>
          <w:i w:val="0"/>
        </w:rPr>
      </w:pPr>
      <w:r w:rsidRPr="00D141CE">
        <w:rPr>
          <w:i w:val="0"/>
        </w:rPr>
        <w:t xml:space="preserve">Une </w:t>
      </w:r>
      <w:r w:rsidRPr="004A24F9">
        <w:rPr>
          <w:b/>
          <w:i w:val="0"/>
        </w:rPr>
        <w:t>offre technique</w:t>
      </w:r>
      <w:r w:rsidRPr="00D141CE">
        <w:rPr>
          <w:i w:val="0"/>
        </w:rPr>
        <w:t xml:space="preserve"> </w:t>
      </w:r>
      <w:proofErr w:type="gramStart"/>
      <w:r w:rsidR="00CF21CF">
        <w:rPr>
          <w:i w:val="0"/>
        </w:rPr>
        <w:t>complète</w:t>
      </w:r>
      <w:r w:rsidRPr="00D141CE">
        <w:rPr>
          <w:i w:val="0"/>
        </w:rPr>
        <w:t>:</w:t>
      </w:r>
      <w:proofErr w:type="gramEnd"/>
      <w:r w:rsidRPr="00D141CE">
        <w:rPr>
          <w:i w:val="0"/>
        </w:rPr>
        <w:t xml:space="preserve"> </w:t>
      </w:r>
      <w:r w:rsidR="00E572FC">
        <w:rPr>
          <w:i w:val="0"/>
        </w:rPr>
        <w:t>proposant une analyse</w:t>
      </w:r>
      <w:r w:rsidRPr="00D141CE">
        <w:rPr>
          <w:i w:val="0"/>
        </w:rPr>
        <w:t xml:space="preserve"> sur les éléments des termes de référence, </w:t>
      </w:r>
      <w:r w:rsidR="00CF21CF">
        <w:rPr>
          <w:i w:val="0"/>
        </w:rPr>
        <w:t xml:space="preserve">la </w:t>
      </w:r>
      <w:r w:rsidRPr="00D141CE">
        <w:rPr>
          <w:i w:val="0"/>
        </w:rPr>
        <w:t xml:space="preserve">méthodologie, </w:t>
      </w:r>
      <w:proofErr w:type="spellStart"/>
      <w:r w:rsidR="00B91F9E">
        <w:rPr>
          <w:i w:val="0"/>
        </w:rPr>
        <w:t>le</w:t>
      </w:r>
      <w:r w:rsidR="00CF21CF">
        <w:rPr>
          <w:i w:val="0"/>
        </w:rPr>
        <w:t>.s</w:t>
      </w:r>
      <w:proofErr w:type="spellEnd"/>
      <w:r w:rsidRPr="00D141CE">
        <w:rPr>
          <w:i w:val="0"/>
        </w:rPr>
        <w:t xml:space="preserve"> CV </w:t>
      </w:r>
      <w:r w:rsidR="00B91F9E">
        <w:rPr>
          <w:i w:val="0"/>
        </w:rPr>
        <w:t>mentionnant les</w:t>
      </w:r>
      <w:r w:rsidRPr="00D141CE">
        <w:rPr>
          <w:i w:val="0"/>
        </w:rPr>
        <w:t xml:space="preserve"> expériences similaires, </w:t>
      </w:r>
      <w:r w:rsidR="00541CA4">
        <w:rPr>
          <w:i w:val="0"/>
        </w:rPr>
        <w:t xml:space="preserve">le réseau déjà constitué d’acteurs qui pourront être sollicités dans le cadre de cette étude, </w:t>
      </w:r>
      <w:r w:rsidRPr="00D141CE">
        <w:rPr>
          <w:i w:val="0"/>
        </w:rPr>
        <w:t>ainsi que les éléments mentionnés dans ces termes de référence (</w:t>
      </w:r>
      <w:r w:rsidR="00FA0D72" w:rsidRPr="00D141CE">
        <w:rPr>
          <w:i w:val="0"/>
        </w:rPr>
        <w:t>plan de travail détaillé</w:t>
      </w:r>
      <w:r w:rsidR="00CF21CF">
        <w:rPr>
          <w:i w:val="0"/>
        </w:rPr>
        <w:t xml:space="preserve"> sur les différentes phases et entre les </w:t>
      </w:r>
      <w:proofErr w:type="spellStart"/>
      <w:r w:rsidR="00CF21CF">
        <w:rPr>
          <w:i w:val="0"/>
        </w:rPr>
        <w:t>expert.e.s</w:t>
      </w:r>
      <w:proofErr w:type="spellEnd"/>
      <w:r w:rsidRPr="00D141CE">
        <w:rPr>
          <w:i w:val="0"/>
        </w:rPr>
        <w:t xml:space="preserve">, </w:t>
      </w:r>
      <w:r w:rsidR="00B91F9E">
        <w:rPr>
          <w:i w:val="0"/>
        </w:rPr>
        <w:t>chronogramme</w:t>
      </w:r>
      <w:r w:rsidRPr="00D141CE">
        <w:rPr>
          <w:i w:val="0"/>
        </w:rPr>
        <w:t>)</w:t>
      </w:r>
      <w:r w:rsidR="00D96F3F">
        <w:rPr>
          <w:i w:val="0"/>
        </w:rPr>
        <w:t xml:space="preserve">. </w:t>
      </w:r>
      <w:r w:rsidR="00D96F3F">
        <w:rPr>
          <w:rFonts w:hint="eastAsia"/>
          <w:i w:val="0"/>
        </w:rPr>
        <w:t>L</w:t>
      </w:r>
      <w:r w:rsidR="00D96F3F">
        <w:rPr>
          <w:i w:val="0"/>
        </w:rPr>
        <w:t>e prestataire détaillera également sa vision de la capitalisation (une définition, l’intérêt de capitaliser sur les projets, et les manières de faire)</w:t>
      </w:r>
      <w:r w:rsidRPr="00D141CE">
        <w:rPr>
          <w:i w:val="0"/>
        </w:rPr>
        <w:t xml:space="preserve"> ; </w:t>
      </w:r>
    </w:p>
    <w:p w14:paraId="47113DF8" w14:textId="69BFDA79" w:rsidR="00FC1281" w:rsidRDefault="00A223C9" w:rsidP="00981B13">
      <w:pPr>
        <w:pStyle w:val="Paragraphedeliste"/>
        <w:numPr>
          <w:ilvl w:val="0"/>
          <w:numId w:val="15"/>
        </w:numPr>
        <w:rPr>
          <w:rFonts w:hint="eastAsia"/>
          <w:i w:val="0"/>
        </w:rPr>
      </w:pPr>
      <w:r w:rsidRPr="00D141CE">
        <w:rPr>
          <w:i w:val="0"/>
        </w:rPr>
        <w:t xml:space="preserve">Une </w:t>
      </w:r>
      <w:r w:rsidRPr="004A24F9">
        <w:rPr>
          <w:b/>
          <w:i w:val="0"/>
        </w:rPr>
        <w:t>offre financière</w:t>
      </w:r>
      <w:r w:rsidR="004A24F9">
        <w:rPr>
          <w:i w:val="0"/>
        </w:rPr>
        <w:t xml:space="preserve">, reprenant le </w:t>
      </w:r>
      <w:r w:rsidRPr="00D141CE">
        <w:rPr>
          <w:i w:val="0"/>
        </w:rPr>
        <w:t xml:space="preserve">budget </w:t>
      </w:r>
      <w:r w:rsidR="00DA1791" w:rsidRPr="004A24F9">
        <w:rPr>
          <w:i w:val="0"/>
        </w:rPr>
        <w:t xml:space="preserve">global </w:t>
      </w:r>
      <w:r w:rsidR="004A24F9" w:rsidRPr="004A24F9">
        <w:rPr>
          <w:i w:val="0"/>
        </w:rPr>
        <w:t xml:space="preserve">de l’évaluation, en détaillant les </w:t>
      </w:r>
      <w:r w:rsidR="00480278" w:rsidRPr="004A24F9">
        <w:rPr>
          <w:i w:val="0"/>
        </w:rPr>
        <w:t>éléments</w:t>
      </w:r>
      <w:r w:rsidR="00DA1791" w:rsidRPr="004A24F9">
        <w:rPr>
          <w:i w:val="0"/>
        </w:rPr>
        <w:t xml:space="preserve"> budgétaires suivants</w:t>
      </w:r>
      <w:r w:rsidR="00776A6D" w:rsidRPr="004A24F9">
        <w:rPr>
          <w:rFonts w:hint="cs"/>
          <w:i w:val="0"/>
        </w:rPr>
        <w:t> </w:t>
      </w:r>
      <w:r w:rsidR="00480278" w:rsidRPr="004A24F9">
        <w:rPr>
          <w:rFonts w:hint="eastAsia"/>
          <w:i w:val="0"/>
        </w:rPr>
        <w:t xml:space="preserve">: </w:t>
      </w:r>
      <w:r w:rsidR="00776A6D" w:rsidRPr="004A24F9">
        <w:rPr>
          <w:rFonts w:hint="eastAsia"/>
          <w:i w:val="0"/>
        </w:rPr>
        <w:t>co</w:t>
      </w:r>
      <w:r w:rsidR="00776A6D" w:rsidRPr="004A24F9">
        <w:rPr>
          <w:rFonts w:hint="cs"/>
          <w:i w:val="0"/>
        </w:rPr>
        <w:t>û</w:t>
      </w:r>
      <w:r w:rsidR="00776A6D" w:rsidRPr="004A24F9">
        <w:rPr>
          <w:rFonts w:hint="eastAsia"/>
          <w:i w:val="0"/>
        </w:rPr>
        <w:t xml:space="preserve">t </w:t>
      </w:r>
      <w:r w:rsidR="00480278" w:rsidRPr="004A24F9">
        <w:rPr>
          <w:i w:val="0"/>
        </w:rPr>
        <w:t xml:space="preserve">journalier </w:t>
      </w:r>
      <w:r w:rsidR="00776A6D" w:rsidRPr="004A24F9">
        <w:rPr>
          <w:rFonts w:hint="eastAsia"/>
          <w:i w:val="0"/>
        </w:rPr>
        <w:t xml:space="preserve">de </w:t>
      </w:r>
      <w:proofErr w:type="gramStart"/>
      <w:r w:rsidR="004A24F9" w:rsidRPr="004A24F9">
        <w:rPr>
          <w:i w:val="0"/>
        </w:rPr>
        <w:t>l’</w:t>
      </w:r>
      <w:proofErr w:type="spellStart"/>
      <w:r w:rsidR="00776A6D" w:rsidRPr="004A24F9">
        <w:rPr>
          <w:rFonts w:hint="eastAsia"/>
          <w:i w:val="0"/>
        </w:rPr>
        <w:t>intervenant</w:t>
      </w:r>
      <w:r w:rsidR="004A24F9" w:rsidRPr="004A24F9">
        <w:rPr>
          <w:i w:val="0"/>
        </w:rPr>
        <w:t>.e</w:t>
      </w:r>
      <w:proofErr w:type="spellEnd"/>
      <w:proofErr w:type="gramEnd"/>
      <w:r w:rsidR="00776A6D" w:rsidRPr="004A24F9">
        <w:rPr>
          <w:rFonts w:hint="eastAsia"/>
          <w:i w:val="0"/>
        </w:rPr>
        <w:t xml:space="preserve"> ; d</w:t>
      </w:r>
      <w:r w:rsidR="00776A6D" w:rsidRPr="004A24F9">
        <w:rPr>
          <w:rFonts w:hint="cs"/>
          <w:i w:val="0"/>
        </w:rPr>
        <w:t>é</w:t>
      </w:r>
      <w:r w:rsidR="00776A6D" w:rsidRPr="004A24F9">
        <w:rPr>
          <w:rFonts w:hint="eastAsia"/>
          <w:i w:val="0"/>
        </w:rPr>
        <w:t>composition des temps d</w:t>
      </w:r>
      <w:r w:rsidR="00776A6D" w:rsidRPr="004A24F9">
        <w:rPr>
          <w:rFonts w:hint="eastAsia"/>
          <w:i w:val="0"/>
        </w:rPr>
        <w:t>’</w:t>
      </w:r>
      <w:r w:rsidR="00776A6D" w:rsidRPr="004A24F9">
        <w:rPr>
          <w:rFonts w:hint="eastAsia"/>
          <w:i w:val="0"/>
        </w:rPr>
        <w:t xml:space="preserve">intervention </w:t>
      </w:r>
      <w:r w:rsidR="004A24F9" w:rsidRPr="004A24F9">
        <w:rPr>
          <w:i w:val="0"/>
        </w:rPr>
        <w:t xml:space="preserve">par </w:t>
      </w:r>
      <w:r w:rsidR="00776A6D" w:rsidRPr="004A24F9">
        <w:rPr>
          <w:rFonts w:hint="cs"/>
          <w:i w:val="0"/>
        </w:rPr>
        <w:t>é</w:t>
      </w:r>
      <w:r w:rsidR="00776A6D" w:rsidRPr="004A24F9">
        <w:rPr>
          <w:rFonts w:hint="eastAsia"/>
          <w:i w:val="0"/>
        </w:rPr>
        <w:t>tape de travail ; co</w:t>
      </w:r>
      <w:r w:rsidR="00776A6D" w:rsidRPr="004A24F9">
        <w:rPr>
          <w:rFonts w:hint="cs"/>
          <w:i w:val="0"/>
        </w:rPr>
        <w:t>û</w:t>
      </w:r>
      <w:r w:rsidR="00776A6D" w:rsidRPr="004A24F9">
        <w:rPr>
          <w:rFonts w:hint="eastAsia"/>
          <w:i w:val="0"/>
        </w:rPr>
        <w:t>ts annexes (prestations et documents compl</w:t>
      </w:r>
      <w:r w:rsidR="00776A6D" w:rsidRPr="004A24F9">
        <w:rPr>
          <w:rFonts w:hint="cs"/>
          <w:i w:val="0"/>
        </w:rPr>
        <w:t>é</w:t>
      </w:r>
      <w:r w:rsidR="00776A6D" w:rsidRPr="004A24F9">
        <w:rPr>
          <w:rFonts w:hint="eastAsia"/>
          <w:i w:val="0"/>
        </w:rPr>
        <w:t>mentaires) ; frais de transport, frais logistiques, frais de traduction</w:t>
      </w:r>
      <w:r w:rsidR="00776A6D" w:rsidRPr="004A24F9">
        <w:rPr>
          <w:rFonts w:hint="cs"/>
          <w:i w:val="0"/>
        </w:rPr>
        <w:t> </w:t>
      </w:r>
      <w:r w:rsidR="00776A6D" w:rsidRPr="004A24F9">
        <w:rPr>
          <w:rFonts w:hint="eastAsia"/>
          <w:i w:val="0"/>
        </w:rPr>
        <w:t>; avec propositions de modalit</w:t>
      </w:r>
      <w:r w:rsidR="00776A6D" w:rsidRPr="004A24F9">
        <w:rPr>
          <w:rFonts w:hint="cs"/>
          <w:i w:val="0"/>
        </w:rPr>
        <w:t>é</w:t>
      </w:r>
      <w:r w:rsidR="00776A6D" w:rsidRPr="004A24F9">
        <w:rPr>
          <w:rFonts w:hint="eastAsia"/>
          <w:i w:val="0"/>
        </w:rPr>
        <w:t>s de paiement.</w:t>
      </w:r>
      <w:r w:rsidR="00776A6D" w:rsidRPr="00D141CE">
        <w:rPr>
          <w:i w:val="0"/>
        </w:rPr>
        <w:t xml:space="preserve"> </w:t>
      </w:r>
    </w:p>
    <w:p w14:paraId="002D355E" w14:textId="77777777" w:rsidR="000D2AEF" w:rsidRPr="00FC1281" w:rsidRDefault="000D2AEF" w:rsidP="000D2AEF">
      <w:pPr>
        <w:pStyle w:val="Paragraphedeliste"/>
        <w:numPr>
          <w:ilvl w:val="0"/>
          <w:numId w:val="0"/>
        </w:numPr>
        <w:ind w:left="720"/>
        <w:rPr>
          <w:rFonts w:hint="eastAsia"/>
          <w:i w:val="0"/>
        </w:rPr>
      </w:pPr>
    </w:p>
    <w:p w14:paraId="515BD2D9" w14:textId="77777777" w:rsidR="00E86E3B" w:rsidRDefault="00E86E3B" w:rsidP="00E86E3B">
      <w:pPr>
        <w:tabs>
          <w:tab w:val="clear" w:pos="9923"/>
        </w:tabs>
        <w:spacing w:after="200"/>
        <w:ind w:left="0"/>
        <w:jc w:val="left"/>
        <w:rPr>
          <w:rFonts w:hint="eastAsia"/>
          <w:i w:val="0"/>
        </w:rPr>
        <w:sectPr w:rsidR="00E86E3B" w:rsidSect="006972C9">
          <w:pgSz w:w="11900" w:h="16840"/>
          <w:pgMar w:top="1134" w:right="1127" w:bottom="1134" w:left="992" w:header="709" w:footer="590" w:gutter="0"/>
          <w:cols w:space="708"/>
          <w:docGrid w:linePitch="360"/>
        </w:sectPr>
      </w:pPr>
    </w:p>
    <w:p w14:paraId="4AB4BDCD" w14:textId="3C7CE72E" w:rsidR="00E86E3B" w:rsidRDefault="00E86E3B" w:rsidP="00E86E3B">
      <w:pPr>
        <w:tabs>
          <w:tab w:val="clear" w:pos="9923"/>
        </w:tabs>
        <w:spacing w:after="200"/>
        <w:ind w:left="0"/>
        <w:jc w:val="left"/>
        <w:rPr>
          <w:rFonts w:hint="eastAsia"/>
          <w:b/>
          <w:i w:val="0"/>
          <w:color w:val="auto"/>
          <w:u w:val="single"/>
        </w:rPr>
      </w:pPr>
      <w:r>
        <w:rPr>
          <w:b/>
          <w:i w:val="0"/>
          <w:color w:val="auto"/>
          <w:u w:val="single"/>
        </w:rPr>
        <w:lastRenderedPageBreak/>
        <w:t>Annexe 1 - Théorie du changement</w:t>
      </w:r>
    </w:p>
    <w:p w14:paraId="12E23BB0" w14:textId="77777777" w:rsidR="00E86E3B" w:rsidRDefault="00E86E3B" w:rsidP="00E86E3B">
      <w:pPr>
        <w:tabs>
          <w:tab w:val="clear" w:pos="9923"/>
        </w:tabs>
        <w:spacing w:after="200"/>
        <w:ind w:left="0"/>
        <w:jc w:val="left"/>
        <w:rPr>
          <w:rFonts w:hint="eastAsia"/>
          <w:b/>
          <w:i w:val="0"/>
          <w:color w:val="auto"/>
          <w:u w:val="single"/>
        </w:rPr>
      </w:pPr>
      <w:r>
        <w:rPr>
          <w:noProof/>
          <w:lang w:eastAsia="fr-FR"/>
        </w:rPr>
        <w:drawing>
          <wp:inline distT="0" distB="0" distL="0" distR="0" wp14:anchorId="411F1AE2" wp14:editId="61571A34">
            <wp:extent cx="9253220" cy="5547995"/>
            <wp:effectExtent l="0" t="0" r="508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1"/>
                    <a:stretch>
                      <a:fillRect/>
                    </a:stretch>
                  </pic:blipFill>
                  <pic:spPr>
                    <a:xfrm>
                      <a:off x="0" y="0"/>
                      <a:ext cx="9253220" cy="5547995"/>
                    </a:xfrm>
                    <a:prstGeom prst="rect">
                      <a:avLst/>
                    </a:prstGeom>
                  </pic:spPr>
                </pic:pic>
              </a:graphicData>
            </a:graphic>
          </wp:inline>
        </w:drawing>
      </w:r>
    </w:p>
    <w:p w14:paraId="0C189D17" w14:textId="77777777" w:rsidR="00E86E3B" w:rsidRDefault="00E86E3B" w:rsidP="00E86E3B">
      <w:pPr>
        <w:tabs>
          <w:tab w:val="clear" w:pos="9923"/>
        </w:tabs>
        <w:spacing w:after="200"/>
        <w:ind w:left="0"/>
        <w:jc w:val="left"/>
        <w:rPr>
          <w:rFonts w:hint="eastAsia"/>
          <w:b/>
          <w:i w:val="0"/>
          <w:color w:val="auto"/>
          <w:u w:val="single"/>
        </w:rPr>
      </w:pPr>
      <w:r>
        <w:rPr>
          <w:rFonts w:hint="eastAsia"/>
          <w:b/>
          <w:i w:val="0"/>
          <w:color w:val="auto"/>
          <w:u w:val="single"/>
        </w:rPr>
        <w:br w:type="page"/>
      </w:r>
    </w:p>
    <w:p w14:paraId="274F4024" w14:textId="484F3F0C" w:rsidR="00E86E3B" w:rsidRPr="007425EB" w:rsidRDefault="00E86E3B" w:rsidP="00E86E3B">
      <w:pPr>
        <w:tabs>
          <w:tab w:val="clear" w:pos="9923"/>
        </w:tabs>
        <w:spacing w:after="200"/>
        <w:ind w:left="0"/>
        <w:jc w:val="left"/>
        <w:rPr>
          <w:rFonts w:hint="eastAsia"/>
          <w:b/>
          <w:i w:val="0"/>
          <w:color w:val="auto"/>
          <w:u w:val="single"/>
        </w:rPr>
      </w:pPr>
      <w:r>
        <w:rPr>
          <w:b/>
          <w:i w:val="0"/>
          <w:color w:val="auto"/>
          <w:u w:val="single"/>
        </w:rPr>
        <w:lastRenderedPageBreak/>
        <w:t>Annexe 2 - Cad</w:t>
      </w:r>
      <w:r w:rsidRPr="00FA0CC7">
        <w:rPr>
          <w:b/>
          <w:i w:val="0"/>
          <w:color w:val="auto"/>
          <w:u w:val="single"/>
        </w:rPr>
        <w:t>re Logique</w:t>
      </w:r>
    </w:p>
    <w:tbl>
      <w:tblPr>
        <w:tblpPr w:leftFromText="141" w:rightFromText="141" w:vertAnchor="text" w:tblpXSpec="center" w:tblpY="1"/>
        <w:tblOverlap w:val="neve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158"/>
        <w:gridCol w:w="2835"/>
        <w:gridCol w:w="2551"/>
        <w:gridCol w:w="2835"/>
        <w:gridCol w:w="2594"/>
        <w:gridCol w:w="73"/>
      </w:tblGrid>
      <w:tr w:rsidR="00E86E3B" w:rsidRPr="00A57801" w14:paraId="4ED60C5F" w14:textId="77777777" w:rsidTr="00970A79">
        <w:trPr>
          <w:gridAfter w:val="1"/>
          <w:wAfter w:w="73" w:type="dxa"/>
          <w:cantSplit/>
          <w:trHeight w:val="986"/>
          <w:tblHeader/>
        </w:trPr>
        <w:tc>
          <w:tcPr>
            <w:tcW w:w="665" w:type="dxa"/>
            <w:tcBorders>
              <w:bottom w:val="single" w:sz="4" w:space="0" w:color="auto"/>
            </w:tcBorders>
            <w:shd w:val="clear" w:color="auto" w:fill="BFBFBF"/>
            <w:textDirection w:val="btLr"/>
          </w:tcPr>
          <w:p w14:paraId="265C752E" w14:textId="77777777" w:rsidR="00E86E3B" w:rsidRPr="00A57801" w:rsidRDefault="00E86E3B" w:rsidP="00970A79">
            <w:pPr>
              <w:ind w:left="113" w:right="113"/>
              <w:contextualSpacing/>
              <w:jc w:val="center"/>
              <w:rPr>
                <w:rFonts w:hint="eastAsia"/>
                <w:b/>
                <w:i w:val="0"/>
                <w:sz w:val="18"/>
                <w:szCs w:val="18"/>
              </w:rPr>
            </w:pPr>
            <w:r>
              <w:rPr>
                <w:b/>
                <w:sz w:val="18"/>
                <w:szCs w:val="18"/>
              </w:rPr>
              <w:t>Résultats</w:t>
            </w:r>
          </w:p>
        </w:tc>
        <w:tc>
          <w:tcPr>
            <w:tcW w:w="3158" w:type="dxa"/>
            <w:tcBorders>
              <w:bottom w:val="single" w:sz="4" w:space="0" w:color="auto"/>
            </w:tcBorders>
            <w:shd w:val="clear" w:color="auto" w:fill="BFBFBF"/>
          </w:tcPr>
          <w:p w14:paraId="44081FDB" w14:textId="77777777" w:rsidR="00E86E3B" w:rsidRPr="00A57801" w:rsidRDefault="00E86E3B" w:rsidP="00970A79">
            <w:pPr>
              <w:contextualSpacing/>
              <w:jc w:val="center"/>
              <w:rPr>
                <w:rFonts w:hint="eastAsia"/>
                <w:b/>
                <w:i w:val="0"/>
                <w:sz w:val="18"/>
                <w:szCs w:val="18"/>
              </w:rPr>
            </w:pPr>
            <w:r>
              <w:rPr>
                <w:b/>
                <w:sz w:val="18"/>
                <w:szCs w:val="18"/>
              </w:rPr>
              <w:t>Chaîne des résultats</w:t>
            </w:r>
          </w:p>
        </w:tc>
        <w:tc>
          <w:tcPr>
            <w:tcW w:w="2835" w:type="dxa"/>
            <w:tcBorders>
              <w:bottom w:val="single" w:sz="4" w:space="0" w:color="auto"/>
            </w:tcBorders>
            <w:shd w:val="clear" w:color="auto" w:fill="BFBFBF"/>
          </w:tcPr>
          <w:p w14:paraId="06BAEC9A" w14:textId="77777777" w:rsidR="00E86E3B" w:rsidRPr="00A57801" w:rsidRDefault="00E86E3B" w:rsidP="00970A79">
            <w:pPr>
              <w:contextualSpacing/>
              <w:jc w:val="center"/>
              <w:rPr>
                <w:rFonts w:hint="eastAsia"/>
                <w:b/>
                <w:i w:val="0"/>
                <w:sz w:val="18"/>
                <w:szCs w:val="18"/>
              </w:rPr>
            </w:pPr>
            <w:r>
              <w:rPr>
                <w:b/>
                <w:sz w:val="18"/>
                <w:szCs w:val="18"/>
              </w:rPr>
              <w:t>Indicateur</w:t>
            </w:r>
          </w:p>
        </w:tc>
        <w:tc>
          <w:tcPr>
            <w:tcW w:w="2551" w:type="dxa"/>
            <w:tcBorders>
              <w:bottom w:val="single" w:sz="4" w:space="0" w:color="auto"/>
            </w:tcBorders>
            <w:shd w:val="clear" w:color="auto" w:fill="BFBFBF"/>
          </w:tcPr>
          <w:p w14:paraId="4C1393D4" w14:textId="77777777" w:rsidR="00E86E3B" w:rsidRPr="00BC1959" w:rsidRDefault="00E86E3B" w:rsidP="00970A79">
            <w:pPr>
              <w:contextualSpacing/>
              <w:jc w:val="center"/>
              <w:rPr>
                <w:rFonts w:hint="eastAsia"/>
                <w:b/>
                <w:i w:val="0"/>
                <w:sz w:val="18"/>
                <w:szCs w:val="18"/>
              </w:rPr>
            </w:pPr>
            <w:r w:rsidRPr="00BC1959">
              <w:rPr>
                <w:b/>
                <w:sz w:val="18"/>
                <w:szCs w:val="18"/>
              </w:rPr>
              <w:t>Niveau de référence</w:t>
            </w:r>
          </w:p>
          <w:p w14:paraId="261B1B96" w14:textId="77777777" w:rsidR="00E86E3B" w:rsidRPr="00BC1959" w:rsidRDefault="00E86E3B" w:rsidP="00970A79">
            <w:pPr>
              <w:contextualSpacing/>
              <w:jc w:val="center"/>
              <w:rPr>
                <w:rFonts w:hint="eastAsia"/>
                <w:b/>
                <w:i w:val="0"/>
                <w:sz w:val="18"/>
                <w:szCs w:val="18"/>
              </w:rPr>
            </w:pPr>
            <w:r w:rsidRPr="00BC1959">
              <w:rPr>
                <w:b/>
                <w:sz w:val="18"/>
                <w:szCs w:val="18"/>
              </w:rPr>
              <w:t>(valeur et année de référence)</w:t>
            </w:r>
          </w:p>
        </w:tc>
        <w:tc>
          <w:tcPr>
            <w:tcW w:w="2835" w:type="dxa"/>
            <w:tcBorders>
              <w:bottom w:val="single" w:sz="4" w:space="0" w:color="auto"/>
            </w:tcBorders>
            <w:shd w:val="clear" w:color="auto" w:fill="BFBFBF"/>
          </w:tcPr>
          <w:p w14:paraId="78FE0EB9" w14:textId="77777777" w:rsidR="00E86E3B" w:rsidRPr="00BC1959" w:rsidRDefault="00E86E3B" w:rsidP="00970A79">
            <w:pPr>
              <w:contextualSpacing/>
              <w:jc w:val="center"/>
              <w:rPr>
                <w:rFonts w:hint="eastAsia"/>
                <w:b/>
                <w:i w:val="0"/>
                <w:sz w:val="18"/>
                <w:szCs w:val="18"/>
              </w:rPr>
            </w:pPr>
            <w:r w:rsidRPr="00BC1959">
              <w:rPr>
                <w:b/>
                <w:sz w:val="18"/>
                <w:szCs w:val="18"/>
              </w:rPr>
              <w:t>Cible</w:t>
            </w:r>
          </w:p>
          <w:p w14:paraId="4587C91E" w14:textId="77777777" w:rsidR="00E86E3B" w:rsidRPr="00BC1959" w:rsidRDefault="00E86E3B" w:rsidP="00970A79">
            <w:pPr>
              <w:contextualSpacing/>
              <w:jc w:val="center"/>
              <w:rPr>
                <w:rFonts w:hint="eastAsia"/>
                <w:b/>
                <w:i w:val="0"/>
                <w:sz w:val="18"/>
                <w:szCs w:val="18"/>
              </w:rPr>
            </w:pPr>
            <w:r w:rsidRPr="00BC1959">
              <w:rPr>
                <w:b/>
                <w:sz w:val="18"/>
                <w:szCs w:val="18"/>
              </w:rPr>
              <w:t>(valeur et année de référence)</w:t>
            </w:r>
          </w:p>
        </w:tc>
        <w:tc>
          <w:tcPr>
            <w:tcW w:w="2594" w:type="dxa"/>
            <w:tcBorders>
              <w:bottom w:val="single" w:sz="4" w:space="0" w:color="auto"/>
            </w:tcBorders>
            <w:shd w:val="clear" w:color="auto" w:fill="BFBFBF"/>
          </w:tcPr>
          <w:p w14:paraId="053B4BC2" w14:textId="77777777" w:rsidR="00E86E3B" w:rsidRPr="00A57801" w:rsidRDefault="00E86E3B" w:rsidP="00970A79">
            <w:pPr>
              <w:contextualSpacing/>
              <w:jc w:val="center"/>
              <w:rPr>
                <w:rFonts w:hint="eastAsia"/>
                <w:b/>
                <w:i w:val="0"/>
                <w:sz w:val="18"/>
                <w:szCs w:val="18"/>
              </w:rPr>
            </w:pPr>
            <w:r>
              <w:rPr>
                <w:b/>
                <w:sz w:val="18"/>
                <w:szCs w:val="18"/>
              </w:rPr>
              <w:t xml:space="preserve">Sources des données </w:t>
            </w:r>
          </w:p>
        </w:tc>
      </w:tr>
      <w:tr w:rsidR="00E86E3B" w:rsidRPr="00A57801" w14:paraId="47929FDD" w14:textId="77777777" w:rsidTr="00970A79">
        <w:trPr>
          <w:trHeight w:val="402"/>
        </w:trPr>
        <w:tc>
          <w:tcPr>
            <w:tcW w:w="665" w:type="dxa"/>
            <w:vMerge w:val="restart"/>
            <w:shd w:val="clear" w:color="auto" w:fill="D9D9D9" w:themeFill="background1" w:themeFillShade="D9"/>
            <w:textDirection w:val="btLr"/>
          </w:tcPr>
          <w:p w14:paraId="04A56983" w14:textId="77777777" w:rsidR="00E86E3B" w:rsidRDefault="00E86E3B" w:rsidP="00970A79">
            <w:pPr>
              <w:tabs>
                <w:tab w:val="left" w:pos="0"/>
                <w:tab w:val="left" w:pos="132"/>
              </w:tabs>
              <w:ind w:left="113" w:right="113"/>
              <w:contextualSpacing/>
              <w:jc w:val="center"/>
              <w:rPr>
                <w:rFonts w:hint="eastAsia"/>
                <w:b/>
                <w:i w:val="0"/>
                <w:sz w:val="18"/>
                <w:szCs w:val="18"/>
              </w:rPr>
            </w:pPr>
            <w:r>
              <w:rPr>
                <w:b/>
                <w:sz w:val="18"/>
                <w:szCs w:val="18"/>
              </w:rPr>
              <w:t xml:space="preserve">Objectif Général </w:t>
            </w:r>
          </w:p>
          <w:p w14:paraId="58CD87A0" w14:textId="77777777" w:rsidR="00E86E3B" w:rsidRPr="00BC1959" w:rsidRDefault="00E86E3B" w:rsidP="00970A79">
            <w:pPr>
              <w:tabs>
                <w:tab w:val="left" w:pos="0"/>
                <w:tab w:val="left" w:pos="132"/>
              </w:tabs>
              <w:ind w:left="113" w:right="113"/>
              <w:contextualSpacing/>
              <w:jc w:val="center"/>
              <w:rPr>
                <w:rFonts w:hint="eastAsia"/>
                <w:b/>
                <w:i w:val="0"/>
                <w:sz w:val="18"/>
                <w:szCs w:val="18"/>
              </w:rPr>
            </w:pPr>
            <w:r>
              <w:rPr>
                <w:b/>
                <w:sz w:val="18"/>
                <w:szCs w:val="18"/>
              </w:rPr>
              <w:t>(impact)</w:t>
            </w:r>
          </w:p>
        </w:tc>
        <w:tc>
          <w:tcPr>
            <w:tcW w:w="3158" w:type="dxa"/>
            <w:vMerge w:val="restart"/>
            <w:shd w:val="clear" w:color="auto" w:fill="auto"/>
          </w:tcPr>
          <w:p w14:paraId="5FD8F870" w14:textId="77777777" w:rsidR="00E86E3B" w:rsidRPr="0047098D" w:rsidRDefault="00E86E3B" w:rsidP="00970A79">
            <w:pPr>
              <w:jc w:val="left"/>
              <w:rPr>
                <w:rFonts w:cstheme="minorHAnsi" w:hint="eastAsia"/>
                <w:i w:val="0"/>
                <w:iCs w:val="0"/>
                <w:color w:val="0000FF"/>
                <w:sz w:val="18"/>
                <w:szCs w:val="20"/>
              </w:rPr>
            </w:pPr>
            <w:r w:rsidRPr="0047098D">
              <w:rPr>
                <w:rFonts w:cstheme="minorHAnsi"/>
                <w:sz w:val="18"/>
                <w:szCs w:val="20"/>
              </w:rPr>
              <w:t xml:space="preserve">Faciliter l’accès au financement et favoriser la consolidation du tissu des </w:t>
            </w:r>
            <w:r>
              <w:rPr>
                <w:rFonts w:cstheme="minorHAnsi"/>
                <w:sz w:val="18"/>
                <w:szCs w:val="20"/>
              </w:rPr>
              <w:t>T/</w:t>
            </w:r>
            <w:r w:rsidRPr="0047098D">
              <w:rPr>
                <w:rFonts w:cstheme="minorHAnsi"/>
                <w:sz w:val="18"/>
                <w:szCs w:val="20"/>
              </w:rPr>
              <w:t>PME afin de soutenir la relance économique dans un contexte marqué par des crises multiples</w:t>
            </w:r>
            <w:r w:rsidRPr="0047098D">
              <w:rPr>
                <w:rFonts w:cstheme="minorHAnsi"/>
                <w:color w:val="0000FF"/>
                <w:sz w:val="18"/>
                <w:szCs w:val="20"/>
              </w:rPr>
              <w:t>.</w:t>
            </w:r>
          </w:p>
        </w:tc>
        <w:tc>
          <w:tcPr>
            <w:tcW w:w="2835" w:type="dxa"/>
            <w:shd w:val="clear" w:color="auto" w:fill="auto"/>
          </w:tcPr>
          <w:p w14:paraId="21BFCF6F" w14:textId="77777777" w:rsidR="00E86E3B" w:rsidRPr="0047098D" w:rsidRDefault="00E86E3B" w:rsidP="00970A79">
            <w:pPr>
              <w:jc w:val="left"/>
              <w:rPr>
                <w:rFonts w:cstheme="minorHAnsi" w:hint="eastAsia"/>
                <w:sz w:val="18"/>
                <w:szCs w:val="20"/>
                <w:lang w:eastAsia="fr-FR"/>
              </w:rPr>
            </w:pPr>
            <w:r w:rsidRPr="0047098D">
              <w:rPr>
                <w:sz w:val="18"/>
                <w:szCs w:val="20"/>
              </w:rPr>
              <w:t xml:space="preserve">Indicateur d’impact nº 1: Nombre de </w:t>
            </w:r>
            <w:r>
              <w:rPr>
                <w:sz w:val="18"/>
                <w:szCs w:val="20"/>
              </w:rPr>
              <w:t>T/PME</w:t>
            </w:r>
            <w:r w:rsidRPr="0047098D">
              <w:rPr>
                <w:sz w:val="18"/>
                <w:szCs w:val="20"/>
              </w:rPr>
              <w:t xml:space="preserve"> ayant accès à un crédit</w:t>
            </w:r>
          </w:p>
        </w:tc>
        <w:tc>
          <w:tcPr>
            <w:tcW w:w="2551" w:type="dxa"/>
            <w:shd w:val="clear" w:color="auto" w:fill="auto"/>
          </w:tcPr>
          <w:p w14:paraId="56859AA2" w14:textId="77777777" w:rsidR="00E86E3B" w:rsidRPr="0047098D" w:rsidRDefault="00E86E3B" w:rsidP="00970A79">
            <w:pPr>
              <w:autoSpaceDE w:val="0"/>
              <w:autoSpaceDN w:val="0"/>
              <w:adjustRightInd w:val="0"/>
              <w:jc w:val="left"/>
              <w:rPr>
                <w:rFonts w:hint="eastAsia"/>
                <w:sz w:val="18"/>
                <w:szCs w:val="20"/>
              </w:rPr>
            </w:pPr>
            <w:r w:rsidRPr="0047098D">
              <w:rPr>
                <w:sz w:val="18"/>
                <w:szCs w:val="20"/>
              </w:rPr>
              <w:t>TBC</w:t>
            </w:r>
          </w:p>
        </w:tc>
        <w:tc>
          <w:tcPr>
            <w:tcW w:w="2835" w:type="dxa"/>
            <w:shd w:val="clear" w:color="auto" w:fill="auto"/>
          </w:tcPr>
          <w:p w14:paraId="5E8A135D" w14:textId="77777777" w:rsidR="00E86E3B" w:rsidRPr="0047098D" w:rsidRDefault="00E86E3B" w:rsidP="00970A79">
            <w:pPr>
              <w:autoSpaceDE w:val="0"/>
              <w:autoSpaceDN w:val="0"/>
              <w:adjustRightInd w:val="0"/>
              <w:jc w:val="left"/>
              <w:rPr>
                <w:rFonts w:hint="eastAsia"/>
                <w:sz w:val="18"/>
                <w:szCs w:val="20"/>
              </w:rPr>
            </w:pPr>
            <w:r w:rsidRPr="0047098D">
              <w:rPr>
                <w:sz w:val="18"/>
                <w:szCs w:val="20"/>
              </w:rPr>
              <w:t>TBC</w:t>
            </w:r>
          </w:p>
        </w:tc>
        <w:tc>
          <w:tcPr>
            <w:tcW w:w="2667" w:type="dxa"/>
            <w:gridSpan w:val="2"/>
            <w:shd w:val="clear" w:color="auto" w:fill="auto"/>
          </w:tcPr>
          <w:p w14:paraId="7215C0CE" w14:textId="77777777" w:rsidR="00E86E3B" w:rsidRPr="0047098D" w:rsidRDefault="00E86E3B" w:rsidP="00970A79">
            <w:pPr>
              <w:autoSpaceDE w:val="0"/>
              <w:autoSpaceDN w:val="0"/>
              <w:adjustRightInd w:val="0"/>
              <w:jc w:val="left"/>
              <w:rPr>
                <w:rFonts w:hint="eastAsia"/>
                <w:sz w:val="18"/>
                <w:szCs w:val="20"/>
              </w:rPr>
            </w:pPr>
            <w:r w:rsidRPr="0047098D">
              <w:rPr>
                <w:rFonts w:cstheme="minorHAnsi"/>
                <w:sz w:val="18"/>
                <w:szCs w:val="20"/>
              </w:rPr>
              <w:t xml:space="preserve">Données de I’ITCEQ sur le nombre de </w:t>
            </w:r>
            <w:r>
              <w:rPr>
                <w:rFonts w:cstheme="minorHAnsi"/>
                <w:sz w:val="18"/>
                <w:szCs w:val="20"/>
              </w:rPr>
              <w:t>T/</w:t>
            </w:r>
            <w:r w:rsidRPr="0047098D">
              <w:rPr>
                <w:rFonts w:cstheme="minorHAnsi"/>
                <w:sz w:val="18"/>
                <w:szCs w:val="20"/>
              </w:rPr>
              <w:t>PME et la croissance</w:t>
            </w:r>
          </w:p>
        </w:tc>
      </w:tr>
      <w:tr w:rsidR="00E86E3B" w:rsidRPr="008F4605" w14:paraId="4A087356" w14:textId="77777777" w:rsidTr="00970A79">
        <w:trPr>
          <w:trHeight w:val="402"/>
        </w:trPr>
        <w:tc>
          <w:tcPr>
            <w:tcW w:w="665" w:type="dxa"/>
            <w:vMerge/>
            <w:shd w:val="clear" w:color="auto" w:fill="D9D9D9" w:themeFill="background1" w:themeFillShade="D9"/>
            <w:textDirection w:val="btLr"/>
          </w:tcPr>
          <w:p w14:paraId="5F0BB308" w14:textId="77777777" w:rsidR="00E86E3B" w:rsidRPr="00A57801" w:rsidRDefault="00E86E3B" w:rsidP="00970A79">
            <w:pPr>
              <w:tabs>
                <w:tab w:val="left" w:pos="0"/>
                <w:tab w:val="left" w:pos="132"/>
              </w:tabs>
              <w:ind w:left="113" w:right="113"/>
              <w:contextualSpacing/>
              <w:jc w:val="center"/>
              <w:rPr>
                <w:rFonts w:hint="eastAsia"/>
                <w:b/>
                <w:i w:val="0"/>
                <w:sz w:val="18"/>
                <w:szCs w:val="18"/>
              </w:rPr>
            </w:pPr>
          </w:p>
        </w:tc>
        <w:tc>
          <w:tcPr>
            <w:tcW w:w="3158" w:type="dxa"/>
            <w:vMerge/>
            <w:shd w:val="clear" w:color="auto" w:fill="auto"/>
          </w:tcPr>
          <w:p w14:paraId="5EE01A43" w14:textId="77777777" w:rsidR="00E86E3B" w:rsidRPr="0047098D" w:rsidDel="00F11A37" w:rsidRDefault="00E86E3B" w:rsidP="00970A79">
            <w:pPr>
              <w:autoSpaceDE w:val="0"/>
              <w:autoSpaceDN w:val="0"/>
              <w:adjustRightInd w:val="0"/>
              <w:jc w:val="left"/>
              <w:rPr>
                <w:rFonts w:hint="eastAsia"/>
                <w:sz w:val="18"/>
                <w:szCs w:val="20"/>
              </w:rPr>
            </w:pPr>
          </w:p>
        </w:tc>
        <w:tc>
          <w:tcPr>
            <w:tcW w:w="2835" w:type="dxa"/>
            <w:shd w:val="clear" w:color="auto" w:fill="auto"/>
          </w:tcPr>
          <w:p w14:paraId="565C6CCE" w14:textId="77777777" w:rsidR="00E86E3B" w:rsidRPr="0047098D" w:rsidRDefault="00E86E3B" w:rsidP="00970A79">
            <w:pPr>
              <w:autoSpaceDE w:val="0"/>
              <w:autoSpaceDN w:val="0"/>
              <w:adjustRightInd w:val="0"/>
              <w:jc w:val="left"/>
              <w:rPr>
                <w:rFonts w:hint="eastAsia"/>
                <w:sz w:val="18"/>
                <w:szCs w:val="20"/>
              </w:rPr>
            </w:pPr>
            <w:r w:rsidRPr="0047098D">
              <w:rPr>
                <w:sz w:val="18"/>
                <w:szCs w:val="20"/>
              </w:rPr>
              <w:t>Indicateur d’impact nº </w:t>
            </w:r>
            <w:proofErr w:type="gramStart"/>
            <w:r w:rsidRPr="0047098D">
              <w:rPr>
                <w:sz w:val="18"/>
                <w:szCs w:val="20"/>
              </w:rPr>
              <w:t>2:</w:t>
            </w:r>
            <w:proofErr w:type="gramEnd"/>
            <w:r w:rsidRPr="0047098D">
              <w:rPr>
                <w:sz w:val="18"/>
                <w:szCs w:val="20"/>
              </w:rPr>
              <w:t xml:space="preserve"> </w:t>
            </w:r>
          </w:p>
          <w:p w14:paraId="32C70D54" w14:textId="77777777" w:rsidR="00E86E3B" w:rsidRPr="0047098D" w:rsidRDefault="00E86E3B" w:rsidP="00970A79">
            <w:pPr>
              <w:autoSpaceDE w:val="0"/>
              <w:autoSpaceDN w:val="0"/>
              <w:adjustRightInd w:val="0"/>
              <w:jc w:val="left"/>
              <w:rPr>
                <w:rFonts w:hint="eastAsia"/>
                <w:sz w:val="18"/>
                <w:szCs w:val="20"/>
              </w:rPr>
            </w:pPr>
            <w:r w:rsidRPr="0047098D">
              <w:rPr>
                <w:sz w:val="18"/>
                <w:szCs w:val="20"/>
              </w:rPr>
              <w:t xml:space="preserve">Poids des </w:t>
            </w:r>
            <w:r>
              <w:rPr>
                <w:sz w:val="18"/>
                <w:szCs w:val="20"/>
              </w:rPr>
              <w:t>T/</w:t>
            </w:r>
            <w:r w:rsidRPr="0047098D">
              <w:rPr>
                <w:sz w:val="18"/>
                <w:szCs w:val="20"/>
              </w:rPr>
              <w:t>PME dans la croissance tunisienne</w:t>
            </w:r>
          </w:p>
        </w:tc>
        <w:tc>
          <w:tcPr>
            <w:tcW w:w="2551" w:type="dxa"/>
            <w:shd w:val="clear" w:color="auto" w:fill="auto"/>
          </w:tcPr>
          <w:p w14:paraId="195717F9" w14:textId="77777777" w:rsidR="00E86E3B" w:rsidRPr="0047098D" w:rsidDel="00F11A37" w:rsidRDefault="00E86E3B" w:rsidP="00970A79">
            <w:pPr>
              <w:autoSpaceDE w:val="0"/>
              <w:autoSpaceDN w:val="0"/>
              <w:adjustRightInd w:val="0"/>
              <w:jc w:val="left"/>
              <w:rPr>
                <w:rFonts w:hint="eastAsia"/>
                <w:sz w:val="18"/>
                <w:szCs w:val="20"/>
              </w:rPr>
            </w:pPr>
            <w:r w:rsidRPr="0047098D">
              <w:rPr>
                <w:sz w:val="18"/>
                <w:szCs w:val="20"/>
              </w:rPr>
              <w:t>TBC</w:t>
            </w:r>
          </w:p>
        </w:tc>
        <w:tc>
          <w:tcPr>
            <w:tcW w:w="2835" w:type="dxa"/>
            <w:shd w:val="clear" w:color="auto" w:fill="auto"/>
          </w:tcPr>
          <w:p w14:paraId="3D3F77BC" w14:textId="77777777" w:rsidR="00E86E3B" w:rsidRPr="0047098D" w:rsidDel="00F11A37" w:rsidRDefault="00E86E3B" w:rsidP="00970A79">
            <w:pPr>
              <w:autoSpaceDE w:val="0"/>
              <w:autoSpaceDN w:val="0"/>
              <w:adjustRightInd w:val="0"/>
              <w:jc w:val="left"/>
              <w:rPr>
                <w:rFonts w:hint="eastAsia"/>
                <w:sz w:val="18"/>
                <w:szCs w:val="20"/>
              </w:rPr>
            </w:pPr>
            <w:r w:rsidRPr="0047098D">
              <w:rPr>
                <w:sz w:val="18"/>
                <w:szCs w:val="20"/>
              </w:rPr>
              <w:t>TBC</w:t>
            </w:r>
          </w:p>
        </w:tc>
        <w:tc>
          <w:tcPr>
            <w:tcW w:w="2667" w:type="dxa"/>
            <w:gridSpan w:val="2"/>
            <w:shd w:val="clear" w:color="auto" w:fill="auto"/>
          </w:tcPr>
          <w:p w14:paraId="46E13DB0" w14:textId="77777777" w:rsidR="00E86E3B" w:rsidRPr="0047098D" w:rsidDel="00F11A37" w:rsidRDefault="00E86E3B" w:rsidP="00970A79">
            <w:pPr>
              <w:autoSpaceDE w:val="0"/>
              <w:autoSpaceDN w:val="0"/>
              <w:adjustRightInd w:val="0"/>
              <w:jc w:val="left"/>
              <w:rPr>
                <w:rFonts w:hint="eastAsia"/>
                <w:sz w:val="18"/>
                <w:szCs w:val="20"/>
              </w:rPr>
            </w:pPr>
            <w:r w:rsidRPr="0047098D">
              <w:rPr>
                <w:rFonts w:cstheme="minorHAnsi"/>
                <w:sz w:val="18"/>
                <w:szCs w:val="20"/>
              </w:rPr>
              <w:t xml:space="preserve">Données de I’ITCEQ sur le nombre de </w:t>
            </w:r>
            <w:r>
              <w:rPr>
                <w:rFonts w:cstheme="minorHAnsi"/>
                <w:sz w:val="18"/>
                <w:szCs w:val="20"/>
              </w:rPr>
              <w:t>T/</w:t>
            </w:r>
            <w:r w:rsidRPr="0047098D">
              <w:rPr>
                <w:rFonts w:cstheme="minorHAnsi"/>
                <w:sz w:val="18"/>
                <w:szCs w:val="20"/>
              </w:rPr>
              <w:t>PME et la croissance</w:t>
            </w:r>
          </w:p>
        </w:tc>
      </w:tr>
      <w:tr w:rsidR="00E86E3B" w:rsidRPr="008F4605" w14:paraId="35705730" w14:textId="77777777" w:rsidTr="00970A79">
        <w:trPr>
          <w:trHeight w:val="636"/>
        </w:trPr>
        <w:tc>
          <w:tcPr>
            <w:tcW w:w="665" w:type="dxa"/>
            <w:vMerge w:val="restart"/>
            <w:shd w:val="clear" w:color="auto" w:fill="D9D9D9" w:themeFill="background1" w:themeFillShade="D9"/>
            <w:textDirection w:val="btLr"/>
            <w:vAlign w:val="center"/>
          </w:tcPr>
          <w:p w14:paraId="413D8162" w14:textId="77777777" w:rsidR="00E86E3B" w:rsidRDefault="00E86E3B" w:rsidP="00970A79">
            <w:pPr>
              <w:tabs>
                <w:tab w:val="left" w:pos="0"/>
                <w:tab w:val="left" w:pos="132"/>
              </w:tabs>
              <w:ind w:left="113" w:right="113" w:hanging="101"/>
              <w:contextualSpacing/>
              <w:jc w:val="center"/>
              <w:rPr>
                <w:rFonts w:hint="eastAsia"/>
                <w:b/>
                <w:i w:val="0"/>
                <w:sz w:val="18"/>
                <w:szCs w:val="18"/>
              </w:rPr>
            </w:pPr>
            <w:r>
              <w:rPr>
                <w:b/>
                <w:sz w:val="18"/>
                <w:szCs w:val="18"/>
              </w:rPr>
              <w:t xml:space="preserve">Objectif spécifique </w:t>
            </w:r>
          </w:p>
          <w:p w14:paraId="6F996FF4" w14:textId="77777777" w:rsidR="00E86E3B" w:rsidRDefault="00E86E3B" w:rsidP="00970A79">
            <w:pPr>
              <w:tabs>
                <w:tab w:val="left" w:pos="0"/>
                <w:tab w:val="left" w:pos="132"/>
              </w:tabs>
              <w:ind w:left="113" w:right="113" w:hanging="101"/>
              <w:contextualSpacing/>
              <w:jc w:val="center"/>
              <w:rPr>
                <w:rFonts w:hint="eastAsia"/>
                <w:b/>
                <w:i w:val="0"/>
                <w:sz w:val="18"/>
                <w:szCs w:val="18"/>
              </w:rPr>
            </w:pPr>
            <w:r>
              <w:rPr>
                <w:b/>
                <w:sz w:val="18"/>
                <w:szCs w:val="18"/>
              </w:rPr>
              <w:t>(</w:t>
            </w:r>
            <w:proofErr w:type="spellStart"/>
            <w:r>
              <w:rPr>
                <w:b/>
                <w:sz w:val="18"/>
                <w:szCs w:val="18"/>
              </w:rPr>
              <w:t>outcomes</w:t>
            </w:r>
            <w:proofErr w:type="spellEnd"/>
            <w:r>
              <w:rPr>
                <w:b/>
                <w:sz w:val="18"/>
                <w:szCs w:val="18"/>
              </w:rPr>
              <w:t>)</w:t>
            </w:r>
          </w:p>
        </w:tc>
        <w:tc>
          <w:tcPr>
            <w:tcW w:w="3158" w:type="dxa"/>
            <w:shd w:val="clear" w:color="auto" w:fill="auto"/>
          </w:tcPr>
          <w:p w14:paraId="6C68DE4C"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Réalisation nº 1 – Composante 1</w:t>
            </w:r>
          </w:p>
          <w:p w14:paraId="0E24F0CA"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 xml:space="preserve">Les acteurs des lignes bailleurs sont renforcés </w:t>
            </w:r>
          </w:p>
        </w:tc>
        <w:tc>
          <w:tcPr>
            <w:tcW w:w="2835" w:type="dxa"/>
            <w:tcBorders>
              <w:bottom w:val="single" w:sz="4" w:space="0" w:color="auto"/>
            </w:tcBorders>
            <w:shd w:val="clear" w:color="auto" w:fill="auto"/>
          </w:tcPr>
          <w:p w14:paraId="3A362D81"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br/>
              <w:t>1.1 – Nombre d’acteurs renforcés</w:t>
            </w:r>
          </w:p>
        </w:tc>
        <w:tc>
          <w:tcPr>
            <w:tcW w:w="2551" w:type="dxa"/>
            <w:tcBorders>
              <w:bottom w:val="single" w:sz="4" w:space="0" w:color="auto"/>
            </w:tcBorders>
            <w:shd w:val="clear" w:color="auto" w:fill="auto"/>
          </w:tcPr>
          <w:p w14:paraId="4B7C8993" w14:textId="77777777" w:rsidR="00E86E3B" w:rsidRPr="0047098D" w:rsidRDefault="00E86E3B" w:rsidP="00970A79">
            <w:pPr>
              <w:jc w:val="left"/>
              <w:rPr>
                <w:rFonts w:cs="Times New Roman" w:hint="eastAsia"/>
                <w:sz w:val="18"/>
                <w:szCs w:val="18"/>
              </w:rPr>
            </w:pPr>
            <w:r w:rsidRPr="0047098D">
              <w:rPr>
                <w:rFonts w:cs="Times New Roman"/>
                <w:sz w:val="18"/>
                <w:szCs w:val="18"/>
              </w:rPr>
              <w:t xml:space="preserve">1.1 –  </w:t>
            </w:r>
            <w:r>
              <w:rPr>
                <w:rFonts w:cs="Times New Roman"/>
                <w:sz w:val="18"/>
                <w:szCs w:val="18"/>
              </w:rPr>
              <w:t>V</w:t>
            </w:r>
            <w:r w:rsidRPr="0047098D">
              <w:rPr>
                <w:rFonts w:cs="Times New Roman"/>
                <w:sz w:val="18"/>
                <w:szCs w:val="18"/>
              </w:rPr>
              <w:t>aleur de référence 0</w:t>
            </w:r>
          </w:p>
        </w:tc>
        <w:tc>
          <w:tcPr>
            <w:tcW w:w="2835" w:type="dxa"/>
            <w:tcBorders>
              <w:bottom w:val="single" w:sz="4" w:space="0" w:color="auto"/>
            </w:tcBorders>
            <w:shd w:val="clear" w:color="auto" w:fill="auto"/>
          </w:tcPr>
          <w:p w14:paraId="03B6B2D5" w14:textId="77777777" w:rsidR="00E86E3B" w:rsidRPr="0047098D" w:rsidRDefault="00E86E3B" w:rsidP="00970A79">
            <w:pPr>
              <w:jc w:val="left"/>
              <w:rPr>
                <w:rFonts w:cs="Times New Roman" w:hint="eastAsia"/>
                <w:sz w:val="18"/>
                <w:szCs w:val="18"/>
              </w:rPr>
            </w:pPr>
            <w:r w:rsidRPr="0047098D">
              <w:rPr>
                <w:rFonts w:cs="Times New Roman"/>
                <w:sz w:val="18"/>
                <w:szCs w:val="18"/>
              </w:rPr>
              <w:t>1.1 – Valeur cible &gt; 1</w:t>
            </w:r>
          </w:p>
        </w:tc>
        <w:tc>
          <w:tcPr>
            <w:tcW w:w="2667" w:type="dxa"/>
            <w:gridSpan w:val="2"/>
            <w:tcBorders>
              <w:bottom w:val="single" w:sz="4" w:space="0" w:color="auto"/>
            </w:tcBorders>
            <w:shd w:val="clear" w:color="auto" w:fill="auto"/>
          </w:tcPr>
          <w:p w14:paraId="12F75479"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02DCBD4D" w14:textId="77777777" w:rsidTr="00970A79">
        <w:trPr>
          <w:trHeight w:val="593"/>
        </w:trPr>
        <w:tc>
          <w:tcPr>
            <w:tcW w:w="665" w:type="dxa"/>
            <w:vMerge/>
            <w:shd w:val="clear" w:color="auto" w:fill="D9D9D9" w:themeFill="background1" w:themeFillShade="D9"/>
            <w:textDirection w:val="btLr"/>
          </w:tcPr>
          <w:p w14:paraId="31CD8CE1" w14:textId="77777777" w:rsidR="00E86E3B" w:rsidRPr="00BC1959" w:rsidRDefault="00E86E3B" w:rsidP="00970A79">
            <w:pPr>
              <w:tabs>
                <w:tab w:val="left" w:pos="0"/>
                <w:tab w:val="left" w:pos="132"/>
              </w:tabs>
              <w:ind w:left="113" w:right="113" w:hanging="101"/>
              <w:contextualSpacing/>
              <w:jc w:val="center"/>
              <w:rPr>
                <w:rFonts w:hint="eastAsia"/>
                <w:b/>
                <w:i w:val="0"/>
                <w:sz w:val="18"/>
                <w:szCs w:val="18"/>
              </w:rPr>
            </w:pPr>
          </w:p>
        </w:tc>
        <w:tc>
          <w:tcPr>
            <w:tcW w:w="3158" w:type="dxa"/>
            <w:vMerge w:val="restart"/>
            <w:shd w:val="clear" w:color="auto" w:fill="auto"/>
          </w:tcPr>
          <w:p w14:paraId="35A24F4F"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Réalisation nº 2 - Composante 2</w:t>
            </w:r>
          </w:p>
          <w:p w14:paraId="2EC94CB0"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 xml:space="preserve">L’accès aux financements de long terme pour les </w:t>
            </w:r>
            <w:r>
              <w:rPr>
                <w:rFonts w:cs="Times New Roman"/>
                <w:sz w:val="18"/>
                <w:szCs w:val="18"/>
              </w:rPr>
              <w:t>T/</w:t>
            </w:r>
            <w:r w:rsidRPr="0047098D">
              <w:rPr>
                <w:rFonts w:cs="Times New Roman"/>
                <w:sz w:val="18"/>
                <w:szCs w:val="18"/>
              </w:rPr>
              <w:t xml:space="preserve">PME viables est amélioré </w:t>
            </w:r>
          </w:p>
        </w:tc>
        <w:tc>
          <w:tcPr>
            <w:tcW w:w="2835" w:type="dxa"/>
            <w:shd w:val="clear" w:color="auto" w:fill="auto"/>
          </w:tcPr>
          <w:p w14:paraId="7B8FBE3F" w14:textId="77777777" w:rsidR="00E86E3B" w:rsidRPr="003124AE" w:rsidRDefault="00E86E3B" w:rsidP="00970A79">
            <w:pPr>
              <w:tabs>
                <w:tab w:val="center" w:pos="928"/>
              </w:tabs>
              <w:autoSpaceDE w:val="0"/>
              <w:autoSpaceDN w:val="0"/>
              <w:adjustRightInd w:val="0"/>
              <w:jc w:val="left"/>
              <w:rPr>
                <w:rFonts w:cs="Times New Roman" w:hint="eastAsia"/>
                <w:sz w:val="18"/>
                <w:szCs w:val="18"/>
              </w:rPr>
            </w:pPr>
            <w:r>
              <w:rPr>
                <w:rFonts w:cs="Times New Roman"/>
                <w:sz w:val="18"/>
                <w:szCs w:val="18"/>
              </w:rPr>
              <w:t>2.1 Pourcentage</w:t>
            </w:r>
            <w:r w:rsidRPr="0047098D">
              <w:rPr>
                <w:rFonts w:cs="Times New Roman"/>
                <w:sz w:val="18"/>
                <w:szCs w:val="18"/>
              </w:rPr>
              <w:t xml:space="preserve"> de </w:t>
            </w:r>
            <w:r>
              <w:rPr>
                <w:rFonts w:cs="Times New Roman"/>
                <w:sz w:val="18"/>
                <w:szCs w:val="18"/>
              </w:rPr>
              <w:t>T/</w:t>
            </w:r>
            <w:r w:rsidRPr="0047098D">
              <w:rPr>
                <w:rFonts w:cs="Times New Roman"/>
                <w:sz w:val="18"/>
                <w:szCs w:val="18"/>
              </w:rPr>
              <w:t xml:space="preserve">PME </w:t>
            </w:r>
            <w:r w:rsidRPr="003124AE">
              <w:rPr>
                <w:rFonts w:cs="Times New Roman"/>
                <w:sz w:val="18"/>
                <w:szCs w:val="18"/>
              </w:rPr>
              <w:t xml:space="preserve">dont le prêt en cours </w:t>
            </w:r>
            <w:r w:rsidRPr="003124AE">
              <w:rPr>
                <w:sz w:val="18"/>
                <w:szCs w:val="18"/>
              </w:rPr>
              <w:t xml:space="preserve"> auprès des IFP bénéficiaires</w:t>
            </w:r>
            <w:r w:rsidRPr="0047098D" w:rsidDel="00274884">
              <w:rPr>
                <w:rFonts w:cs="Times New Roman"/>
                <w:sz w:val="18"/>
                <w:szCs w:val="18"/>
              </w:rPr>
              <w:t xml:space="preserve"> </w:t>
            </w:r>
            <w:r w:rsidRPr="003124AE">
              <w:rPr>
                <w:rFonts w:cs="Times New Roman"/>
                <w:sz w:val="18"/>
                <w:szCs w:val="18"/>
              </w:rPr>
              <w:t>soutient une initiative en faveur de la préservation de l’environnement</w:t>
            </w:r>
            <w:r>
              <w:rPr>
                <w:rFonts w:cs="Times New Roman"/>
                <w:sz w:val="18"/>
                <w:szCs w:val="18"/>
              </w:rPr>
              <w:t xml:space="preserve"> </w:t>
            </w:r>
            <w:r w:rsidRPr="003124AE">
              <w:rPr>
                <w:sz w:val="18"/>
                <w:szCs w:val="18"/>
              </w:rPr>
              <w:t xml:space="preserve"> </w:t>
            </w:r>
          </w:p>
        </w:tc>
        <w:tc>
          <w:tcPr>
            <w:tcW w:w="2551" w:type="dxa"/>
            <w:shd w:val="clear" w:color="auto" w:fill="auto"/>
          </w:tcPr>
          <w:p w14:paraId="54826D92" w14:textId="77777777" w:rsidR="00E86E3B" w:rsidRPr="00203291" w:rsidRDefault="00E86E3B" w:rsidP="00970A79">
            <w:pPr>
              <w:autoSpaceDE w:val="0"/>
              <w:autoSpaceDN w:val="0"/>
              <w:adjustRightInd w:val="0"/>
              <w:jc w:val="left"/>
              <w:rPr>
                <w:rFonts w:cs="Times New Roman" w:hint="eastAsia"/>
                <w:sz w:val="18"/>
                <w:szCs w:val="18"/>
                <w:u w:val="single"/>
              </w:rPr>
            </w:pPr>
            <w:r>
              <w:rPr>
                <w:rFonts w:cs="Times New Roman"/>
                <w:sz w:val="18"/>
                <w:szCs w:val="18"/>
              </w:rPr>
              <w:t xml:space="preserve">2.1 </w:t>
            </w:r>
            <w:r w:rsidRPr="00DF7E31">
              <w:rPr>
                <w:sz w:val="18"/>
                <w:szCs w:val="18"/>
              </w:rPr>
              <w:t>A définir via l’étude référence, si les partenaires fournissent déjà cet appui.</w:t>
            </w:r>
          </w:p>
        </w:tc>
        <w:tc>
          <w:tcPr>
            <w:tcW w:w="2835" w:type="dxa"/>
            <w:shd w:val="clear" w:color="auto" w:fill="auto"/>
          </w:tcPr>
          <w:p w14:paraId="2AB26F74" w14:textId="77777777" w:rsidR="00E86E3B" w:rsidRPr="00203291" w:rsidRDefault="00E86E3B" w:rsidP="00970A79">
            <w:pPr>
              <w:autoSpaceDE w:val="0"/>
              <w:autoSpaceDN w:val="0"/>
              <w:adjustRightInd w:val="0"/>
              <w:jc w:val="left"/>
              <w:rPr>
                <w:rFonts w:hint="eastAsia"/>
                <w:sz w:val="18"/>
                <w:szCs w:val="18"/>
              </w:rPr>
            </w:pPr>
            <w:r>
              <w:rPr>
                <w:rFonts w:cs="Times New Roman"/>
                <w:sz w:val="18"/>
                <w:szCs w:val="18"/>
              </w:rPr>
              <w:t xml:space="preserve">2.1 </w:t>
            </w:r>
            <w:r w:rsidRPr="00DF7E31">
              <w:rPr>
                <w:sz w:val="18"/>
                <w:szCs w:val="18"/>
              </w:rPr>
              <w:t>Cible à définir avec les experts recrutés sur le projet</w:t>
            </w:r>
          </w:p>
        </w:tc>
        <w:tc>
          <w:tcPr>
            <w:tcW w:w="2667" w:type="dxa"/>
            <w:gridSpan w:val="2"/>
            <w:shd w:val="clear" w:color="auto" w:fill="auto"/>
          </w:tcPr>
          <w:p w14:paraId="1A6A80D2" w14:textId="77777777" w:rsidR="00E86E3B" w:rsidRPr="00203291"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044216C7" w14:textId="77777777" w:rsidTr="00970A79">
        <w:trPr>
          <w:trHeight w:val="593"/>
        </w:trPr>
        <w:tc>
          <w:tcPr>
            <w:tcW w:w="665" w:type="dxa"/>
            <w:vMerge/>
            <w:shd w:val="clear" w:color="auto" w:fill="D9D9D9" w:themeFill="background1" w:themeFillShade="D9"/>
            <w:textDirection w:val="btLr"/>
          </w:tcPr>
          <w:p w14:paraId="6956F19C" w14:textId="77777777" w:rsidR="00E86E3B" w:rsidRPr="00BC1959" w:rsidRDefault="00E86E3B" w:rsidP="00970A79">
            <w:pPr>
              <w:tabs>
                <w:tab w:val="left" w:pos="0"/>
                <w:tab w:val="left" w:pos="132"/>
              </w:tabs>
              <w:ind w:left="113" w:right="113" w:hanging="101"/>
              <w:contextualSpacing/>
              <w:jc w:val="center"/>
              <w:rPr>
                <w:rFonts w:hint="eastAsia"/>
                <w:b/>
                <w:i w:val="0"/>
                <w:sz w:val="18"/>
                <w:szCs w:val="18"/>
              </w:rPr>
            </w:pPr>
          </w:p>
        </w:tc>
        <w:tc>
          <w:tcPr>
            <w:tcW w:w="3158" w:type="dxa"/>
            <w:vMerge/>
            <w:shd w:val="clear" w:color="auto" w:fill="auto"/>
          </w:tcPr>
          <w:p w14:paraId="477FE82F" w14:textId="77777777" w:rsidR="00E86E3B" w:rsidRPr="0047098D" w:rsidRDefault="00E86E3B" w:rsidP="00970A79">
            <w:pPr>
              <w:autoSpaceDE w:val="0"/>
              <w:autoSpaceDN w:val="0"/>
              <w:adjustRightInd w:val="0"/>
              <w:jc w:val="left"/>
              <w:rPr>
                <w:rFonts w:cs="Times New Roman" w:hint="eastAsia"/>
                <w:sz w:val="18"/>
                <w:szCs w:val="18"/>
              </w:rPr>
            </w:pPr>
          </w:p>
        </w:tc>
        <w:tc>
          <w:tcPr>
            <w:tcW w:w="2835" w:type="dxa"/>
            <w:shd w:val="clear" w:color="auto" w:fill="auto"/>
            <w:vAlign w:val="center"/>
          </w:tcPr>
          <w:p w14:paraId="10FB1CE2" w14:textId="77777777" w:rsidR="00E86E3B" w:rsidRPr="0047098D" w:rsidRDefault="00E86E3B" w:rsidP="00970A79">
            <w:pPr>
              <w:tabs>
                <w:tab w:val="center" w:pos="928"/>
              </w:tabs>
              <w:autoSpaceDE w:val="0"/>
              <w:autoSpaceDN w:val="0"/>
              <w:adjustRightInd w:val="0"/>
              <w:jc w:val="left"/>
              <w:rPr>
                <w:rFonts w:cs="Times New Roman" w:hint="eastAsia"/>
                <w:sz w:val="18"/>
                <w:szCs w:val="18"/>
              </w:rPr>
            </w:pPr>
            <w:r>
              <w:rPr>
                <w:sz w:val="18"/>
                <w:szCs w:val="18"/>
              </w:rPr>
              <w:t>2.2</w:t>
            </w:r>
            <w:r w:rsidRPr="003124AE">
              <w:rPr>
                <w:sz w:val="18"/>
                <w:szCs w:val="18"/>
              </w:rPr>
              <w:t xml:space="preserve">. Pourcentage de </w:t>
            </w:r>
            <w:r>
              <w:rPr>
                <w:sz w:val="18"/>
                <w:szCs w:val="18"/>
              </w:rPr>
              <w:t>T/</w:t>
            </w:r>
            <w:r w:rsidRPr="003124AE">
              <w:rPr>
                <w:sz w:val="18"/>
                <w:szCs w:val="18"/>
              </w:rPr>
              <w:t xml:space="preserve">PME </w:t>
            </w:r>
            <w:r>
              <w:rPr>
                <w:sz w:val="18"/>
                <w:szCs w:val="18"/>
              </w:rPr>
              <w:t>détenues ou gérées par des femmes, ou ayant un impact sur l’équité de genre</w:t>
            </w:r>
            <w:r w:rsidRPr="003124AE">
              <w:rPr>
                <w:sz w:val="18"/>
                <w:szCs w:val="18"/>
              </w:rPr>
              <w:t xml:space="preserve"> qui ont un prêt en cours auprès des IFP bénéficiaires</w:t>
            </w:r>
          </w:p>
        </w:tc>
        <w:tc>
          <w:tcPr>
            <w:tcW w:w="2551" w:type="dxa"/>
            <w:shd w:val="clear" w:color="auto" w:fill="auto"/>
            <w:vAlign w:val="center"/>
          </w:tcPr>
          <w:p w14:paraId="0C8FBA5C" w14:textId="77777777" w:rsidR="00E86E3B" w:rsidRPr="00203291" w:rsidRDefault="00E86E3B" w:rsidP="00970A79">
            <w:pPr>
              <w:autoSpaceDE w:val="0"/>
              <w:autoSpaceDN w:val="0"/>
              <w:adjustRightInd w:val="0"/>
              <w:spacing w:after="0"/>
              <w:jc w:val="left"/>
              <w:rPr>
                <w:rFonts w:cs="Times New Roman" w:hint="eastAsia"/>
                <w:sz w:val="18"/>
                <w:szCs w:val="18"/>
              </w:rPr>
            </w:pPr>
            <w:r>
              <w:rPr>
                <w:sz w:val="18"/>
                <w:szCs w:val="18"/>
              </w:rPr>
              <w:t>2.2</w:t>
            </w:r>
            <w:r w:rsidRPr="003124AE">
              <w:rPr>
                <w:sz w:val="18"/>
                <w:szCs w:val="18"/>
              </w:rPr>
              <w:t>. A définir via l’étude référence, si les partenaires fournissent déjà cet appui.</w:t>
            </w:r>
          </w:p>
        </w:tc>
        <w:tc>
          <w:tcPr>
            <w:tcW w:w="2835" w:type="dxa"/>
            <w:shd w:val="clear" w:color="auto" w:fill="auto"/>
            <w:vAlign w:val="center"/>
          </w:tcPr>
          <w:p w14:paraId="00ED0E01" w14:textId="77777777" w:rsidR="00E86E3B" w:rsidRPr="00203291" w:rsidRDefault="00E86E3B" w:rsidP="00970A79">
            <w:pPr>
              <w:autoSpaceDE w:val="0"/>
              <w:autoSpaceDN w:val="0"/>
              <w:adjustRightInd w:val="0"/>
              <w:jc w:val="left"/>
              <w:rPr>
                <w:rFonts w:cs="Times New Roman" w:hint="eastAsia"/>
                <w:sz w:val="18"/>
                <w:szCs w:val="18"/>
              </w:rPr>
            </w:pPr>
            <w:r>
              <w:rPr>
                <w:sz w:val="18"/>
                <w:szCs w:val="18"/>
              </w:rPr>
              <w:t>2.2</w:t>
            </w:r>
            <w:r w:rsidRPr="003124AE">
              <w:rPr>
                <w:sz w:val="18"/>
                <w:szCs w:val="18"/>
              </w:rPr>
              <w:t xml:space="preserve">. </w:t>
            </w:r>
            <w:r w:rsidRPr="00106DF8">
              <w:rPr>
                <w:rFonts w:cs="Times New Roman"/>
                <w:sz w:val="18"/>
                <w:szCs w:val="18"/>
              </w:rPr>
              <w:t>Cible à définir avec les experts recrutés sur le projet</w:t>
            </w:r>
          </w:p>
        </w:tc>
        <w:tc>
          <w:tcPr>
            <w:tcW w:w="2667" w:type="dxa"/>
            <w:gridSpan w:val="2"/>
            <w:shd w:val="clear" w:color="auto" w:fill="auto"/>
          </w:tcPr>
          <w:p w14:paraId="213EE0C8" w14:textId="77777777" w:rsidR="00E86E3B" w:rsidRPr="00203291" w:rsidDel="00B77A3B"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11AE1031" w14:textId="77777777" w:rsidTr="00970A79">
        <w:trPr>
          <w:trHeight w:val="593"/>
        </w:trPr>
        <w:tc>
          <w:tcPr>
            <w:tcW w:w="665" w:type="dxa"/>
            <w:vMerge/>
            <w:shd w:val="clear" w:color="auto" w:fill="D9D9D9" w:themeFill="background1" w:themeFillShade="D9"/>
            <w:textDirection w:val="btLr"/>
          </w:tcPr>
          <w:p w14:paraId="76707F28" w14:textId="77777777" w:rsidR="00E86E3B" w:rsidRPr="00BC1959" w:rsidRDefault="00E86E3B" w:rsidP="00970A79">
            <w:pPr>
              <w:tabs>
                <w:tab w:val="left" w:pos="0"/>
                <w:tab w:val="left" w:pos="132"/>
              </w:tabs>
              <w:ind w:left="113" w:right="113" w:hanging="101"/>
              <w:contextualSpacing/>
              <w:jc w:val="center"/>
              <w:rPr>
                <w:rFonts w:hint="eastAsia"/>
                <w:b/>
                <w:i w:val="0"/>
                <w:sz w:val="18"/>
                <w:szCs w:val="18"/>
              </w:rPr>
            </w:pPr>
          </w:p>
        </w:tc>
        <w:tc>
          <w:tcPr>
            <w:tcW w:w="3158" w:type="dxa"/>
            <w:vMerge/>
            <w:shd w:val="clear" w:color="auto" w:fill="auto"/>
          </w:tcPr>
          <w:p w14:paraId="54CB2631" w14:textId="77777777" w:rsidR="00E86E3B" w:rsidRPr="0047098D" w:rsidRDefault="00E86E3B" w:rsidP="00970A79">
            <w:pPr>
              <w:autoSpaceDE w:val="0"/>
              <w:autoSpaceDN w:val="0"/>
              <w:adjustRightInd w:val="0"/>
              <w:jc w:val="left"/>
              <w:rPr>
                <w:rFonts w:cs="Times New Roman" w:hint="eastAsia"/>
                <w:sz w:val="18"/>
                <w:szCs w:val="18"/>
              </w:rPr>
            </w:pPr>
          </w:p>
        </w:tc>
        <w:tc>
          <w:tcPr>
            <w:tcW w:w="2835" w:type="dxa"/>
            <w:shd w:val="clear" w:color="auto" w:fill="auto"/>
            <w:vAlign w:val="center"/>
          </w:tcPr>
          <w:p w14:paraId="10850364" w14:textId="77777777" w:rsidR="00E86E3B" w:rsidRDefault="00E86E3B" w:rsidP="00970A79">
            <w:pPr>
              <w:tabs>
                <w:tab w:val="center" w:pos="928"/>
              </w:tabs>
              <w:autoSpaceDE w:val="0"/>
              <w:autoSpaceDN w:val="0"/>
              <w:adjustRightInd w:val="0"/>
              <w:jc w:val="left"/>
              <w:rPr>
                <w:rFonts w:cs="Times New Roman" w:hint="eastAsia"/>
                <w:sz w:val="18"/>
                <w:szCs w:val="18"/>
              </w:rPr>
            </w:pPr>
            <w:r>
              <w:rPr>
                <w:sz w:val="18"/>
                <w:szCs w:val="18"/>
              </w:rPr>
              <w:t>2.3</w:t>
            </w:r>
            <w:r w:rsidRPr="003124AE">
              <w:rPr>
                <w:sz w:val="18"/>
                <w:szCs w:val="18"/>
              </w:rPr>
              <w:t xml:space="preserve">. Pourcentage de </w:t>
            </w:r>
            <w:r>
              <w:rPr>
                <w:sz w:val="18"/>
                <w:szCs w:val="18"/>
              </w:rPr>
              <w:t>T/</w:t>
            </w:r>
            <w:r w:rsidRPr="003124AE">
              <w:rPr>
                <w:sz w:val="18"/>
                <w:szCs w:val="18"/>
              </w:rPr>
              <w:t xml:space="preserve">PME </w:t>
            </w:r>
            <w:r>
              <w:rPr>
                <w:rFonts w:eastAsia="Calibri" w:cs="Times New Roman"/>
                <w:sz w:val="18"/>
                <w:szCs w:val="18"/>
              </w:rPr>
              <w:t xml:space="preserve"> économique dans les régions  </w:t>
            </w:r>
            <w:r w:rsidRPr="002550CF">
              <w:rPr>
                <w:rFonts w:eastAsia="Calibri" w:cs="Times New Roman"/>
                <w:sz w:val="18"/>
                <w:szCs w:val="18"/>
              </w:rPr>
              <w:t xml:space="preserve">présentant un IDR inférieur à 0.5 </w:t>
            </w:r>
            <w:r w:rsidDel="00B77A3B">
              <w:rPr>
                <w:rFonts w:cs="Times New Roman"/>
                <w:sz w:val="18"/>
                <w:szCs w:val="18"/>
                <w:u w:val="single"/>
              </w:rPr>
              <w:t xml:space="preserve"> </w:t>
            </w:r>
            <w:r w:rsidRPr="003124AE">
              <w:rPr>
                <w:sz w:val="18"/>
                <w:szCs w:val="18"/>
              </w:rPr>
              <w:t xml:space="preserve">parmi les </w:t>
            </w:r>
            <w:r>
              <w:rPr>
                <w:sz w:val="18"/>
                <w:szCs w:val="18"/>
              </w:rPr>
              <w:t>T/</w:t>
            </w:r>
            <w:r w:rsidRPr="003124AE">
              <w:rPr>
                <w:sz w:val="18"/>
                <w:szCs w:val="18"/>
              </w:rPr>
              <w:t>PME qui ont un prêt en cours auprès des IFP bénéficiaires</w:t>
            </w:r>
          </w:p>
        </w:tc>
        <w:tc>
          <w:tcPr>
            <w:tcW w:w="2551" w:type="dxa"/>
            <w:shd w:val="clear" w:color="auto" w:fill="auto"/>
            <w:vAlign w:val="center"/>
          </w:tcPr>
          <w:p w14:paraId="59DFC1C8" w14:textId="77777777" w:rsidR="00E86E3B" w:rsidRPr="00DF7E31" w:rsidRDefault="00E86E3B" w:rsidP="00970A79">
            <w:pPr>
              <w:autoSpaceDE w:val="0"/>
              <w:autoSpaceDN w:val="0"/>
              <w:adjustRightInd w:val="0"/>
              <w:spacing w:after="0"/>
              <w:jc w:val="left"/>
              <w:rPr>
                <w:rFonts w:cs="Times New Roman" w:hint="eastAsia"/>
                <w:sz w:val="18"/>
                <w:szCs w:val="18"/>
              </w:rPr>
            </w:pPr>
            <w:r>
              <w:rPr>
                <w:sz w:val="18"/>
                <w:szCs w:val="18"/>
              </w:rPr>
              <w:t>2.3</w:t>
            </w:r>
            <w:r w:rsidRPr="003124AE">
              <w:rPr>
                <w:sz w:val="18"/>
                <w:szCs w:val="18"/>
              </w:rPr>
              <w:t>. A définir via l’étude référence, si les partenaires fournissent déjà cet appui.</w:t>
            </w:r>
          </w:p>
        </w:tc>
        <w:tc>
          <w:tcPr>
            <w:tcW w:w="2835" w:type="dxa"/>
            <w:shd w:val="clear" w:color="auto" w:fill="auto"/>
            <w:vAlign w:val="center"/>
          </w:tcPr>
          <w:p w14:paraId="781A072B" w14:textId="77777777" w:rsidR="00E86E3B" w:rsidRDefault="00E86E3B" w:rsidP="00970A79">
            <w:pPr>
              <w:autoSpaceDE w:val="0"/>
              <w:autoSpaceDN w:val="0"/>
              <w:adjustRightInd w:val="0"/>
              <w:jc w:val="left"/>
              <w:rPr>
                <w:rFonts w:hint="eastAsia"/>
                <w:sz w:val="18"/>
                <w:szCs w:val="18"/>
              </w:rPr>
            </w:pPr>
            <w:r>
              <w:rPr>
                <w:sz w:val="18"/>
                <w:szCs w:val="18"/>
              </w:rPr>
              <w:t>2.3</w:t>
            </w:r>
            <w:r w:rsidRPr="003124AE">
              <w:rPr>
                <w:sz w:val="18"/>
                <w:szCs w:val="18"/>
              </w:rPr>
              <w:t xml:space="preserve">. </w:t>
            </w:r>
            <w:r w:rsidRPr="00106DF8">
              <w:rPr>
                <w:rFonts w:cs="Times New Roman"/>
                <w:sz w:val="18"/>
                <w:szCs w:val="18"/>
              </w:rPr>
              <w:t>Cible à définir avec les experts recrutés sur le projet</w:t>
            </w:r>
          </w:p>
        </w:tc>
        <w:tc>
          <w:tcPr>
            <w:tcW w:w="2667" w:type="dxa"/>
            <w:gridSpan w:val="2"/>
            <w:shd w:val="clear" w:color="auto" w:fill="auto"/>
          </w:tcPr>
          <w:p w14:paraId="199203F2" w14:textId="77777777" w:rsidR="00E86E3B" w:rsidRPr="00203291" w:rsidDel="00B77A3B"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4E1FBC76" w14:textId="77777777" w:rsidTr="00970A79">
        <w:trPr>
          <w:trHeight w:val="593"/>
        </w:trPr>
        <w:tc>
          <w:tcPr>
            <w:tcW w:w="665" w:type="dxa"/>
            <w:vMerge/>
            <w:shd w:val="clear" w:color="auto" w:fill="D9D9D9" w:themeFill="background1" w:themeFillShade="D9"/>
            <w:textDirection w:val="btLr"/>
          </w:tcPr>
          <w:p w14:paraId="5DAFE0E5" w14:textId="77777777" w:rsidR="00E86E3B" w:rsidRPr="00BC1959" w:rsidRDefault="00E86E3B" w:rsidP="00970A79">
            <w:pPr>
              <w:tabs>
                <w:tab w:val="left" w:pos="0"/>
                <w:tab w:val="left" w:pos="132"/>
              </w:tabs>
              <w:ind w:left="113" w:right="113" w:hanging="101"/>
              <w:contextualSpacing/>
              <w:jc w:val="center"/>
              <w:rPr>
                <w:rFonts w:hint="eastAsia"/>
                <w:b/>
                <w:i w:val="0"/>
                <w:sz w:val="18"/>
                <w:szCs w:val="18"/>
              </w:rPr>
            </w:pPr>
          </w:p>
        </w:tc>
        <w:tc>
          <w:tcPr>
            <w:tcW w:w="3158" w:type="dxa"/>
            <w:vMerge w:val="restart"/>
            <w:shd w:val="clear" w:color="auto" w:fill="auto"/>
            <w:vAlign w:val="center"/>
          </w:tcPr>
          <w:p w14:paraId="3F539AC4" w14:textId="77777777" w:rsidR="00E86E3B" w:rsidRPr="00586A44" w:rsidRDefault="00E86E3B" w:rsidP="00970A79">
            <w:pPr>
              <w:autoSpaceDE w:val="0"/>
              <w:autoSpaceDN w:val="0"/>
              <w:adjustRightInd w:val="0"/>
              <w:jc w:val="left"/>
              <w:rPr>
                <w:rFonts w:cs="Times New Roman" w:hint="eastAsia"/>
                <w:sz w:val="18"/>
                <w:szCs w:val="18"/>
              </w:rPr>
            </w:pPr>
            <w:r w:rsidRPr="00586A44">
              <w:rPr>
                <w:rFonts w:cs="Times New Roman"/>
                <w:sz w:val="18"/>
                <w:szCs w:val="18"/>
              </w:rPr>
              <w:t>Réalisation n°3 - Composante 3</w:t>
            </w:r>
          </w:p>
          <w:p w14:paraId="0565286C" w14:textId="77777777" w:rsidR="00E86E3B" w:rsidRPr="00586A44" w:rsidRDefault="00E86E3B" w:rsidP="00970A79">
            <w:pPr>
              <w:autoSpaceDE w:val="0"/>
              <w:autoSpaceDN w:val="0"/>
              <w:adjustRightInd w:val="0"/>
              <w:jc w:val="left"/>
              <w:rPr>
                <w:rFonts w:cs="Times New Roman" w:hint="eastAsia"/>
                <w:sz w:val="18"/>
                <w:szCs w:val="18"/>
              </w:rPr>
            </w:pPr>
            <w:r w:rsidRPr="00586A44">
              <w:rPr>
                <w:rFonts w:cs="Times New Roman"/>
                <w:sz w:val="18"/>
                <w:szCs w:val="18"/>
              </w:rPr>
              <w:t xml:space="preserve">Plus de </w:t>
            </w:r>
            <w:r>
              <w:rPr>
                <w:rFonts w:cs="Times New Roman"/>
                <w:sz w:val="18"/>
                <w:szCs w:val="18"/>
              </w:rPr>
              <w:t>T/PME</w:t>
            </w:r>
            <w:r w:rsidRPr="00586A44">
              <w:rPr>
                <w:rFonts w:cs="Times New Roman"/>
                <w:sz w:val="18"/>
                <w:szCs w:val="18"/>
              </w:rPr>
              <w:t xml:space="preserve"> obtiennent des prêts bancaires, notamment celles qui ne sont pas bancarisées, qui sont situées dans les gouvernorats de l'intérieur </w:t>
            </w:r>
          </w:p>
        </w:tc>
        <w:tc>
          <w:tcPr>
            <w:tcW w:w="2835" w:type="dxa"/>
            <w:shd w:val="clear" w:color="auto" w:fill="auto"/>
            <w:vAlign w:val="center"/>
          </w:tcPr>
          <w:p w14:paraId="14CC7B33" w14:textId="77777777" w:rsidR="00E86E3B" w:rsidRPr="00586A44" w:rsidRDefault="00E86E3B" w:rsidP="00970A79">
            <w:pPr>
              <w:autoSpaceDE w:val="0"/>
              <w:autoSpaceDN w:val="0"/>
              <w:adjustRightInd w:val="0"/>
              <w:jc w:val="left"/>
              <w:rPr>
                <w:rFonts w:hint="eastAsia"/>
                <w:sz w:val="18"/>
                <w:szCs w:val="18"/>
              </w:rPr>
            </w:pPr>
            <w:r w:rsidRPr="00586A44">
              <w:rPr>
                <w:rFonts w:cs="Times New Roman"/>
                <w:sz w:val="18"/>
                <w:szCs w:val="18"/>
              </w:rPr>
              <w:t xml:space="preserve">3. </w:t>
            </w:r>
            <w:r w:rsidRPr="00586A44">
              <w:rPr>
                <w:sz w:val="18"/>
                <w:szCs w:val="18"/>
              </w:rPr>
              <w:t xml:space="preserve">1. Pourcentage de </w:t>
            </w:r>
            <w:r>
              <w:rPr>
                <w:sz w:val="18"/>
                <w:szCs w:val="18"/>
              </w:rPr>
              <w:t>T/PME</w:t>
            </w:r>
            <w:r w:rsidRPr="00586A44">
              <w:rPr>
                <w:sz w:val="18"/>
                <w:szCs w:val="18"/>
              </w:rPr>
              <w:t xml:space="preserve"> non bancarisées ayant accès à un financement </w:t>
            </w:r>
          </w:p>
        </w:tc>
        <w:tc>
          <w:tcPr>
            <w:tcW w:w="2551" w:type="dxa"/>
            <w:shd w:val="clear" w:color="auto" w:fill="auto"/>
            <w:vAlign w:val="center"/>
          </w:tcPr>
          <w:p w14:paraId="039EFD57" w14:textId="77777777" w:rsidR="00E86E3B" w:rsidRPr="00586A44" w:rsidRDefault="00E86E3B" w:rsidP="00970A79">
            <w:pPr>
              <w:autoSpaceDE w:val="0"/>
              <w:autoSpaceDN w:val="0"/>
              <w:adjustRightInd w:val="0"/>
              <w:jc w:val="left"/>
              <w:rPr>
                <w:rFonts w:cs="Times New Roman" w:hint="eastAsia"/>
                <w:sz w:val="18"/>
                <w:szCs w:val="18"/>
              </w:rPr>
            </w:pPr>
            <w:r w:rsidRPr="00586A44">
              <w:rPr>
                <w:rFonts w:cs="Times New Roman"/>
                <w:sz w:val="18"/>
                <w:szCs w:val="18"/>
              </w:rPr>
              <w:t xml:space="preserve">3.1 </w:t>
            </w:r>
            <w:r w:rsidRPr="003124AE">
              <w:rPr>
                <w:sz w:val="18"/>
                <w:szCs w:val="18"/>
              </w:rPr>
              <w:t>A définir via l’étude référence, si les partenaires fournissent déjà cet appui</w:t>
            </w:r>
          </w:p>
        </w:tc>
        <w:tc>
          <w:tcPr>
            <w:tcW w:w="2835" w:type="dxa"/>
            <w:shd w:val="clear" w:color="auto" w:fill="auto"/>
            <w:vAlign w:val="center"/>
          </w:tcPr>
          <w:p w14:paraId="0569B3B9" w14:textId="77777777" w:rsidR="00E86E3B" w:rsidRPr="00586A44" w:rsidRDefault="00E86E3B" w:rsidP="00970A79">
            <w:pPr>
              <w:autoSpaceDE w:val="0"/>
              <w:autoSpaceDN w:val="0"/>
              <w:adjustRightInd w:val="0"/>
              <w:jc w:val="left"/>
              <w:rPr>
                <w:rFonts w:cs="Times New Roman" w:hint="eastAsia"/>
                <w:sz w:val="18"/>
                <w:szCs w:val="18"/>
              </w:rPr>
            </w:pPr>
            <w:r w:rsidRPr="00586A44">
              <w:rPr>
                <w:rFonts w:cs="Times New Roman"/>
                <w:sz w:val="18"/>
                <w:szCs w:val="18"/>
              </w:rPr>
              <w:t>3.1 Cible à définir avec les experts recrutés sur le projet</w:t>
            </w:r>
          </w:p>
        </w:tc>
        <w:tc>
          <w:tcPr>
            <w:tcW w:w="2667" w:type="dxa"/>
            <w:gridSpan w:val="2"/>
            <w:shd w:val="clear" w:color="auto" w:fill="auto"/>
          </w:tcPr>
          <w:p w14:paraId="43206DC3" w14:textId="77777777" w:rsidR="00E86E3B" w:rsidRPr="00586A44" w:rsidRDefault="00E86E3B" w:rsidP="00970A79">
            <w:pPr>
              <w:autoSpaceDE w:val="0"/>
              <w:autoSpaceDN w:val="0"/>
              <w:adjustRightInd w:val="0"/>
              <w:jc w:val="left"/>
              <w:rPr>
                <w:rFonts w:cs="Times New Roman" w:hint="eastAsia"/>
                <w:i w:val="0"/>
                <w:sz w:val="18"/>
                <w:szCs w:val="18"/>
                <w:highlight w:val="yellow"/>
              </w:rPr>
            </w:pPr>
            <w:r w:rsidRPr="0047098D">
              <w:rPr>
                <w:rFonts w:cs="Times New Roman"/>
                <w:sz w:val="18"/>
                <w:szCs w:val="18"/>
              </w:rPr>
              <w:t>Rapports de mise en œuvre de l’AT</w:t>
            </w:r>
          </w:p>
        </w:tc>
      </w:tr>
      <w:tr w:rsidR="00E86E3B" w:rsidRPr="008F4605" w14:paraId="6B3B4374" w14:textId="77777777" w:rsidTr="00970A79">
        <w:trPr>
          <w:trHeight w:val="593"/>
        </w:trPr>
        <w:tc>
          <w:tcPr>
            <w:tcW w:w="665" w:type="dxa"/>
            <w:vMerge/>
            <w:shd w:val="clear" w:color="auto" w:fill="D9D9D9" w:themeFill="background1" w:themeFillShade="D9"/>
            <w:textDirection w:val="btLr"/>
          </w:tcPr>
          <w:p w14:paraId="328DE6EA" w14:textId="77777777" w:rsidR="00E86E3B" w:rsidRPr="00BC1959" w:rsidRDefault="00E86E3B" w:rsidP="00970A79">
            <w:pPr>
              <w:tabs>
                <w:tab w:val="left" w:pos="0"/>
                <w:tab w:val="left" w:pos="132"/>
              </w:tabs>
              <w:ind w:left="113" w:right="113" w:hanging="101"/>
              <w:contextualSpacing/>
              <w:jc w:val="center"/>
              <w:rPr>
                <w:rFonts w:hint="eastAsia"/>
                <w:b/>
                <w:i w:val="0"/>
                <w:sz w:val="18"/>
                <w:szCs w:val="18"/>
              </w:rPr>
            </w:pPr>
          </w:p>
        </w:tc>
        <w:tc>
          <w:tcPr>
            <w:tcW w:w="3158" w:type="dxa"/>
            <w:vMerge/>
            <w:shd w:val="clear" w:color="auto" w:fill="auto"/>
            <w:vAlign w:val="center"/>
          </w:tcPr>
          <w:p w14:paraId="08E07601" w14:textId="77777777" w:rsidR="00E86E3B" w:rsidRPr="00586A44" w:rsidRDefault="00E86E3B" w:rsidP="00970A79">
            <w:pPr>
              <w:autoSpaceDE w:val="0"/>
              <w:autoSpaceDN w:val="0"/>
              <w:adjustRightInd w:val="0"/>
              <w:jc w:val="left"/>
              <w:rPr>
                <w:rFonts w:cs="Times New Roman" w:hint="eastAsia"/>
                <w:sz w:val="18"/>
                <w:szCs w:val="18"/>
              </w:rPr>
            </w:pPr>
          </w:p>
        </w:tc>
        <w:tc>
          <w:tcPr>
            <w:tcW w:w="2835" w:type="dxa"/>
            <w:shd w:val="clear" w:color="auto" w:fill="auto"/>
            <w:vAlign w:val="center"/>
          </w:tcPr>
          <w:p w14:paraId="261BB36C" w14:textId="77777777" w:rsidR="00E86E3B" w:rsidRPr="00586A44" w:rsidRDefault="00E86E3B" w:rsidP="00970A79">
            <w:pPr>
              <w:autoSpaceDE w:val="0"/>
              <w:autoSpaceDN w:val="0"/>
              <w:adjustRightInd w:val="0"/>
              <w:jc w:val="left"/>
              <w:rPr>
                <w:rFonts w:cs="Times New Roman" w:hint="eastAsia"/>
                <w:sz w:val="18"/>
                <w:szCs w:val="18"/>
              </w:rPr>
            </w:pPr>
            <w:r w:rsidRPr="00232AE6">
              <w:rPr>
                <w:rFonts w:cs="Times New Roman"/>
                <w:sz w:val="18"/>
                <w:szCs w:val="18"/>
              </w:rPr>
              <w:t xml:space="preserve">3. </w:t>
            </w:r>
            <w:r>
              <w:rPr>
                <w:sz w:val="18"/>
                <w:szCs w:val="18"/>
              </w:rPr>
              <w:t>2</w:t>
            </w:r>
            <w:r w:rsidRPr="00232AE6">
              <w:rPr>
                <w:sz w:val="18"/>
                <w:szCs w:val="18"/>
              </w:rPr>
              <w:t xml:space="preserve">. Pourcentage de </w:t>
            </w:r>
            <w:r>
              <w:rPr>
                <w:sz w:val="18"/>
                <w:szCs w:val="18"/>
              </w:rPr>
              <w:t>T/PME</w:t>
            </w:r>
            <w:r w:rsidRPr="00232AE6">
              <w:rPr>
                <w:sz w:val="18"/>
                <w:szCs w:val="18"/>
              </w:rPr>
              <w:t xml:space="preserve"> non bancarisées ayant accès à un financement</w:t>
            </w:r>
            <w:r>
              <w:rPr>
                <w:rFonts w:eastAsia="Calibri" w:cs="Times New Roman"/>
                <w:sz w:val="18"/>
                <w:szCs w:val="18"/>
              </w:rPr>
              <w:t xml:space="preserve"> dans les régions  </w:t>
            </w:r>
            <w:r w:rsidRPr="002550CF">
              <w:rPr>
                <w:rFonts w:eastAsia="Calibri" w:cs="Times New Roman"/>
                <w:sz w:val="18"/>
                <w:szCs w:val="18"/>
              </w:rPr>
              <w:t xml:space="preserve">présentant un IDR inférieur à 0.5 </w:t>
            </w:r>
            <w:r w:rsidDel="00B77A3B">
              <w:rPr>
                <w:rFonts w:cs="Times New Roman"/>
                <w:sz w:val="18"/>
                <w:szCs w:val="18"/>
                <w:u w:val="single"/>
              </w:rPr>
              <w:t xml:space="preserve"> </w:t>
            </w:r>
          </w:p>
        </w:tc>
        <w:tc>
          <w:tcPr>
            <w:tcW w:w="2551" w:type="dxa"/>
            <w:shd w:val="clear" w:color="auto" w:fill="auto"/>
            <w:vAlign w:val="center"/>
          </w:tcPr>
          <w:p w14:paraId="0FBEEC69" w14:textId="77777777" w:rsidR="00E86E3B" w:rsidRPr="00586A44" w:rsidRDefault="00E86E3B" w:rsidP="00970A79">
            <w:pPr>
              <w:autoSpaceDE w:val="0"/>
              <w:autoSpaceDN w:val="0"/>
              <w:adjustRightInd w:val="0"/>
              <w:jc w:val="left"/>
              <w:rPr>
                <w:rFonts w:cs="Times New Roman" w:hint="eastAsia"/>
                <w:sz w:val="18"/>
                <w:szCs w:val="18"/>
              </w:rPr>
            </w:pPr>
            <w:r>
              <w:rPr>
                <w:rFonts w:cs="Times New Roman"/>
                <w:sz w:val="18"/>
                <w:szCs w:val="18"/>
              </w:rPr>
              <w:t>3.2</w:t>
            </w:r>
            <w:r w:rsidRPr="00232AE6">
              <w:rPr>
                <w:rFonts w:cs="Times New Roman"/>
                <w:sz w:val="18"/>
                <w:szCs w:val="18"/>
              </w:rPr>
              <w:t xml:space="preserve"> </w:t>
            </w:r>
            <w:r w:rsidRPr="003124AE">
              <w:rPr>
                <w:sz w:val="18"/>
                <w:szCs w:val="18"/>
              </w:rPr>
              <w:t>A définir via l’étude référence, si les partenaires fournissent déjà cet appui</w:t>
            </w:r>
          </w:p>
        </w:tc>
        <w:tc>
          <w:tcPr>
            <w:tcW w:w="2835" w:type="dxa"/>
            <w:shd w:val="clear" w:color="auto" w:fill="auto"/>
            <w:vAlign w:val="center"/>
          </w:tcPr>
          <w:p w14:paraId="2A803823" w14:textId="77777777" w:rsidR="00E86E3B" w:rsidRPr="00586A44" w:rsidRDefault="00E86E3B" w:rsidP="00970A79">
            <w:pPr>
              <w:autoSpaceDE w:val="0"/>
              <w:autoSpaceDN w:val="0"/>
              <w:adjustRightInd w:val="0"/>
              <w:jc w:val="left"/>
              <w:rPr>
                <w:rFonts w:cs="Times New Roman" w:hint="eastAsia"/>
                <w:sz w:val="18"/>
                <w:szCs w:val="18"/>
              </w:rPr>
            </w:pPr>
          </w:p>
        </w:tc>
        <w:tc>
          <w:tcPr>
            <w:tcW w:w="2667" w:type="dxa"/>
            <w:gridSpan w:val="2"/>
            <w:shd w:val="clear" w:color="auto" w:fill="auto"/>
          </w:tcPr>
          <w:p w14:paraId="13F64ED7" w14:textId="77777777" w:rsidR="00E86E3B" w:rsidRPr="00586A44" w:rsidRDefault="00E86E3B" w:rsidP="00970A79">
            <w:pPr>
              <w:autoSpaceDE w:val="0"/>
              <w:autoSpaceDN w:val="0"/>
              <w:adjustRightInd w:val="0"/>
              <w:jc w:val="left"/>
              <w:rPr>
                <w:rFonts w:cs="Times New Roman" w:hint="eastAsia"/>
                <w:i w:val="0"/>
                <w:sz w:val="18"/>
                <w:szCs w:val="18"/>
                <w:highlight w:val="yellow"/>
              </w:rPr>
            </w:pPr>
            <w:r w:rsidRPr="0047098D">
              <w:rPr>
                <w:rFonts w:cs="Times New Roman"/>
                <w:sz w:val="18"/>
                <w:szCs w:val="18"/>
              </w:rPr>
              <w:t>Rapports de mise en œuvre de l’AT</w:t>
            </w:r>
          </w:p>
        </w:tc>
      </w:tr>
      <w:tr w:rsidR="00E86E3B" w:rsidRPr="008F4605" w14:paraId="770A36E6" w14:textId="77777777" w:rsidTr="00970A79">
        <w:trPr>
          <w:trHeight w:val="730"/>
        </w:trPr>
        <w:tc>
          <w:tcPr>
            <w:tcW w:w="665" w:type="dxa"/>
            <w:vMerge w:val="restart"/>
            <w:shd w:val="clear" w:color="auto" w:fill="D9D9D9" w:themeFill="background1" w:themeFillShade="D9"/>
            <w:textDirection w:val="btLr"/>
          </w:tcPr>
          <w:p w14:paraId="5B979F91" w14:textId="77777777" w:rsidR="00E86E3B" w:rsidRDefault="00E86E3B" w:rsidP="00970A79">
            <w:pPr>
              <w:tabs>
                <w:tab w:val="left" w:pos="0"/>
                <w:tab w:val="left" w:pos="132"/>
              </w:tabs>
              <w:ind w:left="113" w:right="113" w:hanging="101"/>
              <w:contextualSpacing/>
              <w:jc w:val="center"/>
              <w:rPr>
                <w:rFonts w:hint="eastAsia"/>
                <w:b/>
                <w:i w:val="0"/>
                <w:sz w:val="18"/>
                <w:szCs w:val="18"/>
              </w:rPr>
            </w:pPr>
            <w:r>
              <w:rPr>
                <w:b/>
                <w:sz w:val="18"/>
                <w:szCs w:val="18"/>
              </w:rPr>
              <w:t xml:space="preserve">Produits </w:t>
            </w:r>
          </w:p>
          <w:p w14:paraId="62D16334" w14:textId="77777777" w:rsidR="00E86E3B" w:rsidRPr="00A57801" w:rsidRDefault="00E86E3B" w:rsidP="00970A79">
            <w:pPr>
              <w:tabs>
                <w:tab w:val="left" w:pos="0"/>
                <w:tab w:val="left" w:pos="132"/>
              </w:tabs>
              <w:ind w:left="113" w:right="113" w:hanging="101"/>
              <w:contextualSpacing/>
              <w:jc w:val="center"/>
              <w:rPr>
                <w:rFonts w:hint="eastAsia"/>
                <w:b/>
                <w:i w:val="0"/>
                <w:sz w:val="18"/>
                <w:szCs w:val="18"/>
              </w:rPr>
            </w:pPr>
            <w:r>
              <w:rPr>
                <w:b/>
                <w:sz w:val="18"/>
                <w:szCs w:val="18"/>
              </w:rPr>
              <w:t>(outputs)</w:t>
            </w:r>
          </w:p>
        </w:tc>
        <w:tc>
          <w:tcPr>
            <w:tcW w:w="3158" w:type="dxa"/>
            <w:shd w:val="clear" w:color="auto" w:fill="FFFFFF" w:themeFill="background1"/>
          </w:tcPr>
          <w:p w14:paraId="15D7A074" w14:textId="77777777" w:rsidR="00E86E3B" w:rsidRPr="00106DF8" w:rsidRDefault="00E86E3B" w:rsidP="00970A79">
            <w:pPr>
              <w:pStyle w:val="Paragraphedeliste"/>
              <w:numPr>
                <w:ilvl w:val="1"/>
                <w:numId w:val="30"/>
              </w:numPr>
              <w:tabs>
                <w:tab w:val="clear" w:pos="9923"/>
                <w:tab w:val="left" w:pos="0"/>
                <w:tab w:val="left" w:pos="132"/>
              </w:tabs>
              <w:spacing w:before="100" w:after="100"/>
              <w:contextualSpacing/>
              <w:jc w:val="left"/>
              <w:rPr>
                <w:rFonts w:ascii="Times New Roman" w:hAnsi="Times New Roman"/>
                <w:b/>
                <w:sz w:val="18"/>
                <w:szCs w:val="18"/>
              </w:rPr>
            </w:pPr>
            <w:r w:rsidRPr="00106DF8">
              <w:rPr>
                <w:rFonts w:ascii="Times New Roman" w:hAnsi="Times New Roman"/>
                <w:b/>
                <w:sz w:val="18"/>
                <w:szCs w:val="18"/>
              </w:rPr>
              <w:t>Produit 1 lié à la réalisation nº 1</w:t>
            </w:r>
          </w:p>
          <w:p w14:paraId="0C333E76" w14:textId="77777777" w:rsidR="00E86E3B" w:rsidRPr="00106DF8" w:rsidRDefault="00E86E3B" w:rsidP="00970A79">
            <w:pPr>
              <w:tabs>
                <w:tab w:val="left" w:pos="0"/>
                <w:tab w:val="left" w:pos="132"/>
              </w:tabs>
              <w:jc w:val="left"/>
              <w:rPr>
                <w:rFonts w:cs="Times New Roman" w:hint="eastAsia"/>
                <w:b/>
                <w:sz w:val="18"/>
                <w:szCs w:val="18"/>
              </w:rPr>
            </w:pPr>
            <w:r w:rsidRPr="00106DF8">
              <w:rPr>
                <w:rFonts w:eastAsia="Times New Roman" w:cs="Times New Roman"/>
                <w:sz w:val="18"/>
                <w:szCs w:val="18"/>
              </w:rPr>
              <w:t xml:space="preserve">La BCT est outillée pour gérer des lignes de crédit à destination des </w:t>
            </w:r>
            <w:r>
              <w:rPr>
                <w:rFonts w:eastAsia="Times New Roman" w:cs="Times New Roman"/>
                <w:sz w:val="18"/>
                <w:szCs w:val="18"/>
              </w:rPr>
              <w:t>T/</w:t>
            </w:r>
            <w:r w:rsidRPr="00106DF8">
              <w:rPr>
                <w:rFonts w:eastAsia="Times New Roman" w:cs="Times New Roman"/>
                <w:sz w:val="18"/>
                <w:szCs w:val="18"/>
              </w:rPr>
              <w:t>PME, notamment celle de l’AFD</w:t>
            </w:r>
          </w:p>
        </w:tc>
        <w:tc>
          <w:tcPr>
            <w:tcW w:w="2835" w:type="dxa"/>
            <w:shd w:val="clear" w:color="auto" w:fill="FFFFFF" w:themeFill="background1"/>
          </w:tcPr>
          <w:p w14:paraId="24EFF0D0" w14:textId="77777777" w:rsidR="00E86E3B" w:rsidRPr="00203291" w:rsidRDefault="00E86E3B" w:rsidP="00970A79">
            <w:pPr>
              <w:autoSpaceDE w:val="0"/>
              <w:autoSpaceDN w:val="0"/>
              <w:adjustRightInd w:val="0"/>
              <w:jc w:val="left"/>
              <w:rPr>
                <w:rFonts w:cs="Times New Roman" w:hint="eastAsia"/>
                <w:sz w:val="18"/>
                <w:szCs w:val="18"/>
              </w:rPr>
            </w:pPr>
            <w:r w:rsidRPr="00203291">
              <w:rPr>
                <w:rFonts w:cs="Times New Roman"/>
                <w:sz w:val="18"/>
                <w:szCs w:val="18"/>
              </w:rPr>
              <w:t>1.1. Nombre d’outils mis à disposition de la BCT pour la gestion des lignes de crédit</w:t>
            </w:r>
          </w:p>
        </w:tc>
        <w:tc>
          <w:tcPr>
            <w:tcW w:w="2551" w:type="dxa"/>
            <w:shd w:val="clear" w:color="auto" w:fill="FFFFFF" w:themeFill="background1"/>
          </w:tcPr>
          <w:p w14:paraId="23F61B07" w14:textId="77777777" w:rsidR="00E86E3B" w:rsidRPr="00203291" w:rsidRDefault="00E86E3B" w:rsidP="00970A79">
            <w:pPr>
              <w:jc w:val="left"/>
              <w:rPr>
                <w:rFonts w:cs="Times New Roman" w:hint="eastAsia"/>
                <w:sz w:val="18"/>
                <w:szCs w:val="18"/>
              </w:rPr>
            </w:pPr>
            <w:r w:rsidRPr="00203291">
              <w:rPr>
                <w:rFonts w:cs="Times New Roman"/>
                <w:sz w:val="18"/>
                <w:szCs w:val="18"/>
              </w:rPr>
              <w:t xml:space="preserve">1.1.1 valeur de référence : 0 </w:t>
            </w:r>
          </w:p>
        </w:tc>
        <w:tc>
          <w:tcPr>
            <w:tcW w:w="2835" w:type="dxa"/>
            <w:shd w:val="clear" w:color="auto" w:fill="FFFFFF" w:themeFill="background1"/>
          </w:tcPr>
          <w:p w14:paraId="3377AF9D" w14:textId="77777777" w:rsidR="00E86E3B" w:rsidRPr="00203291" w:rsidRDefault="00E86E3B" w:rsidP="00970A79">
            <w:pPr>
              <w:autoSpaceDE w:val="0"/>
              <w:autoSpaceDN w:val="0"/>
              <w:adjustRightInd w:val="0"/>
              <w:jc w:val="left"/>
              <w:rPr>
                <w:rFonts w:cs="Times New Roman" w:hint="eastAsia"/>
                <w:sz w:val="18"/>
                <w:szCs w:val="18"/>
              </w:rPr>
            </w:pPr>
            <w:r w:rsidRPr="00203291">
              <w:rPr>
                <w:rFonts w:cs="Times New Roman"/>
                <w:sz w:val="18"/>
                <w:szCs w:val="18"/>
              </w:rPr>
              <w:t xml:space="preserve">1.1.1 </w:t>
            </w:r>
          </w:p>
          <w:p w14:paraId="1198EC3C" w14:textId="77777777" w:rsidR="00E86E3B" w:rsidRPr="00203291" w:rsidRDefault="00E86E3B" w:rsidP="00970A79">
            <w:pPr>
              <w:autoSpaceDE w:val="0"/>
              <w:autoSpaceDN w:val="0"/>
              <w:adjustRightInd w:val="0"/>
              <w:jc w:val="left"/>
              <w:rPr>
                <w:rFonts w:cs="Times New Roman" w:hint="eastAsia"/>
                <w:sz w:val="18"/>
                <w:szCs w:val="18"/>
              </w:rPr>
            </w:pPr>
            <w:r w:rsidRPr="00203291">
              <w:rPr>
                <w:rFonts w:cs="Times New Roman"/>
                <w:sz w:val="18"/>
                <w:szCs w:val="18"/>
              </w:rPr>
              <w:t>Valeur cible &gt; 1</w:t>
            </w:r>
          </w:p>
        </w:tc>
        <w:tc>
          <w:tcPr>
            <w:tcW w:w="2667" w:type="dxa"/>
            <w:gridSpan w:val="2"/>
            <w:shd w:val="clear" w:color="auto" w:fill="FFFFFF" w:themeFill="background1"/>
          </w:tcPr>
          <w:p w14:paraId="32AB773D"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0893DB45" w14:textId="77777777" w:rsidTr="00970A79">
        <w:trPr>
          <w:trHeight w:val="396"/>
        </w:trPr>
        <w:tc>
          <w:tcPr>
            <w:tcW w:w="665" w:type="dxa"/>
            <w:vMerge/>
            <w:shd w:val="clear" w:color="auto" w:fill="D9D9D9" w:themeFill="background1" w:themeFillShade="D9"/>
            <w:textDirection w:val="btLr"/>
          </w:tcPr>
          <w:p w14:paraId="5DE90A4B" w14:textId="77777777" w:rsidR="00E86E3B" w:rsidRPr="00BC1959" w:rsidRDefault="00E86E3B" w:rsidP="00970A79">
            <w:pPr>
              <w:tabs>
                <w:tab w:val="left" w:pos="0"/>
                <w:tab w:val="left" w:pos="132"/>
              </w:tabs>
              <w:ind w:left="113" w:right="113" w:hanging="101"/>
              <w:jc w:val="center"/>
              <w:rPr>
                <w:rFonts w:hint="eastAsia"/>
                <w:b/>
                <w:i w:val="0"/>
                <w:sz w:val="18"/>
                <w:szCs w:val="18"/>
              </w:rPr>
            </w:pPr>
          </w:p>
        </w:tc>
        <w:tc>
          <w:tcPr>
            <w:tcW w:w="3158" w:type="dxa"/>
            <w:shd w:val="clear" w:color="auto" w:fill="FFFFFF" w:themeFill="background1"/>
          </w:tcPr>
          <w:p w14:paraId="503CB916" w14:textId="77777777" w:rsidR="00E86E3B" w:rsidRPr="00106DF8" w:rsidRDefault="00E86E3B" w:rsidP="00970A79">
            <w:pPr>
              <w:pStyle w:val="Paragraphedeliste"/>
              <w:numPr>
                <w:ilvl w:val="1"/>
                <w:numId w:val="30"/>
              </w:numPr>
              <w:tabs>
                <w:tab w:val="clear" w:pos="9923"/>
              </w:tabs>
              <w:autoSpaceDE w:val="0"/>
              <w:autoSpaceDN w:val="0"/>
              <w:adjustRightInd w:val="0"/>
              <w:spacing w:before="100" w:after="100"/>
              <w:contextualSpacing/>
              <w:jc w:val="left"/>
              <w:rPr>
                <w:rFonts w:ascii="Times New Roman" w:hAnsi="Times New Roman"/>
                <w:b/>
                <w:sz w:val="18"/>
                <w:szCs w:val="18"/>
              </w:rPr>
            </w:pPr>
            <w:r w:rsidRPr="00106DF8">
              <w:rPr>
                <w:rFonts w:ascii="Times New Roman" w:hAnsi="Times New Roman"/>
                <w:b/>
                <w:sz w:val="18"/>
                <w:szCs w:val="18"/>
              </w:rPr>
              <w:t>Produit 2 lié à la réalisation nº 1</w:t>
            </w:r>
          </w:p>
          <w:p w14:paraId="449552AA" w14:textId="77777777" w:rsidR="00E86E3B" w:rsidRPr="00106DF8" w:rsidRDefault="00E86E3B" w:rsidP="00970A79">
            <w:pPr>
              <w:autoSpaceDE w:val="0"/>
              <w:autoSpaceDN w:val="0"/>
              <w:adjustRightInd w:val="0"/>
              <w:jc w:val="left"/>
              <w:rPr>
                <w:rFonts w:eastAsia="Calibri" w:cs="Times New Roman"/>
                <w:b/>
                <w:sz w:val="18"/>
                <w:szCs w:val="18"/>
              </w:rPr>
            </w:pPr>
            <w:r w:rsidRPr="00106DF8">
              <w:rPr>
                <w:rFonts w:cs="Times New Roman"/>
                <w:sz w:val="18"/>
                <w:szCs w:val="18"/>
              </w:rPr>
              <w:t>La BCT s’assure de l’appropriation des outils par les IFP</w:t>
            </w:r>
            <w:r w:rsidRPr="00106DF8">
              <w:rPr>
                <w:rStyle w:val="lev"/>
                <w:rFonts w:eastAsia="Calibri" w:cs="Times New Roman"/>
                <w:sz w:val="18"/>
                <w:szCs w:val="18"/>
              </w:rPr>
              <w:t> </w:t>
            </w:r>
          </w:p>
        </w:tc>
        <w:tc>
          <w:tcPr>
            <w:tcW w:w="2835" w:type="dxa"/>
            <w:shd w:val="clear" w:color="auto" w:fill="FFFFFF" w:themeFill="background1"/>
          </w:tcPr>
          <w:p w14:paraId="2F911D26" w14:textId="77777777" w:rsidR="00E86E3B" w:rsidRPr="00203291" w:rsidRDefault="00E86E3B" w:rsidP="00970A79">
            <w:pPr>
              <w:autoSpaceDE w:val="0"/>
              <w:autoSpaceDN w:val="0"/>
              <w:adjustRightInd w:val="0"/>
              <w:jc w:val="left"/>
              <w:rPr>
                <w:rFonts w:cs="Times New Roman" w:hint="eastAsia"/>
                <w:sz w:val="18"/>
                <w:szCs w:val="18"/>
              </w:rPr>
            </w:pPr>
            <w:r w:rsidRPr="00203291">
              <w:rPr>
                <w:rFonts w:cs="Times New Roman"/>
                <w:sz w:val="18"/>
                <w:szCs w:val="18"/>
              </w:rPr>
              <w:t xml:space="preserve">1.2.1. Nombre d’ateliers et formations à destination des IFP </w:t>
            </w:r>
          </w:p>
        </w:tc>
        <w:tc>
          <w:tcPr>
            <w:tcW w:w="2551" w:type="dxa"/>
            <w:shd w:val="clear" w:color="auto" w:fill="FFFFFF" w:themeFill="background1"/>
          </w:tcPr>
          <w:p w14:paraId="6D180907" w14:textId="77777777" w:rsidR="00E86E3B" w:rsidRPr="00203291" w:rsidRDefault="00E86E3B" w:rsidP="00970A79">
            <w:pPr>
              <w:jc w:val="left"/>
              <w:rPr>
                <w:rFonts w:cs="Times New Roman" w:hint="eastAsia"/>
                <w:sz w:val="18"/>
                <w:szCs w:val="18"/>
              </w:rPr>
            </w:pPr>
            <w:r w:rsidRPr="00203291">
              <w:rPr>
                <w:rFonts w:cs="Times New Roman"/>
                <w:sz w:val="18"/>
                <w:szCs w:val="18"/>
              </w:rPr>
              <w:t>1.2.1. valeur de référence : 0</w:t>
            </w:r>
          </w:p>
        </w:tc>
        <w:tc>
          <w:tcPr>
            <w:tcW w:w="2835" w:type="dxa"/>
            <w:shd w:val="clear" w:color="auto" w:fill="FFFFFF" w:themeFill="background1"/>
          </w:tcPr>
          <w:p w14:paraId="4E1F43A9" w14:textId="77777777" w:rsidR="00E86E3B" w:rsidRPr="00203291" w:rsidRDefault="00E86E3B" w:rsidP="00970A79">
            <w:pPr>
              <w:autoSpaceDE w:val="0"/>
              <w:autoSpaceDN w:val="0"/>
              <w:adjustRightInd w:val="0"/>
              <w:jc w:val="left"/>
              <w:rPr>
                <w:rFonts w:cs="Times New Roman" w:hint="eastAsia"/>
                <w:sz w:val="18"/>
                <w:szCs w:val="18"/>
              </w:rPr>
            </w:pPr>
            <w:r w:rsidRPr="00203291">
              <w:rPr>
                <w:rFonts w:cs="Times New Roman"/>
                <w:sz w:val="18"/>
                <w:szCs w:val="18"/>
              </w:rPr>
              <w:t>1.2.1. Valeur cible &gt; 1</w:t>
            </w:r>
          </w:p>
        </w:tc>
        <w:tc>
          <w:tcPr>
            <w:tcW w:w="2667" w:type="dxa"/>
            <w:gridSpan w:val="2"/>
            <w:shd w:val="clear" w:color="auto" w:fill="FFFFFF" w:themeFill="background1"/>
          </w:tcPr>
          <w:p w14:paraId="20737673"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0EA28E93" w14:textId="77777777" w:rsidTr="00970A79">
        <w:trPr>
          <w:trHeight w:val="407"/>
        </w:trPr>
        <w:tc>
          <w:tcPr>
            <w:tcW w:w="665" w:type="dxa"/>
            <w:vMerge/>
            <w:shd w:val="clear" w:color="auto" w:fill="D9D9D9" w:themeFill="background1" w:themeFillShade="D9"/>
            <w:textDirection w:val="btLr"/>
          </w:tcPr>
          <w:p w14:paraId="2B4F901A" w14:textId="77777777" w:rsidR="00E86E3B" w:rsidRPr="00BC1959" w:rsidRDefault="00E86E3B" w:rsidP="00970A79">
            <w:pPr>
              <w:tabs>
                <w:tab w:val="left" w:pos="0"/>
                <w:tab w:val="left" w:pos="132"/>
              </w:tabs>
              <w:ind w:left="113" w:right="113" w:hanging="101"/>
              <w:jc w:val="center"/>
              <w:rPr>
                <w:rFonts w:hint="eastAsia"/>
                <w:b/>
                <w:i w:val="0"/>
                <w:sz w:val="18"/>
                <w:szCs w:val="18"/>
              </w:rPr>
            </w:pPr>
          </w:p>
        </w:tc>
        <w:tc>
          <w:tcPr>
            <w:tcW w:w="3158" w:type="dxa"/>
            <w:tcBorders>
              <w:top w:val="single" w:sz="4" w:space="0" w:color="auto"/>
              <w:right w:val="single" w:sz="4" w:space="0" w:color="auto"/>
            </w:tcBorders>
            <w:shd w:val="clear" w:color="auto" w:fill="FFFFFF" w:themeFill="background1"/>
          </w:tcPr>
          <w:p w14:paraId="26580B77" w14:textId="77777777" w:rsidR="00E86E3B" w:rsidRPr="0047098D" w:rsidRDefault="00E86E3B" w:rsidP="00970A79">
            <w:pPr>
              <w:tabs>
                <w:tab w:val="left" w:pos="0"/>
                <w:tab w:val="left" w:pos="132"/>
              </w:tabs>
              <w:jc w:val="left"/>
              <w:rPr>
                <w:rFonts w:cs="Times New Roman" w:hint="eastAsia"/>
                <w:b/>
                <w:sz w:val="18"/>
                <w:szCs w:val="18"/>
              </w:rPr>
            </w:pPr>
            <w:r w:rsidRPr="0047098D">
              <w:rPr>
                <w:rFonts w:cs="Times New Roman"/>
                <w:b/>
                <w:sz w:val="18"/>
                <w:szCs w:val="18"/>
              </w:rPr>
              <w:t>2.1 Produit 1 lié à la réalisation nº 2</w:t>
            </w:r>
          </w:p>
          <w:p w14:paraId="1ABC9BCA" w14:textId="77777777" w:rsidR="00E86E3B" w:rsidRPr="00106DF8" w:rsidRDefault="00E86E3B" w:rsidP="00970A79">
            <w:pPr>
              <w:jc w:val="left"/>
              <w:rPr>
                <w:rFonts w:cs="Times New Roman" w:hint="eastAsia"/>
                <w:sz w:val="18"/>
                <w:szCs w:val="18"/>
              </w:rPr>
            </w:pPr>
            <w:r w:rsidRPr="0047098D">
              <w:rPr>
                <w:rFonts w:cs="Times New Roman"/>
                <w:sz w:val="18"/>
                <w:szCs w:val="18"/>
              </w:rPr>
              <w:t xml:space="preserve">Les IFP bancaires seront appuyées dans le cadre de l’Action pour un appui spécifique matière d’offres dédiées aux </w:t>
            </w:r>
            <w:r>
              <w:rPr>
                <w:rFonts w:cs="Times New Roman"/>
                <w:sz w:val="18"/>
                <w:szCs w:val="18"/>
              </w:rPr>
              <w:t>T/PME</w:t>
            </w:r>
            <w:r w:rsidRPr="0047098D">
              <w:rPr>
                <w:rFonts w:cs="Times New Roman"/>
                <w:sz w:val="18"/>
                <w:szCs w:val="18"/>
              </w:rPr>
              <w:t xml:space="preserve"> d’analyse et de gestion des risques et/ou d’impact ESG de leur action.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0B159C4" w14:textId="77777777" w:rsidR="00E86E3B" w:rsidRPr="00586A44" w:rsidRDefault="00E86E3B" w:rsidP="00970A79">
            <w:pPr>
              <w:autoSpaceDE w:val="0"/>
              <w:autoSpaceDN w:val="0"/>
              <w:adjustRightInd w:val="0"/>
              <w:jc w:val="left"/>
              <w:rPr>
                <w:rFonts w:cs="Times New Roman" w:hint="eastAsia"/>
                <w:sz w:val="18"/>
                <w:szCs w:val="18"/>
              </w:rPr>
            </w:pPr>
            <w:r w:rsidRPr="00586A44">
              <w:rPr>
                <w:rFonts w:cs="Times New Roman"/>
                <w:sz w:val="18"/>
                <w:szCs w:val="18"/>
              </w:rPr>
              <w:t>2.1.1 Nombre d’IFP AFD et/ou BEI appuyées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ECD95AF" w14:textId="77777777" w:rsidR="00E86E3B" w:rsidRPr="00203291" w:rsidRDefault="00E86E3B" w:rsidP="00970A79">
            <w:pPr>
              <w:jc w:val="left"/>
              <w:rPr>
                <w:rFonts w:cs="Times New Roman" w:hint="eastAsia"/>
                <w:sz w:val="18"/>
                <w:szCs w:val="18"/>
              </w:rPr>
            </w:pPr>
            <w:r w:rsidRPr="00203291">
              <w:rPr>
                <w:rFonts w:cs="Times New Roman"/>
                <w:sz w:val="18"/>
                <w:szCs w:val="18"/>
              </w:rPr>
              <w:t>2.1.1 valeur de référence : 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F44079" w14:textId="77777777" w:rsidR="00E86E3B" w:rsidRPr="00203291" w:rsidRDefault="00E86E3B" w:rsidP="00970A79">
            <w:pPr>
              <w:autoSpaceDE w:val="0"/>
              <w:autoSpaceDN w:val="0"/>
              <w:adjustRightInd w:val="0"/>
              <w:jc w:val="left"/>
              <w:rPr>
                <w:rFonts w:cs="Times New Roman" w:hint="eastAsia"/>
                <w:sz w:val="18"/>
                <w:szCs w:val="18"/>
              </w:rPr>
            </w:pPr>
            <w:r w:rsidRPr="00203291">
              <w:rPr>
                <w:rFonts w:cs="Times New Roman"/>
                <w:sz w:val="18"/>
                <w:szCs w:val="18"/>
              </w:rPr>
              <w:t>2.1.1 Valeur cible entre 3 et 7</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5A635D"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3D71984E" w14:textId="77777777" w:rsidTr="00970A79">
        <w:trPr>
          <w:trHeight w:val="407"/>
        </w:trPr>
        <w:tc>
          <w:tcPr>
            <w:tcW w:w="665" w:type="dxa"/>
            <w:vMerge/>
            <w:shd w:val="clear" w:color="auto" w:fill="D9D9D9" w:themeFill="background1" w:themeFillShade="D9"/>
            <w:textDirection w:val="btLr"/>
          </w:tcPr>
          <w:p w14:paraId="0D446231" w14:textId="77777777" w:rsidR="00E86E3B" w:rsidRPr="00BC1959" w:rsidRDefault="00E86E3B" w:rsidP="00970A79">
            <w:pPr>
              <w:tabs>
                <w:tab w:val="left" w:pos="0"/>
                <w:tab w:val="left" w:pos="132"/>
              </w:tabs>
              <w:ind w:left="113" w:right="113" w:hanging="101"/>
              <w:jc w:val="center"/>
              <w:rPr>
                <w:rFonts w:hint="eastAsia"/>
                <w:b/>
                <w:i w:val="0"/>
                <w:sz w:val="18"/>
                <w:szCs w:val="18"/>
              </w:rPr>
            </w:pPr>
          </w:p>
        </w:tc>
        <w:tc>
          <w:tcPr>
            <w:tcW w:w="3158" w:type="dxa"/>
            <w:vMerge w:val="restart"/>
            <w:tcBorders>
              <w:top w:val="single" w:sz="4" w:space="0" w:color="auto"/>
              <w:right w:val="single" w:sz="4" w:space="0" w:color="auto"/>
            </w:tcBorders>
            <w:shd w:val="clear" w:color="auto" w:fill="FFFFFF" w:themeFill="background1"/>
          </w:tcPr>
          <w:p w14:paraId="13779B8A" w14:textId="77777777" w:rsidR="00E86E3B" w:rsidRPr="00586A44" w:rsidRDefault="00E86E3B" w:rsidP="00970A79">
            <w:pPr>
              <w:tabs>
                <w:tab w:val="left" w:pos="0"/>
                <w:tab w:val="left" w:pos="132"/>
              </w:tabs>
              <w:jc w:val="left"/>
              <w:rPr>
                <w:rFonts w:cs="Times New Roman" w:hint="eastAsia"/>
                <w:b/>
                <w:sz w:val="18"/>
                <w:szCs w:val="18"/>
              </w:rPr>
            </w:pPr>
            <w:r w:rsidRPr="00586A44">
              <w:rPr>
                <w:rFonts w:cs="Times New Roman"/>
                <w:b/>
                <w:sz w:val="18"/>
                <w:szCs w:val="18"/>
              </w:rPr>
              <w:t>2.2 Produit 2 lié à la réalisation nº 2</w:t>
            </w:r>
          </w:p>
          <w:p w14:paraId="6E96B746" w14:textId="77777777" w:rsidR="00E86E3B" w:rsidRPr="00586A44" w:rsidRDefault="00E86E3B" w:rsidP="00970A79">
            <w:pPr>
              <w:tabs>
                <w:tab w:val="left" w:pos="0"/>
                <w:tab w:val="left" w:pos="132"/>
              </w:tabs>
              <w:jc w:val="left"/>
              <w:rPr>
                <w:rFonts w:eastAsia="Calibri" w:cs="Times New Roman"/>
                <w:sz w:val="18"/>
                <w:szCs w:val="18"/>
              </w:rPr>
            </w:pPr>
            <w:r w:rsidRPr="00586A44">
              <w:rPr>
                <w:rFonts w:cs="Times New Roman"/>
                <w:sz w:val="18"/>
                <w:szCs w:val="18"/>
              </w:rPr>
              <w:t>Les IFP bancaires bénéficiaires de la ligne AFD bénéficie d’un appui pour ses clientes de classe 2</w:t>
            </w:r>
            <w:r w:rsidRPr="00FA425B">
              <w:rPr>
                <w:rStyle w:val="lev"/>
                <w:rFonts w:eastAsia="Calibri" w:cs="Times New Roman"/>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F6D6"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2.2.1</w:t>
            </w:r>
            <w:r w:rsidRPr="0047098D">
              <w:rPr>
                <w:rFonts w:cs="Times New Roman"/>
                <w:sz w:val="18"/>
                <w:szCs w:val="18"/>
                <w:u w:val="single"/>
              </w:rPr>
              <w:t xml:space="preserve"> </w:t>
            </w:r>
            <w:r w:rsidRPr="0047098D">
              <w:rPr>
                <w:rFonts w:cs="Times New Roman"/>
                <w:sz w:val="18"/>
                <w:szCs w:val="18"/>
              </w:rPr>
              <w:t>Nombre d’IFP  de la ligne AFD qui bénéficie</w:t>
            </w:r>
            <w:r>
              <w:rPr>
                <w:rFonts w:cs="Times New Roman"/>
                <w:sz w:val="18"/>
                <w:szCs w:val="18"/>
              </w:rPr>
              <w:t>nt</w:t>
            </w:r>
            <w:r w:rsidRPr="0047098D">
              <w:rPr>
                <w:rFonts w:cs="Times New Roman"/>
                <w:sz w:val="18"/>
                <w:szCs w:val="18"/>
              </w:rPr>
              <w:t xml:space="preserve"> d’un appui pour ses clientes de classe 2  dans le cadre de l’Action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6733B5" w14:textId="77777777" w:rsidR="00E86E3B" w:rsidRPr="0047098D" w:rsidRDefault="00E86E3B" w:rsidP="00970A79">
            <w:pPr>
              <w:jc w:val="left"/>
              <w:rPr>
                <w:rFonts w:cs="Times New Roman" w:hint="eastAsia"/>
                <w:sz w:val="18"/>
                <w:szCs w:val="18"/>
                <w:u w:val="single"/>
              </w:rPr>
            </w:pPr>
            <w:r w:rsidRPr="0047098D">
              <w:rPr>
                <w:rFonts w:cs="Times New Roman"/>
                <w:sz w:val="18"/>
                <w:szCs w:val="18"/>
              </w:rPr>
              <w:t>2.2.1</w:t>
            </w:r>
            <w:r w:rsidRPr="0047098D">
              <w:rPr>
                <w:rFonts w:cs="Times New Roman"/>
                <w:sz w:val="18"/>
                <w:szCs w:val="18"/>
                <w:u w:val="single"/>
              </w:rPr>
              <w:t xml:space="preserve"> </w:t>
            </w:r>
            <w:r w:rsidRPr="0047098D">
              <w:rPr>
                <w:rFonts w:cs="Times New Roman"/>
                <w:sz w:val="18"/>
                <w:szCs w:val="18"/>
              </w:rPr>
              <w:t>valeur de référence : 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375090"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2.2.1</w:t>
            </w:r>
            <w:r w:rsidRPr="0047098D">
              <w:rPr>
                <w:rFonts w:cs="Times New Roman"/>
                <w:sz w:val="18"/>
                <w:szCs w:val="18"/>
                <w:u w:val="single"/>
              </w:rPr>
              <w:t xml:space="preserve"> Cible &gt;2</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1A8BCA"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3BE954F3" w14:textId="77777777" w:rsidTr="00970A79">
        <w:trPr>
          <w:trHeight w:val="353"/>
        </w:trPr>
        <w:tc>
          <w:tcPr>
            <w:tcW w:w="665" w:type="dxa"/>
            <w:vMerge/>
            <w:shd w:val="clear" w:color="auto" w:fill="D9D9D9" w:themeFill="background1" w:themeFillShade="D9"/>
            <w:textDirection w:val="btLr"/>
          </w:tcPr>
          <w:p w14:paraId="49ECAC98" w14:textId="77777777" w:rsidR="00E86E3B" w:rsidRPr="00BC1959" w:rsidRDefault="00E86E3B" w:rsidP="00970A79">
            <w:pPr>
              <w:tabs>
                <w:tab w:val="left" w:pos="0"/>
                <w:tab w:val="left" w:pos="132"/>
              </w:tabs>
              <w:ind w:left="113" w:right="113" w:hanging="101"/>
              <w:jc w:val="center"/>
              <w:rPr>
                <w:rFonts w:hint="eastAsia"/>
                <w:b/>
                <w:i w:val="0"/>
                <w:sz w:val="18"/>
                <w:szCs w:val="18"/>
              </w:rPr>
            </w:pPr>
          </w:p>
        </w:tc>
        <w:tc>
          <w:tcPr>
            <w:tcW w:w="3158" w:type="dxa"/>
            <w:vMerge/>
            <w:tcBorders>
              <w:bottom w:val="single" w:sz="4" w:space="0" w:color="auto"/>
              <w:right w:val="single" w:sz="4" w:space="0" w:color="auto"/>
            </w:tcBorders>
            <w:shd w:val="clear" w:color="auto" w:fill="FFFFFF" w:themeFill="background1"/>
          </w:tcPr>
          <w:p w14:paraId="17A62F45" w14:textId="77777777" w:rsidR="00E86E3B" w:rsidRPr="0047098D" w:rsidRDefault="00E86E3B" w:rsidP="00970A79">
            <w:pPr>
              <w:autoSpaceDE w:val="0"/>
              <w:autoSpaceDN w:val="0"/>
              <w:adjustRightInd w:val="0"/>
              <w:rPr>
                <w:rFonts w:cs="Times New Roman" w:hint="eastAsia"/>
                <w:b/>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D701AB2"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 xml:space="preserve">2.2.2  Nombre de </w:t>
            </w:r>
            <w:r>
              <w:rPr>
                <w:rFonts w:cs="Times New Roman"/>
                <w:sz w:val="18"/>
                <w:szCs w:val="18"/>
              </w:rPr>
              <w:t>T/</w:t>
            </w:r>
            <w:r w:rsidRPr="0047098D">
              <w:rPr>
                <w:rFonts w:cs="Times New Roman"/>
                <w:sz w:val="18"/>
                <w:szCs w:val="18"/>
              </w:rPr>
              <w:t xml:space="preserve">PME affectées par les crises actuelles et en demande de crédits de consolidation obtiennent cette bouffée </w:t>
            </w:r>
            <w:r w:rsidRPr="0047098D">
              <w:rPr>
                <w:rFonts w:cs="Times New Roman"/>
                <w:sz w:val="18"/>
                <w:szCs w:val="18"/>
              </w:rPr>
              <w:lastRenderedPageBreak/>
              <w:t xml:space="preserve">d’oxygène dont des </w:t>
            </w:r>
            <w:r>
              <w:rPr>
                <w:rFonts w:cs="Times New Roman"/>
                <w:sz w:val="18"/>
                <w:szCs w:val="18"/>
              </w:rPr>
              <w:t>T/</w:t>
            </w:r>
            <w:r w:rsidRPr="0047098D">
              <w:rPr>
                <w:rFonts w:cs="Times New Roman"/>
                <w:sz w:val="18"/>
                <w:szCs w:val="18"/>
              </w:rPr>
              <w:t>PME de classe 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CF415"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lastRenderedPageBreak/>
              <w:t>2.2.2</w:t>
            </w:r>
          </w:p>
          <w:p w14:paraId="5BECA62A"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Valeur de référence TBC</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AF7F9D" w14:textId="77777777" w:rsidR="00E86E3B" w:rsidRPr="0047098D" w:rsidRDefault="00E86E3B" w:rsidP="00970A79">
            <w:pPr>
              <w:jc w:val="left"/>
              <w:rPr>
                <w:rFonts w:cs="Times New Roman" w:hint="eastAsia"/>
                <w:sz w:val="18"/>
                <w:szCs w:val="18"/>
              </w:rPr>
            </w:pPr>
            <w:r w:rsidRPr="0047098D">
              <w:rPr>
                <w:rFonts w:cs="Times New Roman"/>
                <w:sz w:val="18"/>
                <w:szCs w:val="18"/>
              </w:rPr>
              <w:t>2.2.2</w:t>
            </w:r>
          </w:p>
          <w:p w14:paraId="07BF6229" w14:textId="77777777" w:rsidR="00E86E3B" w:rsidRPr="0047098D" w:rsidRDefault="00E86E3B" w:rsidP="00970A79">
            <w:pPr>
              <w:jc w:val="left"/>
              <w:rPr>
                <w:rFonts w:cs="Times New Roman" w:hint="eastAsia"/>
                <w:sz w:val="18"/>
                <w:szCs w:val="18"/>
              </w:rPr>
            </w:pPr>
            <w:r w:rsidRPr="0047098D">
              <w:rPr>
                <w:rFonts w:cs="Times New Roman"/>
                <w:sz w:val="18"/>
                <w:szCs w:val="18"/>
              </w:rPr>
              <w:t>Valeur Cible : 50</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5743E" w14:textId="77777777" w:rsidR="00E86E3B" w:rsidRPr="0047098D"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4F420438" w14:textId="77777777" w:rsidTr="00970A79">
        <w:trPr>
          <w:trHeight w:val="353"/>
        </w:trPr>
        <w:tc>
          <w:tcPr>
            <w:tcW w:w="665" w:type="dxa"/>
            <w:vMerge/>
            <w:shd w:val="clear" w:color="auto" w:fill="D9D9D9" w:themeFill="background1" w:themeFillShade="D9"/>
            <w:textDirection w:val="btLr"/>
          </w:tcPr>
          <w:p w14:paraId="016CD3BC" w14:textId="77777777" w:rsidR="00E86E3B" w:rsidRPr="00163EA9" w:rsidRDefault="00E86E3B" w:rsidP="00970A79">
            <w:pPr>
              <w:tabs>
                <w:tab w:val="left" w:pos="0"/>
                <w:tab w:val="left" w:pos="132"/>
              </w:tabs>
              <w:ind w:left="113" w:right="113" w:hanging="101"/>
              <w:jc w:val="center"/>
              <w:rPr>
                <w:rFonts w:hint="eastAsia"/>
                <w:b/>
                <w:i w:val="0"/>
                <w:sz w:val="18"/>
                <w:szCs w:val="18"/>
              </w:rPr>
            </w:pPr>
          </w:p>
        </w:tc>
        <w:tc>
          <w:tcPr>
            <w:tcW w:w="3158" w:type="dxa"/>
            <w:tcBorders>
              <w:bottom w:val="single" w:sz="4" w:space="0" w:color="auto"/>
              <w:right w:val="single" w:sz="4" w:space="0" w:color="auto"/>
            </w:tcBorders>
            <w:shd w:val="clear" w:color="auto" w:fill="FFFFFF" w:themeFill="background1"/>
          </w:tcPr>
          <w:p w14:paraId="47038486" w14:textId="77777777" w:rsidR="00E86E3B" w:rsidRPr="00106DF8" w:rsidRDefault="00E86E3B" w:rsidP="00970A79">
            <w:pPr>
              <w:tabs>
                <w:tab w:val="left" w:pos="0"/>
                <w:tab w:val="left" w:pos="132"/>
              </w:tabs>
              <w:rPr>
                <w:rFonts w:cs="Times New Roman" w:hint="eastAsia"/>
                <w:b/>
                <w:sz w:val="18"/>
                <w:szCs w:val="18"/>
              </w:rPr>
            </w:pPr>
            <w:r w:rsidRPr="00106DF8">
              <w:rPr>
                <w:rFonts w:cs="Times New Roman"/>
                <w:b/>
                <w:sz w:val="18"/>
                <w:szCs w:val="18"/>
              </w:rPr>
              <w:t>3.1 Produit 1 lié à la réalisation n°3</w:t>
            </w:r>
          </w:p>
          <w:p w14:paraId="6CFFEF7B" w14:textId="77777777" w:rsidR="00E86E3B" w:rsidRPr="00106DF8" w:rsidRDefault="00E86E3B" w:rsidP="00970A79">
            <w:pPr>
              <w:tabs>
                <w:tab w:val="left" w:pos="0"/>
                <w:tab w:val="left" w:pos="132"/>
              </w:tabs>
              <w:rPr>
                <w:rFonts w:cs="Times New Roman" w:hint="eastAsia"/>
                <w:sz w:val="18"/>
                <w:szCs w:val="18"/>
              </w:rPr>
            </w:pPr>
            <w:r w:rsidRPr="00B77A3B">
              <w:rPr>
                <w:rFonts w:eastAsia="Calibri" w:cs="Times New Roman"/>
                <w:sz w:val="18"/>
                <w:szCs w:val="18"/>
              </w:rPr>
              <w:t xml:space="preserve">Les </w:t>
            </w:r>
            <w:r>
              <w:rPr>
                <w:rFonts w:eastAsia="Calibri" w:cs="Times New Roman"/>
                <w:sz w:val="18"/>
                <w:szCs w:val="18"/>
              </w:rPr>
              <w:t>T/</w:t>
            </w:r>
            <w:r w:rsidRPr="00B77A3B">
              <w:rPr>
                <w:rFonts w:eastAsia="Calibri" w:cs="Times New Roman"/>
                <w:sz w:val="18"/>
                <w:szCs w:val="18"/>
              </w:rPr>
              <w:t>PME sont encouragées à  maintenir ou développer leurs activités dans le respect  de l'environnement, de l'équité de genre, ou avec un impact sociétal</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1932F15" w14:textId="77777777" w:rsidR="00E86E3B" w:rsidRPr="00106DF8" w:rsidRDefault="00E86E3B" w:rsidP="00970A79">
            <w:pPr>
              <w:autoSpaceDE w:val="0"/>
              <w:autoSpaceDN w:val="0"/>
              <w:adjustRightInd w:val="0"/>
              <w:jc w:val="left"/>
              <w:rPr>
                <w:rFonts w:cs="Times New Roman" w:hint="eastAsia"/>
                <w:sz w:val="18"/>
                <w:szCs w:val="18"/>
                <w:u w:val="single"/>
              </w:rPr>
            </w:pPr>
            <w:r>
              <w:rPr>
                <w:rFonts w:eastAsia="Calibri" w:cs="Times New Roman"/>
                <w:sz w:val="18"/>
                <w:szCs w:val="18"/>
              </w:rPr>
              <w:t>3.1. Pourcentage</w:t>
            </w:r>
            <w:r w:rsidRPr="00106DF8">
              <w:rPr>
                <w:rFonts w:eastAsia="Calibri" w:cs="Times New Roman"/>
                <w:sz w:val="18"/>
                <w:szCs w:val="18"/>
              </w:rPr>
              <w:t xml:space="preserve"> de </w:t>
            </w:r>
            <w:r>
              <w:rPr>
                <w:rFonts w:eastAsia="Calibri" w:cs="Times New Roman"/>
                <w:sz w:val="18"/>
                <w:szCs w:val="18"/>
              </w:rPr>
              <w:t>T/</w:t>
            </w:r>
            <w:r w:rsidRPr="00106DF8">
              <w:rPr>
                <w:rFonts w:eastAsia="Calibri" w:cs="Times New Roman"/>
                <w:sz w:val="18"/>
                <w:szCs w:val="18"/>
              </w:rPr>
              <w:t>PME déclarant être engagées à long terme dans la transition écologique et l’équité de genre</w:t>
            </w:r>
            <w:r>
              <w:rPr>
                <w:rFonts w:eastAsia="Calibri" w:cs="Times New Roman"/>
                <w:sz w:val="18"/>
                <w:szCs w:val="18"/>
              </w:rPr>
              <w:t xml:space="preserve"> et la promotion du développement économique dans les régions  </w:t>
            </w:r>
            <w:r w:rsidRPr="002550CF">
              <w:rPr>
                <w:rFonts w:eastAsia="Calibri" w:cs="Times New Roman"/>
                <w:sz w:val="18"/>
                <w:szCs w:val="18"/>
              </w:rPr>
              <w:t xml:space="preserve">présentant un IDR inférieur à 0.5 </w:t>
            </w:r>
            <w:r w:rsidDel="00B77A3B">
              <w:rPr>
                <w:rFonts w:cs="Times New Roman"/>
                <w:sz w:val="18"/>
                <w:szCs w:val="18"/>
                <w:u w:val="single"/>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F398"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A définir via l’étude référence, si les partenaires fournissent déjà cet appui.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26B0C8C"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Cible à définir avec les experts recrutés sur le projet</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CD3A4B" w14:textId="77777777" w:rsidR="00E86E3B" w:rsidRPr="00586A44" w:rsidRDefault="00E86E3B" w:rsidP="00970A79">
            <w:pPr>
              <w:autoSpaceDE w:val="0"/>
              <w:autoSpaceDN w:val="0"/>
              <w:adjustRightInd w:val="0"/>
              <w:jc w:val="left"/>
              <w:rPr>
                <w:rFonts w:cs="Times New Roman" w:hint="eastAsia"/>
                <w:sz w:val="18"/>
                <w:szCs w:val="18"/>
              </w:rPr>
            </w:pPr>
            <w:r w:rsidRPr="0047098D">
              <w:rPr>
                <w:rFonts w:cs="Times New Roman"/>
                <w:sz w:val="18"/>
                <w:szCs w:val="18"/>
              </w:rPr>
              <w:t>Rapports de mise en œuvre de l’AT</w:t>
            </w:r>
          </w:p>
        </w:tc>
      </w:tr>
      <w:tr w:rsidR="00E86E3B" w:rsidRPr="008F4605" w14:paraId="15FA5AAA" w14:textId="77777777" w:rsidTr="00970A79">
        <w:trPr>
          <w:trHeight w:val="353"/>
        </w:trPr>
        <w:tc>
          <w:tcPr>
            <w:tcW w:w="665" w:type="dxa"/>
            <w:vMerge/>
            <w:shd w:val="clear" w:color="auto" w:fill="D9D9D9" w:themeFill="background1" w:themeFillShade="D9"/>
            <w:textDirection w:val="btLr"/>
          </w:tcPr>
          <w:p w14:paraId="32A8C24B" w14:textId="77777777" w:rsidR="00E86E3B" w:rsidRPr="00586A44" w:rsidRDefault="00E86E3B" w:rsidP="00970A79">
            <w:pPr>
              <w:tabs>
                <w:tab w:val="left" w:pos="0"/>
                <w:tab w:val="left" w:pos="132"/>
              </w:tabs>
              <w:ind w:left="113" w:right="113" w:hanging="101"/>
              <w:jc w:val="center"/>
              <w:rPr>
                <w:rFonts w:hint="eastAsia"/>
                <w:b/>
                <w:i w:val="0"/>
                <w:sz w:val="18"/>
                <w:szCs w:val="18"/>
              </w:rPr>
            </w:pPr>
          </w:p>
        </w:tc>
        <w:tc>
          <w:tcPr>
            <w:tcW w:w="3158" w:type="dxa"/>
            <w:tcBorders>
              <w:bottom w:val="single" w:sz="4" w:space="0" w:color="auto"/>
              <w:right w:val="single" w:sz="4" w:space="0" w:color="auto"/>
            </w:tcBorders>
            <w:shd w:val="clear" w:color="auto" w:fill="FFFFFF" w:themeFill="background1"/>
          </w:tcPr>
          <w:p w14:paraId="0F328AF2" w14:textId="77777777" w:rsidR="00E86E3B" w:rsidRPr="00106DF8" w:rsidRDefault="00E86E3B" w:rsidP="00970A79">
            <w:pPr>
              <w:tabs>
                <w:tab w:val="left" w:pos="0"/>
                <w:tab w:val="left" w:pos="132"/>
              </w:tabs>
              <w:rPr>
                <w:rFonts w:cs="Times New Roman" w:hint="eastAsia"/>
                <w:b/>
                <w:sz w:val="18"/>
                <w:szCs w:val="18"/>
              </w:rPr>
            </w:pPr>
            <w:r w:rsidRPr="00106DF8">
              <w:rPr>
                <w:rFonts w:cs="Times New Roman"/>
                <w:b/>
                <w:sz w:val="18"/>
                <w:szCs w:val="18"/>
              </w:rPr>
              <w:t>3.2. Produit 2 lié à la réalisation n°3</w:t>
            </w:r>
          </w:p>
          <w:p w14:paraId="21091545" w14:textId="77777777" w:rsidR="00E86E3B" w:rsidRPr="00106DF8" w:rsidRDefault="00E86E3B" w:rsidP="00970A79">
            <w:pPr>
              <w:tabs>
                <w:tab w:val="left" w:pos="0"/>
                <w:tab w:val="left" w:pos="132"/>
              </w:tabs>
              <w:rPr>
                <w:rFonts w:eastAsia="Calibri" w:cs="Times New Roman"/>
                <w:sz w:val="18"/>
                <w:szCs w:val="18"/>
              </w:rPr>
            </w:pPr>
            <w:r w:rsidRPr="00313ECC">
              <w:rPr>
                <w:rFonts w:eastAsia="Calibri"/>
                <w:sz w:val="18"/>
                <w:szCs w:val="18"/>
              </w:rPr>
              <w:t xml:space="preserve">Les </w:t>
            </w:r>
            <w:r>
              <w:rPr>
                <w:rFonts w:eastAsia="Calibri"/>
                <w:sz w:val="18"/>
                <w:szCs w:val="18"/>
              </w:rPr>
              <w:t>T/PME</w:t>
            </w:r>
            <w:r w:rsidRPr="00313ECC">
              <w:rPr>
                <w:rFonts w:eastAsia="Calibri"/>
                <w:sz w:val="18"/>
                <w:szCs w:val="18"/>
              </w:rPr>
              <w:t xml:space="preserve"> non bancarisées dans les gouvernorats de l'intérieur renforcent leurs capacités techniques à solliciter un prêt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81CA1C" w14:textId="77777777" w:rsidR="00E86E3B" w:rsidRPr="00106DF8" w:rsidRDefault="00E86E3B" w:rsidP="00970A79">
            <w:pPr>
              <w:autoSpaceDE w:val="0"/>
              <w:autoSpaceDN w:val="0"/>
              <w:adjustRightInd w:val="0"/>
              <w:jc w:val="left"/>
              <w:rPr>
                <w:rFonts w:cs="Times New Roman" w:hint="eastAsia"/>
                <w:sz w:val="18"/>
                <w:szCs w:val="18"/>
                <w:u w:val="single"/>
              </w:rPr>
            </w:pPr>
            <w:r>
              <w:rPr>
                <w:rFonts w:cs="Times New Roman"/>
                <w:sz w:val="18"/>
                <w:szCs w:val="18"/>
              </w:rPr>
              <w:t>3</w:t>
            </w:r>
            <w:r w:rsidRPr="00106DF8">
              <w:rPr>
                <w:rFonts w:cs="Times New Roman"/>
                <w:sz w:val="18"/>
                <w:szCs w:val="18"/>
              </w:rPr>
              <w:t>.2</w:t>
            </w:r>
            <w:r>
              <w:rPr>
                <w:rFonts w:cs="Times New Roman"/>
                <w:sz w:val="18"/>
                <w:szCs w:val="18"/>
              </w:rPr>
              <w:t xml:space="preserve"> </w:t>
            </w:r>
            <w:r w:rsidRPr="00DF7E31">
              <w:rPr>
                <w:rFonts w:eastAsia="Calibri"/>
                <w:sz w:val="18"/>
                <w:szCs w:val="18"/>
              </w:rPr>
              <w:t xml:space="preserve">Au moins 50% de </w:t>
            </w:r>
            <w:r>
              <w:rPr>
                <w:rFonts w:eastAsia="Calibri"/>
                <w:sz w:val="18"/>
                <w:szCs w:val="18"/>
              </w:rPr>
              <w:t>T/</w:t>
            </w:r>
            <w:r w:rsidRPr="00DF7E31">
              <w:rPr>
                <w:rFonts w:eastAsia="Calibri"/>
                <w:sz w:val="18"/>
                <w:szCs w:val="18"/>
              </w:rPr>
              <w:t>PME non bancarisées et TPE accompagnées par les SAE via le guichet « one stop shop » sollicitent un prêt bancaire, définir avec les SAE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339067"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A définir via l’étude référence, si les partenaires fournissent déjà cet appui.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F379F8C"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Cible à définir avec les experts recrutés sur le projet</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F0BFCA" w14:textId="77777777" w:rsidR="00E86E3B" w:rsidRPr="00586A44" w:rsidRDefault="00E86E3B" w:rsidP="00970A79">
            <w:pPr>
              <w:rPr>
                <w:rFonts w:cs="Times New Roman" w:hint="eastAsia"/>
                <w:sz w:val="18"/>
                <w:szCs w:val="18"/>
              </w:rPr>
            </w:pPr>
            <w:r w:rsidRPr="0047098D">
              <w:rPr>
                <w:rFonts w:cs="Times New Roman"/>
                <w:sz w:val="18"/>
                <w:szCs w:val="18"/>
              </w:rPr>
              <w:t>Rapports de mise en œuvre de l’AT</w:t>
            </w:r>
          </w:p>
        </w:tc>
      </w:tr>
      <w:tr w:rsidR="00E86E3B" w:rsidRPr="008F4605" w14:paraId="683AA0CC" w14:textId="77777777" w:rsidTr="00970A79">
        <w:trPr>
          <w:trHeight w:val="353"/>
        </w:trPr>
        <w:tc>
          <w:tcPr>
            <w:tcW w:w="665" w:type="dxa"/>
            <w:vMerge/>
            <w:shd w:val="clear" w:color="auto" w:fill="D9D9D9" w:themeFill="background1" w:themeFillShade="D9"/>
            <w:textDirection w:val="btLr"/>
          </w:tcPr>
          <w:p w14:paraId="4074DAAA" w14:textId="77777777" w:rsidR="00E86E3B" w:rsidRPr="00586A44" w:rsidRDefault="00E86E3B" w:rsidP="00970A79">
            <w:pPr>
              <w:tabs>
                <w:tab w:val="left" w:pos="0"/>
                <w:tab w:val="left" w:pos="132"/>
              </w:tabs>
              <w:ind w:left="113" w:right="113" w:hanging="101"/>
              <w:jc w:val="center"/>
              <w:rPr>
                <w:rFonts w:hint="eastAsia"/>
                <w:b/>
                <w:i w:val="0"/>
                <w:sz w:val="18"/>
                <w:szCs w:val="18"/>
              </w:rPr>
            </w:pPr>
          </w:p>
        </w:tc>
        <w:tc>
          <w:tcPr>
            <w:tcW w:w="3158" w:type="dxa"/>
            <w:tcBorders>
              <w:bottom w:val="single" w:sz="4" w:space="0" w:color="auto"/>
              <w:right w:val="single" w:sz="4" w:space="0" w:color="auto"/>
            </w:tcBorders>
            <w:shd w:val="clear" w:color="auto" w:fill="FFFFFF" w:themeFill="background1"/>
          </w:tcPr>
          <w:p w14:paraId="5DF57A5B" w14:textId="77777777" w:rsidR="00E86E3B" w:rsidRPr="00106DF8" w:rsidRDefault="00E86E3B" w:rsidP="00970A79">
            <w:pPr>
              <w:tabs>
                <w:tab w:val="left" w:pos="0"/>
                <w:tab w:val="left" w:pos="132"/>
              </w:tabs>
              <w:rPr>
                <w:rFonts w:cs="Times New Roman" w:hint="eastAsia"/>
                <w:b/>
                <w:sz w:val="18"/>
                <w:szCs w:val="18"/>
              </w:rPr>
            </w:pPr>
            <w:r w:rsidRPr="00106DF8">
              <w:rPr>
                <w:rFonts w:cs="Times New Roman"/>
                <w:b/>
                <w:sz w:val="18"/>
                <w:szCs w:val="18"/>
              </w:rPr>
              <w:t>3.3. Produit 3 lié à la réalisation n°3</w:t>
            </w:r>
          </w:p>
          <w:p w14:paraId="2D63E3A7" w14:textId="77777777" w:rsidR="00E86E3B" w:rsidRPr="00106DF8" w:rsidRDefault="00E86E3B" w:rsidP="00970A79">
            <w:pPr>
              <w:tabs>
                <w:tab w:val="left" w:pos="0"/>
                <w:tab w:val="left" w:pos="132"/>
              </w:tabs>
              <w:rPr>
                <w:rFonts w:eastAsia="Calibri" w:cs="Times New Roman"/>
                <w:color w:val="0D0D0D"/>
                <w:sz w:val="18"/>
                <w:szCs w:val="18"/>
              </w:rPr>
            </w:pPr>
            <w:r w:rsidRPr="00313ECC">
              <w:rPr>
                <w:rFonts w:eastAsia="Calibri"/>
                <w:color w:val="0D0D0D"/>
                <w:sz w:val="18"/>
                <w:szCs w:val="18"/>
              </w:rPr>
              <w:t xml:space="preserve">Les </w:t>
            </w:r>
            <w:r>
              <w:rPr>
                <w:rFonts w:eastAsia="Calibri"/>
                <w:color w:val="0D0D0D"/>
                <w:sz w:val="18"/>
                <w:szCs w:val="18"/>
              </w:rPr>
              <w:t>T/PME</w:t>
            </w:r>
            <w:r w:rsidRPr="00313ECC">
              <w:rPr>
                <w:rFonts w:eastAsia="Calibri"/>
                <w:color w:val="0D0D0D"/>
                <w:sz w:val="18"/>
                <w:szCs w:val="18"/>
              </w:rPr>
              <w:t xml:space="preserve"> non bancarisées dans les gouvernorats de l'intérieur reçoivent des </w:t>
            </w:r>
            <w:r>
              <w:rPr>
                <w:rFonts w:eastAsia="Calibri"/>
                <w:color w:val="0D0D0D"/>
                <w:sz w:val="18"/>
                <w:szCs w:val="18"/>
              </w:rPr>
              <w:t>financements alternatifs</w:t>
            </w:r>
            <w:r w:rsidRPr="00313ECC">
              <w:rPr>
                <w:rFonts w:eastAsia="Calibri"/>
                <w:color w:val="0D0D0D"/>
                <w:sz w:val="18"/>
                <w:szCs w:val="18"/>
              </w:rPr>
              <w:t xml:space="preserve"> de la part des SAE afin de constituer les fonds propres nécessaires à un prêt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215B67" w14:textId="77777777" w:rsidR="00E86E3B" w:rsidRPr="00106DF8" w:rsidRDefault="00E86E3B" w:rsidP="00970A79">
            <w:pPr>
              <w:autoSpaceDE w:val="0"/>
              <w:autoSpaceDN w:val="0"/>
              <w:adjustRightInd w:val="0"/>
              <w:jc w:val="left"/>
              <w:rPr>
                <w:rFonts w:cs="Times New Roman" w:hint="eastAsia"/>
                <w:sz w:val="18"/>
                <w:szCs w:val="18"/>
              </w:rPr>
            </w:pPr>
            <w:r>
              <w:rPr>
                <w:rFonts w:cs="Times New Roman"/>
                <w:sz w:val="18"/>
                <w:szCs w:val="18"/>
              </w:rPr>
              <w:t>3</w:t>
            </w:r>
            <w:r w:rsidRPr="00106DF8">
              <w:rPr>
                <w:rFonts w:cs="Times New Roman"/>
                <w:sz w:val="18"/>
                <w:szCs w:val="18"/>
              </w:rPr>
              <w:t>.3</w:t>
            </w:r>
            <w:r w:rsidRPr="00DF7E31">
              <w:rPr>
                <w:rFonts w:eastAsia="Calibri"/>
                <w:color w:val="0D0D0D"/>
                <w:sz w:val="18"/>
                <w:szCs w:val="18"/>
              </w:rPr>
              <w:t xml:space="preserve"> Nombre de TPE et porteurs de projets bénéficiaires d’</w:t>
            </w:r>
            <w:r>
              <w:rPr>
                <w:rFonts w:eastAsia="Calibri"/>
                <w:color w:val="0D0D0D"/>
                <w:sz w:val="18"/>
                <w:szCs w:val="18"/>
              </w:rPr>
              <w:t>un financement alternatif</w:t>
            </w:r>
            <w:r w:rsidRPr="00DF7E31">
              <w:rPr>
                <w:rFonts w:eastAsia="Calibri"/>
                <w:color w:val="0D0D0D"/>
                <w:sz w:val="18"/>
                <w:szCs w:val="18"/>
              </w:rPr>
              <w:t xml:space="preserve"> (désagrégé par genre)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6BC612C"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A définir via l’étude référence, si les partenaires fournissent déjà cet appui.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E8BE69"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Cible à définir avec les experts recrutés sur le projet</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DD8B6C" w14:textId="77777777" w:rsidR="00E86E3B" w:rsidRPr="00586A44" w:rsidRDefault="00E86E3B" w:rsidP="00970A79">
            <w:pPr>
              <w:rPr>
                <w:rFonts w:cs="Times New Roman" w:hint="eastAsia"/>
                <w:sz w:val="18"/>
                <w:szCs w:val="18"/>
              </w:rPr>
            </w:pPr>
            <w:r w:rsidRPr="0047098D">
              <w:rPr>
                <w:rFonts w:cs="Times New Roman"/>
                <w:sz w:val="18"/>
                <w:szCs w:val="18"/>
              </w:rPr>
              <w:t>Rapports de mise en œuvre de l’AT</w:t>
            </w:r>
          </w:p>
        </w:tc>
      </w:tr>
      <w:tr w:rsidR="00E86E3B" w:rsidRPr="008F4605" w14:paraId="6E4A2843" w14:textId="77777777" w:rsidTr="00970A79">
        <w:trPr>
          <w:trHeight w:val="353"/>
        </w:trPr>
        <w:tc>
          <w:tcPr>
            <w:tcW w:w="665" w:type="dxa"/>
            <w:vMerge/>
            <w:shd w:val="clear" w:color="auto" w:fill="D9D9D9" w:themeFill="background1" w:themeFillShade="D9"/>
            <w:textDirection w:val="btLr"/>
          </w:tcPr>
          <w:p w14:paraId="2C37A7E6" w14:textId="77777777" w:rsidR="00E86E3B" w:rsidRPr="00586A44" w:rsidRDefault="00E86E3B" w:rsidP="00970A79">
            <w:pPr>
              <w:tabs>
                <w:tab w:val="left" w:pos="0"/>
                <w:tab w:val="left" w:pos="132"/>
              </w:tabs>
              <w:ind w:left="113" w:right="113" w:hanging="101"/>
              <w:jc w:val="center"/>
              <w:rPr>
                <w:rFonts w:hint="eastAsia"/>
                <w:b/>
                <w:i w:val="0"/>
                <w:sz w:val="18"/>
                <w:szCs w:val="18"/>
              </w:rPr>
            </w:pPr>
          </w:p>
        </w:tc>
        <w:tc>
          <w:tcPr>
            <w:tcW w:w="3158" w:type="dxa"/>
            <w:tcBorders>
              <w:bottom w:val="single" w:sz="4" w:space="0" w:color="auto"/>
              <w:right w:val="single" w:sz="4" w:space="0" w:color="auto"/>
            </w:tcBorders>
            <w:shd w:val="clear" w:color="auto" w:fill="FFFFFF" w:themeFill="background1"/>
          </w:tcPr>
          <w:p w14:paraId="6E30EAB5" w14:textId="77777777" w:rsidR="00E86E3B" w:rsidRPr="00106DF8" w:rsidRDefault="00E86E3B" w:rsidP="00970A79">
            <w:pPr>
              <w:tabs>
                <w:tab w:val="left" w:pos="0"/>
                <w:tab w:val="left" w:pos="132"/>
              </w:tabs>
              <w:rPr>
                <w:rFonts w:cs="Times New Roman" w:hint="eastAsia"/>
                <w:b/>
                <w:sz w:val="18"/>
                <w:szCs w:val="18"/>
              </w:rPr>
            </w:pPr>
            <w:r>
              <w:rPr>
                <w:rFonts w:cs="Times New Roman"/>
                <w:b/>
                <w:sz w:val="18"/>
                <w:szCs w:val="18"/>
              </w:rPr>
              <w:t xml:space="preserve">3.4. </w:t>
            </w:r>
            <w:r w:rsidRPr="00106DF8">
              <w:rPr>
                <w:rFonts w:cs="Times New Roman"/>
                <w:b/>
                <w:sz w:val="18"/>
                <w:szCs w:val="18"/>
              </w:rPr>
              <w:t>Produit 4 lié à la réalisation n°4</w:t>
            </w:r>
          </w:p>
          <w:p w14:paraId="65A91EE2" w14:textId="77777777" w:rsidR="00E86E3B" w:rsidRPr="00106DF8" w:rsidRDefault="00E86E3B" w:rsidP="00970A79">
            <w:pPr>
              <w:tabs>
                <w:tab w:val="left" w:pos="0"/>
                <w:tab w:val="left" w:pos="132"/>
              </w:tabs>
              <w:rPr>
                <w:rFonts w:eastAsia="Calibri" w:cs="Times New Roman"/>
                <w:sz w:val="18"/>
                <w:szCs w:val="18"/>
              </w:rPr>
            </w:pPr>
            <w:r w:rsidRPr="00106DF8">
              <w:rPr>
                <w:rFonts w:cs="Times New Roman"/>
                <w:sz w:val="18"/>
                <w:szCs w:val="18"/>
              </w:rPr>
              <w:t xml:space="preserve">Les entrepreneurs et porteurs de projets hors Grand Tunis sollicitent l'accompagnement des SAE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412AB21" w14:textId="77777777" w:rsidR="00E86E3B" w:rsidRPr="00106DF8" w:rsidRDefault="00E86E3B" w:rsidP="00970A79">
            <w:pPr>
              <w:autoSpaceDE w:val="0"/>
              <w:autoSpaceDN w:val="0"/>
              <w:adjustRightInd w:val="0"/>
              <w:jc w:val="left"/>
              <w:rPr>
                <w:rFonts w:cs="Times New Roman" w:hint="eastAsia"/>
                <w:sz w:val="18"/>
                <w:szCs w:val="18"/>
              </w:rPr>
            </w:pPr>
            <w:r>
              <w:rPr>
                <w:rFonts w:cs="Times New Roman"/>
                <w:sz w:val="18"/>
                <w:szCs w:val="18"/>
              </w:rPr>
              <w:t>3</w:t>
            </w:r>
            <w:r w:rsidRPr="00106DF8">
              <w:rPr>
                <w:rFonts w:cs="Times New Roman"/>
                <w:sz w:val="18"/>
                <w:szCs w:val="18"/>
              </w:rPr>
              <w:t>.4 Nombre de TPE inscrites aux SAE désagrégé par gouvernorats et par canal de sensibilisation</w:t>
            </w:r>
            <w:r>
              <w:rPr>
                <w:rFonts w:cs="Times New Roman"/>
                <w:sz w:val="18"/>
                <w:szCs w:val="18"/>
              </w:rPr>
              <w:t xml:space="preserve"> (désagrégé par genre)</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3BE175"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A définir via l’étude référence, si les partenaires fournissent déjà cet appui.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4548DA" w14:textId="77777777" w:rsidR="00E86E3B" w:rsidRPr="00106DF8" w:rsidRDefault="00E86E3B" w:rsidP="00970A79">
            <w:pPr>
              <w:autoSpaceDE w:val="0"/>
              <w:autoSpaceDN w:val="0"/>
              <w:adjustRightInd w:val="0"/>
              <w:jc w:val="left"/>
              <w:rPr>
                <w:rFonts w:cs="Times New Roman" w:hint="eastAsia"/>
                <w:sz w:val="18"/>
                <w:szCs w:val="18"/>
              </w:rPr>
            </w:pPr>
            <w:r w:rsidRPr="00106DF8">
              <w:rPr>
                <w:rFonts w:cs="Times New Roman"/>
                <w:sz w:val="18"/>
                <w:szCs w:val="18"/>
              </w:rPr>
              <w:t>Cible à définir avec les experts recrutés sur le projet</w:t>
            </w:r>
          </w:p>
        </w:tc>
        <w:tc>
          <w:tcPr>
            <w:tcW w:w="26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08BD11" w14:textId="77777777" w:rsidR="00E86E3B" w:rsidRPr="00586A44" w:rsidRDefault="00E86E3B" w:rsidP="00970A79">
            <w:pPr>
              <w:rPr>
                <w:rFonts w:cs="Times New Roman" w:hint="eastAsia"/>
                <w:sz w:val="18"/>
                <w:szCs w:val="18"/>
              </w:rPr>
            </w:pPr>
            <w:r w:rsidRPr="0047098D">
              <w:rPr>
                <w:rFonts w:cs="Times New Roman"/>
                <w:sz w:val="18"/>
                <w:szCs w:val="18"/>
              </w:rPr>
              <w:t>Rapports de mise en œuvre de l’AT</w:t>
            </w:r>
          </w:p>
        </w:tc>
      </w:tr>
    </w:tbl>
    <w:p w14:paraId="2DF7928B" w14:textId="77777777" w:rsidR="00E86E3B" w:rsidRDefault="00E86E3B" w:rsidP="00E86E3B">
      <w:pPr>
        <w:tabs>
          <w:tab w:val="clear" w:pos="9923"/>
        </w:tabs>
        <w:spacing w:after="200"/>
        <w:ind w:left="0"/>
        <w:jc w:val="left"/>
        <w:rPr>
          <w:rFonts w:hint="eastAsia"/>
          <w:i w:val="0"/>
          <w:color w:val="FFFFFF" w:themeColor="background1"/>
        </w:rPr>
      </w:pPr>
    </w:p>
    <w:p w14:paraId="0DBDB03F" w14:textId="77777777" w:rsidR="00E86E3B" w:rsidRDefault="00E86E3B" w:rsidP="00E86E3B">
      <w:pPr>
        <w:tabs>
          <w:tab w:val="clear" w:pos="9923"/>
        </w:tabs>
        <w:spacing w:line="276" w:lineRule="auto"/>
        <w:contextualSpacing/>
        <w:rPr>
          <w:rFonts w:cstheme="minorHAnsi" w:hint="eastAsia"/>
          <w:bCs/>
          <w:i w:val="0"/>
        </w:rPr>
      </w:pPr>
    </w:p>
    <w:p w14:paraId="3DA3DC59" w14:textId="0F5910CB" w:rsidR="006972C9" w:rsidRPr="006972C9" w:rsidRDefault="006972C9" w:rsidP="006972C9">
      <w:pPr>
        <w:ind w:left="0"/>
        <w:rPr>
          <w:rFonts w:hint="eastAsia"/>
          <w:i w:val="0"/>
        </w:rPr>
      </w:pPr>
    </w:p>
    <w:sectPr w:rsidR="006972C9" w:rsidRPr="006972C9" w:rsidSect="00C11C73">
      <w:pgSz w:w="16840" w:h="11900" w:orient="landscape"/>
      <w:pgMar w:top="992" w:right="1134" w:bottom="1127" w:left="113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B672" w14:textId="77777777" w:rsidR="002A7A6E" w:rsidRDefault="002A7A6E" w:rsidP="0082361C">
      <w:pPr>
        <w:rPr>
          <w:rFonts w:hint="eastAsia"/>
        </w:rPr>
      </w:pPr>
      <w:r>
        <w:separator/>
      </w:r>
    </w:p>
    <w:p w14:paraId="2D5EE970" w14:textId="77777777" w:rsidR="002A7A6E" w:rsidRDefault="002A7A6E" w:rsidP="0082361C">
      <w:pPr>
        <w:rPr>
          <w:rFonts w:hint="eastAsia"/>
        </w:rPr>
      </w:pPr>
    </w:p>
  </w:endnote>
  <w:endnote w:type="continuationSeparator" w:id="0">
    <w:p w14:paraId="63443A2C" w14:textId="77777777" w:rsidR="002A7A6E" w:rsidRDefault="002A7A6E" w:rsidP="0082361C">
      <w:pPr>
        <w:rPr>
          <w:rFonts w:hint="eastAsia"/>
        </w:rPr>
      </w:pPr>
      <w:r>
        <w:continuationSeparator/>
      </w:r>
    </w:p>
    <w:p w14:paraId="4B7884F2" w14:textId="77777777" w:rsidR="002A7A6E" w:rsidRDefault="002A7A6E" w:rsidP="0082361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970A79" w:rsidRDefault="00970A79" w:rsidP="0082361C">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970A79" w:rsidRDefault="00970A79" w:rsidP="0082361C">
    <w:pPr>
      <w:pStyle w:val="Pieddepag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04A8975D" w:rsidR="00970A79" w:rsidRPr="00D141CE" w:rsidRDefault="00970A79" w:rsidP="0082361C">
    <w:pPr>
      <w:pStyle w:val="Pieddepage"/>
      <w:rPr>
        <w:rFonts w:hint="eastAsia"/>
        <w:i w:val="0"/>
      </w:rPr>
    </w:pPr>
    <w:r>
      <w:tab/>
    </w:r>
    <w:r>
      <w:tab/>
    </w:r>
    <w:r w:rsidRPr="00D141CE">
      <w:rPr>
        <w:i w:val="0"/>
      </w:rPr>
      <w:fldChar w:fldCharType="begin"/>
    </w:r>
    <w:r w:rsidRPr="00D141CE">
      <w:rPr>
        <w:i w:val="0"/>
      </w:rPr>
      <w:instrText>PAGE   \* MERGEFORMAT</w:instrText>
    </w:r>
    <w:r w:rsidRPr="00D141CE">
      <w:rPr>
        <w:i w:val="0"/>
      </w:rPr>
      <w:fldChar w:fldCharType="separate"/>
    </w:r>
    <w:r w:rsidR="002E30BA">
      <w:rPr>
        <w:rFonts w:hint="eastAsia"/>
        <w:i w:val="0"/>
        <w:noProof/>
      </w:rPr>
      <w:t>16</w:t>
    </w:r>
    <w:r w:rsidRPr="00D141CE">
      <w:rPr>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43D5" w14:textId="77777777" w:rsidR="002A7A6E" w:rsidRDefault="002A7A6E" w:rsidP="0082361C">
      <w:pPr>
        <w:rPr>
          <w:rFonts w:hint="eastAsia"/>
        </w:rPr>
      </w:pPr>
      <w:r>
        <w:separator/>
      </w:r>
    </w:p>
    <w:p w14:paraId="52E30870" w14:textId="77777777" w:rsidR="002A7A6E" w:rsidRDefault="002A7A6E" w:rsidP="0082361C">
      <w:pPr>
        <w:rPr>
          <w:rFonts w:hint="eastAsia"/>
        </w:rPr>
      </w:pPr>
    </w:p>
  </w:footnote>
  <w:footnote w:type="continuationSeparator" w:id="0">
    <w:p w14:paraId="0325D9B6" w14:textId="77777777" w:rsidR="002A7A6E" w:rsidRDefault="002A7A6E" w:rsidP="0082361C">
      <w:pPr>
        <w:rPr>
          <w:rFonts w:hint="eastAsia"/>
        </w:rPr>
      </w:pPr>
      <w:r>
        <w:continuationSeparator/>
      </w:r>
    </w:p>
    <w:p w14:paraId="5E1DD33D" w14:textId="77777777" w:rsidR="002A7A6E" w:rsidRDefault="002A7A6E" w:rsidP="0082361C">
      <w:pPr>
        <w:rPr>
          <w:rFonts w:hint="eastAsia"/>
        </w:rPr>
      </w:pPr>
    </w:p>
  </w:footnote>
  <w:footnote w:id="1">
    <w:p w14:paraId="59A16BBC" w14:textId="77777777" w:rsidR="00970A79" w:rsidRDefault="00970A79" w:rsidP="00DC43D0">
      <w:pPr>
        <w:pStyle w:val="Notedebasdepage"/>
        <w:rPr>
          <w:rFonts w:hint="eastAsia"/>
        </w:rPr>
      </w:pPr>
      <w:r>
        <w:rPr>
          <w:rStyle w:val="Appelnotedebasdep"/>
        </w:rPr>
        <w:footnoteRef/>
      </w:r>
      <w:r>
        <w:t xml:space="preserve"> Cadrage géographique à </w:t>
      </w:r>
      <w:r w:rsidRPr="00275785">
        <w:t>établir</w:t>
      </w:r>
      <w:r>
        <w:t xml:space="preserve"> en phase de démarrage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4080D"/>
    <w:multiLevelType w:val="multilevel"/>
    <w:tmpl w:val="1EA8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2F1996"/>
    <w:multiLevelType w:val="hybridMultilevel"/>
    <w:tmpl w:val="C4627C32"/>
    <w:lvl w:ilvl="0" w:tplc="992E2102">
      <w:start w:val="1"/>
      <w:numFmt w:val="decimal"/>
      <w:lvlText w:val="%1)"/>
      <w:lvlJc w:val="left"/>
      <w:pPr>
        <w:tabs>
          <w:tab w:val="num" w:pos="1440"/>
        </w:tabs>
        <w:ind w:left="144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4C71D8"/>
    <w:multiLevelType w:val="hybridMultilevel"/>
    <w:tmpl w:val="0C743B68"/>
    <w:lvl w:ilvl="0" w:tplc="6DF83286">
      <w:start w:val="1"/>
      <w:numFmt w:val="bullet"/>
      <w:pStyle w:val="LISTE"/>
      <w:lvlText w:val=""/>
      <w:lvlJc w:val="left"/>
      <w:pPr>
        <w:ind w:left="794" w:hanging="397"/>
      </w:pPr>
      <w:rPr>
        <w:rFonts w:ascii="Symbol" w:hAnsi="Symbol" w:hint="default"/>
        <w:color w:val="20827A"/>
        <w:position w:val="0"/>
      </w:rPr>
    </w:lvl>
    <w:lvl w:ilvl="1" w:tplc="040C0003">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5"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0EED442B"/>
    <w:multiLevelType w:val="multilevel"/>
    <w:tmpl w:val="C9A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870ED"/>
    <w:multiLevelType w:val="hybridMultilevel"/>
    <w:tmpl w:val="0C543D2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92F4EFE"/>
    <w:multiLevelType w:val="hybridMultilevel"/>
    <w:tmpl w:val="C4627C32"/>
    <w:lvl w:ilvl="0" w:tplc="992E2102">
      <w:start w:val="1"/>
      <w:numFmt w:val="decimal"/>
      <w:lvlText w:val="%1)"/>
      <w:lvlJc w:val="left"/>
      <w:pPr>
        <w:tabs>
          <w:tab w:val="num" w:pos="1440"/>
        </w:tabs>
        <w:ind w:left="144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CA525F"/>
    <w:multiLevelType w:val="hybridMultilevel"/>
    <w:tmpl w:val="051A048C"/>
    <w:lvl w:ilvl="0" w:tplc="E9342808">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2F05E46"/>
    <w:multiLevelType w:val="hybridMultilevel"/>
    <w:tmpl w:val="C4627C32"/>
    <w:lvl w:ilvl="0" w:tplc="992E2102">
      <w:start w:val="1"/>
      <w:numFmt w:val="decimal"/>
      <w:lvlText w:val="%1)"/>
      <w:lvlJc w:val="left"/>
      <w:pPr>
        <w:tabs>
          <w:tab w:val="num" w:pos="1440"/>
        </w:tabs>
        <w:ind w:left="144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20D8"/>
    <w:multiLevelType w:val="hybridMultilevel"/>
    <w:tmpl w:val="B2FCE214"/>
    <w:lvl w:ilvl="0" w:tplc="C832D682">
      <w:numFmt w:val="bullet"/>
      <w:lvlText w:val="-"/>
      <w:lvlJc w:val="left"/>
      <w:pPr>
        <w:ind w:left="720" w:hanging="360"/>
      </w:pPr>
      <w:rPr>
        <w:rFonts w:ascii="Times New Roman" w:eastAsiaTheme="minorHAnsi"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D026BF"/>
    <w:multiLevelType w:val="multilevel"/>
    <w:tmpl w:val="2D3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56C64C7"/>
    <w:multiLevelType w:val="hybridMultilevel"/>
    <w:tmpl w:val="4F5A8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94DDA"/>
    <w:multiLevelType w:val="multilevel"/>
    <w:tmpl w:val="040C001F"/>
    <w:numStyleLink w:val="111111"/>
  </w:abstractNum>
  <w:abstractNum w:abstractNumId="21"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60240786"/>
    <w:multiLevelType w:val="multilevel"/>
    <w:tmpl w:val="86FA8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DF374B"/>
    <w:multiLevelType w:val="hybridMultilevel"/>
    <w:tmpl w:val="CCBCD70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1BA47E7"/>
    <w:multiLevelType w:val="multilevel"/>
    <w:tmpl w:val="62AE2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06F58"/>
    <w:multiLevelType w:val="multilevel"/>
    <w:tmpl w:val="B78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C0A91"/>
    <w:multiLevelType w:val="hybridMultilevel"/>
    <w:tmpl w:val="051A048C"/>
    <w:lvl w:ilvl="0" w:tplc="E9342808">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EA24F90"/>
    <w:multiLevelType w:val="hybridMultilevel"/>
    <w:tmpl w:val="051A048C"/>
    <w:lvl w:ilvl="0" w:tplc="E9342808">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0"/>
    <w:lvlOverride w:ilvl="0">
      <w:lvl w:ilvl="0">
        <w:start w:val="1"/>
        <w:numFmt w:val="decimal"/>
        <w:pStyle w:val="EXP-Titre1"/>
        <w:lvlText w:val="%1."/>
        <w:lvlJc w:val="left"/>
        <w:pPr>
          <w:ind w:left="360" w:hanging="360"/>
        </w:pPr>
        <w:rPr>
          <w:b/>
          <w:color w:val="004979"/>
        </w:rPr>
      </w:lvl>
    </w:lvlOverride>
  </w:num>
  <w:num w:numId="3">
    <w:abstractNumId w:val="15"/>
  </w:num>
  <w:num w:numId="4">
    <w:abstractNumId w:val="17"/>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25"/>
  </w:num>
  <w:num w:numId="11">
    <w:abstractNumId w:val="19"/>
  </w:num>
  <w:num w:numId="12">
    <w:abstractNumId w:val="29"/>
  </w:num>
  <w:num w:numId="13">
    <w:abstractNumId w:val="5"/>
  </w:num>
  <w:num w:numId="14">
    <w:abstractNumId w:val="18"/>
  </w:num>
  <w:num w:numId="15">
    <w:abstractNumId w:val="13"/>
  </w:num>
  <w:num w:numId="16">
    <w:abstractNumId w:val="24"/>
  </w:num>
  <w:num w:numId="17">
    <w:abstractNumId w:val="23"/>
  </w:num>
  <w:num w:numId="18">
    <w:abstractNumId w:val="4"/>
  </w:num>
  <w:num w:numId="19">
    <w:abstractNumId w:val="16"/>
  </w:num>
  <w:num w:numId="20">
    <w:abstractNumId w:val="11"/>
  </w:num>
  <w:num w:numId="21">
    <w:abstractNumId w:val="28"/>
  </w:num>
  <w:num w:numId="22">
    <w:abstractNumId w:val="8"/>
  </w:num>
  <w:num w:numId="23">
    <w:abstractNumId w:val="27"/>
  </w:num>
  <w:num w:numId="24">
    <w:abstractNumId w:val="7"/>
  </w:num>
  <w:num w:numId="25">
    <w:abstractNumId w:val="1"/>
  </w:num>
  <w:num w:numId="26">
    <w:abstractNumId w:val="26"/>
  </w:num>
  <w:num w:numId="27">
    <w:abstractNumId w:val="12"/>
  </w:num>
  <w:num w:numId="28">
    <w:abstractNumId w:val="3"/>
  </w:num>
  <w:num w:numId="29">
    <w:abstractNumId w:val="9"/>
  </w:num>
  <w:num w:numId="30">
    <w:abstractNumId w:val="22"/>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11C79"/>
    <w:rsid w:val="0001285F"/>
    <w:rsid w:val="00012A27"/>
    <w:rsid w:val="0001352C"/>
    <w:rsid w:val="00014C3F"/>
    <w:rsid w:val="00022542"/>
    <w:rsid w:val="00034C79"/>
    <w:rsid w:val="00037106"/>
    <w:rsid w:val="000435EB"/>
    <w:rsid w:val="00044487"/>
    <w:rsid w:val="00047E92"/>
    <w:rsid w:val="00053227"/>
    <w:rsid w:val="00065F20"/>
    <w:rsid w:val="00090C70"/>
    <w:rsid w:val="000913DF"/>
    <w:rsid w:val="00092246"/>
    <w:rsid w:val="000A0947"/>
    <w:rsid w:val="000B3B4F"/>
    <w:rsid w:val="000B3C84"/>
    <w:rsid w:val="000C0724"/>
    <w:rsid w:val="000D1F95"/>
    <w:rsid w:val="000D2AEF"/>
    <w:rsid w:val="000E098A"/>
    <w:rsid w:val="000E25DF"/>
    <w:rsid w:val="000E72F3"/>
    <w:rsid w:val="000E794F"/>
    <w:rsid w:val="000F1641"/>
    <w:rsid w:val="000F17CF"/>
    <w:rsid w:val="000F1E88"/>
    <w:rsid w:val="000F510F"/>
    <w:rsid w:val="000F58D2"/>
    <w:rsid w:val="000F6F34"/>
    <w:rsid w:val="0010002F"/>
    <w:rsid w:val="00105090"/>
    <w:rsid w:val="0012164C"/>
    <w:rsid w:val="00123E28"/>
    <w:rsid w:val="00124F71"/>
    <w:rsid w:val="001421F5"/>
    <w:rsid w:val="00142D81"/>
    <w:rsid w:val="00143417"/>
    <w:rsid w:val="00144FDA"/>
    <w:rsid w:val="0015665A"/>
    <w:rsid w:val="00157F5E"/>
    <w:rsid w:val="00162C6A"/>
    <w:rsid w:val="00167599"/>
    <w:rsid w:val="001737A8"/>
    <w:rsid w:val="00180DA2"/>
    <w:rsid w:val="00191A71"/>
    <w:rsid w:val="001A1379"/>
    <w:rsid w:val="001E5CE3"/>
    <w:rsid w:val="001E797C"/>
    <w:rsid w:val="001F6CF9"/>
    <w:rsid w:val="00204F9E"/>
    <w:rsid w:val="00210910"/>
    <w:rsid w:val="00213274"/>
    <w:rsid w:val="002142C8"/>
    <w:rsid w:val="00216DC0"/>
    <w:rsid w:val="002177FA"/>
    <w:rsid w:val="00226149"/>
    <w:rsid w:val="00234FCE"/>
    <w:rsid w:val="0023669A"/>
    <w:rsid w:val="002372DF"/>
    <w:rsid w:val="002434CD"/>
    <w:rsid w:val="0024421A"/>
    <w:rsid w:val="00245E4F"/>
    <w:rsid w:val="002614DF"/>
    <w:rsid w:val="002730C7"/>
    <w:rsid w:val="002A0BA9"/>
    <w:rsid w:val="002A47F6"/>
    <w:rsid w:val="002A7548"/>
    <w:rsid w:val="002A7A6E"/>
    <w:rsid w:val="002B369E"/>
    <w:rsid w:val="002B3B8C"/>
    <w:rsid w:val="002B426F"/>
    <w:rsid w:val="002C0695"/>
    <w:rsid w:val="002C4244"/>
    <w:rsid w:val="002C6EF4"/>
    <w:rsid w:val="002C7B1C"/>
    <w:rsid w:val="002D6031"/>
    <w:rsid w:val="002E1DFD"/>
    <w:rsid w:val="002E30BA"/>
    <w:rsid w:val="002F1DBC"/>
    <w:rsid w:val="002F44EB"/>
    <w:rsid w:val="00302C46"/>
    <w:rsid w:val="003074C8"/>
    <w:rsid w:val="00307E66"/>
    <w:rsid w:val="0031395F"/>
    <w:rsid w:val="00315A75"/>
    <w:rsid w:val="0032298B"/>
    <w:rsid w:val="00345E08"/>
    <w:rsid w:val="0035361D"/>
    <w:rsid w:val="00355507"/>
    <w:rsid w:val="00362538"/>
    <w:rsid w:val="00364005"/>
    <w:rsid w:val="00365020"/>
    <w:rsid w:val="0038702F"/>
    <w:rsid w:val="00394696"/>
    <w:rsid w:val="00397F25"/>
    <w:rsid w:val="003B0BEA"/>
    <w:rsid w:val="003B2488"/>
    <w:rsid w:val="003B7DA3"/>
    <w:rsid w:val="003C1C5D"/>
    <w:rsid w:val="003C31EB"/>
    <w:rsid w:val="003C799F"/>
    <w:rsid w:val="003D2A70"/>
    <w:rsid w:val="003D3A19"/>
    <w:rsid w:val="003D7005"/>
    <w:rsid w:val="003E42F7"/>
    <w:rsid w:val="003F5234"/>
    <w:rsid w:val="003F586D"/>
    <w:rsid w:val="003F72D4"/>
    <w:rsid w:val="004040DA"/>
    <w:rsid w:val="00404706"/>
    <w:rsid w:val="00405F29"/>
    <w:rsid w:val="00412B83"/>
    <w:rsid w:val="00413FEC"/>
    <w:rsid w:val="0041675E"/>
    <w:rsid w:val="00417294"/>
    <w:rsid w:val="00420926"/>
    <w:rsid w:val="004249A2"/>
    <w:rsid w:val="00424A9C"/>
    <w:rsid w:val="00424EF6"/>
    <w:rsid w:val="00425E9D"/>
    <w:rsid w:val="00433289"/>
    <w:rsid w:val="004336E3"/>
    <w:rsid w:val="00436024"/>
    <w:rsid w:val="004365BE"/>
    <w:rsid w:val="00441384"/>
    <w:rsid w:val="0044142E"/>
    <w:rsid w:val="00445FD1"/>
    <w:rsid w:val="00446B21"/>
    <w:rsid w:val="00452BA3"/>
    <w:rsid w:val="00456738"/>
    <w:rsid w:val="00461A9E"/>
    <w:rsid w:val="0046636D"/>
    <w:rsid w:val="0047644F"/>
    <w:rsid w:val="004771C5"/>
    <w:rsid w:val="00480278"/>
    <w:rsid w:val="004811AE"/>
    <w:rsid w:val="00483F46"/>
    <w:rsid w:val="00485CA7"/>
    <w:rsid w:val="00493D47"/>
    <w:rsid w:val="004A06EC"/>
    <w:rsid w:val="004A24F9"/>
    <w:rsid w:val="004B77CE"/>
    <w:rsid w:val="004C5D8E"/>
    <w:rsid w:val="004D4E41"/>
    <w:rsid w:val="004D6128"/>
    <w:rsid w:val="004D61A9"/>
    <w:rsid w:val="004E3ACE"/>
    <w:rsid w:val="004E50DD"/>
    <w:rsid w:val="004F006A"/>
    <w:rsid w:val="004F2806"/>
    <w:rsid w:val="004F2A4C"/>
    <w:rsid w:val="00507913"/>
    <w:rsid w:val="0051225A"/>
    <w:rsid w:val="0051662A"/>
    <w:rsid w:val="00523F65"/>
    <w:rsid w:val="0052793C"/>
    <w:rsid w:val="00541CA4"/>
    <w:rsid w:val="0054260F"/>
    <w:rsid w:val="005528CF"/>
    <w:rsid w:val="00552E00"/>
    <w:rsid w:val="00555BA7"/>
    <w:rsid w:val="005561B8"/>
    <w:rsid w:val="00562C0B"/>
    <w:rsid w:val="005633A9"/>
    <w:rsid w:val="00566074"/>
    <w:rsid w:val="00566A2A"/>
    <w:rsid w:val="00570F96"/>
    <w:rsid w:val="00573193"/>
    <w:rsid w:val="00574828"/>
    <w:rsid w:val="00575180"/>
    <w:rsid w:val="00577056"/>
    <w:rsid w:val="005778D5"/>
    <w:rsid w:val="00580E8E"/>
    <w:rsid w:val="005811AC"/>
    <w:rsid w:val="0058416C"/>
    <w:rsid w:val="005848A5"/>
    <w:rsid w:val="00591528"/>
    <w:rsid w:val="00592A70"/>
    <w:rsid w:val="005B12BF"/>
    <w:rsid w:val="005B400A"/>
    <w:rsid w:val="005C1730"/>
    <w:rsid w:val="005C30F2"/>
    <w:rsid w:val="005C4CCB"/>
    <w:rsid w:val="005C5803"/>
    <w:rsid w:val="005C6834"/>
    <w:rsid w:val="005D334C"/>
    <w:rsid w:val="005D3BFB"/>
    <w:rsid w:val="005D3DAF"/>
    <w:rsid w:val="005E5928"/>
    <w:rsid w:val="005E7798"/>
    <w:rsid w:val="006006FB"/>
    <w:rsid w:val="00607E11"/>
    <w:rsid w:val="0063339C"/>
    <w:rsid w:val="00644219"/>
    <w:rsid w:val="006514FC"/>
    <w:rsid w:val="00653882"/>
    <w:rsid w:val="006546C4"/>
    <w:rsid w:val="00664432"/>
    <w:rsid w:val="00667487"/>
    <w:rsid w:val="0068034F"/>
    <w:rsid w:val="006903DE"/>
    <w:rsid w:val="006938A8"/>
    <w:rsid w:val="00694D2F"/>
    <w:rsid w:val="006972C9"/>
    <w:rsid w:val="006A1E46"/>
    <w:rsid w:val="006A2FF3"/>
    <w:rsid w:val="006A4C11"/>
    <w:rsid w:val="006A5D50"/>
    <w:rsid w:val="006A7C5E"/>
    <w:rsid w:val="006A7F39"/>
    <w:rsid w:val="006B1BA8"/>
    <w:rsid w:val="006B4302"/>
    <w:rsid w:val="006B660D"/>
    <w:rsid w:val="006C6DFD"/>
    <w:rsid w:val="006D2B11"/>
    <w:rsid w:val="006E33E9"/>
    <w:rsid w:val="006E374E"/>
    <w:rsid w:val="006E3AD1"/>
    <w:rsid w:val="006E4427"/>
    <w:rsid w:val="006E5C17"/>
    <w:rsid w:val="006E6C08"/>
    <w:rsid w:val="006E784A"/>
    <w:rsid w:val="006F0107"/>
    <w:rsid w:val="006F45E4"/>
    <w:rsid w:val="006F50C4"/>
    <w:rsid w:val="00702878"/>
    <w:rsid w:val="00705663"/>
    <w:rsid w:val="00707349"/>
    <w:rsid w:val="00707C74"/>
    <w:rsid w:val="00711DFD"/>
    <w:rsid w:val="00716F89"/>
    <w:rsid w:val="0072207C"/>
    <w:rsid w:val="00730A93"/>
    <w:rsid w:val="0074367E"/>
    <w:rsid w:val="00743ABE"/>
    <w:rsid w:val="00745731"/>
    <w:rsid w:val="007472E8"/>
    <w:rsid w:val="007502BF"/>
    <w:rsid w:val="007502F2"/>
    <w:rsid w:val="007534D6"/>
    <w:rsid w:val="007572DB"/>
    <w:rsid w:val="00757D2F"/>
    <w:rsid w:val="00770174"/>
    <w:rsid w:val="00776238"/>
    <w:rsid w:val="00776A6D"/>
    <w:rsid w:val="00783FB2"/>
    <w:rsid w:val="0078452C"/>
    <w:rsid w:val="00784626"/>
    <w:rsid w:val="00790742"/>
    <w:rsid w:val="00792C20"/>
    <w:rsid w:val="007A0B61"/>
    <w:rsid w:val="007A0FA6"/>
    <w:rsid w:val="007A1030"/>
    <w:rsid w:val="007B0836"/>
    <w:rsid w:val="007B4F67"/>
    <w:rsid w:val="007B5080"/>
    <w:rsid w:val="007B776F"/>
    <w:rsid w:val="007C529E"/>
    <w:rsid w:val="007D3C39"/>
    <w:rsid w:val="007E2C5C"/>
    <w:rsid w:val="007E487C"/>
    <w:rsid w:val="007E489A"/>
    <w:rsid w:val="007E7B0B"/>
    <w:rsid w:val="007F0487"/>
    <w:rsid w:val="007F5242"/>
    <w:rsid w:val="007F665B"/>
    <w:rsid w:val="007F6C01"/>
    <w:rsid w:val="008021E1"/>
    <w:rsid w:val="00813B56"/>
    <w:rsid w:val="008225E8"/>
    <w:rsid w:val="0082361C"/>
    <w:rsid w:val="00826183"/>
    <w:rsid w:val="00826633"/>
    <w:rsid w:val="008354A2"/>
    <w:rsid w:val="00837F1B"/>
    <w:rsid w:val="00850E0A"/>
    <w:rsid w:val="00854C74"/>
    <w:rsid w:val="00861AB0"/>
    <w:rsid w:val="00873CD5"/>
    <w:rsid w:val="008852AF"/>
    <w:rsid w:val="0088559F"/>
    <w:rsid w:val="008900B7"/>
    <w:rsid w:val="00890D8C"/>
    <w:rsid w:val="008A17E2"/>
    <w:rsid w:val="008B178C"/>
    <w:rsid w:val="008B67BD"/>
    <w:rsid w:val="008C6D90"/>
    <w:rsid w:val="008C7673"/>
    <w:rsid w:val="008D1C8D"/>
    <w:rsid w:val="008D5985"/>
    <w:rsid w:val="008E0FB0"/>
    <w:rsid w:val="008E6618"/>
    <w:rsid w:val="008F1481"/>
    <w:rsid w:val="008F3AC4"/>
    <w:rsid w:val="008F69FE"/>
    <w:rsid w:val="00910C80"/>
    <w:rsid w:val="00914D7F"/>
    <w:rsid w:val="0091770A"/>
    <w:rsid w:val="00921D7E"/>
    <w:rsid w:val="009231FD"/>
    <w:rsid w:val="009332F4"/>
    <w:rsid w:val="00941A0F"/>
    <w:rsid w:val="009465B2"/>
    <w:rsid w:val="0094796B"/>
    <w:rsid w:val="00947CD2"/>
    <w:rsid w:val="00954E16"/>
    <w:rsid w:val="00957629"/>
    <w:rsid w:val="00961704"/>
    <w:rsid w:val="00961B1B"/>
    <w:rsid w:val="00965CBD"/>
    <w:rsid w:val="00970A79"/>
    <w:rsid w:val="00970BC9"/>
    <w:rsid w:val="009812C0"/>
    <w:rsid w:val="00981B13"/>
    <w:rsid w:val="00986A7D"/>
    <w:rsid w:val="00997683"/>
    <w:rsid w:val="009A62B4"/>
    <w:rsid w:val="009C1BE7"/>
    <w:rsid w:val="009C3196"/>
    <w:rsid w:val="009C5476"/>
    <w:rsid w:val="009C671D"/>
    <w:rsid w:val="009F132E"/>
    <w:rsid w:val="009F6981"/>
    <w:rsid w:val="00A00986"/>
    <w:rsid w:val="00A03470"/>
    <w:rsid w:val="00A14A76"/>
    <w:rsid w:val="00A14FC9"/>
    <w:rsid w:val="00A223C9"/>
    <w:rsid w:val="00A230A0"/>
    <w:rsid w:val="00A23902"/>
    <w:rsid w:val="00A26A2B"/>
    <w:rsid w:val="00A271B9"/>
    <w:rsid w:val="00A27EAC"/>
    <w:rsid w:val="00A314DA"/>
    <w:rsid w:val="00A31880"/>
    <w:rsid w:val="00A3327C"/>
    <w:rsid w:val="00A33646"/>
    <w:rsid w:val="00A3669C"/>
    <w:rsid w:val="00A45A16"/>
    <w:rsid w:val="00A5571D"/>
    <w:rsid w:val="00A55F80"/>
    <w:rsid w:val="00A573CF"/>
    <w:rsid w:val="00A7454D"/>
    <w:rsid w:val="00A83B3E"/>
    <w:rsid w:val="00A91B44"/>
    <w:rsid w:val="00A93447"/>
    <w:rsid w:val="00AA048B"/>
    <w:rsid w:val="00AA19F7"/>
    <w:rsid w:val="00AA2520"/>
    <w:rsid w:val="00AA4DB2"/>
    <w:rsid w:val="00AB211B"/>
    <w:rsid w:val="00AB777E"/>
    <w:rsid w:val="00AC0339"/>
    <w:rsid w:val="00AC3EC6"/>
    <w:rsid w:val="00AD5986"/>
    <w:rsid w:val="00AD61AF"/>
    <w:rsid w:val="00AD7EE1"/>
    <w:rsid w:val="00AE083B"/>
    <w:rsid w:val="00AE227D"/>
    <w:rsid w:val="00AE762B"/>
    <w:rsid w:val="00AF765B"/>
    <w:rsid w:val="00AF7DDC"/>
    <w:rsid w:val="00B023D0"/>
    <w:rsid w:val="00B033AB"/>
    <w:rsid w:val="00B0518F"/>
    <w:rsid w:val="00B11768"/>
    <w:rsid w:val="00B229DA"/>
    <w:rsid w:val="00B264D9"/>
    <w:rsid w:val="00B3192C"/>
    <w:rsid w:val="00B3435B"/>
    <w:rsid w:val="00B51BF7"/>
    <w:rsid w:val="00B535FE"/>
    <w:rsid w:val="00B67847"/>
    <w:rsid w:val="00B806ED"/>
    <w:rsid w:val="00B8183E"/>
    <w:rsid w:val="00B8525C"/>
    <w:rsid w:val="00B91F9E"/>
    <w:rsid w:val="00B932D2"/>
    <w:rsid w:val="00BA0BFF"/>
    <w:rsid w:val="00BA5715"/>
    <w:rsid w:val="00BA5859"/>
    <w:rsid w:val="00BA5C11"/>
    <w:rsid w:val="00BB2C95"/>
    <w:rsid w:val="00BC7C41"/>
    <w:rsid w:val="00BF0D60"/>
    <w:rsid w:val="00BF23A9"/>
    <w:rsid w:val="00BF3D4B"/>
    <w:rsid w:val="00BF6376"/>
    <w:rsid w:val="00C04476"/>
    <w:rsid w:val="00C11C73"/>
    <w:rsid w:val="00C134DA"/>
    <w:rsid w:val="00C176BE"/>
    <w:rsid w:val="00C202AF"/>
    <w:rsid w:val="00C32A94"/>
    <w:rsid w:val="00C33791"/>
    <w:rsid w:val="00C355E1"/>
    <w:rsid w:val="00C4684B"/>
    <w:rsid w:val="00C50553"/>
    <w:rsid w:val="00C53B9A"/>
    <w:rsid w:val="00C5712C"/>
    <w:rsid w:val="00C576D2"/>
    <w:rsid w:val="00C7035C"/>
    <w:rsid w:val="00C71682"/>
    <w:rsid w:val="00C863C0"/>
    <w:rsid w:val="00C955FA"/>
    <w:rsid w:val="00C960EA"/>
    <w:rsid w:val="00CA1C03"/>
    <w:rsid w:val="00CB3E59"/>
    <w:rsid w:val="00CC3135"/>
    <w:rsid w:val="00CD29E4"/>
    <w:rsid w:val="00CD7134"/>
    <w:rsid w:val="00CD7433"/>
    <w:rsid w:val="00CF1317"/>
    <w:rsid w:val="00CF21CF"/>
    <w:rsid w:val="00CF2344"/>
    <w:rsid w:val="00D03871"/>
    <w:rsid w:val="00D10B1F"/>
    <w:rsid w:val="00D141CE"/>
    <w:rsid w:val="00D141F1"/>
    <w:rsid w:val="00D173FD"/>
    <w:rsid w:val="00D30648"/>
    <w:rsid w:val="00D34FDF"/>
    <w:rsid w:val="00D35DBF"/>
    <w:rsid w:val="00D35FFC"/>
    <w:rsid w:val="00D46B0C"/>
    <w:rsid w:val="00D65A78"/>
    <w:rsid w:val="00D7108E"/>
    <w:rsid w:val="00D7590E"/>
    <w:rsid w:val="00D86149"/>
    <w:rsid w:val="00D87F27"/>
    <w:rsid w:val="00D923B4"/>
    <w:rsid w:val="00D96767"/>
    <w:rsid w:val="00D96F3F"/>
    <w:rsid w:val="00DA1791"/>
    <w:rsid w:val="00DA494F"/>
    <w:rsid w:val="00DC365A"/>
    <w:rsid w:val="00DC43D0"/>
    <w:rsid w:val="00DD1AF3"/>
    <w:rsid w:val="00DD3EF6"/>
    <w:rsid w:val="00DD55AC"/>
    <w:rsid w:val="00DE3160"/>
    <w:rsid w:val="00E01654"/>
    <w:rsid w:val="00E15787"/>
    <w:rsid w:val="00E209EF"/>
    <w:rsid w:val="00E20BAD"/>
    <w:rsid w:val="00E27569"/>
    <w:rsid w:val="00E27EF2"/>
    <w:rsid w:val="00E31064"/>
    <w:rsid w:val="00E3742A"/>
    <w:rsid w:val="00E37994"/>
    <w:rsid w:val="00E47656"/>
    <w:rsid w:val="00E52DE1"/>
    <w:rsid w:val="00E55187"/>
    <w:rsid w:val="00E572FC"/>
    <w:rsid w:val="00E62AF5"/>
    <w:rsid w:val="00E6599F"/>
    <w:rsid w:val="00E65E35"/>
    <w:rsid w:val="00E72539"/>
    <w:rsid w:val="00E82D0E"/>
    <w:rsid w:val="00E8346B"/>
    <w:rsid w:val="00E86E3B"/>
    <w:rsid w:val="00E87912"/>
    <w:rsid w:val="00EA6044"/>
    <w:rsid w:val="00EB2073"/>
    <w:rsid w:val="00EB344B"/>
    <w:rsid w:val="00EB6D4E"/>
    <w:rsid w:val="00EB725C"/>
    <w:rsid w:val="00EC09F5"/>
    <w:rsid w:val="00EC5139"/>
    <w:rsid w:val="00EC619A"/>
    <w:rsid w:val="00EC626C"/>
    <w:rsid w:val="00ED145F"/>
    <w:rsid w:val="00EE23AE"/>
    <w:rsid w:val="00F026EF"/>
    <w:rsid w:val="00F04342"/>
    <w:rsid w:val="00F0550C"/>
    <w:rsid w:val="00F06481"/>
    <w:rsid w:val="00F10AAE"/>
    <w:rsid w:val="00F13994"/>
    <w:rsid w:val="00F14B4C"/>
    <w:rsid w:val="00F159B8"/>
    <w:rsid w:val="00F16BD9"/>
    <w:rsid w:val="00F227D4"/>
    <w:rsid w:val="00F25F92"/>
    <w:rsid w:val="00F30E8A"/>
    <w:rsid w:val="00F3198F"/>
    <w:rsid w:val="00F353F8"/>
    <w:rsid w:val="00F35DA8"/>
    <w:rsid w:val="00F36BCE"/>
    <w:rsid w:val="00F43B36"/>
    <w:rsid w:val="00F50E51"/>
    <w:rsid w:val="00F70CB0"/>
    <w:rsid w:val="00F71D4F"/>
    <w:rsid w:val="00F775C6"/>
    <w:rsid w:val="00F85294"/>
    <w:rsid w:val="00F874A4"/>
    <w:rsid w:val="00FA0D72"/>
    <w:rsid w:val="00FB70B3"/>
    <w:rsid w:val="00FB780D"/>
    <w:rsid w:val="00FC1281"/>
    <w:rsid w:val="00FE527E"/>
    <w:rsid w:val="00FE6B82"/>
    <w:rsid w:val="00FF21E2"/>
    <w:rsid w:val="00FF4A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AED83A"/>
  <w15:docId w15:val="{6FADCC9C-A6CB-4F79-8429-3DBA2AE3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iCs/>
      <w:color w:val="000000"/>
      <w:sz w:val="22"/>
      <w:szCs w:val="22"/>
      <w:lang w:val="fr-FR"/>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ind w:left="312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iCs/>
      <w:color w:val="000000"/>
      <w:sz w:val="22"/>
      <w:szCs w:val="22"/>
      <w:lang w:val="fr-FR"/>
    </w:rPr>
  </w:style>
  <w:style w:type="character" w:customStyle="1" w:styleId="EXP-Titre1Car">
    <w:name w:val="EXP - Titre 1 Car"/>
    <w:basedOn w:val="ParagraphedelisteCar"/>
    <w:link w:val="EXP-Titre1"/>
    <w:rsid w:val="00CF2344"/>
    <w:rPr>
      <w:rFonts w:ascii="Calibri-Italic" w:hAnsi="Calibri-Italic" w:cs="Arial"/>
      <w:i/>
      <w:iCs/>
      <w:caps/>
      <w:color w:val="FFFFFF" w:themeColor="background1"/>
      <w:sz w:val="22"/>
      <w:szCs w:val="22"/>
      <w:lang w:val="fr-FR"/>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iCs/>
      <w:color w:val="FFFFFF" w:themeColor="background1"/>
      <w:sz w:val="22"/>
      <w:szCs w:val="22"/>
      <w:lang w:val="fr-FR"/>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B932D2"/>
    <w:rPr>
      <w:rFonts w:ascii="Calibri-Italic" w:hAnsi="Calibri-Italic" w:cs="Arial"/>
      <w:i/>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B932D2"/>
    <w:rPr>
      <w:rFonts w:ascii="Calibri-Italic" w:hAnsi="Calibri-Italic" w:cs="Arial"/>
      <w:i/>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FOOTNOTES,single space"/>
    <w:basedOn w:val="Normal"/>
    <w:link w:val="NotedebasdepageCar"/>
    <w:uiPriority w:val="99"/>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uiPriority w:val="99"/>
    <w:qFormat/>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Footnote number,fr"/>
    <w:basedOn w:val="Policepardfaut"/>
    <w:link w:val="BVIfnrCharCar1CarChar"/>
    <w:uiPriority w:val="99"/>
    <w:unhideWhenUsed/>
    <w:qFormat/>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UnresolvedMention">
    <w:name w:val="Unresolved Mention"/>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val="0"/>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val="0"/>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unhideWhenUsed/>
    <w:rsid w:val="00E37994"/>
    <w:rPr>
      <w:sz w:val="16"/>
      <w:szCs w:val="16"/>
    </w:rPr>
  </w:style>
  <w:style w:type="paragraph" w:styleId="Commentaire">
    <w:name w:val="annotation text"/>
    <w:basedOn w:val="Normal"/>
    <w:link w:val="CommentaireCar"/>
    <w:uiPriority w:val="99"/>
    <w:unhideWhenUsed/>
    <w:rsid w:val="00E37994"/>
    <w:rPr>
      <w:sz w:val="20"/>
      <w:szCs w:val="20"/>
    </w:rPr>
  </w:style>
  <w:style w:type="character" w:customStyle="1" w:styleId="CommentaireCar">
    <w:name w:val="Commentaire Car"/>
    <w:basedOn w:val="Policepardfaut"/>
    <w:link w:val="Commentaire"/>
    <w:uiPriority w:val="99"/>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9"/>
      </w:numPr>
      <w:contextualSpacing/>
    </w:pPr>
  </w:style>
  <w:style w:type="paragraph" w:customStyle="1" w:styleId="puceEF">
    <w:name w:val="puce_EF"/>
    <w:basedOn w:val="Paragraphedeliste"/>
    <w:link w:val="puceEFCar"/>
    <w:qFormat/>
    <w:rsid w:val="0082361C"/>
    <w:pPr>
      <w:numPr>
        <w:numId w:val="8"/>
      </w:numPr>
    </w:pPr>
  </w:style>
  <w:style w:type="character" w:customStyle="1" w:styleId="puceEFCar">
    <w:name w:val="puce_EF Car"/>
    <w:basedOn w:val="ParagraphedelisteCar"/>
    <w:link w:val="puceEF"/>
    <w:rsid w:val="0082361C"/>
    <w:rPr>
      <w:rFonts w:ascii="Calibri-Italic" w:hAnsi="Calibri-Italic" w:cs="Arial"/>
      <w:i/>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871"/>
    <w:rPr>
      <w:rFonts w:ascii="Segoe UI" w:hAnsi="Segoe UI" w:cs="Segoe UI"/>
      <w:i/>
      <w:iCs/>
      <w:color w:val="000000"/>
      <w:sz w:val="18"/>
      <w:szCs w:val="18"/>
      <w:lang w:val="fr-FR"/>
    </w:rPr>
  </w:style>
  <w:style w:type="paragraph" w:customStyle="1" w:styleId="heading-2">
    <w:name w:val="heading-2"/>
    <w:basedOn w:val="Normal"/>
    <w:rsid w:val="003C799F"/>
    <w:pPr>
      <w:numPr>
        <w:ilvl w:val="2"/>
        <w:numId w:val="14"/>
      </w:numPr>
      <w:tabs>
        <w:tab w:val="clear" w:pos="2340"/>
        <w:tab w:val="clear" w:pos="9923"/>
      </w:tabs>
      <w:spacing w:before="100" w:beforeAutospacing="1" w:after="26"/>
      <w:ind w:left="0" w:firstLine="0"/>
      <w:jc w:val="left"/>
    </w:pPr>
    <w:rPr>
      <w:rFonts w:ascii="Arial" w:eastAsia="Times New Roman" w:hAnsi="Arial"/>
      <w:b/>
      <w:bCs/>
      <w:i w:val="0"/>
      <w:iCs w:val="0"/>
      <w:color w:val="000080"/>
      <w:sz w:val="24"/>
      <w:szCs w:val="24"/>
      <w:lang w:eastAsia="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iCs w:val="0"/>
      <w:color w:val="auto"/>
      <w:sz w:val="20"/>
      <w:szCs w:val="20"/>
      <w:vertAlign w:val="superscript"/>
      <w:lang w:val="en-US"/>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LISTE">
    <w:name w:val="LISTE"/>
    <w:basedOn w:val="Normal"/>
    <w:qFormat/>
    <w:rsid w:val="00A23902"/>
    <w:pPr>
      <w:widowControl w:val="0"/>
      <w:numPr>
        <w:numId w:val="18"/>
      </w:numPr>
      <w:tabs>
        <w:tab w:val="clear" w:pos="9923"/>
      </w:tabs>
      <w:autoSpaceDE w:val="0"/>
      <w:autoSpaceDN w:val="0"/>
      <w:adjustRightInd w:val="0"/>
      <w:spacing w:before="120" w:after="0" w:line="247" w:lineRule="auto"/>
      <w:textAlignment w:val="center"/>
    </w:pPr>
    <w:rPr>
      <w:rFonts w:ascii="Perpetua" w:eastAsiaTheme="minorHAnsi" w:hAnsi="Perpetua" w:cs="Perpetua"/>
      <w:i w:val="0"/>
      <w:iCs w:val="0"/>
      <w:sz w:val="26"/>
      <w:szCs w:val="26"/>
      <w:lang w:val="fr-CA" w:eastAsia="en-US"/>
    </w:rPr>
  </w:style>
  <w:style w:type="paragraph" w:customStyle="1" w:styleId="P68B1DB1-Normal4">
    <w:name w:val="P68B1DB1-Normal4"/>
    <w:basedOn w:val="Normal"/>
    <w:rsid w:val="00DA494F"/>
    <w:rPr>
      <w:iCs w:val="0"/>
      <w:szCs w:val="20"/>
      <w:highlight w:val="yellow"/>
      <w:lang w:val="en-GB" w:eastAsia="en-GB"/>
    </w:rPr>
  </w:style>
  <w:style w:type="paragraph" w:customStyle="1" w:styleId="P68B1DB1-Paragraphedeliste5">
    <w:name w:val="P68B1DB1-Paragraphedeliste5"/>
    <w:basedOn w:val="Paragraphedeliste"/>
    <w:rsid w:val="00DA494F"/>
    <w:rPr>
      <w:iCs w:val="0"/>
      <w:szCs w:val="20"/>
      <w:highlight w:val="yellow"/>
      <w:lang w:val="en-GB" w:eastAsia="en-GB"/>
    </w:rPr>
  </w:style>
  <w:style w:type="paragraph" w:customStyle="1" w:styleId="P68B1DB1-Paragraphedeliste6">
    <w:name w:val="P68B1DB1-Paragraphedeliste6"/>
    <w:basedOn w:val="Paragraphedeliste"/>
    <w:rsid w:val="00DA494F"/>
    <w:rPr>
      <w:rFonts w:hint="eastAsia"/>
      <w:iCs w:val="0"/>
      <w:szCs w:val="20"/>
      <w:highlight w:val="yellow"/>
      <w:lang w:val="en-GB" w:eastAsia="en-GB"/>
    </w:rPr>
  </w:style>
  <w:style w:type="character" w:styleId="lev">
    <w:name w:val="Strong"/>
    <w:basedOn w:val="Policepardfaut"/>
    <w:uiPriority w:val="22"/>
    <w:qFormat/>
    <w:rsid w:val="00DD55AC"/>
    <w:rPr>
      <w:b/>
      <w:bCs/>
    </w:rPr>
  </w:style>
  <w:style w:type="character" w:customStyle="1" w:styleId="hgkelc">
    <w:name w:val="hgkelc"/>
    <w:basedOn w:val="Policepardfaut"/>
    <w:rsid w:val="00167599"/>
  </w:style>
  <w:style w:type="paragraph" w:customStyle="1" w:styleId="Char2">
    <w:name w:val="Char2"/>
    <w:basedOn w:val="Normal"/>
    <w:uiPriority w:val="99"/>
    <w:rsid w:val="00DC43D0"/>
    <w:pPr>
      <w:tabs>
        <w:tab w:val="clear" w:pos="9923"/>
      </w:tabs>
      <w:spacing w:after="160" w:line="240" w:lineRule="exact"/>
      <w:ind w:left="0"/>
      <w:jc w:val="left"/>
    </w:pPr>
    <w:rPr>
      <w:rFonts w:ascii="Times New Roman" w:eastAsiaTheme="minorHAnsi" w:hAnsi="Times New Roman" w:cstheme="minorBidi"/>
      <w:i w:val="0"/>
      <w:iCs w:val="0"/>
      <w:color w:val="auto"/>
      <w:szCs w:val="16"/>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7816">
      <w:bodyDiv w:val="1"/>
      <w:marLeft w:val="0"/>
      <w:marRight w:val="0"/>
      <w:marTop w:val="0"/>
      <w:marBottom w:val="0"/>
      <w:divBdr>
        <w:top w:val="none" w:sz="0" w:space="0" w:color="auto"/>
        <w:left w:val="none" w:sz="0" w:space="0" w:color="auto"/>
        <w:bottom w:val="none" w:sz="0" w:space="0" w:color="auto"/>
        <w:right w:val="none" w:sz="0" w:space="0" w:color="auto"/>
      </w:divBdr>
    </w:div>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99110806">
      <w:bodyDiv w:val="1"/>
      <w:marLeft w:val="0"/>
      <w:marRight w:val="0"/>
      <w:marTop w:val="0"/>
      <w:marBottom w:val="0"/>
      <w:divBdr>
        <w:top w:val="none" w:sz="0" w:space="0" w:color="auto"/>
        <w:left w:val="none" w:sz="0" w:space="0" w:color="auto"/>
        <w:bottom w:val="none" w:sz="0" w:space="0" w:color="auto"/>
        <w:right w:val="none" w:sz="0" w:space="0" w:color="auto"/>
      </w:divBdr>
    </w:div>
    <w:div w:id="122773352">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206188296">
      <w:bodyDiv w:val="1"/>
      <w:marLeft w:val="0"/>
      <w:marRight w:val="0"/>
      <w:marTop w:val="0"/>
      <w:marBottom w:val="0"/>
      <w:divBdr>
        <w:top w:val="none" w:sz="0" w:space="0" w:color="auto"/>
        <w:left w:val="none" w:sz="0" w:space="0" w:color="auto"/>
        <w:bottom w:val="none" w:sz="0" w:space="0" w:color="auto"/>
        <w:right w:val="none" w:sz="0" w:space="0" w:color="auto"/>
      </w:divBdr>
    </w:div>
    <w:div w:id="281696392">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22247035">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8488">
      <w:bodyDiv w:val="1"/>
      <w:marLeft w:val="0"/>
      <w:marRight w:val="0"/>
      <w:marTop w:val="0"/>
      <w:marBottom w:val="0"/>
      <w:divBdr>
        <w:top w:val="none" w:sz="0" w:space="0" w:color="auto"/>
        <w:left w:val="none" w:sz="0" w:space="0" w:color="auto"/>
        <w:bottom w:val="none" w:sz="0" w:space="0" w:color="auto"/>
        <w:right w:val="none" w:sz="0" w:space="0" w:color="auto"/>
      </w:divBdr>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754057224">
      <w:bodyDiv w:val="1"/>
      <w:marLeft w:val="0"/>
      <w:marRight w:val="0"/>
      <w:marTop w:val="0"/>
      <w:marBottom w:val="0"/>
      <w:divBdr>
        <w:top w:val="none" w:sz="0" w:space="0" w:color="auto"/>
        <w:left w:val="none" w:sz="0" w:space="0" w:color="auto"/>
        <w:bottom w:val="none" w:sz="0" w:space="0" w:color="auto"/>
        <w:right w:val="none" w:sz="0" w:space="0" w:color="auto"/>
      </w:divBdr>
    </w:div>
    <w:div w:id="895051559">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930284266">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038357766">
      <w:bodyDiv w:val="1"/>
      <w:marLeft w:val="0"/>
      <w:marRight w:val="0"/>
      <w:marTop w:val="0"/>
      <w:marBottom w:val="0"/>
      <w:divBdr>
        <w:top w:val="none" w:sz="0" w:space="0" w:color="auto"/>
        <w:left w:val="none" w:sz="0" w:space="0" w:color="auto"/>
        <w:bottom w:val="none" w:sz="0" w:space="0" w:color="auto"/>
        <w:right w:val="none" w:sz="0" w:space="0" w:color="auto"/>
      </w:divBdr>
    </w:div>
    <w:div w:id="1052118181">
      <w:bodyDiv w:val="1"/>
      <w:marLeft w:val="0"/>
      <w:marRight w:val="0"/>
      <w:marTop w:val="0"/>
      <w:marBottom w:val="0"/>
      <w:divBdr>
        <w:top w:val="none" w:sz="0" w:space="0" w:color="auto"/>
        <w:left w:val="none" w:sz="0" w:space="0" w:color="auto"/>
        <w:bottom w:val="none" w:sz="0" w:space="0" w:color="auto"/>
        <w:right w:val="none" w:sz="0" w:space="0" w:color="auto"/>
      </w:divBdr>
    </w:div>
    <w:div w:id="1143624540">
      <w:bodyDiv w:val="1"/>
      <w:marLeft w:val="0"/>
      <w:marRight w:val="0"/>
      <w:marTop w:val="0"/>
      <w:marBottom w:val="0"/>
      <w:divBdr>
        <w:top w:val="none" w:sz="0" w:space="0" w:color="auto"/>
        <w:left w:val="none" w:sz="0" w:space="0" w:color="auto"/>
        <w:bottom w:val="none" w:sz="0" w:space="0" w:color="auto"/>
        <w:right w:val="none" w:sz="0" w:space="0" w:color="auto"/>
      </w:divBdr>
    </w:div>
    <w:div w:id="1159224686">
      <w:bodyDiv w:val="1"/>
      <w:marLeft w:val="0"/>
      <w:marRight w:val="0"/>
      <w:marTop w:val="0"/>
      <w:marBottom w:val="0"/>
      <w:divBdr>
        <w:top w:val="none" w:sz="0" w:space="0" w:color="auto"/>
        <w:left w:val="none" w:sz="0" w:space="0" w:color="auto"/>
        <w:bottom w:val="none" w:sz="0" w:space="0" w:color="auto"/>
        <w:right w:val="none" w:sz="0" w:space="0" w:color="auto"/>
      </w:divBdr>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494759748">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704405440">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790970414">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 w:id="1980569937">
      <w:bodyDiv w:val="1"/>
      <w:marLeft w:val="0"/>
      <w:marRight w:val="0"/>
      <w:marTop w:val="0"/>
      <w:marBottom w:val="0"/>
      <w:divBdr>
        <w:top w:val="none" w:sz="0" w:space="0" w:color="auto"/>
        <w:left w:val="none" w:sz="0" w:space="0" w:color="auto"/>
        <w:bottom w:val="none" w:sz="0" w:space="0" w:color="auto"/>
        <w:right w:val="none" w:sz="0" w:space="0" w:color="auto"/>
      </w:divBdr>
    </w:div>
    <w:div w:id="210522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AFD081DF-85D8-4058-956B-6F781D15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16</Pages>
  <Words>5818</Words>
  <Characters>32003</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Saida SAFTA</cp:lastModifiedBy>
  <cp:revision>3</cp:revision>
  <cp:lastPrinted>2016-08-04T10:33:00Z</cp:lastPrinted>
  <dcterms:created xsi:type="dcterms:W3CDTF">2024-10-15T18:23:00Z</dcterms:created>
  <dcterms:modified xsi:type="dcterms:W3CDTF">2024-10-21T08:45:00Z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b8414bc130d8fa9563d0b1b3bbaa67d718bbbc6f8d419332b17ecacca6a67560</vt:lpwstr>
  </property>
</Properties>
</file>