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0C" w:rsidRDefault="005D120C">
      <w:pPr>
        <w:spacing w:before="600" w:after="80" w:line="276" w:lineRule="auto"/>
        <w:jc w:val="both"/>
      </w:pPr>
    </w:p>
    <w:p w:rsidR="005D120C" w:rsidRPr="006A7D61" w:rsidRDefault="00E63464">
      <w:pPr>
        <w:spacing w:before="200" w:after="60"/>
        <w:jc w:val="center"/>
        <w:rPr>
          <w:lang w:val="fr-FR"/>
        </w:rPr>
      </w:pPr>
      <w:r w:rsidRPr="006A7D61">
        <w:rPr>
          <w:b/>
          <w:bCs/>
          <w:color w:val="1F3864"/>
          <w:sz w:val="52"/>
          <w:szCs w:val="52"/>
          <w:lang w:val="fr-FR"/>
        </w:rPr>
        <w:t>TERMES DE RÉFÉRENCE</w:t>
      </w:r>
    </w:p>
    <w:p w:rsidR="005D120C" w:rsidRPr="006A7D61" w:rsidRDefault="00E63464">
      <w:pPr>
        <w:pBdr>
          <w:bottom w:val="single" w:sz="8" w:space="1" w:color="2E5C9E"/>
        </w:pBdr>
        <w:spacing w:before="60" w:after="60"/>
        <w:jc w:val="center"/>
        <w:rPr>
          <w:lang w:val="fr-FR"/>
        </w:rPr>
      </w:pPr>
      <w:r w:rsidRPr="006A7D61">
        <w:rPr>
          <w:color w:val="2E5C9E"/>
          <w:sz w:val="32"/>
          <w:szCs w:val="32"/>
          <w:lang w:val="fr-FR"/>
        </w:rPr>
        <w:t>Assistant technique en économie des transports – OPA-AC</w:t>
      </w:r>
    </w:p>
    <w:p w:rsidR="005D120C" w:rsidRPr="006A7D61" w:rsidRDefault="005D120C">
      <w:pPr>
        <w:spacing w:before="200" w:after="80" w:line="276" w:lineRule="auto"/>
        <w:jc w:val="both"/>
        <w:rPr>
          <w:lang w:val="fr-FR"/>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72"/>
        <w:gridCol w:w="6634"/>
      </w:tblGrid>
      <w:tr w:rsidR="005D120C">
        <w:trPr>
          <w:tblHeader/>
        </w:trPr>
        <w:tc>
          <w:tcPr>
            <w:tcW w:w="3572"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r>
              <w:rPr>
                <w:b/>
                <w:bCs/>
                <w:color w:val="FFFFFF"/>
                <w:sz w:val="19"/>
                <w:szCs w:val="19"/>
              </w:rPr>
              <w:t>Champ</w:t>
            </w:r>
          </w:p>
        </w:tc>
        <w:tc>
          <w:tcPr>
            <w:tcW w:w="6634"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r>
              <w:rPr>
                <w:b/>
                <w:bCs/>
                <w:color w:val="FFFFFF"/>
                <w:sz w:val="19"/>
                <w:szCs w:val="19"/>
              </w:rPr>
              <w:t>Information</w:t>
            </w:r>
          </w:p>
        </w:tc>
      </w:tr>
      <w:tr w:rsidR="005D120C" w:rsidRPr="00335F87">
        <w:tc>
          <w:tcPr>
            <w:tcW w:w="357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proofErr w:type="spellStart"/>
            <w:r>
              <w:rPr>
                <w:color w:val="000000"/>
                <w:sz w:val="19"/>
                <w:szCs w:val="19"/>
              </w:rPr>
              <w:t>Projet</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CORAC 5-6 – Mesures d'accompagnement pour la réalisation des corridors stratégiques d'Afrique Centrale</w:t>
            </w:r>
          </w:p>
        </w:tc>
      </w:tr>
      <w:tr w:rsidR="005D120C" w:rsidRPr="00335F87">
        <w:tc>
          <w:tcPr>
            <w:tcW w:w="357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proofErr w:type="spellStart"/>
            <w:r>
              <w:rPr>
                <w:color w:val="000000"/>
                <w:sz w:val="19"/>
                <w:szCs w:val="19"/>
              </w:rPr>
              <w:t>Intitulé</w:t>
            </w:r>
            <w:proofErr w:type="spellEnd"/>
            <w:r>
              <w:rPr>
                <w:color w:val="000000"/>
                <w:sz w:val="19"/>
                <w:szCs w:val="19"/>
              </w:rPr>
              <w:t xml:space="preserve"> du poste</w:t>
            </w:r>
          </w:p>
        </w:tc>
        <w:tc>
          <w:tcPr>
            <w:tcW w:w="663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Assistant technique en économie des transports au profit de l'OPA-AC</w:t>
            </w:r>
          </w:p>
        </w:tc>
      </w:tr>
      <w:tr w:rsidR="005D120C" w:rsidRPr="00FC7507">
        <w:tc>
          <w:tcPr>
            <w:tcW w:w="357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proofErr w:type="spellStart"/>
            <w:r>
              <w:rPr>
                <w:color w:val="000000"/>
                <w:sz w:val="19"/>
                <w:szCs w:val="19"/>
              </w:rPr>
              <w:t>Composante</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FC7507" w:rsidRPr="00FC7507" w:rsidRDefault="00FC7507">
            <w:pPr>
              <w:spacing w:before="80" w:after="80" w:line="276" w:lineRule="auto"/>
              <w:jc w:val="both"/>
              <w:rPr>
                <w:color w:val="000000"/>
                <w:sz w:val="19"/>
                <w:szCs w:val="19"/>
                <w:lang w:val="fr-FR"/>
              </w:rPr>
            </w:pPr>
            <w:r w:rsidRPr="00FC7507">
              <w:rPr>
                <w:color w:val="000000"/>
                <w:sz w:val="19"/>
                <w:szCs w:val="19"/>
                <w:lang w:val="fr-FR"/>
              </w:rPr>
              <w:t>Co</w:t>
            </w:r>
            <w:r>
              <w:rPr>
                <w:color w:val="000000"/>
                <w:sz w:val="19"/>
                <w:szCs w:val="19"/>
                <w:lang w:val="fr-FR"/>
              </w:rPr>
              <w:t>mposante 1 – Renforcement de capacités à l’OPA-AC</w:t>
            </w:r>
          </w:p>
          <w:p w:rsidR="005D120C" w:rsidRPr="00FC7507" w:rsidRDefault="00E63464">
            <w:pPr>
              <w:spacing w:before="80" w:after="80" w:line="276" w:lineRule="auto"/>
              <w:jc w:val="both"/>
              <w:rPr>
                <w:lang w:val="fr-FR"/>
              </w:rPr>
            </w:pPr>
            <w:r w:rsidRPr="00FC7507">
              <w:rPr>
                <w:color w:val="000000"/>
                <w:sz w:val="19"/>
                <w:szCs w:val="19"/>
                <w:lang w:val="fr-FR"/>
              </w:rPr>
              <w:t>Composante 2 – Facilitation des transports</w:t>
            </w:r>
          </w:p>
        </w:tc>
      </w:tr>
      <w:tr w:rsidR="005D120C" w:rsidRPr="00335F87">
        <w:tc>
          <w:tcPr>
            <w:tcW w:w="357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proofErr w:type="spellStart"/>
            <w:r>
              <w:rPr>
                <w:color w:val="000000"/>
                <w:sz w:val="19"/>
                <w:szCs w:val="19"/>
              </w:rPr>
              <w:t>Activité</w:t>
            </w:r>
            <w:proofErr w:type="spellEnd"/>
            <w:r>
              <w:rPr>
                <w:color w:val="000000"/>
                <w:sz w:val="19"/>
                <w:szCs w:val="19"/>
              </w:rPr>
              <w:t xml:space="preserve"> de </w:t>
            </w:r>
            <w:proofErr w:type="spellStart"/>
            <w:r>
              <w:rPr>
                <w:color w:val="000000"/>
                <w:sz w:val="19"/>
                <w:szCs w:val="19"/>
              </w:rPr>
              <w:t>rattachement</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FC7507">
            <w:pPr>
              <w:spacing w:before="80" w:after="80" w:line="276" w:lineRule="auto"/>
              <w:jc w:val="both"/>
              <w:rPr>
                <w:lang w:val="fr-FR"/>
              </w:rPr>
            </w:pPr>
            <w:r>
              <w:rPr>
                <w:color w:val="000000"/>
                <w:sz w:val="19"/>
                <w:szCs w:val="19"/>
                <w:lang w:val="fr-FR"/>
              </w:rPr>
              <w:t>Renforcer l'Observatoire des Pratiques A</w:t>
            </w:r>
            <w:r w:rsidR="00E63464" w:rsidRPr="006A7D61">
              <w:rPr>
                <w:color w:val="000000"/>
                <w:sz w:val="19"/>
                <w:szCs w:val="19"/>
                <w:lang w:val="fr-FR"/>
              </w:rPr>
              <w:t>normales (OPA-AC)</w:t>
            </w:r>
          </w:p>
        </w:tc>
      </w:tr>
      <w:tr w:rsidR="005D120C">
        <w:tc>
          <w:tcPr>
            <w:tcW w:w="357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Maître </w:t>
            </w:r>
            <w:proofErr w:type="spellStart"/>
            <w:r>
              <w:rPr>
                <w:color w:val="000000"/>
                <w:sz w:val="19"/>
                <w:szCs w:val="19"/>
              </w:rPr>
              <w:t>d'ouvrage</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Expertise France</w:t>
            </w:r>
          </w:p>
        </w:tc>
      </w:tr>
      <w:tr w:rsidR="005D120C" w:rsidRPr="00335F87">
        <w:tc>
          <w:tcPr>
            <w:tcW w:w="357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Structure </w:t>
            </w:r>
            <w:proofErr w:type="spellStart"/>
            <w:r>
              <w:rPr>
                <w:color w:val="000000"/>
                <w:sz w:val="19"/>
                <w:szCs w:val="19"/>
              </w:rPr>
              <w:t>bénéficiaire</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Observatoire des Pratiques Anormales en Afrique centrale (OPA-AC)</w:t>
            </w:r>
          </w:p>
        </w:tc>
      </w:tr>
      <w:tr w:rsidR="005D120C">
        <w:tc>
          <w:tcPr>
            <w:tcW w:w="357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proofErr w:type="spellStart"/>
            <w:r>
              <w:rPr>
                <w:color w:val="000000"/>
                <w:sz w:val="19"/>
                <w:szCs w:val="19"/>
              </w:rPr>
              <w:t>Bailleur</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Union </w:t>
            </w:r>
            <w:proofErr w:type="spellStart"/>
            <w:r>
              <w:rPr>
                <w:color w:val="000000"/>
                <w:sz w:val="19"/>
                <w:szCs w:val="19"/>
              </w:rPr>
              <w:t>européenne</w:t>
            </w:r>
            <w:proofErr w:type="spellEnd"/>
            <w:r>
              <w:rPr>
                <w:color w:val="000000"/>
                <w:sz w:val="19"/>
                <w:szCs w:val="19"/>
              </w:rPr>
              <w:t xml:space="preserve"> – Programme Global Gateway</w:t>
            </w:r>
          </w:p>
        </w:tc>
      </w:tr>
      <w:tr w:rsidR="005D120C">
        <w:tc>
          <w:tcPr>
            <w:tcW w:w="357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Type de </w:t>
            </w:r>
            <w:proofErr w:type="spellStart"/>
            <w:r>
              <w:rPr>
                <w:color w:val="000000"/>
                <w:sz w:val="19"/>
                <w:szCs w:val="19"/>
              </w:rPr>
              <w:t>contrat</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FC7507" w:rsidP="00FC7507">
            <w:pPr>
              <w:spacing w:before="80" w:after="80" w:line="276" w:lineRule="auto"/>
              <w:jc w:val="both"/>
            </w:pPr>
            <w:r>
              <w:rPr>
                <w:color w:val="000000"/>
                <w:sz w:val="19"/>
                <w:szCs w:val="19"/>
              </w:rPr>
              <w:t>CDD</w:t>
            </w:r>
            <w:r w:rsidR="00E63464">
              <w:rPr>
                <w:color w:val="000000"/>
                <w:sz w:val="19"/>
                <w:szCs w:val="19"/>
              </w:rPr>
              <w:t xml:space="preserve"> </w:t>
            </w:r>
          </w:p>
        </w:tc>
      </w:tr>
      <w:tr w:rsidR="005D120C" w:rsidRPr="006A7D61">
        <w:tc>
          <w:tcPr>
            <w:tcW w:w="3572"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proofErr w:type="spellStart"/>
            <w:r>
              <w:rPr>
                <w:b/>
                <w:bCs/>
                <w:color w:val="000000"/>
                <w:sz w:val="19"/>
                <w:szCs w:val="19"/>
              </w:rPr>
              <w:t>Durée</w:t>
            </w:r>
            <w:proofErr w:type="spellEnd"/>
            <w:r>
              <w:rPr>
                <w:b/>
                <w:bCs/>
                <w:color w:val="000000"/>
                <w:sz w:val="19"/>
                <w:szCs w:val="19"/>
              </w:rPr>
              <w:t xml:space="preserve"> de la mission</w:t>
            </w:r>
          </w:p>
        </w:tc>
        <w:tc>
          <w:tcPr>
            <w:tcW w:w="663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335F87" w:rsidP="00FC7507">
            <w:pPr>
              <w:spacing w:before="80" w:after="40" w:line="276" w:lineRule="auto"/>
              <w:jc w:val="both"/>
              <w:rPr>
                <w:lang w:val="fr-FR"/>
              </w:rPr>
            </w:pPr>
            <w:r>
              <w:rPr>
                <w:color w:val="000000"/>
                <w:sz w:val="19"/>
                <w:szCs w:val="19"/>
                <w:lang w:val="fr-FR"/>
              </w:rPr>
              <w:t xml:space="preserve">1 an </w:t>
            </w:r>
          </w:p>
        </w:tc>
      </w:tr>
      <w:tr w:rsidR="005D120C" w:rsidRPr="00335F87">
        <w:tc>
          <w:tcPr>
            <w:tcW w:w="357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Lieu </w:t>
            </w:r>
            <w:proofErr w:type="spellStart"/>
            <w:r>
              <w:rPr>
                <w:color w:val="000000"/>
                <w:sz w:val="19"/>
                <w:szCs w:val="19"/>
              </w:rPr>
              <w:t>d'affectation</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Yaoundé (Cameroun) – siège de l'OPA-AC / Bureau Mutualisé CORAC 5-6</w:t>
            </w:r>
          </w:p>
        </w:tc>
      </w:tr>
      <w:tr w:rsidR="005D120C" w:rsidRPr="006A7D61">
        <w:tc>
          <w:tcPr>
            <w:tcW w:w="357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Prise de poste </w:t>
            </w:r>
            <w:proofErr w:type="spellStart"/>
            <w:r>
              <w:rPr>
                <w:color w:val="000000"/>
                <w:sz w:val="19"/>
                <w:szCs w:val="19"/>
              </w:rPr>
              <w:t>souhaitée</w:t>
            </w:r>
            <w:proofErr w:type="spellEnd"/>
          </w:p>
        </w:tc>
        <w:tc>
          <w:tcPr>
            <w:tcW w:w="663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FC7507">
            <w:pPr>
              <w:spacing w:before="80" w:after="80" w:line="276" w:lineRule="auto"/>
              <w:jc w:val="both"/>
              <w:rPr>
                <w:lang w:val="fr-FR"/>
              </w:rPr>
            </w:pPr>
            <w:r>
              <w:rPr>
                <w:color w:val="000000"/>
                <w:sz w:val="19"/>
                <w:szCs w:val="19"/>
                <w:lang w:val="fr-FR"/>
              </w:rPr>
              <w:t>03/08/2026</w:t>
            </w:r>
          </w:p>
        </w:tc>
      </w:tr>
    </w:tbl>
    <w:p w:rsidR="005D120C" w:rsidRPr="006A7D61" w:rsidRDefault="005D120C">
      <w:pPr>
        <w:spacing w:before="300" w:after="80" w:line="276" w:lineRule="auto"/>
        <w:jc w:val="both"/>
        <w:rPr>
          <w:lang w:val="fr-FR"/>
        </w:rPr>
      </w:pPr>
    </w:p>
    <w:p w:rsidR="005D120C" w:rsidRPr="006A7D61" w:rsidRDefault="00E63464">
      <w:pPr>
        <w:pStyle w:val="Heading1"/>
        <w:spacing w:before="300"/>
        <w:rPr>
          <w:lang w:val="fr-FR"/>
        </w:rPr>
      </w:pPr>
      <w:r w:rsidRPr="006A7D61">
        <w:rPr>
          <w:lang w:val="fr-FR"/>
        </w:rPr>
        <w:t>1. Contexte du projet et de la mission</w:t>
      </w:r>
    </w:p>
    <w:p w:rsidR="005D120C" w:rsidRPr="006A7D61" w:rsidRDefault="00E63464">
      <w:pPr>
        <w:pStyle w:val="Heading2"/>
        <w:rPr>
          <w:lang w:val="fr-FR"/>
        </w:rPr>
      </w:pPr>
      <w:r w:rsidRPr="006A7D61">
        <w:rPr>
          <w:lang w:val="fr-FR"/>
        </w:rPr>
        <w:t>1.1 Le projet CORAC 5-6</w:t>
      </w:r>
    </w:p>
    <w:p w:rsidR="005D120C" w:rsidRPr="006A7D61" w:rsidRDefault="00E63464">
      <w:pPr>
        <w:spacing w:before="80" w:after="80" w:line="276" w:lineRule="auto"/>
        <w:jc w:val="both"/>
        <w:rPr>
          <w:lang w:val="fr-FR"/>
        </w:rPr>
      </w:pPr>
      <w:r w:rsidRPr="006A7D61">
        <w:rPr>
          <w:color w:val="000000"/>
          <w:lang w:val="fr-FR"/>
        </w:rPr>
        <w:t>Le projet CORAC 5-6 « Mesures d'accompagnement pour la réalisation des corridors stratégiques d'Afrique Centrale » est mis en œuvre par Expertise France, en tant que chef de file, en partenariat avec la FAO, la CNUCED et l'OMD, pour une durée de 48 mois (novembre 2025 – octobre 2029). Il bénéficie d'un financement de l'Union européenne dans le cadre de la stratégie Global Gateway, pour un budget global de 30 millions d'euros, et couvre deux corridors stratégiques d'Afrique centrale :</w:t>
      </w:r>
    </w:p>
    <w:p w:rsidR="005D120C" w:rsidRPr="00FC7507" w:rsidRDefault="00E63464">
      <w:pPr>
        <w:pStyle w:val="ListParagraph"/>
        <w:numPr>
          <w:ilvl w:val="0"/>
          <w:numId w:val="2"/>
        </w:numPr>
        <w:spacing w:before="40" w:after="40" w:line="276" w:lineRule="auto"/>
        <w:jc w:val="both"/>
        <w:rPr>
          <w:b/>
          <w:i/>
        </w:rPr>
      </w:pPr>
      <w:r w:rsidRPr="00FC7507">
        <w:rPr>
          <w:b/>
          <w:i/>
          <w:color w:val="000000"/>
        </w:rPr>
        <w:t xml:space="preserve">Corridor 5 : Libreville – </w:t>
      </w:r>
      <w:proofErr w:type="spellStart"/>
      <w:r w:rsidRPr="00FC7507">
        <w:rPr>
          <w:b/>
          <w:i/>
          <w:color w:val="000000"/>
        </w:rPr>
        <w:t>Kribi</w:t>
      </w:r>
      <w:proofErr w:type="spellEnd"/>
      <w:r w:rsidRPr="00FC7507">
        <w:rPr>
          <w:b/>
          <w:i/>
          <w:color w:val="000000"/>
        </w:rPr>
        <w:t>/Douala – N'Djamena</w:t>
      </w:r>
    </w:p>
    <w:p w:rsidR="005D120C" w:rsidRPr="00FC7507" w:rsidRDefault="00E63464">
      <w:pPr>
        <w:pStyle w:val="ListParagraph"/>
        <w:numPr>
          <w:ilvl w:val="0"/>
          <w:numId w:val="2"/>
        </w:numPr>
        <w:spacing w:before="40" w:after="40" w:line="276" w:lineRule="auto"/>
        <w:jc w:val="both"/>
        <w:rPr>
          <w:b/>
          <w:i/>
        </w:rPr>
      </w:pPr>
      <w:r w:rsidRPr="00FC7507">
        <w:rPr>
          <w:b/>
          <w:i/>
          <w:color w:val="000000"/>
        </w:rPr>
        <w:t>Corridor 6 : Douala/</w:t>
      </w:r>
      <w:proofErr w:type="spellStart"/>
      <w:r w:rsidRPr="00FC7507">
        <w:rPr>
          <w:b/>
          <w:i/>
          <w:color w:val="000000"/>
        </w:rPr>
        <w:t>Kribi</w:t>
      </w:r>
      <w:proofErr w:type="spellEnd"/>
      <w:r w:rsidRPr="00FC7507">
        <w:rPr>
          <w:b/>
          <w:i/>
          <w:color w:val="000000"/>
        </w:rPr>
        <w:t xml:space="preserve"> – Bangui – Kampala</w:t>
      </w:r>
    </w:p>
    <w:p w:rsidR="005D120C" w:rsidRPr="006A7D61" w:rsidRDefault="00E63464">
      <w:pPr>
        <w:spacing w:before="80" w:after="80" w:line="276" w:lineRule="auto"/>
        <w:jc w:val="both"/>
        <w:rPr>
          <w:lang w:val="fr-FR"/>
        </w:rPr>
      </w:pPr>
      <w:r w:rsidRPr="006A7D61">
        <w:rPr>
          <w:color w:val="000000"/>
          <w:lang w:val="fr-FR"/>
        </w:rPr>
        <w:lastRenderedPageBreak/>
        <w:t xml:space="preserve">La logique d'intervention est structurée autour de quatre composantes : </w:t>
      </w:r>
      <w:r w:rsidRPr="00FC7507">
        <w:rPr>
          <w:b/>
          <w:i/>
          <w:color w:val="000000"/>
          <w:lang w:val="fr-FR"/>
        </w:rPr>
        <w:t>(C1) Planification, coordination et gestion des corridors ; (C2) Facilitation des transports ; (C3) Facilitation des échanges ; (C4) Facilitation aux petits commerces et infrastructures transfrontaliers.</w:t>
      </w:r>
    </w:p>
    <w:p w:rsidR="005D120C" w:rsidRPr="006A7D61" w:rsidRDefault="00E63464">
      <w:pPr>
        <w:pStyle w:val="Heading2"/>
        <w:rPr>
          <w:lang w:val="fr-FR"/>
        </w:rPr>
      </w:pPr>
      <w:r w:rsidRPr="006A7D61">
        <w:rPr>
          <w:lang w:val="fr-FR"/>
        </w:rPr>
        <w:t>1.2 L'OPA-AC et son évolution vers l'ORT-AC</w:t>
      </w:r>
    </w:p>
    <w:p w:rsidR="005D120C" w:rsidRPr="006A7D61" w:rsidRDefault="00E63464">
      <w:pPr>
        <w:spacing w:before="80" w:after="80" w:line="276" w:lineRule="auto"/>
        <w:jc w:val="both"/>
        <w:rPr>
          <w:lang w:val="fr-FR"/>
        </w:rPr>
      </w:pPr>
      <w:r w:rsidRPr="006A7D61">
        <w:rPr>
          <w:color w:val="000000"/>
          <w:lang w:val="fr-FR"/>
        </w:rPr>
        <w:t>L'Observatoire des Pratiques Anormales en Afrique centrale (OPA-AC) a permis, au fil des années, de produire et de diffuser des informations sur les obstacles à la fluidité du trafic, les pratiques anormales observées sur les corridors régionaux et plusieurs dimensions de la performance logistique. Il constitue un instrument de suivi, de documentation et de sensibilisation des acteurs publics et privés impliqués dans la facilitation des échanges.</w:t>
      </w:r>
    </w:p>
    <w:p w:rsidR="005D120C" w:rsidRPr="006A7D61" w:rsidRDefault="00E63464">
      <w:pPr>
        <w:spacing w:before="80" w:after="80" w:line="276" w:lineRule="auto"/>
        <w:jc w:val="both"/>
        <w:rPr>
          <w:lang w:val="fr-FR"/>
        </w:rPr>
      </w:pPr>
      <w:r w:rsidRPr="006A7D61">
        <w:rPr>
          <w:color w:val="000000"/>
          <w:lang w:val="fr-FR"/>
        </w:rPr>
        <w:t>Dans le cadre du projet CORAC 5-6, l'Activité A.2.1.1 « Renforcer l'observatoire des pratiques anormales (OPA-AC) » vise à appuyer l'OPA-AC dans sa montée en puissance fonctionnelle et dans sa transition progressive vers un Observatoire Régional des Transports d'Afrique centrale (ORT-AC) — dispositif plus large intégrant les corridors routiers, les plateformes logistiques, les points frontaliers et les interfaces portuaires, et reposant sur un système d'information modernisé, digitalisé et dématérialisé.</w:t>
      </w:r>
    </w:p>
    <w:p w:rsidR="005D120C" w:rsidRPr="006A7D61" w:rsidRDefault="00E63464">
      <w:pPr>
        <w:spacing w:before="80" w:after="80" w:line="276" w:lineRule="auto"/>
        <w:jc w:val="both"/>
        <w:rPr>
          <w:lang w:val="fr-FR"/>
        </w:rPr>
      </w:pPr>
      <w:r w:rsidRPr="006A7D61">
        <w:rPr>
          <w:color w:val="000000"/>
          <w:lang w:val="fr-FR"/>
        </w:rPr>
        <w:t xml:space="preserve">Cette transition répond à la nécessité de disposer d'un outil régional de suivi, d'analyse, de veille et d'aide à la décision au service des institutions communautaires (CEMAC, CEEAC), des États membres et des acteurs économiques. Elle s'appuie sur les travaux de l'atelier de validation du rapport provisoire </w:t>
      </w:r>
      <w:r w:rsidR="00FC7507">
        <w:rPr>
          <w:color w:val="000000"/>
          <w:lang w:val="fr-FR"/>
        </w:rPr>
        <w:t>du projet PAIRIAC</w:t>
      </w:r>
      <w:r w:rsidR="00AE0E22">
        <w:rPr>
          <w:color w:val="000000"/>
          <w:lang w:val="fr-FR"/>
        </w:rPr>
        <w:t xml:space="preserve"> </w:t>
      </w:r>
      <w:r w:rsidR="00AE0E22" w:rsidRPr="00AE0E22">
        <w:rPr>
          <w:lang w:val="fr-FR"/>
        </w:rPr>
        <w:t>(Programme d'Appui à l'Intégration Régionale et à l'Investissement en Afrique Centrale)</w:t>
      </w:r>
      <w:r w:rsidR="00FC7507">
        <w:rPr>
          <w:color w:val="000000"/>
          <w:lang w:val="fr-FR"/>
        </w:rPr>
        <w:t xml:space="preserve">, </w:t>
      </w:r>
      <w:r w:rsidRPr="006A7D61">
        <w:rPr>
          <w:color w:val="000000"/>
          <w:lang w:val="fr-FR"/>
        </w:rPr>
        <w:t>tenu à Douala le 6 mars 2024, qui a formulé des recommandations structurantes sur la gouvernance, le financement, les indicateurs environnementaux, l'analyse des risques et l'articulation avec la gestion pérenne des corridors.</w:t>
      </w:r>
    </w:p>
    <w:p w:rsidR="005D120C" w:rsidRPr="006A7D61" w:rsidRDefault="00E63464">
      <w:pPr>
        <w:pStyle w:val="Heading2"/>
        <w:rPr>
          <w:lang w:val="fr-FR"/>
        </w:rPr>
      </w:pPr>
      <w:r w:rsidRPr="006A7D61">
        <w:rPr>
          <w:lang w:val="fr-FR"/>
        </w:rPr>
        <w:t>1.3 Justification du recrutement</w:t>
      </w:r>
    </w:p>
    <w:p w:rsidR="005D120C" w:rsidRPr="006A7D61" w:rsidRDefault="00E63464">
      <w:pPr>
        <w:spacing w:before="80" w:after="80" w:line="276" w:lineRule="auto"/>
        <w:jc w:val="both"/>
        <w:rPr>
          <w:lang w:val="fr-FR"/>
        </w:rPr>
      </w:pPr>
      <w:r w:rsidRPr="006A7D61">
        <w:rPr>
          <w:color w:val="000000"/>
          <w:lang w:val="fr-FR"/>
        </w:rPr>
        <w:t>Pour accompagner l'OPA-AC dans cette phase de transition et renforcer ses capacités d'analyse économique des transports, le projet CORAC 5-6 prévoit le déploiement d'une assistance technique dédiée. Le recrutement d'un Assistant technique en économie des transports permettra de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Renforcer les capacités analytiques et opérationnelles de l'OPA-AC dans la production d'indicateurs économiques sur la performance des corridors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Appuyer la consolidation du modèle économique et institutionnel de l'ORT-AC, notamment ses mécanismes de financement et les options de partenariat public-privé</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Contribuer à l'actualisation du projet de transformation OPA-AC/ORT-AC, en articulant les dimensions économiques, logistiques et institutionnelles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Soutenir le dialogue politique et la mobilisation de ressources en faveur de l'ORT-AC auprès des institutions régionales et des États membres</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2. Objectif général de la mission</w:t>
      </w:r>
    </w:p>
    <w:p w:rsidR="005D120C" w:rsidRPr="006A7D61" w:rsidRDefault="00E63464">
      <w:pPr>
        <w:spacing w:before="80" w:after="80" w:line="276" w:lineRule="auto"/>
        <w:jc w:val="both"/>
        <w:rPr>
          <w:lang w:val="fr-FR"/>
        </w:rPr>
      </w:pPr>
      <w:r w:rsidRPr="006A7D61">
        <w:rPr>
          <w:color w:val="000000"/>
          <w:lang w:val="fr-FR"/>
        </w:rPr>
        <w:t>Renforcer les capacités de l'OPA-AC en matière d'analyse économique des transports et appuyer la transition vers l'ORT-AC, en fournissant une expertise technique de haut niveau sur les dimensions économiques, financières, institutionnelles et opérationnelles du dispositif régional de suivi des corridors d'Afrique centrale.</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3. Objectifs spécifiques</w:t>
      </w:r>
    </w:p>
    <w:p w:rsidR="005D120C" w:rsidRPr="006A7D61" w:rsidRDefault="00E63464">
      <w:pPr>
        <w:spacing w:before="80" w:after="80" w:line="276" w:lineRule="auto"/>
        <w:jc w:val="both"/>
        <w:rPr>
          <w:lang w:val="fr-FR"/>
        </w:rPr>
      </w:pPr>
      <w:r w:rsidRPr="006A7D61">
        <w:rPr>
          <w:color w:val="000000"/>
          <w:lang w:val="fr-FR"/>
        </w:rPr>
        <w:t>Dans ce cadre, l'Assistant technique aura pour objectifs spécifiques de :</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Appuyer l'OPA-AC dans la production et l'analyse d'indicateurs économiques de performance logistique sur les corridors 5 et 6.</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Contribuer à l'actualisation du projet de transformation de l'OPA-AC en ORT-AC, en particulier sur les volets économique, financier et institutionnel.</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Approfondir le modèle économique de l'ORT-AC, ses mécanismes de financement et les options de partenariat public-privé (PPP).</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lastRenderedPageBreak/>
        <w:t>Appuyer le développement du cadre d'indicateurs économiques de l'ORT-AC, incluant les dimensions de performance, durabilité et aide à la décision.</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Contribuer à la définition d'une stratégie de plaidoyer et de mobilisation de ressources en faveur de l'ORT-AC auprès des institutions régionales et des États membres.</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Renforcer les capacités des équipes de l'OPA-AC en matière d'analyse économique des transports et d'exploitation des données.</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Assurer la cohérence des travaux avec les recommandations du projet CORAC 5-6 relatives à la gestion pérenne des corridors.</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4. Positionnement dans le dispositif</w:t>
      </w:r>
    </w:p>
    <w:p w:rsidR="005D120C" w:rsidRPr="006A7D61" w:rsidRDefault="00E63464">
      <w:pPr>
        <w:spacing w:before="80" w:after="80" w:line="276" w:lineRule="auto"/>
        <w:jc w:val="both"/>
        <w:rPr>
          <w:lang w:val="fr-FR"/>
        </w:rPr>
      </w:pPr>
      <w:r w:rsidRPr="006A7D61">
        <w:rPr>
          <w:color w:val="000000"/>
          <w:lang w:val="fr-FR"/>
        </w:rPr>
        <w:t>L'Assistant technique sera mis à disposition de l'OPA-AC et travaillera au quotidien en étroite collaboration avec les équipes de l'observatoire. Il sera placé sous la supervision technique de la Chefferie de Projet CORAC 5-6 et de l'Expert Composante 2 « Facilitation des transports », qui assureront le pilotage opérationnel de l'assistance technique.</w:t>
      </w:r>
    </w:p>
    <w:p w:rsidR="005D120C" w:rsidRDefault="00E63464">
      <w:pPr>
        <w:spacing w:before="80" w:after="80" w:line="276" w:lineRule="auto"/>
        <w:jc w:val="both"/>
      </w:pPr>
      <w:proofErr w:type="gramStart"/>
      <w:r>
        <w:rPr>
          <w:color w:val="000000"/>
        </w:rPr>
        <w:t>Il</w:t>
      </w:r>
      <w:proofErr w:type="gramEnd"/>
      <w:r>
        <w:rPr>
          <w:color w:val="000000"/>
        </w:rPr>
        <w:t xml:space="preserve"> </w:t>
      </w:r>
      <w:proofErr w:type="spellStart"/>
      <w:r>
        <w:rPr>
          <w:color w:val="000000"/>
        </w:rPr>
        <w:t>interagira</w:t>
      </w:r>
      <w:proofErr w:type="spellEnd"/>
      <w:r>
        <w:rPr>
          <w:color w:val="000000"/>
        </w:rPr>
        <w:t xml:space="preserve"> </w:t>
      </w:r>
      <w:proofErr w:type="spellStart"/>
      <w:r>
        <w:rPr>
          <w:color w:val="000000"/>
        </w:rPr>
        <w:t>régulièrement</w:t>
      </w:r>
      <w:proofErr w:type="spellEnd"/>
      <w:r>
        <w:rPr>
          <w:color w:val="000000"/>
        </w:rPr>
        <w:t xml:space="preserve"> </w:t>
      </w:r>
      <w:r w:rsidR="00AE0E22">
        <w:rPr>
          <w:color w:val="000000"/>
        </w:rPr>
        <w:t>avec:</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L'équipe dirigeante et les experts de l'OPA-AC (interlocuteurs quotidiens au sein de la structure bénéficiaire)</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L'Expert Composante 2 du projet CORAC 5-6 (supervision technique directe)</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w:t>
      </w:r>
      <w:r w:rsidR="00AE0E22">
        <w:rPr>
          <w:color w:val="000000"/>
          <w:lang w:val="fr-FR"/>
        </w:rPr>
        <w:t xml:space="preserve">e Chef et, </w:t>
      </w:r>
      <w:r w:rsidR="00AE0E22" w:rsidRPr="006A7D61">
        <w:rPr>
          <w:color w:val="000000"/>
          <w:lang w:val="fr-FR"/>
        </w:rPr>
        <w:t>l’Adjoint</w:t>
      </w:r>
      <w:r w:rsidRPr="006A7D61">
        <w:rPr>
          <w:color w:val="000000"/>
          <w:lang w:val="fr-FR"/>
        </w:rPr>
        <w:t xml:space="preserve"> au Chef de Projet CORAC 5-6 (pilotage opérationnel et suivi budgétaire)</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 xml:space="preserve">Le Chef de mission et l'Expert </w:t>
      </w:r>
      <w:proofErr w:type="spellStart"/>
      <w:r w:rsidRPr="006A7D61">
        <w:rPr>
          <w:color w:val="000000"/>
          <w:lang w:val="fr-FR"/>
        </w:rPr>
        <w:t>Big</w:t>
      </w:r>
      <w:proofErr w:type="spellEnd"/>
      <w:r w:rsidRPr="006A7D61">
        <w:rPr>
          <w:color w:val="000000"/>
          <w:lang w:val="fr-FR"/>
        </w:rPr>
        <w:t xml:space="preserve"> Data / Data Science mobilisés dans le cadre de l'actualisation OPA-AC/ORT-AC</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 xml:space="preserve">Les institutions régionales partenaires : </w:t>
      </w:r>
      <w:r w:rsidR="00AE0E22">
        <w:rPr>
          <w:color w:val="000000"/>
          <w:lang w:val="fr-FR"/>
        </w:rPr>
        <w:t xml:space="preserve">DUE, </w:t>
      </w:r>
      <w:r w:rsidRPr="006A7D61">
        <w:rPr>
          <w:color w:val="000000"/>
          <w:lang w:val="fr-FR"/>
        </w:rPr>
        <w:t xml:space="preserve">CEMAC, CEEAC, </w:t>
      </w:r>
      <w:r w:rsidR="00AE0E22">
        <w:rPr>
          <w:color w:val="000000"/>
          <w:lang w:val="fr-FR"/>
        </w:rPr>
        <w:t xml:space="preserve">Banque Mondiale, </w:t>
      </w:r>
      <w:r w:rsidRPr="006A7D61">
        <w:rPr>
          <w:color w:val="000000"/>
          <w:lang w:val="fr-FR"/>
        </w:rPr>
        <w:t>secrétariats des corridors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Les points focaux nationaux des États membres concernés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Les partenaires techniques et financiers intervenant sur les corridors d'Afrique centrale</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5. Description des missions</w:t>
      </w:r>
    </w:p>
    <w:p w:rsidR="005D120C" w:rsidRPr="006A7D61" w:rsidRDefault="00E63464">
      <w:pPr>
        <w:pStyle w:val="Heading2"/>
        <w:rPr>
          <w:lang w:val="fr-FR"/>
        </w:rPr>
      </w:pPr>
      <w:r w:rsidRPr="006A7D61">
        <w:rPr>
          <w:lang w:val="fr-FR"/>
        </w:rPr>
        <w:t>5.1 Appui à l'analyse économique des corridors</w:t>
      </w:r>
    </w:p>
    <w:p w:rsidR="005D120C" w:rsidRPr="006A7D61" w:rsidRDefault="00E63464">
      <w:pPr>
        <w:spacing w:before="80" w:after="80" w:line="276" w:lineRule="auto"/>
        <w:jc w:val="both"/>
        <w:rPr>
          <w:lang w:val="fr-FR"/>
        </w:rPr>
      </w:pPr>
      <w:r w:rsidRPr="006A7D61">
        <w:rPr>
          <w:color w:val="000000"/>
          <w:lang w:val="fr-FR"/>
        </w:rPr>
        <w:t>L'Assistant technique contribuera directement à la fonction d'analyse économique de l'OPA-AC, notamment à travers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La collecte, le traitement et l'analyse des données économiques relatives aux performances logistiques des corridors 5 et 6 (coûts de transport, délais de transit, pratiques anormales, prélèvements illicites)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La production d'indicateurs économiques de performance des corridors, en lien avec le cadre méthodologique de l'OPA-AC et les standards régionaux CEMAC/CEEAC</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La rédaction de notes analytiques, de rapports thématiques et de contributions aux publications périodiques de l'observatoire</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La contribution à l'analyse des flux commerciaux et logistiques sur les corridors, notamment les coûts et délais d'acheminement depuis le Port de Douala</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L'appui à la valorisation des données de l'OPA-AC dans des formats accessibles aux décideurs publics et privés</w:t>
      </w:r>
    </w:p>
    <w:p w:rsidR="005D120C" w:rsidRPr="006A7D61" w:rsidRDefault="00E63464">
      <w:pPr>
        <w:pStyle w:val="Heading2"/>
        <w:rPr>
          <w:lang w:val="fr-FR"/>
        </w:rPr>
      </w:pPr>
      <w:r w:rsidRPr="006A7D61">
        <w:rPr>
          <w:lang w:val="fr-FR"/>
        </w:rPr>
        <w:t>5.2 Appui à l'actualisation du projet OPA-AC/ORT-AC</w:t>
      </w:r>
    </w:p>
    <w:p w:rsidR="005D120C" w:rsidRPr="006A7D61" w:rsidRDefault="00E63464">
      <w:pPr>
        <w:spacing w:before="80" w:after="80" w:line="276" w:lineRule="auto"/>
        <w:jc w:val="both"/>
        <w:rPr>
          <w:lang w:val="fr-FR"/>
        </w:rPr>
      </w:pPr>
      <w:r w:rsidRPr="006A7D61">
        <w:rPr>
          <w:color w:val="000000"/>
          <w:lang w:val="fr-FR"/>
        </w:rPr>
        <w:t xml:space="preserve">En lien avec le Chef de mission et l'Expert </w:t>
      </w:r>
      <w:proofErr w:type="spellStart"/>
      <w:r w:rsidRPr="006A7D61">
        <w:rPr>
          <w:color w:val="000000"/>
          <w:lang w:val="fr-FR"/>
        </w:rPr>
        <w:t>Big</w:t>
      </w:r>
      <w:proofErr w:type="spellEnd"/>
      <w:r w:rsidRPr="006A7D61">
        <w:rPr>
          <w:color w:val="000000"/>
          <w:lang w:val="fr-FR"/>
        </w:rPr>
        <w:t xml:space="preserve"> Data / Data Science mobilisés dans le cadre de l'actualisation, l'Assistant technique contribuera à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L'actualisation du diagnostic économique et institutionnel de l'OPA-AC, en documentant ses acquis, ses limites et les perspectives de transition</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La consolidation du cadre stratégique et institutionnel de l'ORT-AC, en particulier les options de gouvernance, les rôles des organes régionaux et les mécanismes de coordination</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lastRenderedPageBreak/>
        <w:t>L'actualisation et l'enrichissement du cadre d'indicateurs économiques de l'ORT-AC, incluant les indicateurs de performance des corridors, de durabilité et d'aide à la décision</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La vérification de la cohérence des propositions actualisées avec les recommandations formulées lors de l'atelier de Douala (mars 2024) et avec les travaux du projet CORAC 5-6</w:t>
      </w:r>
    </w:p>
    <w:p w:rsidR="005D120C" w:rsidRPr="006A7D61" w:rsidRDefault="00E63464">
      <w:pPr>
        <w:pStyle w:val="Heading2"/>
        <w:rPr>
          <w:lang w:val="fr-FR"/>
        </w:rPr>
      </w:pPr>
      <w:r w:rsidRPr="006A7D61">
        <w:rPr>
          <w:lang w:val="fr-FR"/>
        </w:rPr>
        <w:t>5.3 Modèle économique, financement et PPP de l'ORT-AC</w:t>
      </w:r>
    </w:p>
    <w:p w:rsidR="005D120C" w:rsidRPr="006A7D61" w:rsidRDefault="00E63464">
      <w:pPr>
        <w:spacing w:before="80" w:after="80" w:line="276" w:lineRule="auto"/>
        <w:jc w:val="both"/>
        <w:rPr>
          <w:lang w:val="fr-FR"/>
        </w:rPr>
      </w:pPr>
      <w:r w:rsidRPr="006A7D61">
        <w:rPr>
          <w:color w:val="000000"/>
          <w:lang w:val="fr-FR"/>
        </w:rPr>
        <w:t>L'Assistant technique apportera une expertise dédiée sur les dimensions économiques et financières de l'ORT-AC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Analyse et révision des hypothèses de financement de l'ORT-AC (ressources communautaires, appuis des partenaires techniques et financiers, subventions CEMAC/FODEC, portage par les États)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Approfondissement des options de partenariat public-privé (PPP) : identification des missions susceptibles d'être confiées à un partenaire privé, définition des interfaces avec le secteur public et analyse des conditions d'un partenariat équilibré</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Contribution à la définition d'un modèle de financement articulé, lorsque pertinent, aux ressources générées par la gestion des corridors en mode PPP</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Identification et analyse des sources de financement complémentaires pour la pérennisation de l'ORT-AC</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Élaboration d'une note de synthèse sur le modèle économique et les mécanismes de financement à destination de la Chefferie de Projet</w:t>
      </w:r>
    </w:p>
    <w:p w:rsidR="005D120C" w:rsidRPr="006A7D61" w:rsidRDefault="00E63464">
      <w:pPr>
        <w:pStyle w:val="Heading2"/>
        <w:rPr>
          <w:lang w:val="fr-FR"/>
        </w:rPr>
      </w:pPr>
      <w:r w:rsidRPr="006A7D61">
        <w:rPr>
          <w:lang w:val="fr-FR"/>
        </w:rPr>
        <w:t>5.4 Stratégie de plaidoyer et mobilisation de ressources</w:t>
      </w:r>
    </w:p>
    <w:p w:rsidR="005D120C" w:rsidRPr="006A7D61" w:rsidRDefault="00E63464">
      <w:pPr>
        <w:spacing w:before="80" w:after="80" w:line="276" w:lineRule="auto"/>
        <w:jc w:val="both"/>
        <w:rPr>
          <w:lang w:val="fr-FR"/>
        </w:rPr>
      </w:pPr>
      <w:r w:rsidRPr="006A7D61">
        <w:rPr>
          <w:color w:val="000000"/>
          <w:lang w:val="fr-FR"/>
        </w:rPr>
        <w:t>L'Assistant technique contribuera à la définition d'une stratégie de plaidoyer et de portage institutionnel en faveur de l'ORT-AC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Élaboration d'argumentaires économiques et financiers à l'attention des institutions régionales (CEMAC, CEEAC) et des États membres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Contribution à la rédaction de notes de positionnement et de documents de plaidoyer pour la mobilisation de ressources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Appui à la préparation des réunions de dialogue avec les partenaires institutionnels et financiers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Contribution à la production de supports de communication destinés aux décideurs publics et privés sur la valeur ajoutée de l'ORT-AC</w:t>
      </w:r>
    </w:p>
    <w:p w:rsidR="005D120C" w:rsidRPr="006A7D61" w:rsidRDefault="00E63464">
      <w:pPr>
        <w:pStyle w:val="Heading2"/>
        <w:rPr>
          <w:lang w:val="fr-FR"/>
        </w:rPr>
      </w:pPr>
      <w:r w:rsidRPr="006A7D61">
        <w:rPr>
          <w:lang w:val="fr-FR"/>
        </w:rPr>
        <w:t>5.5 Renforcement des capacités de l'OPA-AC</w:t>
      </w:r>
    </w:p>
    <w:p w:rsidR="005D120C" w:rsidRPr="006A7D61" w:rsidRDefault="00E63464">
      <w:pPr>
        <w:spacing w:before="80" w:after="80" w:line="276" w:lineRule="auto"/>
        <w:jc w:val="both"/>
        <w:rPr>
          <w:lang w:val="fr-FR"/>
        </w:rPr>
      </w:pPr>
      <w:r w:rsidRPr="006A7D61">
        <w:rPr>
          <w:color w:val="000000"/>
          <w:lang w:val="fr-FR"/>
        </w:rPr>
        <w:t>L'Assistant technique contribuera au renforcement durable des compétences des équipes de l'OPA-AC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Appui à la formation des agents de l'observatoire sur les méthodes d'analyse économique des transports et de traitement des données logistiques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Contribution à l'élaboration de procédures et de guides méthodologiques pour la collecte et l'analyse des données économiques des corridors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Transfert de compétences vers les équipes nationales en charge du suivi des corridors, notamment les points focaux nationaux</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Capitalisation des acquis et contribution à la documentation des pratiques de l'observatoire</w:t>
      </w:r>
    </w:p>
    <w:p w:rsidR="005D120C" w:rsidRPr="006A7D61" w:rsidRDefault="00E63464">
      <w:pPr>
        <w:pStyle w:val="Heading2"/>
        <w:rPr>
          <w:lang w:val="fr-FR"/>
        </w:rPr>
      </w:pPr>
      <w:r w:rsidRPr="006A7D61">
        <w:rPr>
          <w:lang w:val="fr-FR"/>
        </w:rPr>
        <w:t>5.6 Contribution transversale au projet CORAC 5-6</w:t>
      </w:r>
    </w:p>
    <w:p w:rsidR="005D120C" w:rsidRPr="006A7D61" w:rsidRDefault="00E63464">
      <w:pPr>
        <w:spacing w:before="80" w:after="80" w:line="276" w:lineRule="auto"/>
        <w:jc w:val="both"/>
        <w:rPr>
          <w:lang w:val="fr-FR"/>
        </w:rPr>
      </w:pPr>
      <w:r w:rsidRPr="006A7D61">
        <w:rPr>
          <w:color w:val="000000"/>
          <w:lang w:val="fr-FR"/>
        </w:rPr>
        <w:t>En lien avec la Chefferie de Projet et l'Expert Composante 2, l'Assistant technique contribuera aux activités transversales suivantes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Contribution aux rapports d'activités de la Composante 2 et aux rapports semestriels et annuels du projet CORAC 5-6</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Appui à l'articulation entre les travaux de l'OPA-AC et les autres composantes du projet (notamment C1 – Planification et coordination, et C3 – Facilitation des échanges)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Participation aux réunions techniques, aux comités de pilotage et aux ateliers de restitution organisés dans le cadre du projet</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Contribution à la veille sectorielle sur l'économie des transports et la logistique en Afrique centrale</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lastRenderedPageBreak/>
        <w:t>6. Livrables attendus</w:t>
      </w:r>
    </w:p>
    <w:p w:rsidR="005D120C" w:rsidRPr="006A7D61" w:rsidRDefault="00E63464">
      <w:pPr>
        <w:spacing w:before="80" w:after="80" w:line="276" w:lineRule="auto"/>
        <w:jc w:val="both"/>
        <w:rPr>
          <w:lang w:val="fr-FR"/>
        </w:rPr>
      </w:pPr>
      <w:r w:rsidRPr="006A7D61">
        <w:rPr>
          <w:color w:val="000000"/>
          <w:lang w:val="fr-FR"/>
        </w:rPr>
        <w:t>Les livrables sont produits progressivement tout au long de la mission et soumis à la validation de la Chefferie de Projet et de la structure bénéficiaire.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4797"/>
        <w:gridCol w:w="2552"/>
        <w:gridCol w:w="2143"/>
      </w:tblGrid>
      <w:tr w:rsidR="005D120C">
        <w:trPr>
          <w:tblHeader/>
        </w:trPr>
        <w:tc>
          <w:tcPr>
            <w:tcW w:w="714"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r>
              <w:rPr>
                <w:b/>
                <w:bCs/>
                <w:color w:val="FFFFFF"/>
                <w:sz w:val="19"/>
                <w:szCs w:val="19"/>
              </w:rPr>
              <w:t>#</w:t>
            </w:r>
          </w:p>
        </w:tc>
        <w:tc>
          <w:tcPr>
            <w:tcW w:w="4796"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proofErr w:type="spellStart"/>
            <w:r>
              <w:rPr>
                <w:b/>
                <w:bCs/>
                <w:color w:val="FFFFFF"/>
                <w:sz w:val="19"/>
                <w:szCs w:val="19"/>
              </w:rPr>
              <w:t>Livrable</w:t>
            </w:r>
            <w:proofErr w:type="spellEnd"/>
          </w:p>
        </w:tc>
        <w:tc>
          <w:tcPr>
            <w:tcW w:w="2551"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proofErr w:type="spellStart"/>
            <w:r>
              <w:rPr>
                <w:b/>
                <w:bCs/>
                <w:color w:val="FFFFFF"/>
                <w:sz w:val="19"/>
                <w:szCs w:val="19"/>
              </w:rPr>
              <w:t>Échéance</w:t>
            </w:r>
            <w:proofErr w:type="spellEnd"/>
            <w:r>
              <w:rPr>
                <w:b/>
                <w:bCs/>
                <w:color w:val="FFFFFF"/>
                <w:sz w:val="19"/>
                <w:szCs w:val="19"/>
              </w:rPr>
              <w:t xml:space="preserve"> indicative</w:t>
            </w:r>
          </w:p>
        </w:tc>
        <w:tc>
          <w:tcPr>
            <w:tcW w:w="2143"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proofErr w:type="spellStart"/>
            <w:r>
              <w:rPr>
                <w:b/>
                <w:bCs/>
                <w:color w:val="FFFFFF"/>
                <w:sz w:val="19"/>
                <w:szCs w:val="19"/>
              </w:rPr>
              <w:t>Destinataire</w:t>
            </w:r>
            <w:proofErr w:type="spellEnd"/>
          </w:p>
        </w:tc>
      </w:tr>
      <w:tr w:rsidR="005D120C" w:rsidRPr="00335F87">
        <w:tc>
          <w:tcPr>
            <w:tcW w:w="7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L1</w:t>
            </w:r>
          </w:p>
        </w:tc>
        <w:tc>
          <w:tcPr>
            <w:tcW w:w="479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Note de démarrage (méthodologie, plan de travail, calendrier d'intervention)</w:t>
            </w:r>
          </w:p>
        </w:tc>
        <w:tc>
          <w:tcPr>
            <w:tcW w:w="255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J+5</w:t>
            </w:r>
          </w:p>
        </w:tc>
        <w:tc>
          <w:tcPr>
            <w:tcW w:w="214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Chefferie de Projet / OPA-AC</w:t>
            </w:r>
          </w:p>
        </w:tc>
      </w:tr>
      <w:tr w:rsidR="005D120C" w:rsidRPr="00335F87">
        <w:tc>
          <w:tcPr>
            <w:tcW w:w="71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L2</w:t>
            </w:r>
          </w:p>
        </w:tc>
        <w:tc>
          <w:tcPr>
            <w:tcW w:w="47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Diagnostic économique actualisé de l'OPA-AC (acquis, limites, perspectives de transition)</w:t>
            </w:r>
          </w:p>
        </w:tc>
        <w:tc>
          <w:tcPr>
            <w:tcW w:w="255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J+15</w:t>
            </w:r>
          </w:p>
        </w:tc>
        <w:tc>
          <w:tcPr>
            <w:tcW w:w="214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Chefferie de Projet / OPA-AC</w:t>
            </w:r>
          </w:p>
        </w:tc>
      </w:tr>
      <w:tr w:rsidR="005D120C" w:rsidRPr="00335F87">
        <w:tc>
          <w:tcPr>
            <w:tcW w:w="7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L3</w:t>
            </w:r>
          </w:p>
        </w:tc>
        <w:tc>
          <w:tcPr>
            <w:tcW w:w="479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Note sur le cadre d'indicateurs économiques de performance des corridors (enrichissement et hiérarchisation)</w:t>
            </w:r>
          </w:p>
        </w:tc>
        <w:tc>
          <w:tcPr>
            <w:tcW w:w="255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J+20</w:t>
            </w:r>
          </w:p>
        </w:tc>
        <w:tc>
          <w:tcPr>
            <w:tcW w:w="214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Chefferie de Projet / OPA-AC</w:t>
            </w:r>
          </w:p>
        </w:tc>
      </w:tr>
      <w:tr w:rsidR="005D120C">
        <w:tc>
          <w:tcPr>
            <w:tcW w:w="71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L4</w:t>
            </w:r>
          </w:p>
        </w:tc>
        <w:tc>
          <w:tcPr>
            <w:tcW w:w="47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Note sur le modèle économique, les mécanismes de financement et les options PPP de l'ORT-AC</w:t>
            </w:r>
          </w:p>
        </w:tc>
        <w:tc>
          <w:tcPr>
            <w:tcW w:w="255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J+25</w:t>
            </w:r>
          </w:p>
        </w:tc>
        <w:tc>
          <w:tcPr>
            <w:tcW w:w="214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proofErr w:type="spellStart"/>
            <w:r>
              <w:rPr>
                <w:color w:val="000000"/>
                <w:sz w:val="19"/>
                <w:szCs w:val="19"/>
              </w:rPr>
              <w:t>Chefferie</w:t>
            </w:r>
            <w:proofErr w:type="spellEnd"/>
            <w:r>
              <w:rPr>
                <w:color w:val="000000"/>
                <w:sz w:val="19"/>
                <w:szCs w:val="19"/>
              </w:rPr>
              <w:t xml:space="preserve"> de </w:t>
            </w:r>
            <w:proofErr w:type="spellStart"/>
            <w:r>
              <w:rPr>
                <w:color w:val="000000"/>
                <w:sz w:val="19"/>
                <w:szCs w:val="19"/>
              </w:rPr>
              <w:t>Projet</w:t>
            </w:r>
            <w:proofErr w:type="spellEnd"/>
          </w:p>
        </w:tc>
      </w:tr>
      <w:tr w:rsidR="005D120C">
        <w:tc>
          <w:tcPr>
            <w:tcW w:w="7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L5</w:t>
            </w:r>
          </w:p>
        </w:tc>
        <w:tc>
          <w:tcPr>
            <w:tcW w:w="479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Contribution à l'actualisation du projet OPA-AC/ORT-AC (volets économique, financier et institutionnel)</w:t>
            </w:r>
          </w:p>
        </w:tc>
        <w:tc>
          <w:tcPr>
            <w:tcW w:w="255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J+30</w:t>
            </w:r>
          </w:p>
        </w:tc>
        <w:tc>
          <w:tcPr>
            <w:tcW w:w="214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Chef de mission / </w:t>
            </w:r>
            <w:proofErr w:type="spellStart"/>
            <w:r>
              <w:rPr>
                <w:color w:val="000000"/>
                <w:sz w:val="19"/>
                <w:szCs w:val="19"/>
              </w:rPr>
              <w:t>Chefferie</w:t>
            </w:r>
            <w:proofErr w:type="spellEnd"/>
          </w:p>
        </w:tc>
      </w:tr>
      <w:tr w:rsidR="005D120C" w:rsidRPr="00335F87">
        <w:tc>
          <w:tcPr>
            <w:tcW w:w="71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L6</w:t>
            </w:r>
          </w:p>
        </w:tc>
        <w:tc>
          <w:tcPr>
            <w:tcW w:w="47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Note de plaidoyer et de mobilisation de ressources pour l'ORT-AC</w:t>
            </w:r>
          </w:p>
        </w:tc>
        <w:tc>
          <w:tcPr>
            <w:tcW w:w="255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J+35</w:t>
            </w:r>
          </w:p>
        </w:tc>
        <w:tc>
          <w:tcPr>
            <w:tcW w:w="214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Chefferie de Projet / OPA-AC</w:t>
            </w:r>
          </w:p>
        </w:tc>
      </w:tr>
      <w:tr w:rsidR="005D120C">
        <w:tc>
          <w:tcPr>
            <w:tcW w:w="7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L7</w:t>
            </w:r>
          </w:p>
        </w:tc>
        <w:tc>
          <w:tcPr>
            <w:tcW w:w="479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Rapports thématiques et notes analytiques périodiques sur la performance économique des corridors</w:t>
            </w:r>
          </w:p>
        </w:tc>
        <w:tc>
          <w:tcPr>
            <w:tcW w:w="255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Tout au long de la mission</w:t>
            </w:r>
          </w:p>
        </w:tc>
        <w:tc>
          <w:tcPr>
            <w:tcW w:w="214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OPA-AC / </w:t>
            </w:r>
            <w:proofErr w:type="spellStart"/>
            <w:r>
              <w:rPr>
                <w:color w:val="000000"/>
                <w:sz w:val="19"/>
                <w:szCs w:val="19"/>
              </w:rPr>
              <w:t>Chefferie</w:t>
            </w:r>
            <w:proofErr w:type="spellEnd"/>
          </w:p>
        </w:tc>
      </w:tr>
      <w:tr w:rsidR="005D120C">
        <w:tc>
          <w:tcPr>
            <w:tcW w:w="71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L8</w:t>
            </w:r>
          </w:p>
        </w:tc>
        <w:tc>
          <w:tcPr>
            <w:tcW w:w="479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Guide méthodologique de collecte et d'analyse des données économiques des corridors</w:t>
            </w:r>
          </w:p>
        </w:tc>
        <w:tc>
          <w:tcPr>
            <w:tcW w:w="255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 xml:space="preserve">À </w:t>
            </w:r>
            <w:proofErr w:type="spellStart"/>
            <w:r>
              <w:rPr>
                <w:color w:val="000000"/>
                <w:sz w:val="19"/>
                <w:szCs w:val="19"/>
              </w:rPr>
              <w:t>définir</w:t>
            </w:r>
            <w:proofErr w:type="spellEnd"/>
          </w:p>
        </w:tc>
        <w:tc>
          <w:tcPr>
            <w:tcW w:w="214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OPA-AC</w:t>
            </w:r>
          </w:p>
        </w:tc>
      </w:tr>
      <w:tr w:rsidR="005D120C" w:rsidRPr="00335F87">
        <w:tc>
          <w:tcPr>
            <w:tcW w:w="7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L9</w:t>
            </w:r>
          </w:p>
        </w:tc>
        <w:tc>
          <w:tcPr>
            <w:tcW w:w="479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Rapport final de mission avec bilan des contributions et recommandations pour la suite</w:t>
            </w:r>
          </w:p>
        </w:tc>
        <w:tc>
          <w:tcPr>
            <w:tcW w:w="255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Fin de mission</w:t>
            </w:r>
          </w:p>
        </w:tc>
        <w:tc>
          <w:tcPr>
            <w:tcW w:w="214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Chefferie de Projet / OPA-AC</w:t>
            </w:r>
          </w:p>
        </w:tc>
      </w:tr>
    </w:tbl>
    <w:p w:rsidR="005D120C" w:rsidRPr="006A7D61" w:rsidRDefault="00E63464">
      <w:pPr>
        <w:spacing w:before="80" w:after="80" w:line="276" w:lineRule="auto"/>
        <w:jc w:val="both"/>
        <w:rPr>
          <w:lang w:val="fr-FR"/>
        </w:rPr>
      </w:pPr>
      <w:r w:rsidRPr="006A7D61">
        <w:rPr>
          <w:i/>
          <w:iCs/>
          <w:color w:val="000000"/>
          <w:lang w:val="fr-FR"/>
        </w:rPr>
        <w:t>Des rapports de mission ponctuels seront produits à l'issue de chaque déplacement sur le terrain (missions au Cameroun, en RCA et dans les pays traversés par les corridors).</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7. Profil recherché</w:t>
      </w:r>
    </w:p>
    <w:p w:rsidR="005D120C" w:rsidRPr="006A7D61" w:rsidRDefault="00E63464">
      <w:pPr>
        <w:pStyle w:val="Heading2"/>
        <w:rPr>
          <w:lang w:val="fr-FR"/>
        </w:rPr>
      </w:pPr>
      <w:r w:rsidRPr="006A7D61">
        <w:rPr>
          <w:lang w:val="fr-FR"/>
        </w:rPr>
        <w:t>7.1 Formation</w:t>
      </w:r>
    </w:p>
    <w:p w:rsidR="005D120C" w:rsidRPr="006A7D61" w:rsidRDefault="00E63464">
      <w:pPr>
        <w:spacing w:before="80" w:after="80" w:line="276" w:lineRule="auto"/>
        <w:jc w:val="both"/>
        <w:rPr>
          <w:lang w:val="fr-FR"/>
        </w:rPr>
      </w:pPr>
      <w:r w:rsidRPr="006A7D61">
        <w:rPr>
          <w:color w:val="000000"/>
          <w:lang w:val="fr-FR"/>
        </w:rPr>
        <w:t xml:space="preserve">Diplôme universitaire de niveau Bac+5 minimum (Master ou équivalent) dans l'un des domaines suivants : économie des transports, économie du développement, économie internationale, logistique et </w:t>
      </w:r>
      <w:proofErr w:type="spellStart"/>
      <w:r w:rsidRPr="006A7D61">
        <w:rPr>
          <w:color w:val="000000"/>
          <w:lang w:val="fr-FR"/>
        </w:rPr>
        <w:t>supply</w:t>
      </w:r>
      <w:proofErr w:type="spellEnd"/>
      <w:r w:rsidRPr="006A7D61">
        <w:rPr>
          <w:color w:val="000000"/>
          <w:lang w:val="fr-FR"/>
        </w:rPr>
        <w:t xml:space="preserve"> </w:t>
      </w:r>
      <w:proofErr w:type="spellStart"/>
      <w:r w:rsidRPr="006A7D61">
        <w:rPr>
          <w:color w:val="000000"/>
          <w:lang w:val="fr-FR"/>
        </w:rPr>
        <w:t>chain</w:t>
      </w:r>
      <w:proofErr w:type="spellEnd"/>
      <w:r w:rsidRPr="006A7D61">
        <w:rPr>
          <w:color w:val="000000"/>
          <w:lang w:val="fr-FR"/>
        </w:rPr>
        <w:t xml:space="preserve"> management, transport et mobilité, politiques publiques, ingénierie avec spécialisation en économie des transports, ou tout domaine équivalent.</w:t>
      </w:r>
    </w:p>
    <w:p w:rsidR="005D120C" w:rsidRDefault="00E63464">
      <w:pPr>
        <w:pStyle w:val="Heading2"/>
      </w:pPr>
      <w:r>
        <w:t xml:space="preserve">7.2 </w:t>
      </w:r>
      <w:proofErr w:type="spellStart"/>
      <w:r>
        <w:t>Expérience</w:t>
      </w:r>
      <w:proofErr w:type="spellEnd"/>
      <w:r>
        <w:t xml:space="preserve"> </w:t>
      </w:r>
      <w:proofErr w:type="spellStart"/>
      <w:r>
        <w:t>professionnelle</w:t>
      </w:r>
      <w:proofErr w:type="spellEnd"/>
      <w:r>
        <w:t xml:space="preserve"> </w:t>
      </w:r>
      <w:proofErr w:type="spellStart"/>
      <w:r>
        <w:t>générale</w:t>
      </w:r>
      <w:proofErr w:type="spellEnd"/>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Minimum 5 ans d'expérience professionnelle pertinente après l'obtention du diplôme</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Expérience démontrée dans l'analyse économique des systèmes de transport, des corridors logistiques ou des chaînes d'approvisionnement</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lastRenderedPageBreak/>
        <w:t>Expérience dans le cadre de projets de coopération internationale, idéalement financés par l'Union européenne ou d'autres bailleurs multilatéraux</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Expérience de travail avec des institutions publiques, des observatoires sectoriels ou des organisations régionales en Afrique subsaharienne</w:t>
      </w:r>
    </w:p>
    <w:p w:rsidR="005D120C" w:rsidRDefault="00E63464">
      <w:pPr>
        <w:pStyle w:val="Heading2"/>
      </w:pPr>
      <w:r>
        <w:t xml:space="preserve">7.3 Expertise technique </w:t>
      </w:r>
      <w:proofErr w:type="spellStart"/>
      <w:r>
        <w:t>spécifique</w:t>
      </w:r>
      <w:proofErr w:type="spellEnd"/>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Maîtrise des méthodes d'analyse économique appliquées aux transports : coûts de transport, coûts de transit, analyse des délais, mesure des pratiques anormales et des prélèvements illicites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Connaissance des enjeux de performance logistique des corridors en Afrique centrale ou dans des contextes régionaux comparables (CEMAC, CEEAC, COMESA, UEMOA)</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Capacité à produire des indicateurs économiques de performance des corridors et à les restituer dans des formats accessibles aux décideurs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Connaissance des mécanismes de financement des observatoires ou des dispositifs régionaux de suivi (ressources communautaires, PPP, partenariats avec les bailleurs)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Connaissance des enjeux de transition institutionnelle et organisationnelle dans le cadre de réformes régionales (un atout)</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Capacité à contribuer à des documents de plaidoyer et de mobilisation de ressources à l'attention d'institutions régionales et d'États membres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Connaissance directe des travaux de l'OPA-AC ou de l'ORT-AC, considérée comme un avantage significatif</w:t>
      </w:r>
    </w:p>
    <w:p w:rsidR="005D120C" w:rsidRDefault="00E63464">
      <w:pPr>
        <w:pStyle w:val="Heading2"/>
      </w:pPr>
      <w:r>
        <w:t xml:space="preserve">7.4 </w:t>
      </w:r>
      <w:proofErr w:type="spellStart"/>
      <w:r>
        <w:t>Compétences</w:t>
      </w:r>
      <w:proofErr w:type="spellEnd"/>
      <w:r>
        <w:t xml:space="preserve"> </w:t>
      </w:r>
      <w:proofErr w:type="spellStart"/>
      <w:r>
        <w:t>transversales</w:t>
      </w:r>
      <w:proofErr w:type="spellEnd"/>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Excellentes capacités rédactionnelles et de synthèse en français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 xml:space="preserve">Aptitude à travailler en équipe pluridisciplinaire et à coordonner ses contributions avec d'autres experts (Chef de mission, Expert </w:t>
      </w:r>
      <w:proofErr w:type="spellStart"/>
      <w:r w:rsidRPr="006A7D61">
        <w:rPr>
          <w:color w:val="000000"/>
          <w:lang w:val="fr-FR"/>
        </w:rPr>
        <w:t>Big</w:t>
      </w:r>
      <w:proofErr w:type="spellEnd"/>
      <w:r w:rsidRPr="006A7D61">
        <w:rPr>
          <w:color w:val="000000"/>
          <w:lang w:val="fr-FR"/>
        </w:rPr>
        <w:t xml:space="preserve"> Data)</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Aisance relationnelle dans les échanges avec des institutions publiques, des organisations régionales et des partenaires techniques et financiers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Maîtrise des outils bureautiques (Word, Excel, PowerPoint) et des outils d'analyse de données (tableurs avancés, logiciels statistiques — un atout)</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Capacité à respecter des délais de production serrés et à s'adapter aux contraintes opérationnelles de terrain</w:t>
      </w:r>
    </w:p>
    <w:p w:rsidR="005D120C" w:rsidRPr="006A7D61" w:rsidRDefault="00E63464">
      <w:pPr>
        <w:pStyle w:val="Heading2"/>
        <w:rPr>
          <w:lang w:val="fr-FR"/>
        </w:rPr>
      </w:pPr>
      <w:r w:rsidRPr="006A7D61">
        <w:rPr>
          <w:lang w:val="fr-FR"/>
        </w:rPr>
        <w:t>7.5 Langues</w:t>
      </w:r>
    </w:p>
    <w:p w:rsidR="005D120C" w:rsidRPr="006A7D61" w:rsidRDefault="00E63464">
      <w:pPr>
        <w:spacing w:before="80" w:after="80" w:line="276" w:lineRule="auto"/>
        <w:jc w:val="both"/>
        <w:rPr>
          <w:lang w:val="fr-FR"/>
        </w:rPr>
      </w:pPr>
      <w:r w:rsidRPr="006A7D61">
        <w:rPr>
          <w:color w:val="000000"/>
          <w:lang w:val="fr-FR"/>
        </w:rPr>
        <w:t>Maîtrise parfaite du français (oral et écrit) indispensable. La connaissance de l'anglais est un atout pour les échanges avec les partenaires régionaux anglophones (notamment COMESA, EAC pour les corridors vers Kampala).</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8. Durée et modalités de la mission</w:t>
      </w:r>
    </w:p>
    <w:p w:rsidR="005D120C" w:rsidRPr="006A7D61" w:rsidRDefault="00E63464">
      <w:pPr>
        <w:spacing w:before="80" w:after="80" w:line="276" w:lineRule="auto"/>
        <w:jc w:val="both"/>
        <w:rPr>
          <w:lang w:val="fr-FR"/>
        </w:rPr>
      </w:pPr>
      <w:r w:rsidRPr="006A7D61">
        <w:rPr>
          <w:color w:val="000000"/>
          <w:lang w:val="fr-FR"/>
        </w:rPr>
        <w:t xml:space="preserve">La mission est contractualisée sur la base d'un </w:t>
      </w:r>
      <w:r w:rsidR="00AE0E22">
        <w:rPr>
          <w:color w:val="000000"/>
          <w:lang w:val="fr-FR"/>
        </w:rPr>
        <w:t>contrat CDD d’un an</w:t>
      </w:r>
      <w:bookmarkStart w:id="0" w:name="_GoBack"/>
      <w:bookmarkEnd w:id="0"/>
      <w:r w:rsidRPr="006A7D61">
        <w:rPr>
          <w:color w:val="000000"/>
          <w:lang w:val="fr-FR"/>
        </w:rPr>
        <w:t>, à</w:t>
      </w:r>
      <w:r w:rsidR="00AE0E22">
        <w:rPr>
          <w:color w:val="000000"/>
          <w:lang w:val="fr-FR"/>
        </w:rPr>
        <w:t xml:space="preserve"> d</w:t>
      </w:r>
      <w:r w:rsidRPr="006A7D61">
        <w:rPr>
          <w:color w:val="000000"/>
          <w:lang w:val="fr-FR"/>
        </w:rPr>
        <w:t>éfinir en lien avec la Chefferie de Projet, en fonction des besoins opérationnels de l'OPA-AC et du calendrier d'actualisation du projet ORT-AC.</w:t>
      </w:r>
    </w:p>
    <w:p w:rsidR="005D120C" w:rsidRDefault="00E63464">
      <w:pPr>
        <w:spacing w:before="80" w:after="80" w:line="276" w:lineRule="auto"/>
        <w:jc w:val="both"/>
        <w:rPr>
          <w:color w:val="000000"/>
          <w:lang w:val="fr-FR"/>
        </w:rPr>
      </w:pPr>
      <w:r w:rsidRPr="006A7D61">
        <w:rPr>
          <w:color w:val="000000"/>
          <w:lang w:val="fr-FR"/>
        </w:rPr>
        <w:t>La répartition indicative des jours/homme par volet d'intervention est la suivante :</w:t>
      </w:r>
    </w:p>
    <w:p w:rsidR="00AE0E22" w:rsidRPr="006A7D61" w:rsidRDefault="00AE0E22">
      <w:pPr>
        <w:spacing w:before="80" w:after="80" w:line="276" w:lineRule="auto"/>
        <w:jc w:val="both"/>
        <w:rPr>
          <w:lang w:val="fr-FR"/>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4"/>
        <w:gridCol w:w="2041"/>
      </w:tblGrid>
      <w:tr w:rsidR="00AE0E22" w:rsidTr="00AE0E22">
        <w:trPr>
          <w:tblHeader/>
          <w:jc w:val="center"/>
        </w:trPr>
        <w:tc>
          <w:tcPr>
            <w:tcW w:w="5614"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AE0E22" w:rsidRDefault="00AE0E22">
            <w:pPr>
              <w:spacing w:before="80" w:after="80" w:line="276" w:lineRule="auto"/>
              <w:jc w:val="both"/>
            </w:pPr>
            <w:proofErr w:type="spellStart"/>
            <w:r>
              <w:rPr>
                <w:b/>
                <w:bCs/>
                <w:color w:val="FFFFFF"/>
                <w:sz w:val="19"/>
                <w:szCs w:val="19"/>
              </w:rPr>
              <w:t>Volet</w:t>
            </w:r>
            <w:proofErr w:type="spellEnd"/>
            <w:r>
              <w:rPr>
                <w:b/>
                <w:bCs/>
                <w:color w:val="FFFFFF"/>
                <w:sz w:val="19"/>
                <w:szCs w:val="19"/>
              </w:rPr>
              <w:t xml:space="preserve"> </w:t>
            </w:r>
            <w:proofErr w:type="spellStart"/>
            <w:r>
              <w:rPr>
                <w:b/>
                <w:bCs/>
                <w:color w:val="FFFFFF"/>
                <w:sz w:val="19"/>
                <w:szCs w:val="19"/>
              </w:rPr>
              <w:t>d'intervention</w:t>
            </w:r>
            <w:proofErr w:type="spellEnd"/>
          </w:p>
        </w:tc>
        <w:tc>
          <w:tcPr>
            <w:tcW w:w="2041"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AE0E22" w:rsidRDefault="00AE0E22">
            <w:pPr>
              <w:spacing w:before="80" w:after="80" w:line="276" w:lineRule="auto"/>
              <w:jc w:val="both"/>
            </w:pPr>
            <w:r>
              <w:rPr>
                <w:b/>
                <w:bCs/>
                <w:color w:val="FFFFFF"/>
                <w:sz w:val="19"/>
                <w:szCs w:val="19"/>
              </w:rPr>
              <w:t>% mission</w:t>
            </w:r>
          </w:p>
        </w:tc>
      </w:tr>
      <w:tr w:rsidR="00AE0E22" w:rsidTr="00AE0E22">
        <w:trPr>
          <w:jc w:val="center"/>
        </w:trPr>
        <w:tc>
          <w:tcPr>
            <w:tcW w:w="56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AE0E22" w:rsidRPr="006A7D61" w:rsidRDefault="00AE0E22">
            <w:pPr>
              <w:spacing w:before="80" w:after="80" w:line="276" w:lineRule="auto"/>
              <w:jc w:val="both"/>
              <w:rPr>
                <w:lang w:val="fr-FR"/>
              </w:rPr>
            </w:pPr>
            <w:r w:rsidRPr="006A7D61">
              <w:rPr>
                <w:color w:val="000000"/>
                <w:sz w:val="19"/>
                <w:szCs w:val="19"/>
                <w:lang w:val="fr-FR"/>
              </w:rPr>
              <w:t>Analyse économique des corridors et production d'indicateurs</w:t>
            </w:r>
          </w:p>
        </w:tc>
        <w:tc>
          <w:tcPr>
            <w:tcW w:w="204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AE0E22" w:rsidRDefault="00AE0E22">
            <w:pPr>
              <w:spacing w:before="80" w:after="80" w:line="276" w:lineRule="auto"/>
              <w:jc w:val="both"/>
            </w:pPr>
            <w:r>
              <w:rPr>
                <w:color w:val="000000"/>
                <w:sz w:val="19"/>
                <w:szCs w:val="19"/>
              </w:rPr>
              <w:t>~30 %</w:t>
            </w:r>
          </w:p>
        </w:tc>
      </w:tr>
      <w:tr w:rsidR="00AE0E22" w:rsidTr="00AE0E22">
        <w:trPr>
          <w:jc w:val="center"/>
        </w:trPr>
        <w:tc>
          <w:tcPr>
            <w:tcW w:w="561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AE0E22" w:rsidRPr="006A7D61" w:rsidRDefault="00AE0E22">
            <w:pPr>
              <w:spacing w:before="80" w:after="80" w:line="276" w:lineRule="auto"/>
              <w:jc w:val="both"/>
              <w:rPr>
                <w:lang w:val="fr-FR"/>
              </w:rPr>
            </w:pPr>
            <w:r w:rsidRPr="006A7D61">
              <w:rPr>
                <w:color w:val="000000"/>
                <w:sz w:val="19"/>
                <w:szCs w:val="19"/>
                <w:lang w:val="fr-FR"/>
              </w:rPr>
              <w:t>Actualisation du projet OPA-AC/ORT-AC (volets économique et institutionnel)</w:t>
            </w:r>
          </w:p>
        </w:tc>
        <w:tc>
          <w:tcPr>
            <w:tcW w:w="204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AE0E22" w:rsidRDefault="00AE0E22">
            <w:pPr>
              <w:spacing w:before="80" w:after="80" w:line="276" w:lineRule="auto"/>
              <w:jc w:val="both"/>
            </w:pPr>
            <w:r>
              <w:rPr>
                <w:color w:val="000000"/>
                <w:sz w:val="19"/>
                <w:szCs w:val="19"/>
              </w:rPr>
              <w:t>~25 %</w:t>
            </w:r>
          </w:p>
        </w:tc>
      </w:tr>
      <w:tr w:rsidR="00AE0E22" w:rsidTr="00AE0E22">
        <w:trPr>
          <w:jc w:val="center"/>
        </w:trPr>
        <w:tc>
          <w:tcPr>
            <w:tcW w:w="56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AE0E22" w:rsidRPr="006A7D61" w:rsidRDefault="00AE0E22">
            <w:pPr>
              <w:spacing w:before="80" w:after="80" w:line="276" w:lineRule="auto"/>
              <w:jc w:val="both"/>
              <w:rPr>
                <w:lang w:val="fr-FR"/>
              </w:rPr>
            </w:pPr>
            <w:r w:rsidRPr="006A7D61">
              <w:rPr>
                <w:color w:val="000000"/>
                <w:sz w:val="19"/>
                <w:szCs w:val="19"/>
                <w:lang w:val="fr-FR"/>
              </w:rPr>
              <w:t>Modèle économique, financement et PPP de l'ORT-AC</w:t>
            </w:r>
          </w:p>
        </w:tc>
        <w:tc>
          <w:tcPr>
            <w:tcW w:w="204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AE0E22" w:rsidRDefault="00AE0E22">
            <w:pPr>
              <w:spacing w:before="80" w:after="80" w:line="276" w:lineRule="auto"/>
              <w:jc w:val="both"/>
            </w:pPr>
            <w:r>
              <w:rPr>
                <w:color w:val="000000"/>
                <w:sz w:val="19"/>
                <w:szCs w:val="19"/>
              </w:rPr>
              <w:t>~20 %</w:t>
            </w:r>
          </w:p>
        </w:tc>
      </w:tr>
      <w:tr w:rsidR="00AE0E22" w:rsidTr="00AE0E22">
        <w:trPr>
          <w:jc w:val="center"/>
        </w:trPr>
        <w:tc>
          <w:tcPr>
            <w:tcW w:w="561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AE0E22" w:rsidRPr="006A7D61" w:rsidRDefault="00AE0E22">
            <w:pPr>
              <w:spacing w:before="80" w:after="80" w:line="276" w:lineRule="auto"/>
              <w:jc w:val="both"/>
              <w:rPr>
                <w:lang w:val="fr-FR"/>
              </w:rPr>
            </w:pPr>
            <w:r w:rsidRPr="006A7D61">
              <w:rPr>
                <w:color w:val="000000"/>
                <w:sz w:val="19"/>
                <w:szCs w:val="19"/>
                <w:lang w:val="fr-FR"/>
              </w:rPr>
              <w:lastRenderedPageBreak/>
              <w:t>Plaidoyer et mobilisation de ressources</w:t>
            </w:r>
          </w:p>
        </w:tc>
        <w:tc>
          <w:tcPr>
            <w:tcW w:w="204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AE0E22" w:rsidRDefault="00AE0E22">
            <w:pPr>
              <w:spacing w:before="80" w:after="80" w:line="276" w:lineRule="auto"/>
              <w:jc w:val="both"/>
            </w:pPr>
            <w:r>
              <w:rPr>
                <w:color w:val="000000"/>
                <w:sz w:val="19"/>
                <w:szCs w:val="19"/>
              </w:rPr>
              <w:t>~10 %</w:t>
            </w:r>
          </w:p>
        </w:tc>
      </w:tr>
      <w:tr w:rsidR="00AE0E22" w:rsidTr="00AE0E22">
        <w:trPr>
          <w:jc w:val="center"/>
        </w:trPr>
        <w:tc>
          <w:tcPr>
            <w:tcW w:w="561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AE0E22" w:rsidRPr="006A7D61" w:rsidRDefault="00AE0E22">
            <w:pPr>
              <w:spacing w:before="80" w:after="80" w:line="276" w:lineRule="auto"/>
              <w:jc w:val="both"/>
              <w:rPr>
                <w:lang w:val="fr-FR"/>
              </w:rPr>
            </w:pPr>
            <w:r w:rsidRPr="006A7D61">
              <w:rPr>
                <w:color w:val="000000"/>
                <w:sz w:val="19"/>
                <w:szCs w:val="19"/>
                <w:lang w:val="fr-FR"/>
              </w:rPr>
              <w:t>Renforcement des capacités de l'OPA-AC</w:t>
            </w:r>
          </w:p>
        </w:tc>
        <w:tc>
          <w:tcPr>
            <w:tcW w:w="2041"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AE0E22" w:rsidRDefault="00AE0E22">
            <w:pPr>
              <w:spacing w:before="80" w:after="80" w:line="276" w:lineRule="auto"/>
              <w:jc w:val="both"/>
            </w:pPr>
            <w:r>
              <w:rPr>
                <w:color w:val="000000"/>
                <w:sz w:val="19"/>
                <w:szCs w:val="19"/>
              </w:rPr>
              <w:t>~10 %</w:t>
            </w:r>
          </w:p>
        </w:tc>
      </w:tr>
      <w:tr w:rsidR="00AE0E22" w:rsidTr="00AE0E22">
        <w:trPr>
          <w:jc w:val="center"/>
        </w:trPr>
        <w:tc>
          <w:tcPr>
            <w:tcW w:w="561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AE0E22" w:rsidRPr="006A7D61" w:rsidRDefault="00AE0E22">
            <w:pPr>
              <w:spacing w:before="80" w:after="80" w:line="276" w:lineRule="auto"/>
              <w:jc w:val="both"/>
              <w:rPr>
                <w:lang w:val="fr-FR"/>
              </w:rPr>
            </w:pPr>
            <w:r w:rsidRPr="006A7D61">
              <w:rPr>
                <w:color w:val="000000"/>
                <w:sz w:val="19"/>
                <w:szCs w:val="19"/>
                <w:lang w:val="fr-FR"/>
              </w:rPr>
              <w:t>Contributions transversales (</w:t>
            </w:r>
            <w:proofErr w:type="spellStart"/>
            <w:r w:rsidRPr="006A7D61">
              <w:rPr>
                <w:color w:val="000000"/>
                <w:sz w:val="19"/>
                <w:szCs w:val="19"/>
                <w:lang w:val="fr-FR"/>
              </w:rPr>
              <w:t>reporting</w:t>
            </w:r>
            <w:proofErr w:type="spellEnd"/>
            <w:r w:rsidRPr="006A7D61">
              <w:rPr>
                <w:color w:val="000000"/>
                <w:sz w:val="19"/>
                <w:szCs w:val="19"/>
                <w:lang w:val="fr-FR"/>
              </w:rPr>
              <w:t>, réunions, missions terrain)</w:t>
            </w:r>
          </w:p>
        </w:tc>
        <w:tc>
          <w:tcPr>
            <w:tcW w:w="2041"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AE0E22" w:rsidRDefault="00AE0E22">
            <w:pPr>
              <w:spacing w:before="80" w:after="80" w:line="276" w:lineRule="auto"/>
              <w:jc w:val="both"/>
            </w:pPr>
            <w:r>
              <w:rPr>
                <w:color w:val="000000"/>
                <w:sz w:val="19"/>
                <w:szCs w:val="19"/>
              </w:rPr>
              <w:t>~5 %</w:t>
            </w:r>
          </w:p>
        </w:tc>
      </w:tr>
      <w:tr w:rsidR="00AE0E22" w:rsidTr="00AE0E22">
        <w:trPr>
          <w:jc w:val="center"/>
        </w:trPr>
        <w:tc>
          <w:tcPr>
            <w:tcW w:w="5614"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vAlign w:val="center"/>
          </w:tcPr>
          <w:p w:rsidR="00AE0E22" w:rsidRDefault="00AE0E22">
            <w:pPr>
              <w:spacing w:before="80" w:after="80" w:line="276" w:lineRule="auto"/>
              <w:jc w:val="both"/>
            </w:pPr>
            <w:r>
              <w:rPr>
                <w:color w:val="000000"/>
                <w:sz w:val="19"/>
                <w:szCs w:val="19"/>
              </w:rPr>
              <w:t>TOTAL</w:t>
            </w:r>
          </w:p>
        </w:tc>
        <w:tc>
          <w:tcPr>
            <w:tcW w:w="2041"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vAlign w:val="center"/>
          </w:tcPr>
          <w:p w:rsidR="00AE0E22" w:rsidRDefault="00AE0E22">
            <w:pPr>
              <w:spacing w:before="80" w:after="80" w:line="276" w:lineRule="auto"/>
              <w:jc w:val="both"/>
            </w:pPr>
            <w:r>
              <w:rPr>
                <w:color w:val="000000"/>
                <w:sz w:val="19"/>
                <w:szCs w:val="19"/>
              </w:rPr>
              <w:t>100 %</w:t>
            </w:r>
          </w:p>
        </w:tc>
      </w:tr>
    </w:tbl>
    <w:p w:rsidR="005D120C" w:rsidRPr="006A7D61" w:rsidRDefault="00E63464" w:rsidP="00AE0E22">
      <w:pPr>
        <w:spacing w:before="80" w:after="80" w:line="276" w:lineRule="auto"/>
        <w:jc w:val="center"/>
        <w:rPr>
          <w:lang w:val="fr-FR"/>
        </w:rPr>
      </w:pPr>
      <w:r w:rsidRPr="006A7D61">
        <w:rPr>
          <w:i/>
          <w:iCs/>
          <w:color w:val="000000"/>
          <w:lang w:val="fr-FR"/>
        </w:rPr>
        <w:t>Des missions de terrain ponctuelles au Cameroun, en RCA et dans les États membres concernés sont à prévoir dans ce volume.</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9. Zone d'intervention</w:t>
      </w:r>
    </w:p>
    <w:p w:rsidR="005D120C" w:rsidRPr="006A7D61" w:rsidRDefault="00E63464">
      <w:pPr>
        <w:spacing w:before="80" w:after="80" w:line="276" w:lineRule="auto"/>
        <w:jc w:val="both"/>
        <w:rPr>
          <w:lang w:val="fr-FR"/>
        </w:rPr>
      </w:pPr>
      <w:r w:rsidRPr="006A7D61">
        <w:rPr>
          <w:color w:val="000000"/>
          <w:lang w:val="fr-FR"/>
        </w:rPr>
        <w:t>L'Assistant technique sera principalement basé à Yaoundé, au sein des locaux de l'OPA-AC et/ou du Bureau Mutualisé CORAC 5-6. Des missions de terrain ponctuelles sont à prévoir dans les zones suivantes :</w:t>
      </w:r>
    </w:p>
    <w:p w:rsidR="005D120C" w:rsidRDefault="00E63464">
      <w:pPr>
        <w:pStyle w:val="Heading2"/>
      </w:pPr>
      <w:r>
        <w:t>Cameroun</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Yaoundé (siège de l'OPA-AC, réunions institutionnelles)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Douala (Port Autonome, acteurs logistiques et transporteurs)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Autres sites pertinents le long des corridors 5 et 6</w:t>
      </w:r>
    </w:p>
    <w:p w:rsidR="005D120C" w:rsidRPr="006A7D61" w:rsidRDefault="00E63464">
      <w:pPr>
        <w:pStyle w:val="Heading2"/>
        <w:rPr>
          <w:lang w:val="fr-FR"/>
        </w:rPr>
      </w:pPr>
      <w:r w:rsidRPr="006A7D61">
        <w:rPr>
          <w:lang w:val="fr-FR"/>
        </w:rPr>
        <w:t>République Centrafricaine et autres pays des corridors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Bangui (points focaux nationaux, Ministère des Transports de la RCA)</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N'Djamena (Tchad – Corridor 5, selon les besoins)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 xml:space="preserve">Autres points frontaliers et postes de contrôle </w:t>
      </w:r>
      <w:r w:rsidR="001A2629">
        <w:rPr>
          <w:color w:val="000000"/>
          <w:lang w:val="fr-FR"/>
        </w:rPr>
        <w:t xml:space="preserve">et points stratégiques </w:t>
      </w:r>
      <w:r w:rsidRPr="006A7D61">
        <w:rPr>
          <w:color w:val="000000"/>
          <w:lang w:val="fr-FR"/>
        </w:rPr>
        <w:t>des corridors</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10. Résultats attendus</w:t>
      </w:r>
    </w:p>
    <w:p w:rsidR="005D120C" w:rsidRPr="006A7D61" w:rsidRDefault="00E63464">
      <w:pPr>
        <w:spacing w:before="80" w:after="80" w:line="276" w:lineRule="auto"/>
        <w:jc w:val="both"/>
        <w:rPr>
          <w:lang w:val="fr-FR"/>
        </w:rPr>
      </w:pPr>
      <w:r w:rsidRPr="006A7D61">
        <w:rPr>
          <w:color w:val="000000"/>
          <w:lang w:val="fr-FR"/>
        </w:rPr>
        <w:t>Au terme de la mission, les résultats suivants devront être atteints :</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Un diagnostic économique actualisé de l'OPA-AC est disponible, documentant les acquis, les limites et les perspectives de transition vers l'ORT-AC.</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Un cadre enrichi et hiérarchisé d'indicateurs économiques de performance des corridors est disponible et validé par la Chefferie de Projet et l'OPA-AC.</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Un modèle économique et un mécanisme de financement de l'ORT-AC sont proposés, incluant les options PPP et les sources de financement complémentaires.</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Une stratégie de plaidoyer et de portage institutionnel en faveur de l'ORT-AC est formalisée et transmise aux décideurs compétents.</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Les équipes de l'OPA-AC disposent de méthodes et d'outils renforcés pour l'analyse économique des corridors.</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Les contributions de l'Assistant technique sont intégrées dans le rapport provisoire et le rapport final d'actualisation du projet ORT-AC, coordonnés par le Chef de mission.</w:t>
      </w:r>
    </w:p>
    <w:p w:rsidR="005D120C" w:rsidRPr="006A7D61" w:rsidRDefault="00E63464">
      <w:pPr>
        <w:pStyle w:val="ListParagraph"/>
        <w:numPr>
          <w:ilvl w:val="0"/>
          <w:numId w:val="3"/>
        </w:numPr>
        <w:spacing w:before="40" w:after="40" w:line="276" w:lineRule="auto"/>
        <w:jc w:val="both"/>
        <w:rPr>
          <w:lang w:val="fr-FR"/>
        </w:rPr>
      </w:pPr>
      <w:r w:rsidRPr="006A7D61">
        <w:rPr>
          <w:color w:val="000000"/>
          <w:lang w:val="fr-FR"/>
        </w:rPr>
        <w:t>Un rapport final de mission est produit, documentant les contributions apportées, les résultats obtenus et les recommandations pour la suite de l'assistance technique.</w:t>
      </w:r>
    </w:p>
    <w:p w:rsidR="005D120C" w:rsidRPr="006A7D61" w:rsidRDefault="005D120C">
      <w:pPr>
        <w:pBdr>
          <w:bottom w:val="single" w:sz="6" w:space="1" w:color="2E5C9E"/>
        </w:pBdr>
        <w:spacing w:before="120" w:after="120"/>
        <w:rPr>
          <w:lang w:val="fr-FR"/>
        </w:rPr>
      </w:pPr>
    </w:p>
    <w:p w:rsidR="005D120C" w:rsidRPr="006A7D61" w:rsidRDefault="005D120C">
      <w:pPr>
        <w:pBdr>
          <w:bottom w:val="single" w:sz="6" w:space="1" w:color="2E5C9E"/>
        </w:pBdr>
        <w:spacing w:before="120" w:after="120"/>
        <w:rPr>
          <w:lang w:val="fr-FR"/>
        </w:rPr>
      </w:pPr>
    </w:p>
    <w:p w:rsidR="005D120C" w:rsidRPr="006A7D61" w:rsidRDefault="001A2629">
      <w:pPr>
        <w:pStyle w:val="Heading1"/>
        <w:spacing w:before="300"/>
        <w:rPr>
          <w:lang w:val="fr-FR"/>
        </w:rPr>
      </w:pPr>
      <w:r>
        <w:rPr>
          <w:lang w:val="fr-FR"/>
        </w:rPr>
        <w:lastRenderedPageBreak/>
        <w:t>11</w:t>
      </w:r>
      <w:r w:rsidR="00E63464" w:rsidRPr="006A7D61">
        <w:rPr>
          <w:lang w:val="fr-FR"/>
        </w:rPr>
        <w:t>. Modalités de candidature et de sélection</w:t>
      </w:r>
    </w:p>
    <w:p w:rsidR="005D120C" w:rsidRPr="006A7D61" w:rsidRDefault="00E63464">
      <w:pPr>
        <w:pStyle w:val="Heading2"/>
        <w:rPr>
          <w:lang w:val="fr-FR"/>
        </w:rPr>
      </w:pPr>
      <w:r w:rsidRPr="006A7D61">
        <w:rPr>
          <w:lang w:val="fr-FR"/>
        </w:rPr>
        <w:t>1</w:t>
      </w:r>
      <w:r w:rsidR="001A2629">
        <w:rPr>
          <w:lang w:val="fr-FR"/>
        </w:rPr>
        <w:t>1</w:t>
      </w:r>
      <w:r w:rsidRPr="006A7D61">
        <w:rPr>
          <w:lang w:val="fr-FR"/>
        </w:rPr>
        <w:t>.1 Constitution du dossier de candidature</w:t>
      </w:r>
    </w:p>
    <w:p w:rsidR="005D120C" w:rsidRPr="006A7D61" w:rsidRDefault="00E63464">
      <w:pPr>
        <w:spacing w:before="80" w:after="80" w:line="276" w:lineRule="auto"/>
        <w:jc w:val="both"/>
        <w:rPr>
          <w:lang w:val="fr-FR"/>
        </w:rPr>
      </w:pPr>
      <w:r w:rsidRPr="006A7D61">
        <w:rPr>
          <w:color w:val="000000"/>
          <w:lang w:val="fr-FR"/>
        </w:rPr>
        <w:t>Les candidats sont invités à soumettre un dossier complet comprenant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Un curriculum vitae détaillé en français (format Expertise France recommandé), mettant en valeur les expériences en analyse économique des transports, en corridors logistiques et en projets de coopération internationale</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Une lettre de motivation (2 pages maximum) présentant la compréhension de la mission, la valeur ajoutée du candidat et l'approche méthodologique envisagée</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Une note méthodologique succincte et un chronogramme indicatif d'intervention</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Copie du diplôme le plus élevé</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Trois références professionnelles récentes avec coordonnées, incluant si possible des expériences similaires (observatoires sectoriels, corridors, organisations régionales)</w:t>
      </w:r>
    </w:p>
    <w:p w:rsidR="005D120C" w:rsidRDefault="00E63464">
      <w:pPr>
        <w:pStyle w:val="Heading2"/>
      </w:pPr>
      <w:r>
        <w:t xml:space="preserve">12.2 </w:t>
      </w:r>
      <w:proofErr w:type="spellStart"/>
      <w:r>
        <w:t>Critères</w:t>
      </w:r>
      <w:proofErr w:type="spellEnd"/>
      <w:r>
        <w:t xml:space="preserve"> </w:t>
      </w:r>
      <w:proofErr w:type="spellStart"/>
      <w:r>
        <w:t>d'évaluation</w:t>
      </w:r>
      <w:proofErr w:type="spellEnd"/>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28"/>
        <w:gridCol w:w="1939"/>
        <w:gridCol w:w="1939"/>
      </w:tblGrid>
      <w:tr w:rsidR="005D120C">
        <w:trPr>
          <w:tblHeader/>
        </w:trPr>
        <w:tc>
          <w:tcPr>
            <w:tcW w:w="6327"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proofErr w:type="spellStart"/>
            <w:r>
              <w:rPr>
                <w:b/>
                <w:bCs/>
                <w:color w:val="FFFFFF"/>
                <w:sz w:val="19"/>
                <w:szCs w:val="19"/>
              </w:rPr>
              <w:t>Critère</w:t>
            </w:r>
            <w:proofErr w:type="spellEnd"/>
          </w:p>
        </w:tc>
        <w:tc>
          <w:tcPr>
            <w:tcW w:w="1939"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r>
              <w:rPr>
                <w:b/>
                <w:bCs/>
                <w:color w:val="FFFFFF"/>
                <w:sz w:val="19"/>
                <w:szCs w:val="19"/>
              </w:rPr>
              <w:t>Points</w:t>
            </w:r>
          </w:p>
        </w:tc>
        <w:tc>
          <w:tcPr>
            <w:tcW w:w="1939"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rsidR="005D120C" w:rsidRDefault="00E63464">
            <w:pPr>
              <w:spacing w:before="80" w:after="80" w:line="276" w:lineRule="auto"/>
              <w:jc w:val="both"/>
            </w:pPr>
            <w:r>
              <w:rPr>
                <w:b/>
                <w:bCs/>
                <w:color w:val="FFFFFF"/>
                <w:sz w:val="19"/>
                <w:szCs w:val="19"/>
              </w:rPr>
              <w:t>Maximum</w:t>
            </w:r>
          </w:p>
        </w:tc>
      </w:tr>
      <w:tr w:rsidR="005D120C">
        <w:tc>
          <w:tcPr>
            <w:tcW w:w="632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Formation (Bac+5, domaine économie des transports ou équivalent)</w:t>
            </w:r>
          </w:p>
        </w:tc>
        <w:tc>
          <w:tcPr>
            <w:tcW w:w="1939"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15</w:t>
            </w:r>
          </w:p>
        </w:tc>
        <w:tc>
          <w:tcPr>
            <w:tcW w:w="1939"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15</w:t>
            </w:r>
          </w:p>
        </w:tc>
      </w:tr>
      <w:tr w:rsidR="005D120C">
        <w:tc>
          <w:tcPr>
            <w:tcW w:w="632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Expérience générale en économie des transports / logistique (≥ 5 ans)</w:t>
            </w:r>
          </w:p>
        </w:tc>
        <w:tc>
          <w:tcPr>
            <w:tcW w:w="193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15</w:t>
            </w:r>
          </w:p>
        </w:tc>
        <w:tc>
          <w:tcPr>
            <w:tcW w:w="193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15</w:t>
            </w:r>
          </w:p>
        </w:tc>
      </w:tr>
      <w:tr w:rsidR="005D120C">
        <w:tc>
          <w:tcPr>
            <w:tcW w:w="632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Expertise en analyse de la performance économique des corridors et production d'indicateurs</w:t>
            </w:r>
          </w:p>
        </w:tc>
        <w:tc>
          <w:tcPr>
            <w:tcW w:w="1939"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25</w:t>
            </w:r>
          </w:p>
        </w:tc>
        <w:tc>
          <w:tcPr>
            <w:tcW w:w="1939"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25</w:t>
            </w:r>
          </w:p>
        </w:tc>
      </w:tr>
      <w:tr w:rsidR="005D120C">
        <w:tc>
          <w:tcPr>
            <w:tcW w:w="632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Connaissance des mécanismes de financement, PPP et modèles économiques d'observatoires</w:t>
            </w:r>
          </w:p>
        </w:tc>
        <w:tc>
          <w:tcPr>
            <w:tcW w:w="193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20</w:t>
            </w:r>
          </w:p>
        </w:tc>
        <w:tc>
          <w:tcPr>
            <w:tcW w:w="193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20</w:t>
            </w:r>
          </w:p>
        </w:tc>
      </w:tr>
      <w:tr w:rsidR="005D120C">
        <w:tc>
          <w:tcPr>
            <w:tcW w:w="632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Expérience en Afrique centrale ou contexte CEMAC/CEEAC similaire</w:t>
            </w:r>
          </w:p>
        </w:tc>
        <w:tc>
          <w:tcPr>
            <w:tcW w:w="1939"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15</w:t>
            </w:r>
          </w:p>
        </w:tc>
        <w:tc>
          <w:tcPr>
            <w:tcW w:w="1939"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15</w:t>
            </w:r>
          </w:p>
        </w:tc>
      </w:tr>
      <w:tr w:rsidR="005D120C">
        <w:tc>
          <w:tcPr>
            <w:tcW w:w="632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Pr="006A7D61" w:rsidRDefault="00E63464">
            <w:pPr>
              <w:spacing w:before="80" w:after="80" w:line="276" w:lineRule="auto"/>
              <w:jc w:val="both"/>
              <w:rPr>
                <w:lang w:val="fr-FR"/>
              </w:rPr>
            </w:pPr>
            <w:r w:rsidRPr="006A7D61">
              <w:rPr>
                <w:color w:val="000000"/>
                <w:sz w:val="19"/>
                <w:szCs w:val="19"/>
                <w:lang w:val="fr-FR"/>
              </w:rPr>
              <w:t>Connaissance directe des travaux OPA-AC/ORT-AC ou expérience avec des bailleurs UE</w:t>
            </w:r>
          </w:p>
        </w:tc>
        <w:tc>
          <w:tcPr>
            <w:tcW w:w="193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10</w:t>
            </w:r>
          </w:p>
        </w:tc>
        <w:tc>
          <w:tcPr>
            <w:tcW w:w="1939"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10</w:t>
            </w:r>
          </w:p>
        </w:tc>
      </w:tr>
      <w:tr w:rsidR="005D120C">
        <w:tc>
          <w:tcPr>
            <w:tcW w:w="6327"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TOTAL</w:t>
            </w:r>
          </w:p>
        </w:tc>
        <w:tc>
          <w:tcPr>
            <w:tcW w:w="1939"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100</w:t>
            </w:r>
          </w:p>
        </w:tc>
        <w:tc>
          <w:tcPr>
            <w:tcW w:w="1939"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vAlign w:val="center"/>
          </w:tcPr>
          <w:p w:rsidR="005D120C" w:rsidRDefault="00E63464">
            <w:pPr>
              <w:spacing w:before="80" w:after="80" w:line="276" w:lineRule="auto"/>
              <w:jc w:val="both"/>
            </w:pPr>
            <w:r>
              <w:rPr>
                <w:color w:val="000000"/>
                <w:sz w:val="19"/>
                <w:szCs w:val="19"/>
              </w:rPr>
              <w:t>100</w:t>
            </w:r>
          </w:p>
        </w:tc>
      </w:tr>
    </w:tbl>
    <w:p w:rsidR="005D120C" w:rsidRPr="006A7D61" w:rsidRDefault="00E63464">
      <w:pPr>
        <w:spacing w:before="80" w:after="80" w:line="276" w:lineRule="auto"/>
        <w:jc w:val="both"/>
        <w:rPr>
          <w:lang w:val="fr-FR"/>
        </w:rPr>
      </w:pPr>
      <w:r w:rsidRPr="006A7D61">
        <w:rPr>
          <w:i/>
          <w:iCs/>
          <w:color w:val="000000"/>
          <w:lang w:val="fr-FR"/>
        </w:rPr>
        <w:t>Les candidats présélectionnés pourront être invités à un entretien avec la Chefferie de Projet CORAC 5-6 et les représentants de l'OPA-AC.</w:t>
      </w:r>
    </w:p>
    <w:p w:rsidR="005D120C" w:rsidRPr="006A7D61" w:rsidRDefault="00E63464">
      <w:pPr>
        <w:pStyle w:val="Heading2"/>
        <w:rPr>
          <w:lang w:val="fr-FR"/>
        </w:rPr>
      </w:pPr>
      <w:r w:rsidRPr="006A7D61">
        <w:rPr>
          <w:lang w:val="fr-FR"/>
        </w:rPr>
        <w:t>12.3 Date limite et contacts</w:t>
      </w:r>
    </w:p>
    <w:p w:rsidR="005D120C" w:rsidRPr="006A7D61" w:rsidRDefault="00E63464">
      <w:pPr>
        <w:spacing w:before="80" w:after="80" w:line="276" w:lineRule="auto"/>
        <w:jc w:val="both"/>
        <w:rPr>
          <w:lang w:val="fr-FR"/>
        </w:rPr>
      </w:pPr>
      <w:r w:rsidRPr="006A7D61">
        <w:rPr>
          <w:color w:val="000000"/>
          <w:lang w:val="fr-FR"/>
        </w:rPr>
        <w:t xml:space="preserve">Les dossiers de candidature doivent être transmis par voie électronique à la Chefferie de Projet CORAC 5-6 (Expertise France – Bureau Mutualisé, Yaoundé) dans les délais communiqués lors de la publication de l'appel à candidatures. Pour toute question relative aux présents </w:t>
      </w:r>
      <w:proofErr w:type="spellStart"/>
      <w:r w:rsidRPr="006A7D61">
        <w:rPr>
          <w:color w:val="000000"/>
          <w:lang w:val="fr-FR"/>
        </w:rPr>
        <w:t>TdR</w:t>
      </w:r>
      <w:proofErr w:type="spellEnd"/>
      <w:r w:rsidRPr="006A7D61">
        <w:rPr>
          <w:color w:val="000000"/>
          <w:lang w:val="fr-FR"/>
        </w:rPr>
        <w:t>, les candidats peuvent contacter l'Adjoint au Chef de Projet CORAC 5-6.</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13. Documents de référence</w:t>
      </w:r>
    </w:p>
    <w:p w:rsidR="005D120C" w:rsidRPr="006A7D61" w:rsidRDefault="00E63464">
      <w:pPr>
        <w:spacing w:before="80" w:after="80" w:line="276" w:lineRule="auto"/>
        <w:jc w:val="both"/>
        <w:rPr>
          <w:lang w:val="fr-FR"/>
        </w:rPr>
      </w:pPr>
      <w:r w:rsidRPr="006A7D61">
        <w:rPr>
          <w:color w:val="000000"/>
          <w:lang w:val="fr-FR"/>
        </w:rPr>
        <w:t>Les documents suivants seront mis à disposition de l'expert retenu pour la prise en main de sa mission :</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Rapports de l'étude initiale pour la création de l'Observatoire Régional des Transports en Afrique centrale</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Compte rendu de l'atelier de validation du rapport provisoire (Douala, mars 2024)</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Documents disponibles relatifs à l'OPA-AC : rapports périodiques, méthodologie, base de données et publications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lastRenderedPageBreak/>
        <w:t>Études et recommandations disponibles relatives à la gestion pérenne des corridors (notamment dans le cadre du PAGIRN)</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Documents et notes disponibles sur les mécanismes de financement mobilisables (ressources communautaires, PPP, portage par les États)</w:t>
      </w:r>
    </w:p>
    <w:p w:rsidR="005D120C" w:rsidRPr="006A7D61" w:rsidRDefault="00E63464">
      <w:pPr>
        <w:pStyle w:val="ListParagraph"/>
        <w:numPr>
          <w:ilvl w:val="0"/>
          <w:numId w:val="2"/>
        </w:numPr>
        <w:spacing w:before="40" w:after="40" w:line="276" w:lineRule="auto"/>
        <w:jc w:val="both"/>
        <w:rPr>
          <w:lang w:val="fr-FR"/>
        </w:rPr>
      </w:pPr>
      <w:r w:rsidRPr="006A7D61">
        <w:rPr>
          <w:color w:val="000000"/>
          <w:lang w:val="fr-FR"/>
        </w:rPr>
        <w:t>Tout document complémentaire jugé utile par la Chefferie de Projet ou l'OPA-AC</w:t>
      </w:r>
    </w:p>
    <w:p w:rsidR="005D120C" w:rsidRPr="006A7D61" w:rsidRDefault="005D120C">
      <w:pPr>
        <w:pBdr>
          <w:bottom w:val="single" w:sz="6" w:space="1" w:color="2E5C9E"/>
        </w:pBdr>
        <w:spacing w:before="120" w:after="120"/>
        <w:rPr>
          <w:lang w:val="fr-FR"/>
        </w:rPr>
      </w:pPr>
    </w:p>
    <w:p w:rsidR="005D120C" w:rsidRPr="006A7D61" w:rsidRDefault="00E63464">
      <w:pPr>
        <w:pStyle w:val="Heading1"/>
        <w:spacing w:before="300"/>
        <w:rPr>
          <w:lang w:val="fr-FR"/>
        </w:rPr>
      </w:pPr>
      <w:r w:rsidRPr="006A7D61">
        <w:rPr>
          <w:lang w:val="fr-FR"/>
        </w:rPr>
        <w:t>14. Confidentialité et propriété des livrables</w:t>
      </w:r>
    </w:p>
    <w:p w:rsidR="005D120C" w:rsidRPr="006A7D61" w:rsidRDefault="00E63464">
      <w:pPr>
        <w:spacing w:before="80" w:after="80" w:line="276" w:lineRule="auto"/>
        <w:jc w:val="both"/>
        <w:rPr>
          <w:lang w:val="fr-FR"/>
        </w:rPr>
      </w:pPr>
      <w:r w:rsidRPr="006A7D61">
        <w:rPr>
          <w:color w:val="000000"/>
          <w:lang w:val="fr-FR"/>
        </w:rPr>
        <w:t>L'expert mobilisé s'engage à respecter la confidentialité des documents, données et informations mis à sa disposition dans le cadre de la mission. Les livrables produits seront la propriété d'Expertise France et de l'autorité contractante, selon les dispositions contractuelles applicables. Toute diffusion externe ou réutilisation des contenus produits sera soumise à autorisation préalable de la Chefferie de Projet.</w:t>
      </w:r>
    </w:p>
    <w:sectPr w:rsidR="005D120C" w:rsidRPr="006A7D61">
      <w:headerReference w:type="default" r:id="rId7"/>
      <w:footerReference w:type="default" r:id="rId8"/>
      <w:pgSz w:w="11906" w:h="16838"/>
      <w:pgMar w:top="1200" w:right="850" w:bottom="1100" w:left="850" w:header="40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E13" w:rsidRDefault="00284E13">
      <w:r>
        <w:separator/>
      </w:r>
    </w:p>
  </w:endnote>
  <w:endnote w:type="continuationSeparator" w:id="0">
    <w:p w:rsidR="00284E13" w:rsidRDefault="002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0C" w:rsidRDefault="005D120C">
    <w:pPr>
      <w:pBdr>
        <w:top w:val="single" w:sz="6" w:space="1" w:color="2E5C9E"/>
      </w:pBdr>
      <w:spacing w:before="60"/>
    </w:pPr>
  </w:p>
  <w:p w:rsidR="005D120C" w:rsidRPr="006A7D61" w:rsidRDefault="00E63464">
    <w:pPr>
      <w:spacing w:before="60"/>
      <w:jc w:val="center"/>
      <w:rPr>
        <w:lang w:val="fr-FR"/>
      </w:rPr>
    </w:pPr>
    <w:r w:rsidRPr="006A7D61">
      <w:rPr>
        <w:color w:val="666666"/>
        <w:sz w:val="16"/>
        <w:szCs w:val="16"/>
        <w:lang w:val="fr-FR"/>
      </w:rPr>
      <w:t xml:space="preserve">Rédacteur : Adrien AKKUS – Document à usage interne – Expertise France          Page </w:t>
    </w:r>
    <w:r>
      <w:rPr>
        <w:color w:val="666666"/>
        <w:sz w:val="16"/>
        <w:szCs w:val="16"/>
      </w:rPr>
      <w:fldChar w:fldCharType="begin"/>
    </w:r>
    <w:r w:rsidRPr="006A7D61">
      <w:rPr>
        <w:color w:val="666666"/>
        <w:sz w:val="16"/>
        <w:szCs w:val="16"/>
        <w:lang w:val="fr-FR"/>
      </w:rPr>
      <w:instrText>PAGE</w:instrText>
    </w:r>
    <w:r>
      <w:rPr>
        <w:color w:val="666666"/>
        <w:sz w:val="16"/>
        <w:szCs w:val="16"/>
      </w:rPr>
      <w:fldChar w:fldCharType="separate"/>
    </w:r>
    <w:r w:rsidR="00335F87">
      <w:rPr>
        <w:noProof/>
        <w:color w:val="666666"/>
        <w:sz w:val="16"/>
        <w:szCs w:val="16"/>
        <w:lang w:val="fr-FR"/>
      </w:rPr>
      <w:t>1</w:t>
    </w:r>
    <w:r>
      <w:rPr>
        <w:color w:val="666666"/>
        <w:sz w:val="16"/>
        <w:szCs w:val="16"/>
      </w:rPr>
      <w:fldChar w:fldCharType="end"/>
    </w:r>
    <w:r w:rsidRPr="006A7D61">
      <w:rPr>
        <w:color w:val="666666"/>
        <w:sz w:val="16"/>
        <w:szCs w:val="16"/>
        <w:lang w:val="fr-FR"/>
      </w:rPr>
      <w:t xml:space="preserve"> / </w:t>
    </w:r>
    <w:r>
      <w:rPr>
        <w:color w:val="666666"/>
        <w:sz w:val="16"/>
        <w:szCs w:val="16"/>
      </w:rPr>
      <w:fldChar w:fldCharType="begin"/>
    </w:r>
    <w:r w:rsidRPr="006A7D61">
      <w:rPr>
        <w:color w:val="666666"/>
        <w:sz w:val="16"/>
        <w:szCs w:val="16"/>
        <w:lang w:val="fr-FR"/>
      </w:rPr>
      <w:instrText>NUMPAGES</w:instrText>
    </w:r>
    <w:r>
      <w:rPr>
        <w:color w:val="666666"/>
        <w:sz w:val="16"/>
        <w:szCs w:val="16"/>
      </w:rPr>
      <w:fldChar w:fldCharType="separate"/>
    </w:r>
    <w:r w:rsidR="00335F87">
      <w:rPr>
        <w:noProof/>
        <w:color w:val="666666"/>
        <w:sz w:val="16"/>
        <w:szCs w:val="16"/>
        <w:lang w:val="fr-FR"/>
      </w:rPr>
      <w:t>9</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E13" w:rsidRDefault="00284E13">
      <w:r>
        <w:separator/>
      </w:r>
    </w:p>
  </w:footnote>
  <w:footnote w:type="continuationSeparator" w:id="0">
    <w:p w:rsidR="00284E13" w:rsidRDefault="00284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1"/>
      <w:gridCol w:w="7145"/>
    </w:tblGrid>
    <w:tr w:rsidR="005D120C" w:rsidRPr="00335F87">
      <w:tc>
        <w:tcPr>
          <w:tcW w:w="3061"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vAlign w:val="center"/>
        </w:tcPr>
        <w:p w:rsidR="005D120C" w:rsidRDefault="00E63464">
          <w:r>
            <w:rPr>
              <w:noProof/>
            </w:rPr>
            <w:drawing>
              <wp:inline distT="0" distB="0" distL="0" distR="0">
                <wp:extent cx="389096" cy="214313"/>
                <wp:effectExtent l="0" t="0" r="0" b="0"/>
                <wp:docPr id="1" name="logo" descr="Expertise Fran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389096" cy="214313"/>
                        </a:xfrm>
                        <a:prstGeom prst="rect">
                          <a:avLst/>
                        </a:prstGeom>
                      </pic:spPr>
                    </pic:pic>
                  </a:graphicData>
                </a:graphic>
              </wp:inline>
            </w:drawing>
          </w:r>
        </w:p>
      </w:tc>
      <w:tc>
        <w:tcPr>
          <w:tcW w:w="7145"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vAlign w:val="center"/>
        </w:tcPr>
        <w:p w:rsidR="005D120C" w:rsidRPr="006A7D61" w:rsidRDefault="00E63464">
          <w:pPr>
            <w:jc w:val="right"/>
            <w:rPr>
              <w:lang w:val="fr-FR"/>
            </w:rPr>
          </w:pPr>
          <w:r w:rsidRPr="006A7D61">
            <w:rPr>
              <w:color w:val="666666"/>
              <w:sz w:val="16"/>
              <w:szCs w:val="16"/>
              <w:lang w:val="fr-FR"/>
            </w:rPr>
            <w:t>CORAC 5-6 | Assistant technique en économie des transports – OPA-AC</w:t>
          </w:r>
        </w:p>
        <w:p w:rsidR="005D120C" w:rsidRPr="006A7D61" w:rsidRDefault="00E63464">
          <w:pPr>
            <w:jc w:val="right"/>
            <w:rPr>
              <w:lang w:val="fr-FR"/>
            </w:rPr>
          </w:pPr>
          <w:r w:rsidRPr="006A7D61">
            <w:rPr>
              <w:i/>
              <w:iCs/>
              <w:color w:val="999999"/>
              <w:sz w:val="14"/>
              <w:szCs w:val="14"/>
              <w:lang w:val="fr-FR"/>
            </w:rPr>
            <w:t>Termes de référence – Usage interne – Expertise France</w:t>
          </w:r>
        </w:p>
      </w:tc>
    </w:tr>
  </w:tbl>
  <w:p w:rsidR="005D120C" w:rsidRPr="006A7D61" w:rsidRDefault="005D120C">
    <w:pPr>
      <w:pBdr>
        <w:bottom w:val="single" w:sz="6" w:space="1" w:color="2E5C9E"/>
      </w:pBdr>
      <w:spacing w:before="6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64E4"/>
    <w:multiLevelType w:val="hybridMultilevel"/>
    <w:tmpl w:val="9A7ADCCC"/>
    <w:lvl w:ilvl="0" w:tplc="0D78F234">
      <w:start w:val="1"/>
      <w:numFmt w:val="decimal"/>
      <w:lvlText w:val="%1."/>
      <w:lvlJc w:val="left"/>
      <w:pPr>
        <w:ind w:left="600" w:hanging="300"/>
      </w:pPr>
    </w:lvl>
    <w:lvl w:ilvl="1" w:tplc="3D4E6242">
      <w:numFmt w:val="decimal"/>
      <w:lvlText w:val=""/>
      <w:lvlJc w:val="left"/>
    </w:lvl>
    <w:lvl w:ilvl="2" w:tplc="16F05A48">
      <w:numFmt w:val="decimal"/>
      <w:lvlText w:val=""/>
      <w:lvlJc w:val="left"/>
    </w:lvl>
    <w:lvl w:ilvl="3" w:tplc="FA0E8B80">
      <w:numFmt w:val="decimal"/>
      <w:lvlText w:val=""/>
      <w:lvlJc w:val="left"/>
    </w:lvl>
    <w:lvl w:ilvl="4" w:tplc="3F9A890C">
      <w:numFmt w:val="decimal"/>
      <w:lvlText w:val=""/>
      <w:lvlJc w:val="left"/>
    </w:lvl>
    <w:lvl w:ilvl="5" w:tplc="FEE06742">
      <w:numFmt w:val="decimal"/>
      <w:lvlText w:val=""/>
      <w:lvlJc w:val="left"/>
    </w:lvl>
    <w:lvl w:ilvl="6" w:tplc="ED486666">
      <w:numFmt w:val="decimal"/>
      <w:lvlText w:val=""/>
      <w:lvlJc w:val="left"/>
    </w:lvl>
    <w:lvl w:ilvl="7" w:tplc="B7801D98">
      <w:numFmt w:val="decimal"/>
      <w:lvlText w:val=""/>
      <w:lvlJc w:val="left"/>
    </w:lvl>
    <w:lvl w:ilvl="8" w:tplc="C5806C06">
      <w:numFmt w:val="decimal"/>
      <w:lvlText w:val=""/>
      <w:lvlJc w:val="left"/>
    </w:lvl>
  </w:abstractNum>
  <w:abstractNum w:abstractNumId="1" w15:restartNumberingAfterBreak="0">
    <w:nsid w:val="1C6B5AAD"/>
    <w:multiLevelType w:val="hybridMultilevel"/>
    <w:tmpl w:val="DF66E420"/>
    <w:lvl w:ilvl="0" w:tplc="5456FFD0">
      <w:start w:val="1"/>
      <w:numFmt w:val="bullet"/>
      <w:lvlText w:val="•"/>
      <w:lvlJc w:val="left"/>
      <w:pPr>
        <w:ind w:left="600" w:hanging="300"/>
      </w:pPr>
    </w:lvl>
    <w:lvl w:ilvl="1" w:tplc="97CABEAC">
      <w:numFmt w:val="decimal"/>
      <w:lvlText w:val=""/>
      <w:lvlJc w:val="left"/>
    </w:lvl>
    <w:lvl w:ilvl="2" w:tplc="71E27FFE">
      <w:numFmt w:val="decimal"/>
      <w:lvlText w:val=""/>
      <w:lvlJc w:val="left"/>
    </w:lvl>
    <w:lvl w:ilvl="3" w:tplc="9594C766">
      <w:numFmt w:val="decimal"/>
      <w:lvlText w:val=""/>
      <w:lvlJc w:val="left"/>
    </w:lvl>
    <w:lvl w:ilvl="4" w:tplc="0846A638">
      <w:numFmt w:val="decimal"/>
      <w:lvlText w:val=""/>
      <w:lvlJc w:val="left"/>
    </w:lvl>
    <w:lvl w:ilvl="5" w:tplc="3D7E7D54">
      <w:numFmt w:val="decimal"/>
      <w:lvlText w:val=""/>
      <w:lvlJc w:val="left"/>
    </w:lvl>
    <w:lvl w:ilvl="6" w:tplc="7DF241AE">
      <w:numFmt w:val="decimal"/>
      <w:lvlText w:val=""/>
      <w:lvlJc w:val="left"/>
    </w:lvl>
    <w:lvl w:ilvl="7" w:tplc="2708E262">
      <w:numFmt w:val="decimal"/>
      <w:lvlText w:val=""/>
      <w:lvlJc w:val="left"/>
    </w:lvl>
    <w:lvl w:ilvl="8" w:tplc="528419C0">
      <w:numFmt w:val="decimal"/>
      <w:lvlText w:val=""/>
      <w:lvlJc w:val="left"/>
    </w:lvl>
  </w:abstractNum>
  <w:abstractNum w:abstractNumId="2" w15:restartNumberingAfterBreak="0">
    <w:nsid w:val="473A305D"/>
    <w:multiLevelType w:val="hybridMultilevel"/>
    <w:tmpl w:val="5C1E71AA"/>
    <w:lvl w:ilvl="0" w:tplc="0F12942A">
      <w:start w:val="1"/>
      <w:numFmt w:val="bullet"/>
      <w:lvlText w:val="●"/>
      <w:lvlJc w:val="left"/>
      <w:pPr>
        <w:ind w:left="720" w:hanging="360"/>
      </w:pPr>
    </w:lvl>
    <w:lvl w:ilvl="1" w:tplc="7A7C8DA8">
      <w:start w:val="1"/>
      <w:numFmt w:val="bullet"/>
      <w:lvlText w:val="○"/>
      <w:lvlJc w:val="left"/>
      <w:pPr>
        <w:ind w:left="1440" w:hanging="360"/>
      </w:pPr>
    </w:lvl>
    <w:lvl w:ilvl="2" w:tplc="EDBCCF4A">
      <w:start w:val="1"/>
      <w:numFmt w:val="bullet"/>
      <w:lvlText w:val="■"/>
      <w:lvlJc w:val="left"/>
      <w:pPr>
        <w:ind w:left="2160" w:hanging="360"/>
      </w:pPr>
    </w:lvl>
    <w:lvl w:ilvl="3" w:tplc="DC646528">
      <w:start w:val="1"/>
      <w:numFmt w:val="bullet"/>
      <w:lvlText w:val="●"/>
      <w:lvlJc w:val="left"/>
      <w:pPr>
        <w:ind w:left="2880" w:hanging="360"/>
      </w:pPr>
    </w:lvl>
    <w:lvl w:ilvl="4" w:tplc="2E725AE0">
      <w:start w:val="1"/>
      <w:numFmt w:val="bullet"/>
      <w:lvlText w:val="○"/>
      <w:lvlJc w:val="left"/>
      <w:pPr>
        <w:ind w:left="3600" w:hanging="360"/>
      </w:pPr>
    </w:lvl>
    <w:lvl w:ilvl="5" w:tplc="B8DC6FB4">
      <w:start w:val="1"/>
      <w:numFmt w:val="bullet"/>
      <w:lvlText w:val="■"/>
      <w:lvlJc w:val="left"/>
      <w:pPr>
        <w:ind w:left="4320" w:hanging="360"/>
      </w:pPr>
    </w:lvl>
    <w:lvl w:ilvl="6" w:tplc="A7BC62A8">
      <w:start w:val="1"/>
      <w:numFmt w:val="bullet"/>
      <w:lvlText w:val="●"/>
      <w:lvlJc w:val="left"/>
      <w:pPr>
        <w:ind w:left="5040" w:hanging="360"/>
      </w:pPr>
    </w:lvl>
    <w:lvl w:ilvl="7" w:tplc="40463BB0">
      <w:start w:val="1"/>
      <w:numFmt w:val="bullet"/>
      <w:lvlText w:val="●"/>
      <w:lvlJc w:val="left"/>
      <w:pPr>
        <w:ind w:left="5760" w:hanging="360"/>
      </w:pPr>
    </w:lvl>
    <w:lvl w:ilvl="8" w:tplc="2E26D8FE">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C"/>
    <w:rsid w:val="001A2629"/>
    <w:rsid w:val="00284E13"/>
    <w:rsid w:val="00335F87"/>
    <w:rsid w:val="005D120C"/>
    <w:rsid w:val="006A7D61"/>
    <w:rsid w:val="00AE0E22"/>
    <w:rsid w:val="00E63464"/>
    <w:rsid w:val="00FC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B7AA"/>
  <w15:docId w15:val="{200FCF45-168A-41F8-8C87-7F2034C7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20" w:after="120"/>
      <w:outlineLvl w:val="0"/>
    </w:pPr>
    <w:rPr>
      <w:b/>
      <w:bCs/>
      <w:color w:val="1F3864"/>
      <w:sz w:val="26"/>
      <w:szCs w:val="26"/>
    </w:rPr>
  </w:style>
  <w:style w:type="paragraph" w:styleId="Heading2">
    <w:name w:val="heading 2"/>
    <w:qFormat/>
    <w:pPr>
      <w:spacing w:before="200" w:after="80"/>
      <w:outlineLvl w:val="1"/>
    </w:pPr>
    <w:rPr>
      <w:b/>
      <w:bCs/>
      <w:color w:val="2E5C9E"/>
      <w:sz w:val="22"/>
      <w:szCs w:val="22"/>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Kervin KUMAPLEY</cp:lastModifiedBy>
  <cp:revision>4</cp:revision>
  <dcterms:created xsi:type="dcterms:W3CDTF">2026-07-07T10:53:00Z</dcterms:created>
  <dcterms:modified xsi:type="dcterms:W3CDTF">2026-07-07T16:00:00Z</dcterms:modified>
</cp:coreProperties>
</file>