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587C0" w14:textId="77777777" w:rsidR="00FA3353" w:rsidRDefault="00FA3353" w:rsidP="00FA3353">
      <w:pPr>
        <w:pBdr>
          <w:bottom w:val="single" w:sz="12" w:space="0" w:color="1F3864"/>
        </w:pBdr>
        <w:rPr>
          <w:b/>
          <w:bCs/>
          <w:color w:val="1F3864"/>
          <w:sz w:val="26"/>
          <w:szCs w:val="26"/>
        </w:rPr>
      </w:pPr>
      <w:bookmarkStart w:id="0" w:name="_GoBack"/>
      <w:bookmarkEnd w:id="0"/>
    </w:p>
    <w:p w14:paraId="59A590F6" w14:textId="77777777" w:rsidR="00FA3353" w:rsidRDefault="00FA3353" w:rsidP="00FA3353">
      <w:pPr>
        <w:pBdr>
          <w:bottom w:val="single" w:sz="12" w:space="0" w:color="1F3864"/>
        </w:pBdr>
        <w:jc w:val="center"/>
        <w:rPr>
          <w:b/>
          <w:bCs/>
          <w:color w:val="1F3864"/>
          <w:sz w:val="26"/>
          <w:szCs w:val="26"/>
        </w:rPr>
      </w:pPr>
      <w:r>
        <w:rPr>
          <w:i/>
          <w:iCs/>
          <w:noProof/>
          <w:color w:val="595959"/>
          <w:sz w:val="14"/>
          <w:szCs w:val="14"/>
        </w:rPr>
        <w:drawing>
          <wp:inline distT="0" distB="0" distL="0" distR="0" wp14:anchorId="28891684" wp14:editId="2E3193CE">
            <wp:extent cx="662940" cy="521658"/>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690239" cy="543139"/>
                    </a:xfrm>
                    <a:prstGeom prst="rect">
                      <a:avLst/>
                    </a:prstGeom>
                  </pic:spPr>
                </pic:pic>
              </a:graphicData>
            </a:graphic>
          </wp:inline>
        </w:drawing>
      </w:r>
      <w:r>
        <w:rPr>
          <w:b/>
          <w:bCs/>
          <w:color w:val="1F3864"/>
          <w:sz w:val="26"/>
          <w:szCs w:val="26"/>
        </w:rPr>
        <w:t xml:space="preserve">                                                                     </w:t>
      </w:r>
      <w:r>
        <w:rPr>
          <w:noProof/>
        </w:rPr>
        <w:drawing>
          <wp:inline distT="0" distB="0" distL="0" distR="0" wp14:anchorId="3F00151C" wp14:editId="0136B3C2">
            <wp:extent cx="694373" cy="462915"/>
            <wp:effectExtent l="0" t="0" r="0" b="0"/>
            <wp:docPr id="1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869" cy="471245"/>
                    </a:xfrm>
                    <a:prstGeom prst="rect">
                      <a:avLst/>
                    </a:prstGeom>
                  </pic:spPr>
                </pic:pic>
              </a:graphicData>
            </a:graphic>
          </wp:inline>
        </w:drawing>
      </w:r>
      <w:r>
        <w:rPr>
          <w:i/>
          <w:iCs/>
          <w:noProof/>
          <w:color w:val="595959"/>
          <w:sz w:val="14"/>
          <w:szCs w:val="14"/>
        </w:rPr>
        <w:drawing>
          <wp:inline distT="0" distB="0" distL="0" distR="0" wp14:anchorId="2A9AD220" wp14:editId="107BD565">
            <wp:extent cx="1371600" cy="515983"/>
            <wp:effectExtent l="0" t="0" r="0" b="0"/>
            <wp:docPr id="1428200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00990" name="Picture 1428200990"/>
                    <pic:cNvPicPr/>
                  </pic:nvPicPr>
                  <pic:blipFill rotWithShape="1">
                    <a:blip r:embed="rId9">
                      <a:extLst>
                        <a:ext uri="{28A0092B-C50C-407E-A947-70E740481C1C}">
                          <a14:useLocalDpi xmlns:a14="http://schemas.microsoft.com/office/drawing/2010/main" val="0"/>
                        </a:ext>
                      </a:extLst>
                    </a:blip>
                    <a:srcRect t="20714" b="22857"/>
                    <a:stretch>
                      <a:fillRect/>
                    </a:stretch>
                  </pic:blipFill>
                  <pic:spPr bwMode="auto">
                    <a:xfrm>
                      <a:off x="0" y="0"/>
                      <a:ext cx="1384720" cy="520918"/>
                    </a:xfrm>
                    <a:prstGeom prst="rect">
                      <a:avLst/>
                    </a:prstGeom>
                    <a:ln>
                      <a:noFill/>
                    </a:ln>
                    <a:extLst>
                      <a:ext uri="{53640926-AAD7-44D8-BBD7-CCE9431645EC}">
                        <a14:shadowObscured xmlns:a14="http://schemas.microsoft.com/office/drawing/2010/main"/>
                      </a:ext>
                    </a:extLst>
                  </pic:spPr>
                </pic:pic>
              </a:graphicData>
            </a:graphic>
          </wp:inline>
        </w:drawing>
      </w:r>
    </w:p>
    <w:p w14:paraId="3FB720C2" w14:textId="77777777" w:rsidR="00FA3353" w:rsidRDefault="00FA3353" w:rsidP="00FA3353">
      <w:pPr>
        <w:pBdr>
          <w:bottom w:val="single" w:sz="12" w:space="0" w:color="1F3864"/>
        </w:pBdr>
        <w:rPr>
          <w:b/>
          <w:bCs/>
          <w:color w:val="1F3864"/>
          <w:sz w:val="26"/>
          <w:szCs w:val="26"/>
        </w:rPr>
      </w:pPr>
    </w:p>
    <w:p w14:paraId="6F7081D3" w14:textId="77777777" w:rsidR="00FA3353" w:rsidRDefault="00D44053" w:rsidP="00FA3353">
      <w:pPr>
        <w:pBdr>
          <w:bottom w:val="single" w:sz="12" w:space="0" w:color="1F3864"/>
        </w:pBdr>
        <w:rPr>
          <w:b/>
          <w:bCs/>
          <w:color w:val="1F3864"/>
          <w:sz w:val="26"/>
          <w:szCs w:val="26"/>
        </w:rPr>
      </w:pPr>
      <w:r>
        <w:rPr>
          <w:b/>
          <w:bCs/>
          <w:noProof/>
          <w:color w:val="1F3864"/>
          <w:sz w:val="26"/>
          <w:szCs w:val="26"/>
        </w:rPr>
        <w:drawing>
          <wp:inline distT="0" distB="0" distL="0" distR="0" wp14:anchorId="288DCB2D" wp14:editId="73473493">
            <wp:extent cx="6121400" cy="2040255"/>
            <wp:effectExtent l="0" t="0" r="0" b="0"/>
            <wp:docPr id="1458189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89585" name="Picture 14581895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1400" cy="2040255"/>
                    </a:xfrm>
                    <a:prstGeom prst="rect">
                      <a:avLst/>
                    </a:prstGeom>
                  </pic:spPr>
                </pic:pic>
              </a:graphicData>
            </a:graphic>
          </wp:inline>
        </w:drawing>
      </w:r>
    </w:p>
    <w:p w14:paraId="4A316334" w14:textId="77777777" w:rsidR="00FA3353" w:rsidRDefault="00FA3353" w:rsidP="00FA3353">
      <w:pPr>
        <w:pBdr>
          <w:bottom w:val="single" w:sz="12" w:space="0" w:color="1F3864"/>
        </w:pBdr>
        <w:rPr>
          <w:b/>
          <w:bCs/>
          <w:color w:val="1F3864"/>
          <w:sz w:val="26"/>
          <w:szCs w:val="26"/>
        </w:rPr>
      </w:pPr>
    </w:p>
    <w:p w14:paraId="63B79CED" w14:textId="77777777" w:rsidR="006E6AAC" w:rsidRPr="00D44053" w:rsidRDefault="00FD0D02" w:rsidP="00FA3353">
      <w:pPr>
        <w:pBdr>
          <w:bottom w:val="single" w:sz="14" w:space="0" w:color="1F3864"/>
        </w:pBdr>
        <w:jc w:val="center"/>
        <w:rPr>
          <w:lang w:val="en-US"/>
        </w:rPr>
      </w:pPr>
      <w:r>
        <w:rPr>
          <w:b/>
          <w:bCs/>
          <w:color w:val="1F3864"/>
          <w:sz w:val="28"/>
          <w:szCs w:val="28"/>
          <w:lang w:val="en-US"/>
        </w:rPr>
        <w:t>MEDISAFE 2</w:t>
      </w:r>
    </w:p>
    <w:p w14:paraId="160C248A" w14:textId="77777777" w:rsidR="006E6AAC" w:rsidRPr="00D44053" w:rsidRDefault="00FA3353" w:rsidP="00FA3353">
      <w:pPr>
        <w:spacing w:before="200" w:after="80"/>
        <w:jc w:val="center"/>
        <w:rPr>
          <w:lang w:val="en-US"/>
        </w:rPr>
      </w:pPr>
      <w:r>
        <w:rPr>
          <w:b/>
          <w:bCs/>
          <w:color w:val="2E5496"/>
          <w:lang w:val="en-US"/>
        </w:rPr>
        <w:t>TERMS OF REFERENCE</w:t>
      </w:r>
    </w:p>
    <w:p w14:paraId="6AE27FF2" w14:textId="77777777" w:rsidR="00FA3353" w:rsidRPr="00D44053" w:rsidRDefault="00FA3353">
      <w:pPr>
        <w:spacing w:before="160" w:after="160"/>
        <w:rPr>
          <w:b/>
          <w:bCs/>
          <w:color w:val="595959"/>
          <w:sz w:val="17"/>
          <w:szCs w:val="17"/>
          <w:lang w:val="en-US"/>
        </w:rPr>
      </w:pPr>
    </w:p>
    <w:p w14:paraId="0E536180" w14:textId="77777777" w:rsidR="00FA3353" w:rsidRDefault="00D44053">
      <w:pPr>
        <w:spacing w:after="60"/>
        <w:jc w:val="both"/>
        <w:rPr>
          <w:b/>
          <w:bCs/>
          <w:color w:val="1F3864"/>
          <w:sz w:val="28"/>
          <w:szCs w:val="28"/>
          <w:lang w:val="en-US"/>
        </w:rPr>
      </w:pPr>
      <w:r>
        <w:rPr>
          <w:b/>
          <w:bCs/>
          <w:color w:val="1F3864"/>
          <w:sz w:val="28"/>
          <w:szCs w:val="28"/>
          <w:lang w:val="en-US"/>
        </w:rPr>
        <w:t>Mobilisation of Individual and Organisation-Supported Consultants Providing Pharmaceutical Technical Assistance</w:t>
      </w:r>
    </w:p>
    <w:p w14:paraId="2FD02545" w14:textId="77777777" w:rsidR="00D44053" w:rsidRPr="00D44053" w:rsidRDefault="00D44053">
      <w:pPr>
        <w:spacing w:after="60"/>
        <w:jc w:val="both"/>
        <w:rPr>
          <w:i/>
          <w:iCs/>
          <w:color w:val="595959"/>
          <w:sz w:val="20"/>
          <w:szCs w:val="20"/>
          <w:lang w:val="en-US"/>
        </w:rPr>
      </w:pPr>
    </w:p>
    <w:p w14:paraId="5F32A3A1" w14:textId="77777777" w:rsidR="00FA3353" w:rsidRPr="00D44053" w:rsidRDefault="00FD0D02">
      <w:pPr>
        <w:spacing w:after="60"/>
        <w:jc w:val="both"/>
        <w:rPr>
          <w:i/>
          <w:iCs/>
          <w:color w:val="595959"/>
          <w:sz w:val="22"/>
          <w:szCs w:val="22"/>
          <w:lang w:val="en-US"/>
        </w:rPr>
      </w:pPr>
      <w:r>
        <w:rPr>
          <w:i/>
          <w:iCs/>
          <w:color w:val="595959"/>
          <w:sz w:val="22"/>
          <w:szCs w:val="22"/>
          <w:lang w:val="en-US"/>
        </w:rPr>
        <w:t xml:space="preserve">Pharmaceutical Component (Specific Objective 3) </w:t>
      </w:r>
    </w:p>
    <w:p w14:paraId="34BC2FFB" w14:textId="77777777" w:rsidR="00FA3353" w:rsidRPr="00D44053" w:rsidRDefault="00FD0D02">
      <w:pPr>
        <w:spacing w:after="60"/>
        <w:jc w:val="both"/>
        <w:rPr>
          <w:i/>
          <w:iCs/>
          <w:color w:val="595959"/>
          <w:sz w:val="22"/>
          <w:szCs w:val="22"/>
          <w:lang w:val="en-US"/>
        </w:rPr>
      </w:pPr>
      <w:r>
        <w:rPr>
          <w:i/>
          <w:iCs/>
          <w:color w:val="595959"/>
          <w:sz w:val="22"/>
          <w:szCs w:val="22"/>
          <w:lang w:val="en-US"/>
        </w:rPr>
        <w:t>Combating substandard and falsified medical products (SFMP)</w:t>
      </w:r>
    </w:p>
    <w:p w14:paraId="32897784" w14:textId="77777777" w:rsidR="006E6AAC" w:rsidRPr="00D44053" w:rsidRDefault="00FD0D02">
      <w:pPr>
        <w:spacing w:after="60"/>
        <w:jc w:val="both"/>
        <w:rPr>
          <w:i/>
          <w:iCs/>
          <w:color w:val="595959"/>
          <w:sz w:val="22"/>
          <w:szCs w:val="22"/>
          <w:lang w:val="en-US"/>
        </w:rPr>
      </w:pPr>
      <w:r>
        <w:rPr>
          <w:i/>
          <w:iCs/>
          <w:color w:val="595959"/>
          <w:sz w:val="22"/>
          <w:szCs w:val="22"/>
          <w:lang w:val="en-US"/>
        </w:rPr>
        <w:t>13 countries in West and East Africa</w:t>
      </w:r>
    </w:p>
    <w:p w14:paraId="5EBAD9CB" w14:textId="77777777" w:rsidR="00FA3353" w:rsidRPr="00D44053" w:rsidRDefault="00FA3353">
      <w:pPr>
        <w:spacing w:after="60"/>
        <w:jc w:val="both"/>
        <w:rPr>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E6AAC" w:rsidRPr="002442AC" w14:paraId="177EFCAF" w14:textId="77777777">
        <w:tc>
          <w:tcPr>
            <w:tcW w:w="9360" w:type="dxa"/>
            <w:tcBorders>
              <w:top w:val="single" w:sz="4" w:space="0" w:color="BFBFBF"/>
              <w:left w:val="single" w:sz="18" w:space="0" w:color="1F3864"/>
              <w:bottom w:val="single" w:sz="4" w:space="0" w:color="BFBFBF"/>
              <w:right w:val="single" w:sz="4" w:space="0" w:color="BFBFBF"/>
            </w:tcBorders>
            <w:shd w:val="clear" w:color="auto" w:fill="EAF1FB"/>
            <w:tcMar>
              <w:top w:w="100" w:type="dxa"/>
              <w:left w:w="160" w:type="dxa"/>
              <w:bottom w:w="100" w:type="dxa"/>
              <w:right w:w="140" w:type="dxa"/>
            </w:tcMar>
          </w:tcPr>
          <w:p w14:paraId="41422E97" w14:textId="77777777" w:rsidR="006E6AAC" w:rsidRPr="00FA3353" w:rsidRDefault="00FD0D02">
            <w:pPr>
              <w:spacing w:after="60"/>
              <w:rPr>
                <w:sz w:val="22"/>
                <w:szCs w:val="22"/>
              </w:rPr>
            </w:pPr>
            <w:r>
              <w:rPr>
                <w:b/>
                <w:bCs/>
                <w:color w:val="1F3864"/>
                <w:sz w:val="22"/>
                <w:szCs w:val="22"/>
              </w:rPr>
              <w:t>Reference framework</w:t>
            </w:r>
          </w:p>
          <w:p w14:paraId="23023BA3" w14:textId="77777777" w:rsidR="006E6AAC" w:rsidRPr="00D44053" w:rsidRDefault="00FD0D02" w:rsidP="00FA3353">
            <w:pPr>
              <w:pStyle w:val="Paragraphedeliste"/>
              <w:numPr>
                <w:ilvl w:val="0"/>
                <w:numId w:val="3"/>
              </w:numPr>
              <w:spacing w:after="50" w:line="276" w:lineRule="auto"/>
              <w:jc w:val="both"/>
              <w:rPr>
                <w:sz w:val="22"/>
                <w:szCs w:val="22"/>
                <w:lang w:val="en-US"/>
              </w:rPr>
            </w:pPr>
            <w:r>
              <w:rPr>
                <w:color w:val="000000"/>
                <w:sz w:val="22"/>
                <w:szCs w:val="22"/>
                <w:lang w:val="en-US"/>
              </w:rPr>
              <w:t>Contracting authority: Expertise France (implementation) with European Union funding (NDI</w:t>
            </w:r>
            <w:r>
              <w:rPr>
                <w:color w:val="000000"/>
                <w:sz w:val="22"/>
                <w:szCs w:val="22"/>
                <w:lang w:val="en-US"/>
              </w:rPr>
              <w:t>CI).</w:t>
            </w:r>
          </w:p>
          <w:p w14:paraId="27B69B75" w14:textId="77777777" w:rsidR="006E6AAC" w:rsidRPr="00D44053" w:rsidRDefault="00FD0D02" w:rsidP="00D44053">
            <w:pPr>
              <w:pStyle w:val="Paragraphedeliste"/>
              <w:numPr>
                <w:ilvl w:val="0"/>
                <w:numId w:val="3"/>
              </w:numPr>
              <w:spacing w:after="50" w:line="276" w:lineRule="auto"/>
              <w:jc w:val="both"/>
              <w:rPr>
                <w:sz w:val="22"/>
                <w:szCs w:val="22"/>
                <w:lang w:val="en-US"/>
              </w:rPr>
            </w:pPr>
            <w:r>
              <w:rPr>
                <w:color w:val="000000"/>
                <w:sz w:val="22"/>
                <w:szCs w:val="22"/>
                <w:lang w:val="en-US"/>
              </w:rPr>
              <w:t>Reporting line: Pharmaceutical Component Lead (Technical Expert, Pharmaceutical Regulation and Supply Chain Security), Nairobi, in liaison with the PMU and the Expertise France liaison (Paris).</w:t>
            </w:r>
          </w:p>
          <w:p w14:paraId="237696AC" w14:textId="77777777" w:rsidR="00E1761E" w:rsidRDefault="00FD0D02">
            <w:pPr>
              <w:pStyle w:val="Paragraphedeliste"/>
              <w:numPr>
                <w:ilvl w:val="0"/>
                <w:numId w:val="3"/>
              </w:numPr>
              <w:spacing w:after="50" w:line="276" w:lineRule="auto"/>
              <w:jc w:val="both"/>
              <w:rPr>
                <w:sz w:val="22"/>
                <w:szCs w:val="22"/>
                <w:lang w:val="en-US"/>
              </w:rPr>
            </w:pPr>
            <w:r>
              <w:rPr>
                <w:color w:val="000000"/>
                <w:sz w:val="22"/>
                <w:szCs w:val="22"/>
                <w:lang w:val="en-US"/>
              </w:rPr>
              <w:t xml:space="preserve">Contracting modality: selection and contracting on an </w:t>
            </w:r>
            <w:r>
              <w:rPr>
                <w:color w:val="000000"/>
                <w:sz w:val="22"/>
                <w:szCs w:val="22"/>
                <w:lang w:val="en-US"/>
              </w:rPr>
              <w:t>individual basis; contracts are concluded individually with each expert, on a man-day basis (see sections 2 and 3).</w:t>
            </w:r>
          </w:p>
        </w:tc>
      </w:tr>
    </w:tbl>
    <w:p w14:paraId="7DB081E3" w14:textId="77777777" w:rsidR="006E6AAC" w:rsidRPr="00D44053" w:rsidRDefault="00FD0D02">
      <w:pPr>
        <w:rPr>
          <w:lang w:val="en-US"/>
        </w:rPr>
      </w:pPr>
      <w:r>
        <w:rPr>
          <w:lang w:val="en-US"/>
        </w:rPr>
        <w:br w:type="page"/>
      </w:r>
    </w:p>
    <w:p w14:paraId="7773EA22" w14:textId="77777777" w:rsidR="006E6AAC" w:rsidRPr="00D44053" w:rsidRDefault="00FD0D02" w:rsidP="00895097">
      <w:pPr>
        <w:pStyle w:val="Titre2"/>
        <w:spacing w:line="276" w:lineRule="auto"/>
        <w:rPr>
          <w:lang w:val="en-US"/>
        </w:rPr>
      </w:pPr>
      <w:r>
        <w:rPr>
          <w:lang w:val="en-US"/>
        </w:rPr>
        <w:lastRenderedPageBreak/>
        <w:t>1. Context</w:t>
      </w:r>
    </w:p>
    <w:p w14:paraId="34EA002E" w14:textId="77777777" w:rsidR="006E6AAC" w:rsidRPr="00D44053" w:rsidRDefault="00FD0D02" w:rsidP="00895097">
      <w:pPr>
        <w:spacing w:after="120" w:line="276" w:lineRule="auto"/>
        <w:jc w:val="both"/>
        <w:rPr>
          <w:sz w:val="22"/>
          <w:szCs w:val="22"/>
          <w:lang w:val="en-US"/>
        </w:rPr>
      </w:pPr>
      <w:r>
        <w:rPr>
          <w:color w:val="000000"/>
          <w:sz w:val="22"/>
          <w:szCs w:val="22"/>
          <w:lang w:val="en-US"/>
        </w:rPr>
        <w:t>Substandard and falsified medical products (SFMP) constitute a major health, economic and security threat in Africa. The World</w:t>
      </w:r>
      <w:r>
        <w:rPr>
          <w:color w:val="000000"/>
          <w:sz w:val="22"/>
          <w:szCs w:val="22"/>
          <w:lang w:val="en-US"/>
        </w:rPr>
        <w:t xml:space="preserve"> Health Organization estimates that one in ten medical products circulating in low- and middle-income countries is substandard or falsified, causing more than 250 000 preventable deaths per year. In response to this challenge, the European Union and Expert</w:t>
      </w:r>
      <w:r>
        <w:rPr>
          <w:color w:val="000000"/>
          <w:sz w:val="22"/>
          <w:szCs w:val="22"/>
          <w:lang w:val="en-US"/>
        </w:rPr>
        <w:t>ise France are implementing the MEDISAFE programme.</w:t>
      </w:r>
    </w:p>
    <w:p w14:paraId="1015B8DC" w14:textId="77777777" w:rsidR="006E6AAC" w:rsidRPr="00D44053" w:rsidRDefault="00FD0D02" w:rsidP="00895097">
      <w:pPr>
        <w:spacing w:after="120" w:line="276" w:lineRule="auto"/>
        <w:jc w:val="both"/>
        <w:rPr>
          <w:sz w:val="22"/>
          <w:szCs w:val="22"/>
          <w:lang w:val="en-US"/>
        </w:rPr>
      </w:pPr>
      <w:r>
        <w:rPr>
          <w:color w:val="000000"/>
          <w:sz w:val="22"/>
          <w:szCs w:val="22"/>
          <w:lang w:val="en-US"/>
        </w:rPr>
        <w:t>MEDISAFE Phase 1 (2018-2023) covered 11 countries in East and Central Africa (Burundi, DRC, Ghana, Ethiopia, Seychelles, Kenya, Uganda, Tanzania, Malawi, Rwanda and Zambia). It produced the Reference Manu</w:t>
      </w:r>
      <w:r>
        <w:rPr>
          <w:color w:val="000000"/>
          <w:sz w:val="22"/>
          <w:szCs w:val="22"/>
          <w:lang w:val="en-US"/>
        </w:rPr>
        <w:t>al on SFMP legislation (African perspective), guides and strategies on supply chain, legislation and communication, as well as the roadmap adopted in Nairobi in April 2022. It brought together more than 300 participants across 14 regional and national even</w:t>
      </w:r>
      <w:r>
        <w:rPr>
          <w:color w:val="000000"/>
          <w:sz w:val="22"/>
          <w:szCs w:val="22"/>
          <w:lang w:val="en-US"/>
        </w:rPr>
        <w:t>ts, in partnership with the European Union (CBRN network), UNODC, INTERPOL, the Council of Europe and AUDA-NEPAD.</w:t>
      </w:r>
    </w:p>
    <w:p w14:paraId="2C6182BA" w14:textId="77777777" w:rsidR="006E6AAC" w:rsidRPr="00D44053" w:rsidRDefault="00FD0D02" w:rsidP="00895097">
      <w:pPr>
        <w:spacing w:after="120" w:line="276" w:lineRule="auto"/>
        <w:jc w:val="both"/>
        <w:rPr>
          <w:sz w:val="22"/>
          <w:szCs w:val="22"/>
          <w:lang w:val="en-US"/>
        </w:rPr>
      </w:pPr>
      <w:r>
        <w:rPr>
          <w:color w:val="000000"/>
          <w:sz w:val="22"/>
          <w:szCs w:val="22"/>
          <w:lang w:val="en-US"/>
        </w:rPr>
        <w:t xml:space="preserve">MEDISAFE 2.0 extends and broadens this first phase: a four-year project, funded by the European Union (NDICI) for a total amount of EUR 9 000 </w:t>
      </w:r>
      <w:r>
        <w:rPr>
          <w:color w:val="000000"/>
          <w:sz w:val="22"/>
          <w:szCs w:val="22"/>
          <w:lang w:val="en-US"/>
        </w:rPr>
        <w:t>000, implemented by Expertise France under indirect management via a contribution agreement with the European Union Delegation in Nigeria. It covers 13 countries organised into two regional clusters.</w:t>
      </w:r>
    </w:p>
    <w:p w14:paraId="33E0D2E4" w14:textId="77777777" w:rsidR="006E6AAC" w:rsidRPr="00D44053" w:rsidRDefault="00FD0D02" w:rsidP="00895097">
      <w:pPr>
        <w:spacing w:after="120" w:line="276" w:lineRule="auto"/>
        <w:jc w:val="both"/>
        <w:rPr>
          <w:sz w:val="22"/>
          <w:szCs w:val="22"/>
          <w:lang w:val="en-US"/>
        </w:rPr>
      </w:pPr>
      <w:r>
        <w:rPr>
          <w:b/>
          <w:bCs/>
          <w:color w:val="1F3864"/>
          <w:sz w:val="22"/>
          <w:szCs w:val="22"/>
          <w:lang w:val="en-US"/>
        </w:rPr>
        <w:t xml:space="preserve">Cluster A (West Africa): </w:t>
      </w:r>
      <w:r>
        <w:rPr>
          <w:color w:val="000000"/>
          <w:sz w:val="22"/>
          <w:szCs w:val="22"/>
          <w:lang w:val="en-US"/>
        </w:rPr>
        <w:t>Benin, Côte d'Ivoire, Ghana, Gu</w:t>
      </w:r>
      <w:r>
        <w:rPr>
          <w:color w:val="000000"/>
          <w:sz w:val="22"/>
          <w:szCs w:val="22"/>
          <w:lang w:val="en-US"/>
        </w:rPr>
        <w:t>inea (Conakry), Nigeria, Senegal, Togo.</w:t>
      </w:r>
    </w:p>
    <w:p w14:paraId="53074CF1" w14:textId="77777777" w:rsidR="006E6AAC" w:rsidRPr="00D44053" w:rsidRDefault="00FD0D02" w:rsidP="00895097">
      <w:pPr>
        <w:spacing w:after="120" w:line="276" w:lineRule="auto"/>
        <w:jc w:val="both"/>
        <w:rPr>
          <w:sz w:val="22"/>
          <w:szCs w:val="22"/>
          <w:lang w:val="en-US"/>
        </w:rPr>
      </w:pPr>
      <w:r>
        <w:rPr>
          <w:b/>
          <w:bCs/>
          <w:color w:val="1F3864"/>
          <w:sz w:val="22"/>
          <w:szCs w:val="22"/>
          <w:lang w:val="en-US"/>
        </w:rPr>
        <w:t xml:space="preserve">Cluster B (East and Southern Africa): </w:t>
      </w:r>
      <w:r>
        <w:rPr>
          <w:color w:val="000000"/>
          <w:sz w:val="22"/>
          <w:szCs w:val="22"/>
          <w:lang w:val="en-US"/>
        </w:rPr>
        <w:t>Burundi, Democratic Republic of the Congo, Ethiopia, Kenya, Rwanda, Zambia.</w:t>
      </w:r>
    </w:p>
    <w:p w14:paraId="5A1FAAC4" w14:textId="77777777" w:rsidR="006E6AAC" w:rsidRPr="00D44053" w:rsidRDefault="00FD0D02" w:rsidP="00895097">
      <w:pPr>
        <w:spacing w:after="120" w:line="276" w:lineRule="auto"/>
        <w:jc w:val="both"/>
        <w:rPr>
          <w:sz w:val="22"/>
          <w:szCs w:val="22"/>
          <w:lang w:val="en-US"/>
        </w:rPr>
      </w:pPr>
      <w:r>
        <w:rPr>
          <w:color w:val="000000"/>
          <w:sz w:val="22"/>
          <w:szCs w:val="22"/>
          <w:lang w:val="en-US"/>
        </w:rPr>
        <w:t xml:space="preserve">In line with the action document's approach, the project distinguishes the countries that benefited </w:t>
      </w:r>
      <w:r>
        <w:rPr>
          <w:color w:val="000000"/>
          <w:sz w:val="22"/>
          <w:szCs w:val="22"/>
          <w:lang w:val="en-US"/>
        </w:rPr>
        <w:t>from MEDISAFE Phase 1, seven of the 13: Ghana, Burundi, DRC, Ethiopia, Kenya, Rwanda and Zambia, from the newly added countries. It combines activities tailored to the maturity level of the new countries, capitalisation and consolidation activities for the</w:t>
      </w:r>
      <w:r>
        <w:rPr>
          <w:color w:val="000000"/>
          <w:sz w:val="22"/>
          <w:szCs w:val="22"/>
          <w:lang w:val="en-US"/>
        </w:rPr>
        <w:t xml:space="preserve"> former, and cross-cutting regional activities bringing the two groups together (peer mentoring, experience-sharing, operational coordination).</w:t>
      </w:r>
    </w:p>
    <w:p w14:paraId="0BE70CA7" w14:textId="77777777" w:rsidR="006E6AAC" w:rsidRPr="00D44053" w:rsidRDefault="00FD0D02" w:rsidP="00895097">
      <w:pPr>
        <w:spacing w:after="120" w:line="276" w:lineRule="auto"/>
        <w:jc w:val="both"/>
        <w:rPr>
          <w:sz w:val="22"/>
          <w:szCs w:val="22"/>
          <w:lang w:val="en-US"/>
        </w:rPr>
      </w:pPr>
      <w:r>
        <w:rPr>
          <w:b/>
          <w:bCs/>
          <w:color w:val="1F3864"/>
          <w:sz w:val="22"/>
          <w:szCs w:val="22"/>
          <w:lang w:val="en-US"/>
        </w:rPr>
        <w:t xml:space="preserve">Overall objective: </w:t>
      </w:r>
      <w:r>
        <w:rPr>
          <w:color w:val="000000"/>
          <w:sz w:val="22"/>
          <w:szCs w:val="22"/>
          <w:lang w:val="en-US"/>
        </w:rPr>
        <w:t>Mitigate the health, economic and security threats posed by substandard and falsified medical</w:t>
      </w:r>
      <w:r>
        <w:rPr>
          <w:color w:val="000000"/>
          <w:sz w:val="22"/>
          <w:szCs w:val="22"/>
          <w:lang w:val="en-US"/>
        </w:rPr>
        <w:t xml:space="preserve"> products (SFMP) in West and East Africa.</w:t>
      </w:r>
    </w:p>
    <w:p w14:paraId="39DD2847" w14:textId="77777777" w:rsidR="006E6AAC" w:rsidRPr="00D44053" w:rsidRDefault="00FD0D02" w:rsidP="00895097">
      <w:pPr>
        <w:spacing w:line="276" w:lineRule="auto"/>
        <w:jc w:val="both"/>
        <w:rPr>
          <w:sz w:val="22"/>
          <w:szCs w:val="22"/>
          <w:lang w:val="en-US"/>
        </w:rPr>
      </w:pPr>
      <w:r>
        <w:rPr>
          <w:color w:val="000000"/>
          <w:sz w:val="22"/>
          <w:szCs w:val="22"/>
          <w:lang w:val="en-US"/>
        </w:rPr>
        <w:t>The project pursues this objective through three complementary specific objectives, linked within a single theory of change and all embodying an inclusive and gender-sensitive approach:</w:t>
      </w:r>
    </w:p>
    <w:p w14:paraId="745EFBD0"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 xml:space="preserve">SO1 - National and regional </w:t>
      </w:r>
      <w:r>
        <w:rPr>
          <w:color w:val="000000"/>
          <w:sz w:val="22"/>
          <w:szCs w:val="22"/>
          <w:lang w:val="en-US"/>
        </w:rPr>
        <w:t>legal capacities to combat SFMP are strengthened through an inclusive and gender-sensitive harmonisation of legal frameworks and the implementation of key regulations.</w:t>
      </w:r>
    </w:p>
    <w:p w14:paraId="7AEF5A76"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SO2 - The capacity of national and regional law enforcement actors to detect, investigat</w:t>
      </w:r>
      <w:r>
        <w:rPr>
          <w:color w:val="000000"/>
          <w:sz w:val="22"/>
          <w:szCs w:val="22"/>
          <w:lang w:val="en-US"/>
        </w:rPr>
        <w:t>e and combat SFMP is strengthened through the optimisation of inclusive operational procedures, improved intelligence and the development of transnational cooperation responding to the specific needs of the most vulnerable, in particular women and children</w:t>
      </w:r>
      <w:r>
        <w:rPr>
          <w:color w:val="000000"/>
          <w:sz w:val="22"/>
          <w:szCs w:val="22"/>
          <w:lang w:val="en-US"/>
        </w:rPr>
        <w:t>.</w:t>
      </w:r>
    </w:p>
    <w:p w14:paraId="4B6E6378"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SO3 - The supply chain is strengthened and secured, and public awareness of SFMP is increased, through inclusive and gender-sensitive approaches, by promoting the active role of women health professionals, women-led organisations and caregivers, in order</w:t>
      </w:r>
      <w:r>
        <w:rPr>
          <w:color w:val="000000"/>
          <w:sz w:val="22"/>
          <w:szCs w:val="22"/>
          <w:lang w:val="en-US"/>
        </w:rPr>
        <w:t xml:space="preserve"> to ensure people's safety and equitable access to safe and effective medical products.</w:t>
      </w:r>
    </w:p>
    <w:p w14:paraId="64EABD25" w14:textId="77777777" w:rsidR="006E6AAC" w:rsidRPr="00D44053" w:rsidRDefault="00FD0D02" w:rsidP="00895097">
      <w:pPr>
        <w:spacing w:after="120" w:line="276" w:lineRule="auto"/>
        <w:jc w:val="both"/>
        <w:rPr>
          <w:sz w:val="22"/>
          <w:szCs w:val="22"/>
          <w:lang w:val="en-US"/>
        </w:rPr>
      </w:pPr>
      <w:r>
        <w:rPr>
          <w:color w:val="000000"/>
          <w:sz w:val="22"/>
          <w:szCs w:val="22"/>
          <w:lang w:val="en-US"/>
        </w:rPr>
        <w:lastRenderedPageBreak/>
        <w:t>These terms of reference fall under the pharmaceutical component (SO3), to which two outputs contribute:</w:t>
      </w:r>
    </w:p>
    <w:p w14:paraId="1C672A62"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Output 3.1 - Civil society actors have raised their level of aw</w:t>
      </w:r>
      <w:r>
        <w:rPr>
          <w:color w:val="000000"/>
          <w:sz w:val="22"/>
          <w:szCs w:val="22"/>
          <w:lang w:val="en-US"/>
        </w:rPr>
        <w:t>areness and strengthened their knowledge, risk perception and preventive behaviours regarding SFMP, pharmaceutical crime and digitally enabled forms of trafficking.</w:t>
      </w:r>
    </w:p>
    <w:p w14:paraId="3CD1A155"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Output 3.2 - Partner countries establish and operationalise risk-based systems for traceabi</w:t>
      </w:r>
      <w:r>
        <w:rPr>
          <w:color w:val="000000"/>
          <w:sz w:val="22"/>
          <w:szCs w:val="22"/>
          <w:lang w:val="en-US"/>
        </w:rPr>
        <w:t>lity, post-market surveillance and regulatory control of medical products, in order to prevent, detect and respond to the circulation of SFMP in national and cross-border supply chains.</w:t>
      </w:r>
    </w:p>
    <w:p w14:paraId="51270867" w14:textId="77777777" w:rsidR="006E6AAC" w:rsidRPr="00D44053" w:rsidRDefault="00FD0D02" w:rsidP="00895097">
      <w:pPr>
        <w:spacing w:after="120" w:line="276" w:lineRule="auto"/>
        <w:jc w:val="both"/>
        <w:rPr>
          <w:sz w:val="22"/>
          <w:szCs w:val="22"/>
          <w:lang w:val="en-US"/>
        </w:rPr>
      </w:pPr>
      <w:r>
        <w:rPr>
          <w:color w:val="000000"/>
          <w:sz w:val="22"/>
          <w:szCs w:val="22"/>
          <w:lang w:val="en-US"/>
        </w:rPr>
        <w:t>The project is entering its four-month inception phase, the culminatio</w:t>
      </w:r>
      <w:r>
        <w:rPr>
          <w:color w:val="000000"/>
          <w:sz w:val="22"/>
          <w:szCs w:val="22"/>
          <w:lang w:val="en-US"/>
        </w:rPr>
        <w:t>n of which is the MEDISAFE 2 Action Plan validated by the countries and Expertise France, to be submitted to the European Union Delegation. Gender-sensitive approaches, in particular accounting for the differentiated exposure of women, men and vulnerable p</w:t>
      </w:r>
      <w:r>
        <w:rPr>
          <w:color w:val="000000"/>
          <w:sz w:val="22"/>
          <w:szCs w:val="22"/>
          <w:lang w:val="en-US"/>
        </w:rPr>
        <w:t>opulations, and promoting the role of women health professionals and women-led organisations, are integrated in a cross-cutting manner.</w:t>
      </w:r>
    </w:p>
    <w:p w14:paraId="617A3F0B" w14:textId="77777777" w:rsidR="006E6AAC" w:rsidRPr="00D44053" w:rsidRDefault="00FD0D02" w:rsidP="00895097">
      <w:pPr>
        <w:pStyle w:val="Titre2"/>
        <w:spacing w:line="276" w:lineRule="auto"/>
        <w:rPr>
          <w:lang w:val="en-US"/>
        </w:rPr>
      </w:pPr>
      <w:r>
        <w:rPr>
          <w:lang w:val="en-US"/>
        </w:rPr>
        <w:t>2. Purpose and principle of mobilisation</w:t>
      </w:r>
    </w:p>
    <w:p w14:paraId="29D16ADB" w14:textId="77777777" w:rsidR="006E6AAC" w:rsidRPr="00D44053" w:rsidRDefault="00FD0D02" w:rsidP="00895097">
      <w:pPr>
        <w:spacing w:after="120" w:line="276" w:lineRule="auto"/>
        <w:jc w:val="both"/>
        <w:rPr>
          <w:sz w:val="22"/>
          <w:szCs w:val="22"/>
          <w:lang w:val="en-US"/>
        </w:rPr>
      </w:pPr>
      <w:r>
        <w:rPr>
          <w:color w:val="000000"/>
          <w:sz w:val="22"/>
          <w:szCs w:val="22"/>
          <w:lang w:val="en-US"/>
        </w:rPr>
        <w:t>To complement the project’s core pharmaceutical expertise (the Lead Pharmaceuti</w:t>
      </w:r>
      <w:r>
        <w:rPr>
          <w:color w:val="000000"/>
          <w:sz w:val="22"/>
          <w:szCs w:val="22"/>
          <w:lang w:val="en-US"/>
        </w:rPr>
        <w:t>cal Expert and the communication and awareness specialist, each recruited under separate terms of reference), MEDISAFE 2 mobilises a pool of specialised international consultants. This document describes the seven profiles sought. It serves as a call for e</w:t>
      </w:r>
      <w:r>
        <w:rPr>
          <w:color w:val="000000"/>
          <w:sz w:val="22"/>
          <w:szCs w:val="22"/>
          <w:lang w:val="en-US"/>
        </w:rPr>
        <w:t>xpressions of interest: candidates apply individually, in their own name, for one or more profiles. Several experts may be retained under the same profile, according to needs.</w:t>
      </w:r>
    </w:p>
    <w:p w14:paraId="61FD0F93" w14:textId="77777777" w:rsidR="00E1761E" w:rsidRDefault="00FD0D02">
      <w:pPr>
        <w:spacing w:after="120" w:line="276" w:lineRule="auto"/>
        <w:jc w:val="both"/>
        <w:rPr>
          <w:sz w:val="22"/>
          <w:szCs w:val="22"/>
          <w:lang w:val="en-US"/>
        </w:rPr>
      </w:pPr>
      <w:r>
        <w:rPr>
          <w:color w:val="000000"/>
          <w:sz w:val="22"/>
          <w:szCs w:val="22"/>
          <w:lang w:val="en-US"/>
        </w:rPr>
        <w:t xml:space="preserve">Selection and contracting are carried out on an individual basis. Contracts are </w:t>
      </w:r>
      <w:r>
        <w:rPr>
          <w:color w:val="000000"/>
          <w:sz w:val="22"/>
          <w:szCs w:val="22"/>
          <w:lang w:val="en-US"/>
        </w:rPr>
        <w:t>concluded individually with each expert (man-day framework contracts, activated by purchase orders according to needs), and not with consulting firms. Experts affiliated with a firm, an institute or a network may apply in their own name and are assessed on</w:t>
      </w:r>
      <w:r>
        <w:rPr>
          <w:color w:val="000000"/>
          <w:sz w:val="22"/>
          <w:szCs w:val="22"/>
          <w:lang w:val="en-US"/>
        </w:rPr>
        <w:t xml:space="preserve"> their individual CV and references. An expert who does not have a structure for invoicing purposes may be administratively hosted by an organisation of his or her choice (hosting/portage arrangement): in that case, the contract and the purchase orders sti</w:t>
      </w:r>
      <w:r>
        <w:rPr>
          <w:color w:val="000000"/>
          <w:sz w:val="22"/>
          <w:szCs w:val="22"/>
          <w:lang w:val="en-US"/>
        </w:rPr>
        <w:t>ll designate the expert by name, the expert remains personally responsible for the deliverables, and no substitution is permitted without the prior written approval of Expertise France.</w:t>
      </w:r>
    </w:p>
    <w:p w14:paraId="1BC2DF7A" w14:textId="77777777" w:rsidR="006E6AAC" w:rsidRPr="00895097" w:rsidRDefault="00FD0D02" w:rsidP="00895097">
      <w:pPr>
        <w:pStyle w:val="Titre2"/>
        <w:spacing w:line="276" w:lineRule="auto"/>
      </w:pPr>
      <w:r>
        <w:t>3. Common arrangements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5"/>
        <w:gridCol w:w="7805"/>
      </w:tblGrid>
      <w:tr w:rsidR="006E6AAC" w:rsidRPr="002442AC" w14:paraId="346DDFAC" w14:textId="77777777" w:rsidTr="002442AC">
        <w:tc>
          <w:tcPr>
            <w:tcW w:w="1555" w:type="dxa"/>
            <w:tcBorders>
              <w:top w:val="single" w:sz="4" w:space="0" w:color="BFBFBF"/>
              <w:left w:val="single" w:sz="4" w:space="0" w:color="BFBFBF"/>
              <w:bottom w:val="single" w:sz="4" w:space="0" w:color="BFBFBF"/>
              <w:right w:val="single" w:sz="4" w:space="0" w:color="BFBFBF"/>
            </w:tcBorders>
            <w:shd w:val="clear" w:color="auto" w:fill="F2F2F2"/>
            <w:tcMar>
              <w:top w:w="70" w:type="dxa"/>
              <w:left w:w="110" w:type="dxa"/>
              <w:bottom w:w="70" w:type="dxa"/>
              <w:right w:w="110" w:type="dxa"/>
            </w:tcMar>
            <w:vAlign w:val="center"/>
          </w:tcPr>
          <w:p w14:paraId="1E041DE5" w14:textId="77777777" w:rsidR="006E6AAC" w:rsidRPr="00895097" w:rsidRDefault="00FD0D02" w:rsidP="00895097">
            <w:pPr>
              <w:spacing w:line="276" w:lineRule="auto"/>
              <w:rPr>
                <w:sz w:val="22"/>
                <w:szCs w:val="22"/>
              </w:rPr>
            </w:pPr>
            <w:r>
              <w:rPr>
                <w:b/>
                <w:bCs/>
                <w:color w:val="1F3864"/>
                <w:sz w:val="22"/>
                <w:szCs w:val="22"/>
              </w:rPr>
              <w:t>Form of mobilisation</w:t>
            </w:r>
          </w:p>
        </w:tc>
        <w:tc>
          <w:tcPr>
            <w:tcW w:w="780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vAlign w:val="center"/>
          </w:tcPr>
          <w:p w14:paraId="1EFB941D" w14:textId="77777777" w:rsidR="006E6AAC" w:rsidRPr="00D44053" w:rsidRDefault="00FD0D02" w:rsidP="00895097">
            <w:pPr>
              <w:spacing w:line="276" w:lineRule="auto"/>
              <w:rPr>
                <w:sz w:val="22"/>
                <w:szCs w:val="22"/>
                <w:lang w:val="en-US"/>
              </w:rPr>
            </w:pPr>
            <w:r>
              <w:rPr>
                <w:color w:val="000000"/>
                <w:sz w:val="22"/>
                <w:szCs w:val="22"/>
                <w:lang w:val="en-US"/>
              </w:rPr>
              <w:t>Individual consultant. Con</w:t>
            </w:r>
            <w:r>
              <w:rPr>
                <w:color w:val="000000"/>
                <w:sz w:val="22"/>
                <w:szCs w:val="22"/>
                <w:lang w:val="en-US"/>
              </w:rPr>
              <w:t>tracts are concluded individually with each expert, on a man-day basis, and not with firms. An expert without an invoicing structure may be administratively hosted by an organisation (hosting/portage arrangement); the contract still designates the expert b</w:t>
            </w:r>
            <w:r>
              <w:rPr>
                <w:color w:val="000000"/>
                <w:sz w:val="22"/>
                <w:szCs w:val="22"/>
                <w:lang w:val="en-US"/>
              </w:rPr>
              <w:t>y name.</w:t>
            </w:r>
          </w:p>
        </w:tc>
      </w:tr>
      <w:tr w:rsidR="006E6AAC" w:rsidRPr="002442AC" w14:paraId="6E9B1E2F" w14:textId="77777777" w:rsidTr="002442AC">
        <w:tc>
          <w:tcPr>
            <w:tcW w:w="1555" w:type="dxa"/>
            <w:tcBorders>
              <w:top w:val="single" w:sz="4" w:space="0" w:color="BFBFBF"/>
              <w:left w:val="single" w:sz="4" w:space="0" w:color="BFBFBF"/>
              <w:bottom w:val="single" w:sz="4" w:space="0" w:color="BFBFBF"/>
              <w:right w:val="single" w:sz="4" w:space="0" w:color="BFBFBF"/>
            </w:tcBorders>
            <w:shd w:val="clear" w:color="auto" w:fill="F2F2F2"/>
            <w:tcMar>
              <w:top w:w="70" w:type="dxa"/>
              <w:left w:w="110" w:type="dxa"/>
              <w:bottom w:w="70" w:type="dxa"/>
              <w:right w:w="110" w:type="dxa"/>
            </w:tcMar>
            <w:vAlign w:val="center"/>
          </w:tcPr>
          <w:p w14:paraId="762A99BB" w14:textId="77777777" w:rsidR="006E6AAC" w:rsidRPr="00895097" w:rsidRDefault="00FD0D02" w:rsidP="00895097">
            <w:pPr>
              <w:spacing w:line="276" w:lineRule="auto"/>
              <w:rPr>
                <w:sz w:val="22"/>
                <w:szCs w:val="22"/>
              </w:rPr>
            </w:pPr>
            <w:r>
              <w:rPr>
                <w:b/>
                <w:bCs/>
                <w:color w:val="1F3864"/>
                <w:sz w:val="22"/>
                <w:szCs w:val="22"/>
              </w:rPr>
              <w:t>Procedure</w:t>
            </w:r>
          </w:p>
        </w:tc>
        <w:tc>
          <w:tcPr>
            <w:tcW w:w="780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vAlign w:val="center"/>
          </w:tcPr>
          <w:p w14:paraId="5B588960" w14:textId="77777777" w:rsidR="006E6AAC" w:rsidRPr="00D44053" w:rsidRDefault="00FD0D02" w:rsidP="00895097">
            <w:pPr>
              <w:spacing w:line="276" w:lineRule="auto"/>
              <w:rPr>
                <w:sz w:val="22"/>
                <w:szCs w:val="22"/>
                <w:lang w:val="en-US"/>
              </w:rPr>
            </w:pPr>
            <w:r>
              <w:rPr>
                <w:color w:val="000000"/>
                <w:sz w:val="22"/>
                <w:szCs w:val="22"/>
                <w:lang w:val="en-US"/>
              </w:rPr>
              <w:t xml:space="preserve">Selection of individual experts through this call for expressions of interest, in accordance with Expertise France's procurement rules (assessment of CVs, references and fee proposals); possible application for one or more profiles; </w:t>
            </w:r>
            <w:r>
              <w:rPr>
                <w:color w:val="000000"/>
                <w:sz w:val="22"/>
                <w:szCs w:val="22"/>
                <w:lang w:val="en-US"/>
              </w:rPr>
              <w:t>contracting lead time to be anticipated from inception where the service supports Year 1 activities.</w:t>
            </w:r>
          </w:p>
        </w:tc>
      </w:tr>
      <w:tr w:rsidR="006E6AAC" w:rsidRPr="002442AC" w14:paraId="7BAD08F7" w14:textId="77777777" w:rsidTr="002442AC">
        <w:tc>
          <w:tcPr>
            <w:tcW w:w="1555" w:type="dxa"/>
            <w:tcBorders>
              <w:top w:val="single" w:sz="4" w:space="0" w:color="BFBFBF"/>
              <w:left w:val="single" w:sz="4" w:space="0" w:color="BFBFBF"/>
              <w:bottom w:val="single" w:sz="4" w:space="0" w:color="BFBFBF"/>
              <w:right w:val="single" w:sz="4" w:space="0" w:color="BFBFBF"/>
            </w:tcBorders>
            <w:shd w:val="clear" w:color="auto" w:fill="F2F2F2"/>
            <w:tcMar>
              <w:top w:w="70" w:type="dxa"/>
              <w:left w:w="110" w:type="dxa"/>
              <w:bottom w:w="70" w:type="dxa"/>
              <w:right w:w="110" w:type="dxa"/>
            </w:tcMar>
            <w:vAlign w:val="center"/>
          </w:tcPr>
          <w:p w14:paraId="4FE1EA02" w14:textId="77777777" w:rsidR="006E6AAC" w:rsidRPr="00895097" w:rsidRDefault="00FD0D02" w:rsidP="00895097">
            <w:pPr>
              <w:spacing w:line="276" w:lineRule="auto"/>
              <w:rPr>
                <w:sz w:val="22"/>
                <w:szCs w:val="22"/>
              </w:rPr>
            </w:pPr>
            <w:r>
              <w:rPr>
                <w:b/>
                <w:bCs/>
                <w:color w:val="1F3864"/>
                <w:sz w:val="22"/>
                <w:szCs w:val="22"/>
              </w:rPr>
              <w:t>Reporting line</w:t>
            </w:r>
          </w:p>
        </w:tc>
        <w:tc>
          <w:tcPr>
            <w:tcW w:w="780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vAlign w:val="center"/>
          </w:tcPr>
          <w:p w14:paraId="28DB2F29" w14:textId="77777777" w:rsidR="006E6AAC" w:rsidRPr="00D44053" w:rsidRDefault="00FD0D02" w:rsidP="00895097">
            <w:pPr>
              <w:spacing w:line="276" w:lineRule="auto"/>
              <w:rPr>
                <w:sz w:val="22"/>
                <w:szCs w:val="22"/>
                <w:lang w:val="en-US"/>
              </w:rPr>
            </w:pPr>
            <w:r>
              <w:rPr>
                <w:color w:val="000000"/>
                <w:sz w:val="22"/>
                <w:szCs w:val="22"/>
                <w:lang w:val="en-US"/>
              </w:rPr>
              <w:t>Pharmaceutical Component Lead (Technical Expert, Pharmaceutical Regulation and Supply Chain Security)</w:t>
            </w:r>
          </w:p>
        </w:tc>
      </w:tr>
      <w:tr w:rsidR="006E6AAC" w:rsidRPr="002442AC" w14:paraId="627FAC6B" w14:textId="77777777" w:rsidTr="002442AC">
        <w:tc>
          <w:tcPr>
            <w:tcW w:w="1555" w:type="dxa"/>
            <w:tcBorders>
              <w:top w:val="single" w:sz="4" w:space="0" w:color="BFBFBF"/>
              <w:left w:val="single" w:sz="4" w:space="0" w:color="BFBFBF"/>
              <w:bottom w:val="single" w:sz="4" w:space="0" w:color="BFBFBF"/>
              <w:right w:val="single" w:sz="4" w:space="0" w:color="BFBFBF"/>
            </w:tcBorders>
            <w:shd w:val="clear" w:color="auto" w:fill="F2F2F2"/>
            <w:tcMar>
              <w:top w:w="70" w:type="dxa"/>
              <w:left w:w="110" w:type="dxa"/>
              <w:bottom w:w="70" w:type="dxa"/>
              <w:right w:w="110" w:type="dxa"/>
            </w:tcMar>
            <w:vAlign w:val="center"/>
          </w:tcPr>
          <w:p w14:paraId="383DDA1A" w14:textId="77777777" w:rsidR="006E6AAC" w:rsidRPr="00895097" w:rsidRDefault="00FD0D02" w:rsidP="00895097">
            <w:pPr>
              <w:spacing w:line="276" w:lineRule="auto"/>
              <w:rPr>
                <w:sz w:val="22"/>
                <w:szCs w:val="22"/>
              </w:rPr>
            </w:pPr>
            <w:r>
              <w:rPr>
                <w:b/>
                <w:bCs/>
                <w:color w:val="1F3864"/>
                <w:sz w:val="22"/>
                <w:szCs w:val="22"/>
              </w:rPr>
              <w:lastRenderedPageBreak/>
              <w:t>Working languages</w:t>
            </w:r>
          </w:p>
        </w:tc>
        <w:tc>
          <w:tcPr>
            <w:tcW w:w="780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vAlign w:val="center"/>
          </w:tcPr>
          <w:p w14:paraId="37E4E05A" w14:textId="77777777" w:rsidR="006E6AAC" w:rsidRPr="00D44053" w:rsidRDefault="00FD0D02" w:rsidP="00895097">
            <w:pPr>
              <w:spacing w:line="276" w:lineRule="auto"/>
              <w:rPr>
                <w:sz w:val="22"/>
                <w:szCs w:val="22"/>
                <w:lang w:val="en-US"/>
              </w:rPr>
            </w:pPr>
            <w:r>
              <w:rPr>
                <w:color w:val="000000"/>
                <w:sz w:val="22"/>
                <w:szCs w:val="22"/>
                <w:lang w:val="en-US"/>
              </w:rPr>
              <w:t>French and/or Engl</w:t>
            </w:r>
            <w:r>
              <w:rPr>
                <w:color w:val="000000"/>
                <w:sz w:val="22"/>
                <w:szCs w:val="22"/>
                <w:lang w:val="en-US"/>
              </w:rPr>
              <w:t>ish depending on the countries of intervention</w:t>
            </w:r>
          </w:p>
        </w:tc>
      </w:tr>
      <w:tr w:rsidR="006E6AAC" w:rsidRPr="002442AC" w14:paraId="2AF388E7" w14:textId="77777777" w:rsidTr="002442AC">
        <w:tc>
          <w:tcPr>
            <w:tcW w:w="1555" w:type="dxa"/>
            <w:tcBorders>
              <w:top w:val="single" w:sz="4" w:space="0" w:color="BFBFBF"/>
              <w:left w:val="single" w:sz="4" w:space="0" w:color="BFBFBF"/>
              <w:bottom w:val="single" w:sz="4" w:space="0" w:color="BFBFBF"/>
              <w:right w:val="single" w:sz="4" w:space="0" w:color="BFBFBF"/>
            </w:tcBorders>
            <w:shd w:val="clear" w:color="auto" w:fill="F2F2F2"/>
            <w:tcMar>
              <w:top w:w="70" w:type="dxa"/>
              <w:left w:w="110" w:type="dxa"/>
              <w:bottom w:w="70" w:type="dxa"/>
              <w:right w:w="110" w:type="dxa"/>
            </w:tcMar>
            <w:vAlign w:val="center"/>
          </w:tcPr>
          <w:p w14:paraId="570668E6" w14:textId="77777777" w:rsidR="006E6AAC" w:rsidRPr="00895097" w:rsidRDefault="00FD0D02" w:rsidP="00895097">
            <w:pPr>
              <w:spacing w:line="276" w:lineRule="auto"/>
              <w:rPr>
                <w:sz w:val="22"/>
                <w:szCs w:val="22"/>
              </w:rPr>
            </w:pPr>
            <w:r>
              <w:rPr>
                <w:b/>
                <w:bCs/>
                <w:color w:val="1F3864"/>
                <w:sz w:val="22"/>
                <w:szCs w:val="22"/>
              </w:rPr>
              <w:t>Application</w:t>
            </w:r>
          </w:p>
        </w:tc>
        <w:tc>
          <w:tcPr>
            <w:tcW w:w="780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vAlign w:val="center"/>
          </w:tcPr>
          <w:p w14:paraId="2BF32C34" w14:textId="77777777" w:rsidR="006E6AAC" w:rsidRPr="00D44053" w:rsidRDefault="00FD0D02" w:rsidP="00895097">
            <w:pPr>
              <w:spacing w:line="276" w:lineRule="auto"/>
              <w:rPr>
                <w:sz w:val="22"/>
                <w:szCs w:val="22"/>
                <w:lang w:val="en-US"/>
              </w:rPr>
            </w:pPr>
            <w:r>
              <w:rPr>
                <w:color w:val="000000"/>
                <w:sz w:val="22"/>
                <w:szCs w:val="22"/>
                <w:lang w:val="en-US"/>
              </w:rPr>
              <w:t>CV of the expert (individual application) + references of comparable assignments + short methodological note + proposed daily fee rate + where applicable, identification of the hosting organisatio</w:t>
            </w:r>
            <w:r>
              <w:rPr>
                <w:color w:val="000000"/>
                <w:sz w:val="22"/>
                <w:szCs w:val="22"/>
                <w:lang w:val="en-US"/>
              </w:rPr>
              <w:t>n (portage)</w:t>
            </w:r>
          </w:p>
        </w:tc>
      </w:tr>
    </w:tbl>
    <w:p w14:paraId="5BD7E0BB" w14:textId="77777777" w:rsidR="00895097" w:rsidRPr="00D44053" w:rsidRDefault="00895097" w:rsidP="00895097">
      <w:pPr>
        <w:pStyle w:val="Titre2"/>
        <w:spacing w:line="276" w:lineRule="auto"/>
        <w:rPr>
          <w:lang w:val="en-US"/>
        </w:rPr>
      </w:pPr>
    </w:p>
    <w:p w14:paraId="03D54579" w14:textId="77777777" w:rsidR="006E6AAC" w:rsidRPr="00D44053" w:rsidRDefault="00FD0D02" w:rsidP="00895097">
      <w:pPr>
        <w:pStyle w:val="Titre2"/>
        <w:spacing w:line="276" w:lineRule="auto"/>
        <w:rPr>
          <w:lang w:val="en-US"/>
        </w:rPr>
      </w:pPr>
      <w:r>
        <w:rPr>
          <w:lang w:val="en-US"/>
        </w:rPr>
        <w:t>4. Profiles sought</w:t>
      </w:r>
    </w:p>
    <w:p w14:paraId="27D6D6C6" w14:textId="77777777" w:rsidR="006E6AAC" w:rsidRPr="00D44053" w:rsidRDefault="00FD0D02" w:rsidP="00895097">
      <w:pPr>
        <w:spacing w:after="120" w:line="276" w:lineRule="auto"/>
        <w:jc w:val="both"/>
        <w:rPr>
          <w:color w:val="000000"/>
          <w:sz w:val="22"/>
          <w:szCs w:val="22"/>
          <w:lang w:val="en-US"/>
        </w:rPr>
      </w:pPr>
      <w:r>
        <w:rPr>
          <w:color w:val="000000"/>
          <w:sz w:val="22"/>
          <w:szCs w:val="22"/>
          <w:lang w:val="en-US"/>
        </w:rPr>
        <w:t xml:space="preserve">Each profile below specifies the purpose of the support, the expected competencies and the indicative volume. Profiles 4.3 and 4.4 may be covered by the same expertise; profiles 4.2, 4.5, 4.6 and 4.7 fall under targeted </w:t>
      </w:r>
      <w:r>
        <w:rPr>
          <w:color w:val="000000"/>
          <w:sz w:val="22"/>
          <w:szCs w:val="22"/>
          <w:lang w:val="en-US"/>
        </w:rPr>
        <w:t>mobilisation according to the needs validated by country. For all profiles, familiarity with the WHO Global Benchmarking Tool (GBT) sub-indicators relevant to the profile is an asset.</w:t>
      </w:r>
    </w:p>
    <w:p w14:paraId="77FA3D06" w14:textId="77777777" w:rsidR="00895097" w:rsidRPr="00D44053" w:rsidRDefault="00895097" w:rsidP="00895097">
      <w:pPr>
        <w:spacing w:after="120" w:line="276" w:lineRule="auto"/>
        <w:jc w:val="both"/>
        <w:rPr>
          <w:sz w:val="22"/>
          <w:szCs w:val="22"/>
          <w:lang w:val="en-US"/>
        </w:rPr>
      </w:pPr>
    </w:p>
    <w:p w14:paraId="5603F9E0" w14:textId="77777777" w:rsidR="006E6AAC" w:rsidRPr="00D44053" w:rsidRDefault="00895097" w:rsidP="00895097">
      <w:pPr>
        <w:keepNext/>
        <w:spacing w:before="170" w:after="40" w:line="276" w:lineRule="auto"/>
        <w:rPr>
          <w:sz w:val="22"/>
          <w:szCs w:val="22"/>
          <w:lang w:val="en-US"/>
        </w:rPr>
      </w:pPr>
      <w:r>
        <w:rPr>
          <w:b/>
          <w:bCs/>
          <w:color w:val="1F3864"/>
          <w:sz w:val="22"/>
          <w:szCs w:val="22"/>
          <w:lang w:val="en-US"/>
        </w:rPr>
        <w:t>4.1 - Supply chain security and traceability expert</w:t>
      </w:r>
    </w:p>
    <w:p w14:paraId="7195F963" w14:textId="77777777" w:rsidR="006E6AAC" w:rsidRPr="004D2D30" w:rsidRDefault="00FD0D02" w:rsidP="00895097">
      <w:pPr>
        <w:spacing w:after="60" w:line="276" w:lineRule="auto"/>
        <w:jc w:val="both"/>
        <w:rPr>
          <w:color w:val="000000"/>
          <w:sz w:val="22"/>
          <w:szCs w:val="22"/>
          <w:lang w:val="en-US"/>
        </w:rPr>
      </w:pPr>
      <w:r>
        <w:rPr>
          <w:color w:val="2E5496"/>
          <w:sz w:val="22"/>
          <w:szCs w:val="22"/>
          <w:lang w:val="en-US"/>
        </w:rPr>
        <w:t>Purpose of the supp</w:t>
      </w:r>
      <w:r>
        <w:rPr>
          <w:color w:val="2E5496"/>
          <w:sz w:val="22"/>
          <w:szCs w:val="22"/>
          <w:lang w:val="en-US"/>
        </w:rPr>
        <w:t>ort: Support the supply chain security assessments (based on the MEDISAFE Supply Chain Security guide) of at least the eight countries prioritised in Year 1 (Kenya, DRC, Côte d'Ivoire, Benin, Guinea; self-assessment for Zambia, Burundi, Nigeria), whose fin</w:t>
      </w:r>
      <w:r>
        <w:rPr>
          <w:color w:val="2E5496"/>
          <w:sz w:val="22"/>
          <w:szCs w:val="22"/>
          <w:lang w:val="en-US"/>
        </w:rPr>
        <w:t>dings feed the NAP pathway; develop the traceability procedures (SOPs) and support the integration of traceability and verification solutions (TRVST experience in Nigeria, Rwanda).</w:t>
      </w:r>
    </w:p>
    <w:p w14:paraId="218D4433" w14:textId="77777777" w:rsidR="00895097" w:rsidRPr="00D44053" w:rsidRDefault="00895097" w:rsidP="004D2D30">
      <w:pPr>
        <w:spacing w:line="276" w:lineRule="auto"/>
        <w:jc w:val="both"/>
        <w:rPr>
          <w:sz w:val="22"/>
          <w:szCs w:val="22"/>
          <w:lang w:val="en-US"/>
        </w:rPr>
      </w:pPr>
    </w:p>
    <w:p w14:paraId="437E2E78" w14:textId="77777777" w:rsidR="006E6AAC" w:rsidRPr="00895097" w:rsidRDefault="00FD0D02" w:rsidP="00895097">
      <w:pPr>
        <w:spacing w:after="30" w:line="276" w:lineRule="auto"/>
        <w:rPr>
          <w:sz w:val="22"/>
          <w:szCs w:val="22"/>
        </w:rPr>
      </w:pPr>
      <w:r>
        <w:rPr>
          <w:b/>
          <w:bCs/>
          <w:color w:val="2E5496"/>
          <w:sz w:val="22"/>
          <w:szCs w:val="22"/>
        </w:rPr>
        <w:t>Expected competencies:</w:t>
      </w:r>
    </w:p>
    <w:p w14:paraId="5AC9988B"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Higher degree and proven experience of the pharmace</w:t>
      </w:r>
      <w:r>
        <w:rPr>
          <w:color w:val="000000"/>
          <w:sz w:val="22"/>
          <w:szCs w:val="22"/>
          <w:lang w:val="en-US"/>
        </w:rPr>
        <w:t>utical supply chain (PSM).</w:t>
      </w:r>
    </w:p>
    <w:p w14:paraId="02EDFC5E"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Command of traceability and serialisation standards (GS1) and of verification solutions.</w:t>
      </w:r>
    </w:p>
    <w:p w14:paraId="7EF75CE4"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Experience of supply chain security assessments and of developing SOPs in an African context.</w:t>
      </w:r>
    </w:p>
    <w:p w14:paraId="72B38040" w14:textId="77777777" w:rsidR="006E6AAC" w:rsidRPr="00D44053" w:rsidRDefault="00FD0D02" w:rsidP="004D2D30">
      <w:pPr>
        <w:spacing w:after="40" w:line="276" w:lineRule="auto"/>
        <w:jc w:val="both"/>
        <w:rPr>
          <w:color w:val="000000"/>
          <w:sz w:val="22"/>
          <w:szCs w:val="22"/>
          <w:lang w:val="en-US"/>
        </w:rPr>
      </w:pPr>
      <w:r>
        <w:rPr>
          <w:b/>
          <w:bCs/>
          <w:color w:val="2E5496"/>
          <w:sz w:val="22"/>
          <w:szCs w:val="22"/>
          <w:lang w:val="en-US"/>
        </w:rPr>
        <w:t xml:space="preserve">Indicative volume: </w:t>
      </w:r>
      <w:r>
        <w:rPr>
          <w:color w:val="000000"/>
          <w:sz w:val="22"/>
          <w:szCs w:val="22"/>
          <w:lang w:val="en-US"/>
        </w:rPr>
        <w:t>≈ 15 days over the inceptio</w:t>
      </w:r>
      <w:r>
        <w:rPr>
          <w:color w:val="000000"/>
          <w:sz w:val="22"/>
          <w:szCs w:val="22"/>
          <w:lang w:val="en-US"/>
        </w:rPr>
        <w:t xml:space="preserve">n phase, </w:t>
      </w:r>
      <w:bookmarkStart w:id="1" w:name="OLE_LINK1"/>
      <w:r>
        <w:rPr>
          <w:color w:val="000000"/>
          <w:sz w:val="22"/>
          <w:szCs w:val="22"/>
          <w:lang w:val="en-US"/>
        </w:rPr>
        <w:t>extensible according to the country’s needs</w:t>
      </w:r>
      <w:bookmarkEnd w:id="1"/>
    </w:p>
    <w:p w14:paraId="6B4C1DE5" w14:textId="77777777" w:rsidR="00895097" w:rsidRPr="00D44053" w:rsidRDefault="00895097" w:rsidP="00895097">
      <w:pPr>
        <w:spacing w:after="40" w:line="276" w:lineRule="auto"/>
        <w:rPr>
          <w:sz w:val="22"/>
          <w:szCs w:val="22"/>
          <w:lang w:val="en-US"/>
        </w:rPr>
      </w:pPr>
    </w:p>
    <w:p w14:paraId="6223C3C3" w14:textId="77777777" w:rsidR="006E6AAC" w:rsidRPr="00D44053" w:rsidRDefault="00895097" w:rsidP="00895097">
      <w:pPr>
        <w:keepNext/>
        <w:spacing w:before="170" w:after="40" w:line="276" w:lineRule="auto"/>
        <w:rPr>
          <w:sz w:val="22"/>
          <w:szCs w:val="22"/>
          <w:lang w:val="en-US"/>
        </w:rPr>
      </w:pPr>
      <w:r>
        <w:rPr>
          <w:b/>
          <w:bCs/>
          <w:color w:val="1F3864"/>
          <w:sz w:val="22"/>
          <w:szCs w:val="22"/>
          <w:lang w:val="en-US"/>
        </w:rPr>
        <w:t>4.2 - Good Manufacturing, Storage and Distribution Practices (GMP/GDP) expert</w:t>
      </w:r>
    </w:p>
    <w:p w14:paraId="111A0D7F" w14:textId="77777777" w:rsidR="006E6AAC" w:rsidRDefault="00FD0D02" w:rsidP="00895097">
      <w:pPr>
        <w:spacing w:after="60" w:line="276" w:lineRule="auto"/>
        <w:jc w:val="both"/>
        <w:rPr>
          <w:color w:val="2E5496"/>
          <w:sz w:val="22"/>
          <w:szCs w:val="22"/>
          <w:lang w:val="en-US"/>
        </w:rPr>
      </w:pPr>
      <w:r>
        <w:rPr>
          <w:color w:val="2E5496"/>
          <w:sz w:val="22"/>
          <w:szCs w:val="22"/>
          <w:lang w:val="en-US"/>
        </w:rPr>
        <w:t xml:space="preserve">Purpose of the support: Support the assessment and strengthening of good manufacturing practices among local manufacturers, </w:t>
      </w:r>
      <w:r>
        <w:rPr>
          <w:color w:val="2E5496"/>
          <w:sz w:val="22"/>
          <w:szCs w:val="22"/>
          <w:lang w:val="en-US"/>
        </w:rPr>
        <w:t>in conjunction with the regulatory authorities and prequalification processes, only where this priority is selected and validated by the country and without the support amounting to certification. Under the same conditions, support the assessment and stren</w:t>
      </w:r>
      <w:r>
        <w:rPr>
          <w:color w:val="2E5496"/>
          <w:sz w:val="22"/>
          <w:szCs w:val="22"/>
          <w:lang w:val="en-US"/>
        </w:rPr>
        <w:t>gthening of quality management systems (WHO MQAS type) and of good storage and distribution practices among targeted supply chain actors (importers, wholesalers, distributors, procurement agencies).</w:t>
      </w:r>
    </w:p>
    <w:p w14:paraId="2F848C11" w14:textId="77777777" w:rsidR="004D2D30" w:rsidRPr="004D2D30" w:rsidRDefault="004D2D30" w:rsidP="00895097">
      <w:pPr>
        <w:spacing w:after="60" w:line="276" w:lineRule="auto"/>
        <w:jc w:val="both"/>
        <w:rPr>
          <w:sz w:val="22"/>
          <w:szCs w:val="22"/>
          <w:lang w:val="en-US"/>
        </w:rPr>
      </w:pPr>
    </w:p>
    <w:p w14:paraId="0AFE343B" w14:textId="77777777" w:rsidR="006E6AAC" w:rsidRPr="00895097" w:rsidRDefault="00FD0D02" w:rsidP="00895097">
      <w:pPr>
        <w:spacing w:after="30" w:line="276" w:lineRule="auto"/>
        <w:rPr>
          <w:sz w:val="22"/>
          <w:szCs w:val="22"/>
        </w:rPr>
      </w:pPr>
      <w:r>
        <w:rPr>
          <w:b/>
          <w:bCs/>
          <w:color w:val="2E5496"/>
          <w:sz w:val="22"/>
          <w:szCs w:val="22"/>
        </w:rPr>
        <w:t>Expected competencies:</w:t>
      </w:r>
    </w:p>
    <w:p w14:paraId="55267CEC"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GMP and GDP inspector qualificati</w:t>
      </w:r>
      <w:r>
        <w:rPr>
          <w:color w:val="000000"/>
          <w:sz w:val="22"/>
          <w:szCs w:val="22"/>
          <w:lang w:val="en-US"/>
        </w:rPr>
        <w:t>on or recognised equivalent experience.</w:t>
      </w:r>
    </w:p>
    <w:p w14:paraId="40933A22" w14:textId="0F85C9FB"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Experience of supporting pharmaceutical production sites and distribution/storage facilities, and command of the WHO and PIC/S reference frameworks (GMP</w:t>
      </w:r>
      <w:r w:rsidR="002442AC">
        <w:rPr>
          <w:color w:val="000000"/>
          <w:sz w:val="22"/>
          <w:szCs w:val="22"/>
          <w:lang w:val="en-US"/>
        </w:rPr>
        <w:t>,</w:t>
      </w:r>
      <w:r>
        <w:rPr>
          <w:color w:val="000000"/>
          <w:sz w:val="22"/>
          <w:szCs w:val="22"/>
          <w:lang w:val="en-US"/>
        </w:rPr>
        <w:t xml:space="preserve"> GDP</w:t>
      </w:r>
      <w:r w:rsidR="002442AC">
        <w:rPr>
          <w:color w:val="000000"/>
          <w:sz w:val="22"/>
          <w:szCs w:val="22"/>
          <w:lang w:val="en-US"/>
        </w:rPr>
        <w:t xml:space="preserve"> QAMS</w:t>
      </w:r>
      <w:r>
        <w:rPr>
          <w:color w:val="000000"/>
          <w:sz w:val="22"/>
          <w:szCs w:val="22"/>
          <w:lang w:val="en-US"/>
        </w:rPr>
        <w:t>).</w:t>
      </w:r>
    </w:p>
    <w:p w14:paraId="6B2A005E" w14:textId="19327A46"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lastRenderedPageBreak/>
        <w:t xml:space="preserve">Ability to train and transfer skills to national </w:t>
      </w:r>
      <w:r>
        <w:rPr>
          <w:color w:val="000000"/>
          <w:sz w:val="22"/>
          <w:szCs w:val="22"/>
          <w:lang w:val="en-US"/>
        </w:rPr>
        <w:t>inspectors</w:t>
      </w:r>
      <w:r w:rsidR="002442AC">
        <w:rPr>
          <w:color w:val="000000"/>
          <w:sz w:val="22"/>
          <w:szCs w:val="22"/>
          <w:lang w:val="en-US"/>
        </w:rPr>
        <w:t xml:space="preserve"> and others NRA actors</w:t>
      </w:r>
      <w:r>
        <w:rPr>
          <w:color w:val="000000"/>
          <w:sz w:val="22"/>
          <w:szCs w:val="22"/>
          <w:lang w:val="en-US"/>
        </w:rPr>
        <w:t>.</w:t>
      </w:r>
    </w:p>
    <w:p w14:paraId="455D0411" w14:textId="77777777" w:rsidR="006E6AAC" w:rsidRPr="00D44053" w:rsidRDefault="00FD0D02" w:rsidP="00895097">
      <w:pPr>
        <w:spacing w:after="40" w:line="276" w:lineRule="auto"/>
        <w:rPr>
          <w:color w:val="000000"/>
          <w:sz w:val="22"/>
          <w:szCs w:val="22"/>
          <w:lang w:val="en-US"/>
        </w:rPr>
      </w:pPr>
      <w:r>
        <w:rPr>
          <w:b/>
          <w:bCs/>
          <w:color w:val="2E5496"/>
          <w:sz w:val="22"/>
          <w:szCs w:val="22"/>
          <w:lang w:val="en-US"/>
        </w:rPr>
        <w:t xml:space="preserve">Indicative volume: </w:t>
      </w:r>
      <w:r>
        <w:rPr>
          <w:color w:val="000000"/>
          <w:sz w:val="22"/>
          <w:szCs w:val="22"/>
          <w:lang w:val="en-US"/>
        </w:rPr>
        <w:t>As required (targeted mobilisation)</w:t>
      </w:r>
    </w:p>
    <w:p w14:paraId="1C71EC00" w14:textId="77777777" w:rsidR="00895097" w:rsidRPr="00D44053" w:rsidRDefault="00895097" w:rsidP="00895097">
      <w:pPr>
        <w:spacing w:after="40" w:line="276" w:lineRule="auto"/>
        <w:rPr>
          <w:sz w:val="22"/>
          <w:szCs w:val="22"/>
          <w:lang w:val="en-US"/>
        </w:rPr>
      </w:pPr>
    </w:p>
    <w:p w14:paraId="59777E16" w14:textId="77777777" w:rsidR="006E6AAC" w:rsidRPr="00D44053" w:rsidRDefault="00895097" w:rsidP="00895097">
      <w:pPr>
        <w:keepNext/>
        <w:spacing w:before="170" w:after="40" w:line="276" w:lineRule="auto"/>
        <w:rPr>
          <w:sz w:val="22"/>
          <w:szCs w:val="22"/>
          <w:lang w:val="en-US"/>
        </w:rPr>
      </w:pPr>
      <w:r>
        <w:rPr>
          <w:b/>
          <w:bCs/>
          <w:color w:val="1F3864"/>
          <w:sz w:val="22"/>
          <w:szCs w:val="22"/>
          <w:lang w:val="en-US"/>
        </w:rPr>
        <w:t>4.3 - Post-market surveillance (PMS) and vigilance expert</w:t>
      </w:r>
    </w:p>
    <w:p w14:paraId="582CF3C6" w14:textId="77777777" w:rsidR="006E6AAC" w:rsidRPr="00D44053" w:rsidRDefault="00FD0D02" w:rsidP="00895097">
      <w:pPr>
        <w:spacing w:after="60" w:line="276" w:lineRule="auto"/>
        <w:jc w:val="both"/>
        <w:rPr>
          <w:sz w:val="22"/>
          <w:szCs w:val="22"/>
          <w:lang w:val="en-US"/>
        </w:rPr>
      </w:pPr>
      <w:r>
        <w:rPr>
          <w:b/>
          <w:bCs/>
          <w:color w:val="2E5496"/>
          <w:sz w:val="22"/>
          <w:szCs w:val="22"/>
          <w:lang w:val="en-US"/>
        </w:rPr>
        <w:t xml:space="preserve">Purpose of the support: </w:t>
      </w:r>
      <w:r>
        <w:rPr>
          <w:color w:val="000000"/>
          <w:sz w:val="22"/>
          <w:szCs w:val="22"/>
          <w:lang w:val="en-US"/>
        </w:rPr>
        <w:t xml:space="preserve">Develop risk-based market surveillance plans (one per subregion), define the </w:t>
      </w:r>
      <w:r>
        <w:rPr>
          <w:color w:val="000000"/>
          <w:sz w:val="22"/>
          <w:szCs w:val="22"/>
          <w:lang w:val="en-US"/>
        </w:rPr>
        <w:t>sampling protocols, support the use of the results and strengthen the linkage with national vigilance systems (reporting and signal management).</w:t>
      </w:r>
    </w:p>
    <w:p w14:paraId="4F90CE57" w14:textId="77777777" w:rsidR="006E6AAC" w:rsidRPr="00895097" w:rsidRDefault="00FD0D02" w:rsidP="00895097">
      <w:pPr>
        <w:spacing w:after="30" w:line="276" w:lineRule="auto"/>
        <w:rPr>
          <w:sz w:val="22"/>
          <w:szCs w:val="22"/>
        </w:rPr>
      </w:pPr>
      <w:r>
        <w:rPr>
          <w:b/>
          <w:bCs/>
          <w:color w:val="2E5496"/>
          <w:sz w:val="22"/>
          <w:szCs w:val="22"/>
        </w:rPr>
        <w:t>Expected competencies:</w:t>
      </w:r>
    </w:p>
    <w:p w14:paraId="0148D087"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Proven experience of post-market surveillance of medical products.</w:t>
      </w:r>
    </w:p>
    <w:p w14:paraId="61747440"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Command of risk-based</w:t>
      </w:r>
      <w:r>
        <w:rPr>
          <w:color w:val="000000"/>
          <w:sz w:val="22"/>
          <w:szCs w:val="22"/>
          <w:lang w:val="en-US"/>
        </w:rPr>
        <w:t xml:space="preserve"> approaches and of the detection technologies recommended by the WHO.</w:t>
      </w:r>
    </w:p>
    <w:p w14:paraId="4B9CB7B5"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Knowledge of vigilance systems for medical products (reporting, signal detection and risk communication).</w:t>
      </w:r>
    </w:p>
    <w:p w14:paraId="564074BE"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Experience of NMRA - laboratory - field coordination.</w:t>
      </w:r>
    </w:p>
    <w:p w14:paraId="01CB7CA3" w14:textId="77777777" w:rsidR="006E6AAC" w:rsidRDefault="00FD0D02" w:rsidP="00895097">
      <w:pPr>
        <w:spacing w:after="40" w:line="276" w:lineRule="auto"/>
        <w:rPr>
          <w:color w:val="000000"/>
          <w:sz w:val="22"/>
          <w:szCs w:val="22"/>
          <w:lang w:val="en-US"/>
        </w:rPr>
      </w:pPr>
      <w:r>
        <w:rPr>
          <w:b/>
          <w:bCs/>
          <w:color w:val="2E5496"/>
          <w:sz w:val="22"/>
          <w:szCs w:val="22"/>
          <w:lang w:val="en-US"/>
        </w:rPr>
        <w:t xml:space="preserve">Indicative volume: </w:t>
      </w:r>
      <w:r>
        <w:rPr>
          <w:color w:val="000000"/>
          <w:sz w:val="22"/>
          <w:szCs w:val="22"/>
          <w:lang w:val="en-US"/>
        </w:rPr>
        <w:t>≈ 15 da</w:t>
      </w:r>
      <w:r>
        <w:rPr>
          <w:color w:val="000000"/>
          <w:sz w:val="22"/>
          <w:szCs w:val="22"/>
          <w:lang w:val="en-US"/>
        </w:rPr>
        <w:t>ys (shared with profile 4.4, extensible according to the country’s needs)</w:t>
      </w:r>
    </w:p>
    <w:p w14:paraId="767923FF" w14:textId="77777777" w:rsidR="004D2D30" w:rsidRPr="00D44053" w:rsidRDefault="004D2D30" w:rsidP="00895097">
      <w:pPr>
        <w:spacing w:after="40" w:line="276" w:lineRule="auto"/>
        <w:rPr>
          <w:sz w:val="22"/>
          <w:szCs w:val="22"/>
          <w:lang w:val="en-US"/>
        </w:rPr>
      </w:pPr>
    </w:p>
    <w:p w14:paraId="2066E2FB" w14:textId="77777777" w:rsidR="006E6AAC" w:rsidRPr="00D44053" w:rsidRDefault="00895097" w:rsidP="00895097">
      <w:pPr>
        <w:keepNext/>
        <w:spacing w:before="170" w:after="40" w:line="276" w:lineRule="auto"/>
        <w:rPr>
          <w:sz w:val="22"/>
          <w:szCs w:val="22"/>
          <w:lang w:val="en-US"/>
        </w:rPr>
      </w:pPr>
      <w:r>
        <w:rPr>
          <w:b/>
          <w:bCs/>
          <w:color w:val="1F3864"/>
          <w:sz w:val="22"/>
          <w:szCs w:val="22"/>
          <w:lang w:val="en-US"/>
        </w:rPr>
        <w:t>4.4 - Quality control laboratory (QCL) expert</w:t>
      </w:r>
    </w:p>
    <w:p w14:paraId="261E6C9C" w14:textId="77777777" w:rsidR="006E6AAC" w:rsidRPr="00D44053" w:rsidRDefault="00FD0D02" w:rsidP="00895097">
      <w:pPr>
        <w:spacing w:after="60" w:line="276" w:lineRule="auto"/>
        <w:jc w:val="both"/>
        <w:rPr>
          <w:sz w:val="22"/>
          <w:szCs w:val="22"/>
          <w:lang w:val="en-US"/>
        </w:rPr>
      </w:pPr>
      <w:r>
        <w:rPr>
          <w:b/>
          <w:bCs/>
          <w:color w:val="2E5496"/>
          <w:sz w:val="22"/>
          <w:szCs w:val="22"/>
          <w:lang w:val="en-US"/>
        </w:rPr>
        <w:t xml:space="preserve">Purpose of the support: </w:t>
      </w:r>
      <w:r>
        <w:rPr>
          <w:color w:val="000000"/>
          <w:sz w:val="22"/>
          <w:szCs w:val="22"/>
          <w:lang w:val="en-US"/>
        </w:rPr>
        <w:t xml:space="preserve">Support the strengthening of the national quality control laboratories: analytical practices, linkage with </w:t>
      </w:r>
      <w:r>
        <w:rPr>
          <w:color w:val="000000"/>
          <w:sz w:val="22"/>
          <w:szCs w:val="22"/>
          <w:lang w:val="en-US"/>
        </w:rPr>
        <w:t>market surveillance, progression towards recognition and prequalification.</w:t>
      </w:r>
    </w:p>
    <w:p w14:paraId="783963B3" w14:textId="77777777" w:rsidR="006E6AAC" w:rsidRPr="00895097" w:rsidRDefault="00FD0D02" w:rsidP="00895097">
      <w:pPr>
        <w:spacing w:after="30" w:line="276" w:lineRule="auto"/>
        <w:rPr>
          <w:sz w:val="22"/>
          <w:szCs w:val="22"/>
        </w:rPr>
      </w:pPr>
      <w:r>
        <w:rPr>
          <w:b/>
          <w:bCs/>
          <w:color w:val="2E5496"/>
          <w:sz w:val="22"/>
          <w:szCs w:val="22"/>
        </w:rPr>
        <w:t>Expected competencies:</w:t>
      </w:r>
    </w:p>
    <w:p w14:paraId="4CB2D1B9" w14:textId="46D20F86"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 xml:space="preserve">Experience of a pharmaceutical quality control laboratory and of the </w:t>
      </w:r>
      <w:r w:rsidR="002442AC">
        <w:rPr>
          <w:color w:val="000000"/>
          <w:sz w:val="22"/>
          <w:szCs w:val="22"/>
          <w:lang w:val="en-US"/>
        </w:rPr>
        <w:t xml:space="preserve">WHO-GPQCL, </w:t>
      </w:r>
      <w:r>
        <w:rPr>
          <w:color w:val="000000"/>
          <w:sz w:val="22"/>
          <w:szCs w:val="22"/>
          <w:lang w:val="en-US"/>
        </w:rPr>
        <w:t>ISO/IEC 17025 standards.</w:t>
      </w:r>
    </w:p>
    <w:p w14:paraId="03247E40"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Knowledge of detection technologies and of the WHO Gl</w:t>
      </w:r>
      <w:r>
        <w:rPr>
          <w:color w:val="000000"/>
          <w:sz w:val="22"/>
          <w:szCs w:val="22"/>
          <w:lang w:val="en-US"/>
        </w:rPr>
        <w:t>obal Benchmarking Tool (GBT).</w:t>
      </w:r>
    </w:p>
    <w:p w14:paraId="2A0C2123"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Ability to support national laboratories in Africa.</w:t>
      </w:r>
    </w:p>
    <w:p w14:paraId="2E6004EC" w14:textId="77777777" w:rsidR="006E6AAC" w:rsidRDefault="00FD0D02" w:rsidP="00895097">
      <w:pPr>
        <w:spacing w:after="40" w:line="276" w:lineRule="auto"/>
        <w:rPr>
          <w:color w:val="000000"/>
          <w:sz w:val="22"/>
          <w:szCs w:val="22"/>
          <w:lang w:val="en-US"/>
        </w:rPr>
      </w:pPr>
      <w:r>
        <w:rPr>
          <w:b/>
          <w:bCs/>
          <w:color w:val="2E5496"/>
          <w:sz w:val="22"/>
          <w:szCs w:val="22"/>
          <w:lang w:val="en-US"/>
        </w:rPr>
        <w:t xml:space="preserve">Indicative volume: </w:t>
      </w:r>
      <w:r>
        <w:rPr>
          <w:color w:val="000000"/>
          <w:sz w:val="22"/>
          <w:szCs w:val="22"/>
          <w:lang w:val="en-US"/>
        </w:rPr>
        <w:t>shared with profile 4.3 (extensible according to the country’s needs)</w:t>
      </w:r>
    </w:p>
    <w:p w14:paraId="34A9ADF9" w14:textId="77777777" w:rsidR="004D2D30" w:rsidRPr="00D44053" w:rsidRDefault="004D2D30" w:rsidP="00895097">
      <w:pPr>
        <w:spacing w:after="40" w:line="276" w:lineRule="auto"/>
        <w:rPr>
          <w:sz w:val="22"/>
          <w:szCs w:val="22"/>
          <w:lang w:val="en-US"/>
        </w:rPr>
      </w:pPr>
    </w:p>
    <w:p w14:paraId="6C83F3EF" w14:textId="77777777" w:rsidR="006E6AAC" w:rsidRPr="00D44053" w:rsidRDefault="00895097" w:rsidP="00895097">
      <w:pPr>
        <w:keepNext/>
        <w:spacing w:before="170" w:after="40" w:line="276" w:lineRule="auto"/>
        <w:rPr>
          <w:sz w:val="22"/>
          <w:szCs w:val="22"/>
          <w:lang w:val="en-US"/>
        </w:rPr>
      </w:pPr>
      <w:r>
        <w:rPr>
          <w:b/>
          <w:bCs/>
          <w:color w:val="1F3864"/>
          <w:sz w:val="22"/>
          <w:szCs w:val="22"/>
          <w:lang w:val="en-US"/>
        </w:rPr>
        <w:t>4.5 - Online pharmacy regulation and pharmaceutical cybercrime expert</w:t>
      </w:r>
    </w:p>
    <w:p w14:paraId="1D3206CC" w14:textId="77777777" w:rsidR="006E6AAC" w:rsidRPr="00D44053" w:rsidRDefault="00FD0D02" w:rsidP="00895097">
      <w:pPr>
        <w:spacing w:after="60" w:line="276" w:lineRule="auto"/>
        <w:jc w:val="both"/>
        <w:rPr>
          <w:sz w:val="22"/>
          <w:szCs w:val="22"/>
          <w:lang w:val="en-US"/>
        </w:rPr>
      </w:pPr>
      <w:r>
        <w:rPr>
          <w:b/>
          <w:bCs/>
          <w:color w:val="2E5496"/>
          <w:sz w:val="22"/>
          <w:szCs w:val="22"/>
          <w:lang w:val="en-US"/>
        </w:rPr>
        <w:t xml:space="preserve">Purpose of the support: </w:t>
      </w:r>
      <w:r>
        <w:rPr>
          <w:color w:val="000000"/>
          <w:sz w:val="22"/>
          <w:szCs w:val="22"/>
          <w:lang w:val="en-US"/>
        </w:rPr>
        <w:t>Support the regulatory oversight of online medicine sales (framework, SOPs, reporting mechanisms), in close interface with the Law Enforcement pillar and the cyber units.</w:t>
      </w:r>
    </w:p>
    <w:p w14:paraId="233B7409" w14:textId="77777777" w:rsidR="006E6AAC" w:rsidRPr="00895097" w:rsidRDefault="00FD0D02" w:rsidP="00895097">
      <w:pPr>
        <w:spacing w:after="30" w:line="276" w:lineRule="auto"/>
        <w:rPr>
          <w:sz w:val="22"/>
          <w:szCs w:val="22"/>
        </w:rPr>
      </w:pPr>
      <w:r>
        <w:rPr>
          <w:b/>
          <w:bCs/>
          <w:color w:val="2E5496"/>
          <w:sz w:val="22"/>
          <w:szCs w:val="22"/>
        </w:rPr>
        <w:t>Expected competencies:</w:t>
      </w:r>
    </w:p>
    <w:p w14:paraId="3ADF5264"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Experience of regulating e-commerce in</w:t>
      </w:r>
      <w:r>
        <w:rPr>
          <w:color w:val="000000"/>
          <w:sz w:val="22"/>
          <w:szCs w:val="22"/>
          <w:lang w:val="en-US"/>
        </w:rPr>
        <w:t xml:space="preserve"> health products.</w:t>
      </w:r>
    </w:p>
    <w:p w14:paraId="246886FE"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Knowledge of digital evidence issues and of cooperation with law enforcement services.</w:t>
      </w:r>
    </w:p>
    <w:p w14:paraId="590F8EBF" w14:textId="77777777" w:rsidR="006E6AAC" w:rsidRPr="00D44053" w:rsidRDefault="00FD0D02" w:rsidP="00895097">
      <w:pPr>
        <w:pStyle w:val="Paragraphedeliste"/>
        <w:numPr>
          <w:ilvl w:val="0"/>
          <w:numId w:val="2"/>
        </w:numPr>
        <w:spacing w:after="70" w:line="276" w:lineRule="auto"/>
        <w:jc w:val="both"/>
        <w:rPr>
          <w:sz w:val="22"/>
          <w:szCs w:val="22"/>
          <w:lang w:val="en-US"/>
        </w:rPr>
      </w:pPr>
      <w:r>
        <w:rPr>
          <w:color w:val="000000"/>
          <w:sz w:val="22"/>
          <w:szCs w:val="22"/>
          <w:lang w:val="en-US"/>
        </w:rPr>
        <w:t>Ability to link the regulatory and law enforcement dimensions.</w:t>
      </w:r>
    </w:p>
    <w:p w14:paraId="44E4125F" w14:textId="77777777" w:rsidR="006E6AAC" w:rsidRPr="007714AC" w:rsidRDefault="00FD0D02" w:rsidP="00895097">
      <w:pPr>
        <w:spacing w:after="40" w:line="276" w:lineRule="auto"/>
        <w:rPr>
          <w:color w:val="000000"/>
          <w:sz w:val="22"/>
          <w:szCs w:val="22"/>
          <w:lang w:val="en-US"/>
        </w:rPr>
      </w:pPr>
      <w:r>
        <w:rPr>
          <w:b/>
          <w:bCs/>
          <w:color w:val="2E5496"/>
          <w:sz w:val="22"/>
          <w:szCs w:val="22"/>
          <w:lang w:val="en-US"/>
        </w:rPr>
        <w:t xml:space="preserve">Indicative volume: </w:t>
      </w:r>
      <w:r>
        <w:rPr>
          <w:color w:val="000000"/>
          <w:sz w:val="22"/>
          <w:szCs w:val="22"/>
          <w:lang w:val="en-US"/>
        </w:rPr>
        <w:t>≈ 12 days (targeted mobilisation, extensible according to the country</w:t>
      </w:r>
      <w:r>
        <w:rPr>
          <w:color w:val="000000"/>
          <w:sz w:val="22"/>
          <w:szCs w:val="22"/>
          <w:lang w:val="en-US"/>
        </w:rPr>
        <w:t>’s needs)</w:t>
      </w:r>
    </w:p>
    <w:p w14:paraId="7CA1B04F" w14:textId="77777777" w:rsidR="007714AC" w:rsidRPr="007714AC" w:rsidRDefault="007714AC" w:rsidP="00895097">
      <w:pPr>
        <w:spacing w:after="40" w:line="276" w:lineRule="auto"/>
        <w:rPr>
          <w:sz w:val="22"/>
          <w:szCs w:val="22"/>
          <w:lang w:val="en-US"/>
        </w:rPr>
      </w:pPr>
    </w:p>
    <w:p w14:paraId="61F5B2D2" w14:textId="26A957CF" w:rsidR="00E1761E" w:rsidRDefault="00FD0D02">
      <w:pPr>
        <w:keepNext/>
        <w:spacing w:before="170" w:after="40" w:line="276" w:lineRule="auto"/>
        <w:rPr>
          <w:sz w:val="22"/>
          <w:szCs w:val="22"/>
          <w:lang w:val="en-US"/>
        </w:rPr>
      </w:pPr>
      <w:r>
        <w:rPr>
          <w:b/>
          <w:bCs/>
          <w:color w:val="1F3864"/>
          <w:sz w:val="22"/>
          <w:szCs w:val="22"/>
          <w:lang w:val="en-US"/>
        </w:rPr>
        <w:lastRenderedPageBreak/>
        <w:t xml:space="preserve">4.6 - National </w:t>
      </w:r>
      <w:r w:rsidR="002752AB">
        <w:rPr>
          <w:b/>
          <w:bCs/>
          <w:color w:val="1F3864"/>
          <w:sz w:val="22"/>
          <w:szCs w:val="22"/>
          <w:lang w:val="en-US"/>
        </w:rPr>
        <w:t xml:space="preserve">SFMP </w:t>
      </w:r>
      <w:r>
        <w:rPr>
          <w:b/>
          <w:bCs/>
          <w:color w:val="1F3864"/>
          <w:sz w:val="22"/>
          <w:szCs w:val="22"/>
          <w:lang w:val="en-US"/>
        </w:rPr>
        <w:t>action plan (NAP) development and multisectoral coordination expert</w:t>
      </w:r>
    </w:p>
    <w:p w14:paraId="29DA0053" w14:textId="77777777" w:rsidR="00E1761E" w:rsidRDefault="00FD0D02">
      <w:pPr>
        <w:spacing w:after="60" w:line="276" w:lineRule="auto"/>
        <w:jc w:val="both"/>
        <w:rPr>
          <w:sz w:val="22"/>
          <w:szCs w:val="22"/>
          <w:lang w:val="en-US"/>
        </w:rPr>
      </w:pPr>
      <w:r>
        <w:rPr>
          <w:b/>
          <w:bCs/>
          <w:color w:val="2E5496"/>
          <w:sz w:val="22"/>
          <w:szCs w:val="22"/>
          <w:lang w:val="en-US"/>
        </w:rPr>
        <w:t xml:space="preserve">Purpose of the support: </w:t>
      </w:r>
      <w:r>
        <w:rPr>
          <w:color w:val="000000"/>
          <w:sz w:val="22"/>
          <w:szCs w:val="22"/>
          <w:lang w:val="en-US"/>
        </w:rPr>
        <w:t xml:space="preserve">In countries where the development of a national action plan (NAP) against SFMP is prioritised, facilitate the multisectoral </w:t>
      </w:r>
      <w:r>
        <w:rPr>
          <w:color w:val="000000"/>
          <w:sz w:val="22"/>
          <w:szCs w:val="22"/>
          <w:lang w:val="en-US"/>
        </w:rPr>
        <w:t>development of the NAP based on the WHO handbook, building on the findings of the supply chain security assessments, up to the national validation workshops and the articulation with the AMRH continental framework.</w:t>
      </w:r>
    </w:p>
    <w:p w14:paraId="2B4B486B" w14:textId="77777777" w:rsidR="00E1761E" w:rsidRDefault="00FD0D02">
      <w:pPr>
        <w:spacing w:after="30" w:line="276" w:lineRule="auto"/>
        <w:rPr>
          <w:sz w:val="22"/>
          <w:szCs w:val="22"/>
        </w:rPr>
      </w:pPr>
      <w:r>
        <w:rPr>
          <w:b/>
          <w:bCs/>
          <w:color w:val="2E5496"/>
          <w:sz w:val="22"/>
          <w:szCs w:val="22"/>
        </w:rPr>
        <w:t>Expected competencies:</w:t>
      </w:r>
    </w:p>
    <w:p w14:paraId="022609AA"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 xml:space="preserve">Proven experience </w:t>
      </w:r>
      <w:r>
        <w:rPr>
          <w:color w:val="000000"/>
          <w:sz w:val="22"/>
          <w:szCs w:val="22"/>
          <w:lang w:val="en-US"/>
        </w:rPr>
        <w:t>of facilitating national health strategies or action plans, ideally NAPs against SFMP based on the WHO handbook.</w:t>
      </w:r>
    </w:p>
    <w:p w14:paraId="084D7B9A"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Strong multisectoral facilitation skills (health, justice, customs, law enforcement, private sector, civil society).</w:t>
      </w:r>
    </w:p>
    <w:p w14:paraId="1F8B894F"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Knowledge of the African r</w:t>
      </w:r>
      <w:r>
        <w:rPr>
          <w:color w:val="000000"/>
          <w:sz w:val="22"/>
          <w:szCs w:val="22"/>
          <w:lang w:val="en-US"/>
        </w:rPr>
        <w:t>egulatory landscape (AMRH, AMA, regional economic communities).</w:t>
      </w:r>
    </w:p>
    <w:p w14:paraId="471F554F" w14:textId="4AD0AF21" w:rsidR="00E1761E" w:rsidRDefault="00FD0D02">
      <w:pPr>
        <w:spacing w:after="40" w:line="276" w:lineRule="auto"/>
        <w:rPr>
          <w:color w:val="000000"/>
          <w:sz w:val="22"/>
          <w:szCs w:val="22"/>
          <w:lang w:val="en-US"/>
        </w:rPr>
      </w:pPr>
      <w:r>
        <w:rPr>
          <w:b/>
          <w:bCs/>
          <w:color w:val="2E5496"/>
          <w:sz w:val="22"/>
          <w:szCs w:val="22"/>
          <w:lang w:val="en-US"/>
        </w:rPr>
        <w:t xml:space="preserve">Indicative volume: </w:t>
      </w:r>
      <w:r>
        <w:rPr>
          <w:color w:val="000000"/>
          <w:sz w:val="22"/>
          <w:szCs w:val="22"/>
          <w:lang w:val="en-US"/>
        </w:rPr>
        <w:t xml:space="preserve">As required (targeted mobilisation from Year </w:t>
      </w:r>
      <w:r w:rsidR="002752AB">
        <w:rPr>
          <w:color w:val="000000"/>
          <w:sz w:val="22"/>
          <w:szCs w:val="22"/>
          <w:lang w:val="en-US"/>
        </w:rPr>
        <w:t>1</w:t>
      </w:r>
      <w:r>
        <w:rPr>
          <w:color w:val="000000"/>
          <w:sz w:val="22"/>
          <w:szCs w:val="22"/>
          <w:lang w:val="en-US"/>
        </w:rPr>
        <w:t>, following the supply chain security assessments; extensible according to the country’s needs)</w:t>
      </w:r>
    </w:p>
    <w:p w14:paraId="18189C71" w14:textId="77777777" w:rsidR="00E1761E" w:rsidRDefault="00E1761E">
      <w:pPr>
        <w:spacing w:after="40" w:line="276" w:lineRule="auto"/>
        <w:rPr>
          <w:sz w:val="22"/>
          <w:szCs w:val="22"/>
          <w:lang w:val="en-US"/>
        </w:rPr>
      </w:pPr>
    </w:p>
    <w:p w14:paraId="03366A07" w14:textId="77777777" w:rsidR="00E1761E" w:rsidRDefault="00FD0D02">
      <w:pPr>
        <w:keepNext/>
        <w:spacing w:before="170" w:after="40" w:line="276" w:lineRule="auto"/>
        <w:rPr>
          <w:sz w:val="22"/>
          <w:szCs w:val="22"/>
          <w:lang w:val="en-US"/>
        </w:rPr>
      </w:pPr>
      <w:r>
        <w:rPr>
          <w:b/>
          <w:bCs/>
          <w:color w:val="1F3864"/>
          <w:sz w:val="22"/>
          <w:szCs w:val="22"/>
          <w:lang w:val="en-US"/>
        </w:rPr>
        <w:t>4.7 - Regulatory systems stren</w:t>
      </w:r>
      <w:r>
        <w:rPr>
          <w:b/>
          <w:bCs/>
          <w:color w:val="1F3864"/>
          <w:sz w:val="22"/>
          <w:szCs w:val="22"/>
          <w:lang w:val="en-US"/>
        </w:rPr>
        <w:t>gthening, quality management and WHO GBT expert</w:t>
      </w:r>
    </w:p>
    <w:p w14:paraId="598E5340" w14:textId="77777777" w:rsidR="00E1761E" w:rsidRDefault="00FD0D02">
      <w:pPr>
        <w:spacing w:after="60" w:line="276" w:lineRule="auto"/>
        <w:jc w:val="both"/>
        <w:rPr>
          <w:sz w:val="22"/>
          <w:szCs w:val="22"/>
          <w:lang w:val="en-US"/>
        </w:rPr>
      </w:pPr>
      <w:r>
        <w:rPr>
          <w:b/>
          <w:bCs/>
          <w:color w:val="2E5496"/>
          <w:sz w:val="22"/>
          <w:szCs w:val="22"/>
          <w:lang w:val="en-US"/>
        </w:rPr>
        <w:t xml:space="preserve">Purpose of the support: </w:t>
      </w:r>
      <w:r>
        <w:rPr>
          <w:color w:val="000000"/>
          <w:sz w:val="22"/>
          <w:szCs w:val="22"/>
          <w:lang w:val="en-US"/>
        </w:rPr>
        <w:t>Support the national regulatory authorities in strengthening their regulatory systems and their quality management (ISO 9001-type QMS, continuous improvement culture), using the WHO Gl</w:t>
      </w:r>
      <w:r>
        <w:rPr>
          <w:color w:val="000000"/>
          <w:sz w:val="22"/>
          <w:szCs w:val="22"/>
          <w:lang w:val="en-US"/>
        </w:rPr>
        <w:t>obal Benchmarking Tool (GBT) as the common reference: reading of the Institutional Development Plans in GBT terms, mapping of country priorities onto the GBT sub-indicators most directly linked to preventing, detecting and responding to SFMP (market survei</w:t>
      </w:r>
      <w:r>
        <w:rPr>
          <w:color w:val="000000"/>
          <w:sz w:val="22"/>
          <w:szCs w:val="22"/>
          <w:lang w:val="en-US"/>
        </w:rPr>
        <w:t>llance and control, vigilance, regulatory inspection, licensing of establishments, laboratory testing, regulatory system), and preparation for (re)benchmarking so that project deliverables contribute to maturity level progression. This support does not sub</w:t>
      </w:r>
      <w:r>
        <w:rPr>
          <w:color w:val="000000"/>
          <w:sz w:val="22"/>
          <w:szCs w:val="22"/>
          <w:lang w:val="en-US"/>
        </w:rPr>
        <w:t>stitute for formal WHO benchmarking, and an expert supporting a country under this profile may not act as a WHO assessor for that same country.</w:t>
      </w:r>
    </w:p>
    <w:p w14:paraId="441CADBF" w14:textId="77777777" w:rsidR="00E1761E" w:rsidRDefault="00FD0D02">
      <w:pPr>
        <w:spacing w:after="30" w:line="276" w:lineRule="auto"/>
        <w:rPr>
          <w:sz w:val="22"/>
          <w:szCs w:val="22"/>
        </w:rPr>
      </w:pPr>
      <w:r>
        <w:rPr>
          <w:b/>
          <w:bCs/>
          <w:color w:val="2E5496"/>
          <w:sz w:val="22"/>
          <w:szCs w:val="22"/>
        </w:rPr>
        <w:t>Expected competencies:</w:t>
      </w:r>
    </w:p>
    <w:p w14:paraId="1B424DA8"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 xml:space="preserve">Proven experience of regulatory systems strengthening with national regulatory </w:t>
      </w:r>
      <w:r>
        <w:rPr>
          <w:color w:val="000000"/>
          <w:sz w:val="22"/>
          <w:szCs w:val="22"/>
          <w:lang w:val="en-US"/>
        </w:rPr>
        <w:t>authorities in Africa; GBT qualification (WHO-trained expert or assessor) or equivalent documented practice.</w:t>
      </w:r>
    </w:p>
    <w:p w14:paraId="59A9F4A1"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Experience of implementing quality management systems and continuous improvement approaches within public institutions, ideally regulatory authorit</w:t>
      </w:r>
      <w:r>
        <w:rPr>
          <w:color w:val="000000"/>
          <w:sz w:val="22"/>
          <w:szCs w:val="22"/>
          <w:lang w:val="en-US"/>
        </w:rPr>
        <w:t>ies.</w:t>
      </w:r>
    </w:p>
    <w:p w14:paraId="681AB315" w14:textId="77777777" w:rsidR="00E1761E" w:rsidRDefault="00FD0D02">
      <w:pPr>
        <w:pStyle w:val="Paragraphedeliste"/>
        <w:numPr>
          <w:ilvl w:val="0"/>
          <w:numId w:val="2"/>
        </w:numPr>
        <w:spacing w:after="70" w:line="276" w:lineRule="auto"/>
        <w:jc w:val="both"/>
        <w:rPr>
          <w:sz w:val="22"/>
          <w:szCs w:val="22"/>
          <w:lang w:val="en-US"/>
        </w:rPr>
      </w:pPr>
      <w:r>
        <w:rPr>
          <w:color w:val="000000"/>
          <w:sz w:val="22"/>
          <w:szCs w:val="22"/>
          <w:lang w:val="en-US"/>
        </w:rPr>
        <w:t>Ability to link GBT sub-indicators, Institutional Development Plans and national action plans into operational priorities.</w:t>
      </w:r>
    </w:p>
    <w:p w14:paraId="63550A5D" w14:textId="77777777" w:rsidR="00E1761E" w:rsidRDefault="00FD0D02">
      <w:pPr>
        <w:spacing w:after="40" w:line="276" w:lineRule="auto"/>
        <w:rPr>
          <w:color w:val="000000"/>
          <w:sz w:val="22"/>
          <w:szCs w:val="22"/>
          <w:lang w:val="en-US"/>
        </w:rPr>
      </w:pPr>
      <w:r>
        <w:rPr>
          <w:b/>
          <w:bCs/>
          <w:color w:val="2E5496"/>
          <w:sz w:val="22"/>
          <w:szCs w:val="22"/>
          <w:lang w:val="en-US"/>
        </w:rPr>
        <w:t xml:space="preserve">Indicative volume: </w:t>
      </w:r>
      <w:r>
        <w:rPr>
          <w:color w:val="000000"/>
          <w:sz w:val="22"/>
          <w:szCs w:val="22"/>
          <w:lang w:val="en-US"/>
        </w:rPr>
        <w:t>As required (targeted mobilisation according to the priorities validated by country under the IDP/NAP pathway</w:t>
      </w:r>
      <w:r>
        <w:rPr>
          <w:color w:val="000000"/>
          <w:sz w:val="22"/>
          <w:szCs w:val="22"/>
          <w:lang w:val="en-US"/>
        </w:rPr>
        <w:t>)</w:t>
      </w:r>
    </w:p>
    <w:p w14:paraId="507B748A" w14:textId="77777777" w:rsidR="00E1761E" w:rsidRDefault="00E1761E">
      <w:pPr>
        <w:spacing w:after="40" w:line="276" w:lineRule="auto"/>
        <w:rPr>
          <w:sz w:val="22"/>
          <w:szCs w:val="22"/>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E6AAC" w:rsidRPr="002442AC" w14:paraId="12049DDC" w14:textId="77777777">
        <w:tc>
          <w:tcPr>
            <w:tcW w:w="9360" w:type="dxa"/>
            <w:tcBorders>
              <w:top w:val="single" w:sz="4" w:space="0" w:color="BFBFBF"/>
              <w:left w:val="single" w:sz="18" w:space="0" w:color="C00000"/>
              <w:bottom w:val="single" w:sz="4" w:space="0" w:color="BFBFBF"/>
              <w:right w:val="single" w:sz="4" w:space="0" w:color="BFBFBF"/>
            </w:tcBorders>
            <w:shd w:val="clear" w:color="auto" w:fill="FDEAEA"/>
            <w:tcMar>
              <w:top w:w="100" w:type="dxa"/>
              <w:left w:w="160" w:type="dxa"/>
              <w:bottom w:w="100" w:type="dxa"/>
              <w:right w:w="140" w:type="dxa"/>
            </w:tcMar>
          </w:tcPr>
          <w:p w14:paraId="2B32BB69" w14:textId="77777777" w:rsidR="006E6AAC" w:rsidRPr="00D44053" w:rsidRDefault="00FD0D02" w:rsidP="00895097">
            <w:pPr>
              <w:spacing w:after="60" w:line="276" w:lineRule="auto"/>
              <w:rPr>
                <w:sz w:val="22"/>
                <w:szCs w:val="22"/>
                <w:lang w:val="en-US"/>
              </w:rPr>
            </w:pPr>
            <w:r>
              <w:rPr>
                <w:b/>
                <w:bCs/>
                <w:color w:val="C00000"/>
                <w:sz w:val="22"/>
                <w:szCs w:val="22"/>
                <w:lang w:val="en-US"/>
              </w:rPr>
              <w:t>Inter-pillar review clause</w:t>
            </w:r>
          </w:p>
          <w:p w14:paraId="544C667D" w14:textId="77777777" w:rsidR="006E6AAC" w:rsidRPr="00D44053" w:rsidRDefault="00FD0D02" w:rsidP="00895097">
            <w:pPr>
              <w:spacing w:after="50" w:line="276" w:lineRule="auto"/>
              <w:jc w:val="both"/>
              <w:rPr>
                <w:sz w:val="22"/>
                <w:szCs w:val="22"/>
                <w:lang w:val="en-US"/>
              </w:rPr>
            </w:pPr>
            <w:r>
              <w:rPr>
                <w:color w:val="000000"/>
                <w:sz w:val="22"/>
                <w:szCs w:val="22"/>
                <w:lang w:val="en-US"/>
              </w:rPr>
              <w:t>Profiles 4.5 (online pharmacies / cybercrime) and 4.3 (targeted market surveillance and vigilance) produce deliverables subject to a cross-review with the Legal and Law Enforcement pillars before any dissemination or operation</w:t>
            </w:r>
            <w:r>
              <w:rPr>
                <w:color w:val="000000"/>
                <w:sz w:val="22"/>
                <w:szCs w:val="22"/>
                <w:lang w:val="en-US"/>
              </w:rPr>
              <w:t>al implementation.</w:t>
            </w:r>
          </w:p>
        </w:tc>
      </w:tr>
    </w:tbl>
    <w:p w14:paraId="5628A93B" w14:textId="77777777" w:rsidR="001F1D45" w:rsidRPr="00D44053" w:rsidRDefault="001F1D45">
      <w:pPr>
        <w:rPr>
          <w:lang w:val="en-US"/>
        </w:rPr>
      </w:pPr>
    </w:p>
    <w:sectPr w:rsidR="001F1D45" w:rsidRPr="00D44053">
      <w:headerReference w:type="default" r:id="rId11"/>
      <w:footerReference w:type="default" r:id="rId12"/>
      <w:pgSz w:w="12240" w:h="15840"/>
      <w:pgMar w:top="1300" w:right="1300" w:bottom="12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7BF25" w14:textId="77777777" w:rsidR="00FD0D02" w:rsidRDefault="00FD0D02">
      <w:r>
        <w:separator/>
      </w:r>
    </w:p>
  </w:endnote>
  <w:endnote w:type="continuationSeparator" w:id="0">
    <w:p w14:paraId="17996836" w14:textId="77777777" w:rsidR="00FD0D02" w:rsidRDefault="00FD0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ACAA7" w14:textId="053A6A7A" w:rsidR="006E6AAC" w:rsidRDefault="00FD0D02">
    <w:pPr>
      <w:pBdr>
        <w:top w:val="single" w:sz="4" w:space="0" w:color="BFBFBF"/>
      </w:pBdr>
      <w:jc w:val="center"/>
    </w:pPr>
    <w:r>
      <w:rPr>
        <w:color w:val="595959"/>
        <w:sz w:val="15"/>
        <w:szCs w:val="15"/>
      </w:rPr>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F20D69">
      <w:rPr>
        <w:noProof/>
        <w:color w:val="595959"/>
        <w:sz w:val="15"/>
        <w:szCs w:val="15"/>
      </w:rPr>
      <w:t>1</w:t>
    </w:r>
    <w:r>
      <w:rPr>
        <w:color w:val="595959"/>
        <w:sz w:val="15"/>
        <w:szCs w:val="15"/>
      </w:rPr>
      <w:fldChar w:fldCharType="end"/>
    </w:r>
    <w:r>
      <w:rPr>
        <w:color w:val="595959"/>
        <w:sz w:val="15"/>
        <w:szCs w:val="15"/>
      </w:rPr>
      <w:t xml:space="preserve"> / </w:t>
    </w:r>
    <w:r>
      <w:rPr>
        <w:color w:val="595959"/>
        <w:sz w:val="15"/>
        <w:szCs w:val="15"/>
      </w:rPr>
      <w:fldChar w:fldCharType="begin"/>
    </w:r>
    <w:r>
      <w:rPr>
        <w:color w:val="595959"/>
        <w:sz w:val="15"/>
        <w:szCs w:val="15"/>
      </w:rPr>
      <w:instrText>NUMPAGES</w:instrText>
    </w:r>
    <w:r>
      <w:rPr>
        <w:color w:val="595959"/>
        <w:sz w:val="15"/>
        <w:szCs w:val="15"/>
      </w:rPr>
      <w:fldChar w:fldCharType="separate"/>
    </w:r>
    <w:r w:rsidR="00F20D69">
      <w:rPr>
        <w:noProof/>
        <w:color w:val="595959"/>
        <w:sz w:val="15"/>
        <w:szCs w:val="15"/>
      </w:rPr>
      <w:t>6</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9C743" w14:textId="77777777" w:rsidR="00FD0D02" w:rsidRDefault="00FD0D02">
      <w:r>
        <w:separator/>
      </w:r>
    </w:p>
  </w:footnote>
  <w:footnote w:type="continuationSeparator" w:id="0">
    <w:p w14:paraId="34A8C31F" w14:textId="77777777" w:rsidR="00FD0D02" w:rsidRDefault="00FD0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40CEA" w14:textId="77777777" w:rsidR="006E6AAC" w:rsidRPr="00FA3353" w:rsidRDefault="00FD0D02">
    <w:pPr>
      <w:pBdr>
        <w:bottom w:val="single" w:sz="4" w:space="0" w:color="BFBFBF"/>
      </w:pBdr>
      <w:jc w:val="right"/>
      <w:rPr>
        <w:lang w:val="en-US"/>
      </w:rPr>
    </w:pPr>
    <w:r w:rsidRPr="00FA3353">
      <w:rPr>
        <w:i/>
        <w:iCs/>
        <w:color w:val="595959"/>
        <w:sz w:val="15"/>
        <w:szCs w:val="15"/>
        <w:lang w:val="en-US"/>
      </w:rPr>
      <w:t xml:space="preserve">MEDISAFE 2 </w:t>
    </w:r>
    <w:r w:rsidR="004D2D30">
      <w:rPr>
        <w:i/>
        <w:iCs/>
        <w:color w:val="595959"/>
        <w:sz w:val="15"/>
        <w:szCs w:val="15"/>
        <w:lang w:val="en-US"/>
      </w:rPr>
      <w:t>-</w:t>
    </w:r>
    <w:r w:rsidRPr="00FA3353">
      <w:rPr>
        <w:i/>
        <w:iCs/>
        <w:color w:val="595959"/>
        <w:sz w:val="15"/>
        <w:szCs w:val="15"/>
        <w:lang w:val="en-US"/>
      </w:rPr>
      <w:t xml:space="preserve"> ToR: Pool of consultants &amp; TA (7 profiles)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407F4"/>
    <w:multiLevelType w:val="hybridMultilevel"/>
    <w:tmpl w:val="96D03F20"/>
    <w:lvl w:ilvl="0" w:tplc="0C069846">
      <w:start w:val="1"/>
      <w:numFmt w:val="decimal"/>
      <w:lvlText w:val="%1."/>
      <w:lvlJc w:val="left"/>
      <w:pPr>
        <w:ind w:left="520" w:hanging="260"/>
      </w:pPr>
    </w:lvl>
    <w:lvl w:ilvl="1" w:tplc="2F8EB790">
      <w:numFmt w:val="decimal"/>
      <w:lvlText w:val=""/>
      <w:lvlJc w:val="left"/>
    </w:lvl>
    <w:lvl w:ilvl="2" w:tplc="91E6CB02">
      <w:numFmt w:val="decimal"/>
      <w:lvlText w:val=""/>
      <w:lvlJc w:val="left"/>
    </w:lvl>
    <w:lvl w:ilvl="3" w:tplc="825CAC66">
      <w:numFmt w:val="decimal"/>
      <w:lvlText w:val=""/>
      <w:lvlJc w:val="left"/>
    </w:lvl>
    <w:lvl w:ilvl="4" w:tplc="5F721724">
      <w:numFmt w:val="decimal"/>
      <w:lvlText w:val=""/>
      <w:lvlJc w:val="left"/>
    </w:lvl>
    <w:lvl w:ilvl="5" w:tplc="FFEE168C">
      <w:numFmt w:val="decimal"/>
      <w:lvlText w:val=""/>
      <w:lvlJc w:val="left"/>
    </w:lvl>
    <w:lvl w:ilvl="6" w:tplc="6996FF4C">
      <w:numFmt w:val="decimal"/>
      <w:lvlText w:val=""/>
      <w:lvlJc w:val="left"/>
    </w:lvl>
    <w:lvl w:ilvl="7" w:tplc="C73C05D0">
      <w:numFmt w:val="decimal"/>
      <w:lvlText w:val=""/>
      <w:lvlJc w:val="left"/>
    </w:lvl>
    <w:lvl w:ilvl="8" w:tplc="68C47E7E">
      <w:numFmt w:val="decimal"/>
      <w:lvlText w:val=""/>
      <w:lvlJc w:val="left"/>
    </w:lvl>
  </w:abstractNum>
  <w:abstractNum w:abstractNumId="1" w15:restartNumberingAfterBreak="0">
    <w:nsid w:val="23D850FC"/>
    <w:multiLevelType w:val="hybridMultilevel"/>
    <w:tmpl w:val="58B0A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6802FC"/>
    <w:multiLevelType w:val="hybridMultilevel"/>
    <w:tmpl w:val="58D6A1B6"/>
    <w:lvl w:ilvl="0" w:tplc="694C0C6E">
      <w:start w:val="1"/>
      <w:numFmt w:val="bullet"/>
      <w:lvlText w:val="•"/>
      <w:lvlJc w:val="left"/>
      <w:pPr>
        <w:ind w:left="520" w:hanging="260"/>
      </w:pPr>
    </w:lvl>
    <w:lvl w:ilvl="1" w:tplc="5016EC52">
      <w:numFmt w:val="decimal"/>
      <w:lvlText w:val=""/>
      <w:lvlJc w:val="left"/>
    </w:lvl>
    <w:lvl w:ilvl="2" w:tplc="8E1A10F2">
      <w:numFmt w:val="decimal"/>
      <w:lvlText w:val=""/>
      <w:lvlJc w:val="left"/>
    </w:lvl>
    <w:lvl w:ilvl="3" w:tplc="6C0C9BEE">
      <w:numFmt w:val="decimal"/>
      <w:lvlText w:val=""/>
      <w:lvlJc w:val="left"/>
    </w:lvl>
    <w:lvl w:ilvl="4" w:tplc="8B967B22">
      <w:numFmt w:val="decimal"/>
      <w:lvlText w:val=""/>
      <w:lvlJc w:val="left"/>
    </w:lvl>
    <w:lvl w:ilvl="5" w:tplc="60644B14">
      <w:numFmt w:val="decimal"/>
      <w:lvlText w:val=""/>
      <w:lvlJc w:val="left"/>
    </w:lvl>
    <w:lvl w:ilvl="6" w:tplc="BDEA646E">
      <w:numFmt w:val="decimal"/>
      <w:lvlText w:val=""/>
      <w:lvlJc w:val="left"/>
    </w:lvl>
    <w:lvl w:ilvl="7" w:tplc="475E2E3A">
      <w:numFmt w:val="decimal"/>
      <w:lvlText w:val=""/>
      <w:lvlJc w:val="left"/>
    </w:lvl>
    <w:lvl w:ilvl="8" w:tplc="CD32AA54">
      <w:numFmt w:val="decimal"/>
      <w:lvlText w:val=""/>
      <w:lvlJc w:val="left"/>
    </w:lvl>
  </w:abstractNum>
  <w:abstractNum w:abstractNumId="3" w15:restartNumberingAfterBreak="0">
    <w:nsid w:val="649D2332"/>
    <w:multiLevelType w:val="hybridMultilevel"/>
    <w:tmpl w:val="ECF8A04E"/>
    <w:lvl w:ilvl="0" w:tplc="44F27ACC">
      <w:start w:val="1"/>
      <w:numFmt w:val="bullet"/>
      <w:lvlText w:val="●"/>
      <w:lvlJc w:val="left"/>
      <w:pPr>
        <w:ind w:left="720" w:hanging="360"/>
      </w:pPr>
    </w:lvl>
    <w:lvl w:ilvl="1" w:tplc="4FB06BC8">
      <w:start w:val="1"/>
      <w:numFmt w:val="bullet"/>
      <w:lvlText w:val="○"/>
      <w:lvlJc w:val="left"/>
      <w:pPr>
        <w:ind w:left="1440" w:hanging="360"/>
      </w:pPr>
    </w:lvl>
    <w:lvl w:ilvl="2" w:tplc="3F1C8E82">
      <w:start w:val="1"/>
      <w:numFmt w:val="bullet"/>
      <w:lvlText w:val="■"/>
      <w:lvlJc w:val="left"/>
      <w:pPr>
        <w:ind w:left="2160" w:hanging="360"/>
      </w:pPr>
    </w:lvl>
    <w:lvl w:ilvl="3" w:tplc="931E4B5A">
      <w:start w:val="1"/>
      <w:numFmt w:val="bullet"/>
      <w:lvlText w:val="●"/>
      <w:lvlJc w:val="left"/>
      <w:pPr>
        <w:ind w:left="2880" w:hanging="360"/>
      </w:pPr>
    </w:lvl>
    <w:lvl w:ilvl="4" w:tplc="11CAF600">
      <w:start w:val="1"/>
      <w:numFmt w:val="bullet"/>
      <w:lvlText w:val="○"/>
      <w:lvlJc w:val="left"/>
      <w:pPr>
        <w:ind w:left="3600" w:hanging="360"/>
      </w:pPr>
    </w:lvl>
    <w:lvl w:ilvl="5" w:tplc="00E6F7AC">
      <w:start w:val="1"/>
      <w:numFmt w:val="bullet"/>
      <w:lvlText w:val="■"/>
      <w:lvlJc w:val="left"/>
      <w:pPr>
        <w:ind w:left="4320" w:hanging="360"/>
      </w:pPr>
    </w:lvl>
    <w:lvl w:ilvl="6" w:tplc="03541010">
      <w:start w:val="1"/>
      <w:numFmt w:val="bullet"/>
      <w:lvlText w:val="●"/>
      <w:lvlJc w:val="left"/>
      <w:pPr>
        <w:ind w:left="5040" w:hanging="360"/>
      </w:pPr>
    </w:lvl>
    <w:lvl w:ilvl="7" w:tplc="92ECDB0C">
      <w:start w:val="1"/>
      <w:numFmt w:val="bullet"/>
      <w:lvlText w:val="●"/>
      <w:lvlJc w:val="left"/>
      <w:pPr>
        <w:ind w:left="5760" w:hanging="360"/>
      </w:pPr>
    </w:lvl>
    <w:lvl w:ilvl="8" w:tplc="F5A686BC">
      <w:start w:val="1"/>
      <w:numFmt w:val="bullet"/>
      <w:lvlText w:val="●"/>
      <w:lvlJc w:val="left"/>
      <w:pPr>
        <w:ind w:left="6480" w:hanging="360"/>
      </w:pPr>
    </w:lvl>
  </w:abstractNum>
  <w:num w:numId="1">
    <w:abstractNumId w:val="3"/>
    <w:lvlOverride w:ilvl="0">
      <w:startOverride w:val="1"/>
    </w:lvlOverride>
  </w:num>
  <w:num w:numId="2">
    <w:abstractNumId w:val="2"/>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AC"/>
    <w:rsid w:val="001F1D45"/>
    <w:rsid w:val="00213DE8"/>
    <w:rsid w:val="002442AC"/>
    <w:rsid w:val="002752AB"/>
    <w:rsid w:val="00356946"/>
    <w:rsid w:val="00415735"/>
    <w:rsid w:val="004D2D30"/>
    <w:rsid w:val="00600DA2"/>
    <w:rsid w:val="006E6AAC"/>
    <w:rsid w:val="00714233"/>
    <w:rsid w:val="007714AC"/>
    <w:rsid w:val="00895097"/>
    <w:rsid w:val="00C0218C"/>
    <w:rsid w:val="00D44053"/>
    <w:rsid w:val="00E1761E"/>
    <w:rsid w:val="00F20D69"/>
    <w:rsid w:val="00FA3353"/>
    <w:rsid w:val="00FD0D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CE80"/>
  <w15:docId w15:val="{0ED319D2-B2D9-4CE5-8D7C-B10CF6CD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1"/>
        <w:szCs w:val="21"/>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spacing w:before="150" w:after="60"/>
      <w:outlineLvl w:val="1"/>
    </w:pPr>
    <w:rPr>
      <w:b/>
      <w:bCs/>
      <w:color w:val="2E5496"/>
      <w:sz w:val="22"/>
      <w:szCs w:val="22"/>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Strong1">
    <w:name w:val="Strong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4D2D30"/>
    <w:pPr>
      <w:tabs>
        <w:tab w:val="center" w:pos="4536"/>
        <w:tab w:val="right" w:pos="9072"/>
      </w:tabs>
    </w:pPr>
  </w:style>
  <w:style w:type="character" w:customStyle="1" w:styleId="En-tteCar">
    <w:name w:val="En-tête Car"/>
    <w:basedOn w:val="Policepardfaut"/>
    <w:link w:val="En-tte"/>
    <w:uiPriority w:val="99"/>
    <w:rsid w:val="004D2D30"/>
  </w:style>
  <w:style w:type="paragraph" w:styleId="Pieddepage">
    <w:name w:val="footer"/>
    <w:basedOn w:val="Normal"/>
    <w:link w:val="PieddepageCar"/>
    <w:uiPriority w:val="99"/>
    <w:unhideWhenUsed/>
    <w:rsid w:val="004D2D30"/>
    <w:pPr>
      <w:tabs>
        <w:tab w:val="center" w:pos="4536"/>
        <w:tab w:val="right" w:pos="9072"/>
      </w:tabs>
    </w:pPr>
  </w:style>
  <w:style w:type="character" w:customStyle="1" w:styleId="PieddepageCar">
    <w:name w:val="Pied de page Car"/>
    <w:basedOn w:val="Policepardfaut"/>
    <w:link w:val="Pieddepage"/>
    <w:uiPriority w:val="99"/>
    <w:rsid w:val="004D2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2273</Words>
  <Characters>12505</Characters>
  <Application>Microsoft Office Word</Application>
  <DocSecurity>0</DocSecurity>
  <Lines>104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Antonio SOUZA CALDAS</cp:lastModifiedBy>
  <cp:revision>2</cp:revision>
  <dcterms:created xsi:type="dcterms:W3CDTF">2026-07-29T08:16:00Z</dcterms:created>
  <dcterms:modified xsi:type="dcterms:W3CDTF">2026-07-29T08:16:00Z</dcterms:modified>
</cp:coreProperties>
</file>