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062"/>
      </w:tblGrid>
      <w:tr w:rsidR="009A6B89" w14:paraId="1ACE2B61" w14:textId="77777777">
        <w:tc>
          <w:tcPr>
            <w:tcW w:w="9062" w:type="dxa"/>
          </w:tcPr>
          <w:p w14:paraId="0C5BA799" w14:textId="77777777" w:rsidR="009A6B89" w:rsidRDefault="00E55023" w:rsidP="0024495E">
            <w:pPr>
              <w:jc w:val="center"/>
              <w:rPr>
                <w:rFonts w:eastAsia="Calibri"/>
                <w:b/>
                <w:smallCaps/>
                <w:color w:val="2F5496" w:themeColor="accent5" w:themeShade="BF"/>
                <w:sz w:val="32"/>
              </w:rPr>
            </w:pPr>
            <w:r w:rsidRPr="0024495E">
              <w:rPr>
                <w:rFonts w:eastAsia="Calibri"/>
                <w:b/>
                <w:smallCaps/>
                <w:color w:val="2F5496" w:themeColor="accent5" w:themeShade="BF"/>
                <w:sz w:val="32"/>
              </w:rPr>
              <w:t>Terms of reference (ToRs)</w:t>
            </w:r>
          </w:p>
          <w:p w14:paraId="333952E1" w14:textId="77777777" w:rsidR="0024495E" w:rsidRPr="0024495E" w:rsidRDefault="0024495E" w:rsidP="0024495E">
            <w:pPr>
              <w:jc w:val="center"/>
              <w:rPr>
                <w:rFonts w:eastAsia="Calibri"/>
                <w:b/>
                <w:smallCaps/>
                <w:color w:val="2F5496" w:themeColor="accent5" w:themeShade="BF"/>
                <w:sz w:val="32"/>
              </w:rPr>
            </w:pPr>
          </w:p>
          <w:p w14:paraId="392D415A" w14:textId="3C5F8D8E" w:rsidR="009A6B89" w:rsidRDefault="00963570" w:rsidP="0024495E">
            <w:pPr>
              <w:jc w:val="center"/>
              <w:rPr>
                <w:rFonts w:eastAsia="Calibri"/>
                <w:b/>
                <w:smallCaps/>
                <w:color w:val="2F5496" w:themeColor="accent5" w:themeShade="BF"/>
                <w:sz w:val="32"/>
              </w:rPr>
            </w:pPr>
            <w:r>
              <w:rPr>
                <w:rFonts w:eastAsia="Calibri"/>
                <w:b/>
                <w:smallCaps/>
                <w:color w:val="2F5496" w:themeColor="accent5" w:themeShade="BF"/>
                <w:sz w:val="32"/>
              </w:rPr>
              <w:t>Fishery Modelling Specialist</w:t>
            </w:r>
          </w:p>
          <w:p w14:paraId="1830FBB4" w14:textId="77777777" w:rsidR="0024495E" w:rsidRPr="0024495E" w:rsidRDefault="0024495E" w:rsidP="0024495E">
            <w:pPr>
              <w:jc w:val="center"/>
              <w:rPr>
                <w:rFonts w:eastAsia="Calibri"/>
                <w:b/>
                <w:smallCaps/>
                <w:color w:val="2F5496" w:themeColor="accent5" w:themeShade="BF"/>
                <w:sz w:val="32"/>
              </w:rPr>
            </w:pPr>
          </w:p>
          <w:p w14:paraId="2A34F259" w14:textId="77777777" w:rsidR="007770E1" w:rsidRPr="0024495E" w:rsidRDefault="00E55023" w:rsidP="0024495E">
            <w:pPr>
              <w:jc w:val="center"/>
              <w:rPr>
                <w:rFonts w:eastAsia="Calibri"/>
                <w:b/>
                <w:smallCaps/>
                <w:color w:val="2F5496" w:themeColor="accent5" w:themeShade="BF"/>
                <w:sz w:val="32"/>
              </w:rPr>
            </w:pPr>
            <w:r w:rsidRPr="0024495E">
              <w:rPr>
                <w:rFonts w:eastAsia="Calibri"/>
                <w:b/>
                <w:smallCaps/>
                <w:color w:val="2F5496" w:themeColor="accent5" w:themeShade="BF"/>
                <w:sz w:val="32"/>
              </w:rPr>
              <w:t>Sustainable Western Indi</w:t>
            </w:r>
            <w:r w:rsidR="007770E1" w:rsidRPr="0024495E">
              <w:rPr>
                <w:rFonts w:eastAsia="Calibri"/>
                <w:b/>
                <w:smallCaps/>
                <w:color w:val="2F5496" w:themeColor="accent5" w:themeShade="BF"/>
                <w:sz w:val="32"/>
              </w:rPr>
              <w:t>an Ocean Programme</w:t>
            </w:r>
          </w:p>
          <w:p w14:paraId="4C41FE86" w14:textId="5C791C21" w:rsidR="007770E1" w:rsidRPr="007770E1" w:rsidRDefault="007770E1" w:rsidP="00963570">
            <w:pPr>
              <w:jc w:val="center"/>
              <w:rPr>
                <w:rFonts w:eastAsia="Calibri"/>
              </w:rPr>
            </w:pPr>
            <w:r w:rsidRPr="0024495E">
              <w:rPr>
                <w:rFonts w:eastAsia="Calibri"/>
                <w:b/>
                <w:smallCaps/>
                <w:color w:val="2F5496" w:themeColor="accent5" w:themeShade="BF"/>
                <w:sz w:val="32"/>
              </w:rPr>
              <w:t>(SWIOP SO 1.2)</w:t>
            </w:r>
          </w:p>
        </w:tc>
      </w:tr>
    </w:tbl>
    <w:p w14:paraId="7262F3C3" w14:textId="77777777" w:rsidR="00F15580" w:rsidRDefault="00F15580" w:rsidP="00F15580">
      <w:pPr>
        <w:rPr>
          <w:rFonts w:eastAsia="Calibri"/>
        </w:rPr>
      </w:pPr>
    </w:p>
    <w:p w14:paraId="592E83A3" w14:textId="03B23A86" w:rsidR="00F15580" w:rsidRPr="00F15580" w:rsidRDefault="00F15580" w:rsidP="00F15580">
      <w:pPr>
        <w:rPr>
          <w:rFonts w:eastAsia="Calibri"/>
        </w:rPr>
      </w:pPr>
      <w:r w:rsidRPr="00F15580">
        <w:rPr>
          <w:rStyle w:val="Accentuation"/>
        </w:rPr>
        <w:t>D</w:t>
      </w:r>
      <w:r w:rsidRPr="00F15580">
        <w:rPr>
          <w:rStyle w:val="Accentuation"/>
          <w:rFonts w:eastAsia="Calibri"/>
        </w:rPr>
        <w:t>uration:</w:t>
      </w:r>
      <w:r>
        <w:rPr>
          <w:rFonts w:eastAsia="Calibri"/>
        </w:rPr>
        <w:t xml:space="preserve"> up to </w:t>
      </w:r>
      <w:r w:rsidR="002D473C">
        <w:rPr>
          <w:rFonts w:eastAsia="Calibri"/>
        </w:rPr>
        <w:t>one (1) year</w:t>
      </w:r>
    </w:p>
    <w:p w14:paraId="687CF188" w14:textId="1DD31D72" w:rsidR="00F15580" w:rsidRPr="00F15580" w:rsidRDefault="00F15580" w:rsidP="00F15580">
      <w:pPr>
        <w:rPr>
          <w:rFonts w:eastAsia="Calibri"/>
        </w:rPr>
      </w:pPr>
      <w:r w:rsidRPr="00F15580">
        <w:rPr>
          <w:rStyle w:val="Accentuation"/>
        </w:rPr>
        <w:t>Modal</w:t>
      </w:r>
      <w:r w:rsidRPr="00F15580">
        <w:rPr>
          <w:rStyle w:val="Accentuation"/>
          <w:rFonts w:eastAsia="Calibri"/>
        </w:rPr>
        <w:t>ity:</w:t>
      </w:r>
      <w:r>
        <w:rPr>
          <w:rFonts w:eastAsia="Calibri"/>
        </w:rPr>
        <w:t xml:space="preserve"> remote consultancy</w:t>
      </w:r>
      <w:r w:rsidR="00963570">
        <w:rPr>
          <w:rFonts w:eastAsia="Calibri"/>
        </w:rPr>
        <w:t>, with possible travel</w:t>
      </w:r>
    </w:p>
    <w:p w14:paraId="1C4AEF23" w14:textId="403B9353" w:rsidR="00F15580" w:rsidRPr="00F15580" w:rsidRDefault="00F15580" w:rsidP="00F15580">
      <w:pPr>
        <w:rPr>
          <w:rFonts w:eastAsia="Calibri"/>
        </w:rPr>
      </w:pPr>
      <w:r w:rsidRPr="00F15580">
        <w:rPr>
          <w:rStyle w:val="Accentuation"/>
        </w:rPr>
        <w:t>Estimated level of effort:</w:t>
      </w:r>
      <w:r w:rsidRPr="00F15580">
        <w:rPr>
          <w:rFonts w:eastAsia="Calibri"/>
        </w:rPr>
        <w:t xml:space="preserve"> </w:t>
      </w:r>
      <w:r w:rsidR="00F90ECF">
        <w:rPr>
          <w:rFonts w:eastAsia="Calibri"/>
        </w:rPr>
        <w:t xml:space="preserve">Up to </w:t>
      </w:r>
      <w:r w:rsidR="00D674E2">
        <w:rPr>
          <w:rFonts w:eastAsia="Calibri"/>
        </w:rPr>
        <w:t>45</w:t>
      </w:r>
      <w:r w:rsidR="00793E32">
        <w:rPr>
          <w:rFonts w:eastAsia="Calibri"/>
        </w:rPr>
        <w:t xml:space="preserve"> working days (indicative)</w:t>
      </w:r>
    </w:p>
    <w:p w14:paraId="01C4C771" w14:textId="0A6132E0" w:rsidR="00F15580" w:rsidRPr="002D473C" w:rsidRDefault="00F15580" w:rsidP="00F15580">
      <w:pPr>
        <w:rPr>
          <w:rFonts w:eastAsia="Calibri"/>
          <w:lang w:val="fr-FR"/>
        </w:rPr>
      </w:pPr>
      <w:r w:rsidRPr="002D473C">
        <w:rPr>
          <w:rStyle w:val="Accentuation"/>
          <w:lang w:val="fr-FR"/>
        </w:rPr>
        <w:t>Maximum budget:</w:t>
      </w:r>
      <w:r w:rsidRPr="002D473C">
        <w:rPr>
          <w:rFonts w:eastAsia="Calibri"/>
          <w:lang w:val="fr-FR"/>
        </w:rPr>
        <w:t xml:space="preserve"> EUR </w:t>
      </w:r>
      <w:r w:rsidR="002D473C" w:rsidRPr="002D473C">
        <w:rPr>
          <w:rFonts w:eastAsia="Calibri"/>
          <w:lang w:val="fr-FR"/>
        </w:rPr>
        <w:t>39,999 (VAT excl.)</w:t>
      </w:r>
    </w:p>
    <w:p w14:paraId="7523F697" w14:textId="322B8C64" w:rsidR="009A6B89" w:rsidRDefault="00E55023" w:rsidP="00F15580">
      <w:pPr>
        <w:rPr>
          <w:rFonts w:eastAsia="Calibri"/>
        </w:rPr>
      </w:pPr>
      <w:r w:rsidRPr="00F15580">
        <w:rPr>
          <w:rStyle w:val="Accentuation"/>
          <w:rFonts w:eastAsia="Calibri"/>
        </w:rPr>
        <w:t>Project reference:</w:t>
      </w:r>
      <w:r>
        <w:rPr>
          <w:rFonts w:eastAsia="Calibri"/>
        </w:rPr>
        <w:t xml:space="preserve"> </w:t>
      </w:r>
      <w:r w:rsidR="007770E1">
        <w:rPr>
          <w:rFonts w:eastAsia="Calibri"/>
        </w:rPr>
        <w:t>25DDUC0184</w:t>
      </w:r>
    </w:p>
    <w:p w14:paraId="7FB7F611" w14:textId="77777777" w:rsidR="009A6B89" w:rsidRPr="00F15580" w:rsidRDefault="009A6B89" w:rsidP="00EA2057">
      <w:pPr>
        <w:rPr>
          <w:rFonts w:eastAsia="Calibri"/>
        </w:rPr>
      </w:pPr>
    </w:p>
    <w:p w14:paraId="4F67DAA4" w14:textId="77777777" w:rsidR="009A6B89" w:rsidRDefault="00E55023" w:rsidP="00EA2057">
      <w:pPr>
        <w:pStyle w:val="Titre1"/>
      </w:pPr>
      <w:r>
        <w:t>Context</w:t>
      </w:r>
    </w:p>
    <w:p w14:paraId="5E3BB824" w14:textId="77777777" w:rsidR="009A6B89" w:rsidRDefault="00E55023" w:rsidP="00EA2057">
      <w:pPr>
        <w:pStyle w:val="Titre2"/>
      </w:pPr>
      <w:r>
        <w:t xml:space="preserve">Expertise France presentation </w:t>
      </w:r>
    </w:p>
    <w:p w14:paraId="341432DE" w14:textId="77777777" w:rsidR="009A6B89" w:rsidRDefault="00E55023" w:rsidP="00EA2057">
      <w:r w:rsidRPr="00EA2057">
        <w:rPr>
          <w:rStyle w:val="Accentuation"/>
        </w:rPr>
        <w:t>Expertise France</w:t>
      </w:r>
      <w:r>
        <w:rPr>
          <w:b/>
          <w:color w:val="2F5496" w:themeColor="accent5" w:themeShade="BF"/>
        </w:rPr>
        <w:t xml:space="preserve"> (EF)</w:t>
      </w:r>
      <w:r>
        <w:rPr>
          <w:color w:val="2F5496" w:themeColor="accent5" w:themeShade="BF"/>
        </w:rPr>
        <w:t xml:space="preserve"> </w:t>
      </w:r>
      <w:r>
        <w:t>is the French public agency for international technical cooperation. EF operates in the WIO region to support sustainable development, regional integration, and environmental governance. Through various programmes and partnerships, the agency contributes to strengthening institutional capacities, promoting marine and coastal conservation, and enhancing resilience to climate change across WIO countries.</w:t>
      </w:r>
    </w:p>
    <w:p w14:paraId="05F036CF" w14:textId="4E35043F" w:rsidR="009A6B89" w:rsidRDefault="00963570" w:rsidP="00EA2057">
      <w:pPr>
        <w:pStyle w:val="Titre2"/>
      </w:pPr>
      <w:r>
        <w:t>SWIOP 1.2</w:t>
      </w:r>
      <w:r w:rsidR="00EA2057">
        <w:t xml:space="preserve"> Pro</w:t>
      </w:r>
      <w:r>
        <w:t>ject</w:t>
      </w:r>
    </w:p>
    <w:p w14:paraId="6B73539A" w14:textId="77777777" w:rsidR="00EA2057" w:rsidRDefault="00EA2057" w:rsidP="00EA2057">
      <w:r>
        <w:t>The Sustainable Western Indian Ocean Programme (SWIOP) is a regional programme funded by the European Union, structured around three complementary components:</w:t>
      </w:r>
    </w:p>
    <w:p w14:paraId="425B21D2" w14:textId="77777777" w:rsidR="00EA2057" w:rsidRPr="00B43541" w:rsidRDefault="00EA2057" w:rsidP="00EA2057">
      <w:pPr>
        <w:pStyle w:val="Paragraphedeliste"/>
        <w:numPr>
          <w:ilvl w:val="0"/>
          <w:numId w:val="39"/>
        </w:numPr>
        <w:rPr>
          <w:rFonts w:asciiTheme="minorHAnsi" w:hAnsiTheme="minorHAnsi" w:cstheme="minorHAnsi"/>
          <w:sz w:val="22"/>
        </w:rPr>
      </w:pPr>
      <w:r w:rsidRPr="00B43541">
        <w:rPr>
          <w:rFonts w:asciiTheme="minorHAnsi" w:hAnsiTheme="minorHAnsi" w:cstheme="minorHAnsi"/>
          <w:sz w:val="22"/>
        </w:rPr>
        <w:t>Ocean governance;</w:t>
      </w:r>
    </w:p>
    <w:p w14:paraId="3D2D5E44" w14:textId="77777777" w:rsidR="00EA2057" w:rsidRPr="00B43541" w:rsidRDefault="00EA2057" w:rsidP="00EA2057">
      <w:pPr>
        <w:pStyle w:val="Paragraphedeliste"/>
        <w:numPr>
          <w:ilvl w:val="0"/>
          <w:numId w:val="39"/>
        </w:numPr>
        <w:rPr>
          <w:rFonts w:asciiTheme="minorHAnsi" w:hAnsiTheme="minorHAnsi" w:cstheme="minorHAnsi"/>
          <w:sz w:val="22"/>
        </w:rPr>
      </w:pPr>
      <w:r w:rsidRPr="00B43541">
        <w:rPr>
          <w:rFonts w:asciiTheme="minorHAnsi" w:hAnsiTheme="minorHAnsi" w:cstheme="minorHAnsi"/>
          <w:sz w:val="22"/>
        </w:rPr>
        <w:t>Investment into a sustainable blue economy;</w:t>
      </w:r>
    </w:p>
    <w:p w14:paraId="10861C8A" w14:textId="77777777" w:rsidR="00EA2057" w:rsidRPr="00B43541" w:rsidRDefault="00EA2057" w:rsidP="00EA2057">
      <w:pPr>
        <w:pStyle w:val="Paragraphedeliste"/>
        <w:numPr>
          <w:ilvl w:val="0"/>
          <w:numId w:val="39"/>
        </w:numPr>
        <w:rPr>
          <w:rFonts w:asciiTheme="minorHAnsi" w:hAnsiTheme="minorHAnsi" w:cstheme="minorHAnsi"/>
          <w:sz w:val="22"/>
        </w:rPr>
      </w:pPr>
      <w:r w:rsidRPr="00B43541">
        <w:rPr>
          <w:rFonts w:asciiTheme="minorHAnsi" w:hAnsiTheme="minorHAnsi" w:cstheme="minorHAnsi"/>
          <w:sz w:val="22"/>
        </w:rPr>
        <w:t>Improving ocean and coastal ecosystem resilience and blue carbon capture.</w:t>
      </w:r>
    </w:p>
    <w:p w14:paraId="4C4BD834" w14:textId="19408E44" w:rsidR="00EA2057" w:rsidRDefault="00EA2057" w:rsidP="002D473C">
      <w:r>
        <w:t>Within this framework, Expertise France is implementing</w:t>
      </w:r>
      <w:r w:rsidR="002D473C">
        <w:t xml:space="preserve"> the following project:</w:t>
      </w:r>
    </w:p>
    <w:p w14:paraId="14B2202E" w14:textId="0CD5832E" w:rsidR="009A6B89" w:rsidRDefault="00EA2057" w:rsidP="00EA2057">
      <w:pPr>
        <w:pStyle w:val="Sansinterligne"/>
      </w:pPr>
      <w:r w:rsidRPr="00EA2057">
        <w:rPr>
          <w:rStyle w:val="Accentuation"/>
        </w:rPr>
        <w:t>SWIOP Sub-Objective 1.2 (SWIOP 1.2)</w:t>
      </w:r>
      <w:r>
        <w:t>, implemented for the Delegation of the European Union to Mauritius, supporting Regional Fisheries Management Organisations (IOTC and SIOFA) in the fields of fisheries data, science and compliance.</w:t>
      </w:r>
    </w:p>
    <w:p w14:paraId="21E2C178" w14:textId="702A6E83" w:rsidR="002D473C" w:rsidRPr="002D473C" w:rsidRDefault="002D473C" w:rsidP="002D473C">
      <w:pPr>
        <w:pStyle w:val="Sansinterligne"/>
        <w:numPr>
          <w:ilvl w:val="0"/>
          <w:numId w:val="0"/>
        </w:numPr>
        <w:rPr>
          <w:lang w:val="en-NZ"/>
        </w:rPr>
      </w:pPr>
    </w:p>
    <w:p w14:paraId="47DE655C" w14:textId="0D003689" w:rsidR="002D473C" w:rsidRPr="002D473C" w:rsidRDefault="002D473C" w:rsidP="002D473C">
      <w:pPr>
        <w:pStyle w:val="Sansinterligne"/>
        <w:numPr>
          <w:ilvl w:val="0"/>
          <w:numId w:val="0"/>
        </w:numPr>
        <w:rPr>
          <w:lang w:val="en-NZ"/>
        </w:rPr>
      </w:pPr>
      <w:r w:rsidRPr="002D473C">
        <w:rPr>
          <w:lang w:val="en-NZ"/>
        </w:rPr>
        <w:t xml:space="preserve">The IOTC is currently </w:t>
      </w:r>
      <w:r>
        <w:rPr>
          <w:lang w:val="en-NZ"/>
        </w:rPr>
        <w:t>benefitting from several activities</w:t>
      </w:r>
      <w:r w:rsidRPr="002D473C">
        <w:rPr>
          <w:lang w:val="en-NZ"/>
        </w:rPr>
        <w:t xml:space="preserve"> under the Sustainable Western Indian Ocean Programme (</w:t>
      </w:r>
      <w:r>
        <w:rPr>
          <w:lang w:val="en-NZ"/>
        </w:rPr>
        <w:t>SWIOP 1.2</w:t>
      </w:r>
      <w:r w:rsidRPr="002D473C">
        <w:rPr>
          <w:lang w:val="en-NZ"/>
        </w:rPr>
        <w:t>) to strengthen its technical capacity, improve the stock assessment, and enhance the scientific advice for the sustainable management of fisheries resources. A consultancy is required to carry out activities under two specific tasks in support of this scientific initiative.</w:t>
      </w:r>
    </w:p>
    <w:p w14:paraId="10893DA9" w14:textId="77777777" w:rsidR="009A6B89" w:rsidRDefault="00EA2057" w:rsidP="00EA2057">
      <w:pPr>
        <w:pStyle w:val="Titre2"/>
      </w:pPr>
      <w:r>
        <w:t>Rationale for the consultancy</w:t>
      </w:r>
    </w:p>
    <w:p w14:paraId="05A130CD" w14:textId="77777777" w:rsidR="002D473C" w:rsidRPr="002D473C" w:rsidRDefault="002D473C" w:rsidP="002D473C">
      <w:r w:rsidRPr="002D473C">
        <w:t xml:space="preserve">The Indian Ocean Tuna Commission is an intergovernmental organization established under article XIV of the FAO constitution. The IOTC is mandated to manage 16 tuna and tuna-like species in the Indian Ocean with its primary objective the conservation and optimum utilization of the stocks for long-term sustainability. The scientific advice on the status of major IOTC tuna and billfish stocks are based upon the results of quantitative stock assessment models and analyses of available information. Stock </w:t>
      </w:r>
      <w:r w:rsidRPr="002D473C">
        <w:lastRenderedPageBreak/>
        <w:t xml:space="preserve">assessment is critical to enhance scientific elements in the conservation and sustainable exploitation of these valuable fishery resources.  </w:t>
      </w:r>
    </w:p>
    <w:p w14:paraId="13D9E278" w14:textId="77777777" w:rsidR="002D473C" w:rsidRPr="002D473C" w:rsidRDefault="002D473C" w:rsidP="002D473C"/>
    <w:p w14:paraId="54010143" w14:textId="2D5ED6C6" w:rsidR="009A6B89" w:rsidRDefault="002D473C" w:rsidP="002D473C">
      <w:r w:rsidRPr="002D473C">
        <w:t>The Indian Ocean yellowfin tuna stock, assessed as overfished, has been under a rebuilding plan since 2016. The management of this species relies on an integrated assessment model that evaluates stock status and advises on sustainable catch limits. The yellowfin assessment is one of the most complex models developed for IOTC species and has evolved over time. External reviews of the assessment suggested research activities to enhance the model's performance and reliability. The 2021 review (</w:t>
      </w:r>
      <w:hyperlink r:id="rId8" w:tgtFrame="_blank" w:history="1">
        <w:r w:rsidRPr="002D473C">
          <w:t>IOTC-2022-WPTT24-17</w:t>
        </w:r>
      </w:hyperlink>
      <w:r w:rsidRPr="002D473C">
        <w:t>) discussed the feasibility of an alternative assessment and proposed</w:t>
      </w:r>
      <w:r w:rsidRPr="002D473C">
        <w:rPr>
          <w:rFonts w:hint="eastAsia"/>
        </w:rPr>
        <w:t xml:space="preserve"> </w:t>
      </w:r>
      <w:r w:rsidRPr="002D473C">
        <w:t>alternative models to be developed to suit the specific information available. The independent expert panel review in 2023 (</w:t>
      </w:r>
      <w:hyperlink r:id="rId9" w:tgtFrame="_blank" w:history="1">
        <w:r w:rsidRPr="002D473C">
          <w:t>IOTC-2023-WPTT25-13</w:t>
        </w:r>
      </w:hyperlink>
      <w:r w:rsidRPr="002D473C">
        <w:t>) recommended a range of improvements, including the estimation of length composition through a standardisation approach to account for temporal and spatial variability in the length data. While a new assessment of the yellowfin tuna stock in 2024 addressed some of recommendations made by the peer review, complex issues related to observations such as CPUE indices, length composition, and tagging data are more intricate and require dedicated research efforts and analysis. The Indian Ocean bigeye tuna stock, also currently estimated to be overfished, has been assessed using a stock assessment model with a very similar structure and fishery configuration, and is therefore subject to many of the same issues as the yellowfin tuna assessments.</w:t>
      </w:r>
    </w:p>
    <w:p w14:paraId="2A6230BD" w14:textId="2336D442" w:rsidR="00556318" w:rsidRDefault="00556318" w:rsidP="002D473C"/>
    <w:p w14:paraId="0979BB3A" w14:textId="0EA857CC" w:rsidR="00556318" w:rsidRDefault="00556318" w:rsidP="002D473C">
      <w:r>
        <w:t>In addition, t</w:t>
      </w:r>
      <w:r w:rsidRPr="008F35F4">
        <w:t>he Indian Ocean yellowfin tuna stock is currently assessed using the Stock Synthesis model (Methot et al. 2013). This integrated model is considered one of the most flexible platforms capable of adequately describing the complex population and fishery dynamics of yellowfin tuna, assimilating the diverse range of fishery-dependent and -independent data currently available. While management advice for yellowfin tuna has been based on this model since 2015, the Working Party on Tropical Tunas (WPTT) has been exploring several alternative models, including biomass dynamic models such as ASPIC and JABBA, and age-structured population models such as ASPM.</w:t>
      </w:r>
      <w:r>
        <w:t xml:space="preserve"> </w:t>
      </w:r>
      <w:r w:rsidRPr="008F35F4">
        <w:t>The use of alternative models serves several purposes. First, they can be used to corroborate the general population trends estimated from the primary assessment, thereby providing greater confidence in the evaluation of stock status. Second, alternative dynamics and model structures can offer a different perspective on the uncertainty arising from discrepancies between the actual and modelled fish population (i.e., process error). Third, alternative configurations or approaches to fitting observational data can help explain conflicts among datasets, which are common in the assessment process.</w:t>
      </w:r>
    </w:p>
    <w:p w14:paraId="6B3CF8EF" w14:textId="74275E96" w:rsidR="00552758" w:rsidRDefault="00552758" w:rsidP="002D473C"/>
    <w:p w14:paraId="2564954F" w14:textId="0D4887F6" w:rsidR="00552758" w:rsidRPr="00552758" w:rsidRDefault="00552758" w:rsidP="002D473C">
      <w:r>
        <w:t xml:space="preserve">Together, </w:t>
      </w:r>
      <w:r w:rsidRPr="00DA0851">
        <w:rPr>
          <w:rStyle w:val="Accentuation"/>
        </w:rPr>
        <w:t>the two tasks covered by this consultancy address complementary dimensions of the same scientific challenge</w:t>
      </w:r>
      <w:r>
        <w:t>: Task 1 aims to improve the treatment and standardisation of key observational inputs used in the assessment, while Task 2 aims to explore alternative modelling structures to test the robustness of assessment results and support IOTC scientific advice.</w:t>
      </w:r>
    </w:p>
    <w:p w14:paraId="618238A1" w14:textId="7F2BBBEE" w:rsidR="00DA0851" w:rsidRPr="00556318" w:rsidRDefault="00DA0851" w:rsidP="002D473C"/>
    <w:p w14:paraId="459A5A81" w14:textId="6EF9D560" w:rsidR="00EA2057" w:rsidRDefault="00EA2057" w:rsidP="00EA2057">
      <w:pPr>
        <w:pStyle w:val="Titre1"/>
      </w:pPr>
      <w:r>
        <w:t>Objectives of the assignment</w:t>
      </w:r>
    </w:p>
    <w:p w14:paraId="1DCF9F64" w14:textId="77777777" w:rsidR="002D473C" w:rsidRDefault="002D473C" w:rsidP="002D473C">
      <w:pPr>
        <w:pStyle w:val="Titre1"/>
        <w:numPr>
          <w:ilvl w:val="0"/>
          <w:numId w:val="0"/>
        </w:numPr>
        <w:rPr>
          <w:rFonts w:eastAsia="Times New Roman"/>
          <w:b w:val="0"/>
          <w:color w:val="auto"/>
          <w:sz w:val="22"/>
        </w:rPr>
      </w:pPr>
    </w:p>
    <w:p w14:paraId="4346CBF4" w14:textId="5B06CCFB" w:rsidR="002D473C" w:rsidRDefault="002D473C" w:rsidP="002D473C">
      <w:pPr>
        <w:pStyle w:val="Titre1"/>
        <w:numPr>
          <w:ilvl w:val="0"/>
          <w:numId w:val="0"/>
        </w:numPr>
        <w:rPr>
          <w:rFonts w:eastAsia="Times New Roman"/>
          <w:b w:val="0"/>
          <w:color w:val="auto"/>
          <w:sz w:val="22"/>
        </w:rPr>
      </w:pPr>
      <w:r w:rsidRPr="002D473C">
        <w:rPr>
          <w:rFonts w:eastAsia="Times New Roman"/>
          <w:b w:val="0"/>
          <w:color w:val="auto"/>
          <w:sz w:val="22"/>
        </w:rPr>
        <w:t xml:space="preserve">The assignment falls under the project “Sustainable Western Indian Ocean Programme – Subcomponent 1.2” (“SWIOP 1.2”), implemented by Expertise France in support to two Regional Fisheries Management Organisations (RFMO), including the IOTC, and contributes to the project’s objective of strengthening the scientific basis for RFMO decision-making. </w:t>
      </w:r>
      <w:r w:rsidR="00752AB0">
        <w:rPr>
          <w:rFonts w:eastAsia="Times New Roman"/>
          <w:b w:val="0"/>
          <w:color w:val="auto"/>
          <w:sz w:val="22"/>
        </w:rPr>
        <w:t xml:space="preserve">The consultant </w:t>
      </w:r>
      <w:r w:rsidRPr="002D473C">
        <w:rPr>
          <w:rFonts w:eastAsia="Times New Roman"/>
          <w:b w:val="0"/>
          <w:color w:val="auto"/>
          <w:sz w:val="22"/>
        </w:rPr>
        <w:t xml:space="preserve">will support selected activities related to </w:t>
      </w:r>
      <w:r w:rsidRPr="00752AB0">
        <w:rPr>
          <w:rStyle w:val="Accentuation"/>
          <w:rFonts w:eastAsia="Times New Roman"/>
          <w:b/>
          <w:sz w:val="22"/>
        </w:rPr>
        <w:t>stock assessment and scientific analysis for yellowfin tuna, with a focus on length composition standardisation, the improvement of assessment inputs, and the testing of alternative assessment modelling approaches</w:t>
      </w:r>
      <w:r w:rsidRPr="002D473C">
        <w:rPr>
          <w:rFonts w:eastAsia="Times New Roman"/>
          <w:b w:val="0"/>
          <w:color w:val="auto"/>
          <w:sz w:val="22"/>
        </w:rPr>
        <w:t xml:space="preserve"> to support IOTC scientific work ahead of Working Party on Tropical tunas. </w:t>
      </w:r>
      <w:r w:rsidR="00552758" w:rsidRPr="00552758">
        <w:rPr>
          <w:rFonts w:eastAsia="Times New Roman"/>
          <w:b w:val="0"/>
          <w:color w:val="auto"/>
          <w:sz w:val="22"/>
        </w:rPr>
        <w:t xml:space="preserve">The two tasks are expected to be implemented in a coherent manner, so that the </w:t>
      </w:r>
      <w:r w:rsidR="00552758" w:rsidRPr="00552758">
        <w:rPr>
          <w:rFonts w:eastAsia="Times New Roman"/>
          <w:b w:val="0"/>
          <w:color w:val="auto"/>
          <w:sz w:val="22"/>
        </w:rPr>
        <w:lastRenderedPageBreak/>
        <w:t>work on length composition standardisation can inform, where relevant, the comparison between the main Stock Synthesis assessment and the alternative exploratory model.</w:t>
      </w:r>
    </w:p>
    <w:p w14:paraId="585CDC06" w14:textId="383103AA" w:rsidR="00552758" w:rsidRPr="00DA0851" w:rsidRDefault="00556318" w:rsidP="00DA0851">
      <w:r>
        <w:t>T</w:t>
      </w:r>
      <w:r w:rsidRPr="00556318">
        <w:t xml:space="preserve">he consultancy shall </w:t>
      </w:r>
      <w:r>
        <w:t xml:space="preserve">also </w:t>
      </w:r>
      <w:r w:rsidRPr="00556318">
        <w:t xml:space="preserve">implement an </w:t>
      </w:r>
      <w:r w:rsidRPr="00752AB0">
        <w:rPr>
          <w:rStyle w:val="Accentuation"/>
        </w:rPr>
        <w:t>alternative assessment model for yellowfin tuna</w:t>
      </w:r>
      <w:r w:rsidRPr="00556318">
        <w:t xml:space="preserve"> using an appropriate platform or package. The alternative model is expected to be based on the same types of observational data and key biological parameters as the main yellowfin assessment to facilitate comparison.</w:t>
      </w:r>
    </w:p>
    <w:p w14:paraId="2FB42D99" w14:textId="2CC030F2" w:rsidR="009A6B89" w:rsidRPr="00EA2057" w:rsidRDefault="00EA2057" w:rsidP="002D473C">
      <w:pPr>
        <w:pStyle w:val="Titre1"/>
      </w:pPr>
      <w:r>
        <w:t>Scope of the assignment</w:t>
      </w:r>
    </w:p>
    <w:p w14:paraId="6E7EDB31" w14:textId="2F4179A2" w:rsidR="00556318" w:rsidRDefault="00556318" w:rsidP="00556318">
      <w:pPr>
        <w:pStyle w:val="Titre2"/>
      </w:pPr>
      <w:r>
        <w:t xml:space="preserve">Task 1 - </w:t>
      </w:r>
      <w:r w:rsidR="002D473C" w:rsidRPr="002D473C">
        <w:t>Stock assessment length composition standardisation modelling (SWIOP 1.2, Activity 2.2</w:t>
      </w:r>
      <w:r>
        <w:t xml:space="preserve"> </w:t>
      </w:r>
      <w:r w:rsidR="002D473C" w:rsidRPr="002D473C">
        <w:t>-</w:t>
      </w:r>
      <w:r>
        <w:t xml:space="preserve"> </w:t>
      </w:r>
      <w:r w:rsidR="002D473C" w:rsidRPr="002D473C">
        <w:t>Stock assessment and ecosystem-based scientific analysis, Task 2.2.1-Stocks assessment on two IOTC species)</w:t>
      </w:r>
    </w:p>
    <w:p w14:paraId="4DAECA6E" w14:textId="76DE673D" w:rsidR="00556318" w:rsidRPr="00556318" w:rsidRDefault="00556318" w:rsidP="00556318">
      <w:r w:rsidRPr="00DA0851">
        <w:rPr>
          <w:rStyle w:val="Accentuation"/>
        </w:rPr>
        <w:t>Length composition data are an integral component of the IOTC tropical tuna assessment</w:t>
      </w:r>
      <w:r w:rsidRPr="00556318">
        <w:t xml:space="preserve"> and provide critical information on selectivity, recruitment, and mortality. Bias in the length composition data can substantially affect the estimation of key management quantities. To date, the length composition data reported by IOTC members (length frequency samples by fleet, time and area strata) are compiled for inclusion into the assessments by aggregating together the raw samples from all sampling/reporting units for a fishery. </w:t>
      </w:r>
      <w:r w:rsidR="00DA0851">
        <w:t>It</w:t>
      </w:r>
      <w:r w:rsidRPr="00556318">
        <w:t xml:space="preserve"> is recognized that simple aggregation of nominal length data may introduce bias if the spatial, seasonal, and fleet variabilities in the length samples are not appropriately accounted for. </w:t>
      </w:r>
      <w:r w:rsidR="00CA7767">
        <w:t>The design approach based on stratified sampling to estimate length composition is widely used in national fisheries</w:t>
      </w:r>
      <w:r w:rsidRPr="00556318">
        <w:t xml:space="preserve">. However, for IOTC, the sampling design, coverage, data collection and reporting vary greatly among fleets, which makes analyses of the length compositions using a design approach impractical.  </w:t>
      </w:r>
    </w:p>
    <w:p w14:paraId="4598C1EA" w14:textId="77777777" w:rsidR="00556318" w:rsidRPr="00556318" w:rsidRDefault="00556318" w:rsidP="00752AB0"/>
    <w:p w14:paraId="105413B0" w14:textId="76EB6CD0" w:rsidR="00556318" w:rsidRPr="00556318" w:rsidRDefault="00556318" w:rsidP="00556318">
      <w:r w:rsidRPr="00DA0851">
        <w:rPr>
          <w:rStyle w:val="Accentuation"/>
        </w:rPr>
        <w:t xml:space="preserve">Model-based methods provide alternative means for standardizing length composition to estimate stock-level length distribution while accounting for appropriate weighting for the underlying data. </w:t>
      </w:r>
      <w:r w:rsidRPr="00556318">
        <w:t xml:space="preserve">The application of Model-based standardization of length compositions has become more common recently. </w:t>
      </w:r>
      <w:r w:rsidR="00CA7767">
        <w:t>Dirichlet-multinomial modelling has been shown to work reasonably well in simulation studies</w:t>
      </w:r>
      <w:r w:rsidRPr="00556318">
        <w:t xml:space="preserve"> in standardizing ecological count data and was able to reduce sampling bias when adequately structured to attribute overdispersion to known sources of </w:t>
      </w:r>
      <w:r w:rsidR="00CA7767">
        <w:t>spatial variability</w:t>
      </w:r>
      <w:r w:rsidRPr="00556318">
        <w:t>. Vector Autoregressive Spatio-Temporal (VAST) models are utilized to standardize fishery length composition data by integrating spatial, temporal, and environmental variables into a comprehensive framework. More recently, a new approach for analysing length composition data based on Poisson-factorised multinomial regression and was successfully applied in a number of stock assessments in WCPFC. These standardisation models account for variations across time and space, allowing for a nuanced understanding of fish population dynamics and distribution.</w:t>
      </w:r>
    </w:p>
    <w:p w14:paraId="04840D13" w14:textId="77777777" w:rsidR="00556318" w:rsidRPr="00556318" w:rsidRDefault="00556318" w:rsidP="00556318"/>
    <w:p w14:paraId="58F645FA" w14:textId="77777777" w:rsidR="00556318" w:rsidRPr="00556318" w:rsidRDefault="00556318" w:rsidP="00556318">
      <w:r w:rsidRPr="00556318">
        <w:t xml:space="preserve">Furthermore, the length frequency data needs to be better handled within the assessment through the standardization procedure designed to provide specific information to different processes: i.e., one that mirrors the abundance index with constant selectivity, and one that can accommodate variable selectivity for fishery removal. These analyses serve to inform how these observations can be configured within the assessment to reconcile with other observations and better inform the various population and fishing processes. </w:t>
      </w:r>
    </w:p>
    <w:p w14:paraId="7AE76ADF" w14:textId="77777777" w:rsidR="00556318" w:rsidRPr="00556318" w:rsidRDefault="00556318" w:rsidP="00556318"/>
    <w:p w14:paraId="1AFBF229" w14:textId="77777777" w:rsidR="00556318" w:rsidRPr="00556318" w:rsidRDefault="00556318" w:rsidP="00556318">
      <w:r w:rsidRPr="00556318">
        <w:t xml:space="preserve">To support this effort, the consultancy shall conduct standardization analysis of length composition data for the IOTC yellowfin and bigeye tuna assessments, following a similar framework of the application of the Albacore tuna (Neubauer, Hill-Moana 2024)) and silky shark (hard (Neubauer et al. 2024)) in the WCPFC region. </w:t>
      </w:r>
    </w:p>
    <w:p w14:paraId="0EB3ECF3" w14:textId="50838F3B" w:rsidR="00556318" w:rsidRPr="00556318" w:rsidRDefault="00556318" w:rsidP="00556318">
      <w:pPr>
        <w:pStyle w:val="Titre2"/>
        <w:numPr>
          <w:ilvl w:val="0"/>
          <w:numId w:val="0"/>
        </w:numPr>
        <w:rPr>
          <w:rFonts w:eastAsia="Times New Roman"/>
          <w:b w:val="0"/>
          <w:i w:val="0"/>
          <w:color w:val="auto"/>
        </w:rPr>
      </w:pPr>
      <w:r>
        <w:rPr>
          <w:rFonts w:eastAsia="Times New Roman"/>
          <w:b w:val="0"/>
          <w:i w:val="0"/>
          <w:color w:val="auto"/>
        </w:rPr>
        <w:t xml:space="preserve">The consultant </w:t>
      </w:r>
      <w:r w:rsidR="0079614A">
        <w:rPr>
          <w:rFonts w:eastAsia="Times New Roman"/>
          <w:b w:val="0"/>
          <w:i w:val="0"/>
          <w:color w:val="auto"/>
        </w:rPr>
        <w:t>shall</w:t>
      </w:r>
      <w:r>
        <w:rPr>
          <w:rFonts w:eastAsia="Times New Roman"/>
          <w:b w:val="0"/>
          <w:i w:val="0"/>
          <w:color w:val="auto"/>
        </w:rPr>
        <w:t xml:space="preserve"> specifically follow the below-detailed methodology:</w:t>
      </w:r>
    </w:p>
    <w:p w14:paraId="2795F029" w14:textId="059367E2" w:rsidR="00556318" w:rsidRPr="00556318" w:rsidRDefault="00556318" w:rsidP="00556318">
      <w:pPr>
        <w:pStyle w:val="Sansinterligne"/>
      </w:pPr>
      <w:r w:rsidRPr="00556318">
        <w:lastRenderedPageBreak/>
        <w:t xml:space="preserve">Perform the </w:t>
      </w:r>
      <w:r w:rsidRPr="00556318">
        <w:rPr>
          <w:rStyle w:val="Accentuation"/>
        </w:rPr>
        <w:t>standardization modelling of length composition data for the IOTC yellowfin and bigeye tuna assessment</w:t>
      </w:r>
      <w:r w:rsidRPr="00556318">
        <w:t xml:space="preserve">, using the state-of-the-art modelling approaches (e.g., Poisson-factorized multinomial regression). The modelling should adequately consider key sources of variability, including fleet, spatial and temporal variations, and environmental and oceanographic conditions where feasible. Effort should be prioritised towards the yellowfin tuna assessment, where the analytical methods should be developed first. The bigeye tuna length composition data, which has a very similar structure, can then be standardised using the same modelling approach. The analysis should focus on key fisheries such as longline and purse seine, which have the largest impact on the assessments. Other fisheries can be analysed where sample sizes are adequate and appropriate. The analysis should also identify, source, and process relevant oceanographic variables to be considered in the standardisation model where feasible. </w:t>
      </w:r>
    </w:p>
    <w:p w14:paraId="3E2B179E" w14:textId="5257D75F" w:rsidR="00556318" w:rsidRPr="00556318" w:rsidRDefault="00556318" w:rsidP="00556318">
      <w:pPr>
        <w:pStyle w:val="Sansinterligne"/>
      </w:pPr>
      <w:r w:rsidRPr="00556318">
        <w:t xml:space="preserve">Where feasible, </w:t>
      </w:r>
      <w:r w:rsidRPr="00556318">
        <w:rPr>
          <w:rStyle w:val="Accentuation"/>
        </w:rPr>
        <w:t>the composition for catch fisheries and index fisheries</w:t>
      </w:r>
      <w:r w:rsidRPr="00556318">
        <w:t xml:space="preserve"> (i.e., fisheries which the CPUE indices are associated with) </w:t>
      </w:r>
      <w:r w:rsidRPr="00556318">
        <w:rPr>
          <w:rStyle w:val="Accentuation"/>
        </w:rPr>
        <w:t>shall be standardized separately</w:t>
      </w:r>
      <w:r w:rsidRPr="00556318">
        <w:t>. The analysis will produce population length compositions for the index fishery, where selectivity can be assumed constant, and catch length compositions for the capture fisheries, where selectivity may vary over time. This separation will facilitate their incorporation into the assessment model, providing distinct insights into the selectivity of the catch and abundance index.</w:t>
      </w:r>
    </w:p>
    <w:p w14:paraId="1635EBDE" w14:textId="77777777" w:rsidR="00556318" w:rsidRPr="00556318" w:rsidRDefault="00556318" w:rsidP="00556318">
      <w:pPr>
        <w:pStyle w:val="Sansinterligne"/>
      </w:pPr>
      <w:r w:rsidRPr="00556318">
        <w:t xml:space="preserve">The analysis will </w:t>
      </w:r>
      <w:r w:rsidRPr="00556318">
        <w:rPr>
          <w:rStyle w:val="Accentuation"/>
        </w:rPr>
        <w:t>concentrate on the main fisheries and fleets relevant to stock assessment, including the deep-freezing longline fishery, purse seine fishery</w:t>
      </w:r>
      <w:r w:rsidRPr="00556318">
        <w:t xml:space="preserve"> (distinguishing between free schools and associated schools), </w:t>
      </w:r>
      <w:r w:rsidRPr="00556318">
        <w:rPr>
          <w:rStyle w:val="Accentuation"/>
        </w:rPr>
        <w:t>pole and line fisheries, and gillnet fisheries</w:t>
      </w:r>
      <w:r w:rsidRPr="00556318">
        <w:t>.</w:t>
      </w:r>
    </w:p>
    <w:p w14:paraId="2DA66F2D" w14:textId="77777777" w:rsidR="00556318" w:rsidRPr="00556318" w:rsidRDefault="00556318" w:rsidP="00556318">
      <w:pPr>
        <w:pStyle w:val="Sansinterligne"/>
        <w:rPr>
          <w:rStyle w:val="Accentuation"/>
        </w:rPr>
      </w:pPr>
      <w:r w:rsidRPr="00556318">
        <w:rPr>
          <w:rStyle w:val="Accentuation"/>
        </w:rPr>
        <w:t xml:space="preserve">Characterize standardized length frequency distributions for the main fisheries and recommend an appropriate fleet structure for incorporating these data into the stock assessment model. </w:t>
      </w:r>
    </w:p>
    <w:p w14:paraId="6503EEC8" w14:textId="77777777" w:rsidR="00556318" w:rsidRPr="00556318" w:rsidRDefault="00556318" w:rsidP="00556318">
      <w:pPr>
        <w:pStyle w:val="Sansinterligne"/>
        <w:rPr>
          <w:rStyle w:val="Accentuation"/>
        </w:rPr>
      </w:pPr>
      <w:r w:rsidRPr="00556318">
        <w:rPr>
          <w:rStyle w:val="Accentuation"/>
        </w:rPr>
        <w:t>Support the IOTC Stock Assessment Expert in evaluating the impact of length frequency standardization on the yellowfin assessment.</w:t>
      </w:r>
    </w:p>
    <w:p w14:paraId="62EC5BE6" w14:textId="77777777" w:rsidR="00556318" w:rsidRPr="00556318" w:rsidRDefault="00556318" w:rsidP="00556318">
      <w:r w:rsidRPr="00556318">
        <w:t>The primary focus of the analysis will be yellowfin tuna. However, the analytical scripts will be designed to be reusable, enabling standardization of length composition data for other key tuna species, including skipjack, bigeye, and albacore.</w:t>
      </w:r>
    </w:p>
    <w:p w14:paraId="0F32AC65" w14:textId="236A9EF3" w:rsidR="009A6B89" w:rsidRDefault="00556318" w:rsidP="00EA2057">
      <w:pPr>
        <w:pStyle w:val="Titre2"/>
        <w:rPr>
          <w:sz w:val="20"/>
          <w:szCs w:val="20"/>
        </w:rPr>
      </w:pPr>
      <w:r>
        <w:rPr>
          <w:bCs/>
          <w:sz w:val="20"/>
          <w:szCs w:val="20"/>
        </w:rPr>
        <w:t xml:space="preserve">Task 2 - Alternative </w:t>
      </w:r>
      <w:r w:rsidRPr="00696047">
        <w:rPr>
          <w:bCs/>
          <w:sz w:val="20"/>
          <w:szCs w:val="20"/>
        </w:rPr>
        <w:t>Stock assessment modelling</w:t>
      </w:r>
      <w:r>
        <w:rPr>
          <w:bCs/>
          <w:sz w:val="20"/>
          <w:szCs w:val="20"/>
        </w:rPr>
        <w:t xml:space="preserve"> of yellowfin tuna</w:t>
      </w:r>
      <w:r w:rsidRPr="00696047">
        <w:rPr>
          <w:bCs/>
          <w:sz w:val="20"/>
          <w:szCs w:val="20"/>
        </w:rPr>
        <w:t xml:space="preserve"> </w:t>
      </w:r>
      <w:r>
        <w:rPr>
          <w:bCs/>
          <w:sz w:val="20"/>
          <w:szCs w:val="20"/>
        </w:rPr>
        <w:t>(</w:t>
      </w:r>
      <w:r w:rsidRPr="004C73D5">
        <w:rPr>
          <w:sz w:val="20"/>
          <w:szCs w:val="20"/>
        </w:rPr>
        <w:t xml:space="preserve">SWIOP 1.2, </w:t>
      </w:r>
      <w:r w:rsidRPr="004C73D5">
        <w:rPr>
          <w:iCs/>
          <w:sz w:val="20"/>
          <w:szCs w:val="20"/>
        </w:rPr>
        <w:t>Activity 2.2</w:t>
      </w:r>
      <w:r w:rsidRPr="00556318">
        <w:rPr>
          <w:iCs/>
          <w:sz w:val="20"/>
          <w:szCs w:val="20"/>
        </w:rPr>
        <w:t xml:space="preserve"> </w:t>
      </w:r>
      <w:r>
        <w:rPr>
          <w:iCs/>
          <w:sz w:val="20"/>
          <w:szCs w:val="20"/>
        </w:rPr>
        <w:t>-</w:t>
      </w:r>
      <w:r w:rsidRPr="00556318">
        <w:rPr>
          <w:iCs/>
          <w:sz w:val="20"/>
          <w:szCs w:val="20"/>
        </w:rPr>
        <w:t xml:space="preserve"> </w:t>
      </w:r>
      <w:r w:rsidRPr="004C73D5">
        <w:rPr>
          <w:iCs/>
          <w:sz w:val="20"/>
          <w:szCs w:val="20"/>
        </w:rPr>
        <w:t xml:space="preserve">Stock assessment and </w:t>
      </w:r>
      <w:r w:rsidRPr="004C73D5">
        <w:rPr>
          <w:sz w:val="20"/>
          <w:szCs w:val="20"/>
        </w:rPr>
        <w:t>ecosystem-based scientific analysis, Task 2.2.1</w:t>
      </w:r>
      <w:r>
        <w:rPr>
          <w:sz w:val="20"/>
          <w:szCs w:val="20"/>
        </w:rPr>
        <w:t>-</w:t>
      </w:r>
      <w:r w:rsidRPr="004C73D5">
        <w:rPr>
          <w:sz w:val="20"/>
          <w:szCs w:val="20"/>
        </w:rPr>
        <w:t>Stocks assessment on two IOTC species)</w:t>
      </w:r>
    </w:p>
    <w:p w14:paraId="647414A6" w14:textId="0DDBBCB9" w:rsidR="00556318" w:rsidRDefault="0079614A" w:rsidP="00556318">
      <w:r w:rsidRPr="0079614A">
        <w:t>The expert peer review of the yellowfin assessment has recommended the use of alternative model structures to explore issues identified in the assessment, particularly in view of recent advances in new assessment platforms. For example, the Fisheries Integrated Modeling System (FIMS), co-developed by NOAA Fisheries and academic partners, uses Template Model Builder (TMB) as its primary statistical inference tool and represents the next-generation stock assessment platform intended to replace Stock Synthesis. The WHAM (Woods Hole Assessment Model) and SAM (State-space Assessment Model) are premier state-space stock assessment frameworks capable of estimating time-specific deviations and explicitly handling random effects, which is highly pertinent to tuna species where many parameters are more appropriately treated as time-varying random effects rather than assumed to be static. Additionally, a new package (OPAL) developed for WCPFC assessments, initially designed as a simple framework for data-moderate species (such as sharks and billfish), can be extended towards more substantial models. The OPAL model is also in the process of implementing a length partition to allow for fully length-and-age-based models. This is considered potentially very useful for tuna assessment, as the majority of data are length-based and many biological processes are likely related to the length of the fish.</w:t>
      </w:r>
    </w:p>
    <w:p w14:paraId="41E3C1D3" w14:textId="0138255E" w:rsidR="0079614A" w:rsidRDefault="0079614A" w:rsidP="00556318"/>
    <w:p w14:paraId="25CAC082" w14:textId="77777777" w:rsidR="0079614A" w:rsidRPr="00556318" w:rsidRDefault="0079614A" w:rsidP="0079614A">
      <w:pPr>
        <w:pStyle w:val="Titre2"/>
        <w:numPr>
          <w:ilvl w:val="0"/>
          <w:numId w:val="0"/>
        </w:numPr>
        <w:rPr>
          <w:rFonts w:eastAsia="Times New Roman"/>
          <w:b w:val="0"/>
          <w:i w:val="0"/>
          <w:color w:val="auto"/>
        </w:rPr>
      </w:pPr>
      <w:r>
        <w:rPr>
          <w:rFonts w:eastAsia="Times New Roman"/>
          <w:b w:val="0"/>
          <w:i w:val="0"/>
          <w:color w:val="auto"/>
        </w:rPr>
        <w:t>The consultant should specifically follow the below-detailed methodology:</w:t>
      </w:r>
    </w:p>
    <w:p w14:paraId="3EDDE7AC" w14:textId="77777777" w:rsidR="0079614A" w:rsidRPr="005C723A" w:rsidRDefault="0079614A" w:rsidP="0079614A">
      <w:pPr>
        <w:pStyle w:val="Sansinterligne"/>
      </w:pPr>
      <w:r w:rsidRPr="005C723A">
        <w:t xml:space="preserve">Propose a </w:t>
      </w:r>
      <w:r w:rsidRPr="0079614A">
        <w:rPr>
          <w:rStyle w:val="Accentuation"/>
        </w:rPr>
        <w:t>suitable platform and package for the alternative assessment model of yellowfin tuna</w:t>
      </w:r>
      <w:r w:rsidRPr="005C723A">
        <w:t xml:space="preserve"> and evaluate its suitability for modelling the yellowfin tuna stock.</w:t>
      </w:r>
    </w:p>
    <w:p w14:paraId="620D8A59" w14:textId="77777777" w:rsidR="0079614A" w:rsidRPr="005C723A" w:rsidRDefault="0079614A" w:rsidP="0079614A">
      <w:pPr>
        <w:pStyle w:val="Sansinterligne"/>
      </w:pPr>
      <w:r w:rsidRPr="0079614A">
        <w:rPr>
          <w:rStyle w:val="Accentuation"/>
        </w:rPr>
        <w:t>Implement the stock assessment of yellowfin tuna using the proposed platform</w:t>
      </w:r>
      <w:r>
        <w:t xml:space="preserve"> and develop a </w:t>
      </w:r>
      <w:r w:rsidRPr="0079614A">
        <w:rPr>
          <w:rStyle w:val="Accentuation"/>
        </w:rPr>
        <w:t>fully functional exploratory diagnostic model</w:t>
      </w:r>
      <w:r>
        <w:t xml:space="preserve"> that</w:t>
      </w:r>
      <w:r w:rsidRPr="00FD72BF">
        <w:rPr>
          <w:rFonts w:ascii="Segoe UI" w:hAnsi="Segoe UI" w:cs="Segoe UI"/>
          <w:sz w:val="18"/>
          <w:szCs w:val="18"/>
        </w:rPr>
        <w:t xml:space="preserve"> </w:t>
      </w:r>
      <w:r w:rsidRPr="00FD72BF">
        <w:t>support</w:t>
      </w:r>
      <w:r>
        <w:rPr>
          <w:rFonts w:eastAsiaTheme="minorEastAsia" w:hint="eastAsia"/>
          <w:lang w:eastAsia="zh-CN"/>
        </w:rPr>
        <w:t>s</w:t>
      </w:r>
      <w:r w:rsidRPr="00FD72BF">
        <w:t xml:space="preserve"> </w:t>
      </w:r>
      <w:r>
        <w:t xml:space="preserve">a </w:t>
      </w:r>
      <w:r w:rsidRPr="00FD72BF">
        <w:t>comparison with the main Stock Synthesis assessment</w:t>
      </w:r>
      <w:r w:rsidRPr="005C723A">
        <w:t xml:space="preserve">. The </w:t>
      </w:r>
      <w:r>
        <w:t xml:space="preserve">exploratory </w:t>
      </w:r>
      <w:r w:rsidRPr="005C723A">
        <w:t xml:space="preserve">assessment </w:t>
      </w:r>
      <w:r>
        <w:t xml:space="preserve">model </w:t>
      </w:r>
      <w:r w:rsidRPr="005C723A">
        <w:t>is expected to use the same data (catch, length composition, and key biological parameters) as the main assessment. The provision and compilation of data will be assisted by the IOTC Secretariat.</w:t>
      </w:r>
    </w:p>
    <w:p w14:paraId="56D8046B" w14:textId="0F4896ED" w:rsidR="00556318" w:rsidRPr="00CA2E93" w:rsidRDefault="0079614A" w:rsidP="00CA2E93">
      <w:r>
        <w:t>T</w:t>
      </w:r>
      <w:r w:rsidRPr="005C723A">
        <w:t>he assessment model and associated analytical scripts should be modular and reusable, enabling</w:t>
      </w:r>
      <w:r>
        <w:t xml:space="preserve"> potential</w:t>
      </w:r>
      <w:r w:rsidRPr="005C723A">
        <w:t xml:space="preserve"> </w:t>
      </w:r>
      <w:r>
        <w:t xml:space="preserve">future </w:t>
      </w:r>
      <w:r w:rsidRPr="005C723A">
        <w:t>application to other IOTC species, including tropical tunas, billfish, and sharks.</w:t>
      </w:r>
    </w:p>
    <w:p w14:paraId="4D37394E" w14:textId="77777777" w:rsidR="00F15580" w:rsidRDefault="00F15580" w:rsidP="00EA2057">
      <w:pPr>
        <w:pStyle w:val="Titre1"/>
      </w:pPr>
      <w:r>
        <w:t>Explicit exclusions from the assignment</w:t>
      </w:r>
    </w:p>
    <w:p w14:paraId="5A9E3A27" w14:textId="77777777" w:rsidR="00F15580" w:rsidRDefault="00F15580" w:rsidP="00F15580">
      <w:r>
        <w:t>To avoid any ambiguity of roles, the consultant shall not:</w:t>
      </w:r>
    </w:p>
    <w:p w14:paraId="0329DBB0" w14:textId="41EE03DE" w:rsidR="00F15580" w:rsidRDefault="00F15580" w:rsidP="00F15580">
      <w:pPr>
        <w:pStyle w:val="Sansinterligne"/>
      </w:pPr>
      <w:r>
        <w:t xml:space="preserve">Represent Expertise France </w:t>
      </w:r>
      <w:r w:rsidR="00CA2E93">
        <w:t xml:space="preserve">or IOTC </w:t>
      </w:r>
      <w:r>
        <w:t>vis-à-vis the European Union, partner institutions, States or stakeholders;</w:t>
      </w:r>
    </w:p>
    <w:p w14:paraId="77DDA987" w14:textId="77777777" w:rsidR="00F15580" w:rsidRDefault="00F15580" w:rsidP="00F15580">
      <w:pPr>
        <w:pStyle w:val="Sansinterligne"/>
      </w:pPr>
      <w:r>
        <w:t>Coordinate, supervise or manage project activities or teams;</w:t>
      </w:r>
    </w:p>
    <w:p w14:paraId="0DBDA1E6" w14:textId="22749AFF" w:rsidR="00F15580" w:rsidRDefault="00F15580" w:rsidP="00F15580">
      <w:pPr>
        <w:pStyle w:val="Sansinterligne"/>
      </w:pPr>
      <w:r>
        <w:t>Assume decision-making, vali</w:t>
      </w:r>
      <w:r w:rsidR="0079614A">
        <w:t>dation or arbitration authorit</w:t>
      </w:r>
      <w:r w:rsidR="00CA2E93">
        <w:t>y;</w:t>
      </w:r>
    </w:p>
    <w:p w14:paraId="3EF8B6B7" w14:textId="77777777" w:rsidR="00F15580" w:rsidRDefault="00F15580" w:rsidP="00F15580">
      <w:pPr>
        <w:pStyle w:val="Sansinterligne"/>
      </w:pPr>
      <w:r>
        <w:t>Manage budgets, contracts, procurement or administrative processes;</w:t>
      </w:r>
    </w:p>
    <w:p w14:paraId="6686733A" w14:textId="29E9EFE1" w:rsidR="00F15580" w:rsidRDefault="00F15580" w:rsidP="00F15580">
      <w:pPr>
        <w:pStyle w:val="Sansinterligne"/>
      </w:pPr>
      <w:r>
        <w:t xml:space="preserve">Substitute for the Project </w:t>
      </w:r>
      <w:r w:rsidR="00556318">
        <w:t>Coordinator</w:t>
      </w:r>
      <w:r>
        <w:t xml:space="preserve"> or any member of the Project Management Unit.</w:t>
      </w:r>
    </w:p>
    <w:p w14:paraId="4EFF75B9" w14:textId="2D0F978D" w:rsidR="00F15580" w:rsidRPr="00F15580" w:rsidRDefault="00F15580" w:rsidP="00F15580">
      <w:r>
        <w:t>All recommendations provided by the consultant will be non-binding and subject to</w:t>
      </w:r>
      <w:r w:rsidR="00CA2E93">
        <w:t xml:space="preserve"> validation by Expertise France and IOTC. </w:t>
      </w:r>
    </w:p>
    <w:p w14:paraId="39542B80" w14:textId="083C3BFE" w:rsidR="0024495E" w:rsidRDefault="0024495E" w:rsidP="00EA2057">
      <w:pPr>
        <w:pStyle w:val="Titre1"/>
      </w:pPr>
      <w:r>
        <w:t>Expected deliverables</w:t>
      </w:r>
    </w:p>
    <w:p w14:paraId="235F2DC4" w14:textId="2B96EF8C" w:rsidR="00793E32" w:rsidRDefault="00793E32" w:rsidP="00793E32">
      <w:r>
        <w:t xml:space="preserve">The consultancy will be structured around a limited number of clearly identified deliverable categories, with an indicative level of effort (LoE) and an indicative delivery timeline, to be confirmed and adjusted at the </w:t>
      </w:r>
      <w:r w:rsidR="00556318">
        <w:t xml:space="preserve">beginning of the service. </w:t>
      </w:r>
    </w:p>
    <w:p w14:paraId="156B8216" w14:textId="77777777" w:rsidR="00793E32" w:rsidRDefault="00793E32" w:rsidP="00793E32"/>
    <w:p w14:paraId="456A5481" w14:textId="5E2CF2AE" w:rsidR="00793E32" w:rsidRDefault="00793E32" w:rsidP="00B43541">
      <w:r>
        <w:t xml:space="preserve">The table below presents the expected main deliverables, their estimated workload and indicative timing, for an overall ceiling of up to </w:t>
      </w:r>
      <w:r w:rsidR="00552758">
        <w:t>45</w:t>
      </w:r>
      <w:r>
        <w:t xml:space="preserve"> working days over a maximum period of </w:t>
      </w:r>
      <w:r w:rsidR="00CD4816">
        <w:t xml:space="preserve">one (1) year. </w:t>
      </w:r>
    </w:p>
    <w:p w14:paraId="3AC1A627" w14:textId="67FA571F" w:rsidR="00793E32" w:rsidRDefault="00793E32" w:rsidP="00B43541"/>
    <w:tbl>
      <w:tblPr>
        <w:tblStyle w:val="GridTable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3686"/>
        <w:gridCol w:w="1148"/>
        <w:gridCol w:w="1182"/>
        <w:gridCol w:w="1562"/>
      </w:tblGrid>
      <w:tr w:rsidR="00CA2E93" w:rsidRPr="00793E32" w14:paraId="31655191" w14:textId="77777777" w:rsidTr="00793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1F3864" w:themeFill="accent5" w:themeFillShade="80"/>
            <w:vAlign w:val="center"/>
            <w:hideMark/>
          </w:tcPr>
          <w:p w14:paraId="692BA449" w14:textId="77777777" w:rsidR="00793E32" w:rsidRPr="00B43541" w:rsidRDefault="00793E32">
            <w:pPr>
              <w:spacing w:after="0"/>
              <w:contextualSpacing w:val="0"/>
              <w:jc w:val="center"/>
              <w:rPr>
                <w:bCs/>
                <w:color w:val="FFFFFF" w:themeColor="background1"/>
                <w:szCs w:val="24"/>
                <w:lang w:val="fr-FR"/>
              </w:rPr>
            </w:pPr>
            <w:r w:rsidRPr="00B43541">
              <w:rPr>
                <w:bCs/>
                <w:color w:val="FFFFFF" w:themeColor="background1"/>
                <w:szCs w:val="24"/>
                <w:lang w:val="fr-FR"/>
              </w:rPr>
              <w:t>Deliverable category</w:t>
            </w:r>
          </w:p>
        </w:tc>
        <w:tc>
          <w:tcPr>
            <w:tcW w:w="0" w:type="auto"/>
            <w:shd w:val="clear" w:color="auto" w:fill="1F3864" w:themeFill="accent5" w:themeFillShade="80"/>
            <w:vAlign w:val="center"/>
            <w:hideMark/>
          </w:tcPr>
          <w:p w14:paraId="4A4A83AC" w14:textId="77777777" w:rsidR="00793E32" w:rsidRPr="00B43541" w:rsidRDefault="00793E32">
            <w:pPr>
              <w:spacing w:after="0"/>
              <w:contextualSpacing w:val="0"/>
              <w:jc w:val="center"/>
              <w:cnfStyle w:val="100000000000" w:firstRow="1" w:lastRow="0" w:firstColumn="0" w:lastColumn="0" w:oddVBand="0" w:evenVBand="0" w:oddHBand="0" w:evenHBand="0" w:firstRowFirstColumn="0" w:firstRowLastColumn="0" w:lastRowFirstColumn="0" w:lastRowLastColumn="0"/>
              <w:rPr>
                <w:bCs/>
                <w:color w:val="FFFFFF" w:themeColor="background1"/>
                <w:szCs w:val="24"/>
                <w:lang w:val="fr-FR"/>
              </w:rPr>
            </w:pPr>
            <w:r w:rsidRPr="00B43541">
              <w:rPr>
                <w:bCs/>
                <w:color w:val="FFFFFF" w:themeColor="background1"/>
                <w:szCs w:val="24"/>
                <w:lang w:val="fr-FR"/>
              </w:rPr>
              <w:t>Description</w:t>
            </w:r>
          </w:p>
        </w:tc>
        <w:tc>
          <w:tcPr>
            <w:tcW w:w="0" w:type="auto"/>
            <w:shd w:val="clear" w:color="auto" w:fill="1F3864" w:themeFill="accent5" w:themeFillShade="80"/>
            <w:vAlign w:val="center"/>
            <w:hideMark/>
          </w:tcPr>
          <w:p w14:paraId="27AA40B1" w14:textId="77777777" w:rsidR="00793E32" w:rsidRPr="00B43541" w:rsidRDefault="00793E32">
            <w:pPr>
              <w:spacing w:after="0"/>
              <w:contextualSpacing w:val="0"/>
              <w:jc w:val="center"/>
              <w:cnfStyle w:val="100000000000" w:firstRow="1" w:lastRow="0" w:firstColumn="0" w:lastColumn="0" w:oddVBand="0" w:evenVBand="0" w:oddHBand="0" w:evenHBand="0" w:firstRowFirstColumn="0" w:firstRowLastColumn="0" w:lastRowFirstColumn="0" w:lastRowLastColumn="0"/>
              <w:rPr>
                <w:bCs/>
                <w:color w:val="FFFFFF" w:themeColor="background1"/>
                <w:szCs w:val="24"/>
                <w:lang w:val="fr-FR"/>
              </w:rPr>
            </w:pPr>
            <w:r w:rsidRPr="00B43541">
              <w:rPr>
                <w:bCs/>
                <w:color w:val="FFFFFF" w:themeColor="background1"/>
                <w:szCs w:val="24"/>
                <w:lang w:val="fr-FR"/>
              </w:rPr>
              <w:t>Indicative number</w:t>
            </w:r>
          </w:p>
        </w:tc>
        <w:tc>
          <w:tcPr>
            <w:tcW w:w="0" w:type="auto"/>
            <w:shd w:val="clear" w:color="auto" w:fill="1F3864" w:themeFill="accent5" w:themeFillShade="80"/>
            <w:vAlign w:val="center"/>
            <w:hideMark/>
          </w:tcPr>
          <w:p w14:paraId="49808CA8" w14:textId="77777777" w:rsidR="00793E32" w:rsidRPr="00B43541" w:rsidRDefault="00793E32">
            <w:pPr>
              <w:spacing w:after="0"/>
              <w:contextualSpacing w:val="0"/>
              <w:jc w:val="center"/>
              <w:cnfStyle w:val="100000000000" w:firstRow="1" w:lastRow="0" w:firstColumn="0" w:lastColumn="0" w:oddVBand="0" w:evenVBand="0" w:oddHBand="0" w:evenHBand="0" w:firstRowFirstColumn="0" w:firstRowLastColumn="0" w:lastRowFirstColumn="0" w:lastRowLastColumn="0"/>
              <w:rPr>
                <w:bCs/>
                <w:color w:val="FFFFFF" w:themeColor="background1"/>
                <w:szCs w:val="24"/>
                <w:lang w:val="fr-FR"/>
              </w:rPr>
            </w:pPr>
            <w:r w:rsidRPr="00B43541">
              <w:rPr>
                <w:bCs/>
                <w:color w:val="FFFFFF" w:themeColor="background1"/>
                <w:szCs w:val="24"/>
                <w:lang w:val="fr-FR"/>
              </w:rPr>
              <w:t>Estimated LoE (days)</w:t>
            </w:r>
          </w:p>
        </w:tc>
        <w:tc>
          <w:tcPr>
            <w:tcW w:w="0" w:type="auto"/>
            <w:shd w:val="clear" w:color="auto" w:fill="1F3864" w:themeFill="accent5" w:themeFillShade="80"/>
            <w:vAlign w:val="center"/>
            <w:hideMark/>
          </w:tcPr>
          <w:p w14:paraId="63A0F85F" w14:textId="77777777" w:rsidR="00793E32" w:rsidRPr="00B43541" w:rsidRDefault="00793E32">
            <w:pPr>
              <w:spacing w:after="0"/>
              <w:contextualSpacing w:val="0"/>
              <w:jc w:val="center"/>
              <w:cnfStyle w:val="100000000000" w:firstRow="1" w:lastRow="0" w:firstColumn="0" w:lastColumn="0" w:oddVBand="0" w:evenVBand="0" w:oddHBand="0" w:evenHBand="0" w:firstRowFirstColumn="0" w:firstRowLastColumn="0" w:lastRowFirstColumn="0" w:lastRowLastColumn="0"/>
              <w:rPr>
                <w:bCs/>
                <w:color w:val="FFFFFF" w:themeColor="background1"/>
                <w:szCs w:val="24"/>
                <w:lang w:val="fr-FR"/>
              </w:rPr>
            </w:pPr>
            <w:r w:rsidRPr="00B43541">
              <w:rPr>
                <w:bCs/>
                <w:color w:val="FFFFFF" w:themeColor="background1"/>
                <w:szCs w:val="24"/>
                <w:lang w:val="fr-FR"/>
              </w:rPr>
              <w:t>Indicative timing</w:t>
            </w:r>
          </w:p>
        </w:tc>
      </w:tr>
      <w:tr w:rsidR="00CA2E93" w:rsidRPr="00793E32" w14:paraId="793877A0" w14:textId="77777777" w:rsidTr="00793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vAlign w:val="center"/>
            <w:hideMark/>
          </w:tcPr>
          <w:p w14:paraId="16F70796" w14:textId="7924602A" w:rsidR="00793E32" w:rsidRPr="00552758" w:rsidRDefault="00793E32" w:rsidP="002D473C">
            <w:pPr>
              <w:spacing w:after="0"/>
              <w:contextualSpacing w:val="0"/>
              <w:jc w:val="center"/>
              <w:rPr>
                <w:rFonts w:asciiTheme="minorHAnsi" w:hAnsiTheme="minorHAnsi"/>
                <w:color w:val="auto"/>
                <w:sz w:val="20"/>
                <w:szCs w:val="24"/>
              </w:rPr>
            </w:pPr>
            <w:r w:rsidRPr="00552758">
              <w:rPr>
                <w:rFonts w:asciiTheme="minorHAnsi" w:hAnsiTheme="minorHAnsi"/>
                <w:bCs/>
                <w:color w:val="auto"/>
                <w:sz w:val="20"/>
                <w:szCs w:val="24"/>
              </w:rPr>
              <w:t>Deliverable</w:t>
            </w:r>
            <w:r w:rsidR="00556318" w:rsidRPr="00552758">
              <w:rPr>
                <w:rFonts w:asciiTheme="minorHAnsi" w:hAnsiTheme="minorHAnsi"/>
                <w:bCs/>
                <w:color w:val="auto"/>
                <w:sz w:val="20"/>
                <w:szCs w:val="24"/>
              </w:rPr>
              <w:t>s under Task</w:t>
            </w:r>
            <w:r w:rsidRPr="00552758">
              <w:rPr>
                <w:rFonts w:asciiTheme="minorHAnsi" w:hAnsiTheme="minorHAnsi"/>
                <w:bCs/>
                <w:color w:val="auto"/>
                <w:sz w:val="20"/>
                <w:szCs w:val="24"/>
              </w:rPr>
              <w:t xml:space="preserve"> </w:t>
            </w:r>
            <w:r w:rsidR="002D473C" w:rsidRPr="00552758">
              <w:rPr>
                <w:rFonts w:asciiTheme="minorHAnsi" w:hAnsiTheme="minorHAnsi"/>
                <w:bCs/>
                <w:color w:val="auto"/>
                <w:sz w:val="20"/>
                <w:szCs w:val="24"/>
              </w:rPr>
              <w:t xml:space="preserve">1 </w:t>
            </w:r>
          </w:p>
        </w:tc>
        <w:tc>
          <w:tcPr>
            <w:tcW w:w="0" w:type="auto"/>
            <w:shd w:val="clear" w:color="auto" w:fill="D9E2F3" w:themeFill="accent5" w:themeFillTint="33"/>
            <w:vAlign w:val="center"/>
            <w:hideMark/>
          </w:tcPr>
          <w:p w14:paraId="6BFF7A50" w14:textId="0DC9D10F" w:rsidR="00793E32" w:rsidRPr="00552758" w:rsidRDefault="00CF3CA7" w:rsidP="00552758">
            <w:pPr>
              <w:pStyle w:val="Sansinterligne"/>
              <w:cnfStyle w:val="000000100000" w:firstRow="0" w:lastRow="0" w:firstColumn="0" w:lastColumn="0" w:oddVBand="0" w:evenVBand="0" w:oddHBand="1" w:evenHBand="0" w:firstRowFirstColumn="0" w:firstRowLastColumn="0" w:lastRowFirstColumn="0" w:lastRowLastColumn="0"/>
              <w:rPr>
                <w:color w:val="auto"/>
                <w:sz w:val="20"/>
              </w:rPr>
            </w:pPr>
            <w:r w:rsidRPr="00552758">
              <w:rPr>
                <w:b/>
                <w:bCs/>
                <w:color w:val="auto"/>
                <w:sz w:val="20"/>
              </w:rPr>
              <w:t>One (1)</w:t>
            </w:r>
            <w:r w:rsidR="00793E32" w:rsidRPr="00552758">
              <w:rPr>
                <w:b/>
                <w:bCs/>
                <w:color w:val="auto"/>
                <w:sz w:val="20"/>
              </w:rPr>
              <w:t xml:space="preserve"> </w:t>
            </w:r>
            <w:r w:rsidR="002D473C" w:rsidRPr="00552758">
              <w:rPr>
                <w:b/>
                <w:bCs/>
                <w:color w:val="auto"/>
                <w:sz w:val="20"/>
              </w:rPr>
              <w:t xml:space="preserve">documented analytic script </w:t>
            </w:r>
            <w:r w:rsidR="002D473C" w:rsidRPr="00552758">
              <w:rPr>
                <w:bCs/>
                <w:color w:val="auto"/>
                <w:sz w:val="20"/>
              </w:rPr>
              <w:t>to the IOTC Secretariat to ensu</w:t>
            </w:r>
            <w:r w:rsidR="00556318" w:rsidRPr="00552758">
              <w:rPr>
                <w:bCs/>
                <w:color w:val="auto"/>
                <w:sz w:val="20"/>
              </w:rPr>
              <w:t>re the analysis is reproducible</w:t>
            </w:r>
            <w:r w:rsidR="00552758" w:rsidRPr="00552758">
              <w:rPr>
                <w:bCs/>
                <w:color w:val="auto"/>
                <w:sz w:val="20"/>
              </w:rPr>
              <w:t>, including data preparation, model implementation, diagnostic outputs, and sufficient documentation to allow the IOTC Secretariat to understand and reuse the analytical workflow.</w:t>
            </w:r>
          </w:p>
          <w:p w14:paraId="604FF0DC" w14:textId="328C1D65" w:rsidR="00556318" w:rsidRPr="00552758" w:rsidRDefault="00556318" w:rsidP="00556318">
            <w:pPr>
              <w:pStyle w:val="Sansinterligne"/>
              <w:cnfStyle w:val="000000100000" w:firstRow="0" w:lastRow="0" w:firstColumn="0" w:lastColumn="0" w:oddVBand="0" w:evenVBand="0" w:oddHBand="1" w:evenHBand="0" w:firstRowFirstColumn="0" w:firstRowLastColumn="0" w:lastRowFirstColumn="0" w:lastRowLastColumn="0"/>
              <w:rPr>
                <w:color w:val="auto"/>
                <w:sz w:val="20"/>
              </w:rPr>
            </w:pPr>
            <w:r w:rsidRPr="00552758">
              <w:rPr>
                <w:b/>
                <w:color w:val="auto"/>
                <w:sz w:val="20"/>
              </w:rPr>
              <w:t>One (1) report</w:t>
            </w:r>
            <w:r w:rsidRPr="00552758">
              <w:rPr>
                <w:color w:val="auto"/>
                <w:sz w:val="20"/>
              </w:rPr>
              <w:t xml:space="preserve"> that clearly documents the modelling method, and key findings of the standardization analysis, </w:t>
            </w:r>
            <w:r w:rsidRPr="00552758">
              <w:rPr>
                <w:color w:val="auto"/>
                <w:sz w:val="20"/>
              </w:rPr>
              <w:lastRenderedPageBreak/>
              <w:t>including model diagnostics, assumptions, and limitations</w:t>
            </w:r>
            <w:r w:rsidR="00552758" w:rsidRPr="00552758">
              <w:rPr>
                <w:color w:val="auto"/>
                <w:sz w:val="20"/>
              </w:rPr>
              <w:t>, as well as recommendations on the treatment of standardized length composition data in the yellowfin and bigeye tuna assessments</w:t>
            </w:r>
            <w:r w:rsidR="00CC48BB">
              <w:rPr>
                <w:color w:val="auto"/>
                <w:sz w:val="20"/>
              </w:rPr>
              <w:t>.</w:t>
            </w:r>
          </w:p>
          <w:p w14:paraId="1DEACC27" w14:textId="6AC8F345" w:rsidR="00556318" w:rsidRPr="00552758" w:rsidRDefault="00556318" w:rsidP="00552758">
            <w:pPr>
              <w:pStyle w:val="Sansinterligne"/>
              <w:cnfStyle w:val="000000100000" w:firstRow="0" w:lastRow="0" w:firstColumn="0" w:lastColumn="0" w:oddVBand="0" w:evenVBand="0" w:oddHBand="1" w:evenHBand="0" w:firstRowFirstColumn="0" w:firstRowLastColumn="0" w:lastRowFirstColumn="0" w:lastRowLastColumn="0"/>
              <w:rPr>
                <w:color w:val="auto"/>
                <w:sz w:val="20"/>
              </w:rPr>
            </w:pPr>
            <w:r w:rsidRPr="00552758">
              <w:rPr>
                <w:b/>
                <w:color w:val="auto"/>
                <w:sz w:val="20"/>
              </w:rPr>
              <w:t xml:space="preserve">One (1) presentation of the </w:t>
            </w:r>
            <w:r w:rsidRPr="00552758">
              <w:rPr>
                <w:b/>
                <w:color w:val="auto"/>
                <w:sz w:val="20"/>
                <w:szCs w:val="20"/>
              </w:rPr>
              <w:t>report</w:t>
            </w:r>
            <w:r w:rsidRPr="00552758">
              <w:rPr>
                <w:color w:val="auto"/>
                <w:sz w:val="20"/>
                <w:szCs w:val="20"/>
              </w:rPr>
              <w:t xml:space="preserve"> </w:t>
            </w:r>
            <w:r w:rsidR="00552758" w:rsidRPr="00552758">
              <w:rPr>
                <w:b/>
                <w:color w:val="auto"/>
                <w:sz w:val="20"/>
              </w:rPr>
              <w:t>and key findings</w:t>
            </w:r>
            <w:r w:rsidR="00552758" w:rsidRPr="00552758">
              <w:rPr>
                <w:color w:val="auto"/>
                <w:sz w:val="20"/>
                <w:szCs w:val="20"/>
              </w:rPr>
              <w:t xml:space="preserve"> </w:t>
            </w:r>
            <w:r w:rsidRPr="00552758">
              <w:rPr>
                <w:color w:val="auto"/>
                <w:sz w:val="20"/>
              </w:rPr>
              <w:t>that clearly documents the modelling method, and key findings of the standardization analysis, including model diagnostics,</w:t>
            </w:r>
            <w:r w:rsidR="00CC48BB">
              <w:rPr>
                <w:color w:val="auto"/>
                <w:sz w:val="20"/>
              </w:rPr>
              <w:t xml:space="preserve"> assumptions, and limitations. </w:t>
            </w:r>
          </w:p>
        </w:tc>
        <w:tc>
          <w:tcPr>
            <w:tcW w:w="0" w:type="auto"/>
            <w:shd w:val="clear" w:color="auto" w:fill="D9E2F3" w:themeFill="accent5" w:themeFillTint="33"/>
            <w:vAlign w:val="center"/>
            <w:hideMark/>
          </w:tcPr>
          <w:p w14:paraId="53A6B2A8" w14:textId="596F5A09" w:rsidR="00793E32" w:rsidRPr="00552758" w:rsidRDefault="00556318" w:rsidP="00B43541">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4"/>
              </w:rPr>
            </w:pPr>
            <w:r w:rsidRPr="00552758">
              <w:rPr>
                <w:rFonts w:asciiTheme="minorHAnsi" w:hAnsiTheme="minorHAnsi"/>
                <w:color w:val="auto"/>
                <w:sz w:val="20"/>
                <w:szCs w:val="24"/>
              </w:rPr>
              <w:lastRenderedPageBreak/>
              <w:t>Three (3)</w:t>
            </w:r>
          </w:p>
        </w:tc>
        <w:tc>
          <w:tcPr>
            <w:tcW w:w="0" w:type="auto"/>
            <w:shd w:val="clear" w:color="auto" w:fill="D9E2F3" w:themeFill="accent5" w:themeFillTint="33"/>
            <w:vAlign w:val="center"/>
            <w:hideMark/>
          </w:tcPr>
          <w:p w14:paraId="3D20C39A" w14:textId="6F647E51" w:rsidR="00793E32" w:rsidRPr="00552758" w:rsidRDefault="00953554" w:rsidP="00552758">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4"/>
                <w:lang w:val="fr-FR"/>
              </w:rPr>
            </w:pPr>
            <w:r w:rsidRPr="00552758">
              <w:rPr>
                <w:rFonts w:asciiTheme="minorHAnsi" w:hAnsiTheme="minorHAnsi"/>
                <w:color w:val="auto"/>
                <w:sz w:val="20"/>
                <w:szCs w:val="24"/>
                <w:lang w:val="fr-FR"/>
              </w:rPr>
              <w:t>≈</w:t>
            </w:r>
            <w:r w:rsidR="00552758">
              <w:rPr>
                <w:rFonts w:asciiTheme="minorHAnsi" w:hAnsiTheme="minorHAnsi"/>
                <w:color w:val="auto"/>
                <w:sz w:val="20"/>
                <w:szCs w:val="24"/>
                <w:lang w:val="fr-FR"/>
              </w:rPr>
              <w:t>25</w:t>
            </w:r>
            <w:r w:rsidR="00793E32" w:rsidRPr="00552758">
              <w:rPr>
                <w:rFonts w:asciiTheme="minorHAnsi" w:hAnsiTheme="minorHAnsi"/>
                <w:color w:val="auto"/>
                <w:sz w:val="20"/>
                <w:szCs w:val="24"/>
                <w:lang w:val="fr-FR"/>
              </w:rPr>
              <w:t xml:space="preserve"> days</w:t>
            </w:r>
          </w:p>
        </w:tc>
        <w:tc>
          <w:tcPr>
            <w:tcW w:w="0" w:type="auto"/>
            <w:shd w:val="clear" w:color="auto" w:fill="D9E2F3" w:themeFill="accent5" w:themeFillTint="33"/>
            <w:vAlign w:val="center"/>
            <w:hideMark/>
          </w:tcPr>
          <w:p w14:paraId="2CFCCC5B" w14:textId="0434584D" w:rsidR="00793E32" w:rsidRPr="00552758" w:rsidRDefault="00793E32" w:rsidP="00552758">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4"/>
              </w:rPr>
            </w:pPr>
            <w:r w:rsidRPr="00552758">
              <w:rPr>
                <w:rFonts w:asciiTheme="minorHAnsi" w:hAnsiTheme="minorHAnsi"/>
                <w:color w:val="auto"/>
                <w:sz w:val="20"/>
                <w:szCs w:val="24"/>
              </w:rPr>
              <w:t>Month</w:t>
            </w:r>
            <w:r w:rsidR="00734720" w:rsidRPr="00552758">
              <w:rPr>
                <w:rFonts w:asciiTheme="minorHAnsi" w:hAnsiTheme="minorHAnsi"/>
                <w:color w:val="auto"/>
                <w:sz w:val="20"/>
                <w:szCs w:val="24"/>
              </w:rPr>
              <w:t>s</w:t>
            </w:r>
            <w:r w:rsidRPr="00552758">
              <w:rPr>
                <w:rFonts w:asciiTheme="minorHAnsi" w:hAnsiTheme="minorHAnsi"/>
                <w:color w:val="auto"/>
                <w:sz w:val="20"/>
                <w:szCs w:val="24"/>
              </w:rPr>
              <w:t xml:space="preserve"> </w:t>
            </w:r>
            <w:r w:rsidR="00734720" w:rsidRPr="00552758">
              <w:rPr>
                <w:rFonts w:asciiTheme="minorHAnsi" w:hAnsiTheme="minorHAnsi"/>
                <w:color w:val="auto"/>
                <w:sz w:val="20"/>
                <w:szCs w:val="24"/>
              </w:rPr>
              <w:t>1-12</w:t>
            </w:r>
            <w:r w:rsidR="00552758">
              <w:rPr>
                <w:rFonts w:asciiTheme="minorHAnsi" w:hAnsiTheme="minorHAnsi"/>
                <w:color w:val="auto"/>
                <w:sz w:val="20"/>
                <w:szCs w:val="24"/>
              </w:rPr>
              <w:t>,</w:t>
            </w:r>
            <w:r w:rsidR="00552758" w:rsidRPr="00552758">
              <w:rPr>
                <w:rFonts w:asciiTheme="minorHAnsi" w:hAnsiTheme="minorHAnsi"/>
                <w:color w:val="auto"/>
                <w:sz w:val="20"/>
                <w:szCs w:val="24"/>
              </w:rPr>
              <w:t xml:space="preserve"> with draft report submitted at least two weeks before the WPTT document submission deadline</w:t>
            </w:r>
          </w:p>
        </w:tc>
      </w:tr>
      <w:tr w:rsidR="00CA2E93" w:rsidRPr="00793E32" w14:paraId="4B574C54" w14:textId="77777777" w:rsidTr="00793E32">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vAlign w:val="center"/>
            <w:hideMark/>
          </w:tcPr>
          <w:p w14:paraId="06523AA7" w14:textId="2BB9240E" w:rsidR="00793E32" w:rsidRPr="00552758" w:rsidRDefault="00793E32" w:rsidP="00556318">
            <w:pPr>
              <w:spacing w:after="0"/>
              <w:contextualSpacing w:val="0"/>
              <w:jc w:val="center"/>
              <w:rPr>
                <w:color w:val="auto"/>
                <w:sz w:val="20"/>
                <w:szCs w:val="24"/>
              </w:rPr>
            </w:pPr>
            <w:r w:rsidRPr="00552758">
              <w:rPr>
                <w:bCs/>
                <w:color w:val="auto"/>
                <w:sz w:val="20"/>
                <w:szCs w:val="24"/>
              </w:rPr>
              <w:t>D</w:t>
            </w:r>
            <w:r w:rsidR="00556318" w:rsidRPr="00552758">
              <w:rPr>
                <w:bCs/>
                <w:color w:val="auto"/>
                <w:sz w:val="20"/>
                <w:szCs w:val="24"/>
              </w:rPr>
              <w:t>eliverables under Task 2</w:t>
            </w:r>
          </w:p>
        </w:tc>
        <w:tc>
          <w:tcPr>
            <w:tcW w:w="0" w:type="auto"/>
            <w:shd w:val="clear" w:color="auto" w:fill="D9E2F3" w:themeFill="accent5" w:themeFillTint="33"/>
            <w:vAlign w:val="center"/>
            <w:hideMark/>
          </w:tcPr>
          <w:p w14:paraId="49DE0AB5" w14:textId="64BE1990" w:rsidR="00CA2E93" w:rsidRPr="00552758" w:rsidRDefault="00CA2E93" w:rsidP="00552758">
            <w:pPr>
              <w:pStyle w:val="Sansinterligne"/>
              <w:cnfStyle w:val="000000000000" w:firstRow="0" w:lastRow="0" w:firstColumn="0" w:lastColumn="0" w:oddVBand="0" w:evenVBand="0" w:oddHBand="0" w:evenHBand="0" w:firstRowFirstColumn="0" w:firstRowLastColumn="0" w:lastRowFirstColumn="0" w:lastRowLastColumn="0"/>
            </w:pPr>
            <w:r w:rsidRPr="00552758">
              <w:rPr>
                <w:b/>
              </w:rPr>
              <w:t>One (1) report and associated documented model scripts, configuration files and input files</w:t>
            </w:r>
            <w:r w:rsidRPr="00552758">
              <w:t xml:space="preserve"> where relevant that clearly document the alternative assessment model, including model structure, configuration, para</w:t>
            </w:r>
            <w:r w:rsidR="00552758">
              <w:t xml:space="preserve">meter estimates, and diagnostics, </w:t>
            </w:r>
            <w:r w:rsidR="00552758" w:rsidRPr="00552758">
              <w:rPr>
                <w:sz w:val="20"/>
              </w:rPr>
              <w:t>and allowing comparison with the main Stock Synthesis assessment.</w:t>
            </w:r>
          </w:p>
          <w:p w14:paraId="1BA0C028" w14:textId="3367AF46" w:rsidR="00793E32" w:rsidRPr="00552758" w:rsidRDefault="00CA2E93" w:rsidP="00552758">
            <w:pPr>
              <w:pStyle w:val="Sansinterligne"/>
              <w:cnfStyle w:val="000000000000" w:firstRow="0" w:lastRow="0" w:firstColumn="0" w:lastColumn="0" w:oddVBand="0" w:evenVBand="0" w:oddHBand="0" w:evenHBand="0" w:firstRowFirstColumn="0" w:firstRowLastColumn="0" w:lastRowFirstColumn="0" w:lastRowLastColumn="0"/>
              <w:rPr>
                <w:sz w:val="20"/>
              </w:rPr>
            </w:pPr>
            <w:r w:rsidRPr="00552758">
              <w:rPr>
                <w:b/>
                <w:sz w:val="20"/>
              </w:rPr>
              <w:t>One (1) presentation</w:t>
            </w:r>
            <w:r w:rsidRPr="00552758">
              <w:rPr>
                <w:sz w:val="20"/>
              </w:rPr>
              <w:t xml:space="preserve"> of the results of the alternative assessment modelling to the IOTC Working Party on Tropical Tunas in October 2027 (online).</w:t>
            </w:r>
          </w:p>
        </w:tc>
        <w:tc>
          <w:tcPr>
            <w:tcW w:w="0" w:type="auto"/>
            <w:shd w:val="clear" w:color="auto" w:fill="D9E2F3" w:themeFill="accent5" w:themeFillTint="33"/>
            <w:vAlign w:val="center"/>
            <w:hideMark/>
          </w:tcPr>
          <w:p w14:paraId="00F88DCF" w14:textId="627C7BF7" w:rsidR="00793E32" w:rsidRPr="00552758" w:rsidRDefault="00CA2E93" w:rsidP="00B43541">
            <w:pPr>
              <w:spacing w:after="0"/>
              <w:contextualSpacing w:val="0"/>
              <w:jc w:val="center"/>
              <w:cnfStyle w:val="000000000000" w:firstRow="0" w:lastRow="0" w:firstColumn="0" w:lastColumn="0" w:oddVBand="0" w:evenVBand="0" w:oddHBand="0" w:evenHBand="0" w:firstRowFirstColumn="0" w:firstRowLastColumn="0" w:lastRowFirstColumn="0" w:lastRowLastColumn="0"/>
              <w:rPr>
                <w:sz w:val="20"/>
                <w:szCs w:val="24"/>
                <w:lang w:val="fr-FR"/>
              </w:rPr>
            </w:pPr>
            <w:r w:rsidRPr="00552758">
              <w:rPr>
                <w:sz w:val="20"/>
                <w:szCs w:val="24"/>
                <w:lang w:val="fr-FR"/>
              </w:rPr>
              <w:t>Two (2)</w:t>
            </w:r>
          </w:p>
        </w:tc>
        <w:tc>
          <w:tcPr>
            <w:tcW w:w="0" w:type="auto"/>
            <w:shd w:val="clear" w:color="auto" w:fill="D9E2F3" w:themeFill="accent5" w:themeFillTint="33"/>
            <w:vAlign w:val="center"/>
            <w:hideMark/>
          </w:tcPr>
          <w:p w14:paraId="5A64F86B" w14:textId="709EFF34" w:rsidR="00793E32" w:rsidRPr="00552758" w:rsidRDefault="00953554" w:rsidP="00552758">
            <w:pPr>
              <w:spacing w:after="0"/>
              <w:contextualSpacing w:val="0"/>
              <w:jc w:val="center"/>
              <w:cnfStyle w:val="000000000000" w:firstRow="0" w:lastRow="0" w:firstColumn="0" w:lastColumn="0" w:oddVBand="0" w:evenVBand="0" w:oddHBand="0" w:evenHBand="0" w:firstRowFirstColumn="0" w:firstRowLastColumn="0" w:lastRowFirstColumn="0" w:lastRowLastColumn="0"/>
              <w:rPr>
                <w:sz w:val="20"/>
                <w:szCs w:val="24"/>
                <w:lang w:val="fr-FR"/>
              </w:rPr>
            </w:pPr>
            <w:r w:rsidRPr="00552758">
              <w:rPr>
                <w:sz w:val="20"/>
                <w:szCs w:val="24"/>
                <w:lang w:val="fr-FR"/>
              </w:rPr>
              <w:t>≈</w:t>
            </w:r>
            <w:r w:rsidR="00552758">
              <w:rPr>
                <w:sz w:val="20"/>
                <w:szCs w:val="24"/>
                <w:lang w:val="fr-FR"/>
              </w:rPr>
              <w:t>15</w:t>
            </w:r>
            <w:r w:rsidR="00793E32" w:rsidRPr="00552758">
              <w:rPr>
                <w:sz w:val="20"/>
                <w:szCs w:val="24"/>
                <w:lang w:val="fr-FR"/>
              </w:rPr>
              <w:t xml:space="preserve"> days</w:t>
            </w:r>
          </w:p>
        </w:tc>
        <w:tc>
          <w:tcPr>
            <w:tcW w:w="0" w:type="auto"/>
            <w:shd w:val="clear" w:color="auto" w:fill="D9E2F3" w:themeFill="accent5" w:themeFillTint="33"/>
            <w:vAlign w:val="center"/>
            <w:hideMark/>
          </w:tcPr>
          <w:p w14:paraId="6E9AFFE1" w14:textId="6530E6C5" w:rsidR="00793E32" w:rsidRPr="00552758" w:rsidRDefault="00734720" w:rsidP="00B43541">
            <w:pPr>
              <w:spacing w:after="0"/>
              <w:contextualSpacing w:val="0"/>
              <w:jc w:val="center"/>
              <w:cnfStyle w:val="000000000000" w:firstRow="0" w:lastRow="0" w:firstColumn="0" w:lastColumn="0" w:oddVBand="0" w:evenVBand="0" w:oddHBand="0" w:evenHBand="0" w:firstRowFirstColumn="0" w:firstRowLastColumn="0" w:lastRowFirstColumn="0" w:lastRowLastColumn="0"/>
              <w:rPr>
                <w:sz w:val="20"/>
                <w:szCs w:val="24"/>
              </w:rPr>
            </w:pPr>
            <w:r w:rsidRPr="00552758">
              <w:rPr>
                <w:sz w:val="20"/>
                <w:szCs w:val="24"/>
              </w:rPr>
              <w:t>Months 1-12</w:t>
            </w:r>
            <w:r w:rsidR="00552758">
              <w:rPr>
                <w:sz w:val="20"/>
                <w:szCs w:val="24"/>
              </w:rPr>
              <w:t>,</w:t>
            </w:r>
            <w:r w:rsidR="00552758" w:rsidRPr="00552758">
              <w:rPr>
                <w:sz w:val="20"/>
                <w:szCs w:val="24"/>
              </w:rPr>
              <w:t xml:space="preserve"> with draft report submitted at least two weeks before the WPTT document submission deadline</w:t>
            </w:r>
          </w:p>
        </w:tc>
      </w:tr>
      <w:tr w:rsidR="00552758" w:rsidRPr="00552758" w14:paraId="2C2CD78A" w14:textId="77777777" w:rsidTr="00793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vAlign w:val="center"/>
          </w:tcPr>
          <w:p w14:paraId="4519BA52" w14:textId="3E2CFDDD" w:rsidR="00552758" w:rsidRPr="00552758" w:rsidRDefault="00552758" w:rsidP="00556318">
            <w:pPr>
              <w:spacing w:after="0"/>
              <w:contextualSpacing w:val="0"/>
              <w:jc w:val="center"/>
              <w:rPr>
                <w:bCs/>
                <w:sz w:val="20"/>
                <w:szCs w:val="24"/>
              </w:rPr>
            </w:pPr>
            <w:r w:rsidRPr="00552758">
              <w:rPr>
                <w:rFonts w:asciiTheme="minorHAnsi" w:hAnsiTheme="minorHAnsi"/>
                <w:bCs/>
                <w:color w:val="auto"/>
                <w:sz w:val="20"/>
                <w:szCs w:val="24"/>
              </w:rPr>
              <w:t>Coordination, technical exchanges and revisions</w:t>
            </w:r>
          </w:p>
        </w:tc>
        <w:tc>
          <w:tcPr>
            <w:tcW w:w="0" w:type="auto"/>
            <w:shd w:val="clear" w:color="auto" w:fill="D9E2F3" w:themeFill="accent5" w:themeFillTint="33"/>
            <w:vAlign w:val="center"/>
          </w:tcPr>
          <w:p w14:paraId="070DABF7" w14:textId="6332EFC5" w:rsidR="00552758" w:rsidRPr="00552758" w:rsidRDefault="00552758" w:rsidP="00552758">
            <w:pPr>
              <w:pStyle w:val="Sansinterligne"/>
              <w:cnfStyle w:val="000000100000" w:firstRow="0" w:lastRow="0" w:firstColumn="0" w:lastColumn="0" w:oddVBand="0" w:evenVBand="0" w:oddHBand="1" w:evenHBand="0" w:firstRowFirstColumn="0" w:firstRowLastColumn="0" w:lastRowFirstColumn="0" w:lastRowLastColumn="0"/>
              <w:rPr>
                <w:b/>
                <w:sz w:val="20"/>
              </w:rPr>
            </w:pPr>
            <w:r w:rsidRPr="00552758">
              <w:rPr>
                <w:b/>
                <w:color w:val="auto"/>
                <w:sz w:val="20"/>
              </w:rPr>
              <w:t>Technical exchanges</w:t>
            </w:r>
            <w:r w:rsidRPr="00552758">
              <w:rPr>
                <w:color w:val="auto"/>
                <w:sz w:val="20"/>
              </w:rPr>
              <w:t xml:space="preserve"> with the IOTC Secretariat and SWIOP 1.</w:t>
            </w:r>
            <w:r>
              <w:rPr>
                <w:color w:val="auto"/>
                <w:sz w:val="20"/>
              </w:rPr>
              <w:t>2 Coordinator</w:t>
            </w:r>
            <w:r w:rsidRPr="00552758">
              <w:rPr>
                <w:color w:val="auto"/>
                <w:sz w:val="20"/>
              </w:rPr>
              <w:t>, incorporation of comments on draft deliverables, and finalisation of reports, scripts and presentation materials.</w:t>
            </w:r>
          </w:p>
        </w:tc>
        <w:tc>
          <w:tcPr>
            <w:tcW w:w="0" w:type="auto"/>
            <w:shd w:val="clear" w:color="auto" w:fill="D9E2F3" w:themeFill="accent5" w:themeFillTint="33"/>
            <w:vAlign w:val="center"/>
          </w:tcPr>
          <w:p w14:paraId="328AE3D8" w14:textId="13AD02BE" w:rsidR="00552758" w:rsidRPr="00552758" w:rsidRDefault="00552758" w:rsidP="00B43541">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4"/>
              </w:rPr>
            </w:pPr>
            <w:r w:rsidRPr="00552758">
              <w:rPr>
                <w:rFonts w:asciiTheme="minorHAnsi" w:hAnsiTheme="minorHAnsi"/>
                <w:color w:val="auto"/>
                <w:sz w:val="20"/>
                <w:szCs w:val="24"/>
                <w:lang w:val="fr-FR"/>
              </w:rPr>
              <w:t>Cross-cutting</w:t>
            </w:r>
          </w:p>
        </w:tc>
        <w:tc>
          <w:tcPr>
            <w:tcW w:w="0" w:type="auto"/>
            <w:shd w:val="clear" w:color="auto" w:fill="D9E2F3" w:themeFill="accent5" w:themeFillTint="33"/>
            <w:vAlign w:val="center"/>
          </w:tcPr>
          <w:p w14:paraId="1553A964" w14:textId="65AE35C6" w:rsidR="00552758" w:rsidRPr="00552758" w:rsidRDefault="00552758" w:rsidP="00552758">
            <w:pPr>
              <w:spacing w:after="0"/>
              <w:contextualSpacing w:val="0"/>
              <w:jc w:val="center"/>
              <w:cnfStyle w:val="000000100000" w:firstRow="0" w:lastRow="0" w:firstColumn="0" w:lastColumn="0" w:oddVBand="0" w:evenVBand="0" w:oddHBand="1" w:evenHBand="0" w:firstRowFirstColumn="0" w:firstRowLastColumn="0" w:lastRowFirstColumn="0" w:lastRowLastColumn="0"/>
              <w:rPr>
                <w:sz w:val="20"/>
                <w:szCs w:val="24"/>
              </w:rPr>
            </w:pPr>
            <w:r w:rsidRPr="00552758">
              <w:rPr>
                <w:rFonts w:asciiTheme="minorHAnsi" w:hAnsiTheme="minorHAnsi"/>
                <w:color w:val="auto"/>
                <w:sz w:val="20"/>
                <w:szCs w:val="24"/>
                <w:lang w:val="fr-FR"/>
              </w:rPr>
              <w:t>≈</w:t>
            </w:r>
            <w:r>
              <w:rPr>
                <w:rFonts w:asciiTheme="minorHAnsi" w:hAnsiTheme="minorHAnsi"/>
                <w:color w:val="auto"/>
                <w:sz w:val="20"/>
                <w:szCs w:val="24"/>
                <w:lang w:val="fr-FR"/>
              </w:rPr>
              <w:t>5 days</w:t>
            </w:r>
          </w:p>
        </w:tc>
        <w:tc>
          <w:tcPr>
            <w:tcW w:w="0" w:type="auto"/>
            <w:shd w:val="clear" w:color="auto" w:fill="D9E2F3" w:themeFill="accent5" w:themeFillTint="33"/>
            <w:vAlign w:val="center"/>
          </w:tcPr>
          <w:p w14:paraId="45962596" w14:textId="2BB4B07B" w:rsidR="00552758" w:rsidRPr="00552758" w:rsidRDefault="00552758" w:rsidP="00B43541">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4"/>
              </w:rPr>
            </w:pPr>
            <w:r w:rsidRPr="00552758">
              <w:rPr>
                <w:rFonts w:asciiTheme="minorHAnsi" w:hAnsiTheme="minorHAnsi"/>
                <w:color w:val="auto"/>
                <w:sz w:val="20"/>
                <w:szCs w:val="24"/>
              </w:rPr>
              <w:t>Throughout the assignment</w:t>
            </w:r>
          </w:p>
        </w:tc>
      </w:tr>
    </w:tbl>
    <w:p w14:paraId="09ED342E" w14:textId="15A92CB3" w:rsidR="00793E32" w:rsidRDefault="00793E32" w:rsidP="00B43541"/>
    <w:p w14:paraId="16249264" w14:textId="20715AE5" w:rsidR="00552758" w:rsidRDefault="00552758" w:rsidP="00B43541">
      <w:r w:rsidRPr="00552758">
        <w:t>All deliverables shall be submitted in English and in editable format. Technical deliverables will be reviewed by the IOTC Secretariat, with Expertise France ensuring contractual follow-up and formal validation in accordance with the contract.</w:t>
      </w:r>
    </w:p>
    <w:p w14:paraId="0793450E" w14:textId="77777777" w:rsidR="00552758" w:rsidRPr="00793E32" w:rsidRDefault="00552758" w:rsidP="00B43541"/>
    <w:p w14:paraId="48BDF243" w14:textId="77777777" w:rsidR="009A6B89" w:rsidRDefault="00E55023" w:rsidP="00EA2057">
      <w:pPr>
        <w:pStyle w:val="Titre1"/>
      </w:pPr>
      <w:r>
        <w:t>Qualifications &amp; experience</w:t>
      </w:r>
    </w:p>
    <w:p w14:paraId="3A03D3E0" w14:textId="77777777" w:rsidR="009A6B89" w:rsidRDefault="00E55023" w:rsidP="00EA2057">
      <w:pPr>
        <w:pStyle w:val="Titre2"/>
      </w:pPr>
      <w:r>
        <w:t>Academic qualifications</w:t>
      </w:r>
    </w:p>
    <w:p w14:paraId="3FE40E05" w14:textId="0DF5F569" w:rsidR="009A6B89" w:rsidRDefault="00CA2E93" w:rsidP="00EA2057">
      <w:pPr>
        <w:pStyle w:val="Sansinterligne"/>
      </w:pPr>
      <w:r>
        <w:t>Advanced university degree, preferably at Master’s or PhD level, in fisheries science, quantitative ecology, marine biology, statistics, applied mathematics, natural resource management, or another relevant field.</w:t>
      </w:r>
    </w:p>
    <w:p w14:paraId="2AFAA0E5" w14:textId="77777777" w:rsidR="009A6B89" w:rsidRDefault="00E55023" w:rsidP="00EA2057">
      <w:pPr>
        <w:pStyle w:val="Titre2"/>
      </w:pPr>
      <w:r>
        <w:t>Professional experiences</w:t>
      </w:r>
    </w:p>
    <w:p w14:paraId="13CFCE4B" w14:textId="6539F6EE" w:rsidR="00CA2E93" w:rsidRDefault="00CA2E93" w:rsidP="00CA2E93">
      <w:pPr>
        <w:pStyle w:val="Sansinterligne"/>
      </w:pPr>
      <w:r>
        <w:lastRenderedPageBreak/>
        <w:t>At least 10 years of professional experience in fisheries science, stock assessment, fishery modelling, or quantitative analysis applied to marine living resources.</w:t>
      </w:r>
    </w:p>
    <w:p w14:paraId="2D62E5BD" w14:textId="7CC8A35C" w:rsidR="00CA2E93" w:rsidRDefault="00CA2E93" w:rsidP="00CA2E93">
      <w:pPr>
        <w:pStyle w:val="Sansinterligne"/>
      </w:pPr>
      <w:r>
        <w:t>Demonstrated experience in quantitative stock assessment for tuna, tuna-like species or other highly migratory fish stocks.</w:t>
      </w:r>
    </w:p>
    <w:p w14:paraId="16D8033A" w14:textId="091199BC" w:rsidR="00CA2E93" w:rsidRDefault="00CA2E93" w:rsidP="00CA2E93">
      <w:pPr>
        <w:pStyle w:val="Sansinterligne"/>
      </w:pPr>
      <w:r>
        <w:t>Strong experience with integrated stock assessment models and/or alternative assessment platforms, such as Stock Synthesis, JABBA, ASPIC, WHAM, SAM, FIMS, OPAL or equivalent tools.</w:t>
      </w:r>
    </w:p>
    <w:p w14:paraId="45D5786D" w14:textId="7BFCB30F" w:rsidR="00CA2E93" w:rsidRDefault="00CA2E93" w:rsidP="00CA2E93">
      <w:pPr>
        <w:pStyle w:val="Sansinterligne"/>
      </w:pPr>
      <w:r>
        <w:t>Demonstrated experience in the standardisation of fisheries data, preferably including length composition data, CPUE indices, or other fishery-dependent data.</w:t>
      </w:r>
    </w:p>
    <w:p w14:paraId="424649F1" w14:textId="77B872B1" w:rsidR="00CA2E93" w:rsidRDefault="00CA2E93" w:rsidP="00CA2E93">
      <w:pPr>
        <w:pStyle w:val="Sansinterligne"/>
      </w:pPr>
      <w:r>
        <w:t>Strong expertise in statistical modelling and reproducible analytical workflows, including the use of R and relevant modelling packages.</w:t>
      </w:r>
      <w:bookmarkStart w:id="0" w:name="_GoBack"/>
      <w:bookmarkEnd w:id="0"/>
    </w:p>
    <w:p w14:paraId="25E00BC7" w14:textId="75DB12FD" w:rsidR="00CA2E93" w:rsidRDefault="00CA2E93" w:rsidP="00CA2E93">
      <w:pPr>
        <w:pStyle w:val="Sansinterligne"/>
      </w:pPr>
      <w:r>
        <w:t>Experience in developing, documenting and sharing analytical scripts, model configurations and reproducible code.</w:t>
      </w:r>
    </w:p>
    <w:p w14:paraId="245F3FDC" w14:textId="762FBE02" w:rsidR="00CA2E93" w:rsidRDefault="00CA2E93" w:rsidP="00CA2E93">
      <w:pPr>
        <w:pStyle w:val="Sansinterligne"/>
      </w:pPr>
      <w:r>
        <w:t>Good understanding of the scientific advisory processes of Regional Fisheries Management Organisations.</w:t>
      </w:r>
    </w:p>
    <w:p w14:paraId="26744D4B" w14:textId="166485BC" w:rsidR="00CA2E93" w:rsidRDefault="00CA2E93" w:rsidP="00CA2E93">
      <w:pPr>
        <w:pStyle w:val="Sansinterligne"/>
      </w:pPr>
      <w:r>
        <w:t>Previous experience working with IOTC, other tuna RFMOs, or international fisheries science bodies would be a strong asset.</w:t>
      </w:r>
    </w:p>
    <w:p w14:paraId="02E4932A" w14:textId="4B2749AB" w:rsidR="009A6B89" w:rsidRDefault="00CA2E93" w:rsidP="00CA2E93">
      <w:pPr>
        <w:pStyle w:val="Sansinterligne"/>
      </w:pPr>
      <w:r>
        <w:t>Experience with Indian Ocean tuna fisheries, tropical tuna assessments, and/or WIO fisheries contexts would be an asset.</w:t>
      </w:r>
    </w:p>
    <w:p w14:paraId="15EE76F8" w14:textId="77777777" w:rsidR="009A6B89" w:rsidRDefault="00E55023" w:rsidP="00EA2057">
      <w:pPr>
        <w:pStyle w:val="Titre2"/>
      </w:pPr>
      <w:r>
        <w:t>Languages</w:t>
      </w:r>
    </w:p>
    <w:p w14:paraId="7856D139" w14:textId="18409AA3" w:rsidR="009A6B89" w:rsidRDefault="00E55023" w:rsidP="00EA2057">
      <w:pPr>
        <w:pStyle w:val="Sansinterligne"/>
      </w:pPr>
      <w:r>
        <w:t>Fluency in English (both s</w:t>
      </w:r>
      <w:r w:rsidR="00CA2E93">
        <w:t>poken and written) is mandatory</w:t>
      </w:r>
      <w:r w:rsidR="00CC48BB">
        <w:t>.</w:t>
      </w:r>
    </w:p>
    <w:p w14:paraId="35A57357" w14:textId="77777777" w:rsidR="009A6B89" w:rsidRDefault="00E55023" w:rsidP="0024495E">
      <w:pPr>
        <w:pStyle w:val="Sansinterligne"/>
      </w:pPr>
      <w:r>
        <w:t>Proficiency in French is highly desirable.</w:t>
      </w:r>
    </w:p>
    <w:p w14:paraId="27469F5B" w14:textId="77777777" w:rsidR="009A6B89" w:rsidRDefault="00E55023" w:rsidP="00EA2057">
      <w:pPr>
        <w:pStyle w:val="Titre1"/>
      </w:pPr>
      <w:r>
        <w:t xml:space="preserve">Application process </w:t>
      </w:r>
    </w:p>
    <w:p w14:paraId="5B5C3C3A" w14:textId="77777777" w:rsidR="0024495E" w:rsidRDefault="0024495E" w:rsidP="0024495E">
      <w:r>
        <w:t>Interested candidates shall submit:</w:t>
      </w:r>
    </w:p>
    <w:p w14:paraId="7C7F528F" w14:textId="141CADF1" w:rsidR="0024495E" w:rsidRDefault="0024495E" w:rsidP="0024495E">
      <w:pPr>
        <w:pStyle w:val="Sansinterligne"/>
      </w:pPr>
      <w:r>
        <w:t>A technical proposal outlining their understanding of the assignment, proposed approach and estimated level of effort</w:t>
      </w:r>
      <w:r w:rsidR="00552758">
        <w:t>, including a proposed breakdown of working days by task and deliverable</w:t>
      </w:r>
      <w:r>
        <w:t>;</w:t>
      </w:r>
    </w:p>
    <w:p w14:paraId="3B8F41D1" w14:textId="77777777" w:rsidR="0024495E" w:rsidRDefault="0024495E" w:rsidP="0024495E">
      <w:pPr>
        <w:pStyle w:val="Sansinterligne"/>
      </w:pPr>
      <w:r>
        <w:t>A financial proposal within the maximum budget indicated;</w:t>
      </w:r>
    </w:p>
    <w:p w14:paraId="01DCD129" w14:textId="77777777" w:rsidR="009A6B89" w:rsidRDefault="0024495E" w:rsidP="0024495E">
      <w:pPr>
        <w:pStyle w:val="Sansinterligne"/>
      </w:pPr>
      <w:r>
        <w:t>A CV highlighting relevant experience.</w:t>
      </w:r>
    </w:p>
    <w:sectPr w:rsidR="009A6B89">
      <w:headerReference w:type="even" r:id="rId10"/>
      <w:headerReference w:type="default" r:id="rId11"/>
      <w:footerReference w:type="default" r:id="rId12"/>
      <w:headerReference w:type="first" r:id="rId13"/>
      <w:type w:val="continuous"/>
      <w:pgSz w:w="11906" w:h="16838"/>
      <w:pgMar w:top="1560" w:right="1417" w:bottom="1417" w:left="1417" w:header="709" w:footer="49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14980BB" w16cex:dateUtc="2025-06-03T08:54:39Z"/>
  <w16cex:commentExtensible w16cex:durableId="27BB10D2" w16cex:dateUtc="2025-06-03T08:55:2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614980BB"/>
  <w16cid:commentId w16cid:paraId="00000002" w16cid:durableId="27BB10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3719B" w14:textId="77777777" w:rsidR="00037B81" w:rsidRDefault="00037B81" w:rsidP="00EA2057">
      <w:r>
        <w:separator/>
      </w:r>
    </w:p>
  </w:endnote>
  <w:endnote w:type="continuationSeparator" w:id="0">
    <w:p w14:paraId="4C137301" w14:textId="77777777" w:rsidR="00037B81" w:rsidRDefault="00037B81" w:rsidP="00EA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EB Garamond">
    <w:charset w:val="00"/>
    <w:family w:val="auto"/>
    <w:pitch w:val="default"/>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66AD2" w14:textId="77777777" w:rsidR="009A6B89" w:rsidRDefault="009A6B89" w:rsidP="00EA2057">
    <w:pPr>
      <w:rPr>
        <w:rFonts w:eastAsia="Calibri"/>
      </w:rPr>
    </w:pPr>
  </w:p>
  <w:p w14:paraId="200CCDB0" w14:textId="65180358" w:rsidR="009A6B89" w:rsidRDefault="00E55023" w:rsidP="00EA2057">
    <w:pPr>
      <w:rPr>
        <w:rFonts w:eastAsia="Calibri"/>
      </w:rPr>
    </w:pPr>
    <w:r>
      <w:rPr>
        <w:rFonts w:eastAsia="Calibri"/>
      </w:rPr>
      <w:tab/>
      <w:t xml:space="preserve">Page </w:t>
    </w:r>
    <w:r>
      <w:rPr>
        <w:rFonts w:eastAsia="Calibri"/>
      </w:rPr>
      <w:fldChar w:fldCharType="begin"/>
    </w:r>
    <w:r>
      <w:rPr>
        <w:rFonts w:eastAsia="Calibri"/>
      </w:rPr>
      <w:instrText>PAGE</w:instrText>
    </w:r>
    <w:r>
      <w:rPr>
        <w:rFonts w:eastAsia="Calibri"/>
      </w:rPr>
      <w:fldChar w:fldCharType="separate"/>
    </w:r>
    <w:r w:rsidR="00CC48BB">
      <w:rPr>
        <w:rFonts w:eastAsia="Calibri"/>
        <w:noProof/>
      </w:rPr>
      <w:t>6</w:t>
    </w:r>
    <w:r>
      <w:rPr>
        <w:rFonts w:eastAsia="Calibri"/>
      </w:rPr>
      <w:fldChar w:fldCharType="end"/>
    </w:r>
    <w:r>
      <w:rPr>
        <w:rFonts w:eastAsia="Calibri"/>
      </w:rPr>
      <w:t xml:space="preserve"> sur </w:t>
    </w:r>
    <w:r>
      <w:rPr>
        <w:rFonts w:eastAsia="Calibri"/>
      </w:rPr>
      <w:fldChar w:fldCharType="begin"/>
    </w:r>
    <w:r>
      <w:rPr>
        <w:rFonts w:eastAsia="Calibri"/>
      </w:rPr>
      <w:instrText>NUMPAGES</w:instrText>
    </w:r>
    <w:r>
      <w:rPr>
        <w:rFonts w:eastAsia="Calibri"/>
      </w:rPr>
      <w:fldChar w:fldCharType="separate"/>
    </w:r>
    <w:r w:rsidR="00CC48BB">
      <w:rPr>
        <w:rFonts w:eastAsia="Calibri"/>
        <w:noProof/>
      </w:rPr>
      <w:t>7</w:t>
    </w:r>
    <w:r>
      <w:rPr>
        <w:rFonts w:eastAsia="Calibri"/>
      </w:rPr>
      <w:fldChar w:fldCharType="end"/>
    </w:r>
  </w:p>
  <w:p w14:paraId="263B92C9" w14:textId="77777777" w:rsidR="009A6B89" w:rsidRDefault="009A6B89" w:rsidP="00EA205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42F7E" w14:textId="77777777" w:rsidR="00037B81" w:rsidRDefault="00037B81" w:rsidP="00EA2057">
      <w:r>
        <w:separator/>
      </w:r>
    </w:p>
  </w:footnote>
  <w:footnote w:type="continuationSeparator" w:id="0">
    <w:p w14:paraId="38AA82BD" w14:textId="77777777" w:rsidR="00037B81" w:rsidRDefault="00037B81" w:rsidP="00EA2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F8010" w14:textId="00BAF76D" w:rsidR="009A6B89" w:rsidRDefault="00E55023" w:rsidP="00EA2057">
    <w:pPr>
      <w:pStyle w:val="En-tte"/>
    </w:pPr>
    <w:r>
      <w:rPr>
        <w:noProof/>
        <w:lang w:val="fr-FR"/>
      </w:rPr>
      <mc:AlternateContent>
        <mc:Choice Requires="wps">
          <w:drawing>
            <wp:anchor distT="0" distB="0" distL="114300" distR="114300" simplePos="0" relativeHeight="251653120" behindDoc="1" locked="0" layoutInCell="0" allowOverlap="1" wp14:anchorId="75A9CFE7" wp14:editId="0E99B8D9">
              <wp:simplePos x="0" y="0"/>
              <wp:positionH relativeFrom="margin">
                <wp:align>center</wp:align>
              </wp:positionH>
              <wp:positionV relativeFrom="margin">
                <wp:align>center</wp:align>
              </wp:positionV>
              <wp:extent cx="5076190" cy="3045460"/>
              <wp:effectExtent l="0" t="0" r="0" b="0"/>
              <wp:wrapNone/>
              <wp:docPr id="3" name="PowerPlusWaterMarkObject1186501"/>
              <wp:cNvGraphicFramePr/>
              <a:graphic xmlns:a="http://schemas.openxmlformats.org/drawingml/2006/main">
                <a:graphicData uri="http://schemas.microsoft.com/office/word/2010/wordprocessingShape">
                  <wps:wsp>
                    <wps:cNvSpPr/>
                    <wps:spPr bwMode="auto">
                      <a:xfrm rot="18900000">
                        <a:off x="0" y="0"/>
                        <a:ext cx="5076190" cy="3045460"/>
                      </a:xfrm>
                      <a:prstGeom prst="rect">
                        <a:avLst/>
                      </a:prstGeom>
                      <a:noFill/>
                      <a:ln>
                        <a:noFill/>
                      </a:ln>
                    </wps:spPr>
                    <wps:txbx>
                      <w:txbxContent>
                        <w:p w14:paraId="09211B39" w14:textId="77777777" w:rsidR="009A6B89" w:rsidRDefault="00E55023" w:rsidP="00EA2057">
                          <w:r>
                            <w:t>DRAFT</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75A9CFE7" id="PowerPlusWaterMarkObject1186501" o:spid="_x0000_s1026" style="position:absolute;left:0;text-align:left;margin-left:0;margin-top:0;width:399.7pt;height:239.8pt;rotation:-45;z-index:-25166336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hlAwIAAOkDAAAOAAAAZHJzL2Uyb0RvYy54bWysU8lu2zAQvRfoPxC815KS2HUEy0HQIEWB&#10;pjGQFD6PKMpWyq1D2lL+vkNKdrdbUR+I4XD8PG/x6mbQih0l+s6aiheznDNphG06s6v41+f7d0vO&#10;fADTgLJGVvxVen6zfvtm1btSXti9VY1ERiDGl72r+D4EV2aZF3upwc+sk4YeW4saAl1xlzUIPaFr&#10;lV3k+SLrLTYOrZDeU/dufOTrhN+2UoTHtvUyMFVx2i2kE9NZxzNbr6DcIbh9J6Y14B+20NAZ+tEz&#10;1B0EYAfs/oLSnUDrbRtmwurMtm0nZOJAbIr8DzZPe3AycSFxvDvL5P8frPhy3CDrmopfcmZAk0Ub&#10;20vcqIPfQpD4APjtsX4hIYtiuZjnRZSsd76kbz65DU43TyWr+wfbEAIcgk1qDC1qhpZUL5bXefyk&#10;NtFmQ/Lg9eyBHAIT1Jzn7xfFNVkl6O0yv5pfLZJLGZQRLWrs0IeP0moWi4oj7ZZg4fjZB9qHRk8j&#10;cdzY+06pZLQyvzVoMHaySCcSGImFoR4mVrVtXolXT/mouP9+AJScqU+GDIhhOhV4KupTYQ76g6XI&#10;FZy1aPWWQnqLUYa0aNzuedgCuolCIPYbdcpQ4pHC1EyWQPNCQFpRNI+g2DwpOTKdhifOI+pIEvUt&#10;+dB2SZJIcWQz8aU8JaWm7MfA/npPUz//oesfAAAA//8DAFBLAwQUAAYACAAAACEAbvtQpN4AAAAF&#10;AQAADwAAAGRycy9kb3ducmV2LnhtbEyPS0/DMBCE70j8B2uRuCDqFJm2CdlUgMTjwqGlHLi58ZJE&#10;xOsodh78ewwXuKw0mtHMt/l2tq0YqfeNY4TlIgFBXDrTcIVweH243IDwQbPRrWNC+CIP2+L0JNeZ&#10;cRPvaNyHSsQS9plGqEPoMil9WZPVfuE64uh9uN7qEGVfSdPrKZbbVl4lyUpa3XBcqHVH9zWVn/vB&#10;ItDd9VtX7qrnx5fRPC2VupjU+4B4fjbf3oAINIe/MPzgR3QoItPRDWy8aBHiI+H3Rm+dpgrEEUGt&#10;0xXIIpf/6YtvAAAA//8DAFBLAQItABQABgAIAAAAIQC2gziS/gAAAOEBAAATAAAAAAAAAAAAAAAA&#10;AAAAAABbQ29udGVudF9UeXBlc10ueG1sUEsBAi0AFAAGAAgAAAAhADj9If/WAAAAlAEAAAsAAAAA&#10;AAAAAAAAAAAALwEAAF9yZWxzLy5yZWxzUEsBAi0AFAAGAAgAAAAhAFt1OGUDAgAA6QMAAA4AAAAA&#10;AAAAAAAAAAAALgIAAGRycy9lMm9Eb2MueG1sUEsBAi0AFAAGAAgAAAAhAG77UKTeAAAABQEAAA8A&#10;AAAAAAAAAAAAAAAAXQQAAGRycy9kb3ducmV2LnhtbFBLBQYAAAAABAAEAPMAAABoBQAAAAA=&#10;" o:allowincell="f" filled="f" stroked="f">
              <v:textbox inset="0,0,0,0">
                <w:txbxContent>
                  <w:p w14:paraId="09211B39" w14:textId="77777777" w:rsidR="009A6B89" w:rsidRDefault="00E55023" w:rsidP="00EA2057">
                    <w:r>
                      <w:t>DRAFT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3207" w14:textId="1FB2BEFB" w:rsidR="009A6B89" w:rsidRDefault="00E55023" w:rsidP="00EA2057">
    <w:pPr>
      <w:rPr>
        <w:rFonts w:ascii="Calibri" w:eastAsia="Calibri" w:hAnsi="Calibri" w:cs="Calibri"/>
        <w:color w:val="000000"/>
        <w:szCs w:val="24"/>
      </w:rPr>
    </w:pPr>
    <w:r>
      <w:rPr>
        <w:noProof/>
        <w:lang w:val="fr-FR"/>
      </w:rPr>
      <w:drawing>
        <wp:anchor distT="0" distB="0" distL="114300" distR="114300" simplePos="0" relativeHeight="251659264" behindDoc="0" locked="0" layoutInCell="1" allowOverlap="1" wp14:anchorId="6C037C82" wp14:editId="5CCC7166">
          <wp:simplePos x="0" y="0"/>
          <wp:positionH relativeFrom="margin">
            <wp:posOffset>4500880</wp:posOffset>
          </wp:positionH>
          <wp:positionV relativeFrom="topMargin">
            <wp:posOffset>479066</wp:posOffset>
          </wp:positionV>
          <wp:extent cx="1259840" cy="419100"/>
          <wp:effectExtent l="0" t="0" r="0" b="0"/>
          <wp:wrapSquare wrapText="bothSides"/>
          <wp:docPr id="2"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a:blip r:embed="rId1"/>
                  <a:srcRect l="10815" t="27781" r="11039" b="29804"/>
                  <a:stretch/>
                </pic:blipFill>
                <pic:spPr bwMode="auto">
                  <a:xfrm>
                    <a:off x="0" y="0"/>
                    <a:ext cx="1259840" cy="419100"/>
                  </a:xfrm>
                  <a:prstGeom prst="rect">
                    <a:avLst/>
                  </a:prstGeom>
                  <a:ln>
                    <a:noFill/>
                  </a:ln>
                </pic:spPr>
              </pic:pic>
            </a:graphicData>
          </a:graphic>
          <wp14:sizeRelH relativeFrom="margin">
            <wp14:pctWidth>0</wp14:pctWidth>
          </wp14:sizeRelH>
          <wp14:sizeRelV relativeFrom="margin">
            <wp14:pctHeight>0</wp14:pctHeight>
          </wp14:sizeRelV>
        </wp:anchor>
      </w:drawing>
    </w:r>
  </w:p>
  <w:p w14:paraId="79770075" w14:textId="1497794E" w:rsidR="009A6B89" w:rsidRPr="0024495E" w:rsidRDefault="00E55023" w:rsidP="00EA2057">
    <w:pPr>
      <w:rPr>
        <w:color w:val="2F5496" w:themeColor="accent5" w:themeShade="BF"/>
        <w:sz w:val="18"/>
        <w:lang w:eastAsia="ko-KR"/>
      </w:rPr>
    </w:pPr>
    <w:r w:rsidRPr="0024495E">
      <w:rPr>
        <w:color w:val="2F5496" w:themeColor="accent5" w:themeShade="BF"/>
        <w:sz w:val="18"/>
        <w:lang w:eastAsia="ko-KR"/>
      </w:rPr>
      <w:t>EU Sustainable Western Indian Ocean Programme</w:t>
    </w:r>
    <w:r w:rsidR="0024495E">
      <w:rPr>
        <w:color w:val="2F5496" w:themeColor="accent5" w:themeShade="BF"/>
        <w:sz w:val="18"/>
        <w:lang w:eastAsia="ko-KR"/>
      </w:rPr>
      <w:t xml:space="preserve"> (SWIOP)</w:t>
    </w:r>
  </w:p>
  <w:p w14:paraId="6559899A" w14:textId="77777777" w:rsidR="009A6B89" w:rsidRPr="0024495E" w:rsidRDefault="0024495E" w:rsidP="00EA2057">
    <w:pPr>
      <w:rPr>
        <w:color w:val="2F5496" w:themeColor="accent5" w:themeShade="BF"/>
        <w:sz w:val="18"/>
        <w:lang w:eastAsia="ko-KR"/>
      </w:rPr>
    </w:pPr>
    <w:r w:rsidRPr="0024495E">
      <w:rPr>
        <w:color w:val="2F5496" w:themeColor="accent5" w:themeShade="BF"/>
        <w:sz w:val="18"/>
        <w:lang w:eastAsia="ko-KR"/>
      </w:rPr>
      <w:t>Subcomponent 1.2</w:t>
    </w:r>
  </w:p>
  <w:p w14:paraId="3700D7F3" w14:textId="77777777" w:rsidR="009A6B89" w:rsidRDefault="009A6B89" w:rsidP="00EA2057">
    <w:pPr>
      <w:rPr>
        <w:lang w:eastAsia="ko-K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736CF" w14:textId="0FD886E0" w:rsidR="009A6B89" w:rsidRDefault="00E55023" w:rsidP="00EA2057">
    <w:pPr>
      <w:pStyle w:val="En-tte"/>
    </w:pPr>
    <w:r>
      <w:rPr>
        <w:noProof/>
        <w:lang w:val="fr-FR"/>
      </w:rPr>
      <mc:AlternateContent>
        <mc:Choice Requires="wps">
          <w:drawing>
            <wp:anchor distT="0" distB="0" distL="114300" distR="114300" simplePos="0" relativeHeight="251655168" behindDoc="1" locked="0" layoutInCell="0" allowOverlap="1" wp14:anchorId="3E9E5C42" wp14:editId="5C461F06">
              <wp:simplePos x="0" y="0"/>
              <wp:positionH relativeFrom="margin">
                <wp:align>center</wp:align>
              </wp:positionH>
              <wp:positionV relativeFrom="margin">
                <wp:align>center</wp:align>
              </wp:positionV>
              <wp:extent cx="5076190" cy="3045460"/>
              <wp:effectExtent l="0" t="0" r="0" b="0"/>
              <wp:wrapNone/>
              <wp:docPr id="4" name="PowerPlusWaterMarkObject1186500"/>
              <wp:cNvGraphicFramePr/>
              <a:graphic xmlns:a="http://schemas.openxmlformats.org/drawingml/2006/main">
                <a:graphicData uri="http://schemas.microsoft.com/office/word/2010/wordprocessingShape">
                  <wps:wsp>
                    <wps:cNvSpPr/>
                    <wps:spPr bwMode="auto">
                      <a:xfrm rot="18900000">
                        <a:off x="0" y="0"/>
                        <a:ext cx="5076190" cy="3045460"/>
                      </a:xfrm>
                      <a:prstGeom prst="rect">
                        <a:avLst/>
                      </a:prstGeom>
                      <a:noFill/>
                      <a:ln>
                        <a:noFill/>
                      </a:ln>
                    </wps:spPr>
                    <wps:txbx>
                      <w:txbxContent>
                        <w:p w14:paraId="5C8D377B" w14:textId="77777777" w:rsidR="009A6B89" w:rsidRDefault="00E55023" w:rsidP="00EA2057">
                          <w:r>
                            <w:t>DRAFT</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3E9E5C42" id="PowerPlusWaterMarkObject1186500" o:spid="_x0000_s1027" style="position:absolute;left:0;text-align:left;margin-left:0;margin-top:0;width:399.7pt;height:239.8pt;rotation:-45;z-index:-25166131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HpBwIAAPADAAAOAAAAZHJzL2Uyb0RvYy54bWysU8lu2zAQvRfoPxC815JS23UEy0HQIEWB&#10;pjGQFD5TFGkr5dYhZcl/3yEtOV1uRXUgyOHoad6i9c2gFTkK8K01FS1mOSXCcNu0Zl/Rb8/371aU&#10;+MBMw5Q1oqIn4enN5u2bde9KcWUPVjUCCIIYX/auoocQXJllnh+EZn5mnTB4KS1oFvAI+6wB1iO6&#10;VtlVni+z3kLjwHLhPVbvzpd0k/ClFDw8SulFIKqiOFtIK6S1jmu2WbNyD8wdWj6Owf5hCs1agx+9&#10;QN2xwEgH7V9QuuVgvZVhxq3OrJQtF4kDsinyP9g8HZgTiQuK491FJv//YPnX4xZI21R0TolhGi3a&#10;2l7AVnV+x4KABwbfH+sXFLIoVstFniTrnS/xzSe3BRQwnjxuSd0/2AYRWBdsUmOQoAlYVL1YXefx&#10;SWWkTYbkwenigRgC4Vhc5B+WxTVaxfHufT5fzJfpkxkrI1rU2IEPn4TVJG4qCjhbgmXHLz7gPNg6&#10;tcR2Y+9bpZLRyvxWwMZYySYCZyphqIekSBHTEe9q25yQXo8xqaj/0TEQlKjPBn2ImZo2MG3qaWM6&#10;/dFi8gpKJFi9w6zeQlQjzRuHfB52DNzIJKAIWzVFKdFJmWpGZ1jzgkBaYUKPTBE042wH8hibR+pn&#10;1DNX0Ldoh2yTMq9sRtoYqyTY+AvE3P56Tl2vP+rmJwAAAP//AwBQSwMEFAAGAAgAAAAhAG77UKTe&#10;AAAABQEAAA8AAABkcnMvZG93bnJldi54bWxMj0tPwzAQhO9I/Adrkbgg6hSZtgnZVIDE48KhpRy4&#10;ufGSRMTrKHYe/HsMF7isNJrRzLf5dratGKn3jWOE5SIBQVw603CFcHh9uNyA8EGz0a1jQvgiD9vi&#10;9CTXmXET72jch0rEEvaZRqhD6DIpfVmT1X7hOuLofbje6hBlX0nT6ymW21ZeJclKWt1wXKh1R/c1&#10;lZ/7wSLQ3fVbV+6q58eX0TwtlbqY1PuAeH42396ACDSHvzD84Ed0KCLT0Q1svGgR4iPh90ZvnaYK&#10;xBFBrdMVyCKX/+mLbwAAAP//AwBQSwECLQAUAAYACAAAACEAtoM4kv4AAADhAQAAEwAAAAAAAAAA&#10;AAAAAAAAAAAAW0NvbnRlbnRfVHlwZXNdLnhtbFBLAQItABQABgAIAAAAIQA4/SH/1gAAAJQBAAAL&#10;AAAAAAAAAAAAAAAAAC8BAABfcmVscy8ucmVsc1BLAQItABQABgAIAAAAIQCAMgHpBwIAAPADAAAO&#10;AAAAAAAAAAAAAAAAAC4CAABkcnMvZTJvRG9jLnhtbFBLAQItABQABgAIAAAAIQBu+1Ck3gAAAAUB&#10;AAAPAAAAAAAAAAAAAAAAAGEEAABkcnMvZG93bnJldi54bWxQSwUGAAAAAAQABADzAAAAbAUAAAAA&#10;" o:allowincell="f" filled="f" stroked="f">
              <v:textbox inset="0,0,0,0">
                <w:txbxContent>
                  <w:p w14:paraId="5C8D377B" w14:textId="77777777" w:rsidR="009A6B89" w:rsidRDefault="00E55023" w:rsidP="00EA2057">
                    <w:r>
                      <w:t>DRAFT</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763F"/>
    <w:multiLevelType w:val="hybridMultilevel"/>
    <w:tmpl w:val="30D4BB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C04217"/>
    <w:multiLevelType w:val="hybridMultilevel"/>
    <w:tmpl w:val="40CC6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992D63"/>
    <w:multiLevelType w:val="multilevel"/>
    <w:tmpl w:val="E634FA8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AD82169"/>
    <w:multiLevelType w:val="multilevel"/>
    <w:tmpl w:val="DC10E018"/>
    <w:lvl w:ilvl="0">
      <w:numFmt w:val="bullet"/>
      <w:lvlText w:val="-"/>
      <w:lvlJc w:val="left"/>
      <w:pPr>
        <w:ind w:left="360" w:hanging="360"/>
      </w:pPr>
      <w:rPr>
        <w:rFonts w:ascii="Calibri" w:eastAsiaTheme="minorHAns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C3346B"/>
    <w:multiLevelType w:val="multilevel"/>
    <w:tmpl w:val="4250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C6D34"/>
    <w:multiLevelType w:val="multilevel"/>
    <w:tmpl w:val="3F5E4276"/>
    <w:lvl w:ilvl="0">
      <w:start w:val="3"/>
      <w:numFmt w:val="bullet"/>
      <w:pStyle w:val="Sansinterligne"/>
      <w:lvlText w:val="•"/>
      <w:lvlJc w:val="left"/>
      <w:pPr>
        <w:ind w:left="720" w:hanging="360"/>
      </w:pPr>
      <w:rPr>
        <w:rFonts w:ascii="Calibri" w:eastAsiaTheme="minorHAnsi" w:hAnsi="Calibri" w:cstheme="minorBidi" w:hint="default"/>
        <w:color w:val="2F5496" w:themeColor="accent5"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4F68D1"/>
    <w:multiLevelType w:val="multilevel"/>
    <w:tmpl w:val="E3FE36DA"/>
    <w:lvl w:ilvl="0">
      <w:start w:val="3"/>
      <w:numFmt w:val="bullet"/>
      <w:lvlText w:val="•"/>
      <w:lvlJc w:val="left"/>
      <w:pPr>
        <w:ind w:left="1070" w:hanging="710"/>
      </w:pPr>
      <w:rPr>
        <w:rFonts w:ascii="Calibri" w:eastAsiaTheme="minorHAnsi" w:hAnsi="Calibri" w:cstheme="minorBidi" w:hint="default"/>
        <w:color w:val="2F5496" w:themeColor="accent5" w:themeShade="BF"/>
      </w:rPr>
    </w:lvl>
    <w:lvl w:ilvl="1">
      <w:start w:val="3"/>
      <w:numFmt w:val="bullet"/>
      <w:lvlText w:val="-"/>
      <w:lvlJc w:val="left"/>
      <w:pPr>
        <w:ind w:left="1790" w:hanging="710"/>
      </w:pPr>
      <w:rPr>
        <w:rFonts w:ascii="Calibri" w:eastAsiaTheme="minorHAnsi"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96959"/>
    <w:multiLevelType w:val="multilevel"/>
    <w:tmpl w:val="AEBA8384"/>
    <w:lvl w:ilvl="0">
      <w:start w:val="3"/>
      <w:numFmt w:val="bullet"/>
      <w:lvlText w:val="•"/>
      <w:lvlJc w:val="left"/>
      <w:pPr>
        <w:ind w:left="720" w:hanging="360"/>
      </w:pPr>
      <w:rPr>
        <w:rFonts w:ascii="Calibri" w:eastAsiaTheme="minorHAnsi" w:hAnsi="Calibri" w:cstheme="minorBidi" w:hint="default"/>
        <w:color w:val="2F5496" w:themeColor="accent5"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A8308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3D11BC"/>
    <w:multiLevelType w:val="multilevel"/>
    <w:tmpl w:val="25AC806C"/>
    <w:lvl w:ilvl="0">
      <w:start w:val="1"/>
      <w:numFmt w:val="decimal"/>
      <w:pStyle w:val="Titre1"/>
      <w:lvlText w:val="%1."/>
      <w:lvlJc w:val="left"/>
      <w:pPr>
        <w:ind w:left="360" w:hanging="360"/>
      </w:pPr>
    </w:lvl>
    <w:lvl w:ilvl="1">
      <w:start w:val="1"/>
      <w:numFmt w:val="decimal"/>
      <w:pStyle w:val="Titre2"/>
      <w:lvlText w:val="%1.%2."/>
      <w:lvlJc w:val="left"/>
      <w:pPr>
        <w:ind w:left="792" w:hanging="432"/>
      </w:pPr>
      <w:rPr>
        <w:i/>
        <w:sz w:val="22"/>
      </w:rPr>
    </w:lvl>
    <w:lvl w:ilvl="2">
      <w:start w:val="1"/>
      <w:numFmt w:val="decimal"/>
      <w:pStyle w:val="Titre3"/>
      <w:lvlText w:val="%1.%2.%3."/>
      <w:lvlJc w:val="left"/>
      <w:pPr>
        <w:ind w:left="1224" w:hanging="504"/>
      </w:pPr>
      <w:rPr>
        <w:rFonts w:ascii="Times New Roman" w:hAnsi="Times New Roman" w:cs="Times New Roman"/>
        <w:b w:val="0"/>
        <w:bCs w:val="0"/>
        <w:i w:val="0"/>
        <w:iCs w:val="0"/>
        <w:caps w:val="0"/>
        <w:smallCaps w:val="0"/>
        <w:strike w:val="0"/>
        <w:vanish w:val="0"/>
        <w:color w:val="000000"/>
        <w:spacing w:val="0"/>
        <w:position w:val="0"/>
        <w:sz w:val="0"/>
        <w:szCs w:val="0"/>
        <w:u w:val="none"/>
        <w:shd w:val="clear" w:color="000000" w:fill="000000"/>
        <w:vertAlign w:val="baseline"/>
        <w14:textOutline w14:w="0" w14:cap="rnd" w14:cmpd="sng" w14:algn="ctr">
          <w14:noFill/>
          <w14:prstDash w14:val="solid"/>
          <w14:bevel/>
        </w14:textOutline>
        <w14:ligatures w14: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8070B"/>
    <w:multiLevelType w:val="multilevel"/>
    <w:tmpl w:val="9D2C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D3B46"/>
    <w:multiLevelType w:val="multilevel"/>
    <w:tmpl w:val="3D72B2A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CF36851"/>
    <w:multiLevelType w:val="multilevel"/>
    <w:tmpl w:val="51C08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46D2F"/>
    <w:multiLevelType w:val="multilevel"/>
    <w:tmpl w:val="ECDA0F62"/>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3403830"/>
    <w:multiLevelType w:val="hybridMultilevel"/>
    <w:tmpl w:val="5F20AE28"/>
    <w:lvl w:ilvl="0" w:tplc="15F264DA">
      <w:numFmt w:val="bullet"/>
      <w:lvlText w:val="•"/>
      <w:lvlJc w:val="left"/>
      <w:pPr>
        <w:ind w:left="1070" w:hanging="710"/>
      </w:pPr>
      <w:rPr>
        <w:rFonts w:ascii="Calibri" w:eastAsia="Calibr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02169D"/>
    <w:multiLevelType w:val="multilevel"/>
    <w:tmpl w:val="56067E42"/>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5A17789"/>
    <w:multiLevelType w:val="hybridMultilevel"/>
    <w:tmpl w:val="3B629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3763D1"/>
    <w:multiLevelType w:val="multilevel"/>
    <w:tmpl w:val="279609C8"/>
    <w:lvl w:ilvl="0">
      <w:numFmt w:val="bullet"/>
      <w:lvlText w:val="-"/>
      <w:lvlJc w:val="left"/>
      <w:pPr>
        <w:ind w:left="1068" w:hanging="360"/>
      </w:pPr>
      <w:rPr>
        <w:rFonts w:ascii="Calibri" w:eastAsiaTheme="minorHAnsi" w:hAnsi="Calibri" w:cs="Calibri"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4C9D68BB"/>
    <w:multiLevelType w:val="multilevel"/>
    <w:tmpl w:val="5622F202"/>
    <w:lvl w:ilvl="0">
      <w:start w:val="1"/>
      <w:numFmt w:val="bullet"/>
      <w:lvlText w:val="-"/>
      <w:lvlJc w:val="left"/>
      <w:pPr>
        <w:ind w:left="40" w:hanging="360"/>
      </w:pPr>
      <w:rPr>
        <w:rFonts w:ascii="EB Garamond" w:eastAsia="EB Garamond" w:hAnsi="EB Garamond" w:cs="EB Garamond"/>
      </w:rPr>
    </w:lvl>
    <w:lvl w:ilvl="1">
      <w:start w:val="1"/>
      <w:numFmt w:val="bullet"/>
      <w:lvlText w:val="o"/>
      <w:lvlJc w:val="left"/>
      <w:pPr>
        <w:ind w:left="760" w:hanging="360"/>
      </w:pPr>
      <w:rPr>
        <w:rFonts w:ascii="Courier New" w:eastAsia="Courier New" w:hAnsi="Courier New" w:cs="Courier New"/>
      </w:rPr>
    </w:lvl>
    <w:lvl w:ilvl="2">
      <w:start w:val="1"/>
      <w:numFmt w:val="bullet"/>
      <w:lvlText w:val="▪"/>
      <w:lvlJc w:val="left"/>
      <w:pPr>
        <w:ind w:left="1480" w:hanging="360"/>
      </w:pPr>
      <w:rPr>
        <w:rFonts w:ascii="Noto Sans Symbols" w:eastAsia="Noto Sans Symbols" w:hAnsi="Noto Sans Symbols" w:cs="Noto Sans Symbols"/>
      </w:rPr>
    </w:lvl>
    <w:lvl w:ilvl="3">
      <w:start w:val="1"/>
      <w:numFmt w:val="bullet"/>
      <w:lvlText w:val="●"/>
      <w:lvlJc w:val="left"/>
      <w:pPr>
        <w:ind w:left="2200" w:hanging="360"/>
      </w:pPr>
      <w:rPr>
        <w:rFonts w:ascii="Noto Sans Symbols" w:eastAsia="Noto Sans Symbols" w:hAnsi="Noto Sans Symbols" w:cs="Noto Sans Symbols"/>
      </w:rPr>
    </w:lvl>
    <w:lvl w:ilvl="4">
      <w:start w:val="1"/>
      <w:numFmt w:val="bullet"/>
      <w:lvlText w:val="o"/>
      <w:lvlJc w:val="left"/>
      <w:pPr>
        <w:ind w:left="2920" w:hanging="360"/>
      </w:pPr>
      <w:rPr>
        <w:rFonts w:ascii="Courier New" w:eastAsia="Courier New" w:hAnsi="Courier New" w:cs="Courier New"/>
      </w:rPr>
    </w:lvl>
    <w:lvl w:ilvl="5">
      <w:start w:val="1"/>
      <w:numFmt w:val="bullet"/>
      <w:lvlText w:val="▪"/>
      <w:lvlJc w:val="left"/>
      <w:pPr>
        <w:ind w:left="3640" w:hanging="360"/>
      </w:pPr>
      <w:rPr>
        <w:rFonts w:ascii="Noto Sans Symbols" w:eastAsia="Noto Sans Symbols" w:hAnsi="Noto Sans Symbols" w:cs="Noto Sans Symbols"/>
      </w:rPr>
    </w:lvl>
    <w:lvl w:ilvl="6">
      <w:start w:val="1"/>
      <w:numFmt w:val="bullet"/>
      <w:lvlText w:val="●"/>
      <w:lvlJc w:val="left"/>
      <w:pPr>
        <w:ind w:left="4360" w:hanging="360"/>
      </w:pPr>
      <w:rPr>
        <w:rFonts w:ascii="Noto Sans Symbols" w:eastAsia="Noto Sans Symbols" w:hAnsi="Noto Sans Symbols" w:cs="Noto Sans Symbols"/>
      </w:rPr>
    </w:lvl>
    <w:lvl w:ilvl="7">
      <w:start w:val="1"/>
      <w:numFmt w:val="bullet"/>
      <w:lvlText w:val="o"/>
      <w:lvlJc w:val="left"/>
      <w:pPr>
        <w:ind w:left="5080" w:hanging="360"/>
      </w:pPr>
      <w:rPr>
        <w:rFonts w:ascii="Courier New" w:eastAsia="Courier New" w:hAnsi="Courier New" w:cs="Courier New"/>
      </w:rPr>
    </w:lvl>
    <w:lvl w:ilvl="8">
      <w:start w:val="1"/>
      <w:numFmt w:val="bullet"/>
      <w:lvlText w:val="▪"/>
      <w:lvlJc w:val="left"/>
      <w:pPr>
        <w:ind w:left="5800" w:hanging="360"/>
      </w:pPr>
      <w:rPr>
        <w:rFonts w:ascii="Noto Sans Symbols" w:eastAsia="Noto Sans Symbols" w:hAnsi="Noto Sans Symbols" w:cs="Noto Sans Symbols"/>
      </w:rPr>
    </w:lvl>
  </w:abstractNum>
  <w:abstractNum w:abstractNumId="19" w15:restartNumberingAfterBreak="0">
    <w:nsid w:val="50FA5E87"/>
    <w:multiLevelType w:val="multilevel"/>
    <w:tmpl w:val="739ED7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2ED15F3"/>
    <w:multiLevelType w:val="multilevel"/>
    <w:tmpl w:val="91329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4014B2"/>
    <w:multiLevelType w:val="multilevel"/>
    <w:tmpl w:val="7068BD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D40B5A"/>
    <w:multiLevelType w:val="multilevel"/>
    <w:tmpl w:val="468CDF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831164F"/>
    <w:multiLevelType w:val="multilevel"/>
    <w:tmpl w:val="28A8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7D7BAD"/>
    <w:multiLevelType w:val="hybridMultilevel"/>
    <w:tmpl w:val="CB2849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B384265"/>
    <w:multiLevelType w:val="multilevel"/>
    <w:tmpl w:val="AB86B1B4"/>
    <w:lvl w:ilvl="0">
      <w:start w:val="1"/>
      <w:numFmt w:val="bullet"/>
      <w:pStyle w:val="Listepuces"/>
      <w:lvlText w:val="-"/>
      <w:lvlJc w:val="left"/>
      <w:pPr>
        <w:tabs>
          <w:tab w:val="num" w:pos="360"/>
        </w:tabs>
        <w:ind w:left="360" w:hanging="360"/>
      </w:pPr>
      <w:rPr>
        <w:rFonts w:ascii="Times New Roman" w:hAnsi="Times New Roman" w:cs="Times New Roman" w:hint="default"/>
        <w:color w:val="auto"/>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5E7A43EA"/>
    <w:multiLevelType w:val="multilevel"/>
    <w:tmpl w:val="62D857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8C3286"/>
    <w:multiLevelType w:val="multilevel"/>
    <w:tmpl w:val="079A1D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31E4B00"/>
    <w:multiLevelType w:val="multilevel"/>
    <w:tmpl w:val="FDD0CC2C"/>
    <w:lvl w:ilvl="0">
      <w:start w:val="1"/>
      <w:numFmt w:val="upperLetter"/>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9" w15:restartNumberingAfterBreak="0">
    <w:nsid w:val="637C58F1"/>
    <w:multiLevelType w:val="multilevel"/>
    <w:tmpl w:val="D0F83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334792"/>
    <w:multiLevelType w:val="multilevel"/>
    <w:tmpl w:val="CDF27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B06DA3"/>
    <w:multiLevelType w:val="multilevel"/>
    <w:tmpl w:val="9C4480E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53728C"/>
    <w:multiLevelType w:val="multilevel"/>
    <w:tmpl w:val="6E845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E65045"/>
    <w:multiLevelType w:val="multilevel"/>
    <w:tmpl w:val="7C6CB964"/>
    <w:lvl w:ilvl="0">
      <w:start w:val="1"/>
      <w:numFmt w:val="bullet"/>
      <w:pStyle w:val="Listepuces2"/>
      <w:lvlText w:val=""/>
      <w:lvlJc w:val="left"/>
      <w:pPr>
        <w:tabs>
          <w:tab w:val="num" w:pos="502"/>
        </w:tabs>
        <w:ind w:left="502" w:hanging="360"/>
      </w:pPr>
      <w:rPr>
        <w:rFonts w:ascii="Symbol" w:hAnsi="Symbol" w:hint="default"/>
      </w:rPr>
    </w:lvl>
    <w:lvl w:ilvl="1">
      <w:numFmt w:val="bullet"/>
      <w:lvlText w:val="ꎐʇꎐʇ)臠ꗞʇ臠ꗞʇ嗄儝翻/翻"/>
      <w:lvlJc w:val="left"/>
    </w:lvl>
    <w:lvl w:ilvl="2">
      <w:numFmt w:val="bullet"/>
      <w:lvlText w:val="ꎐʇꎐʇ)臠ꗞʇ臠ꗞʇ嗄儝翻/翻"/>
      <w:lvlJc w:val="left"/>
    </w:lvl>
    <w:lvl w:ilvl="3">
      <w:numFmt w:val="bullet"/>
      <w:lvlText w:val="ꎐʇꎐʇ)臠ꗞʇ臠ꗞʇ嗄儝翻/翻"/>
      <w:lvlJc w:val="left"/>
    </w:lvl>
    <w:lvl w:ilvl="4">
      <w:numFmt w:val="bullet"/>
      <w:lvlText w:val="ꎐʇꎐʇ)臠ꗞʇ臠ꗞʇ嗄儝翻/翻"/>
      <w:lvlJc w:val="left"/>
    </w:lvl>
    <w:lvl w:ilvl="5">
      <w:numFmt w:val="bullet"/>
      <w:lvlText w:val="ꎐʇꎐʇ)臠ꗞʇ臠ꗞʇ嗄儝翻/翻"/>
      <w:lvlJc w:val="left"/>
    </w:lvl>
    <w:lvl w:ilvl="6">
      <w:numFmt w:val="bullet"/>
      <w:lvlText w:val="ꎐʇꎐʇ)臠ꗞʇ臠ꗞʇ嗄儝翻/翻"/>
      <w:lvlJc w:val="left"/>
    </w:lvl>
    <w:lvl w:ilvl="7">
      <w:numFmt w:val="bullet"/>
      <w:lvlText w:val="ꎐʇꎐʇ)臠ꗞʇ臠ꗞʇ嗄儝翻/翻"/>
      <w:lvlJc w:val="left"/>
    </w:lvl>
    <w:lvl w:ilvl="8">
      <w:numFmt w:val="bullet"/>
      <w:lvlText w:val="ꎐʇꎐʇ)臠ꗞʇ臠ꗞʇ嗄儝翻/翻"/>
      <w:lvlJc w:val="left"/>
    </w:lvl>
  </w:abstractNum>
  <w:abstractNum w:abstractNumId="34" w15:restartNumberingAfterBreak="0">
    <w:nsid w:val="6E38322E"/>
    <w:multiLevelType w:val="multilevel"/>
    <w:tmpl w:val="B6963214"/>
    <w:lvl w:ilvl="0">
      <w:start w:val="1"/>
      <w:numFmt w:val="bullet"/>
      <w:lvlText w:val=""/>
      <w:lvlJc w:val="left"/>
      <w:pPr>
        <w:tabs>
          <w:tab w:val="num" w:pos="720"/>
        </w:tabs>
        <w:ind w:left="720" w:hanging="360"/>
      </w:pPr>
      <w:rPr>
        <w:rFonts w:ascii="Wingdings" w:hAnsi="Wingdings" w:hint="default"/>
        <w:color w:val="auto"/>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07A03"/>
    <w:multiLevelType w:val="multilevel"/>
    <w:tmpl w:val="1EA8846C"/>
    <w:lvl w:ilvl="0">
      <w:start w:val="1"/>
      <w:numFmt w:val="decimal"/>
      <w:lvlText w:val="%1-"/>
      <w:lvlJc w:val="left"/>
      <w:pPr>
        <w:ind w:left="-320" w:hanging="360"/>
      </w:pPr>
      <w:rPr>
        <w:rFonts w:eastAsia="Calibri" w:hint="default"/>
        <w:color w:val="auto"/>
      </w:rPr>
    </w:lvl>
    <w:lvl w:ilvl="1">
      <w:start w:val="1"/>
      <w:numFmt w:val="lowerLetter"/>
      <w:lvlText w:val="%2."/>
      <w:lvlJc w:val="left"/>
      <w:pPr>
        <w:ind w:left="400" w:hanging="360"/>
      </w:pPr>
    </w:lvl>
    <w:lvl w:ilvl="2">
      <w:start w:val="1"/>
      <w:numFmt w:val="lowerRoman"/>
      <w:lvlText w:val="%3."/>
      <w:lvlJc w:val="right"/>
      <w:pPr>
        <w:ind w:left="1120" w:hanging="180"/>
      </w:pPr>
    </w:lvl>
    <w:lvl w:ilvl="3">
      <w:start w:val="1"/>
      <w:numFmt w:val="decimal"/>
      <w:lvlText w:val="%4."/>
      <w:lvlJc w:val="left"/>
      <w:pPr>
        <w:ind w:left="1840" w:hanging="360"/>
      </w:pPr>
    </w:lvl>
    <w:lvl w:ilvl="4">
      <w:start w:val="1"/>
      <w:numFmt w:val="lowerLetter"/>
      <w:lvlText w:val="%5."/>
      <w:lvlJc w:val="left"/>
      <w:pPr>
        <w:ind w:left="2560" w:hanging="360"/>
      </w:pPr>
    </w:lvl>
    <w:lvl w:ilvl="5">
      <w:start w:val="1"/>
      <w:numFmt w:val="lowerRoman"/>
      <w:lvlText w:val="%6."/>
      <w:lvlJc w:val="right"/>
      <w:pPr>
        <w:ind w:left="3280" w:hanging="180"/>
      </w:pPr>
    </w:lvl>
    <w:lvl w:ilvl="6">
      <w:start w:val="1"/>
      <w:numFmt w:val="decimal"/>
      <w:lvlText w:val="%7."/>
      <w:lvlJc w:val="left"/>
      <w:pPr>
        <w:ind w:left="4000" w:hanging="360"/>
      </w:pPr>
    </w:lvl>
    <w:lvl w:ilvl="7">
      <w:start w:val="1"/>
      <w:numFmt w:val="lowerLetter"/>
      <w:lvlText w:val="%8."/>
      <w:lvlJc w:val="left"/>
      <w:pPr>
        <w:ind w:left="4720" w:hanging="360"/>
      </w:pPr>
    </w:lvl>
    <w:lvl w:ilvl="8">
      <w:start w:val="1"/>
      <w:numFmt w:val="lowerRoman"/>
      <w:lvlText w:val="%9."/>
      <w:lvlJc w:val="right"/>
      <w:pPr>
        <w:ind w:left="5440" w:hanging="180"/>
      </w:pPr>
    </w:lvl>
  </w:abstractNum>
  <w:abstractNum w:abstractNumId="36" w15:restartNumberingAfterBreak="0">
    <w:nsid w:val="75D41E2E"/>
    <w:multiLevelType w:val="hybridMultilevel"/>
    <w:tmpl w:val="205E1334"/>
    <w:lvl w:ilvl="0" w:tplc="15F264DA">
      <w:numFmt w:val="bullet"/>
      <w:lvlText w:val="•"/>
      <w:lvlJc w:val="left"/>
      <w:pPr>
        <w:ind w:left="720" w:hanging="360"/>
      </w:pPr>
      <w:rPr>
        <w:rFonts w:ascii="Calibri" w:eastAsia="Calibr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867C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9101D6"/>
    <w:multiLevelType w:val="multilevel"/>
    <w:tmpl w:val="3738C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18"/>
  </w:num>
  <w:num w:numId="4">
    <w:abstractNumId w:val="11"/>
  </w:num>
  <w:num w:numId="5">
    <w:abstractNumId w:val="35"/>
  </w:num>
  <w:num w:numId="6">
    <w:abstractNumId w:val="21"/>
  </w:num>
  <w:num w:numId="7">
    <w:abstractNumId w:val="13"/>
  </w:num>
  <w:num w:numId="8">
    <w:abstractNumId w:val="26"/>
  </w:num>
  <w:num w:numId="9">
    <w:abstractNumId w:val="28"/>
  </w:num>
  <w:num w:numId="10">
    <w:abstractNumId w:val="3"/>
  </w:num>
  <w:num w:numId="11">
    <w:abstractNumId w:val="15"/>
  </w:num>
  <w:num w:numId="12">
    <w:abstractNumId w:val="17"/>
  </w:num>
  <w:num w:numId="13">
    <w:abstractNumId w:val="19"/>
  </w:num>
  <w:num w:numId="14">
    <w:abstractNumId w:val="34"/>
  </w:num>
  <w:num w:numId="15">
    <w:abstractNumId w:val="27"/>
  </w:num>
  <w:num w:numId="16">
    <w:abstractNumId w:val="25"/>
  </w:num>
  <w:num w:numId="17">
    <w:abstractNumId w:val="25"/>
  </w:num>
  <w:num w:numId="18">
    <w:abstractNumId w:val="25"/>
  </w:num>
  <w:num w:numId="19">
    <w:abstractNumId w:val="31"/>
  </w:num>
  <w:num w:numId="20">
    <w:abstractNumId w:val="25"/>
  </w:num>
  <w:num w:numId="21">
    <w:abstractNumId w:val="9"/>
  </w:num>
  <w:num w:numId="22">
    <w:abstractNumId w:val="8"/>
  </w:num>
  <w:num w:numId="23">
    <w:abstractNumId w:val="37"/>
  </w:num>
  <w:num w:numId="24">
    <w:abstractNumId w:val="6"/>
  </w:num>
  <w:num w:numId="25">
    <w:abstractNumId w:val="38"/>
  </w:num>
  <w:num w:numId="26">
    <w:abstractNumId w:val="22"/>
  </w:num>
  <w:num w:numId="27">
    <w:abstractNumId w:val="29"/>
  </w:num>
  <w:num w:numId="28">
    <w:abstractNumId w:val="20"/>
  </w:num>
  <w:num w:numId="29">
    <w:abstractNumId w:val="5"/>
  </w:num>
  <w:num w:numId="30">
    <w:abstractNumId w:val="12"/>
  </w:num>
  <w:num w:numId="31">
    <w:abstractNumId w:val="30"/>
  </w:num>
  <w:num w:numId="32">
    <w:abstractNumId w:val="32"/>
  </w:num>
  <w:num w:numId="33">
    <w:abstractNumId w:val="2"/>
  </w:num>
  <w:num w:numId="34">
    <w:abstractNumId w:val="7"/>
  </w:num>
  <w:num w:numId="35">
    <w:abstractNumId w:val="16"/>
  </w:num>
  <w:num w:numId="36">
    <w:abstractNumId w:val="14"/>
  </w:num>
  <w:num w:numId="37">
    <w:abstractNumId w:val="5"/>
  </w:num>
  <w:num w:numId="38">
    <w:abstractNumId w:val="36"/>
  </w:num>
  <w:num w:numId="39">
    <w:abstractNumId w:val="24"/>
  </w:num>
  <w:num w:numId="40">
    <w:abstractNumId w:val="10"/>
  </w:num>
  <w:num w:numId="41">
    <w:abstractNumId w:val="1"/>
  </w:num>
  <w:num w:numId="42">
    <w:abstractNumId w:val="0"/>
  </w:num>
  <w:num w:numId="43">
    <w:abstractNumId w:val="4"/>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B89"/>
    <w:rsid w:val="00037039"/>
    <w:rsid w:val="00037B81"/>
    <w:rsid w:val="00082473"/>
    <w:rsid w:val="000A3865"/>
    <w:rsid w:val="000B1FB5"/>
    <w:rsid w:val="0024495E"/>
    <w:rsid w:val="002D473C"/>
    <w:rsid w:val="002F18FF"/>
    <w:rsid w:val="00317943"/>
    <w:rsid w:val="003438F8"/>
    <w:rsid w:val="003E6BD9"/>
    <w:rsid w:val="003E71A3"/>
    <w:rsid w:val="0045747C"/>
    <w:rsid w:val="004674F5"/>
    <w:rsid w:val="004D268E"/>
    <w:rsid w:val="00552758"/>
    <w:rsid w:val="00556074"/>
    <w:rsid w:val="00556318"/>
    <w:rsid w:val="006351E0"/>
    <w:rsid w:val="006A2CE3"/>
    <w:rsid w:val="006C5E3D"/>
    <w:rsid w:val="00734720"/>
    <w:rsid w:val="00752AB0"/>
    <w:rsid w:val="007770E1"/>
    <w:rsid w:val="00793E32"/>
    <w:rsid w:val="0079614A"/>
    <w:rsid w:val="0081673C"/>
    <w:rsid w:val="0083349E"/>
    <w:rsid w:val="008E1CEC"/>
    <w:rsid w:val="0095307A"/>
    <w:rsid w:val="00953554"/>
    <w:rsid w:val="00963570"/>
    <w:rsid w:val="00990140"/>
    <w:rsid w:val="009A6B89"/>
    <w:rsid w:val="009B0068"/>
    <w:rsid w:val="00A93777"/>
    <w:rsid w:val="00B43541"/>
    <w:rsid w:val="00B61DF1"/>
    <w:rsid w:val="00BB182E"/>
    <w:rsid w:val="00C21400"/>
    <w:rsid w:val="00CA2E93"/>
    <w:rsid w:val="00CA7767"/>
    <w:rsid w:val="00CC48BB"/>
    <w:rsid w:val="00CC57D2"/>
    <w:rsid w:val="00CD4816"/>
    <w:rsid w:val="00CF3CA7"/>
    <w:rsid w:val="00D674E2"/>
    <w:rsid w:val="00D97EA7"/>
    <w:rsid w:val="00DA0851"/>
    <w:rsid w:val="00E15985"/>
    <w:rsid w:val="00E54C4D"/>
    <w:rsid w:val="00E55023"/>
    <w:rsid w:val="00EA2057"/>
    <w:rsid w:val="00F15580"/>
    <w:rsid w:val="00F35271"/>
    <w:rsid w:val="00F43431"/>
    <w:rsid w:val="00F90ECF"/>
    <w:rsid w:val="00FF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CD344"/>
  <w15:docId w15:val="{E4597D08-C72F-49B7-8E5C-4A1E8DC4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057"/>
    <w:pPr>
      <w:spacing w:after="120" w:line="240" w:lineRule="auto"/>
      <w:contextualSpacing/>
      <w:jc w:val="both"/>
    </w:pPr>
    <w:rPr>
      <w:rFonts w:eastAsia="Times New Roman" w:cstheme="minorHAnsi"/>
      <w:lang w:val="en-GB" w:eastAsia="fr-FR"/>
    </w:rPr>
  </w:style>
  <w:style w:type="paragraph" w:styleId="Titre1">
    <w:name w:val="heading 1"/>
    <w:basedOn w:val="Paragraphedeliste"/>
    <w:next w:val="Normal"/>
    <w:link w:val="Titre1Car"/>
    <w:uiPriority w:val="9"/>
    <w:qFormat/>
    <w:pPr>
      <w:numPr>
        <w:numId w:val="21"/>
      </w:numPr>
      <w:outlineLvl w:val="0"/>
    </w:pPr>
    <w:rPr>
      <w:rFonts w:asciiTheme="minorHAnsi" w:eastAsia="Calibri" w:hAnsiTheme="minorHAnsi" w:cstheme="minorHAnsi"/>
      <w:b/>
      <w:color w:val="2F5496" w:themeColor="accent5" w:themeShade="BF"/>
      <w:sz w:val="24"/>
    </w:rPr>
  </w:style>
  <w:style w:type="paragraph" w:styleId="Titre2">
    <w:name w:val="heading 2"/>
    <w:basedOn w:val="Titre1"/>
    <w:next w:val="Normal"/>
    <w:link w:val="Titre2Car"/>
    <w:uiPriority w:val="9"/>
    <w:unhideWhenUsed/>
    <w:qFormat/>
    <w:pPr>
      <w:numPr>
        <w:ilvl w:val="1"/>
      </w:numPr>
      <w:spacing w:before="120"/>
      <w:ind w:left="788" w:hanging="431"/>
      <w:outlineLvl w:val="1"/>
    </w:pPr>
    <w:rPr>
      <w:i/>
      <w:sz w:val="22"/>
    </w:rPr>
  </w:style>
  <w:style w:type="paragraph" w:styleId="Titre3">
    <w:name w:val="heading 3"/>
    <w:basedOn w:val="Titre2"/>
    <w:next w:val="Normal"/>
    <w:link w:val="Titre3Car"/>
    <w:uiPriority w:val="9"/>
    <w:unhideWhenUsed/>
    <w:qFormat/>
    <w:pPr>
      <w:numPr>
        <w:ilvl w:val="2"/>
      </w:numPr>
      <w:ind w:left="1225" w:hanging="505"/>
      <w:outlineLvl w:val="2"/>
    </w:pPr>
    <w:rPr>
      <w:b w:val="0"/>
      <w:i w:val="0"/>
      <w:u w:val="single"/>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Heading3Char">
    <w:name w:val="Heading 3 Char"/>
    <w:basedOn w:val="Policepardfaut"/>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Emphaseple">
    <w:name w:val="Subtle Emphasis"/>
    <w:basedOn w:val="Policepardfaut"/>
    <w:uiPriority w:val="19"/>
    <w:qFormat/>
    <w:rPr>
      <w:i/>
      <w:iCs/>
      <w:color w:val="404040" w:themeColor="text1" w:themeTint="BF"/>
    </w:rPr>
  </w:style>
  <w:style w:type="character" w:styleId="Accentuation">
    <w:name w:val="Emphasis"/>
    <w:uiPriority w:val="20"/>
    <w:qFormat/>
    <w:rsid w:val="00EA2057"/>
    <w:rPr>
      <w:b/>
      <w:color w:val="2F5496" w:themeColor="accent5" w:themeShade="BF"/>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44546A" w:themeColor="text2"/>
      <w:sz w:val="18"/>
      <w:szCs w:val="18"/>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Listepuces">
    <w:name w:val="List Bullet"/>
    <w:basedOn w:val="Normal"/>
    <w:pPr>
      <w:numPr>
        <w:numId w:val="1"/>
      </w:numPr>
    </w:pPr>
    <w:rPr>
      <w:sz w:val="20"/>
    </w:rPr>
  </w:style>
  <w:style w:type="paragraph" w:styleId="Listepuces2">
    <w:name w:val="List Bullet 2"/>
    <w:basedOn w:val="Normal"/>
    <w:uiPriority w:val="99"/>
    <w:unhideWhenUsed/>
    <w:pPr>
      <w:numPr>
        <w:numId w:val="2"/>
      </w:numPr>
    </w:pPr>
  </w:style>
  <w:style w:type="paragraph" w:styleId="Paragraphedeliste">
    <w:name w:val="List Paragraph"/>
    <w:basedOn w:val="Normal"/>
    <w:link w:val="ParagraphedelisteCar"/>
    <w:uiPriority w:val="34"/>
    <w:qFormat/>
    <w:pPr>
      <w:spacing w:line="259" w:lineRule="auto"/>
      <w:ind w:left="720"/>
    </w:pPr>
    <w:rPr>
      <w:rFonts w:ascii="Arial" w:eastAsia="Arial" w:hAnsi="Arial" w:cs="Arial"/>
      <w:sz w:val="20"/>
    </w:rPr>
  </w:style>
  <w:style w:type="paragraph" w:styleId="Sansinterligne">
    <w:name w:val="No Spacing"/>
    <w:basedOn w:val="Paragraphedeliste"/>
    <w:uiPriority w:val="1"/>
    <w:qFormat/>
    <w:pPr>
      <w:numPr>
        <w:numId w:val="29"/>
      </w:numPr>
    </w:pPr>
    <w:rPr>
      <w:rFonts w:asciiTheme="minorHAnsi" w:eastAsia="Calibri" w:hAnsiTheme="minorHAnsi" w:cstheme="minorHAnsi"/>
      <w:sz w:val="22"/>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0"/>
      <w:lang w:eastAsia="fr-FR"/>
    </w:rPr>
  </w:style>
  <w:style w:type="paragraph" w:customStyle="1" w:styleId="a">
    <w:name w:val="a"/>
    <w:basedOn w:val="Normal"/>
    <w:rPr>
      <w:rFonts w:ascii="Arial" w:hAnsi="Arial"/>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rPr>
  </w:style>
  <w:style w:type="character" w:customStyle="1" w:styleId="CommentaireCar">
    <w:name w:val="Commentaire Car"/>
    <w:basedOn w:val="Policepardfaut"/>
    <w:link w:val="Commentaire"/>
    <w:uiPriority w:val="99"/>
    <w:semiHidden/>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lang w:eastAsia="fr-FR"/>
    </w:rPr>
  </w:style>
  <w:style w:type="paragraph" w:styleId="Notedefin">
    <w:name w:val="endnote text"/>
    <w:basedOn w:val="Normal"/>
    <w:link w:val="NotedefinCar"/>
    <w:uiPriority w:val="99"/>
    <w:semiHidden/>
    <w:unhideWhenUsed/>
    <w:rPr>
      <w:sz w:val="20"/>
    </w:rPr>
  </w:style>
  <w:style w:type="character" w:customStyle="1" w:styleId="NotedefinCar">
    <w:name w:val="Note de fin Car"/>
    <w:basedOn w:val="Policepardfaut"/>
    <w:link w:val="Notedefin"/>
    <w:uiPriority w:val="99"/>
    <w:semiHidden/>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Pr>
      <w:vertAlign w:val="superscript"/>
    </w:rPr>
  </w:style>
  <w:style w:type="character" w:customStyle="1" w:styleId="ParagraphedelisteCar">
    <w:name w:val="Paragraphe de liste Car"/>
    <w:link w:val="Paragraphedeliste"/>
    <w:uiPriority w:val="34"/>
    <w:qFormat/>
    <w:rPr>
      <w:rFonts w:ascii="Arial" w:eastAsia="Arial" w:hAnsi="Arial" w:cs="Arial"/>
      <w:sz w:val="20"/>
      <w:szCs w:val="20"/>
      <w:lang w:eastAsia="fr-FR"/>
    </w:rPr>
  </w:style>
  <w:style w:type="character" w:styleId="Appelnotedebasdep">
    <w:name w:val="footnote reference"/>
    <w:link w:val="BVIfnrCarCarCarCarChar"/>
    <w:uiPriority w:val="99"/>
    <w:qFormat/>
  </w:style>
  <w:style w:type="paragraph" w:styleId="Notedebasdepage">
    <w:name w:val="footnote text"/>
    <w:basedOn w:val="Normal"/>
    <w:link w:val="NotedebasdepageCar"/>
    <w:uiPriority w:val="99"/>
    <w:qFormat/>
    <w:rPr>
      <w:sz w:val="20"/>
    </w:rPr>
  </w:style>
  <w:style w:type="character" w:customStyle="1" w:styleId="NotedebasdepageCar">
    <w:name w:val="Note de bas de page Car"/>
    <w:basedOn w:val="Policepardfaut"/>
    <w:link w:val="Notedebasdepage"/>
    <w:uiPriority w:val="99"/>
    <w:rPr>
      <w:rFonts w:ascii="Times New Roman" w:eastAsia="Times New Roman" w:hAnsi="Times New Roman" w:cs="Times New Roman"/>
      <w:sz w:val="20"/>
      <w:szCs w:val="20"/>
      <w:lang w:eastAsia="fr-FR"/>
    </w:rPr>
  </w:style>
  <w:style w:type="paragraph" w:customStyle="1" w:styleId="BVIfnrCarCarCarCarChar">
    <w:name w:val="BVI fnr Car Car Car Car Char"/>
    <w:basedOn w:val="Normal"/>
    <w:link w:val="Appelnotedebasdep"/>
    <w:uiPriority w:val="99"/>
    <w:qFormat/>
    <w:pPr>
      <w:spacing w:after="160" w:line="240" w:lineRule="exact"/>
    </w:pPr>
    <w:rPr>
      <w:rFonts w:eastAsiaTheme="minorHAnsi" w:cstheme="minorBidi"/>
      <w:lang w:eastAsia="en-US"/>
    </w:rPr>
  </w:style>
  <w:style w:type="character" w:customStyle="1" w:styleId="Titre1Car">
    <w:name w:val="Titre 1 Car"/>
    <w:basedOn w:val="Policepardfaut"/>
    <w:link w:val="Titre1"/>
    <w:uiPriority w:val="9"/>
    <w:rPr>
      <w:rFonts w:eastAsia="Calibri" w:cstheme="minorHAnsi"/>
      <w:b/>
      <w:color w:val="2F5496" w:themeColor="accent5" w:themeShade="BF"/>
      <w:sz w:val="24"/>
      <w:lang w:val="en-GB" w:eastAsia="fr-FR"/>
    </w:rPr>
  </w:style>
  <w:style w:type="character" w:customStyle="1" w:styleId="Titre2Car">
    <w:name w:val="Titre 2 Car"/>
    <w:basedOn w:val="Policepardfaut"/>
    <w:link w:val="Titre2"/>
    <w:uiPriority w:val="9"/>
    <w:rPr>
      <w:rFonts w:eastAsia="Calibri" w:cstheme="minorHAnsi"/>
      <w:b/>
      <w:i/>
      <w:color w:val="2F5496" w:themeColor="accent5" w:themeShade="BF"/>
      <w:lang w:val="en-GB" w:eastAsia="fr-FR"/>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3Car">
    <w:name w:val="Titre 3 Car"/>
    <w:basedOn w:val="Policepardfaut"/>
    <w:link w:val="Titre3"/>
    <w:uiPriority w:val="9"/>
    <w:rPr>
      <w:rFonts w:eastAsia="Calibri" w:cstheme="minorHAnsi"/>
      <w:color w:val="2F5496" w:themeColor="accent5" w:themeShade="BF"/>
      <w:u w:val="single"/>
      <w:lang w:val="en-GB" w:eastAsia="fr-FR"/>
    </w:rPr>
  </w:style>
  <w:style w:type="paragraph" w:styleId="NormalWeb">
    <w:name w:val="Normal (Web)"/>
    <w:basedOn w:val="Normal"/>
    <w:uiPriority w:val="99"/>
    <w:semiHidden/>
    <w:unhideWhenUsed/>
    <w:pPr>
      <w:spacing w:before="100" w:beforeAutospacing="1" w:after="100" w:afterAutospacing="1"/>
      <w:jc w:val="left"/>
    </w:pPr>
    <w:rPr>
      <w:rFonts w:ascii="Times New Roman" w:hAnsi="Times New Roman" w:cs="Times New Roman"/>
      <w:sz w:val="24"/>
      <w:szCs w:val="24"/>
      <w:lang w:val="fr-FR"/>
    </w:rPr>
  </w:style>
  <w:style w:type="character" w:styleId="Lienhypertexte">
    <w:name w:val="Hyperlink"/>
    <w:basedOn w:val="Policepardfaut"/>
    <w:uiPriority w:val="99"/>
    <w:unhideWhenUsed/>
    <w:rPr>
      <w:color w:val="0563C1" w:themeColor="hyperlink"/>
      <w:u w:val="single"/>
    </w:rPr>
  </w:style>
  <w:style w:type="paragraph" w:customStyle="1" w:styleId="Lgende1">
    <w:name w:val="Légende1"/>
    <w:basedOn w:val="Normal"/>
    <w:next w:val="Normal"/>
    <w:uiPriority w:val="35"/>
    <w:unhideWhenUsed/>
    <w:qFormat/>
    <w:pPr>
      <w:spacing w:before="120" w:after="60"/>
    </w:pPr>
    <w:rPr>
      <w:rFonts w:ascii="Calibri" w:hAnsi="Calibri" w:cs="Times New Roman"/>
      <w:i/>
      <w:iCs/>
      <w:color w:val="44546A"/>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4737">
      <w:bodyDiv w:val="1"/>
      <w:marLeft w:val="0"/>
      <w:marRight w:val="0"/>
      <w:marTop w:val="0"/>
      <w:marBottom w:val="0"/>
      <w:divBdr>
        <w:top w:val="none" w:sz="0" w:space="0" w:color="auto"/>
        <w:left w:val="none" w:sz="0" w:space="0" w:color="auto"/>
        <w:bottom w:val="none" w:sz="0" w:space="0" w:color="auto"/>
        <w:right w:val="none" w:sz="0" w:space="0" w:color="auto"/>
      </w:divBdr>
    </w:div>
    <w:div w:id="41251310">
      <w:bodyDiv w:val="1"/>
      <w:marLeft w:val="0"/>
      <w:marRight w:val="0"/>
      <w:marTop w:val="0"/>
      <w:marBottom w:val="0"/>
      <w:divBdr>
        <w:top w:val="none" w:sz="0" w:space="0" w:color="auto"/>
        <w:left w:val="none" w:sz="0" w:space="0" w:color="auto"/>
        <w:bottom w:val="none" w:sz="0" w:space="0" w:color="auto"/>
        <w:right w:val="none" w:sz="0" w:space="0" w:color="auto"/>
      </w:divBdr>
    </w:div>
    <w:div w:id="98724840">
      <w:bodyDiv w:val="1"/>
      <w:marLeft w:val="0"/>
      <w:marRight w:val="0"/>
      <w:marTop w:val="0"/>
      <w:marBottom w:val="0"/>
      <w:divBdr>
        <w:top w:val="none" w:sz="0" w:space="0" w:color="auto"/>
        <w:left w:val="none" w:sz="0" w:space="0" w:color="auto"/>
        <w:bottom w:val="none" w:sz="0" w:space="0" w:color="auto"/>
        <w:right w:val="none" w:sz="0" w:space="0" w:color="auto"/>
      </w:divBdr>
    </w:div>
    <w:div w:id="183128730">
      <w:bodyDiv w:val="1"/>
      <w:marLeft w:val="0"/>
      <w:marRight w:val="0"/>
      <w:marTop w:val="0"/>
      <w:marBottom w:val="0"/>
      <w:divBdr>
        <w:top w:val="none" w:sz="0" w:space="0" w:color="auto"/>
        <w:left w:val="none" w:sz="0" w:space="0" w:color="auto"/>
        <w:bottom w:val="none" w:sz="0" w:space="0" w:color="auto"/>
        <w:right w:val="none" w:sz="0" w:space="0" w:color="auto"/>
      </w:divBdr>
      <w:divsChild>
        <w:div w:id="1263104855">
          <w:marLeft w:val="0"/>
          <w:marRight w:val="0"/>
          <w:marTop w:val="0"/>
          <w:marBottom w:val="0"/>
          <w:divBdr>
            <w:top w:val="none" w:sz="0" w:space="0" w:color="auto"/>
            <w:left w:val="none" w:sz="0" w:space="0" w:color="auto"/>
            <w:bottom w:val="none" w:sz="0" w:space="0" w:color="auto"/>
            <w:right w:val="none" w:sz="0" w:space="0" w:color="auto"/>
          </w:divBdr>
          <w:divsChild>
            <w:div w:id="301814071">
              <w:marLeft w:val="0"/>
              <w:marRight w:val="0"/>
              <w:marTop w:val="0"/>
              <w:marBottom w:val="0"/>
              <w:divBdr>
                <w:top w:val="none" w:sz="0" w:space="0" w:color="auto"/>
                <w:left w:val="none" w:sz="0" w:space="0" w:color="auto"/>
                <w:bottom w:val="none" w:sz="0" w:space="0" w:color="auto"/>
                <w:right w:val="none" w:sz="0" w:space="0" w:color="auto"/>
              </w:divBdr>
              <w:divsChild>
                <w:div w:id="1707367891">
                  <w:marLeft w:val="0"/>
                  <w:marRight w:val="0"/>
                  <w:marTop w:val="0"/>
                  <w:marBottom w:val="0"/>
                  <w:divBdr>
                    <w:top w:val="none" w:sz="0" w:space="0" w:color="auto"/>
                    <w:left w:val="none" w:sz="0" w:space="0" w:color="auto"/>
                    <w:bottom w:val="none" w:sz="0" w:space="0" w:color="auto"/>
                    <w:right w:val="none" w:sz="0" w:space="0" w:color="auto"/>
                  </w:divBdr>
                  <w:divsChild>
                    <w:div w:id="578179327">
                      <w:marLeft w:val="0"/>
                      <w:marRight w:val="0"/>
                      <w:marTop w:val="0"/>
                      <w:marBottom w:val="0"/>
                      <w:divBdr>
                        <w:top w:val="none" w:sz="0" w:space="0" w:color="auto"/>
                        <w:left w:val="none" w:sz="0" w:space="0" w:color="auto"/>
                        <w:bottom w:val="none" w:sz="0" w:space="0" w:color="auto"/>
                        <w:right w:val="none" w:sz="0" w:space="0" w:color="auto"/>
                      </w:divBdr>
                      <w:divsChild>
                        <w:div w:id="354313884">
                          <w:marLeft w:val="0"/>
                          <w:marRight w:val="0"/>
                          <w:marTop w:val="0"/>
                          <w:marBottom w:val="0"/>
                          <w:divBdr>
                            <w:top w:val="none" w:sz="0" w:space="0" w:color="auto"/>
                            <w:left w:val="none" w:sz="0" w:space="0" w:color="auto"/>
                            <w:bottom w:val="none" w:sz="0" w:space="0" w:color="auto"/>
                            <w:right w:val="none" w:sz="0" w:space="0" w:color="auto"/>
                          </w:divBdr>
                          <w:divsChild>
                            <w:div w:id="1178930020">
                              <w:marLeft w:val="0"/>
                              <w:marRight w:val="0"/>
                              <w:marTop w:val="0"/>
                              <w:marBottom w:val="0"/>
                              <w:divBdr>
                                <w:top w:val="none" w:sz="0" w:space="0" w:color="auto"/>
                                <w:left w:val="none" w:sz="0" w:space="0" w:color="auto"/>
                                <w:bottom w:val="none" w:sz="0" w:space="0" w:color="auto"/>
                                <w:right w:val="none" w:sz="0" w:space="0" w:color="auto"/>
                              </w:divBdr>
                              <w:divsChild>
                                <w:div w:id="10420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000259">
      <w:bodyDiv w:val="1"/>
      <w:marLeft w:val="0"/>
      <w:marRight w:val="0"/>
      <w:marTop w:val="0"/>
      <w:marBottom w:val="0"/>
      <w:divBdr>
        <w:top w:val="none" w:sz="0" w:space="0" w:color="auto"/>
        <w:left w:val="none" w:sz="0" w:space="0" w:color="auto"/>
        <w:bottom w:val="none" w:sz="0" w:space="0" w:color="auto"/>
        <w:right w:val="none" w:sz="0" w:space="0" w:color="auto"/>
      </w:divBdr>
      <w:divsChild>
        <w:div w:id="463281398">
          <w:marLeft w:val="0"/>
          <w:marRight w:val="0"/>
          <w:marTop w:val="0"/>
          <w:marBottom w:val="0"/>
          <w:divBdr>
            <w:top w:val="none" w:sz="0" w:space="0" w:color="auto"/>
            <w:left w:val="none" w:sz="0" w:space="0" w:color="auto"/>
            <w:bottom w:val="none" w:sz="0" w:space="0" w:color="auto"/>
            <w:right w:val="none" w:sz="0" w:space="0" w:color="auto"/>
          </w:divBdr>
          <w:divsChild>
            <w:div w:id="599416459">
              <w:marLeft w:val="0"/>
              <w:marRight w:val="0"/>
              <w:marTop w:val="0"/>
              <w:marBottom w:val="0"/>
              <w:divBdr>
                <w:top w:val="none" w:sz="0" w:space="0" w:color="auto"/>
                <w:left w:val="none" w:sz="0" w:space="0" w:color="auto"/>
                <w:bottom w:val="none" w:sz="0" w:space="0" w:color="auto"/>
                <w:right w:val="none" w:sz="0" w:space="0" w:color="auto"/>
              </w:divBdr>
              <w:divsChild>
                <w:div w:id="1227718529">
                  <w:marLeft w:val="0"/>
                  <w:marRight w:val="0"/>
                  <w:marTop w:val="0"/>
                  <w:marBottom w:val="0"/>
                  <w:divBdr>
                    <w:top w:val="none" w:sz="0" w:space="0" w:color="auto"/>
                    <w:left w:val="none" w:sz="0" w:space="0" w:color="auto"/>
                    <w:bottom w:val="none" w:sz="0" w:space="0" w:color="auto"/>
                    <w:right w:val="none" w:sz="0" w:space="0" w:color="auto"/>
                  </w:divBdr>
                  <w:divsChild>
                    <w:div w:id="173156140">
                      <w:marLeft w:val="0"/>
                      <w:marRight w:val="0"/>
                      <w:marTop w:val="0"/>
                      <w:marBottom w:val="0"/>
                      <w:divBdr>
                        <w:top w:val="none" w:sz="0" w:space="0" w:color="auto"/>
                        <w:left w:val="none" w:sz="0" w:space="0" w:color="auto"/>
                        <w:bottom w:val="none" w:sz="0" w:space="0" w:color="auto"/>
                        <w:right w:val="none" w:sz="0" w:space="0" w:color="auto"/>
                      </w:divBdr>
                      <w:divsChild>
                        <w:div w:id="162739788">
                          <w:marLeft w:val="0"/>
                          <w:marRight w:val="0"/>
                          <w:marTop w:val="0"/>
                          <w:marBottom w:val="0"/>
                          <w:divBdr>
                            <w:top w:val="none" w:sz="0" w:space="0" w:color="auto"/>
                            <w:left w:val="none" w:sz="0" w:space="0" w:color="auto"/>
                            <w:bottom w:val="none" w:sz="0" w:space="0" w:color="auto"/>
                            <w:right w:val="none" w:sz="0" w:space="0" w:color="auto"/>
                          </w:divBdr>
                          <w:divsChild>
                            <w:div w:id="1287740719">
                              <w:marLeft w:val="0"/>
                              <w:marRight w:val="0"/>
                              <w:marTop w:val="0"/>
                              <w:marBottom w:val="0"/>
                              <w:divBdr>
                                <w:top w:val="none" w:sz="0" w:space="0" w:color="auto"/>
                                <w:left w:val="none" w:sz="0" w:space="0" w:color="auto"/>
                                <w:bottom w:val="none" w:sz="0" w:space="0" w:color="auto"/>
                                <w:right w:val="none" w:sz="0" w:space="0" w:color="auto"/>
                              </w:divBdr>
                              <w:divsChild>
                                <w:div w:id="1065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107526">
      <w:bodyDiv w:val="1"/>
      <w:marLeft w:val="0"/>
      <w:marRight w:val="0"/>
      <w:marTop w:val="0"/>
      <w:marBottom w:val="0"/>
      <w:divBdr>
        <w:top w:val="none" w:sz="0" w:space="0" w:color="auto"/>
        <w:left w:val="none" w:sz="0" w:space="0" w:color="auto"/>
        <w:bottom w:val="none" w:sz="0" w:space="0" w:color="auto"/>
        <w:right w:val="none" w:sz="0" w:space="0" w:color="auto"/>
      </w:divBdr>
    </w:div>
    <w:div w:id="563879702">
      <w:bodyDiv w:val="1"/>
      <w:marLeft w:val="0"/>
      <w:marRight w:val="0"/>
      <w:marTop w:val="0"/>
      <w:marBottom w:val="0"/>
      <w:divBdr>
        <w:top w:val="none" w:sz="0" w:space="0" w:color="auto"/>
        <w:left w:val="none" w:sz="0" w:space="0" w:color="auto"/>
        <w:bottom w:val="none" w:sz="0" w:space="0" w:color="auto"/>
        <w:right w:val="none" w:sz="0" w:space="0" w:color="auto"/>
      </w:divBdr>
    </w:div>
    <w:div w:id="569005500">
      <w:bodyDiv w:val="1"/>
      <w:marLeft w:val="0"/>
      <w:marRight w:val="0"/>
      <w:marTop w:val="0"/>
      <w:marBottom w:val="0"/>
      <w:divBdr>
        <w:top w:val="none" w:sz="0" w:space="0" w:color="auto"/>
        <w:left w:val="none" w:sz="0" w:space="0" w:color="auto"/>
        <w:bottom w:val="none" w:sz="0" w:space="0" w:color="auto"/>
        <w:right w:val="none" w:sz="0" w:space="0" w:color="auto"/>
      </w:divBdr>
    </w:div>
    <w:div w:id="592131214">
      <w:bodyDiv w:val="1"/>
      <w:marLeft w:val="0"/>
      <w:marRight w:val="0"/>
      <w:marTop w:val="0"/>
      <w:marBottom w:val="0"/>
      <w:divBdr>
        <w:top w:val="none" w:sz="0" w:space="0" w:color="auto"/>
        <w:left w:val="none" w:sz="0" w:space="0" w:color="auto"/>
        <w:bottom w:val="none" w:sz="0" w:space="0" w:color="auto"/>
        <w:right w:val="none" w:sz="0" w:space="0" w:color="auto"/>
      </w:divBdr>
    </w:div>
    <w:div w:id="637612432">
      <w:bodyDiv w:val="1"/>
      <w:marLeft w:val="0"/>
      <w:marRight w:val="0"/>
      <w:marTop w:val="0"/>
      <w:marBottom w:val="0"/>
      <w:divBdr>
        <w:top w:val="none" w:sz="0" w:space="0" w:color="auto"/>
        <w:left w:val="none" w:sz="0" w:space="0" w:color="auto"/>
        <w:bottom w:val="none" w:sz="0" w:space="0" w:color="auto"/>
        <w:right w:val="none" w:sz="0" w:space="0" w:color="auto"/>
      </w:divBdr>
    </w:div>
    <w:div w:id="792361070">
      <w:bodyDiv w:val="1"/>
      <w:marLeft w:val="0"/>
      <w:marRight w:val="0"/>
      <w:marTop w:val="0"/>
      <w:marBottom w:val="0"/>
      <w:divBdr>
        <w:top w:val="none" w:sz="0" w:space="0" w:color="auto"/>
        <w:left w:val="none" w:sz="0" w:space="0" w:color="auto"/>
        <w:bottom w:val="none" w:sz="0" w:space="0" w:color="auto"/>
        <w:right w:val="none" w:sz="0" w:space="0" w:color="auto"/>
      </w:divBdr>
    </w:div>
    <w:div w:id="849173704">
      <w:bodyDiv w:val="1"/>
      <w:marLeft w:val="0"/>
      <w:marRight w:val="0"/>
      <w:marTop w:val="0"/>
      <w:marBottom w:val="0"/>
      <w:divBdr>
        <w:top w:val="none" w:sz="0" w:space="0" w:color="auto"/>
        <w:left w:val="none" w:sz="0" w:space="0" w:color="auto"/>
        <w:bottom w:val="none" w:sz="0" w:space="0" w:color="auto"/>
        <w:right w:val="none" w:sz="0" w:space="0" w:color="auto"/>
      </w:divBdr>
    </w:div>
    <w:div w:id="1012803705">
      <w:bodyDiv w:val="1"/>
      <w:marLeft w:val="0"/>
      <w:marRight w:val="0"/>
      <w:marTop w:val="0"/>
      <w:marBottom w:val="0"/>
      <w:divBdr>
        <w:top w:val="none" w:sz="0" w:space="0" w:color="auto"/>
        <w:left w:val="none" w:sz="0" w:space="0" w:color="auto"/>
        <w:bottom w:val="none" w:sz="0" w:space="0" w:color="auto"/>
        <w:right w:val="none" w:sz="0" w:space="0" w:color="auto"/>
      </w:divBdr>
      <w:divsChild>
        <w:div w:id="1076368113">
          <w:marLeft w:val="0"/>
          <w:marRight w:val="0"/>
          <w:marTop w:val="0"/>
          <w:marBottom w:val="0"/>
          <w:divBdr>
            <w:top w:val="none" w:sz="0" w:space="0" w:color="auto"/>
            <w:left w:val="none" w:sz="0" w:space="0" w:color="auto"/>
            <w:bottom w:val="none" w:sz="0" w:space="0" w:color="auto"/>
            <w:right w:val="none" w:sz="0" w:space="0" w:color="auto"/>
          </w:divBdr>
          <w:divsChild>
            <w:div w:id="1734962429">
              <w:marLeft w:val="0"/>
              <w:marRight w:val="0"/>
              <w:marTop w:val="0"/>
              <w:marBottom w:val="0"/>
              <w:divBdr>
                <w:top w:val="none" w:sz="0" w:space="0" w:color="auto"/>
                <w:left w:val="none" w:sz="0" w:space="0" w:color="auto"/>
                <w:bottom w:val="none" w:sz="0" w:space="0" w:color="auto"/>
                <w:right w:val="none" w:sz="0" w:space="0" w:color="auto"/>
              </w:divBdr>
              <w:divsChild>
                <w:div w:id="1904215777">
                  <w:marLeft w:val="0"/>
                  <w:marRight w:val="0"/>
                  <w:marTop w:val="0"/>
                  <w:marBottom w:val="0"/>
                  <w:divBdr>
                    <w:top w:val="none" w:sz="0" w:space="0" w:color="auto"/>
                    <w:left w:val="none" w:sz="0" w:space="0" w:color="auto"/>
                    <w:bottom w:val="none" w:sz="0" w:space="0" w:color="auto"/>
                    <w:right w:val="none" w:sz="0" w:space="0" w:color="auto"/>
                  </w:divBdr>
                  <w:divsChild>
                    <w:div w:id="2088913871">
                      <w:marLeft w:val="0"/>
                      <w:marRight w:val="0"/>
                      <w:marTop w:val="0"/>
                      <w:marBottom w:val="0"/>
                      <w:divBdr>
                        <w:top w:val="none" w:sz="0" w:space="0" w:color="auto"/>
                        <w:left w:val="none" w:sz="0" w:space="0" w:color="auto"/>
                        <w:bottom w:val="none" w:sz="0" w:space="0" w:color="auto"/>
                        <w:right w:val="none" w:sz="0" w:space="0" w:color="auto"/>
                      </w:divBdr>
                      <w:divsChild>
                        <w:div w:id="1410074724">
                          <w:marLeft w:val="0"/>
                          <w:marRight w:val="0"/>
                          <w:marTop w:val="0"/>
                          <w:marBottom w:val="0"/>
                          <w:divBdr>
                            <w:top w:val="none" w:sz="0" w:space="0" w:color="auto"/>
                            <w:left w:val="none" w:sz="0" w:space="0" w:color="auto"/>
                            <w:bottom w:val="none" w:sz="0" w:space="0" w:color="auto"/>
                            <w:right w:val="none" w:sz="0" w:space="0" w:color="auto"/>
                          </w:divBdr>
                          <w:divsChild>
                            <w:div w:id="1919974824">
                              <w:marLeft w:val="0"/>
                              <w:marRight w:val="0"/>
                              <w:marTop w:val="0"/>
                              <w:marBottom w:val="0"/>
                              <w:divBdr>
                                <w:top w:val="none" w:sz="0" w:space="0" w:color="auto"/>
                                <w:left w:val="none" w:sz="0" w:space="0" w:color="auto"/>
                                <w:bottom w:val="none" w:sz="0" w:space="0" w:color="auto"/>
                                <w:right w:val="none" w:sz="0" w:space="0" w:color="auto"/>
                              </w:divBdr>
                              <w:divsChild>
                                <w:div w:id="3950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696056">
      <w:bodyDiv w:val="1"/>
      <w:marLeft w:val="0"/>
      <w:marRight w:val="0"/>
      <w:marTop w:val="0"/>
      <w:marBottom w:val="0"/>
      <w:divBdr>
        <w:top w:val="none" w:sz="0" w:space="0" w:color="auto"/>
        <w:left w:val="none" w:sz="0" w:space="0" w:color="auto"/>
        <w:bottom w:val="none" w:sz="0" w:space="0" w:color="auto"/>
        <w:right w:val="none" w:sz="0" w:space="0" w:color="auto"/>
      </w:divBdr>
    </w:div>
    <w:div w:id="1018193643">
      <w:bodyDiv w:val="1"/>
      <w:marLeft w:val="0"/>
      <w:marRight w:val="0"/>
      <w:marTop w:val="0"/>
      <w:marBottom w:val="0"/>
      <w:divBdr>
        <w:top w:val="none" w:sz="0" w:space="0" w:color="auto"/>
        <w:left w:val="none" w:sz="0" w:space="0" w:color="auto"/>
        <w:bottom w:val="none" w:sz="0" w:space="0" w:color="auto"/>
        <w:right w:val="none" w:sz="0" w:space="0" w:color="auto"/>
      </w:divBdr>
    </w:div>
    <w:div w:id="1145514819">
      <w:bodyDiv w:val="1"/>
      <w:marLeft w:val="0"/>
      <w:marRight w:val="0"/>
      <w:marTop w:val="0"/>
      <w:marBottom w:val="0"/>
      <w:divBdr>
        <w:top w:val="none" w:sz="0" w:space="0" w:color="auto"/>
        <w:left w:val="none" w:sz="0" w:space="0" w:color="auto"/>
        <w:bottom w:val="none" w:sz="0" w:space="0" w:color="auto"/>
        <w:right w:val="none" w:sz="0" w:space="0" w:color="auto"/>
      </w:divBdr>
    </w:div>
    <w:div w:id="1384330323">
      <w:bodyDiv w:val="1"/>
      <w:marLeft w:val="0"/>
      <w:marRight w:val="0"/>
      <w:marTop w:val="0"/>
      <w:marBottom w:val="0"/>
      <w:divBdr>
        <w:top w:val="none" w:sz="0" w:space="0" w:color="auto"/>
        <w:left w:val="none" w:sz="0" w:space="0" w:color="auto"/>
        <w:bottom w:val="none" w:sz="0" w:space="0" w:color="auto"/>
        <w:right w:val="none" w:sz="0" w:space="0" w:color="auto"/>
      </w:divBdr>
    </w:div>
    <w:div w:id="1485774038">
      <w:bodyDiv w:val="1"/>
      <w:marLeft w:val="0"/>
      <w:marRight w:val="0"/>
      <w:marTop w:val="0"/>
      <w:marBottom w:val="0"/>
      <w:divBdr>
        <w:top w:val="none" w:sz="0" w:space="0" w:color="auto"/>
        <w:left w:val="none" w:sz="0" w:space="0" w:color="auto"/>
        <w:bottom w:val="none" w:sz="0" w:space="0" w:color="auto"/>
        <w:right w:val="none" w:sz="0" w:space="0" w:color="auto"/>
      </w:divBdr>
    </w:div>
    <w:div w:id="1554459373">
      <w:bodyDiv w:val="1"/>
      <w:marLeft w:val="0"/>
      <w:marRight w:val="0"/>
      <w:marTop w:val="0"/>
      <w:marBottom w:val="0"/>
      <w:divBdr>
        <w:top w:val="none" w:sz="0" w:space="0" w:color="auto"/>
        <w:left w:val="none" w:sz="0" w:space="0" w:color="auto"/>
        <w:bottom w:val="none" w:sz="0" w:space="0" w:color="auto"/>
        <w:right w:val="none" w:sz="0" w:space="0" w:color="auto"/>
      </w:divBdr>
    </w:div>
    <w:div w:id="1890141798">
      <w:bodyDiv w:val="1"/>
      <w:marLeft w:val="0"/>
      <w:marRight w:val="0"/>
      <w:marTop w:val="0"/>
      <w:marBottom w:val="0"/>
      <w:divBdr>
        <w:top w:val="none" w:sz="0" w:space="0" w:color="auto"/>
        <w:left w:val="none" w:sz="0" w:space="0" w:color="auto"/>
        <w:bottom w:val="none" w:sz="0" w:space="0" w:color="auto"/>
        <w:right w:val="none" w:sz="0" w:space="0" w:color="auto"/>
      </w:divBdr>
    </w:div>
    <w:div w:id="2098359819">
      <w:bodyDiv w:val="1"/>
      <w:marLeft w:val="0"/>
      <w:marRight w:val="0"/>
      <w:marTop w:val="0"/>
      <w:marBottom w:val="0"/>
      <w:divBdr>
        <w:top w:val="none" w:sz="0" w:space="0" w:color="auto"/>
        <w:left w:val="none" w:sz="0" w:space="0" w:color="auto"/>
        <w:bottom w:val="none" w:sz="0" w:space="0" w:color="auto"/>
        <w:right w:val="none" w:sz="0" w:space="0" w:color="auto"/>
      </w:divBdr>
    </w:div>
    <w:div w:id="213459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tc.org/sites/default/files/documents/2022/10/IOTC-2022-WPTT24-17.pdf" TargetMode="External"/><Relationship Id="rId13"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otc.org/sites/default/files/documents/2024/04/IOTC-2023-WPTT25-13_Rev2.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D72B5-D8C0-475D-8216-CBC068A4D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3155</Words>
  <Characters>17355</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20470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AUTEROCHE</dc:creator>
  <cp:keywords/>
  <dc:description/>
  <cp:lastModifiedBy>Iolaine THIBAULT</cp:lastModifiedBy>
  <cp:revision>19</cp:revision>
  <cp:lastPrinted>2026-02-03T10:56:00Z</cp:lastPrinted>
  <dcterms:created xsi:type="dcterms:W3CDTF">2026-02-03T10:56:00Z</dcterms:created>
  <dcterms:modified xsi:type="dcterms:W3CDTF">2026-06-10T13:59:00Z</dcterms:modified>
</cp:coreProperties>
</file>