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9062"/>
      </w:tblGrid>
      <w:tr w:rsidR="009A6B89" w14:paraId="1ACE2B61" w14:textId="77777777">
        <w:tc>
          <w:tcPr>
            <w:tcW w:w="9062" w:type="dxa"/>
          </w:tcPr>
          <w:p w14:paraId="0C5BA799" w14:textId="77777777" w:rsidR="009A6B89" w:rsidRDefault="00E55023" w:rsidP="0024495E">
            <w:pPr>
              <w:jc w:val="center"/>
              <w:rPr>
                <w:rFonts w:eastAsia="Calibri"/>
                <w:b/>
                <w:smallCaps/>
                <w:color w:val="2F5496" w:themeColor="accent5" w:themeShade="BF"/>
                <w:sz w:val="32"/>
              </w:rPr>
            </w:pPr>
            <w:r w:rsidRPr="0024495E">
              <w:rPr>
                <w:rFonts w:eastAsia="Calibri"/>
                <w:b/>
                <w:smallCaps/>
                <w:color w:val="2F5496" w:themeColor="accent5" w:themeShade="BF"/>
                <w:sz w:val="32"/>
              </w:rPr>
              <w:t>Terms of reference (ToRs)</w:t>
            </w:r>
          </w:p>
          <w:p w14:paraId="333952E1" w14:textId="77777777" w:rsidR="0024495E" w:rsidRPr="0024495E" w:rsidRDefault="0024495E" w:rsidP="0024495E">
            <w:pPr>
              <w:jc w:val="center"/>
              <w:rPr>
                <w:rFonts w:eastAsia="Calibri"/>
                <w:b/>
                <w:smallCaps/>
                <w:color w:val="2F5496" w:themeColor="accent5" w:themeShade="BF"/>
                <w:sz w:val="32"/>
              </w:rPr>
            </w:pPr>
          </w:p>
          <w:p w14:paraId="1830FBB4" w14:textId="1AB17A6E" w:rsidR="0024495E" w:rsidRDefault="007E3082" w:rsidP="0024495E">
            <w:pPr>
              <w:jc w:val="center"/>
              <w:rPr>
                <w:rFonts w:eastAsia="Calibri"/>
                <w:b/>
                <w:smallCaps/>
                <w:color w:val="2F5496" w:themeColor="accent5" w:themeShade="BF"/>
                <w:sz w:val="32"/>
              </w:rPr>
            </w:pPr>
            <w:r w:rsidRPr="007E3082">
              <w:rPr>
                <w:rFonts w:eastAsia="Calibri"/>
                <w:b/>
                <w:smallCaps/>
                <w:color w:val="2F5496" w:themeColor="accent5" w:themeShade="BF"/>
                <w:sz w:val="32"/>
              </w:rPr>
              <w:t>Fisheries Data and Assessment Methods Specialist</w:t>
            </w:r>
          </w:p>
          <w:p w14:paraId="25B282DD" w14:textId="77777777" w:rsidR="007E3082" w:rsidRPr="0024495E" w:rsidRDefault="007E3082" w:rsidP="0024495E">
            <w:pPr>
              <w:jc w:val="center"/>
              <w:rPr>
                <w:rFonts w:eastAsia="Calibri"/>
                <w:b/>
                <w:smallCaps/>
                <w:color w:val="2F5496" w:themeColor="accent5" w:themeShade="BF"/>
                <w:sz w:val="32"/>
              </w:rPr>
            </w:pPr>
            <w:bookmarkStart w:id="0" w:name="_GoBack"/>
            <w:bookmarkEnd w:id="0"/>
          </w:p>
          <w:p w14:paraId="2A34F259" w14:textId="77777777" w:rsidR="007770E1" w:rsidRPr="0024495E" w:rsidRDefault="00E55023" w:rsidP="0024495E">
            <w:pPr>
              <w:jc w:val="center"/>
              <w:rPr>
                <w:rFonts w:eastAsia="Calibri"/>
                <w:b/>
                <w:smallCaps/>
                <w:color w:val="2F5496" w:themeColor="accent5" w:themeShade="BF"/>
                <w:sz w:val="32"/>
              </w:rPr>
            </w:pPr>
            <w:r w:rsidRPr="0024495E">
              <w:rPr>
                <w:rFonts w:eastAsia="Calibri"/>
                <w:b/>
                <w:smallCaps/>
                <w:color w:val="2F5496" w:themeColor="accent5" w:themeShade="BF"/>
                <w:sz w:val="32"/>
              </w:rPr>
              <w:t>Sustainable Western Indi</w:t>
            </w:r>
            <w:r w:rsidR="007770E1" w:rsidRPr="0024495E">
              <w:rPr>
                <w:rFonts w:eastAsia="Calibri"/>
                <w:b/>
                <w:smallCaps/>
                <w:color w:val="2F5496" w:themeColor="accent5" w:themeShade="BF"/>
                <w:sz w:val="32"/>
              </w:rPr>
              <w:t>an Ocean Programme</w:t>
            </w:r>
          </w:p>
          <w:p w14:paraId="4C41FE86" w14:textId="5C791C21" w:rsidR="007770E1" w:rsidRPr="007770E1" w:rsidRDefault="007770E1" w:rsidP="00963570">
            <w:pPr>
              <w:jc w:val="center"/>
              <w:rPr>
                <w:rFonts w:eastAsia="Calibri"/>
              </w:rPr>
            </w:pPr>
            <w:r w:rsidRPr="0024495E">
              <w:rPr>
                <w:rFonts w:eastAsia="Calibri"/>
                <w:b/>
                <w:smallCaps/>
                <w:color w:val="2F5496" w:themeColor="accent5" w:themeShade="BF"/>
                <w:sz w:val="32"/>
              </w:rPr>
              <w:t>(SWIOP SO 1.2)</w:t>
            </w:r>
          </w:p>
        </w:tc>
      </w:tr>
    </w:tbl>
    <w:p w14:paraId="7262F3C3" w14:textId="77777777" w:rsidR="00F15580" w:rsidRDefault="00F15580" w:rsidP="00F15580">
      <w:pPr>
        <w:rPr>
          <w:rFonts w:eastAsia="Calibri"/>
        </w:rPr>
      </w:pPr>
    </w:p>
    <w:p w14:paraId="592E83A3" w14:textId="402F0B13" w:rsidR="00F15580" w:rsidRPr="00F15580" w:rsidRDefault="00F15580" w:rsidP="00F15580">
      <w:pPr>
        <w:rPr>
          <w:rFonts w:eastAsia="Calibri"/>
        </w:rPr>
      </w:pPr>
      <w:r w:rsidRPr="00F15580">
        <w:rPr>
          <w:rStyle w:val="Accentuation"/>
        </w:rPr>
        <w:t>D</w:t>
      </w:r>
      <w:r w:rsidRPr="00F15580">
        <w:rPr>
          <w:rStyle w:val="Accentuation"/>
          <w:rFonts w:eastAsia="Calibri"/>
        </w:rPr>
        <w:t>uration:</w:t>
      </w:r>
      <w:r>
        <w:rPr>
          <w:rFonts w:eastAsia="Calibri"/>
        </w:rPr>
        <w:t xml:space="preserve"> up to </w:t>
      </w:r>
      <w:r w:rsidR="008C7B06">
        <w:rPr>
          <w:rFonts w:eastAsia="Calibri"/>
        </w:rPr>
        <w:t>sixteen (16) months</w:t>
      </w:r>
    </w:p>
    <w:p w14:paraId="687CF188" w14:textId="30F5AD10" w:rsidR="00F15580" w:rsidRPr="00F15580" w:rsidRDefault="00F15580" w:rsidP="00F15580">
      <w:pPr>
        <w:rPr>
          <w:rFonts w:eastAsia="Calibri"/>
        </w:rPr>
      </w:pPr>
      <w:r w:rsidRPr="00F15580">
        <w:rPr>
          <w:rStyle w:val="Accentuation"/>
        </w:rPr>
        <w:t>Modal</w:t>
      </w:r>
      <w:r w:rsidRPr="00F15580">
        <w:rPr>
          <w:rStyle w:val="Accentuation"/>
          <w:rFonts w:eastAsia="Calibri"/>
        </w:rPr>
        <w:t>ity:</w:t>
      </w:r>
      <w:r>
        <w:rPr>
          <w:rFonts w:eastAsia="Calibri"/>
        </w:rPr>
        <w:t xml:space="preserve"> remote consultancy</w:t>
      </w:r>
      <w:r w:rsidR="00963570">
        <w:rPr>
          <w:rFonts w:eastAsia="Calibri"/>
        </w:rPr>
        <w:t>, with travel</w:t>
      </w:r>
      <w:r w:rsidR="00A45D70">
        <w:rPr>
          <w:rFonts w:eastAsia="Calibri"/>
        </w:rPr>
        <w:t>s</w:t>
      </w:r>
    </w:p>
    <w:p w14:paraId="1C4AEF23" w14:textId="5340B361" w:rsidR="00F15580" w:rsidRPr="00F15580" w:rsidRDefault="00F15580" w:rsidP="00F15580">
      <w:pPr>
        <w:rPr>
          <w:rFonts w:eastAsia="Calibri"/>
        </w:rPr>
      </w:pPr>
      <w:r w:rsidRPr="00F15580">
        <w:rPr>
          <w:rStyle w:val="Accentuation"/>
        </w:rPr>
        <w:t>Estimated level of effort:</w:t>
      </w:r>
      <w:r w:rsidRPr="00F15580">
        <w:rPr>
          <w:rFonts w:eastAsia="Calibri"/>
        </w:rPr>
        <w:t xml:space="preserve"> </w:t>
      </w:r>
      <w:r w:rsidR="00F90ECF">
        <w:rPr>
          <w:rFonts w:eastAsia="Calibri"/>
        </w:rPr>
        <w:t xml:space="preserve">Up to </w:t>
      </w:r>
      <w:r w:rsidR="00D674E2">
        <w:rPr>
          <w:rFonts w:eastAsia="Calibri"/>
        </w:rPr>
        <w:t>45</w:t>
      </w:r>
      <w:r w:rsidR="00793E32">
        <w:rPr>
          <w:rFonts w:eastAsia="Calibri"/>
        </w:rPr>
        <w:t xml:space="preserve"> working days (indicative)</w:t>
      </w:r>
    </w:p>
    <w:p w14:paraId="01C4C771" w14:textId="0DB94888" w:rsidR="00F15580" w:rsidRPr="00A45D70" w:rsidRDefault="00F15580" w:rsidP="00F15580">
      <w:pPr>
        <w:rPr>
          <w:rFonts w:eastAsia="Calibri"/>
        </w:rPr>
      </w:pPr>
      <w:r w:rsidRPr="00A45D70">
        <w:rPr>
          <w:rStyle w:val="Accentuation"/>
        </w:rPr>
        <w:t>Maximum budget:</w:t>
      </w:r>
      <w:r w:rsidRPr="00A45D70">
        <w:rPr>
          <w:rFonts w:eastAsia="Calibri"/>
        </w:rPr>
        <w:t xml:space="preserve"> EUR </w:t>
      </w:r>
      <w:r w:rsidR="002D473C" w:rsidRPr="00A45D70">
        <w:rPr>
          <w:rFonts w:eastAsia="Calibri"/>
        </w:rPr>
        <w:t>39,999 (VAT excl.)</w:t>
      </w:r>
      <w:r w:rsidR="00A45D70" w:rsidRPr="00A45D70">
        <w:rPr>
          <w:rFonts w:eastAsia="Calibri"/>
        </w:rPr>
        <w:t>, including mission fees (travel +</w:t>
      </w:r>
      <w:r w:rsidR="00A45D70">
        <w:rPr>
          <w:rFonts w:eastAsia="Calibri"/>
        </w:rPr>
        <w:t xml:space="preserve"> per diem)</w:t>
      </w:r>
    </w:p>
    <w:p w14:paraId="7523F697" w14:textId="322B8C64" w:rsidR="009A6B89" w:rsidRDefault="00E55023" w:rsidP="00F15580">
      <w:pPr>
        <w:rPr>
          <w:rFonts w:eastAsia="Calibri"/>
        </w:rPr>
      </w:pPr>
      <w:r w:rsidRPr="00F15580">
        <w:rPr>
          <w:rStyle w:val="Accentuation"/>
          <w:rFonts w:eastAsia="Calibri"/>
        </w:rPr>
        <w:t>Project reference:</w:t>
      </w:r>
      <w:r>
        <w:rPr>
          <w:rFonts w:eastAsia="Calibri"/>
        </w:rPr>
        <w:t xml:space="preserve"> </w:t>
      </w:r>
      <w:r w:rsidR="007770E1">
        <w:rPr>
          <w:rFonts w:eastAsia="Calibri"/>
        </w:rPr>
        <w:t>25DDUC0184</w:t>
      </w:r>
    </w:p>
    <w:p w14:paraId="7FB7F611" w14:textId="77777777" w:rsidR="009A6B89" w:rsidRPr="00F15580" w:rsidRDefault="009A6B89" w:rsidP="00EA2057">
      <w:pPr>
        <w:rPr>
          <w:rFonts w:eastAsia="Calibri"/>
        </w:rPr>
      </w:pPr>
    </w:p>
    <w:p w14:paraId="4F67DAA4" w14:textId="77777777" w:rsidR="009A6B89" w:rsidRDefault="00E55023" w:rsidP="00EA2057">
      <w:pPr>
        <w:pStyle w:val="Titre1"/>
      </w:pPr>
      <w:r>
        <w:t>Context</w:t>
      </w:r>
    </w:p>
    <w:p w14:paraId="5E3BB824" w14:textId="77777777" w:rsidR="009A6B89" w:rsidRDefault="00E55023" w:rsidP="00EA2057">
      <w:pPr>
        <w:pStyle w:val="Titre2"/>
      </w:pPr>
      <w:r>
        <w:t xml:space="preserve">Expertise France presentation </w:t>
      </w:r>
    </w:p>
    <w:p w14:paraId="341432DE" w14:textId="77777777" w:rsidR="009A6B89" w:rsidRDefault="00E55023" w:rsidP="00EA2057">
      <w:r w:rsidRPr="00EA2057">
        <w:rPr>
          <w:rStyle w:val="Accentuation"/>
        </w:rPr>
        <w:t>Expertise France</w:t>
      </w:r>
      <w:r>
        <w:rPr>
          <w:b/>
          <w:color w:val="2F5496" w:themeColor="accent5" w:themeShade="BF"/>
        </w:rPr>
        <w:t xml:space="preserve"> (EF)</w:t>
      </w:r>
      <w:r>
        <w:rPr>
          <w:color w:val="2F5496" w:themeColor="accent5" w:themeShade="BF"/>
        </w:rPr>
        <w:t xml:space="preserve"> </w:t>
      </w:r>
      <w:r>
        <w:t>is the French public agency for international technical cooperation. EF operates in the WIO region to support sustainable development, regional integration, and environmental governance. Through various programmes and partnerships, the agency contributes to strengthening institutional capacities, promoting marine and coastal conservation, and enhancing resilience to climate change across WIO countries.</w:t>
      </w:r>
    </w:p>
    <w:p w14:paraId="05F036CF" w14:textId="4E35043F" w:rsidR="009A6B89" w:rsidRDefault="00963570" w:rsidP="00EA2057">
      <w:pPr>
        <w:pStyle w:val="Titre2"/>
      </w:pPr>
      <w:r>
        <w:t>SWIOP 1.2</w:t>
      </w:r>
      <w:r w:rsidR="00EA2057">
        <w:t xml:space="preserve"> Pro</w:t>
      </w:r>
      <w:r>
        <w:t>ject</w:t>
      </w:r>
    </w:p>
    <w:p w14:paraId="6B73539A" w14:textId="77777777" w:rsidR="00EA2057" w:rsidRDefault="00EA2057" w:rsidP="00EA2057">
      <w:r>
        <w:t>The Sustainable Western Indian Ocean Programme (SWIOP) is a regional programme funded by the European Union, structured around three complementary components:</w:t>
      </w:r>
    </w:p>
    <w:p w14:paraId="425B21D2" w14:textId="77777777" w:rsidR="00EA2057" w:rsidRPr="00B43541" w:rsidRDefault="00EA2057" w:rsidP="00EA2057">
      <w:pPr>
        <w:pStyle w:val="Paragraphedeliste"/>
        <w:numPr>
          <w:ilvl w:val="0"/>
          <w:numId w:val="39"/>
        </w:numPr>
        <w:rPr>
          <w:rFonts w:asciiTheme="minorHAnsi" w:hAnsiTheme="minorHAnsi" w:cstheme="minorHAnsi"/>
          <w:sz w:val="22"/>
        </w:rPr>
      </w:pPr>
      <w:r w:rsidRPr="00B43541">
        <w:rPr>
          <w:rFonts w:asciiTheme="minorHAnsi" w:hAnsiTheme="minorHAnsi" w:cstheme="minorHAnsi"/>
          <w:sz w:val="22"/>
        </w:rPr>
        <w:t>Ocean governance;</w:t>
      </w:r>
    </w:p>
    <w:p w14:paraId="3D2D5E44" w14:textId="77777777" w:rsidR="00EA2057" w:rsidRPr="00B43541" w:rsidRDefault="00EA2057" w:rsidP="00EA2057">
      <w:pPr>
        <w:pStyle w:val="Paragraphedeliste"/>
        <w:numPr>
          <w:ilvl w:val="0"/>
          <w:numId w:val="39"/>
        </w:numPr>
        <w:rPr>
          <w:rFonts w:asciiTheme="minorHAnsi" w:hAnsiTheme="minorHAnsi" w:cstheme="minorHAnsi"/>
          <w:sz w:val="22"/>
        </w:rPr>
      </w:pPr>
      <w:r w:rsidRPr="00B43541">
        <w:rPr>
          <w:rFonts w:asciiTheme="minorHAnsi" w:hAnsiTheme="minorHAnsi" w:cstheme="minorHAnsi"/>
          <w:sz w:val="22"/>
        </w:rPr>
        <w:t>Investment into a sustainable blue economy;</w:t>
      </w:r>
    </w:p>
    <w:p w14:paraId="10861C8A" w14:textId="77777777" w:rsidR="00EA2057" w:rsidRPr="00B43541" w:rsidRDefault="00EA2057" w:rsidP="00EA2057">
      <w:pPr>
        <w:pStyle w:val="Paragraphedeliste"/>
        <w:numPr>
          <w:ilvl w:val="0"/>
          <w:numId w:val="39"/>
        </w:numPr>
        <w:rPr>
          <w:rFonts w:asciiTheme="minorHAnsi" w:hAnsiTheme="minorHAnsi" w:cstheme="minorHAnsi"/>
          <w:sz w:val="22"/>
        </w:rPr>
      </w:pPr>
      <w:r w:rsidRPr="00B43541">
        <w:rPr>
          <w:rFonts w:asciiTheme="minorHAnsi" w:hAnsiTheme="minorHAnsi" w:cstheme="minorHAnsi"/>
          <w:sz w:val="22"/>
        </w:rPr>
        <w:t>Improving ocean and coastal ecosystem resilience and blue carbon capture.</w:t>
      </w:r>
    </w:p>
    <w:p w14:paraId="4C4BD834" w14:textId="19408E44" w:rsidR="00EA2057" w:rsidRDefault="00EA2057" w:rsidP="002D473C">
      <w:r>
        <w:t>Within this framework, Expertise France is implementing</w:t>
      </w:r>
      <w:r w:rsidR="002D473C">
        <w:t xml:space="preserve"> the following project:</w:t>
      </w:r>
    </w:p>
    <w:p w14:paraId="14B2202E" w14:textId="0CD5832E" w:rsidR="009A6B89" w:rsidRDefault="00EA2057" w:rsidP="00EA2057">
      <w:pPr>
        <w:pStyle w:val="Sansinterligne"/>
      </w:pPr>
      <w:r w:rsidRPr="00EA2057">
        <w:rPr>
          <w:rStyle w:val="Accentuation"/>
        </w:rPr>
        <w:t>SWIOP Sub-Objective 1.2 (SWIOP 1.2)</w:t>
      </w:r>
      <w:r>
        <w:t>, implemented for the Delegation of the European Union to Mauritius, supporting Regional Fisheries Management Organisations (IOTC and SIOFA) in the fields of fisheries data, science and compliance.</w:t>
      </w:r>
    </w:p>
    <w:p w14:paraId="21E2C178" w14:textId="702A6E83" w:rsidR="002D473C" w:rsidRPr="002D473C" w:rsidRDefault="002D473C" w:rsidP="002D473C">
      <w:pPr>
        <w:pStyle w:val="Sansinterligne"/>
        <w:numPr>
          <w:ilvl w:val="0"/>
          <w:numId w:val="0"/>
        </w:numPr>
        <w:rPr>
          <w:lang w:val="en-NZ"/>
        </w:rPr>
      </w:pPr>
    </w:p>
    <w:p w14:paraId="47DE655C" w14:textId="0D003689" w:rsidR="002D473C" w:rsidRPr="002D473C" w:rsidRDefault="002D473C" w:rsidP="002D473C">
      <w:pPr>
        <w:pStyle w:val="Sansinterligne"/>
        <w:numPr>
          <w:ilvl w:val="0"/>
          <w:numId w:val="0"/>
        </w:numPr>
        <w:rPr>
          <w:lang w:val="en-NZ"/>
        </w:rPr>
      </w:pPr>
      <w:r w:rsidRPr="002D473C">
        <w:rPr>
          <w:lang w:val="en-NZ"/>
        </w:rPr>
        <w:t xml:space="preserve">The IOTC is currently </w:t>
      </w:r>
      <w:r>
        <w:rPr>
          <w:lang w:val="en-NZ"/>
        </w:rPr>
        <w:t>benefitting from several activities</w:t>
      </w:r>
      <w:r w:rsidRPr="002D473C">
        <w:rPr>
          <w:lang w:val="en-NZ"/>
        </w:rPr>
        <w:t xml:space="preserve"> under the Sustainable Western Indian Ocean Programme (</w:t>
      </w:r>
      <w:r>
        <w:rPr>
          <w:lang w:val="en-NZ"/>
        </w:rPr>
        <w:t>SWIOP 1.2</w:t>
      </w:r>
      <w:r w:rsidRPr="002D473C">
        <w:rPr>
          <w:lang w:val="en-NZ"/>
        </w:rPr>
        <w:t>) to strengthen its technical capacity, improve the stock assessment, and enhance the scientific advice for the sustainable management of fisheries resources. A consultancy is required to carry out activities under two specific tasks in support of this scientific initiative.</w:t>
      </w:r>
    </w:p>
    <w:p w14:paraId="10893DA9" w14:textId="77777777" w:rsidR="009A6B89" w:rsidRDefault="00EA2057" w:rsidP="00EA2057">
      <w:pPr>
        <w:pStyle w:val="Titre2"/>
      </w:pPr>
      <w:r>
        <w:t>Rationale for the consultancy</w:t>
      </w:r>
    </w:p>
    <w:p w14:paraId="0555DA0F" w14:textId="1EB8492D" w:rsidR="008C7B06" w:rsidRDefault="008C7B06" w:rsidP="008C7B06">
      <w:r>
        <w:t xml:space="preserve">The </w:t>
      </w:r>
      <w:r w:rsidRPr="008C7B06">
        <w:rPr>
          <w:rStyle w:val="Accentuation"/>
        </w:rPr>
        <w:t>Indian Ocean Tuna Commission</w:t>
      </w:r>
      <w:r>
        <w:t xml:space="preserve"> (IOTC) is an intergovernmental organisation established under article XIV of the FAO constitution. The IOTC is mandated to manage 16 tuna and tuna-like species in the Indian Ocean with its primary objective the conservation and optimum utilisation of the stocks for long-term sustainability. The scientific advice on the status of major IOTC tuna stocks is based upon the results of quantitative stock assessments and analyses of available information.</w:t>
      </w:r>
    </w:p>
    <w:p w14:paraId="1EDC1240" w14:textId="447767A2" w:rsidR="008C7B06" w:rsidRDefault="008C7B06" w:rsidP="008C7B06"/>
    <w:p w14:paraId="33CF944F" w14:textId="70B2B663" w:rsidR="008C7B06" w:rsidRDefault="008C7B06" w:rsidP="008C7B06">
      <w:pPr>
        <w:rPr>
          <w:lang w:val="en-US"/>
        </w:rPr>
      </w:pPr>
      <w:r w:rsidRPr="008C7B06">
        <w:rPr>
          <w:lang w:val="en-US"/>
        </w:rPr>
        <w:lastRenderedPageBreak/>
        <w:t>Integrated stock assessments for the main tuna species caught on longline fishing vessels (e.g. bigeye tuna, yellowfin tuna, and albacore) at IOTC typically integrate a diverse range of data, including length composition data and are heavily reliant on CPUE indices from longline fishing vessels. Recently the main CPUE indices within these stock assessments are from a joint index from Japanese, Korean, and Taiwanese longline fishing vessel</w:t>
      </w:r>
      <w:r w:rsidR="00E8719D">
        <w:rPr>
          <w:lang w:val="en-US"/>
        </w:rPr>
        <w:t>s</w:t>
      </w:r>
      <w:r w:rsidRPr="008C7B06">
        <w:rPr>
          <w:lang w:val="en-US"/>
        </w:rPr>
        <w:t xml:space="preserve">.  For several years, the representativeness of the LL CPUE index has been called into question and a suggestion to have more than one LL index has been discussed at the Scientific Committee, as well as several Working Parties. The </w:t>
      </w:r>
      <w:r w:rsidR="00E8719D">
        <w:rPr>
          <w:lang w:val="en-US"/>
        </w:rPr>
        <w:t>SC also expressed some concern</w:t>
      </w:r>
      <w:r w:rsidRPr="008C7B06">
        <w:rPr>
          <w:lang w:val="en-US"/>
        </w:rPr>
        <w:t xml:space="preserve"> the inadequate coverage of length-frequency samples for several major fisheries and the potential consequential negative impacts on stock assessments. As the LL CPUE indices are driving the biomass trends within the integrated models, it is critical to ensure that these indices are accurate abundance indices. Recent collaboration and support missions conducted by the IOTC Secretariat in the Southwestern region of the Indian Ocean has identified several fishing fleets and fisheries where there is potentially sufficient data from the fishery logbook or sampling program that would allow CPUE index to be developed for these fisheries. Development of new CPUE indices within the Indian Ocean would provide a good comparison to the main longline indices and may inform future discussion on candidate abundance indices by the relevant IOTC Working Parties for potential inclusion in the stock assessment models.  </w:t>
      </w:r>
    </w:p>
    <w:p w14:paraId="618238A1" w14:textId="59C2C72A" w:rsidR="00DA0851" w:rsidRPr="00556318" w:rsidRDefault="00DA0851" w:rsidP="002D473C"/>
    <w:p w14:paraId="459A5A81" w14:textId="6EF9D560" w:rsidR="00EA2057" w:rsidRDefault="00EA2057" w:rsidP="00EA2057">
      <w:pPr>
        <w:pStyle w:val="Titre1"/>
      </w:pPr>
      <w:r>
        <w:t>Objectives of the assignment</w:t>
      </w:r>
    </w:p>
    <w:p w14:paraId="585CDC06" w14:textId="4601F7FA" w:rsidR="00552758" w:rsidRDefault="008C7B06" w:rsidP="00DA0851">
      <w:r w:rsidRPr="008C7B06">
        <w:t xml:space="preserve">The assignment falls under the project “Sustainable Western Indian Ocean Programme – Subcomponent 1.2” (“SWIOP 1.2”) implemented by Expertise France in support to two Regional Fisheries Management Organisations (RFMO), including the IOTC, and contributes to the project’s objective of strengthening the scientific basis for RFMO decision-making. </w:t>
      </w:r>
      <w:r>
        <w:t>The consultant</w:t>
      </w:r>
      <w:r w:rsidRPr="008C7B06">
        <w:t xml:space="preserve"> will support selected activities related to </w:t>
      </w:r>
      <w:r w:rsidRPr="008C7B06">
        <w:rPr>
          <w:rStyle w:val="Accentuation"/>
        </w:rPr>
        <w:t>CPUE standardisation, the integration of priority fisheries into IOTC analytical work, and the review and testing of data-limited assessment approaches for neritic tuna species</w:t>
      </w:r>
      <w:r w:rsidR="00556318" w:rsidRPr="00556318">
        <w:t>.</w:t>
      </w:r>
    </w:p>
    <w:p w14:paraId="2499D23B" w14:textId="312EACC1" w:rsidR="008C7B06" w:rsidRDefault="008C7B06" w:rsidP="00DA0851"/>
    <w:p w14:paraId="66A62900" w14:textId="4D66AB81" w:rsidR="00A45D70" w:rsidRPr="00DA0851" w:rsidRDefault="00A45D70" w:rsidP="00DA0851">
      <w:r w:rsidRPr="00A45D70">
        <w:t>The consultancy will cover three complementary areas of work: CPUE standardisation for the Seychelles longline fishery, CPUE-related analysis for Comoros tuna fisheries, and the review and testing of data-limited assessment approaches for IOTC neritic tuna species. Together, these tasks aim to strengthen the evidence base available to IOTC where fisheries data are either under-used, insufficiently standardised, or too limited to support conventional stock assessment approaches.</w:t>
      </w:r>
    </w:p>
    <w:p w14:paraId="2FB42D99" w14:textId="4D66AB81" w:rsidR="009A6B89" w:rsidRPr="00EA2057" w:rsidRDefault="00EA2057" w:rsidP="002D473C">
      <w:pPr>
        <w:pStyle w:val="Titre1"/>
      </w:pPr>
      <w:r>
        <w:t>Scope of the assignment</w:t>
      </w:r>
    </w:p>
    <w:p w14:paraId="6E7EDB31" w14:textId="18F2BCE7" w:rsidR="00556318" w:rsidRDefault="00556318" w:rsidP="008C7B06">
      <w:pPr>
        <w:pStyle w:val="Titre2"/>
      </w:pPr>
      <w:r>
        <w:t>Task 1 -</w:t>
      </w:r>
      <w:r w:rsidR="008C7B06" w:rsidRPr="008C7B06">
        <w:t xml:space="preserve"> CPUE for Seychelles longline fishery </w:t>
      </w:r>
      <w:r w:rsidR="008C7B06">
        <w:t xml:space="preserve"> </w:t>
      </w:r>
      <w:r>
        <w:t xml:space="preserve"> </w:t>
      </w:r>
    </w:p>
    <w:p w14:paraId="21C2EAE4" w14:textId="77777777" w:rsidR="008C7B06" w:rsidRPr="008C7B06" w:rsidRDefault="008C7B06" w:rsidP="008C7B06">
      <w:pPr>
        <w:rPr>
          <w:rStyle w:val="Accentuation"/>
          <w:b w:val="0"/>
          <w:color w:val="auto"/>
        </w:rPr>
      </w:pPr>
      <w:r w:rsidRPr="008C7B06">
        <w:rPr>
          <w:rStyle w:val="Accentuation"/>
          <w:b w:val="0"/>
          <w:color w:val="auto"/>
        </w:rPr>
        <w:t xml:space="preserve">The Seychelles industrial longline fleet consists of large, long-distance vessels that operate both on the high seas and within the Seychelles EEZ, where they primarily target bigeye tuna and yellowfin tuna. Compared to the main DWLN fleets, the Seychelles industrial longline fleet has a shorter history and smaller geographic coverage, but maintains reasonably consistent fishing patterns and targeting strategies, providing an important additional source of information. Seychelles vessels are obligated to submit logbooks wherever they operate for the entire duration of the registration period. The logbook data covers the years from 2000 to the present and captures information for individual fishing sets. Key variables include trip/set code, vessel ID, location, setting time, number of hooks, and catch in both numbers and weight by species. Positions by latitude and longitude are usually recorded with high precision. The data are thoroughly verified, validated, and maintained by the Seychelles Fishing Authority (SFA). SFA has agreed to provide the IOTC Secretariat access to this dataset in accordance with the data confidentiality policy and procedures as per IOTC Resolution 12/02 </w:t>
      </w:r>
    </w:p>
    <w:p w14:paraId="4DB9EBD8" w14:textId="77777777" w:rsidR="008C7B06" w:rsidRPr="008C7B06" w:rsidRDefault="008C7B06" w:rsidP="008C7B06">
      <w:pPr>
        <w:rPr>
          <w:rStyle w:val="Accentuation"/>
          <w:b w:val="0"/>
          <w:color w:val="auto"/>
        </w:rPr>
      </w:pPr>
    </w:p>
    <w:p w14:paraId="1AFBF229" w14:textId="70998E17" w:rsidR="00556318" w:rsidRPr="008C7B06" w:rsidRDefault="008C7B06" w:rsidP="008C7B06">
      <w:pPr>
        <w:rPr>
          <w:b/>
        </w:rPr>
      </w:pPr>
      <w:r w:rsidRPr="008C7B06">
        <w:rPr>
          <w:rStyle w:val="Accentuation"/>
          <w:b w:val="0"/>
          <w:color w:val="auto"/>
        </w:rPr>
        <w:lastRenderedPageBreak/>
        <w:t>In 2025, the IOTC Secretariat collaborated with SFA through a consultancy to provide a preliminary evaluation and analysis of the Seychelles longline data, focusing on internal consistency and offering several recommendations on the filtering and processing of length, catch, and effort data for stock assessment purposes. The current consultancy will build on those results and leverage the strong working relationship between the IOTC Secretariat and SFA to work towards CPUE standardisation of longline fishing data from the Seychelles fleet (The IOTC Secretariat will coordinate with SFA on accessing the logbook dataset for the analysis, along with outputs from the previous work). This represents important capacity-building work and fits well within the Scientific Programme of Work, specifically the SWIOP projects that include capacity-building on CPUE indices and stock assessment.</w:t>
      </w:r>
    </w:p>
    <w:p w14:paraId="0EB3ECF3" w14:textId="50838F3B" w:rsidR="00556318" w:rsidRPr="00556318" w:rsidRDefault="00556318" w:rsidP="00556318">
      <w:pPr>
        <w:pStyle w:val="Titre2"/>
        <w:numPr>
          <w:ilvl w:val="0"/>
          <w:numId w:val="0"/>
        </w:numPr>
        <w:rPr>
          <w:rFonts w:eastAsia="Times New Roman"/>
          <w:b w:val="0"/>
          <w:i w:val="0"/>
          <w:color w:val="auto"/>
        </w:rPr>
      </w:pPr>
      <w:r>
        <w:rPr>
          <w:rFonts w:eastAsia="Times New Roman"/>
          <w:b w:val="0"/>
          <w:i w:val="0"/>
          <w:color w:val="auto"/>
        </w:rPr>
        <w:t xml:space="preserve">The consultant </w:t>
      </w:r>
      <w:r w:rsidR="0079614A">
        <w:rPr>
          <w:rFonts w:eastAsia="Times New Roman"/>
          <w:b w:val="0"/>
          <w:i w:val="0"/>
          <w:color w:val="auto"/>
        </w:rPr>
        <w:t>shall</w:t>
      </w:r>
      <w:r>
        <w:rPr>
          <w:rFonts w:eastAsia="Times New Roman"/>
          <w:b w:val="0"/>
          <w:i w:val="0"/>
          <w:color w:val="auto"/>
        </w:rPr>
        <w:t xml:space="preserve"> specifically follow the below-detailed methodology:</w:t>
      </w:r>
    </w:p>
    <w:p w14:paraId="620BB3B5" w14:textId="4A049509" w:rsidR="008C7B06" w:rsidRPr="008C7B06" w:rsidRDefault="008C7B06" w:rsidP="008C7B06">
      <w:pPr>
        <w:pStyle w:val="Sansinterligne"/>
      </w:pPr>
      <w:r w:rsidRPr="008C7B06">
        <w:rPr>
          <w:rStyle w:val="Accentuation"/>
        </w:rPr>
        <w:t>Collaborate with the Seychelles Fishing Authority (SFA) to further assess the quality of operational-level catch/size data from their longline vessels</w:t>
      </w:r>
      <w:r w:rsidRPr="008C7B06">
        <w:t>. This serves to provide a robust criterion for filtering data for CPUE standardisation and future stock assessments. This step shall build on the outputs of the previous analysis as described in IOTC-2025-WPTT27-28, and focus on data components submitted to the IOTC Secretariat.</w:t>
      </w:r>
    </w:p>
    <w:p w14:paraId="75F9FE91" w14:textId="61BD699F" w:rsidR="008C7B06" w:rsidRPr="008C7B06" w:rsidRDefault="008C7B06" w:rsidP="008C7B06">
      <w:pPr>
        <w:pStyle w:val="Sansinterligne"/>
      </w:pPr>
      <w:r w:rsidRPr="008C7B06">
        <w:rPr>
          <w:rStyle w:val="Accentuation"/>
        </w:rPr>
        <w:t>Collaborate with the SFA to develop standardized CPUE indices for the longline fleet on a species-specific level</w:t>
      </w:r>
      <w:r w:rsidRPr="008C7B06">
        <w:t xml:space="preserve">, using an appropriate mathematical or statistical model that can account for various sources </w:t>
      </w:r>
      <w:r w:rsidR="00E8719D">
        <w:t xml:space="preserve">of </w:t>
      </w:r>
      <w:r w:rsidRPr="008C7B06">
        <w:t>variability in the observed catch rates. These should initially be focused on the key tuna species (bigeye tuna, yellowfin tuna, albacore tuna where feasible and appropriate).</w:t>
      </w:r>
    </w:p>
    <w:p w14:paraId="62EC5BE6" w14:textId="1098C3C8" w:rsidR="00556318" w:rsidRDefault="008C7B06" w:rsidP="008C7B06">
      <w:pPr>
        <w:pStyle w:val="Sansinterligne"/>
      </w:pPr>
      <w:r w:rsidRPr="008C7B06">
        <w:rPr>
          <w:rStyle w:val="Accentuation"/>
        </w:rPr>
        <w:t>Provide technical training to SFA staff on the standardisation procedure and help them become familiar with the scripts</w:t>
      </w:r>
      <w:r w:rsidRPr="008C7B06">
        <w:t xml:space="preserve"> so they can reproduce and update the analysis independently in the future.</w:t>
      </w:r>
    </w:p>
    <w:p w14:paraId="6BF4A64C" w14:textId="0E1A404B" w:rsidR="008C7B06" w:rsidRPr="008C7B06" w:rsidRDefault="008C7B06" w:rsidP="008C7B06">
      <w:pPr>
        <w:suppressAutoHyphens/>
        <w:autoSpaceDE w:val="0"/>
        <w:autoSpaceDN w:val="0"/>
        <w:adjustRightInd w:val="0"/>
        <w:spacing w:after="0"/>
        <w:rPr>
          <w:rFonts w:ascii="Calibri" w:eastAsia="MS Mincho" w:hAnsi="Calibri" w:cs="Calibri"/>
          <w:szCs w:val="20"/>
        </w:rPr>
      </w:pPr>
      <w:r w:rsidRPr="008C7B06">
        <w:rPr>
          <w:rFonts w:ascii="Calibri" w:eastAsia="MS Mincho" w:hAnsi="Calibri" w:cs="Calibri"/>
          <w:szCs w:val="20"/>
        </w:rPr>
        <w:t xml:space="preserve">The consultant is expected to travel to Seychelles to work with SFA on the standardisation analysis for approximately five days (excluding days on travel). The dates are to be confirmed with SFA/IOTC Secretariat and are expected </w:t>
      </w:r>
      <w:r w:rsidR="00E8719D">
        <w:rPr>
          <w:rFonts w:ascii="Calibri" w:eastAsia="MS Mincho" w:hAnsi="Calibri" w:cs="Calibri"/>
          <w:szCs w:val="20"/>
        </w:rPr>
        <w:t xml:space="preserve">to </w:t>
      </w:r>
      <w:r w:rsidRPr="008C7B06">
        <w:rPr>
          <w:rFonts w:ascii="Calibri" w:eastAsia="MS Mincho" w:hAnsi="Calibri" w:cs="Calibri"/>
          <w:szCs w:val="20"/>
        </w:rPr>
        <w:t>be in August or September 2026.</w:t>
      </w:r>
    </w:p>
    <w:p w14:paraId="6407712A" w14:textId="77777777" w:rsidR="008C7B06" w:rsidRPr="00556318" w:rsidRDefault="008C7B06" w:rsidP="008C7B06"/>
    <w:p w14:paraId="0F32AC65" w14:textId="165ECD2F" w:rsidR="009A6B89" w:rsidRDefault="00556318" w:rsidP="008C7B06">
      <w:pPr>
        <w:pStyle w:val="Titre2"/>
        <w:rPr>
          <w:sz w:val="20"/>
          <w:szCs w:val="20"/>
        </w:rPr>
      </w:pPr>
      <w:r>
        <w:rPr>
          <w:bCs/>
          <w:sz w:val="20"/>
          <w:szCs w:val="20"/>
        </w:rPr>
        <w:t xml:space="preserve">Task 2 - </w:t>
      </w:r>
      <w:r w:rsidR="008C7B06" w:rsidRPr="008C7B06">
        <w:rPr>
          <w:bCs/>
          <w:sz w:val="20"/>
          <w:szCs w:val="20"/>
        </w:rPr>
        <w:t xml:space="preserve"> CPUE for Comoros Tuna Fishery</w:t>
      </w:r>
    </w:p>
    <w:p w14:paraId="41E3C1D3" w14:textId="6683F08F" w:rsidR="0079614A" w:rsidRPr="008C7B06" w:rsidRDefault="008C7B06" w:rsidP="00C11F3C">
      <w:r w:rsidRPr="00DB5735">
        <w:t>As part of ongoing capacity development activities, Comoros was identified as one of the CPCs with limited data processing capabilities. In 2026, the IOTC Secretariat conducted a capacity development mission to assess the availability of fishery data and the data processing systems in Comoros.</w:t>
      </w:r>
      <w:r>
        <w:t xml:space="preserve"> In Comoros, t</w:t>
      </w:r>
      <w:r w:rsidRPr="00DB5735">
        <w:t>he sampling of key species at major landing sites has been implemented through a programme established in 2011. A database system was developed to store and manage the collected data, which remains the primary data management system in Comoros and continues to be well maintained. In more recent years, Comoros has further enhanced data collection through digital tools, and an estimation procedure was developed within the database application to improve annual catch estimates by species and fishery based on sampled data. At present, samplers collect data using a mobile application, with data stored on a cloud-based server.</w:t>
      </w:r>
      <w:r>
        <w:t xml:space="preserve"> </w:t>
      </w:r>
      <w:r w:rsidRPr="00DB5735">
        <w:t>The main types of fisheries in Comoros include small non-motorised paddle boats, medium-sized vessels equipped with outboard engines, and larger vessels with outboard engines primarily targeting non-tuna species. The main fishing gears used for targeting tuna and tuna-like species include handlines, troll lines, and longlines.</w:t>
      </w:r>
      <w:r>
        <w:t xml:space="preserve">  The main segment of fisheries to be analysed in this consultancy are the small and </w:t>
      </w:r>
      <w:r w:rsidRPr="00DB5735">
        <w:t>medium-sized</w:t>
      </w:r>
      <w:r>
        <w:t xml:space="preserve"> vessels that target t</w:t>
      </w:r>
      <w:r w:rsidR="00C11F3C">
        <w:t>una and tuna-</w:t>
      </w:r>
      <w:r>
        <w:t>like species.</w:t>
      </w:r>
    </w:p>
    <w:p w14:paraId="25CAC082" w14:textId="77777777" w:rsidR="0079614A" w:rsidRPr="00556318" w:rsidRDefault="0079614A" w:rsidP="0079614A">
      <w:pPr>
        <w:pStyle w:val="Titre2"/>
        <w:numPr>
          <w:ilvl w:val="0"/>
          <w:numId w:val="0"/>
        </w:numPr>
        <w:rPr>
          <w:rFonts w:eastAsia="Times New Roman"/>
          <w:b w:val="0"/>
          <w:i w:val="0"/>
          <w:color w:val="auto"/>
        </w:rPr>
      </w:pPr>
      <w:r>
        <w:rPr>
          <w:rFonts w:eastAsia="Times New Roman"/>
          <w:b w:val="0"/>
          <w:i w:val="0"/>
          <w:color w:val="auto"/>
        </w:rPr>
        <w:t>The consultant should specifically follow the below-detailed methodology:</w:t>
      </w:r>
    </w:p>
    <w:p w14:paraId="684AFCE0" w14:textId="77777777" w:rsidR="008C7B06" w:rsidRPr="008C7B06" w:rsidRDefault="008C7B06" w:rsidP="008C7B06">
      <w:pPr>
        <w:pStyle w:val="Sansinterligne"/>
      </w:pPr>
      <w:r w:rsidRPr="008C7B06">
        <w:rPr>
          <w:rStyle w:val="Accentuation"/>
        </w:rPr>
        <w:t>Fishery characterization analysis</w:t>
      </w:r>
      <w:r w:rsidRPr="008C7B06">
        <w:t xml:space="preserve">: Collaborate with the DGRH (Direction Générale des Ressources Halieutiques) of Comoros, with support from the IOTC Secretariat, to analyze and </w:t>
      </w:r>
      <w:r w:rsidRPr="008C7B06">
        <w:lastRenderedPageBreak/>
        <w:t>characterize the catch, effort, and species composition data for tuna fisheries collected through the landing site sampling program.</w:t>
      </w:r>
    </w:p>
    <w:p w14:paraId="1FD41BC8" w14:textId="77777777" w:rsidR="008C7B06" w:rsidRPr="008C7B06" w:rsidRDefault="008C7B06" w:rsidP="008C7B06">
      <w:pPr>
        <w:pStyle w:val="Sansinterligne"/>
      </w:pPr>
      <w:r w:rsidRPr="008C7B06">
        <w:rPr>
          <w:rStyle w:val="Accentuation"/>
        </w:rPr>
        <w:t>Data suitability assessment</w:t>
      </w:r>
      <w:r w:rsidRPr="008C7B06">
        <w:t>: Assess the quality of the catch, effort, and species composition data from Comoros, and ascertain whether a suitable fishery component (handline, trolling, or longline) can be identified for which a consistent subset of data exists to permit standardization analysis.</w:t>
      </w:r>
    </w:p>
    <w:p w14:paraId="273A8B8B" w14:textId="77777777" w:rsidR="008C7B06" w:rsidRPr="008C7B06" w:rsidRDefault="008C7B06" w:rsidP="008C7B06">
      <w:pPr>
        <w:pStyle w:val="Sansinterligne"/>
      </w:pPr>
      <w:r w:rsidRPr="008C7B06">
        <w:rPr>
          <w:rStyle w:val="Accentuation"/>
        </w:rPr>
        <w:t>CPUE analysis</w:t>
      </w:r>
      <w:r w:rsidRPr="008C7B06">
        <w:t>: Pending the conclusions of the data suitability assessment, develop standardised CPUE indices at a species-specific level if a suitable fishery component or data subset can be identified. These should initially focus on the key tuna species (bigeye, yellowfin, and albacore) and fisheries where feasible and appropriate.</w:t>
      </w:r>
    </w:p>
    <w:p w14:paraId="362530EB" w14:textId="25587B2C" w:rsidR="008C7B06" w:rsidRDefault="008C7B06" w:rsidP="008C7B06">
      <w:pPr>
        <w:pStyle w:val="Sansinterligne"/>
      </w:pPr>
      <w:r w:rsidRPr="008C7B06">
        <w:rPr>
          <w:rStyle w:val="Accentuation"/>
        </w:rPr>
        <w:t>Technical training</w:t>
      </w:r>
      <w:r w:rsidRPr="008C7B06">
        <w:t>: If the CPUE analysis is conducted, provide technical training to DGRH staff on the standardization procedure and help them become familiar with the scripts so they can reproduce and update the analys</w:t>
      </w:r>
      <w:r>
        <w:t>is independently in the future.</w:t>
      </w:r>
    </w:p>
    <w:p w14:paraId="23C01DD3" w14:textId="06EDA1DB" w:rsidR="00B15B54" w:rsidRDefault="00B15B54" w:rsidP="00B15B54">
      <w:r w:rsidRPr="00B15B54">
        <w:t>The consultant is expected to travel to Comoros to work with DGRH on the analysis for a maximum of 10 days (excluding travel days). The dates are to be confirmed with DGRH /IOTC Secretariat and are expected to be sometime between February and April 2027. The IOTC Secretariat will coordinate with DGRH on accessing the data for the analysis. The number of days may be reduced if the data suitability assessment indicates that the</w:t>
      </w:r>
      <w:r>
        <w:t xml:space="preserve"> CPUE analysis is not feasible.</w:t>
      </w:r>
    </w:p>
    <w:p w14:paraId="656703FB" w14:textId="44515CC1" w:rsidR="00F735A4" w:rsidRDefault="00F735A4" w:rsidP="00B15B54"/>
    <w:p w14:paraId="2CD007AE" w14:textId="1B61BB89" w:rsidR="00F735A4" w:rsidRDefault="00F735A4" w:rsidP="00F735A4">
      <w:pPr>
        <w:pStyle w:val="Titre2"/>
        <w:rPr>
          <w:sz w:val="20"/>
          <w:szCs w:val="20"/>
        </w:rPr>
      </w:pPr>
      <w:r>
        <w:rPr>
          <w:bCs/>
          <w:sz w:val="20"/>
          <w:szCs w:val="20"/>
        </w:rPr>
        <w:t xml:space="preserve">Task 3 - </w:t>
      </w:r>
      <w:r w:rsidRPr="00F735A4">
        <w:rPr>
          <w:bCs/>
          <w:sz w:val="20"/>
          <w:szCs w:val="20"/>
        </w:rPr>
        <w:t>Review of development of data-poor stock assessment methodologies for IOTC neritic tuna species</w:t>
      </w:r>
    </w:p>
    <w:p w14:paraId="392A35B4" w14:textId="465D1C1F" w:rsidR="00F735A4" w:rsidRPr="00F735A4" w:rsidRDefault="00F735A4" w:rsidP="000B1ED2">
      <w:pPr>
        <w:rPr>
          <w:lang w:eastAsia="en-US"/>
        </w:rPr>
      </w:pPr>
      <w:r w:rsidRPr="00F735A4">
        <w:rPr>
          <w:lang w:eastAsia="en-US"/>
        </w:rPr>
        <w:t xml:space="preserve">Within the IOTC area of competence, coastal and semi-pelagic fisheries targeting neritic tunas represent an important component of national catches and domestic seafood supply. These fisheries are mainly conducted by small-scale fleets operating in coastal waters, where data on catch composition, effort and biological data remain scarce. Neritic tuna stocks are difficult to assess. The stock structure remains uncertain. The species are widely distributed but mixing appears to be local, meaning it is difficult to develop </w:t>
      </w:r>
      <w:r w:rsidR="00C11F3C">
        <w:rPr>
          <w:lang w:eastAsia="en-US"/>
        </w:rPr>
        <w:t>o</w:t>
      </w:r>
      <w:r w:rsidRPr="00F735A4">
        <w:rPr>
          <w:lang w:eastAsia="en-US"/>
        </w:rPr>
        <w:t>cean-wide index of abundance that is often essential for the assessment. There is often a lack of robust data collection systems such as logbook. National sampling programs provide limited coverage of the fisheries</w:t>
      </w:r>
      <w:r w:rsidR="00AB2C66">
        <w:rPr>
          <w:lang w:eastAsia="en-US"/>
        </w:rPr>
        <w:t>,</w:t>
      </w:r>
      <w:r w:rsidRPr="00F735A4">
        <w:rPr>
          <w:lang w:eastAsia="en-US"/>
        </w:rPr>
        <w:t xml:space="preserve"> and data quality are difficult to assess. Regional studies on fish biology such as growth and maturity are inconsistent, exhibiting large variability in parameter estimates across regions. The IOTC Scientific Committee and its Working Parties on Neritic Tunas have repeatedly highlighted the need for interim analytical approaches capable of supporting management decisions even in the absence of complete datasets</w:t>
      </w:r>
    </w:p>
    <w:p w14:paraId="7685FFBA" w14:textId="061DA440" w:rsidR="00F735A4" w:rsidRPr="003D0BCF" w:rsidRDefault="00F735A4" w:rsidP="00F735A4">
      <w:pPr>
        <w:rPr>
          <w:sz w:val="20"/>
          <w:szCs w:val="20"/>
          <w:lang w:eastAsia="en-US"/>
        </w:rPr>
      </w:pPr>
    </w:p>
    <w:p w14:paraId="0DB06DF2" w14:textId="5EAB6665" w:rsidR="00F735A4" w:rsidRPr="00F735A4" w:rsidRDefault="00F735A4" w:rsidP="000B1ED2">
      <w:pPr>
        <w:rPr>
          <w:lang w:eastAsia="en-US"/>
        </w:rPr>
      </w:pPr>
      <w:r w:rsidRPr="00F735A4">
        <w:rPr>
          <w:lang w:eastAsia="en-US"/>
        </w:rPr>
        <w:t>IOTC</w:t>
      </w:r>
      <w:r w:rsidR="00187FED">
        <w:rPr>
          <w:lang w:eastAsia="en-US"/>
        </w:rPr>
        <w:t xml:space="preserve"> has been using a range of data-</w:t>
      </w:r>
      <w:r w:rsidRPr="00F735A4">
        <w:rPr>
          <w:lang w:eastAsia="en-US"/>
        </w:rPr>
        <w:t>limited stock assessment methods for assessing neritic tuna species. These methods use partial datasets such as total catches, length-frequency samples or qualitative indicators of abundance to estimate the relative stock status. Unlike traditional models that require detailed time series of catch and effort, data-poor approaches rely on simple relationships between biological traits such as growth rate, lifespan and maturity, and observed catch trends to approximate stock productivity and fishing pressure. Commonly applied tools include Catch-MSY, which estimates the range of sustainable yields compatible with observed catches, Length-Based SPR (LB-SPR), which uses size composition data to infer fishing mortality and spawning potential, and Depletion-Based Stock Reduction Analysis (DB-SRA), which estimates stock biomass trajectories under uncertainty. These methods require very limited data input, are easy to implement and interpret, and can produce estimates of reference points that are useful for management advice. However, the caveats with these approaches are well known. The catch-only method requires catch data to be complete and accurate, which is unlikely to b</w:t>
      </w:r>
      <w:r w:rsidR="00C11F3C">
        <w:rPr>
          <w:lang w:eastAsia="en-US"/>
        </w:rPr>
        <w:t>e the case for some neritic tuna</w:t>
      </w:r>
      <w:r w:rsidRPr="00F735A4">
        <w:rPr>
          <w:lang w:eastAsia="en-US"/>
        </w:rPr>
        <w:t xml:space="preserve"> species. The length methods require representative data from the fishery, but key assumptions such as stationary </w:t>
      </w:r>
      <w:r w:rsidRPr="00F735A4">
        <w:rPr>
          <w:lang w:eastAsia="en-US"/>
        </w:rPr>
        <w:lastRenderedPageBreak/>
        <w:t>recruitment and asymptotic selectivity are often not met. Depletion-Based methods often require strong prior assumptions on depletion level through the course of the fishery history, which can be subjective and can directly drive the outcome of the assessment. These caveats can add uncertainty to the assessment and may hinder the adoption of effective management measures</w:t>
      </w:r>
    </w:p>
    <w:p w14:paraId="153D4A9B" w14:textId="300B45EF" w:rsidR="00F735A4" w:rsidRPr="003D0BCF" w:rsidRDefault="00F735A4" w:rsidP="00F735A4">
      <w:pPr>
        <w:rPr>
          <w:sz w:val="20"/>
          <w:szCs w:val="20"/>
          <w:lang w:eastAsia="en-US"/>
        </w:rPr>
      </w:pPr>
      <w:r w:rsidRPr="003D0BCF">
        <w:rPr>
          <w:sz w:val="20"/>
          <w:szCs w:val="20"/>
          <w:lang w:eastAsia="en-US"/>
        </w:rPr>
        <w:t xml:space="preserve"> </w:t>
      </w:r>
    </w:p>
    <w:p w14:paraId="6B63CAFD" w14:textId="4754A2D0" w:rsidR="00F735A4" w:rsidRPr="00F735A4" w:rsidRDefault="00F735A4" w:rsidP="000B1ED2">
      <w:pPr>
        <w:rPr>
          <w:lang w:eastAsia="en-US"/>
        </w:rPr>
      </w:pPr>
      <w:r w:rsidRPr="00F735A4">
        <w:rPr>
          <w:lang w:eastAsia="en-US"/>
        </w:rPr>
        <w:t>Management Strategy Evaluation (MSE) approaches have also been suggested and discussed at IOTC Working Party for Neritic tuna. Through a simulation framework</w:t>
      </w:r>
      <w:r w:rsidR="00036268">
        <w:rPr>
          <w:lang w:eastAsia="en-US"/>
        </w:rPr>
        <w:t>,</w:t>
      </w:r>
      <w:r w:rsidRPr="00F735A4">
        <w:rPr>
          <w:lang w:eastAsia="en-US"/>
        </w:rPr>
        <w:t xml:space="preserve"> the MSE aims to provide </w:t>
      </w:r>
      <w:r w:rsidR="00036268">
        <w:rPr>
          <w:lang w:eastAsia="en-US"/>
        </w:rPr>
        <w:t>h</w:t>
      </w:r>
      <w:r w:rsidRPr="00F735A4">
        <w:rPr>
          <w:lang w:eastAsia="en-US"/>
        </w:rPr>
        <w:t>arvest control rule or management options that are robust to a wide range of uncertainty, and as such are suitable for species</w:t>
      </w:r>
      <w:r w:rsidR="00036268">
        <w:rPr>
          <w:lang w:eastAsia="en-US"/>
        </w:rPr>
        <w:t xml:space="preserve"> for which</w:t>
      </w:r>
      <w:r w:rsidRPr="00F735A4">
        <w:rPr>
          <w:lang w:eastAsia="en-US"/>
        </w:rPr>
        <w:t xml:space="preserve"> there is considerable uncertainty regarding stock structure, population dynamics, and status. For example, an operating model conditioned on catch, size frequency, and possibly some index would be suitable for assessing the status of neritic tuna and providing advice that is commensurate with the data. The MSE projects populations under different fishing intensities to test index-based HCR and/or justify risk-based reference points and decisions, and could be a pragmatic approach to implement reasonable and precautionary decision-making in fisheries management. One option under this route is to create automated software that is much simpler to use and can be plugged directly into the existing DLM stock assessment software such as JABBA and Fishblicc. This approach can be a bridge between simple assessments and full MSE, and can be a useful add-on to current approaches if it improves robustness.</w:t>
      </w:r>
    </w:p>
    <w:p w14:paraId="6E6F2BF7" w14:textId="77777777" w:rsidR="00F735A4" w:rsidRPr="00F735A4" w:rsidRDefault="00F735A4" w:rsidP="00F735A4">
      <w:pPr>
        <w:rPr>
          <w:sz w:val="20"/>
          <w:szCs w:val="20"/>
          <w:lang w:eastAsia="en-US"/>
        </w:rPr>
      </w:pPr>
    </w:p>
    <w:p w14:paraId="3C686714" w14:textId="77777777" w:rsidR="00F735A4" w:rsidRDefault="00F735A4" w:rsidP="000B1ED2">
      <w:pPr>
        <w:rPr>
          <w:lang w:eastAsia="en-US"/>
        </w:rPr>
      </w:pPr>
      <w:r w:rsidRPr="00F735A4">
        <w:rPr>
          <w:lang w:eastAsia="en-US"/>
        </w:rPr>
        <w:t xml:space="preserve">To respond to this challenge, consultancy is required to support the testing and adaptation of data-limited or “data-poor” assessment methods. The task includes conducting a review of the current assessment methodologies, developing a prototype workflow to explore the potential extension of the current data-limited methods, including the use of a “MSE-lite” approach (i.e., not a full-fledged MSE) to derive simple harvest control rules and reference quantities through simulations. </w:t>
      </w:r>
    </w:p>
    <w:p w14:paraId="2D0B90DD" w14:textId="77777777" w:rsidR="00F735A4" w:rsidRDefault="00F735A4" w:rsidP="00F735A4">
      <w:pPr>
        <w:rPr>
          <w:sz w:val="20"/>
          <w:szCs w:val="20"/>
          <w:lang w:eastAsia="en-US"/>
        </w:rPr>
      </w:pPr>
    </w:p>
    <w:p w14:paraId="600BD134" w14:textId="16545703" w:rsidR="00F735A4" w:rsidRDefault="00F735A4" w:rsidP="00F735A4">
      <w:pPr>
        <w:rPr>
          <w:sz w:val="20"/>
          <w:szCs w:val="20"/>
          <w:lang w:eastAsia="en-US"/>
        </w:rPr>
      </w:pPr>
      <w:r w:rsidRPr="00F735A4">
        <w:rPr>
          <w:sz w:val="20"/>
          <w:szCs w:val="20"/>
          <w:lang w:eastAsia="en-US"/>
        </w:rPr>
        <w:t>Specifically, the consultancy shall implement the following task:</w:t>
      </w:r>
    </w:p>
    <w:p w14:paraId="0EEAC14B" w14:textId="77777777" w:rsidR="00F735A4" w:rsidRPr="006844C7" w:rsidRDefault="00F735A4" w:rsidP="00F735A4">
      <w:pPr>
        <w:pStyle w:val="Sansinterligne"/>
      </w:pPr>
      <w:r w:rsidRPr="00F735A4">
        <w:rPr>
          <w:rStyle w:val="Accentuation"/>
        </w:rPr>
        <w:t>Review the current stock assessment approaches for IOTC neritic tuna species</w:t>
      </w:r>
      <w:r>
        <w:t xml:space="preserve"> (with priority on longtail tuna, kawakawa, and Spanish Mackerel)</w:t>
      </w:r>
      <w:r w:rsidRPr="00BB7927">
        <w:t>, including the availability, gaps, and quality of data and their suitability for the assessing the stock status. Review the assessment methodology including the potential bias, and major sources of uncertainty that needs to be addressed. Review the current management quantities and advice and comment on whether they have been adequately supported by the assessment.</w:t>
      </w:r>
    </w:p>
    <w:p w14:paraId="3C9ABC3F" w14:textId="31020F47" w:rsidR="00F735A4" w:rsidRPr="00F735A4" w:rsidRDefault="00F735A4" w:rsidP="00F735A4">
      <w:pPr>
        <w:pStyle w:val="Sansinterligne"/>
      </w:pPr>
      <w:r w:rsidRPr="00F735A4">
        <w:rPr>
          <w:rStyle w:val="Accentuation"/>
        </w:rPr>
        <w:t>Investigate potential extension and adaptation of current methods</w:t>
      </w:r>
      <w:r w:rsidRPr="00BB7927">
        <w:t xml:space="preserve">, including the use of </w:t>
      </w:r>
      <w:r>
        <w:t>simulation-</w:t>
      </w:r>
      <w:r w:rsidRPr="00BB7927">
        <w:t xml:space="preserve">based approaches to recommend risk-based reference points or evaluate simple </w:t>
      </w:r>
      <w:r>
        <w:t>h</w:t>
      </w:r>
      <w:r w:rsidRPr="00BB7927">
        <w:t>arvest control rules for precautionary management and adequately address the inherent uncertainty</w:t>
      </w:r>
      <w:r>
        <w:t xml:space="preserve">, </w:t>
      </w:r>
      <w:r w:rsidRPr="00F66EB5">
        <w:t>using one neritic tuna species as a case study</w:t>
      </w:r>
      <w:r>
        <w:t>.</w:t>
      </w:r>
    </w:p>
    <w:p w14:paraId="006043A4" w14:textId="77777777" w:rsidR="00F735A4" w:rsidRPr="00B15B54" w:rsidRDefault="00F735A4" w:rsidP="00B15B54"/>
    <w:p w14:paraId="4D37394E" w14:textId="77777777" w:rsidR="00F15580" w:rsidRDefault="00F15580" w:rsidP="00EA2057">
      <w:pPr>
        <w:pStyle w:val="Titre1"/>
      </w:pPr>
      <w:r>
        <w:t>Explicit exclusions from the assignment</w:t>
      </w:r>
    </w:p>
    <w:p w14:paraId="5A9E3A27" w14:textId="77777777" w:rsidR="00F15580" w:rsidRDefault="00F15580" w:rsidP="00F15580">
      <w:r>
        <w:t>To avoid any ambiguity of roles, the consultant shall not:</w:t>
      </w:r>
    </w:p>
    <w:p w14:paraId="0329DBB0" w14:textId="41EE03DE" w:rsidR="00F15580" w:rsidRDefault="00F15580" w:rsidP="00F15580">
      <w:pPr>
        <w:pStyle w:val="Sansinterligne"/>
      </w:pPr>
      <w:r>
        <w:t xml:space="preserve">Represent Expertise France </w:t>
      </w:r>
      <w:r w:rsidR="00CA2E93">
        <w:t xml:space="preserve">or IOTC </w:t>
      </w:r>
      <w:r>
        <w:t>vis-à-vis the European Union, partner institutions, States or stakeholders;</w:t>
      </w:r>
    </w:p>
    <w:p w14:paraId="77DDA987" w14:textId="77777777" w:rsidR="00F15580" w:rsidRDefault="00F15580" w:rsidP="00F15580">
      <w:pPr>
        <w:pStyle w:val="Sansinterligne"/>
      </w:pPr>
      <w:r>
        <w:t>Coordinate, supervise or manage project activities or teams;</w:t>
      </w:r>
    </w:p>
    <w:p w14:paraId="0DBDA1E6" w14:textId="22749AFF" w:rsidR="00F15580" w:rsidRDefault="00F15580" w:rsidP="00F15580">
      <w:pPr>
        <w:pStyle w:val="Sansinterligne"/>
      </w:pPr>
      <w:r>
        <w:t>Assume decision-making, vali</w:t>
      </w:r>
      <w:r w:rsidR="0079614A">
        <w:t>dation or arbitration authorit</w:t>
      </w:r>
      <w:r w:rsidR="00CA2E93">
        <w:t>y;</w:t>
      </w:r>
    </w:p>
    <w:p w14:paraId="3EF8B6B7" w14:textId="77777777" w:rsidR="00F15580" w:rsidRDefault="00F15580" w:rsidP="00F15580">
      <w:pPr>
        <w:pStyle w:val="Sansinterligne"/>
      </w:pPr>
      <w:r>
        <w:t>Manage budgets, contracts, procurement or administrative processes;</w:t>
      </w:r>
    </w:p>
    <w:p w14:paraId="6686733A" w14:textId="29E9EFE1" w:rsidR="00F15580" w:rsidRDefault="00F15580" w:rsidP="00F15580">
      <w:pPr>
        <w:pStyle w:val="Sansinterligne"/>
      </w:pPr>
      <w:r>
        <w:t xml:space="preserve">Substitute for the Project </w:t>
      </w:r>
      <w:r w:rsidR="00556318">
        <w:t>Coordinator</w:t>
      </w:r>
      <w:r>
        <w:t xml:space="preserve"> or any member of the Project Management Unit.</w:t>
      </w:r>
    </w:p>
    <w:p w14:paraId="4EFF75B9" w14:textId="2D0F978D" w:rsidR="00F15580" w:rsidRPr="00F15580" w:rsidRDefault="00F15580" w:rsidP="00F15580">
      <w:r>
        <w:lastRenderedPageBreak/>
        <w:t>All recommendations provided by the consultant will be non-binding and subject to</w:t>
      </w:r>
      <w:r w:rsidR="00CA2E93">
        <w:t xml:space="preserve"> validation by Expertise France and IOTC. </w:t>
      </w:r>
    </w:p>
    <w:p w14:paraId="39542B80" w14:textId="083C3BFE" w:rsidR="0024495E" w:rsidRDefault="0024495E" w:rsidP="00EA2057">
      <w:pPr>
        <w:pStyle w:val="Titre1"/>
      </w:pPr>
      <w:r>
        <w:t>Expected deliverables</w:t>
      </w:r>
    </w:p>
    <w:p w14:paraId="235F2DC4" w14:textId="2B96EF8C" w:rsidR="00793E32" w:rsidRDefault="00793E32" w:rsidP="00793E32">
      <w:r>
        <w:t xml:space="preserve">The consultancy will be structured around a limited number of clearly identified deliverable categories, with an indicative level of effort (LoE) and an indicative delivery timeline, to be confirmed and adjusted at the </w:t>
      </w:r>
      <w:r w:rsidR="00556318">
        <w:t xml:space="preserve">beginning of the service. </w:t>
      </w:r>
    </w:p>
    <w:p w14:paraId="156B8216" w14:textId="77777777" w:rsidR="00793E32" w:rsidRDefault="00793E32" w:rsidP="00793E32"/>
    <w:p w14:paraId="456A5481" w14:textId="78C92092" w:rsidR="00793E32" w:rsidRDefault="00793E32" w:rsidP="00B43541">
      <w:r>
        <w:t xml:space="preserve">The table below presents the expected main deliverables, their estimated workload and indicative timing, for an overall ceiling of up to </w:t>
      </w:r>
      <w:r w:rsidR="00552758">
        <w:t>45</w:t>
      </w:r>
      <w:r>
        <w:t xml:space="preserve"> working days over a maximum period of </w:t>
      </w:r>
      <w:r w:rsidR="003D0BCF">
        <w:t>sixteen (16) months</w:t>
      </w:r>
      <w:r w:rsidR="00CD4816">
        <w:t xml:space="preserve">. </w:t>
      </w:r>
    </w:p>
    <w:p w14:paraId="3AC1A627" w14:textId="67FA571F" w:rsidR="00793E32" w:rsidRDefault="00793E32" w:rsidP="00B43541"/>
    <w:tbl>
      <w:tblPr>
        <w:tblStyle w:val="GridTable2-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3723"/>
        <w:gridCol w:w="1142"/>
        <w:gridCol w:w="1174"/>
        <w:gridCol w:w="1565"/>
      </w:tblGrid>
      <w:tr w:rsidR="00EC6C07" w:rsidRPr="00793E32" w14:paraId="31655191" w14:textId="77777777" w:rsidTr="00793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1F3864" w:themeFill="accent5" w:themeFillShade="80"/>
            <w:vAlign w:val="center"/>
            <w:hideMark/>
          </w:tcPr>
          <w:p w14:paraId="692BA449" w14:textId="77777777" w:rsidR="00793E32" w:rsidRPr="00B43541" w:rsidRDefault="00793E32">
            <w:pPr>
              <w:spacing w:after="0"/>
              <w:contextualSpacing w:val="0"/>
              <w:jc w:val="center"/>
              <w:rPr>
                <w:bCs/>
                <w:color w:val="FFFFFF" w:themeColor="background1"/>
                <w:szCs w:val="24"/>
                <w:lang w:val="fr-FR"/>
              </w:rPr>
            </w:pPr>
            <w:r w:rsidRPr="00B43541">
              <w:rPr>
                <w:bCs/>
                <w:color w:val="FFFFFF" w:themeColor="background1"/>
                <w:szCs w:val="24"/>
                <w:lang w:val="fr-FR"/>
              </w:rPr>
              <w:t>Deliverable category</w:t>
            </w:r>
          </w:p>
        </w:tc>
        <w:tc>
          <w:tcPr>
            <w:tcW w:w="0" w:type="auto"/>
            <w:shd w:val="clear" w:color="auto" w:fill="1F3864" w:themeFill="accent5" w:themeFillShade="80"/>
            <w:vAlign w:val="center"/>
            <w:hideMark/>
          </w:tcPr>
          <w:p w14:paraId="4A4A83AC" w14:textId="77777777" w:rsidR="00793E32" w:rsidRPr="00B43541" w:rsidRDefault="00793E32">
            <w:pPr>
              <w:spacing w:after="0"/>
              <w:contextualSpacing w:val="0"/>
              <w:jc w:val="center"/>
              <w:cnfStyle w:val="100000000000" w:firstRow="1" w:lastRow="0" w:firstColumn="0" w:lastColumn="0" w:oddVBand="0" w:evenVBand="0" w:oddHBand="0" w:evenHBand="0" w:firstRowFirstColumn="0" w:firstRowLastColumn="0" w:lastRowFirstColumn="0" w:lastRowLastColumn="0"/>
              <w:rPr>
                <w:bCs/>
                <w:color w:val="FFFFFF" w:themeColor="background1"/>
                <w:szCs w:val="24"/>
                <w:lang w:val="fr-FR"/>
              </w:rPr>
            </w:pPr>
            <w:r w:rsidRPr="00B43541">
              <w:rPr>
                <w:bCs/>
                <w:color w:val="FFFFFF" w:themeColor="background1"/>
                <w:szCs w:val="24"/>
                <w:lang w:val="fr-FR"/>
              </w:rPr>
              <w:t>Description</w:t>
            </w:r>
          </w:p>
        </w:tc>
        <w:tc>
          <w:tcPr>
            <w:tcW w:w="0" w:type="auto"/>
            <w:shd w:val="clear" w:color="auto" w:fill="1F3864" w:themeFill="accent5" w:themeFillShade="80"/>
            <w:vAlign w:val="center"/>
            <w:hideMark/>
          </w:tcPr>
          <w:p w14:paraId="27AA40B1" w14:textId="77777777" w:rsidR="00793E32" w:rsidRPr="00B43541" w:rsidRDefault="00793E32">
            <w:pPr>
              <w:spacing w:after="0"/>
              <w:contextualSpacing w:val="0"/>
              <w:jc w:val="center"/>
              <w:cnfStyle w:val="100000000000" w:firstRow="1" w:lastRow="0" w:firstColumn="0" w:lastColumn="0" w:oddVBand="0" w:evenVBand="0" w:oddHBand="0" w:evenHBand="0" w:firstRowFirstColumn="0" w:firstRowLastColumn="0" w:lastRowFirstColumn="0" w:lastRowLastColumn="0"/>
              <w:rPr>
                <w:bCs/>
                <w:color w:val="FFFFFF" w:themeColor="background1"/>
                <w:szCs w:val="24"/>
                <w:lang w:val="fr-FR"/>
              </w:rPr>
            </w:pPr>
            <w:r w:rsidRPr="00B43541">
              <w:rPr>
                <w:bCs/>
                <w:color w:val="FFFFFF" w:themeColor="background1"/>
                <w:szCs w:val="24"/>
                <w:lang w:val="fr-FR"/>
              </w:rPr>
              <w:t>Indicative number</w:t>
            </w:r>
          </w:p>
        </w:tc>
        <w:tc>
          <w:tcPr>
            <w:tcW w:w="0" w:type="auto"/>
            <w:shd w:val="clear" w:color="auto" w:fill="1F3864" w:themeFill="accent5" w:themeFillShade="80"/>
            <w:vAlign w:val="center"/>
            <w:hideMark/>
          </w:tcPr>
          <w:p w14:paraId="49808CA8" w14:textId="77777777" w:rsidR="00793E32" w:rsidRPr="00B43541" w:rsidRDefault="00793E32">
            <w:pPr>
              <w:spacing w:after="0"/>
              <w:contextualSpacing w:val="0"/>
              <w:jc w:val="center"/>
              <w:cnfStyle w:val="100000000000" w:firstRow="1" w:lastRow="0" w:firstColumn="0" w:lastColumn="0" w:oddVBand="0" w:evenVBand="0" w:oddHBand="0" w:evenHBand="0" w:firstRowFirstColumn="0" w:firstRowLastColumn="0" w:lastRowFirstColumn="0" w:lastRowLastColumn="0"/>
              <w:rPr>
                <w:bCs/>
                <w:color w:val="FFFFFF" w:themeColor="background1"/>
                <w:szCs w:val="24"/>
                <w:lang w:val="fr-FR"/>
              </w:rPr>
            </w:pPr>
            <w:r w:rsidRPr="00B43541">
              <w:rPr>
                <w:bCs/>
                <w:color w:val="FFFFFF" w:themeColor="background1"/>
                <w:szCs w:val="24"/>
                <w:lang w:val="fr-FR"/>
              </w:rPr>
              <w:t>Estimated LoE (days)</w:t>
            </w:r>
          </w:p>
        </w:tc>
        <w:tc>
          <w:tcPr>
            <w:tcW w:w="0" w:type="auto"/>
            <w:shd w:val="clear" w:color="auto" w:fill="1F3864" w:themeFill="accent5" w:themeFillShade="80"/>
            <w:vAlign w:val="center"/>
            <w:hideMark/>
          </w:tcPr>
          <w:p w14:paraId="63A0F85F" w14:textId="77777777" w:rsidR="00793E32" w:rsidRPr="00B43541" w:rsidRDefault="00793E32">
            <w:pPr>
              <w:spacing w:after="0"/>
              <w:contextualSpacing w:val="0"/>
              <w:jc w:val="center"/>
              <w:cnfStyle w:val="100000000000" w:firstRow="1" w:lastRow="0" w:firstColumn="0" w:lastColumn="0" w:oddVBand="0" w:evenVBand="0" w:oddHBand="0" w:evenHBand="0" w:firstRowFirstColumn="0" w:firstRowLastColumn="0" w:lastRowFirstColumn="0" w:lastRowLastColumn="0"/>
              <w:rPr>
                <w:bCs/>
                <w:color w:val="FFFFFF" w:themeColor="background1"/>
                <w:szCs w:val="24"/>
                <w:lang w:val="fr-FR"/>
              </w:rPr>
            </w:pPr>
            <w:r w:rsidRPr="00B43541">
              <w:rPr>
                <w:bCs/>
                <w:color w:val="FFFFFF" w:themeColor="background1"/>
                <w:szCs w:val="24"/>
                <w:lang w:val="fr-FR"/>
              </w:rPr>
              <w:t>Indicative timing</w:t>
            </w:r>
          </w:p>
        </w:tc>
      </w:tr>
      <w:tr w:rsidR="00EC6C07" w:rsidRPr="00793E32" w14:paraId="793877A0" w14:textId="77777777" w:rsidTr="00793E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vAlign w:val="center"/>
            <w:hideMark/>
          </w:tcPr>
          <w:p w14:paraId="16F70796" w14:textId="7924602A" w:rsidR="00793E32" w:rsidRPr="00552758" w:rsidRDefault="00793E32" w:rsidP="002D473C">
            <w:pPr>
              <w:spacing w:after="0"/>
              <w:contextualSpacing w:val="0"/>
              <w:jc w:val="center"/>
              <w:rPr>
                <w:rFonts w:asciiTheme="minorHAnsi" w:hAnsiTheme="minorHAnsi"/>
                <w:color w:val="auto"/>
                <w:sz w:val="20"/>
                <w:szCs w:val="24"/>
              </w:rPr>
            </w:pPr>
            <w:r w:rsidRPr="00552758">
              <w:rPr>
                <w:rFonts w:asciiTheme="minorHAnsi" w:hAnsiTheme="minorHAnsi"/>
                <w:bCs/>
                <w:color w:val="auto"/>
                <w:sz w:val="20"/>
                <w:szCs w:val="24"/>
              </w:rPr>
              <w:t>Deliverable</w:t>
            </w:r>
            <w:r w:rsidR="00556318" w:rsidRPr="00552758">
              <w:rPr>
                <w:rFonts w:asciiTheme="minorHAnsi" w:hAnsiTheme="minorHAnsi"/>
                <w:bCs/>
                <w:color w:val="auto"/>
                <w:sz w:val="20"/>
                <w:szCs w:val="24"/>
              </w:rPr>
              <w:t>s under Task</w:t>
            </w:r>
            <w:r w:rsidRPr="00552758">
              <w:rPr>
                <w:rFonts w:asciiTheme="minorHAnsi" w:hAnsiTheme="minorHAnsi"/>
                <w:bCs/>
                <w:color w:val="auto"/>
                <w:sz w:val="20"/>
                <w:szCs w:val="24"/>
              </w:rPr>
              <w:t xml:space="preserve"> </w:t>
            </w:r>
            <w:r w:rsidR="002D473C" w:rsidRPr="00552758">
              <w:rPr>
                <w:rFonts w:asciiTheme="minorHAnsi" w:hAnsiTheme="minorHAnsi"/>
                <w:bCs/>
                <w:color w:val="auto"/>
                <w:sz w:val="20"/>
                <w:szCs w:val="24"/>
              </w:rPr>
              <w:t xml:space="preserve">1 </w:t>
            </w:r>
          </w:p>
        </w:tc>
        <w:tc>
          <w:tcPr>
            <w:tcW w:w="0" w:type="auto"/>
            <w:shd w:val="clear" w:color="auto" w:fill="D9E2F3" w:themeFill="accent5" w:themeFillTint="33"/>
            <w:vAlign w:val="center"/>
            <w:hideMark/>
          </w:tcPr>
          <w:p w14:paraId="2B97BC39" w14:textId="6E5BA255" w:rsidR="006C40F0" w:rsidRPr="006C40F0" w:rsidRDefault="006C40F0" w:rsidP="006C40F0">
            <w:pPr>
              <w:pStyle w:val="Sansinterligne"/>
              <w:cnfStyle w:val="000000100000" w:firstRow="0" w:lastRow="0" w:firstColumn="0" w:lastColumn="0" w:oddVBand="0" w:evenVBand="0" w:oddHBand="1" w:evenHBand="0" w:firstRowFirstColumn="0" w:firstRowLastColumn="0" w:lastRowFirstColumn="0" w:lastRowLastColumn="0"/>
              <w:rPr>
                <w:color w:val="auto"/>
              </w:rPr>
            </w:pPr>
            <w:r w:rsidRPr="000F1D83">
              <w:rPr>
                <w:b/>
                <w:color w:val="auto"/>
              </w:rPr>
              <w:t>One (1) s</w:t>
            </w:r>
            <w:r w:rsidRPr="000F1D83">
              <w:rPr>
                <w:b/>
                <w:color w:val="auto"/>
              </w:rPr>
              <w:t>tandardised CPUE indices</w:t>
            </w:r>
            <w:r w:rsidRPr="006C40F0">
              <w:rPr>
                <w:color w:val="auto"/>
              </w:rPr>
              <w:t xml:space="preserve"> </w:t>
            </w:r>
            <w:r w:rsidRPr="000F1D83">
              <w:rPr>
                <w:b/>
                <w:color w:val="auto"/>
              </w:rPr>
              <w:t>for the Seychelles fleet for key tuna species</w:t>
            </w:r>
            <w:r w:rsidRPr="006C40F0">
              <w:rPr>
                <w:color w:val="auto"/>
              </w:rPr>
              <w:t xml:space="preserve"> (bigeye tuna, yellowfin tuna, albacore tuna where feasible and appropriate), including annotated code and a detailed report describing how the index was generated, estimates of uncertainty, and any caveats relating to the index or underlying data.</w:t>
            </w:r>
          </w:p>
          <w:p w14:paraId="771C980B" w14:textId="1D3CF893" w:rsidR="006C40F0" w:rsidRPr="006C40F0" w:rsidRDefault="006C40F0" w:rsidP="006C40F0">
            <w:pPr>
              <w:pStyle w:val="Sansinterligne"/>
              <w:cnfStyle w:val="000000100000" w:firstRow="0" w:lastRow="0" w:firstColumn="0" w:lastColumn="0" w:oddVBand="0" w:evenVBand="0" w:oddHBand="1" w:evenHBand="0" w:firstRowFirstColumn="0" w:firstRowLastColumn="0" w:lastRowFirstColumn="0" w:lastRowLastColumn="0"/>
              <w:rPr>
                <w:color w:val="auto"/>
              </w:rPr>
            </w:pPr>
            <w:r w:rsidRPr="006C40F0">
              <w:rPr>
                <w:b/>
                <w:color w:val="auto"/>
              </w:rPr>
              <w:t>One (1)</w:t>
            </w:r>
            <w:r w:rsidRPr="006C40F0">
              <w:rPr>
                <w:b/>
                <w:color w:val="auto"/>
              </w:rPr>
              <w:t xml:space="preserve"> report detailing</w:t>
            </w:r>
            <w:r w:rsidRPr="006C40F0">
              <w:rPr>
                <w:color w:val="auto"/>
              </w:rPr>
              <w:t xml:space="preserve"> the analysis,</w:t>
            </w:r>
            <w:r>
              <w:rPr>
                <w:color w:val="auto"/>
              </w:rPr>
              <w:t xml:space="preserve"> including (</w:t>
            </w:r>
            <w:r w:rsidRPr="006C40F0">
              <w:rPr>
                <w:color w:val="auto"/>
              </w:rPr>
              <w:t xml:space="preserve">the quality-control screening methods and data filtering necessary to incorporate high-quality data into stock assessments; </w:t>
            </w:r>
            <w:r>
              <w:rPr>
                <w:color w:val="auto"/>
              </w:rPr>
              <w:t>the m</w:t>
            </w:r>
            <w:r w:rsidRPr="006C40F0">
              <w:rPr>
                <w:color w:val="auto"/>
              </w:rPr>
              <w:t>ethods for completing the standardisation process in future years , including recommended procedures for preparing the datasets</w:t>
            </w:r>
            <w:r>
              <w:rPr>
                <w:color w:val="auto"/>
              </w:rPr>
              <w:t>,</w:t>
            </w:r>
            <w:r w:rsidRPr="006C40F0">
              <w:rPr>
                <w:color w:val="auto"/>
              </w:rPr>
              <w:t xml:space="preserve"> recommendations to SFA on areas for improvement in data collection (e.g. educational components for skippers or fishers on board vessels); </w:t>
            </w:r>
            <w:r>
              <w:rPr>
                <w:color w:val="auto"/>
              </w:rPr>
              <w:t>and a</w:t>
            </w:r>
            <w:r w:rsidRPr="006C40F0">
              <w:rPr>
                <w:color w:val="auto"/>
              </w:rPr>
              <w:t xml:space="preserve"> clear guidance to the IOTC WPTT and Scientific Committee on the best use of Seychelles longline catch, effort, and length data for assessing IOTC species</w:t>
            </w:r>
          </w:p>
          <w:p w14:paraId="0260D4F8" w14:textId="77777777" w:rsidR="00EC6C07" w:rsidRPr="006C40F0" w:rsidRDefault="00EC6C07" w:rsidP="006C40F0">
            <w:pPr>
              <w:pStyle w:val="Sansinterligne"/>
              <w:cnfStyle w:val="000000100000" w:firstRow="0" w:lastRow="0" w:firstColumn="0" w:lastColumn="0" w:oddVBand="0" w:evenVBand="0" w:oddHBand="1" w:evenHBand="0" w:firstRowFirstColumn="0" w:firstRowLastColumn="0" w:lastRowFirstColumn="0" w:lastRowLastColumn="0"/>
              <w:rPr>
                <w:color w:val="auto"/>
              </w:rPr>
            </w:pPr>
            <w:r w:rsidRPr="006C40F0">
              <w:rPr>
                <w:b/>
                <w:color w:val="auto"/>
              </w:rPr>
              <w:lastRenderedPageBreak/>
              <w:t>One (1) technical training session or training support to SFA staff</w:t>
            </w:r>
            <w:r w:rsidRPr="006C40F0">
              <w:rPr>
                <w:color w:val="auto"/>
              </w:rPr>
              <w:t xml:space="preserve"> on the standardisation procedure and analytical scripts. </w:t>
            </w:r>
          </w:p>
          <w:p w14:paraId="1DEACC27" w14:textId="59D603E9" w:rsidR="00556318" w:rsidRPr="006C40F0" w:rsidRDefault="00EC6C07" w:rsidP="006C40F0">
            <w:pPr>
              <w:pStyle w:val="Sansinterligne"/>
              <w:cnfStyle w:val="000000100000" w:firstRow="0" w:lastRow="0" w:firstColumn="0" w:lastColumn="0" w:oddVBand="0" w:evenVBand="0" w:oddHBand="1" w:evenHBand="0" w:firstRowFirstColumn="0" w:firstRowLastColumn="0" w:lastRowFirstColumn="0" w:lastRowLastColumn="0"/>
              <w:rPr>
                <w:color w:val="auto"/>
              </w:rPr>
            </w:pPr>
            <w:r w:rsidRPr="006C40F0">
              <w:rPr>
                <w:b/>
                <w:color w:val="auto"/>
              </w:rPr>
              <w:t xml:space="preserve">One (1) presentation </w:t>
            </w:r>
            <w:r w:rsidRPr="006C40F0">
              <w:rPr>
                <w:color w:val="auto"/>
              </w:rPr>
              <w:t>of the report and key findings to the IOTC Working Party on Tropical Tunas in October 2026.</w:t>
            </w:r>
          </w:p>
        </w:tc>
        <w:tc>
          <w:tcPr>
            <w:tcW w:w="0" w:type="auto"/>
            <w:shd w:val="clear" w:color="auto" w:fill="D9E2F3" w:themeFill="accent5" w:themeFillTint="33"/>
            <w:vAlign w:val="center"/>
            <w:hideMark/>
          </w:tcPr>
          <w:p w14:paraId="53A6B2A8" w14:textId="281EC8D7" w:rsidR="00793E32" w:rsidRPr="00552758" w:rsidRDefault="00EC6C07" w:rsidP="00B43541">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4"/>
              </w:rPr>
            </w:pPr>
            <w:r>
              <w:rPr>
                <w:rFonts w:asciiTheme="minorHAnsi" w:hAnsiTheme="minorHAnsi"/>
                <w:color w:val="auto"/>
                <w:sz w:val="20"/>
                <w:szCs w:val="24"/>
              </w:rPr>
              <w:lastRenderedPageBreak/>
              <w:t>Four (4</w:t>
            </w:r>
            <w:r w:rsidR="00556318" w:rsidRPr="00552758">
              <w:rPr>
                <w:rFonts w:asciiTheme="minorHAnsi" w:hAnsiTheme="minorHAnsi"/>
                <w:color w:val="auto"/>
                <w:sz w:val="20"/>
                <w:szCs w:val="24"/>
              </w:rPr>
              <w:t>)</w:t>
            </w:r>
          </w:p>
        </w:tc>
        <w:tc>
          <w:tcPr>
            <w:tcW w:w="0" w:type="auto"/>
            <w:shd w:val="clear" w:color="auto" w:fill="D9E2F3" w:themeFill="accent5" w:themeFillTint="33"/>
            <w:vAlign w:val="center"/>
            <w:hideMark/>
          </w:tcPr>
          <w:p w14:paraId="3D20C39A" w14:textId="0666E8B3" w:rsidR="00793E32" w:rsidRPr="00552758" w:rsidRDefault="00953554" w:rsidP="00EC6C07">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4"/>
                <w:lang w:val="fr-FR"/>
              </w:rPr>
            </w:pPr>
            <w:r w:rsidRPr="00552758">
              <w:rPr>
                <w:rFonts w:asciiTheme="minorHAnsi" w:hAnsiTheme="minorHAnsi"/>
                <w:color w:val="auto"/>
                <w:sz w:val="20"/>
                <w:szCs w:val="24"/>
                <w:lang w:val="fr-FR"/>
              </w:rPr>
              <w:t>≈</w:t>
            </w:r>
            <w:r w:rsidR="00EC6C07">
              <w:rPr>
                <w:rFonts w:asciiTheme="minorHAnsi" w:hAnsiTheme="minorHAnsi"/>
                <w:color w:val="auto"/>
                <w:sz w:val="20"/>
                <w:szCs w:val="24"/>
                <w:lang w:val="fr-FR"/>
              </w:rPr>
              <w:t>13</w:t>
            </w:r>
            <w:r w:rsidR="00793E32" w:rsidRPr="00552758">
              <w:rPr>
                <w:rFonts w:asciiTheme="minorHAnsi" w:hAnsiTheme="minorHAnsi"/>
                <w:color w:val="auto"/>
                <w:sz w:val="20"/>
                <w:szCs w:val="24"/>
                <w:lang w:val="fr-FR"/>
              </w:rPr>
              <w:t xml:space="preserve"> days</w:t>
            </w:r>
          </w:p>
        </w:tc>
        <w:tc>
          <w:tcPr>
            <w:tcW w:w="0" w:type="auto"/>
            <w:shd w:val="clear" w:color="auto" w:fill="D9E2F3" w:themeFill="accent5" w:themeFillTint="33"/>
            <w:vAlign w:val="center"/>
            <w:hideMark/>
          </w:tcPr>
          <w:p w14:paraId="2CFCCC5B" w14:textId="7DB4D0FD" w:rsidR="00793E32" w:rsidRPr="00552758" w:rsidRDefault="00EC6C07" w:rsidP="00552758">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4"/>
              </w:rPr>
            </w:pPr>
            <w:r w:rsidRPr="00EC6C07">
              <w:rPr>
                <w:rFonts w:asciiTheme="minorHAnsi" w:hAnsiTheme="minorHAnsi"/>
                <w:color w:val="auto"/>
                <w:sz w:val="20"/>
                <w:szCs w:val="24"/>
              </w:rPr>
              <w:t>Months 1–3, with draft report submitted at least two weeks before the WPTT document submission deadline</w:t>
            </w:r>
          </w:p>
        </w:tc>
      </w:tr>
      <w:tr w:rsidR="00EC6C07" w:rsidRPr="00793E32" w14:paraId="4B574C54" w14:textId="77777777" w:rsidTr="00793E32">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vAlign w:val="center"/>
            <w:hideMark/>
          </w:tcPr>
          <w:p w14:paraId="06523AA7" w14:textId="2BB9240E" w:rsidR="00EC6C07" w:rsidRPr="00552758" w:rsidRDefault="00EC6C07" w:rsidP="00EC6C07">
            <w:pPr>
              <w:spacing w:after="0"/>
              <w:contextualSpacing w:val="0"/>
              <w:jc w:val="center"/>
              <w:rPr>
                <w:color w:val="auto"/>
                <w:sz w:val="20"/>
                <w:szCs w:val="24"/>
              </w:rPr>
            </w:pPr>
            <w:r w:rsidRPr="00552758">
              <w:rPr>
                <w:bCs/>
                <w:color w:val="auto"/>
                <w:sz w:val="20"/>
                <w:szCs w:val="24"/>
              </w:rPr>
              <w:t>Deliverables under Task 2</w:t>
            </w:r>
          </w:p>
        </w:tc>
        <w:tc>
          <w:tcPr>
            <w:tcW w:w="0" w:type="auto"/>
            <w:shd w:val="clear" w:color="auto" w:fill="D9E2F3" w:themeFill="accent5" w:themeFillTint="33"/>
            <w:vAlign w:val="center"/>
            <w:hideMark/>
          </w:tcPr>
          <w:p w14:paraId="64865020" w14:textId="7CE09A71" w:rsidR="006C40F0" w:rsidRPr="00DB6588" w:rsidRDefault="006C40F0" w:rsidP="006C40F0">
            <w:pPr>
              <w:pStyle w:val="Sansinterligne"/>
              <w:cnfStyle w:val="000000000000" w:firstRow="0" w:lastRow="0" w:firstColumn="0" w:lastColumn="0" w:oddVBand="0" w:evenVBand="0" w:oddHBand="0" w:evenHBand="0" w:firstRowFirstColumn="0" w:firstRowLastColumn="0" w:lastRowFirstColumn="0" w:lastRowLastColumn="0"/>
              <w:rPr>
                <w:rFonts w:eastAsia="Times New Roman"/>
                <w:lang w:eastAsia="zh-CN"/>
              </w:rPr>
            </w:pPr>
            <w:r w:rsidRPr="006C40F0">
              <w:rPr>
                <w:b/>
              </w:rPr>
              <w:t>One (1) s</w:t>
            </w:r>
            <w:r w:rsidRPr="006C40F0">
              <w:rPr>
                <w:b/>
              </w:rPr>
              <w:t>tandardised CPUE indices</w:t>
            </w:r>
            <w:r w:rsidRPr="000F1D83">
              <w:rPr>
                <w:b/>
              </w:rPr>
              <w:t xml:space="preserve"> for the Comoros tuna fisheries</w:t>
            </w:r>
            <w:r w:rsidRPr="00CA4AB0">
              <w:t xml:space="preserve"> for </w:t>
            </w:r>
            <w:r w:rsidRPr="00DB6588">
              <w:rPr>
                <w:rFonts w:eastAsia="Times New Roman"/>
                <w:lang w:eastAsia="zh-CN"/>
              </w:rPr>
              <w:t>key tuna species (bigeye tuna, yellowfin tuna, albacore tuna where feasible and appropriate)</w:t>
            </w:r>
            <w:r w:rsidRPr="00CA4AB0">
              <w:t>, including annotated code and a detailed report describing how the index was generated, estimates of uncertainty, and any caveats relating to the index or underlying data.</w:t>
            </w:r>
            <w:r>
              <w:t xml:space="preserve"> Where robust CPUE standardization is not technically feasibility, the consultant shall provide a data suitability assessment, documented limitations and recommendations for future data collection and analysis</w:t>
            </w:r>
          </w:p>
          <w:p w14:paraId="0FBCC367" w14:textId="4BEEB9C9" w:rsidR="006C40F0" w:rsidRPr="008402DA" w:rsidRDefault="006C40F0" w:rsidP="006C40F0">
            <w:pPr>
              <w:pStyle w:val="Sansinterligne"/>
              <w:cnfStyle w:val="000000000000" w:firstRow="0" w:lastRow="0" w:firstColumn="0" w:lastColumn="0" w:oddVBand="0" w:evenVBand="0" w:oddHBand="0" w:evenHBand="0" w:firstRowFirstColumn="0" w:firstRowLastColumn="0" w:lastRowFirstColumn="0" w:lastRowLastColumn="0"/>
            </w:pPr>
            <w:r w:rsidRPr="006C40F0">
              <w:rPr>
                <w:b/>
              </w:rPr>
              <w:t>One (1)</w:t>
            </w:r>
            <w:r w:rsidRPr="006C40F0">
              <w:rPr>
                <w:b/>
              </w:rPr>
              <w:t xml:space="preserve"> report</w:t>
            </w:r>
            <w:r w:rsidRPr="00CA4AB0">
              <w:t xml:space="preserve"> detailing </w:t>
            </w:r>
            <w:r>
              <w:t>the analysis, including</w:t>
            </w:r>
            <w:r>
              <w:t xml:space="preserve"> the summary of the fishery characterisation and data suitability assessment, including </w:t>
            </w:r>
            <w:r w:rsidRPr="00CA4AB0">
              <w:t>the quality-control screening methods and data filtering necessary to incorporate high-quality data</w:t>
            </w:r>
            <w:r>
              <w:t xml:space="preserve"> </w:t>
            </w:r>
            <w:r w:rsidRPr="00CA4AB0">
              <w:t xml:space="preserve">into </w:t>
            </w:r>
            <w:r>
              <w:t>the CPUE standardisations</w:t>
            </w:r>
            <w:r>
              <w:t>; the m</w:t>
            </w:r>
            <w:r w:rsidRPr="00C21E3B">
              <w:t xml:space="preserve">ethods for completing the standardisation process </w:t>
            </w:r>
            <w:r>
              <w:t>if feasible</w:t>
            </w:r>
            <w:r w:rsidRPr="00C21E3B">
              <w:t xml:space="preserve">, including recommended procedures for preparing the datasets, </w:t>
            </w:r>
            <w:r>
              <w:t>r</w:t>
            </w:r>
            <w:r w:rsidRPr="00C21E3B">
              <w:t xml:space="preserve">ecommendations to </w:t>
            </w:r>
            <w:r w:rsidRPr="003473BB">
              <w:t xml:space="preserve">DGRH </w:t>
            </w:r>
            <w:r w:rsidRPr="00C21E3B">
              <w:t xml:space="preserve">on areas for improvement in data </w:t>
            </w:r>
            <w:r w:rsidRPr="00C21E3B">
              <w:lastRenderedPageBreak/>
              <w:t>collection (e.g. educational components for skippers or fishers on board vessels)</w:t>
            </w:r>
            <w:r>
              <w:t xml:space="preserve">; </w:t>
            </w:r>
            <w:r>
              <w:t>and</w:t>
            </w:r>
            <w:r>
              <w:t xml:space="preserve"> c</w:t>
            </w:r>
            <w:r w:rsidRPr="00C21E3B">
              <w:t xml:space="preserve">lear guidance to the IOTC WPTT and Scientific Committee on the best use of </w:t>
            </w:r>
            <w:r>
              <w:t>Comoros</w:t>
            </w:r>
            <w:r w:rsidRPr="00C21E3B">
              <w:t xml:space="preserve"> </w:t>
            </w:r>
            <w:r>
              <w:t>tuna fishery</w:t>
            </w:r>
            <w:r w:rsidRPr="00C21E3B">
              <w:t xml:space="preserve"> </w:t>
            </w:r>
            <w:r>
              <w:t>catch, effort, and length</w:t>
            </w:r>
            <w:r w:rsidRPr="00C21E3B">
              <w:t xml:space="preserve"> data for assessing IOTC species</w:t>
            </w:r>
          </w:p>
          <w:p w14:paraId="57A10FD9" w14:textId="7475DB4F" w:rsidR="006C40F0" w:rsidRPr="00CA4AB0" w:rsidRDefault="006C40F0" w:rsidP="006C40F0">
            <w:pPr>
              <w:pStyle w:val="Sansinterligne"/>
              <w:cnfStyle w:val="000000000000" w:firstRow="0" w:lastRow="0" w:firstColumn="0" w:lastColumn="0" w:oddVBand="0" w:evenVBand="0" w:oddHBand="0" w:evenHBand="0" w:firstRowFirstColumn="0" w:firstRowLastColumn="0" w:lastRowFirstColumn="0" w:lastRowLastColumn="0"/>
            </w:pPr>
            <w:r w:rsidRPr="006C40F0">
              <w:rPr>
                <w:b/>
              </w:rPr>
              <w:t>One (1) presentation</w:t>
            </w:r>
            <w:r>
              <w:t xml:space="preserve"> of</w:t>
            </w:r>
            <w:r w:rsidRPr="00CA4AB0">
              <w:t xml:space="preserve"> the report </w:t>
            </w:r>
            <w:r>
              <w:t>to</w:t>
            </w:r>
            <w:r w:rsidRPr="00CA4AB0">
              <w:t xml:space="preserve"> the WPTT meeting in October 202</w:t>
            </w:r>
            <w:r>
              <w:t>7 (online)</w:t>
            </w:r>
            <w:r w:rsidRPr="00CA4AB0">
              <w:t>.</w:t>
            </w:r>
          </w:p>
          <w:p w14:paraId="1BA0C028" w14:textId="52D8DC3F" w:rsidR="00EC6C07" w:rsidRPr="00552758" w:rsidRDefault="00EC6C07" w:rsidP="006C40F0">
            <w:pPr>
              <w:pStyle w:val="Sansinterligne"/>
              <w:numPr>
                <w:ilvl w:val="0"/>
                <w:numId w:val="0"/>
              </w:num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D9E2F3" w:themeFill="accent5" w:themeFillTint="33"/>
            <w:vAlign w:val="center"/>
            <w:hideMark/>
          </w:tcPr>
          <w:p w14:paraId="00F88DCF" w14:textId="6780DF95" w:rsidR="00EC6C07" w:rsidRPr="00552758" w:rsidRDefault="006C40F0" w:rsidP="00EC6C07">
            <w:pPr>
              <w:spacing w:after="0"/>
              <w:contextualSpacing w:val="0"/>
              <w:jc w:val="center"/>
              <w:cnfStyle w:val="000000000000" w:firstRow="0" w:lastRow="0" w:firstColumn="0" w:lastColumn="0" w:oddVBand="0" w:evenVBand="0" w:oddHBand="0" w:evenHBand="0" w:firstRowFirstColumn="0" w:firstRowLastColumn="0" w:lastRowFirstColumn="0" w:lastRowLastColumn="0"/>
              <w:rPr>
                <w:sz w:val="20"/>
                <w:szCs w:val="24"/>
                <w:lang w:val="fr-FR"/>
              </w:rPr>
            </w:pPr>
            <w:r>
              <w:rPr>
                <w:sz w:val="20"/>
                <w:szCs w:val="24"/>
              </w:rPr>
              <w:lastRenderedPageBreak/>
              <w:t>Three (3)</w:t>
            </w:r>
          </w:p>
        </w:tc>
        <w:tc>
          <w:tcPr>
            <w:tcW w:w="0" w:type="auto"/>
            <w:shd w:val="clear" w:color="auto" w:fill="D9E2F3" w:themeFill="accent5" w:themeFillTint="33"/>
            <w:vAlign w:val="center"/>
            <w:hideMark/>
          </w:tcPr>
          <w:p w14:paraId="5A64F86B" w14:textId="210118F4" w:rsidR="00EC6C07" w:rsidRPr="00552758" w:rsidRDefault="00EC6C07" w:rsidP="00EC6C07">
            <w:pPr>
              <w:spacing w:after="0"/>
              <w:contextualSpacing w:val="0"/>
              <w:jc w:val="center"/>
              <w:cnfStyle w:val="000000000000" w:firstRow="0" w:lastRow="0" w:firstColumn="0" w:lastColumn="0" w:oddVBand="0" w:evenVBand="0" w:oddHBand="0" w:evenHBand="0" w:firstRowFirstColumn="0" w:firstRowLastColumn="0" w:lastRowFirstColumn="0" w:lastRowLastColumn="0"/>
              <w:rPr>
                <w:sz w:val="20"/>
                <w:szCs w:val="24"/>
                <w:lang w:val="fr-FR"/>
              </w:rPr>
            </w:pPr>
            <w:r w:rsidRPr="00552758">
              <w:rPr>
                <w:sz w:val="20"/>
                <w:szCs w:val="24"/>
                <w:lang w:val="fr-FR"/>
              </w:rPr>
              <w:t>≈</w:t>
            </w:r>
            <w:r>
              <w:rPr>
                <w:sz w:val="20"/>
                <w:szCs w:val="24"/>
                <w:lang w:val="fr-FR"/>
              </w:rPr>
              <w:t>13</w:t>
            </w:r>
            <w:r w:rsidRPr="00552758">
              <w:rPr>
                <w:sz w:val="20"/>
                <w:szCs w:val="24"/>
                <w:lang w:val="fr-FR"/>
              </w:rPr>
              <w:t xml:space="preserve"> days</w:t>
            </w:r>
          </w:p>
        </w:tc>
        <w:tc>
          <w:tcPr>
            <w:tcW w:w="0" w:type="auto"/>
            <w:shd w:val="clear" w:color="auto" w:fill="D9E2F3" w:themeFill="accent5" w:themeFillTint="33"/>
            <w:vAlign w:val="center"/>
            <w:hideMark/>
          </w:tcPr>
          <w:p w14:paraId="6E9AFFE1" w14:textId="745C260B" w:rsidR="00EC6C07" w:rsidRPr="00552758" w:rsidRDefault="00EC6C07" w:rsidP="00EC6C07">
            <w:pPr>
              <w:spacing w:after="0"/>
              <w:contextualSpacing w:val="0"/>
              <w:jc w:val="center"/>
              <w:cnfStyle w:val="000000000000" w:firstRow="0" w:lastRow="0" w:firstColumn="0" w:lastColumn="0" w:oddVBand="0" w:evenVBand="0" w:oddHBand="0" w:evenHBand="0" w:firstRowFirstColumn="0" w:firstRowLastColumn="0" w:lastRowFirstColumn="0" w:lastRowLastColumn="0"/>
              <w:rPr>
                <w:sz w:val="20"/>
                <w:szCs w:val="24"/>
              </w:rPr>
            </w:pPr>
            <w:r>
              <w:t>Months 4–14, with draft report submitted at least two weeks before the WPTT document submission deadline</w:t>
            </w:r>
          </w:p>
        </w:tc>
      </w:tr>
      <w:tr w:rsidR="00EC6C07" w:rsidRPr="00552758" w14:paraId="69D281B3" w14:textId="77777777" w:rsidTr="00793E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vAlign w:val="center"/>
          </w:tcPr>
          <w:p w14:paraId="22B56B47" w14:textId="647FD204" w:rsidR="00EC6C07" w:rsidRPr="00552758" w:rsidRDefault="00EC6C07" w:rsidP="006C40F0">
            <w:pPr>
              <w:spacing w:after="0"/>
              <w:contextualSpacing w:val="0"/>
              <w:jc w:val="center"/>
              <w:rPr>
                <w:bCs/>
                <w:sz w:val="20"/>
                <w:szCs w:val="24"/>
              </w:rPr>
            </w:pPr>
            <w:r w:rsidRPr="0084355A">
              <w:rPr>
                <w:rFonts w:asciiTheme="minorHAnsi" w:hAnsiTheme="minorHAnsi"/>
                <w:bCs/>
                <w:color w:val="auto"/>
                <w:sz w:val="20"/>
                <w:szCs w:val="24"/>
              </w:rPr>
              <w:t xml:space="preserve">Deliverables under Task </w:t>
            </w:r>
            <w:r w:rsidR="006C40F0">
              <w:rPr>
                <w:rFonts w:asciiTheme="minorHAnsi" w:hAnsiTheme="minorHAnsi"/>
                <w:bCs/>
                <w:color w:val="auto"/>
                <w:sz w:val="20"/>
                <w:szCs w:val="24"/>
              </w:rPr>
              <w:t>3</w:t>
            </w:r>
          </w:p>
        </w:tc>
        <w:tc>
          <w:tcPr>
            <w:tcW w:w="0" w:type="auto"/>
            <w:shd w:val="clear" w:color="auto" w:fill="D9E2F3" w:themeFill="accent5" w:themeFillTint="33"/>
            <w:vAlign w:val="center"/>
          </w:tcPr>
          <w:p w14:paraId="7EFDD3A5" w14:textId="1B1E1F83" w:rsidR="00A45D70" w:rsidRPr="00A45D70" w:rsidRDefault="00A45D70" w:rsidP="00A45D70">
            <w:pPr>
              <w:pStyle w:val="Sansinterligne"/>
              <w:cnfStyle w:val="000000100000" w:firstRow="0" w:lastRow="0" w:firstColumn="0" w:lastColumn="0" w:oddVBand="0" w:evenVBand="0" w:oddHBand="1" w:evenHBand="0" w:firstRowFirstColumn="0" w:firstRowLastColumn="0" w:lastRowFirstColumn="0" w:lastRowLastColumn="0"/>
              <w:rPr>
                <w:color w:val="auto"/>
                <w:lang w:eastAsia="en-US"/>
              </w:rPr>
            </w:pPr>
            <w:r w:rsidRPr="00A45D70">
              <w:rPr>
                <w:b/>
                <w:color w:val="auto"/>
                <w:lang w:eastAsia="en-US"/>
              </w:rPr>
              <w:t>One (1)</w:t>
            </w:r>
            <w:r w:rsidRPr="00A45D70">
              <w:rPr>
                <w:b/>
                <w:color w:val="auto"/>
                <w:lang w:eastAsia="en-US"/>
              </w:rPr>
              <w:t xml:space="preserve"> report</w:t>
            </w:r>
            <w:r w:rsidRPr="00A45D70">
              <w:rPr>
                <w:color w:val="auto"/>
                <w:lang w:eastAsia="en-US"/>
              </w:rPr>
              <w:t xml:space="preserve"> </w:t>
            </w:r>
            <w:r w:rsidRPr="00A45D70">
              <w:rPr>
                <w:color w:val="auto"/>
                <w:lang/>
              </w:rPr>
              <w:t>detailing</w:t>
            </w:r>
            <w:r w:rsidRPr="00A45D70">
              <w:rPr>
                <w:color w:val="auto"/>
                <w:lang w:eastAsia="en-US"/>
              </w:rPr>
              <w:t xml:space="preserve"> the results and key findings of the review, including an evaluation of the strengths and limitations of c</w:t>
            </w:r>
            <w:r w:rsidRPr="00A45D70">
              <w:rPr>
                <w:color w:val="auto"/>
                <w:lang w:eastAsia="en-US"/>
              </w:rPr>
              <w:t>urrent stock assessment methods and</w:t>
            </w:r>
            <w:r w:rsidRPr="00A45D70">
              <w:rPr>
                <w:color w:val="auto"/>
                <w:lang w:eastAsia="en-US"/>
              </w:rPr>
              <w:t xml:space="preserve"> an appraisal of the uncertainties associated with management advice derived from those methods.</w:t>
            </w:r>
          </w:p>
          <w:p w14:paraId="6AAD64F6" w14:textId="398CA5C9" w:rsidR="00A45D70" w:rsidRPr="00A45D70" w:rsidRDefault="00A45D70" w:rsidP="00A45D70">
            <w:pPr>
              <w:pStyle w:val="Sansinterligne"/>
              <w:cnfStyle w:val="000000100000" w:firstRow="0" w:lastRow="0" w:firstColumn="0" w:lastColumn="0" w:oddVBand="0" w:evenVBand="0" w:oddHBand="1" w:evenHBand="0" w:firstRowFirstColumn="0" w:firstRowLastColumn="0" w:lastRowFirstColumn="0" w:lastRowLastColumn="0"/>
              <w:rPr>
                <w:color w:val="auto"/>
                <w:lang w:eastAsia="en-US"/>
              </w:rPr>
            </w:pPr>
            <w:r>
              <w:rPr>
                <w:b/>
                <w:color w:val="auto"/>
                <w:lang w:eastAsia="en-US"/>
              </w:rPr>
              <w:t>One (1)</w:t>
            </w:r>
            <w:r w:rsidRPr="00A45D70">
              <w:rPr>
                <w:b/>
                <w:color w:val="auto"/>
                <w:lang w:eastAsia="en-US"/>
              </w:rPr>
              <w:t xml:space="preserve"> documented prototype workflow or operational tool</w:t>
            </w:r>
            <w:r w:rsidRPr="00A45D70">
              <w:rPr>
                <w:color w:val="auto"/>
                <w:lang w:eastAsia="en-US"/>
              </w:rPr>
              <w:t xml:space="preserve"> demonstrating the extension and adaptation of current methods.</w:t>
            </w:r>
          </w:p>
          <w:p w14:paraId="190733AC" w14:textId="77777777" w:rsidR="00A45D70" w:rsidRPr="00A45D70" w:rsidRDefault="00A45D70" w:rsidP="00A45D70">
            <w:pPr>
              <w:pStyle w:val="Sansinterligne"/>
              <w:cnfStyle w:val="000000100000" w:firstRow="0" w:lastRow="0" w:firstColumn="0" w:lastColumn="0" w:oddVBand="0" w:evenVBand="0" w:oddHBand="1" w:evenHBand="0" w:firstRowFirstColumn="0" w:firstRowLastColumn="0" w:lastRowFirstColumn="0" w:lastRowLastColumn="0"/>
              <w:rPr>
                <w:color w:val="auto"/>
                <w:lang/>
              </w:rPr>
            </w:pPr>
            <w:r w:rsidRPr="00A45D70">
              <w:rPr>
                <w:b/>
                <w:color w:val="auto"/>
                <w:lang/>
              </w:rPr>
              <w:t>Fully documented and reproducible analytical scripts</w:t>
            </w:r>
            <w:r w:rsidRPr="00A45D70">
              <w:rPr>
                <w:color w:val="auto"/>
                <w:lang/>
              </w:rPr>
              <w:t>, ensuring reproducibility of all analyses.</w:t>
            </w:r>
          </w:p>
          <w:p w14:paraId="24E14542" w14:textId="41B473B3" w:rsidR="00EC6C07" w:rsidRPr="00A45D70" w:rsidRDefault="00A45D70" w:rsidP="00A45D70">
            <w:pPr>
              <w:pStyle w:val="Sansinterligne"/>
              <w:cnfStyle w:val="000000100000" w:firstRow="0" w:lastRow="0" w:firstColumn="0" w:lastColumn="0" w:oddVBand="0" w:evenVBand="0" w:oddHBand="1" w:evenHBand="0" w:firstRowFirstColumn="0" w:firstRowLastColumn="0" w:lastRowFirstColumn="0" w:lastRowLastColumn="0"/>
              <w:rPr>
                <w:b/>
                <w:color w:val="auto"/>
              </w:rPr>
            </w:pPr>
            <w:r w:rsidRPr="00A45D70">
              <w:rPr>
                <w:b/>
                <w:color w:val="auto"/>
              </w:rPr>
              <w:t>One (1) p</w:t>
            </w:r>
            <w:r w:rsidRPr="00A45D70">
              <w:rPr>
                <w:b/>
                <w:color w:val="auto"/>
                <w:lang/>
              </w:rPr>
              <w:t>resentation</w:t>
            </w:r>
            <w:r w:rsidRPr="00A45D70">
              <w:rPr>
                <w:color w:val="auto"/>
                <w:lang/>
              </w:rPr>
              <w:t xml:space="preserve"> of the study results to the IOTC Working Party on Methods (WPM) in October 2027 (online).</w:t>
            </w:r>
          </w:p>
        </w:tc>
        <w:tc>
          <w:tcPr>
            <w:tcW w:w="0" w:type="auto"/>
            <w:shd w:val="clear" w:color="auto" w:fill="D9E2F3" w:themeFill="accent5" w:themeFillTint="33"/>
            <w:vAlign w:val="center"/>
          </w:tcPr>
          <w:p w14:paraId="712AACDF" w14:textId="206E8009" w:rsidR="00EC6C07" w:rsidRPr="00EC6C07" w:rsidRDefault="00EC6C07" w:rsidP="00EC6C07">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4"/>
              </w:rPr>
            </w:pPr>
            <w:r w:rsidRPr="00EC6C07">
              <w:rPr>
                <w:rFonts w:asciiTheme="minorHAnsi" w:hAnsiTheme="minorHAnsi"/>
                <w:color w:val="auto"/>
                <w:sz w:val="20"/>
                <w:szCs w:val="24"/>
                <w:lang w:val="fr-FR"/>
              </w:rPr>
              <w:t>Four (4)</w:t>
            </w:r>
          </w:p>
        </w:tc>
        <w:tc>
          <w:tcPr>
            <w:tcW w:w="0" w:type="auto"/>
            <w:shd w:val="clear" w:color="auto" w:fill="D9E2F3" w:themeFill="accent5" w:themeFillTint="33"/>
            <w:vAlign w:val="center"/>
          </w:tcPr>
          <w:p w14:paraId="0D36D430" w14:textId="42A744E3" w:rsidR="00EC6C07" w:rsidRPr="00552758" w:rsidRDefault="00EC6C07" w:rsidP="00EC6C07">
            <w:pPr>
              <w:spacing w:after="0"/>
              <w:contextualSpacing w:val="0"/>
              <w:jc w:val="center"/>
              <w:cnfStyle w:val="000000100000" w:firstRow="0" w:lastRow="0" w:firstColumn="0" w:lastColumn="0" w:oddVBand="0" w:evenVBand="0" w:oddHBand="1" w:evenHBand="0" w:firstRowFirstColumn="0" w:firstRowLastColumn="0" w:lastRowFirstColumn="0" w:lastRowLastColumn="0"/>
              <w:rPr>
                <w:sz w:val="20"/>
                <w:szCs w:val="24"/>
                <w:lang w:val="fr-FR"/>
              </w:rPr>
            </w:pPr>
            <w:r w:rsidRPr="00552758">
              <w:rPr>
                <w:rFonts w:asciiTheme="minorHAnsi" w:hAnsiTheme="minorHAnsi"/>
                <w:color w:val="auto"/>
                <w:sz w:val="20"/>
                <w:szCs w:val="24"/>
                <w:lang w:val="fr-FR"/>
              </w:rPr>
              <w:t>≈</w:t>
            </w:r>
            <w:r>
              <w:rPr>
                <w:rFonts w:asciiTheme="minorHAnsi" w:hAnsiTheme="minorHAnsi"/>
                <w:color w:val="auto"/>
                <w:sz w:val="20"/>
                <w:szCs w:val="24"/>
                <w:lang w:val="fr-FR"/>
              </w:rPr>
              <w:t>14</w:t>
            </w:r>
            <w:r w:rsidRPr="00552758">
              <w:rPr>
                <w:rFonts w:asciiTheme="minorHAnsi" w:hAnsiTheme="minorHAnsi"/>
                <w:color w:val="auto"/>
                <w:sz w:val="20"/>
                <w:szCs w:val="24"/>
                <w:lang w:val="fr-FR"/>
              </w:rPr>
              <w:t xml:space="preserve"> days</w:t>
            </w:r>
          </w:p>
        </w:tc>
        <w:tc>
          <w:tcPr>
            <w:tcW w:w="0" w:type="auto"/>
            <w:shd w:val="clear" w:color="auto" w:fill="D9E2F3" w:themeFill="accent5" w:themeFillTint="33"/>
            <w:vAlign w:val="center"/>
          </w:tcPr>
          <w:p w14:paraId="0B76DB94" w14:textId="4C1A7E67" w:rsidR="00EC6C07" w:rsidRPr="00EC6C07" w:rsidRDefault="00EC6C07" w:rsidP="00EC6C07">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4"/>
              </w:rPr>
            </w:pPr>
            <w:r w:rsidRPr="00EC6C07">
              <w:rPr>
                <w:rFonts w:asciiTheme="minorHAnsi" w:hAnsiTheme="minorHAnsi"/>
                <w:color w:val="auto"/>
                <w:sz w:val="20"/>
                <w:szCs w:val="24"/>
              </w:rPr>
              <w:t>Months 6–15, with draft report submitted at least two weeks before the WPM document submission deadline</w:t>
            </w:r>
          </w:p>
        </w:tc>
      </w:tr>
      <w:tr w:rsidR="00EC6C07" w:rsidRPr="00552758" w14:paraId="2C2CD78A" w14:textId="77777777" w:rsidTr="00793E32">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vAlign w:val="center"/>
          </w:tcPr>
          <w:p w14:paraId="4519BA52" w14:textId="3E2CFDDD" w:rsidR="00EC6C07" w:rsidRPr="00552758" w:rsidRDefault="00EC6C07" w:rsidP="00EC6C07">
            <w:pPr>
              <w:spacing w:after="0"/>
              <w:contextualSpacing w:val="0"/>
              <w:jc w:val="center"/>
              <w:rPr>
                <w:bCs/>
                <w:sz w:val="20"/>
                <w:szCs w:val="24"/>
              </w:rPr>
            </w:pPr>
            <w:r w:rsidRPr="00552758">
              <w:rPr>
                <w:bCs/>
                <w:color w:val="auto"/>
                <w:sz w:val="20"/>
                <w:szCs w:val="24"/>
              </w:rPr>
              <w:t>Coordination, technical exchanges and revisions</w:t>
            </w:r>
          </w:p>
        </w:tc>
        <w:tc>
          <w:tcPr>
            <w:tcW w:w="0" w:type="auto"/>
            <w:shd w:val="clear" w:color="auto" w:fill="D9E2F3" w:themeFill="accent5" w:themeFillTint="33"/>
            <w:vAlign w:val="center"/>
          </w:tcPr>
          <w:p w14:paraId="070DABF7" w14:textId="598208F5" w:rsidR="00EC6C07" w:rsidRPr="00552758" w:rsidRDefault="00EC6C07" w:rsidP="00EC6C07">
            <w:pPr>
              <w:pStyle w:val="Sansinterligne"/>
              <w:cnfStyle w:val="000000000000" w:firstRow="0" w:lastRow="0" w:firstColumn="0" w:lastColumn="0" w:oddVBand="0" w:evenVBand="0" w:oddHBand="0" w:evenHBand="0" w:firstRowFirstColumn="0" w:firstRowLastColumn="0" w:lastRowFirstColumn="0" w:lastRowLastColumn="0"/>
              <w:rPr>
                <w:b/>
                <w:sz w:val="20"/>
              </w:rPr>
            </w:pPr>
            <w:r w:rsidRPr="00F97FD4">
              <w:rPr>
                <w:b/>
                <w:sz w:val="20"/>
              </w:rPr>
              <w:t xml:space="preserve">Technical exchanges </w:t>
            </w:r>
            <w:r w:rsidRPr="00F97FD4">
              <w:rPr>
                <w:sz w:val="20"/>
              </w:rPr>
              <w:t>with the IOTC Secretariat, SFA, DGRH and the SWIOP 1.2 Coordinator, preparation and follow-up of technical missions, incorporation of comments on draft deliverables, and finalisation of reports, scripts and presentation materials.</w:t>
            </w:r>
          </w:p>
        </w:tc>
        <w:tc>
          <w:tcPr>
            <w:tcW w:w="0" w:type="auto"/>
            <w:shd w:val="clear" w:color="auto" w:fill="D9E2F3" w:themeFill="accent5" w:themeFillTint="33"/>
            <w:vAlign w:val="center"/>
          </w:tcPr>
          <w:p w14:paraId="328AE3D8" w14:textId="13AD02BE" w:rsidR="00EC6C07" w:rsidRPr="00552758" w:rsidRDefault="00EC6C07" w:rsidP="00EC6C07">
            <w:pPr>
              <w:spacing w:after="0"/>
              <w:contextualSpacing w:val="0"/>
              <w:jc w:val="center"/>
              <w:cnfStyle w:val="000000000000" w:firstRow="0" w:lastRow="0" w:firstColumn="0" w:lastColumn="0" w:oddVBand="0" w:evenVBand="0" w:oddHBand="0" w:evenHBand="0" w:firstRowFirstColumn="0" w:firstRowLastColumn="0" w:lastRowFirstColumn="0" w:lastRowLastColumn="0"/>
              <w:rPr>
                <w:sz w:val="20"/>
                <w:szCs w:val="24"/>
              </w:rPr>
            </w:pPr>
            <w:r w:rsidRPr="00552758">
              <w:rPr>
                <w:sz w:val="20"/>
                <w:szCs w:val="24"/>
                <w:lang w:val="fr-FR"/>
              </w:rPr>
              <w:t>Cross-cutting</w:t>
            </w:r>
          </w:p>
        </w:tc>
        <w:tc>
          <w:tcPr>
            <w:tcW w:w="0" w:type="auto"/>
            <w:shd w:val="clear" w:color="auto" w:fill="D9E2F3" w:themeFill="accent5" w:themeFillTint="33"/>
            <w:vAlign w:val="center"/>
          </w:tcPr>
          <w:p w14:paraId="1553A964" w14:textId="65AE35C6" w:rsidR="00EC6C07" w:rsidRPr="00552758" w:rsidRDefault="00EC6C07" w:rsidP="00EC6C07">
            <w:pPr>
              <w:spacing w:after="0"/>
              <w:contextualSpacing w:val="0"/>
              <w:jc w:val="center"/>
              <w:cnfStyle w:val="000000000000" w:firstRow="0" w:lastRow="0" w:firstColumn="0" w:lastColumn="0" w:oddVBand="0" w:evenVBand="0" w:oddHBand="0" w:evenHBand="0" w:firstRowFirstColumn="0" w:firstRowLastColumn="0" w:lastRowFirstColumn="0" w:lastRowLastColumn="0"/>
              <w:rPr>
                <w:sz w:val="20"/>
                <w:szCs w:val="24"/>
              </w:rPr>
            </w:pPr>
            <w:r w:rsidRPr="00552758">
              <w:rPr>
                <w:sz w:val="20"/>
                <w:szCs w:val="24"/>
                <w:lang w:val="fr-FR"/>
              </w:rPr>
              <w:t>≈</w:t>
            </w:r>
            <w:r>
              <w:rPr>
                <w:sz w:val="20"/>
                <w:szCs w:val="24"/>
                <w:lang w:val="fr-FR"/>
              </w:rPr>
              <w:t>5 days</w:t>
            </w:r>
          </w:p>
        </w:tc>
        <w:tc>
          <w:tcPr>
            <w:tcW w:w="0" w:type="auto"/>
            <w:shd w:val="clear" w:color="auto" w:fill="D9E2F3" w:themeFill="accent5" w:themeFillTint="33"/>
            <w:vAlign w:val="center"/>
          </w:tcPr>
          <w:p w14:paraId="45962596" w14:textId="2BB4B07B" w:rsidR="00EC6C07" w:rsidRPr="00EC6C07" w:rsidRDefault="00EC6C07" w:rsidP="00EC6C07">
            <w:pPr>
              <w:spacing w:after="0"/>
              <w:contextualSpacing w:val="0"/>
              <w:jc w:val="center"/>
              <w:cnfStyle w:val="000000000000" w:firstRow="0" w:lastRow="0" w:firstColumn="0" w:lastColumn="0" w:oddVBand="0" w:evenVBand="0" w:oddHBand="0" w:evenHBand="0" w:firstRowFirstColumn="0" w:firstRowLastColumn="0" w:lastRowFirstColumn="0" w:lastRowLastColumn="0"/>
              <w:rPr>
                <w:sz w:val="20"/>
                <w:szCs w:val="24"/>
              </w:rPr>
            </w:pPr>
            <w:r w:rsidRPr="00EC6C07">
              <w:rPr>
                <w:sz w:val="20"/>
                <w:szCs w:val="24"/>
              </w:rPr>
              <w:t>Throughout the assignment</w:t>
            </w:r>
          </w:p>
        </w:tc>
      </w:tr>
    </w:tbl>
    <w:p w14:paraId="09ED342E" w14:textId="15A92CB3" w:rsidR="00793E32" w:rsidRDefault="00793E32" w:rsidP="00B43541"/>
    <w:p w14:paraId="16249264" w14:textId="57655DD8" w:rsidR="00552758" w:rsidRDefault="001C2640" w:rsidP="00B43541">
      <w:r w:rsidRPr="001C2640">
        <w:t>All deliverables shall be submitted in English and in editable format. Analytical scripts, code, configuration files and related outputs shall be provided in reusable and sufficiently documented formats. Technical deliverables will be reviewed by the IOTC Secretariat, with Expertise France ensuring contractual follow-up and formal validation in accordance with the contract.</w:t>
      </w:r>
    </w:p>
    <w:p w14:paraId="0793450E" w14:textId="77777777" w:rsidR="00552758" w:rsidRPr="00793E32" w:rsidRDefault="00552758" w:rsidP="00B43541"/>
    <w:p w14:paraId="48BDF243" w14:textId="77777777" w:rsidR="009A6B89" w:rsidRDefault="00E55023" w:rsidP="00EA2057">
      <w:pPr>
        <w:pStyle w:val="Titre1"/>
      </w:pPr>
      <w:r>
        <w:t>Qualifications &amp; experience</w:t>
      </w:r>
    </w:p>
    <w:p w14:paraId="3A03D3E0" w14:textId="77777777" w:rsidR="009A6B89" w:rsidRDefault="00E55023" w:rsidP="00EA2057">
      <w:pPr>
        <w:pStyle w:val="Titre2"/>
      </w:pPr>
      <w:r>
        <w:t>Academic qualifications</w:t>
      </w:r>
    </w:p>
    <w:p w14:paraId="3FE40E05" w14:textId="0DF5F569" w:rsidR="009A6B89" w:rsidRDefault="00CA2E93" w:rsidP="00EA2057">
      <w:pPr>
        <w:pStyle w:val="Sansinterligne"/>
      </w:pPr>
      <w:r>
        <w:t>Advanced university degree, preferably at Master’s or PhD level, in fisheries science, quantitative ecology, marine biology, statistics, applied mathematics, natural resource management, or another relevant field.</w:t>
      </w:r>
    </w:p>
    <w:p w14:paraId="2AFAA0E5" w14:textId="77777777" w:rsidR="009A6B89" w:rsidRDefault="00E55023" w:rsidP="00EA2057">
      <w:pPr>
        <w:pStyle w:val="Titre2"/>
      </w:pPr>
      <w:r>
        <w:t>Professional experiences</w:t>
      </w:r>
    </w:p>
    <w:p w14:paraId="254AA631" w14:textId="61C0E1C6" w:rsidR="001C2640" w:rsidRDefault="001C2640" w:rsidP="001C2640">
      <w:pPr>
        <w:pStyle w:val="Sansinterligne"/>
      </w:pPr>
      <w:r>
        <w:t>At least 10 years of professional experience in fisheries science, stock assessment, fishery modelling, CPUE standardisation, or quantitative analysis applied to marine living resources.</w:t>
      </w:r>
    </w:p>
    <w:p w14:paraId="2C8FE369" w14:textId="254E4DD6" w:rsidR="001C2640" w:rsidRDefault="001C2640" w:rsidP="001C2640">
      <w:pPr>
        <w:pStyle w:val="Sansinterligne"/>
      </w:pPr>
      <w:r>
        <w:t>Demonstrated experience in CPUE standardisation and analysis of fishery-dependent data, including catch, effort, logbook, landing site sampling and/or length-frequency data.</w:t>
      </w:r>
    </w:p>
    <w:p w14:paraId="44A80F39" w14:textId="6A935860" w:rsidR="001C2640" w:rsidRDefault="001C2640" w:rsidP="001C2640">
      <w:pPr>
        <w:pStyle w:val="Sansinterligne"/>
      </w:pPr>
      <w:r>
        <w:t>Demonstrated experience in quantitative stock assessment for tuna, tuna-like species, neritic tuna species, or other marine living resources.</w:t>
      </w:r>
    </w:p>
    <w:p w14:paraId="4A41AD7B" w14:textId="68DCC482" w:rsidR="001C2640" w:rsidRDefault="001C2640" w:rsidP="001C2640">
      <w:pPr>
        <w:pStyle w:val="Sansinterligne"/>
      </w:pPr>
      <w:r>
        <w:t>Strong experience with data-limited or data-poor assessment methods, such as Catch-MSY, LB-SPR, DB-SRA, JABBA, FishPath, Fishblicc or equivalent tools and approaches.</w:t>
      </w:r>
    </w:p>
    <w:p w14:paraId="77106801" w14:textId="0001965E" w:rsidR="001C2640" w:rsidRDefault="001C2640" w:rsidP="001C2640">
      <w:pPr>
        <w:pStyle w:val="Sansinterligne"/>
      </w:pPr>
      <w:r>
        <w:t>Experience in developing reproducible analytical workflows, preferably using R and relevant statistical or fisheries modelling packages.</w:t>
      </w:r>
    </w:p>
    <w:p w14:paraId="12624BFF" w14:textId="510EF12A" w:rsidR="001C2640" w:rsidRDefault="001C2640" w:rsidP="001C2640">
      <w:pPr>
        <w:pStyle w:val="Sansinterligne"/>
      </w:pPr>
      <w:r>
        <w:t>Experience in developing, documenting and sharing analytical scripts, data processing workflows and reproducible code.</w:t>
      </w:r>
    </w:p>
    <w:p w14:paraId="01876752" w14:textId="4F4F57F0" w:rsidR="001C2640" w:rsidRDefault="001C2640" w:rsidP="001C2640">
      <w:pPr>
        <w:pStyle w:val="Sansinterligne"/>
      </w:pPr>
      <w:r>
        <w:t>Experience in delivering technical training or capacity-building support to national fisheries administrations or scientific teams would be a strong asset.</w:t>
      </w:r>
    </w:p>
    <w:p w14:paraId="2E94CD8A" w14:textId="4584E333" w:rsidR="001C2640" w:rsidRDefault="001C2640" w:rsidP="001C2640">
      <w:pPr>
        <w:pStyle w:val="Sansinterligne"/>
      </w:pPr>
      <w:r>
        <w:t>Good understanding of the scientific advisory processes of Regional Fisheries Management Organisations.</w:t>
      </w:r>
    </w:p>
    <w:p w14:paraId="4DC10E5C" w14:textId="39644FD9" w:rsidR="001C2640" w:rsidRDefault="001C2640" w:rsidP="001C2640">
      <w:pPr>
        <w:pStyle w:val="Sansinterligne"/>
      </w:pPr>
      <w:r>
        <w:t>Previous experience working with IOTC, other tuna RFMOs, or international fisheries science bodies would be a strong asset.</w:t>
      </w:r>
    </w:p>
    <w:p w14:paraId="02E4932A" w14:textId="452400A0" w:rsidR="009A6B89" w:rsidRDefault="001C2640" w:rsidP="001C2640">
      <w:pPr>
        <w:pStyle w:val="Sansinterligne"/>
      </w:pPr>
      <w:r>
        <w:t>Experience with Indian Ocean tuna fisheries, small-scale fisheries, neritic tuna fisheries, and/or WIO fisheries contexts would be an asset.</w:t>
      </w:r>
    </w:p>
    <w:p w14:paraId="15EE76F8" w14:textId="77777777" w:rsidR="009A6B89" w:rsidRDefault="00E55023" w:rsidP="00EA2057">
      <w:pPr>
        <w:pStyle w:val="Titre2"/>
      </w:pPr>
      <w:r>
        <w:t>Languages</w:t>
      </w:r>
    </w:p>
    <w:p w14:paraId="7856D139" w14:textId="18409AA3" w:rsidR="009A6B89" w:rsidRDefault="00E55023" w:rsidP="00EA2057">
      <w:pPr>
        <w:pStyle w:val="Sansinterligne"/>
      </w:pPr>
      <w:r>
        <w:t>Fluency in English (both s</w:t>
      </w:r>
      <w:r w:rsidR="00CA2E93">
        <w:t>poken and written) is mandatory</w:t>
      </w:r>
      <w:r w:rsidR="00CC48BB">
        <w:t>.</w:t>
      </w:r>
    </w:p>
    <w:p w14:paraId="35A57357" w14:textId="609DC6CC" w:rsidR="009A6B89" w:rsidRDefault="00E55023" w:rsidP="0024495E">
      <w:pPr>
        <w:pStyle w:val="Sansinterligne"/>
      </w:pPr>
      <w:r>
        <w:t>Proficienc</w:t>
      </w:r>
      <w:r w:rsidR="001C2640">
        <w:t xml:space="preserve">y in French is highly desirable, particularly for exchanges with Comoros. </w:t>
      </w:r>
    </w:p>
    <w:p w14:paraId="27469F5B" w14:textId="77777777" w:rsidR="009A6B89" w:rsidRDefault="00E55023" w:rsidP="00EA2057">
      <w:pPr>
        <w:pStyle w:val="Titre1"/>
      </w:pPr>
      <w:r>
        <w:t xml:space="preserve">Application process </w:t>
      </w:r>
    </w:p>
    <w:p w14:paraId="5B5C3C3A" w14:textId="77777777" w:rsidR="0024495E" w:rsidRDefault="0024495E" w:rsidP="0024495E">
      <w:r>
        <w:t>Interested candidates shall submit:</w:t>
      </w:r>
    </w:p>
    <w:p w14:paraId="7C7F528F" w14:textId="141CADF1" w:rsidR="0024495E" w:rsidRDefault="0024495E" w:rsidP="0024495E">
      <w:pPr>
        <w:pStyle w:val="Sansinterligne"/>
      </w:pPr>
      <w:r>
        <w:t>A technical proposal outlining their understanding of the assignment, proposed approach and estimated level of effort</w:t>
      </w:r>
      <w:r w:rsidR="00552758">
        <w:t>, including a proposed breakdown of working days by task and deliverable</w:t>
      </w:r>
      <w:r>
        <w:t>;</w:t>
      </w:r>
    </w:p>
    <w:p w14:paraId="3B8F41D1" w14:textId="77777777" w:rsidR="0024495E" w:rsidRDefault="0024495E" w:rsidP="0024495E">
      <w:pPr>
        <w:pStyle w:val="Sansinterligne"/>
      </w:pPr>
      <w:r>
        <w:t>A financial proposal within the maximum budget indicated;</w:t>
      </w:r>
    </w:p>
    <w:p w14:paraId="01DCD129" w14:textId="77777777" w:rsidR="009A6B89" w:rsidRDefault="0024495E" w:rsidP="0024495E">
      <w:pPr>
        <w:pStyle w:val="Sansinterligne"/>
      </w:pPr>
      <w:r>
        <w:t>A CV highlighting relevant experience.</w:t>
      </w:r>
    </w:p>
    <w:sectPr w:rsidR="009A6B89">
      <w:headerReference w:type="even" r:id="rId8"/>
      <w:headerReference w:type="default" r:id="rId9"/>
      <w:footerReference w:type="default" r:id="rId10"/>
      <w:headerReference w:type="first" r:id="rId11"/>
      <w:type w:val="continuous"/>
      <w:pgSz w:w="11906" w:h="16838"/>
      <w:pgMar w:top="1560" w:right="1417" w:bottom="1417" w:left="1417" w:header="709" w:footer="493"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14980BB" w16cex:dateUtc="2025-06-03T08:54:39Z"/>
  <w16cex:commentExtensible w16cex:durableId="27BB10D2" w16cex:dateUtc="2025-06-03T08:55:20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614980BB"/>
  <w16cid:commentId w16cid:paraId="00000002" w16cid:durableId="27BB10D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3ED17" w14:textId="77777777" w:rsidR="00DC2B66" w:rsidRDefault="00DC2B66" w:rsidP="00EA2057">
      <w:r>
        <w:separator/>
      </w:r>
    </w:p>
  </w:endnote>
  <w:endnote w:type="continuationSeparator" w:id="0">
    <w:p w14:paraId="5E2E8FE5" w14:textId="77777777" w:rsidR="00DC2B66" w:rsidRDefault="00DC2B66" w:rsidP="00EA2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EB Garamond">
    <w:charset w:val="00"/>
    <w:family w:val="auto"/>
    <w:pitch w:val="default"/>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66AD2" w14:textId="77777777" w:rsidR="009A6B89" w:rsidRDefault="009A6B89" w:rsidP="00EA2057">
    <w:pPr>
      <w:rPr>
        <w:rFonts w:eastAsia="Calibri"/>
      </w:rPr>
    </w:pPr>
  </w:p>
  <w:p w14:paraId="200CCDB0" w14:textId="2A36F45D" w:rsidR="009A6B89" w:rsidRDefault="00E55023" w:rsidP="00EA2057">
    <w:pPr>
      <w:rPr>
        <w:rFonts w:eastAsia="Calibri"/>
      </w:rPr>
    </w:pPr>
    <w:r>
      <w:rPr>
        <w:rFonts w:eastAsia="Calibri"/>
      </w:rPr>
      <w:tab/>
      <w:t xml:space="preserve">Page </w:t>
    </w:r>
    <w:r>
      <w:rPr>
        <w:rFonts w:eastAsia="Calibri"/>
      </w:rPr>
      <w:fldChar w:fldCharType="begin"/>
    </w:r>
    <w:r>
      <w:rPr>
        <w:rFonts w:eastAsia="Calibri"/>
      </w:rPr>
      <w:instrText>PAGE</w:instrText>
    </w:r>
    <w:r>
      <w:rPr>
        <w:rFonts w:eastAsia="Calibri"/>
      </w:rPr>
      <w:fldChar w:fldCharType="separate"/>
    </w:r>
    <w:r w:rsidR="007E3082">
      <w:rPr>
        <w:rFonts w:eastAsia="Calibri"/>
        <w:noProof/>
      </w:rPr>
      <w:t>9</w:t>
    </w:r>
    <w:r>
      <w:rPr>
        <w:rFonts w:eastAsia="Calibri"/>
      </w:rPr>
      <w:fldChar w:fldCharType="end"/>
    </w:r>
    <w:r>
      <w:rPr>
        <w:rFonts w:eastAsia="Calibri"/>
      </w:rPr>
      <w:t xml:space="preserve"> sur </w:t>
    </w:r>
    <w:r>
      <w:rPr>
        <w:rFonts w:eastAsia="Calibri"/>
      </w:rPr>
      <w:fldChar w:fldCharType="begin"/>
    </w:r>
    <w:r>
      <w:rPr>
        <w:rFonts w:eastAsia="Calibri"/>
      </w:rPr>
      <w:instrText>NUMPAGES</w:instrText>
    </w:r>
    <w:r>
      <w:rPr>
        <w:rFonts w:eastAsia="Calibri"/>
      </w:rPr>
      <w:fldChar w:fldCharType="separate"/>
    </w:r>
    <w:r w:rsidR="007E3082">
      <w:rPr>
        <w:rFonts w:eastAsia="Calibri"/>
        <w:noProof/>
      </w:rPr>
      <w:t>9</w:t>
    </w:r>
    <w:r>
      <w:rPr>
        <w:rFonts w:eastAsia="Calibri"/>
      </w:rPr>
      <w:fldChar w:fldCharType="end"/>
    </w:r>
  </w:p>
  <w:p w14:paraId="263B92C9" w14:textId="77777777" w:rsidR="009A6B89" w:rsidRDefault="009A6B89" w:rsidP="00EA205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70140" w14:textId="77777777" w:rsidR="00DC2B66" w:rsidRDefault="00DC2B66" w:rsidP="00EA2057">
      <w:r>
        <w:separator/>
      </w:r>
    </w:p>
  </w:footnote>
  <w:footnote w:type="continuationSeparator" w:id="0">
    <w:p w14:paraId="0A453817" w14:textId="77777777" w:rsidR="00DC2B66" w:rsidRDefault="00DC2B66" w:rsidP="00EA2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F8010" w14:textId="00BAF76D" w:rsidR="009A6B89" w:rsidRDefault="00E55023" w:rsidP="00EA2057">
    <w:pPr>
      <w:pStyle w:val="En-tte"/>
    </w:pPr>
    <w:r>
      <w:rPr>
        <w:noProof/>
        <w:lang w:val="fr-FR"/>
      </w:rPr>
      <mc:AlternateContent>
        <mc:Choice Requires="wps">
          <w:drawing>
            <wp:anchor distT="0" distB="0" distL="114300" distR="114300" simplePos="0" relativeHeight="251653120" behindDoc="1" locked="0" layoutInCell="0" allowOverlap="1" wp14:anchorId="75A9CFE7" wp14:editId="0E99B8D9">
              <wp:simplePos x="0" y="0"/>
              <wp:positionH relativeFrom="margin">
                <wp:align>center</wp:align>
              </wp:positionH>
              <wp:positionV relativeFrom="margin">
                <wp:align>center</wp:align>
              </wp:positionV>
              <wp:extent cx="5076190" cy="3045460"/>
              <wp:effectExtent l="0" t="0" r="0" b="0"/>
              <wp:wrapNone/>
              <wp:docPr id="3" name="PowerPlusWaterMarkObject1186501"/>
              <wp:cNvGraphicFramePr/>
              <a:graphic xmlns:a="http://schemas.openxmlformats.org/drawingml/2006/main">
                <a:graphicData uri="http://schemas.microsoft.com/office/word/2010/wordprocessingShape">
                  <wps:wsp>
                    <wps:cNvSpPr/>
                    <wps:spPr bwMode="auto">
                      <a:xfrm rot="18900000">
                        <a:off x="0" y="0"/>
                        <a:ext cx="5076190" cy="3045460"/>
                      </a:xfrm>
                      <a:prstGeom prst="rect">
                        <a:avLst/>
                      </a:prstGeom>
                      <a:noFill/>
                      <a:ln>
                        <a:noFill/>
                      </a:ln>
                    </wps:spPr>
                    <wps:txbx>
                      <w:txbxContent>
                        <w:p w14:paraId="09211B39" w14:textId="77777777" w:rsidR="009A6B89" w:rsidRDefault="00E55023" w:rsidP="00EA2057">
                          <w:r>
                            <w:t>DRAFT</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75A9CFE7" id="PowerPlusWaterMarkObject1186501" o:spid="_x0000_s1026" style="position:absolute;left:0;text-align:left;margin-left:0;margin-top:0;width:399.7pt;height:239.8pt;rotation:-45;z-index:-251663360;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" o:allowincell="f" filled="f" stroked="f">
              <v:textbox inset="0,0,0,0">
                <w:txbxContent>
                  <w:p w14:paraId="09211B39" w14:textId="77777777" w:rsidR="009A6B89" w:rsidRDefault="00E55023" w:rsidP="00EA2057">
                    <w:r>
                      <w:t>DRAFT</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43207" w14:textId="1FB2BEFB" w:rsidR="009A6B89" w:rsidRDefault="00E55023" w:rsidP="00EA2057">
    <w:pPr>
      <w:rPr>
        <w:rFonts w:ascii="Calibri" w:eastAsia="Calibri" w:hAnsi="Calibri" w:cs="Calibri"/>
        <w:color w:val="000000"/>
        <w:szCs w:val="24"/>
      </w:rPr>
    </w:pPr>
    <w:r>
      <w:rPr>
        <w:noProof/>
        <w:lang w:val="fr-FR"/>
      </w:rPr>
      <w:drawing>
        <wp:anchor distT="0" distB="0" distL="114300" distR="114300" simplePos="0" relativeHeight="251659264" behindDoc="0" locked="0" layoutInCell="1" allowOverlap="1" wp14:anchorId="6C037C82" wp14:editId="5CCC7166">
          <wp:simplePos x="0" y="0"/>
          <wp:positionH relativeFrom="margin">
            <wp:posOffset>4500880</wp:posOffset>
          </wp:positionH>
          <wp:positionV relativeFrom="topMargin">
            <wp:posOffset>479066</wp:posOffset>
          </wp:positionV>
          <wp:extent cx="1259840" cy="419100"/>
          <wp:effectExtent l="0" t="0" r="0" b="0"/>
          <wp:wrapSquare wrapText="bothSides"/>
          <wp:docPr id="2"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icPr>
                <pic:blipFill>
                  <a:blip r:embed="rId1"/>
                  <a:srcRect l="10815" t="27781" r="11039" b="29804"/>
                  <a:stretch/>
                </pic:blipFill>
                <pic:spPr bwMode="auto">
                  <a:xfrm>
                    <a:off x="0" y="0"/>
                    <a:ext cx="1259840" cy="419100"/>
                  </a:xfrm>
                  <a:prstGeom prst="rect">
                    <a:avLst/>
                  </a:prstGeom>
                  <a:ln>
                    <a:noFill/>
                  </a:ln>
                </pic:spPr>
              </pic:pic>
            </a:graphicData>
          </a:graphic>
          <wp14:sizeRelH relativeFrom="margin">
            <wp14:pctWidth>0</wp14:pctWidth>
          </wp14:sizeRelH>
          <wp14:sizeRelV relativeFrom="margin">
            <wp14:pctHeight>0</wp14:pctHeight>
          </wp14:sizeRelV>
        </wp:anchor>
      </w:drawing>
    </w:r>
  </w:p>
  <w:p w14:paraId="79770075" w14:textId="1497794E" w:rsidR="009A6B89" w:rsidRPr="0024495E" w:rsidRDefault="00E55023" w:rsidP="00EA2057">
    <w:pPr>
      <w:rPr>
        <w:color w:val="2F5496" w:themeColor="accent5" w:themeShade="BF"/>
        <w:sz w:val="18"/>
        <w:lang w:eastAsia="ko-KR"/>
      </w:rPr>
    </w:pPr>
    <w:r w:rsidRPr="0024495E">
      <w:rPr>
        <w:color w:val="2F5496" w:themeColor="accent5" w:themeShade="BF"/>
        <w:sz w:val="18"/>
        <w:lang w:eastAsia="ko-KR"/>
      </w:rPr>
      <w:t>EU Sustainable Western Indian Ocean Programme</w:t>
    </w:r>
    <w:r w:rsidR="0024495E">
      <w:rPr>
        <w:color w:val="2F5496" w:themeColor="accent5" w:themeShade="BF"/>
        <w:sz w:val="18"/>
        <w:lang w:eastAsia="ko-KR"/>
      </w:rPr>
      <w:t xml:space="preserve"> (SWIOP)</w:t>
    </w:r>
  </w:p>
  <w:p w14:paraId="6559899A" w14:textId="77777777" w:rsidR="009A6B89" w:rsidRPr="0024495E" w:rsidRDefault="0024495E" w:rsidP="00EA2057">
    <w:pPr>
      <w:rPr>
        <w:color w:val="2F5496" w:themeColor="accent5" w:themeShade="BF"/>
        <w:sz w:val="18"/>
        <w:lang w:eastAsia="ko-KR"/>
      </w:rPr>
    </w:pPr>
    <w:r w:rsidRPr="0024495E">
      <w:rPr>
        <w:color w:val="2F5496" w:themeColor="accent5" w:themeShade="BF"/>
        <w:sz w:val="18"/>
        <w:lang w:eastAsia="ko-KR"/>
      </w:rPr>
      <w:t>Subcomponent 1.2</w:t>
    </w:r>
  </w:p>
  <w:p w14:paraId="3700D7F3" w14:textId="77777777" w:rsidR="009A6B89" w:rsidRDefault="009A6B89" w:rsidP="00EA2057">
    <w:pPr>
      <w:rPr>
        <w:lang w:eastAsia="ko-K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736CF" w14:textId="0FD886E0" w:rsidR="009A6B89" w:rsidRDefault="00E55023" w:rsidP="00EA2057">
    <w:pPr>
      <w:pStyle w:val="En-tte"/>
    </w:pPr>
    <w:r>
      <w:rPr>
        <w:noProof/>
        <w:lang w:val="fr-FR"/>
      </w:rPr>
      <mc:AlternateContent>
        <mc:Choice Requires="wps">
          <w:drawing>
            <wp:anchor distT="0" distB="0" distL="114300" distR="114300" simplePos="0" relativeHeight="251655168" behindDoc="1" locked="0" layoutInCell="0" allowOverlap="1" wp14:anchorId="3E9E5C42" wp14:editId="5C461F06">
              <wp:simplePos x="0" y="0"/>
              <wp:positionH relativeFrom="margin">
                <wp:align>center</wp:align>
              </wp:positionH>
              <wp:positionV relativeFrom="margin">
                <wp:align>center</wp:align>
              </wp:positionV>
              <wp:extent cx="5076190" cy="3045460"/>
              <wp:effectExtent l="0" t="0" r="0" b="0"/>
              <wp:wrapNone/>
              <wp:docPr id="4" name="PowerPlusWaterMarkObject1186500"/>
              <wp:cNvGraphicFramePr/>
              <a:graphic xmlns:a="http://schemas.openxmlformats.org/drawingml/2006/main">
                <a:graphicData uri="http://schemas.microsoft.com/office/word/2010/wordprocessingShape">
                  <wps:wsp>
                    <wps:cNvSpPr/>
                    <wps:spPr bwMode="auto">
                      <a:xfrm rot="18900000">
                        <a:off x="0" y="0"/>
                        <a:ext cx="5076190" cy="3045460"/>
                      </a:xfrm>
                      <a:prstGeom prst="rect">
                        <a:avLst/>
                      </a:prstGeom>
                      <a:noFill/>
                      <a:ln>
                        <a:noFill/>
                      </a:ln>
                    </wps:spPr>
                    <wps:txbx>
                      <w:txbxContent>
                        <w:p w14:paraId="5C8D377B" w14:textId="77777777" w:rsidR="009A6B89" w:rsidRDefault="00E55023" w:rsidP="00EA2057">
                          <w:r>
                            <w:t>DRAFT</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3E9E5C42" id="PowerPlusWaterMarkObject1186500" o:spid="_x0000_s1027" style="position:absolute;left:0;text-align:left;margin-left:0;margin-top:0;width:399.7pt;height:239.8pt;rotation:-45;z-index:-251661312;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" o:allowincell="f" filled="f" stroked="f">
              <v:textbox inset="0,0,0,0">
                <w:txbxContent>
                  <w:p w14:paraId="5C8D377B" w14:textId="77777777" w:rsidR="009A6B89" w:rsidRDefault="00E55023" w:rsidP="00EA2057">
                    <w:r>
                      <w:t>DRAFT</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763F"/>
    <w:multiLevelType w:val="hybridMultilevel"/>
    <w:tmpl w:val="30D4BB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C04217"/>
    <w:multiLevelType w:val="hybridMultilevel"/>
    <w:tmpl w:val="40CC65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992D63"/>
    <w:multiLevelType w:val="multilevel"/>
    <w:tmpl w:val="E634FA8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AD82169"/>
    <w:multiLevelType w:val="multilevel"/>
    <w:tmpl w:val="DC10E018"/>
    <w:lvl w:ilvl="0">
      <w:numFmt w:val="bullet"/>
      <w:lvlText w:val="-"/>
      <w:lvlJc w:val="left"/>
      <w:pPr>
        <w:ind w:left="360" w:hanging="360"/>
      </w:pPr>
      <w:rPr>
        <w:rFonts w:ascii="Calibri" w:eastAsiaTheme="minorHAns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C3346B"/>
    <w:multiLevelType w:val="multilevel"/>
    <w:tmpl w:val="4250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FB4B27"/>
    <w:multiLevelType w:val="hybridMultilevel"/>
    <w:tmpl w:val="C9A442D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 w15:restartNumberingAfterBreak="0">
    <w:nsid w:val="14DC6D34"/>
    <w:multiLevelType w:val="multilevel"/>
    <w:tmpl w:val="3F5E4276"/>
    <w:lvl w:ilvl="0">
      <w:start w:val="3"/>
      <w:numFmt w:val="bullet"/>
      <w:pStyle w:val="Sansinterligne"/>
      <w:lvlText w:val="•"/>
      <w:lvlJc w:val="left"/>
      <w:pPr>
        <w:ind w:left="720" w:hanging="360"/>
      </w:pPr>
      <w:rPr>
        <w:rFonts w:ascii="Calibri" w:eastAsiaTheme="minorHAnsi" w:hAnsi="Calibri" w:cstheme="minorBidi" w:hint="default"/>
        <w:color w:val="2F5496" w:themeColor="accent5" w:themeShade="B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4F68D1"/>
    <w:multiLevelType w:val="multilevel"/>
    <w:tmpl w:val="E3FE36DA"/>
    <w:lvl w:ilvl="0">
      <w:start w:val="3"/>
      <w:numFmt w:val="bullet"/>
      <w:lvlText w:val="•"/>
      <w:lvlJc w:val="left"/>
      <w:pPr>
        <w:ind w:left="1070" w:hanging="710"/>
      </w:pPr>
      <w:rPr>
        <w:rFonts w:ascii="Calibri" w:eastAsiaTheme="minorHAnsi" w:hAnsi="Calibri" w:cstheme="minorBidi" w:hint="default"/>
        <w:color w:val="2F5496" w:themeColor="accent5" w:themeShade="BF"/>
      </w:rPr>
    </w:lvl>
    <w:lvl w:ilvl="1">
      <w:start w:val="3"/>
      <w:numFmt w:val="bullet"/>
      <w:lvlText w:val="-"/>
      <w:lvlJc w:val="left"/>
      <w:pPr>
        <w:ind w:left="1790" w:hanging="710"/>
      </w:pPr>
      <w:rPr>
        <w:rFonts w:ascii="Calibri" w:eastAsiaTheme="minorHAnsi" w:hAnsi="Calibri" w:cstheme="minorBid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A96959"/>
    <w:multiLevelType w:val="multilevel"/>
    <w:tmpl w:val="AEBA8384"/>
    <w:lvl w:ilvl="0">
      <w:start w:val="3"/>
      <w:numFmt w:val="bullet"/>
      <w:lvlText w:val="•"/>
      <w:lvlJc w:val="left"/>
      <w:pPr>
        <w:ind w:left="720" w:hanging="360"/>
      </w:pPr>
      <w:rPr>
        <w:rFonts w:ascii="Calibri" w:eastAsiaTheme="minorHAnsi" w:hAnsi="Calibri" w:cstheme="minorBidi" w:hint="default"/>
        <w:color w:val="2F5496" w:themeColor="accent5" w:themeShade="B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A8308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D11BC"/>
    <w:multiLevelType w:val="multilevel"/>
    <w:tmpl w:val="25AC806C"/>
    <w:lvl w:ilvl="0">
      <w:start w:val="1"/>
      <w:numFmt w:val="decimal"/>
      <w:pStyle w:val="Titre1"/>
      <w:lvlText w:val="%1."/>
      <w:lvlJc w:val="left"/>
      <w:pPr>
        <w:ind w:left="360" w:hanging="360"/>
      </w:pPr>
    </w:lvl>
    <w:lvl w:ilvl="1">
      <w:start w:val="1"/>
      <w:numFmt w:val="decimal"/>
      <w:pStyle w:val="Titre2"/>
      <w:lvlText w:val="%1.%2."/>
      <w:lvlJc w:val="left"/>
      <w:pPr>
        <w:ind w:left="792" w:hanging="432"/>
      </w:pPr>
      <w:rPr>
        <w:i/>
        <w:sz w:val="22"/>
      </w:rPr>
    </w:lvl>
    <w:lvl w:ilvl="2">
      <w:start w:val="1"/>
      <w:numFmt w:val="decimal"/>
      <w:pStyle w:val="Titre3"/>
      <w:lvlText w:val="%1.%2.%3."/>
      <w:lvlJc w:val="left"/>
      <w:pPr>
        <w:ind w:left="1224" w:hanging="504"/>
      </w:pPr>
      <w:rPr>
        <w:rFonts w:ascii="Times New Roman" w:hAnsi="Times New Roman" w:cs="Times New Roman"/>
        <w:b w:val="0"/>
        <w:bCs w:val="0"/>
        <w:i w:val="0"/>
        <w:iCs w:val="0"/>
        <w:caps w:val="0"/>
        <w:smallCaps w:val="0"/>
        <w:strike w:val="0"/>
        <w:vanish w:val="0"/>
        <w:color w:val="000000"/>
        <w:spacing w:val="0"/>
        <w:position w:val="0"/>
        <w:sz w:val="0"/>
        <w:szCs w:val="0"/>
        <w:u w:val="none"/>
        <w:shd w:val="clear" w:color="000000" w:fill="000000"/>
        <w:vertAlign w:val="baseline"/>
        <w14:textOutline w14:w="0" w14:cap="rnd" w14:cmpd="sng" w14:algn="ctr">
          <w14:noFill/>
          <w14:prstDash w14:val="solid"/>
          <w14:bevel/>
        </w14:textOutline>
        <w14:ligatures w14: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38070B"/>
    <w:multiLevelType w:val="multilevel"/>
    <w:tmpl w:val="9D2C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0D3B46"/>
    <w:multiLevelType w:val="multilevel"/>
    <w:tmpl w:val="3D72B2A8"/>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CF36851"/>
    <w:multiLevelType w:val="multilevel"/>
    <w:tmpl w:val="51C08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946D2F"/>
    <w:multiLevelType w:val="multilevel"/>
    <w:tmpl w:val="ECDA0F62"/>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3403830"/>
    <w:multiLevelType w:val="hybridMultilevel"/>
    <w:tmpl w:val="5F20AE28"/>
    <w:lvl w:ilvl="0" w:tplc="15F264DA">
      <w:numFmt w:val="bullet"/>
      <w:lvlText w:val="•"/>
      <w:lvlJc w:val="left"/>
      <w:pPr>
        <w:ind w:left="1070" w:hanging="710"/>
      </w:pPr>
      <w:rPr>
        <w:rFonts w:ascii="Calibri" w:eastAsia="Calibr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502169D"/>
    <w:multiLevelType w:val="multilevel"/>
    <w:tmpl w:val="56067E42"/>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5A17789"/>
    <w:multiLevelType w:val="hybridMultilevel"/>
    <w:tmpl w:val="3B629E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3763D1"/>
    <w:multiLevelType w:val="multilevel"/>
    <w:tmpl w:val="279609C8"/>
    <w:lvl w:ilvl="0">
      <w:numFmt w:val="bullet"/>
      <w:lvlText w:val="-"/>
      <w:lvlJc w:val="left"/>
      <w:pPr>
        <w:ind w:left="1068" w:hanging="360"/>
      </w:pPr>
      <w:rPr>
        <w:rFonts w:ascii="Calibri" w:eastAsiaTheme="minorHAnsi" w:hAnsi="Calibri" w:cs="Calibri"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9" w15:restartNumberingAfterBreak="0">
    <w:nsid w:val="4C9D68BB"/>
    <w:multiLevelType w:val="multilevel"/>
    <w:tmpl w:val="5622F202"/>
    <w:lvl w:ilvl="0">
      <w:start w:val="1"/>
      <w:numFmt w:val="bullet"/>
      <w:lvlText w:val="-"/>
      <w:lvlJc w:val="left"/>
      <w:pPr>
        <w:ind w:left="40" w:hanging="360"/>
      </w:pPr>
      <w:rPr>
        <w:rFonts w:ascii="EB Garamond" w:eastAsia="EB Garamond" w:hAnsi="EB Garamond" w:cs="EB Garamond"/>
      </w:rPr>
    </w:lvl>
    <w:lvl w:ilvl="1">
      <w:start w:val="1"/>
      <w:numFmt w:val="bullet"/>
      <w:lvlText w:val="o"/>
      <w:lvlJc w:val="left"/>
      <w:pPr>
        <w:ind w:left="760" w:hanging="360"/>
      </w:pPr>
      <w:rPr>
        <w:rFonts w:ascii="Courier New" w:eastAsia="Courier New" w:hAnsi="Courier New" w:cs="Courier New"/>
      </w:rPr>
    </w:lvl>
    <w:lvl w:ilvl="2">
      <w:start w:val="1"/>
      <w:numFmt w:val="bullet"/>
      <w:lvlText w:val="▪"/>
      <w:lvlJc w:val="left"/>
      <w:pPr>
        <w:ind w:left="1480" w:hanging="360"/>
      </w:pPr>
      <w:rPr>
        <w:rFonts w:ascii="Noto Sans Symbols" w:eastAsia="Noto Sans Symbols" w:hAnsi="Noto Sans Symbols" w:cs="Noto Sans Symbols"/>
      </w:rPr>
    </w:lvl>
    <w:lvl w:ilvl="3">
      <w:start w:val="1"/>
      <w:numFmt w:val="bullet"/>
      <w:lvlText w:val="●"/>
      <w:lvlJc w:val="left"/>
      <w:pPr>
        <w:ind w:left="2200" w:hanging="360"/>
      </w:pPr>
      <w:rPr>
        <w:rFonts w:ascii="Noto Sans Symbols" w:eastAsia="Noto Sans Symbols" w:hAnsi="Noto Sans Symbols" w:cs="Noto Sans Symbols"/>
      </w:rPr>
    </w:lvl>
    <w:lvl w:ilvl="4">
      <w:start w:val="1"/>
      <w:numFmt w:val="bullet"/>
      <w:lvlText w:val="o"/>
      <w:lvlJc w:val="left"/>
      <w:pPr>
        <w:ind w:left="2920" w:hanging="360"/>
      </w:pPr>
      <w:rPr>
        <w:rFonts w:ascii="Courier New" w:eastAsia="Courier New" w:hAnsi="Courier New" w:cs="Courier New"/>
      </w:rPr>
    </w:lvl>
    <w:lvl w:ilvl="5">
      <w:start w:val="1"/>
      <w:numFmt w:val="bullet"/>
      <w:lvlText w:val="▪"/>
      <w:lvlJc w:val="left"/>
      <w:pPr>
        <w:ind w:left="3640" w:hanging="360"/>
      </w:pPr>
      <w:rPr>
        <w:rFonts w:ascii="Noto Sans Symbols" w:eastAsia="Noto Sans Symbols" w:hAnsi="Noto Sans Symbols" w:cs="Noto Sans Symbols"/>
      </w:rPr>
    </w:lvl>
    <w:lvl w:ilvl="6">
      <w:start w:val="1"/>
      <w:numFmt w:val="bullet"/>
      <w:lvlText w:val="●"/>
      <w:lvlJc w:val="left"/>
      <w:pPr>
        <w:ind w:left="4360" w:hanging="360"/>
      </w:pPr>
      <w:rPr>
        <w:rFonts w:ascii="Noto Sans Symbols" w:eastAsia="Noto Sans Symbols" w:hAnsi="Noto Sans Symbols" w:cs="Noto Sans Symbols"/>
      </w:rPr>
    </w:lvl>
    <w:lvl w:ilvl="7">
      <w:start w:val="1"/>
      <w:numFmt w:val="bullet"/>
      <w:lvlText w:val="o"/>
      <w:lvlJc w:val="left"/>
      <w:pPr>
        <w:ind w:left="5080" w:hanging="360"/>
      </w:pPr>
      <w:rPr>
        <w:rFonts w:ascii="Courier New" w:eastAsia="Courier New" w:hAnsi="Courier New" w:cs="Courier New"/>
      </w:rPr>
    </w:lvl>
    <w:lvl w:ilvl="8">
      <w:start w:val="1"/>
      <w:numFmt w:val="bullet"/>
      <w:lvlText w:val="▪"/>
      <w:lvlJc w:val="left"/>
      <w:pPr>
        <w:ind w:left="5800" w:hanging="360"/>
      </w:pPr>
      <w:rPr>
        <w:rFonts w:ascii="Noto Sans Symbols" w:eastAsia="Noto Sans Symbols" w:hAnsi="Noto Sans Symbols" w:cs="Noto Sans Symbols"/>
      </w:rPr>
    </w:lvl>
  </w:abstractNum>
  <w:abstractNum w:abstractNumId="20" w15:restartNumberingAfterBreak="0">
    <w:nsid w:val="50FA5E87"/>
    <w:multiLevelType w:val="multilevel"/>
    <w:tmpl w:val="739ED7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2ED15F3"/>
    <w:multiLevelType w:val="multilevel"/>
    <w:tmpl w:val="91329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34014B2"/>
    <w:multiLevelType w:val="multilevel"/>
    <w:tmpl w:val="7068BD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D40B5A"/>
    <w:multiLevelType w:val="multilevel"/>
    <w:tmpl w:val="468CDF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831164F"/>
    <w:multiLevelType w:val="multilevel"/>
    <w:tmpl w:val="28A8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7D7BAD"/>
    <w:multiLevelType w:val="hybridMultilevel"/>
    <w:tmpl w:val="CB2849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B384265"/>
    <w:multiLevelType w:val="multilevel"/>
    <w:tmpl w:val="AB86B1B4"/>
    <w:lvl w:ilvl="0">
      <w:start w:val="1"/>
      <w:numFmt w:val="bullet"/>
      <w:pStyle w:val="Listepuces"/>
      <w:lvlText w:val="-"/>
      <w:lvlJc w:val="left"/>
      <w:pPr>
        <w:tabs>
          <w:tab w:val="num" w:pos="360"/>
        </w:tabs>
        <w:ind w:left="360" w:hanging="360"/>
      </w:pPr>
      <w:rPr>
        <w:rFonts w:ascii="Times New Roman" w:hAnsi="Times New Roman" w:cs="Times New Roman" w:hint="default"/>
        <w:color w:val="auto"/>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7" w15:restartNumberingAfterBreak="0">
    <w:nsid w:val="5E7A43EA"/>
    <w:multiLevelType w:val="multilevel"/>
    <w:tmpl w:val="62D857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8C3286"/>
    <w:multiLevelType w:val="multilevel"/>
    <w:tmpl w:val="079A1DF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31E4B00"/>
    <w:multiLevelType w:val="multilevel"/>
    <w:tmpl w:val="FDD0CC2C"/>
    <w:lvl w:ilvl="0">
      <w:start w:val="1"/>
      <w:numFmt w:val="upperLetter"/>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0" w15:restartNumberingAfterBreak="0">
    <w:nsid w:val="637C58F1"/>
    <w:multiLevelType w:val="multilevel"/>
    <w:tmpl w:val="D0F83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334792"/>
    <w:multiLevelType w:val="multilevel"/>
    <w:tmpl w:val="CDF27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B06DA3"/>
    <w:multiLevelType w:val="multilevel"/>
    <w:tmpl w:val="9C4480E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553728C"/>
    <w:multiLevelType w:val="multilevel"/>
    <w:tmpl w:val="6E8450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6E65045"/>
    <w:multiLevelType w:val="multilevel"/>
    <w:tmpl w:val="7C6CB964"/>
    <w:lvl w:ilvl="0">
      <w:start w:val="1"/>
      <w:numFmt w:val="bullet"/>
      <w:pStyle w:val="Listepuces2"/>
      <w:lvlText w:val=""/>
      <w:lvlJc w:val="left"/>
      <w:pPr>
        <w:tabs>
          <w:tab w:val="num" w:pos="502"/>
        </w:tabs>
        <w:ind w:left="502" w:hanging="360"/>
      </w:pPr>
      <w:rPr>
        <w:rFonts w:ascii="Symbol" w:hAnsi="Symbol" w:hint="default"/>
      </w:rPr>
    </w:lvl>
    <w:lvl w:ilvl="1">
      <w:numFmt w:val="bullet"/>
      <w:lvlText w:val="ꎐʇꎐʇ)臠ꗞʇ臠ꗞʇ嗄儝翻/翻"/>
      <w:lvlJc w:val="left"/>
    </w:lvl>
    <w:lvl w:ilvl="2">
      <w:numFmt w:val="bullet"/>
      <w:lvlText w:val="ꎐʇꎐʇ)臠ꗞʇ臠ꗞʇ嗄儝翻/翻"/>
      <w:lvlJc w:val="left"/>
    </w:lvl>
    <w:lvl w:ilvl="3">
      <w:numFmt w:val="bullet"/>
      <w:lvlText w:val="ꎐʇꎐʇ)臠ꗞʇ臠ꗞʇ嗄儝翻/翻"/>
      <w:lvlJc w:val="left"/>
    </w:lvl>
    <w:lvl w:ilvl="4">
      <w:numFmt w:val="bullet"/>
      <w:lvlText w:val="ꎐʇꎐʇ)臠ꗞʇ臠ꗞʇ嗄儝翻/翻"/>
      <w:lvlJc w:val="left"/>
    </w:lvl>
    <w:lvl w:ilvl="5">
      <w:numFmt w:val="bullet"/>
      <w:lvlText w:val="ꎐʇꎐʇ)臠ꗞʇ臠ꗞʇ嗄儝翻/翻"/>
      <w:lvlJc w:val="left"/>
    </w:lvl>
    <w:lvl w:ilvl="6">
      <w:numFmt w:val="bullet"/>
      <w:lvlText w:val="ꎐʇꎐʇ)臠ꗞʇ臠ꗞʇ嗄儝翻/翻"/>
      <w:lvlJc w:val="left"/>
    </w:lvl>
    <w:lvl w:ilvl="7">
      <w:numFmt w:val="bullet"/>
      <w:lvlText w:val="ꎐʇꎐʇ)臠ꗞʇ臠ꗞʇ嗄儝翻/翻"/>
      <w:lvlJc w:val="left"/>
    </w:lvl>
    <w:lvl w:ilvl="8">
      <w:numFmt w:val="bullet"/>
      <w:lvlText w:val="ꎐʇꎐʇ)臠ꗞʇ臠ꗞʇ嗄儝翻/翻"/>
      <w:lvlJc w:val="left"/>
    </w:lvl>
  </w:abstractNum>
  <w:abstractNum w:abstractNumId="35" w15:restartNumberingAfterBreak="0">
    <w:nsid w:val="6E38322E"/>
    <w:multiLevelType w:val="multilevel"/>
    <w:tmpl w:val="B6963214"/>
    <w:lvl w:ilvl="0">
      <w:start w:val="1"/>
      <w:numFmt w:val="bullet"/>
      <w:lvlText w:val=""/>
      <w:lvlJc w:val="left"/>
      <w:pPr>
        <w:tabs>
          <w:tab w:val="num" w:pos="720"/>
        </w:tabs>
        <w:ind w:left="720" w:hanging="360"/>
      </w:pPr>
      <w:rPr>
        <w:rFonts w:ascii="Wingdings" w:hAnsi="Wingdings" w:hint="default"/>
        <w:color w:val="auto"/>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B07A03"/>
    <w:multiLevelType w:val="multilevel"/>
    <w:tmpl w:val="1EA8846C"/>
    <w:lvl w:ilvl="0">
      <w:start w:val="1"/>
      <w:numFmt w:val="decimal"/>
      <w:lvlText w:val="%1-"/>
      <w:lvlJc w:val="left"/>
      <w:pPr>
        <w:ind w:left="-320" w:hanging="360"/>
      </w:pPr>
      <w:rPr>
        <w:rFonts w:eastAsia="Calibri" w:hint="default"/>
        <w:color w:val="auto"/>
      </w:rPr>
    </w:lvl>
    <w:lvl w:ilvl="1">
      <w:start w:val="1"/>
      <w:numFmt w:val="lowerLetter"/>
      <w:lvlText w:val="%2."/>
      <w:lvlJc w:val="left"/>
      <w:pPr>
        <w:ind w:left="400" w:hanging="360"/>
      </w:pPr>
    </w:lvl>
    <w:lvl w:ilvl="2">
      <w:start w:val="1"/>
      <w:numFmt w:val="lowerRoman"/>
      <w:lvlText w:val="%3."/>
      <w:lvlJc w:val="right"/>
      <w:pPr>
        <w:ind w:left="1120" w:hanging="180"/>
      </w:pPr>
    </w:lvl>
    <w:lvl w:ilvl="3">
      <w:start w:val="1"/>
      <w:numFmt w:val="decimal"/>
      <w:lvlText w:val="%4."/>
      <w:lvlJc w:val="left"/>
      <w:pPr>
        <w:ind w:left="1840" w:hanging="360"/>
      </w:pPr>
    </w:lvl>
    <w:lvl w:ilvl="4">
      <w:start w:val="1"/>
      <w:numFmt w:val="lowerLetter"/>
      <w:lvlText w:val="%5."/>
      <w:lvlJc w:val="left"/>
      <w:pPr>
        <w:ind w:left="2560" w:hanging="360"/>
      </w:pPr>
    </w:lvl>
    <w:lvl w:ilvl="5">
      <w:start w:val="1"/>
      <w:numFmt w:val="lowerRoman"/>
      <w:lvlText w:val="%6."/>
      <w:lvlJc w:val="right"/>
      <w:pPr>
        <w:ind w:left="3280" w:hanging="180"/>
      </w:pPr>
    </w:lvl>
    <w:lvl w:ilvl="6">
      <w:start w:val="1"/>
      <w:numFmt w:val="decimal"/>
      <w:lvlText w:val="%7."/>
      <w:lvlJc w:val="left"/>
      <w:pPr>
        <w:ind w:left="4000" w:hanging="360"/>
      </w:pPr>
    </w:lvl>
    <w:lvl w:ilvl="7">
      <w:start w:val="1"/>
      <w:numFmt w:val="lowerLetter"/>
      <w:lvlText w:val="%8."/>
      <w:lvlJc w:val="left"/>
      <w:pPr>
        <w:ind w:left="4720" w:hanging="360"/>
      </w:pPr>
    </w:lvl>
    <w:lvl w:ilvl="8">
      <w:start w:val="1"/>
      <w:numFmt w:val="lowerRoman"/>
      <w:lvlText w:val="%9."/>
      <w:lvlJc w:val="right"/>
      <w:pPr>
        <w:ind w:left="5440" w:hanging="180"/>
      </w:pPr>
    </w:lvl>
  </w:abstractNum>
  <w:abstractNum w:abstractNumId="37" w15:restartNumberingAfterBreak="0">
    <w:nsid w:val="75D41E2E"/>
    <w:multiLevelType w:val="hybridMultilevel"/>
    <w:tmpl w:val="205E1334"/>
    <w:lvl w:ilvl="0" w:tplc="15F264DA">
      <w:numFmt w:val="bullet"/>
      <w:lvlText w:val="•"/>
      <w:lvlJc w:val="left"/>
      <w:pPr>
        <w:ind w:left="720" w:hanging="360"/>
      </w:pPr>
      <w:rPr>
        <w:rFonts w:ascii="Calibri" w:eastAsia="Calibr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73867C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9101D6"/>
    <w:multiLevelType w:val="multilevel"/>
    <w:tmpl w:val="3738C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6"/>
  </w:num>
  <w:num w:numId="2">
    <w:abstractNumId w:val="34"/>
  </w:num>
  <w:num w:numId="3">
    <w:abstractNumId w:val="19"/>
  </w:num>
  <w:num w:numId="4">
    <w:abstractNumId w:val="12"/>
  </w:num>
  <w:num w:numId="5">
    <w:abstractNumId w:val="36"/>
  </w:num>
  <w:num w:numId="6">
    <w:abstractNumId w:val="22"/>
  </w:num>
  <w:num w:numId="7">
    <w:abstractNumId w:val="14"/>
  </w:num>
  <w:num w:numId="8">
    <w:abstractNumId w:val="27"/>
  </w:num>
  <w:num w:numId="9">
    <w:abstractNumId w:val="29"/>
  </w:num>
  <w:num w:numId="10">
    <w:abstractNumId w:val="3"/>
  </w:num>
  <w:num w:numId="11">
    <w:abstractNumId w:val="16"/>
  </w:num>
  <w:num w:numId="12">
    <w:abstractNumId w:val="18"/>
  </w:num>
  <w:num w:numId="13">
    <w:abstractNumId w:val="20"/>
  </w:num>
  <w:num w:numId="14">
    <w:abstractNumId w:val="35"/>
  </w:num>
  <w:num w:numId="15">
    <w:abstractNumId w:val="28"/>
  </w:num>
  <w:num w:numId="16">
    <w:abstractNumId w:val="26"/>
  </w:num>
  <w:num w:numId="17">
    <w:abstractNumId w:val="26"/>
  </w:num>
  <w:num w:numId="18">
    <w:abstractNumId w:val="26"/>
  </w:num>
  <w:num w:numId="19">
    <w:abstractNumId w:val="32"/>
  </w:num>
  <w:num w:numId="20">
    <w:abstractNumId w:val="26"/>
  </w:num>
  <w:num w:numId="21">
    <w:abstractNumId w:val="10"/>
  </w:num>
  <w:num w:numId="22">
    <w:abstractNumId w:val="9"/>
  </w:num>
  <w:num w:numId="23">
    <w:abstractNumId w:val="38"/>
  </w:num>
  <w:num w:numId="24">
    <w:abstractNumId w:val="7"/>
  </w:num>
  <w:num w:numId="25">
    <w:abstractNumId w:val="39"/>
  </w:num>
  <w:num w:numId="26">
    <w:abstractNumId w:val="23"/>
  </w:num>
  <w:num w:numId="27">
    <w:abstractNumId w:val="30"/>
  </w:num>
  <w:num w:numId="28">
    <w:abstractNumId w:val="21"/>
  </w:num>
  <w:num w:numId="29">
    <w:abstractNumId w:val="6"/>
  </w:num>
  <w:num w:numId="30">
    <w:abstractNumId w:val="13"/>
  </w:num>
  <w:num w:numId="31">
    <w:abstractNumId w:val="31"/>
  </w:num>
  <w:num w:numId="32">
    <w:abstractNumId w:val="33"/>
  </w:num>
  <w:num w:numId="33">
    <w:abstractNumId w:val="2"/>
  </w:num>
  <w:num w:numId="34">
    <w:abstractNumId w:val="8"/>
  </w:num>
  <w:num w:numId="35">
    <w:abstractNumId w:val="17"/>
  </w:num>
  <w:num w:numId="36">
    <w:abstractNumId w:val="15"/>
  </w:num>
  <w:num w:numId="37">
    <w:abstractNumId w:val="6"/>
  </w:num>
  <w:num w:numId="38">
    <w:abstractNumId w:val="37"/>
  </w:num>
  <w:num w:numId="39">
    <w:abstractNumId w:val="25"/>
  </w:num>
  <w:num w:numId="40">
    <w:abstractNumId w:val="11"/>
  </w:num>
  <w:num w:numId="41">
    <w:abstractNumId w:val="1"/>
  </w:num>
  <w:num w:numId="42">
    <w:abstractNumId w:val="0"/>
  </w:num>
  <w:num w:numId="43">
    <w:abstractNumId w:val="4"/>
  </w:num>
  <w:num w:numId="44">
    <w:abstractNumId w:val="24"/>
  </w:num>
  <w:num w:numId="45">
    <w:abstractNumId w:val="5"/>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B89"/>
    <w:rsid w:val="00036268"/>
    <w:rsid w:val="00037039"/>
    <w:rsid w:val="00037B81"/>
    <w:rsid w:val="00082473"/>
    <w:rsid w:val="000A3865"/>
    <w:rsid w:val="000B1ED2"/>
    <w:rsid w:val="000B1FB5"/>
    <w:rsid w:val="000F1D83"/>
    <w:rsid w:val="00187FED"/>
    <w:rsid w:val="001C2640"/>
    <w:rsid w:val="0024495E"/>
    <w:rsid w:val="002D473C"/>
    <w:rsid w:val="002F18FF"/>
    <w:rsid w:val="00317943"/>
    <w:rsid w:val="003438F8"/>
    <w:rsid w:val="003D0BCF"/>
    <w:rsid w:val="003E6BD9"/>
    <w:rsid w:val="003E71A3"/>
    <w:rsid w:val="0045747C"/>
    <w:rsid w:val="004674F5"/>
    <w:rsid w:val="004D268E"/>
    <w:rsid w:val="00552758"/>
    <w:rsid w:val="00556074"/>
    <w:rsid w:val="00556318"/>
    <w:rsid w:val="006351E0"/>
    <w:rsid w:val="006A2CE3"/>
    <w:rsid w:val="006C40F0"/>
    <w:rsid w:val="006C5E3D"/>
    <w:rsid w:val="00734720"/>
    <w:rsid w:val="00752AB0"/>
    <w:rsid w:val="007770E1"/>
    <w:rsid w:val="00793E32"/>
    <w:rsid w:val="0079614A"/>
    <w:rsid w:val="007E3082"/>
    <w:rsid w:val="0081673C"/>
    <w:rsid w:val="0083349E"/>
    <w:rsid w:val="0084355A"/>
    <w:rsid w:val="008C7B06"/>
    <w:rsid w:val="008E1CEC"/>
    <w:rsid w:val="0095307A"/>
    <w:rsid w:val="00953554"/>
    <w:rsid w:val="00963570"/>
    <w:rsid w:val="00990140"/>
    <w:rsid w:val="009A6B89"/>
    <w:rsid w:val="009B0068"/>
    <w:rsid w:val="00A45D70"/>
    <w:rsid w:val="00A93777"/>
    <w:rsid w:val="00AB2C66"/>
    <w:rsid w:val="00B15B54"/>
    <w:rsid w:val="00B43541"/>
    <w:rsid w:val="00B61DF1"/>
    <w:rsid w:val="00BB182E"/>
    <w:rsid w:val="00BD6C9A"/>
    <w:rsid w:val="00C11F3C"/>
    <w:rsid w:val="00C21400"/>
    <w:rsid w:val="00C529FF"/>
    <w:rsid w:val="00CA2E93"/>
    <w:rsid w:val="00CA7767"/>
    <w:rsid w:val="00CC48BB"/>
    <w:rsid w:val="00CC57D2"/>
    <w:rsid w:val="00CD4816"/>
    <w:rsid w:val="00CF3CA7"/>
    <w:rsid w:val="00D674E2"/>
    <w:rsid w:val="00D97EA7"/>
    <w:rsid w:val="00DA0851"/>
    <w:rsid w:val="00DC2B66"/>
    <w:rsid w:val="00E15985"/>
    <w:rsid w:val="00E54C4D"/>
    <w:rsid w:val="00E55023"/>
    <w:rsid w:val="00E8719D"/>
    <w:rsid w:val="00EA2057"/>
    <w:rsid w:val="00EC6C07"/>
    <w:rsid w:val="00F15580"/>
    <w:rsid w:val="00F35271"/>
    <w:rsid w:val="00F43431"/>
    <w:rsid w:val="00F735A4"/>
    <w:rsid w:val="00F90ECF"/>
    <w:rsid w:val="00F97FD4"/>
    <w:rsid w:val="00FF4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CD344"/>
  <w15:docId w15:val="{E4597D08-C72F-49B7-8E5C-4A1E8DC43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057"/>
    <w:pPr>
      <w:spacing w:after="120" w:line="240" w:lineRule="auto"/>
      <w:contextualSpacing/>
      <w:jc w:val="both"/>
    </w:pPr>
    <w:rPr>
      <w:rFonts w:eastAsia="Times New Roman" w:cstheme="minorHAnsi"/>
      <w:lang w:val="en-GB" w:eastAsia="fr-FR"/>
    </w:rPr>
  </w:style>
  <w:style w:type="paragraph" w:styleId="Titre1">
    <w:name w:val="heading 1"/>
    <w:basedOn w:val="Paragraphedeliste"/>
    <w:next w:val="Normal"/>
    <w:link w:val="Titre1Car"/>
    <w:uiPriority w:val="9"/>
    <w:qFormat/>
    <w:pPr>
      <w:numPr>
        <w:numId w:val="21"/>
      </w:numPr>
      <w:outlineLvl w:val="0"/>
    </w:pPr>
    <w:rPr>
      <w:rFonts w:asciiTheme="minorHAnsi" w:eastAsia="Calibri" w:hAnsiTheme="minorHAnsi" w:cstheme="minorHAnsi"/>
      <w:b/>
      <w:color w:val="2F5496" w:themeColor="accent5" w:themeShade="BF"/>
      <w:sz w:val="24"/>
    </w:rPr>
  </w:style>
  <w:style w:type="paragraph" w:styleId="Titre2">
    <w:name w:val="heading 2"/>
    <w:basedOn w:val="Titre1"/>
    <w:next w:val="Normal"/>
    <w:link w:val="Titre2Car"/>
    <w:uiPriority w:val="9"/>
    <w:unhideWhenUsed/>
    <w:qFormat/>
    <w:pPr>
      <w:numPr>
        <w:ilvl w:val="1"/>
      </w:numPr>
      <w:spacing w:before="120"/>
      <w:ind w:left="788" w:hanging="431"/>
      <w:outlineLvl w:val="1"/>
    </w:pPr>
    <w:rPr>
      <w:i/>
      <w:sz w:val="22"/>
    </w:rPr>
  </w:style>
  <w:style w:type="paragraph" w:styleId="Titre3">
    <w:name w:val="heading 3"/>
    <w:basedOn w:val="Titre2"/>
    <w:next w:val="Normal"/>
    <w:link w:val="Titre3Car"/>
    <w:uiPriority w:val="9"/>
    <w:unhideWhenUsed/>
    <w:qFormat/>
    <w:pPr>
      <w:numPr>
        <w:ilvl w:val="2"/>
      </w:numPr>
      <w:ind w:left="1225" w:hanging="505"/>
      <w:outlineLvl w:val="2"/>
    </w:pPr>
    <w:rPr>
      <w:b w:val="0"/>
      <w:i w:val="0"/>
      <w:u w:val="single"/>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E74B5" w:themeColor="accent1" w:themeShade="BF"/>
    </w:rPr>
  </w:style>
  <w:style w:type="paragraph" w:styleId="Titre6">
    <w:name w:val="heading 6"/>
    <w:basedOn w:val="Normal"/>
    <w:next w:val="Normal"/>
    <w:link w:val="Titre6Car"/>
    <w:uiPriority w:val="9"/>
    <w:unhideWhenUsed/>
    <w:qFormat/>
    <w:pPr>
      <w:keepNext/>
      <w:keepLines/>
      <w:spacing w:before="4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Policepardfaut"/>
    <w:uiPriority w:val="9"/>
    <w:rPr>
      <w:rFonts w:ascii="Arial" w:eastAsia="Arial" w:hAnsi="Arial" w:cs="Arial"/>
      <w:color w:val="2E74B5" w:themeColor="accent1" w:themeShade="BF"/>
      <w:sz w:val="40"/>
      <w:szCs w:val="40"/>
    </w:rPr>
  </w:style>
  <w:style w:type="character" w:customStyle="1" w:styleId="Heading2Char">
    <w:name w:val="Heading 2 Char"/>
    <w:basedOn w:val="Policepardfaut"/>
    <w:uiPriority w:val="9"/>
    <w:rPr>
      <w:rFonts w:ascii="Arial" w:eastAsia="Arial" w:hAnsi="Arial" w:cs="Arial"/>
      <w:color w:val="2E74B5" w:themeColor="accent1" w:themeShade="BF"/>
      <w:sz w:val="32"/>
      <w:szCs w:val="32"/>
    </w:rPr>
  </w:style>
  <w:style w:type="character" w:customStyle="1" w:styleId="Heading3Char">
    <w:name w:val="Heading 3 Char"/>
    <w:basedOn w:val="Policepardfaut"/>
    <w:uiPriority w:val="9"/>
    <w:rPr>
      <w:rFonts w:ascii="Arial" w:eastAsia="Arial" w:hAnsi="Arial" w:cs="Arial"/>
      <w:color w:val="2E74B5"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E74B5" w:themeColor="accent1" w:themeShade="BF"/>
    </w:rPr>
  </w:style>
  <w:style w:type="character" w:customStyle="1" w:styleId="Titre5Car">
    <w:name w:val="Titre 5 Car"/>
    <w:basedOn w:val="Policepardfaut"/>
    <w:link w:val="Titre5"/>
    <w:uiPriority w:val="9"/>
    <w:rPr>
      <w:rFonts w:ascii="Arial" w:eastAsia="Arial" w:hAnsi="Arial" w:cs="Arial"/>
      <w:color w:val="2E74B5"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Emphaseintense">
    <w:name w:val="Intense Emphasis"/>
    <w:basedOn w:val="Policepardfaut"/>
    <w:uiPriority w:val="21"/>
    <w:qFormat/>
    <w:rPr>
      <w:i/>
      <w:iCs/>
      <w:color w:val="2E74B5" w:themeColor="accent1" w:themeShade="BF"/>
    </w:rPr>
  </w:style>
  <w:style w:type="paragraph" w:styleId="Citationintense">
    <w:name w:val="Intense Quote"/>
    <w:basedOn w:val="Normal"/>
    <w:next w:val="Normal"/>
    <w:link w:val="Citationintense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character" w:styleId="Emphaseple">
    <w:name w:val="Subtle Emphasis"/>
    <w:basedOn w:val="Policepardfaut"/>
    <w:uiPriority w:val="19"/>
    <w:qFormat/>
    <w:rPr>
      <w:i/>
      <w:iCs/>
      <w:color w:val="404040" w:themeColor="text1" w:themeTint="BF"/>
    </w:rPr>
  </w:style>
  <w:style w:type="character" w:styleId="Accentuation">
    <w:name w:val="Emphasis"/>
    <w:uiPriority w:val="20"/>
    <w:qFormat/>
    <w:rsid w:val="00EA2057"/>
    <w:rPr>
      <w:b/>
      <w:color w:val="2F5496" w:themeColor="accent5" w:themeShade="BF"/>
    </w:rPr>
  </w:style>
  <w:style w:type="character" w:styleId="lev">
    <w:name w:val="Strong"/>
    <w:basedOn w:val="Policepardfaut"/>
    <w:uiPriority w:val="22"/>
    <w:qFormat/>
    <w:rPr>
      <w:b/>
      <w:bCs/>
    </w:rPr>
  </w:style>
  <w:style w:type="character" w:styleId="Rfrencepl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pPr>
    <w:rPr>
      <w:i/>
      <w:iCs/>
      <w:color w:val="44546A" w:themeColor="text2"/>
      <w:sz w:val="18"/>
      <w:szCs w:val="18"/>
    </w:rPr>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character" w:styleId="Lienhypertextesuivivisit">
    <w:name w:val="FollowedHyperlink"/>
    <w:basedOn w:val="Policepardfaut"/>
    <w:uiPriority w:val="99"/>
    <w:semiHidden/>
    <w:unhideWhenUsed/>
    <w:rPr>
      <w:color w:val="954F72" w:themeColor="followedHyperlink"/>
      <w:u w:val="single"/>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paragraph" w:styleId="Listepuces">
    <w:name w:val="List Bullet"/>
    <w:basedOn w:val="Normal"/>
    <w:pPr>
      <w:numPr>
        <w:numId w:val="1"/>
      </w:numPr>
    </w:pPr>
    <w:rPr>
      <w:sz w:val="20"/>
    </w:rPr>
  </w:style>
  <w:style w:type="paragraph" w:styleId="Listepuces2">
    <w:name w:val="List Bullet 2"/>
    <w:basedOn w:val="Normal"/>
    <w:uiPriority w:val="99"/>
    <w:unhideWhenUsed/>
    <w:pPr>
      <w:numPr>
        <w:numId w:val="2"/>
      </w:numPr>
    </w:pPr>
  </w:style>
  <w:style w:type="paragraph" w:styleId="Paragraphedeliste">
    <w:name w:val="List Paragraph"/>
    <w:basedOn w:val="Normal"/>
    <w:link w:val="ParagraphedelisteCar"/>
    <w:uiPriority w:val="34"/>
    <w:qFormat/>
    <w:pPr>
      <w:spacing w:line="259" w:lineRule="auto"/>
      <w:ind w:left="720"/>
    </w:pPr>
    <w:rPr>
      <w:rFonts w:ascii="Arial" w:eastAsia="Arial" w:hAnsi="Arial" w:cs="Arial"/>
      <w:sz w:val="20"/>
    </w:rPr>
  </w:style>
  <w:style w:type="paragraph" w:styleId="Sansinterligne">
    <w:name w:val="No Spacing"/>
    <w:basedOn w:val="Paragraphedeliste"/>
    <w:uiPriority w:val="1"/>
    <w:qFormat/>
    <w:pPr>
      <w:numPr>
        <w:numId w:val="29"/>
      </w:numPr>
    </w:pPr>
    <w:rPr>
      <w:rFonts w:asciiTheme="minorHAnsi" w:eastAsia="Calibri" w:hAnsiTheme="minorHAnsi" w:cstheme="minorHAnsi"/>
      <w:sz w:val="22"/>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Times New Roman" w:eastAsia="Times New Roman" w:hAnsi="Times New Roman" w:cs="Times New Roman"/>
      <w:sz w:val="24"/>
      <w:szCs w:val="20"/>
      <w:lang w:eastAsia="fr-FR"/>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rFonts w:ascii="Times New Roman" w:eastAsia="Times New Roman" w:hAnsi="Times New Roman" w:cs="Times New Roman"/>
      <w:sz w:val="24"/>
      <w:szCs w:val="20"/>
      <w:lang w:eastAsia="fr-FR"/>
    </w:rPr>
  </w:style>
  <w:style w:type="paragraph" w:customStyle="1" w:styleId="a">
    <w:name w:val="a"/>
    <w:basedOn w:val="Normal"/>
    <w:rPr>
      <w:rFonts w:ascii="Arial" w:hAnsi="Arial"/>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rPr>
      <w:sz w:val="20"/>
    </w:rPr>
  </w:style>
  <w:style w:type="character" w:customStyle="1" w:styleId="CommentaireCar">
    <w:name w:val="Commentaire Car"/>
    <w:basedOn w:val="Policepardfaut"/>
    <w:link w:val="Commentaire"/>
    <w:uiPriority w:val="99"/>
    <w:semiHidden/>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Times New Roman" w:hAnsi="Segoe UI" w:cs="Segoe UI"/>
      <w:sz w:val="18"/>
      <w:szCs w:val="18"/>
      <w:lang w:eastAsia="fr-FR"/>
    </w:rPr>
  </w:style>
  <w:style w:type="paragraph" w:styleId="Notedefin">
    <w:name w:val="endnote text"/>
    <w:basedOn w:val="Normal"/>
    <w:link w:val="NotedefinCar"/>
    <w:uiPriority w:val="99"/>
    <w:semiHidden/>
    <w:unhideWhenUsed/>
    <w:rPr>
      <w:sz w:val="20"/>
    </w:rPr>
  </w:style>
  <w:style w:type="character" w:customStyle="1" w:styleId="NotedefinCar">
    <w:name w:val="Note de fin Car"/>
    <w:basedOn w:val="Policepardfaut"/>
    <w:link w:val="Notedefin"/>
    <w:uiPriority w:val="99"/>
    <w:semiHidden/>
    <w:rPr>
      <w:rFonts w:ascii="Times New Roman" w:eastAsia="Times New Roman" w:hAnsi="Times New Roman" w:cs="Times New Roman"/>
      <w:sz w:val="20"/>
      <w:szCs w:val="20"/>
      <w:lang w:eastAsia="fr-FR"/>
    </w:rPr>
  </w:style>
  <w:style w:type="character" w:styleId="Appeldenotedefin">
    <w:name w:val="endnote reference"/>
    <w:basedOn w:val="Policepardfaut"/>
    <w:uiPriority w:val="99"/>
    <w:semiHidden/>
    <w:unhideWhenUsed/>
    <w:rPr>
      <w:vertAlign w:val="superscript"/>
    </w:rPr>
  </w:style>
  <w:style w:type="character" w:customStyle="1" w:styleId="ParagraphedelisteCar">
    <w:name w:val="Paragraphe de liste Car"/>
    <w:link w:val="Paragraphedeliste"/>
    <w:uiPriority w:val="34"/>
    <w:qFormat/>
    <w:rPr>
      <w:rFonts w:ascii="Arial" w:eastAsia="Arial" w:hAnsi="Arial" w:cs="Arial"/>
      <w:sz w:val="20"/>
      <w:szCs w:val="20"/>
      <w:lang w:eastAsia="fr-FR"/>
    </w:rPr>
  </w:style>
  <w:style w:type="character" w:styleId="Appelnotedebasdep">
    <w:name w:val="footnote reference"/>
    <w:link w:val="BVIfnrCarCarCarCarChar"/>
    <w:uiPriority w:val="99"/>
    <w:qFormat/>
  </w:style>
  <w:style w:type="paragraph" w:styleId="Notedebasdepage">
    <w:name w:val="footnote text"/>
    <w:basedOn w:val="Normal"/>
    <w:link w:val="NotedebasdepageCar"/>
    <w:uiPriority w:val="99"/>
    <w:qFormat/>
    <w:rPr>
      <w:sz w:val="20"/>
    </w:rPr>
  </w:style>
  <w:style w:type="character" w:customStyle="1" w:styleId="NotedebasdepageCar">
    <w:name w:val="Note de bas de page Car"/>
    <w:basedOn w:val="Policepardfaut"/>
    <w:link w:val="Notedebasdepage"/>
    <w:uiPriority w:val="99"/>
    <w:rPr>
      <w:rFonts w:ascii="Times New Roman" w:eastAsia="Times New Roman" w:hAnsi="Times New Roman" w:cs="Times New Roman"/>
      <w:sz w:val="20"/>
      <w:szCs w:val="20"/>
      <w:lang w:eastAsia="fr-FR"/>
    </w:rPr>
  </w:style>
  <w:style w:type="paragraph" w:customStyle="1" w:styleId="BVIfnrCarCarCarCarChar">
    <w:name w:val="BVI fnr Car Car Car Car Char"/>
    <w:basedOn w:val="Normal"/>
    <w:link w:val="Appelnotedebasdep"/>
    <w:uiPriority w:val="99"/>
    <w:qFormat/>
    <w:pPr>
      <w:spacing w:after="160" w:line="240" w:lineRule="exact"/>
    </w:pPr>
    <w:rPr>
      <w:rFonts w:eastAsiaTheme="minorHAnsi" w:cstheme="minorBidi"/>
      <w:lang w:eastAsia="en-US"/>
    </w:rPr>
  </w:style>
  <w:style w:type="character" w:customStyle="1" w:styleId="Titre1Car">
    <w:name w:val="Titre 1 Car"/>
    <w:basedOn w:val="Policepardfaut"/>
    <w:link w:val="Titre1"/>
    <w:uiPriority w:val="9"/>
    <w:rPr>
      <w:rFonts w:eastAsia="Calibri" w:cstheme="minorHAnsi"/>
      <w:b/>
      <w:color w:val="2F5496" w:themeColor="accent5" w:themeShade="BF"/>
      <w:sz w:val="24"/>
      <w:lang w:val="en-GB" w:eastAsia="fr-FR"/>
    </w:rPr>
  </w:style>
  <w:style w:type="character" w:customStyle="1" w:styleId="Titre2Car">
    <w:name w:val="Titre 2 Car"/>
    <w:basedOn w:val="Policepardfaut"/>
    <w:link w:val="Titre2"/>
    <w:uiPriority w:val="9"/>
    <w:rPr>
      <w:rFonts w:eastAsia="Calibri" w:cstheme="minorHAnsi"/>
      <w:b/>
      <w:i/>
      <w:color w:val="2F5496" w:themeColor="accent5" w:themeShade="BF"/>
      <w:lang w:val="en-GB" w:eastAsia="fr-FR"/>
    </w:r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3Car">
    <w:name w:val="Titre 3 Car"/>
    <w:basedOn w:val="Policepardfaut"/>
    <w:link w:val="Titre3"/>
    <w:uiPriority w:val="9"/>
    <w:rPr>
      <w:rFonts w:eastAsia="Calibri" w:cstheme="minorHAnsi"/>
      <w:color w:val="2F5496" w:themeColor="accent5" w:themeShade="BF"/>
      <w:u w:val="single"/>
      <w:lang w:val="en-GB" w:eastAsia="fr-FR"/>
    </w:rPr>
  </w:style>
  <w:style w:type="paragraph" w:styleId="NormalWeb">
    <w:name w:val="Normal (Web)"/>
    <w:basedOn w:val="Normal"/>
    <w:uiPriority w:val="99"/>
    <w:unhideWhenUsed/>
    <w:pPr>
      <w:spacing w:before="100" w:beforeAutospacing="1" w:after="100" w:afterAutospacing="1"/>
      <w:jc w:val="left"/>
    </w:pPr>
    <w:rPr>
      <w:rFonts w:ascii="Times New Roman" w:hAnsi="Times New Roman" w:cs="Times New Roman"/>
      <w:sz w:val="24"/>
      <w:szCs w:val="24"/>
      <w:lang w:val="fr-FR"/>
    </w:rPr>
  </w:style>
  <w:style w:type="character" w:styleId="Lienhypertexte">
    <w:name w:val="Hyperlink"/>
    <w:basedOn w:val="Policepardfaut"/>
    <w:uiPriority w:val="99"/>
    <w:unhideWhenUsed/>
    <w:rPr>
      <w:color w:val="0563C1" w:themeColor="hyperlink"/>
      <w:u w:val="single"/>
    </w:rPr>
  </w:style>
  <w:style w:type="paragraph" w:customStyle="1" w:styleId="Lgende1">
    <w:name w:val="Légende1"/>
    <w:basedOn w:val="Normal"/>
    <w:next w:val="Normal"/>
    <w:uiPriority w:val="35"/>
    <w:unhideWhenUsed/>
    <w:qFormat/>
    <w:pPr>
      <w:spacing w:before="120" w:after="60"/>
    </w:pPr>
    <w:rPr>
      <w:rFonts w:ascii="Calibri" w:hAnsi="Calibri" w:cs="Times New Roman"/>
      <w:i/>
      <w:iCs/>
      <w:color w:val="44546A"/>
      <w:sz w:val="18"/>
      <w:szCs w:val="18"/>
      <w:lang w:eastAsia="ko-KR"/>
    </w:rPr>
  </w:style>
  <w:style w:type="paragraph" w:customStyle="1" w:styleId="Default">
    <w:name w:val="Default"/>
    <w:rsid w:val="008C7B06"/>
    <w:pPr>
      <w:autoSpaceDE w:val="0"/>
      <w:autoSpaceDN w:val="0"/>
      <w:adjustRightInd w:val="0"/>
      <w:spacing w:after="0" w:line="240" w:lineRule="auto"/>
    </w:pPr>
    <w:rPr>
      <w:rFonts w:ascii="Calibri" w:eastAsiaTheme="minorEastAsia" w:hAnsi="Calibri" w:cs="Calibri"/>
      <w:color w:val="000000"/>
      <w:sz w:val="24"/>
      <w:szCs w:val="24"/>
      <w:lang w:val="en-US"/>
    </w:rPr>
  </w:style>
  <w:style w:type="paragraph" w:customStyle="1" w:styleId="Text">
    <w:name w:val="Text"/>
    <w:basedOn w:val="Normal"/>
    <w:rsid w:val="008C7B06"/>
    <w:pPr>
      <w:spacing w:before="100" w:after="100" w:line="288" w:lineRule="auto"/>
      <w:contextualSpacing w:val="0"/>
      <w:jc w:val="left"/>
    </w:pPr>
    <w:rPr>
      <w:rFonts w:ascii="Tahoma" w:hAnsi="Tahoma" w:cs="Times New Roman"/>
      <w:sz w:val="16"/>
      <w:szCs w:val="24"/>
      <w:lang w:val="en-US" w:eastAsia="en-US"/>
    </w:rPr>
  </w:style>
  <w:style w:type="paragraph" w:customStyle="1" w:styleId="ql-rendered-bullet-list">
    <w:name w:val="ql-rendered-bullet-list"/>
    <w:basedOn w:val="Normal"/>
    <w:rsid w:val="003D0BCF"/>
    <w:pPr>
      <w:spacing w:before="100" w:beforeAutospacing="1" w:after="100" w:afterAutospacing="1"/>
      <w:contextualSpacing w:val="0"/>
      <w:jc w:val="left"/>
    </w:pPr>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64737">
      <w:bodyDiv w:val="1"/>
      <w:marLeft w:val="0"/>
      <w:marRight w:val="0"/>
      <w:marTop w:val="0"/>
      <w:marBottom w:val="0"/>
      <w:divBdr>
        <w:top w:val="none" w:sz="0" w:space="0" w:color="auto"/>
        <w:left w:val="none" w:sz="0" w:space="0" w:color="auto"/>
        <w:bottom w:val="none" w:sz="0" w:space="0" w:color="auto"/>
        <w:right w:val="none" w:sz="0" w:space="0" w:color="auto"/>
      </w:divBdr>
    </w:div>
    <w:div w:id="41251310">
      <w:bodyDiv w:val="1"/>
      <w:marLeft w:val="0"/>
      <w:marRight w:val="0"/>
      <w:marTop w:val="0"/>
      <w:marBottom w:val="0"/>
      <w:divBdr>
        <w:top w:val="none" w:sz="0" w:space="0" w:color="auto"/>
        <w:left w:val="none" w:sz="0" w:space="0" w:color="auto"/>
        <w:bottom w:val="none" w:sz="0" w:space="0" w:color="auto"/>
        <w:right w:val="none" w:sz="0" w:space="0" w:color="auto"/>
      </w:divBdr>
    </w:div>
    <w:div w:id="98724840">
      <w:bodyDiv w:val="1"/>
      <w:marLeft w:val="0"/>
      <w:marRight w:val="0"/>
      <w:marTop w:val="0"/>
      <w:marBottom w:val="0"/>
      <w:divBdr>
        <w:top w:val="none" w:sz="0" w:space="0" w:color="auto"/>
        <w:left w:val="none" w:sz="0" w:space="0" w:color="auto"/>
        <w:bottom w:val="none" w:sz="0" w:space="0" w:color="auto"/>
        <w:right w:val="none" w:sz="0" w:space="0" w:color="auto"/>
      </w:divBdr>
    </w:div>
    <w:div w:id="183128730">
      <w:bodyDiv w:val="1"/>
      <w:marLeft w:val="0"/>
      <w:marRight w:val="0"/>
      <w:marTop w:val="0"/>
      <w:marBottom w:val="0"/>
      <w:divBdr>
        <w:top w:val="none" w:sz="0" w:space="0" w:color="auto"/>
        <w:left w:val="none" w:sz="0" w:space="0" w:color="auto"/>
        <w:bottom w:val="none" w:sz="0" w:space="0" w:color="auto"/>
        <w:right w:val="none" w:sz="0" w:space="0" w:color="auto"/>
      </w:divBdr>
      <w:divsChild>
        <w:div w:id="1263104855">
          <w:marLeft w:val="0"/>
          <w:marRight w:val="0"/>
          <w:marTop w:val="0"/>
          <w:marBottom w:val="0"/>
          <w:divBdr>
            <w:top w:val="none" w:sz="0" w:space="0" w:color="auto"/>
            <w:left w:val="none" w:sz="0" w:space="0" w:color="auto"/>
            <w:bottom w:val="none" w:sz="0" w:space="0" w:color="auto"/>
            <w:right w:val="none" w:sz="0" w:space="0" w:color="auto"/>
          </w:divBdr>
          <w:divsChild>
            <w:div w:id="301814071">
              <w:marLeft w:val="0"/>
              <w:marRight w:val="0"/>
              <w:marTop w:val="0"/>
              <w:marBottom w:val="0"/>
              <w:divBdr>
                <w:top w:val="none" w:sz="0" w:space="0" w:color="auto"/>
                <w:left w:val="none" w:sz="0" w:space="0" w:color="auto"/>
                <w:bottom w:val="none" w:sz="0" w:space="0" w:color="auto"/>
                <w:right w:val="none" w:sz="0" w:space="0" w:color="auto"/>
              </w:divBdr>
              <w:divsChild>
                <w:div w:id="1707367891">
                  <w:marLeft w:val="0"/>
                  <w:marRight w:val="0"/>
                  <w:marTop w:val="0"/>
                  <w:marBottom w:val="0"/>
                  <w:divBdr>
                    <w:top w:val="none" w:sz="0" w:space="0" w:color="auto"/>
                    <w:left w:val="none" w:sz="0" w:space="0" w:color="auto"/>
                    <w:bottom w:val="none" w:sz="0" w:space="0" w:color="auto"/>
                    <w:right w:val="none" w:sz="0" w:space="0" w:color="auto"/>
                  </w:divBdr>
                  <w:divsChild>
                    <w:div w:id="578179327">
                      <w:marLeft w:val="0"/>
                      <w:marRight w:val="0"/>
                      <w:marTop w:val="0"/>
                      <w:marBottom w:val="0"/>
                      <w:divBdr>
                        <w:top w:val="none" w:sz="0" w:space="0" w:color="auto"/>
                        <w:left w:val="none" w:sz="0" w:space="0" w:color="auto"/>
                        <w:bottom w:val="none" w:sz="0" w:space="0" w:color="auto"/>
                        <w:right w:val="none" w:sz="0" w:space="0" w:color="auto"/>
                      </w:divBdr>
                      <w:divsChild>
                        <w:div w:id="354313884">
                          <w:marLeft w:val="0"/>
                          <w:marRight w:val="0"/>
                          <w:marTop w:val="0"/>
                          <w:marBottom w:val="0"/>
                          <w:divBdr>
                            <w:top w:val="none" w:sz="0" w:space="0" w:color="auto"/>
                            <w:left w:val="none" w:sz="0" w:space="0" w:color="auto"/>
                            <w:bottom w:val="none" w:sz="0" w:space="0" w:color="auto"/>
                            <w:right w:val="none" w:sz="0" w:space="0" w:color="auto"/>
                          </w:divBdr>
                          <w:divsChild>
                            <w:div w:id="1178930020">
                              <w:marLeft w:val="0"/>
                              <w:marRight w:val="0"/>
                              <w:marTop w:val="0"/>
                              <w:marBottom w:val="0"/>
                              <w:divBdr>
                                <w:top w:val="none" w:sz="0" w:space="0" w:color="auto"/>
                                <w:left w:val="none" w:sz="0" w:space="0" w:color="auto"/>
                                <w:bottom w:val="none" w:sz="0" w:space="0" w:color="auto"/>
                                <w:right w:val="none" w:sz="0" w:space="0" w:color="auto"/>
                              </w:divBdr>
                              <w:divsChild>
                                <w:div w:id="104202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7000259">
      <w:bodyDiv w:val="1"/>
      <w:marLeft w:val="0"/>
      <w:marRight w:val="0"/>
      <w:marTop w:val="0"/>
      <w:marBottom w:val="0"/>
      <w:divBdr>
        <w:top w:val="none" w:sz="0" w:space="0" w:color="auto"/>
        <w:left w:val="none" w:sz="0" w:space="0" w:color="auto"/>
        <w:bottom w:val="none" w:sz="0" w:space="0" w:color="auto"/>
        <w:right w:val="none" w:sz="0" w:space="0" w:color="auto"/>
      </w:divBdr>
      <w:divsChild>
        <w:div w:id="463281398">
          <w:marLeft w:val="0"/>
          <w:marRight w:val="0"/>
          <w:marTop w:val="0"/>
          <w:marBottom w:val="0"/>
          <w:divBdr>
            <w:top w:val="none" w:sz="0" w:space="0" w:color="auto"/>
            <w:left w:val="none" w:sz="0" w:space="0" w:color="auto"/>
            <w:bottom w:val="none" w:sz="0" w:space="0" w:color="auto"/>
            <w:right w:val="none" w:sz="0" w:space="0" w:color="auto"/>
          </w:divBdr>
          <w:divsChild>
            <w:div w:id="599416459">
              <w:marLeft w:val="0"/>
              <w:marRight w:val="0"/>
              <w:marTop w:val="0"/>
              <w:marBottom w:val="0"/>
              <w:divBdr>
                <w:top w:val="none" w:sz="0" w:space="0" w:color="auto"/>
                <w:left w:val="none" w:sz="0" w:space="0" w:color="auto"/>
                <w:bottom w:val="none" w:sz="0" w:space="0" w:color="auto"/>
                <w:right w:val="none" w:sz="0" w:space="0" w:color="auto"/>
              </w:divBdr>
              <w:divsChild>
                <w:div w:id="1227718529">
                  <w:marLeft w:val="0"/>
                  <w:marRight w:val="0"/>
                  <w:marTop w:val="0"/>
                  <w:marBottom w:val="0"/>
                  <w:divBdr>
                    <w:top w:val="none" w:sz="0" w:space="0" w:color="auto"/>
                    <w:left w:val="none" w:sz="0" w:space="0" w:color="auto"/>
                    <w:bottom w:val="none" w:sz="0" w:space="0" w:color="auto"/>
                    <w:right w:val="none" w:sz="0" w:space="0" w:color="auto"/>
                  </w:divBdr>
                  <w:divsChild>
                    <w:div w:id="173156140">
                      <w:marLeft w:val="0"/>
                      <w:marRight w:val="0"/>
                      <w:marTop w:val="0"/>
                      <w:marBottom w:val="0"/>
                      <w:divBdr>
                        <w:top w:val="none" w:sz="0" w:space="0" w:color="auto"/>
                        <w:left w:val="none" w:sz="0" w:space="0" w:color="auto"/>
                        <w:bottom w:val="none" w:sz="0" w:space="0" w:color="auto"/>
                        <w:right w:val="none" w:sz="0" w:space="0" w:color="auto"/>
                      </w:divBdr>
                      <w:divsChild>
                        <w:div w:id="162739788">
                          <w:marLeft w:val="0"/>
                          <w:marRight w:val="0"/>
                          <w:marTop w:val="0"/>
                          <w:marBottom w:val="0"/>
                          <w:divBdr>
                            <w:top w:val="none" w:sz="0" w:space="0" w:color="auto"/>
                            <w:left w:val="none" w:sz="0" w:space="0" w:color="auto"/>
                            <w:bottom w:val="none" w:sz="0" w:space="0" w:color="auto"/>
                            <w:right w:val="none" w:sz="0" w:space="0" w:color="auto"/>
                          </w:divBdr>
                          <w:divsChild>
                            <w:div w:id="1287740719">
                              <w:marLeft w:val="0"/>
                              <w:marRight w:val="0"/>
                              <w:marTop w:val="0"/>
                              <w:marBottom w:val="0"/>
                              <w:divBdr>
                                <w:top w:val="none" w:sz="0" w:space="0" w:color="auto"/>
                                <w:left w:val="none" w:sz="0" w:space="0" w:color="auto"/>
                                <w:bottom w:val="none" w:sz="0" w:space="0" w:color="auto"/>
                                <w:right w:val="none" w:sz="0" w:space="0" w:color="auto"/>
                              </w:divBdr>
                              <w:divsChild>
                                <w:div w:id="10658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107526">
      <w:bodyDiv w:val="1"/>
      <w:marLeft w:val="0"/>
      <w:marRight w:val="0"/>
      <w:marTop w:val="0"/>
      <w:marBottom w:val="0"/>
      <w:divBdr>
        <w:top w:val="none" w:sz="0" w:space="0" w:color="auto"/>
        <w:left w:val="none" w:sz="0" w:space="0" w:color="auto"/>
        <w:bottom w:val="none" w:sz="0" w:space="0" w:color="auto"/>
        <w:right w:val="none" w:sz="0" w:space="0" w:color="auto"/>
      </w:divBdr>
    </w:div>
    <w:div w:id="563492183">
      <w:bodyDiv w:val="1"/>
      <w:marLeft w:val="0"/>
      <w:marRight w:val="0"/>
      <w:marTop w:val="0"/>
      <w:marBottom w:val="0"/>
      <w:divBdr>
        <w:top w:val="none" w:sz="0" w:space="0" w:color="auto"/>
        <w:left w:val="none" w:sz="0" w:space="0" w:color="auto"/>
        <w:bottom w:val="none" w:sz="0" w:space="0" w:color="auto"/>
        <w:right w:val="none" w:sz="0" w:space="0" w:color="auto"/>
      </w:divBdr>
    </w:div>
    <w:div w:id="563879702">
      <w:bodyDiv w:val="1"/>
      <w:marLeft w:val="0"/>
      <w:marRight w:val="0"/>
      <w:marTop w:val="0"/>
      <w:marBottom w:val="0"/>
      <w:divBdr>
        <w:top w:val="none" w:sz="0" w:space="0" w:color="auto"/>
        <w:left w:val="none" w:sz="0" w:space="0" w:color="auto"/>
        <w:bottom w:val="none" w:sz="0" w:space="0" w:color="auto"/>
        <w:right w:val="none" w:sz="0" w:space="0" w:color="auto"/>
      </w:divBdr>
    </w:div>
    <w:div w:id="569005500">
      <w:bodyDiv w:val="1"/>
      <w:marLeft w:val="0"/>
      <w:marRight w:val="0"/>
      <w:marTop w:val="0"/>
      <w:marBottom w:val="0"/>
      <w:divBdr>
        <w:top w:val="none" w:sz="0" w:space="0" w:color="auto"/>
        <w:left w:val="none" w:sz="0" w:space="0" w:color="auto"/>
        <w:bottom w:val="none" w:sz="0" w:space="0" w:color="auto"/>
        <w:right w:val="none" w:sz="0" w:space="0" w:color="auto"/>
      </w:divBdr>
    </w:div>
    <w:div w:id="592131214">
      <w:bodyDiv w:val="1"/>
      <w:marLeft w:val="0"/>
      <w:marRight w:val="0"/>
      <w:marTop w:val="0"/>
      <w:marBottom w:val="0"/>
      <w:divBdr>
        <w:top w:val="none" w:sz="0" w:space="0" w:color="auto"/>
        <w:left w:val="none" w:sz="0" w:space="0" w:color="auto"/>
        <w:bottom w:val="none" w:sz="0" w:space="0" w:color="auto"/>
        <w:right w:val="none" w:sz="0" w:space="0" w:color="auto"/>
      </w:divBdr>
    </w:div>
    <w:div w:id="637612432">
      <w:bodyDiv w:val="1"/>
      <w:marLeft w:val="0"/>
      <w:marRight w:val="0"/>
      <w:marTop w:val="0"/>
      <w:marBottom w:val="0"/>
      <w:divBdr>
        <w:top w:val="none" w:sz="0" w:space="0" w:color="auto"/>
        <w:left w:val="none" w:sz="0" w:space="0" w:color="auto"/>
        <w:bottom w:val="none" w:sz="0" w:space="0" w:color="auto"/>
        <w:right w:val="none" w:sz="0" w:space="0" w:color="auto"/>
      </w:divBdr>
    </w:div>
    <w:div w:id="738481656">
      <w:bodyDiv w:val="1"/>
      <w:marLeft w:val="0"/>
      <w:marRight w:val="0"/>
      <w:marTop w:val="0"/>
      <w:marBottom w:val="0"/>
      <w:divBdr>
        <w:top w:val="none" w:sz="0" w:space="0" w:color="auto"/>
        <w:left w:val="none" w:sz="0" w:space="0" w:color="auto"/>
        <w:bottom w:val="none" w:sz="0" w:space="0" w:color="auto"/>
        <w:right w:val="none" w:sz="0" w:space="0" w:color="auto"/>
      </w:divBdr>
    </w:div>
    <w:div w:id="792361070">
      <w:bodyDiv w:val="1"/>
      <w:marLeft w:val="0"/>
      <w:marRight w:val="0"/>
      <w:marTop w:val="0"/>
      <w:marBottom w:val="0"/>
      <w:divBdr>
        <w:top w:val="none" w:sz="0" w:space="0" w:color="auto"/>
        <w:left w:val="none" w:sz="0" w:space="0" w:color="auto"/>
        <w:bottom w:val="none" w:sz="0" w:space="0" w:color="auto"/>
        <w:right w:val="none" w:sz="0" w:space="0" w:color="auto"/>
      </w:divBdr>
    </w:div>
    <w:div w:id="849173704">
      <w:bodyDiv w:val="1"/>
      <w:marLeft w:val="0"/>
      <w:marRight w:val="0"/>
      <w:marTop w:val="0"/>
      <w:marBottom w:val="0"/>
      <w:divBdr>
        <w:top w:val="none" w:sz="0" w:space="0" w:color="auto"/>
        <w:left w:val="none" w:sz="0" w:space="0" w:color="auto"/>
        <w:bottom w:val="none" w:sz="0" w:space="0" w:color="auto"/>
        <w:right w:val="none" w:sz="0" w:space="0" w:color="auto"/>
      </w:divBdr>
    </w:div>
    <w:div w:id="981739225">
      <w:bodyDiv w:val="1"/>
      <w:marLeft w:val="0"/>
      <w:marRight w:val="0"/>
      <w:marTop w:val="0"/>
      <w:marBottom w:val="0"/>
      <w:divBdr>
        <w:top w:val="none" w:sz="0" w:space="0" w:color="auto"/>
        <w:left w:val="none" w:sz="0" w:space="0" w:color="auto"/>
        <w:bottom w:val="none" w:sz="0" w:space="0" w:color="auto"/>
        <w:right w:val="none" w:sz="0" w:space="0" w:color="auto"/>
      </w:divBdr>
    </w:div>
    <w:div w:id="1012803705">
      <w:bodyDiv w:val="1"/>
      <w:marLeft w:val="0"/>
      <w:marRight w:val="0"/>
      <w:marTop w:val="0"/>
      <w:marBottom w:val="0"/>
      <w:divBdr>
        <w:top w:val="none" w:sz="0" w:space="0" w:color="auto"/>
        <w:left w:val="none" w:sz="0" w:space="0" w:color="auto"/>
        <w:bottom w:val="none" w:sz="0" w:space="0" w:color="auto"/>
        <w:right w:val="none" w:sz="0" w:space="0" w:color="auto"/>
      </w:divBdr>
      <w:divsChild>
        <w:div w:id="1076368113">
          <w:marLeft w:val="0"/>
          <w:marRight w:val="0"/>
          <w:marTop w:val="0"/>
          <w:marBottom w:val="0"/>
          <w:divBdr>
            <w:top w:val="none" w:sz="0" w:space="0" w:color="auto"/>
            <w:left w:val="none" w:sz="0" w:space="0" w:color="auto"/>
            <w:bottom w:val="none" w:sz="0" w:space="0" w:color="auto"/>
            <w:right w:val="none" w:sz="0" w:space="0" w:color="auto"/>
          </w:divBdr>
          <w:divsChild>
            <w:div w:id="1734962429">
              <w:marLeft w:val="0"/>
              <w:marRight w:val="0"/>
              <w:marTop w:val="0"/>
              <w:marBottom w:val="0"/>
              <w:divBdr>
                <w:top w:val="none" w:sz="0" w:space="0" w:color="auto"/>
                <w:left w:val="none" w:sz="0" w:space="0" w:color="auto"/>
                <w:bottom w:val="none" w:sz="0" w:space="0" w:color="auto"/>
                <w:right w:val="none" w:sz="0" w:space="0" w:color="auto"/>
              </w:divBdr>
              <w:divsChild>
                <w:div w:id="1904215777">
                  <w:marLeft w:val="0"/>
                  <w:marRight w:val="0"/>
                  <w:marTop w:val="0"/>
                  <w:marBottom w:val="0"/>
                  <w:divBdr>
                    <w:top w:val="none" w:sz="0" w:space="0" w:color="auto"/>
                    <w:left w:val="none" w:sz="0" w:space="0" w:color="auto"/>
                    <w:bottom w:val="none" w:sz="0" w:space="0" w:color="auto"/>
                    <w:right w:val="none" w:sz="0" w:space="0" w:color="auto"/>
                  </w:divBdr>
                  <w:divsChild>
                    <w:div w:id="2088913871">
                      <w:marLeft w:val="0"/>
                      <w:marRight w:val="0"/>
                      <w:marTop w:val="0"/>
                      <w:marBottom w:val="0"/>
                      <w:divBdr>
                        <w:top w:val="none" w:sz="0" w:space="0" w:color="auto"/>
                        <w:left w:val="none" w:sz="0" w:space="0" w:color="auto"/>
                        <w:bottom w:val="none" w:sz="0" w:space="0" w:color="auto"/>
                        <w:right w:val="none" w:sz="0" w:space="0" w:color="auto"/>
                      </w:divBdr>
                      <w:divsChild>
                        <w:div w:id="1410074724">
                          <w:marLeft w:val="0"/>
                          <w:marRight w:val="0"/>
                          <w:marTop w:val="0"/>
                          <w:marBottom w:val="0"/>
                          <w:divBdr>
                            <w:top w:val="none" w:sz="0" w:space="0" w:color="auto"/>
                            <w:left w:val="none" w:sz="0" w:space="0" w:color="auto"/>
                            <w:bottom w:val="none" w:sz="0" w:space="0" w:color="auto"/>
                            <w:right w:val="none" w:sz="0" w:space="0" w:color="auto"/>
                          </w:divBdr>
                          <w:divsChild>
                            <w:div w:id="1919974824">
                              <w:marLeft w:val="0"/>
                              <w:marRight w:val="0"/>
                              <w:marTop w:val="0"/>
                              <w:marBottom w:val="0"/>
                              <w:divBdr>
                                <w:top w:val="none" w:sz="0" w:space="0" w:color="auto"/>
                                <w:left w:val="none" w:sz="0" w:space="0" w:color="auto"/>
                                <w:bottom w:val="none" w:sz="0" w:space="0" w:color="auto"/>
                                <w:right w:val="none" w:sz="0" w:space="0" w:color="auto"/>
                              </w:divBdr>
                              <w:divsChild>
                                <w:div w:id="39501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4696056">
      <w:bodyDiv w:val="1"/>
      <w:marLeft w:val="0"/>
      <w:marRight w:val="0"/>
      <w:marTop w:val="0"/>
      <w:marBottom w:val="0"/>
      <w:divBdr>
        <w:top w:val="none" w:sz="0" w:space="0" w:color="auto"/>
        <w:left w:val="none" w:sz="0" w:space="0" w:color="auto"/>
        <w:bottom w:val="none" w:sz="0" w:space="0" w:color="auto"/>
        <w:right w:val="none" w:sz="0" w:space="0" w:color="auto"/>
      </w:divBdr>
    </w:div>
    <w:div w:id="1018193643">
      <w:bodyDiv w:val="1"/>
      <w:marLeft w:val="0"/>
      <w:marRight w:val="0"/>
      <w:marTop w:val="0"/>
      <w:marBottom w:val="0"/>
      <w:divBdr>
        <w:top w:val="none" w:sz="0" w:space="0" w:color="auto"/>
        <w:left w:val="none" w:sz="0" w:space="0" w:color="auto"/>
        <w:bottom w:val="none" w:sz="0" w:space="0" w:color="auto"/>
        <w:right w:val="none" w:sz="0" w:space="0" w:color="auto"/>
      </w:divBdr>
    </w:div>
    <w:div w:id="1145514819">
      <w:bodyDiv w:val="1"/>
      <w:marLeft w:val="0"/>
      <w:marRight w:val="0"/>
      <w:marTop w:val="0"/>
      <w:marBottom w:val="0"/>
      <w:divBdr>
        <w:top w:val="none" w:sz="0" w:space="0" w:color="auto"/>
        <w:left w:val="none" w:sz="0" w:space="0" w:color="auto"/>
        <w:bottom w:val="none" w:sz="0" w:space="0" w:color="auto"/>
        <w:right w:val="none" w:sz="0" w:space="0" w:color="auto"/>
      </w:divBdr>
    </w:div>
    <w:div w:id="1384330323">
      <w:bodyDiv w:val="1"/>
      <w:marLeft w:val="0"/>
      <w:marRight w:val="0"/>
      <w:marTop w:val="0"/>
      <w:marBottom w:val="0"/>
      <w:divBdr>
        <w:top w:val="none" w:sz="0" w:space="0" w:color="auto"/>
        <w:left w:val="none" w:sz="0" w:space="0" w:color="auto"/>
        <w:bottom w:val="none" w:sz="0" w:space="0" w:color="auto"/>
        <w:right w:val="none" w:sz="0" w:space="0" w:color="auto"/>
      </w:divBdr>
    </w:div>
    <w:div w:id="1485774038">
      <w:bodyDiv w:val="1"/>
      <w:marLeft w:val="0"/>
      <w:marRight w:val="0"/>
      <w:marTop w:val="0"/>
      <w:marBottom w:val="0"/>
      <w:divBdr>
        <w:top w:val="none" w:sz="0" w:space="0" w:color="auto"/>
        <w:left w:val="none" w:sz="0" w:space="0" w:color="auto"/>
        <w:bottom w:val="none" w:sz="0" w:space="0" w:color="auto"/>
        <w:right w:val="none" w:sz="0" w:space="0" w:color="auto"/>
      </w:divBdr>
    </w:div>
    <w:div w:id="1488597033">
      <w:bodyDiv w:val="1"/>
      <w:marLeft w:val="0"/>
      <w:marRight w:val="0"/>
      <w:marTop w:val="0"/>
      <w:marBottom w:val="0"/>
      <w:divBdr>
        <w:top w:val="none" w:sz="0" w:space="0" w:color="auto"/>
        <w:left w:val="none" w:sz="0" w:space="0" w:color="auto"/>
        <w:bottom w:val="none" w:sz="0" w:space="0" w:color="auto"/>
        <w:right w:val="none" w:sz="0" w:space="0" w:color="auto"/>
      </w:divBdr>
    </w:div>
    <w:div w:id="1554459373">
      <w:bodyDiv w:val="1"/>
      <w:marLeft w:val="0"/>
      <w:marRight w:val="0"/>
      <w:marTop w:val="0"/>
      <w:marBottom w:val="0"/>
      <w:divBdr>
        <w:top w:val="none" w:sz="0" w:space="0" w:color="auto"/>
        <w:left w:val="none" w:sz="0" w:space="0" w:color="auto"/>
        <w:bottom w:val="none" w:sz="0" w:space="0" w:color="auto"/>
        <w:right w:val="none" w:sz="0" w:space="0" w:color="auto"/>
      </w:divBdr>
    </w:div>
    <w:div w:id="1806701267">
      <w:bodyDiv w:val="1"/>
      <w:marLeft w:val="0"/>
      <w:marRight w:val="0"/>
      <w:marTop w:val="0"/>
      <w:marBottom w:val="0"/>
      <w:divBdr>
        <w:top w:val="none" w:sz="0" w:space="0" w:color="auto"/>
        <w:left w:val="none" w:sz="0" w:space="0" w:color="auto"/>
        <w:bottom w:val="none" w:sz="0" w:space="0" w:color="auto"/>
        <w:right w:val="none" w:sz="0" w:space="0" w:color="auto"/>
      </w:divBdr>
    </w:div>
    <w:div w:id="1890141798">
      <w:bodyDiv w:val="1"/>
      <w:marLeft w:val="0"/>
      <w:marRight w:val="0"/>
      <w:marTop w:val="0"/>
      <w:marBottom w:val="0"/>
      <w:divBdr>
        <w:top w:val="none" w:sz="0" w:space="0" w:color="auto"/>
        <w:left w:val="none" w:sz="0" w:space="0" w:color="auto"/>
        <w:bottom w:val="none" w:sz="0" w:space="0" w:color="auto"/>
        <w:right w:val="none" w:sz="0" w:space="0" w:color="auto"/>
      </w:divBdr>
    </w:div>
    <w:div w:id="2098359819">
      <w:bodyDiv w:val="1"/>
      <w:marLeft w:val="0"/>
      <w:marRight w:val="0"/>
      <w:marTop w:val="0"/>
      <w:marBottom w:val="0"/>
      <w:divBdr>
        <w:top w:val="none" w:sz="0" w:space="0" w:color="auto"/>
        <w:left w:val="none" w:sz="0" w:space="0" w:color="auto"/>
        <w:bottom w:val="none" w:sz="0" w:space="0" w:color="auto"/>
        <w:right w:val="none" w:sz="0" w:space="0" w:color="auto"/>
      </w:divBdr>
    </w:div>
    <w:div w:id="213459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58D82-F936-460C-A8AC-B664FB07D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9</Pages>
  <Words>3863</Words>
  <Characters>21247</Characters>
  <Application>Microsoft Office Word</Application>
  <DocSecurity>0</DocSecurity>
  <Lines>177</Lines>
  <Paragraphs>50</Paragraphs>
  <ScaleCrop>false</ScaleCrop>
  <HeadingPairs>
    <vt:vector size="2" baseType="variant">
      <vt:variant>
        <vt:lpstr>Titre</vt:lpstr>
      </vt:variant>
      <vt:variant>
        <vt:i4>1</vt:i4>
      </vt:variant>
    </vt:vector>
  </HeadingPairs>
  <TitlesOfParts>
    <vt:vector size="1" baseType="lpstr">
      <vt:lpstr/>
    </vt:vector>
  </TitlesOfParts>
  <Company>Expertise France</Company>
  <LinksUpToDate>false</LinksUpToDate>
  <CharactersWithSpaces>25060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AUTEROCHE</dc:creator>
  <cp:keywords/>
  <dc:description/>
  <cp:lastModifiedBy>Iolaine THIBAULT</cp:lastModifiedBy>
  <cp:revision>38</cp:revision>
  <cp:lastPrinted>2026-02-03T10:56:00Z</cp:lastPrinted>
  <dcterms:created xsi:type="dcterms:W3CDTF">2026-02-03T10:56:00Z</dcterms:created>
  <dcterms:modified xsi:type="dcterms:W3CDTF">2026-06-10T14:48:00Z</dcterms:modified>
</cp:coreProperties>
</file>