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1BF48DA" w14:textId="77777777">
      <w:pPr>
        <w:pBdr/>
        <w:spacing w:after="120"/>
        <w:ind/>
        <w:jc w:val="center"/>
        <w:rPr/>
      </w:pPr>
      <w:r>
        <w:rPr>
          <w:b/>
          <w:bCs/>
          <w:color w:val="1f4e78"/>
          <w:sz w:val="32"/>
          <w:szCs w:val="32"/>
        </w:rPr>
        <w:t xml:space="preserve">TERMS OF REFERENCE (TOR)</w:t>
      </w:r>
      <w:r/>
    </w:p>
    <w:p w14:paraId="125A95E2" w14:textId="77777777">
      <w:pPr>
        <w:pBdr/>
        <w:spacing w:after="300"/>
        <w:ind/>
        <w:jc w:val="center"/>
        <w:rPr/>
      </w:pPr>
      <w:r>
        <w:rPr>
          <w:b/>
          <w:bCs/>
          <w:sz w:val="24"/>
          <w:szCs w:val="24"/>
        </w:rPr>
        <w:t xml:space="preserve">Consultant to Support SEAL in Developing a Comprehensive State-Owned Enterprises (SOE) Governance Framework</w:t>
      </w:r>
      <w:r/>
    </w:p>
    <w:tbl>
      <w:tblPr>
        <w:tblW w:w="9360" w:type="dxa"/>
        <w:tblCellMar>
          <w:left w:w="10" w:type="dxa"/>
          <w:right w:w="1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0"/>
        <w:gridCol w:w="6560"/>
      </w:tblGrid>
      <w:tr>
        <w:trPr/>
        <w:tc>
          <w:tcPr>
            <w:shd w:val="clear" w:color="auto" w:fill="1f3864"/>
            <w:tcBorders/>
            <w:tcMar>
              <w:left w:w="100" w:type="dxa"/>
              <w:top w:w="80" w:type="dxa"/>
              <w:right w:w="100" w:type="dxa"/>
              <w:bottom w:w="80" w:type="dxa"/>
            </w:tcMar>
            <w:tcW w:w="2800" w:type="dxa"/>
            <w:vAlign w:val="center"/>
            <w:textDirection w:val="lrTb"/>
            <w:noWrap w:val="false"/>
          </w:tcPr>
          <w:p w14:paraId="4D5C54CD" w14:textId="77777777">
            <w:pPr>
              <w:pBdr/>
              <w:spacing/>
              <w:ind/>
              <w:rPr>
                <w:sz w:val="21"/>
                <w:szCs w:val="21"/>
              </w:rPr>
            </w:pPr>
            <w:r>
              <w:rPr>
                <w:b/>
                <w:bCs/>
                <w:color w:val="ffffff"/>
                <w:sz w:val="21"/>
                <w:szCs w:val="21"/>
              </w:rPr>
              <w:t xml:space="preserve">Assignment Title</w:t>
            </w:r>
            <w:r>
              <w:rPr>
                <w:sz w:val="21"/>
                <w:szCs w:val="21"/>
              </w:rPr>
            </w:r>
          </w:p>
        </w:tc>
        <w:tc>
          <w:tcPr>
            <w:tcBorders/>
            <w:tcMar>
              <w:left w:w="100" w:type="dxa"/>
              <w:top w:w="80" w:type="dxa"/>
              <w:right w:w="100" w:type="dxa"/>
              <w:bottom w:w="80" w:type="dxa"/>
            </w:tcMar>
            <w:tcW w:w="6560" w:type="dxa"/>
            <w:vAlign w:val="center"/>
            <w:textDirection w:val="lrTb"/>
            <w:noWrap w:val="false"/>
          </w:tcPr>
          <w:p w14:paraId="6A2E1FAD" w14:textId="25854E86">
            <w:pPr>
              <w:pBdr/>
              <w:spacing/>
              <w:ind/>
              <w:rPr>
                <w:sz w:val="21"/>
                <w:szCs w:val="21"/>
              </w:rPr>
            </w:pPr>
            <w:r>
              <w:rPr>
                <w:color w:val="000000"/>
                <w:sz w:val="21"/>
                <w:szCs w:val="21"/>
              </w:rPr>
              <w:t xml:space="preserve">Consultant – </w:t>
            </w:r>
            <w:r>
              <w:rPr>
                <w:rFonts w:ascii="Times New Roman" w:hAnsi="Times New Roman" w:cs="Times New Roman"/>
                <w:sz w:val="24"/>
                <w:szCs w:val="24"/>
              </w:rPr>
              <w:t xml:space="preserve">to strengthen governance, transparency, and financial accountability across the state-owned enterprises sector</w:t>
            </w:r>
            <w:r>
              <w:rPr>
                <w:sz w:val="21"/>
                <w:szCs w:val="21"/>
              </w:rPr>
            </w:r>
          </w:p>
        </w:tc>
      </w:tr>
      <w:tr>
        <w:trPr>
          <w:trHeight w:val="497"/>
        </w:trPr>
        <w:tc>
          <w:tcPr>
            <w:shd w:val="clear" w:color="ffffff" w:fill="1f3864"/>
            <w:tcBorders/>
            <w:tcMar>
              <w:left w:w="100" w:type="dxa"/>
              <w:top w:w="80" w:type="dxa"/>
              <w:right w:w="100" w:type="dxa"/>
              <w:bottom w:w="80" w:type="dxa"/>
            </w:tcMar>
            <w:tcW w:w="2800" w:type="dxa"/>
            <w:vAlign w:val="center"/>
            <w:textDirection w:val="lrTb"/>
            <w:noWrap w:val="false"/>
          </w:tcPr>
          <w:p w14:paraId="75459869" w14:textId="77777777">
            <w:pPr>
              <w:pBdr/>
              <w:spacing/>
              <w:ind/>
              <w:rPr>
                <w:b/>
                <w:bCs/>
                <w:color w:val="ffffff"/>
              </w:rPr>
            </w:pPr>
            <w:r>
              <w:rPr>
                <w:b/>
                <w:bCs/>
                <w:color w:val="ffffff"/>
              </w:rPr>
              <w:t xml:space="preserve">Project title</w:t>
            </w:r>
            <w:r>
              <w:rPr>
                <w:b/>
                <w:bCs/>
                <w:color w:val="ffffff"/>
              </w:rPr>
            </w:r>
          </w:p>
        </w:tc>
        <w:tc>
          <w:tcPr>
            <w:tcBorders/>
            <w:tcMar>
              <w:left w:w="100" w:type="dxa"/>
              <w:top w:w="80" w:type="dxa"/>
              <w:right w:w="100" w:type="dxa"/>
              <w:bottom w:w="80" w:type="dxa"/>
            </w:tcMar>
            <w:tcW w:w="6560" w:type="dxa"/>
            <w:vAlign w:val="center"/>
            <w:textDirection w:val="lrTb"/>
            <w:noWrap w:val="false"/>
          </w:tcPr>
          <w:p w14:paraId="1885EA3F" w14:textId="77777777">
            <w:pPr>
              <w:pBdr/>
              <w:spacing/>
              <w:ind/>
              <w:rPr>
                <w:color w:val="000000"/>
              </w:rPr>
            </w:pPr>
            <w:r>
              <w:rPr>
                <w:color w:val="000000"/>
              </w:rPr>
              <w:t xml:space="preserve">Financial governance for natural resource management in Liberia (2026-2030)</w:t>
            </w:r>
            <w:r>
              <w:rPr>
                <w:color w:val="000000"/>
              </w:rPr>
            </w:r>
          </w:p>
        </w:tc>
      </w:tr>
      <w:tr>
        <w:trPr/>
        <w:tc>
          <w:tcPr>
            <w:shd w:val="clear" w:color="auto" w:fill="1f3864"/>
            <w:tcBorders/>
            <w:tcMar>
              <w:left w:w="100" w:type="dxa"/>
              <w:top w:w="80" w:type="dxa"/>
              <w:right w:w="100" w:type="dxa"/>
              <w:bottom w:w="80" w:type="dxa"/>
            </w:tcMar>
            <w:tcW w:w="2800" w:type="dxa"/>
            <w:vAlign w:val="center"/>
            <w:textDirection w:val="lrTb"/>
            <w:noWrap w:val="false"/>
          </w:tcPr>
          <w:p w14:paraId="488ED605" w14:textId="77777777">
            <w:pPr>
              <w:pBdr/>
              <w:spacing/>
              <w:ind/>
              <w:rPr>
                <w:sz w:val="21"/>
                <w:szCs w:val="21"/>
              </w:rPr>
            </w:pPr>
            <w:r>
              <w:rPr>
                <w:b/>
                <w:bCs/>
                <w:color w:val="ffffff"/>
                <w:sz w:val="21"/>
                <w:szCs w:val="21"/>
              </w:rPr>
              <w:t xml:space="preserve">Engaging Institution</w:t>
            </w:r>
            <w:r>
              <w:rPr>
                <w:sz w:val="21"/>
                <w:szCs w:val="21"/>
              </w:rPr>
            </w:r>
          </w:p>
        </w:tc>
        <w:tc>
          <w:tcPr>
            <w:tcBorders/>
            <w:tcMar>
              <w:left w:w="100" w:type="dxa"/>
              <w:top w:w="80" w:type="dxa"/>
              <w:right w:w="100" w:type="dxa"/>
              <w:bottom w:w="80" w:type="dxa"/>
            </w:tcMar>
            <w:tcW w:w="6560" w:type="dxa"/>
            <w:vAlign w:val="center"/>
            <w:textDirection w:val="lrTb"/>
            <w:noWrap w:val="false"/>
          </w:tcPr>
          <w:p w14:paraId="2AB55483" w14:textId="4C9EDEA0">
            <w:pPr>
              <w:pBdr/>
              <w:spacing/>
              <w:ind/>
              <w:rPr>
                <w:sz w:val="21"/>
                <w:szCs w:val="21"/>
              </w:rPr>
            </w:pPr>
            <w:r>
              <w:t xml:space="preserve">State-Owned Enterprises Authority of Liberia (SEAL)</w:t>
            </w:r>
            <w:r>
              <w:rPr>
                <w:sz w:val="21"/>
                <w:szCs w:val="21"/>
              </w:rPr>
            </w:r>
          </w:p>
        </w:tc>
      </w:tr>
      <w:tr>
        <w:trPr/>
        <w:tc>
          <w:tcPr>
            <w:shd w:val="clear" w:color="auto" w:fill="1f3864"/>
            <w:tcBorders/>
            <w:tcMar>
              <w:left w:w="100" w:type="dxa"/>
              <w:top w:w="80" w:type="dxa"/>
              <w:right w:w="100" w:type="dxa"/>
              <w:bottom w:w="80" w:type="dxa"/>
            </w:tcMar>
            <w:tcW w:w="2800" w:type="dxa"/>
            <w:vAlign w:val="center"/>
            <w:textDirection w:val="lrTb"/>
            <w:noWrap w:val="false"/>
          </w:tcPr>
          <w:p w14:paraId="56B8085F" w14:textId="77777777">
            <w:pPr>
              <w:pBdr/>
              <w:spacing/>
              <w:ind/>
              <w:rPr>
                <w:sz w:val="21"/>
                <w:szCs w:val="21"/>
              </w:rPr>
            </w:pPr>
            <w:r>
              <w:rPr>
                <w:b/>
                <w:bCs/>
                <w:color w:val="ffffff"/>
                <w:sz w:val="21"/>
                <w:szCs w:val="21"/>
              </w:rPr>
              <w:t xml:space="preserve">Duty Station</w:t>
            </w:r>
            <w:r>
              <w:rPr>
                <w:sz w:val="21"/>
                <w:szCs w:val="21"/>
              </w:rPr>
            </w:r>
          </w:p>
        </w:tc>
        <w:tc>
          <w:tcPr>
            <w:tcBorders/>
            <w:tcMar>
              <w:left w:w="100" w:type="dxa"/>
              <w:top w:w="80" w:type="dxa"/>
              <w:right w:w="100" w:type="dxa"/>
              <w:bottom w:w="80" w:type="dxa"/>
            </w:tcMar>
            <w:tcW w:w="6560" w:type="dxa"/>
            <w:vAlign w:val="center"/>
            <w:textDirection w:val="lrTb"/>
            <w:noWrap w:val="false"/>
          </w:tcPr>
          <w:p w14:paraId="6D26095D" w14:textId="77777777">
            <w:pPr>
              <w:pBdr/>
              <w:spacing/>
              <w:ind/>
              <w:rPr>
                <w:sz w:val="21"/>
                <w:szCs w:val="21"/>
              </w:rPr>
            </w:pPr>
            <w:r>
              <w:rPr>
                <w:color w:val="000000"/>
                <w:sz w:val="21"/>
                <w:szCs w:val="21"/>
              </w:rPr>
              <w:t xml:space="preserve">Monrovia, Liberia, with field travel to selected Ministries, Agencies and Commissions (MACs)where applicable.</w:t>
            </w:r>
            <w:r>
              <w:rPr>
                <w:sz w:val="21"/>
                <w:szCs w:val="21"/>
              </w:rPr>
            </w:r>
          </w:p>
        </w:tc>
      </w:tr>
      <w:tr>
        <w:trPr/>
        <w:tc>
          <w:tcPr>
            <w:shd w:val="clear" w:color="auto" w:fill="1f3864"/>
            <w:tcBorders/>
            <w:tcMar>
              <w:left w:w="100" w:type="dxa"/>
              <w:top w:w="80" w:type="dxa"/>
              <w:right w:w="100" w:type="dxa"/>
              <w:bottom w:w="80" w:type="dxa"/>
            </w:tcMar>
            <w:tcW w:w="2800" w:type="dxa"/>
            <w:vAlign w:val="center"/>
            <w:textDirection w:val="lrTb"/>
            <w:noWrap w:val="false"/>
          </w:tcPr>
          <w:p w14:paraId="6F06818A" w14:textId="77777777">
            <w:pPr>
              <w:pBdr/>
              <w:spacing/>
              <w:ind/>
              <w:rPr>
                <w:sz w:val="21"/>
                <w:szCs w:val="21"/>
              </w:rPr>
            </w:pPr>
            <w:r>
              <w:rPr>
                <w:b/>
                <w:bCs/>
                <w:color w:val="ffffff"/>
                <w:sz w:val="21"/>
                <w:szCs w:val="21"/>
              </w:rPr>
              <w:t xml:space="preserve">Type of Contract</w:t>
            </w:r>
            <w:r>
              <w:rPr>
                <w:sz w:val="21"/>
                <w:szCs w:val="21"/>
              </w:rPr>
            </w:r>
          </w:p>
        </w:tc>
        <w:tc>
          <w:tcPr>
            <w:tcBorders/>
            <w:tcMar>
              <w:left w:w="100" w:type="dxa"/>
              <w:top w:w="80" w:type="dxa"/>
              <w:right w:w="100" w:type="dxa"/>
              <w:bottom w:w="80" w:type="dxa"/>
            </w:tcMar>
            <w:tcW w:w="6560" w:type="dxa"/>
            <w:vAlign w:val="center"/>
            <w:textDirection w:val="lrTb"/>
            <w:noWrap w:val="false"/>
          </w:tcPr>
          <w:p w14:paraId="67A47108" w14:textId="4E68C655">
            <w:pPr>
              <w:pBdr/>
              <w:spacing/>
              <w:ind/>
              <w:rPr>
                <w:sz w:val="21"/>
                <w:szCs w:val="21"/>
              </w:rPr>
            </w:pPr>
            <w:r>
              <w:rPr>
                <w:color w:val="000000"/>
                <w:sz w:val="21"/>
                <w:szCs w:val="21"/>
              </w:rPr>
              <w:t xml:space="preserve">Consultancy  (Short-Term Technical Assistance) </w:t>
            </w:r>
            <w:r>
              <w:rPr>
                <w:sz w:val="21"/>
                <w:szCs w:val="21"/>
              </w:rPr>
            </w:r>
          </w:p>
        </w:tc>
      </w:tr>
      <w:tr>
        <w:trPr/>
        <w:tc>
          <w:tcPr>
            <w:shd w:val="clear" w:color="auto" w:fill="1f3864"/>
            <w:tcBorders/>
            <w:tcMar>
              <w:left w:w="100" w:type="dxa"/>
              <w:top w:w="80" w:type="dxa"/>
              <w:right w:w="100" w:type="dxa"/>
              <w:bottom w:w="80" w:type="dxa"/>
            </w:tcMar>
            <w:tcW w:w="2800" w:type="dxa"/>
            <w:vAlign w:val="center"/>
            <w:textDirection w:val="lrTb"/>
            <w:noWrap w:val="false"/>
          </w:tcPr>
          <w:p w14:paraId="218341C7" w14:textId="77777777">
            <w:pPr>
              <w:pBdr/>
              <w:spacing/>
              <w:ind/>
              <w:rPr>
                <w:b/>
                <w:bCs/>
                <w:color w:val="ffffff"/>
                <w:sz w:val="21"/>
                <w:szCs w:val="21"/>
              </w:rPr>
            </w:pPr>
            <w:r>
              <w:rPr>
                <w:b/>
                <w:bCs/>
                <w:color w:val="ffffff"/>
                <w:sz w:val="21"/>
                <w:szCs w:val="21"/>
              </w:rPr>
              <w:t xml:space="preserve">Level of Effort</w:t>
            </w:r>
            <w:r>
              <w:rPr>
                <w:b/>
                <w:bCs/>
                <w:color w:val="ffffff"/>
                <w:sz w:val="21"/>
                <w:szCs w:val="21"/>
              </w:rPr>
            </w:r>
          </w:p>
        </w:tc>
        <w:tc>
          <w:tcPr>
            <w:tcBorders/>
            <w:tcMar>
              <w:left w:w="100" w:type="dxa"/>
              <w:top w:w="80" w:type="dxa"/>
              <w:right w:w="100" w:type="dxa"/>
              <w:bottom w:w="80" w:type="dxa"/>
            </w:tcMar>
            <w:tcW w:w="6560" w:type="dxa"/>
            <w:vAlign w:val="center"/>
            <w:textDirection w:val="lrTb"/>
            <w:noWrap w:val="false"/>
          </w:tcPr>
          <w:p w14:paraId="437F2D1C" w14:textId="3D8023A8">
            <w:pPr>
              <w:pBdr/>
              <w:spacing/>
              <w:ind/>
              <w:rPr>
                <w:color w:val="000000"/>
                <w:sz w:val="21"/>
                <w:szCs w:val="21"/>
              </w:rPr>
            </w:pPr>
            <w:r>
              <w:rPr>
                <w:color w:val="000000"/>
                <w:sz w:val="21"/>
                <w:szCs w:val="21"/>
              </w:rPr>
              <w:t xml:space="preserve">8</w:t>
            </w:r>
            <w:r>
              <w:rPr>
                <w:color w:val="000000"/>
                <w:sz w:val="21"/>
                <w:szCs w:val="21"/>
              </w:rPr>
              <w:t xml:space="preserve">0</w:t>
            </w:r>
            <w:r>
              <w:rPr>
                <w:color w:val="000000"/>
                <w:sz w:val="21"/>
                <w:szCs w:val="21"/>
              </w:rPr>
              <w:t xml:space="preserve"> days</w:t>
            </w:r>
            <w:r>
              <w:rPr>
                <w:color w:val="000000"/>
                <w:sz w:val="21"/>
                <w:szCs w:val="21"/>
              </w:rPr>
            </w:r>
          </w:p>
        </w:tc>
      </w:tr>
      <w:tr>
        <w:trPr/>
        <w:tc>
          <w:tcPr>
            <w:shd w:val="clear" w:color="auto" w:fill="1f3864"/>
            <w:tcBorders/>
            <w:tcMar>
              <w:left w:w="100" w:type="dxa"/>
              <w:top w:w="80" w:type="dxa"/>
              <w:right w:w="100" w:type="dxa"/>
              <w:bottom w:w="80" w:type="dxa"/>
            </w:tcMar>
            <w:tcW w:w="2800" w:type="dxa"/>
            <w:vAlign w:val="center"/>
            <w:textDirection w:val="lrTb"/>
            <w:noWrap w:val="false"/>
          </w:tcPr>
          <w:p w14:paraId="67588E8E" w14:textId="77777777">
            <w:pPr>
              <w:pBdr/>
              <w:spacing/>
              <w:ind/>
              <w:rPr>
                <w:sz w:val="21"/>
                <w:szCs w:val="21"/>
              </w:rPr>
            </w:pPr>
            <w:r>
              <w:rPr>
                <w:b/>
                <w:bCs/>
                <w:color w:val="ffffff"/>
                <w:sz w:val="21"/>
                <w:szCs w:val="21"/>
              </w:rPr>
              <w:t xml:space="preserve">Application Deadline</w:t>
            </w:r>
            <w:r>
              <w:rPr>
                <w:sz w:val="21"/>
                <w:szCs w:val="21"/>
              </w:rPr>
            </w:r>
          </w:p>
        </w:tc>
        <w:tc>
          <w:tcPr>
            <w:tcBorders/>
            <w:tcMar>
              <w:left w:w="100" w:type="dxa"/>
              <w:top w:w="80" w:type="dxa"/>
              <w:right w:w="100" w:type="dxa"/>
              <w:bottom w:w="80" w:type="dxa"/>
            </w:tcMar>
            <w:tcW w:w="6560" w:type="dxa"/>
            <w:vAlign w:val="center"/>
            <w:textDirection w:val="lrTb"/>
            <w:noWrap w:val="false"/>
          </w:tcPr>
          <w:p w14:paraId="4B61C5F6" w14:textId="77777777">
            <w:pPr>
              <w:pBdr/>
              <w:spacing/>
              <w:ind/>
              <w:rPr>
                <w:sz w:val="21"/>
                <w:szCs w:val="21"/>
              </w:rPr>
            </w:pPr>
            <w:r>
              <w:rPr>
                <w:color w:val="000000"/>
                <w:sz w:val="21"/>
                <w:szCs w:val="21"/>
              </w:rPr>
              <w:t xml:space="preserve">30</w:t>
            </w:r>
            <w:r>
              <w:rPr>
                <w:color w:val="000000"/>
                <w:sz w:val="21"/>
                <w:szCs w:val="21"/>
                <w:vertAlign w:val="superscript"/>
              </w:rPr>
              <w:t xml:space="preserve">th</w:t>
            </w:r>
            <w:r>
              <w:rPr>
                <w:color w:val="000000"/>
                <w:sz w:val="21"/>
                <w:szCs w:val="21"/>
              </w:rPr>
              <w:t xml:space="preserve"> October 2026</w:t>
            </w:r>
            <w:r>
              <w:rPr>
                <w:sz w:val="21"/>
                <w:szCs w:val="21"/>
              </w:rPr>
            </w:r>
          </w:p>
        </w:tc>
      </w:tr>
    </w:tbl>
    <w:p w14:paraId="1696F2D1" w14:textId="56673FC8">
      <w:pPr>
        <w:pBdr/>
        <w:spacing w:after="144" w:before="144" w:line="240" w:lineRule="auto"/>
        <w:ind/>
        <w:rPr>
          <w:rFonts w:ascii="Times New Roman" w:hAnsi="Times New Roman" w:cs="Times New Roman"/>
          <w:sz w:val="24"/>
          <w:szCs w:val="24"/>
          <w:lang w:val="en-GB"/>
        </w:rPr>
      </w:pPr>
      <w:r>
        <w:rPr>
          <w:rFonts w:ascii="Times New Roman" w:hAnsi="Times New Roman" w:cs="Times New Roman"/>
          <w:sz w:val="24"/>
          <w:szCs w:val="24"/>
          <w:lang w:val="en-GB"/>
        </w:rPr>
      </w:r>
      <w:r>
        <w:rPr>
          <w:rFonts w:ascii="Times New Roman" w:hAnsi="Times New Roman" w:cs="Times New Roman"/>
          <w:sz w:val="24"/>
          <w:szCs w:val="24"/>
          <w:lang w:val="en-GB"/>
        </w:rPr>
      </w:r>
    </w:p>
    <w:p w14:paraId="57A50884" w14:textId="6DCF605F">
      <w:pPr>
        <w:pStyle w:val="790"/>
        <w:numPr>
          <w:ilvl w:val="0"/>
          <w:numId w:val="23"/>
        </w:numPr>
        <w:pBdr/>
        <w:spacing w:after="144" w:before="144" w:line="240" w:lineRule="auto"/>
        <w:ind/>
        <w:rPr>
          <w:rFonts w:ascii="Times New Roman" w:hAnsi="Times New Roman" w:cs="Times New Roman"/>
          <w:sz w:val="24"/>
          <w:szCs w:val="24"/>
          <w:lang w:val="en-GB"/>
        </w:rPr>
      </w:pPr>
      <w:r>
        <w:rPr>
          <w:rFonts w:ascii="Times New Roman" w:hAnsi="Times New Roman" w:cs="Times New Roman"/>
          <w:sz w:val="24"/>
          <w:szCs w:val="24"/>
          <w:lang w:val="en-GB"/>
        </w:rPr>
        <w:t xml:space="preserve">Expertise France</w:t>
      </w:r>
      <w:r>
        <w:rPr>
          <w:rFonts w:ascii="Times New Roman" w:hAnsi="Times New Roman" w:cs="Times New Roman"/>
          <w:sz w:val="24"/>
          <w:szCs w:val="24"/>
          <w:lang w:val="en-GB"/>
        </w:rPr>
      </w:r>
    </w:p>
    <w:p w14:paraId="71449B53" w14:textId="77777777">
      <w:pPr>
        <w:pBdr/>
        <w:spacing w:after="144" w:before="144" w:line="240" w:lineRule="auto"/>
        <w:ind/>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Expertise France (EF), part of the </w:t>
      </w:r>
      <w:r>
        <w:rPr>
          <w:rFonts w:ascii="Times New Roman" w:hAnsi="Times New Roman" w:cs="Times New Roman"/>
          <w:sz w:val="24"/>
          <w:szCs w:val="24"/>
          <w:lang w:val="en-GB"/>
        </w:rPr>
        <w:t xml:space="preserve">Agence</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Française</w:t>
      </w:r>
      <w:r>
        <w:rPr>
          <w:rFonts w:ascii="Times New Roman" w:hAnsi="Times New Roman" w:cs="Times New Roman"/>
          <w:sz w:val="24"/>
          <w:szCs w:val="24"/>
          <w:lang w:val="en-GB"/>
        </w:rPr>
        <w:t xml:space="preserve"> de </w:t>
      </w:r>
      <w:r>
        <w:rPr>
          <w:rFonts w:ascii="Times New Roman" w:hAnsi="Times New Roman" w:cs="Times New Roman"/>
          <w:sz w:val="24"/>
          <w:szCs w:val="24"/>
          <w:lang w:val="en-GB"/>
        </w:rPr>
        <w:t xml:space="preserve">Développement</w:t>
      </w:r>
      <w:r>
        <w:rPr>
          <w:rFonts w:ascii="Times New Roman" w:hAnsi="Times New Roman" w:cs="Times New Roman"/>
          <w:sz w:val="24"/>
          <w:szCs w:val="24"/>
          <w:lang w:val="en-GB"/>
        </w:rPr>
        <w:t xml:space="preserve"> (AFD) Group, is the French public agency for international technical cooperation and the second largest cooperation agency in Europe. </w:t>
      </w:r>
      <w:r>
        <w:rPr>
          <w:rFonts w:ascii="Times New Roman" w:hAnsi="Times New Roman" w:cs="Times New Roman"/>
          <w:sz w:val="24"/>
          <w:szCs w:val="24"/>
          <w:lang w:val="en-GB"/>
        </w:rPr>
      </w:r>
    </w:p>
    <w:p w14:paraId="7007A427" w14:textId="77777777">
      <w:pPr>
        <w:pBdr/>
        <w:spacing w:after="144" w:before="144" w:line="240" w:lineRule="auto"/>
        <w:ind/>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EF designs and implements projects in more than 10</w:t>
      </w:r>
      <w:r>
        <w:rPr>
          <w:rFonts w:ascii="Times New Roman" w:hAnsi="Times New Roman" w:cs="Times New Roman"/>
          <w:sz w:val="24"/>
          <w:szCs w:val="24"/>
          <w:lang w:val="en-GB"/>
        </w:rPr>
        <w:t xml:space="preserve">0 countries to support partner institutions in governance, public finance, health, education, climate action and gender equality. With long-standing experience in EU-funded programmes, EF has played a leading role in promoting gender equality across public</w:t>
      </w:r>
      <w:r>
        <w:rPr>
          <w:rFonts w:ascii="Times New Roman" w:hAnsi="Times New Roman" w:cs="Times New Roman"/>
          <w:sz w:val="24"/>
          <w:szCs w:val="24"/>
          <w:lang w:val="en-GB"/>
        </w:rPr>
        <w:t xml:space="preserve"> administrations, notably through its implementation of the European Commission’s “Gender Flagship” projects, which supported several Member States in strengthening gender-responsive budgeting, gender impact assessments and gender mainstreaming practices. </w:t>
      </w:r>
      <w:r>
        <w:rPr>
          <w:rFonts w:ascii="Times New Roman" w:hAnsi="Times New Roman" w:cs="Times New Roman"/>
          <w:sz w:val="24"/>
          <w:szCs w:val="24"/>
          <w:lang w:val="en-GB"/>
        </w:rPr>
      </w:r>
    </w:p>
    <w:p w14:paraId="703166AC" w14:textId="77777777">
      <w:pPr>
        <w:pBdr/>
        <w:spacing w:after="144" w:before="144" w:line="240" w:lineRule="auto"/>
        <w:ind/>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By combining policy expertise, capacity development, and knowledge capitalisation, EF has established itself as a reference partner for advancing reforms that integrate gender equality into public policy and budgetary processes.</w:t>
      </w:r>
      <w:r>
        <w:rPr>
          <w:rFonts w:ascii="Times New Roman" w:hAnsi="Times New Roman" w:cs="Times New Roman"/>
          <w:sz w:val="24"/>
          <w:szCs w:val="24"/>
          <w:lang w:val="en-GB"/>
        </w:rPr>
      </w:r>
    </w:p>
    <w:p w14:paraId="323CD417" w14:textId="77777777">
      <w:pPr>
        <w:pStyle w:val="790"/>
        <w:pBdr/>
        <w:spacing w:after="144" w:before="144" w:line="240" w:lineRule="auto"/>
        <w:ind/>
        <w:jc w:val="both"/>
        <w:rPr>
          <w:rFonts w:ascii="Times New Roman" w:hAnsi="Times New Roman" w:cs="Times New Roman"/>
          <w:sz w:val="24"/>
          <w:szCs w:val="24"/>
          <w:lang w:val="en-GB"/>
        </w:rPr>
      </w:pPr>
      <w:r>
        <w:rPr>
          <w:rFonts w:ascii="Times New Roman" w:hAnsi="Times New Roman" w:cs="Times New Roman"/>
          <w:sz w:val="24"/>
          <w:szCs w:val="24"/>
          <w:lang w:val="en-GB"/>
        </w:rPr>
      </w:r>
      <w:r>
        <w:rPr>
          <w:rFonts w:ascii="Times New Roman" w:hAnsi="Times New Roman" w:cs="Times New Roman"/>
          <w:sz w:val="24"/>
          <w:szCs w:val="24"/>
          <w:lang w:val="en-GB"/>
        </w:rPr>
      </w:r>
    </w:p>
    <w:p w14:paraId="2A94AEF8" w14:textId="4114A985">
      <w:pPr>
        <w:pStyle w:val="790"/>
        <w:numPr>
          <w:ilvl w:val="0"/>
          <w:numId w:val="23"/>
        </w:numPr>
        <w:pBdr/>
        <w:spacing w:after="144" w:before="144" w:line="240" w:lineRule="auto"/>
        <w:ind/>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Project</w:t>
      </w:r>
      <w:r>
        <w:rPr>
          <w:rFonts w:ascii="Times New Roman" w:hAnsi="Times New Roman" w:eastAsia="Times New Roman" w:cs="Times New Roman"/>
          <w:color w:val="000057"/>
          <w:sz w:val="24"/>
          <w:szCs w:val="24"/>
        </w:rPr>
        <w:t xml:space="preserve"> </w:t>
      </w:r>
      <w:r>
        <w:rPr>
          <w:rFonts w:ascii="Times New Roman" w:hAnsi="Times New Roman" w:cs="Times New Roman"/>
          <w:sz w:val="24"/>
          <w:szCs w:val="24"/>
          <w:lang w:val="en-GB"/>
        </w:rPr>
      </w:r>
    </w:p>
    <w:p w14:paraId="25093AD5" w14:textId="77777777">
      <w:pPr>
        <w:pBdr/>
        <w:shd w:val="clear" w:color="auto" w:fill="ffffff"/>
        <w:spacing w:after="150" w:line="240" w:lineRule="auto"/>
        <w:ind/>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Liberia remains a nation in transition, grappling with the legacy of protracted conflict while striving to consolidate democratic gains and foster </w:t>
      </w:r>
      <w:r>
        <w:rPr>
          <w:rFonts w:ascii="Times New Roman" w:hAnsi="Times New Roman" w:eastAsia="Times New Roman" w:cs="Times New Roman"/>
          <w:color w:val="000000"/>
          <w:sz w:val="24"/>
          <w:szCs w:val="24"/>
          <w:lang w:val="en"/>
        </w:rPr>
        <w:t xml:space="preserve">institutional stability. As a Least Developed Country, Liberia is characterized by significant institutional fragility and a high reliance on extractive sectors, particularly iron ore, rubber, and timber. These economic pillars, while vital for the nationa</w:t>
      </w:r>
      <w:r>
        <w:rPr>
          <w:rFonts w:ascii="Times New Roman" w:hAnsi="Times New Roman" w:eastAsia="Times New Roman" w:cs="Times New Roman"/>
          <w:color w:val="000000"/>
          <w:sz w:val="24"/>
          <w:szCs w:val="24"/>
          <w:lang w:val="en"/>
        </w:rPr>
        <w:t xml:space="preserve">l treasury, are frequently subject to challenges regarding transparency, sustainable management, and equitable revenue distribution. The demographic profile of the nation is exceptionally young, with approximately 78% of the population under the age of 35.</w:t>
      </w:r>
      <w:r>
        <w:rPr>
          <w:rFonts w:ascii="Times New Roman" w:hAnsi="Times New Roman" w:eastAsia="Times New Roman" w:cs="Times New Roman"/>
          <w:color w:val="000000"/>
          <w:sz w:val="24"/>
          <w:szCs w:val="24"/>
          <w:vertAlign w:val="superscript"/>
          <w:lang w:val="en"/>
        </w:rPr>
        <w:t xml:space="preserve"> </w:t>
      </w:r>
      <w:r>
        <w:rPr>
          <w:rFonts w:ascii="Times New Roman" w:hAnsi="Times New Roman" w:eastAsia="Times New Roman" w:cs="Times New Roman"/>
          <w:color w:val="000000"/>
          <w:sz w:val="24"/>
          <w:szCs w:val="24"/>
          <w:lang w:val="en"/>
        </w:rPr>
        <w:t xml:space="preserve">This demographic "bulge" presents both a risk and an opportunity; the absence of economic stabilization and job creation efforts could lead to social unrest, while successful reforms could harness this youthful energy for national growth.</w:t>
      </w:r>
      <w:r>
        <w:rPr>
          <w:rFonts w:ascii="Times New Roman" w:hAnsi="Times New Roman" w:eastAsia="Times New Roman" w:cs="Times New Roman"/>
          <w:color w:val="000057"/>
          <w:sz w:val="24"/>
          <w:szCs w:val="24"/>
        </w:rPr>
      </w:r>
    </w:p>
    <w:p w14:paraId="6E22D5F1" w14:textId="77777777">
      <w:pPr>
        <w:pBdr/>
        <w:shd w:val="clear" w:color="auto" w:fill="ffffff"/>
        <w:spacing w:after="150" w:line="240" w:lineRule="auto"/>
        <w:ind/>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The political landscape underw</w:t>
      </w:r>
      <w:r>
        <w:rPr>
          <w:rFonts w:ascii="Times New Roman" w:hAnsi="Times New Roman" w:eastAsia="Times New Roman" w:cs="Times New Roman"/>
          <w:color w:val="000000"/>
          <w:sz w:val="24"/>
          <w:szCs w:val="24"/>
          <w:lang w:val="en"/>
        </w:rPr>
        <w:t xml:space="preserve">ent a significant shift following the peaceful democratic transition of 2023, which resulted in the inauguration of a new government in January 2024. This administration has articulated a bold commitment to anti-corruption, transparency, and comprehensive </w:t>
      </w:r>
      <w:r>
        <w:rPr>
          <w:rFonts w:ascii="Times New Roman" w:hAnsi="Times New Roman" w:eastAsia="Times New Roman" w:cs="Times New Roman"/>
          <w:color w:val="000000"/>
          <w:sz w:val="24"/>
          <w:szCs w:val="24"/>
          <w:lang w:val="en"/>
        </w:rPr>
        <w:t xml:space="preserve">governance reforms. The central policy framework guiding this transition is the ARREST Agenda for Inclusive Development (AAID, 2025–2029). The AAID strategically links governance improvements, specifically the Rule of Law, with critical service delivery ar</w:t>
      </w:r>
      <w:r>
        <w:rPr>
          <w:rFonts w:ascii="Times New Roman" w:hAnsi="Times New Roman" w:eastAsia="Times New Roman" w:cs="Times New Roman"/>
          <w:color w:val="000000"/>
          <w:sz w:val="24"/>
          <w:szCs w:val="24"/>
          <w:lang w:val="en"/>
        </w:rPr>
        <w:t xml:space="preserve">eas: Agriculture, Roads, Education, Sanitation, and Tourism. By ensuring that Public Financial Management (PFM) reforms directly support these policy outcomes, the government aims to maximize country ownership and deliver tangible benefits to its citizens.</w:t>
      </w:r>
      <w:r>
        <w:rPr>
          <w:rFonts w:ascii="Times New Roman" w:hAnsi="Times New Roman" w:eastAsia="Times New Roman" w:cs="Times New Roman"/>
          <w:color w:val="000057"/>
          <w:sz w:val="24"/>
          <w:szCs w:val="24"/>
        </w:rPr>
      </w:r>
    </w:p>
    <w:p w14:paraId="0018BC1F" w14:textId="25989CF1">
      <w:pPr>
        <w:pBdr/>
        <w:shd w:val="clear" w:color="auto" w:fill="ffffff"/>
        <w:spacing w:after="150" w:line="240" w:lineRule="auto"/>
        <w:ind/>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To s</w:t>
      </w:r>
      <w:r>
        <w:rPr>
          <w:rFonts w:ascii="Times New Roman" w:hAnsi="Times New Roman" w:eastAsia="Times New Roman" w:cs="Times New Roman"/>
          <w:color w:val="000000"/>
          <w:sz w:val="24"/>
          <w:szCs w:val="24"/>
          <w:lang w:val="en"/>
        </w:rPr>
        <w:t xml:space="preserve">upport this ambitious reform agenda, the European Union decided in December 2024 to provide a package of budget support and additional measures totaling EUR 63 million. Of this, EUR 56 million is allocated to direct budget support managed by the EU, while </w:t>
      </w:r>
      <w:r>
        <w:rPr>
          <w:rFonts w:ascii="Times New Roman" w:hAnsi="Times New Roman" w:eastAsia="Times New Roman" w:cs="Times New Roman"/>
          <w:b/>
          <w:bCs/>
          <w:color w:val="000000"/>
          <w:sz w:val="24"/>
          <w:szCs w:val="24"/>
          <w:lang w:val="en"/>
        </w:rPr>
        <w:t xml:space="preserve">EUR 7 million is dedicated to additional technical assistance managed indirectly by Expertise France.</w:t>
      </w:r>
      <w:r>
        <w:rPr>
          <w:rFonts w:ascii="Times New Roman" w:hAnsi="Times New Roman" w:eastAsia="Times New Roman" w:cs="Times New Roman"/>
          <w:color w:val="000000"/>
          <w:sz w:val="24"/>
          <w:szCs w:val="24"/>
          <w:lang w:val="en"/>
        </w:rPr>
        <w:t xml:space="preserve"> The overarching objective of the budget support is to strengthen financial and economic governance while promoting sustainable management practices in t</w:t>
      </w:r>
      <w:r>
        <w:rPr>
          <w:rFonts w:ascii="Times New Roman" w:hAnsi="Times New Roman" w:eastAsia="Times New Roman" w:cs="Times New Roman"/>
          <w:color w:val="000000"/>
          <w:sz w:val="24"/>
          <w:szCs w:val="24"/>
          <w:lang w:val="en"/>
        </w:rPr>
        <w:t xml:space="preserve">he forestry and agricultural sectors. These sectors are critical for Liberia's food security and biodiversity preservation, yet they currently suffer from budget allocations that fail to meet operational needs, forcing a heavy reliance on external funding.</w:t>
      </w:r>
      <w:r>
        <w:rPr>
          <w:rFonts w:ascii="Times New Roman" w:hAnsi="Times New Roman" w:eastAsia="Times New Roman" w:cs="Times New Roman"/>
          <w:color w:val="000057"/>
          <w:sz w:val="24"/>
          <w:szCs w:val="24"/>
        </w:rPr>
      </w:r>
    </w:p>
    <w:p w14:paraId="4FF5A809" w14:textId="77777777">
      <w:pPr>
        <w:pBdr/>
        <w:shd w:val="clear" w:color="auto" w:fill="ffffff"/>
        <w:spacing w:after="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b/>
          <w:bCs/>
          <w:i/>
          <w:iCs/>
          <w:color w:val="000000"/>
          <w:sz w:val="24"/>
          <w:szCs w:val="24"/>
        </w:rPr>
        <w:t xml:space="preserve"> </w:t>
      </w:r>
      <w:r>
        <w:rPr>
          <w:rFonts w:ascii="Times New Roman" w:hAnsi="Times New Roman" w:eastAsia="Times New Roman" w:cs="Times New Roman"/>
          <w:color w:val="000057"/>
          <w:sz w:val="24"/>
          <w:szCs w:val="24"/>
        </w:rPr>
      </w:r>
    </w:p>
    <w:p w14:paraId="1E3C32A5" w14:textId="77777777">
      <w:pPr>
        <w:pBdr/>
        <w:shd w:val="clear" w:color="auto" w:fill="ffffff"/>
        <w:spacing w:after="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b/>
          <w:bCs/>
          <w:i/>
          <w:iCs/>
          <w:color w:val="000000"/>
          <w:sz w:val="24"/>
          <w:szCs w:val="24"/>
        </w:rPr>
        <w:t xml:space="preserve">Overall objective:</w:t>
      </w:r>
      <w:r>
        <w:rPr>
          <w:rFonts w:ascii="Times New Roman" w:hAnsi="Times New Roman" w:eastAsia="Times New Roman" w:cs="Times New Roman"/>
          <w:color w:val="000057"/>
          <w:sz w:val="24"/>
          <w:szCs w:val="24"/>
        </w:rPr>
      </w:r>
    </w:p>
    <w:p w14:paraId="066FAF19" w14:textId="77777777">
      <w:pPr>
        <w:pBdr/>
        <w:shd w:val="clear" w:color="auto" w:fill="ffffff"/>
        <w:spacing w:after="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To promote accountable and sustainable natural resources governance in Liberia through strengthened public financial management, effective domestic revenue mobilization, and an increased transparency system.</w:t>
      </w:r>
      <w:r>
        <w:rPr>
          <w:rFonts w:ascii="Times New Roman" w:hAnsi="Times New Roman" w:eastAsia="Times New Roman" w:cs="Times New Roman"/>
          <w:color w:val="000057"/>
          <w:sz w:val="24"/>
          <w:szCs w:val="24"/>
        </w:rPr>
      </w:r>
    </w:p>
    <w:p w14:paraId="059D0CAE" w14:textId="77777777">
      <w:pPr>
        <w:pBdr/>
        <w:shd w:val="clear" w:color="auto" w:fill="ffffff"/>
        <w:spacing w:after="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br/>
      </w:r>
      <w:r>
        <w:rPr>
          <w:rFonts w:ascii="Times New Roman" w:hAnsi="Times New Roman" w:eastAsia="Times New Roman" w:cs="Times New Roman"/>
          <w:b/>
          <w:bCs/>
          <w:i/>
          <w:iCs/>
          <w:color w:val="000000"/>
          <w:sz w:val="24"/>
          <w:szCs w:val="24"/>
        </w:rPr>
        <w:t xml:space="preserve">Specific objectives:</w:t>
      </w:r>
      <w:r>
        <w:rPr>
          <w:rFonts w:ascii="Times New Roman" w:hAnsi="Times New Roman" w:eastAsia="Times New Roman" w:cs="Times New Roman"/>
          <w:color w:val="000057"/>
          <w:sz w:val="24"/>
          <w:szCs w:val="24"/>
        </w:rPr>
      </w:r>
    </w:p>
    <w:p w14:paraId="74FC2455"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      </w:t>
      </w:r>
      <w:r>
        <w:rPr>
          <w:rFonts w:ascii="Times New Roman" w:hAnsi="Times New Roman" w:eastAsia="Times New Roman" w:cs="Times New Roman"/>
          <w:b/>
          <w:bCs/>
          <w:color w:val="000000"/>
          <w:sz w:val="24"/>
          <w:szCs w:val="24"/>
          <w:lang w:val="en"/>
        </w:rPr>
        <w:t xml:space="preserve">Specific Objective 1 (SO1):</w:t>
      </w:r>
      <w:r>
        <w:rPr>
          <w:rFonts w:ascii="Times New Roman" w:hAnsi="Times New Roman" w:eastAsia="Times New Roman" w:cs="Times New Roman"/>
          <w:color w:val="000000"/>
          <w:sz w:val="24"/>
          <w:szCs w:val="24"/>
          <w:lang w:val="en"/>
        </w:rPr>
        <w:t xml:space="preserve"> Improve the effectiveness of public financial management and domestic revenue mobilization systems.</w:t>
      </w:r>
      <w:r>
        <w:rPr>
          <w:rFonts w:ascii="Times New Roman" w:hAnsi="Times New Roman" w:eastAsia="Times New Roman" w:cs="Times New Roman"/>
          <w:color w:val="000057"/>
          <w:sz w:val="24"/>
          <w:szCs w:val="24"/>
        </w:rPr>
      </w:r>
    </w:p>
    <w:p w14:paraId="080AC8C5"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      </w:t>
      </w:r>
      <w:r>
        <w:rPr>
          <w:rFonts w:ascii="Times New Roman" w:hAnsi="Times New Roman" w:eastAsia="Times New Roman" w:cs="Times New Roman"/>
          <w:b/>
          <w:bCs/>
          <w:color w:val="000000"/>
          <w:sz w:val="24"/>
          <w:szCs w:val="24"/>
          <w:lang w:val="en"/>
        </w:rPr>
        <w:t xml:space="preserve">Specific Objective 2 (SO2):</w:t>
      </w:r>
      <w:r>
        <w:rPr>
          <w:rFonts w:ascii="Times New Roman" w:hAnsi="Times New Roman" w:eastAsia="Times New Roman" w:cs="Times New Roman"/>
          <w:color w:val="000000"/>
          <w:sz w:val="24"/>
          <w:szCs w:val="24"/>
          <w:lang w:val="en"/>
        </w:rPr>
        <w:t xml:space="preserve"> Strengthen the framework for participation, accountability, oversight, and the fight against corruption.</w:t>
      </w:r>
      <w:r>
        <w:rPr>
          <w:rFonts w:ascii="Times New Roman" w:hAnsi="Times New Roman" w:eastAsia="Times New Roman" w:cs="Times New Roman"/>
          <w:color w:val="000057"/>
          <w:sz w:val="24"/>
          <w:szCs w:val="24"/>
        </w:rPr>
      </w:r>
    </w:p>
    <w:p w14:paraId="20C4D2A8" w14:textId="77777777">
      <w:pPr>
        <w:pBdr/>
        <w:shd w:val="clear" w:color="auto" w:fill="ffffff"/>
        <w:spacing w:after="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b/>
          <w:bCs/>
          <w:i/>
          <w:iCs/>
          <w:color w:val="000000"/>
          <w:sz w:val="24"/>
          <w:szCs w:val="24"/>
        </w:rPr>
        <w:t xml:space="preserve"> </w:t>
      </w:r>
      <w:r>
        <w:rPr>
          <w:rFonts w:ascii="Times New Roman" w:hAnsi="Times New Roman" w:eastAsia="Times New Roman" w:cs="Times New Roman"/>
          <w:color w:val="000057"/>
          <w:sz w:val="24"/>
          <w:szCs w:val="24"/>
        </w:rPr>
      </w:r>
    </w:p>
    <w:p w14:paraId="39D24D80" w14:textId="77777777">
      <w:pPr>
        <w:pBdr/>
        <w:shd w:val="clear" w:color="auto" w:fill="ffffff"/>
        <w:spacing w:after="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b/>
          <w:bCs/>
          <w:i/>
          <w:iCs/>
          <w:color w:val="000000"/>
          <w:sz w:val="24"/>
          <w:szCs w:val="24"/>
        </w:rPr>
        <w:t xml:space="preserve">Outcomes and outputs expected:</w:t>
      </w:r>
      <w:r>
        <w:rPr>
          <w:rFonts w:ascii="Times New Roman" w:hAnsi="Times New Roman" w:eastAsia="Times New Roman" w:cs="Times New Roman"/>
          <w:color w:val="000057"/>
          <w:sz w:val="24"/>
          <w:szCs w:val="24"/>
        </w:rPr>
      </w:r>
    </w:p>
    <w:p w14:paraId="53F3F281" w14:textId="77777777">
      <w:pPr>
        <w:pBdr/>
        <w:shd w:val="clear" w:color="auto" w:fill="ffffff"/>
        <w:spacing w:after="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b/>
          <w:bCs/>
          <w:i/>
          <w:iCs/>
          <w:color w:val="000000"/>
          <w:sz w:val="24"/>
          <w:szCs w:val="24"/>
        </w:rPr>
        <w:t xml:space="preserve"> </w:t>
      </w:r>
      <w:r>
        <w:rPr>
          <w:rFonts w:ascii="Times New Roman" w:hAnsi="Times New Roman" w:eastAsia="Times New Roman" w:cs="Times New Roman"/>
          <w:color w:val="000057"/>
          <w:sz w:val="24"/>
          <w:szCs w:val="24"/>
        </w:rPr>
      </w:r>
    </w:p>
    <w:p w14:paraId="50AB11E2" w14:textId="77777777">
      <w:pPr>
        <w:pBdr/>
        <w:shd w:val="clear" w:color="auto" w:fill="ffffff"/>
        <w:spacing w:after="150" w:line="262" w:lineRule="atLeast"/>
        <w:ind/>
        <w:jc w:val="both"/>
        <w:rPr>
          <w:rFonts w:ascii="Times New Roman" w:hAnsi="Times New Roman" w:eastAsia="Times New Roman" w:cs="Times New Roman"/>
          <w:color w:val="000057"/>
          <w:sz w:val="24"/>
          <w:szCs w:val="24"/>
        </w:rPr>
      </w:pPr>
      <w:r>
        <w:rPr>
          <w:rFonts w:ascii="Times New Roman" w:hAnsi="Times New Roman" w:eastAsia="Times New Roman" w:cs="Times New Roman"/>
          <w:b/>
          <w:bCs/>
          <w:color w:val="000000"/>
          <w:sz w:val="24"/>
          <w:szCs w:val="24"/>
          <w:lang w:val="en"/>
        </w:rPr>
        <w:t xml:space="preserve">Outcome 1: Improved PFM and DRM Systems (</w:t>
      </w:r>
      <w:r>
        <w:rPr>
          <w:rFonts w:ascii="Times New Roman" w:hAnsi="Times New Roman" w:eastAsia="Times New Roman" w:cs="Times New Roman"/>
          <w:b/>
          <w:bCs/>
          <w:i/>
          <w:iCs/>
          <w:color w:val="000000"/>
          <w:sz w:val="24"/>
          <w:szCs w:val="24"/>
          <w:lang w:val="en"/>
        </w:rPr>
        <w:t xml:space="preserve">Component 1)</w:t>
      </w:r>
      <w:r>
        <w:rPr>
          <w:rFonts w:ascii="Times New Roman" w:hAnsi="Times New Roman" w:eastAsia="Times New Roman" w:cs="Times New Roman"/>
          <w:color w:val="000057"/>
          <w:sz w:val="24"/>
          <w:szCs w:val="24"/>
        </w:rPr>
      </w:r>
    </w:p>
    <w:p w14:paraId="4DD9EED5"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      </w:t>
      </w:r>
      <w:r>
        <w:rPr>
          <w:rFonts w:ascii="Times New Roman" w:hAnsi="Times New Roman" w:eastAsia="Times New Roman" w:cs="Times New Roman"/>
          <w:b/>
          <w:bCs/>
          <w:color w:val="000000"/>
          <w:sz w:val="24"/>
          <w:szCs w:val="24"/>
          <w:lang w:val="en"/>
        </w:rPr>
        <w:t xml:space="preserve">Output 1.1: </w:t>
      </w:r>
      <w:r>
        <w:rPr>
          <w:rFonts w:ascii="Times New Roman" w:hAnsi="Times New Roman" w:eastAsia="Times New Roman" w:cs="Times New Roman"/>
          <w:color w:val="000000"/>
          <w:sz w:val="24"/>
          <w:szCs w:val="24"/>
          <w:lang w:val="en"/>
        </w:rPr>
        <w:t xml:space="preserve">Budget preparation, execution and reporting is strengthened for increased predictability, credibility and accountability</w:t>
      </w:r>
      <w:r>
        <w:rPr>
          <w:rFonts w:ascii="Times New Roman" w:hAnsi="Times New Roman" w:eastAsia="Times New Roman" w:cs="Times New Roman"/>
          <w:color w:val="000057"/>
          <w:sz w:val="24"/>
          <w:szCs w:val="24"/>
        </w:rPr>
      </w:r>
    </w:p>
    <w:p w14:paraId="3CAC3227"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      </w:t>
      </w:r>
      <w:r>
        <w:rPr>
          <w:rFonts w:ascii="Times New Roman" w:hAnsi="Times New Roman" w:eastAsia="Times New Roman" w:cs="Times New Roman"/>
          <w:b/>
          <w:bCs/>
          <w:color w:val="000000"/>
          <w:sz w:val="24"/>
          <w:szCs w:val="24"/>
          <w:lang w:val="en"/>
        </w:rPr>
        <w:t xml:space="preserve">Output 1.2:</w:t>
      </w:r>
      <w:r>
        <w:rPr>
          <w:rFonts w:ascii="Times New Roman" w:hAnsi="Times New Roman" w:eastAsia="Times New Roman" w:cs="Times New Roman"/>
          <w:color w:val="000000"/>
          <w:sz w:val="24"/>
          <w:szCs w:val="24"/>
          <w:lang w:val="en"/>
        </w:rPr>
        <w:t xml:space="preserve">  Domestic revenue mobilization performance is improved, including from the natural resources sectors</w:t>
      </w:r>
      <w:r>
        <w:rPr>
          <w:rFonts w:ascii="Times New Roman" w:hAnsi="Times New Roman" w:eastAsia="Times New Roman" w:cs="Times New Roman"/>
          <w:color w:val="000057"/>
          <w:sz w:val="24"/>
          <w:szCs w:val="24"/>
        </w:rPr>
      </w:r>
    </w:p>
    <w:p w14:paraId="350CD4AA" w14:textId="77777777">
      <w:pPr>
        <w:pBdr/>
        <w:shd w:val="clear" w:color="auto" w:fill="ffffff"/>
        <w:spacing w:after="150" w:before="240" w:line="262" w:lineRule="atLeast"/>
        <w:ind/>
        <w:jc w:val="both"/>
        <w:rPr>
          <w:rFonts w:ascii="Times New Roman" w:hAnsi="Times New Roman" w:eastAsia="Times New Roman" w:cs="Times New Roman"/>
          <w:color w:val="000057"/>
          <w:sz w:val="24"/>
          <w:szCs w:val="24"/>
          <w:u w:val="single"/>
        </w:rPr>
      </w:pPr>
      <w:r>
        <w:rPr>
          <w:rFonts w:ascii="Times New Roman" w:hAnsi="Times New Roman" w:eastAsia="Times New Roman" w:cs="Times New Roman"/>
          <w:b/>
          <w:bCs/>
          <w:color w:val="000000"/>
          <w:sz w:val="24"/>
          <w:szCs w:val="24"/>
          <w:u w:val="single"/>
          <w:lang w:val="en"/>
        </w:rPr>
        <w:t xml:space="preserve">Outcome 2: Strengthened Oversight and Integrity (</w:t>
      </w:r>
      <w:r>
        <w:rPr>
          <w:rFonts w:ascii="Times New Roman" w:hAnsi="Times New Roman" w:eastAsia="Times New Roman" w:cs="Times New Roman"/>
          <w:b/>
          <w:bCs/>
          <w:i/>
          <w:iCs/>
          <w:color w:val="000000"/>
          <w:sz w:val="24"/>
          <w:szCs w:val="24"/>
          <w:u w:val="single"/>
          <w:lang w:val="en"/>
        </w:rPr>
        <w:t xml:space="preserve">Component 2)</w:t>
      </w:r>
      <w:r>
        <w:rPr>
          <w:rFonts w:ascii="Times New Roman" w:hAnsi="Times New Roman" w:eastAsia="Times New Roman" w:cs="Times New Roman"/>
          <w:color w:val="000057"/>
          <w:sz w:val="24"/>
          <w:szCs w:val="24"/>
          <w:u w:val="single"/>
        </w:rPr>
      </w:r>
    </w:p>
    <w:p w14:paraId="48475712"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      </w:t>
      </w:r>
      <w:r>
        <w:rPr>
          <w:rFonts w:ascii="Times New Roman" w:hAnsi="Times New Roman" w:eastAsia="Times New Roman" w:cs="Times New Roman"/>
          <w:b/>
          <w:bCs/>
          <w:color w:val="000000"/>
          <w:sz w:val="24"/>
          <w:szCs w:val="24"/>
          <w:lang w:val="en"/>
        </w:rPr>
        <w:t xml:space="preserve">Output 2.1: </w:t>
      </w:r>
      <w:r>
        <w:rPr>
          <w:rFonts w:ascii="Times New Roman" w:hAnsi="Times New Roman" w:eastAsia="Times New Roman" w:cs="Times New Roman"/>
          <w:color w:val="000000"/>
          <w:sz w:val="24"/>
          <w:szCs w:val="24"/>
          <w:lang w:val="en"/>
        </w:rPr>
        <w:t xml:space="preserve">Internal and external audit systems are bolstered.</w:t>
      </w:r>
      <w:r>
        <w:rPr>
          <w:rFonts w:ascii="Times New Roman" w:hAnsi="Times New Roman" w:eastAsia="Times New Roman" w:cs="Times New Roman"/>
          <w:color w:val="000057"/>
          <w:sz w:val="24"/>
          <w:szCs w:val="24"/>
        </w:rPr>
      </w:r>
    </w:p>
    <w:p w14:paraId="73E43B28"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      </w:t>
      </w:r>
      <w:r>
        <w:rPr>
          <w:rFonts w:ascii="Times New Roman" w:hAnsi="Times New Roman" w:eastAsia="Times New Roman" w:cs="Times New Roman"/>
          <w:b/>
          <w:bCs/>
          <w:color w:val="000000"/>
          <w:sz w:val="24"/>
          <w:szCs w:val="24"/>
          <w:lang w:val="en"/>
        </w:rPr>
        <w:t xml:space="preserve">Output 2.2: </w:t>
      </w:r>
      <w:r>
        <w:rPr>
          <w:rFonts w:ascii="Times New Roman" w:hAnsi="Times New Roman" w:eastAsia="Times New Roman" w:cs="Times New Roman"/>
          <w:color w:val="000000"/>
          <w:sz w:val="24"/>
          <w:szCs w:val="24"/>
          <w:lang w:val="en"/>
        </w:rPr>
        <w:t xml:space="preserve">Mechanisms for fighting against corruption are enhanced.</w:t>
      </w:r>
      <w:r>
        <w:rPr>
          <w:rFonts w:ascii="Times New Roman" w:hAnsi="Times New Roman" w:eastAsia="Times New Roman" w:cs="Times New Roman"/>
          <w:color w:val="000057"/>
          <w:sz w:val="24"/>
          <w:szCs w:val="24"/>
        </w:rPr>
      </w:r>
    </w:p>
    <w:p w14:paraId="15BE63C5"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u w:val="single"/>
        </w:rPr>
      </w:pPr>
      <w:r>
        <w:rPr>
          <w:rFonts w:ascii="Times New Roman" w:hAnsi="Times New Roman" w:eastAsia="Times New Roman" w:cs="Times New Roman"/>
          <w:color w:val="000000"/>
          <w:sz w:val="24"/>
          <w:szCs w:val="24"/>
          <w:u w:val="single"/>
          <w:lang w:val="en"/>
        </w:rPr>
        <w:t xml:space="preserve">●      </w:t>
      </w:r>
      <w:r>
        <w:rPr>
          <w:rFonts w:ascii="Times New Roman" w:hAnsi="Times New Roman" w:eastAsia="Times New Roman" w:cs="Times New Roman"/>
          <w:b/>
          <w:bCs/>
          <w:color w:val="000000"/>
          <w:sz w:val="24"/>
          <w:szCs w:val="24"/>
          <w:u w:val="single"/>
          <w:lang w:val="en"/>
        </w:rPr>
        <w:t xml:space="preserve">Output 2.3: </w:t>
      </w:r>
      <w:r>
        <w:rPr>
          <w:rFonts w:ascii="Times New Roman" w:hAnsi="Times New Roman" w:eastAsia="Times New Roman" w:cs="Times New Roman"/>
          <w:color w:val="000000"/>
          <w:sz w:val="24"/>
          <w:szCs w:val="24"/>
          <w:u w:val="single"/>
          <w:lang w:val="en"/>
        </w:rPr>
        <w:t xml:space="preserve">SOE Accountability and Efficiency is strengthened.</w:t>
      </w:r>
      <w:r>
        <w:rPr>
          <w:rFonts w:ascii="Times New Roman" w:hAnsi="Times New Roman" w:eastAsia="Times New Roman" w:cs="Times New Roman"/>
          <w:color w:val="000057"/>
          <w:sz w:val="24"/>
          <w:szCs w:val="24"/>
          <w:u w:val="single"/>
        </w:rPr>
      </w:r>
    </w:p>
    <w:p w14:paraId="44064852" w14:textId="77777777">
      <w:pPr>
        <w:pBdr/>
        <w:shd w:val="clear" w:color="auto" w:fill="ffffff"/>
        <w:spacing w:after="0" w:line="262" w:lineRule="atLeast"/>
        <w:ind w:hanging="360" w:left="465"/>
        <w:jc w:val="both"/>
        <w:rPr>
          <w:rFonts w:ascii="Times New Roman" w:hAnsi="Times New Roman" w:eastAsia="Times New Roman" w:cs="Times New Roman"/>
          <w:color w:val="000057"/>
          <w:sz w:val="24"/>
          <w:szCs w:val="24"/>
        </w:rPr>
      </w:pPr>
      <w:r>
        <w:rPr>
          <w:rFonts w:ascii="Times New Roman" w:hAnsi="Times New Roman" w:eastAsia="Times New Roman" w:cs="Times New Roman"/>
          <w:color w:val="000000"/>
          <w:sz w:val="24"/>
          <w:szCs w:val="24"/>
          <w:lang w:val="en"/>
        </w:rPr>
        <w:t xml:space="preserve">●      </w:t>
      </w:r>
      <w:r>
        <w:rPr>
          <w:rFonts w:ascii="Times New Roman" w:hAnsi="Times New Roman" w:eastAsia="Times New Roman" w:cs="Times New Roman"/>
          <w:b/>
          <w:bCs/>
          <w:color w:val="000000"/>
          <w:sz w:val="24"/>
          <w:szCs w:val="24"/>
          <w:lang w:val="en"/>
        </w:rPr>
        <w:t xml:space="preserve">Output 2.4: </w:t>
      </w:r>
      <w:r>
        <w:rPr>
          <w:rFonts w:ascii="Times New Roman" w:hAnsi="Times New Roman" w:eastAsia="Times New Roman" w:cs="Times New Roman"/>
          <w:color w:val="000000"/>
          <w:sz w:val="24"/>
          <w:szCs w:val="24"/>
          <w:lang w:val="en"/>
        </w:rPr>
        <w:t xml:space="preserve">Civil Society and Public Participation are empowered for independent monitoring/oversight of public finance management.</w:t>
      </w:r>
      <w:r>
        <w:rPr>
          <w:rFonts w:ascii="Times New Roman" w:hAnsi="Times New Roman" w:eastAsia="Times New Roman" w:cs="Times New Roman"/>
          <w:color w:val="000057"/>
          <w:sz w:val="24"/>
          <w:szCs w:val="24"/>
        </w:rPr>
      </w:r>
    </w:p>
    <w:p w14:paraId="75CF7CE7" w14:textId="77777777">
      <w:pPr>
        <w:pBdr/>
        <w:spacing/>
        <w:ind/>
        <w:rPr>
          <w:rFonts w:ascii="Times New Roman" w:hAnsi="Times New Roman" w:cs="Times New Roman"/>
          <w:sz w:val="24"/>
          <w:szCs w:val="24"/>
          <w:lang w:val="en-GB"/>
        </w:rPr>
      </w:pPr>
      <w:r>
        <w:rPr>
          <w:rFonts w:ascii="Times New Roman" w:hAnsi="Times New Roman" w:cs="Times New Roman"/>
          <w:sz w:val="24"/>
          <w:szCs w:val="24"/>
          <w:lang w:val="en-GB"/>
        </w:rPr>
      </w:r>
      <w:r>
        <w:rPr>
          <w:rFonts w:ascii="Times New Roman" w:hAnsi="Times New Roman" w:cs="Times New Roman"/>
          <w:sz w:val="24"/>
          <w:szCs w:val="24"/>
          <w:lang w:val="en-GB"/>
        </w:rPr>
      </w:r>
    </w:p>
    <w:p w14:paraId="6E2C490C" w14:textId="749EF463">
      <w:pPr>
        <w:pStyle w:val="958"/>
        <w:numPr>
          <w:ilvl w:val="0"/>
          <w:numId w:val="23"/>
        </w:numPr>
        <w:pBdr/>
        <w:spacing w:after="140"/>
        <w:ind/>
        <w:jc w:val="both"/>
        <w:rPr>
          <w:rFonts w:ascii="Times New Roman" w:hAnsi="Times New Roman" w:cs="Times New Roman"/>
          <w:b/>
          <w:color w:val="0070c0"/>
          <w:sz w:val="24"/>
          <w:szCs w:val="24"/>
        </w:rPr>
      </w:pPr>
      <w:r>
        <w:rPr>
          <w:rFonts w:ascii="Times New Roman" w:hAnsi="Times New Roman" w:cs="Times New Roman"/>
          <w:b/>
          <w:color w:val="0070c0"/>
          <w:sz w:val="24"/>
          <w:szCs w:val="24"/>
        </w:rPr>
        <w:t xml:space="preserve">Position Description</w:t>
      </w:r>
      <w:r>
        <w:rPr>
          <w:rFonts w:ascii="Times New Roman" w:hAnsi="Times New Roman" w:cs="Times New Roman"/>
          <w:b/>
          <w:color w:val="0070c0"/>
          <w:sz w:val="24"/>
          <w:szCs w:val="24"/>
        </w:rPr>
      </w:r>
    </w:p>
    <w:p w14:paraId="073E6E37" w14:textId="22172D29">
      <w:pPr>
        <w:pBdr/>
        <w:spacing w:after="140"/>
        <w:ind/>
        <w:jc w:val="both"/>
        <w:rPr>
          <w:rFonts w:ascii="Times New Roman" w:hAnsi="Times New Roman" w:cs="Times New Roman"/>
          <w:sz w:val="24"/>
          <w:szCs w:val="24"/>
        </w:rPr>
      </w:pPr>
      <w:r>
        <w:rPr>
          <w:rFonts w:ascii="Times New Roman" w:hAnsi="Times New Roman" w:cs="Times New Roman"/>
          <w:sz w:val="24"/>
          <w:szCs w:val="24"/>
        </w:rPr>
        <w:t xml:space="preserve">State-Owned Enterprises (SOEs) play a significant role in the delivery of essential services and represent a material component of fiscal risk exposure. In the absence of a standar</w:t>
      </w:r>
      <w:r>
        <w:rPr>
          <w:rFonts w:ascii="Times New Roman" w:hAnsi="Times New Roman" w:cs="Times New Roman"/>
          <w:sz w:val="24"/>
          <w:szCs w:val="24"/>
        </w:rPr>
        <w:t xml:space="preserve">dized governance framework, SOEs commonly operate under inconsistent board structures, non-uniform performance expectations for chief executives, and disparate financial reporting practices, which together limit oversight, transparency, and accountability.</w:t>
      </w:r>
      <w:r>
        <w:rPr>
          <w:rFonts w:ascii="Times New Roman" w:hAnsi="Times New Roman" w:cs="Times New Roman"/>
          <w:sz w:val="24"/>
          <w:szCs w:val="24"/>
        </w:rPr>
      </w:r>
    </w:p>
    <w:p w14:paraId="0116E091" w14:textId="77777777">
      <w:pPr>
        <w:pBdr/>
        <w:spacing w:after="140"/>
        <w:ind/>
        <w:jc w:val="both"/>
        <w:rPr>
          <w:rFonts w:ascii="Times New Roman" w:hAnsi="Times New Roman" w:cs="Times New Roman"/>
          <w:sz w:val="24"/>
          <w:szCs w:val="24"/>
        </w:rPr>
      </w:pPr>
      <w:r>
        <w:rPr>
          <w:rFonts w:ascii="Times New Roman" w:hAnsi="Times New Roman" w:cs="Times New Roman"/>
          <w:sz w:val="24"/>
          <w:szCs w:val="24"/>
        </w:rPr>
        <w:t xml:space="preserve">SEAL requ</w:t>
      </w:r>
      <w:r>
        <w:rPr>
          <w:rFonts w:ascii="Times New Roman" w:hAnsi="Times New Roman" w:cs="Times New Roman"/>
          <w:sz w:val="24"/>
          <w:szCs w:val="24"/>
        </w:rPr>
        <w:t xml:space="preserve">ires the support of a qualified consultant to design and help institutionalize a comprehensive SOE governance framework, comprising standardized board charters, CEO performance contracts, and a unified reporting template applicable across all SOEs. This as</w:t>
      </w:r>
      <w:r>
        <w:rPr>
          <w:rFonts w:ascii="Times New Roman" w:hAnsi="Times New Roman" w:cs="Times New Roman"/>
          <w:sz w:val="24"/>
          <w:szCs w:val="24"/>
        </w:rPr>
        <w:t xml:space="preserve">signment will also support the transition of SOEs to International Financial Reporting Standards (IFRS)-compliant reporting, strengthen SEAL's financial monitoring capacity, and raise SOE awareness of reporting obligations and anti-corruption requirements.</w:t>
      </w:r>
      <w:r>
        <w:rPr>
          <w:rFonts w:ascii="Times New Roman" w:hAnsi="Times New Roman" w:cs="Times New Roman"/>
          <w:sz w:val="24"/>
          <w:szCs w:val="24"/>
        </w:rPr>
      </w:r>
    </w:p>
    <w:p w14:paraId="65B1D112" w14:textId="0E24F972">
      <w:pPr>
        <w:pStyle w:val="790"/>
        <w:numPr>
          <w:ilvl w:val="0"/>
          <w:numId w:val="23"/>
        </w:numPr>
        <w:pBdr/>
        <w:spacing w:after="150" w:before="300"/>
        <w:ind/>
        <w:rPr>
          <w:rFonts w:ascii="Times New Roman" w:hAnsi="Times New Roman" w:cs="Times New Roman"/>
          <w:color w:val="0070c0"/>
          <w:sz w:val="24"/>
          <w:szCs w:val="24"/>
        </w:rPr>
      </w:pPr>
      <w:r>
        <w:rPr>
          <w:rFonts w:ascii="Times New Roman" w:hAnsi="Times New Roman" w:cs="Times New Roman"/>
          <w:color w:val="0070c0"/>
          <w:sz w:val="24"/>
          <w:szCs w:val="24"/>
        </w:rPr>
        <w:t xml:space="preserve">Objectives of the Assignment</w:t>
      </w:r>
      <w:r>
        <w:rPr>
          <w:rFonts w:ascii="Times New Roman" w:hAnsi="Times New Roman" w:cs="Times New Roman"/>
          <w:color w:val="0070c0"/>
          <w:sz w:val="24"/>
          <w:szCs w:val="24"/>
        </w:rPr>
      </w:r>
    </w:p>
    <w:p w14:paraId="71AE9ACB" w14:textId="0924600D">
      <w:pPr>
        <w:pBdr/>
        <w:spacing w:after="140"/>
        <w:ind/>
        <w:jc w:val="both"/>
        <w:rPr>
          <w:rFonts w:ascii="Times New Roman" w:hAnsi="Times New Roman" w:cs="Times New Roman"/>
          <w:sz w:val="24"/>
          <w:szCs w:val="24"/>
        </w:rPr>
      </w:pPr>
      <w:r>
        <w:rPr>
          <w:rFonts w:ascii="Times New Roman" w:hAnsi="Times New Roman" w:cs="Times New Roman"/>
          <w:sz w:val="24"/>
          <w:szCs w:val="24"/>
        </w:rPr>
        <w:t xml:space="preserve">Related to the Output 2.3 of the project, the overall objective is to strengthen governance, transparency, and financial accountability across the SOE sector. Specific objectives are to:</w:t>
      </w:r>
      <w:r>
        <w:rPr>
          <w:rFonts w:ascii="Times New Roman" w:hAnsi="Times New Roman" w:cs="Times New Roman"/>
          <w:sz w:val="24"/>
          <w:szCs w:val="24"/>
        </w:rPr>
      </w:r>
    </w:p>
    <w:p w14:paraId="527561B2" w14:textId="77777777">
      <w:pPr>
        <w:pStyle w:val="958"/>
        <w:numPr>
          <w:ilvl w:val="0"/>
          <w:numId w:val="22"/>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Develop a comprehensive SOE governance framework, including standardized board charters and CEO performance contracts;</w:t>
      </w:r>
      <w:r>
        <w:rPr>
          <w:rFonts w:ascii="Times New Roman" w:hAnsi="Times New Roman" w:cs="Times New Roman"/>
          <w:sz w:val="24"/>
          <w:szCs w:val="24"/>
        </w:rPr>
      </w:r>
    </w:p>
    <w:p w14:paraId="7C31BE8E" w14:textId="77777777">
      <w:pPr>
        <w:pStyle w:val="958"/>
        <w:numPr>
          <w:ilvl w:val="0"/>
          <w:numId w:val="22"/>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Design and support adoption of a unified reporting template for use by all SOEs;</w:t>
      </w:r>
      <w:r>
        <w:rPr>
          <w:rFonts w:ascii="Times New Roman" w:hAnsi="Times New Roman" w:cs="Times New Roman"/>
          <w:sz w:val="24"/>
          <w:szCs w:val="24"/>
        </w:rPr>
      </w:r>
    </w:p>
    <w:p w14:paraId="1B684613" w14:textId="77777777">
      <w:pPr>
        <w:pStyle w:val="958"/>
        <w:numPr>
          <w:ilvl w:val="0"/>
          <w:numId w:val="22"/>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Support the mandating of IFRS-compliant reporting for major SOEs to enable consistent fiscal risk monitoring;</w:t>
      </w:r>
      <w:r>
        <w:rPr>
          <w:rFonts w:ascii="Times New Roman" w:hAnsi="Times New Roman" w:cs="Times New Roman"/>
          <w:sz w:val="24"/>
          <w:szCs w:val="24"/>
        </w:rPr>
      </w:r>
    </w:p>
    <w:p w14:paraId="0A54FD61" w14:textId="77777777">
      <w:pPr>
        <w:pStyle w:val="958"/>
        <w:numPr>
          <w:ilvl w:val="0"/>
          <w:numId w:val="22"/>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Build SEAL's capacity — through training and practical tools — to conduct effective financial monitoring and oversight of SOEs;</w:t>
      </w:r>
      <w:r>
        <w:rPr>
          <w:rFonts w:ascii="Times New Roman" w:hAnsi="Times New Roman" w:cs="Times New Roman"/>
          <w:sz w:val="24"/>
          <w:szCs w:val="24"/>
        </w:rPr>
      </w:r>
    </w:p>
    <w:p w14:paraId="709E650A" w14:textId="38FCB5CD">
      <w:pPr>
        <w:pStyle w:val="958"/>
        <w:numPr>
          <w:ilvl w:val="0"/>
          <w:numId w:val="22"/>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Design and implement awareness campaigns among SOEs on their legal reporting obligations and anti-corruption requirements.</w:t>
      </w:r>
      <w:r>
        <w:rPr>
          <w:rFonts w:ascii="Times New Roman" w:hAnsi="Times New Roman" w:cs="Times New Roman"/>
          <w:sz w:val="24"/>
          <w:szCs w:val="24"/>
        </w:rPr>
      </w:r>
    </w:p>
    <w:p w14:paraId="51D7497F" w14:textId="77777777">
      <w:pPr>
        <w:pStyle w:val="958"/>
        <w:pBdr/>
        <w:spacing w:after="80" w:line="240" w:lineRule="auto"/>
        <w:ind w:left="460"/>
        <w:contextualSpacing w:val="false"/>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1DC64BAA" w14:textId="2FE0AB51">
      <w:pPr>
        <w:pStyle w:val="958"/>
        <w:numPr>
          <w:ilvl w:val="0"/>
          <w:numId w:val="23"/>
        </w:numPr>
        <w:pBdr/>
        <w:spacing w:after="80" w:line="240" w:lineRule="auto"/>
        <w:ind/>
        <w:rPr>
          <w:rFonts w:ascii="Times New Roman" w:hAnsi="Times New Roman" w:cs="Times New Roman"/>
          <w:b/>
          <w:color w:val="0070c0"/>
          <w:sz w:val="24"/>
          <w:szCs w:val="24"/>
        </w:rPr>
      </w:pPr>
      <w:r>
        <w:rPr>
          <w:rFonts w:ascii="Times New Roman" w:hAnsi="Times New Roman" w:cs="Times New Roman"/>
          <w:b/>
          <w:color w:val="0070c0"/>
          <w:sz w:val="24"/>
          <w:szCs w:val="24"/>
        </w:rPr>
        <w:t xml:space="preserve">Scope of Work</w:t>
      </w:r>
      <w:r>
        <w:rPr>
          <w:rFonts w:ascii="Times New Roman" w:hAnsi="Times New Roman" w:cs="Times New Roman"/>
          <w:b/>
          <w:color w:val="0070c0"/>
          <w:sz w:val="24"/>
          <w:szCs w:val="24"/>
        </w:rPr>
      </w:r>
    </w:p>
    <w:p w14:paraId="5B516FAE" w14:textId="635B5199">
      <w:pPr>
        <w:pStyle w:val="791"/>
        <w:pBdr/>
        <w:spacing w:after="100"/>
        <w:ind/>
        <w:rPr>
          <w:rFonts w:ascii="Times New Roman" w:hAnsi="Times New Roman" w:cs="Times New Roman"/>
          <w:color w:val="0070c0"/>
          <w:sz w:val="20"/>
          <w:szCs w:val="20"/>
        </w:rPr>
      </w:pPr>
      <w:r>
        <w:rPr>
          <w:rFonts w:ascii="Times New Roman" w:hAnsi="Times New Roman" w:cs="Times New Roman"/>
          <w:color w:val="0070c0"/>
          <w:sz w:val="20"/>
          <w:szCs w:val="20"/>
        </w:rPr>
        <w:t xml:space="preserve">5.1 Governance Framework Development</w:t>
      </w:r>
      <w:r>
        <w:rPr>
          <w:rFonts w:ascii="Times New Roman" w:hAnsi="Times New Roman" w:cs="Times New Roman"/>
          <w:color w:val="0070c0"/>
          <w:sz w:val="20"/>
          <w:szCs w:val="20"/>
        </w:rPr>
      </w:r>
    </w:p>
    <w:p w14:paraId="5E364585" w14:textId="77777777">
      <w:pPr>
        <w:pStyle w:val="958"/>
        <w:numPr>
          <w:ilvl w:val="0"/>
          <w:numId w:val="29"/>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Review existing SOE governing legislation, policies, and practices, and benchmark against regional and international good practice;</w:t>
      </w:r>
      <w:r>
        <w:rPr>
          <w:rFonts w:ascii="Times New Roman" w:hAnsi="Times New Roman" w:cs="Times New Roman"/>
          <w:sz w:val="24"/>
          <w:szCs w:val="24"/>
        </w:rPr>
      </w:r>
    </w:p>
    <w:p w14:paraId="6315DAF4" w14:textId="77777777">
      <w:pPr>
        <w:pStyle w:val="958"/>
        <w:numPr>
          <w:ilvl w:val="0"/>
          <w:numId w:val="29"/>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Design a comprehensive SOE governance framework defining board composition, roles and responsibilities, accountability lines, and risk oversight structures;</w:t>
      </w:r>
      <w:r>
        <w:rPr>
          <w:rFonts w:ascii="Times New Roman" w:hAnsi="Times New Roman" w:cs="Times New Roman"/>
          <w:sz w:val="24"/>
          <w:szCs w:val="24"/>
        </w:rPr>
      </w:r>
    </w:p>
    <w:p w14:paraId="587DA219" w14:textId="77777777">
      <w:pPr>
        <w:pStyle w:val="958"/>
        <w:numPr>
          <w:ilvl w:val="0"/>
          <w:numId w:val="29"/>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Develop standardized board charter templates adaptable to different categories and sizes of SOEs;</w:t>
      </w:r>
      <w:r>
        <w:rPr>
          <w:rFonts w:ascii="Times New Roman" w:hAnsi="Times New Roman" w:cs="Times New Roman"/>
          <w:sz w:val="24"/>
          <w:szCs w:val="24"/>
        </w:rPr>
      </w:r>
    </w:p>
    <w:p w14:paraId="66C082A7" w14:textId="77777777">
      <w:pPr>
        <w:pStyle w:val="958"/>
        <w:numPr>
          <w:ilvl w:val="0"/>
          <w:numId w:val="29"/>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Develop a standardized CEO performance contract template, including key performance indicators (KPIs), targets, and periodic review mechanisms;</w:t>
      </w:r>
      <w:r>
        <w:rPr>
          <w:rFonts w:ascii="Times New Roman" w:hAnsi="Times New Roman" w:cs="Times New Roman"/>
          <w:sz w:val="24"/>
          <w:szCs w:val="24"/>
        </w:rPr>
      </w:r>
    </w:p>
    <w:p w14:paraId="02613E40" w14:textId="74E35DCE">
      <w:pPr>
        <w:pStyle w:val="958"/>
        <w:numPr>
          <w:ilvl w:val="0"/>
          <w:numId w:val="29"/>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Facilitate validation workshops with SEAL, line ministries, and SOE representatives on the draft framework and templates.</w:t>
      </w:r>
      <w:r>
        <w:rPr>
          <w:rFonts w:ascii="Times New Roman" w:hAnsi="Times New Roman" w:cs="Times New Roman"/>
          <w:sz w:val="24"/>
          <w:szCs w:val="24"/>
        </w:rPr>
      </w:r>
    </w:p>
    <w:p w14:paraId="7045C1B9" w14:textId="3B6BF367">
      <w:pPr>
        <w:pStyle w:val="791"/>
        <w:pBdr/>
        <w:spacing w:after="100"/>
        <w:ind/>
        <w:rPr>
          <w:rFonts w:ascii="Times New Roman" w:hAnsi="Times New Roman" w:cs="Times New Roman"/>
          <w:color w:val="0070c0"/>
          <w:sz w:val="20"/>
          <w:szCs w:val="20"/>
        </w:rPr>
      </w:pPr>
      <w:r>
        <w:rPr>
          <w:rFonts w:ascii="Times New Roman" w:hAnsi="Times New Roman" w:cs="Times New Roman"/>
          <w:color w:val="0070c0"/>
          <w:sz w:val="20"/>
          <w:szCs w:val="20"/>
        </w:rPr>
        <w:t xml:space="preserve">5.2 Unified Reporting </w:t>
      </w:r>
      <w:r>
        <w:rPr>
          <w:rFonts w:ascii="Times New Roman" w:hAnsi="Times New Roman" w:cs="Times New Roman"/>
          <w:color w:val="0070c0"/>
          <w:sz w:val="20"/>
          <w:szCs w:val="20"/>
        </w:rPr>
      </w:r>
    </w:p>
    <w:p w14:paraId="74B9884A" w14:textId="77777777">
      <w:pPr>
        <w:pStyle w:val="958"/>
        <w:numPr>
          <w:ilvl w:val="0"/>
          <w:numId w:val="23"/>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Develop fiscal risk monitoring tools and indicators to enable SEAL to track SOE financial performance and exposure on an ongoing basis.</w:t>
      </w:r>
      <w:r>
        <w:rPr>
          <w:rFonts w:ascii="Times New Roman" w:hAnsi="Times New Roman" w:cs="Times New Roman"/>
          <w:sz w:val="24"/>
          <w:szCs w:val="24"/>
        </w:rPr>
      </w:r>
    </w:p>
    <w:p w14:paraId="22D7AD2E" w14:textId="77777777">
      <w:pPr>
        <w:pStyle w:val="958"/>
        <w:numPr>
          <w:ilvl w:val="0"/>
          <w:numId w:val="23"/>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Develop practical oversight tools, including monitoring checklists, risk dashboards, and reporting-compliance trackers, for ongoing use by SEAL.</w:t>
      </w:r>
      <w:r>
        <w:rPr>
          <w:rFonts w:ascii="Times New Roman" w:hAnsi="Times New Roman" w:cs="Times New Roman"/>
          <w:sz w:val="24"/>
          <w:szCs w:val="24"/>
        </w:rPr>
      </w:r>
    </w:p>
    <w:p w14:paraId="471B832B" w14:textId="21535E37">
      <w:pPr>
        <w:pStyle w:val="791"/>
        <w:pBdr/>
        <w:spacing w:after="100"/>
        <w:ind/>
        <w:rPr>
          <w:rFonts w:ascii="Times New Roman" w:hAnsi="Times New Roman" w:cs="Times New Roman"/>
          <w:color w:val="0070c0"/>
          <w:sz w:val="20"/>
          <w:szCs w:val="20"/>
        </w:rPr>
      </w:pPr>
      <w:r>
        <w:rPr>
          <w:rFonts w:ascii="Times New Roman" w:hAnsi="Times New Roman" w:cs="Times New Roman"/>
          <w:color w:val="0070c0"/>
          <w:sz w:val="20"/>
          <w:szCs w:val="20"/>
        </w:rPr>
        <w:t xml:space="preserve">5.4 Awareness and Anti-Corruption Campaigns</w:t>
      </w:r>
      <w:r>
        <w:rPr>
          <w:rFonts w:ascii="Times New Roman" w:hAnsi="Times New Roman" w:cs="Times New Roman"/>
          <w:color w:val="0070c0"/>
          <w:sz w:val="20"/>
          <w:szCs w:val="20"/>
        </w:rPr>
      </w:r>
    </w:p>
    <w:p w14:paraId="0583F113" w14:textId="77777777">
      <w:pPr>
        <w:pStyle w:val="958"/>
        <w:numPr>
          <w:ilvl w:val="0"/>
          <w:numId w:val="23"/>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Develop a communication and awareness strategy targeted at SOE boards and management on reporting legal obligations and anti-corruption requirements;</w:t>
      </w:r>
      <w:r>
        <w:rPr>
          <w:rFonts w:ascii="Times New Roman" w:hAnsi="Times New Roman" w:cs="Times New Roman"/>
          <w:sz w:val="24"/>
          <w:szCs w:val="24"/>
        </w:rPr>
      </w:r>
    </w:p>
    <w:p w14:paraId="31C42152" w14:textId="77777777">
      <w:pPr>
        <w:pStyle w:val="958"/>
        <w:numPr>
          <w:ilvl w:val="0"/>
          <w:numId w:val="23"/>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Produce supporting awareness materials (briefs, guidance notes, presentation packages) and support delivery of awareness sessions to SOEs.</w:t>
      </w:r>
      <w:r>
        <w:rPr>
          <w:rFonts w:ascii="Times New Roman" w:hAnsi="Times New Roman" w:cs="Times New Roman"/>
          <w:sz w:val="24"/>
          <w:szCs w:val="24"/>
        </w:rPr>
      </w:r>
    </w:p>
    <w:p w14:paraId="16DF9570" w14:textId="3C05AEA7">
      <w:pPr>
        <w:pStyle w:val="790"/>
        <w:pBdr/>
        <w:spacing w:after="150" w:before="300"/>
        <w:ind/>
        <w:rPr>
          <w:rFonts w:ascii="Times New Roman" w:hAnsi="Times New Roman" w:cs="Times New Roman"/>
          <w:color w:val="0070c0"/>
        </w:rPr>
      </w:pPr>
      <w:r>
        <w:rPr>
          <w:rFonts w:ascii="Times New Roman" w:hAnsi="Times New Roman" w:cs="Times New Roman"/>
          <w:color w:val="0070c0"/>
          <w:sz w:val="24"/>
          <w:szCs w:val="24"/>
        </w:rPr>
        <w:t xml:space="preserve">6.</w:t>
      </w:r>
      <w:r>
        <w:rPr>
          <w:rFonts w:ascii="Times New Roman" w:hAnsi="Times New Roman" w:cs="Times New Roman"/>
          <w:color w:val="0070c0"/>
        </w:rPr>
        <w:t xml:space="preserve"> </w:t>
      </w:r>
      <w:r>
        <w:rPr>
          <w:rFonts w:ascii="Times New Roman" w:hAnsi="Times New Roman" w:cs="Times New Roman"/>
          <w:color w:val="0070c0"/>
          <w:sz w:val="24"/>
          <w:szCs w:val="24"/>
        </w:rPr>
        <w:t xml:space="preserve">Deliverables and Indicative Timeline</w:t>
      </w:r>
      <w:r>
        <w:rPr>
          <w:rFonts w:ascii="Times New Roman" w:hAnsi="Times New Roman" w:cs="Times New Roman"/>
          <w:color w:val="0070c0"/>
        </w:rPr>
      </w:r>
    </w:p>
    <w:p w14:paraId="1A74B1B2" w14:textId="2AE195F1">
      <w:pPr>
        <w:pBdr/>
        <w:spacing w:after="140"/>
        <w:ind/>
        <w:jc w:val="both"/>
        <w:rPr>
          <w:rFonts w:ascii="Times New Roman" w:hAnsi="Times New Roman" w:cs="Times New Roman"/>
          <w:sz w:val="24"/>
          <w:szCs w:val="24"/>
        </w:rPr>
      </w:pPr>
      <w:r>
        <w:rPr>
          <w:rFonts w:ascii="Times New Roman" w:hAnsi="Times New Roman" w:cs="Times New Roman"/>
          <w:sz w:val="24"/>
          <w:szCs w:val="24"/>
        </w:rPr>
        <w:t xml:space="preserve">The assignment is expected</w:t>
      </w:r>
      <w:r>
        <w:rPr>
          <w:rFonts w:ascii="Times New Roman" w:hAnsi="Times New Roman" w:cs="Times New Roman"/>
          <w:sz w:val="24"/>
          <w:szCs w:val="24"/>
        </w:rPr>
        <w:t xml:space="preserve"> to run over appro</w:t>
      </w:r>
      <w:r>
        <w:rPr>
          <w:rFonts w:ascii="Times New Roman" w:hAnsi="Times New Roman" w:cs="Times New Roman"/>
          <w:sz w:val="24"/>
          <w:szCs w:val="24"/>
        </w:rPr>
        <w:t xml:space="preserve">x</w:t>
      </w:r>
      <w:r>
        <w:rPr>
          <w:rFonts w:ascii="Times New Roman" w:hAnsi="Times New Roman" w:cs="Times New Roman"/>
          <w:sz w:val="24"/>
          <w:szCs w:val="24"/>
        </w:rPr>
        <w:t xml:space="preserve">imately </w:t>
      </w:r>
      <w:r>
        <w:rPr>
          <w:rFonts w:ascii="Times New Roman" w:hAnsi="Times New Roman" w:cs="Times New Roman"/>
          <w:sz w:val="24"/>
          <w:szCs w:val="24"/>
        </w:rPr>
        <w:t xml:space="preserve">eightly</w:t>
      </w:r>
      <w:r>
        <w:rPr>
          <w:rFonts w:ascii="Times New Roman" w:hAnsi="Times New Roman" w:cs="Times New Roman"/>
          <w:sz w:val="24"/>
          <w:szCs w:val="24"/>
        </w:rPr>
        <w:t xml:space="preserve"> (8</w:t>
      </w:r>
      <w:r>
        <w:rPr>
          <w:rFonts w:ascii="Times New Roman" w:hAnsi="Times New Roman" w:cs="Times New Roman"/>
          <w:sz w:val="24"/>
          <w:szCs w:val="24"/>
        </w:rPr>
        <w:t xml:space="preserve">0</w:t>
      </w:r>
      <w:r>
        <w:rPr>
          <w:rFonts w:ascii="Times New Roman" w:hAnsi="Times New Roman" w:cs="Times New Roman"/>
          <w:sz w:val="24"/>
          <w:szCs w:val="24"/>
        </w:rPr>
        <w:t xml:space="preserve">) days</w:t>
      </w:r>
      <w:r>
        <w:rPr>
          <w:rFonts w:ascii="Times New Roman" w:hAnsi="Times New Roman" w:cs="Times New Roman"/>
          <w:sz w:val="24"/>
          <w:szCs w:val="24"/>
        </w:rPr>
        <w:t xml:space="preserve"> from contract signing. Deliverables and their indicative timing are set out below; exact dates will be confirmed in the inception report.</w:t>
      </w:r>
      <w:r>
        <w:rPr>
          <w:rFonts w:ascii="Times New Roman" w:hAnsi="Times New Roman" w:cs="Times New Roman"/>
          <w:sz w:val="24"/>
          <w:szCs w:val="24"/>
        </w:rPr>
      </w:r>
    </w:p>
    <w:tbl>
      <w:tblPr>
        <w:tblW w:w="10201" w:type="dxa"/>
        <w:tblCellMar>
          <w:left w:w="10" w:type="dxa"/>
          <w:right w:w="1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00"/>
        <w:gridCol w:w="2230"/>
        <w:gridCol w:w="3261"/>
        <w:gridCol w:w="1984"/>
        <w:gridCol w:w="2126"/>
      </w:tblGrid>
      <w:tr>
        <w:trPr>
          <w:tblHeader/>
        </w:trPr>
        <w:tc>
          <w:tcPr>
            <w:shd w:val="clear" w:color="auto" w:fill="1f4e78"/>
            <w:tcBorders/>
            <w:tcMar>
              <w:left w:w="100" w:type="dxa"/>
              <w:top w:w="80" w:type="dxa"/>
              <w:right w:w="100" w:type="dxa"/>
              <w:bottom w:w="80" w:type="dxa"/>
            </w:tcMar>
            <w:tcW w:w="600" w:type="dxa"/>
            <w:vAlign w:val="center"/>
            <w:textDirection w:val="lrTb"/>
            <w:noWrap w:val="false"/>
          </w:tcPr>
          <w:p w14:paraId="09D1C27F" w14:textId="4409B162">
            <w:pPr>
              <w:pBdr/>
              <w:spacing/>
              <w:ind/>
              <w:rPr>
                <w:rFonts w:ascii="Times New Roman" w:hAnsi="Times New Roman" w:cs="Times New Roman"/>
                <w:sz w:val="24"/>
                <w:szCs w:val="24"/>
              </w:rPr>
            </w:pPr>
            <w:r>
              <w:rPr>
                <w:rFonts w:ascii="Times New Roman" w:hAnsi="Times New Roman" w:cs="Times New Roman"/>
                <w:b/>
                <w:bCs/>
                <w:color w:val="ffffff"/>
                <w:sz w:val="24"/>
                <w:szCs w:val="24"/>
              </w:rPr>
              <w:t xml:space="preserve"> </w:t>
            </w:r>
            <w:r>
              <w:rPr>
                <w:rFonts w:ascii="Times New Roman" w:hAnsi="Times New Roman" w:cs="Times New Roman"/>
                <w:sz w:val="24"/>
                <w:szCs w:val="24"/>
              </w:rPr>
            </w:r>
          </w:p>
        </w:tc>
        <w:tc>
          <w:tcPr>
            <w:shd w:val="clear" w:color="auto" w:fill="1f4e78"/>
            <w:tcBorders/>
            <w:tcMar>
              <w:left w:w="100" w:type="dxa"/>
              <w:top w:w="80" w:type="dxa"/>
              <w:right w:w="100" w:type="dxa"/>
              <w:bottom w:w="80" w:type="dxa"/>
            </w:tcMar>
            <w:tcW w:w="2230" w:type="dxa"/>
            <w:vAlign w:val="center"/>
            <w:textDirection w:val="lrTb"/>
            <w:noWrap w:val="false"/>
          </w:tcPr>
          <w:p w14:paraId="4F1F4AE4" w14:textId="77777777">
            <w:pPr>
              <w:pBdr/>
              <w:spacing/>
              <w:ind/>
              <w:rPr>
                <w:rFonts w:ascii="Times New Roman" w:hAnsi="Times New Roman" w:cs="Times New Roman"/>
                <w:sz w:val="24"/>
                <w:szCs w:val="24"/>
              </w:rPr>
            </w:pPr>
            <w:r>
              <w:rPr>
                <w:rFonts w:ascii="Times New Roman" w:hAnsi="Times New Roman" w:cs="Times New Roman"/>
                <w:b/>
                <w:bCs/>
                <w:color w:val="ffffff"/>
                <w:sz w:val="24"/>
                <w:szCs w:val="24"/>
              </w:rPr>
              <w:t xml:space="preserve">Deliverable</w:t>
            </w:r>
            <w:r>
              <w:rPr>
                <w:rFonts w:ascii="Times New Roman" w:hAnsi="Times New Roman" w:cs="Times New Roman"/>
                <w:sz w:val="24"/>
                <w:szCs w:val="24"/>
              </w:rPr>
            </w:r>
          </w:p>
        </w:tc>
        <w:tc>
          <w:tcPr>
            <w:shd w:val="clear" w:color="auto" w:fill="1f4e78"/>
            <w:tcBorders/>
            <w:tcMar>
              <w:left w:w="100" w:type="dxa"/>
              <w:top w:w="80" w:type="dxa"/>
              <w:right w:w="100" w:type="dxa"/>
              <w:bottom w:w="80" w:type="dxa"/>
            </w:tcMar>
            <w:tcW w:w="3261" w:type="dxa"/>
            <w:vAlign w:val="center"/>
            <w:textDirection w:val="lrTb"/>
            <w:noWrap w:val="false"/>
          </w:tcPr>
          <w:p w14:paraId="7E88F4FA" w14:textId="77777777">
            <w:pPr>
              <w:pBdr/>
              <w:spacing/>
              <w:ind/>
              <w:rPr>
                <w:rFonts w:ascii="Times New Roman" w:hAnsi="Times New Roman" w:cs="Times New Roman"/>
                <w:sz w:val="24"/>
                <w:szCs w:val="24"/>
              </w:rPr>
            </w:pPr>
            <w:r>
              <w:rPr>
                <w:rFonts w:ascii="Times New Roman" w:hAnsi="Times New Roman" w:cs="Times New Roman"/>
                <w:b/>
                <w:bCs/>
                <w:color w:val="ffffff"/>
                <w:sz w:val="24"/>
                <w:szCs w:val="24"/>
              </w:rPr>
              <w:t xml:space="preserve">Description</w:t>
            </w:r>
            <w:r>
              <w:rPr>
                <w:rFonts w:ascii="Times New Roman" w:hAnsi="Times New Roman" w:cs="Times New Roman"/>
                <w:sz w:val="24"/>
                <w:szCs w:val="24"/>
              </w:rPr>
            </w:r>
          </w:p>
        </w:tc>
        <w:tc>
          <w:tcPr>
            <w:shd w:val="clear" w:color="auto" w:fill="1f4e78"/>
            <w:tcBorders/>
            <w:tcMar>
              <w:left w:w="100" w:type="dxa"/>
              <w:top w:w="80" w:type="dxa"/>
              <w:right w:w="100" w:type="dxa"/>
              <w:bottom w:w="80" w:type="dxa"/>
            </w:tcMar>
            <w:tcW w:w="1984" w:type="dxa"/>
            <w:vAlign w:val="center"/>
            <w:textDirection w:val="lrTb"/>
            <w:noWrap w:val="false"/>
          </w:tcPr>
          <w:p w14:paraId="672B0717" w14:textId="538576D6">
            <w:pPr>
              <w:pBdr/>
              <w:spacing/>
              <w:ind/>
              <w:rPr>
                <w:rFonts w:ascii="Times New Roman" w:hAnsi="Times New Roman" w:cs="Times New Roman"/>
                <w:sz w:val="24"/>
                <w:szCs w:val="24"/>
              </w:rPr>
            </w:pPr>
            <w:r/>
            <w:r>
              <w:rPr>
                <w:rFonts w:ascii="Times New Roman" w:hAnsi="Times New Roman" w:cs="Times New Roman"/>
                <w:b/>
                <w:bCs/>
                <w:color w:val="ffffff"/>
                <w:sz w:val="24"/>
                <w:szCs w:val="24"/>
              </w:rPr>
              <w:t xml:space="preserve">Resources</w:t>
            </w:r>
            <w:r/>
            <w:r>
              <w:rPr>
                <w:rFonts w:ascii="Times New Roman" w:hAnsi="Times New Roman" w:cs="Times New Roman"/>
                <w:sz w:val="24"/>
                <w:szCs w:val="24"/>
              </w:rPr>
            </w:r>
          </w:p>
        </w:tc>
        <w:tc>
          <w:tcPr>
            <w:shd w:val="clear" w:color="auto" w:fill="1f4e78"/>
            <w:tcBorders/>
            <w:tcW w:w="2126" w:type="dxa"/>
            <w:textDirection w:val="lrTb"/>
            <w:noWrap w:val="false"/>
          </w:tcPr>
          <w:p w14:paraId="7845070D" w14:textId="7EE41E2E">
            <w:pPr>
              <w:pBdr/>
              <w:spacing/>
              <w:ind/>
              <w:rPr>
                <w:rFonts w:ascii="Times New Roman" w:hAnsi="Times New Roman" w:cs="Times New Roman"/>
                <w:b/>
                <w:bCs/>
                <w:color w:val="ffffff"/>
                <w:sz w:val="24"/>
                <w:szCs w:val="24"/>
              </w:rPr>
            </w:pPr>
            <w:r>
              <w:rPr>
                <w:rFonts w:ascii="Times New Roman" w:hAnsi="Times New Roman" w:cs="Times New Roman"/>
                <w:b/>
                <w:bCs/>
                <w:color w:val="ffffff"/>
                <w:sz w:val="24"/>
                <w:szCs w:val="24"/>
              </w:rPr>
              <w:t xml:space="preserve">Timeline</w:t>
            </w:r>
            <w:r>
              <w:rPr>
                <w:rFonts w:ascii="Times New Roman" w:hAnsi="Times New Roman" w:cs="Times New Roman"/>
                <w:b/>
                <w:bCs/>
                <w:color w:val="ffffff"/>
                <w:sz w:val="24"/>
                <w:szCs w:val="24"/>
              </w:rPr>
            </w:r>
          </w:p>
        </w:tc>
      </w:tr>
      <w:tr>
        <w:trPr/>
        <w:tc>
          <w:tcPr>
            <w:tcBorders/>
            <w:tcMar>
              <w:left w:w="100" w:type="dxa"/>
              <w:top w:w="80" w:type="dxa"/>
              <w:right w:w="100" w:type="dxa"/>
              <w:bottom w:w="80" w:type="dxa"/>
            </w:tcMar>
            <w:tcW w:w="600" w:type="dxa"/>
            <w:vAlign w:val="center"/>
            <w:textDirection w:val="lrTb"/>
            <w:noWrap w:val="false"/>
          </w:tcPr>
          <w:p w14:paraId="5BF30B8A"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160E86AD"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Inception Report</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465150A5"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Work plan, methodology, and stakeholder engagement schedule</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388FB3D1" w14:textId="49A5D450">
            <w:pPr>
              <w:pBdr/>
              <w:spacing/>
              <w:ind/>
              <w:rPr>
                <w:rFonts w:ascii="Times New Roman" w:hAnsi="Times New Roman" w:cs="Times New Roman"/>
                <w:sz w:val="24"/>
                <w:szCs w:val="24"/>
              </w:rPr>
            </w:pPr>
            <w:r>
              <w:rPr>
                <w:rFonts w:ascii="Times New Roman" w:hAnsi="Times New Roman" w:cs="Times New Roman"/>
                <w:sz w:val="24"/>
                <w:szCs w:val="24"/>
              </w:rPr>
              <w:t xml:space="preserve">Within 3</w:t>
            </w:r>
            <w:r>
              <w:rPr>
                <w:rFonts w:ascii="Times New Roman" w:hAnsi="Times New Roman" w:cs="Times New Roman"/>
                <w:sz w:val="24"/>
                <w:szCs w:val="24"/>
              </w:rPr>
              <w:t xml:space="preserve"> days of contract start </w:t>
            </w:r>
            <w:r>
              <w:rPr>
                <w:rFonts w:ascii="Times New Roman" w:hAnsi="Times New Roman" w:cs="Times New Roman"/>
                <w:sz w:val="24"/>
                <w:szCs w:val="24"/>
              </w:rPr>
            </w:r>
          </w:p>
        </w:tc>
        <w:tc>
          <w:tcPr>
            <w:tcBorders/>
            <w:tcW w:w="2126" w:type="dxa"/>
            <w:textDirection w:val="lrTb"/>
            <w:noWrap w:val="false"/>
          </w:tcPr>
          <w:p w14:paraId="6B95C58D"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42E25620" w14:textId="77430F5E">
            <w:pPr>
              <w:pBdr/>
              <w:spacing/>
              <w:ind/>
              <w:rPr>
                <w:rFonts w:ascii="Times New Roman" w:hAnsi="Times New Roman" w:cs="Times New Roman"/>
                <w:sz w:val="24"/>
                <w:szCs w:val="24"/>
              </w:rPr>
            </w:pPr>
            <w:r>
              <w:rPr>
                <w:rFonts w:ascii="Times New Roman" w:hAnsi="Times New Roman" w:cs="Times New Roman"/>
                <w:sz w:val="24"/>
                <w:szCs w:val="24"/>
              </w:rPr>
              <w:t xml:space="preserve">30</w:t>
            </w:r>
            <w:r>
              <w:rPr>
                <w:rFonts w:ascii="Times New Roman" w:hAnsi="Times New Roman" w:cs="Times New Roman"/>
                <w:sz w:val="24"/>
                <w:szCs w:val="24"/>
              </w:rPr>
              <w:t xml:space="preserve"> March 2027</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139B5183"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4892B9F9"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Diagnostic / Situational Analysis Report</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3FF565D1"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Assessment of current SOE governance, reporting, and financial oversight practices, including gaps against good-practice benchmarks</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444FCD08" w14:textId="356DF916">
            <w:pPr>
              <w:pBdr/>
              <w:spacing/>
              <w:ind/>
              <w:rPr>
                <w:rFonts w:ascii="Times New Roman" w:hAnsi="Times New Roman" w:cs="Times New Roman"/>
                <w:sz w:val="24"/>
                <w:szCs w:val="24"/>
              </w:rPr>
            </w:pPr>
            <w:r>
              <w:rPr>
                <w:rFonts w:ascii="Times New Roman" w:hAnsi="Times New Roman" w:cs="Times New Roman"/>
                <w:sz w:val="24"/>
                <w:szCs w:val="24"/>
              </w:rPr>
              <w:t xml:space="preserve"> 5 days </w:t>
            </w:r>
            <w:r>
              <w:rPr>
                <w:rFonts w:ascii="Times New Roman" w:hAnsi="Times New Roman" w:cs="Times New Roman"/>
                <w:sz w:val="24"/>
                <w:szCs w:val="24"/>
              </w:rPr>
            </w:r>
          </w:p>
        </w:tc>
        <w:tc>
          <w:tcPr>
            <w:tcBorders/>
            <w:tcW w:w="2126" w:type="dxa"/>
            <w:textDirection w:val="lrTb"/>
            <w:noWrap w:val="false"/>
          </w:tcPr>
          <w:p w14:paraId="08F9C4D2"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5361DE9F" w14:textId="1C6F81AB">
            <w:pPr>
              <w:pBdr/>
              <w:spacing/>
              <w:ind/>
              <w:rPr>
                <w:rFonts w:ascii="Times New Roman" w:hAnsi="Times New Roman" w:cs="Times New Roman"/>
                <w:sz w:val="24"/>
                <w:szCs w:val="24"/>
              </w:rPr>
            </w:pPr>
            <w:r>
              <w:rPr>
                <w:rFonts w:ascii="Times New Roman" w:hAnsi="Times New Roman" w:cs="Times New Roman"/>
                <w:sz w:val="24"/>
                <w:szCs w:val="24"/>
              </w:rPr>
              <w:t xml:space="preserve">30</w:t>
            </w:r>
            <w:r>
              <w:rPr>
                <w:rFonts w:ascii="Times New Roman" w:hAnsi="Times New Roman" w:cs="Times New Roman"/>
                <w:sz w:val="24"/>
                <w:szCs w:val="24"/>
              </w:rPr>
              <w:t xml:space="preserve"> March 2027</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02FEB9BB"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0127E0DA"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SOE Governance Framework</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71E9BB39"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Comprehensive governance framework covering board composition, roles, accountability lines, and risk oversight</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2EC07B1B" w14:textId="207AB667">
            <w:pPr>
              <w:pBdr/>
              <w:spacing/>
              <w:ind/>
              <w:rPr>
                <w:rFonts w:ascii="Times New Roman" w:hAnsi="Times New Roman" w:cs="Times New Roman"/>
                <w:sz w:val="24"/>
                <w:szCs w:val="24"/>
              </w:rPr>
            </w:pPr>
            <w:r>
              <w:rPr>
                <w:rFonts w:ascii="Times New Roman" w:hAnsi="Times New Roman" w:cs="Times New Roman"/>
                <w:sz w:val="24"/>
                <w:szCs w:val="24"/>
              </w:rPr>
              <w:t xml:space="preserve">7 days </w:t>
            </w:r>
            <w:r>
              <w:rPr>
                <w:rFonts w:ascii="Times New Roman" w:hAnsi="Times New Roman" w:cs="Times New Roman"/>
                <w:sz w:val="24"/>
                <w:szCs w:val="24"/>
              </w:rPr>
            </w:r>
          </w:p>
        </w:tc>
        <w:tc>
          <w:tcPr>
            <w:tcBorders/>
            <w:tcW w:w="2126" w:type="dxa"/>
            <w:textDirection w:val="lrTb"/>
            <w:noWrap w:val="false"/>
          </w:tcPr>
          <w:p w14:paraId="521F93EC"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44D66F43" w14:textId="20B904AD">
            <w:pPr>
              <w:pBdr/>
              <w:spacing/>
              <w:ind/>
              <w:rPr>
                <w:rFonts w:ascii="Times New Roman" w:hAnsi="Times New Roman" w:cs="Times New Roman"/>
                <w:sz w:val="24"/>
                <w:szCs w:val="24"/>
              </w:rPr>
            </w:pPr>
            <w:r>
              <w:rPr>
                <w:rFonts w:ascii="Times New Roman" w:hAnsi="Times New Roman" w:cs="Times New Roman"/>
                <w:sz w:val="24"/>
                <w:szCs w:val="24"/>
              </w:rPr>
              <w:t xml:space="preserve">30</w:t>
            </w:r>
            <w:r>
              <w:rPr>
                <w:rFonts w:ascii="Times New Roman" w:hAnsi="Times New Roman" w:cs="Times New Roman"/>
                <w:sz w:val="24"/>
                <w:szCs w:val="24"/>
              </w:rPr>
              <w:t xml:space="preserve"> April 2027</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02962B43"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56066641"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Standardized Board Charters</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4E8DBF4E"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Template board charter(s) defining board mandate, composition, committees, and conduct standards, adaptable across SOE types</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2EF0EF33" w14:textId="3268EB18">
            <w:pPr>
              <w:pBdr/>
              <w:spacing/>
              <w:ind/>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 days </w:t>
            </w:r>
            <w:r>
              <w:rPr>
                <w:rFonts w:ascii="Times New Roman" w:hAnsi="Times New Roman" w:cs="Times New Roman"/>
                <w:sz w:val="24"/>
                <w:szCs w:val="24"/>
              </w:rPr>
            </w:r>
          </w:p>
        </w:tc>
        <w:tc>
          <w:tcPr>
            <w:tcBorders/>
            <w:tcW w:w="2126" w:type="dxa"/>
            <w:textDirection w:val="lrTb"/>
            <w:noWrap w:val="false"/>
          </w:tcPr>
          <w:p w14:paraId="19E8710E"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0513F6D2" w14:textId="4A376A0C">
            <w:pPr>
              <w:pBdr/>
              <w:spacing/>
              <w:ind/>
              <w:rPr>
                <w:rFonts w:ascii="Times New Roman" w:hAnsi="Times New Roman" w:cs="Times New Roman"/>
                <w:sz w:val="24"/>
                <w:szCs w:val="24"/>
              </w:rPr>
            </w:pPr>
            <w:r>
              <w:rPr>
                <w:rFonts w:ascii="Times New Roman" w:hAnsi="Times New Roman" w:cs="Times New Roman"/>
                <w:sz w:val="24"/>
                <w:szCs w:val="24"/>
              </w:rPr>
              <w:t xml:space="preserve">By end of March 2028</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07192942"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5</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6B507AF4" w14:textId="7B0298FB">
            <w:pPr>
              <w:pBdr/>
              <w:spacing/>
              <w:ind/>
              <w:rPr>
                <w:rFonts w:ascii="Times New Roman" w:hAnsi="Times New Roman" w:cs="Times New Roman"/>
                <w:sz w:val="24"/>
                <w:szCs w:val="24"/>
              </w:rPr>
            </w:pPr>
            <w:r>
              <w:rPr>
                <w:rFonts w:ascii="Times New Roman" w:hAnsi="Times New Roman" w:cs="Times New Roman"/>
                <w:sz w:val="24"/>
                <w:szCs w:val="24"/>
              </w:rPr>
              <w:t xml:space="preserve">C</w:t>
            </w:r>
            <w:r>
              <w:rPr>
                <w:rFonts w:ascii="Times New Roman" w:hAnsi="Times New Roman" w:cs="Times New Roman"/>
                <w:sz w:val="24"/>
                <w:szCs w:val="24"/>
              </w:rPr>
              <w:t xml:space="preserve">EO Performance Contract.</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0989C267" w14:textId="4799EA30">
            <w:pPr>
              <w:pBdr/>
              <w:spacing/>
              <w:ind/>
              <w:rPr>
                <w:rFonts w:ascii="Times New Roman" w:hAnsi="Times New Roman" w:cs="Times New Roman"/>
                <w:sz w:val="24"/>
                <w:szCs w:val="24"/>
              </w:rPr>
            </w:pPr>
            <w:r>
              <w:rPr>
                <w:rFonts w:ascii="Times New Roman" w:hAnsi="Times New Roman" w:cs="Times New Roman"/>
                <w:sz w:val="24"/>
                <w:szCs w:val="24"/>
              </w:rPr>
              <w:t xml:space="preserve">Standardized performance contract with KPIs, targets, and review mechanisms for selected SOEs</w:t>
            </w:r>
            <w:r>
              <w:rPr>
                <w:rFonts w:ascii="Times New Roman" w:hAnsi="Times New Roman" w:cs="Times New Roman"/>
                <w:sz w:val="24"/>
                <w:szCs w:val="24"/>
              </w:rPr>
              <w:t xml:space="preserve"> (24 SOEs with Performance contracts) </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04F3A24B" w14:textId="165EDAC2">
            <w:pPr>
              <w:pBdr/>
              <w:spacing/>
              <w:ind/>
              <w:rPr>
                <w:rFonts w:ascii="Times New Roman" w:hAnsi="Times New Roman" w:cs="Times New Roman"/>
                <w:sz w:val="24"/>
                <w:szCs w:val="24"/>
              </w:rPr>
            </w:pPr>
            <w:r>
              <w:rPr>
                <w:rFonts w:ascii="Times New Roman" w:hAnsi="Times New Roman" w:cs="Times New Roman"/>
                <w:sz w:val="24"/>
                <w:szCs w:val="24"/>
              </w:rPr>
              <w:t xml:space="preserve">40</w:t>
            </w:r>
            <w:r>
              <w:rPr>
                <w:rFonts w:ascii="Times New Roman" w:hAnsi="Times New Roman" w:cs="Times New Roman"/>
                <w:sz w:val="24"/>
                <w:szCs w:val="24"/>
              </w:rPr>
              <w:t xml:space="preserve"> days </w:t>
            </w:r>
            <w:r>
              <w:rPr>
                <w:rFonts w:ascii="Times New Roman" w:hAnsi="Times New Roman" w:cs="Times New Roman"/>
                <w:sz w:val="24"/>
                <w:szCs w:val="24"/>
              </w:rPr>
            </w:r>
          </w:p>
        </w:tc>
        <w:tc>
          <w:tcPr>
            <w:tcBorders/>
            <w:tcW w:w="2126" w:type="dxa"/>
            <w:textDirection w:val="lrTb"/>
            <w:noWrap w:val="false"/>
          </w:tcPr>
          <w:p w14:paraId="6156181F"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490216FB" w14:textId="1BEC195C">
            <w:pPr>
              <w:pBdr/>
              <w:spacing/>
              <w:ind/>
              <w:rPr>
                <w:rFonts w:ascii="Times New Roman" w:hAnsi="Times New Roman" w:cs="Times New Roman"/>
                <w:sz w:val="24"/>
                <w:szCs w:val="24"/>
              </w:rPr>
            </w:pPr>
            <w:r>
              <w:rPr>
                <w:rFonts w:ascii="Times New Roman" w:hAnsi="Times New Roman" w:cs="Times New Roman"/>
                <w:sz w:val="24"/>
                <w:szCs w:val="24"/>
              </w:rPr>
              <w:t xml:space="preserve">31</w:t>
            </w:r>
            <w:r>
              <w:rPr>
                <w:rFonts w:ascii="Times New Roman" w:hAnsi="Times New Roman" w:cs="Times New Roman"/>
                <w:sz w:val="24"/>
                <w:szCs w:val="24"/>
              </w:rPr>
              <w:t xml:space="preserve"> Jan 2028 to</w:t>
            </w:r>
            <w:r>
              <w:rPr>
                <w:rFonts w:ascii="Times New Roman" w:hAnsi="Times New Roman" w:cs="Times New Roman"/>
                <w:sz w:val="24"/>
                <w:szCs w:val="24"/>
              </w:rPr>
              <w:t xml:space="preserve"> Dec 2029</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5D89EED3" w14:textId="78917054">
            <w:pPr>
              <w:pBdr/>
              <w:spacing/>
              <w:ind/>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0F9C054F" w14:textId="59E852CB">
            <w:pPr>
              <w:pBdr/>
              <w:spacing/>
              <w:ind/>
              <w:rPr>
                <w:rFonts w:ascii="Times New Roman" w:hAnsi="Times New Roman" w:cs="Times New Roman"/>
                <w:sz w:val="24"/>
                <w:szCs w:val="24"/>
              </w:rPr>
            </w:pPr>
            <w:r>
              <w:rPr>
                <w:rFonts w:ascii="Times New Roman" w:hAnsi="Times New Roman" w:cs="Times New Roman"/>
                <w:sz w:val="24"/>
                <w:szCs w:val="24"/>
              </w:rPr>
              <w:t xml:space="preserve">Unified reporting template</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1FC7C812" w14:textId="1A5B65AC">
            <w:pPr>
              <w:pBdr/>
              <w:spacing w:after="80" w:line="240" w:lineRule="auto"/>
              <w:ind/>
              <w:rPr>
                <w:rFonts w:ascii="Times New Roman" w:hAnsi="Times New Roman" w:cs="Times New Roman"/>
                <w:sz w:val="24"/>
                <w:szCs w:val="24"/>
              </w:rPr>
            </w:pPr>
            <w:r>
              <w:rPr>
                <w:rFonts w:ascii="Times New Roman" w:hAnsi="Times New Roman" w:cs="Times New Roman"/>
                <w:sz w:val="24"/>
                <w:szCs w:val="24"/>
              </w:rPr>
              <w:t xml:space="preserve">Develop fiscal risk monitoring tools and indicators to enable SEAL to track SOE financial performance and exposure on an ongoing basis.</w:t>
            </w:r>
            <w:r>
              <w:rPr>
                <w:rFonts w:ascii="Times New Roman" w:hAnsi="Times New Roman" w:cs="Times New Roman"/>
                <w:sz w:val="24"/>
                <w:szCs w:val="24"/>
              </w:rPr>
            </w:r>
          </w:p>
          <w:p w14:paraId="6F847207" w14:textId="4A38444C">
            <w:pPr>
              <w:pBdr/>
              <w:spacing w:after="80" w:line="240" w:lineRule="auto"/>
              <w:ind/>
              <w:rPr>
                <w:rFonts w:ascii="Times New Roman" w:hAnsi="Times New Roman" w:cs="Times New Roman"/>
                <w:sz w:val="24"/>
                <w:szCs w:val="24"/>
              </w:rPr>
            </w:pPr>
            <w:r>
              <w:rPr>
                <w:rFonts w:ascii="Times New Roman" w:hAnsi="Times New Roman" w:cs="Times New Roman"/>
                <w:sz w:val="24"/>
                <w:szCs w:val="24"/>
              </w:rPr>
              <w:t xml:space="preserve">Develop practical oversight tools, including monitoring </w:t>
            </w:r>
            <w:r>
              <w:rPr>
                <w:rFonts w:ascii="Times New Roman" w:hAnsi="Times New Roman" w:cs="Times New Roman"/>
                <w:sz w:val="24"/>
                <w:szCs w:val="24"/>
              </w:rPr>
              <w:t xml:space="preserve">checklists, risk dashboards, and reporting-compliance trackers, for ongoing use by SEAL.</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47175793" w14:textId="6A57449C">
            <w:pPr>
              <w:pBdr/>
              <w:spacing/>
              <w:ind/>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 days</w:t>
            </w:r>
            <w:r>
              <w:rPr>
                <w:rFonts w:ascii="Times New Roman" w:hAnsi="Times New Roman" w:cs="Times New Roman"/>
                <w:sz w:val="24"/>
                <w:szCs w:val="24"/>
              </w:rPr>
              <w:t xml:space="preserve"> </w:t>
            </w:r>
            <w:r>
              <w:rPr>
                <w:rFonts w:ascii="Times New Roman" w:hAnsi="Times New Roman" w:cs="Times New Roman"/>
                <w:sz w:val="24"/>
                <w:szCs w:val="24"/>
              </w:rPr>
            </w:r>
          </w:p>
        </w:tc>
        <w:tc>
          <w:tcPr>
            <w:tcBorders/>
            <w:tcW w:w="2126" w:type="dxa"/>
            <w:textDirection w:val="lrTb"/>
            <w:noWrap w:val="false"/>
          </w:tcPr>
          <w:p w14:paraId="4DA4AAC4"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1AA9B20D"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43BCD885" w14:textId="3BA77652">
            <w:pPr>
              <w:pBdr/>
              <w:spacing/>
              <w:ind/>
              <w:rPr>
                <w:rFonts w:ascii="Times New Roman" w:hAnsi="Times New Roman" w:cs="Times New Roman"/>
                <w:sz w:val="24"/>
                <w:szCs w:val="24"/>
              </w:rPr>
            </w:pPr>
            <w:r>
              <w:rPr>
                <w:rFonts w:ascii="Times New Roman" w:hAnsi="Times New Roman" w:cs="Times New Roman"/>
                <w:sz w:val="24"/>
                <w:szCs w:val="24"/>
              </w:rPr>
              <w:t xml:space="preserve">30</w:t>
            </w:r>
            <w:r>
              <w:rPr>
                <w:rFonts w:ascii="Times New Roman" w:hAnsi="Times New Roman" w:cs="Times New Roman"/>
                <w:sz w:val="24"/>
                <w:szCs w:val="24"/>
              </w:rPr>
              <w:t xml:space="preserve"> June 2027</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70AB6E4B" w14:textId="64A07C29">
            <w:pPr>
              <w:pBdr/>
              <w:spacing/>
              <w:ind/>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7BB320F0"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Awareness Campaign Package</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22039465"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Communication materials and campaign plan on reporting obligations and anti-corruption for SOE boards and management</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7E60AE3F" w14:textId="00A81157">
            <w:pPr>
              <w:pBdr/>
              <w:spacing/>
              <w:ind/>
              <w:rPr>
                <w:rFonts w:ascii="Times New Roman" w:hAnsi="Times New Roman" w:cs="Times New Roman"/>
                <w:sz w:val="24"/>
                <w:szCs w:val="24"/>
              </w:rPr>
            </w:pPr>
            <w:r>
              <w:rPr>
                <w:rFonts w:ascii="Times New Roman" w:hAnsi="Times New Roman" w:cs="Times New Roman"/>
                <w:sz w:val="24"/>
                <w:szCs w:val="24"/>
              </w:rPr>
              <w:t xml:space="preserve">5 days</w:t>
            </w:r>
            <w:r>
              <w:rPr>
                <w:rFonts w:ascii="Times New Roman" w:hAnsi="Times New Roman" w:cs="Times New Roman"/>
                <w:sz w:val="24"/>
                <w:szCs w:val="24"/>
              </w:rPr>
              <w:t xml:space="preserve"> </w:t>
            </w:r>
            <w:r>
              <w:rPr>
                <w:rFonts w:ascii="Times New Roman" w:hAnsi="Times New Roman" w:cs="Times New Roman"/>
                <w:sz w:val="24"/>
                <w:szCs w:val="24"/>
              </w:rPr>
            </w:r>
          </w:p>
        </w:tc>
        <w:tc>
          <w:tcPr>
            <w:tcBorders/>
            <w:tcW w:w="2126" w:type="dxa"/>
            <w:textDirection w:val="lrTb"/>
            <w:noWrap w:val="false"/>
          </w:tcPr>
          <w:p w14:paraId="3DEEADE7"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172C8769" w14:textId="16DF3975">
            <w:pPr>
              <w:pBdr/>
              <w:spacing/>
              <w:ind/>
              <w:rPr>
                <w:rFonts w:ascii="Times New Roman" w:hAnsi="Times New Roman" w:cs="Times New Roman"/>
                <w:sz w:val="24"/>
                <w:szCs w:val="24"/>
              </w:rPr>
            </w:pPr>
            <w:r>
              <w:rPr>
                <w:rFonts w:ascii="Times New Roman" w:hAnsi="Times New Roman" w:cs="Times New Roman"/>
                <w:sz w:val="24"/>
                <w:szCs w:val="24"/>
              </w:rPr>
              <w:t xml:space="preserve">31</w:t>
            </w:r>
            <w:r>
              <w:rPr>
                <w:rFonts w:ascii="Times New Roman" w:hAnsi="Times New Roman" w:cs="Times New Roman"/>
                <w:sz w:val="24"/>
                <w:szCs w:val="24"/>
              </w:rPr>
              <w:t xml:space="preserve"> May 2027</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304B327C" w14:textId="4FBA9DBE">
            <w:pPr>
              <w:pBdr/>
              <w:spacing/>
              <w:ind/>
              <w:rPr>
                <w:rFonts w:ascii="Times New Roman" w:hAnsi="Times New Roman" w:cs="Times New Roman"/>
                <w:sz w:val="24"/>
                <w:szCs w:val="24"/>
              </w:rPr>
            </w:pPr>
            <w:r>
              <w:rPr>
                <w:rFonts w:ascii="Times New Roman" w:hAnsi="Times New Roman" w:cs="Times New Roman"/>
                <w:sz w:val="24"/>
                <w:szCs w:val="24"/>
              </w:rPr>
              <w:t xml:space="preserve">8</w:t>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4FDC8C86"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Final Report</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5B07C379" w14:textId="77777777">
            <w:pPr>
              <w:pBdr/>
              <w:spacing/>
              <w:ind/>
              <w:rPr>
                <w:rFonts w:ascii="Times New Roman" w:hAnsi="Times New Roman" w:cs="Times New Roman"/>
                <w:sz w:val="24"/>
                <w:szCs w:val="24"/>
              </w:rPr>
            </w:pPr>
            <w:r>
              <w:rPr>
                <w:rFonts w:ascii="Times New Roman" w:hAnsi="Times New Roman" w:cs="Times New Roman"/>
                <w:sz w:val="24"/>
                <w:szCs w:val="24"/>
              </w:rPr>
              <w:t xml:space="preserve">Consolidated final report with all frameworks, templates, tools, and recommendations for institutionalization</w:t>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53E2EE25" w14:textId="2B41FB8B">
            <w:pPr>
              <w:pBdr/>
              <w:spacing/>
              <w:ind/>
              <w:rPr>
                <w:rFonts w:ascii="Times New Roman" w:hAnsi="Times New Roman" w:cs="Times New Roman"/>
                <w:sz w:val="24"/>
                <w:szCs w:val="24"/>
              </w:rPr>
            </w:pPr>
            <w:r>
              <w:rPr>
                <w:rFonts w:ascii="Times New Roman" w:hAnsi="Times New Roman" w:cs="Times New Roman"/>
                <w:sz w:val="24"/>
                <w:szCs w:val="24"/>
              </w:rPr>
              <w:t xml:space="preserve">5 days </w:t>
            </w:r>
            <w:r>
              <w:rPr>
                <w:rFonts w:ascii="Times New Roman" w:hAnsi="Times New Roman" w:cs="Times New Roman"/>
                <w:sz w:val="24"/>
                <w:szCs w:val="24"/>
              </w:rPr>
            </w:r>
          </w:p>
        </w:tc>
        <w:tc>
          <w:tcPr>
            <w:tcBorders/>
            <w:tcW w:w="2126" w:type="dxa"/>
            <w:textDirection w:val="lrTb"/>
            <w:noWrap w:val="false"/>
          </w:tcPr>
          <w:p w14:paraId="0E7B27FA"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7B820A2B" w14:textId="57F8277B">
            <w:pPr>
              <w:pBdr/>
              <w:spacing/>
              <w:ind/>
              <w:rPr>
                <w:rFonts w:ascii="Times New Roman" w:hAnsi="Times New Roman" w:cs="Times New Roman"/>
                <w:sz w:val="24"/>
                <w:szCs w:val="24"/>
              </w:rPr>
            </w:pPr>
            <w:r>
              <w:rPr>
                <w:rFonts w:ascii="Times New Roman" w:hAnsi="Times New Roman" w:cs="Times New Roman"/>
                <w:sz w:val="24"/>
                <w:szCs w:val="24"/>
              </w:rPr>
              <w:t xml:space="preserve">30</w:t>
            </w:r>
            <w:r>
              <w:rPr>
                <w:rFonts w:ascii="Times New Roman" w:hAnsi="Times New Roman" w:cs="Times New Roman"/>
                <w:sz w:val="24"/>
                <w:szCs w:val="24"/>
              </w:rPr>
              <w:t xml:space="preserve"> Sept 2028</w:t>
            </w:r>
            <w:r>
              <w:rPr>
                <w:rFonts w:ascii="Times New Roman" w:hAnsi="Times New Roman" w:cs="Times New Roman"/>
                <w:sz w:val="24"/>
                <w:szCs w:val="24"/>
              </w:rPr>
            </w:r>
          </w:p>
        </w:tc>
      </w:tr>
      <w:tr>
        <w:trPr/>
        <w:tc>
          <w:tcPr>
            <w:tcBorders/>
            <w:tcMar>
              <w:left w:w="100" w:type="dxa"/>
              <w:top w:w="80" w:type="dxa"/>
              <w:right w:w="100" w:type="dxa"/>
              <w:bottom w:w="80" w:type="dxa"/>
            </w:tcMar>
            <w:tcW w:w="600" w:type="dxa"/>
            <w:vAlign w:val="center"/>
            <w:textDirection w:val="lrTb"/>
            <w:noWrap w:val="false"/>
          </w:tcPr>
          <w:p w14:paraId="6A9870A2"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cMar>
              <w:left w:w="100" w:type="dxa"/>
              <w:top w:w="80" w:type="dxa"/>
              <w:right w:w="100" w:type="dxa"/>
              <w:bottom w:w="80" w:type="dxa"/>
            </w:tcMar>
            <w:tcW w:w="2230" w:type="dxa"/>
            <w:vAlign w:val="center"/>
            <w:textDirection w:val="lrTb"/>
            <w:noWrap w:val="false"/>
          </w:tcPr>
          <w:p w14:paraId="7525E717" w14:textId="55E73C10">
            <w:pPr>
              <w:pBdr/>
              <w:spacing/>
              <w:ind/>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sz w:val="24"/>
                <w:szCs w:val="24"/>
              </w:rPr>
            </w:r>
          </w:p>
        </w:tc>
        <w:tc>
          <w:tcPr>
            <w:tcBorders/>
            <w:tcMar>
              <w:left w:w="100" w:type="dxa"/>
              <w:top w:w="80" w:type="dxa"/>
              <w:right w:w="100" w:type="dxa"/>
              <w:bottom w:w="80" w:type="dxa"/>
            </w:tcMar>
            <w:tcW w:w="3261" w:type="dxa"/>
            <w:vAlign w:val="center"/>
            <w:textDirection w:val="lrTb"/>
            <w:noWrap w:val="false"/>
          </w:tcPr>
          <w:p w14:paraId="4A1F614E"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cMar>
              <w:left w:w="100" w:type="dxa"/>
              <w:top w:w="80" w:type="dxa"/>
              <w:right w:w="100" w:type="dxa"/>
              <w:bottom w:w="80" w:type="dxa"/>
            </w:tcMar>
            <w:tcW w:w="1984" w:type="dxa"/>
            <w:vAlign w:val="center"/>
            <w:textDirection w:val="lrTb"/>
            <w:noWrap w:val="false"/>
          </w:tcPr>
          <w:p w14:paraId="30E4C23B" w14:textId="632CB287">
            <w:pPr>
              <w:pBdr/>
              <w:spacing/>
              <w:ind/>
              <w:rPr>
                <w:rFonts w:ascii="Times New Roman" w:hAnsi="Times New Roman" w:cs="Times New Roman"/>
                <w:sz w:val="24"/>
                <w:szCs w:val="24"/>
              </w:rPr>
            </w:pPr>
            <w:r>
              <w:rPr>
                <w:rFonts w:ascii="Times New Roman" w:hAnsi="Times New Roman" w:cs="Times New Roman"/>
                <w:sz w:val="24"/>
                <w:szCs w:val="24"/>
              </w:rPr>
              <w:t xml:space="preserve">80</w:t>
            </w:r>
            <w:r>
              <w:rPr>
                <w:rFonts w:ascii="Times New Roman" w:hAnsi="Times New Roman" w:cs="Times New Roman"/>
                <w:sz w:val="24"/>
                <w:szCs w:val="24"/>
              </w:rPr>
              <w:t xml:space="preserve"> days</w:t>
            </w:r>
            <w:r>
              <w:rPr>
                <w:rFonts w:ascii="Times New Roman" w:hAnsi="Times New Roman" w:cs="Times New Roman"/>
                <w:sz w:val="24"/>
                <w:szCs w:val="24"/>
              </w:rPr>
            </w:r>
          </w:p>
        </w:tc>
        <w:tc>
          <w:tcPr>
            <w:tcBorders/>
            <w:tcW w:w="2126" w:type="dxa"/>
            <w:textDirection w:val="lrTb"/>
            <w:noWrap w:val="false"/>
          </w:tcPr>
          <w:p w14:paraId="40FD7FC0"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bl>
    <w:p w14:paraId="2525A524" w14:textId="77777777">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052EEBD0" w14:textId="6472860D">
      <w:pPr>
        <w:pStyle w:val="790"/>
        <w:pBdr/>
        <w:spacing w:after="150" w:before="300"/>
        <w:ind/>
        <w:rPr>
          <w:rFonts w:ascii="Times New Roman" w:hAnsi="Times New Roman" w:cs="Times New Roman"/>
          <w:sz w:val="24"/>
          <w:szCs w:val="24"/>
        </w:rPr>
      </w:pPr>
      <w:r>
        <w:rPr>
          <w:rFonts w:ascii="Times New Roman" w:hAnsi="Times New Roman" w:cs="Times New Roman"/>
          <w:sz w:val="24"/>
          <w:szCs w:val="24"/>
        </w:rPr>
        <w:t xml:space="preserve">7. Duration of Assignment</w:t>
      </w:r>
      <w:r>
        <w:rPr>
          <w:rFonts w:ascii="Times New Roman" w:hAnsi="Times New Roman" w:cs="Times New Roman"/>
          <w:sz w:val="24"/>
          <w:szCs w:val="24"/>
        </w:rPr>
      </w:r>
    </w:p>
    <w:p w14:paraId="74194BBF" w14:textId="23403F80">
      <w:pPr>
        <w:pBdr/>
        <w:spacing w:after="140"/>
        <w:ind/>
        <w:jc w:val="both"/>
        <w:rPr>
          <w:rFonts w:ascii="Times New Roman" w:hAnsi="Times New Roman" w:cs="Times New Roman"/>
          <w:sz w:val="24"/>
          <w:szCs w:val="24"/>
        </w:rPr>
      </w:pPr>
      <w:r>
        <w:rPr>
          <w:rFonts w:ascii="Times New Roman" w:hAnsi="Times New Roman" w:cs="Times New Roman"/>
          <w:sz w:val="24"/>
          <w:szCs w:val="24"/>
        </w:rPr>
        <w:t xml:space="preserve">The assignment is ex</w:t>
      </w:r>
      <w:r>
        <w:rPr>
          <w:rFonts w:ascii="Times New Roman" w:hAnsi="Times New Roman" w:cs="Times New Roman"/>
          <w:sz w:val="24"/>
          <w:szCs w:val="24"/>
        </w:rPr>
        <w:t xml:space="preserve">pe</w:t>
      </w:r>
      <w:r>
        <w:rPr>
          <w:rFonts w:ascii="Times New Roman" w:hAnsi="Times New Roman" w:cs="Times New Roman"/>
          <w:sz w:val="24"/>
          <w:szCs w:val="24"/>
        </w:rPr>
        <w:t xml:space="preserve">cted to be completed within </w:t>
      </w:r>
      <w:r>
        <w:rPr>
          <w:rFonts w:ascii="Times New Roman" w:hAnsi="Times New Roman" w:cs="Times New Roman"/>
          <w:sz w:val="24"/>
          <w:szCs w:val="24"/>
        </w:rPr>
        <w:t xml:space="preserve">80</w:t>
      </w:r>
      <w:r>
        <w:rPr>
          <w:rFonts w:ascii="Times New Roman" w:hAnsi="Times New Roman" w:cs="Times New Roman"/>
          <w:sz w:val="24"/>
          <w:szCs w:val="24"/>
        </w:rPr>
        <w:t xml:space="preserve"> days over a period of 24 months from the date of contract signing, subject to the detailed work plan agreed in the inception report.</w:t>
      </w:r>
      <w:r>
        <w:rPr>
          <w:rFonts w:ascii="Times New Roman" w:hAnsi="Times New Roman" w:cs="Times New Roman"/>
          <w:sz w:val="24"/>
          <w:szCs w:val="24"/>
        </w:rPr>
      </w:r>
    </w:p>
    <w:p w14:paraId="097BDFA4" w14:textId="3F61D330">
      <w:pPr>
        <w:pStyle w:val="790"/>
        <w:pBdr/>
        <w:spacing w:after="150" w:before="300"/>
        <w:ind/>
        <w:rPr>
          <w:rFonts w:ascii="Times New Roman" w:hAnsi="Times New Roman" w:cs="Times New Roman"/>
          <w:sz w:val="24"/>
          <w:szCs w:val="24"/>
        </w:rPr>
      </w:pPr>
      <w:r>
        <w:rPr>
          <w:rFonts w:ascii="Times New Roman" w:hAnsi="Times New Roman" w:cs="Times New Roman"/>
          <w:sz w:val="24"/>
          <w:szCs w:val="24"/>
        </w:rPr>
        <w:t xml:space="preserve">8. Reporting Arrangements</w:t>
      </w:r>
      <w:r>
        <w:rPr>
          <w:rFonts w:ascii="Times New Roman" w:hAnsi="Times New Roman" w:cs="Times New Roman"/>
          <w:sz w:val="24"/>
          <w:szCs w:val="24"/>
        </w:rPr>
      </w:r>
    </w:p>
    <w:p w14:paraId="703F56CA" w14:textId="61F9EF8F">
      <w:pPr>
        <w:pBdr/>
        <w:spacing w:after="140"/>
        <w:ind/>
        <w:jc w:val="both"/>
        <w:rPr>
          <w:rFonts w:ascii="Times New Roman" w:hAnsi="Times New Roman" w:cs="Times New Roman"/>
          <w:sz w:val="24"/>
          <w:szCs w:val="24"/>
        </w:rPr>
      </w:pPr>
      <w:r>
        <w:rPr>
          <w:rFonts w:ascii="Times New Roman" w:hAnsi="Times New Roman" w:cs="Times New Roman"/>
          <w:sz w:val="24"/>
          <w:szCs w:val="24"/>
        </w:rPr>
        <w:t xml:space="preserve">The Consultant will report to a designated SEAL focal point / supervisor and will provide </w:t>
      </w:r>
      <w:r>
        <w:rPr>
          <w:rFonts w:ascii="Times New Roman" w:hAnsi="Times New Roman" w:cs="Times New Roman"/>
          <w:sz w:val="24"/>
          <w:szCs w:val="24"/>
        </w:rPr>
        <w:t xml:space="preserve">reports on </w:t>
      </w:r>
      <w:r>
        <w:rPr>
          <w:rFonts w:ascii="Times New Roman" w:hAnsi="Times New Roman" w:cs="Times New Roman"/>
          <w:sz w:val="24"/>
          <w:szCs w:val="24"/>
        </w:rPr>
        <w:t xml:space="preserve">progress updates at agreed intervals (at minimum, aligned with each deliverable above). All deliverables will be submitted in draft for review and comment, with a final version incorporating SEAL's feedback.</w:t>
      </w:r>
      <w:bookmarkStart w:id="1" w:name="_GoBack"/>
      <w:r/>
      <w:bookmarkEnd w:id="1"/>
      <w:r/>
      <w:r>
        <w:rPr>
          <w:rFonts w:ascii="Times New Roman" w:hAnsi="Times New Roman" w:cs="Times New Roman"/>
          <w:sz w:val="24"/>
          <w:szCs w:val="24"/>
        </w:rPr>
      </w:r>
    </w:p>
    <w:p w14:paraId="48F176C6" w14:textId="3AF3E9A1">
      <w:pPr>
        <w:pStyle w:val="790"/>
        <w:pBdr/>
        <w:spacing w:after="150" w:before="300"/>
        <w:ind/>
        <w:rPr>
          <w:rFonts w:ascii="Times New Roman" w:hAnsi="Times New Roman" w:cs="Times New Roman"/>
          <w:sz w:val="24"/>
          <w:szCs w:val="24"/>
        </w:rPr>
      </w:pPr>
      <w:r>
        <w:rPr>
          <w:rFonts w:ascii="Times New Roman" w:hAnsi="Times New Roman" w:cs="Times New Roman"/>
          <w:sz w:val="24"/>
          <w:szCs w:val="24"/>
        </w:rPr>
        <w:t xml:space="preserve">9. Consultant Qualifications and Experience</w:t>
      </w:r>
      <w:r>
        <w:rPr>
          <w:rFonts w:ascii="Times New Roman" w:hAnsi="Times New Roman" w:cs="Times New Roman"/>
          <w:sz w:val="24"/>
          <w:szCs w:val="24"/>
        </w:rPr>
      </w:r>
    </w:p>
    <w:p w14:paraId="3A56948A" w14:textId="7DBFB29C">
      <w:pPr>
        <w:pBdr/>
        <w:spacing/>
        <w:ind/>
        <w:rPr>
          <w:color w:val="0070c0"/>
        </w:rPr>
      </w:pPr>
      <w:r>
        <w:rPr>
          <w:color w:val="0070c0"/>
        </w:rPr>
        <w:t xml:space="preserve">9.1 Qualification and Experience</w:t>
      </w:r>
      <w:r>
        <w:rPr>
          <w:color w:val="0070c0"/>
        </w:rPr>
      </w:r>
    </w:p>
    <w:p w14:paraId="3CE0B282" w14:textId="2F00A848">
      <w:pPr>
        <w:pStyle w:val="958"/>
        <w:numPr>
          <w:ilvl w:val="0"/>
          <w:numId w:val="25"/>
        </w:numPr>
        <w:pBdr/>
        <w:spacing w:after="80" w:line="240" w:lineRule="auto"/>
        <w:ind/>
        <w:rPr>
          <w:rFonts w:ascii="Times New Roman" w:hAnsi="Times New Roman" w:cs="Times New Roman"/>
          <w:sz w:val="24"/>
          <w:szCs w:val="24"/>
        </w:rPr>
      </w:pPr>
      <w:r>
        <w:rPr>
          <w:rFonts w:ascii="Times New Roman" w:hAnsi="Times New Roman" w:cs="Times New Roman"/>
          <w:sz w:val="24"/>
          <w:szCs w:val="24"/>
        </w:rPr>
        <w:t xml:space="preserve">Advanced degree in finance, accounting, public administration, law, or a related field;</w:t>
      </w:r>
      <w:r>
        <w:rPr>
          <w:rFonts w:ascii="Times New Roman" w:hAnsi="Times New Roman" w:cs="Times New Roman"/>
          <w:sz w:val="24"/>
          <w:szCs w:val="24"/>
        </w:rPr>
      </w:r>
    </w:p>
    <w:p w14:paraId="5B7BE058" w14:textId="77777777">
      <w:pPr>
        <w:pStyle w:val="958"/>
        <w:numPr>
          <w:ilvl w:val="0"/>
          <w:numId w:val="25"/>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A recognized professional accounting qualification (e.g., ACCA, CPA, CFA) is an advantage, particularly for the IFRS-related components;</w:t>
      </w:r>
      <w:r>
        <w:rPr>
          <w:rFonts w:ascii="Times New Roman" w:hAnsi="Times New Roman" w:cs="Times New Roman"/>
          <w:sz w:val="24"/>
          <w:szCs w:val="24"/>
        </w:rPr>
      </w:r>
    </w:p>
    <w:p w14:paraId="3A5A6B02" w14:textId="77777777">
      <w:pPr>
        <w:pStyle w:val="958"/>
        <w:numPr>
          <w:ilvl w:val="0"/>
          <w:numId w:val="25"/>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At least 8–10 years of relevant experience in SOE governance, public financial management, or corporate governance reform, ideally including work with SOE oversight bodies;</w:t>
      </w:r>
      <w:r>
        <w:rPr>
          <w:rFonts w:ascii="Times New Roman" w:hAnsi="Times New Roman" w:cs="Times New Roman"/>
          <w:sz w:val="24"/>
          <w:szCs w:val="24"/>
        </w:rPr>
      </w:r>
    </w:p>
    <w:p w14:paraId="39C7F9CD" w14:textId="77777777">
      <w:pPr>
        <w:pStyle w:val="958"/>
        <w:numPr>
          <w:ilvl w:val="0"/>
          <w:numId w:val="25"/>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Demonstrated experience developing governance frameworks, board charters, performance contracts, or reporting standards for public sector or SOE entities;</w:t>
      </w:r>
      <w:r>
        <w:rPr>
          <w:rFonts w:ascii="Times New Roman" w:hAnsi="Times New Roman" w:cs="Times New Roman"/>
          <w:sz w:val="24"/>
          <w:szCs w:val="24"/>
        </w:rPr>
      </w:r>
    </w:p>
    <w:p w14:paraId="47C711A7" w14:textId="77777777">
      <w:pPr>
        <w:pStyle w:val="958"/>
        <w:numPr>
          <w:ilvl w:val="0"/>
          <w:numId w:val="25"/>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Working knowledge of IFRS and its application to public enterprises;</w:t>
      </w:r>
      <w:r>
        <w:rPr>
          <w:rFonts w:ascii="Times New Roman" w:hAnsi="Times New Roman" w:cs="Times New Roman"/>
          <w:sz w:val="24"/>
          <w:szCs w:val="24"/>
        </w:rPr>
      </w:r>
    </w:p>
    <w:p w14:paraId="3AFD07E3" w14:textId="77777777">
      <w:pPr>
        <w:pStyle w:val="958"/>
        <w:numPr>
          <w:ilvl w:val="0"/>
          <w:numId w:val="25"/>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Strong training and facilitation skills, with experience designing and delivering capacity-building programs;</w:t>
      </w:r>
      <w:r>
        <w:rPr>
          <w:rFonts w:ascii="Times New Roman" w:hAnsi="Times New Roman" w:cs="Times New Roman"/>
          <w:sz w:val="24"/>
          <w:szCs w:val="24"/>
        </w:rPr>
      </w:r>
    </w:p>
    <w:p w14:paraId="18246F9A" w14:textId="684FF310">
      <w:pPr>
        <w:pStyle w:val="958"/>
        <w:numPr>
          <w:ilvl w:val="0"/>
          <w:numId w:val="25"/>
        </w:numPr>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t xml:space="preserve">Excellent written and verbal communication skills in English; prior experience in Liberia or comparable regional contexts is an advantage.</w:t>
      </w:r>
      <w:r>
        <w:rPr>
          <w:rFonts w:ascii="Times New Roman" w:hAnsi="Times New Roman" w:cs="Times New Roman"/>
          <w:sz w:val="24"/>
          <w:szCs w:val="24"/>
        </w:rPr>
      </w:r>
    </w:p>
    <w:p w14:paraId="5E2C9470" w14:textId="77777777">
      <w:pPr>
        <w:pStyle w:val="958"/>
        <w:pBdr/>
        <w:spacing w:after="80" w:line="240" w:lineRule="auto"/>
        <w:ind/>
        <w:contextualSpacing w:val="false"/>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075FC3A2" w14:textId="5A44BA12">
      <w:pPr>
        <w:pStyle w:val="958"/>
        <w:numPr>
          <w:ilvl w:val="1"/>
          <w:numId w:val="26"/>
        </w:numPr>
        <w:pBdr/>
        <w:spacing w:after="144" w:before="144" w:line="240" w:lineRule="auto"/>
        <w:ind/>
        <w:jc w:val="both"/>
        <w:rPr>
          <w:rFonts w:ascii="Times New Roman" w:hAnsi="Times New Roman" w:cs="Times New Roman" w:eastAsiaTheme="majorEastAsia"/>
          <w:color w:val="0070c0"/>
          <w:sz w:val="24"/>
          <w:szCs w:val="24"/>
          <w:lang w:val="en-GB"/>
        </w:rPr>
      </w:pPr>
      <w:r>
        <w:rPr>
          <w:rFonts w:ascii="Times New Roman" w:hAnsi="Times New Roman" w:cs="Times New Roman" w:eastAsiaTheme="majorEastAsia"/>
          <w:color w:val="0070c0"/>
          <w:sz w:val="24"/>
          <w:szCs w:val="24"/>
          <w:lang w:val="en-GB"/>
        </w:rPr>
        <w:t xml:space="preserve"> Languages</w:t>
      </w:r>
      <w:r>
        <w:rPr>
          <w:rFonts w:ascii="Times New Roman" w:hAnsi="Times New Roman" w:cs="Times New Roman" w:eastAsiaTheme="majorEastAsia"/>
          <w:color w:val="0070c0"/>
          <w:sz w:val="24"/>
          <w:szCs w:val="24"/>
          <w:lang w:val="en-GB"/>
        </w:rPr>
      </w:r>
    </w:p>
    <w:p w14:paraId="7FE0C842" w14:textId="6F476E8B">
      <w:pPr>
        <w:pStyle w:val="958"/>
        <w:numPr>
          <w:ilvl w:val="0"/>
          <w:numId w:val="25"/>
        </w:numPr>
        <w:pBdr/>
        <w:spacing w:after="96" w:before="96" w:line="240" w:lineRule="auto"/>
        <w:ind/>
        <w:jc w:val="both"/>
        <w:rPr>
          <w:rFonts w:ascii="Times New Roman" w:hAnsi="Times New Roman" w:cs="Times New Roman"/>
          <w:sz w:val="24"/>
          <w:szCs w:val="24"/>
        </w:rPr>
      </w:pPr>
      <w:r>
        <w:rPr>
          <w:rFonts w:ascii="Times New Roman" w:hAnsi="Times New Roman" w:cs="Times New Roman"/>
          <w:sz w:val="24"/>
          <w:szCs w:val="24"/>
        </w:rPr>
        <w:t xml:space="preserve">Fluency in English; knowledge of French is an asset.</w:t>
      </w:r>
      <w:r>
        <w:rPr>
          <w:rFonts w:ascii="Times New Roman" w:hAnsi="Times New Roman" w:cs="Times New Roman"/>
          <w:sz w:val="24"/>
          <w:szCs w:val="24"/>
        </w:rPr>
      </w:r>
    </w:p>
    <w:p w14:paraId="2268ACE1" w14:textId="77777777">
      <w:pPr>
        <w:pStyle w:val="958"/>
        <w:pBdr/>
        <w:spacing w:after="96" w:before="96" w:line="240" w:lineRule="auto"/>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6D6F84D5" w14:textId="42101AD4">
      <w:pPr>
        <w:pBdr/>
        <w:spacing w:after="144" w:before="144" w:line="240" w:lineRule="auto"/>
        <w:ind w:left="360"/>
        <w:jc w:val="both"/>
        <w:rPr>
          <w:rFonts w:ascii="Times New Roman" w:hAnsi="Times New Roman" w:cs="Times New Roman" w:eastAsiaTheme="majorEastAsia"/>
          <w:color w:val="0070c0"/>
          <w:sz w:val="24"/>
          <w:szCs w:val="24"/>
          <w:lang w:val="en-GB"/>
        </w:rPr>
      </w:pPr>
      <w:r>
        <w:rPr>
          <w:rFonts w:ascii="Times New Roman" w:hAnsi="Times New Roman" w:cs="Times New Roman" w:eastAsiaTheme="majorEastAsia"/>
          <w:color w:val="0070c0"/>
          <w:sz w:val="24"/>
          <w:szCs w:val="24"/>
          <w:lang w:val="en-GB"/>
        </w:rPr>
        <w:t xml:space="preserve">9.3 Core Competencies</w:t>
      </w:r>
      <w:r>
        <w:rPr>
          <w:rFonts w:ascii="Times New Roman" w:hAnsi="Times New Roman" w:cs="Times New Roman" w:eastAsiaTheme="majorEastAsia"/>
          <w:color w:val="0070c0"/>
          <w:sz w:val="24"/>
          <w:szCs w:val="24"/>
          <w:lang w:val="en-GB"/>
        </w:rPr>
      </w:r>
    </w:p>
    <w:p w14:paraId="6A47DF21" w14:textId="77777777">
      <w:pPr>
        <w:pStyle w:val="958"/>
        <w:numPr>
          <w:ilvl w:val="0"/>
          <w:numId w:val="25"/>
        </w:numPr>
        <w:pBdr/>
        <w:spacing w:after="96" w:before="96" w:line="240" w:lineRule="auto"/>
        <w:ind/>
        <w:jc w:val="both"/>
        <w:rPr>
          <w:rFonts w:ascii="Times New Roman" w:hAnsi="Times New Roman" w:cs="Times New Roman"/>
          <w:sz w:val="24"/>
          <w:szCs w:val="24"/>
        </w:rPr>
      </w:pPr>
      <w:r>
        <w:rPr>
          <w:rFonts w:ascii="Times New Roman" w:hAnsi="Times New Roman" w:cs="Times New Roman"/>
          <w:sz w:val="24"/>
          <w:szCs w:val="24"/>
        </w:rPr>
        <w:t xml:space="preserve">Strong analytical and facilitation skills, results orientation, teamwork, stakeholder engagement, adaptability, and commitment to knowledge sharing. Excellent drafting and communication skills in English.</w:t>
      </w:r>
      <w:r>
        <w:rPr>
          <w:rFonts w:ascii="Times New Roman" w:hAnsi="Times New Roman" w:cs="Times New Roman"/>
          <w:sz w:val="24"/>
          <w:szCs w:val="24"/>
        </w:rPr>
      </w:r>
    </w:p>
    <w:p w14:paraId="1FC456E3">
      <w:pPr>
        <w:pBdr/>
        <w:spacing w:after="80" w:line="240" w:lineRule="auto"/>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2F7AC902" w14:textId="77777777">
      <w:pPr>
        <w:pBdr/>
        <w:spacing w:after="80" w:line="240" w:lineRule="auto"/>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14:paraId="52646867" w14:textId="77777777">
      <w:pPr>
        <w:pBdr/>
        <w:spacing w:after="140"/>
        <w:ind/>
        <w:jc w:val="both"/>
        <w:rPr>
          <w:b/>
          <w:bCs/>
        </w:rPr>
      </w:pPr>
      <w:r>
        <w:rPr>
          <w:b/>
          <w:bCs/>
          <w:sz w:val="21"/>
          <w:szCs w:val="21"/>
        </w:rPr>
        <w:t xml:space="preserve">Candidates interested in this opportunity are invited to submit their CV, cover letter, technical and financial proposals including the proposed methodology and actions, and complete the candidature form.  </w:t>
      </w:r>
      <w:r>
        <w:rPr>
          <w:b/>
          <w:bCs/>
        </w:rPr>
      </w:r>
    </w:p>
    <w:p w14:paraId="0EE139D4" w14:textId="77777777">
      <w:pPr>
        <w:pBdr/>
        <w:spacing w:after="140"/>
        <w:ind/>
        <w:jc w:val="both"/>
        <w:rPr/>
      </w:pPr>
      <w:r/>
      <w:r/>
    </w:p>
    <w:p w14:paraId="667C4075" w14:textId="77777777">
      <w:pPr>
        <w:pBdr/>
        <w:spacing w:after="140"/>
        <w:ind/>
        <w:jc w:val="both"/>
        <w:rPr>
          <w:bCs/>
          <w:i/>
        </w:rPr>
      </w:pPr>
      <w:r>
        <w:rPr>
          <w:i/>
          <w:iCs/>
          <w:sz w:val="21"/>
          <w:szCs w:val="21"/>
        </w:rPr>
        <w:t xml:space="preserve">Expertise France respects equal opportunities and strongly encourages applications from women.</w:t>
      </w:r>
      <w:r>
        <w:rPr>
          <w:bCs/>
          <w:i/>
        </w:rPr>
      </w:r>
    </w:p>
    <w:p w14:paraId="51929994" w14:textId="77777777">
      <w:pPr>
        <w:pBdr/>
        <w:spacing w:after="80" w:line="240" w:lineRule="auto"/>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sectPr>
      <w:headerReference w:type="default" r:id="rId9"/>
      <w:footnotePr/>
      <w:endnotePr/>
      <w:type w:val="nextPage"/>
      <w:pgSz w:h="15840" w:orient="portrait" w:w="12240"/>
      <w:pgMar w:top="1440" w:right="1800" w:bottom="1440" w:left="180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3612B3" w14:textId="77777777">
      <w:pPr>
        <w:pBdr/>
        <w:spacing w:after="0" w:line="240" w:lineRule="auto"/>
        <w:ind/>
        <w:rPr/>
      </w:pPr>
      <w:r>
        <w:separator/>
      </w:r>
      <w:r/>
    </w:p>
  </w:endnote>
  <w:endnote w:type="continuationSeparator" w:id="0">
    <w:p w14:paraId="1F9834E5"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SimSun">
    <w:panose1 w:val="02020603020101020101"/>
  </w:font>
  <w:font w:name="Cambria">
    <w:panose1 w:val="02040503050406030204"/>
  </w:font>
  <w:font w:name="Calibri">
    <w:panose1 w:val="020F0502020204030204"/>
  </w:font>
  <w:font w:name="Wingdings">
    <w:panose1 w:val="05000000000000000000"/>
  </w:font>
  <w:font w:name="Courier New">
    <w:panose1 w:val="02070309020205020404"/>
  </w:font>
  <w:font w:name="Symbol">
    <w:panose1 w:val="05010000000000000000"/>
  </w:font>
  <w:font w:name="Segoe UI">
    <w:panose1 w:val="020B0502040504020204"/>
  </w:font>
  <w:font w:name="Courier">
    <w:panose1 w:val="020703090202050204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411349DF" w14:textId="77777777">
      <w:pPr>
        <w:pBdr/>
        <w:spacing w:after="0" w:line="240" w:lineRule="auto"/>
        <w:ind/>
        <w:rPr/>
      </w:pPr>
      <w:r>
        <w:separator/>
      </w:r>
      <w:r/>
    </w:p>
  </w:footnote>
  <w:footnote w:type="continuationSeparator" w:id="0">
    <w:p w14:paraId="23AAB28D"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678BD6A" w14:textId="77777777">
    <w:pPr>
      <w:pStyle w:val="946"/>
      <w:pBdr/>
      <w:spacing/>
      <w:ind/>
      <w:rPr/>
    </w:pPr>
    <w:r>
      <mc:AlternateContent>
        <mc:Choice Requires="wpg">
          <w:drawing>
            <wp:inline xmlns:wp="http://schemas.openxmlformats.org/drawingml/2006/wordprocessingDrawing" distT="0" distB="0" distL="0" distR="0">
              <wp:extent cx="1544025" cy="7904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53014" name=""/>
                      <pic:cNvPicPr>
                        <a:picLocks noChangeAspect="1"/>
                      </pic:cNvPicPr>
                      <pic:nvPr/>
                    </pic:nvPicPr>
                    <pic:blipFill rotWithShape="1">
                      <a:blip r:embed="rId1"/>
                      <a:stretch/>
                    </pic:blipFill>
                    <pic:spPr bwMode="auto">
                      <a:xfrm>
                        <a:off x="0" y="0"/>
                        <a:ext cx="1544024" cy="7904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21.58pt;height:62.24pt;mso-wrap-distance-left:0.00pt;mso-wrap-distance-top:0.00pt;mso-wrap-distance-right:0.00pt;mso-wrap-distance-bottom:0.00pt;z-index:1;" stroked="false">
              <v:imagedata r:id="rId1" o:title=""/>
              <o:lock v:ext="edit" rotation="t"/>
            </v:shape>
          </w:pict>
        </mc:Fallback>
      </mc:AlternateContent>
    </w:r>
    <w:r/>
  </w:p>
  <w:p w14:paraId="486E5D91" w14:textId="77777777">
    <w:pPr>
      <w:pStyle w:val="946"/>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73"/>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72"/>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70"/>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69"/>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71"/>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68"/>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nsid w:val="041D7FC4"/>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07CE29D0"/>
    <w:lvl w:ilvl="0">
      <w:isLgl w:val="false"/>
      <w:lvlJc w:val="right"/>
      <w:lvlText w:val="%1."/>
      <w:numFmt w:val="upperRoman"/>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0E7B4091"/>
    <w:lvl w:ilvl="0">
      <w:isLgl w:val="false"/>
      <w:lvlJc w:val="left"/>
      <w:lvlText w:val="•"/>
      <w:numFmt w:val="bullet"/>
      <w:pPr>
        <w:pBdr/>
        <w:spacing/>
        <w:ind w:hanging="260" w:left="460"/>
      </w:pPr>
      <w:rPr/>
      <w:start w:val="1"/>
      <w:suff w:val="tab"/>
    </w:lvl>
    <w:lvl w:ilvl="1">
      <w:isLgl w:val="false"/>
      <w:lvlJc w:val="left"/>
      <w:lvlText w:val="○"/>
      <w:numFmt w:val="bullet"/>
      <w:pPr>
        <w:pBdr/>
        <w:spacing/>
        <w:ind w:hanging="260" w:left="920"/>
      </w:pPr>
      <w:rPr/>
      <w:start w:val="1"/>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12">
    <w:nsid w:val="132C3CA6"/>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19A324FB"/>
    <w:lvl w:ilvl="0">
      <w:isLgl w:val="false"/>
      <w:lvlJc w:val="left"/>
      <w:lvlText w:val="%1"/>
      <w:numFmt w:val="decimal"/>
      <w:pPr>
        <w:pBdr/>
        <w:spacing/>
        <w:ind w:hanging="360" w:left="360"/>
      </w:pPr>
      <w:rPr>
        <w:rFonts w:hint="default"/>
      </w:rPr>
      <w:start w:val="9"/>
      <w:suff w:val="tab"/>
    </w:lvl>
    <w:lvl w:ilvl="1">
      <w:isLgl w:val="false"/>
      <w:lvlJc w:val="left"/>
      <w:lvlText w:val="%1.%2"/>
      <w:numFmt w:val="decimal"/>
      <w:pPr>
        <w:pBdr/>
        <w:spacing/>
        <w:ind w:hanging="360" w:left="720"/>
      </w:pPr>
      <w:rPr>
        <w:rFonts w:hint="default"/>
      </w:rPr>
      <w:start w:val="2"/>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440" w:left="4320"/>
      </w:pPr>
      <w:rPr>
        <w:rFonts w:hint="default"/>
      </w:rPr>
      <w:start w:val="1"/>
      <w:suff w:val="tab"/>
    </w:lvl>
  </w:abstractNum>
  <w:abstractNum w:abstractNumId="14">
    <w:nsid w:val="227D45A1"/>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5">
    <w:nsid w:val="2ADE3B1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6">
    <w:nsid w:val="31A833FA"/>
    <w:lvl w:ilvl="0">
      <w:isLgl w:val="false"/>
      <w:lvlJc w:val="left"/>
      <w:lvlText w:val=""/>
      <w:numFmt w:val="bullet"/>
      <w:pPr>
        <w:pBdr/>
        <w:spacing/>
        <w:ind w:hanging="360" w:left="360"/>
      </w:pPr>
      <w:rPr>
        <w:rFonts w:hint="default" w:ascii="Symbol" w:hAnsi="Symbol"/>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17">
    <w:nsid w:val="37E175A8"/>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3851445D"/>
    <w:lvl w:ilvl="0">
      <w:isLgl w:val="false"/>
      <w:lvlJc w:val="left"/>
      <w:lvlText w:val=""/>
      <w:numFmt w:val="bullet"/>
      <w:pPr>
        <w:pBdr/>
        <w:spacing/>
        <w:ind w:hanging="360" w:left="720"/>
      </w:pPr>
      <w:rPr>
        <w:rFonts w:hint="default" w:ascii="Wingdings" w:hAnsi="Wingdings"/>
        <w:sz w:val="20"/>
        <w:szCs w:val="20"/>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9">
    <w:nsid w:val="3E4A6F2F"/>
    <w:lvl w:ilvl="0">
      <w:isLgl w:val="false"/>
      <w:lvlJc w:val="left"/>
      <w:lvlText w:val="-"/>
      <w:numFmt w:val="bullet"/>
      <w:pPr>
        <w:pBdr/>
        <w:spacing/>
        <w:ind w:hanging="360" w:left="720"/>
      </w:pPr>
      <w:rPr>
        <w:rFonts w:hint="default" w:ascii="Cambria" w:hAnsi="Cambria" w:eastAsiaTheme="minorEastAsia" w:cstheme="minorBidi"/>
      </w:rPr>
      <w:start w:val="2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4113495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47B06CB2"/>
    <w:lvl w:ilvl="0">
      <w:isLgl w:val="false"/>
      <w:lvlJc w:val="left"/>
      <w:lvlText w:val="%1."/>
      <w:numFmt w:val="decimal"/>
      <w:pPr>
        <w:pBdr/>
        <w:spacing/>
        <w:ind w:hanging="360" w:left="360"/>
      </w:pPr>
      <w:rPr>
        <w:rFonts w:hint="default"/>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22">
    <w:nsid w:val="4E526327"/>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4E96080E"/>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B2E3AA1"/>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5DF95302"/>
    <w:lvl w:ilvl="0">
      <w:isLgl w:val="false"/>
      <w:lvlJc w:val="left"/>
      <w:lvlText w:val="-"/>
      <w:numFmt w:val="bullet"/>
      <w:pPr>
        <w:pBdr/>
        <w:spacing/>
        <w:ind w:hanging="360" w:left="720"/>
      </w:pPr>
      <w:rPr>
        <w:rFonts w:hint="default" w:ascii="Cambria" w:hAnsi="Cambria" w:eastAsiaTheme="minorEastAsia" w:cstheme="minorBidi"/>
      </w:rPr>
      <w:start w:val="2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41708F3"/>
    <w:lvl w:ilvl="0">
      <w:isLgl w:val="false"/>
      <w:lvlJc w:val="left"/>
      <w:lvlText w:val="-"/>
      <w:numFmt w:val="bullet"/>
      <w:pPr>
        <w:pBdr/>
        <w:spacing/>
        <w:ind w:hanging="360" w:left="1440"/>
      </w:pPr>
      <w:rPr>
        <w:rFonts w:hint="default" w:ascii="Calibri" w:hAnsi="Calibri" w:eastAsia="SimSun" w:cs="SimSun"/>
      </w:rPr>
      <w:start w:val="16"/>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7">
    <w:nsid w:val="72DC2117"/>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73FA0CC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7"/>
  </w:num>
  <w:num w:numId="12">
    <w:abstractNumId w:val="10"/>
  </w:num>
  <w:num w:numId="13">
    <w:abstractNumId w:val="23"/>
  </w:num>
  <w:num w:numId="14">
    <w:abstractNumId w:val="14"/>
  </w:num>
  <w:num w:numId="15">
    <w:abstractNumId w:val="18"/>
  </w:num>
  <w:num w:numId="16">
    <w:abstractNumId w:val="28"/>
  </w:num>
  <w:num w:numId="17">
    <w:abstractNumId w:val="19"/>
  </w:num>
  <w:num w:numId="18">
    <w:abstractNumId w:val="15"/>
  </w:num>
  <w:num w:numId="19">
    <w:abstractNumId w:val="25"/>
  </w:num>
  <w:num w:numId="20">
    <w:abstractNumId w:val="20"/>
  </w:num>
  <w:num w:numId="21">
    <w:abstractNumId w:val="26"/>
  </w:num>
  <w:num w:numId="22">
    <w:abstractNumId w:val="11"/>
    <w:lvlOverride w:ilvl="0">
      <w:startOverride w:val="1"/>
    </w:lvlOverride>
  </w:num>
  <w:num w:numId="23">
    <w:abstractNumId w:val="21"/>
  </w:num>
  <w:num w:numId="24">
    <w:abstractNumId w:val="27"/>
  </w:num>
  <w:num w:numId="25">
    <w:abstractNumId w:val="12"/>
  </w:num>
  <w:num w:numId="26">
    <w:abstractNumId w:val="13"/>
  </w:num>
  <w:num w:numId="27">
    <w:abstractNumId w:val="22"/>
  </w:num>
  <w:num w:numId="28">
    <w:abstractNumId w:val="24"/>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6 Colorful - Accent 1"/>
    <w:basedOn w:val="80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2">
    <w:name w:val="Grid Table 7 Colorful - Accent 1"/>
    <w:basedOn w:val="80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
    <w:name w:val="List Table 5 Dark - Accent 1"/>
    <w:basedOn w:val="80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4">
    <w:name w:val="List Table 6 Colorful - Accent 1"/>
    <w:basedOn w:val="80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7 Colorful - Accent 1"/>
    <w:basedOn w:val="80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0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0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0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0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0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789" w:default="1">
    <w:name w:val="Normal"/>
    <w:qFormat/>
    <w:pPr>
      <w:pBdr/>
      <w:spacing/>
      <w:ind/>
    </w:pPr>
  </w:style>
  <w:style w:type="paragraph" w:styleId="790">
    <w:name w:val="Heading 1"/>
    <w:basedOn w:val="789"/>
    <w:next w:val="789"/>
    <w:link w:val="951"/>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791">
    <w:name w:val="Heading 2"/>
    <w:basedOn w:val="789"/>
    <w:next w:val="789"/>
    <w:link w:val="952"/>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792">
    <w:name w:val="Heading 3"/>
    <w:basedOn w:val="789"/>
    <w:next w:val="789"/>
    <w:link w:val="953"/>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793">
    <w:name w:val="Heading 4"/>
    <w:basedOn w:val="789"/>
    <w:next w:val="789"/>
    <w:link w:val="981"/>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794">
    <w:name w:val="Heading 5"/>
    <w:basedOn w:val="789"/>
    <w:next w:val="789"/>
    <w:link w:val="982"/>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795">
    <w:name w:val="Heading 6"/>
    <w:basedOn w:val="789"/>
    <w:next w:val="789"/>
    <w:link w:val="983"/>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796">
    <w:name w:val="Heading 7"/>
    <w:basedOn w:val="789"/>
    <w:next w:val="789"/>
    <w:link w:val="984"/>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797">
    <w:name w:val="Heading 8"/>
    <w:basedOn w:val="789"/>
    <w:next w:val="789"/>
    <w:link w:val="985"/>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798">
    <w:name w:val="Heading 9"/>
    <w:basedOn w:val="789"/>
    <w:next w:val="789"/>
    <w:link w:val="986"/>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799" w:default="1">
    <w:name w:val="Default Paragraph Font"/>
    <w:uiPriority w:val="1"/>
    <w:semiHidden/>
    <w:unhideWhenUsed/>
    <w:pPr>
      <w:pBdr/>
      <w:spacing/>
      <w:ind/>
    </w:pPr>
  </w:style>
  <w:style w:type="table" w:styleId="80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1" w:default="1">
    <w:name w:val="No List"/>
    <w:uiPriority w:val="99"/>
    <w:semiHidden/>
    <w:unhideWhenUsed/>
    <w:pPr>
      <w:pBdr/>
      <w:spacing/>
      <w:ind/>
    </w:pPr>
  </w:style>
  <w:style w:type="table" w:styleId="802">
    <w:name w:val="Grid Table Light"/>
    <w:basedOn w:val="800"/>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Plain Table 1"/>
    <w:basedOn w:val="800"/>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Plain Table 2"/>
    <w:basedOn w:val="800"/>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Plain Table 3"/>
    <w:basedOn w:val="80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4"/>
    <w:basedOn w:val="80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5"/>
    <w:basedOn w:val="80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1 Light"/>
    <w:basedOn w:val="800"/>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1 Light Accent 1"/>
    <w:basedOn w:val="800"/>
    <w:uiPriority w:val="46"/>
    <w:pPr>
      <w:pBdr/>
      <w:spacing w:after="0" w:line="240" w:lineRule="auto"/>
      <w:ind/>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bottom w:val="single" w:color="95b3d7" w:themeColor="accent1" w:themeTint="99" w:sz="12"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5b3d7" w:themeColor="accent1" w:themeTint="99" w:sz="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1 Light Accent 2"/>
    <w:basedOn w:val="800"/>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Accent 3"/>
    <w:basedOn w:val="800"/>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Accent 4"/>
    <w:basedOn w:val="800"/>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Accent 5"/>
    <w:basedOn w:val="800"/>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Accent 6"/>
    <w:basedOn w:val="800"/>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2"/>
    <w:basedOn w:val="800"/>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2 Accent 1"/>
    <w:basedOn w:val="800"/>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2 Accent 2"/>
    <w:basedOn w:val="800"/>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Accent 3"/>
    <w:basedOn w:val="800"/>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Accent 4"/>
    <w:basedOn w:val="800"/>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Accent 5"/>
    <w:basedOn w:val="800"/>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Accent 6"/>
    <w:basedOn w:val="800"/>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3"/>
    <w:basedOn w:val="800"/>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3 Accent 1"/>
    <w:basedOn w:val="800"/>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3 Accent 2"/>
    <w:basedOn w:val="800"/>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Accent 3"/>
    <w:basedOn w:val="800"/>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Accent 4"/>
    <w:basedOn w:val="800"/>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Accent 5"/>
    <w:basedOn w:val="800"/>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Accent 6"/>
    <w:basedOn w:val="800"/>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4"/>
    <w:basedOn w:val="800"/>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4 Accent 1"/>
    <w:basedOn w:val="800"/>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4 Accent 2"/>
    <w:basedOn w:val="800"/>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Accent 3"/>
    <w:basedOn w:val="800"/>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Accent 4"/>
    <w:basedOn w:val="800"/>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Accent 5"/>
    <w:basedOn w:val="800"/>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Accent 6"/>
    <w:basedOn w:val="800"/>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5 Dark"/>
    <w:basedOn w:val="80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5 Dark- Accent 1"/>
    <w:basedOn w:val="80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5 Dark Accent 2"/>
    <w:basedOn w:val="80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Accent 3"/>
    <w:basedOn w:val="80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5 Dark- Accent 4"/>
    <w:basedOn w:val="80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Accent 5"/>
    <w:basedOn w:val="80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6"/>
    <w:basedOn w:val="80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6 Colorful"/>
    <w:basedOn w:val="800"/>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6 Colorful Accent 1"/>
    <w:basedOn w:val="800"/>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6 Colorful Accent 2"/>
    <w:basedOn w:val="800"/>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Accent 3"/>
    <w:basedOn w:val="800"/>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6 Colorful Accent 4"/>
    <w:basedOn w:val="800"/>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Accent 5"/>
    <w:basedOn w:val="800"/>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6 Colorful Accent 6"/>
    <w:basedOn w:val="800"/>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7 Colorful"/>
    <w:basedOn w:val="800"/>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7 Colorful Accent 1"/>
    <w:basedOn w:val="800"/>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7 Colorful Accent 2"/>
    <w:basedOn w:val="800"/>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7 Colorful Accent 3"/>
    <w:basedOn w:val="800"/>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Accent 4"/>
    <w:basedOn w:val="800"/>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Accent 5"/>
    <w:basedOn w:val="800"/>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Accent 6"/>
    <w:basedOn w:val="800"/>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1 Light"/>
    <w:basedOn w:val="80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1 Light Accent 1"/>
    <w:basedOn w:val="80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1 Light Accent 2"/>
    <w:basedOn w:val="80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Accent 3"/>
    <w:basedOn w:val="80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Accent 4"/>
    <w:basedOn w:val="80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Accent 5"/>
    <w:basedOn w:val="80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Accent 6"/>
    <w:basedOn w:val="80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2"/>
    <w:basedOn w:val="800"/>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2 Accent 1"/>
    <w:basedOn w:val="800"/>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2 Accent 2"/>
    <w:basedOn w:val="800"/>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Accent 3"/>
    <w:basedOn w:val="800"/>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Accent 4"/>
    <w:basedOn w:val="800"/>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Accent 5"/>
    <w:basedOn w:val="800"/>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Accent 6"/>
    <w:basedOn w:val="800"/>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3"/>
    <w:basedOn w:val="800"/>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3 Accent 1"/>
    <w:basedOn w:val="800"/>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3 Accent 2"/>
    <w:basedOn w:val="800"/>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Accent 3"/>
    <w:basedOn w:val="800"/>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Accent 4"/>
    <w:basedOn w:val="800"/>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Accent 5"/>
    <w:basedOn w:val="800"/>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Accent 6"/>
    <w:basedOn w:val="800"/>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4"/>
    <w:basedOn w:val="800"/>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4 Accent 1"/>
    <w:basedOn w:val="800"/>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4 Accent 2"/>
    <w:basedOn w:val="800"/>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Accent 3"/>
    <w:basedOn w:val="800"/>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Accent 4"/>
    <w:basedOn w:val="800"/>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Accent 5"/>
    <w:basedOn w:val="800"/>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Accent 6"/>
    <w:basedOn w:val="800"/>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5 Dark"/>
    <w:basedOn w:val="800"/>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5 Dark Accent 1"/>
    <w:basedOn w:val="800"/>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5 Dark Accent 2"/>
    <w:basedOn w:val="800"/>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Accent 3"/>
    <w:basedOn w:val="800"/>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5 Dark Accent 4"/>
    <w:basedOn w:val="800"/>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Accent 5"/>
    <w:basedOn w:val="800"/>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5 Dark Accent 6"/>
    <w:basedOn w:val="800"/>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6 Colorful"/>
    <w:basedOn w:val="800"/>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6 Colorful Accent 1"/>
    <w:basedOn w:val="800"/>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6 Colorful Accent 2"/>
    <w:basedOn w:val="800"/>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6 Colorful Accent 3"/>
    <w:basedOn w:val="800"/>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Accent 4"/>
    <w:basedOn w:val="800"/>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Accent 5"/>
    <w:basedOn w:val="800"/>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Accent 6"/>
    <w:basedOn w:val="800"/>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7 Colorful"/>
    <w:basedOn w:val="800"/>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7 Colorful Accent 1"/>
    <w:basedOn w:val="800"/>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7 Colorful Accent 2"/>
    <w:basedOn w:val="800"/>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Accent 3"/>
    <w:basedOn w:val="800"/>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7 Colorful Accent 4"/>
    <w:basedOn w:val="800"/>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Accent 5"/>
    <w:basedOn w:val="800"/>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7 Colorful Accent 6"/>
    <w:basedOn w:val="800"/>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Lined - Accent"/>
    <w:basedOn w:val="80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ned - Accent 1"/>
    <w:basedOn w:val="80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ned - Accent 2"/>
    <w:basedOn w:val="80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ned - Accent 3"/>
    <w:basedOn w:val="80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ned - Accent 4"/>
    <w:basedOn w:val="80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ned - Accent 5"/>
    <w:basedOn w:val="80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ned - Accent 6"/>
    <w:basedOn w:val="80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Bordered &amp; Lined - Accent"/>
    <w:basedOn w:val="800"/>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Bordered &amp; Lined - Accent 1"/>
    <w:basedOn w:val="800"/>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Bordered &amp; Lined - Accent 2"/>
    <w:basedOn w:val="800"/>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Bordered &amp; Lined - Accent 3"/>
    <w:basedOn w:val="800"/>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Bordered &amp; Lined - Accent 4"/>
    <w:basedOn w:val="800"/>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Bordered &amp; Lined - Accent 5"/>
    <w:basedOn w:val="800"/>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Bordered &amp; Lined - Accent 6"/>
    <w:basedOn w:val="800"/>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Bordered"/>
    <w:basedOn w:val="800"/>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Bordered - Accent 1"/>
    <w:basedOn w:val="800"/>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Bordered - Accent 2"/>
    <w:basedOn w:val="800"/>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Bordered - Accent 3"/>
    <w:basedOn w:val="800"/>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Bordered - Accent 4"/>
    <w:basedOn w:val="800"/>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Bordered - Accent 5"/>
    <w:basedOn w:val="800"/>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Bordered - Accent 6"/>
    <w:basedOn w:val="800"/>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7">
    <w:name w:val="footnote text"/>
    <w:basedOn w:val="789"/>
    <w:link w:val="928"/>
    <w:uiPriority w:val="99"/>
    <w:semiHidden/>
    <w:unhideWhenUsed/>
    <w:pPr>
      <w:pBdr/>
      <w:spacing w:after="0" w:line="240" w:lineRule="auto"/>
      <w:ind/>
    </w:pPr>
    <w:rPr>
      <w:sz w:val="20"/>
      <w:szCs w:val="20"/>
    </w:rPr>
  </w:style>
  <w:style w:type="character" w:styleId="928" w:customStyle="1">
    <w:name w:val="Footnote Text Char"/>
    <w:basedOn w:val="799"/>
    <w:link w:val="927"/>
    <w:uiPriority w:val="99"/>
    <w:semiHidden/>
    <w:pPr>
      <w:pBdr/>
      <w:spacing/>
      <w:ind/>
    </w:pPr>
    <w:rPr>
      <w:sz w:val="20"/>
      <w:szCs w:val="20"/>
    </w:rPr>
  </w:style>
  <w:style w:type="character" w:styleId="929">
    <w:name w:val="footnote reference"/>
    <w:basedOn w:val="799"/>
    <w:uiPriority w:val="99"/>
    <w:semiHidden/>
    <w:unhideWhenUsed/>
    <w:pPr>
      <w:pBdr/>
      <w:spacing/>
      <w:ind/>
    </w:pPr>
    <w:rPr>
      <w:vertAlign w:val="superscript"/>
    </w:rPr>
  </w:style>
  <w:style w:type="paragraph" w:styleId="930">
    <w:name w:val="endnote text"/>
    <w:basedOn w:val="789"/>
    <w:link w:val="931"/>
    <w:uiPriority w:val="99"/>
    <w:semiHidden/>
    <w:unhideWhenUsed/>
    <w:pPr>
      <w:pBdr/>
      <w:spacing w:after="0" w:line="240" w:lineRule="auto"/>
      <w:ind/>
    </w:pPr>
    <w:rPr>
      <w:sz w:val="20"/>
      <w:szCs w:val="20"/>
    </w:rPr>
  </w:style>
  <w:style w:type="character" w:styleId="931" w:customStyle="1">
    <w:name w:val="Endnote Text Char"/>
    <w:basedOn w:val="799"/>
    <w:link w:val="930"/>
    <w:uiPriority w:val="99"/>
    <w:semiHidden/>
    <w:pPr>
      <w:pBdr/>
      <w:spacing/>
      <w:ind/>
    </w:pPr>
    <w:rPr>
      <w:sz w:val="20"/>
      <w:szCs w:val="20"/>
    </w:rPr>
  </w:style>
  <w:style w:type="character" w:styleId="932">
    <w:name w:val="endnote reference"/>
    <w:basedOn w:val="799"/>
    <w:uiPriority w:val="99"/>
    <w:semiHidden/>
    <w:unhideWhenUsed/>
    <w:pPr>
      <w:pBdr/>
      <w:spacing/>
      <w:ind/>
    </w:pPr>
    <w:rPr>
      <w:vertAlign w:val="superscript"/>
    </w:rPr>
  </w:style>
  <w:style w:type="character" w:styleId="933">
    <w:name w:val="Hyperlink"/>
    <w:basedOn w:val="799"/>
    <w:uiPriority w:val="99"/>
    <w:unhideWhenUsed/>
    <w:pPr>
      <w:pBdr/>
      <w:spacing/>
      <w:ind/>
    </w:pPr>
    <w:rPr>
      <w:color w:val="0000ff" w:themeColor="hyperlink"/>
      <w:u w:val="single"/>
    </w:rPr>
  </w:style>
  <w:style w:type="character" w:styleId="934">
    <w:name w:val="FollowedHyperlink"/>
    <w:basedOn w:val="799"/>
    <w:uiPriority w:val="99"/>
    <w:semiHidden/>
    <w:unhideWhenUsed/>
    <w:pPr>
      <w:pBdr/>
      <w:spacing/>
      <w:ind/>
    </w:pPr>
    <w:rPr>
      <w:color w:val="800080" w:themeColor="followedHyperlink"/>
      <w:u w:val="single"/>
    </w:rPr>
  </w:style>
  <w:style w:type="paragraph" w:styleId="935">
    <w:name w:val="toc 1"/>
    <w:basedOn w:val="789"/>
    <w:next w:val="789"/>
    <w:uiPriority w:val="39"/>
    <w:unhideWhenUsed/>
    <w:pPr>
      <w:pBdr/>
      <w:spacing w:after="100"/>
      <w:ind/>
    </w:pPr>
  </w:style>
  <w:style w:type="paragraph" w:styleId="936">
    <w:name w:val="toc 2"/>
    <w:basedOn w:val="789"/>
    <w:next w:val="789"/>
    <w:uiPriority w:val="39"/>
    <w:unhideWhenUsed/>
    <w:pPr>
      <w:pBdr/>
      <w:spacing w:after="100"/>
      <w:ind w:left="220"/>
    </w:pPr>
  </w:style>
  <w:style w:type="paragraph" w:styleId="937">
    <w:name w:val="toc 3"/>
    <w:basedOn w:val="789"/>
    <w:next w:val="789"/>
    <w:uiPriority w:val="39"/>
    <w:unhideWhenUsed/>
    <w:pPr>
      <w:pBdr/>
      <w:spacing w:after="100"/>
      <w:ind w:left="440"/>
    </w:pPr>
  </w:style>
  <w:style w:type="paragraph" w:styleId="938">
    <w:name w:val="toc 4"/>
    <w:basedOn w:val="789"/>
    <w:next w:val="789"/>
    <w:uiPriority w:val="39"/>
    <w:unhideWhenUsed/>
    <w:pPr>
      <w:pBdr/>
      <w:spacing w:after="100"/>
      <w:ind w:left="660"/>
    </w:pPr>
  </w:style>
  <w:style w:type="paragraph" w:styleId="939">
    <w:name w:val="toc 5"/>
    <w:basedOn w:val="789"/>
    <w:next w:val="789"/>
    <w:uiPriority w:val="39"/>
    <w:unhideWhenUsed/>
    <w:pPr>
      <w:pBdr/>
      <w:spacing w:after="100"/>
      <w:ind w:left="880"/>
    </w:pPr>
  </w:style>
  <w:style w:type="paragraph" w:styleId="940">
    <w:name w:val="toc 6"/>
    <w:basedOn w:val="789"/>
    <w:next w:val="789"/>
    <w:uiPriority w:val="39"/>
    <w:unhideWhenUsed/>
    <w:pPr>
      <w:pBdr/>
      <w:spacing w:after="100"/>
      <w:ind w:left="1100"/>
    </w:pPr>
  </w:style>
  <w:style w:type="paragraph" w:styleId="941">
    <w:name w:val="toc 7"/>
    <w:basedOn w:val="789"/>
    <w:next w:val="789"/>
    <w:uiPriority w:val="39"/>
    <w:unhideWhenUsed/>
    <w:pPr>
      <w:pBdr/>
      <w:spacing w:after="100"/>
      <w:ind w:left="1320"/>
    </w:pPr>
  </w:style>
  <w:style w:type="paragraph" w:styleId="942">
    <w:name w:val="toc 8"/>
    <w:basedOn w:val="789"/>
    <w:next w:val="789"/>
    <w:uiPriority w:val="39"/>
    <w:unhideWhenUsed/>
    <w:pPr>
      <w:pBdr/>
      <w:spacing w:after="100"/>
      <w:ind w:left="1540"/>
    </w:pPr>
  </w:style>
  <w:style w:type="paragraph" w:styleId="943">
    <w:name w:val="toc 9"/>
    <w:basedOn w:val="789"/>
    <w:next w:val="789"/>
    <w:uiPriority w:val="39"/>
    <w:unhideWhenUsed/>
    <w:pPr>
      <w:pBdr/>
      <w:spacing w:after="100"/>
      <w:ind w:left="1760"/>
    </w:pPr>
  </w:style>
  <w:style w:type="character" w:styleId="944">
    <w:name w:val="Placeholder Text"/>
    <w:basedOn w:val="799"/>
    <w:uiPriority w:val="99"/>
    <w:semiHidden/>
    <w:pPr>
      <w:pBdr/>
      <w:spacing/>
      <w:ind/>
    </w:pPr>
    <w:rPr>
      <w:color w:val="666666"/>
    </w:rPr>
  </w:style>
  <w:style w:type="paragraph" w:styleId="945">
    <w:name w:val="table of figures"/>
    <w:basedOn w:val="789"/>
    <w:next w:val="789"/>
    <w:uiPriority w:val="99"/>
    <w:unhideWhenUsed/>
    <w:pPr>
      <w:pBdr/>
      <w:spacing w:after="0"/>
      <w:ind/>
    </w:pPr>
  </w:style>
  <w:style w:type="paragraph" w:styleId="946">
    <w:name w:val="Header"/>
    <w:basedOn w:val="789"/>
    <w:link w:val="947"/>
    <w:uiPriority w:val="99"/>
    <w:unhideWhenUsed/>
    <w:pPr>
      <w:pBdr/>
      <w:tabs>
        <w:tab w:val="center" w:leader="none" w:pos="4680"/>
        <w:tab w:val="right" w:leader="none" w:pos="9360"/>
      </w:tabs>
      <w:spacing w:after="0" w:line="240" w:lineRule="auto"/>
      <w:ind/>
    </w:pPr>
  </w:style>
  <w:style w:type="character" w:styleId="947" w:customStyle="1">
    <w:name w:val="Header Char"/>
    <w:basedOn w:val="799"/>
    <w:link w:val="946"/>
    <w:uiPriority w:val="99"/>
    <w:pPr>
      <w:pBdr/>
      <w:spacing/>
      <w:ind/>
    </w:pPr>
  </w:style>
  <w:style w:type="paragraph" w:styleId="948">
    <w:name w:val="Footer"/>
    <w:basedOn w:val="789"/>
    <w:link w:val="949"/>
    <w:uiPriority w:val="99"/>
    <w:unhideWhenUsed/>
    <w:pPr>
      <w:pBdr/>
      <w:tabs>
        <w:tab w:val="center" w:leader="none" w:pos="4680"/>
        <w:tab w:val="right" w:leader="none" w:pos="9360"/>
      </w:tabs>
      <w:spacing w:after="0" w:line="240" w:lineRule="auto"/>
      <w:ind/>
    </w:pPr>
  </w:style>
  <w:style w:type="character" w:styleId="949" w:customStyle="1">
    <w:name w:val="Footer Char"/>
    <w:basedOn w:val="799"/>
    <w:link w:val="948"/>
    <w:uiPriority w:val="99"/>
    <w:pPr>
      <w:pBdr/>
      <w:spacing/>
      <w:ind/>
    </w:pPr>
  </w:style>
  <w:style w:type="paragraph" w:styleId="950">
    <w:name w:val="No Spacing"/>
    <w:uiPriority w:val="1"/>
    <w:qFormat/>
    <w:pPr>
      <w:pBdr/>
      <w:spacing w:after="0" w:line="240" w:lineRule="auto"/>
      <w:ind/>
    </w:pPr>
  </w:style>
  <w:style w:type="character" w:styleId="951" w:customStyle="1">
    <w:name w:val="Heading 1 Char"/>
    <w:basedOn w:val="799"/>
    <w:link w:val="790"/>
    <w:uiPriority w:val="9"/>
    <w:pPr>
      <w:pBdr/>
      <w:spacing/>
      <w:ind/>
    </w:pPr>
    <w:rPr>
      <w:rFonts w:asciiTheme="majorHAnsi" w:hAnsiTheme="majorHAnsi" w:eastAsiaTheme="majorEastAsia" w:cstheme="majorBidi"/>
      <w:b/>
      <w:bCs/>
      <w:color w:val="365f91" w:themeColor="accent1" w:themeShade="BF"/>
      <w:sz w:val="28"/>
      <w:szCs w:val="28"/>
    </w:rPr>
  </w:style>
  <w:style w:type="character" w:styleId="952" w:customStyle="1">
    <w:name w:val="Heading 2 Char"/>
    <w:basedOn w:val="799"/>
    <w:link w:val="791"/>
    <w:uiPriority w:val="9"/>
    <w:pPr>
      <w:pBdr/>
      <w:spacing/>
      <w:ind/>
    </w:pPr>
    <w:rPr>
      <w:rFonts w:asciiTheme="majorHAnsi" w:hAnsiTheme="majorHAnsi" w:eastAsiaTheme="majorEastAsia" w:cstheme="majorBidi"/>
      <w:b/>
      <w:bCs/>
      <w:color w:val="4f81bd" w:themeColor="accent1"/>
      <w:sz w:val="26"/>
      <w:szCs w:val="26"/>
    </w:rPr>
  </w:style>
  <w:style w:type="character" w:styleId="953" w:customStyle="1">
    <w:name w:val="Heading 3 Char"/>
    <w:basedOn w:val="799"/>
    <w:link w:val="792"/>
    <w:uiPriority w:val="9"/>
    <w:pPr>
      <w:pBdr/>
      <w:spacing/>
      <w:ind/>
    </w:pPr>
    <w:rPr>
      <w:rFonts w:asciiTheme="majorHAnsi" w:hAnsiTheme="majorHAnsi" w:eastAsiaTheme="majorEastAsia" w:cstheme="majorBidi"/>
      <w:b/>
      <w:bCs/>
      <w:color w:val="4f81bd" w:themeColor="accent1"/>
    </w:rPr>
  </w:style>
  <w:style w:type="paragraph" w:styleId="954">
    <w:name w:val="Title"/>
    <w:basedOn w:val="789"/>
    <w:next w:val="789"/>
    <w:link w:val="955"/>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55" w:customStyle="1">
    <w:name w:val="Title Char"/>
    <w:basedOn w:val="799"/>
    <w:link w:val="954"/>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56">
    <w:name w:val="Subtitle"/>
    <w:basedOn w:val="789"/>
    <w:next w:val="789"/>
    <w:link w:val="957"/>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57" w:customStyle="1">
    <w:name w:val="Subtitle Char"/>
    <w:basedOn w:val="799"/>
    <w:link w:val="956"/>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58">
    <w:name w:val="List Paragraph"/>
    <w:basedOn w:val="789"/>
    <w:link w:val="1104"/>
    <w:qFormat/>
    <w:pPr>
      <w:pBdr/>
      <w:spacing/>
      <w:ind w:left="720"/>
      <w:contextualSpacing w:val="true"/>
    </w:pPr>
  </w:style>
  <w:style w:type="paragraph" w:styleId="959">
    <w:name w:val="Body Text"/>
    <w:basedOn w:val="789"/>
    <w:link w:val="960"/>
    <w:uiPriority w:val="99"/>
    <w:unhideWhenUsed/>
    <w:pPr>
      <w:pBdr/>
      <w:spacing w:after="120"/>
      <w:ind/>
    </w:pPr>
  </w:style>
  <w:style w:type="character" w:styleId="960" w:customStyle="1">
    <w:name w:val="Body Text Char"/>
    <w:basedOn w:val="799"/>
    <w:link w:val="959"/>
    <w:uiPriority w:val="99"/>
    <w:pPr>
      <w:pBdr/>
      <w:spacing/>
      <w:ind/>
    </w:pPr>
  </w:style>
  <w:style w:type="paragraph" w:styleId="961">
    <w:name w:val="Body Text 2"/>
    <w:basedOn w:val="789"/>
    <w:link w:val="962"/>
    <w:uiPriority w:val="99"/>
    <w:unhideWhenUsed/>
    <w:pPr>
      <w:pBdr/>
      <w:spacing w:after="120" w:line="480" w:lineRule="auto"/>
      <w:ind/>
    </w:pPr>
  </w:style>
  <w:style w:type="character" w:styleId="962" w:customStyle="1">
    <w:name w:val="Body Text 2 Char"/>
    <w:basedOn w:val="799"/>
    <w:link w:val="961"/>
    <w:uiPriority w:val="99"/>
    <w:pPr>
      <w:pBdr/>
      <w:spacing/>
      <w:ind/>
    </w:pPr>
  </w:style>
  <w:style w:type="paragraph" w:styleId="963">
    <w:name w:val="Body Text 3"/>
    <w:basedOn w:val="789"/>
    <w:link w:val="964"/>
    <w:uiPriority w:val="99"/>
    <w:unhideWhenUsed/>
    <w:pPr>
      <w:pBdr/>
      <w:spacing w:after="120"/>
      <w:ind/>
    </w:pPr>
    <w:rPr>
      <w:sz w:val="16"/>
      <w:szCs w:val="16"/>
    </w:rPr>
  </w:style>
  <w:style w:type="character" w:styleId="964" w:customStyle="1">
    <w:name w:val="Body Text 3 Char"/>
    <w:basedOn w:val="799"/>
    <w:link w:val="963"/>
    <w:uiPriority w:val="99"/>
    <w:pPr>
      <w:pBdr/>
      <w:spacing/>
      <w:ind/>
    </w:pPr>
    <w:rPr>
      <w:sz w:val="16"/>
      <w:szCs w:val="16"/>
    </w:rPr>
  </w:style>
  <w:style w:type="paragraph" w:styleId="965">
    <w:name w:val="List"/>
    <w:basedOn w:val="789"/>
    <w:uiPriority w:val="99"/>
    <w:unhideWhenUsed/>
    <w:pPr>
      <w:pBdr/>
      <w:spacing/>
      <w:ind w:hanging="360" w:left="360"/>
      <w:contextualSpacing w:val="true"/>
    </w:pPr>
  </w:style>
  <w:style w:type="paragraph" w:styleId="966">
    <w:name w:val="List 2"/>
    <w:basedOn w:val="789"/>
    <w:uiPriority w:val="99"/>
    <w:unhideWhenUsed/>
    <w:pPr>
      <w:pBdr/>
      <w:spacing/>
      <w:ind w:hanging="360" w:left="720"/>
      <w:contextualSpacing w:val="true"/>
    </w:pPr>
  </w:style>
  <w:style w:type="paragraph" w:styleId="967">
    <w:name w:val="List 3"/>
    <w:basedOn w:val="789"/>
    <w:uiPriority w:val="99"/>
    <w:unhideWhenUsed/>
    <w:pPr>
      <w:pBdr/>
      <w:spacing/>
      <w:ind w:hanging="360" w:left="1080"/>
      <w:contextualSpacing w:val="true"/>
    </w:pPr>
  </w:style>
  <w:style w:type="paragraph" w:styleId="968">
    <w:name w:val="List Bullet"/>
    <w:basedOn w:val="789"/>
    <w:uiPriority w:val="99"/>
    <w:unhideWhenUsed/>
    <w:pPr>
      <w:numPr>
        <w:numId w:val="1"/>
      </w:numPr>
      <w:pBdr/>
      <w:spacing/>
      <w:ind/>
      <w:contextualSpacing w:val="true"/>
    </w:pPr>
  </w:style>
  <w:style w:type="paragraph" w:styleId="969">
    <w:name w:val="List Bullet 2"/>
    <w:basedOn w:val="789"/>
    <w:uiPriority w:val="99"/>
    <w:unhideWhenUsed/>
    <w:pPr>
      <w:numPr>
        <w:numId w:val="2"/>
      </w:numPr>
      <w:pBdr/>
      <w:spacing/>
      <w:ind/>
      <w:contextualSpacing w:val="true"/>
    </w:pPr>
  </w:style>
  <w:style w:type="paragraph" w:styleId="970">
    <w:name w:val="List Bullet 3"/>
    <w:basedOn w:val="789"/>
    <w:uiPriority w:val="99"/>
    <w:unhideWhenUsed/>
    <w:pPr>
      <w:numPr>
        <w:numId w:val="3"/>
      </w:numPr>
      <w:pBdr/>
      <w:spacing/>
      <w:ind/>
      <w:contextualSpacing w:val="true"/>
    </w:pPr>
  </w:style>
  <w:style w:type="paragraph" w:styleId="971">
    <w:name w:val="List Number"/>
    <w:basedOn w:val="789"/>
    <w:uiPriority w:val="99"/>
    <w:unhideWhenUsed/>
    <w:pPr>
      <w:numPr>
        <w:numId w:val="5"/>
      </w:numPr>
      <w:pBdr/>
      <w:spacing/>
      <w:ind/>
      <w:contextualSpacing w:val="true"/>
    </w:pPr>
  </w:style>
  <w:style w:type="paragraph" w:styleId="972">
    <w:name w:val="List Number 2"/>
    <w:basedOn w:val="789"/>
    <w:uiPriority w:val="99"/>
    <w:unhideWhenUsed/>
    <w:pPr>
      <w:numPr>
        <w:numId w:val="6"/>
      </w:numPr>
      <w:pBdr/>
      <w:spacing/>
      <w:ind/>
      <w:contextualSpacing w:val="true"/>
    </w:pPr>
  </w:style>
  <w:style w:type="paragraph" w:styleId="973">
    <w:name w:val="List Number 3"/>
    <w:basedOn w:val="789"/>
    <w:uiPriority w:val="99"/>
    <w:unhideWhenUsed/>
    <w:pPr>
      <w:numPr>
        <w:numId w:val="7"/>
      </w:numPr>
      <w:pBdr/>
      <w:spacing/>
      <w:ind/>
      <w:contextualSpacing w:val="true"/>
    </w:pPr>
  </w:style>
  <w:style w:type="paragraph" w:styleId="974">
    <w:name w:val="List Continue"/>
    <w:basedOn w:val="789"/>
    <w:uiPriority w:val="99"/>
    <w:unhideWhenUsed/>
    <w:pPr>
      <w:pBdr/>
      <w:spacing w:after="120"/>
      <w:ind w:left="360"/>
      <w:contextualSpacing w:val="true"/>
    </w:pPr>
  </w:style>
  <w:style w:type="paragraph" w:styleId="975">
    <w:name w:val="List Continue 2"/>
    <w:basedOn w:val="789"/>
    <w:uiPriority w:val="99"/>
    <w:unhideWhenUsed/>
    <w:pPr>
      <w:pBdr/>
      <w:spacing w:after="120"/>
      <w:ind w:left="720"/>
      <w:contextualSpacing w:val="true"/>
    </w:pPr>
  </w:style>
  <w:style w:type="paragraph" w:styleId="976">
    <w:name w:val="List Continue 3"/>
    <w:basedOn w:val="789"/>
    <w:uiPriority w:val="99"/>
    <w:unhideWhenUsed/>
    <w:pPr>
      <w:pBdr/>
      <w:spacing w:after="120"/>
      <w:ind w:left="1080"/>
      <w:contextualSpacing w:val="true"/>
    </w:pPr>
  </w:style>
  <w:style w:type="paragraph" w:styleId="977">
    <w:name w:val="macro"/>
    <w:link w:val="978"/>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78" w:customStyle="1">
    <w:name w:val="Macro Text Char"/>
    <w:basedOn w:val="799"/>
    <w:link w:val="977"/>
    <w:uiPriority w:val="99"/>
    <w:pPr>
      <w:pBdr/>
      <w:spacing/>
      <w:ind/>
    </w:pPr>
    <w:rPr>
      <w:rFonts w:ascii="Courier" w:hAnsi="Courier"/>
      <w:sz w:val="20"/>
      <w:szCs w:val="20"/>
    </w:rPr>
  </w:style>
  <w:style w:type="paragraph" w:styleId="979">
    <w:name w:val="Quote"/>
    <w:basedOn w:val="789"/>
    <w:next w:val="789"/>
    <w:link w:val="980"/>
    <w:uiPriority w:val="29"/>
    <w:qFormat/>
    <w:pPr>
      <w:pBdr/>
      <w:spacing/>
      <w:ind/>
    </w:pPr>
    <w:rPr>
      <w:i/>
      <w:iCs/>
      <w:color w:val="000000" w:themeColor="text1"/>
    </w:rPr>
  </w:style>
  <w:style w:type="character" w:styleId="980" w:customStyle="1">
    <w:name w:val="Quote Char"/>
    <w:basedOn w:val="799"/>
    <w:link w:val="979"/>
    <w:uiPriority w:val="29"/>
    <w:pPr>
      <w:pBdr/>
      <w:spacing/>
      <w:ind/>
    </w:pPr>
    <w:rPr>
      <w:i/>
      <w:iCs/>
      <w:color w:val="000000" w:themeColor="text1"/>
    </w:rPr>
  </w:style>
  <w:style w:type="character" w:styleId="981" w:customStyle="1">
    <w:name w:val="Heading 4 Char"/>
    <w:basedOn w:val="799"/>
    <w:link w:val="793"/>
    <w:uiPriority w:val="9"/>
    <w:semiHidden/>
    <w:pPr>
      <w:pBdr/>
      <w:spacing/>
      <w:ind/>
    </w:pPr>
    <w:rPr>
      <w:rFonts w:asciiTheme="majorHAnsi" w:hAnsiTheme="majorHAnsi" w:eastAsiaTheme="majorEastAsia" w:cstheme="majorBidi"/>
      <w:b/>
      <w:bCs/>
      <w:i/>
      <w:iCs/>
      <w:color w:val="4f81bd" w:themeColor="accent1"/>
    </w:rPr>
  </w:style>
  <w:style w:type="character" w:styleId="982" w:customStyle="1">
    <w:name w:val="Heading 5 Char"/>
    <w:basedOn w:val="799"/>
    <w:link w:val="794"/>
    <w:uiPriority w:val="9"/>
    <w:semiHidden/>
    <w:pPr>
      <w:pBdr/>
      <w:spacing/>
      <w:ind/>
    </w:pPr>
    <w:rPr>
      <w:rFonts w:asciiTheme="majorHAnsi" w:hAnsiTheme="majorHAnsi" w:eastAsiaTheme="majorEastAsia" w:cstheme="majorBidi"/>
      <w:color w:val="243f60" w:themeColor="accent1" w:themeShade="7F"/>
    </w:rPr>
  </w:style>
  <w:style w:type="character" w:styleId="983" w:customStyle="1">
    <w:name w:val="Heading 6 Char"/>
    <w:basedOn w:val="799"/>
    <w:link w:val="795"/>
    <w:uiPriority w:val="9"/>
    <w:semiHidden/>
    <w:pPr>
      <w:pBdr/>
      <w:spacing/>
      <w:ind/>
    </w:pPr>
    <w:rPr>
      <w:rFonts w:asciiTheme="majorHAnsi" w:hAnsiTheme="majorHAnsi" w:eastAsiaTheme="majorEastAsia" w:cstheme="majorBidi"/>
      <w:i/>
      <w:iCs/>
      <w:color w:val="243f60" w:themeColor="accent1" w:themeShade="7F"/>
    </w:rPr>
  </w:style>
  <w:style w:type="character" w:styleId="984" w:customStyle="1">
    <w:name w:val="Heading 7 Char"/>
    <w:basedOn w:val="799"/>
    <w:link w:val="796"/>
    <w:uiPriority w:val="9"/>
    <w:semiHidden/>
    <w:pPr>
      <w:pBdr/>
      <w:spacing/>
      <w:ind/>
    </w:pPr>
    <w:rPr>
      <w:rFonts w:asciiTheme="majorHAnsi" w:hAnsiTheme="majorHAnsi" w:eastAsiaTheme="majorEastAsia" w:cstheme="majorBidi"/>
      <w:i/>
      <w:iCs/>
      <w:color w:val="404040" w:themeColor="text1" w:themeTint="BF"/>
    </w:rPr>
  </w:style>
  <w:style w:type="character" w:styleId="985" w:customStyle="1">
    <w:name w:val="Heading 8 Char"/>
    <w:basedOn w:val="799"/>
    <w:link w:val="797"/>
    <w:uiPriority w:val="9"/>
    <w:semiHidden/>
    <w:pPr>
      <w:pBdr/>
      <w:spacing/>
      <w:ind/>
    </w:pPr>
    <w:rPr>
      <w:rFonts w:asciiTheme="majorHAnsi" w:hAnsiTheme="majorHAnsi" w:eastAsiaTheme="majorEastAsia" w:cstheme="majorBidi"/>
      <w:color w:val="4f81bd" w:themeColor="accent1"/>
      <w:sz w:val="20"/>
      <w:szCs w:val="20"/>
    </w:rPr>
  </w:style>
  <w:style w:type="character" w:styleId="986" w:customStyle="1">
    <w:name w:val="Heading 9 Char"/>
    <w:basedOn w:val="799"/>
    <w:link w:val="798"/>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87">
    <w:name w:val="Caption"/>
    <w:basedOn w:val="789"/>
    <w:next w:val="789"/>
    <w:uiPriority w:val="35"/>
    <w:semiHidden/>
    <w:unhideWhenUsed/>
    <w:qFormat/>
    <w:pPr>
      <w:pBdr/>
      <w:spacing w:line="240" w:lineRule="auto"/>
      <w:ind/>
    </w:pPr>
    <w:rPr>
      <w:b/>
      <w:bCs/>
      <w:color w:val="4f81bd" w:themeColor="accent1"/>
      <w:sz w:val="18"/>
      <w:szCs w:val="18"/>
    </w:rPr>
  </w:style>
  <w:style w:type="character" w:styleId="988">
    <w:name w:val="Strong"/>
    <w:basedOn w:val="799"/>
    <w:uiPriority w:val="22"/>
    <w:qFormat/>
    <w:pPr>
      <w:pBdr/>
      <w:spacing/>
      <w:ind/>
    </w:pPr>
    <w:rPr>
      <w:b/>
      <w:bCs/>
    </w:rPr>
  </w:style>
  <w:style w:type="character" w:styleId="989">
    <w:name w:val="Emphasis"/>
    <w:basedOn w:val="799"/>
    <w:uiPriority w:val="20"/>
    <w:qFormat/>
    <w:pPr>
      <w:pBdr/>
      <w:spacing/>
      <w:ind/>
    </w:pPr>
    <w:rPr>
      <w:i/>
      <w:iCs/>
    </w:rPr>
  </w:style>
  <w:style w:type="paragraph" w:styleId="990">
    <w:name w:val="Intense Quote"/>
    <w:basedOn w:val="789"/>
    <w:next w:val="789"/>
    <w:link w:val="991"/>
    <w:uiPriority w:val="30"/>
    <w:qFormat/>
    <w:pPr>
      <w:pBdr>
        <w:bottom w:val="single" w:color="4f81bd" w:themeColor="accent1" w:sz="4" w:space="4"/>
      </w:pBdr>
      <w:spacing w:after="280" w:before="200"/>
      <w:ind w:right="936" w:left="936"/>
    </w:pPr>
    <w:rPr>
      <w:b/>
      <w:bCs/>
      <w:i/>
      <w:iCs/>
      <w:color w:val="4f81bd" w:themeColor="accent1"/>
    </w:rPr>
  </w:style>
  <w:style w:type="character" w:styleId="991" w:customStyle="1">
    <w:name w:val="Intense Quote Char"/>
    <w:basedOn w:val="799"/>
    <w:link w:val="990"/>
    <w:uiPriority w:val="30"/>
    <w:pPr>
      <w:pBdr/>
      <w:spacing/>
      <w:ind/>
    </w:pPr>
    <w:rPr>
      <w:b/>
      <w:bCs/>
      <w:i/>
      <w:iCs/>
      <w:color w:val="4f81bd" w:themeColor="accent1"/>
    </w:rPr>
  </w:style>
  <w:style w:type="character" w:styleId="992">
    <w:name w:val="Subtle Emphasis"/>
    <w:basedOn w:val="799"/>
    <w:uiPriority w:val="19"/>
    <w:qFormat/>
    <w:pPr>
      <w:pBdr/>
      <w:spacing/>
      <w:ind/>
    </w:pPr>
    <w:rPr>
      <w:i/>
      <w:iCs/>
      <w:color w:val="808080" w:themeColor="text1" w:themeTint="7F"/>
    </w:rPr>
  </w:style>
  <w:style w:type="character" w:styleId="993">
    <w:name w:val="Intense Emphasis"/>
    <w:basedOn w:val="799"/>
    <w:uiPriority w:val="21"/>
    <w:qFormat/>
    <w:pPr>
      <w:pBdr/>
      <w:spacing/>
      <w:ind/>
    </w:pPr>
    <w:rPr>
      <w:b/>
      <w:bCs/>
      <w:i/>
      <w:iCs/>
      <w:color w:val="4f81bd" w:themeColor="accent1"/>
    </w:rPr>
  </w:style>
  <w:style w:type="character" w:styleId="994">
    <w:name w:val="Subtle Reference"/>
    <w:basedOn w:val="799"/>
    <w:uiPriority w:val="31"/>
    <w:qFormat/>
    <w:pPr>
      <w:pBdr/>
      <w:spacing/>
      <w:ind/>
    </w:pPr>
    <w:rPr>
      <w:smallCaps/>
      <w:color w:val="c0504d" w:themeColor="accent2"/>
      <w:u w:val="single"/>
    </w:rPr>
  </w:style>
  <w:style w:type="character" w:styleId="995">
    <w:name w:val="Intense Reference"/>
    <w:basedOn w:val="799"/>
    <w:uiPriority w:val="32"/>
    <w:qFormat/>
    <w:pPr>
      <w:pBdr/>
      <w:spacing/>
      <w:ind/>
    </w:pPr>
    <w:rPr>
      <w:b/>
      <w:bCs/>
      <w:smallCaps/>
      <w:color w:val="c0504d" w:themeColor="accent2"/>
      <w:spacing w:val="5"/>
      <w:u w:val="single"/>
    </w:rPr>
  </w:style>
  <w:style w:type="character" w:styleId="996">
    <w:name w:val="Book Title"/>
    <w:basedOn w:val="799"/>
    <w:uiPriority w:val="33"/>
    <w:qFormat/>
    <w:pPr>
      <w:pBdr/>
      <w:spacing/>
      <w:ind/>
    </w:pPr>
    <w:rPr>
      <w:b/>
      <w:bCs/>
      <w:smallCaps/>
      <w:spacing w:val="5"/>
    </w:rPr>
  </w:style>
  <w:style w:type="paragraph" w:styleId="997">
    <w:name w:val="TOC Heading"/>
    <w:basedOn w:val="790"/>
    <w:next w:val="789"/>
    <w:uiPriority w:val="39"/>
    <w:semiHidden/>
    <w:unhideWhenUsed/>
    <w:qFormat/>
    <w:pPr>
      <w:pBdr/>
      <w:spacing/>
      <w:ind/>
      <w:outlineLvl w:val="9"/>
    </w:pPr>
  </w:style>
  <w:style w:type="table" w:styleId="998">
    <w:name w:val="Table Grid"/>
    <w:basedOn w:val="80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ght Shading"/>
    <w:basedOn w:val="800"/>
    <w:uiPriority w:val="60"/>
    <w:pPr>
      <w:pBdr/>
      <w:spacing w:after="0" w:line="240" w:lineRule="auto"/>
      <w:ind/>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ght Shading Accent 1"/>
    <w:basedOn w:val="800"/>
    <w:uiPriority w:val="60"/>
    <w:pPr>
      <w:pBdr/>
      <w:spacing w:after="0" w:line="240" w:lineRule="auto"/>
      <w:ind/>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ght Shading Accent 2"/>
    <w:basedOn w:val="800"/>
    <w:uiPriority w:val="60"/>
    <w:pPr>
      <w:pBdr/>
      <w:spacing w:after="0" w:line="240" w:lineRule="auto"/>
      <w:ind/>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ght Shading Accent 3"/>
    <w:basedOn w:val="800"/>
    <w:uiPriority w:val="60"/>
    <w:pPr>
      <w:pBdr/>
      <w:spacing w:after="0" w:line="240" w:lineRule="auto"/>
      <w:ind/>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ght Shading Accent 4"/>
    <w:basedOn w:val="800"/>
    <w:uiPriority w:val="60"/>
    <w:pPr>
      <w:pBdr/>
      <w:spacing w:after="0" w:line="240" w:lineRule="auto"/>
      <w:ind/>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ght Shading Accent 5"/>
    <w:basedOn w:val="800"/>
    <w:uiPriority w:val="60"/>
    <w:pPr>
      <w:pBdr/>
      <w:spacing w:after="0" w:line="240" w:lineRule="auto"/>
      <w:ind/>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ght Shading Accent 6"/>
    <w:basedOn w:val="800"/>
    <w:uiPriority w:val="60"/>
    <w:pPr>
      <w:pBdr/>
      <w:spacing w:after="0" w:line="240" w:lineRule="auto"/>
      <w:ind/>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ght List"/>
    <w:basedOn w:val="800"/>
    <w:uiPriority w:val="61"/>
    <w:pPr>
      <w:pBdr/>
      <w:spacing w:after="0" w:line="240" w:lineRule="auto"/>
      <w:ind/>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ght List Accent 1"/>
    <w:basedOn w:val="800"/>
    <w:uiPriority w:val="61"/>
    <w:pPr>
      <w:pBdr/>
      <w:spacing w:after="0" w:line="240" w:lineRule="auto"/>
      <w:ind/>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ght List Accent 2"/>
    <w:basedOn w:val="800"/>
    <w:uiPriority w:val="61"/>
    <w:pPr>
      <w:pBdr/>
      <w:spacing w:after="0" w:line="240" w:lineRule="auto"/>
      <w:ind/>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ght List Accent 3"/>
    <w:basedOn w:val="800"/>
    <w:uiPriority w:val="61"/>
    <w:pPr>
      <w:pBdr/>
      <w:spacing w:after="0" w:line="240" w:lineRule="auto"/>
      <w:ind/>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ght List Accent 4"/>
    <w:basedOn w:val="800"/>
    <w:uiPriority w:val="61"/>
    <w:pPr>
      <w:pBdr/>
      <w:spacing w:after="0" w:line="240" w:lineRule="auto"/>
      <w:ind/>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ght List Accent 5"/>
    <w:basedOn w:val="800"/>
    <w:uiPriority w:val="61"/>
    <w:pPr>
      <w:pBdr/>
      <w:spacing w:after="0" w:line="240" w:lineRule="auto"/>
      <w:ind/>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ght List Accent 6"/>
    <w:basedOn w:val="800"/>
    <w:uiPriority w:val="61"/>
    <w:pPr>
      <w:pBdr/>
      <w:spacing w:after="0" w:line="240" w:lineRule="auto"/>
      <w:ind/>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ght Grid"/>
    <w:basedOn w:val="800"/>
    <w:uiPriority w:val="62"/>
    <w:pPr>
      <w:pBdr/>
      <w:spacing w:after="0" w:line="240" w:lineRule="auto"/>
      <w:ind/>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ght Grid Accent 1"/>
    <w:basedOn w:val="800"/>
    <w:uiPriority w:val="62"/>
    <w:pPr>
      <w:pBdr/>
      <w:spacing w:after="0" w:line="240" w:lineRule="auto"/>
      <w:ind/>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ght Grid Accent 2"/>
    <w:basedOn w:val="800"/>
    <w:uiPriority w:val="62"/>
    <w:pPr>
      <w:pBdr/>
      <w:spacing w:after="0" w:line="240" w:lineRule="auto"/>
      <w:ind/>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ght Grid Accent 3"/>
    <w:basedOn w:val="800"/>
    <w:uiPriority w:val="62"/>
    <w:pPr>
      <w:pBdr/>
      <w:spacing w:after="0" w:line="240" w:lineRule="auto"/>
      <w:ind/>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ght Grid Accent 4"/>
    <w:basedOn w:val="800"/>
    <w:uiPriority w:val="62"/>
    <w:pPr>
      <w:pBdr/>
      <w:spacing w:after="0" w:line="240" w:lineRule="auto"/>
      <w:ind/>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ght Grid Accent 5"/>
    <w:basedOn w:val="800"/>
    <w:uiPriority w:val="62"/>
    <w:pPr>
      <w:pBdr/>
      <w:spacing w:after="0" w:line="240" w:lineRule="auto"/>
      <w:ind/>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ght Grid Accent 6"/>
    <w:basedOn w:val="800"/>
    <w:uiPriority w:val="62"/>
    <w:pPr>
      <w:pBdr/>
      <w:spacing w:after="0" w:line="240" w:lineRule="auto"/>
      <w:ind/>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Medium Shading 1"/>
    <w:basedOn w:val="800"/>
    <w:uiPriority w:val="63"/>
    <w:pPr>
      <w:pBdr/>
      <w:spacing w:after="0" w:line="240" w:lineRule="auto"/>
      <w:ind/>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Medium Shading 1 Accent 1"/>
    <w:basedOn w:val="800"/>
    <w:uiPriority w:val="63"/>
    <w:pPr>
      <w:pBdr/>
      <w:spacing w:after="0" w:line="240" w:lineRule="auto"/>
      <w:ind/>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Medium Shading 1 Accent 2"/>
    <w:basedOn w:val="800"/>
    <w:uiPriority w:val="63"/>
    <w:pPr>
      <w:pBdr/>
      <w:spacing w:after="0" w:line="240" w:lineRule="auto"/>
      <w:ind/>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Medium Shading 1 Accent 3"/>
    <w:basedOn w:val="800"/>
    <w:uiPriority w:val="63"/>
    <w:pPr>
      <w:pBdr/>
      <w:spacing w:after="0" w:line="240" w:lineRule="auto"/>
      <w:ind/>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Medium Shading 1 Accent 4"/>
    <w:basedOn w:val="800"/>
    <w:uiPriority w:val="63"/>
    <w:pPr>
      <w:pBdr/>
      <w:spacing w:after="0" w:line="240" w:lineRule="auto"/>
      <w:ind/>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Medium Shading 1 Accent 5"/>
    <w:basedOn w:val="800"/>
    <w:uiPriority w:val="63"/>
    <w:pPr>
      <w:pBdr/>
      <w:spacing w:after="0" w:line="240" w:lineRule="auto"/>
      <w:ind/>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Medium Shading 1 Accent 6"/>
    <w:basedOn w:val="800"/>
    <w:uiPriority w:val="63"/>
    <w:pPr>
      <w:pBdr/>
      <w:spacing w:after="0" w:line="240" w:lineRule="auto"/>
      <w:ind/>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Medium Shading 2"/>
    <w:basedOn w:val="800"/>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Medium Shading 2 Accent 1"/>
    <w:basedOn w:val="800"/>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Medium Shading 2 Accent 2"/>
    <w:basedOn w:val="800"/>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Medium Shading 2 Accent 3"/>
    <w:basedOn w:val="800"/>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Medium Shading 2 Accent 4"/>
    <w:basedOn w:val="800"/>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Medium Shading 2 Accent 5"/>
    <w:basedOn w:val="800"/>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Medium Shading 2 Accent 6"/>
    <w:basedOn w:val="800"/>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Medium List 1"/>
    <w:basedOn w:val="800"/>
    <w:uiPriority w:val="65"/>
    <w:pPr>
      <w:pBdr/>
      <w:spacing w:after="0" w:line="240" w:lineRule="auto"/>
      <w:ind/>
    </w:pPr>
    <w:rPr>
      <w:color w:val="000000" w:themeColor="text1"/>
    </w:rPr>
    <w:tblPr>
      <w:tblStyleRowBandSize w:val="1"/>
      <w:tblStyleColBandSize w:val="1"/>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Medium List 1 Accent 1"/>
    <w:basedOn w:val="800"/>
    <w:uiPriority w:val="65"/>
    <w:pPr>
      <w:pBdr/>
      <w:spacing w:after="0" w:line="240" w:lineRule="auto"/>
      <w:ind/>
    </w:pPr>
    <w:rPr>
      <w:color w:val="000000" w:themeColor="text1"/>
    </w:rPr>
    <w:tblPr>
      <w:tblStyleRowBandSize w:val="1"/>
      <w:tblStyleColBandSize w:val="1"/>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Medium List 1 Accent 2"/>
    <w:basedOn w:val="800"/>
    <w:uiPriority w:val="65"/>
    <w:pPr>
      <w:pBdr/>
      <w:spacing w:after="0" w:line="240" w:lineRule="auto"/>
      <w:ind/>
    </w:pPr>
    <w:rPr>
      <w:color w:val="000000" w:themeColor="text1"/>
    </w:rPr>
    <w:tblPr>
      <w:tblStyleRowBandSize w:val="1"/>
      <w:tblStyleColBandSize w:val="1"/>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Medium List 1 Accent 3"/>
    <w:basedOn w:val="800"/>
    <w:uiPriority w:val="65"/>
    <w:pPr>
      <w:pBdr/>
      <w:spacing w:after="0" w:line="240" w:lineRule="auto"/>
      <w:ind/>
    </w:pPr>
    <w:rPr>
      <w:color w:val="000000" w:themeColor="text1"/>
    </w:rPr>
    <w:tblPr>
      <w:tblStyleRowBandSize w:val="1"/>
      <w:tblStyleColBandSize w:val="1"/>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Medium List 1 Accent 4"/>
    <w:basedOn w:val="800"/>
    <w:uiPriority w:val="65"/>
    <w:pPr>
      <w:pBdr/>
      <w:spacing w:after="0" w:line="240" w:lineRule="auto"/>
      <w:ind/>
    </w:pPr>
    <w:rPr>
      <w:color w:val="000000" w:themeColor="text1"/>
    </w:rPr>
    <w:tblPr>
      <w:tblStyleRowBandSize w:val="1"/>
      <w:tblStyleColBandSize w:val="1"/>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Medium List 1 Accent 5"/>
    <w:basedOn w:val="800"/>
    <w:uiPriority w:val="65"/>
    <w:pPr>
      <w:pBdr/>
      <w:spacing w:after="0" w:line="240" w:lineRule="auto"/>
      <w:ind/>
    </w:pPr>
    <w:rPr>
      <w:color w:val="000000" w:themeColor="text1"/>
    </w:rPr>
    <w:tblPr>
      <w:tblStyleRowBandSize w:val="1"/>
      <w:tblStyleColBandSize w:val="1"/>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Medium List 1 Accent 6"/>
    <w:basedOn w:val="800"/>
    <w:uiPriority w:val="65"/>
    <w:pPr>
      <w:pBdr/>
      <w:spacing w:after="0" w:line="240" w:lineRule="auto"/>
      <w:ind/>
    </w:pPr>
    <w:rPr>
      <w:color w:val="000000" w:themeColor="text1"/>
    </w:rPr>
    <w:tblPr>
      <w:tblStyleRowBandSize w:val="1"/>
      <w:tblStyleColBandSize w:val="1"/>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Medium List 2"/>
    <w:basedOn w:val="8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Medium List 2 Accent 1"/>
    <w:basedOn w:val="8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Medium List 2 Accent 2"/>
    <w:basedOn w:val="8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Medium List 2 Accent 3"/>
    <w:basedOn w:val="8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Medium List 2 Accent 4"/>
    <w:basedOn w:val="8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Medium List 2 Accent 5"/>
    <w:basedOn w:val="8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Medium List 2 Accent 6"/>
    <w:basedOn w:val="8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Medium Grid 1"/>
    <w:basedOn w:val="800"/>
    <w:uiPriority w:val="67"/>
    <w:pPr>
      <w:pBdr/>
      <w:spacing w:after="0" w:line="240" w:lineRule="auto"/>
      <w:ind/>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Medium Grid 1 Accent 1"/>
    <w:basedOn w:val="800"/>
    <w:uiPriority w:val="67"/>
    <w:pPr>
      <w:pBdr/>
      <w:spacing w:after="0" w:line="240" w:lineRule="auto"/>
      <w:ind/>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Medium Grid 1 Accent 2"/>
    <w:basedOn w:val="800"/>
    <w:uiPriority w:val="67"/>
    <w:pPr>
      <w:pBdr/>
      <w:spacing w:after="0" w:line="240" w:lineRule="auto"/>
      <w:ind/>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Medium Grid 1 Accent 3"/>
    <w:basedOn w:val="800"/>
    <w:uiPriority w:val="67"/>
    <w:pPr>
      <w:pBdr/>
      <w:spacing w:after="0" w:line="240" w:lineRule="auto"/>
      <w:ind/>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Medium Grid 1 Accent 4"/>
    <w:basedOn w:val="800"/>
    <w:uiPriority w:val="67"/>
    <w:pPr>
      <w:pBdr/>
      <w:spacing w:after="0" w:line="240" w:lineRule="auto"/>
      <w:ind/>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Medium Grid 1 Accent 5"/>
    <w:basedOn w:val="800"/>
    <w:uiPriority w:val="67"/>
    <w:pPr>
      <w:pBdr/>
      <w:spacing w:after="0" w:line="240" w:lineRule="auto"/>
      <w:ind/>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Medium Grid 1 Accent 6"/>
    <w:basedOn w:val="800"/>
    <w:uiPriority w:val="67"/>
    <w:pPr>
      <w:pBdr/>
      <w:spacing w:after="0" w:line="240" w:lineRule="auto"/>
      <w:ind/>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Grid 2"/>
    <w:basedOn w:val="8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Grid 2 Accent 1"/>
    <w:basedOn w:val="8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Grid 2 Accent 2"/>
    <w:basedOn w:val="8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Grid 2 Accent 3"/>
    <w:basedOn w:val="8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Grid 2 Accent 4"/>
    <w:basedOn w:val="8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Grid 2 Accent 5"/>
    <w:basedOn w:val="8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Grid 2 Accent 6"/>
    <w:basedOn w:val="8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Grid 3"/>
    <w:basedOn w:val="800"/>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Grid 3 Accent 1"/>
    <w:basedOn w:val="800"/>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Grid 3 Accent 2"/>
    <w:basedOn w:val="800"/>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Grid 3 Accent 3"/>
    <w:basedOn w:val="800"/>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Grid 3 Accent 4"/>
    <w:basedOn w:val="800"/>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Grid 3 Accent 5"/>
    <w:basedOn w:val="800"/>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Grid 3 Accent 6"/>
    <w:basedOn w:val="800"/>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Dark List"/>
    <w:basedOn w:val="800"/>
    <w:uiPriority w:val="70"/>
    <w:pPr>
      <w:pBdr/>
      <w:spacing w:after="0" w:line="240" w:lineRule="auto"/>
      <w:ind/>
    </w:pPr>
    <w:rPr>
      <w:color w:val="ffffff" w:themeColor="background1"/>
    </w:rPr>
    <w:tblPr>
      <w:tblStyleRowBandSize w:val="1"/>
      <w:tblStyleColBandSize w:val="1"/>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Dark List Accent 1"/>
    <w:basedOn w:val="800"/>
    <w:uiPriority w:val="70"/>
    <w:pPr>
      <w:pBdr/>
      <w:spacing w:after="0" w:line="240" w:lineRule="auto"/>
      <w:ind/>
    </w:pPr>
    <w:rPr>
      <w:color w:val="ffffff" w:themeColor="background1"/>
    </w:rPr>
    <w:tblPr>
      <w:tblStyleRowBandSize w:val="1"/>
      <w:tblStyleColBandSize w:val="1"/>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Dark List Accent 2"/>
    <w:basedOn w:val="800"/>
    <w:uiPriority w:val="70"/>
    <w:pPr>
      <w:pBdr/>
      <w:spacing w:after="0" w:line="240" w:lineRule="auto"/>
      <w:ind/>
    </w:pPr>
    <w:rPr>
      <w:color w:val="ffffff" w:themeColor="background1"/>
    </w:rPr>
    <w:tblPr>
      <w:tblStyleRowBandSize w:val="1"/>
      <w:tblStyleColBandSize w:val="1"/>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Dark List Accent 3"/>
    <w:basedOn w:val="800"/>
    <w:uiPriority w:val="70"/>
    <w:pPr>
      <w:pBdr/>
      <w:spacing w:after="0" w:line="240" w:lineRule="auto"/>
      <w:ind/>
    </w:pPr>
    <w:rPr>
      <w:color w:val="ffffff" w:themeColor="background1"/>
    </w:rPr>
    <w:tblPr>
      <w:tblStyleRowBandSize w:val="1"/>
      <w:tblStyleColBandSize w:val="1"/>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Dark List Accent 4"/>
    <w:basedOn w:val="800"/>
    <w:uiPriority w:val="70"/>
    <w:pPr>
      <w:pBdr/>
      <w:spacing w:after="0" w:line="240" w:lineRule="auto"/>
      <w:ind/>
    </w:pPr>
    <w:rPr>
      <w:color w:val="ffffff" w:themeColor="background1"/>
    </w:rPr>
    <w:tblPr>
      <w:tblStyleRowBandSize w:val="1"/>
      <w:tblStyleColBandSize w:val="1"/>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Dark List Accent 5"/>
    <w:basedOn w:val="800"/>
    <w:uiPriority w:val="70"/>
    <w:pPr>
      <w:pBdr/>
      <w:spacing w:after="0" w:line="240" w:lineRule="auto"/>
      <w:ind/>
    </w:pPr>
    <w:rPr>
      <w:color w:val="ffffff" w:themeColor="background1"/>
    </w:rPr>
    <w:tblPr>
      <w:tblStyleRowBandSize w:val="1"/>
      <w:tblStyleColBandSize w:val="1"/>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Dark List Accent 6"/>
    <w:basedOn w:val="800"/>
    <w:uiPriority w:val="70"/>
    <w:pPr>
      <w:pBdr/>
      <w:spacing w:after="0" w:line="240" w:lineRule="auto"/>
      <w:ind/>
    </w:pPr>
    <w:rPr>
      <w:color w:val="ffffff" w:themeColor="background1"/>
    </w:rPr>
    <w:tblPr>
      <w:tblStyleRowBandSize w:val="1"/>
      <w:tblStyleColBandSize w:val="1"/>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Colorful Shading"/>
    <w:basedOn w:val="800"/>
    <w:uiPriority w:val="71"/>
    <w:pPr>
      <w:pBdr/>
      <w:spacing w:after="0" w:line="240" w:lineRule="auto"/>
      <w:ind/>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Colorful Shading Accent 1"/>
    <w:basedOn w:val="800"/>
    <w:uiPriority w:val="71"/>
    <w:pPr>
      <w:pBdr/>
      <w:spacing w:after="0" w:line="240" w:lineRule="auto"/>
      <w:ind/>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Colorful Shading Accent 2"/>
    <w:basedOn w:val="800"/>
    <w:uiPriority w:val="71"/>
    <w:pPr>
      <w:pBdr/>
      <w:spacing w:after="0" w:line="240" w:lineRule="auto"/>
      <w:ind/>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Colorful Shading Accent 3"/>
    <w:basedOn w:val="800"/>
    <w:uiPriority w:val="71"/>
    <w:pPr>
      <w:pBdr/>
      <w:spacing w:after="0" w:line="240" w:lineRule="auto"/>
      <w:ind/>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Colorful Shading Accent 4"/>
    <w:basedOn w:val="800"/>
    <w:uiPriority w:val="71"/>
    <w:pPr>
      <w:pBdr/>
      <w:spacing w:after="0" w:line="240" w:lineRule="auto"/>
      <w:ind/>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Colorful Shading Accent 5"/>
    <w:basedOn w:val="800"/>
    <w:uiPriority w:val="71"/>
    <w:pPr>
      <w:pBdr/>
      <w:spacing w:after="0" w:line="240" w:lineRule="auto"/>
      <w:ind/>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Colorful Shading Accent 6"/>
    <w:basedOn w:val="800"/>
    <w:uiPriority w:val="71"/>
    <w:pPr>
      <w:pBdr/>
      <w:spacing w:after="0" w:line="240" w:lineRule="auto"/>
      <w:ind/>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Colorful List"/>
    <w:basedOn w:val="800"/>
    <w:uiPriority w:val="72"/>
    <w:pPr>
      <w:pBdr/>
      <w:spacing w:after="0" w:line="240" w:lineRule="auto"/>
      <w:ind/>
    </w:pPr>
    <w:rPr>
      <w:color w:val="000000" w:themeColor="text1"/>
    </w:rPr>
    <w:tblPr>
      <w:tblStyleRowBandSize w:val="1"/>
      <w:tblStyleColBandSize w:val="1"/>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Colorful List Accent 1"/>
    <w:basedOn w:val="800"/>
    <w:uiPriority w:val="72"/>
    <w:pPr>
      <w:pBdr/>
      <w:spacing w:after="0" w:line="240" w:lineRule="auto"/>
      <w:ind/>
    </w:pPr>
    <w:rPr>
      <w:color w:val="000000" w:themeColor="text1"/>
    </w:rPr>
    <w:tblPr>
      <w:tblStyleRowBandSize w:val="1"/>
      <w:tblStyleColBandSize w:val="1"/>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Colorful List Accent 2"/>
    <w:basedOn w:val="800"/>
    <w:uiPriority w:val="72"/>
    <w:pPr>
      <w:pBdr/>
      <w:spacing w:after="0" w:line="240" w:lineRule="auto"/>
      <w:ind/>
    </w:pPr>
    <w:rPr>
      <w:color w:val="000000" w:themeColor="text1"/>
    </w:rPr>
    <w:tblPr>
      <w:tblStyleRowBandSize w:val="1"/>
      <w:tblStyleColBandSize w:val="1"/>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Colorful List Accent 3"/>
    <w:basedOn w:val="800"/>
    <w:uiPriority w:val="72"/>
    <w:pPr>
      <w:pBdr/>
      <w:spacing w:after="0" w:line="240" w:lineRule="auto"/>
      <w:ind/>
    </w:pPr>
    <w:rPr>
      <w:color w:val="000000" w:themeColor="text1"/>
    </w:rPr>
    <w:tblPr>
      <w:tblStyleRowBandSize w:val="1"/>
      <w:tblStyleColBandSize w:val="1"/>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Colorful List Accent 4"/>
    <w:basedOn w:val="800"/>
    <w:uiPriority w:val="72"/>
    <w:pPr>
      <w:pBdr/>
      <w:spacing w:after="0" w:line="240" w:lineRule="auto"/>
      <w:ind/>
    </w:pPr>
    <w:rPr>
      <w:color w:val="000000" w:themeColor="text1"/>
    </w:rPr>
    <w:tblPr>
      <w:tblStyleRowBandSize w:val="1"/>
      <w:tblStyleColBandSize w:val="1"/>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Colorful List Accent 5"/>
    <w:basedOn w:val="800"/>
    <w:uiPriority w:val="72"/>
    <w:pPr>
      <w:pBdr/>
      <w:spacing w:after="0" w:line="240" w:lineRule="auto"/>
      <w:ind/>
    </w:pPr>
    <w:rPr>
      <w:color w:val="000000" w:themeColor="text1"/>
    </w:rPr>
    <w:tblPr>
      <w:tblStyleRowBandSize w:val="1"/>
      <w:tblStyleColBandSize w:val="1"/>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Colorful List Accent 6"/>
    <w:basedOn w:val="800"/>
    <w:uiPriority w:val="72"/>
    <w:pPr>
      <w:pBdr/>
      <w:spacing w:after="0" w:line="240" w:lineRule="auto"/>
      <w:ind/>
    </w:pPr>
    <w:rPr>
      <w:color w:val="000000" w:themeColor="text1"/>
    </w:rPr>
    <w:tblPr>
      <w:tblStyleRowBandSize w:val="1"/>
      <w:tblStyleColBandSize w:val="1"/>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Colorful Grid"/>
    <w:basedOn w:val="800"/>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Colorful Grid Accent 1"/>
    <w:basedOn w:val="800"/>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Colorful Grid Accent 2"/>
    <w:basedOn w:val="800"/>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Colorful Grid Accent 3"/>
    <w:basedOn w:val="800"/>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Colorful Grid Accent 4"/>
    <w:basedOn w:val="800"/>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Colorful Grid Accent 5"/>
    <w:basedOn w:val="800"/>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Colorful Grid Accent 6"/>
    <w:basedOn w:val="800"/>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97">
    <w:name w:val="annotation reference"/>
    <w:basedOn w:val="799"/>
    <w:uiPriority w:val="99"/>
    <w:semiHidden/>
    <w:unhideWhenUsed/>
    <w:pPr>
      <w:pBdr/>
      <w:spacing/>
      <w:ind/>
    </w:pPr>
    <w:rPr>
      <w:sz w:val="16"/>
      <w:szCs w:val="16"/>
    </w:rPr>
  </w:style>
  <w:style w:type="paragraph" w:styleId="1098">
    <w:name w:val="annotation text"/>
    <w:basedOn w:val="789"/>
    <w:link w:val="1099"/>
    <w:uiPriority w:val="99"/>
    <w:unhideWhenUsed/>
    <w:pPr>
      <w:pBdr/>
      <w:spacing w:line="240" w:lineRule="auto"/>
      <w:ind/>
    </w:pPr>
    <w:rPr>
      <w:sz w:val="20"/>
      <w:szCs w:val="20"/>
    </w:rPr>
  </w:style>
  <w:style w:type="character" w:styleId="1099" w:customStyle="1">
    <w:name w:val="Comment Text Char"/>
    <w:basedOn w:val="799"/>
    <w:link w:val="1098"/>
    <w:uiPriority w:val="99"/>
    <w:pPr>
      <w:pBdr/>
      <w:spacing/>
      <w:ind/>
    </w:pPr>
    <w:rPr>
      <w:sz w:val="20"/>
      <w:szCs w:val="20"/>
    </w:rPr>
  </w:style>
  <w:style w:type="paragraph" w:styleId="1100">
    <w:name w:val="annotation subject"/>
    <w:basedOn w:val="1098"/>
    <w:next w:val="1098"/>
    <w:link w:val="1101"/>
    <w:uiPriority w:val="99"/>
    <w:semiHidden/>
    <w:unhideWhenUsed/>
    <w:pPr>
      <w:pBdr/>
      <w:spacing/>
      <w:ind/>
    </w:pPr>
    <w:rPr>
      <w:b/>
      <w:bCs/>
    </w:rPr>
  </w:style>
  <w:style w:type="character" w:styleId="1101" w:customStyle="1">
    <w:name w:val="Comment Subject Char"/>
    <w:basedOn w:val="1099"/>
    <w:link w:val="1100"/>
    <w:uiPriority w:val="99"/>
    <w:semiHidden/>
    <w:pPr>
      <w:pBdr/>
      <w:spacing/>
      <w:ind/>
    </w:pPr>
    <w:rPr>
      <w:b/>
      <w:bCs/>
      <w:sz w:val="20"/>
      <w:szCs w:val="20"/>
    </w:rPr>
  </w:style>
  <w:style w:type="paragraph" w:styleId="1102">
    <w:name w:val="Balloon Text"/>
    <w:basedOn w:val="789"/>
    <w:link w:val="1103"/>
    <w:uiPriority w:val="99"/>
    <w:semiHidden/>
    <w:unhideWhenUsed/>
    <w:pPr>
      <w:pBdr/>
      <w:spacing w:after="0" w:line="240" w:lineRule="auto"/>
      <w:ind/>
    </w:pPr>
    <w:rPr>
      <w:rFonts w:ascii="Segoe UI" w:hAnsi="Segoe UI" w:cs="Segoe UI"/>
      <w:sz w:val="18"/>
      <w:szCs w:val="18"/>
    </w:rPr>
  </w:style>
  <w:style w:type="character" w:styleId="1103" w:customStyle="1">
    <w:name w:val="Balloon Text Char"/>
    <w:basedOn w:val="799"/>
    <w:link w:val="1102"/>
    <w:uiPriority w:val="99"/>
    <w:semiHidden/>
    <w:pPr>
      <w:pBdr/>
      <w:spacing/>
      <w:ind/>
    </w:pPr>
    <w:rPr>
      <w:rFonts w:ascii="Segoe UI" w:hAnsi="Segoe UI" w:cs="Segoe UI"/>
      <w:sz w:val="18"/>
      <w:szCs w:val="18"/>
    </w:rPr>
  </w:style>
  <w:style w:type="character" w:styleId="1104" w:customStyle="1">
    <w:name w:val="List Paragraph Char"/>
    <w:link w:val="958"/>
    <w:uiPriority w:val="34"/>
    <w:qFormat/>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24644-8D4E-4AA8-B52E-C8B1DA6A6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ONLYOFFICE/9.2.1.8</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all Marilou FIORENTINO</cp:lastModifiedBy>
  <cp:revision>3</cp:revision>
  <dcterms:created xsi:type="dcterms:W3CDTF">2026-10-07T08:05:00Z</dcterms:created>
  <dcterms:modified xsi:type="dcterms:W3CDTF">2026-10-07T09:26:50Z</dcterms:modified>
  <cp:category/>
</cp:coreProperties>
</file>