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9EA10" w14:textId="77777777" w:rsidR="00CC1B01" w:rsidRDefault="008548A7" w:rsidP="008548A7">
      <w:pPr>
        <w:spacing w:after="0" w:line="240" w:lineRule="auto"/>
        <w:jc w:val="center"/>
        <w:rPr>
          <w:rFonts w:ascii="Times New Roman" w:eastAsia="Times New Roman" w:hAnsi="Times New Roman" w:cs="Times New Roman"/>
          <w:b/>
          <w:bCs/>
          <w:color w:val="auto"/>
          <w:sz w:val="36"/>
          <w:szCs w:val="36"/>
          <w14:ligatures w14:val="none"/>
        </w:rPr>
      </w:pPr>
      <w:r w:rsidRPr="002D0BCA">
        <w:rPr>
          <w:rFonts w:ascii="Times New Roman" w:eastAsia="Times New Roman" w:hAnsi="Times New Roman" w:cs="Times New Roman"/>
          <w:b/>
          <w:bCs/>
          <w:color w:val="auto"/>
          <w:sz w:val="36"/>
          <w:szCs w:val="36"/>
          <w14:ligatures w14:val="none"/>
        </w:rPr>
        <w:t>Graphic</w:t>
      </w:r>
      <w:r w:rsidR="00492C55" w:rsidRPr="002D0BCA">
        <w:rPr>
          <w:rFonts w:ascii="Times New Roman" w:eastAsia="Times New Roman" w:hAnsi="Times New Roman" w:cs="Times New Roman"/>
          <w:b/>
          <w:bCs/>
          <w:color w:val="auto"/>
          <w:sz w:val="36"/>
          <w:szCs w:val="36"/>
          <w14:ligatures w14:val="none"/>
        </w:rPr>
        <w:t xml:space="preserve"> Designer</w:t>
      </w:r>
      <w:r w:rsidR="00CC1B01">
        <w:rPr>
          <w:rFonts w:ascii="Times New Roman" w:eastAsia="Times New Roman" w:hAnsi="Times New Roman" w:cs="Times New Roman"/>
          <w:b/>
          <w:bCs/>
          <w:color w:val="auto"/>
          <w:sz w:val="36"/>
          <w:szCs w:val="36"/>
          <w14:ligatures w14:val="none"/>
        </w:rPr>
        <w:t xml:space="preserve"> for</w:t>
      </w:r>
      <w:r w:rsidR="002D0BCA" w:rsidRPr="002D0BCA">
        <w:rPr>
          <w:rFonts w:ascii="Times New Roman" w:eastAsia="Times New Roman" w:hAnsi="Times New Roman" w:cs="Times New Roman"/>
          <w:b/>
          <w:bCs/>
          <w:color w:val="auto"/>
          <w:sz w:val="36"/>
          <w:szCs w:val="36"/>
          <w14:ligatures w14:val="none"/>
        </w:rPr>
        <w:t xml:space="preserve"> publication</w:t>
      </w:r>
      <w:r w:rsidR="00CC1B01">
        <w:rPr>
          <w:rFonts w:ascii="Times New Roman" w:eastAsia="Times New Roman" w:hAnsi="Times New Roman" w:cs="Times New Roman"/>
          <w:b/>
          <w:bCs/>
          <w:color w:val="auto"/>
          <w:sz w:val="36"/>
          <w:szCs w:val="36"/>
          <w14:ligatures w14:val="none"/>
        </w:rPr>
        <w:t xml:space="preserve"> design</w:t>
      </w:r>
      <w:r w:rsidR="002D0BCA">
        <w:rPr>
          <w:rFonts w:ascii="Times New Roman" w:eastAsia="Times New Roman" w:hAnsi="Times New Roman" w:cs="Times New Roman"/>
          <w:b/>
          <w:bCs/>
          <w:color w:val="auto"/>
          <w:sz w:val="36"/>
          <w:szCs w:val="36"/>
          <w14:ligatures w14:val="none"/>
        </w:rPr>
        <w:t xml:space="preserve"> </w:t>
      </w:r>
    </w:p>
    <w:p w14:paraId="02E37FF0" w14:textId="11555356" w:rsidR="008548A7" w:rsidRPr="002D0BCA" w:rsidRDefault="002D0BCA" w:rsidP="008548A7">
      <w:pPr>
        <w:spacing w:after="0" w:line="240" w:lineRule="auto"/>
        <w:jc w:val="center"/>
        <w:rPr>
          <w:rFonts w:ascii="Times New Roman" w:eastAsia="Times New Roman" w:hAnsi="Times New Roman" w:cs="Times New Roman"/>
          <w:b/>
          <w:bCs/>
          <w:color w:val="auto"/>
          <w:sz w:val="36"/>
          <w:szCs w:val="36"/>
          <w14:ligatures w14:val="none"/>
        </w:rPr>
      </w:pPr>
      <w:r>
        <w:rPr>
          <w:rFonts w:ascii="Times New Roman" w:eastAsia="Times New Roman" w:hAnsi="Times New Roman" w:cs="Times New Roman"/>
          <w:b/>
          <w:bCs/>
          <w:color w:val="auto"/>
          <w:sz w:val="36"/>
          <w:szCs w:val="36"/>
          <w14:ligatures w14:val="none"/>
        </w:rPr>
        <w:t>P</w:t>
      </w:r>
      <w:r w:rsidRPr="002D0BCA">
        <w:rPr>
          <w:rFonts w:ascii="Times New Roman" w:eastAsia="Times New Roman" w:hAnsi="Times New Roman" w:cs="Times New Roman"/>
          <w:b/>
          <w:bCs/>
          <w:color w:val="auto"/>
          <w:sz w:val="36"/>
          <w:szCs w:val="36"/>
          <w14:ligatures w14:val="none"/>
        </w:rPr>
        <w:t>roject Green Budgeting for EU Regions and Greec</w:t>
      </w:r>
      <w:r w:rsidR="00CC1B01">
        <w:rPr>
          <w:rFonts w:ascii="Times New Roman" w:eastAsia="Times New Roman" w:hAnsi="Times New Roman" w:cs="Times New Roman"/>
          <w:b/>
          <w:bCs/>
          <w:color w:val="auto"/>
          <w:sz w:val="36"/>
          <w:szCs w:val="36"/>
          <w14:ligatures w14:val="none"/>
        </w:rPr>
        <w:t>e</w:t>
      </w:r>
    </w:p>
    <w:p w14:paraId="2E83462A" w14:textId="77777777" w:rsidR="008548A7" w:rsidRPr="002D0BCA" w:rsidRDefault="008548A7" w:rsidP="00467307">
      <w:pPr>
        <w:spacing w:after="0" w:line="240" w:lineRule="auto"/>
        <w:jc w:val="both"/>
        <w:rPr>
          <w:rFonts w:ascii="Times New Roman" w:eastAsia="Times New Roman" w:hAnsi="Times New Roman" w:cs="Times New Roman"/>
          <w:b/>
          <w:bCs/>
          <w:color w:val="auto"/>
          <w:sz w:val="24"/>
          <w:szCs w:val="24"/>
          <w14:ligatures w14:val="none"/>
        </w:rPr>
      </w:pPr>
    </w:p>
    <w:p w14:paraId="306C4753" w14:textId="6CAFC772" w:rsidR="00467307" w:rsidRPr="002D0BCA" w:rsidRDefault="00467307" w:rsidP="00467307">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b/>
          <w:bCs/>
          <w:color w:val="auto"/>
          <w:sz w:val="24"/>
          <w:szCs w:val="24"/>
          <w14:ligatures w14:val="none"/>
        </w:rPr>
        <w:t>Duty station:</w:t>
      </w:r>
      <w:r w:rsidRPr="002D0BCA">
        <w:rPr>
          <w:rFonts w:ascii="Times New Roman" w:eastAsia="Times New Roman" w:hAnsi="Times New Roman" w:cs="Times New Roman"/>
          <w:color w:val="auto"/>
          <w:sz w:val="24"/>
          <w:szCs w:val="24"/>
          <w14:ligatures w14:val="none"/>
        </w:rPr>
        <w:t xml:space="preserve"> remote</w:t>
      </w:r>
    </w:p>
    <w:p w14:paraId="44F917FD" w14:textId="77777777" w:rsidR="00467307" w:rsidRPr="002D0BCA" w:rsidRDefault="00467307" w:rsidP="00467307">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b/>
          <w:bCs/>
          <w:color w:val="auto"/>
          <w:sz w:val="24"/>
          <w:szCs w:val="24"/>
          <w14:ligatures w14:val="none"/>
        </w:rPr>
        <w:t>Contract type:</w:t>
      </w:r>
      <w:r w:rsidRPr="002D0BCA">
        <w:rPr>
          <w:rFonts w:ascii="Times New Roman" w:hAnsi="Times New Roman" w:cs="Times New Roman"/>
          <w:b/>
          <w:bCs/>
          <w:sz w:val="24"/>
          <w:szCs w:val="24"/>
        </w:rPr>
        <w:t xml:space="preserve"> </w:t>
      </w:r>
      <w:r w:rsidRPr="002D0BCA">
        <w:rPr>
          <w:rFonts w:ascii="Times New Roman" w:eastAsia="Times New Roman" w:hAnsi="Times New Roman" w:cs="Times New Roman"/>
          <w:color w:val="auto"/>
          <w:sz w:val="24"/>
          <w:szCs w:val="24"/>
          <w14:ligatures w14:val="none"/>
        </w:rPr>
        <w:t>service contract</w:t>
      </w:r>
    </w:p>
    <w:p w14:paraId="231A20C6" w14:textId="18E44014" w:rsidR="00467307" w:rsidRPr="002D0BCA" w:rsidRDefault="00467307" w:rsidP="00467307">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b/>
          <w:bCs/>
          <w:color w:val="auto"/>
          <w:sz w:val="24"/>
          <w:szCs w:val="24"/>
          <w14:ligatures w14:val="none"/>
        </w:rPr>
        <w:t>Duration:</w:t>
      </w:r>
      <w:r w:rsidRPr="002D0BCA">
        <w:rPr>
          <w:rFonts w:ascii="Times New Roman" w:eastAsia="Times New Roman" w:hAnsi="Times New Roman" w:cs="Times New Roman"/>
          <w:color w:val="auto"/>
          <w:sz w:val="24"/>
          <w:szCs w:val="24"/>
          <w14:ligatures w14:val="none"/>
        </w:rPr>
        <w:t xml:space="preserve"> </w:t>
      </w:r>
      <w:r w:rsidR="002D0BCA" w:rsidRPr="002D0BCA">
        <w:rPr>
          <w:rFonts w:ascii="Times New Roman" w:eastAsia="Times New Roman" w:hAnsi="Times New Roman" w:cs="Times New Roman"/>
          <w:color w:val="auto"/>
          <w:sz w:val="24"/>
          <w:szCs w:val="24"/>
          <w14:ligatures w14:val="none"/>
        </w:rPr>
        <w:t>20</w:t>
      </w:r>
      <w:r w:rsidR="008E6135" w:rsidRPr="002D0BCA">
        <w:rPr>
          <w:rFonts w:ascii="Times New Roman" w:eastAsia="Times New Roman" w:hAnsi="Times New Roman" w:cs="Times New Roman"/>
          <w:color w:val="auto"/>
          <w:sz w:val="24"/>
          <w:szCs w:val="24"/>
          <w14:ligatures w14:val="none"/>
        </w:rPr>
        <w:t xml:space="preserve"> </w:t>
      </w:r>
      <w:proofErr w:type="gramStart"/>
      <w:r w:rsidRPr="002D0BCA">
        <w:rPr>
          <w:rFonts w:ascii="Times New Roman" w:eastAsia="Times New Roman" w:hAnsi="Times New Roman" w:cs="Times New Roman"/>
          <w:color w:val="auto"/>
          <w:sz w:val="24"/>
          <w:szCs w:val="24"/>
          <w14:ligatures w14:val="none"/>
        </w:rPr>
        <w:t>days</w:t>
      </w:r>
      <w:proofErr w:type="gramEnd"/>
      <w:r w:rsidRPr="002D0BCA">
        <w:rPr>
          <w:rFonts w:ascii="Times New Roman" w:eastAsia="Times New Roman" w:hAnsi="Times New Roman" w:cs="Times New Roman"/>
          <w:color w:val="auto"/>
          <w:sz w:val="24"/>
          <w:szCs w:val="24"/>
          <w14:ligatures w14:val="none"/>
        </w:rPr>
        <w:t xml:space="preserve"> maximum, dispersed in the period between </w:t>
      </w:r>
      <w:r w:rsidR="008E6135" w:rsidRPr="002D0BCA">
        <w:rPr>
          <w:rFonts w:ascii="Times New Roman" w:eastAsia="Times New Roman" w:hAnsi="Times New Roman" w:cs="Times New Roman"/>
          <w:color w:val="auto"/>
          <w:sz w:val="24"/>
          <w:szCs w:val="24"/>
          <w14:ligatures w14:val="none"/>
        </w:rPr>
        <w:t>late March</w:t>
      </w:r>
      <w:r w:rsidRPr="002D0BCA">
        <w:rPr>
          <w:rFonts w:ascii="Times New Roman" w:eastAsia="Times New Roman" w:hAnsi="Times New Roman" w:cs="Times New Roman"/>
          <w:color w:val="auto"/>
          <w:sz w:val="24"/>
          <w:szCs w:val="24"/>
          <w14:ligatures w14:val="none"/>
        </w:rPr>
        <w:t xml:space="preserve"> 202</w:t>
      </w:r>
      <w:r w:rsidR="008E6135" w:rsidRPr="002D0BCA">
        <w:rPr>
          <w:rFonts w:ascii="Times New Roman" w:eastAsia="Times New Roman" w:hAnsi="Times New Roman" w:cs="Times New Roman"/>
          <w:color w:val="auto"/>
          <w:sz w:val="24"/>
          <w:szCs w:val="24"/>
          <w14:ligatures w14:val="none"/>
        </w:rPr>
        <w:t>6</w:t>
      </w:r>
      <w:r w:rsidRPr="002D0BCA">
        <w:rPr>
          <w:rFonts w:ascii="Times New Roman" w:eastAsia="Times New Roman" w:hAnsi="Times New Roman" w:cs="Times New Roman"/>
          <w:color w:val="auto"/>
          <w:sz w:val="24"/>
          <w:szCs w:val="24"/>
          <w14:ligatures w14:val="none"/>
        </w:rPr>
        <w:t xml:space="preserve"> to </w:t>
      </w:r>
      <w:r w:rsidR="00B1735E">
        <w:rPr>
          <w:rFonts w:ascii="Times New Roman" w:eastAsia="Times New Roman" w:hAnsi="Times New Roman" w:cs="Times New Roman"/>
          <w:color w:val="auto"/>
          <w:sz w:val="24"/>
          <w:szCs w:val="24"/>
          <w14:ligatures w14:val="none"/>
        </w:rPr>
        <w:t>May</w:t>
      </w:r>
      <w:r w:rsidR="007276E6">
        <w:rPr>
          <w:rFonts w:ascii="Times New Roman" w:eastAsia="Times New Roman" w:hAnsi="Times New Roman" w:cs="Times New Roman"/>
          <w:color w:val="auto"/>
          <w:sz w:val="24"/>
          <w:szCs w:val="24"/>
          <w14:ligatures w14:val="none"/>
        </w:rPr>
        <w:t xml:space="preserve"> </w:t>
      </w:r>
      <w:r w:rsidR="00F42880" w:rsidRPr="002D0BCA">
        <w:rPr>
          <w:rFonts w:ascii="Times New Roman" w:eastAsia="Times New Roman" w:hAnsi="Times New Roman" w:cs="Times New Roman"/>
          <w:color w:val="auto"/>
          <w:sz w:val="24"/>
          <w:szCs w:val="24"/>
          <w14:ligatures w14:val="none"/>
        </w:rPr>
        <w:t>202</w:t>
      </w:r>
      <w:r w:rsidR="008E6135" w:rsidRPr="002D0BCA">
        <w:rPr>
          <w:rFonts w:ascii="Times New Roman" w:eastAsia="Times New Roman" w:hAnsi="Times New Roman" w:cs="Times New Roman"/>
          <w:color w:val="auto"/>
          <w:sz w:val="24"/>
          <w:szCs w:val="24"/>
          <w14:ligatures w14:val="none"/>
        </w:rPr>
        <w:t>6</w:t>
      </w:r>
    </w:p>
    <w:p w14:paraId="3C6819EE" w14:textId="77777777" w:rsidR="00467307" w:rsidRPr="002D0BCA" w:rsidRDefault="00467307" w:rsidP="00467307">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b/>
          <w:bCs/>
          <w:color w:val="auto"/>
          <w:sz w:val="24"/>
          <w:szCs w:val="24"/>
          <w14:ligatures w14:val="none"/>
        </w:rPr>
        <w:t>Department:</w:t>
      </w:r>
      <w:r w:rsidRPr="002D0BCA">
        <w:rPr>
          <w:rFonts w:ascii="Times New Roman" w:eastAsia="Times New Roman" w:hAnsi="Times New Roman" w:cs="Times New Roman"/>
          <w:color w:val="auto"/>
          <w:sz w:val="24"/>
          <w:szCs w:val="24"/>
          <w14:ligatures w14:val="none"/>
        </w:rPr>
        <w:t xml:space="preserve"> Governance</w:t>
      </w:r>
    </w:p>
    <w:p w14:paraId="00B79CAD" w14:textId="77777777" w:rsidR="00467307" w:rsidRPr="002D0BCA" w:rsidRDefault="00467307" w:rsidP="00467307">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b/>
          <w:bCs/>
          <w:color w:val="auto"/>
          <w:sz w:val="24"/>
          <w:szCs w:val="24"/>
          <w14:ligatures w14:val="none"/>
        </w:rPr>
        <w:t>Unit:</w:t>
      </w:r>
      <w:r w:rsidRPr="002D0BCA">
        <w:rPr>
          <w:rFonts w:ascii="Times New Roman" w:eastAsia="Times New Roman" w:hAnsi="Times New Roman" w:cs="Times New Roman"/>
          <w:color w:val="auto"/>
          <w:sz w:val="24"/>
          <w:szCs w:val="24"/>
          <w14:ligatures w14:val="none"/>
        </w:rPr>
        <w:t xml:space="preserve"> Transparency, Management and Public Accountability</w:t>
      </w:r>
    </w:p>
    <w:p w14:paraId="1F024AD4" w14:textId="7F495D64" w:rsidR="00467307" w:rsidRPr="002D0BCA" w:rsidRDefault="00DA09DB" w:rsidP="00467307">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b/>
          <w:bCs/>
          <w:color w:val="auto"/>
          <w:sz w:val="24"/>
          <w:szCs w:val="24"/>
          <w14:ligatures w14:val="none"/>
        </w:rPr>
        <w:t>Deadline</w:t>
      </w:r>
      <w:r w:rsidR="00467307" w:rsidRPr="002D0BCA">
        <w:rPr>
          <w:rFonts w:ascii="Times New Roman" w:eastAsia="Times New Roman" w:hAnsi="Times New Roman" w:cs="Times New Roman"/>
          <w:b/>
          <w:bCs/>
          <w:color w:val="auto"/>
          <w:sz w:val="24"/>
          <w:szCs w:val="24"/>
          <w14:ligatures w14:val="none"/>
        </w:rPr>
        <w:t xml:space="preserve"> for application</w:t>
      </w:r>
      <w:r w:rsidRPr="002D0BCA">
        <w:rPr>
          <w:rFonts w:ascii="Times New Roman" w:eastAsia="Times New Roman" w:hAnsi="Times New Roman" w:cs="Times New Roman"/>
          <w:b/>
          <w:bCs/>
          <w:color w:val="auto"/>
          <w:sz w:val="24"/>
          <w:szCs w:val="24"/>
          <w14:ligatures w14:val="none"/>
        </w:rPr>
        <w:t>:</w:t>
      </w:r>
      <w:r w:rsidR="00467307" w:rsidRPr="002D0BCA">
        <w:rPr>
          <w:rFonts w:ascii="Times New Roman" w:eastAsia="Times New Roman" w:hAnsi="Times New Roman" w:cs="Times New Roman"/>
          <w:b/>
          <w:bCs/>
          <w:color w:val="auto"/>
          <w:sz w:val="24"/>
          <w:szCs w:val="24"/>
          <w14:ligatures w14:val="none"/>
        </w:rPr>
        <w:t xml:space="preserve"> </w:t>
      </w:r>
      <w:r w:rsidR="008E6135" w:rsidRPr="002D0BCA">
        <w:rPr>
          <w:rFonts w:ascii="Times New Roman" w:eastAsia="Times New Roman" w:hAnsi="Times New Roman" w:cs="Times New Roman"/>
          <w:color w:val="auto"/>
          <w:sz w:val="24"/>
          <w:szCs w:val="24"/>
          <w14:ligatures w14:val="none"/>
        </w:rPr>
        <w:t>March 27</w:t>
      </w:r>
      <w:r w:rsidR="008E6135" w:rsidRPr="002D0BCA">
        <w:rPr>
          <w:rFonts w:ascii="Times New Roman" w:eastAsia="Times New Roman" w:hAnsi="Times New Roman" w:cs="Times New Roman"/>
          <w:color w:val="auto"/>
          <w:sz w:val="24"/>
          <w:szCs w:val="24"/>
          <w:vertAlign w:val="superscript"/>
          <w14:ligatures w14:val="none"/>
        </w:rPr>
        <w:t>th</w:t>
      </w:r>
      <w:r w:rsidR="002D0BCA" w:rsidRPr="002D0BCA">
        <w:rPr>
          <w:rFonts w:ascii="Times New Roman" w:eastAsia="Times New Roman" w:hAnsi="Times New Roman" w:cs="Times New Roman"/>
          <w:color w:val="auto"/>
          <w:sz w:val="24"/>
          <w:szCs w:val="24"/>
          <w14:ligatures w14:val="none"/>
        </w:rPr>
        <w:t>, 2026</w:t>
      </w:r>
    </w:p>
    <w:p w14:paraId="0C1A1F03" w14:textId="77777777" w:rsidR="00284BF1" w:rsidRPr="002D0BCA" w:rsidRDefault="00284BF1">
      <w:pPr>
        <w:rPr>
          <w:rFonts w:ascii="Times New Roman" w:hAnsi="Times New Roman" w:cs="Times New Roman"/>
          <w:sz w:val="24"/>
          <w:szCs w:val="24"/>
        </w:rPr>
      </w:pPr>
    </w:p>
    <w:p w14:paraId="445508D0" w14:textId="21FFC32B" w:rsidR="003E4815" w:rsidRPr="00B617AA" w:rsidRDefault="003E4815" w:rsidP="00B617AA">
      <w:pPr>
        <w:pStyle w:val="Paragraphedeliste"/>
        <w:numPr>
          <w:ilvl w:val="0"/>
          <w:numId w:val="4"/>
        </w:numPr>
        <w:spacing w:before="100" w:beforeAutospacing="1" w:after="100" w:afterAutospacing="1" w:line="240" w:lineRule="auto"/>
        <w:outlineLvl w:val="1"/>
        <w:rPr>
          <w:rFonts w:ascii="Times New Roman" w:eastAsia="Times New Roman" w:hAnsi="Times New Roman" w:cs="Times New Roman"/>
          <w:b/>
          <w:bCs/>
          <w:color w:val="auto"/>
          <w:sz w:val="24"/>
          <w:szCs w:val="24"/>
          <w14:ligatures w14:val="none"/>
        </w:rPr>
      </w:pPr>
      <w:r w:rsidRPr="00B617AA">
        <w:rPr>
          <w:rFonts w:ascii="Times New Roman" w:eastAsia="Times New Roman" w:hAnsi="Times New Roman" w:cs="Times New Roman"/>
          <w:b/>
          <w:bCs/>
          <w:color w:val="auto"/>
          <w:sz w:val="24"/>
          <w:szCs w:val="24"/>
          <w14:ligatures w14:val="none"/>
        </w:rPr>
        <w:t xml:space="preserve">Mission description </w:t>
      </w:r>
    </w:p>
    <w:p w14:paraId="0E1F8E52" w14:textId="77777777" w:rsidR="002D0BCA" w:rsidRPr="002D0BCA" w:rsidRDefault="003E4815" w:rsidP="001C4D00">
      <w:p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 xml:space="preserve">This </w:t>
      </w:r>
      <w:r w:rsidR="002D0BCA" w:rsidRPr="002D0BCA">
        <w:rPr>
          <w:rFonts w:ascii="Times New Roman" w:eastAsia="Times New Roman" w:hAnsi="Times New Roman" w:cs="Times New Roman"/>
          <w:color w:val="auto"/>
          <w:sz w:val="24"/>
          <w:szCs w:val="24"/>
          <w14:ligatures w14:val="none"/>
        </w:rPr>
        <w:t xml:space="preserve">assignment </w:t>
      </w:r>
      <w:r w:rsidRPr="002D0BCA">
        <w:rPr>
          <w:rFonts w:ascii="Times New Roman" w:eastAsia="Times New Roman" w:hAnsi="Times New Roman" w:cs="Times New Roman"/>
          <w:color w:val="auto"/>
          <w:sz w:val="24"/>
          <w:szCs w:val="24"/>
          <w14:ligatures w14:val="none"/>
        </w:rPr>
        <w:t xml:space="preserve">aims </w:t>
      </w:r>
      <w:r w:rsidR="002D0BCA" w:rsidRPr="002D0BCA">
        <w:rPr>
          <w:rFonts w:ascii="Times New Roman" w:eastAsia="Times New Roman" w:hAnsi="Times New Roman" w:cs="Times New Roman"/>
          <w:color w:val="auto"/>
          <w:sz w:val="24"/>
          <w:szCs w:val="24"/>
          <w14:ligatures w14:val="none"/>
        </w:rPr>
        <w:t>at</w:t>
      </w:r>
      <w:r w:rsidRPr="002D0BCA">
        <w:rPr>
          <w:rFonts w:ascii="Times New Roman" w:eastAsia="Times New Roman" w:hAnsi="Times New Roman" w:cs="Times New Roman"/>
          <w:color w:val="auto"/>
          <w:sz w:val="24"/>
          <w:szCs w:val="24"/>
          <w14:ligatures w14:val="none"/>
        </w:rPr>
        <w:t xml:space="preserve"> </w:t>
      </w:r>
      <w:r w:rsidR="008057AB" w:rsidRPr="002D0BCA">
        <w:rPr>
          <w:rFonts w:ascii="Times New Roman" w:eastAsia="Times New Roman" w:hAnsi="Times New Roman" w:cs="Times New Roman"/>
          <w:color w:val="auto"/>
          <w:sz w:val="24"/>
          <w:szCs w:val="24"/>
          <w14:ligatures w14:val="none"/>
        </w:rPr>
        <w:t>support</w:t>
      </w:r>
      <w:r w:rsidR="002D0BCA" w:rsidRPr="002D0BCA">
        <w:rPr>
          <w:rFonts w:ascii="Times New Roman" w:eastAsia="Times New Roman" w:hAnsi="Times New Roman" w:cs="Times New Roman"/>
          <w:color w:val="auto"/>
          <w:sz w:val="24"/>
          <w:szCs w:val="24"/>
          <w14:ligatures w14:val="none"/>
        </w:rPr>
        <w:t>ing</w:t>
      </w:r>
      <w:r w:rsidR="004E0CCB" w:rsidRPr="002D0BCA">
        <w:rPr>
          <w:rFonts w:ascii="Times New Roman" w:eastAsia="Times New Roman" w:hAnsi="Times New Roman" w:cs="Times New Roman"/>
          <w:color w:val="auto"/>
          <w:sz w:val="24"/>
          <w:szCs w:val="24"/>
          <w14:ligatures w14:val="none"/>
        </w:rPr>
        <w:t xml:space="preserve"> the</w:t>
      </w:r>
      <w:r w:rsidR="008E6135" w:rsidRPr="002D0BCA">
        <w:rPr>
          <w:rFonts w:ascii="Times New Roman" w:eastAsia="Times New Roman" w:hAnsi="Times New Roman" w:cs="Times New Roman"/>
          <w:color w:val="auto"/>
          <w:sz w:val="24"/>
          <w:szCs w:val="24"/>
          <w14:ligatures w14:val="none"/>
        </w:rPr>
        <w:t xml:space="preserve"> graphic elements of a policy brief</w:t>
      </w:r>
      <w:r w:rsidR="004E0CCB" w:rsidRPr="002D0BCA">
        <w:rPr>
          <w:rFonts w:ascii="Times New Roman" w:eastAsia="Times New Roman" w:hAnsi="Times New Roman" w:cs="Times New Roman"/>
          <w:color w:val="auto"/>
          <w:sz w:val="24"/>
          <w:szCs w:val="24"/>
          <w14:ligatures w14:val="none"/>
        </w:rPr>
        <w:t xml:space="preserve"> </w:t>
      </w:r>
      <w:r w:rsidR="008057AB" w:rsidRPr="002D0BCA">
        <w:rPr>
          <w:rFonts w:ascii="Times New Roman" w:eastAsia="Times New Roman" w:hAnsi="Times New Roman" w:cs="Times New Roman"/>
          <w:color w:val="auto"/>
          <w:sz w:val="24"/>
          <w:szCs w:val="24"/>
          <w14:ligatures w14:val="none"/>
        </w:rPr>
        <w:t>in the framework of the project Green Budgeting for EU Regions and Greece</w:t>
      </w:r>
      <w:r w:rsidR="004E0CCB" w:rsidRPr="002D0BCA">
        <w:rPr>
          <w:rFonts w:ascii="Times New Roman" w:eastAsia="Times New Roman" w:hAnsi="Times New Roman" w:cs="Times New Roman"/>
          <w:color w:val="auto"/>
          <w:sz w:val="24"/>
          <w:szCs w:val="24"/>
          <w14:ligatures w14:val="none"/>
        </w:rPr>
        <w:t xml:space="preserve">. The </w:t>
      </w:r>
      <w:r w:rsidR="008E6135" w:rsidRPr="002D0BCA">
        <w:rPr>
          <w:rFonts w:ascii="Times New Roman" w:eastAsia="Times New Roman" w:hAnsi="Times New Roman" w:cs="Times New Roman"/>
          <w:color w:val="auto"/>
          <w:sz w:val="24"/>
          <w:szCs w:val="24"/>
          <w14:ligatures w14:val="none"/>
        </w:rPr>
        <w:t xml:space="preserve">policy brief </w:t>
      </w:r>
      <w:r w:rsidR="0057209B" w:rsidRPr="002D0BCA">
        <w:rPr>
          <w:rFonts w:ascii="Times New Roman" w:eastAsia="Times New Roman" w:hAnsi="Times New Roman" w:cs="Times New Roman"/>
          <w:color w:val="auto"/>
          <w:sz w:val="24"/>
          <w:szCs w:val="24"/>
          <w14:ligatures w14:val="none"/>
        </w:rPr>
        <w:t xml:space="preserve">aims to </w:t>
      </w:r>
      <w:r w:rsidR="008057AB" w:rsidRPr="002D0BCA">
        <w:rPr>
          <w:rFonts w:ascii="Times New Roman" w:eastAsia="Times New Roman" w:hAnsi="Times New Roman" w:cs="Times New Roman"/>
          <w:color w:val="auto"/>
          <w:sz w:val="24"/>
          <w:szCs w:val="24"/>
          <w14:ligatures w14:val="none"/>
        </w:rPr>
        <w:t>present</w:t>
      </w:r>
      <w:r w:rsidR="004E0CCB" w:rsidRPr="002D0BCA">
        <w:rPr>
          <w:rFonts w:ascii="Times New Roman" w:eastAsia="Times New Roman" w:hAnsi="Times New Roman" w:cs="Times New Roman"/>
          <w:color w:val="auto"/>
          <w:sz w:val="24"/>
          <w:szCs w:val="24"/>
          <w14:ligatures w14:val="none"/>
        </w:rPr>
        <w:t xml:space="preserve"> the project to other European regions and the </w:t>
      </w:r>
      <w:r w:rsidR="00654A7E" w:rsidRPr="002D0BCA">
        <w:rPr>
          <w:rFonts w:ascii="Times New Roman" w:eastAsia="Times New Roman" w:hAnsi="Times New Roman" w:cs="Times New Roman"/>
          <w:color w:val="auto"/>
          <w:sz w:val="24"/>
          <w:szCs w:val="24"/>
          <w14:ligatures w14:val="none"/>
        </w:rPr>
        <w:t>public</w:t>
      </w:r>
      <w:r w:rsidR="004E0CCB" w:rsidRPr="002D0BCA">
        <w:rPr>
          <w:rFonts w:ascii="Times New Roman" w:eastAsia="Times New Roman" w:hAnsi="Times New Roman" w:cs="Times New Roman"/>
          <w:color w:val="auto"/>
          <w:sz w:val="24"/>
          <w:szCs w:val="24"/>
          <w14:ligatures w14:val="none"/>
        </w:rPr>
        <w:t xml:space="preserve">, highlighting </w:t>
      </w:r>
      <w:r w:rsidR="008E6135" w:rsidRPr="002D0BCA">
        <w:rPr>
          <w:rFonts w:ascii="Times New Roman" w:eastAsia="Times New Roman" w:hAnsi="Times New Roman" w:cs="Times New Roman"/>
          <w:color w:val="auto"/>
          <w:sz w:val="24"/>
          <w:szCs w:val="24"/>
          <w14:ligatures w14:val="none"/>
        </w:rPr>
        <w:t xml:space="preserve">best practices and </w:t>
      </w:r>
      <w:r w:rsidR="002D0BCA" w:rsidRPr="002D0BCA">
        <w:rPr>
          <w:rFonts w:ascii="Times New Roman" w:eastAsia="Times New Roman" w:hAnsi="Times New Roman" w:cs="Times New Roman"/>
          <w:color w:val="auto"/>
          <w:sz w:val="24"/>
          <w:szCs w:val="24"/>
          <w14:ligatures w14:val="none"/>
        </w:rPr>
        <w:t>results. This policy brief will serve three interconnected purposes:</w:t>
      </w:r>
    </w:p>
    <w:p w14:paraId="6BA38D6B" w14:textId="77777777" w:rsidR="002D0BCA" w:rsidRPr="002D0BCA" w:rsidRDefault="002D0BCA" w:rsidP="001C4D00">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w:t>
      </w:r>
      <w:r w:rsidRPr="002D0BCA">
        <w:rPr>
          <w:rFonts w:ascii="Times New Roman" w:eastAsia="Times New Roman" w:hAnsi="Times New Roman" w:cs="Times New Roman"/>
          <w:color w:val="auto"/>
          <w:sz w:val="24"/>
          <w:szCs w:val="24"/>
          <w14:ligatures w14:val="none"/>
        </w:rPr>
        <w:tab/>
        <w:t>Present project results</w:t>
      </w:r>
      <w:r w:rsidRPr="002D0BCA">
        <w:rPr>
          <w:rFonts w:ascii="Times New Roman" w:eastAsia="Times New Roman" w:hAnsi="Times New Roman" w:cs="Times New Roman"/>
          <w:color w:val="auto"/>
          <w:sz w:val="24"/>
          <w:szCs w:val="24"/>
          <w14:ligatures w14:val="none"/>
        </w:rPr>
        <w:tab/>
      </w:r>
    </w:p>
    <w:p w14:paraId="7C753376" w14:textId="77777777" w:rsidR="002D0BCA" w:rsidRPr="002D0BCA" w:rsidRDefault="002D0BCA" w:rsidP="001C4D00">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w:t>
      </w:r>
      <w:r w:rsidRPr="002D0BCA">
        <w:rPr>
          <w:rFonts w:ascii="Times New Roman" w:eastAsia="Times New Roman" w:hAnsi="Times New Roman" w:cs="Times New Roman"/>
          <w:color w:val="auto"/>
          <w:sz w:val="24"/>
          <w:szCs w:val="24"/>
          <w14:ligatures w14:val="none"/>
        </w:rPr>
        <w:tab/>
        <w:t>Provide methodological guidance</w:t>
      </w:r>
      <w:r w:rsidRPr="002D0BCA">
        <w:rPr>
          <w:rFonts w:ascii="Times New Roman" w:eastAsia="Times New Roman" w:hAnsi="Times New Roman" w:cs="Times New Roman"/>
          <w:color w:val="auto"/>
          <w:sz w:val="24"/>
          <w:szCs w:val="24"/>
          <w14:ligatures w14:val="none"/>
        </w:rPr>
        <w:tab/>
      </w:r>
    </w:p>
    <w:p w14:paraId="37441DCB" w14:textId="77777777" w:rsidR="002D0BCA" w:rsidRPr="002D0BCA" w:rsidRDefault="002D0BCA" w:rsidP="001C4D00">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w:t>
      </w:r>
      <w:r w:rsidRPr="002D0BCA">
        <w:rPr>
          <w:rFonts w:ascii="Times New Roman" w:eastAsia="Times New Roman" w:hAnsi="Times New Roman" w:cs="Times New Roman"/>
          <w:color w:val="auto"/>
          <w:sz w:val="24"/>
          <w:szCs w:val="24"/>
          <w14:ligatures w14:val="none"/>
        </w:rPr>
        <w:tab/>
        <w:t>Share lessons and recommendations</w:t>
      </w:r>
      <w:r w:rsidRPr="002D0BCA">
        <w:rPr>
          <w:rFonts w:ascii="Times New Roman" w:eastAsia="Times New Roman" w:hAnsi="Times New Roman" w:cs="Times New Roman"/>
          <w:color w:val="auto"/>
          <w:sz w:val="24"/>
          <w:szCs w:val="24"/>
          <w14:ligatures w14:val="none"/>
        </w:rPr>
        <w:tab/>
      </w:r>
    </w:p>
    <w:p w14:paraId="2D4ECC3F" w14:textId="6842A8E5" w:rsidR="002D0BCA" w:rsidRPr="002D0BCA" w:rsidRDefault="002D0BCA" w:rsidP="001C4D00">
      <w:pPr>
        <w:spacing w:after="0"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w:t>
      </w:r>
      <w:r w:rsidRPr="002D0BCA">
        <w:rPr>
          <w:rFonts w:ascii="Times New Roman" w:eastAsia="Times New Roman" w:hAnsi="Times New Roman" w:cs="Times New Roman"/>
          <w:color w:val="auto"/>
          <w:sz w:val="24"/>
          <w:szCs w:val="24"/>
          <w14:ligatures w14:val="none"/>
        </w:rPr>
        <w:tab/>
        <w:t>Capture practical lessons from methodological tools and from peer-to-peer learning activities, and distilling them into actionable recommendations</w:t>
      </w:r>
    </w:p>
    <w:p w14:paraId="7AE64263" w14:textId="4D94EE64" w:rsidR="00AA0A26" w:rsidRPr="002D0BCA" w:rsidRDefault="003E4815" w:rsidP="001C4D00">
      <w:pPr>
        <w:spacing w:before="100" w:beforeAutospacing="1" w:after="100" w:afterAutospacing="1" w:line="240" w:lineRule="auto"/>
        <w:jc w:val="both"/>
        <w:rPr>
          <w:rFonts w:ascii="Times New Roman" w:eastAsia="Times New Roman" w:hAnsi="Times New Roman" w:cs="Times New Roman"/>
          <w:b/>
          <w:bCs/>
          <w:color w:val="auto"/>
          <w:sz w:val="24"/>
          <w:szCs w:val="24"/>
          <w14:ligatures w14:val="none"/>
        </w:rPr>
      </w:pPr>
      <w:r w:rsidRPr="002D0BCA">
        <w:rPr>
          <w:rFonts w:ascii="Times New Roman" w:eastAsia="Times New Roman" w:hAnsi="Times New Roman" w:cs="Times New Roman"/>
          <w:color w:val="auto"/>
          <w:sz w:val="24"/>
          <w:szCs w:val="24"/>
          <w14:ligatures w14:val="none"/>
        </w:rPr>
        <w:t xml:space="preserve">In consultation with </w:t>
      </w:r>
      <w:r w:rsidR="009D5259" w:rsidRPr="002D0BCA">
        <w:rPr>
          <w:rFonts w:ascii="Times New Roman" w:eastAsia="Times New Roman" w:hAnsi="Times New Roman" w:cs="Times New Roman"/>
          <w:color w:val="auto"/>
          <w:sz w:val="24"/>
          <w:szCs w:val="24"/>
          <w14:ligatures w14:val="none"/>
        </w:rPr>
        <w:t>Expertise France</w:t>
      </w:r>
      <w:r w:rsidRPr="002D0BCA">
        <w:rPr>
          <w:rFonts w:ascii="Times New Roman" w:eastAsia="Times New Roman" w:hAnsi="Times New Roman" w:cs="Times New Roman"/>
          <w:color w:val="auto"/>
          <w:sz w:val="24"/>
          <w:szCs w:val="24"/>
          <w14:ligatures w14:val="none"/>
        </w:rPr>
        <w:t xml:space="preserve"> project team</w:t>
      </w:r>
      <w:r w:rsidR="005318A8" w:rsidRPr="002D0BCA">
        <w:rPr>
          <w:rFonts w:ascii="Times New Roman" w:eastAsia="Times New Roman" w:hAnsi="Times New Roman" w:cs="Times New Roman"/>
          <w:color w:val="auto"/>
          <w:sz w:val="24"/>
          <w:szCs w:val="24"/>
          <w14:ligatures w14:val="none"/>
        </w:rPr>
        <w:t xml:space="preserve"> and </w:t>
      </w:r>
      <w:r w:rsidR="008E6135" w:rsidRPr="002D0BCA">
        <w:rPr>
          <w:rFonts w:ascii="Times New Roman" w:eastAsia="Times New Roman" w:hAnsi="Times New Roman" w:cs="Times New Roman"/>
          <w:color w:val="auto"/>
          <w:sz w:val="24"/>
          <w:szCs w:val="24"/>
          <w14:ligatures w14:val="none"/>
        </w:rPr>
        <w:t xml:space="preserve">the </w:t>
      </w:r>
      <w:proofErr w:type="spellStart"/>
      <w:r w:rsidR="008E6135" w:rsidRPr="002D0BCA">
        <w:rPr>
          <w:rFonts w:ascii="Times New Roman" w:eastAsia="Times New Roman" w:hAnsi="Times New Roman" w:cs="Times New Roman"/>
          <w:color w:val="auto"/>
          <w:sz w:val="24"/>
          <w:szCs w:val="24"/>
          <w14:ligatures w14:val="none"/>
        </w:rPr>
        <w:t>Capitalisation</w:t>
      </w:r>
      <w:proofErr w:type="spellEnd"/>
      <w:r w:rsidR="008E6135" w:rsidRPr="002D0BCA">
        <w:rPr>
          <w:rFonts w:ascii="Times New Roman" w:eastAsia="Times New Roman" w:hAnsi="Times New Roman" w:cs="Times New Roman"/>
          <w:color w:val="auto"/>
          <w:sz w:val="24"/>
          <w:szCs w:val="24"/>
          <w14:ligatures w14:val="none"/>
        </w:rPr>
        <w:t xml:space="preserve"> Expert,</w:t>
      </w:r>
      <w:r w:rsidR="005318A8" w:rsidRPr="002D0BCA">
        <w:rPr>
          <w:rFonts w:ascii="Times New Roman" w:eastAsia="Times New Roman" w:hAnsi="Times New Roman" w:cs="Times New Roman"/>
          <w:color w:val="auto"/>
          <w:sz w:val="24"/>
          <w:szCs w:val="24"/>
          <w14:ligatures w14:val="none"/>
        </w:rPr>
        <w:t xml:space="preserve"> </w:t>
      </w:r>
      <w:r w:rsidR="005318A8" w:rsidRPr="002D0BCA">
        <w:rPr>
          <w:rFonts w:ascii="Times New Roman" w:eastAsia="Times New Roman" w:hAnsi="Times New Roman" w:cs="Times New Roman"/>
          <w:b/>
          <w:bCs/>
          <w:color w:val="auto"/>
          <w:sz w:val="24"/>
          <w:szCs w:val="24"/>
          <w14:ligatures w14:val="none"/>
        </w:rPr>
        <w:t xml:space="preserve">the Graphic Designer </w:t>
      </w:r>
      <w:r w:rsidRPr="002D0BCA">
        <w:rPr>
          <w:rFonts w:ascii="Times New Roman" w:eastAsia="Times New Roman" w:hAnsi="Times New Roman" w:cs="Times New Roman"/>
          <w:b/>
          <w:bCs/>
          <w:color w:val="auto"/>
          <w:sz w:val="24"/>
          <w:szCs w:val="24"/>
          <w14:ligatures w14:val="none"/>
        </w:rPr>
        <w:t xml:space="preserve">will </w:t>
      </w:r>
      <w:r w:rsidR="002D0BCA" w:rsidRPr="002D0BCA">
        <w:rPr>
          <w:rFonts w:ascii="Times New Roman" w:eastAsia="Times New Roman" w:hAnsi="Times New Roman" w:cs="Times New Roman"/>
          <w:b/>
          <w:bCs/>
          <w:color w:val="auto"/>
          <w:sz w:val="24"/>
          <w:szCs w:val="24"/>
          <w14:ligatures w14:val="none"/>
        </w:rPr>
        <w:t>perform the following tasks</w:t>
      </w:r>
      <w:r w:rsidRPr="002D0BCA">
        <w:rPr>
          <w:rFonts w:ascii="Times New Roman" w:eastAsia="Times New Roman" w:hAnsi="Times New Roman" w:cs="Times New Roman"/>
          <w:b/>
          <w:bCs/>
          <w:color w:val="auto"/>
          <w:sz w:val="24"/>
          <w:szCs w:val="24"/>
          <w14:ligatures w14:val="none"/>
        </w:rPr>
        <w:t>:</w:t>
      </w:r>
    </w:p>
    <w:p w14:paraId="056521A0" w14:textId="65C3D262" w:rsidR="002D0BCA" w:rsidRPr="002D0BCA" w:rsidRDefault="002D0BCA" w:rsidP="001C4D00">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Read the draft of the policy brief to familiarize herself/himself with the content and propose potential graphic elements</w:t>
      </w:r>
    </w:p>
    <w:p w14:paraId="0A16F6EA" w14:textId="658A4AD1" w:rsidR="008538B5" w:rsidRPr="002D0BCA" w:rsidRDefault="00B3252F" w:rsidP="001C4D00">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 xml:space="preserve">Participate in </w:t>
      </w:r>
      <w:r w:rsidR="00D549D4" w:rsidRPr="002D0BCA">
        <w:rPr>
          <w:rFonts w:ascii="Times New Roman" w:eastAsia="Times New Roman" w:hAnsi="Times New Roman" w:cs="Times New Roman"/>
          <w:color w:val="auto"/>
          <w:sz w:val="24"/>
          <w:szCs w:val="24"/>
          <w14:ligatures w14:val="none"/>
        </w:rPr>
        <w:t>meetings</w:t>
      </w:r>
      <w:r w:rsidRPr="002D0BCA">
        <w:rPr>
          <w:rFonts w:ascii="Times New Roman" w:eastAsia="Times New Roman" w:hAnsi="Times New Roman" w:cs="Times New Roman"/>
          <w:color w:val="auto"/>
          <w:sz w:val="24"/>
          <w:szCs w:val="24"/>
          <w14:ligatures w14:val="none"/>
        </w:rPr>
        <w:t xml:space="preserve"> with the </w:t>
      </w:r>
      <w:proofErr w:type="spellStart"/>
      <w:r w:rsidR="0057209B" w:rsidRPr="002D0BCA">
        <w:rPr>
          <w:rFonts w:ascii="Times New Roman" w:eastAsia="Times New Roman" w:hAnsi="Times New Roman" w:cs="Times New Roman"/>
          <w:color w:val="auto"/>
          <w:sz w:val="24"/>
          <w:szCs w:val="24"/>
          <w14:ligatures w14:val="none"/>
        </w:rPr>
        <w:t>Capitalisation</w:t>
      </w:r>
      <w:proofErr w:type="spellEnd"/>
      <w:r w:rsidR="0057209B" w:rsidRPr="002D0BCA">
        <w:rPr>
          <w:rFonts w:ascii="Times New Roman" w:eastAsia="Times New Roman" w:hAnsi="Times New Roman" w:cs="Times New Roman"/>
          <w:color w:val="auto"/>
          <w:sz w:val="24"/>
          <w:szCs w:val="24"/>
          <w14:ligatures w14:val="none"/>
        </w:rPr>
        <w:t xml:space="preserve"> exper</w:t>
      </w:r>
      <w:r w:rsidR="008E6135" w:rsidRPr="002D0BCA">
        <w:rPr>
          <w:rFonts w:ascii="Times New Roman" w:eastAsia="Times New Roman" w:hAnsi="Times New Roman" w:cs="Times New Roman"/>
          <w:color w:val="auto"/>
          <w:sz w:val="24"/>
          <w:szCs w:val="24"/>
          <w14:ligatures w14:val="none"/>
        </w:rPr>
        <w:t>t and</w:t>
      </w:r>
      <w:r w:rsidR="0057209B" w:rsidRPr="002D0BCA">
        <w:rPr>
          <w:rFonts w:ascii="Times New Roman" w:eastAsia="Times New Roman" w:hAnsi="Times New Roman" w:cs="Times New Roman"/>
          <w:color w:val="auto"/>
          <w:sz w:val="24"/>
          <w:szCs w:val="24"/>
          <w14:ligatures w14:val="none"/>
        </w:rPr>
        <w:t xml:space="preserve"> P</w:t>
      </w:r>
      <w:r w:rsidRPr="002D0BCA">
        <w:rPr>
          <w:rFonts w:ascii="Times New Roman" w:eastAsia="Times New Roman" w:hAnsi="Times New Roman" w:cs="Times New Roman"/>
          <w:color w:val="auto"/>
          <w:sz w:val="24"/>
          <w:szCs w:val="24"/>
          <w14:ligatures w14:val="none"/>
        </w:rPr>
        <w:t xml:space="preserve">roject </w:t>
      </w:r>
      <w:r w:rsidR="0057209B" w:rsidRPr="002D0BCA">
        <w:rPr>
          <w:rFonts w:ascii="Times New Roman" w:eastAsia="Times New Roman" w:hAnsi="Times New Roman" w:cs="Times New Roman"/>
          <w:color w:val="auto"/>
          <w:sz w:val="24"/>
          <w:szCs w:val="24"/>
          <w14:ligatures w14:val="none"/>
        </w:rPr>
        <w:t>T</w:t>
      </w:r>
      <w:r w:rsidRPr="002D0BCA">
        <w:rPr>
          <w:rFonts w:ascii="Times New Roman" w:eastAsia="Times New Roman" w:hAnsi="Times New Roman" w:cs="Times New Roman"/>
          <w:color w:val="auto"/>
          <w:sz w:val="24"/>
          <w:szCs w:val="24"/>
          <w14:ligatures w14:val="none"/>
        </w:rPr>
        <w:t xml:space="preserve">eam </w:t>
      </w:r>
      <w:r w:rsidR="008E6135" w:rsidRPr="002D0BCA">
        <w:rPr>
          <w:rFonts w:ascii="Times New Roman" w:eastAsia="Times New Roman" w:hAnsi="Times New Roman" w:cs="Times New Roman"/>
          <w:color w:val="auto"/>
          <w:sz w:val="24"/>
          <w:szCs w:val="24"/>
          <w14:ligatures w14:val="none"/>
        </w:rPr>
        <w:t>to</w:t>
      </w:r>
      <w:r w:rsidRPr="002D0BCA">
        <w:rPr>
          <w:rFonts w:ascii="Times New Roman" w:eastAsia="Times New Roman" w:hAnsi="Times New Roman" w:cs="Times New Roman"/>
          <w:color w:val="auto"/>
          <w:sz w:val="24"/>
          <w:szCs w:val="24"/>
          <w14:ligatures w14:val="none"/>
        </w:rPr>
        <w:t xml:space="preserve"> agree on </w:t>
      </w:r>
      <w:r w:rsidR="00AB6400" w:rsidRPr="002D0BCA">
        <w:rPr>
          <w:rFonts w:ascii="Times New Roman" w:eastAsia="Times New Roman" w:hAnsi="Times New Roman" w:cs="Times New Roman"/>
          <w:color w:val="auto"/>
          <w:sz w:val="24"/>
          <w:szCs w:val="24"/>
          <w14:ligatures w14:val="none"/>
        </w:rPr>
        <w:t>the</w:t>
      </w:r>
      <w:r w:rsidR="00E63BDA" w:rsidRPr="002D0BCA">
        <w:rPr>
          <w:rFonts w:ascii="Times New Roman" w:eastAsia="Times New Roman" w:hAnsi="Times New Roman" w:cs="Times New Roman"/>
          <w:color w:val="auto"/>
          <w:sz w:val="24"/>
          <w:szCs w:val="24"/>
          <w14:ligatures w14:val="none"/>
        </w:rPr>
        <w:t xml:space="preserve"> </w:t>
      </w:r>
      <w:r w:rsidR="008E6135" w:rsidRPr="002D0BCA">
        <w:rPr>
          <w:rFonts w:ascii="Times New Roman" w:eastAsia="Times New Roman" w:hAnsi="Times New Roman" w:cs="Times New Roman"/>
          <w:color w:val="auto"/>
          <w:sz w:val="24"/>
          <w:szCs w:val="24"/>
          <w14:ligatures w14:val="none"/>
        </w:rPr>
        <w:t>suitable graphic elements</w:t>
      </w:r>
      <w:r w:rsidR="00654A7E" w:rsidRPr="002D0BCA">
        <w:rPr>
          <w:rFonts w:ascii="Times New Roman" w:eastAsia="Times New Roman" w:hAnsi="Times New Roman" w:cs="Times New Roman"/>
          <w:color w:val="auto"/>
          <w:sz w:val="24"/>
          <w:szCs w:val="24"/>
          <w14:ligatures w14:val="none"/>
        </w:rPr>
        <w:t xml:space="preserve"> </w:t>
      </w:r>
    </w:p>
    <w:p w14:paraId="19F863B4" w14:textId="72926504" w:rsidR="00854B39" w:rsidRPr="002D0BCA" w:rsidRDefault="00425385" w:rsidP="001C4D00">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Pr>
          <w:rFonts w:ascii="Times New Roman" w:eastAsia="Times New Roman" w:hAnsi="Times New Roman" w:cs="Times New Roman"/>
          <w:color w:val="auto"/>
          <w:sz w:val="24"/>
          <w:szCs w:val="24"/>
          <w14:ligatures w14:val="none"/>
        </w:rPr>
        <w:t>Create</w:t>
      </w:r>
      <w:r w:rsidR="003E4815" w:rsidRPr="002D0BCA">
        <w:rPr>
          <w:rFonts w:ascii="Times New Roman" w:eastAsia="Times New Roman" w:hAnsi="Times New Roman" w:cs="Times New Roman"/>
          <w:color w:val="auto"/>
          <w:sz w:val="24"/>
          <w:szCs w:val="24"/>
          <w14:ligatures w14:val="none"/>
        </w:rPr>
        <w:t xml:space="preserve"> </w:t>
      </w:r>
      <w:r w:rsidR="00AC01D4" w:rsidRPr="002D0BCA">
        <w:rPr>
          <w:rFonts w:ascii="Times New Roman" w:eastAsia="Times New Roman" w:hAnsi="Times New Roman" w:cs="Times New Roman"/>
          <w:color w:val="auto"/>
          <w:sz w:val="24"/>
          <w:szCs w:val="24"/>
          <w14:ligatures w14:val="none"/>
        </w:rPr>
        <w:t xml:space="preserve">the </w:t>
      </w:r>
      <w:r w:rsidR="005C36C7" w:rsidRPr="002D0BCA">
        <w:rPr>
          <w:rFonts w:ascii="Times New Roman" w:eastAsia="Times New Roman" w:hAnsi="Times New Roman" w:cs="Times New Roman"/>
          <w:color w:val="auto"/>
          <w:sz w:val="24"/>
          <w:szCs w:val="24"/>
          <w14:ligatures w14:val="none"/>
        </w:rPr>
        <w:t>design and</w:t>
      </w:r>
      <w:r w:rsidR="003E4815" w:rsidRPr="002D0BCA">
        <w:rPr>
          <w:rFonts w:ascii="Times New Roman" w:eastAsia="Times New Roman" w:hAnsi="Times New Roman" w:cs="Times New Roman"/>
          <w:color w:val="auto"/>
          <w:sz w:val="24"/>
          <w:szCs w:val="24"/>
          <w14:ligatures w14:val="none"/>
        </w:rPr>
        <w:t xml:space="preserve"> layout for</w:t>
      </w:r>
      <w:r w:rsidR="006835B2" w:rsidRPr="002D0BCA">
        <w:rPr>
          <w:rFonts w:ascii="Times New Roman" w:eastAsia="Times New Roman" w:hAnsi="Times New Roman" w:cs="Times New Roman"/>
          <w:color w:val="auto"/>
          <w:sz w:val="24"/>
          <w:szCs w:val="24"/>
          <w14:ligatures w14:val="none"/>
        </w:rPr>
        <w:t xml:space="preserve"> the</w:t>
      </w:r>
      <w:r w:rsidR="008E6135" w:rsidRPr="002D0BCA">
        <w:rPr>
          <w:rFonts w:ascii="Times New Roman" w:eastAsia="Times New Roman" w:hAnsi="Times New Roman" w:cs="Times New Roman"/>
          <w:color w:val="auto"/>
          <w:sz w:val="24"/>
          <w:szCs w:val="24"/>
          <w14:ligatures w14:val="none"/>
        </w:rPr>
        <w:t xml:space="preserve"> policy brief</w:t>
      </w:r>
    </w:p>
    <w:p w14:paraId="76FE4D02" w14:textId="790CF89C" w:rsidR="00E943F9" w:rsidRPr="002D0BCA" w:rsidRDefault="008E6135" w:rsidP="001C4D00">
      <w:pPr>
        <w:numPr>
          <w:ilvl w:val="0"/>
          <w:numId w:val="1"/>
        </w:num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Continuously integrate th</w:t>
      </w:r>
      <w:bookmarkStart w:id="0" w:name="_GoBack"/>
      <w:bookmarkEnd w:id="0"/>
      <w:r w:rsidRPr="002D0BCA">
        <w:rPr>
          <w:rFonts w:ascii="Times New Roman" w:eastAsia="Times New Roman" w:hAnsi="Times New Roman" w:cs="Times New Roman"/>
          <w:color w:val="auto"/>
          <w:sz w:val="24"/>
          <w:szCs w:val="24"/>
          <w14:ligatures w14:val="none"/>
        </w:rPr>
        <w:t xml:space="preserve">e feedback of the </w:t>
      </w:r>
      <w:proofErr w:type="spellStart"/>
      <w:r w:rsidRPr="002D0BCA">
        <w:rPr>
          <w:rFonts w:ascii="Times New Roman" w:eastAsia="Times New Roman" w:hAnsi="Times New Roman" w:cs="Times New Roman"/>
          <w:color w:val="auto"/>
          <w:sz w:val="24"/>
          <w:szCs w:val="24"/>
          <w14:ligatures w14:val="none"/>
        </w:rPr>
        <w:t>Capitalisation</w:t>
      </w:r>
      <w:proofErr w:type="spellEnd"/>
      <w:r w:rsidRPr="002D0BCA">
        <w:rPr>
          <w:rFonts w:ascii="Times New Roman" w:eastAsia="Times New Roman" w:hAnsi="Times New Roman" w:cs="Times New Roman"/>
          <w:color w:val="auto"/>
          <w:sz w:val="24"/>
          <w:szCs w:val="24"/>
          <w14:ligatures w14:val="none"/>
        </w:rPr>
        <w:t xml:space="preserve"> expert and Project Team in terms of graphic elements</w:t>
      </w:r>
    </w:p>
    <w:p w14:paraId="5AF6850F" w14:textId="7560589A" w:rsidR="00B617AA" w:rsidRPr="00B617AA" w:rsidRDefault="00B617AA" w:rsidP="00B617AA">
      <w:pPr>
        <w:pStyle w:val="Paragraphedeliste"/>
        <w:numPr>
          <w:ilvl w:val="0"/>
          <w:numId w:val="4"/>
        </w:numPr>
        <w:spacing w:before="100" w:beforeAutospacing="1" w:after="100" w:afterAutospacing="1" w:line="276" w:lineRule="auto"/>
        <w:jc w:val="both"/>
        <w:rPr>
          <w:rFonts w:ascii="Times New Roman" w:eastAsia="Times New Roman" w:hAnsi="Times New Roman" w:cs="Times New Roman"/>
          <w:b/>
          <w:bCs/>
          <w:color w:val="auto"/>
          <w:sz w:val="24"/>
          <w:szCs w:val="24"/>
          <w14:ligatures w14:val="none"/>
        </w:rPr>
      </w:pPr>
      <w:r>
        <w:rPr>
          <w:rFonts w:ascii="Times New Roman" w:eastAsia="Times New Roman" w:hAnsi="Times New Roman" w:cs="Times New Roman"/>
          <w:b/>
          <w:bCs/>
          <w:color w:val="auto"/>
          <w:sz w:val="24"/>
          <w:szCs w:val="24"/>
          <w14:ligatures w14:val="none"/>
        </w:rPr>
        <w:t>Context and project description</w:t>
      </w:r>
    </w:p>
    <w:p w14:paraId="1B3DE931" w14:textId="70DFF63D" w:rsidR="00FF57DF" w:rsidRPr="002D0BCA" w:rsidRDefault="00FF57DF" w:rsidP="001C4D00">
      <w:pPr>
        <w:spacing w:before="100" w:beforeAutospacing="1" w:after="100" w:afterAutospacing="1" w:line="276" w:lineRule="auto"/>
        <w:jc w:val="both"/>
        <w:rPr>
          <w:rFonts w:ascii="Times New Roman" w:eastAsia="Times New Roman" w:hAnsi="Times New Roman" w:cs="Times New Roman"/>
          <w:b/>
          <w:bCs/>
          <w:color w:val="auto"/>
          <w:sz w:val="24"/>
          <w:szCs w:val="24"/>
          <w14:ligatures w14:val="none"/>
        </w:rPr>
      </w:pPr>
      <w:r w:rsidRPr="002D0BCA">
        <w:rPr>
          <w:rFonts w:ascii="Times New Roman" w:eastAsia="Times New Roman" w:hAnsi="Times New Roman" w:cs="Times New Roman"/>
          <w:b/>
          <w:bCs/>
          <w:color w:val="auto"/>
          <w:sz w:val="24"/>
          <w:szCs w:val="24"/>
          <w14:ligatures w14:val="none"/>
        </w:rPr>
        <w:t>The Green Budgeting for EU Regions and Greece project (GBER)</w:t>
      </w:r>
    </w:p>
    <w:p w14:paraId="4166F637" w14:textId="6857B23F" w:rsidR="00FF57DF" w:rsidRPr="002D0BCA" w:rsidRDefault="00FF57DF" w:rsidP="001C4D00">
      <w:pPr>
        <w:spacing w:before="100" w:beforeAutospacing="1" w:after="100" w:afterAutospacing="1" w:line="276" w:lineRule="auto"/>
        <w:jc w:val="both"/>
        <w:rPr>
          <w:rFonts w:ascii="Times New Roman" w:eastAsia="Times New Roman" w:hAnsi="Times New Roman" w:cs="Times New Roman"/>
          <w:color w:val="auto"/>
          <w:sz w:val="24"/>
          <w:szCs w:val="24"/>
          <w:lang w:val="en-GB"/>
          <w14:ligatures w14:val="none"/>
        </w:rPr>
      </w:pPr>
      <w:r w:rsidRPr="002D0BCA">
        <w:rPr>
          <w:rFonts w:ascii="Times New Roman" w:eastAsia="Times New Roman" w:hAnsi="Times New Roman" w:cs="Times New Roman"/>
          <w:color w:val="auto"/>
          <w:sz w:val="24"/>
          <w:szCs w:val="24"/>
          <w:lang w:val="en-GB"/>
          <w14:ligatures w14:val="none"/>
        </w:rPr>
        <w:t>GBER project aligns with the European Green Deal's goal of making Europe the first climate-neutral continent by 2050. Green budgeting tools are central to this transition, helping to evaluate the environmental impact of budgetary policies, redirect resources toward sustainable priorities, and phase out harmful subsidies.</w:t>
      </w:r>
      <w:r w:rsidR="00BA3896" w:rsidRPr="002D0BCA">
        <w:rPr>
          <w:rFonts w:ascii="Times New Roman" w:eastAsia="Times New Roman" w:hAnsi="Times New Roman" w:cs="Times New Roman"/>
          <w:color w:val="auto"/>
          <w:sz w:val="24"/>
          <w:szCs w:val="24"/>
          <w:lang w:val="en-GB"/>
          <w14:ligatures w14:val="none"/>
        </w:rPr>
        <w:t>ms at state level, e.g., green bonds and sustainability.</w:t>
      </w:r>
    </w:p>
    <w:p w14:paraId="6253EB41" w14:textId="37113AF1" w:rsidR="006109E3" w:rsidRPr="002D0BCA" w:rsidRDefault="006109E3" w:rsidP="001C4D00">
      <w:pPr>
        <w:spacing w:before="100" w:beforeAutospacing="1" w:after="100" w:afterAutospacing="1" w:line="276" w:lineRule="auto"/>
        <w:jc w:val="both"/>
        <w:rPr>
          <w:rFonts w:ascii="Times New Roman" w:eastAsia="Times New Roman" w:hAnsi="Times New Roman" w:cs="Times New Roman"/>
          <w:b/>
          <w:bCs/>
          <w:color w:val="auto"/>
          <w:sz w:val="24"/>
          <w:szCs w:val="24"/>
          <w14:ligatures w14:val="none"/>
        </w:rPr>
      </w:pPr>
      <w:r w:rsidRPr="002D0BCA">
        <w:rPr>
          <w:rFonts w:ascii="Times New Roman" w:eastAsia="Times New Roman" w:hAnsi="Times New Roman" w:cs="Times New Roman"/>
          <w:b/>
          <w:bCs/>
          <w:color w:val="auto"/>
          <w:sz w:val="24"/>
          <w:szCs w:val="24"/>
          <w:lang w:val="en-GB"/>
          <w14:ligatures w14:val="none"/>
        </w:rPr>
        <w:t>EU Green Deal and Green Budgeting</w:t>
      </w:r>
    </w:p>
    <w:p w14:paraId="380F16C3" w14:textId="409C7686" w:rsidR="00E943F9" w:rsidRPr="002D0BCA" w:rsidRDefault="00E943F9"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lastRenderedPageBreak/>
        <w:t xml:space="preserve">The European Union has </w:t>
      </w:r>
      <w:r w:rsidR="00723421" w:rsidRPr="002D0BCA">
        <w:rPr>
          <w:rFonts w:ascii="Times New Roman" w:eastAsia="Times New Roman" w:hAnsi="Times New Roman" w:cs="Times New Roman"/>
          <w:color w:val="auto"/>
          <w:sz w:val="24"/>
          <w:szCs w:val="24"/>
          <w14:ligatures w14:val="none"/>
        </w:rPr>
        <w:t>set</w:t>
      </w:r>
      <w:r w:rsidRPr="002D0BCA">
        <w:rPr>
          <w:rFonts w:ascii="Times New Roman" w:eastAsia="Times New Roman" w:hAnsi="Times New Roman" w:cs="Times New Roman"/>
          <w:color w:val="auto"/>
          <w:sz w:val="24"/>
          <w:szCs w:val="24"/>
          <w14:ligatures w14:val="none"/>
        </w:rPr>
        <w:t xml:space="preserve"> the objective of achieving zero net emissions by 2050, and it launched in December 2019 the European Green Deal as the roadmap to achieve carbon neutrality. This strategic package of policy measures has also provided the basis for the post covid-19 EU Recovery Plan. This led to strict conditions on the use of expenditure from the recovery and resilience facility (RRF), namely that 37% of EU RRF funding should be dedicated to climate projects, and that 100% of expenditure should respect the “do no significant harm” criteria.</w:t>
      </w:r>
    </w:p>
    <w:p w14:paraId="35E91147" w14:textId="77777777" w:rsidR="00E943F9" w:rsidRPr="002D0BCA" w:rsidRDefault="00E943F9"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This new institutional context reinforces the salience of green budgeting in EU Member States. This was emphasized in a communication from the EU Commission released in December 2019 regarding the European Green Deal: “National budgets play a key role in the transition. A greater use of green budgeting tools will help to redirect public investment, consumption, and taxation to green priorities and away from harmful subsidies”.</w:t>
      </w:r>
    </w:p>
    <w:p w14:paraId="4948B3D9" w14:textId="77777777" w:rsidR="00E943F9" w:rsidRPr="002D0BCA" w:rsidRDefault="00E943F9"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p>
    <w:p w14:paraId="05286A9F" w14:textId="77777777" w:rsidR="00E943F9" w:rsidRPr="002D0BCA" w:rsidRDefault="00E943F9"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Given the fact that green budgeting can facilitate budget steering and support the coherence of budgetary and fiscal policies with national climate objectives, the European Commission strongly supports the adoption of green budgeting tools. However, even though all Member States have introduced policies to address environmental challenges, there is still generally limited coherence across these policies and their coordination and evaluation is poor. Few Member States publicly report on public revenue and expenditure relevant for environmental policies or have an explicit process to consider the environmental performance of policy measures in budget decision-making.</w:t>
      </w:r>
    </w:p>
    <w:p w14:paraId="445FBE74" w14:textId="5E047290" w:rsidR="00923D83" w:rsidRPr="002D0BCA" w:rsidRDefault="00923D83"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 xml:space="preserve">At the subnational level, regional authorities are directly confronted with climate change, biodiversity loss and increasing air, water and soil pollution issues in their respective perimeters. With increasingly stressed budgets and gradually rising energy and fuel prices, it is a major challenge for cities and regions to finance and implement measures and projects for mitigation and </w:t>
      </w:r>
      <w:r w:rsidR="002D0BCA" w:rsidRPr="002D0BCA">
        <w:rPr>
          <w:rFonts w:ascii="Times New Roman" w:eastAsia="Times New Roman" w:hAnsi="Times New Roman" w:cs="Times New Roman"/>
          <w:color w:val="auto"/>
          <w:sz w:val="24"/>
          <w:szCs w:val="24"/>
          <w14:ligatures w14:val="none"/>
        </w:rPr>
        <w:t>adaptation</w:t>
      </w:r>
      <w:r w:rsidRPr="002D0BCA">
        <w:rPr>
          <w:rFonts w:ascii="Times New Roman" w:eastAsia="Times New Roman" w:hAnsi="Times New Roman" w:cs="Times New Roman"/>
          <w:color w:val="auto"/>
          <w:sz w:val="24"/>
          <w:szCs w:val="24"/>
          <w14:ligatures w14:val="none"/>
        </w:rPr>
        <w:t xml:space="preserve"> to climate change. At the subnational level in the European Union (EU), the European Committee of the Regions adopted in its Commission for the Environment, Climate Change and Energy an opinion on “the implementation of green budgets at local and regional levels” (2022/C 375/07) in September 2022. The opinion calls for exempting green investments from the regional public deficit calculation and from the debt limit "golden rules".</w:t>
      </w:r>
    </w:p>
    <w:p w14:paraId="281A32FF" w14:textId="77777777" w:rsidR="00923D83" w:rsidRPr="002D0BCA" w:rsidRDefault="00923D83"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Regional and local governments have jurisdictions and competences over crucial ecological-related policy areas such as housing development, land-use planning, transportation, wastewater treatment, and waste management. Therefore, subnational governments have a strong ability to mitigate and adapt to the negative impacts of climate-change through their local regulations and policies. This includes environmental protection policies, and more generally, mainstreaming environmental and climate considerations throughout the entire subnational policy framework and policy decision-making processes.</w:t>
      </w:r>
    </w:p>
    <w:p w14:paraId="291241BD" w14:textId="102325B9" w:rsidR="00923D83" w:rsidRPr="002D0BCA" w:rsidRDefault="00923D83"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lastRenderedPageBreak/>
        <w:t>Subnational governments play a key role through their budget, whose share represents, on average, 37% of all public spending, 55% of all public investment and 32% of all tax revenue in the OECD in 2022. Subnational governments have therefore strong means that they can leverage to achieve carbon neutrality and climate resilience. Budget allocations made by subnational governments have an environmental and climate impact, be it positive, neutral, or negative.</w:t>
      </w:r>
    </w:p>
    <w:p w14:paraId="4B597C94" w14:textId="77777777" w:rsidR="00BA3896" w:rsidRPr="002D0BCA" w:rsidRDefault="00BA3896"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p>
    <w:p w14:paraId="108CA635" w14:textId="412914FD" w:rsidR="00EF69F8" w:rsidRPr="00AB5FD5" w:rsidRDefault="00EF69F8" w:rsidP="00AB5FD5">
      <w:pPr>
        <w:pStyle w:val="Paragraphedeliste"/>
        <w:numPr>
          <w:ilvl w:val="0"/>
          <w:numId w:val="4"/>
        </w:numPr>
        <w:spacing w:before="100" w:beforeAutospacing="1" w:after="100" w:afterAutospacing="1" w:line="240" w:lineRule="auto"/>
        <w:jc w:val="both"/>
        <w:outlineLvl w:val="1"/>
        <w:rPr>
          <w:rFonts w:ascii="Times New Roman" w:eastAsia="Times New Roman" w:hAnsi="Times New Roman" w:cs="Times New Roman"/>
          <w:b/>
          <w:bCs/>
          <w:color w:val="auto"/>
          <w:sz w:val="24"/>
          <w:szCs w:val="24"/>
          <w14:ligatures w14:val="none"/>
        </w:rPr>
      </w:pPr>
      <w:r w:rsidRPr="00AB5FD5">
        <w:rPr>
          <w:rFonts w:ascii="Times New Roman" w:eastAsia="Times New Roman" w:hAnsi="Times New Roman" w:cs="Times New Roman"/>
          <w:b/>
          <w:bCs/>
          <w:color w:val="auto"/>
          <w:sz w:val="24"/>
          <w:szCs w:val="24"/>
          <w14:ligatures w14:val="none"/>
        </w:rPr>
        <w:t xml:space="preserve">Required profile </w:t>
      </w:r>
    </w:p>
    <w:p w14:paraId="7ED0F0EE" w14:textId="77777777" w:rsidR="00EF69F8" w:rsidRPr="002D0BCA" w:rsidRDefault="00EF69F8" w:rsidP="001C4D00">
      <w:pPr>
        <w:numPr>
          <w:ilvl w:val="0"/>
          <w:numId w:val="2"/>
        </w:num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Individual consultant;</w:t>
      </w:r>
    </w:p>
    <w:p w14:paraId="30B7C4B6" w14:textId="2C8F2BD6" w:rsidR="00EF69F8" w:rsidRPr="002D0BCA" w:rsidRDefault="00A92C44" w:rsidP="001C4D00">
      <w:pPr>
        <w:numPr>
          <w:ilvl w:val="0"/>
          <w:numId w:val="2"/>
        </w:num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 xml:space="preserve">Bachelor or </w:t>
      </w:r>
      <w:proofErr w:type="spellStart"/>
      <w:r w:rsidRPr="002D0BCA">
        <w:rPr>
          <w:rFonts w:ascii="Times New Roman" w:eastAsia="Times New Roman" w:hAnsi="Times New Roman" w:cs="Times New Roman"/>
          <w:color w:val="auto"/>
          <w:sz w:val="24"/>
          <w:szCs w:val="24"/>
          <w14:ligatures w14:val="none"/>
        </w:rPr>
        <w:t>Masters</w:t>
      </w:r>
      <w:proofErr w:type="spellEnd"/>
      <w:r w:rsidRPr="002D0BCA">
        <w:rPr>
          <w:rFonts w:ascii="Times New Roman" w:eastAsia="Times New Roman" w:hAnsi="Times New Roman" w:cs="Times New Roman"/>
          <w:color w:val="auto"/>
          <w:sz w:val="24"/>
          <w:szCs w:val="24"/>
          <w14:ligatures w14:val="none"/>
        </w:rPr>
        <w:t xml:space="preserve"> degree </w:t>
      </w:r>
      <w:r w:rsidR="00EF69F8" w:rsidRPr="002D0BCA">
        <w:rPr>
          <w:rFonts w:ascii="Times New Roman" w:eastAsia="Times New Roman" w:hAnsi="Times New Roman" w:cs="Times New Roman"/>
          <w:color w:val="auto"/>
          <w:sz w:val="24"/>
          <w:szCs w:val="24"/>
          <w14:ligatures w14:val="none"/>
        </w:rPr>
        <w:t xml:space="preserve">in graphic design, art or equivalent. </w:t>
      </w:r>
    </w:p>
    <w:p w14:paraId="1502437A" w14:textId="77777777" w:rsidR="00EF69F8" w:rsidRPr="002D0BCA" w:rsidRDefault="00EF69F8" w:rsidP="001C4D00">
      <w:pPr>
        <w:numPr>
          <w:ilvl w:val="0"/>
          <w:numId w:val="2"/>
        </w:num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Have at least five (5) years of work experience.</w:t>
      </w:r>
    </w:p>
    <w:p w14:paraId="12E34C21" w14:textId="65F1F0AA" w:rsidR="00EF69F8" w:rsidRPr="002D0BCA" w:rsidRDefault="00EF69F8" w:rsidP="001C4D00">
      <w:pPr>
        <w:numPr>
          <w:ilvl w:val="0"/>
          <w:numId w:val="2"/>
        </w:num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Proven experience in graphic design during the last five years.</w:t>
      </w:r>
    </w:p>
    <w:p w14:paraId="34EC594B" w14:textId="0DAAA76A" w:rsidR="00EF69F8" w:rsidRPr="002D0BCA" w:rsidRDefault="00EF69F8" w:rsidP="001C4D00">
      <w:pPr>
        <w:numPr>
          <w:ilvl w:val="0"/>
          <w:numId w:val="2"/>
        </w:num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Proven experience in content creation.</w:t>
      </w:r>
    </w:p>
    <w:p w14:paraId="75E95789" w14:textId="0EC2CC77" w:rsidR="00EF69F8" w:rsidRPr="002D0BCA" w:rsidRDefault="00EF69F8" w:rsidP="001C4D00">
      <w:pPr>
        <w:numPr>
          <w:ilvl w:val="0"/>
          <w:numId w:val="2"/>
        </w:num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 xml:space="preserve">Proven international work experience, or work with international organizations, </w:t>
      </w:r>
      <w:r w:rsidR="00A92C44" w:rsidRPr="002D0BCA">
        <w:rPr>
          <w:rFonts w:ascii="Times New Roman" w:eastAsia="Times New Roman" w:hAnsi="Times New Roman" w:cs="Times New Roman"/>
          <w:color w:val="auto"/>
          <w:sz w:val="24"/>
          <w:szCs w:val="24"/>
          <w14:ligatures w14:val="none"/>
        </w:rPr>
        <w:t xml:space="preserve">work with EU financed projects </w:t>
      </w:r>
      <w:r w:rsidRPr="002D0BCA">
        <w:rPr>
          <w:rFonts w:ascii="Times New Roman" w:eastAsia="Times New Roman" w:hAnsi="Times New Roman" w:cs="Times New Roman"/>
          <w:color w:val="auto"/>
          <w:sz w:val="24"/>
          <w:szCs w:val="24"/>
          <w14:ligatures w14:val="none"/>
        </w:rPr>
        <w:t>would be an asset.</w:t>
      </w:r>
    </w:p>
    <w:p w14:paraId="52D1A015" w14:textId="46E48FB7" w:rsidR="00041C33" w:rsidRPr="002D0BCA" w:rsidRDefault="00041C33" w:rsidP="001C4D00">
      <w:pPr>
        <w:numPr>
          <w:ilvl w:val="0"/>
          <w:numId w:val="2"/>
        </w:num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sidRPr="002D0BCA">
        <w:rPr>
          <w:rFonts w:ascii="Times New Roman" w:eastAsia="Times New Roman" w:hAnsi="Times New Roman" w:cs="Times New Roman"/>
          <w:color w:val="auto"/>
          <w:sz w:val="24"/>
          <w:szCs w:val="24"/>
          <w14:ligatures w14:val="none"/>
        </w:rPr>
        <w:t>Fluent in English</w:t>
      </w:r>
      <w:r w:rsidR="008E6135" w:rsidRPr="002D0BCA">
        <w:rPr>
          <w:rFonts w:ascii="Times New Roman" w:eastAsia="Times New Roman" w:hAnsi="Times New Roman" w:cs="Times New Roman"/>
          <w:color w:val="auto"/>
          <w:sz w:val="24"/>
          <w:szCs w:val="24"/>
          <w14:ligatures w14:val="none"/>
        </w:rPr>
        <w:t>, French is an asset</w:t>
      </w:r>
    </w:p>
    <w:p w14:paraId="15E57510" w14:textId="77777777" w:rsidR="00EF69F8" w:rsidRDefault="00EF69F8" w:rsidP="001C4D00">
      <w:pPr>
        <w:spacing w:before="100" w:beforeAutospacing="1" w:after="100" w:afterAutospacing="1" w:line="276" w:lineRule="auto"/>
        <w:jc w:val="both"/>
        <w:rPr>
          <w:rFonts w:ascii="Times New Roman" w:eastAsia="Times New Roman" w:hAnsi="Times New Roman" w:cs="Times New Roman"/>
          <w:color w:val="auto"/>
          <w:sz w:val="24"/>
          <w:szCs w:val="24"/>
          <w14:ligatures w14:val="none"/>
        </w:rPr>
      </w:pPr>
    </w:p>
    <w:p w14:paraId="5B37690C" w14:textId="77777777" w:rsidR="003832DD" w:rsidRDefault="003832DD" w:rsidP="001C4D00">
      <w:pPr>
        <w:spacing w:before="100" w:beforeAutospacing="1" w:after="100" w:afterAutospacing="1" w:line="240" w:lineRule="auto"/>
        <w:ind w:left="720"/>
        <w:jc w:val="both"/>
        <w:rPr>
          <w:rFonts w:ascii="Times New Roman" w:eastAsia="Times New Roman" w:hAnsi="Times New Roman" w:cs="Times New Roman"/>
          <w:color w:val="auto"/>
          <w:sz w:val="24"/>
          <w:szCs w:val="24"/>
          <w14:ligatures w14:val="none"/>
        </w:rPr>
      </w:pPr>
    </w:p>
    <w:p w14:paraId="1B7C1FBE" w14:textId="67FE5DD0" w:rsidR="003832DD" w:rsidRPr="003E4815" w:rsidRDefault="003832DD" w:rsidP="001C4D00">
      <w:pPr>
        <w:spacing w:before="100" w:beforeAutospacing="1" w:after="100" w:afterAutospacing="1" w:line="240" w:lineRule="auto"/>
        <w:jc w:val="both"/>
        <w:rPr>
          <w:rFonts w:ascii="Times New Roman" w:eastAsia="Times New Roman" w:hAnsi="Times New Roman" w:cs="Times New Roman"/>
          <w:color w:val="auto"/>
          <w:sz w:val="24"/>
          <w:szCs w:val="24"/>
          <w14:ligatures w14:val="none"/>
        </w:rPr>
      </w:pPr>
      <w:r>
        <w:rPr>
          <w:rFonts w:ascii="Times New Roman" w:eastAsia="Times New Roman" w:hAnsi="Times New Roman" w:cs="Times New Roman"/>
          <w:color w:val="auto"/>
          <w:sz w:val="24"/>
          <w:szCs w:val="24"/>
          <w14:ligatures w14:val="none"/>
        </w:rPr>
        <w:t xml:space="preserve">     </w:t>
      </w:r>
    </w:p>
    <w:p w14:paraId="62A820EB" w14:textId="77777777" w:rsidR="003E4815" w:rsidRDefault="003E4815" w:rsidP="001C4D00">
      <w:pPr>
        <w:jc w:val="both"/>
      </w:pPr>
    </w:p>
    <w:p w14:paraId="1794C98C" w14:textId="77777777" w:rsidR="003E4815" w:rsidRDefault="003E4815" w:rsidP="001C4D00">
      <w:pPr>
        <w:jc w:val="both"/>
      </w:pPr>
    </w:p>
    <w:sectPr w:rsidR="003E4815" w:rsidSect="00431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rial"/>
    <w:charset w:val="00"/>
    <w:family w:val="swiss"/>
    <w:pitch w:val="variable"/>
    <w:sig w:usb0="00000001"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54CA0"/>
    <w:multiLevelType w:val="multilevel"/>
    <w:tmpl w:val="A3D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0605E"/>
    <w:multiLevelType w:val="multilevel"/>
    <w:tmpl w:val="910C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E3162"/>
    <w:multiLevelType w:val="hybridMultilevel"/>
    <w:tmpl w:val="9504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EE4BA8"/>
    <w:multiLevelType w:val="hybridMultilevel"/>
    <w:tmpl w:val="EC46F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E5F"/>
    <w:rsid w:val="000104E2"/>
    <w:rsid w:val="000368B5"/>
    <w:rsid w:val="00041C33"/>
    <w:rsid w:val="000B5FF1"/>
    <w:rsid w:val="000E35C4"/>
    <w:rsid w:val="00101041"/>
    <w:rsid w:val="00112843"/>
    <w:rsid w:val="001842D5"/>
    <w:rsid w:val="001B66E2"/>
    <w:rsid w:val="001C4D00"/>
    <w:rsid w:val="002408A1"/>
    <w:rsid w:val="002722DE"/>
    <w:rsid w:val="0028209A"/>
    <w:rsid w:val="00284BF1"/>
    <w:rsid w:val="002B7F95"/>
    <w:rsid w:val="002D0BCA"/>
    <w:rsid w:val="00312274"/>
    <w:rsid w:val="003832DD"/>
    <w:rsid w:val="003B2315"/>
    <w:rsid w:val="003C6A17"/>
    <w:rsid w:val="003E4815"/>
    <w:rsid w:val="003F18DF"/>
    <w:rsid w:val="00425385"/>
    <w:rsid w:val="00431DA3"/>
    <w:rsid w:val="00456430"/>
    <w:rsid w:val="00467307"/>
    <w:rsid w:val="00492C55"/>
    <w:rsid w:val="004E0CCB"/>
    <w:rsid w:val="005318A8"/>
    <w:rsid w:val="0057209B"/>
    <w:rsid w:val="005C36C7"/>
    <w:rsid w:val="006109E3"/>
    <w:rsid w:val="00644C62"/>
    <w:rsid w:val="00654A7E"/>
    <w:rsid w:val="006835B2"/>
    <w:rsid w:val="00723421"/>
    <w:rsid w:val="007276E6"/>
    <w:rsid w:val="00781F54"/>
    <w:rsid w:val="008057AB"/>
    <w:rsid w:val="00824A42"/>
    <w:rsid w:val="008538B5"/>
    <w:rsid w:val="008548A7"/>
    <w:rsid w:val="00854B39"/>
    <w:rsid w:val="00865DDE"/>
    <w:rsid w:val="008E6135"/>
    <w:rsid w:val="00923D83"/>
    <w:rsid w:val="009C4CAB"/>
    <w:rsid w:val="009D5259"/>
    <w:rsid w:val="009E4D64"/>
    <w:rsid w:val="00A92C44"/>
    <w:rsid w:val="00AA0A26"/>
    <w:rsid w:val="00AB5FD5"/>
    <w:rsid w:val="00AB6400"/>
    <w:rsid w:val="00AC01D4"/>
    <w:rsid w:val="00AE3147"/>
    <w:rsid w:val="00AF7247"/>
    <w:rsid w:val="00B1735E"/>
    <w:rsid w:val="00B3252F"/>
    <w:rsid w:val="00B617AA"/>
    <w:rsid w:val="00B77D11"/>
    <w:rsid w:val="00B862A0"/>
    <w:rsid w:val="00BA3896"/>
    <w:rsid w:val="00C86E5F"/>
    <w:rsid w:val="00C93B79"/>
    <w:rsid w:val="00CB6E5F"/>
    <w:rsid w:val="00CC1B01"/>
    <w:rsid w:val="00CD2381"/>
    <w:rsid w:val="00D549D4"/>
    <w:rsid w:val="00D54B25"/>
    <w:rsid w:val="00DA09DB"/>
    <w:rsid w:val="00E013F6"/>
    <w:rsid w:val="00E13C9D"/>
    <w:rsid w:val="00E63BDA"/>
    <w:rsid w:val="00E92975"/>
    <w:rsid w:val="00E943F9"/>
    <w:rsid w:val="00EF69F8"/>
    <w:rsid w:val="00F42880"/>
    <w:rsid w:val="00F51DA8"/>
    <w:rsid w:val="00F55368"/>
    <w:rsid w:val="00F65DED"/>
    <w:rsid w:val="00FC75D1"/>
    <w:rsid w:val="00FE1DF0"/>
    <w:rsid w:val="00FE6FE4"/>
    <w:rsid w:val="00FF57D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FA5A"/>
  <w15:chartTrackingRefBased/>
  <w15:docId w15:val="{E5B6C801-FA53-45DB-822D-99531287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Next LT Pro" w:eastAsiaTheme="minorHAnsi" w:hAnsi="Avenir Next LT Pro" w:cstheme="minorBidi"/>
        <w:color w:val="000000" w:themeColor="text1"/>
        <w:sz w:val="18"/>
        <w:szCs w:val="1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86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86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86E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86E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C86E5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C86E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86E5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86E5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86E5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6E5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86E5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86E5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C86E5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C86E5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C86E5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86E5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86E5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86E5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86E5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C86E5F"/>
    <w:rPr>
      <w:rFonts w:asciiTheme="majorHAnsi" w:eastAsiaTheme="majorEastAsia" w:hAnsiTheme="majorHAnsi" w:cstheme="majorBidi"/>
      <w:color w:val="auto"/>
      <w:spacing w:val="-10"/>
      <w:kern w:val="28"/>
      <w:sz w:val="56"/>
      <w:szCs w:val="56"/>
    </w:rPr>
  </w:style>
  <w:style w:type="paragraph" w:styleId="Sous-titre">
    <w:name w:val="Subtitle"/>
    <w:basedOn w:val="Normal"/>
    <w:next w:val="Normal"/>
    <w:link w:val="Sous-titreCar"/>
    <w:uiPriority w:val="11"/>
    <w:qFormat/>
    <w:rsid w:val="00C86E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6E5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86E5F"/>
    <w:pPr>
      <w:spacing w:before="160"/>
      <w:jc w:val="center"/>
    </w:pPr>
    <w:rPr>
      <w:i/>
      <w:iCs/>
      <w:color w:val="404040" w:themeColor="text1" w:themeTint="BF"/>
    </w:rPr>
  </w:style>
  <w:style w:type="character" w:customStyle="1" w:styleId="CitationCar">
    <w:name w:val="Citation Car"/>
    <w:basedOn w:val="Policepardfaut"/>
    <w:link w:val="Citation"/>
    <w:uiPriority w:val="29"/>
    <w:rsid w:val="00C86E5F"/>
    <w:rPr>
      <w:i/>
      <w:iCs/>
      <w:color w:val="404040" w:themeColor="text1" w:themeTint="BF"/>
    </w:rPr>
  </w:style>
  <w:style w:type="paragraph" w:styleId="Paragraphedeliste">
    <w:name w:val="List Paragraph"/>
    <w:basedOn w:val="Normal"/>
    <w:uiPriority w:val="34"/>
    <w:qFormat/>
    <w:rsid w:val="00C86E5F"/>
    <w:pPr>
      <w:ind w:left="720"/>
      <w:contextualSpacing/>
    </w:pPr>
  </w:style>
  <w:style w:type="character" w:styleId="Emphaseintense">
    <w:name w:val="Intense Emphasis"/>
    <w:basedOn w:val="Policepardfaut"/>
    <w:uiPriority w:val="21"/>
    <w:qFormat/>
    <w:rsid w:val="00C86E5F"/>
    <w:rPr>
      <w:i/>
      <w:iCs/>
      <w:color w:val="2F5496" w:themeColor="accent1" w:themeShade="BF"/>
    </w:rPr>
  </w:style>
  <w:style w:type="paragraph" w:styleId="Citationintense">
    <w:name w:val="Intense Quote"/>
    <w:basedOn w:val="Normal"/>
    <w:next w:val="Normal"/>
    <w:link w:val="CitationintenseCar"/>
    <w:uiPriority w:val="30"/>
    <w:qFormat/>
    <w:rsid w:val="00C86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86E5F"/>
    <w:rPr>
      <w:i/>
      <w:iCs/>
      <w:color w:val="2F5496" w:themeColor="accent1" w:themeShade="BF"/>
    </w:rPr>
  </w:style>
  <w:style w:type="character" w:styleId="Rfrenceintense">
    <w:name w:val="Intense Reference"/>
    <w:basedOn w:val="Policepardfaut"/>
    <w:uiPriority w:val="32"/>
    <w:qFormat/>
    <w:rsid w:val="00C86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22745">
      <w:bodyDiv w:val="1"/>
      <w:marLeft w:val="0"/>
      <w:marRight w:val="0"/>
      <w:marTop w:val="0"/>
      <w:marBottom w:val="0"/>
      <w:divBdr>
        <w:top w:val="none" w:sz="0" w:space="0" w:color="auto"/>
        <w:left w:val="none" w:sz="0" w:space="0" w:color="auto"/>
        <w:bottom w:val="none" w:sz="0" w:space="0" w:color="auto"/>
        <w:right w:val="none" w:sz="0" w:space="0" w:color="auto"/>
      </w:divBdr>
      <w:divsChild>
        <w:div w:id="130710067">
          <w:marLeft w:val="0"/>
          <w:marRight w:val="0"/>
          <w:marTop w:val="0"/>
          <w:marBottom w:val="0"/>
          <w:divBdr>
            <w:top w:val="none" w:sz="0" w:space="0" w:color="auto"/>
            <w:left w:val="none" w:sz="0" w:space="0" w:color="auto"/>
            <w:bottom w:val="none" w:sz="0" w:space="0" w:color="auto"/>
            <w:right w:val="none" w:sz="0" w:space="0" w:color="auto"/>
          </w:divBdr>
        </w:div>
      </w:divsChild>
    </w:div>
    <w:div w:id="1773817972">
      <w:bodyDiv w:val="1"/>
      <w:marLeft w:val="0"/>
      <w:marRight w:val="0"/>
      <w:marTop w:val="0"/>
      <w:marBottom w:val="0"/>
      <w:divBdr>
        <w:top w:val="none" w:sz="0" w:space="0" w:color="auto"/>
        <w:left w:val="none" w:sz="0" w:space="0" w:color="auto"/>
        <w:bottom w:val="none" w:sz="0" w:space="0" w:color="auto"/>
        <w:right w:val="none" w:sz="0" w:space="0" w:color="auto"/>
      </w:divBdr>
      <w:divsChild>
        <w:div w:id="476992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895</Words>
  <Characters>5102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Jimeno</dc:creator>
  <cp:keywords/>
  <dc:description/>
  <cp:lastModifiedBy>Marilou FIORENTINO</cp:lastModifiedBy>
  <cp:revision>10</cp:revision>
  <dcterms:created xsi:type="dcterms:W3CDTF">2026-03-16T22:56:00Z</dcterms:created>
  <dcterms:modified xsi:type="dcterms:W3CDTF">2026-03-17T09:06:00Z</dcterms:modified>
</cp:coreProperties>
</file>